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DE0F38" w14:textId="77777777" w:rsidR="001764C6" w:rsidRPr="002040DA" w:rsidRDefault="001764C6" w:rsidP="001764C6">
      <w:pPr>
        <w:tabs>
          <w:tab w:val="left" w:pos="567"/>
        </w:tabs>
        <w:spacing w:after="0" w:line="240" w:lineRule="auto"/>
        <w:rPr>
          <w:rFonts w:ascii="Times New Roman" w:eastAsia="Times New Roman" w:hAnsi="Times New Roman" w:cs="Times New Roman"/>
          <w:lang w:val="en-GB" w:eastAsia="lt-LT"/>
        </w:rPr>
      </w:pPr>
    </w:p>
    <w:p w14:paraId="29FABA0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BF5A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FF2C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69617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CC24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A55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401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E7EC3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CC7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5000B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389A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B98F79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5EE1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10E0F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385ADE0"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A6C156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5F7D347B"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61533164"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4F9AB9F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7DDC52F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8682767"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1EBC412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71C71D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 PRIEDAS</w:t>
      </w:r>
    </w:p>
    <w:p w14:paraId="594875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C766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PREPARATO CHARAKTERISTIKŲ SANTRAUKA</w:t>
      </w:r>
    </w:p>
    <w:p w14:paraId="3BB804E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A1CF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1.</w:t>
      </w:r>
      <w:r>
        <w:rPr>
          <w:rFonts w:ascii="Times New Roman" w:eastAsia="Times New Roman" w:hAnsi="Times New Roman" w:cs="Times New Roman"/>
          <w:b/>
          <w:lang w:eastAsia="lt-LT"/>
        </w:rPr>
        <w:tab/>
        <w:t>VAISTINIO PREPARATO PAVADINIMAS</w:t>
      </w:r>
    </w:p>
    <w:p w14:paraId="63B219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8367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w:t>
      </w:r>
    </w:p>
    <w:p w14:paraId="461D5F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1000 mg milteliai infuzinio tirpalo koncentratui </w:t>
      </w:r>
    </w:p>
    <w:p w14:paraId="6FF18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AE81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B344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KOKYBINĖ IR KIEKYBINĖ SUDĖTIS</w:t>
      </w:r>
    </w:p>
    <w:p w14:paraId="355B19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DC79B7"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F36163A"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w:t>
      </w:r>
    </w:p>
    <w:p w14:paraId="38FFAA7B"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433C0162"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Po ištirpinimo 10 ml vandens, 1 ml infuzinio tirpalo koncentrate yra 50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700DD820"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E29476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1000 mg milteliai infuzinio tirpalo koncentratui</w:t>
      </w:r>
    </w:p>
    <w:p w14:paraId="70A5E78D"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1 000 000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27B10CF4"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Po ištirpinimo 20 ml vandens, 1 ml infuzinio tirpalo koncentrate yra 50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4E4AA283"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20496C6F"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 pagalbinės medžiagos išvardytos 6.1 skyriuje. </w:t>
      </w:r>
    </w:p>
    <w:p w14:paraId="3BD1A6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FDD2A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88804F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FARMACINĖ FORMA</w:t>
      </w:r>
    </w:p>
    <w:p w14:paraId="253495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D65EFF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Milteliai infuzinio tirpalo koncentratui.</w:t>
      </w:r>
    </w:p>
    <w:p w14:paraId="7AB499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69D1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w:t>
      </w:r>
    </w:p>
    <w:p w14:paraId="5F8799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261E1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5CD5F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KLINIKINĖ INFORMACIJA</w:t>
      </w:r>
    </w:p>
    <w:p w14:paraId="6188F90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EC6B0B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4.1</w:t>
      </w:r>
      <w:r>
        <w:rPr>
          <w:rFonts w:ascii="Times New Roman" w:eastAsia="Times New Roman" w:hAnsi="Times New Roman" w:cs="Times New Roman"/>
          <w:b/>
          <w:lang w:eastAsia="lt-LT"/>
        </w:rPr>
        <w:tab/>
        <w:t>Terapinės indikacijos</w:t>
      </w:r>
    </w:p>
    <w:p w14:paraId="0776A87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28947F"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į veną</w:t>
      </w:r>
    </w:p>
    <w:p w14:paraId="25D5B4B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12838005"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proofErr w:type="spellStart"/>
      <w:r>
        <w:rPr>
          <w:rFonts w:ascii="Times New Roman" w:eastAsia="Calibri" w:hAnsi="Times New Roman" w:cs="Times New Roman"/>
        </w:rPr>
        <w:t>Vankomicinas</w:t>
      </w:r>
      <w:proofErr w:type="spellEnd"/>
      <w:r>
        <w:rPr>
          <w:rFonts w:ascii="Times New Roman" w:eastAsia="Calibri" w:hAnsi="Times New Roman" w:cs="Times New Roman"/>
        </w:rPr>
        <w:t xml:space="preserve"> skirtas visų amžiaus grupių pacientų toliau nurodytų infekcinių ligų gydymui (žr. 4.2, 4.4 ir 5.1 skyrius):</w:t>
      </w:r>
    </w:p>
    <w:p w14:paraId="59D2EC9F"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p>
    <w:p w14:paraId="0BCC816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komplikuotų odos ir minkštųjų audinių infekcinių ligų;</w:t>
      </w:r>
    </w:p>
    <w:p w14:paraId="3F8E217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kaulų ir sąnarių infekcinių ligų;</w:t>
      </w:r>
    </w:p>
    <w:p w14:paraId="4AA7B205"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bendruomenėje įgytos pneumonijos;</w:t>
      </w:r>
    </w:p>
    <w:p w14:paraId="1E653C17"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ligoninėje įgytos pneumonijos, įskaitant ventiliacinę pneumoniją;</w:t>
      </w:r>
    </w:p>
    <w:p w14:paraId="2CBF02C4"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 xml:space="preserve">infekcinio </w:t>
      </w:r>
      <w:proofErr w:type="spellStart"/>
      <w:r>
        <w:rPr>
          <w:rFonts w:ascii="Times New Roman" w:eastAsia="Calibri" w:hAnsi="Times New Roman" w:cs="Times New Roman"/>
        </w:rPr>
        <w:t>endokardito</w:t>
      </w:r>
      <w:proofErr w:type="spellEnd"/>
      <w:r>
        <w:rPr>
          <w:rFonts w:ascii="Times New Roman" w:eastAsia="Calibri" w:hAnsi="Times New Roman" w:cs="Times New Roman"/>
        </w:rPr>
        <w:t>.</w:t>
      </w:r>
    </w:p>
    <w:p w14:paraId="36D9ECD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5F296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taip pat skirtas visų amžiaus grupių pacientų, kurie didelės apimties chirurginių procedūrų metu turi padidėjusią bakterinio </w:t>
      </w:r>
      <w:proofErr w:type="spellStart"/>
      <w:r>
        <w:rPr>
          <w:rFonts w:ascii="Times New Roman" w:eastAsia="Times New Roman" w:hAnsi="Times New Roman" w:cs="Times New Roman"/>
          <w:lang w:eastAsia="lt-LT"/>
        </w:rPr>
        <w:t>endokardito</w:t>
      </w:r>
      <w:proofErr w:type="spellEnd"/>
      <w:r>
        <w:rPr>
          <w:rFonts w:ascii="Times New Roman" w:eastAsia="Times New Roman" w:hAnsi="Times New Roman" w:cs="Times New Roman"/>
          <w:lang w:eastAsia="lt-LT"/>
        </w:rPr>
        <w:t xml:space="preserve"> riziką, </w:t>
      </w:r>
      <w:proofErr w:type="spellStart"/>
      <w:r>
        <w:rPr>
          <w:rFonts w:ascii="Times New Roman" w:eastAsia="Times New Roman" w:hAnsi="Times New Roman" w:cs="Times New Roman"/>
          <w:lang w:eastAsia="lt-LT"/>
        </w:rPr>
        <w:t>perioperacinei</w:t>
      </w:r>
      <w:proofErr w:type="spellEnd"/>
      <w:r>
        <w:rPr>
          <w:rFonts w:ascii="Times New Roman" w:eastAsia="Times New Roman" w:hAnsi="Times New Roman" w:cs="Times New Roman"/>
          <w:lang w:eastAsia="lt-LT"/>
        </w:rPr>
        <w:t xml:space="preserve"> antibakterinei profilaktikai.</w:t>
      </w:r>
    </w:p>
    <w:p w14:paraId="1AC42A97"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72A291FC"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per burną</w:t>
      </w:r>
    </w:p>
    <w:p w14:paraId="61C7540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36F058F4" w14:textId="77777777" w:rsidR="001764C6" w:rsidRDefault="001764C6" w:rsidP="001764C6">
      <w:pPr>
        <w:tabs>
          <w:tab w:val="left" w:pos="567"/>
        </w:tabs>
        <w:spacing w:after="0" w:line="240" w:lineRule="auto"/>
        <w:rPr>
          <w:rFonts w:ascii="Times New Roman" w:eastAsia="Calibri" w:hAnsi="Times New Roman" w:cs="Times New Roman"/>
        </w:rPr>
      </w:pPr>
      <w:proofErr w:type="spellStart"/>
      <w:r>
        <w:rPr>
          <w:rFonts w:ascii="Times New Roman" w:eastAsia="Calibri" w:hAnsi="Times New Roman" w:cs="Times New Roman"/>
        </w:rPr>
        <w:t>Vankomicinas</w:t>
      </w:r>
      <w:proofErr w:type="spellEnd"/>
      <w:r>
        <w:rPr>
          <w:rFonts w:ascii="Times New Roman" w:eastAsia="Calibri" w:hAnsi="Times New Roman" w:cs="Times New Roman"/>
        </w:rPr>
        <w:t xml:space="preserve"> skirtas visų amžiaus grupių pacientų </w:t>
      </w:r>
      <w:proofErr w:type="spellStart"/>
      <w:r>
        <w:rPr>
          <w:rFonts w:ascii="Times New Roman" w:eastAsia="Calibri" w:hAnsi="Times New Roman" w:cs="Times New Roman"/>
          <w:i/>
          <w:iCs/>
        </w:rPr>
        <w:t>Clostridioides</w:t>
      </w:r>
      <w:proofErr w:type="spellEnd"/>
      <w:r>
        <w:rPr>
          <w:rFonts w:ascii="Times New Roman" w:eastAsia="Calibri" w:hAnsi="Times New Roman" w:cs="Times New Roman"/>
          <w:i/>
          <w:iCs/>
        </w:rPr>
        <w:t xml:space="preserve"> </w:t>
      </w:r>
      <w:proofErr w:type="spellStart"/>
      <w:r>
        <w:rPr>
          <w:rFonts w:ascii="Times New Roman" w:eastAsia="Calibri" w:hAnsi="Times New Roman" w:cs="Times New Roman"/>
          <w:i/>
          <w:iCs/>
        </w:rPr>
        <w:t>difficile</w:t>
      </w:r>
      <w:proofErr w:type="spellEnd"/>
      <w:r>
        <w:rPr>
          <w:rFonts w:ascii="Times New Roman" w:eastAsia="Calibri" w:hAnsi="Times New Roman" w:cs="Times New Roman"/>
        </w:rPr>
        <w:t xml:space="preserve"> infekcijos (CDI) gydymui (žr. 4.2, 4.4 ir 5.1 skyrius).</w:t>
      </w:r>
    </w:p>
    <w:p w14:paraId="3D9167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E3C71B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Reikia atsižvelgti į oficialias tinkamo antibakterinių </w:t>
      </w:r>
      <w:r>
        <w:rPr>
          <w:rFonts w:ascii="Times New Roman" w:eastAsia="Calibri" w:hAnsi="Times New Roman" w:cs="Times New Roman"/>
        </w:rPr>
        <w:t>vaistinių</w:t>
      </w:r>
      <w:r>
        <w:rPr>
          <w:rFonts w:ascii="Calibri" w:eastAsia="Calibri" w:hAnsi="Calibri" w:cs="Times New Roman"/>
        </w:rPr>
        <w:t xml:space="preserve"> </w:t>
      </w:r>
      <w:r>
        <w:rPr>
          <w:rFonts w:ascii="Times New Roman" w:eastAsia="Times New Roman" w:hAnsi="Times New Roman" w:cs="Times New Roman"/>
          <w:lang w:eastAsia="lt-LT"/>
        </w:rPr>
        <w:t>preparatų vartojimo rekomendacijas.</w:t>
      </w:r>
    </w:p>
    <w:p w14:paraId="3FE2651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B4E3D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4.2</w:t>
      </w:r>
      <w:r>
        <w:rPr>
          <w:rFonts w:ascii="Times New Roman" w:eastAsia="Times New Roman" w:hAnsi="Times New Roman" w:cs="Times New Roman"/>
          <w:b/>
          <w:lang w:eastAsia="lt-LT"/>
        </w:rPr>
        <w:tab/>
        <w:t>Dozavimas ir vartojimo metodas</w:t>
      </w:r>
    </w:p>
    <w:p w14:paraId="339D8F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A3F7C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Dozavimas</w:t>
      </w:r>
    </w:p>
    <w:p w14:paraId="3364A0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684C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Prireikus,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skiriamas derinyje su kitais antibakteriniais vaistiniais preparatais.</w:t>
      </w:r>
    </w:p>
    <w:p w14:paraId="5A3D40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AE5A55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Vartojimas į veną</w:t>
      </w:r>
    </w:p>
    <w:p w14:paraId="5704418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95208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Pradinė dozė turi būti apskaičiuojama pagal bendrą kūno svorį. Kad būtų pasiekta pageidaujama terapinė koncentracija, tolimesnės dozės turi būti koreguojamos atsižvelgiant į vaistinio preparato koncentraciją kraujo serume. Skiriant tolimesnes dozes ir nustatant jų skyrimo intervalą, reikia atsižvelgti į paciento inkstų būklę.</w:t>
      </w:r>
    </w:p>
    <w:p w14:paraId="3B2A208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A2EE7F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vyresniems kaip 12 metų</w:t>
      </w:r>
    </w:p>
    <w:p w14:paraId="54867B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15 iki 20 mg/kg kūno svorio skiriant kas 8-12 valandų (ne daugiau kaip 2 g vienoje dozėje).</w:t>
      </w:r>
    </w:p>
    <w:p w14:paraId="463F85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FAFE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Sunkiai sergantiems pacientams, norint greitai pasiekti pageidaujamą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gali būti skiriama 25-30 mg/kg kūno svorio įsotinamoji dozė.</w:t>
      </w:r>
    </w:p>
    <w:p w14:paraId="70FAAADC"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B79A06C"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Kūdikiams ir vaikams nuo vieno mėnesio iki 12 metų</w:t>
      </w:r>
    </w:p>
    <w:p w14:paraId="640C3B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10 iki 15 mg/kg kūno svorio skiriant kas 6 valandas (žr. 4.4 skyrių).</w:t>
      </w:r>
    </w:p>
    <w:p w14:paraId="44596F80"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61768A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 planuotos gimimo paros ir dar 27 paras po jos)</w:t>
      </w:r>
    </w:p>
    <w:p w14:paraId="3B17934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Nustatant dozavimo režimą naujagimiams reikia pasitarti su gydytoju turinčiu patirties naujagimių gydyme. Vienas iš galimų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dozavimo būdų kūdikiams pateiktas toliau nurodytoje lentelėje (žr. 4.4 skyrių).</w:t>
      </w:r>
    </w:p>
    <w:p w14:paraId="12791F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1951" w:type="dxa"/>
        <w:tblCellMar>
          <w:left w:w="0" w:type="dxa"/>
          <w:right w:w="0" w:type="dxa"/>
        </w:tblCellMar>
        <w:tblLook w:val="04A0" w:firstRow="1" w:lastRow="0" w:firstColumn="1" w:lastColumn="0" w:noHBand="0" w:noVBand="1"/>
      </w:tblPr>
      <w:tblGrid>
        <w:gridCol w:w="1352"/>
        <w:gridCol w:w="1244"/>
        <w:gridCol w:w="1891"/>
      </w:tblGrid>
      <w:tr w:rsidR="001764C6" w14:paraId="4AF23F3C" w14:textId="77777777" w:rsidTr="001764C6">
        <w:trPr>
          <w:trHeight w:val="875"/>
        </w:trPr>
        <w:tc>
          <w:tcPr>
            <w:tcW w:w="1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BC2C064" w14:textId="77777777" w:rsidR="001764C6" w:rsidRDefault="001764C6">
            <w:pPr>
              <w:autoSpaceDE w:val="0"/>
              <w:autoSpaceDN w:val="0"/>
              <w:adjustRightInd w:val="0"/>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5BA169" w14:textId="77777777" w:rsidR="001764C6" w:rsidRDefault="001764C6">
            <w:pPr>
              <w:autoSpaceDE w:val="0"/>
              <w:autoSpaceDN w:val="0"/>
              <w:adjustRightInd w:val="0"/>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4BEDE6" w14:textId="77777777" w:rsidR="001764C6" w:rsidRDefault="001764C6">
            <w:pPr>
              <w:autoSpaceDE w:val="0"/>
              <w:autoSpaceDN w:val="0"/>
              <w:adjustRightInd w:val="0"/>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1764C6" w14:paraId="6647399D" w14:textId="77777777" w:rsidTr="001764C6">
        <w:trPr>
          <w:trHeight w:val="283"/>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70C0DB"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29</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2A36627"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3192C2C8"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1764C6" w14:paraId="015CDA66"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7A1666"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7BA2324"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4AE2FEFC"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1764C6" w14:paraId="68D99F74"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332E27"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07E89B9"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717677AA"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14:paraId="7FC7182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PMA: </w:t>
      </w:r>
      <w:proofErr w:type="spellStart"/>
      <w:r>
        <w:rPr>
          <w:rFonts w:ascii="Times New Roman" w:eastAsia="Times New Roman" w:hAnsi="Times New Roman" w:cs="Times New Roman"/>
          <w:lang w:eastAsia="lt-LT"/>
        </w:rPr>
        <w:t>postmenstruacinis</w:t>
      </w:r>
      <w:proofErr w:type="spellEnd"/>
      <w:r>
        <w:rPr>
          <w:rFonts w:ascii="Times New Roman" w:eastAsia="Times New Roman" w:hAnsi="Times New Roman" w:cs="Times New Roman"/>
          <w:lang w:eastAsia="lt-LT"/>
        </w:rPr>
        <w:t xml:space="preserve"> amžius [(laikas praėjęs nuo paskutinio menstruacijų ciklo pirmos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 pridedant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14:paraId="13F689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020A5C"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roofErr w:type="spellStart"/>
      <w:r>
        <w:rPr>
          <w:rFonts w:ascii="Times New Roman" w:eastAsia="Times New Roman" w:hAnsi="Times New Roman" w:cs="Times New Roman"/>
          <w:i/>
          <w:lang w:eastAsia="lt-LT"/>
        </w:rPr>
        <w:t>Perioperacinė</w:t>
      </w:r>
      <w:proofErr w:type="spellEnd"/>
      <w:r>
        <w:rPr>
          <w:rFonts w:ascii="Times New Roman" w:eastAsia="Times New Roman" w:hAnsi="Times New Roman" w:cs="Times New Roman"/>
          <w:i/>
          <w:lang w:eastAsia="lt-LT"/>
        </w:rPr>
        <w:t xml:space="preserve"> bakterinio </w:t>
      </w:r>
      <w:proofErr w:type="spellStart"/>
      <w:r>
        <w:rPr>
          <w:rFonts w:ascii="Times New Roman" w:eastAsia="Times New Roman" w:hAnsi="Times New Roman" w:cs="Times New Roman"/>
          <w:i/>
          <w:lang w:eastAsia="lt-LT"/>
        </w:rPr>
        <w:t>endokardito</w:t>
      </w:r>
      <w:proofErr w:type="spellEnd"/>
      <w:r>
        <w:rPr>
          <w:rFonts w:ascii="Times New Roman" w:eastAsia="Times New Roman" w:hAnsi="Times New Roman" w:cs="Times New Roman"/>
          <w:i/>
          <w:lang w:eastAsia="lt-LT"/>
        </w:rPr>
        <w:t xml:space="preserve"> profilaktika visoms amžiaus grupėms</w:t>
      </w:r>
    </w:p>
    <w:p w14:paraId="0D5452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E8F6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Rekomenduojama pradinė dozė yra 15 mg/kg iki anestezijos indukcijos. Atsižvelgiant į operacijos trukmę, gali prireikti antros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dozės.</w:t>
      </w:r>
    </w:p>
    <w:p w14:paraId="6246881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6DF955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Gydymo trukmė</w:t>
      </w:r>
    </w:p>
    <w:p w14:paraId="0A70691F"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157D87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gydymo trukmė pateikta toliau nurodytoje lentelėje. Visais atvejais, gydymo trukmė turi būti pritaikoma atsižvelgiant į infekcijos tipą bei sunkumą ir į individualų klinikinį atsaką.</w:t>
      </w:r>
    </w:p>
    <w:p w14:paraId="0BB7BD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2"/>
        <w:tblW w:w="0" w:type="auto"/>
        <w:tblLook w:val="04A0" w:firstRow="1" w:lastRow="0" w:firstColumn="1" w:lastColumn="0" w:noHBand="0" w:noVBand="1"/>
      </w:tblPr>
      <w:tblGrid>
        <w:gridCol w:w="4530"/>
        <w:gridCol w:w="4530"/>
      </w:tblGrid>
      <w:tr w:rsidR="001764C6" w14:paraId="3AA9017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22DBED7E"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Indikacija</w:t>
            </w:r>
          </w:p>
        </w:tc>
        <w:tc>
          <w:tcPr>
            <w:tcW w:w="4530" w:type="dxa"/>
            <w:tcBorders>
              <w:top w:val="single" w:sz="4" w:space="0" w:color="auto"/>
              <w:left w:val="single" w:sz="4" w:space="0" w:color="auto"/>
              <w:bottom w:val="single" w:sz="4" w:space="0" w:color="auto"/>
              <w:right w:val="single" w:sz="4" w:space="0" w:color="auto"/>
            </w:tcBorders>
            <w:hideMark/>
          </w:tcPr>
          <w:p w14:paraId="6A32D1D6"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Gydymo trukmė</w:t>
            </w:r>
          </w:p>
        </w:tc>
      </w:tr>
      <w:tr w:rsidR="001764C6" w:rsidRPr="001764C6" w14:paraId="4EC5A4A1" w14:textId="77777777" w:rsidTr="001764C6">
        <w:tc>
          <w:tcPr>
            <w:tcW w:w="4530" w:type="dxa"/>
            <w:tcBorders>
              <w:top w:val="single" w:sz="4" w:space="0" w:color="auto"/>
              <w:left w:val="single" w:sz="4" w:space="0" w:color="auto"/>
              <w:bottom w:val="single" w:sz="4" w:space="0" w:color="auto"/>
              <w:right w:val="single" w:sz="4" w:space="0" w:color="auto"/>
            </w:tcBorders>
          </w:tcPr>
          <w:p w14:paraId="00AB173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Komplikuotos odos ir minkštųjų audinių infekcijos:</w:t>
            </w:r>
          </w:p>
          <w:p w14:paraId="3EA5732A"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xml:space="preserve">- Ne </w:t>
            </w:r>
            <w:proofErr w:type="spellStart"/>
            <w:r>
              <w:rPr>
                <w:rFonts w:ascii="Times New Roman" w:hAnsi="Times New Roman" w:cs="Times New Roman"/>
                <w:lang w:eastAsia="lt-LT"/>
              </w:rPr>
              <w:t>nekrozuojančios</w:t>
            </w:r>
            <w:proofErr w:type="spellEnd"/>
          </w:p>
          <w:p w14:paraId="6C3FED3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xml:space="preserve">- </w:t>
            </w:r>
            <w:proofErr w:type="spellStart"/>
            <w:r>
              <w:rPr>
                <w:rFonts w:ascii="Times New Roman" w:hAnsi="Times New Roman" w:cs="Times New Roman"/>
                <w:lang w:eastAsia="lt-LT"/>
              </w:rPr>
              <w:t>Nekrozuojančios</w:t>
            </w:r>
            <w:proofErr w:type="spellEnd"/>
          </w:p>
          <w:p w14:paraId="6B7C7647" w14:textId="77777777" w:rsidR="001764C6" w:rsidRDefault="001764C6">
            <w:pPr>
              <w:tabs>
                <w:tab w:val="left" w:pos="567"/>
              </w:tabs>
              <w:rPr>
                <w:rFonts w:ascii="Times New Roman" w:hAnsi="Times New Roman" w:cs="Times New Roman"/>
                <w:lang w:eastAsia="lt-LT"/>
              </w:rPr>
            </w:pPr>
          </w:p>
        </w:tc>
        <w:tc>
          <w:tcPr>
            <w:tcW w:w="4530" w:type="dxa"/>
            <w:tcBorders>
              <w:top w:val="single" w:sz="4" w:space="0" w:color="auto"/>
              <w:left w:val="single" w:sz="4" w:space="0" w:color="auto"/>
              <w:bottom w:val="single" w:sz="4" w:space="0" w:color="auto"/>
              <w:right w:val="single" w:sz="4" w:space="0" w:color="auto"/>
            </w:tcBorders>
          </w:tcPr>
          <w:p w14:paraId="20D2623A" w14:textId="77777777" w:rsidR="001764C6" w:rsidRDefault="001764C6">
            <w:pPr>
              <w:tabs>
                <w:tab w:val="left" w:pos="567"/>
              </w:tabs>
              <w:rPr>
                <w:rFonts w:ascii="Times New Roman" w:hAnsi="Times New Roman" w:cs="Times New Roman"/>
                <w:lang w:eastAsia="lt-LT"/>
              </w:rPr>
            </w:pPr>
          </w:p>
          <w:p w14:paraId="420F1C38" w14:textId="77777777" w:rsidR="001764C6" w:rsidRDefault="001764C6">
            <w:pPr>
              <w:tabs>
                <w:tab w:val="left" w:pos="567"/>
              </w:tabs>
              <w:rPr>
                <w:rFonts w:ascii="Times New Roman" w:hAnsi="Times New Roman" w:cs="Times New Roman"/>
                <w:lang w:eastAsia="lt-LT"/>
              </w:rPr>
            </w:pPr>
          </w:p>
          <w:p w14:paraId="58BA5F5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p w14:paraId="00E7918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02A8AD4D"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0F49991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Kaulų ir sąnarių infekcijos</w:t>
            </w:r>
          </w:p>
        </w:tc>
        <w:tc>
          <w:tcPr>
            <w:tcW w:w="4530" w:type="dxa"/>
            <w:tcBorders>
              <w:top w:val="single" w:sz="4" w:space="0" w:color="auto"/>
              <w:left w:val="single" w:sz="4" w:space="0" w:color="auto"/>
              <w:bottom w:val="single" w:sz="4" w:space="0" w:color="auto"/>
              <w:right w:val="single" w:sz="4" w:space="0" w:color="auto"/>
            </w:tcBorders>
            <w:hideMark/>
          </w:tcPr>
          <w:p w14:paraId="1583F70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49B8D9C2"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C0D09B7"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Visuomenėje įgyta pneumonija</w:t>
            </w:r>
          </w:p>
        </w:tc>
        <w:tc>
          <w:tcPr>
            <w:tcW w:w="4530" w:type="dxa"/>
            <w:tcBorders>
              <w:top w:val="single" w:sz="4" w:space="0" w:color="auto"/>
              <w:left w:val="single" w:sz="4" w:space="0" w:color="auto"/>
              <w:bottom w:val="single" w:sz="4" w:space="0" w:color="auto"/>
              <w:right w:val="single" w:sz="4" w:space="0" w:color="auto"/>
            </w:tcBorders>
            <w:hideMark/>
          </w:tcPr>
          <w:p w14:paraId="3B3A6170"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47BBF1A0"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5386B9AC"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Hospitalinė pneumonija, įskaitant ventiliacinę pneumoniją</w:t>
            </w:r>
          </w:p>
        </w:tc>
        <w:tc>
          <w:tcPr>
            <w:tcW w:w="4530" w:type="dxa"/>
            <w:tcBorders>
              <w:top w:val="single" w:sz="4" w:space="0" w:color="auto"/>
              <w:left w:val="single" w:sz="4" w:space="0" w:color="auto"/>
              <w:bottom w:val="single" w:sz="4" w:space="0" w:color="auto"/>
              <w:right w:val="single" w:sz="4" w:space="0" w:color="auto"/>
            </w:tcBorders>
            <w:hideMark/>
          </w:tcPr>
          <w:p w14:paraId="728DDF49"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32AA2A6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0315594"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lastRenderedPageBreak/>
              <w:t xml:space="preserve">Infekcinis </w:t>
            </w:r>
            <w:proofErr w:type="spellStart"/>
            <w:r>
              <w:rPr>
                <w:rFonts w:ascii="Times New Roman" w:hAnsi="Times New Roman" w:cs="Times New Roman"/>
                <w:lang w:eastAsia="lt-LT"/>
              </w:rPr>
              <w:t>endokarditas</w:t>
            </w:r>
            <w:proofErr w:type="spellEnd"/>
          </w:p>
        </w:tc>
        <w:tc>
          <w:tcPr>
            <w:tcW w:w="4530" w:type="dxa"/>
            <w:tcBorders>
              <w:top w:val="single" w:sz="4" w:space="0" w:color="auto"/>
              <w:left w:val="single" w:sz="4" w:space="0" w:color="auto"/>
              <w:bottom w:val="single" w:sz="4" w:space="0" w:color="auto"/>
              <w:right w:val="single" w:sz="4" w:space="0" w:color="auto"/>
            </w:tcBorders>
            <w:hideMark/>
          </w:tcPr>
          <w:p w14:paraId="4FACC90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bl>
    <w:p w14:paraId="452A79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*Gydymą tęsti kol nebereikės tolimesnio chirurginio šalinimo, paciento klinikinė būklė pagerės, bei pacientui nuo 48 iki 72 valandų nebepasireikš karščiavimas.</w:t>
      </w:r>
    </w:p>
    <w:p w14:paraId="0987F9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**Reikėtų apsvarstyti, ar dirbtinio sąnario infekcija galima ilgiau gydyti tinkamais slopinančiais geriamaisiais antibiotikais. </w:t>
      </w:r>
    </w:p>
    <w:p w14:paraId="40726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ir kombinuoto gydymo poreikis priklauso nuo vožtuvų tipo ir organizmo.</w:t>
      </w:r>
    </w:p>
    <w:p w14:paraId="7F6F18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1AAE5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6E9FB67E"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028ED0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Senyviems pacientams</w:t>
      </w:r>
    </w:p>
    <w:p w14:paraId="3D19A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Dėl su amžiumi susijusio inkstų funkcijos susilpnėjimo, gali reikėti skirti mažesnes palaikomąsias dozes.</w:t>
      </w:r>
    </w:p>
    <w:p w14:paraId="1CF6339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2C252A5A"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inkstų funkcija sutrikusi</w:t>
      </w:r>
    </w:p>
    <w:p w14:paraId="28D68F05"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ir vaikams, kurių inkstų funkcija sutrikusi, reikia įvertinti skiriamą pradinę dozę ir tolesnes dozes skirti atsižvelgiant į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o ne laikantis nustatyto dozavimo režimo. Tai ypatingai svarbu, jei pacientas turi sunkų inkstų funkcijos sutrikimą, arba, jei jam yra taikoma pakaitinė inkstų terapija, kadangi esant šioms būklėms, egzistuoja daugybė kintančių veiksnių, galinčių padaryti įtaką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w:t>
      </w:r>
    </w:p>
    <w:p w14:paraId="4A3981D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1B37ED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lengvą ar vidutinio sunkumo inkstų nepakankamumą, pradinės dozės mažinti nereikia. Pacientams, turintiems sunkų inkstų nepakankamumą, geriau prailginti dozių skyrimo intervalą, nei skirti mažesnes paros dozes.</w:t>
      </w:r>
    </w:p>
    <w:p w14:paraId="4B9874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BB1DA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Turi būti skiriamas atitinkamas dėmesys derinyje vartojamiems vaistiniams preparatams, kurie gali sumažinti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 ir/arba sustiprinti jo nepageidaujamą poveikį (žr. 4.4 skyrių).</w:t>
      </w:r>
    </w:p>
    <w:p w14:paraId="4F6E96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98EA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Protarpinės hemodializės būdu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prastai </w:t>
      </w:r>
      <w:proofErr w:type="spellStart"/>
      <w:r>
        <w:rPr>
          <w:rFonts w:ascii="Times New Roman" w:eastAsia="Times New Roman" w:hAnsi="Times New Roman" w:cs="Times New Roman"/>
          <w:lang w:eastAsia="lt-LT"/>
        </w:rPr>
        <w:t>dializuojamas</w:t>
      </w:r>
      <w:proofErr w:type="spellEnd"/>
      <w:r>
        <w:rPr>
          <w:rFonts w:ascii="Times New Roman" w:eastAsia="Times New Roman" w:hAnsi="Times New Roman" w:cs="Times New Roman"/>
          <w:lang w:eastAsia="lt-LT"/>
        </w:rPr>
        <w:t>. Tačiau, didelio pralaidumo (</w:t>
      </w:r>
      <w:proofErr w:type="spellStart"/>
      <w:r>
        <w:rPr>
          <w:rFonts w:ascii="Times New Roman" w:eastAsia="Times New Roman" w:hAnsi="Times New Roman" w:cs="Times New Roman"/>
          <w:i/>
          <w:lang w:eastAsia="lt-LT"/>
        </w:rPr>
        <w:t>high</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flux</w:t>
      </w:r>
      <w:proofErr w:type="spellEnd"/>
      <w:r>
        <w:rPr>
          <w:rFonts w:ascii="Times New Roman" w:eastAsia="Times New Roman" w:hAnsi="Times New Roman" w:cs="Times New Roman"/>
          <w:lang w:eastAsia="lt-LT"/>
        </w:rPr>
        <w:t xml:space="preserve">) membranų taikymas bei ilgalaikė inkstų pakaitinė terapija didina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 todėl dažniausiai reikia pakartotinės vaistinio preparato dozės (protarpinės hemodializės atveju, dažniausiai po hemodializės atlikimo).</w:t>
      </w:r>
    </w:p>
    <w:p w14:paraId="65562E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F4A4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Suaugusiems</w:t>
      </w:r>
    </w:p>
    <w:p w14:paraId="3510B7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skiriama dozė gali būti koreguojama atsižvelgiant į apskaičiuotą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greitį, naudojantis toliau nurodyta formule:</w:t>
      </w:r>
    </w:p>
    <w:p w14:paraId="5D50BE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9F62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Vyrai: [Svoris (kg) x 140 - amžius (metai)]/ 72 x kreatinino koncentracija kraujo serume (mg/dl)</w:t>
      </w:r>
    </w:p>
    <w:p w14:paraId="66A061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Moterys: 0,85 x vertė apskaičiuota naudojantis aukščiau nurodyta formule.</w:t>
      </w:r>
    </w:p>
    <w:p w14:paraId="31DA5A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CCF0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pacientams įprastinė pradinė dozė yra nuo 15 iki 20 mg/kg, kuri pacientams, kurių kreatinino klirensas yra tarp 20 ir 49 ml/min, gali būti skiriama kas 24 valandas. Pacientams, turintiems sunkų inkstų funkcijos sutrikimą (kreatinino klirensas mažiau nei 20 ml/min) arba pacientams, kuriems taikoma pakaitinė inkstų terapija, tinkamos tolimesnės dozės ir jų skyrimo laikas labai priklauso nuo pakaitinės inkstų terapijos būdo ir turi būti nustatomos atsižvelgiant į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bei likutinę inkstų funkciją (žr. 4.4 skyrių). Atsižvelgiant į klinikinę situaciją, kol laukiama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matavimo rezultatų, reikia apsvarstyti galimybę atidėti sekančios dozės skyrimą.</w:t>
      </w:r>
    </w:p>
    <w:p w14:paraId="712BA3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39888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Kritinės būklės pacientams, turintiems inkstų nepakankamumą, pradinė dozė (nuo 25 iki 30 mg/kg) neturi būti mažinama.</w:t>
      </w:r>
    </w:p>
    <w:p w14:paraId="6438AFC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DBCAA0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Vaikų populiacija</w:t>
      </w:r>
    </w:p>
    <w:p w14:paraId="79D4B4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 metų ir vyresniems vaikams, dozė gali būti koreguojama atsižvelgiant į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greitį naudojantis koreguotomis </w:t>
      </w:r>
      <w:proofErr w:type="spellStart"/>
      <w:r>
        <w:rPr>
          <w:rFonts w:ascii="Times New Roman" w:eastAsia="Times New Roman" w:hAnsi="Times New Roman" w:cs="Times New Roman"/>
          <w:i/>
          <w:lang w:eastAsia="lt-LT"/>
        </w:rPr>
        <w:t>Schwartz</w:t>
      </w:r>
      <w:proofErr w:type="spellEnd"/>
      <w:r>
        <w:rPr>
          <w:rFonts w:ascii="Times New Roman" w:eastAsia="Times New Roman" w:hAnsi="Times New Roman" w:cs="Times New Roman"/>
          <w:i/>
          <w:lang w:eastAsia="lt-LT"/>
        </w:rPr>
        <w:t xml:space="preserve"> </w:t>
      </w:r>
      <w:r>
        <w:rPr>
          <w:rFonts w:ascii="Times New Roman" w:eastAsia="Times New Roman" w:hAnsi="Times New Roman" w:cs="Times New Roman"/>
          <w:lang w:eastAsia="lt-LT"/>
        </w:rPr>
        <w:t>formulėmis:</w:t>
      </w:r>
    </w:p>
    <w:p w14:paraId="701C7A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eGFG</w:t>
      </w:r>
      <w:proofErr w:type="spellEnd"/>
      <w:r>
        <w:rPr>
          <w:rFonts w:ascii="Times New Roman" w:eastAsia="Times New Roman" w:hAnsi="Times New Roman" w:cs="Times New Roman"/>
          <w:lang w:eastAsia="lt-LT"/>
        </w:rPr>
        <w:t xml:space="preserve">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 (ūgis cm x 0,413)/ kreatinino koncentracija kraujo serume (mg/dl)</w:t>
      </w:r>
    </w:p>
    <w:p w14:paraId="0F98F8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eGFG</w:t>
      </w:r>
      <w:proofErr w:type="spellEnd"/>
      <w:r>
        <w:rPr>
          <w:rFonts w:ascii="Times New Roman" w:eastAsia="Times New Roman" w:hAnsi="Times New Roman" w:cs="Times New Roman"/>
          <w:lang w:eastAsia="lt-LT"/>
        </w:rPr>
        <w:t xml:space="preserve">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(ūgis cm x 36,2)/ kreatinino koncentracija kraujo serume(</w:t>
      </w:r>
      <w:proofErr w:type="spellStart"/>
      <w:r>
        <w:rPr>
          <w:rFonts w:ascii="Times New Roman" w:eastAsia="Times New Roman" w:hAnsi="Times New Roman" w:cs="Times New Roman"/>
          <w:lang w:eastAsia="lt-LT"/>
        </w:rPr>
        <w:t>μmol</w:t>
      </w:r>
      <w:proofErr w:type="spellEnd"/>
      <w:r>
        <w:rPr>
          <w:rFonts w:ascii="Times New Roman" w:eastAsia="Times New Roman" w:hAnsi="Times New Roman" w:cs="Times New Roman"/>
          <w:lang w:eastAsia="lt-LT"/>
        </w:rPr>
        <w:t>/l)</w:t>
      </w:r>
    </w:p>
    <w:p w14:paraId="7A8454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B7EC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Skiriant vaistinį preparatą naujagimiams ir kūdikiams iki 1 metų amžiaus, turi būti kreipiamasi į specialistus, kadangi </w:t>
      </w:r>
      <w:proofErr w:type="spellStart"/>
      <w:r>
        <w:rPr>
          <w:rFonts w:ascii="Times New Roman" w:eastAsia="Times New Roman" w:hAnsi="Times New Roman" w:cs="Times New Roman"/>
          <w:i/>
          <w:lang w:eastAsia="lt-LT"/>
        </w:rPr>
        <w:t>Schwartz</w:t>
      </w:r>
      <w:proofErr w:type="spellEnd"/>
      <w:r>
        <w:rPr>
          <w:rFonts w:ascii="Times New Roman" w:eastAsia="Times New Roman" w:hAnsi="Times New Roman" w:cs="Times New Roman"/>
          <w:i/>
          <w:lang w:eastAsia="lt-LT"/>
        </w:rPr>
        <w:t xml:space="preserve"> </w:t>
      </w:r>
      <w:r>
        <w:rPr>
          <w:rFonts w:ascii="Times New Roman" w:eastAsia="Times New Roman" w:hAnsi="Times New Roman" w:cs="Times New Roman"/>
          <w:lang w:eastAsia="lt-LT"/>
        </w:rPr>
        <w:t>formulė šiai populiacijai yra netaikoma.</w:t>
      </w:r>
    </w:p>
    <w:p w14:paraId="480980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Orientacinės rekomenduojamos dozės vaikų populiacijai pateiktos toliau esančioje lentelėje ir vadovaujasi tais pačiais principais kaip ir suaugusių pacientų atveju.</w:t>
      </w:r>
    </w:p>
    <w:p w14:paraId="2F912C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75F4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7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4"/>
        <w:gridCol w:w="1968"/>
        <w:gridCol w:w="2173"/>
      </w:tblGrid>
      <w:tr w:rsidR="001764C6" w14:paraId="0A5C63F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B3AD2AD"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b/>
                <w:color w:val="000000"/>
                <w:lang w:eastAsia="ja-JP"/>
              </w:rPr>
            </w:pPr>
            <w:r>
              <w:rPr>
                <w:rFonts w:ascii="Times New Roman" w:eastAsia="MS Mincho" w:hAnsi="Times New Roman" w:cs="Times New Roman"/>
                <w:b/>
                <w:bCs/>
                <w:color w:val="000000"/>
                <w:lang w:eastAsia="ja-JP"/>
              </w:rPr>
              <w:t>GFG (ml/min/1,73 m</w:t>
            </w:r>
            <w:r>
              <w:rPr>
                <w:rFonts w:ascii="Times New Roman" w:eastAsia="MS Mincho" w:hAnsi="Times New Roman" w:cs="Times New Roman"/>
                <w:b/>
                <w:bCs/>
                <w:color w:val="000000"/>
                <w:vertAlign w:val="superscript"/>
                <w:lang w:eastAsia="ja-JP"/>
              </w:rPr>
              <w:t>2</w:t>
            </w:r>
            <w:r>
              <w:rPr>
                <w:rFonts w:ascii="Times New Roman" w:eastAsia="MS Mincho" w:hAnsi="Times New Roman" w:cs="Times New Roman"/>
                <w:b/>
                <w:bCs/>
                <w:color w:val="000000"/>
                <w:lang w:eastAsia="ja-JP"/>
              </w:rPr>
              <w:t>)</w:t>
            </w:r>
          </w:p>
        </w:tc>
        <w:tc>
          <w:tcPr>
            <w:tcW w:w="1969" w:type="dxa"/>
            <w:tcBorders>
              <w:top w:val="single" w:sz="4" w:space="0" w:color="auto"/>
              <w:left w:val="single" w:sz="4" w:space="0" w:color="auto"/>
              <w:bottom w:val="single" w:sz="4" w:space="0" w:color="auto"/>
              <w:right w:val="single" w:sz="4" w:space="0" w:color="auto"/>
            </w:tcBorders>
            <w:hideMark/>
          </w:tcPr>
          <w:p w14:paraId="3AB0EC6C"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IV dozė</w:t>
            </w:r>
          </w:p>
        </w:tc>
        <w:tc>
          <w:tcPr>
            <w:tcW w:w="2174" w:type="dxa"/>
            <w:tcBorders>
              <w:top w:val="single" w:sz="4" w:space="0" w:color="auto"/>
              <w:left w:val="single" w:sz="4" w:space="0" w:color="auto"/>
              <w:bottom w:val="single" w:sz="4" w:space="0" w:color="auto"/>
              <w:right w:val="single" w:sz="4" w:space="0" w:color="auto"/>
            </w:tcBorders>
            <w:hideMark/>
          </w:tcPr>
          <w:p w14:paraId="306AC034" w14:textId="77777777" w:rsidR="001764C6" w:rsidRDefault="001764C6">
            <w:pPr>
              <w:autoSpaceDE w:val="0"/>
              <w:autoSpaceDN w:val="0"/>
              <w:adjustRightInd w:val="0"/>
              <w:spacing w:after="120" w:line="240" w:lineRule="auto"/>
              <w:ind w:left="240"/>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Dažnis</w:t>
            </w:r>
          </w:p>
        </w:tc>
      </w:tr>
      <w:tr w:rsidR="001764C6" w14:paraId="7CE15EA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5746CE7"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50-30</w:t>
            </w:r>
          </w:p>
        </w:tc>
        <w:tc>
          <w:tcPr>
            <w:tcW w:w="1969" w:type="dxa"/>
            <w:tcBorders>
              <w:top w:val="single" w:sz="4" w:space="0" w:color="auto"/>
              <w:left w:val="single" w:sz="4" w:space="0" w:color="auto"/>
              <w:bottom w:val="single" w:sz="4" w:space="0" w:color="auto"/>
              <w:right w:val="single" w:sz="4" w:space="0" w:color="auto"/>
            </w:tcBorders>
            <w:hideMark/>
          </w:tcPr>
          <w:p w14:paraId="2E828FCB"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61D32939"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12 valandų</w:t>
            </w:r>
          </w:p>
        </w:tc>
      </w:tr>
      <w:tr w:rsidR="001764C6" w14:paraId="1D88CBED"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6CF9ED0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29-10</w:t>
            </w:r>
          </w:p>
        </w:tc>
        <w:tc>
          <w:tcPr>
            <w:tcW w:w="1969" w:type="dxa"/>
            <w:tcBorders>
              <w:top w:val="single" w:sz="4" w:space="0" w:color="auto"/>
              <w:left w:val="single" w:sz="4" w:space="0" w:color="auto"/>
              <w:bottom w:val="single" w:sz="4" w:space="0" w:color="auto"/>
              <w:right w:val="single" w:sz="4" w:space="0" w:color="auto"/>
            </w:tcBorders>
            <w:hideMark/>
          </w:tcPr>
          <w:p w14:paraId="4B084CF6"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187D6498"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24 valandas</w:t>
            </w:r>
          </w:p>
        </w:tc>
      </w:tr>
      <w:tr w:rsidR="001764C6" w:rsidRPr="001764C6" w14:paraId="65025C4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403F91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10</w:t>
            </w:r>
          </w:p>
        </w:tc>
        <w:tc>
          <w:tcPr>
            <w:tcW w:w="1969" w:type="dxa"/>
            <w:vMerge w:val="restart"/>
            <w:tcBorders>
              <w:top w:val="single" w:sz="4" w:space="0" w:color="auto"/>
              <w:left w:val="single" w:sz="4" w:space="0" w:color="auto"/>
              <w:bottom w:val="single" w:sz="4" w:space="0" w:color="auto"/>
              <w:right w:val="single" w:sz="4" w:space="0" w:color="auto"/>
            </w:tcBorders>
          </w:tcPr>
          <w:p w14:paraId="4778F2AD"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p w14:paraId="0602BD94"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10-15 mg/kg</w:t>
            </w:r>
          </w:p>
        </w:tc>
        <w:tc>
          <w:tcPr>
            <w:tcW w:w="2174" w:type="dxa"/>
            <w:vMerge w:val="restart"/>
            <w:tcBorders>
              <w:top w:val="single" w:sz="4" w:space="0" w:color="auto"/>
              <w:left w:val="single" w:sz="4" w:space="0" w:color="auto"/>
              <w:bottom w:val="single" w:sz="4" w:space="0" w:color="auto"/>
              <w:right w:val="single" w:sz="4" w:space="0" w:color="auto"/>
            </w:tcBorders>
            <w:hideMark/>
          </w:tcPr>
          <w:p w14:paraId="322F8B5E"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r w:rsidR="001764C6" w14:paraId="2F066427"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69A11EA"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Protarpinė hemodializė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FAE11D9"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53EFBBD9" w14:textId="77777777" w:rsidR="001764C6" w:rsidRDefault="001764C6">
            <w:pPr>
              <w:spacing w:after="0"/>
              <w:rPr>
                <w:rFonts w:ascii="Times New Roman" w:eastAsia="MS Mincho" w:hAnsi="Times New Roman" w:cs="Times New Roman"/>
                <w:color w:val="000000"/>
                <w:lang w:eastAsia="ja-JP"/>
              </w:rPr>
            </w:pPr>
          </w:p>
        </w:tc>
      </w:tr>
      <w:tr w:rsidR="001764C6" w14:paraId="7DB64ED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33CEA5C"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proofErr w:type="spellStart"/>
            <w:r>
              <w:rPr>
                <w:rFonts w:ascii="Times New Roman" w:eastAsia="MS Mincho" w:hAnsi="Times New Roman" w:cs="Times New Roman"/>
                <w:color w:val="000000"/>
                <w:lang w:eastAsia="ja-JP"/>
              </w:rPr>
              <w:t>Peritoninė</w:t>
            </w:r>
            <w:proofErr w:type="spellEnd"/>
            <w:r>
              <w:rPr>
                <w:rFonts w:ascii="Times New Roman" w:eastAsia="MS Mincho" w:hAnsi="Times New Roman" w:cs="Times New Roman"/>
                <w:color w:val="000000"/>
                <w:lang w:eastAsia="ja-JP"/>
              </w:rPr>
              <w:t xml:space="preserve"> 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2F79C1E"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202D1CCB" w14:textId="77777777" w:rsidR="001764C6" w:rsidRDefault="001764C6">
            <w:pPr>
              <w:spacing w:after="0"/>
              <w:rPr>
                <w:rFonts w:ascii="Times New Roman" w:eastAsia="MS Mincho" w:hAnsi="Times New Roman" w:cs="Times New Roman"/>
                <w:color w:val="000000"/>
                <w:lang w:eastAsia="ja-JP"/>
              </w:rPr>
            </w:pPr>
          </w:p>
        </w:tc>
      </w:tr>
      <w:tr w:rsidR="001764C6" w:rsidRPr="001764C6" w14:paraId="10C0DCBB"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vAlign w:val="center"/>
            <w:hideMark/>
          </w:tcPr>
          <w:p w14:paraId="55FA952C" w14:textId="77777777" w:rsidR="001764C6" w:rsidRDefault="001764C6">
            <w:pPr>
              <w:autoSpaceDE w:val="0"/>
              <w:autoSpaceDN w:val="0"/>
              <w:adjustRightInd w:val="0"/>
              <w:spacing w:after="120" w:line="240" w:lineRule="auto"/>
              <w:ind w:left="7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Ilgalaikė pakaitinė inkstų terapija</w:t>
            </w:r>
          </w:p>
        </w:tc>
        <w:tc>
          <w:tcPr>
            <w:tcW w:w="1969" w:type="dxa"/>
            <w:tcBorders>
              <w:top w:val="single" w:sz="4" w:space="0" w:color="auto"/>
              <w:left w:val="single" w:sz="4" w:space="0" w:color="auto"/>
              <w:bottom w:val="single" w:sz="4" w:space="0" w:color="auto"/>
              <w:right w:val="single" w:sz="4" w:space="0" w:color="auto"/>
            </w:tcBorders>
            <w:hideMark/>
          </w:tcPr>
          <w:p w14:paraId="09398C88"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7FD1052F"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bl>
    <w:p w14:paraId="51E0A0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*Tinkamos tolimesnės dozės ir jų skyrimo laikas labai priklauso nuo pakaitinės inkstų terapijos būdo ir turi būti nustatomos, atsižvelgiant į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bei likutinę inkstų funkciją. Atsižvelgiant į klinikinę situaciją, kol laukiama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matavimo rezultatų, reikia apsvarstyti galimybę atidėti sekančios dozės skyrimą.</w:t>
      </w:r>
    </w:p>
    <w:p w14:paraId="318446D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A9E4C1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kepenų funkcija sutrikusi</w:t>
      </w:r>
    </w:p>
    <w:p w14:paraId="65DA12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kepenų nepakankamumą, dozės keisti nereikia.</w:t>
      </w:r>
    </w:p>
    <w:p w14:paraId="79F46F8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167FF0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Nėštumas</w:t>
      </w:r>
    </w:p>
    <w:p w14:paraId="7DAEF5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3C1D44C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9E4BC25"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Viršsvorio turintys pacientai</w:t>
      </w:r>
    </w:p>
    <w:p w14:paraId="6712AB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 pacientams pradinė dozė turi būti parenkama individualiai, atsižvelgiant į bendrą kūno svorį, taip kaip ir nenutukusių pacientų atveju.</w:t>
      </w:r>
    </w:p>
    <w:p w14:paraId="523F134D"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p>
    <w:p w14:paraId="58D46543"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r>
        <w:rPr>
          <w:rFonts w:ascii="Times New Roman" w:eastAsia="Times New Roman" w:hAnsi="Times New Roman" w:cs="Times New Roman"/>
          <w:b/>
          <w:bCs/>
          <w:i/>
          <w:iCs/>
          <w:u w:val="single"/>
          <w:lang w:eastAsia="lt-LT"/>
        </w:rPr>
        <w:t>Vartojimas per burną</w:t>
      </w:r>
    </w:p>
    <w:p w14:paraId="673D919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006DD9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14:paraId="626FC93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75880BC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i/>
          <w:iCs/>
          <w:u w:val="single"/>
          <w:lang w:eastAsia="lt-LT"/>
        </w:rPr>
        <w:t>Clostridioides</w:t>
      </w:r>
      <w:proofErr w:type="spellEnd"/>
      <w:r>
        <w:rPr>
          <w:rFonts w:ascii="Times New Roman" w:eastAsia="Times New Roman" w:hAnsi="Times New Roman" w:cs="Times New Roman"/>
          <w:i/>
          <w:iCs/>
          <w:u w:val="single"/>
          <w:lang w:eastAsia="lt-LT"/>
        </w:rPr>
        <w:t xml:space="preserve"> </w:t>
      </w:r>
      <w:proofErr w:type="spellStart"/>
      <w:r>
        <w:rPr>
          <w:rFonts w:ascii="Times New Roman" w:eastAsia="Times New Roman" w:hAnsi="Times New Roman" w:cs="Times New Roman"/>
          <w:i/>
          <w:iCs/>
          <w:u w:val="single"/>
          <w:lang w:eastAsia="lt-LT"/>
        </w:rPr>
        <w:t>difficile</w:t>
      </w:r>
      <w:proofErr w:type="spellEnd"/>
      <w:r>
        <w:rPr>
          <w:rFonts w:ascii="Times New Roman" w:eastAsia="Times New Roman" w:hAnsi="Times New Roman" w:cs="Times New Roman"/>
          <w:u w:val="single"/>
          <w:lang w:eastAsia="lt-LT"/>
        </w:rPr>
        <w:t xml:space="preserve"> infekcijos (CDI) gydymas</w:t>
      </w:r>
    </w:p>
    <w:p w14:paraId="7F38398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B044D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Pasireiškus pirmajam nesunkios CDI epizodui, 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 yra 125 mg kas 6 valandas 10 dienų. Jei pasireiškia sunki ar komplikuota liga, dozę galima didinti iki 500 mg kas 6 valandas 10 dienų. Didžiausia paros dozė neturi viršyti 2 g.</w:t>
      </w:r>
    </w:p>
    <w:p w14:paraId="5F10D2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F79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pacientui liga dažnai kartojasi, galima apsvarstyti dabartiniam CDI epizodui gydyti vartoti 125 mg keturis kartus per parą 10 dienų, po to arba dozė laipsniškai mažinama iki 125 mg per parą, arba taikomas pulsinis režimas, t. y. 125</w:t>
      </w:r>
      <w:r>
        <w:rPr>
          <w:rFonts w:ascii="Times New Roman" w:eastAsia="Times New Roman" w:hAnsi="Times New Roman" w:cs="Times New Roman"/>
          <w:lang w:eastAsia="lt-LT"/>
        </w:rPr>
        <w:noBreakHyphen/>
        <w:t>500 mg per parą kas 2</w:t>
      </w:r>
      <w:r>
        <w:rPr>
          <w:rFonts w:ascii="Times New Roman" w:eastAsia="Times New Roman" w:hAnsi="Times New Roman" w:cs="Times New Roman"/>
          <w:lang w:eastAsia="lt-LT"/>
        </w:rPr>
        <w:noBreakHyphen/>
        <w:t>3 dienas ne trumpiau kaip 3 savaites.</w:t>
      </w:r>
    </w:p>
    <w:p w14:paraId="20CA0A2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1F44CE5"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14:paraId="14368EB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C0CB0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 yra 10 mg/kg per burną kas 6 valandas 10 dienų. Didžiausia paros dozė neturi viršyti 2 g.</w:t>
      </w:r>
    </w:p>
    <w:p w14:paraId="5DE8C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C3E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trukmė parenkama atsižvelgiant į konkretaus paciento klinikinę būklę. Jei įmanoma, reikia nutraukti antibakterinių vaistinių preparatų, kurie, kaip manoma, galėjo sukelti CDI, vartojimą. Reikia užtikrinti tinkamo skysčio ir elektrolitų kiekio suvartojimą.</w:t>
      </w:r>
    </w:p>
    <w:p w14:paraId="16195B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CBBC0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koncentracijos kraujo serume stebėjimas</w:t>
      </w:r>
    </w:p>
    <w:p w14:paraId="53F8CA2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A703F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Terapinio vaistinio preparato stebėjimo (TVS) dažnis turi būti nustatomas individualiai, atsižvelgiant į klinikinę situaciją ir atsaką į gydymą, ir gali svyruoti nuo mėginių ėmimo kiekvieną parą, kai kuriems  </w:t>
      </w:r>
      <w:proofErr w:type="spellStart"/>
      <w:r>
        <w:rPr>
          <w:rFonts w:ascii="Times New Roman" w:eastAsia="Times New Roman" w:hAnsi="Times New Roman" w:cs="Times New Roman"/>
          <w:lang w:eastAsia="lt-LT"/>
        </w:rPr>
        <w:t>hemodinamiškai</w:t>
      </w:r>
      <w:proofErr w:type="spellEnd"/>
      <w:r>
        <w:rPr>
          <w:rFonts w:ascii="Times New Roman" w:eastAsia="Times New Roman" w:hAnsi="Times New Roman" w:cs="Times New Roman"/>
          <w:lang w:eastAsia="lt-LT"/>
        </w:rPr>
        <w:t xml:space="preserve"> nestabiliems pacientams, iki mėginių ėmimo kartą į savaitę, stabiliems pacientams, kuriems pasireiškė atsakas į gydymą. Pacientams, kurių inkstų funkcija normali,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turi būti nustatoma antrąją gydymo parą, prieš pat skiriant sekančią dozę.</w:t>
      </w:r>
    </w:p>
    <w:p w14:paraId="0F3417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85FD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kuriems atliekama protarpinė hemodializė, dažniausiai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nustatoma prieš hemodializės sesijos pradžią.</w:t>
      </w:r>
    </w:p>
    <w:p w14:paraId="1B59A46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0606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Vartojant per burną, pacientams, kuriems yra uždegiminių žarnyno sutrikimų, turi būti nustatoma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(žr. 4.4 skyrių).</w:t>
      </w:r>
    </w:p>
    <w:p w14:paraId="57427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C0F5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Terapinio slenksčio (mažiausia)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kraujyje įprastai turi būti 10-20 mg/l, priklausomai nuo infekcijos vietos ir patogeno jautrumo. Klinikinės laboratorijos įprastai rekomenduoja palaikyti 15-20 mg/l slenkstinę koncentraciją, kad geriau būtų padengti jautrūs </w:t>
      </w:r>
      <w:proofErr w:type="spellStart"/>
      <w:r>
        <w:rPr>
          <w:rFonts w:ascii="Times New Roman" w:eastAsia="Times New Roman" w:hAnsi="Times New Roman" w:cs="Times New Roman"/>
          <w:lang w:eastAsia="lt-LT"/>
        </w:rPr>
        <w:t>patogenai</w:t>
      </w:r>
      <w:proofErr w:type="spellEnd"/>
      <w:r>
        <w:rPr>
          <w:rFonts w:ascii="Times New Roman" w:eastAsia="Times New Roman" w:hAnsi="Times New Roman" w:cs="Times New Roman"/>
          <w:lang w:eastAsia="lt-LT"/>
        </w:rPr>
        <w:t xml:space="preserve">, kurių minimali </w:t>
      </w:r>
      <w:proofErr w:type="spellStart"/>
      <w:r>
        <w:rPr>
          <w:rFonts w:ascii="Times New Roman" w:eastAsia="Times New Roman" w:hAnsi="Times New Roman" w:cs="Times New Roman"/>
          <w:lang w:eastAsia="lt-LT"/>
        </w:rPr>
        <w:t>inhibicinė</w:t>
      </w:r>
      <w:proofErr w:type="spellEnd"/>
      <w:r>
        <w:rPr>
          <w:rFonts w:ascii="Times New Roman" w:eastAsia="Times New Roman" w:hAnsi="Times New Roman" w:cs="Times New Roman"/>
          <w:lang w:eastAsia="lt-LT"/>
        </w:rPr>
        <w:t xml:space="preserve"> koncentracija (MIC) yra ≥1 mg/l (žr. 4.4 ir 5.1 skyrius).</w:t>
      </w:r>
    </w:p>
    <w:p w14:paraId="019383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20153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Modeliais grįsti metodai gali būti naudingi prognozuojant individualius dozavimo poreikius, kad būtų pasiektas pakankamas plotas po koncentracijos ir laiko kreive (AUC). Modeliais grįsti metodai gali būti naudojami apskaičiuoti individualias pradines dozes bei tolimesnių dozių koregavimui atsižvelgiant į terapinio vaistinio preparato stebėjimo rezultatus (žr. 5.1 skyrių).</w:t>
      </w:r>
    </w:p>
    <w:p w14:paraId="50DB5B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51B4B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Vartojimo metodas</w:t>
      </w:r>
    </w:p>
    <w:p w14:paraId="7B8DF09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0F52FE10"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į veną</w:t>
      </w:r>
    </w:p>
    <w:p w14:paraId="7DE96A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dažniausiai vartojamas protarpinės infuzijos būdu ir šiame skyriuje pateikiamos dozavimo rekomendacijos atitinka šį vartojimo būdą.</w:t>
      </w:r>
    </w:p>
    <w:p w14:paraId="7EA2D8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85537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turi būti skiriamas tik pakankamai praskiesto (bent 500 mg/100 ml arba bent 1000 mg/200 ml) tirpalo pavidalu, kuris lėtai leidžiamas į veną, ne didesniu kaip 10 mg/min greičiu arba mažiausiai 1 valandą (priklausomai kuris rodiklis yra ilgesnis) (žr. 4.4 skyrių).</w:t>
      </w:r>
    </w:p>
    <w:p w14:paraId="085005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0FE16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reikia riboti skysčių vartojimą, galima leisti 500 mg/50 ml arba 1000 mg/100 ml tirpalą, tačiau leidžiant šių didesnių koncentracijų tirpalus, gali padidėti su infuzija susijusio nepageidaujamo poveikio rizika.</w:t>
      </w:r>
    </w:p>
    <w:p w14:paraId="2EAD3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Vaistinio preparato ruošimo/skiedimo prieš vartojant instrukcija pateikiama 6.6 skyriuje. </w:t>
      </w:r>
    </w:p>
    <w:p w14:paraId="47088C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svarstyti galimybę atlikti nuolatinę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infuziją, pvz., pacientams, turintiems nestabilų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w:t>
      </w:r>
    </w:p>
    <w:p w14:paraId="2DFA35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EDFB71"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per burną</w:t>
      </w:r>
    </w:p>
    <w:p w14:paraId="2ED40A53"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p>
    <w:p w14:paraId="179CD7C3" w14:textId="77777777" w:rsidR="001764C6" w:rsidRDefault="001764C6" w:rsidP="001764C6">
      <w:pPr>
        <w:tabs>
          <w:tab w:val="left" w:pos="567"/>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Vankomicinas</w:t>
      </w:r>
      <w:proofErr w:type="spellEnd"/>
      <w:r>
        <w:rPr>
          <w:rFonts w:ascii="Times New Roman" w:hAnsi="Times New Roman" w:cs="Times New Roman"/>
          <w:sz w:val="24"/>
          <w:szCs w:val="24"/>
        </w:rPr>
        <w:t xml:space="preserve"> skirtas visų amžiaus grupių pacientų </w:t>
      </w:r>
      <w:proofErr w:type="spellStart"/>
      <w:r>
        <w:rPr>
          <w:rFonts w:ascii="Times New Roman" w:hAnsi="Times New Roman" w:cs="Times New Roman"/>
          <w:i/>
          <w:iCs/>
          <w:sz w:val="24"/>
          <w:szCs w:val="24"/>
        </w:rPr>
        <w:t>Clostridioides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difficile</w:t>
      </w:r>
      <w:proofErr w:type="spellEnd"/>
      <w:r>
        <w:rPr>
          <w:rFonts w:ascii="Times New Roman" w:hAnsi="Times New Roman" w:cs="Times New Roman"/>
          <w:sz w:val="24"/>
          <w:szCs w:val="24"/>
        </w:rPr>
        <w:t xml:space="preserve"> infekcijos (CDI) gydymui (žr. 4.2, 4.4 ir 5.1 skyrius).</w:t>
      </w:r>
    </w:p>
    <w:p w14:paraId="770E23DC" w14:textId="77777777" w:rsidR="001764C6" w:rsidRDefault="001764C6" w:rsidP="001764C6">
      <w:pPr>
        <w:tabs>
          <w:tab w:val="left" w:pos="567"/>
        </w:tabs>
        <w:spacing w:after="0" w:line="240" w:lineRule="auto"/>
        <w:rPr>
          <w:rFonts w:ascii="Times New Roman" w:hAnsi="Times New Roman" w:cs="Times New Roman"/>
          <w:b/>
          <w:sz w:val="24"/>
          <w:szCs w:val="24"/>
        </w:rPr>
      </w:pPr>
    </w:p>
    <w:p w14:paraId="7482AED2"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hAnsi="Times New Roman" w:cs="Times New Roman"/>
          <w:sz w:val="24"/>
          <w:szCs w:val="24"/>
        </w:rPr>
        <w:t>Reikia atsižvelgti į oficialias tinkamo antibakterinių vaistinių preparatų vartojimo rekomendacijas.</w:t>
      </w:r>
    </w:p>
    <w:p w14:paraId="5479B0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vartoti skirto flakono turinį po paruošimo galima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 (žr. 6.6 skyrių).</w:t>
      </w:r>
    </w:p>
    <w:p w14:paraId="5B83E561"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p>
    <w:p w14:paraId="6E03B02C"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4.3</w:t>
      </w:r>
      <w:r>
        <w:rPr>
          <w:rFonts w:ascii="Times New Roman" w:eastAsia="Times New Roman" w:hAnsi="Times New Roman" w:cs="Times New Roman"/>
          <w:b/>
          <w:lang w:eastAsia="lt-LT"/>
        </w:rPr>
        <w:tab/>
        <w:t>Kontraindikacijos</w:t>
      </w:r>
    </w:p>
    <w:p w14:paraId="1E8A8471"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4307B1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Padidėjęs jautrumas veikliajai medžiagai.</w:t>
      </w:r>
    </w:p>
    <w:p w14:paraId="19371BE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723624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negalima leisti į raumenis dėl nekrozės atsiradimo vartojimo vietoje rizikos.</w:t>
      </w:r>
    </w:p>
    <w:p w14:paraId="221B0D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E70FA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4.4</w:t>
      </w:r>
      <w:r>
        <w:rPr>
          <w:rFonts w:ascii="Times New Roman" w:eastAsia="Times New Roman" w:hAnsi="Times New Roman" w:cs="Times New Roman"/>
          <w:b/>
          <w:lang w:eastAsia="lt-LT"/>
        </w:rPr>
        <w:tab/>
        <w:t>Specialūs įspėjimai ir atsargumo priemonės</w:t>
      </w:r>
    </w:p>
    <w:p w14:paraId="754FCF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E5F72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Padidėjusio jautrumo reakcijos</w:t>
      </w:r>
    </w:p>
    <w:p w14:paraId="3E466D0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Galimos sunkios ir kartais mirtinos padidėjusio jautrumo reakcijos (žr. 4.3 ir 4.8 skyrius). Pasireiškus padidėjusio jautrumo reakcijoms, gydymą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nedelsiant nutraukti ir imtis atitinkamų skubios pagalbos priemonių.</w:t>
      </w:r>
    </w:p>
    <w:p w14:paraId="2ED27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A4CA2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 ilgą laiką arba derinyje vartoja kitų vaistinių preparatų, galinčių sukelti </w:t>
      </w:r>
      <w:proofErr w:type="spellStart"/>
      <w:r>
        <w:rPr>
          <w:rFonts w:ascii="Times New Roman" w:eastAsia="Times New Roman" w:hAnsi="Times New Roman" w:cs="Times New Roman"/>
          <w:lang w:eastAsia="lt-LT"/>
        </w:rPr>
        <w:t>neutropeniją</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agranuliocitozę</w:t>
      </w:r>
      <w:proofErr w:type="spellEnd"/>
      <w:r>
        <w:rPr>
          <w:rFonts w:ascii="Times New Roman" w:eastAsia="Times New Roman" w:hAnsi="Times New Roman" w:cs="Times New Roman"/>
          <w:lang w:eastAsia="lt-LT"/>
        </w:rPr>
        <w:t xml:space="preserve">, reguliariais intervalais turi būti nustatomas leukocitų kiekis. Visiems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vartojantiems pacientams periodiškai turi būti atliekami kraujo tyrimai, šlapimo tyrimai, kepenų ir inkstų funkcijų tyrimai.</w:t>
      </w:r>
    </w:p>
    <w:p w14:paraId="4913B7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8646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atsargiai skiriamas pacientams, kurie yra alergiški </w:t>
      </w:r>
      <w:proofErr w:type="spellStart"/>
      <w:r>
        <w:rPr>
          <w:rFonts w:ascii="Times New Roman" w:eastAsia="Times New Roman" w:hAnsi="Times New Roman" w:cs="Times New Roman"/>
          <w:lang w:eastAsia="lt-LT"/>
        </w:rPr>
        <w:t>teikoplaninui</w:t>
      </w:r>
      <w:proofErr w:type="spellEnd"/>
      <w:r>
        <w:rPr>
          <w:rFonts w:ascii="Times New Roman" w:eastAsia="Times New Roman" w:hAnsi="Times New Roman" w:cs="Times New Roman"/>
          <w:lang w:eastAsia="lt-LT"/>
        </w:rPr>
        <w:t>, kadangi gali pasireikšti kryžminio jautrumo reakcijos, įskaitant mirtiną anafilaksinį šoką.</w:t>
      </w:r>
    </w:p>
    <w:p w14:paraId="7E588F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843DD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Antibakterinio aktyvumo spektras</w:t>
      </w:r>
    </w:p>
    <w:p w14:paraId="3A444B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antimikrobinio aktyvumo spektras apsiriboja </w:t>
      </w:r>
      <w:proofErr w:type="spellStart"/>
      <w:r>
        <w:rPr>
          <w:rFonts w:ascii="Times New Roman" w:eastAsia="Times New Roman" w:hAnsi="Times New Roman" w:cs="Times New Roman"/>
          <w:lang w:eastAsia="lt-LT"/>
        </w:rPr>
        <w:t>gramteigiamais</w:t>
      </w:r>
      <w:proofErr w:type="spellEnd"/>
      <w:r>
        <w:rPr>
          <w:rFonts w:ascii="Times New Roman" w:eastAsia="Times New Roman" w:hAnsi="Times New Roman" w:cs="Times New Roman"/>
          <w:lang w:eastAsia="lt-LT"/>
        </w:rPr>
        <w:t xml:space="preserve"> mikroorganizmais. Kaip vienintelis skiriamas vaistinis preparatas, jis nėra tinkamas vartoti kai kurių infekcijų gydymui, nebent yra nustatytas infekciją sukėlęs patogenas ir yra žinoma, kad jis jautrus, arba yra didelis įtarimas, kad labiausiai tikėtiną </w:t>
      </w:r>
      <w:proofErr w:type="spellStart"/>
      <w:r>
        <w:rPr>
          <w:rFonts w:ascii="Times New Roman" w:eastAsia="Times New Roman" w:hAnsi="Times New Roman" w:cs="Times New Roman"/>
          <w:lang w:eastAsia="lt-LT"/>
        </w:rPr>
        <w:t>patogeną</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us</w:t>
      </w:r>
      <w:proofErr w:type="spellEnd"/>
      <w:r>
        <w:rPr>
          <w:rFonts w:ascii="Times New Roman" w:eastAsia="Times New Roman" w:hAnsi="Times New Roman" w:cs="Times New Roman"/>
          <w:lang w:eastAsia="lt-LT"/>
        </w:rPr>
        <w:t xml:space="preserve">) tinka gydyti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w:t>
      </w:r>
    </w:p>
    <w:p w14:paraId="690A85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3B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Siekiant racionaliai vartoti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reikia įvertinti jo aktyvumo bakterinį spektrą, saugumo duomenis ir jo, kaip standartinio antibakterinio gydymo, tinkamumą konkrečiam pacientui.</w:t>
      </w:r>
    </w:p>
    <w:p w14:paraId="49B88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8E5E3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Ototoksinis</w:t>
      </w:r>
      <w:proofErr w:type="spellEnd"/>
      <w:r>
        <w:rPr>
          <w:rFonts w:ascii="Times New Roman" w:eastAsia="Times New Roman" w:hAnsi="Times New Roman" w:cs="Times New Roman"/>
          <w:u w:val="single"/>
          <w:lang w:eastAsia="lt-LT"/>
        </w:rPr>
        <w:t xml:space="preserve"> poveikis</w:t>
      </w:r>
    </w:p>
    <w:p w14:paraId="3BC170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Gauta pranešimų apie laikiną ar nuolatinį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(žr. 4.8 skyrių) pacientams, kuriems jau buvo prikurtimas ir kuriems į veną buvo lašinama didelė dozė arba kurie derinyje vartojo kitų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sukeliančių vaistinių preparatų, pvz.,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taip pat turi vengti pacientai, kurie praeityje yra patyrę klausos praradimą. Prieš apkurtimą gali pasireikšti 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xml:space="preserve">). Kitų antibiotikų vartojimo patirtis rodo, kad prikurtimas gali progresuoti nepaisant gydymo nutraukimo. Siekiant sumažinti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riziką, rekomenduojama reguliariai tirti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 ir reguliariai vertinti klausos funkciją.</w:t>
      </w:r>
    </w:p>
    <w:p w14:paraId="06FBFB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FC8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klausos sutrikimo rizika yra didesnė. Gydymo metu ir po jo, senyviems pacientams turi būti stebimos </w:t>
      </w:r>
      <w:proofErr w:type="spellStart"/>
      <w:r>
        <w:rPr>
          <w:rFonts w:ascii="Times New Roman" w:eastAsia="Times New Roman" w:hAnsi="Times New Roman" w:cs="Times New Roman"/>
          <w:lang w:eastAsia="lt-LT"/>
        </w:rPr>
        <w:t>vestibuliarinio</w:t>
      </w:r>
      <w:proofErr w:type="spellEnd"/>
      <w:r>
        <w:rPr>
          <w:rFonts w:ascii="Times New Roman" w:eastAsia="Times New Roman" w:hAnsi="Times New Roman" w:cs="Times New Roman"/>
          <w:lang w:eastAsia="lt-LT"/>
        </w:rPr>
        <w:t xml:space="preserve"> aparato ir klausos funkcijos. Reikia vengti kitų </w:t>
      </w:r>
      <w:proofErr w:type="spellStart"/>
      <w:r>
        <w:rPr>
          <w:rFonts w:ascii="Times New Roman" w:eastAsia="Times New Roman" w:hAnsi="Times New Roman" w:cs="Times New Roman"/>
          <w:lang w:eastAsia="lt-LT"/>
        </w:rPr>
        <w:t>ototoksinių</w:t>
      </w:r>
      <w:proofErr w:type="spellEnd"/>
      <w:r>
        <w:rPr>
          <w:rFonts w:ascii="Times New Roman" w:eastAsia="Times New Roman" w:hAnsi="Times New Roman" w:cs="Times New Roman"/>
          <w:lang w:eastAsia="lt-LT"/>
        </w:rPr>
        <w:t xml:space="preserve"> medžiagų vartojimo derinyje ar paeiliui.</w:t>
      </w:r>
    </w:p>
    <w:p w14:paraId="70F4592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D747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 infuzija susijusios reakcijos</w:t>
      </w:r>
    </w:p>
    <w:p w14:paraId="443A4C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Greitas smūginės dozės įvedimas (</w:t>
      </w:r>
      <w:proofErr w:type="spellStart"/>
      <w:r>
        <w:rPr>
          <w:rFonts w:ascii="Times New Roman" w:eastAsia="Times New Roman" w:hAnsi="Times New Roman" w:cs="Times New Roman"/>
          <w:lang w:eastAsia="lt-LT"/>
        </w:rPr>
        <w:t>t.y</w:t>
      </w:r>
      <w:proofErr w:type="spellEnd"/>
      <w:r>
        <w:rPr>
          <w:rFonts w:ascii="Times New Roman" w:eastAsia="Times New Roman" w:hAnsi="Times New Roman" w:cs="Times New Roman"/>
          <w:lang w:eastAsia="lt-LT"/>
        </w:rPr>
        <w:t xml:space="preserve">. ją atliekant per keletą minučių) gali būti susijęs su išreikšta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(įskaitant šoką ir, retais atvejais, širdies sustojimą), į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poveikį panašiu atsaku bei </w:t>
      </w:r>
      <w:proofErr w:type="spellStart"/>
      <w:r>
        <w:rPr>
          <w:rFonts w:ascii="Times New Roman" w:eastAsia="Times New Roman" w:hAnsi="Times New Roman" w:cs="Times New Roman"/>
          <w:lang w:eastAsia="lt-LT"/>
        </w:rPr>
        <w:t>makulopapuliniu</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eritematoziniu</w:t>
      </w:r>
      <w:proofErr w:type="spellEnd"/>
      <w:r>
        <w:rPr>
          <w:rFonts w:ascii="Times New Roman" w:eastAsia="Times New Roman" w:hAnsi="Times New Roman" w:cs="Times New Roman"/>
          <w:lang w:eastAsia="lt-LT"/>
        </w:rPr>
        <w:t xml:space="preserve"> išbėrimu („raudono žmogaus sindromas“ arba „raudono kaklo sindromas“). Siekiant išvengti su greita infuzija susijusių reakcijų,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reikia lėtai lašinti praskiesto tirpalo pavidalu (2,5</w:t>
      </w:r>
      <w:r>
        <w:rPr>
          <w:rFonts w:ascii="Times New Roman" w:eastAsia="Times New Roman" w:hAnsi="Times New Roman" w:cs="Times New Roman"/>
          <w:lang w:eastAsia="lt-LT"/>
        </w:rPr>
        <w:noBreakHyphen/>
        <w:t>5 mg/ml), ne greičiau kaip 10 mg/min ir ne trumpiau kaip 60 min. Infuziją sustabdžius, šios reakcijos įprastai išnyksta gretai.</w:t>
      </w:r>
    </w:p>
    <w:p w14:paraId="0B93D9B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13A6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 infuzija susijusių reakcijų (</w:t>
      </w:r>
      <w:proofErr w:type="spellStart"/>
      <w:r>
        <w:rPr>
          <w:rFonts w:ascii="Times New Roman" w:eastAsia="Times New Roman" w:hAnsi="Times New Roman" w:cs="Times New Roman"/>
          <w:lang w:eastAsia="lt-LT"/>
        </w:rPr>
        <w:t>hipotenzijos</w:t>
      </w:r>
      <w:proofErr w:type="spellEnd"/>
      <w:r>
        <w:rPr>
          <w:rFonts w:ascii="Times New Roman" w:eastAsia="Times New Roman" w:hAnsi="Times New Roman" w:cs="Times New Roman"/>
          <w:lang w:eastAsia="lt-LT"/>
        </w:rPr>
        <w:t xml:space="preserve">, paraudimų, </w:t>
      </w:r>
      <w:proofErr w:type="spellStart"/>
      <w:r>
        <w:rPr>
          <w:rFonts w:ascii="Times New Roman" w:eastAsia="Times New Roman" w:hAnsi="Times New Roman" w:cs="Times New Roman"/>
          <w:lang w:eastAsia="lt-LT"/>
        </w:rPr>
        <w:t>eritemos</w:t>
      </w:r>
      <w:proofErr w:type="spellEnd"/>
      <w:r>
        <w:rPr>
          <w:rFonts w:ascii="Times New Roman" w:eastAsia="Times New Roman" w:hAnsi="Times New Roman" w:cs="Times New Roman"/>
          <w:lang w:eastAsia="lt-LT"/>
        </w:rPr>
        <w:t xml:space="preserve">, dilgėlinės ir niežulio) dažnis didėja derinyje vartojant anestetikų (žr. 4.5 skyrių). Šią riziką galima sumažinti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infuzijos būdu skiriant bent 60 minučių prieš anestetiko vartojimą.</w:t>
      </w:r>
    </w:p>
    <w:p w14:paraId="06F5F3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8C0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Sunkios nepageidaujamos odos reakcijos (SNOR)</w:t>
      </w:r>
    </w:p>
    <w:p w14:paraId="2D40F9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Pranešta apie su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susijusias sunkias nepageidaujamas odos reakcijas (SNOR), įskaitant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ir Džonsono (</w:t>
      </w:r>
      <w:proofErr w:type="spellStart"/>
      <w:r>
        <w:rPr>
          <w:rFonts w:ascii="Times New Roman" w:eastAsia="Times New Roman" w:hAnsi="Times New Roman" w:cs="Times New Roman"/>
          <w:i/>
          <w:iCs/>
          <w:lang w:eastAsia="lt-LT"/>
        </w:rPr>
        <w:t>Stevens-Johnson</w:t>
      </w:r>
      <w:proofErr w:type="spellEnd"/>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w:t>
      </w:r>
      <w:proofErr w:type="spellStart"/>
      <w:r>
        <w:rPr>
          <w:rFonts w:ascii="Times New Roman" w:eastAsia="Times New Roman" w:hAnsi="Times New Roman" w:cs="Times New Roman"/>
          <w:lang w:eastAsia="lt-LT"/>
        </w:rPr>
        <w:t>nekrolizę</w:t>
      </w:r>
      <w:proofErr w:type="spellEnd"/>
      <w:r>
        <w:rPr>
          <w:rFonts w:ascii="Times New Roman" w:eastAsia="Times New Roman" w:hAnsi="Times New Roman" w:cs="Times New Roman"/>
          <w:lang w:eastAsia="lt-LT"/>
        </w:rPr>
        <w:t xml:space="preserve"> (TEN), reakciją į vaistinį preparatą su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sisteminiais simptomais (angl. </w:t>
      </w:r>
      <w:proofErr w:type="spellStart"/>
      <w:r>
        <w:rPr>
          <w:rFonts w:ascii="Times New Roman" w:eastAsia="Times New Roman" w:hAnsi="Times New Roman" w:cs="Times New Roman"/>
          <w:i/>
          <w:iCs/>
          <w:lang w:eastAsia="lt-LT"/>
        </w:rPr>
        <w:t>drug</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reaction</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with</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eosinophilia</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and</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systemic</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symptoms</w:t>
      </w:r>
      <w:proofErr w:type="spellEnd"/>
      <w:r>
        <w:rPr>
          <w:rFonts w:ascii="Times New Roman" w:eastAsia="Times New Roman" w:hAnsi="Times New Roman" w:cs="Times New Roman"/>
          <w:i/>
          <w:iCs/>
          <w:lang w:eastAsia="lt-LT"/>
        </w:rPr>
        <w:t>, DRESS</w:t>
      </w:r>
      <w:r>
        <w:rPr>
          <w:rFonts w:ascii="Times New Roman" w:eastAsia="Times New Roman" w:hAnsi="Times New Roman" w:cs="Times New Roman"/>
          <w:lang w:eastAsia="lt-LT"/>
        </w:rPr>
        <w:t xml:space="preserve">) ir ūminę išplitusią </w:t>
      </w:r>
      <w:proofErr w:type="spellStart"/>
      <w:r>
        <w:rPr>
          <w:rFonts w:ascii="Times New Roman" w:eastAsia="Times New Roman" w:hAnsi="Times New Roman" w:cs="Times New Roman"/>
          <w:lang w:eastAsia="lt-LT"/>
        </w:rPr>
        <w:t>egzanteminę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pustuliozę</w:t>
      </w:r>
      <w:proofErr w:type="spellEnd"/>
      <w:r>
        <w:rPr>
          <w:rFonts w:ascii="Times New Roman" w:eastAsia="Times New Roman" w:hAnsi="Times New Roman" w:cs="Times New Roman"/>
          <w:lang w:eastAsia="lt-LT"/>
        </w:rPr>
        <w:t xml:space="preserve"> (angl. </w:t>
      </w:r>
      <w:proofErr w:type="spellStart"/>
      <w:r>
        <w:rPr>
          <w:rFonts w:ascii="Times New Roman" w:eastAsia="Times New Roman" w:hAnsi="Times New Roman" w:cs="Times New Roman"/>
          <w:i/>
          <w:iCs/>
          <w:lang w:eastAsia="lt-LT"/>
        </w:rPr>
        <w:t>acute</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generalised</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exanthematous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pustulosis</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kurios gali būti pavojingos gyvybei arba mirtinos. </w:t>
      </w:r>
      <w:r>
        <w:rPr>
          <w:rFonts w:ascii="Times New Roman" w:eastAsia="Times New Roman" w:hAnsi="Times New Roman" w:cs="Times New Roman"/>
          <w:lang w:eastAsia="lt-LT"/>
        </w:rPr>
        <w:lastRenderedPageBreak/>
        <w:t xml:space="preserve">Dauguma tokių reakcijų atsirado per kelias dienas ir laikotarpiu iki aštuonių savaičių nuo 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pradžios.</w:t>
      </w:r>
    </w:p>
    <w:p w14:paraId="30A13F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0353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Vaistinio preparato paskyrimo metu pacientams būtina pateikti informaciją apie požymius ir simptomus bei nurodyti atidžiai stebėti, ar neatsiranda odos reakcijų. Jei atsiranda tokioms reakcijoms būdingų požymių ir simptomų, būtina nedelsiant nutraukti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vartojimą ir apsvarstyti alternatyvų gydymą. Jei pacientui vartojant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pasireiškia SNOR, 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atnaujinti nebegalima niekada.</w:t>
      </w:r>
    </w:p>
    <w:p w14:paraId="5B9FE3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DD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Vartojimo vietos reakcijos</w:t>
      </w:r>
    </w:p>
    <w:p w14:paraId="7D54312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Daugumai intraveniniu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gydomų pacientų atsiranda skausmas ir </w:t>
      </w:r>
      <w:proofErr w:type="spellStart"/>
      <w:r>
        <w:rPr>
          <w:rFonts w:ascii="Times New Roman" w:eastAsia="Times New Roman" w:hAnsi="Times New Roman" w:cs="Times New Roman"/>
          <w:lang w:eastAsia="lt-LT"/>
        </w:rPr>
        <w:t>tromboflebitas</w:t>
      </w:r>
      <w:proofErr w:type="spellEnd"/>
      <w:r>
        <w:rPr>
          <w:rFonts w:ascii="Times New Roman" w:eastAsia="Times New Roman" w:hAnsi="Times New Roman" w:cs="Times New Roman"/>
          <w:lang w:eastAsia="lt-LT"/>
        </w:rPr>
        <w:t xml:space="preserve">, kuris kartais būna sunkus. </w:t>
      </w:r>
      <w:proofErr w:type="spellStart"/>
      <w:r>
        <w:rPr>
          <w:rFonts w:ascii="Times New Roman" w:eastAsia="Times New Roman" w:hAnsi="Times New Roman" w:cs="Times New Roman"/>
          <w:lang w:eastAsia="lt-LT"/>
        </w:rPr>
        <w:t>Tromboflebito</w:t>
      </w:r>
      <w:proofErr w:type="spellEnd"/>
      <w:r>
        <w:rPr>
          <w:rFonts w:ascii="Times New Roman" w:eastAsia="Times New Roman" w:hAnsi="Times New Roman" w:cs="Times New Roman"/>
          <w:lang w:eastAsia="lt-LT"/>
        </w:rPr>
        <w:t xml:space="preserve"> dažnį ir sunkumą galima iki minimumo sumažinti vaistinį preparatą praskiesto tirpalo pavidalu (žr. 4.2 skyrių) lašinant į veną lėtai ir reguliariai keičiant infuzijos vietas. </w:t>
      </w:r>
    </w:p>
    <w:p w14:paraId="21EF20E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veiksmingumas ir saugumas nėra tirtas jį skiriant į </w:t>
      </w:r>
      <w:proofErr w:type="spellStart"/>
      <w:r>
        <w:rPr>
          <w:rFonts w:ascii="Times New Roman" w:eastAsia="Times New Roman" w:hAnsi="Times New Roman" w:cs="Times New Roman"/>
          <w:lang w:eastAsia="lt-LT"/>
        </w:rPr>
        <w:t>povoratinklinę</w:t>
      </w:r>
      <w:proofErr w:type="spellEnd"/>
      <w:r>
        <w:rPr>
          <w:rFonts w:ascii="Times New Roman" w:eastAsia="Times New Roman" w:hAnsi="Times New Roman" w:cs="Times New Roman"/>
          <w:lang w:eastAsia="lt-LT"/>
        </w:rPr>
        <w:t xml:space="preserve"> ertmę, į smegenų skystį (</w:t>
      </w:r>
      <w:proofErr w:type="spellStart"/>
      <w:r>
        <w:rPr>
          <w:rFonts w:ascii="Times New Roman" w:eastAsia="Times New Roman" w:hAnsi="Times New Roman" w:cs="Times New Roman"/>
          <w:lang w:eastAsia="lt-LT"/>
        </w:rPr>
        <w:t>intraspinaliniu</w:t>
      </w:r>
      <w:proofErr w:type="spellEnd"/>
      <w:r>
        <w:rPr>
          <w:rFonts w:ascii="Times New Roman" w:eastAsia="Times New Roman" w:hAnsi="Times New Roman" w:cs="Times New Roman"/>
          <w:lang w:eastAsia="lt-LT"/>
        </w:rPr>
        <w:t xml:space="preserve"> būdu) ir į smegenų skilvelius (</w:t>
      </w:r>
      <w:proofErr w:type="spellStart"/>
      <w:r>
        <w:rPr>
          <w:rFonts w:ascii="Times New Roman" w:eastAsia="Times New Roman" w:hAnsi="Times New Roman" w:cs="Times New Roman"/>
          <w:lang w:eastAsia="lt-LT"/>
        </w:rPr>
        <w:t>intraventrikuliniu</w:t>
      </w:r>
      <w:proofErr w:type="spellEnd"/>
      <w:r>
        <w:rPr>
          <w:rFonts w:ascii="Times New Roman" w:eastAsia="Times New Roman" w:hAnsi="Times New Roman" w:cs="Times New Roman"/>
          <w:lang w:eastAsia="lt-LT"/>
        </w:rPr>
        <w:t xml:space="preserve"> būdu).</w:t>
      </w:r>
    </w:p>
    <w:p w14:paraId="6DCF09E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BC9D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Nefrotoksinis</w:t>
      </w:r>
      <w:proofErr w:type="spellEnd"/>
      <w:r>
        <w:rPr>
          <w:rFonts w:ascii="Times New Roman" w:eastAsia="Times New Roman" w:hAnsi="Times New Roman" w:cs="Times New Roman"/>
          <w:u w:val="single"/>
          <w:lang w:eastAsia="lt-LT"/>
        </w:rPr>
        <w:t xml:space="preserve"> poveikis</w:t>
      </w:r>
    </w:p>
    <w:p w14:paraId="70E64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reikia atsargiai skirti pacientams, turintiems inkstų nepakankamumą, įskaitant </w:t>
      </w:r>
      <w:proofErr w:type="spellStart"/>
      <w:r>
        <w:rPr>
          <w:rFonts w:ascii="Times New Roman" w:eastAsia="Times New Roman" w:hAnsi="Times New Roman" w:cs="Times New Roman"/>
          <w:lang w:eastAsia="lt-LT"/>
        </w:rPr>
        <w:t>anuriją</w:t>
      </w:r>
      <w:proofErr w:type="spellEnd"/>
      <w:r>
        <w:rPr>
          <w:rFonts w:ascii="Times New Roman" w:eastAsia="Times New Roman" w:hAnsi="Times New Roman" w:cs="Times New Roman"/>
          <w:lang w:eastAsia="lt-LT"/>
        </w:rPr>
        <w:t xml:space="preserve">, kadangi ilgą laiką esant aukštai koncentracijai kraujyje, šie pacientai turi ženkliai didesnę toksinio poveikio riziką. Toksiškumo riziką didina aukšta koncentracija kraujyje ir ilgalaikis gydymas. </w:t>
      </w:r>
    </w:p>
    <w:p w14:paraId="4E2391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09E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didelių dozių ir ilgalaikį gydymą, ypač jei paciento inkstų funkcija sutrikusi, yra klausos sutrikimų ar derinyje vartojama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sukeliančių preparatų, turi būti reguliariai nustatoma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kraujyje (žr. 4.2 ir 4.5 skyrius).</w:t>
      </w:r>
    </w:p>
    <w:p w14:paraId="58217D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D36F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Akių sutrikimai</w:t>
      </w:r>
    </w:p>
    <w:p w14:paraId="25794C0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nėra patvirtintas leisti į akies kamerą ar vartoti į stiklakūnį, įskaitant vartojimą </w:t>
      </w:r>
      <w:proofErr w:type="spellStart"/>
      <w:r>
        <w:rPr>
          <w:rFonts w:ascii="Times New Roman" w:eastAsia="Times New Roman" w:hAnsi="Times New Roman" w:cs="Times New Roman"/>
          <w:lang w:eastAsia="lt-LT"/>
        </w:rPr>
        <w:t>endoftalmito</w:t>
      </w:r>
      <w:proofErr w:type="spellEnd"/>
      <w:r>
        <w:rPr>
          <w:rFonts w:ascii="Times New Roman" w:eastAsia="Times New Roman" w:hAnsi="Times New Roman" w:cs="Times New Roman"/>
          <w:lang w:eastAsia="lt-LT"/>
        </w:rPr>
        <w:t xml:space="preserve"> profilaktikai.</w:t>
      </w:r>
    </w:p>
    <w:p w14:paraId="3965C7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Atskirais atvejais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suleidimo į akies kamerą ar pavartojimo į stiklakūnį kataraktos operacijos metu ar po jos buvo stebėtas hemoraginis </w:t>
      </w:r>
      <w:proofErr w:type="spellStart"/>
      <w:r>
        <w:rPr>
          <w:rFonts w:ascii="Times New Roman" w:eastAsia="Times New Roman" w:hAnsi="Times New Roman" w:cs="Times New Roman"/>
          <w:lang w:eastAsia="lt-LT"/>
        </w:rPr>
        <w:t>okliuzinis</w:t>
      </w:r>
      <w:proofErr w:type="spellEnd"/>
      <w:r>
        <w:rPr>
          <w:rFonts w:ascii="Times New Roman" w:eastAsia="Times New Roman" w:hAnsi="Times New Roman" w:cs="Times New Roman"/>
          <w:lang w:eastAsia="lt-LT"/>
        </w:rPr>
        <w:t xml:space="preserve"> tinklainės </w:t>
      </w:r>
      <w:proofErr w:type="spellStart"/>
      <w:r>
        <w:rPr>
          <w:rFonts w:ascii="Times New Roman" w:eastAsia="Times New Roman" w:hAnsi="Times New Roman" w:cs="Times New Roman"/>
          <w:lang w:eastAsia="lt-LT"/>
        </w:rPr>
        <w:t>vaskulitas</w:t>
      </w:r>
      <w:proofErr w:type="spellEnd"/>
      <w:r>
        <w:rPr>
          <w:rFonts w:ascii="Times New Roman" w:eastAsia="Times New Roman" w:hAnsi="Times New Roman" w:cs="Times New Roman"/>
          <w:lang w:eastAsia="lt-LT"/>
        </w:rPr>
        <w:t xml:space="preserve"> (HOTV), įskaitant sukėlusį negrįžtamą apakimą.</w:t>
      </w:r>
    </w:p>
    <w:p w14:paraId="10927E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0F2F2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64911C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Dabartinės intraveniniu būdų skiriamo vaistinio preparato dozavimo rekomendacijos vaikų populiacijoje, daugumai vaikų gali sąlygoti </w:t>
      </w:r>
      <w:proofErr w:type="spellStart"/>
      <w:r>
        <w:rPr>
          <w:rFonts w:ascii="Times New Roman" w:eastAsia="Times New Roman" w:hAnsi="Times New Roman" w:cs="Times New Roman"/>
          <w:lang w:eastAsia="lt-LT"/>
        </w:rPr>
        <w:t>subterapinę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ypatingai jaunesniems kaip 12 metų amžiaus vaikams. Tačiau didesnių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dozių saugumas nėra pakankamai ištirtas ir didesnės nei 60 mg/kg/parą dozės paprastai nerekomenduojamos.</w:t>
      </w:r>
    </w:p>
    <w:p w14:paraId="2E02F8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F93F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turi būti ypač atsargiai skiriama vartoti neišnešiotiems naujagimiams ir kūdikiams, nes jų inkstai yra nesubrendę ir gali padidėti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Dėl to, tokių vaikų populiacijoje reikia atidžiai stebėti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derinyje su anestetikais vaikams buvo susijęs su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paraudimu, panašiu į sukeliamą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Panašiai,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derinyje su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sukeliančiais vaistiniais preparatais, tokiais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grupės antibiotikai,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skiriamas atviro arterinio latako uždarymui) ar </w:t>
      </w:r>
      <w:proofErr w:type="spellStart"/>
      <w:r>
        <w:rPr>
          <w:rFonts w:ascii="Times New Roman" w:eastAsia="Times New Roman" w:hAnsi="Times New Roman" w:cs="Times New Roman"/>
          <w:lang w:eastAsia="lt-LT"/>
        </w:rPr>
        <w:t>amfotericinu</w:t>
      </w:r>
      <w:proofErr w:type="spellEnd"/>
      <w:r>
        <w:rPr>
          <w:rFonts w:ascii="Times New Roman" w:eastAsia="Times New Roman" w:hAnsi="Times New Roman" w:cs="Times New Roman"/>
          <w:lang w:eastAsia="lt-LT"/>
        </w:rPr>
        <w:t xml:space="preserve"> B, yra siejamas su padidėjusia </w:t>
      </w:r>
      <w:proofErr w:type="spellStart"/>
      <w:r>
        <w:rPr>
          <w:rFonts w:ascii="Times New Roman" w:eastAsia="Times New Roman" w:hAnsi="Times New Roman" w:cs="Times New Roman"/>
          <w:lang w:eastAsia="lt-LT"/>
        </w:rPr>
        <w:t>nefrotoksinio</w:t>
      </w:r>
      <w:proofErr w:type="spellEnd"/>
      <w:r>
        <w:rPr>
          <w:rFonts w:ascii="Times New Roman" w:eastAsia="Times New Roman" w:hAnsi="Times New Roman" w:cs="Times New Roman"/>
          <w:lang w:eastAsia="lt-LT"/>
        </w:rPr>
        <w:t xml:space="preserve"> poveikio rizika (žr. 4.5 skyrių), todėl šiomis sąlygomis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kraujo serume nustatymas ir inkstų funkcijos tyrimai turi būti atliekami dažniau.</w:t>
      </w:r>
    </w:p>
    <w:p w14:paraId="6F0AE1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8069B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Senyviems pacientams</w:t>
      </w:r>
    </w:p>
    <w:p w14:paraId="4C6355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dozė nėra koreguojama, su amžiumi susijęs natūralus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sumažėjimas gali sąlygoti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kraujo serume padidėjimą (žr. 4.2 skyrių).</w:t>
      </w:r>
    </w:p>
    <w:p w14:paraId="19D35A0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3097A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anestetikais</w:t>
      </w:r>
    </w:p>
    <w:p w14:paraId="4F37B4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sustiprinti anestetikų sukeltą miokardo slopinimą. Anestezijos metu vaistinio preparato dozes reikia labai praskiesti ir jas lašinti lėtai, atidžiai stebint širdies veiklą. Pozicijos </w:t>
      </w:r>
      <w:r>
        <w:rPr>
          <w:rFonts w:ascii="Times New Roman" w:eastAsia="Times New Roman" w:hAnsi="Times New Roman" w:cs="Times New Roman"/>
          <w:lang w:eastAsia="lt-LT"/>
        </w:rPr>
        <w:lastRenderedPageBreak/>
        <w:t xml:space="preserve">negalima keisti tol, kol nebaigiama infuzija, kad keičiant paciento padėtį būtų galima koreguoti </w:t>
      </w:r>
      <w:proofErr w:type="spellStart"/>
      <w:r>
        <w:rPr>
          <w:rFonts w:ascii="Times New Roman" w:eastAsia="Times New Roman" w:hAnsi="Times New Roman" w:cs="Times New Roman"/>
          <w:lang w:eastAsia="lt-LT"/>
        </w:rPr>
        <w:t>ortostatinę</w:t>
      </w:r>
      <w:proofErr w:type="spellEnd"/>
      <w:r>
        <w:rPr>
          <w:rFonts w:ascii="Times New Roman" w:eastAsia="Times New Roman" w:hAnsi="Times New Roman" w:cs="Times New Roman"/>
          <w:lang w:eastAsia="lt-LT"/>
        </w:rPr>
        <w:t xml:space="preserve"> reakciją (žr. 4.5 skyrių).</w:t>
      </w:r>
    </w:p>
    <w:p w14:paraId="270E6E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AE6ED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Pseudomembraninis</w:t>
      </w:r>
      <w:proofErr w:type="spellEnd"/>
      <w:r>
        <w:rPr>
          <w:rFonts w:ascii="Times New Roman" w:eastAsia="Times New Roman" w:hAnsi="Times New Roman" w:cs="Times New Roman"/>
          <w:u w:val="single"/>
          <w:lang w:eastAsia="lt-LT"/>
        </w:rPr>
        <w:t xml:space="preserve"> </w:t>
      </w:r>
      <w:proofErr w:type="spellStart"/>
      <w:r>
        <w:rPr>
          <w:rFonts w:ascii="Times New Roman" w:eastAsia="Times New Roman" w:hAnsi="Times New Roman" w:cs="Times New Roman"/>
          <w:u w:val="single"/>
          <w:lang w:eastAsia="lt-LT"/>
        </w:rPr>
        <w:t>enterokolitas</w:t>
      </w:r>
      <w:proofErr w:type="spellEnd"/>
    </w:p>
    <w:p w14:paraId="11DEE6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Pasireiškus sunkiam, užsitęsusiam viduriavimui, reikia apsvarstyti </w:t>
      </w:r>
      <w:proofErr w:type="spellStart"/>
      <w:r>
        <w:rPr>
          <w:rFonts w:ascii="Times New Roman" w:eastAsia="Times New Roman" w:hAnsi="Times New Roman" w:cs="Times New Roman"/>
          <w:lang w:eastAsia="lt-LT"/>
        </w:rPr>
        <w:t>pseudomembraninio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enterokolito</w:t>
      </w:r>
      <w:proofErr w:type="spellEnd"/>
      <w:r>
        <w:rPr>
          <w:rFonts w:ascii="Times New Roman" w:eastAsia="Times New Roman" w:hAnsi="Times New Roman" w:cs="Times New Roman"/>
          <w:lang w:eastAsia="lt-LT"/>
        </w:rPr>
        <w:t>, kuris gali būti pavojingas gyvybei, galimybę (žr. 4.8 skyrių). Vaistinių preparatų nuo viduriavimo skirti negalima.</w:t>
      </w:r>
    </w:p>
    <w:p w14:paraId="2F3E9A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B3D88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Superinfekcija</w:t>
      </w:r>
      <w:proofErr w:type="spellEnd"/>
    </w:p>
    <w:p w14:paraId="018622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vartojama ilgai, gali labai pagausėti nejautrių patogenų. Būtina atidžiai stebėti paciento būklę. Jei gydymo metu pasireiškia </w:t>
      </w:r>
      <w:proofErr w:type="spellStart"/>
      <w:r>
        <w:rPr>
          <w:rFonts w:ascii="Times New Roman" w:eastAsia="Times New Roman" w:hAnsi="Times New Roman" w:cs="Times New Roman"/>
          <w:lang w:eastAsia="lt-LT"/>
        </w:rPr>
        <w:t>superinfekcija</w:t>
      </w:r>
      <w:proofErr w:type="spellEnd"/>
      <w:r>
        <w:rPr>
          <w:rFonts w:ascii="Times New Roman" w:eastAsia="Times New Roman" w:hAnsi="Times New Roman" w:cs="Times New Roman"/>
          <w:lang w:eastAsia="lt-LT"/>
        </w:rPr>
        <w:t>, reikia imtis atitinkamų priemonių.</w:t>
      </w:r>
    </w:p>
    <w:p w14:paraId="11F142E7"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FA04F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u w:val="single"/>
          <w:lang w:eastAsia="lt-LT"/>
        </w:rPr>
        <w:t>Vartojimas per burną</w:t>
      </w:r>
    </w:p>
    <w:p w14:paraId="7408F86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172E3A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leidžiamas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nėra veiksmingas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infekcijai gydyti. Šiai indikacijai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vartojamas per burną.</w:t>
      </w:r>
    </w:p>
    <w:p w14:paraId="639634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79BB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Jaunesniems kaip 1 metų vaikams tirti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kolonizaciją ar toksiną nerekomenduojama, kadangi dažnai pasireiškia </w:t>
      </w:r>
      <w:proofErr w:type="spellStart"/>
      <w:r>
        <w:rPr>
          <w:rFonts w:ascii="Times New Roman" w:eastAsia="Times New Roman" w:hAnsi="Times New Roman" w:cs="Times New Roman"/>
          <w:lang w:eastAsia="lt-LT"/>
        </w:rPr>
        <w:t>besimptomė</w:t>
      </w:r>
      <w:proofErr w:type="spellEnd"/>
      <w:r>
        <w:rPr>
          <w:rFonts w:ascii="Times New Roman" w:eastAsia="Times New Roman" w:hAnsi="Times New Roman" w:cs="Times New Roman"/>
          <w:lang w:eastAsia="lt-LT"/>
        </w:rPr>
        <w:t xml:space="preserve"> kolonizacija, nebent sunkus viduriavimas pasireiškia kūdikiui, kuriam yra stazės rizikos veiksnių, pvz., </w:t>
      </w:r>
      <w:proofErr w:type="spellStart"/>
      <w:r>
        <w:rPr>
          <w:rFonts w:ascii="Times New Roman" w:eastAsia="Times New Roman" w:hAnsi="Times New Roman" w:cs="Times New Roman"/>
          <w:lang w:eastAsia="lt-LT"/>
        </w:rPr>
        <w:t>Hiršprungo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iCs/>
          <w:lang w:eastAsia="lt-LT"/>
        </w:rPr>
        <w:t>Hirschsprung</w:t>
      </w:r>
      <w:proofErr w:type="spellEnd"/>
      <w:r>
        <w:rPr>
          <w:rFonts w:ascii="Times New Roman" w:eastAsia="Times New Roman" w:hAnsi="Times New Roman" w:cs="Times New Roman"/>
          <w:lang w:eastAsia="lt-LT"/>
        </w:rPr>
        <w:t xml:space="preserve">) liga, operuota išangės </w:t>
      </w:r>
      <w:proofErr w:type="spellStart"/>
      <w:r>
        <w:rPr>
          <w:rFonts w:ascii="Times New Roman" w:eastAsia="Times New Roman" w:hAnsi="Times New Roman" w:cs="Times New Roman"/>
          <w:lang w:eastAsia="lt-LT"/>
        </w:rPr>
        <w:t>atrezija</w:t>
      </w:r>
      <w:proofErr w:type="spellEnd"/>
      <w:r>
        <w:rPr>
          <w:rFonts w:ascii="Times New Roman" w:eastAsia="Times New Roman" w:hAnsi="Times New Roman" w:cs="Times New Roman"/>
          <w:lang w:eastAsia="lt-LT"/>
        </w:rPr>
        <w:t xml:space="preserve"> ar kitoks sunkus motorikos sutrikimas. Reikia visada ištirti kitas galimas sutrikimo priežastis ir įrodyti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enterokolitą</w:t>
      </w:r>
      <w:proofErr w:type="spellEnd"/>
      <w:r>
        <w:rPr>
          <w:rFonts w:ascii="Times New Roman" w:eastAsia="Times New Roman" w:hAnsi="Times New Roman" w:cs="Times New Roman"/>
          <w:lang w:eastAsia="lt-LT"/>
        </w:rPr>
        <w:t>.</w:t>
      </w:r>
    </w:p>
    <w:p w14:paraId="1D1CB3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130D6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Galima sisteminė absorbcija</w:t>
      </w:r>
    </w:p>
    <w:p w14:paraId="79AF7E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Absorbcija gali sustiprėti pacientams, sergantiems uždegimine žarnyno gleivinės liga arba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sukeltu </w:t>
      </w:r>
      <w:proofErr w:type="spellStart"/>
      <w:r>
        <w:rPr>
          <w:rFonts w:ascii="Times New Roman" w:eastAsia="Times New Roman" w:hAnsi="Times New Roman" w:cs="Times New Roman"/>
          <w:lang w:eastAsia="lt-LT"/>
        </w:rPr>
        <w:t>pseudomembraniniu</w:t>
      </w:r>
      <w:proofErr w:type="spellEnd"/>
      <w:r>
        <w:rPr>
          <w:rFonts w:ascii="Times New Roman" w:eastAsia="Times New Roman" w:hAnsi="Times New Roman" w:cs="Times New Roman"/>
          <w:lang w:eastAsia="lt-LT"/>
        </w:rPr>
        <w:t xml:space="preserve"> kolitu. Tokiems pacientams gali būti nepageidaujamų reakcijų pasireiškimo rizika, ypač jei derinyje yra inkstų funkcijos sutrikimas. Kuo labiau yra sutrikusi inkstų funkcija, tuo yra didesnė su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susijusių nepageidaujamų reakcijų pasireiškimo rizika. Pacientams, kuriems yra uždegiminių žarnyno sutrikimų, turi būti nustatomos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kraujo serume.</w:t>
      </w:r>
    </w:p>
    <w:p w14:paraId="5C901B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7F4D4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Nefrotoksinis</w:t>
      </w:r>
      <w:proofErr w:type="spellEnd"/>
      <w:r>
        <w:rPr>
          <w:rFonts w:ascii="Times New Roman" w:eastAsia="Times New Roman" w:hAnsi="Times New Roman" w:cs="Times New Roman"/>
          <w:u w:val="single"/>
          <w:lang w:eastAsia="lt-LT"/>
        </w:rPr>
        <w:t xml:space="preserve"> poveikis</w:t>
      </w:r>
    </w:p>
    <w:p w14:paraId="71C4FD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Reikia kartotinai tirti inkstų funkciją gydant pacientus, kuriems yra inkstų funkcijos sutrikimas, arba pacientus, kurie derinyje yra gydomi </w:t>
      </w:r>
      <w:proofErr w:type="spellStart"/>
      <w:r>
        <w:rPr>
          <w:rFonts w:ascii="Times New Roman" w:eastAsia="Times New Roman" w:hAnsi="Times New Roman" w:cs="Times New Roman"/>
          <w:lang w:eastAsia="lt-LT"/>
        </w:rPr>
        <w:t>aminoglikozidais</w:t>
      </w:r>
      <w:proofErr w:type="spellEnd"/>
      <w:r>
        <w:rPr>
          <w:rFonts w:ascii="Times New Roman" w:eastAsia="Times New Roman" w:hAnsi="Times New Roman" w:cs="Times New Roman"/>
          <w:lang w:eastAsia="lt-LT"/>
        </w:rPr>
        <w:t xml:space="preserve"> ar kitais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sukeliančiais vaistiniais preparatais.</w:t>
      </w:r>
    </w:p>
    <w:p w14:paraId="2D2FAE6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41C5E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Ototoksinis</w:t>
      </w:r>
      <w:proofErr w:type="spellEnd"/>
      <w:r>
        <w:rPr>
          <w:rFonts w:ascii="Times New Roman" w:eastAsia="Times New Roman" w:hAnsi="Times New Roman" w:cs="Times New Roman"/>
          <w:u w:val="single"/>
          <w:lang w:eastAsia="lt-LT"/>
        </w:rPr>
        <w:t xml:space="preserve"> poveikis</w:t>
      </w:r>
    </w:p>
    <w:p w14:paraId="0B5158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Kartotiniai klausos funkcijos tyrimai gali padėti sumažinti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riziką pacientams, kuriems yra susilpnėjusi klausa arba kurie derinyje vartoja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sukeliančių vaistinių preparatų, pvz.,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w:t>
      </w:r>
    </w:p>
    <w:p w14:paraId="4AC0DC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CC323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motoriką slopinančiais vaistiniais preparatais ir protonų siurblio inhibitoriais</w:t>
      </w:r>
    </w:p>
    <w:p w14:paraId="2BB06A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Motoriką slopinančių vaistinių preparatų vartoti nerekomenduojama, o gydymo protonų siurblio inhibitoriais būtinybę reikia įvertinti iš naujo.</w:t>
      </w:r>
    </w:p>
    <w:p w14:paraId="29F9A6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78179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Vaistiniams preparatams atsparių bakterijų atsiradimas</w:t>
      </w:r>
    </w:p>
    <w:p w14:paraId="3F2CD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per burną didina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atsparių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kolonijų atsiradimo virškinimo trakte riziką. Dėl to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vartoti per burną reikia pagrįstai (tik tais atvejais, kai būtina).</w:t>
      </w:r>
    </w:p>
    <w:p w14:paraId="3669B5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5597B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4.5</w:t>
      </w:r>
      <w:r>
        <w:rPr>
          <w:rFonts w:ascii="Times New Roman" w:eastAsia="Times New Roman" w:hAnsi="Times New Roman" w:cs="Times New Roman"/>
          <w:b/>
          <w:lang w:eastAsia="lt-LT"/>
        </w:rPr>
        <w:tab/>
        <w:t>Sąveika su kitais vaistiniais preparatais ir kitokia sąveika</w:t>
      </w:r>
    </w:p>
    <w:p w14:paraId="3EAAF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3AA2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vartojant derinyje su anestetikais pasireiškė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paraudimas su karščio pojūčiu, panašiu į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sukeliamą, bei </w:t>
      </w:r>
      <w:proofErr w:type="spellStart"/>
      <w:r>
        <w:rPr>
          <w:rFonts w:ascii="Times New Roman" w:eastAsia="Times New Roman" w:hAnsi="Times New Roman" w:cs="Times New Roman"/>
          <w:lang w:eastAsia="lt-LT"/>
        </w:rPr>
        <w:t>anafilaktoidinės</w:t>
      </w:r>
      <w:proofErr w:type="spellEnd"/>
      <w:r>
        <w:rPr>
          <w:rFonts w:ascii="Times New Roman" w:eastAsia="Times New Roman" w:hAnsi="Times New Roman" w:cs="Times New Roman"/>
          <w:lang w:eastAsia="lt-LT"/>
        </w:rPr>
        <w:t xml:space="preserve"> reakcijos (žr. 4.4 skyrių).</w:t>
      </w:r>
    </w:p>
    <w:p w14:paraId="248AD4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06BB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pranešimų, kad su infuzija susijusių reiškinių dažnis didėja, jei derinyje vartojami anestetikai.</w:t>
      </w:r>
    </w:p>
    <w:p w14:paraId="065F22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Nuo infuzijos priklausomus reiškinius galima labai sumažinti, jei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lašinama 60 min. prieš anestetikų vartojimą. Vartojant anestezijos metu, dozę reikia skiesti iki 5 mg/ml ar mažiau ir lėtai leisti atidžiai stebint širdies būklę. Kūno padėties į vertikalią reikia nekeisti tol, kol nebus užbaigta infuzija, tik ją pabaigus kūno padėtį būtų galima keisti į vertikalią.</w:t>
      </w:r>
    </w:p>
    <w:p w14:paraId="0AB3CF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3787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derinyje arba paeiliui vartojama sisteminio arba lokalaus poveikio vaistinių preparatų, galinčių sukelti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pvz., </w:t>
      </w:r>
      <w:proofErr w:type="spellStart"/>
      <w:r>
        <w:rPr>
          <w:rFonts w:ascii="Times New Roman" w:eastAsia="Times New Roman" w:hAnsi="Times New Roman" w:cs="Times New Roman"/>
          <w:lang w:eastAsia="lt-LT"/>
        </w:rPr>
        <w:t>amfotericino</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polimiksino</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piperacilino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tazobaktamo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kolistino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viomicino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cisplatinos</w:t>
      </w:r>
      <w:proofErr w:type="spellEnd"/>
      <w:r>
        <w:rPr>
          <w:rFonts w:ascii="Times New Roman" w:eastAsia="Times New Roman" w:hAnsi="Times New Roman" w:cs="Times New Roman"/>
          <w:lang w:eastAsia="lt-LT"/>
        </w:rPr>
        <w:t xml:space="preserve">, kilpinių diuretikų ar nesteroidinių vaistinių preparatų nuo uždegimo (NVNU), gali sustiprėti toksinis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poveikis; jei toks kombinuotasis gydymas yra būtinas, reikia imtis atsargumo priemonių ir pacientus tinkamai stebėti (žr. 4.4 skyrių).</w:t>
      </w:r>
    </w:p>
    <w:p w14:paraId="004A6A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F5A1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Vartojimas per burną:</w:t>
      </w:r>
      <w:r>
        <w:rPr>
          <w:rFonts w:ascii="Times New Roman" w:eastAsia="Times New Roman" w:hAnsi="Times New Roman" w:cs="Times New Roman"/>
          <w:lang w:eastAsia="lt-LT"/>
        </w:rPr>
        <w:t xml:space="preserve"> reikia apsvarstyti protonų siurblio inhibitorių ir motoriką slopinančių vaistinių preparatų vartojimo nutraukimą, atsižvelgiant į vietines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infekcijos gydymo gaires.</w:t>
      </w:r>
    </w:p>
    <w:p w14:paraId="073ADE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66367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4.6</w:t>
      </w:r>
      <w:r>
        <w:rPr>
          <w:rFonts w:ascii="Times New Roman" w:eastAsia="Times New Roman" w:hAnsi="Times New Roman" w:cs="Times New Roman"/>
          <w:b/>
          <w:lang w:eastAsia="lt-LT"/>
        </w:rPr>
        <w:tab/>
        <w:t>Vaisingumas, nėštumo ir žindymo laikotarpis</w:t>
      </w:r>
    </w:p>
    <w:p w14:paraId="04459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3781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Nėštumas</w:t>
      </w:r>
    </w:p>
    <w:p w14:paraId="4EE31A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Teratogeninio</w:t>
      </w:r>
      <w:proofErr w:type="spellEnd"/>
      <w:r>
        <w:rPr>
          <w:rFonts w:ascii="Times New Roman" w:eastAsia="Times New Roman" w:hAnsi="Times New Roman" w:cs="Times New Roman"/>
          <w:lang w:eastAsia="lt-LT"/>
        </w:rPr>
        <w:t xml:space="preserve"> poveikio tyrimai buvo atlikti su žiurkėmis (vartota dozė 5 kartus viršijo žmonėms skiriamą dozę) ir triušiais (vartota dozė 3 kartus viršijo žmonėms skiriamą dozę), duomenų apie žalingą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poveikį vaisiui negauta. Kontroliuoto klinikinio tyrimo metu galimas </w:t>
      </w:r>
      <w:proofErr w:type="spellStart"/>
      <w:r>
        <w:rPr>
          <w:rFonts w:ascii="Times New Roman" w:eastAsia="Times New Roman" w:hAnsi="Times New Roman" w:cs="Times New Roman"/>
          <w:lang w:eastAsia="lt-LT"/>
        </w:rPr>
        <w:t>ototoksinis</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nefrotoksinis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hiodrochlorido</w:t>
      </w:r>
      <w:proofErr w:type="spellEnd"/>
      <w:r>
        <w:rPr>
          <w:rFonts w:ascii="Times New Roman" w:eastAsia="Times New Roman" w:hAnsi="Times New Roman" w:cs="Times New Roman"/>
          <w:lang w:eastAsia="lt-LT"/>
        </w:rPr>
        <w:t xml:space="preserve"> poveikis kūdikiui vertintas vaistinio preparato skiriant nėščioms moterims, kurioms sunki stafilokokinė infekcija pasireiškė kaip piktnaudžiavimo intraveniniais narkotikais komplikacija.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nustatyta virkštelės kraujyje. Su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susijusių </w:t>
      </w:r>
      <w:proofErr w:type="spellStart"/>
      <w:r>
        <w:rPr>
          <w:rFonts w:ascii="Times New Roman" w:eastAsia="Times New Roman" w:hAnsi="Times New Roman" w:cs="Times New Roman"/>
          <w:lang w:eastAsia="lt-LT"/>
        </w:rPr>
        <w:t>sensorineuralinio</w:t>
      </w:r>
      <w:proofErr w:type="spellEnd"/>
      <w:r>
        <w:rPr>
          <w:rFonts w:ascii="Times New Roman" w:eastAsia="Times New Roman" w:hAnsi="Times New Roman" w:cs="Times New Roman"/>
          <w:lang w:eastAsia="lt-LT"/>
        </w:rPr>
        <w:t xml:space="preserve"> prikurtimo ar </w:t>
      </w:r>
      <w:proofErr w:type="spellStart"/>
      <w:r>
        <w:rPr>
          <w:rFonts w:ascii="Times New Roman" w:eastAsia="Times New Roman" w:hAnsi="Times New Roman" w:cs="Times New Roman"/>
          <w:lang w:eastAsia="lt-LT"/>
        </w:rPr>
        <w:t>nefrotoksinio</w:t>
      </w:r>
      <w:proofErr w:type="spellEnd"/>
      <w:r>
        <w:rPr>
          <w:rFonts w:ascii="Times New Roman" w:eastAsia="Times New Roman" w:hAnsi="Times New Roman" w:cs="Times New Roman"/>
          <w:lang w:eastAsia="lt-LT"/>
        </w:rPr>
        <w:t xml:space="preserve"> poveikio nenustatyta. Vienam kūdikiui, kurio motina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vartojo trečiuoju trimestru, pasireiškė kondukcinis prikurtimas, kuris nelaikytas susijusiu su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buvo vartojama tik antruoju ir trečiuoju nėštumo trimestrais, nėra žinoma, ar jis sukelia žalingą poveikį vaisiui.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nėščioms moterims galima skirti tik jei neabejotinai būtina ir tokiu atveju reikia atidžiai stebėti koncentraciją kraujyje, siekiant sumažinti toksinio poveikio vaisiui riziką. Vis dėlto pranešta, kad nėščioms moterims gali prireikti reikšmingai didesnių dozių terapinei koncentracijai kraujo serume pasiekti.</w:t>
      </w:r>
    </w:p>
    <w:p w14:paraId="797D261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2A84D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Žindymas</w:t>
      </w:r>
    </w:p>
    <w:p w14:paraId="6737E3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išsiskiria į motinos pieną. Žindančiai moteriai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reikia skirti atsargiai. Nėra tikėtina, kad žindomo kūdikio virškinimo trakte bus absorbuojamas reikšmingas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kiekis.</w:t>
      </w:r>
    </w:p>
    <w:p w14:paraId="662867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223E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Vaisingumas</w:t>
      </w:r>
    </w:p>
    <w:p w14:paraId="37BAC1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Duomenų apie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poveikį gyvūnų vislumui nėra.</w:t>
      </w:r>
    </w:p>
    <w:p w14:paraId="129EBB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8BC9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4.7</w:t>
      </w:r>
      <w:r>
        <w:rPr>
          <w:rFonts w:ascii="Times New Roman" w:eastAsia="Times New Roman" w:hAnsi="Times New Roman" w:cs="Times New Roman"/>
          <w:b/>
          <w:lang w:eastAsia="lt-LT"/>
        </w:rPr>
        <w:tab/>
        <w:t>Poveikis gebėjimui vairuoti ir valdyti mechanizmus</w:t>
      </w:r>
    </w:p>
    <w:p w14:paraId="03AF06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88C4B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gebėjimo vairuoti ir valdyti mechanizmus neveikia arba veikia nereikšmingai. </w:t>
      </w:r>
    </w:p>
    <w:p w14:paraId="55EF9B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41C94F2" w14:textId="77777777" w:rsidR="001764C6" w:rsidRDefault="001764C6" w:rsidP="001764C6">
      <w:pPr>
        <w:numPr>
          <w:ilvl w:val="1"/>
          <w:numId w:val="4"/>
        </w:numPr>
        <w:tabs>
          <w:tab w:val="left" w:pos="567"/>
          <w:tab w:val="num"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Nepageidaujamas poveikis</w:t>
      </w:r>
    </w:p>
    <w:p w14:paraId="378AE3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64597C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Saugumo duomenų santrauka</w:t>
      </w:r>
    </w:p>
    <w:p w14:paraId="16DDCD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Dažniausios nepageidaujamos reakcijos yra flebitas, </w:t>
      </w:r>
      <w:proofErr w:type="spellStart"/>
      <w:r>
        <w:rPr>
          <w:rFonts w:ascii="Times New Roman" w:eastAsia="Times New Roman" w:hAnsi="Times New Roman" w:cs="Times New Roman"/>
          <w:lang w:eastAsia="lt-LT"/>
        </w:rPr>
        <w:t>pseudoalerginės</w:t>
      </w:r>
      <w:proofErr w:type="spellEnd"/>
      <w:r>
        <w:rPr>
          <w:rFonts w:ascii="Times New Roman" w:eastAsia="Times New Roman" w:hAnsi="Times New Roman" w:cs="Times New Roman"/>
          <w:lang w:eastAsia="lt-LT"/>
        </w:rPr>
        <w:t xml:space="preserve"> reakcijos ir viršutinės kūno dalies paraudimas („raudono kaklo“ sindromas), susijusios su per greita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infuzija į veną.</w:t>
      </w:r>
    </w:p>
    <w:p w14:paraId="5630A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9E9DC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Parenterinės</w:t>
      </w:r>
      <w:proofErr w:type="spellEnd"/>
      <w:r>
        <w:rPr>
          <w:rFonts w:ascii="Times New Roman" w:eastAsia="Times New Roman" w:hAnsi="Times New Roman" w:cs="Times New Roman"/>
          <w:i/>
          <w:iCs/>
          <w:lang w:eastAsia="lt-LT"/>
        </w:rPr>
        <w:t xml:space="preserve"> formos, skirtos vartoti per burną</w:t>
      </w:r>
      <w:r>
        <w:rPr>
          <w:rFonts w:ascii="Times New Roman" w:eastAsia="Times New Roman" w:hAnsi="Times New Roman" w:cs="Times New Roman"/>
          <w:lang w:eastAsia="lt-LT"/>
        </w:rPr>
        <w:t xml:space="preserve">. </w:t>
      </w:r>
    </w:p>
    <w:p w14:paraId="3A16B3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yra sunkus žarnyno gleivinės uždegimas, ypač jei taip pat yra inkstų nepakankamumas, gali pasireikšti nepageidaujamų reakcijų, atsirandančių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vartojant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w:t>
      </w:r>
    </w:p>
    <w:p w14:paraId="13F227A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BE7CA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Pranešta apie su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susijusias sunkias odos nepageidaujamas reakcijas (SNOR), įskaitant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w:t>
      </w:r>
      <w:proofErr w:type="spellStart"/>
      <w:r>
        <w:rPr>
          <w:rFonts w:ascii="Times New Roman" w:eastAsia="Times New Roman" w:hAnsi="Times New Roman" w:cs="Times New Roman"/>
          <w:i/>
          <w:iCs/>
          <w:lang w:eastAsia="lt-LT"/>
        </w:rPr>
        <w:t>Stevens-Johnson</w:t>
      </w:r>
      <w:proofErr w:type="spellEnd"/>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w:t>
      </w:r>
      <w:proofErr w:type="spellStart"/>
      <w:r>
        <w:rPr>
          <w:rFonts w:ascii="Times New Roman" w:eastAsia="Times New Roman" w:hAnsi="Times New Roman" w:cs="Times New Roman"/>
          <w:lang w:eastAsia="lt-LT"/>
        </w:rPr>
        <w:t>nekrolizę</w:t>
      </w:r>
      <w:proofErr w:type="spellEnd"/>
      <w:r>
        <w:rPr>
          <w:rFonts w:ascii="Times New Roman" w:eastAsia="Times New Roman" w:hAnsi="Times New Roman" w:cs="Times New Roman"/>
          <w:lang w:eastAsia="lt-LT"/>
        </w:rPr>
        <w:t xml:space="preserve"> (TEN), reakciją į vaistinį preparatą su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sisteminiais simptomais (angl. </w:t>
      </w:r>
      <w:proofErr w:type="spellStart"/>
      <w:r>
        <w:rPr>
          <w:rFonts w:ascii="Times New Roman" w:eastAsia="Times New Roman" w:hAnsi="Times New Roman" w:cs="Times New Roman"/>
          <w:i/>
          <w:iCs/>
          <w:lang w:eastAsia="lt-LT"/>
        </w:rPr>
        <w:t>drug</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reaction</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with</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eosinophilia</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and</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systemic</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symptoms</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w:t>
      </w:r>
      <w:proofErr w:type="spellStart"/>
      <w:r>
        <w:rPr>
          <w:rFonts w:ascii="Times New Roman" w:eastAsia="Times New Roman" w:hAnsi="Times New Roman" w:cs="Times New Roman"/>
          <w:lang w:eastAsia="lt-LT"/>
        </w:rPr>
        <w:t>egzanteminę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pustuliozę</w:t>
      </w:r>
      <w:proofErr w:type="spellEnd"/>
      <w:r>
        <w:rPr>
          <w:rFonts w:ascii="Times New Roman" w:eastAsia="Times New Roman" w:hAnsi="Times New Roman" w:cs="Times New Roman"/>
          <w:lang w:eastAsia="lt-LT"/>
        </w:rPr>
        <w:t xml:space="preserve"> (angl. </w:t>
      </w:r>
      <w:proofErr w:type="spellStart"/>
      <w:r>
        <w:rPr>
          <w:rFonts w:ascii="Times New Roman" w:eastAsia="Times New Roman" w:hAnsi="Times New Roman" w:cs="Times New Roman"/>
          <w:i/>
          <w:iCs/>
          <w:lang w:eastAsia="lt-LT"/>
        </w:rPr>
        <w:t>acute</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generalised</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exanthematous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pustulosis</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(žr. 4.4 skyrių).</w:t>
      </w:r>
    </w:p>
    <w:p w14:paraId="164F3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C386D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Nepageidaujamų reakcijų santrauka lentelėje</w:t>
      </w:r>
    </w:p>
    <w:p w14:paraId="001915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Kiekvienoje dažnio grupėje nepageidaujamas poveikis pateikiamas mažėjančio sunkumo tvarka. </w:t>
      </w:r>
    </w:p>
    <w:p w14:paraId="5D4CC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4339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Toliau išvardytos nepageidaujamos reakcijos yra suskirstytos pagal </w:t>
      </w:r>
      <w:proofErr w:type="spellStart"/>
      <w:r>
        <w:rPr>
          <w:rFonts w:ascii="Times New Roman" w:eastAsia="Times New Roman" w:hAnsi="Times New Roman" w:cs="Times New Roman"/>
          <w:lang w:eastAsia="lt-LT"/>
        </w:rPr>
        <w:t>MedDRA</w:t>
      </w:r>
      <w:proofErr w:type="spellEnd"/>
      <w:r>
        <w:rPr>
          <w:rFonts w:ascii="Times New Roman" w:eastAsia="Times New Roman" w:hAnsi="Times New Roman" w:cs="Times New Roman"/>
          <w:lang w:eastAsia="lt-LT"/>
        </w:rPr>
        <w:t xml:space="preserve"> organų sistemų klases.</w:t>
      </w:r>
    </w:p>
    <w:p w14:paraId="5F044F82"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36B14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6660"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firstRow="0" w:lastRow="0" w:firstColumn="1" w:lastColumn="0" w:noHBand="0" w:noVBand="1"/>
      </w:tblPr>
      <w:tblGrid>
        <w:gridCol w:w="1418"/>
        <w:gridCol w:w="5242"/>
      </w:tblGrid>
      <w:tr w:rsidR="001764C6" w14:paraId="5A56DB66"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7DF5D0C4"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Organų sistemų klasės</w:t>
            </w:r>
          </w:p>
        </w:tc>
      </w:tr>
      <w:tr w:rsidR="001764C6" w14:paraId="4709827E" w14:textId="77777777" w:rsidTr="001764C6">
        <w:trPr>
          <w:trHeight w:val="381"/>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14:paraId="512BBCFB"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Dažnis</w:t>
            </w:r>
          </w:p>
        </w:tc>
        <w:tc>
          <w:tcPr>
            <w:tcW w:w="5244" w:type="dxa"/>
            <w:tcBorders>
              <w:top w:val="single" w:sz="4" w:space="0" w:color="000000"/>
              <w:left w:val="single" w:sz="4" w:space="0" w:color="000000"/>
              <w:bottom w:val="single" w:sz="4" w:space="0" w:color="000000"/>
              <w:right w:val="single" w:sz="4" w:space="0" w:color="000000"/>
            </w:tcBorders>
            <w:shd w:val="clear" w:color="auto" w:fill="F2F2F2"/>
            <w:hideMark/>
          </w:tcPr>
          <w:p w14:paraId="15FDDCBA"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Nepageidaujama reakcija</w:t>
            </w:r>
          </w:p>
        </w:tc>
      </w:tr>
      <w:tr w:rsidR="001764C6" w:rsidRPr="001764C6" w14:paraId="75B03043"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hideMark/>
          </w:tcPr>
          <w:p w14:paraId="52DFFB15"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Kraujo ir limfinės sistemos sutrikimai</w:t>
            </w:r>
          </w:p>
        </w:tc>
      </w:tr>
      <w:tr w:rsidR="001764C6" w:rsidRPr="001764C6" w14:paraId="0301288F"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338802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29998E9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Laikina </w:t>
            </w:r>
            <w:proofErr w:type="spellStart"/>
            <w:r>
              <w:rPr>
                <w:rFonts w:ascii="Times New Roman" w:eastAsia="Times New Roman" w:hAnsi="Times New Roman" w:cs="Times New Roman"/>
                <w:lang w:eastAsia="lt-LT"/>
              </w:rPr>
              <w:t>neutropenija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agranulocitozė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trombocitopenija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pancitopenija</w:t>
            </w:r>
            <w:proofErr w:type="spellEnd"/>
            <w:r>
              <w:rPr>
                <w:rFonts w:ascii="Times New Roman" w:eastAsia="Times New Roman" w:hAnsi="Times New Roman" w:cs="Times New Roman"/>
                <w:lang w:eastAsia="lt-LT"/>
              </w:rPr>
              <w:t>.</w:t>
            </w:r>
          </w:p>
        </w:tc>
      </w:tr>
      <w:tr w:rsidR="001764C6" w14:paraId="14C8789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5E7DA24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Imuninės sistemos sutrikimai</w:t>
            </w:r>
          </w:p>
        </w:tc>
      </w:tr>
      <w:tr w:rsidR="001764C6" w:rsidRPr="001764C6" w14:paraId="38F78C1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9C5D7D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5F667C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Padidėjusio jautrumo reakcijos, anafilaksinės reakcijos</w:t>
            </w:r>
          </w:p>
        </w:tc>
      </w:tr>
      <w:tr w:rsidR="001764C6" w14:paraId="27911B8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0BC5350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Ausų ir labirintų sutrikimai</w:t>
            </w:r>
          </w:p>
        </w:tc>
      </w:tr>
      <w:tr w:rsidR="001764C6" w14:paraId="41BD452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4D8C6E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Nedažnas</w:t>
            </w:r>
          </w:p>
        </w:tc>
        <w:tc>
          <w:tcPr>
            <w:tcW w:w="5244" w:type="dxa"/>
            <w:tcBorders>
              <w:top w:val="single" w:sz="4" w:space="0" w:color="000000"/>
              <w:left w:val="single" w:sz="4" w:space="0" w:color="000000"/>
              <w:bottom w:val="single" w:sz="4" w:space="0" w:color="000000"/>
              <w:right w:val="single" w:sz="4" w:space="0" w:color="000000"/>
            </w:tcBorders>
            <w:hideMark/>
          </w:tcPr>
          <w:p w14:paraId="0B54729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tc>
      </w:tr>
      <w:tr w:rsidR="001764C6" w14:paraId="1CE5F80A"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11CBE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6C7DFE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Svaigimas, 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svaigulys</w:t>
            </w:r>
          </w:p>
        </w:tc>
      </w:tr>
      <w:tr w:rsidR="001764C6" w14:paraId="0E44C263"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D695D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Širdies sutrikimai</w:t>
            </w:r>
          </w:p>
        </w:tc>
      </w:tr>
      <w:tr w:rsidR="001764C6" w14:paraId="31B60E4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EE20469"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3FD0360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w:t>
            </w:r>
          </w:p>
        </w:tc>
      </w:tr>
      <w:tr w:rsidR="001764C6" w14:paraId="294CEEA4"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4D8751"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Kraujagyslių sutrikimai</w:t>
            </w:r>
          </w:p>
        </w:tc>
      </w:tr>
      <w:tr w:rsidR="001764C6" w14:paraId="6B3C5F9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6BD69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4F14C7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Kraujospūdžio sumažėjimas</w:t>
            </w:r>
          </w:p>
        </w:tc>
      </w:tr>
      <w:tr w:rsidR="001764C6" w14:paraId="58AE41E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62BB20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5592A07"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Vaskulitas</w:t>
            </w:r>
            <w:proofErr w:type="spellEnd"/>
          </w:p>
        </w:tc>
      </w:tr>
      <w:tr w:rsidR="001764C6" w:rsidRPr="001764C6" w14:paraId="794BA888"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243D2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Kvėpavimo sistemos, krūtinės ląstos ir tarpuplaučio sutrikimai</w:t>
            </w:r>
          </w:p>
        </w:tc>
      </w:tr>
      <w:tr w:rsidR="001764C6" w14:paraId="21154EB3"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68D6A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5A41959B"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Dispnėja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stridoras</w:t>
            </w:r>
            <w:proofErr w:type="spellEnd"/>
          </w:p>
        </w:tc>
      </w:tr>
      <w:tr w:rsidR="001764C6" w14:paraId="40DD626D"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4978F86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Virškinimo trakto sutrikimai</w:t>
            </w:r>
          </w:p>
        </w:tc>
      </w:tr>
      <w:tr w:rsidR="001764C6" w14:paraId="47113048"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815CA7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4705DD8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tc>
      </w:tr>
      <w:tr w:rsidR="001764C6" w14:paraId="292D5A75"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9760DA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40F59A4D"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Pseudomembraninis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enterokolitas</w:t>
            </w:r>
            <w:proofErr w:type="spellEnd"/>
          </w:p>
        </w:tc>
      </w:tr>
      <w:tr w:rsidR="001764C6" w14:paraId="5605D53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BF4163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E05226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tc>
      </w:tr>
      <w:tr w:rsidR="001764C6" w:rsidRPr="001764C6" w14:paraId="73831A81"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8D236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Odos ir poodinio audinio sutrikimai</w:t>
            </w:r>
          </w:p>
        </w:tc>
      </w:tr>
      <w:tr w:rsidR="001764C6" w:rsidRPr="001764C6" w14:paraId="0D09725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9CC6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487E92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Viršutinės kūno dalies paraudimas („raudono žmogaus“ sindromas), </w:t>
            </w:r>
            <w:proofErr w:type="spellStart"/>
            <w:r>
              <w:rPr>
                <w:rFonts w:ascii="Times New Roman" w:eastAsia="Times New Roman" w:hAnsi="Times New Roman" w:cs="Times New Roman"/>
                <w:lang w:eastAsia="lt-LT"/>
              </w:rPr>
              <w:t>egzantema</w:t>
            </w:r>
            <w:proofErr w:type="spellEnd"/>
            <w:r>
              <w:rPr>
                <w:rFonts w:ascii="Times New Roman" w:eastAsia="Times New Roman" w:hAnsi="Times New Roman" w:cs="Times New Roman"/>
                <w:lang w:eastAsia="lt-LT"/>
              </w:rPr>
              <w:t xml:space="preserve"> ir gleivinės uždegimas, niežėjimas, dilgėlinė</w:t>
            </w:r>
          </w:p>
        </w:tc>
      </w:tr>
      <w:tr w:rsidR="001764C6" w:rsidRPr="001764C6" w14:paraId="20130D4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3E73306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64154C0A"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Eksfoliacinis</w:t>
            </w:r>
            <w:proofErr w:type="spellEnd"/>
            <w:r>
              <w:rPr>
                <w:rFonts w:ascii="Times New Roman" w:eastAsia="Times New Roman" w:hAnsi="Times New Roman" w:cs="Times New Roman"/>
                <w:lang w:eastAsia="lt-LT"/>
              </w:rPr>
              <w:t xml:space="preserve"> dermatitas, Toksinė epidermio </w:t>
            </w:r>
            <w:proofErr w:type="spellStart"/>
            <w:r>
              <w:rPr>
                <w:rFonts w:ascii="Times New Roman" w:eastAsia="Times New Roman" w:hAnsi="Times New Roman" w:cs="Times New Roman"/>
                <w:lang w:eastAsia="lt-LT"/>
              </w:rPr>
              <w:t>nekrolizė</w:t>
            </w:r>
            <w:proofErr w:type="spellEnd"/>
            <w:r>
              <w:rPr>
                <w:rFonts w:ascii="Times New Roman" w:eastAsia="Times New Roman" w:hAnsi="Times New Roman" w:cs="Times New Roman"/>
                <w:lang w:eastAsia="lt-LT"/>
              </w:rPr>
              <w:t xml:space="preserve"> (TEN),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-Džonsono (</w:t>
            </w:r>
            <w:proofErr w:type="spellStart"/>
            <w:r>
              <w:rPr>
                <w:rFonts w:ascii="Times New Roman" w:eastAsia="Times New Roman" w:hAnsi="Times New Roman" w:cs="Times New Roman"/>
                <w:i/>
                <w:lang w:eastAsia="lt-LT"/>
              </w:rPr>
              <w:t>Stevens-Johnson</w:t>
            </w:r>
            <w:proofErr w:type="spellEnd"/>
            <w:r>
              <w:rPr>
                <w:rFonts w:ascii="Times New Roman" w:eastAsia="Times New Roman" w:hAnsi="Times New Roman" w:cs="Times New Roman"/>
                <w:i/>
                <w:lang w:eastAsia="lt-LT"/>
              </w:rPr>
              <w:t>)</w:t>
            </w:r>
            <w:r>
              <w:rPr>
                <w:rFonts w:ascii="Times New Roman" w:eastAsia="Times New Roman" w:hAnsi="Times New Roman" w:cs="Times New Roman"/>
                <w:lang w:eastAsia="lt-LT"/>
              </w:rPr>
              <w:t xml:space="preserve"> sindromas, linijinė pūslelinė </w:t>
            </w:r>
            <w:proofErr w:type="spellStart"/>
            <w:r>
              <w:rPr>
                <w:rFonts w:ascii="Times New Roman" w:eastAsia="Times New Roman" w:hAnsi="Times New Roman" w:cs="Times New Roman"/>
                <w:lang w:eastAsia="lt-LT"/>
              </w:rPr>
              <w:t>IgA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dermatozė</w:t>
            </w:r>
            <w:proofErr w:type="spellEnd"/>
          </w:p>
        </w:tc>
      </w:tr>
      <w:tr w:rsidR="001764C6" w:rsidRPr="001764C6" w14:paraId="5DD92F7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F20B82"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01B0271D"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 simptomai (DRESS sindromas), ūminė </w:t>
            </w:r>
            <w:proofErr w:type="spellStart"/>
            <w:r>
              <w:rPr>
                <w:rFonts w:ascii="Times New Roman" w:eastAsia="Times New Roman" w:hAnsi="Times New Roman" w:cs="Times New Roman"/>
                <w:lang w:eastAsia="lt-LT"/>
              </w:rPr>
              <w:t>generalizuota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egzanteminė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pustuliozė</w:t>
            </w:r>
            <w:proofErr w:type="spellEnd"/>
            <w:r>
              <w:rPr>
                <w:rFonts w:ascii="Times New Roman" w:eastAsia="Times New Roman" w:hAnsi="Times New Roman" w:cs="Times New Roman"/>
                <w:lang w:eastAsia="lt-LT"/>
              </w:rPr>
              <w:t xml:space="preserve"> (ŪGEP)</w:t>
            </w:r>
          </w:p>
        </w:tc>
      </w:tr>
      <w:tr w:rsidR="001764C6" w:rsidRPr="001764C6" w14:paraId="7B734546"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6FFDECD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Inkstų ir šlapimo takų sutrikimai</w:t>
            </w:r>
          </w:p>
        </w:tc>
      </w:tr>
      <w:tr w:rsidR="001764C6" w:rsidRPr="001764C6" w14:paraId="3D59293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0357A8E"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Calibri" w:hAnsi="Times New Roman" w:cs="Times New Roman"/>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6EAB514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Inkstų nepakankamumas, pradžioje pasireiškiantis kreatinino ir šlapalo kiekių kraujo serume padidėjimu</w:t>
            </w:r>
          </w:p>
        </w:tc>
      </w:tr>
      <w:tr w:rsidR="001764C6" w:rsidRPr="001764C6" w14:paraId="5FEB993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2090087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0A18802" w14:textId="77777777" w:rsidR="001764C6" w:rsidRDefault="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Intersticinis</w:t>
            </w:r>
            <w:proofErr w:type="spellEnd"/>
            <w:r>
              <w:rPr>
                <w:rFonts w:ascii="Times New Roman" w:eastAsia="Times New Roman" w:hAnsi="Times New Roman" w:cs="Times New Roman"/>
                <w:lang w:eastAsia="lt-LT"/>
              </w:rPr>
              <w:t xml:space="preserve"> nefritas, ūminis inkstų nepakankamumas</w:t>
            </w:r>
          </w:p>
        </w:tc>
      </w:tr>
      <w:tr w:rsidR="001764C6" w14:paraId="5EFFC94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C614FF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C46463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Ūminė kanalėlių nekrozė</w:t>
            </w:r>
          </w:p>
        </w:tc>
      </w:tr>
      <w:tr w:rsidR="001764C6" w14:paraId="75B1D3B7"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15DA606C"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Bendrieji sutrikimai ir vartojimo vietos pažeidimai</w:t>
            </w:r>
          </w:p>
        </w:tc>
      </w:tr>
      <w:tr w:rsidR="001764C6" w:rsidRPr="001764C6" w14:paraId="7374370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214146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1760B10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Flebitas, viršutinės kūno dalies ir veido paraudimas</w:t>
            </w:r>
          </w:p>
        </w:tc>
      </w:tr>
      <w:tr w:rsidR="001764C6" w:rsidRPr="001764C6" w14:paraId="72FB065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C70E1F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219883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Medikamentinis karščiavimas, drebulys, krūtinės ir nugaros skausmas ir raumenų spazmai</w:t>
            </w:r>
          </w:p>
        </w:tc>
      </w:tr>
    </w:tbl>
    <w:p w14:paraId="232E52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269D6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Atrinktų nepageidaujamų reakcijų apibūdinimas</w:t>
      </w:r>
    </w:p>
    <w:p w14:paraId="3B722B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Laikina </w:t>
      </w:r>
      <w:proofErr w:type="spellStart"/>
      <w:r>
        <w:rPr>
          <w:rFonts w:ascii="Times New Roman" w:eastAsia="Times New Roman" w:hAnsi="Times New Roman" w:cs="Times New Roman"/>
          <w:lang w:eastAsia="lt-LT"/>
        </w:rPr>
        <w:t>neutropenija</w:t>
      </w:r>
      <w:proofErr w:type="spellEnd"/>
      <w:r>
        <w:rPr>
          <w:rFonts w:ascii="Times New Roman" w:eastAsia="Times New Roman" w:hAnsi="Times New Roman" w:cs="Times New Roman"/>
          <w:lang w:eastAsia="lt-LT"/>
        </w:rPr>
        <w:t xml:space="preserve"> dažniausiai pasireiškia praėjus vienai ar daugiau savaičių nuo intraveninio gydymo pradžios arba skyrus bendrą dozę didesnę nei 25 g.</w:t>
      </w:r>
    </w:p>
    <w:p w14:paraId="260068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B4D1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Greitos infuzijos metu arba tuoj pat po jos galimos anafilaksinės/</w:t>
      </w:r>
      <w:proofErr w:type="spellStart"/>
      <w:r>
        <w:rPr>
          <w:rFonts w:ascii="Times New Roman" w:eastAsia="Times New Roman" w:hAnsi="Times New Roman" w:cs="Times New Roman"/>
          <w:lang w:eastAsia="lt-LT"/>
        </w:rPr>
        <w:t>anafilaktoidinės</w:t>
      </w:r>
      <w:proofErr w:type="spellEnd"/>
      <w:r>
        <w:rPr>
          <w:rFonts w:ascii="Times New Roman" w:eastAsia="Times New Roman" w:hAnsi="Times New Roman" w:cs="Times New Roman"/>
          <w:lang w:eastAsia="lt-LT"/>
        </w:rPr>
        <w:t xml:space="preserve"> reakcijos, įskaitant gargimą. Infuziją sustabdžius, reakcijos išnyksta paprastai per 20 min.– 2 val.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reikia lašinti lėtai (žr. 4.2 ir 4.4 skyrius). Suleidus į raumenis, gali pasireikšti nekrozė.</w:t>
      </w:r>
    </w:p>
    <w:p w14:paraId="4BD643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5D996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xml:space="preserve">), galimai pasireiškiantis prieš </w:t>
      </w:r>
      <w:proofErr w:type="spellStart"/>
      <w:r>
        <w:rPr>
          <w:rFonts w:ascii="Times New Roman" w:eastAsia="Times New Roman" w:hAnsi="Times New Roman" w:cs="Times New Roman"/>
          <w:lang w:eastAsia="lt-LT"/>
        </w:rPr>
        <w:t>beprasidedantį</w:t>
      </w:r>
      <w:proofErr w:type="spellEnd"/>
      <w:r>
        <w:rPr>
          <w:rFonts w:ascii="Times New Roman" w:eastAsia="Times New Roman" w:hAnsi="Times New Roman" w:cs="Times New Roman"/>
          <w:lang w:eastAsia="lt-LT"/>
        </w:rPr>
        <w:t xml:space="preserve"> prikurtimą, turi būti traktuojamas kaip indikacija nutraukti gydymą.</w:t>
      </w:r>
    </w:p>
    <w:p w14:paraId="3760A3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6F9A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Apie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atvejus dažniausiai pranešama, kai pacientams buvo skiriamos didelės dozės, arba kai jie derinyje vartojo kitų toksinį poveikį klausai sukeliančių vaistinių preparatų, tokių kaip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arba kai pacientai anksčiau turėjo inkstų ar klausos funkcijų susilpnėjimą.</w:t>
      </w:r>
    </w:p>
    <w:p w14:paraId="018D2C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021AC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0BCB10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Saugumo duomenys vaikams atitinka suaugusių pacientų duomenis. Vaikams aprašytas </w:t>
      </w:r>
      <w:proofErr w:type="spellStart"/>
      <w:r>
        <w:rPr>
          <w:rFonts w:ascii="Times New Roman" w:eastAsia="Times New Roman" w:hAnsi="Times New Roman" w:cs="Times New Roman"/>
          <w:lang w:eastAsia="lt-LT"/>
        </w:rPr>
        <w:t>nefrotoksinis</w:t>
      </w:r>
      <w:proofErr w:type="spellEnd"/>
      <w:r>
        <w:rPr>
          <w:rFonts w:ascii="Times New Roman" w:eastAsia="Times New Roman" w:hAnsi="Times New Roman" w:cs="Times New Roman"/>
          <w:lang w:eastAsia="lt-LT"/>
        </w:rPr>
        <w:t xml:space="preserve"> poveikis, dažniausiai susijęs su derinyje kitų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sukeliančių vaistinių preparatų, tokių kaip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vartojimu.</w:t>
      </w:r>
    </w:p>
    <w:p w14:paraId="08571862"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u w:val="single"/>
        </w:rPr>
      </w:pPr>
    </w:p>
    <w:p w14:paraId="104F235C" w14:textId="77777777" w:rsidR="001764C6" w:rsidRDefault="001764C6" w:rsidP="001764C6">
      <w:pPr>
        <w:keepNext/>
        <w:keepLines/>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Pr>
          <w:rFonts w:ascii="Times New Roman" w:eastAsia="Times New Roman" w:hAnsi="Times New Roman" w:cs="Times New Roman"/>
          <w:noProof/>
          <w:snapToGrid w:val="0"/>
          <w:u w:val="single"/>
        </w:rPr>
        <w:t>Pranešimas apie įtariamas nepageidaujamas reakcijas</w:t>
      </w:r>
    </w:p>
    <w:p w14:paraId="470C41A6" w14:textId="77777777" w:rsidR="001764C6" w:rsidRDefault="001764C6" w:rsidP="001764C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Pr>
            <w:rStyle w:val="Hipersaitas"/>
            <w:noProof/>
            <w:snapToGrid w:val="0"/>
            <w:szCs w:val="24"/>
          </w:rPr>
          <w:t>https://vapris.vvkt.lt/vvkt-web/public/nrvSpecialist</w:t>
        </w:r>
      </w:hyperlink>
      <w:r>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10" w:history="1">
        <w:r>
          <w:rPr>
            <w:rStyle w:val="Hipersaitas"/>
            <w:noProof/>
            <w:snapToGrid w:val="0"/>
            <w:szCs w:val="24"/>
          </w:rPr>
          <w:t>https://www.vvkt.lt/index.php?1399030386</w:t>
        </w:r>
      </w:hyperlink>
      <w:r>
        <w:rPr>
          <w:rFonts w:ascii="Times New Roman" w:eastAsia="Times New Roman" w:hAnsi="Times New Roman" w:cs="Times New Roman"/>
          <w:noProof/>
          <w:snapToGrid w:val="0"/>
          <w:szCs w:val="24"/>
        </w:rPr>
        <w:t xml:space="preserve">, ir atsiųsti elektroniniu paštu (adresu </w:t>
      </w:r>
      <w:hyperlink r:id="rId11" w:history="1">
        <w:r>
          <w:rPr>
            <w:rStyle w:val="Hipersaitas"/>
            <w:noProof/>
            <w:snapToGrid w:val="0"/>
            <w:szCs w:val="24"/>
          </w:rPr>
          <w:t>NepageidaujamaR@vvkt.lt</w:t>
        </w:r>
      </w:hyperlink>
      <w:r>
        <w:rPr>
          <w:rFonts w:ascii="Times New Roman" w:eastAsia="Times New Roman" w:hAnsi="Times New Roman" w:cs="Times New Roman"/>
          <w:noProof/>
          <w:snapToGrid w:val="0"/>
          <w:szCs w:val="24"/>
        </w:rPr>
        <w:t>).</w:t>
      </w:r>
    </w:p>
    <w:p w14:paraId="3C3F487F"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p>
    <w:p w14:paraId="62CD015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4.9</w:t>
      </w:r>
      <w:r>
        <w:rPr>
          <w:rFonts w:ascii="Times New Roman" w:eastAsia="Times New Roman" w:hAnsi="Times New Roman" w:cs="Times New Roman"/>
          <w:b/>
          <w:lang w:eastAsia="lt-LT"/>
        </w:rPr>
        <w:tab/>
        <w:t>Perdozavimas</w:t>
      </w:r>
    </w:p>
    <w:p w14:paraId="6DB9F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1362B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Perdozavus vaistinio preparato, rekomenduojamas simptominis gydymas kartu palaikant inkstų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filtraciją.</w:t>
      </w:r>
    </w:p>
    <w:p w14:paraId="69BFB6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Hemodialize arba </w:t>
      </w:r>
      <w:proofErr w:type="spellStart"/>
      <w:r>
        <w:rPr>
          <w:rFonts w:ascii="Times New Roman" w:eastAsia="Times New Roman" w:hAnsi="Times New Roman" w:cs="Times New Roman"/>
          <w:lang w:eastAsia="lt-LT"/>
        </w:rPr>
        <w:t>peritonine</w:t>
      </w:r>
      <w:proofErr w:type="spellEnd"/>
      <w:r>
        <w:rPr>
          <w:rFonts w:ascii="Times New Roman" w:eastAsia="Times New Roman" w:hAnsi="Times New Roman" w:cs="Times New Roman"/>
          <w:lang w:eastAsia="lt-LT"/>
        </w:rPr>
        <w:t xml:space="preserve"> dialize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iš kraujo pašalinama labai nedaug.</w:t>
      </w:r>
    </w:p>
    <w:p w14:paraId="7AC20A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Pranešimų duomenimis </w:t>
      </w:r>
      <w:proofErr w:type="spellStart"/>
      <w:r>
        <w:rPr>
          <w:rFonts w:ascii="Times New Roman" w:eastAsia="Times New Roman" w:hAnsi="Times New Roman" w:cs="Times New Roman"/>
          <w:lang w:eastAsia="lt-LT"/>
        </w:rPr>
        <w:t>hemoperfuzija</w:t>
      </w:r>
      <w:proofErr w:type="spellEnd"/>
      <w:r>
        <w:rPr>
          <w:rFonts w:ascii="Times New Roman" w:eastAsia="Times New Roman" w:hAnsi="Times New Roman" w:cs="Times New Roman"/>
          <w:lang w:eastAsia="lt-LT"/>
        </w:rPr>
        <w:t xml:space="preserve"> su polimeriniu </w:t>
      </w:r>
      <w:proofErr w:type="spellStart"/>
      <w:r>
        <w:rPr>
          <w:rFonts w:ascii="Times New Roman" w:eastAsia="Times New Roman" w:hAnsi="Times New Roman" w:cs="Times New Roman"/>
          <w:lang w:eastAsia="lt-LT"/>
        </w:rPr>
        <w:t>adsorbentu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lang w:eastAsia="lt-LT"/>
        </w:rPr>
        <w:t>Amberlite</w:t>
      </w:r>
      <w:proofErr w:type="spellEnd"/>
      <w:r>
        <w:rPr>
          <w:rFonts w:ascii="Times New Roman" w:eastAsia="Times New Roman" w:hAnsi="Times New Roman" w:cs="Times New Roman"/>
          <w:i/>
          <w:lang w:eastAsia="lt-LT"/>
        </w:rPr>
        <w:t xml:space="preserve"> XAD-4</w:t>
      </w:r>
      <w:r>
        <w:rPr>
          <w:rFonts w:ascii="Times New Roman" w:eastAsia="Times New Roman" w:hAnsi="Times New Roman" w:cs="Times New Roman"/>
          <w:lang w:eastAsia="lt-LT"/>
        </w:rPr>
        <w:t xml:space="preserve"> reikšmingo poveikio nedaro. </w:t>
      </w:r>
    </w:p>
    <w:p w14:paraId="010A8E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1C706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710055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FARMAKOLOGINĖS SAVYBĖS</w:t>
      </w:r>
    </w:p>
    <w:p w14:paraId="5CAABB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CD8D5BD" w14:textId="77777777" w:rsidR="001764C6" w:rsidRDefault="001764C6" w:rsidP="001764C6">
      <w:pPr>
        <w:numPr>
          <w:ilvl w:val="1"/>
          <w:numId w:val="6"/>
        </w:numPr>
        <w:tabs>
          <w:tab w:val="left" w:pos="567"/>
          <w:tab w:val="num" w:pos="1260"/>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Farmakodinaminės</w:t>
      </w:r>
      <w:proofErr w:type="spellEnd"/>
      <w:r>
        <w:rPr>
          <w:rFonts w:ascii="Times New Roman" w:eastAsia="Times New Roman" w:hAnsi="Times New Roman" w:cs="Times New Roman"/>
          <w:b/>
          <w:lang w:eastAsia="lt-LT"/>
        </w:rPr>
        <w:t> savybės</w:t>
      </w:r>
    </w:p>
    <w:p w14:paraId="458C64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5E7A0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Farmakoterapinė</w:t>
      </w:r>
      <w:proofErr w:type="spellEnd"/>
      <w:r>
        <w:rPr>
          <w:rFonts w:ascii="Times New Roman" w:eastAsia="Times New Roman" w:hAnsi="Times New Roman" w:cs="Times New Roman"/>
          <w:lang w:eastAsia="lt-LT"/>
        </w:rPr>
        <w:t xml:space="preserve"> grupė:</w:t>
      </w:r>
    </w:p>
    <w:p w14:paraId="120C68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Sisteminio poveikio antibakteriniai vaistiniai preparatai, </w:t>
      </w:r>
      <w:proofErr w:type="spellStart"/>
      <w:r>
        <w:rPr>
          <w:rFonts w:ascii="Times New Roman" w:eastAsia="Times New Roman" w:hAnsi="Times New Roman" w:cs="Times New Roman"/>
          <w:lang w:eastAsia="lt-LT"/>
        </w:rPr>
        <w:t>glikopeptidų</w:t>
      </w:r>
      <w:proofErr w:type="spellEnd"/>
      <w:r>
        <w:rPr>
          <w:rFonts w:ascii="Times New Roman" w:eastAsia="Times New Roman" w:hAnsi="Times New Roman" w:cs="Times New Roman"/>
          <w:lang w:eastAsia="lt-LT"/>
        </w:rPr>
        <w:t xml:space="preserve"> grupės antibakteriniai vaistiniai preparatai, ATC kodas – J01XA01 (leidžiant į veną).</w:t>
      </w:r>
    </w:p>
    <w:p w14:paraId="011EBEF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Vaistiniai preparatai nuo viduriavimo, žarnyną veikiantys priešuždegiminiai/</w:t>
      </w:r>
      <w:proofErr w:type="spellStart"/>
      <w:r>
        <w:rPr>
          <w:rFonts w:ascii="Times New Roman" w:eastAsia="Times New Roman" w:hAnsi="Times New Roman" w:cs="Times New Roman"/>
          <w:lang w:eastAsia="lt-LT"/>
        </w:rPr>
        <w:t>antiinfekciniai</w:t>
      </w:r>
      <w:proofErr w:type="spellEnd"/>
      <w:r>
        <w:rPr>
          <w:rFonts w:ascii="Times New Roman" w:eastAsia="Times New Roman" w:hAnsi="Times New Roman" w:cs="Times New Roman"/>
          <w:lang w:eastAsia="lt-LT"/>
        </w:rPr>
        <w:t xml:space="preserve"> vaistiniai preparatai, antibiotikai, ATC kodas –  A07AA09 (vartojant per burną).</w:t>
      </w:r>
    </w:p>
    <w:p w14:paraId="1391192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7E6D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Veikimo mechanizmas</w:t>
      </w:r>
    </w:p>
    <w:p w14:paraId="4D31CF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w:t>
      </w:r>
      <w:proofErr w:type="spellStart"/>
      <w:r>
        <w:rPr>
          <w:rFonts w:ascii="Times New Roman" w:hAnsi="Times New Roman" w:cs="Times New Roman"/>
        </w:rPr>
        <w:t>triciklinis</w:t>
      </w:r>
      <w:proofErr w:type="spellEnd"/>
      <w:r>
        <w:rPr>
          <w:rFonts w:ascii="Times New Roman" w:hAnsi="Times New Roman" w:cs="Times New Roman"/>
        </w:rPr>
        <w:t> </w:t>
      </w:r>
      <w:proofErr w:type="spellStart"/>
      <w:r>
        <w:rPr>
          <w:rFonts w:ascii="Times New Roman" w:hAnsi="Times New Roman" w:cs="Times New Roman"/>
        </w:rPr>
        <w:t>glikopeptidų</w:t>
      </w:r>
      <w:proofErr w:type="spellEnd"/>
      <w:r>
        <w:rPr>
          <w:rFonts w:ascii="Times New Roman" w:eastAsia="Times New Roman" w:hAnsi="Times New Roman" w:cs="Times New Roman"/>
          <w:lang w:eastAsia="lt-LT"/>
        </w:rPr>
        <w:t xml:space="preserve"> grupės antibiotikas, kuris slopina jautrių bakterijų ląstelės sienelės sintezę, dideliu </w:t>
      </w:r>
      <w:proofErr w:type="spellStart"/>
      <w:r>
        <w:rPr>
          <w:rFonts w:ascii="Times New Roman" w:eastAsia="Times New Roman" w:hAnsi="Times New Roman" w:cs="Times New Roman"/>
          <w:lang w:eastAsia="lt-LT"/>
        </w:rPr>
        <w:t>afinitetu</w:t>
      </w:r>
      <w:proofErr w:type="spellEnd"/>
      <w:r>
        <w:rPr>
          <w:rFonts w:ascii="Times New Roman" w:eastAsia="Times New Roman" w:hAnsi="Times New Roman" w:cs="Times New Roman"/>
          <w:lang w:eastAsia="lt-LT"/>
        </w:rPr>
        <w:t xml:space="preserve"> prisijungdamas prie ląstelės sienelės pirmtako vienetų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 D-</w:t>
      </w:r>
      <w:proofErr w:type="spellStart"/>
      <w:r>
        <w:rPr>
          <w:rFonts w:ascii="Times New Roman" w:eastAsia="Times New Roman" w:hAnsi="Times New Roman" w:cs="Times New Roman"/>
          <w:lang w:eastAsia="lt-LT"/>
        </w:rPr>
        <w:t>alanino</w:t>
      </w:r>
      <w:proofErr w:type="spellEnd"/>
      <w:r>
        <w:rPr>
          <w:rFonts w:ascii="Times New Roman" w:eastAsia="Times New Roman" w:hAnsi="Times New Roman" w:cs="Times New Roman"/>
          <w:lang w:eastAsia="lt-LT"/>
        </w:rPr>
        <w:t xml:space="preserve"> galo. Besidalijantiems mikroorganizmams šis vaistinis preparatas pasižymi lėtu baktericidiniu poveikiu. Taip pat, jis sutrikdo bakterijų ląstelės sienelės pralaidumą bei RNR sintezę.</w:t>
      </w:r>
    </w:p>
    <w:p w14:paraId="0AFEFA8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DE6A0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Santykis tarp farmakokinetikos ir farmakodinamikos</w:t>
      </w:r>
    </w:p>
    <w:p w14:paraId="59959B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lastRenderedPageBreak/>
        <w:t>Vankomicinui</w:t>
      </w:r>
      <w:proofErr w:type="spellEnd"/>
      <w:r>
        <w:rPr>
          <w:rFonts w:ascii="Times New Roman" w:eastAsia="Times New Roman" w:hAnsi="Times New Roman" w:cs="Times New Roman"/>
          <w:lang w:eastAsia="lt-LT"/>
        </w:rPr>
        <w:t xml:space="preserve"> būdingas nuo koncentracijos nepriklausomas aktyvumas. Svarbiausias prognozuojantis veiksmingumo parametras yra plotas po koncentracijos ir laiko kreive (AUC) padalintas iš tikslinių mikroorganizmų minimalios </w:t>
      </w:r>
      <w:proofErr w:type="spellStart"/>
      <w:r>
        <w:rPr>
          <w:rFonts w:ascii="Times New Roman" w:eastAsia="Times New Roman" w:hAnsi="Times New Roman" w:cs="Times New Roman"/>
          <w:lang w:eastAsia="lt-LT"/>
        </w:rPr>
        <w:t>inhibicinės</w:t>
      </w:r>
      <w:proofErr w:type="spellEnd"/>
      <w:r>
        <w:rPr>
          <w:rFonts w:ascii="Times New Roman" w:eastAsia="Times New Roman" w:hAnsi="Times New Roman" w:cs="Times New Roman"/>
          <w:lang w:eastAsia="lt-LT"/>
        </w:rPr>
        <w:t xml:space="preserve"> koncentracijos (MIC). Remiantis </w:t>
      </w:r>
      <w:proofErr w:type="spellStart"/>
      <w:r>
        <w:rPr>
          <w:rFonts w:ascii="Times New Roman" w:eastAsia="Times New Roman" w:hAnsi="Times New Roman" w:cs="Times New Roman"/>
          <w:i/>
          <w:iCs/>
          <w:lang w:eastAsia="lt-LT"/>
        </w:rPr>
        <w:t>in</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vitro</w:t>
      </w:r>
      <w:proofErr w:type="spellEnd"/>
      <w:r>
        <w:rPr>
          <w:rFonts w:ascii="Times New Roman" w:eastAsia="Times New Roman" w:hAnsi="Times New Roman" w:cs="Times New Roman"/>
          <w:lang w:eastAsia="lt-LT"/>
        </w:rPr>
        <w:t xml:space="preserve"> tyrimų, tyrimų su gyvūnais bei ribotais tyrimų su žmonėmis duomenimis, kaip tikslinis santykis tarp farmakokinetikos ir farmakodinamikos, kuris reikalingas pasiekti kliniškai veiksmingą gydymą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buvo nustatyta 400 AUC/MIC reikšmė. Norint pasiekti šį santykį, kai MIC reikšmė yra ≥ 1,0 mg/l, turi būti skiriama aukštesnės intervalo ribos dozė bei palaikoma aukšta mažiausia koncentracija kraujo serume (15</w:t>
      </w:r>
      <w:r>
        <w:rPr>
          <w:rFonts w:ascii="Times New Roman" w:eastAsia="Times New Roman" w:hAnsi="Times New Roman" w:cs="Times New Roman"/>
          <w:lang w:eastAsia="lt-LT"/>
        </w:rPr>
        <w:noBreakHyphen/>
        <w:t>20 mg/l) (žr. 4.2 skyrių).</w:t>
      </w:r>
    </w:p>
    <w:p w14:paraId="5B798AF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D590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Atsparumo mechanizmas</w:t>
      </w:r>
    </w:p>
    <w:p w14:paraId="7C22FA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Įgytas atsparumas </w:t>
      </w:r>
      <w:proofErr w:type="spellStart"/>
      <w:r>
        <w:rPr>
          <w:rFonts w:ascii="Times New Roman" w:eastAsia="Times New Roman" w:hAnsi="Times New Roman" w:cs="Times New Roman"/>
          <w:lang w:eastAsia="lt-LT"/>
        </w:rPr>
        <w:t>glikopeptidams</w:t>
      </w:r>
      <w:proofErr w:type="spellEnd"/>
      <w:r>
        <w:rPr>
          <w:rFonts w:ascii="Times New Roman" w:eastAsia="Times New Roman" w:hAnsi="Times New Roman" w:cs="Times New Roman"/>
          <w:lang w:eastAsia="lt-LT"/>
        </w:rPr>
        <w:t xml:space="preserve"> yra dažniausias </w:t>
      </w:r>
      <w:proofErr w:type="spellStart"/>
      <w:r>
        <w:rPr>
          <w:rFonts w:ascii="Times New Roman" w:eastAsia="Times New Roman" w:hAnsi="Times New Roman" w:cs="Times New Roman"/>
          <w:lang w:eastAsia="lt-LT"/>
        </w:rPr>
        <w:t>enterokokams</w:t>
      </w:r>
      <w:proofErr w:type="spellEnd"/>
      <w:r>
        <w:rPr>
          <w:rFonts w:ascii="Times New Roman" w:eastAsia="Times New Roman" w:hAnsi="Times New Roman" w:cs="Times New Roman"/>
          <w:lang w:eastAsia="lt-LT"/>
        </w:rPr>
        <w:t xml:space="preserve">, jis priklauso nuo įvairių </w:t>
      </w:r>
      <w:proofErr w:type="spellStart"/>
      <w:r>
        <w:rPr>
          <w:rFonts w:ascii="Times New Roman" w:eastAsia="Times New Roman" w:hAnsi="Times New Roman" w:cs="Times New Roman"/>
          <w:i/>
          <w:lang w:eastAsia="lt-LT"/>
        </w:rPr>
        <w:t>van</w:t>
      </w:r>
      <w:proofErr w:type="spellEnd"/>
      <w:r>
        <w:rPr>
          <w:rFonts w:ascii="Times New Roman" w:eastAsia="Times New Roman" w:hAnsi="Times New Roman" w:cs="Times New Roman"/>
          <w:lang w:eastAsia="lt-LT"/>
        </w:rPr>
        <w:t xml:space="preserve"> geno kompleksų, kurie taikinį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w:t>
      </w:r>
      <w:proofErr w:type="spellStart"/>
      <w:r>
        <w:rPr>
          <w:rFonts w:ascii="Times New Roman" w:eastAsia="Times New Roman" w:hAnsi="Times New Roman" w:cs="Times New Roman"/>
          <w:lang w:eastAsia="lt-LT"/>
        </w:rPr>
        <w:t>alaniną</w:t>
      </w:r>
      <w:proofErr w:type="spellEnd"/>
      <w:r>
        <w:rPr>
          <w:rFonts w:ascii="Times New Roman" w:eastAsia="Times New Roman" w:hAnsi="Times New Roman" w:cs="Times New Roman"/>
          <w:lang w:eastAsia="lt-LT"/>
        </w:rPr>
        <w:t xml:space="preserve"> modifikuoja į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-D-laktatą arba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w:t>
      </w:r>
      <w:proofErr w:type="spellStart"/>
      <w:r>
        <w:rPr>
          <w:rFonts w:ascii="Times New Roman" w:eastAsia="Times New Roman" w:hAnsi="Times New Roman" w:cs="Times New Roman"/>
          <w:lang w:eastAsia="lt-LT"/>
        </w:rPr>
        <w:t>seriną</w:t>
      </w:r>
      <w:proofErr w:type="spellEnd"/>
      <w:r>
        <w:rPr>
          <w:rFonts w:ascii="Times New Roman" w:eastAsia="Times New Roman" w:hAnsi="Times New Roman" w:cs="Times New Roman"/>
          <w:lang w:eastAsia="lt-LT"/>
        </w:rPr>
        <w:t xml:space="preserve">, prie kurių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prisijungia prastai. Kai kuriose šalyse pastebimas atsparumo atvejų didėjimas, ypatingai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Ypatingai nerimą kelia </w:t>
      </w:r>
      <w:proofErr w:type="spellStart"/>
      <w:r>
        <w:rPr>
          <w:rFonts w:ascii="Times New Roman" w:eastAsia="Times New Roman" w:hAnsi="Times New Roman" w:cs="Times New Roman"/>
          <w:lang w:eastAsia="lt-LT"/>
        </w:rPr>
        <w:t>multirezistentiškos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faecium</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padermės.</w:t>
      </w:r>
    </w:p>
    <w:p w14:paraId="65020A8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59C2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Retais atvejais </w:t>
      </w:r>
      <w:proofErr w:type="spellStart"/>
      <w:r>
        <w:rPr>
          <w:rFonts w:ascii="Times New Roman" w:eastAsia="Times New Roman" w:hAnsi="Times New Roman" w:cs="Times New Roman"/>
          <w:i/>
          <w:lang w:eastAsia="lt-LT"/>
        </w:rPr>
        <w:t>van</w:t>
      </w:r>
      <w:proofErr w:type="spellEnd"/>
      <w:r>
        <w:rPr>
          <w:rFonts w:ascii="Times New Roman" w:eastAsia="Times New Roman" w:hAnsi="Times New Roman" w:cs="Times New Roman"/>
          <w:lang w:eastAsia="lt-LT"/>
        </w:rPr>
        <w:t xml:space="preserve"> genų buvo rasta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padermėse, jų ląstelės membranos sudėties pokyčiai lemia vidutinį jautrumą, kuris dažniausiai yra heterogeninis. Taip pat gauta pranešimų apie </w:t>
      </w:r>
      <w:proofErr w:type="spellStart"/>
      <w:r>
        <w:rPr>
          <w:rFonts w:ascii="Times New Roman" w:eastAsia="Times New Roman" w:hAnsi="Times New Roman" w:cs="Times New Roman"/>
          <w:lang w:eastAsia="lt-LT"/>
        </w:rPr>
        <w:t>meticilinui</w:t>
      </w:r>
      <w:proofErr w:type="spellEnd"/>
      <w:r>
        <w:rPr>
          <w:rFonts w:ascii="Times New Roman" w:eastAsia="Times New Roman" w:hAnsi="Times New Roman" w:cs="Times New Roman"/>
          <w:lang w:eastAsia="lt-LT"/>
        </w:rPr>
        <w:t xml:space="preserve"> atsparias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i/>
          <w:lang w:eastAsia="lt-LT"/>
        </w:rPr>
        <w:t>padermes</w:t>
      </w:r>
      <w:r>
        <w:rPr>
          <w:rFonts w:ascii="Times New Roman" w:eastAsia="Times New Roman" w:hAnsi="Times New Roman" w:cs="Times New Roman"/>
          <w:lang w:eastAsia="lt-LT"/>
        </w:rPr>
        <w:t xml:space="preserve"> (MRSA), kurie turėjo sumažėjusį jautrumą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Sumažėjęs stafilokokų jautrumas arba atsparumas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nėra gerai suprantamas. Tam reikalingi keli genetiniai elementai bei daugybinės mutacijos.</w:t>
      </w:r>
    </w:p>
    <w:p w14:paraId="008BF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048A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Kryžminio atsparumo tarp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kitų grupių antibiotikų nėra. Tačiau galimas kryžminis atsparumas tarp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kitų </w:t>
      </w:r>
      <w:proofErr w:type="spellStart"/>
      <w:r>
        <w:rPr>
          <w:rFonts w:ascii="Times New Roman" w:eastAsia="Times New Roman" w:hAnsi="Times New Roman" w:cs="Times New Roman"/>
          <w:lang w:eastAsia="lt-LT"/>
        </w:rPr>
        <w:t>glikopeptidinių</w:t>
      </w:r>
      <w:proofErr w:type="spellEnd"/>
      <w:r>
        <w:rPr>
          <w:rFonts w:ascii="Times New Roman" w:eastAsia="Times New Roman" w:hAnsi="Times New Roman" w:cs="Times New Roman"/>
          <w:lang w:eastAsia="lt-LT"/>
        </w:rPr>
        <w:t xml:space="preserve"> antibiotikų, tokių kaip </w:t>
      </w:r>
      <w:proofErr w:type="spellStart"/>
      <w:r>
        <w:rPr>
          <w:rFonts w:ascii="Times New Roman" w:eastAsia="Times New Roman" w:hAnsi="Times New Roman" w:cs="Times New Roman"/>
          <w:lang w:eastAsia="lt-LT"/>
        </w:rPr>
        <w:t>teikoplaninas</w:t>
      </w:r>
      <w:proofErr w:type="spellEnd"/>
      <w:r>
        <w:rPr>
          <w:rFonts w:ascii="Times New Roman" w:eastAsia="Times New Roman" w:hAnsi="Times New Roman" w:cs="Times New Roman"/>
          <w:lang w:eastAsia="lt-LT"/>
        </w:rPr>
        <w:t>. Antrinis atsparumo išsivystymas gydymo metu pasitaiko retai.</w:t>
      </w:r>
    </w:p>
    <w:p w14:paraId="0D4C090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01FFC8" w14:textId="77777777" w:rsidR="001764C6" w:rsidRDefault="001764C6" w:rsidP="001764C6">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Sinerginis poveikis</w:t>
      </w:r>
    </w:p>
    <w:p w14:paraId="1CBE7563"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derinyje su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grupės antibiotikais pasiekiamas sinerginis poveikis prieš daugumą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lang w:eastAsia="lt-LT"/>
        </w:rPr>
        <w:t xml:space="preserve">, ne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grupės D-streptokokų, </w:t>
      </w:r>
      <w:proofErr w:type="spellStart"/>
      <w:r>
        <w:rPr>
          <w:rFonts w:ascii="Times New Roman" w:eastAsia="Times New Roman" w:hAnsi="Times New Roman" w:cs="Times New Roman"/>
          <w:i/>
          <w:iCs/>
          <w:lang w:eastAsia="lt-LT"/>
        </w:rPr>
        <w:t>Viridans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grupių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ir streptokokų padermių.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derinimas su </w:t>
      </w:r>
      <w:proofErr w:type="spellStart"/>
      <w:r>
        <w:rPr>
          <w:rFonts w:ascii="Times New Roman" w:eastAsia="Times New Roman" w:hAnsi="Times New Roman" w:cs="Times New Roman"/>
          <w:lang w:eastAsia="lt-LT"/>
        </w:rPr>
        <w:t>cefalosporinu</w:t>
      </w:r>
      <w:proofErr w:type="spellEnd"/>
      <w:r>
        <w:rPr>
          <w:rFonts w:ascii="Times New Roman" w:eastAsia="Times New Roman" w:hAnsi="Times New Roman" w:cs="Times New Roman"/>
          <w:lang w:eastAsia="lt-LT"/>
        </w:rPr>
        <w:t xml:space="preserve"> turi sinerginį poveikį prieš kai kuriuos </w:t>
      </w:r>
      <w:proofErr w:type="spellStart"/>
      <w:r>
        <w:rPr>
          <w:rFonts w:ascii="Times New Roman" w:eastAsia="Times New Roman" w:hAnsi="Times New Roman" w:cs="Times New Roman"/>
          <w:lang w:eastAsia="lt-LT"/>
        </w:rPr>
        <w:t>oksacilinui</w:t>
      </w:r>
      <w:proofErr w:type="spellEnd"/>
      <w:r>
        <w:rPr>
          <w:rFonts w:ascii="Times New Roman" w:eastAsia="Times New Roman" w:hAnsi="Times New Roman" w:cs="Times New Roman"/>
          <w:lang w:eastAsia="lt-LT"/>
        </w:rPr>
        <w:t xml:space="preserve"> atsparias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derinimas su </w:t>
      </w:r>
      <w:proofErr w:type="spellStart"/>
      <w:r>
        <w:rPr>
          <w:rFonts w:ascii="Times New Roman" w:eastAsia="Times New Roman" w:hAnsi="Times New Roman" w:cs="Times New Roman"/>
          <w:lang w:eastAsia="lt-LT"/>
        </w:rPr>
        <w:t>rifampicinu</w:t>
      </w:r>
      <w:proofErr w:type="spellEnd"/>
      <w:r>
        <w:rPr>
          <w:rFonts w:ascii="Times New Roman" w:eastAsia="Times New Roman" w:hAnsi="Times New Roman" w:cs="Times New Roman"/>
          <w:lang w:eastAsia="lt-LT"/>
        </w:rPr>
        <w:t xml:space="preserve"> turi sinerginį poveikį prieš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ir dalinai sinerginį poveikį prieš kai kurias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Kadangi,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skyrimas derinyje su </w:t>
      </w:r>
      <w:proofErr w:type="spellStart"/>
      <w:r>
        <w:rPr>
          <w:rFonts w:ascii="Times New Roman" w:eastAsia="Times New Roman" w:hAnsi="Times New Roman" w:cs="Times New Roman"/>
          <w:lang w:eastAsia="lt-LT"/>
        </w:rPr>
        <w:t>cefalosporinų</w:t>
      </w:r>
      <w:proofErr w:type="spellEnd"/>
      <w:r>
        <w:rPr>
          <w:rFonts w:ascii="Times New Roman" w:eastAsia="Times New Roman" w:hAnsi="Times New Roman" w:cs="Times New Roman"/>
          <w:lang w:eastAsia="lt-LT"/>
        </w:rPr>
        <w:t xml:space="preserve"> taip pat gali turėti antagonistinį poveikį prieš kai kurias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padermes, o skyrimas derinyje su </w:t>
      </w:r>
      <w:proofErr w:type="spellStart"/>
      <w:r>
        <w:rPr>
          <w:rFonts w:ascii="Times New Roman" w:eastAsia="Times New Roman" w:hAnsi="Times New Roman" w:cs="Times New Roman"/>
          <w:lang w:eastAsia="lt-LT"/>
        </w:rPr>
        <w:t>rifampicinu</w:t>
      </w:r>
      <w:proofErr w:type="spellEnd"/>
      <w:r>
        <w:rPr>
          <w:rFonts w:ascii="Times New Roman" w:eastAsia="Times New Roman" w:hAnsi="Times New Roman" w:cs="Times New Roman"/>
          <w:lang w:eastAsia="lt-LT"/>
        </w:rPr>
        <w:t xml:space="preserve"> – prieš kai kurias</w:t>
      </w:r>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padermes, prieš šių vaistinių preparatų derinimą gali būti naudinga atlikti sinergizmo tyrimus.</w:t>
      </w:r>
    </w:p>
    <w:p w14:paraId="51AA0A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37381D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Siekiant identifikuoti organizmus sukėlusius infekciją ir nustatyti jų jautrumą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turi būti paimami ir izoliuojami bakterijų kultūrų mėginiai.</w:t>
      </w:r>
    </w:p>
    <w:p w14:paraId="014811D6"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4E0E93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Jautrumo tyrimų ribos</w:t>
      </w:r>
    </w:p>
    <w:p w14:paraId="03602F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veikia </w:t>
      </w:r>
      <w:proofErr w:type="spellStart"/>
      <w:r>
        <w:rPr>
          <w:rFonts w:ascii="Times New Roman" w:eastAsia="Times New Roman" w:hAnsi="Times New Roman" w:cs="Times New Roman"/>
          <w:lang w:eastAsia="lt-LT"/>
        </w:rPr>
        <w:t>gramteigiamas</w:t>
      </w:r>
      <w:proofErr w:type="spellEnd"/>
      <w:r>
        <w:rPr>
          <w:rFonts w:ascii="Times New Roman" w:eastAsia="Times New Roman" w:hAnsi="Times New Roman" w:cs="Times New Roman"/>
          <w:lang w:eastAsia="lt-LT"/>
        </w:rPr>
        <w:t xml:space="preserve"> bakterijas, tokias kaip stafilokokai, streptokokai, </w:t>
      </w:r>
      <w:proofErr w:type="spellStart"/>
      <w:r>
        <w:rPr>
          <w:rFonts w:ascii="Times New Roman" w:eastAsia="Times New Roman" w:hAnsi="Times New Roman" w:cs="Times New Roman"/>
          <w:lang w:eastAsia="lt-LT"/>
        </w:rPr>
        <w:t>enterokokai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pneumokokai</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klostridijos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Gramneigiamos</w:t>
      </w:r>
      <w:proofErr w:type="spellEnd"/>
      <w:r>
        <w:rPr>
          <w:rFonts w:ascii="Times New Roman" w:eastAsia="Times New Roman" w:hAnsi="Times New Roman" w:cs="Times New Roman"/>
          <w:lang w:eastAsia="lt-LT"/>
        </w:rPr>
        <w:t xml:space="preserve"> bakterijos yra atsparios.</w:t>
      </w:r>
    </w:p>
    <w:p w14:paraId="1C0C7B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7E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Tam tikrų rūšių įgyto atsparumo paplitimas gali skirtis priklausomai nuo geografinės vietos ir laiko, todėl reikia susipažinti su vietine informacija apie atsparumą, ypač gydant sunkias infekcijas. Jeigu vietinis mikroorganizmų atsparumas yra toks, kad vaistinio preparato veiksmingumas kai kurioms infekcijų formoms gydyti yra abejotinas, prireikus galima, kreiptis į ekspertą patarimo. Ši informacija suteikia tik apytiksles gaires dėl mikroorganizmų jautrumo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4D1EEB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9E51A" w14:textId="77777777" w:rsidR="001764C6" w:rsidRDefault="001764C6" w:rsidP="001764C6">
      <w:pPr>
        <w:tabs>
          <w:tab w:val="left" w:pos="567"/>
        </w:tabs>
        <w:spacing w:after="0" w:line="240" w:lineRule="auto"/>
        <w:rPr>
          <w:rFonts w:ascii="Times New Roman" w:eastAsia="Times New Roman" w:hAnsi="Times New Roman" w:cs="Times New Roman"/>
          <w:lang w:val="en-US" w:eastAsia="lt-LT"/>
        </w:rPr>
      </w:pPr>
      <w:r>
        <w:rPr>
          <w:rFonts w:ascii="Times New Roman" w:eastAsia="Times New Roman" w:hAnsi="Times New Roman" w:cs="Times New Roman"/>
          <w:lang w:eastAsia="lt-LT"/>
        </w:rPr>
        <w:t xml:space="preserve">Minimalios </w:t>
      </w:r>
      <w:proofErr w:type="spellStart"/>
      <w:r>
        <w:rPr>
          <w:rFonts w:ascii="Times New Roman" w:eastAsia="Times New Roman" w:hAnsi="Times New Roman" w:cs="Times New Roman"/>
          <w:lang w:eastAsia="lt-LT"/>
        </w:rPr>
        <w:t>inhibicinės</w:t>
      </w:r>
      <w:proofErr w:type="spellEnd"/>
      <w:r>
        <w:rPr>
          <w:rFonts w:ascii="Times New Roman" w:eastAsia="Times New Roman" w:hAnsi="Times New Roman" w:cs="Times New Roman"/>
          <w:lang w:eastAsia="lt-LT"/>
        </w:rPr>
        <w:t xml:space="preserve"> koncentracijos (MIK) ribos nustatytos EUCAST (</w:t>
      </w:r>
      <w:proofErr w:type="spellStart"/>
      <w:r>
        <w:rPr>
          <w:rFonts w:ascii="Times New Roman" w:eastAsia="Times New Roman" w:hAnsi="Times New Roman" w:cs="Times New Roman"/>
          <w:lang w:eastAsia="lt-LT"/>
        </w:rPr>
        <w:t>ang</w:t>
      </w:r>
      <w:proofErr w:type="spellEnd"/>
      <w:r>
        <w:rPr>
          <w:rFonts w:ascii="Times New Roman" w:eastAsia="Times New Roman" w:hAnsi="Times New Roman" w:cs="Times New Roman"/>
          <w:lang w:eastAsia="lt-LT"/>
        </w:rPr>
        <w:t>.</w:t>
      </w:r>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European</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Committee</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on</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Antimicrobial</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Susceptibility</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Testing</w:t>
      </w:r>
      <w:proofErr w:type="spellEnd"/>
      <w:r>
        <w:rPr>
          <w:rFonts w:ascii="Times New Roman" w:eastAsia="Times New Roman" w:hAnsi="Times New Roman" w:cs="Times New Roman"/>
          <w:lang w:eastAsia="lt-LT"/>
        </w:rPr>
        <w:t>) nurodytos toliau (galioja nuo 2022-12-01).</w:t>
      </w:r>
    </w:p>
    <w:p w14:paraId="6616D4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701"/>
        <w:gridCol w:w="1418"/>
      </w:tblGrid>
      <w:tr w:rsidR="001764C6" w14:paraId="2B856A23" w14:textId="77777777" w:rsidTr="001764C6">
        <w:tc>
          <w:tcPr>
            <w:tcW w:w="3827" w:type="dxa"/>
            <w:tcBorders>
              <w:top w:val="single" w:sz="4" w:space="0" w:color="auto"/>
              <w:left w:val="single" w:sz="4" w:space="0" w:color="auto"/>
              <w:bottom w:val="single" w:sz="4" w:space="0" w:color="auto"/>
              <w:right w:val="single" w:sz="4" w:space="0" w:color="auto"/>
            </w:tcBorders>
          </w:tcPr>
          <w:p w14:paraId="14E841EA" w14:textId="77777777" w:rsidR="001764C6" w:rsidRDefault="001764C6">
            <w:pPr>
              <w:spacing w:after="0" w:line="240" w:lineRule="auto"/>
              <w:jc w:val="both"/>
              <w:rPr>
                <w:rFonts w:ascii="Times New Roman" w:eastAsia="Times New Roman" w:hAnsi="Times New Roman" w:cs="Times New Roman"/>
                <w:lang w:eastAsia="en-GB"/>
              </w:rPr>
            </w:pPr>
          </w:p>
        </w:tc>
        <w:tc>
          <w:tcPr>
            <w:tcW w:w="1701" w:type="dxa"/>
            <w:tcBorders>
              <w:top w:val="single" w:sz="4" w:space="0" w:color="auto"/>
              <w:left w:val="single" w:sz="4" w:space="0" w:color="auto"/>
              <w:bottom w:val="single" w:sz="4" w:space="0" w:color="auto"/>
              <w:right w:val="single" w:sz="4" w:space="0" w:color="auto"/>
            </w:tcBorders>
            <w:hideMark/>
          </w:tcPr>
          <w:p w14:paraId="2D357989"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Jautrūs</w:t>
            </w:r>
          </w:p>
        </w:tc>
        <w:tc>
          <w:tcPr>
            <w:tcW w:w="1418" w:type="dxa"/>
            <w:tcBorders>
              <w:top w:val="single" w:sz="4" w:space="0" w:color="auto"/>
              <w:left w:val="single" w:sz="4" w:space="0" w:color="auto"/>
              <w:bottom w:val="single" w:sz="4" w:space="0" w:color="auto"/>
              <w:right w:val="single" w:sz="4" w:space="0" w:color="auto"/>
            </w:tcBorders>
            <w:hideMark/>
          </w:tcPr>
          <w:p w14:paraId="77845A34"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Atsparūs</w:t>
            </w:r>
          </w:p>
        </w:tc>
      </w:tr>
      <w:tr w:rsidR="001764C6" w14:paraId="4647DF57"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8459443"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Aerococcus</w:t>
            </w:r>
            <w:proofErr w:type="spellEnd"/>
            <w:r>
              <w:rPr>
                <w:rFonts w:ascii="Times New Roman" w:eastAsia="Times New Roman" w:hAnsi="Times New Roman" w:cs="Times New Roman"/>
                <w:i/>
                <w:iCs/>
                <w:lang w:eastAsia="en-GB"/>
              </w:rPr>
              <w:t xml:space="preserve"> </w:t>
            </w:r>
            <w:proofErr w:type="spellStart"/>
            <w:r>
              <w:rPr>
                <w:rFonts w:ascii="Times New Roman" w:eastAsia="Times New Roman" w:hAnsi="Times New Roman" w:cs="Times New Roman"/>
                <w:i/>
                <w:iCs/>
                <w:lang w:eastAsia="en-GB"/>
              </w:rPr>
              <w:t>sanguinicola</w:t>
            </w:r>
            <w:proofErr w:type="spellEnd"/>
            <w:r>
              <w:rPr>
                <w:rFonts w:ascii="Times New Roman" w:eastAsia="Times New Roman" w:hAnsi="Times New Roman" w:cs="Times New Roman"/>
                <w:i/>
                <w:iCs/>
                <w:lang w:eastAsia="en-GB"/>
              </w:rPr>
              <w:t xml:space="preserve"> </w:t>
            </w:r>
            <w:r>
              <w:rPr>
                <w:rFonts w:ascii="Times New Roman" w:eastAsia="Times New Roman" w:hAnsi="Times New Roman" w:cs="Times New Roman"/>
                <w:lang w:eastAsia="en-GB"/>
              </w:rPr>
              <w:t xml:space="preserve">ir </w:t>
            </w:r>
            <w:r>
              <w:rPr>
                <w:rFonts w:ascii="Times New Roman" w:eastAsia="Times New Roman" w:hAnsi="Times New Roman" w:cs="Times New Roman"/>
                <w:i/>
                <w:iCs/>
                <w:lang w:eastAsia="en-GB"/>
              </w:rPr>
              <w:t xml:space="preserve">A. </w:t>
            </w:r>
            <w:proofErr w:type="spellStart"/>
            <w:r>
              <w:rPr>
                <w:rFonts w:ascii="Times New Roman" w:eastAsia="Times New Roman" w:hAnsi="Times New Roman" w:cs="Times New Roman"/>
                <w:i/>
                <w:iCs/>
                <w:lang w:eastAsia="en-GB"/>
              </w:rPr>
              <w:t>urinae</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6055961F"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c>
          <w:tcPr>
            <w:tcW w:w="1418" w:type="dxa"/>
            <w:tcBorders>
              <w:top w:val="single" w:sz="4" w:space="0" w:color="auto"/>
              <w:left w:val="single" w:sz="4" w:space="0" w:color="auto"/>
              <w:bottom w:val="single" w:sz="4" w:space="0" w:color="auto"/>
              <w:right w:val="single" w:sz="4" w:space="0" w:color="auto"/>
            </w:tcBorders>
            <w:hideMark/>
          </w:tcPr>
          <w:p w14:paraId="4E6CFD8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r>
      <w:tr w:rsidR="001764C6" w14:paraId="5632EF96"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E4FF3A2"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Bacillus</w:t>
            </w:r>
            <w:proofErr w:type="spellEnd"/>
            <w:r>
              <w:rPr>
                <w:rFonts w:ascii="Times New Roman" w:eastAsia="Times New Roman" w:hAnsi="Times New Roman" w:cs="Times New Roman"/>
                <w:i/>
                <w:iCs/>
                <w:lang w:eastAsia="en-GB"/>
              </w:rPr>
              <w:t xml:space="preserve"> </w:t>
            </w:r>
            <w:proofErr w:type="spellStart"/>
            <w:r>
              <w:rPr>
                <w:rFonts w:ascii="Times New Roman" w:eastAsia="Times New Roman" w:hAnsi="Times New Roman" w:cs="Times New Roman"/>
                <w:i/>
                <w:iCs/>
                <w:lang w:eastAsia="en-GB"/>
              </w:rPr>
              <w:t>anthracis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6C425E5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4929732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r>
      <w:tr w:rsidR="001764C6" w14:paraId="0B05DC7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B1E4094"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Bacillus</w:t>
            </w:r>
            <w:proofErr w:type="spellEnd"/>
            <w:r>
              <w:rPr>
                <w:rFonts w:ascii="Times New Roman" w:eastAsia="Times New Roman" w:hAnsi="Times New Roman" w:cs="Times New Roman"/>
                <w:i/>
                <w:iCs/>
                <w:lang w:eastAsia="en-GB"/>
              </w:rPr>
              <w:t xml:space="preserve"> </w:t>
            </w:r>
            <w:proofErr w:type="spellStart"/>
            <w:r>
              <w:rPr>
                <w:rFonts w:ascii="Times New Roman" w:eastAsia="Times New Roman" w:hAnsi="Times New Roman" w:cs="Times New Roman"/>
                <w:i/>
                <w:iCs/>
                <w:lang w:eastAsia="en-GB"/>
              </w:rPr>
              <w:t>spp</w:t>
            </w:r>
            <w:proofErr w:type="spellEnd"/>
            <w:r>
              <w:rPr>
                <w:rFonts w:ascii="Times New Roman" w:eastAsia="Times New Roman" w:hAnsi="Times New Roman" w:cs="Times New Roman"/>
                <w:i/>
                <w:iCs/>
                <w:lang w:eastAsia="en-GB"/>
              </w:rPr>
              <w:t xml:space="preserve">. išskyrus B. </w:t>
            </w:r>
            <w:proofErr w:type="spellStart"/>
            <w:r>
              <w:rPr>
                <w:rFonts w:ascii="Times New Roman" w:eastAsia="Times New Roman" w:hAnsi="Times New Roman" w:cs="Times New Roman"/>
                <w:i/>
                <w:iCs/>
                <w:lang w:eastAsia="en-GB"/>
              </w:rPr>
              <w:t>anthracis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2A06DF8"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FA794D7"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27B3E885"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AE78B7B"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Clostridium</w:t>
            </w:r>
            <w:proofErr w:type="spellEnd"/>
            <w:r>
              <w:rPr>
                <w:rFonts w:ascii="Times New Roman" w:eastAsia="Times New Roman" w:hAnsi="Times New Roman" w:cs="Times New Roman"/>
                <w:i/>
                <w:iCs/>
                <w:lang w:eastAsia="en-GB"/>
              </w:rPr>
              <w:t xml:space="preserve"> </w:t>
            </w:r>
            <w:proofErr w:type="spellStart"/>
            <w:r>
              <w:rPr>
                <w:rFonts w:ascii="Times New Roman" w:eastAsia="Times New Roman" w:hAnsi="Times New Roman" w:cs="Times New Roman"/>
                <w:i/>
                <w:iCs/>
                <w:lang w:eastAsia="en-GB"/>
              </w:rPr>
              <w:t>perfringens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1FDEEE1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6618EE6"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66DA79B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BEBFD6D"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lastRenderedPageBreak/>
              <w:t>Staphylococcus</w:t>
            </w:r>
            <w:proofErr w:type="spellEnd"/>
            <w:r>
              <w:rPr>
                <w:rFonts w:ascii="Times New Roman" w:eastAsia="Times New Roman" w:hAnsi="Times New Roman" w:cs="Times New Roman"/>
                <w:i/>
                <w:iCs/>
                <w:lang w:eastAsia="en-GB"/>
              </w:rPr>
              <w:t xml:space="preserve"> aureus</w:t>
            </w:r>
            <w:r>
              <w:rPr>
                <w:rFonts w:ascii="Times New Roman" w:eastAsia="Times New Roman" w:hAnsi="Times New Roman" w:cs="Times New Roman"/>
                <w:i/>
                <w:iCs/>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76600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F2F5B9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BFAF9E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667B451A" w14:textId="77777777" w:rsidR="001764C6" w:rsidRDefault="001764C6">
            <w:pPr>
              <w:spacing w:after="0" w:line="240" w:lineRule="auto"/>
              <w:rPr>
                <w:rFonts w:ascii="Times New Roman" w:eastAsia="Times New Roman" w:hAnsi="Times New Roman" w:cs="Times New Roman"/>
                <w:iCs/>
                <w:color w:val="000000"/>
                <w:lang w:eastAsia="en-GB"/>
              </w:rPr>
            </w:pPr>
            <w:proofErr w:type="spellStart"/>
            <w:r>
              <w:rPr>
                <w:rFonts w:ascii="Times New Roman" w:eastAsia="Times New Roman" w:hAnsi="Times New Roman" w:cs="Times New Roman"/>
                <w:iCs/>
                <w:color w:val="000000"/>
                <w:lang w:eastAsia="en-GB"/>
              </w:rPr>
              <w:t>Koagulazės</w:t>
            </w:r>
            <w:proofErr w:type="spellEnd"/>
            <w:r>
              <w:rPr>
                <w:rFonts w:ascii="Times New Roman" w:eastAsia="Times New Roman" w:hAnsi="Times New Roman" w:cs="Times New Roman"/>
                <w:iCs/>
                <w:color w:val="000000"/>
                <w:lang w:eastAsia="en-GB"/>
              </w:rPr>
              <w:t xml:space="preserve"> negaminantys stafilokokai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2216F36E"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65857589"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4 mg/l</w:t>
            </w:r>
          </w:p>
        </w:tc>
      </w:tr>
      <w:tr w:rsidR="001764C6" w14:paraId="6839B7D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652441F" w14:textId="77777777" w:rsidR="001764C6" w:rsidRDefault="001764C6">
            <w:pPr>
              <w:spacing w:after="0" w:line="240" w:lineRule="auto"/>
              <w:rPr>
                <w:rFonts w:ascii="Times New Roman" w:eastAsia="Times New Roman" w:hAnsi="Times New Roman" w:cs="Times New Roman"/>
                <w:i/>
                <w:color w:val="000000"/>
                <w:lang w:eastAsia="en-GB"/>
              </w:rPr>
            </w:pPr>
            <w:proofErr w:type="spellStart"/>
            <w:r>
              <w:rPr>
                <w:rFonts w:ascii="Times New Roman" w:eastAsia="Times New Roman" w:hAnsi="Times New Roman" w:cs="Times New Roman"/>
                <w:i/>
                <w:color w:val="000000"/>
                <w:lang w:eastAsia="en-GB"/>
              </w:rPr>
              <w:t>Cutibacterium</w:t>
            </w:r>
            <w:proofErr w:type="spellEnd"/>
            <w:r>
              <w:rPr>
                <w:rFonts w:ascii="Times New Roman" w:eastAsia="Times New Roman" w:hAnsi="Times New Roman" w:cs="Times New Roman"/>
                <w:i/>
                <w:color w:val="000000"/>
                <w:lang w:eastAsia="en-GB"/>
              </w:rPr>
              <w:t xml:space="preserve"> </w:t>
            </w:r>
            <w:proofErr w:type="spellStart"/>
            <w:r>
              <w:rPr>
                <w:rFonts w:ascii="Times New Roman" w:eastAsia="Times New Roman" w:hAnsi="Times New Roman" w:cs="Times New Roman"/>
                <w:i/>
                <w:color w:val="000000"/>
                <w:lang w:eastAsia="en-GB"/>
              </w:rPr>
              <w:t>acnes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4D0C495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B66F7B4"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31B6B41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4D977C"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
                <w:color w:val="000000"/>
                <w:lang w:eastAsia="en-GB"/>
              </w:rPr>
              <w:t>E. gallinarum</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00B91943"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80ACF1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01E37A5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926BCE7" w14:textId="77777777" w:rsidR="001764C6" w:rsidRDefault="001764C6">
            <w:pPr>
              <w:spacing w:after="0" w:line="240" w:lineRule="auto"/>
              <w:rPr>
                <w:rFonts w:ascii="Times New Roman" w:eastAsia="Times New Roman" w:hAnsi="Times New Roman" w:cs="Times New Roman"/>
                <w:i/>
                <w:color w:val="000000"/>
                <w:lang w:eastAsia="en-GB"/>
              </w:rPr>
            </w:pPr>
            <w:proofErr w:type="spellStart"/>
            <w:r>
              <w:rPr>
                <w:rFonts w:ascii="Times New Roman" w:eastAsia="Times New Roman" w:hAnsi="Times New Roman" w:cs="Times New Roman"/>
                <w:iCs/>
                <w:color w:val="000000"/>
                <w:lang w:eastAsia="en-GB"/>
              </w:rPr>
              <w:t>Enterokokai</w:t>
            </w:r>
            <w:proofErr w:type="spellEnd"/>
            <w:r>
              <w:rPr>
                <w:rFonts w:ascii="Times New Roman" w:eastAsia="Times New Roman" w:hAnsi="Times New Roman" w:cs="Times New Roman"/>
                <w:iCs/>
                <w:color w:val="000000"/>
                <w:lang w:eastAsia="en-GB"/>
              </w:rPr>
              <w:t xml:space="preserve"> išskyrus</w:t>
            </w:r>
            <w:r>
              <w:rPr>
                <w:rFonts w:ascii="Times New Roman" w:eastAsia="Times New Roman" w:hAnsi="Times New Roman" w:cs="Times New Roman"/>
                <w:i/>
                <w:color w:val="000000"/>
                <w:lang w:eastAsia="en-GB"/>
              </w:rPr>
              <w:t xml:space="preserve"> E. casseliflavus</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6E29C3C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347BB26"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3972ED3A"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ED95E22"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Cs/>
                <w:color w:val="000000"/>
                <w:lang w:eastAsia="en-GB"/>
              </w:rPr>
              <w:t>Streptococcus</w:t>
            </w:r>
            <w:proofErr w:type="spellEnd"/>
            <w:r>
              <w:rPr>
                <w:rFonts w:ascii="Times New Roman" w:eastAsia="Times New Roman" w:hAnsi="Times New Roman" w:cs="Times New Roman"/>
                <w:iCs/>
                <w:color w:val="000000"/>
                <w:lang w:eastAsia="en-GB"/>
              </w:rPr>
              <w:t xml:space="preserve"> A, B, C ir G</w:t>
            </w:r>
            <w:r>
              <w:rPr>
                <w:rFonts w:ascii="Times New Roman" w:eastAsia="Times New Roman" w:hAnsi="Times New Roman" w:cs="Times New Roman"/>
                <w:iCs/>
                <w:color w:val="000000"/>
                <w:vertAlign w:val="superscript"/>
                <w:lang w:eastAsia="en-GB"/>
              </w:rPr>
              <w:t>1</w:t>
            </w:r>
            <w:r>
              <w:rPr>
                <w:rFonts w:ascii="Times New Roman" w:eastAsia="Times New Roman" w:hAnsi="Times New Roman" w:cs="Times New Roman"/>
                <w:iCs/>
                <w:color w:val="000000"/>
                <w:lang w:eastAsia="en-GB"/>
              </w:rPr>
              <w:t xml:space="preserve"> grupės</w:t>
            </w:r>
          </w:p>
        </w:tc>
        <w:tc>
          <w:tcPr>
            <w:tcW w:w="1701" w:type="dxa"/>
            <w:tcBorders>
              <w:top w:val="single" w:sz="4" w:space="0" w:color="auto"/>
              <w:left w:val="single" w:sz="4" w:space="0" w:color="auto"/>
              <w:bottom w:val="single" w:sz="4" w:space="0" w:color="auto"/>
              <w:right w:val="single" w:sz="4" w:space="0" w:color="auto"/>
            </w:tcBorders>
            <w:hideMark/>
          </w:tcPr>
          <w:p w14:paraId="43FD01D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5C3D5F03"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1D21C34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039C92" w14:textId="77777777" w:rsidR="001764C6" w:rsidRDefault="001764C6">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Streptococcus</w:t>
            </w:r>
            <w:proofErr w:type="spellEnd"/>
            <w:r>
              <w:rPr>
                <w:rFonts w:ascii="Times New Roman" w:eastAsia="Times New Roman" w:hAnsi="Times New Roman" w:cs="Times New Roman"/>
                <w:i/>
                <w:iCs/>
                <w:lang w:eastAsia="en-GB"/>
              </w:rPr>
              <w:t xml:space="preserve"> pneumoniae</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A9A3FF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A95BA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051540E"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34D6CC3" w14:textId="77777777" w:rsidR="001764C6" w:rsidRDefault="001764C6">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Viridans</w:t>
            </w:r>
            <w:proofErr w:type="spellEnd"/>
            <w:r>
              <w:rPr>
                <w:rFonts w:ascii="Times New Roman" w:eastAsia="Times New Roman" w:hAnsi="Times New Roman" w:cs="Times New Roman"/>
                <w:iCs/>
                <w:lang w:eastAsia="en-GB"/>
              </w:rPr>
              <w:t xml:space="preserve"> grupės streptokokai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3C5232E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876CAD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191D9DF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B1279C7" w14:textId="77777777" w:rsidR="001764C6" w:rsidRDefault="001764C6">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Clostridioides</w:t>
            </w:r>
            <w:proofErr w:type="spellEnd"/>
            <w:r>
              <w:rPr>
                <w:rFonts w:ascii="Times New Roman" w:eastAsia="Times New Roman" w:hAnsi="Times New Roman" w:cs="Times New Roman"/>
                <w:i/>
                <w:lang w:eastAsia="en-GB"/>
              </w:rPr>
              <w:t xml:space="preserve"> difficile</w:t>
            </w:r>
            <w:r>
              <w:rPr>
                <w:rFonts w:ascii="Times New Roman" w:eastAsia="Times New Roman" w:hAnsi="Times New Roman" w:cs="Times New Roman"/>
                <w:iCs/>
                <w:vertAlign w:val="superscript"/>
                <w:lang w:eastAsia="en-GB"/>
              </w:rPr>
              <w:t>2</w:t>
            </w:r>
          </w:p>
        </w:tc>
        <w:tc>
          <w:tcPr>
            <w:tcW w:w="1701" w:type="dxa"/>
            <w:tcBorders>
              <w:top w:val="single" w:sz="4" w:space="0" w:color="auto"/>
              <w:left w:val="single" w:sz="4" w:space="0" w:color="auto"/>
              <w:bottom w:val="single" w:sz="4" w:space="0" w:color="auto"/>
              <w:right w:val="single" w:sz="4" w:space="0" w:color="auto"/>
            </w:tcBorders>
            <w:hideMark/>
          </w:tcPr>
          <w:p w14:paraId="5ED66E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3679DC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04FABD0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2040B936" w14:textId="77777777" w:rsidR="001764C6" w:rsidRDefault="001764C6">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Corynebacterium</w:t>
            </w:r>
            <w:proofErr w:type="spellEnd"/>
            <w:r>
              <w:rPr>
                <w:rFonts w:ascii="Times New Roman" w:eastAsia="Times New Roman" w:hAnsi="Times New Roman" w:cs="Times New Roman"/>
                <w:iCs/>
                <w:lang w:eastAsia="en-GB"/>
              </w:rPr>
              <w:t xml:space="preserve"> </w:t>
            </w:r>
            <w:proofErr w:type="spellStart"/>
            <w:r>
              <w:rPr>
                <w:rFonts w:ascii="Times New Roman" w:eastAsia="Times New Roman" w:hAnsi="Times New Roman" w:cs="Times New Roman"/>
                <w:iCs/>
                <w:lang w:eastAsia="en-GB"/>
              </w:rPr>
              <w:t>spp</w:t>
            </w:r>
            <w:proofErr w:type="spellEnd"/>
            <w:r>
              <w:rPr>
                <w:rFonts w:ascii="Times New Roman" w:eastAsia="Times New Roman" w:hAnsi="Times New Roman" w:cs="Times New Roman"/>
                <w:iCs/>
                <w:lang w:eastAsia="en-GB"/>
              </w:rPr>
              <w:t>. išskyrus</w:t>
            </w:r>
            <w:r>
              <w:rPr>
                <w:rFonts w:ascii="Times New Roman" w:eastAsia="Times New Roman" w:hAnsi="Times New Roman" w:cs="Times New Roman"/>
                <w:i/>
                <w:iCs/>
                <w:lang w:eastAsia="en-GB"/>
              </w:rPr>
              <w:t xml:space="preserve"> C. </w:t>
            </w:r>
            <w:proofErr w:type="spellStart"/>
            <w:r>
              <w:rPr>
                <w:rFonts w:ascii="Times New Roman" w:eastAsia="Times New Roman" w:hAnsi="Times New Roman" w:cs="Times New Roman"/>
                <w:i/>
                <w:iCs/>
                <w:lang w:eastAsia="en-GB"/>
              </w:rPr>
              <w:t>diphtheriae</w:t>
            </w:r>
            <w:proofErr w:type="spellEnd"/>
            <w:r>
              <w:rPr>
                <w:rFonts w:ascii="Times New Roman" w:eastAsia="Times New Roman" w:hAnsi="Times New Roman" w:cs="Times New Roman"/>
                <w:i/>
                <w:iCs/>
                <w:lang w:eastAsia="en-GB"/>
              </w:rPr>
              <w:t xml:space="preserve"> </w:t>
            </w:r>
            <w:r>
              <w:rPr>
                <w:rFonts w:ascii="Times New Roman" w:eastAsia="Times New Roman" w:hAnsi="Times New Roman" w:cs="Times New Roman"/>
                <w:iCs/>
                <w:lang w:eastAsia="en-GB"/>
              </w:rPr>
              <w:t>ir</w:t>
            </w:r>
            <w:r>
              <w:rPr>
                <w:rFonts w:ascii="Times New Roman" w:eastAsia="Times New Roman" w:hAnsi="Times New Roman" w:cs="Times New Roman"/>
                <w:i/>
                <w:iCs/>
                <w:lang w:eastAsia="en-GB"/>
              </w:rPr>
              <w:t xml:space="preserve"> C. </w:t>
            </w:r>
            <w:proofErr w:type="spellStart"/>
            <w:r>
              <w:rPr>
                <w:rFonts w:ascii="Times New Roman" w:eastAsia="Times New Roman" w:hAnsi="Times New Roman" w:cs="Times New Roman"/>
                <w:i/>
                <w:iCs/>
                <w:lang w:eastAsia="en-GB"/>
              </w:rPr>
              <w:t>ulcerans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6E0E08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2B76BB4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bl>
    <w:p w14:paraId="223183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 xml:space="preserve">1 </w:t>
      </w:r>
      <w:r>
        <w:rPr>
          <w:rFonts w:ascii="Times New Roman" w:eastAsia="Times New Roman" w:hAnsi="Times New Roman" w:cs="Times New Roman"/>
          <w:lang w:eastAsia="lt-LT"/>
        </w:rPr>
        <w:t>Nejautrios išskirtos padermės pasitaiko retai arba apie jas dar nepranešta. Reikia patvirtinti bet kokios tokios išskirtos padermės identifikavimo ir antimikrobinio jautrumo tyrimo rezultatus ir išskirtą padermę nusiųsti į referentinę laboratoriją.</w:t>
      </w:r>
    </w:p>
    <w:p w14:paraId="6094E2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Jautrumo ribos yra paremtos epidemiologinėmis ribinėmis reikšmėmis (</w:t>
      </w:r>
      <w:proofErr w:type="spellStart"/>
      <w:r>
        <w:rPr>
          <w:rFonts w:ascii="Times New Roman" w:eastAsia="Times New Roman" w:hAnsi="Times New Roman" w:cs="Times New Roman"/>
          <w:i/>
          <w:iCs/>
          <w:lang w:eastAsia="lt-LT"/>
        </w:rPr>
        <w:t>epidemiological</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cut-off</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values</w:t>
      </w:r>
      <w:proofErr w:type="spellEnd"/>
      <w:r>
        <w:rPr>
          <w:rFonts w:ascii="Times New Roman" w:eastAsia="Times New Roman" w:hAnsi="Times New Roman" w:cs="Times New Roman"/>
          <w:lang w:eastAsia="lt-LT"/>
        </w:rPr>
        <w:t xml:space="preserve">, ECOFF) ir taikomos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vartojant per burną </w:t>
      </w:r>
      <w:r>
        <w:rPr>
          <w:rFonts w:ascii="Times New Roman" w:eastAsia="Times New Roman" w:hAnsi="Times New Roman" w:cs="Times New Roman"/>
          <w:i/>
          <w:iCs/>
          <w:lang w:eastAsia="lt-LT"/>
        </w:rPr>
        <w:t xml:space="preserve">C.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infekcijai gydyti. Klinikinių duomenų, kuriais remiantis būtų galima daryti galutines išvadas dėl MIK ir baigčių ryšio, nėra.</w:t>
      </w:r>
    </w:p>
    <w:p w14:paraId="4ABC8F7B" w14:textId="77777777" w:rsidR="001764C6" w:rsidRDefault="001764C6" w:rsidP="001764C6">
      <w:pPr>
        <w:tabs>
          <w:tab w:val="left" w:pos="567"/>
        </w:tabs>
        <w:spacing w:after="0" w:line="240" w:lineRule="auto"/>
        <w:rPr>
          <w:rFonts w:ascii="Times New Roman" w:eastAsia="Times New Roman" w:hAnsi="Times New Roman" w:cs="Times New Roman"/>
          <w:vertAlign w:val="superscript"/>
          <w:lang w:eastAsia="lt-LT"/>
        </w:rPr>
      </w:pPr>
      <w:r>
        <w:rPr>
          <w:rFonts w:ascii="Times New Roman" w:eastAsia="Times New Roman" w:hAnsi="Times New Roman" w:cs="Times New Roman"/>
          <w:vertAlign w:val="superscript"/>
          <w:lang w:eastAsia="lt-LT"/>
        </w:rPr>
        <w:t xml:space="preserve">3 </w:t>
      </w:r>
      <w:r>
        <w:rPr>
          <w:rFonts w:ascii="Times New Roman" w:eastAsia="Times New Roman" w:hAnsi="Times New Roman" w:cs="Times New Roman"/>
          <w:lang w:eastAsia="lt-LT"/>
        </w:rPr>
        <w:t xml:space="preserve">Atsparumas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yra tikėtinas E. </w:t>
      </w:r>
      <w:proofErr w:type="spellStart"/>
      <w:r>
        <w:rPr>
          <w:rFonts w:ascii="Times New Roman" w:eastAsia="Times New Roman" w:hAnsi="Times New Roman" w:cs="Times New Roman"/>
          <w:lang w:eastAsia="lt-LT"/>
        </w:rPr>
        <w:t>casseliflavus</w:t>
      </w:r>
      <w:proofErr w:type="spellEnd"/>
      <w:r>
        <w:rPr>
          <w:rFonts w:ascii="Times New Roman" w:eastAsia="Times New Roman" w:hAnsi="Times New Roman" w:cs="Times New Roman"/>
          <w:lang w:eastAsia="lt-LT"/>
        </w:rPr>
        <w:t xml:space="preserve"> ir E. </w:t>
      </w:r>
      <w:proofErr w:type="spellStart"/>
      <w:r>
        <w:rPr>
          <w:rFonts w:ascii="Times New Roman" w:eastAsia="Times New Roman" w:hAnsi="Times New Roman" w:cs="Times New Roman"/>
          <w:lang w:eastAsia="lt-LT"/>
        </w:rPr>
        <w:t>gallinarum</w:t>
      </w:r>
      <w:proofErr w:type="spellEnd"/>
      <w:r>
        <w:rPr>
          <w:rFonts w:ascii="Times New Roman" w:eastAsia="Times New Roman" w:hAnsi="Times New Roman" w:cs="Times New Roman"/>
          <w:lang w:eastAsia="lt-LT"/>
        </w:rPr>
        <w:t xml:space="preserve"> fenotipams, todėl jautrumo tyrimai neturėtų būti atliekami.</w:t>
      </w:r>
    </w:p>
    <w:p w14:paraId="3ED934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1"/>
        <w:tblW w:w="0" w:type="auto"/>
        <w:tblLook w:val="04A0" w:firstRow="1" w:lastRow="0" w:firstColumn="1" w:lastColumn="0" w:noHBand="0" w:noVBand="1"/>
      </w:tblPr>
      <w:tblGrid>
        <w:gridCol w:w="9060"/>
      </w:tblGrid>
      <w:tr w:rsidR="001764C6" w14:paraId="02CEDA06"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DADE24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Įprastai jautrios rūšys</w:t>
            </w:r>
          </w:p>
        </w:tc>
      </w:tr>
      <w:tr w:rsidR="001764C6" w:rsidRPr="001764C6" w14:paraId="1A9E047D"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548EC0F1" w14:textId="77777777" w:rsidR="001764C6" w:rsidRDefault="001764C6">
            <w:pPr>
              <w:tabs>
                <w:tab w:val="left" w:pos="567"/>
              </w:tabs>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Gramteigiami</w:t>
            </w:r>
            <w:proofErr w:type="spellEnd"/>
          </w:p>
          <w:p w14:paraId="038CB034"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faecalis</w:t>
            </w:r>
            <w:proofErr w:type="spellEnd"/>
          </w:p>
          <w:p w14:paraId="47506C6B"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p>
          <w:p w14:paraId="735C212E"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lang w:eastAsia="lt-LT"/>
              </w:rPr>
              <w:t>Meticilinui</w:t>
            </w:r>
            <w:proofErr w:type="spellEnd"/>
            <w:r>
              <w:rPr>
                <w:rFonts w:ascii="Times New Roman" w:eastAsia="Times New Roman" w:hAnsi="Times New Roman" w:cs="Times New Roman"/>
                <w:lang w:eastAsia="lt-LT"/>
              </w:rPr>
              <w:t xml:space="preserve"> atsparūs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p>
          <w:p w14:paraId="3071D986" w14:textId="77777777" w:rsidR="001764C6" w:rsidRDefault="001764C6">
            <w:pPr>
              <w:tabs>
                <w:tab w:val="left" w:pos="567"/>
              </w:tabs>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Koagulazės</w:t>
            </w:r>
            <w:proofErr w:type="spellEnd"/>
            <w:r>
              <w:rPr>
                <w:rFonts w:ascii="Times New Roman" w:eastAsia="Times New Roman" w:hAnsi="Times New Roman" w:cs="Times New Roman"/>
                <w:lang w:eastAsia="lt-LT"/>
              </w:rPr>
              <w:t xml:space="preserve"> negaminantys stafilokokai</w:t>
            </w:r>
          </w:p>
          <w:p w14:paraId="1AB2AE3E"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53D33BB7"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pneumoniae</w:t>
            </w:r>
            <w:proofErr w:type="spellEnd"/>
          </w:p>
          <w:p w14:paraId="69A6C859"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Enteroccocus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3E60FB9D"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29A1847D" w14:textId="77777777" w:rsidR="001764C6" w:rsidRDefault="001764C6">
            <w:pPr>
              <w:tabs>
                <w:tab w:val="left" w:pos="567"/>
              </w:tabs>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Anaerobai</w:t>
            </w:r>
            <w:proofErr w:type="spellEnd"/>
          </w:p>
          <w:p w14:paraId="346469B5"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išskyrus </w:t>
            </w: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innocuum</w:t>
            </w:r>
            <w:proofErr w:type="spellEnd"/>
          </w:p>
          <w:p w14:paraId="0B38045F"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Eubacterium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7F0C6C27" w14:textId="77777777" w:rsidR="001764C6" w:rsidRDefault="001764C6">
            <w:pPr>
              <w:tabs>
                <w:tab w:val="left" w:pos="567"/>
              </w:tabs>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Peptostreptococcus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tc>
      </w:tr>
      <w:tr w:rsidR="001764C6" w:rsidRPr="001764C6" w14:paraId="2C90DD84"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3B1EEDAD"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Mikroorganizmai, kurių įgytas atsparumas gali kelti problemų</w:t>
            </w:r>
          </w:p>
        </w:tc>
      </w:tr>
      <w:tr w:rsidR="001764C6" w14:paraId="1F0F1F3C"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4C8ED85C" w14:textId="77777777" w:rsidR="001764C6" w:rsidRDefault="001764C6">
            <w:pPr>
              <w:tabs>
                <w:tab w:val="left" w:pos="567"/>
              </w:tabs>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faecium</w:t>
            </w:r>
            <w:proofErr w:type="spellEnd"/>
          </w:p>
        </w:tc>
      </w:tr>
      <w:tr w:rsidR="001764C6" w14:paraId="5A6257AF"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22E042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Natūraliai atsparūs</w:t>
            </w:r>
          </w:p>
        </w:tc>
      </w:tr>
      <w:tr w:rsidR="001764C6" w14:paraId="1E244ABB" w14:textId="77777777" w:rsidTr="001764C6">
        <w:tc>
          <w:tcPr>
            <w:tcW w:w="9060" w:type="dxa"/>
            <w:tcBorders>
              <w:top w:val="single" w:sz="4" w:space="0" w:color="auto"/>
              <w:left w:val="single" w:sz="4" w:space="0" w:color="auto"/>
              <w:bottom w:val="single" w:sz="4" w:space="0" w:color="auto"/>
              <w:right w:val="single" w:sz="4" w:space="0" w:color="auto"/>
            </w:tcBorders>
          </w:tcPr>
          <w:p w14:paraId="09CAB6A9"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Visos </w:t>
            </w:r>
            <w:proofErr w:type="spellStart"/>
            <w:r>
              <w:rPr>
                <w:rFonts w:ascii="Times New Roman" w:eastAsia="Times New Roman" w:hAnsi="Times New Roman" w:cs="Times New Roman"/>
                <w:b/>
                <w:bCs/>
                <w:lang w:eastAsia="lt-LT"/>
              </w:rPr>
              <w:t>gramneigiamos</w:t>
            </w:r>
            <w:proofErr w:type="spellEnd"/>
            <w:r>
              <w:rPr>
                <w:rFonts w:ascii="Times New Roman" w:eastAsia="Times New Roman" w:hAnsi="Times New Roman" w:cs="Times New Roman"/>
                <w:b/>
                <w:bCs/>
                <w:lang w:eastAsia="lt-LT"/>
              </w:rPr>
              <w:t xml:space="preserve"> bakterijos</w:t>
            </w:r>
          </w:p>
          <w:p w14:paraId="40CE1BF4" w14:textId="77777777" w:rsidR="001764C6" w:rsidRDefault="001764C6">
            <w:pPr>
              <w:tabs>
                <w:tab w:val="left" w:pos="567"/>
              </w:tabs>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Gramteigiami</w:t>
            </w:r>
            <w:proofErr w:type="spellEnd"/>
            <w:r>
              <w:rPr>
                <w:rFonts w:ascii="Times New Roman" w:eastAsia="Times New Roman" w:hAnsi="Times New Roman" w:cs="Times New Roman"/>
                <w:b/>
                <w:bCs/>
                <w:lang w:eastAsia="lt-LT"/>
              </w:rPr>
              <w:t xml:space="preserve"> </w:t>
            </w:r>
            <w:proofErr w:type="spellStart"/>
            <w:r>
              <w:rPr>
                <w:rFonts w:ascii="Times New Roman" w:eastAsia="Times New Roman" w:hAnsi="Times New Roman" w:cs="Times New Roman"/>
                <w:b/>
                <w:bCs/>
                <w:lang w:eastAsia="lt-LT"/>
              </w:rPr>
              <w:t>aerobai</w:t>
            </w:r>
            <w:proofErr w:type="spellEnd"/>
          </w:p>
          <w:p w14:paraId="3E134013"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Erysipelothrix</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rhusiopathiae</w:t>
            </w:r>
            <w:proofErr w:type="spellEnd"/>
            <w:r>
              <w:rPr>
                <w:rFonts w:ascii="Times New Roman" w:eastAsia="Times New Roman" w:hAnsi="Times New Roman" w:cs="Times New Roman"/>
                <w:i/>
                <w:iCs/>
                <w:lang w:eastAsia="lt-LT"/>
              </w:rPr>
              <w:t>,</w:t>
            </w:r>
          </w:p>
          <w:p w14:paraId="038DE9FB"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Heterofermentative</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Lactobacillus</w:t>
            </w:r>
            <w:proofErr w:type="spellEnd"/>
            <w:r>
              <w:rPr>
                <w:rFonts w:ascii="Times New Roman" w:eastAsia="Times New Roman" w:hAnsi="Times New Roman" w:cs="Times New Roman"/>
                <w:i/>
                <w:iCs/>
                <w:lang w:eastAsia="lt-LT"/>
              </w:rPr>
              <w:t>,</w:t>
            </w:r>
          </w:p>
          <w:p w14:paraId="7655E3D3" w14:textId="77777777" w:rsidR="001764C6" w:rsidRDefault="001764C6">
            <w:pPr>
              <w:tabs>
                <w:tab w:val="left" w:pos="567"/>
              </w:tabs>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Leuconostoc</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lang w:eastAsia="lt-LT"/>
              </w:rPr>
              <w:t>.</w:t>
            </w:r>
          </w:p>
          <w:p w14:paraId="581204D8" w14:textId="77777777" w:rsidR="001764C6" w:rsidRDefault="001764C6">
            <w:pPr>
              <w:tabs>
                <w:tab w:val="left" w:pos="567"/>
              </w:tabs>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Pediococcus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4650C196" w14:textId="77777777" w:rsidR="001764C6" w:rsidRDefault="001764C6">
            <w:pPr>
              <w:tabs>
                <w:tab w:val="left" w:pos="567"/>
              </w:tabs>
              <w:rPr>
                <w:rFonts w:ascii="Times New Roman" w:eastAsia="Times New Roman" w:hAnsi="Times New Roman" w:cs="Times New Roman"/>
                <w:b/>
                <w:bCs/>
                <w:lang w:eastAsia="lt-LT"/>
              </w:rPr>
            </w:pPr>
          </w:p>
          <w:p w14:paraId="231F7FA5" w14:textId="77777777" w:rsidR="001764C6" w:rsidRDefault="001764C6">
            <w:pPr>
              <w:tabs>
                <w:tab w:val="left" w:pos="567"/>
              </w:tabs>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Anaerobai</w:t>
            </w:r>
            <w:proofErr w:type="spellEnd"/>
          </w:p>
          <w:p w14:paraId="0A70A2DA" w14:textId="77777777" w:rsidR="001764C6" w:rsidRDefault="001764C6">
            <w:pPr>
              <w:tabs>
                <w:tab w:val="left" w:pos="567"/>
              </w:tabs>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innocuum</w:t>
            </w:r>
            <w:proofErr w:type="spellEnd"/>
          </w:p>
        </w:tc>
      </w:tr>
      <w:tr w:rsidR="001764C6" w14:paraId="32B9B792"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7153B0FC" w14:textId="77777777" w:rsidR="001764C6" w:rsidRDefault="001764C6">
            <w:pPr>
              <w:tabs>
                <w:tab w:val="left" w:pos="567"/>
              </w:tabs>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Atsparumas </w:t>
            </w:r>
            <w:proofErr w:type="spellStart"/>
            <w:r>
              <w:rPr>
                <w:rFonts w:ascii="Times New Roman" w:eastAsia="Times New Roman" w:hAnsi="Times New Roman" w:cs="Times New Roman"/>
                <w:bCs/>
                <w:lang w:eastAsia="lt-LT"/>
              </w:rPr>
              <w:t>vankomicinui</w:t>
            </w:r>
            <w:proofErr w:type="spellEnd"/>
            <w:r>
              <w:rPr>
                <w:rFonts w:ascii="Times New Roman" w:eastAsia="Times New Roman" w:hAnsi="Times New Roman" w:cs="Times New Roman"/>
                <w:bCs/>
                <w:lang w:eastAsia="lt-LT"/>
              </w:rPr>
              <w:t xml:space="preserve"> skirtingose ligoninėse gali skirtis, todėl rekomenduojama pasikonsultuoti su vietine mikrobiologijos laboratorija dėl vietinės informacijos.</w:t>
            </w:r>
          </w:p>
        </w:tc>
      </w:tr>
    </w:tbl>
    <w:p w14:paraId="19C437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A446CB" w14:textId="77777777" w:rsidR="001764C6" w:rsidRDefault="001764C6" w:rsidP="001764C6">
      <w:pPr>
        <w:numPr>
          <w:ilvl w:val="1"/>
          <w:numId w:val="8"/>
        </w:numPr>
        <w:tabs>
          <w:tab w:val="left" w:pos="567"/>
          <w:tab w:val="num" w:pos="1440"/>
        </w:tabs>
        <w:overflowPunct w:val="0"/>
        <w:autoSpaceDE w:val="0"/>
        <w:autoSpaceDN w:val="0"/>
        <w:adjustRightInd w:val="0"/>
        <w:spacing w:after="0" w:line="240" w:lineRule="auto"/>
        <w:textAlignment w:val="baseline"/>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Farmakokinetinės</w:t>
      </w:r>
      <w:proofErr w:type="spellEnd"/>
      <w:r>
        <w:rPr>
          <w:rFonts w:ascii="Times New Roman" w:eastAsia="Times New Roman" w:hAnsi="Times New Roman" w:cs="Times New Roman"/>
          <w:b/>
          <w:lang w:eastAsia="lt-LT"/>
        </w:rPr>
        <w:t xml:space="preserve"> savybės</w:t>
      </w:r>
    </w:p>
    <w:p w14:paraId="143C8C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1E5D6A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Absorbcija</w:t>
      </w:r>
    </w:p>
    <w:p w14:paraId="19696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Gydant sistemines infekcines ligas,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leidžiamas į veną.</w:t>
      </w:r>
    </w:p>
    <w:p w14:paraId="7AB063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EFFF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paciento inkstų funkcija normali, kartotines 1 g (15 mg/kg)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dozes sulašinus į veną per 60 minučių, vidutinė koncentracija kraujo plazmoje tuoj pat po infuzijos pabaigos ir praėjus 2 val. </w:t>
      </w:r>
      <w:r>
        <w:rPr>
          <w:rFonts w:ascii="Times New Roman" w:eastAsia="Times New Roman" w:hAnsi="Times New Roman" w:cs="Times New Roman"/>
          <w:lang w:eastAsia="lt-LT"/>
        </w:rPr>
        <w:lastRenderedPageBreak/>
        <w:t>bei 11 val. po infuzijos būna atitinkamai 50–60 mg/l, 20–25 mg/l ir 5–10 mg/l. Po kartotinų dozių infuzijos koncentracija kraujo plazmoje būna panaši į atsirandančią po vienkartinės dozės infuzijos.</w:t>
      </w:r>
    </w:p>
    <w:p w14:paraId="21265BC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579AB1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Paprastai per burną pavartotas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kraują nėra absorbuojamas. Vis dėlto absorbcija gali pasireikšti, jei vaistinį preparatą per burną vartoja (</w:t>
      </w:r>
      <w:proofErr w:type="spellStart"/>
      <w:r>
        <w:rPr>
          <w:rFonts w:ascii="Times New Roman" w:eastAsia="Times New Roman" w:hAnsi="Times New Roman" w:cs="Times New Roman"/>
          <w:lang w:eastAsia="lt-LT"/>
        </w:rPr>
        <w:t>pseudomembraniniu</w:t>
      </w:r>
      <w:proofErr w:type="spellEnd"/>
      <w:r>
        <w:rPr>
          <w:rFonts w:ascii="Times New Roman" w:eastAsia="Times New Roman" w:hAnsi="Times New Roman" w:cs="Times New Roman"/>
          <w:lang w:eastAsia="lt-LT"/>
        </w:rPr>
        <w:t xml:space="preserve">) kolitu sergantis pacientas. Dėl to pacientų, kurių inkstų funkcija sutrikusi, organizme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w:t>
      </w:r>
    </w:p>
    <w:p w14:paraId="648D440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A76969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Pasiskirstymas</w:t>
      </w:r>
    </w:p>
    <w:p w14:paraId="527C93A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Pasiskirstymo tūris yra apie 60 l / 1,73 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kūno paviršiaus ploto. Kai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yra 10–100 mg/l, prie kraujo plazmos baltymų jo prisijungia maždaug 30-55% (nustatyta </w:t>
      </w:r>
      <w:proofErr w:type="spellStart"/>
      <w:r>
        <w:rPr>
          <w:rFonts w:ascii="Times New Roman" w:eastAsia="Times New Roman" w:hAnsi="Times New Roman" w:cs="Times New Roman"/>
          <w:lang w:eastAsia="lt-LT"/>
        </w:rPr>
        <w:t>ultrafiltracija</w:t>
      </w:r>
      <w:proofErr w:type="spellEnd"/>
      <w:r>
        <w:rPr>
          <w:rFonts w:ascii="Times New Roman" w:eastAsia="Times New Roman" w:hAnsi="Times New Roman" w:cs="Times New Roman"/>
          <w:lang w:eastAsia="lt-LT"/>
        </w:rPr>
        <w:t>).</w:t>
      </w:r>
    </w:p>
    <w:p w14:paraId="10390A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lengvai pereina placentą ir yra paskirstomas į virkštelės kraujotaką. Į uždegimo neapimtus smegenų dangalus per kraujo ir smegenų barjerą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prasiskverbia mažai.</w:t>
      </w:r>
    </w:p>
    <w:p w14:paraId="7763A08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4120A6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Biotransformacija</w:t>
      </w:r>
      <w:proofErr w:type="spellEnd"/>
    </w:p>
    <w:p w14:paraId="0325BD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Organizme vaistinio preparato </w:t>
      </w:r>
      <w:proofErr w:type="spellStart"/>
      <w:r>
        <w:rPr>
          <w:rFonts w:ascii="Times New Roman" w:eastAsia="Times New Roman" w:hAnsi="Times New Roman" w:cs="Times New Roman"/>
          <w:lang w:eastAsia="lt-LT"/>
        </w:rPr>
        <w:t>metabolizuojama</w:t>
      </w:r>
      <w:proofErr w:type="spellEnd"/>
      <w:r>
        <w:rPr>
          <w:rFonts w:ascii="Times New Roman" w:eastAsia="Times New Roman" w:hAnsi="Times New Roman" w:cs="Times New Roman"/>
          <w:lang w:eastAsia="lt-LT"/>
        </w:rPr>
        <w:t xml:space="preserve"> labai mažai. Vartojant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jis beveik pilnai šalinamas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inkstuose būdu </w:t>
      </w:r>
      <w:proofErr w:type="spellStart"/>
      <w:r>
        <w:rPr>
          <w:rFonts w:ascii="Times New Roman" w:eastAsia="Times New Roman" w:hAnsi="Times New Roman" w:cs="Times New Roman"/>
          <w:lang w:eastAsia="lt-LT"/>
        </w:rPr>
        <w:t>mikrobiologiškai</w:t>
      </w:r>
      <w:proofErr w:type="spellEnd"/>
      <w:r>
        <w:rPr>
          <w:rFonts w:ascii="Times New Roman" w:eastAsia="Times New Roman" w:hAnsi="Times New Roman" w:cs="Times New Roman"/>
          <w:lang w:eastAsia="lt-LT"/>
        </w:rPr>
        <w:t xml:space="preserve"> aktyvios veikliosios medžiagos formoje (apie 75-90% per 24 valandas).</w:t>
      </w:r>
    </w:p>
    <w:p w14:paraId="59D4645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Eliminacija</w:t>
      </w:r>
    </w:p>
    <w:p w14:paraId="441931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Pacientų, kurių inkstų funkcija normali, organizme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yra 4–6 val., vaikų - 2,2–3 val. Plazmos klirensas yra apie 0,058 l/kg/val., inkstų klirensas – apie 0,048 l/kg/val. Maždaug 80% suvartotos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būdu išsiskiria su šlapimu per pirmas 24 valandas. Inkstų funkcijos sutrikimas sulėtina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išsiskyrimą.</w:t>
      </w:r>
    </w:p>
    <w:p w14:paraId="157B7D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Pacientų, kurių inkstai nefunkcionuoja, organizme vidutinis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yra 7,5 paros. Dėl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tokiais atvejais papildomai turi būti nustatoma jo koncentracija plazmoje.</w:t>
      </w:r>
    </w:p>
    <w:p w14:paraId="3D9D2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77372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Šalinimas su tulžimi yra nereikšmingas (mažiau nei 5% vaistinio preparato dozės).</w:t>
      </w:r>
    </w:p>
    <w:p w14:paraId="658C7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005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hemodializės ar </w:t>
      </w:r>
      <w:proofErr w:type="spellStart"/>
      <w:r>
        <w:rPr>
          <w:rFonts w:ascii="Times New Roman" w:eastAsia="Times New Roman" w:hAnsi="Times New Roman" w:cs="Times New Roman"/>
          <w:lang w:eastAsia="lt-LT"/>
        </w:rPr>
        <w:t>peritoninės</w:t>
      </w:r>
      <w:proofErr w:type="spellEnd"/>
      <w:r>
        <w:rPr>
          <w:rFonts w:ascii="Times New Roman" w:eastAsia="Times New Roman" w:hAnsi="Times New Roman" w:cs="Times New Roman"/>
          <w:lang w:eastAsia="lt-LT"/>
        </w:rPr>
        <w:t xml:space="preserve"> dializės būdais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veiksmingai neeliminuojamas, tačiau yra pranešimų apie tai, kad </w:t>
      </w:r>
      <w:proofErr w:type="spellStart"/>
      <w:r>
        <w:rPr>
          <w:rFonts w:ascii="Times New Roman" w:eastAsia="Times New Roman" w:hAnsi="Times New Roman" w:cs="Times New Roman"/>
          <w:lang w:eastAsia="lt-LT"/>
        </w:rPr>
        <w:t>hemoperfuzijos</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hemofiltracijos</w:t>
      </w:r>
      <w:proofErr w:type="spellEnd"/>
      <w:r>
        <w:rPr>
          <w:rFonts w:ascii="Times New Roman" w:eastAsia="Times New Roman" w:hAnsi="Times New Roman" w:cs="Times New Roman"/>
          <w:lang w:eastAsia="lt-LT"/>
        </w:rPr>
        <w:t xml:space="preserve"> metu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klirensas padidėja.</w:t>
      </w:r>
    </w:p>
    <w:p w14:paraId="626EB1B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A5CE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Pavartojus per burną, šlapime nustatyta tik dalis pavartotos dozės. Priešingai, didelė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nustatyta išmatose (&gt; 3100 mg/kg vartojant 2 g paros dozę).</w:t>
      </w:r>
    </w:p>
    <w:p w14:paraId="32EEA2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DD82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Tiesinis / netiesinis pobūdis</w:t>
      </w:r>
    </w:p>
    <w:p w14:paraId="57DFE1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didėja proporcingai didinamai dozei. Koncentracija plazmoje vartojant kartotines dozes yra panaši į koncentracijas pasiekiamas vartojant vienkartinę dozę.</w:t>
      </w:r>
    </w:p>
    <w:p w14:paraId="42C904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C3D06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571F14E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inkstų funkcija</w:t>
      </w:r>
    </w:p>
    <w:p w14:paraId="5E71A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daugiausiai šalinamas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būdu. Esant sutrikusiai inkstų funkcijai, prailgėja galutinis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ir sumažėja bendras organizmo klirensas. Todėl optimalią dozę reikia apskaičiuoti laikantis dozavimo rekomendacijų pateiktų 4.2 skyriuje „Dozavimas ir vartojimo metodas“.</w:t>
      </w:r>
    </w:p>
    <w:p w14:paraId="48A21CA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E326B4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kepenų funkcija</w:t>
      </w:r>
    </w:p>
    <w:p w14:paraId="3F4AE54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kurių kepenų funkcija sutrikusi,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farmakokinetika</w:t>
      </w:r>
      <w:proofErr w:type="spellEnd"/>
      <w:r>
        <w:rPr>
          <w:rFonts w:ascii="Times New Roman" w:eastAsia="Times New Roman" w:hAnsi="Times New Roman" w:cs="Times New Roman"/>
          <w:lang w:eastAsia="lt-LT"/>
        </w:rPr>
        <w:t xml:space="preserve"> nepakinta.</w:t>
      </w:r>
    </w:p>
    <w:p w14:paraId="374B98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2B5A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Nėščios moterys</w:t>
      </w:r>
    </w:p>
    <w:p w14:paraId="1C410C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068D9E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F36455"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lastRenderedPageBreak/>
        <w:t>Viršsvorio turinys pacientai</w:t>
      </w:r>
    </w:p>
    <w:p w14:paraId="715CCDCB"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Viršsvorio turintiems pacientams,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pasiskirstymas gali pakisti, dėl padidėjusio pasiskirstymo tūrio, inkstų klirenso bei galimų jungimosi prie plazmos baltymų pokyčių. Šioje </w:t>
      </w:r>
      <w:proofErr w:type="spellStart"/>
      <w:r>
        <w:rPr>
          <w:rFonts w:ascii="Times New Roman" w:eastAsia="Times New Roman" w:hAnsi="Times New Roman" w:cs="Times New Roman"/>
          <w:lang w:eastAsia="lt-LT"/>
        </w:rPr>
        <w:t>subpopuliacijoje</w:t>
      </w:r>
      <w:proofErr w:type="spellEnd"/>
      <w:r>
        <w:rPr>
          <w:rFonts w:ascii="Times New Roman" w:eastAsia="Times New Roman" w:hAnsi="Times New Roman" w:cs="Times New Roman"/>
          <w:lang w:eastAsia="lt-LT"/>
        </w:rPr>
        <w:t xml:space="preserve"> nustatomos didesnės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kraujo serume nei sveikiems suaugusiems vyrams (žr. 4.2 skyrių).</w:t>
      </w:r>
    </w:p>
    <w:p w14:paraId="104FD8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2F1C9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4469FB1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Išnešiotiems ir neišnešiotiems naujagimiams, buvo nustatyta didelė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farmakokinetikos</w:t>
      </w:r>
      <w:proofErr w:type="spellEnd"/>
      <w:r>
        <w:rPr>
          <w:rFonts w:ascii="Times New Roman" w:eastAsia="Times New Roman" w:hAnsi="Times New Roman" w:cs="Times New Roman"/>
          <w:lang w:eastAsia="lt-LT"/>
        </w:rPr>
        <w:t xml:space="preserve"> variacija tarp individų. Po intraveninio vartojimo, naujagimiams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pasiskirstymo tūris varijuoja tarp 0,38 ir 0,97 l/kg, panašiai kaip ir suaugusiems, kai tuo tarpu klirensas varijuoja tarp 0,63 ir 1,4 ml/kg/min. Pusinės eliminacijos laikas varijuoja tarp 3,5 ir 10 val. ir yra ilgesnis nei suaugusiems, kas atitinka įprastai mažesnį naujagimių klirensą.</w:t>
      </w:r>
    </w:p>
    <w:p w14:paraId="30D2A0C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B6FFD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Kūdikiams ir vyresniems vaikams, pasiskirstymo tūris varijuoja tarp 0,26-1,05 l/kg, kai tuo tarpu klirensas – tarp 0,33-1,87 ml/kg/min.</w:t>
      </w:r>
    </w:p>
    <w:p w14:paraId="326CD6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63F95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5.3</w:t>
      </w:r>
      <w:r>
        <w:rPr>
          <w:rFonts w:ascii="Times New Roman" w:eastAsia="Times New Roman" w:hAnsi="Times New Roman" w:cs="Times New Roman"/>
          <w:b/>
          <w:lang w:eastAsia="lt-LT"/>
        </w:rPr>
        <w:tab/>
      </w:r>
      <w:proofErr w:type="spellStart"/>
      <w:r>
        <w:rPr>
          <w:rFonts w:ascii="Times New Roman" w:eastAsia="Times New Roman" w:hAnsi="Times New Roman" w:cs="Times New Roman"/>
          <w:b/>
          <w:lang w:eastAsia="lt-LT"/>
        </w:rPr>
        <w:t>Ikiklinikinių</w:t>
      </w:r>
      <w:proofErr w:type="spellEnd"/>
      <w:r>
        <w:rPr>
          <w:rFonts w:ascii="Times New Roman" w:eastAsia="Times New Roman" w:hAnsi="Times New Roman" w:cs="Times New Roman"/>
          <w:b/>
          <w:lang w:eastAsia="lt-LT"/>
        </w:rPr>
        <w:t xml:space="preserve"> saugumo tyrimų duomenys</w:t>
      </w:r>
    </w:p>
    <w:p w14:paraId="5A6253C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33ED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ilgalaikių galimo kancerogeninio poveikio tyrimų su gyvūnais neatlikta, įprastinių laboratorinių tyrimų metu galimo </w:t>
      </w:r>
      <w:proofErr w:type="spellStart"/>
      <w:r>
        <w:rPr>
          <w:rFonts w:ascii="Times New Roman" w:eastAsia="Times New Roman" w:hAnsi="Times New Roman" w:cs="Times New Roman"/>
          <w:lang w:eastAsia="lt-LT"/>
        </w:rPr>
        <w:t>mutageninio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poveikio nenustatyta. Poveikio vaisingumui tyrimų, kuriais remiantis būtų galima daryti išvadas, neatlikta. </w:t>
      </w:r>
    </w:p>
    <w:p w14:paraId="28247DA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AF5CDE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2E90D6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FARMACINĖ INFORMACIJA</w:t>
      </w:r>
    </w:p>
    <w:p w14:paraId="21B322C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48D16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6.1</w:t>
      </w:r>
      <w:r>
        <w:rPr>
          <w:rFonts w:ascii="Times New Roman" w:eastAsia="Times New Roman" w:hAnsi="Times New Roman" w:cs="Times New Roman"/>
          <w:b/>
          <w:lang w:eastAsia="lt-LT"/>
        </w:rPr>
        <w:tab/>
        <w:t>Pagalbinių medžiagų sąrašas</w:t>
      </w:r>
    </w:p>
    <w:p w14:paraId="34972C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A04A3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Nėra.</w:t>
      </w:r>
    </w:p>
    <w:p w14:paraId="6E4AE6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A7DB9F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bookmarkStart w:id="0" w:name="_Hlk129598292"/>
      <w:r>
        <w:rPr>
          <w:rFonts w:ascii="Times New Roman" w:eastAsia="Times New Roman" w:hAnsi="Times New Roman" w:cs="Times New Roman"/>
          <w:b/>
          <w:lang w:eastAsia="lt-LT"/>
        </w:rPr>
        <w:t>6.2</w:t>
      </w:r>
      <w:r>
        <w:rPr>
          <w:rFonts w:ascii="Times New Roman" w:eastAsia="Times New Roman" w:hAnsi="Times New Roman" w:cs="Times New Roman"/>
          <w:b/>
          <w:lang w:eastAsia="lt-LT"/>
        </w:rPr>
        <w:tab/>
        <w:t>Nesuderinamumas</w:t>
      </w:r>
    </w:p>
    <w:p w14:paraId="545474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0353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tirpalo pH yra mažas, todėl sumaišymas su kitomis medžiagomis gali sukelti cheminį arba fizinį nesuderinamumą. Su šarminiais tirpalais maišyti negalima. </w:t>
      </w:r>
    </w:p>
    <w:p w14:paraId="65B320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FA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beta </w:t>
      </w:r>
      <w:proofErr w:type="spellStart"/>
      <w:r>
        <w:rPr>
          <w:rFonts w:ascii="Times New Roman" w:eastAsia="Times New Roman" w:hAnsi="Times New Roman" w:cs="Times New Roman"/>
          <w:lang w:eastAsia="lt-LT"/>
        </w:rPr>
        <w:t>laktaminių</w:t>
      </w:r>
      <w:proofErr w:type="spellEnd"/>
      <w:r>
        <w:rPr>
          <w:rFonts w:ascii="Times New Roman" w:eastAsia="Times New Roman" w:hAnsi="Times New Roman" w:cs="Times New Roman"/>
          <w:lang w:eastAsia="lt-LT"/>
        </w:rPr>
        <w:t xml:space="preserve"> antibiotikų tirpalų mišiniai yra fiziškai nesuderinami. Nuosėdų tikimybė didėja esant didesnei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 Rekomenduojama tinkamai praplauti </w:t>
      </w:r>
      <w:proofErr w:type="spellStart"/>
      <w:r>
        <w:rPr>
          <w:rFonts w:ascii="Times New Roman" w:eastAsia="Times New Roman" w:hAnsi="Times New Roman" w:cs="Times New Roman"/>
          <w:lang w:eastAsia="lt-LT"/>
        </w:rPr>
        <w:t>intavenines</w:t>
      </w:r>
      <w:proofErr w:type="spellEnd"/>
      <w:r>
        <w:rPr>
          <w:rFonts w:ascii="Times New Roman" w:eastAsia="Times New Roman" w:hAnsi="Times New Roman" w:cs="Times New Roman"/>
          <w:lang w:eastAsia="lt-LT"/>
        </w:rPr>
        <w:t xml:space="preserve"> įrangas tarp </w:t>
      </w:r>
      <w:proofErr w:type="spellStart"/>
      <w:r>
        <w:rPr>
          <w:rFonts w:ascii="Times New Roman" w:eastAsia="Times New Roman" w:hAnsi="Times New Roman" w:cs="Times New Roman"/>
          <w:lang w:eastAsia="lt-LT"/>
        </w:rPr>
        <w:t>tarp</w:t>
      </w:r>
      <w:proofErr w:type="spellEnd"/>
      <w:r>
        <w:rPr>
          <w:rFonts w:ascii="Times New Roman" w:eastAsia="Times New Roman" w:hAnsi="Times New Roman" w:cs="Times New Roman"/>
          <w:lang w:eastAsia="lt-LT"/>
        </w:rPr>
        <w:t xml:space="preserve"> šių antibiotikų vartojimo. Taip pat, 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tirpalus skiesti iki 5 mg/ml ar mažesne koncentracija. </w:t>
      </w:r>
    </w:p>
    <w:p w14:paraId="683AE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C1B1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injekcija į stiklakūnį nėra patvirtintas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būdas, tačiau buvo pranešimų apie nuosėdų susidarymą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ceftazidimo</w:t>
      </w:r>
      <w:proofErr w:type="spellEnd"/>
      <w:r>
        <w:rPr>
          <w:rFonts w:ascii="Times New Roman" w:eastAsia="Times New Roman" w:hAnsi="Times New Roman" w:cs="Times New Roman"/>
          <w:lang w:eastAsia="lt-LT"/>
        </w:rPr>
        <w:t xml:space="preserve"> injekcijos į stiklakūnį </w:t>
      </w:r>
      <w:proofErr w:type="spellStart"/>
      <w:r>
        <w:rPr>
          <w:rFonts w:ascii="Times New Roman" w:eastAsia="Times New Roman" w:hAnsi="Times New Roman" w:cs="Times New Roman"/>
          <w:lang w:eastAsia="lt-LT"/>
        </w:rPr>
        <w:t>endoftalmitui</w:t>
      </w:r>
      <w:proofErr w:type="spellEnd"/>
      <w:r>
        <w:rPr>
          <w:rFonts w:ascii="Times New Roman" w:eastAsia="Times New Roman" w:hAnsi="Times New Roman" w:cs="Times New Roman"/>
          <w:lang w:eastAsia="lt-LT"/>
        </w:rPr>
        <w:t xml:space="preserve"> gydyti naudojant skirtingus švirkštus ir adatas. Nuosėdos ištirpo palaipsniui, visiškai išvalant stiklakūnio ertmę per du mėnesius ir pagerėjus regėjimo aštrumui.</w:t>
      </w:r>
    </w:p>
    <w:p w14:paraId="1CD5C2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0"/>
    <w:p w14:paraId="4F88EEF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43F63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vaistinio preparato negalima maišyti su kitais, išskyrus nurodytus 6.6 skyriuje.</w:t>
      </w:r>
    </w:p>
    <w:p w14:paraId="71493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16390B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6.3</w:t>
      </w:r>
      <w:r>
        <w:rPr>
          <w:rFonts w:ascii="Times New Roman" w:eastAsia="Times New Roman" w:hAnsi="Times New Roman" w:cs="Times New Roman"/>
          <w:b/>
          <w:lang w:eastAsia="lt-LT"/>
        </w:rPr>
        <w:tab/>
        <w:t>Tinkamumo laikas</w:t>
      </w:r>
    </w:p>
    <w:p w14:paraId="03B490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26E8F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supakuotų miltelių tinkamumo laikas</w:t>
      </w:r>
    </w:p>
    <w:p w14:paraId="0CC54F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 metai.</w:t>
      </w:r>
    </w:p>
    <w:p w14:paraId="088CE14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FAA479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koncentrato tinkamumo laikas</w:t>
      </w:r>
    </w:p>
    <w:p w14:paraId="62884E0E"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14:paraId="22275AC3"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išlieka 96 valandas, </w:t>
      </w:r>
      <w:bookmarkStart w:id="1" w:name="_Hlk163725137"/>
      <w:r>
        <w:rPr>
          <w:rFonts w:ascii="Times New Roman" w:eastAsia="Times New Roman" w:hAnsi="Times New Roman" w:cs="Times New Roman"/>
          <w:lang w:eastAsia="lt-LT"/>
        </w:rPr>
        <w:t>o laikant 25 °C temperatūroje – 24 valandas.</w:t>
      </w:r>
    </w:p>
    <w:bookmarkEnd w:id="1"/>
    <w:p w14:paraId="5AD19E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CD39E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Praskiesto tirpalo tinkamumo laikas</w:t>
      </w:r>
    </w:p>
    <w:p w14:paraId="7A3460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Praskiesto tirpalo cheminis ir fizinis stabilumas išlieka 24 valandas, laikant 25 °C temperatūroje ir 96 valandas, laikant 2 °C </w:t>
      </w:r>
      <w:r>
        <w:rPr>
          <w:rFonts w:ascii="Times New Roman" w:eastAsia="Times New Roman" w:hAnsi="Times New Roman" w:cs="Times New Roman"/>
          <w:szCs w:val="20"/>
          <w:lang w:eastAsia="lt-LT"/>
        </w:rPr>
        <w:t xml:space="preserve">– 8 </w:t>
      </w:r>
      <w:r>
        <w:rPr>
          <w:rFonts w:ascii="Times New Roman" w:eastAsia="Times New Roman" w:hAnsi="Times New Roman" w:cs="Times New Roman"/>
          <w:lang w:eastAsia="lt-LT"/>
        </w:rPr>
        <w:t>°C temperatūroje, praskiedus injekciniu 0,9 % natrio chlorido tirpalu arba injekciniu 5 % gliukozės tirpalu.</w:t>
      </w:r>
    </w:p>
    <w:p w14:paraId="46666D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70B839"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nebent tirpinimas/skiedimas buvo atliktas kontroliuojamomis ir patvirtintomis </w:t>
      </w:r>
      <w:proofErr w:type="spellStart"/>
      <w:r>
        <w:rPr>
          <w:rFonts w:ascii="Times New Roman" w:eastAsia="Times New Roman" w:hAnsi="Times New Roman" w:cs="Times New Roman"/>
          <w:lang w:eastAsia="lt-LT"/>
        </w:rPr>
        <w:t>aseptinėmis</w:t>
      </w:r>
      <w:proofErr w:type="spellEnd"/>
      <w:r>
        <w:rPr>
          <w:rFonts w:ascii="Times New Roman" w:eastAsia="Times New Roman" w:hAnsi="Times New Roman" w:cs="Times New Roman"/>
          <w:lang w:eastAsia="lt-LT"/>
        </w:rPr>
        <w:t xml:space="preserve"> sąlygomis.</w:t>
      </w:r>
    </w:p>
    <w:p w14:paraId="19583C0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3796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6.4</w:t>
      </w:r>
      <w:r>
        <w:rPr>
          <w:rFonts w:ascii="Times New Roman" w:eastAsia="Times New Roman" w:hAnsi="Times New Roman" w:cs="Times New Roman"/>
          <w:b/>
          <w:lang w:eastAsia="lt-LT"/>
        </w:rPr>
        <w:tab/>
        <w:t>Specialios laikymo sąlygos</w:t>
      </w:r>
    </w:p>
    <w:p w14:paraId="45568D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198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1AD42D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Šiam vaistiniam preparatui specialių temperatūros laikymo sąlygų nereikia. Flakoną laikyti išorinėje dėžutėje, kad vaistinis preparatas būtų apsaugotas nuo šviesos.</w:t>
      </w:r>
    </w:p>
    <w:p w14:paraId="58DEFE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D70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koncentrato ir praskiesto tirpalo laikymo sąlygos pateikiamos 6.3 skyriuje.</w:t>
      </w:r>
    </w:p>
    <w:p w14:paraId="4D6E9E6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7C0AFF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6.5</w:t>
      </w:r>
      <w:r>
        <w:rPr>
          <w:rFonts w:ascii="Times New Roman" w:eastAsia="Times New Roman" w:hAnsi="Times New Roman" w:cs="Times New Roman"/>
          <w:b/>
          <w:lang w:eastAsia="lt-LT"/>
        </w:rPr>
        <w:tab/>
      </w:r>
      <w:proofErr w:type="spellStart"/>
      <w:r>
        <w:rPr>
          <w:rFonts w:ascii="Times New Roman" w:eastAsia="Times New Roman" w:hAnsi="Times New Roman" w:cs="Times New Roman"/>
          <w:b/>
          <w:lang w:eastAsia="lt-LT"/>
        </w:rPr>
        <w:t>Talpyklės</w:t>
      </w:r>
      <w:proofErr w:type="spellEnd"/>
      <w:r>
        <w:rPr>
          <w:rFonts w:ascii="Times New Roman" w:eastAsia="Times New Roman" w:hAnsi="Times New Roman" w:cs="Times New Roman"/>
          <w:b/>
          <w:lang w:eastAsia="lt-LT"/>
        </w:rPr>
        <w:t xml:space="preserve"> pobūdis ir jos turinys</w:t>
      </w:r>
    </w:p>
    <w:p w14:paraId="262B4D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4BFF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10 ml (500 mg) arba 20 ml (1000 mg) bespalvio I tipo stiklo flakonas, užkimštas pilku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guminiu kamščiu ir užspaustu aliuminio nuplėšiamuoju dangteliu.</w:t>
      </w:r>
    </w:p>
    <w:p w14:paraId="0C868E9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1182FC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37ED12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 kurioje yra 1 flakonas arba 10 flakonų.</w:t>
      </w:r>
    </w:p>
    <w:p w14:paraId="1CEE56D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E871E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20A5044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5A28CBB" w14:textId="77777777" w:rsidR="001764C6" w:rsidRDefault="001764C6" w:rsidP="001764C6">
      <w:pPr>
        <w:numPr>
          <w:ilvl w:val="1"/>
          <w:numId w:val="10"/>
        </w:num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Specialūs reikalavimai atliekoms tvarkyti ir vaistiniam preparatui ruošti </w:t>
      </w:r>
      <w:bookmarkStart w:id="2" w:name="_Hlk129597400"/>
    </w:p>
    <w:p w14:paraId="77FDD9D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09A18B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12B40792"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F9317A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68FF0A34"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1B3750FF"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paruoštą tirpalą reikia apžiūrėti, ar nėra nuosėdų ir ar nepakitusi spalva.</w:t>
      </w:r>
    </w:p>
    <w:p w14:paraId="342B13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3A6CFB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Koncentrato paruošimas</w:t>
      </w:r>
    </w:p>
    <w:p w14:paraId="617BA108"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5EDD8BF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w:t>
      </w:r>
    </w:p>
    <w:p w14:paraId="745072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4D391F8F"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237C8A7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w:t>
      </w:r>
    </w:p>
    <w:p w14:paraId="7BD9B9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6AB0FF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680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tirpalo koncentracija bus 50 mg/ml. Ištirpinus injekciniame vandenyje, susidaro skaidrus tirpalas. </w:t>
      </w:r>
    </w:p>
    <w:p w14:paraId="489866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8E28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7DAC05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5E09A7" w14:textId="77777777" w:rsidR="001764C6" w:rsidRDefault="001764C6" w:rsidP="001764C6">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Galutinio praskiesto infuzinio tirpalo paruošimas:</w:t>
      </w:r>
    </w:p>
    <w:p w14:paraId="71A52940"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682C77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CEEA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C231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46E94C4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F2037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Paruoštą koncentratą, kuriame yra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1204D9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1F25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Tinkamą dozę reikia lėtai, ne greičiau kaip 10 mg/min.,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į veną mažiausiai 60 minučių arba net ilgiau. Jeigu </w:t>
      </w:r>
      <w:proofErr w:type="spellStart"/>
      <w:r>
        <w:rPr>
          <w:rFonts w:ascii="Times New Roman" w:eastAsia="Times New Roman" w:hAnsi="Times New Roman" w:cs="Times New Roman"/>
          <w:lang w:eastAsia="lt-LT"/>
        </w:rPr>
        <w:t>infuzuojama</w:t>
      </w:r>
      <w:proofErr w:type="spellEnd"/>
      <w:r>
        <w:rPr>
          <w:rFonts w:ascii="Times New Roman" w:eastAsia="Times New Roman" w:hAnsi="Times New Roman" w:cs="Times New Roman"/>
          <w:lang w:eastAsia="lt-LT"/>
        </w:rPr>
        <w:t xml:space="preserve"> trumpiau arba didesnėmis koncentracijomis, gali atsirasti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Greitai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gali atsirasti paraudimas ir trumpalaikis bėrimas ant kaklo ir pečių.</w:t>
      </w:r>
    </w:p>
    <w:p w14:paraId="48E6CC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512E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1A7DC5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14FE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w:t>
      </w:r>
    </w:p>
    <w:p w14:paraId="4E6F66C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22C6486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D4005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w:t>
      </w:r>
    </w:p>
    <w:p w14:paraId="7F1DE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8FBDA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0F8E0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ne didesnė kaip 5 mg/ml. Pacientams, kuriems reikia riboti skysčių kiekį, gali būti vartojama iki 10 mg/ml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w:t>
      </w:r>
    </w:p>
    <w:p w14:paraId="56C84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A23E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7A532F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4B91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vaistinio preparato laikymo sąlygos nurodytas 6.3 skyriuje „Tinkamumo laikas“. Prieš vartojimą reikia apžiūrėti paruoštą ir praskiestą tirpalą ar jis be matomų medžiagos dalelių ir ar nepakitusi spalva. Vartoti galima tik skaidrų, be matomų dalelių tirpalą.</w:t>
      </w:r>
    </w:p>
    <w:p w14:paraId="421773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B681A4"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2C9834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661EA2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skiriamo 500 mg arba 1000 mg flakono turinį. </w:t>
      </w:r>
    </w:p>
    <w:p w14:paraId="404F5E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FD72C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2,5 ml paruošto koncentrato yra 125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jį reikia praskiesti 5 ml vandens, t. y. 1 dalį paruošto koncentrato reikia skiesti 2 ml vandens. Praskiestą tirpalą galima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3CC2C6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897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6EB8F4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4B5C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Atliekų tvarkymas</w:t>
      </w:r>
    </w:p>
    <w:p w14:paraId="521EF1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p>
    <w:p w14:paraId="08165F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2"/>
    <w:p w14:paraId="5D4D29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4DF28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7.</w:t>
      </w:r>
      <w:r>
        <w:rPr>
          <w:rFonts w:ascii="Times New Roman" w:eastAsia="Times New Roman" w:hAnsi="Times New Roman" w:cs="Times New Roman"/>
          <w:b/>
          <w:bCs/>
          <w:snapToGrid w:val="0"/>
          <w:szCs w:val="26"/>
          <w:lang w:eastAsia="x-none"/>
        </w:rPr>
        <w:tab/>
        <w:t>REGISTRUOTOJAS</w:t>
      </w:r>
    </w:p>
    <w:p w14:paraId="6D5E6DA0"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5AA076B4" w14:textId="2BFBB425"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3" w:name="_Hlk53499359"/>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Pharma</w:t>
      </w:r>
      <w:proofErr w:type="spellEnd"/>
    </w:p>
    <w:p w14:paraId="58F6C0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per. 61-2</w:t>
      </w:r>
    </w:p>
    <w:p w14:paraId="0D4A1B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F0C78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bookmarkEnd w:id="3"/>
    </w:p>
    <w:p w14:paraId="4C7E53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570B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EF31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8.</w:t>
      </w:r>
      <w:r>
        <w:rPr>
          <w:rFonts w:ascii="Times New Roman" w:eastAsia="Times New Roman" w:hAnsi="Times New Roman" w:cs="Times New Roman"/>
          <w:b/>
          <w:bCs/>
          <w:snapToGrid w:val="0"/>
          <w:szCs w:val="26"/>
          <w:lang w:eastAsia="x-none"/>
        </w:rPr>
        <w:tab/>
        <w:t xml:space="preserve">REGISTRACIJOS </w:t>
      </w:r>
      <w:r>
        <w:rPr>
          <w:rFonts w:ascii="Times New Roman" w:eastAsia="Times New Roman" w:hAnsi="Times New Roman" w:cs="Times New Roman"/>
          <w:b/>
          <w:bCs/>
          <w:noProof/>
          <w:snapToGrid w:val="0"/>
          <w:lang w:eastAsia="x-none"/>
        </w:rPr>
        <w:t>PAŽYMĖJIMO</w:t>
      </w:r>
      <w:r>
        <w:rPr>
          <w:rFonts w:ascii="Times New Roman" w:eastAsia="Times New Roman" w:hAnsi="Times New Roman" w:cs="Times New Roman"/>
          <w:b/>
          <w:bCs/>
          <w:snapToGrid w:val="0"/>
          <w:szCs w:val="26"/>
          <w:lang w:eastAsia="x-none"/>
        </w:rPr>
        <w:t xml:space="preserve"> NUMERIS (-IAI) </w:t>
      </w:r>
    </w:p>
    <w:p w14:paraId="4AD0BA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764C6" w14:paraId="364C5C35" w14:textId="77777777" w:rsidTr="001764C6">
        <w:tc>
          <w:tcPr>
            <w:tcW w:w="4530" w:type="dxa"/>
            <w:hideMark/>
          </w:tcPr>
          <w:p w14:paraId="4493B2CF"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500 mg</w:t>
            </w:r>
          </w:p>
          <w:p w14:paraId="713F9B9E"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LT/1/24/5395/001 – N1</w:t>
            </w:r>
          </w:p>
          <w:p w14:paraId="3041F63C"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LT/1/24/5395/002 – N10</w:t>
            </w:r>
          </w:p>
        </w:tc>
        <w:tc>
          <w:tcPr>
            <w:tcW w:w="4530" w:type="dxa"/>
            <w:hideMark/>
          </w:tcPr>
          <w:p w14:paraId="6D901CC2"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1000 mg</w:t>
            </w:r>
          </w:p>
          <w:p w14:paraId="4CAC2AD3"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LT/1/24/5396/001 – N1</w:t>
            </w:r>
          </w:p>
          <w:p w14:paraId="03F3AD4F"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LT/1/24/5396/002 – N10</w:t>
            </w:r>
          </w:p>
        </w:tc>
      </w:tr>
    </w:tbl>
    <w:p w14:paraId="2A7A33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052C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84309F"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9.</w:t>
      </w:r>
      <w:r>
        <w:rPr>
          <w:rFonts w:ascii="Times New Roman" w:eastAsia="Times New Roman" w:hAnsi="Times New Roman" w:cs="Times New Roman"/>
          <w:b/>
          <w:bCs/>
          <w:snapToGrid w:val="0"/>
          <w:szCs w:val="26"/>
          <w:lang w:eastAsia="x-none"/>
        </w:rPr>
        <w:tab/>
        <w:t>REGISTRAVIMO / PERREGISTRAVIMO DATA</w:t>
      </w:r>
    </w:p>
    <w:p w14:paraId="7C4A24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5883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Registravimo data 2024 m. balandžio 5 d.</w:t>
      </w:r>
    </w:p>
    <w:p w14:paraId="35B479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7A0411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EF0A6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TEKSTO PERŽIŪROS DATA</w:t>
      </w:r>
    </w:p>
    <w:p w14:paraId="326F81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ACD3117" w14:textId="2D17B285"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2024 m. balandžio 18 d.</w:t>
      </w:r>
    </w:p>
    <w:p w14:paraId="2CE1284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4D22AD7" w14:textId="77777777" w:rsidR="001764C6" w:rsidRDefault="001764C6" w:rsidP="001764C6">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noProof/>
        </w:rPr>
        <w:t xml:space="preserve"> </w:t>
      </w:r>
      <w:hyperlink r:id="rId12" w:history="1">
        <w:r>
          <w:rPr>
            <w:rStyle w:val="Hipersaitas"/>
            <w:rFonts w:eastAsia="SimSun"/>
            <w:noProof/>
          </w:rPr>
          <w:t>http://www.</w:t>
        </w:r>
        <w:proofErr w:type="spellStart"/>
        <w:r>
          <w:rPr>
            <w:rStyle w:val="Hipersaitas"/>
            <w:rFonts w:eastAsia="SimSun"/>
          </w:rPr>
          <w:t>vvkt.lt</w:t>
        </w:r>
        <w:proofErr w:type="spellEnd"/>
      </w:hyperlink>
    </w:p>
    <w:p w14:paraId="1DC2632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562C255" w14:textId="77777777" w:rsidR="001764C6" w:rsidRDefault="001764C6" w:rsidP="001764C6">
      <w:pPr>
        <w:tabs>
          <w:tab w:val="left" w:pos="567"/>
        </w:tabs>
        <w:spacing w:after="0" w:line="240" w:lineRule="auto"/>
        <w:rPr>
          <w:rFonts w:ascii="Times New Roman" w:eastAsia="Times New Roman" w:hAnsi="Times New Roman" w:cs="Times New Roman"/>
        </w:rPr>
      </w:pPr>
      <w:bookmarkStart w:id="4" w:name="_Toc129243259"/>
      <w:bookmarkStart w:id="5" w:name="_Toc129243134"/>
    </w:p>
    <w:p w14:paraId="78C617AF" w14:textId="77777777" w:rsidR="001764C6" w:rsidRDefault="001764C6" w:rsidP="001764C6">
      <w:pPr>
        <w:tabs>
          <w:tab w:val="left" w:pos="567"/>
        </w:tabs>
        <w:spacing w:after="0" w:line="240" w:lineRule="auto"/>
        <w:rPr>
          <w:rFonts w:ascii="Times New Roman" w:eastAsia="Times New Roman" w:hAnsi="Times New Roman" w:cs="Times New Roman"/>
        </w:rPr>
      </w:pPr>
    </w:p>
    <w:p w14:paraId="6287887D" w14:textId="77777777" w:rsidR="001764C6" w:rsidRDefault="001764C6" w:rsidP="001764C6">
      <w:pPr>
        <w:tabs>
          <w:tab w:val="left" w:pos="567"/>
        </w:tabs>
        <w:spacing w:after="0" w:line="240" w:lineRule="auto"/>
        <w:rPr>
          <w:rFonts w:ascii="Times New Roman" w:eastAsia="Times New Roman" w:hAnsi="Times New Roman" w:cs="Times New Roman"/>
        </w:rPr>
      </w:pPr>
    </w:p>
    <w:p w14:paraId="048BFD41" w14:textId="77777777" w:rsidR="001764C6" w:rsidRDefault="001764C6" w:rsidP="001764C6">
      <w:pPr>
        <w:tabs>
          <w:tab w:val="left" w:pos="567"/>
        </w:tabs>
        <w:spacing w:after="0" w:line="240" w:lineRule="auto"/>
        <w:rPr>
          <w:rFonts w:ascii="Times New Roman" w:eastAsia="Times New Roman" w:hAnsi="Times New Roman" w:cs="Times New Roman"/>
        </w:rPr>
      </w:pPr>
    </w:p>
    <w:p w14:paraId="097F51ED" w14:textId="77777777" w:rsidR="001764C6" w:rsidRDefault="001764C6" w:rsidP="001764C6">
      <w:pPr>
        <w:tabs>
          <w:tab w:val="left" w:pos="567"/>
        </w:tabs>
        <w:spacing w:after="0" w:line="240" w:lineRule="auto"/>
        <w:rPr>
          <w:rFonts w:ascii="Times New Roman" w:eastAsia="Times New Roman" w:hAnsi="Times New Roman" w:cs="Times New Roman"/>
        </w:rPr>
      </w:pPr>
    </w:p>
    <w:p w14:paraId="7476A41F" w14:textId="77777777" w:rsidR="001764C6" w:rsidRDefault="001764C6" w:rsidP="001764C6">
      <w:pPr>
        <w:tabs>
          <w:tab w:val="left" w:pos="567"/>
        </w:tabs>
        <w:spacing w:after="0" w:line="240" w:lineRule="auto"/>
        <w:rPr>
          <w:rFonts w:ascii="Times New Roman" w:eastAsia="Times New Roman" w:hAnsi="Times New Roman" w:cs="Times New Roman"/>
        </w:rPr>
      </w:pPr>
    </w:p>
    <w:p w14:paraId="06832DDB" w14:textId="77777777" w:rsidR="001764C6" w:rsidRDefault="001764C6" w:rsidP="001764C6">
      <w:pPr>
        <w:tabs>
          <w:tab w:val="left" w:pos="567"/>
        </w:tabs>
        <w:spacing w:after="0" w:line="240" w:lineRule="auto"/>
        <w:rPr>
          <w:rFonts w:ascii="Times New Roman" w:eastAsia="Times New Roman" w:hAnsi="Times New Roman" w:cs="Times New Roman"/>
        </w:rPr>
      </w:pPr>
    </w:p>
    <w:p w14:paraId="7182CFF2" w14:textId="77777777" w:rsidR="001764C6" w:rsidRDefault="001764C6" w:rsidP="001764C6">
      <w:pPr>
        <w:tabs>
          <w:tab w:val="left" w:pos="567"/>
        </w:tabs>
        <w:spacing w:after="0" w:line="240" w:lineRule="auto"/>
        <w:rPr>
          <w:rFonts w:ascii="Times New Roman" w:eastAsia="Times New Roman" w:hAnsi="Times New Roman" w:cs="Times New Roman"/>
        </w:rPr>
      </w:pPr>
    </w:p>
    <w:p w14:paraId="42706941" w14:textId="77777777" w:rsidR="001764C6" w:rsidRDefault="001764C6" w:rsidP="001764C6">
      <w:pPr>
        <w:tabs>
          <w:tab w:val="left" w:pos="567"/>
        </w:tabs>
        <w:spacing w:after="0" w:line="240" w:lineRule="auto"/>
        <w:rPr>
          <w:rFonts w:ascii="Times New Roman" w:eastAsia="Times New Roman" w:hAnsi="Times New Roman" w:cs="Times New Roman"/>
        </w:rPr>
      </w:pPr>
    </w:p>
    <w:p w14:paraId="6D82C3A5" w14:textId="77777777" w:rsidR="001764C6" w:rsidRDefault="001764C6" w:rsidP="001764C6">
      <w:pPr>
        <w:tabs>
          <w:tab w:val="left" w:pos="567"/>
        </w:tabs>
        <w:spacing w:after="0" w:line="240" w:lineRule="auto"/>
        <w:rPr>
          <w:rFonts w:ascii="Times New Roman" w:eastAsia="Times New Roman" w:hAnsi="Times New Roman" w:cs="Times New Roman"/>
        </w:rPr>
      </w:pPr>
    </w:p>
    <w:p w14:paraId="4C987366" w14:textId="77777777" w:rsidR="001764C6" w:rsidRDefault="001764C6" w:rsidP="001764C6">
      <w:pPr>
        <w:tabs>
          <w:tab w:val="left" w:pos="567"/>
        </w:tabs>
        <w:spacing w:after="0" w:line="240" w:lineRule="auto"/>
        <w:rPr>
          <w:rFonts w:ascii="Times New Roman" w:eastAsia="Times New Roman" w:hAnsi="Times New Roman" w:cs="Times New Roman"/>
        </w:rPr>
      </w:pPr>
    </w:p>
    <w:p w14:paraId="0F8FDD9C" w14:textId="77777777" w:rsidR="001764C6" w:rsidRDefault="001764C6" w:rsidP="001764C6">
      <w:pPr>
        <w:tabs>
          <w:tab w:val="left" w:pos="567"/>
        </w:tabs>
        <w:spacing w:after="0" w:line="240" w:lineRule="auto"/>
        <w:rPr>
          <w:rFonts w:ascii="Times New Roman" w:eastAsia="Times New Roman" w:hAnsi="Times New Roman" w:cs="Times New Roman"/>
        </w:rPr>
      </w:pPr>
    </w:p>
    <w:p w14:paraId="1D355D13" w14:textId="77777777" w:rsidR="001764C6" w:rsidRDefault="001764C6" w:rsidP="001764C6">
      <w:pPr>
        <w:tabs>
          <w:tab w:val="left" w:pos="567"/>
        </w:tabs>
        <w:spacing w:after="0" w:line="240" w:lineRule="auto"/>
        <w:rPr>
          <w:rFonts w:ascii="Times New Roman" w:eastAsia="Times New Roman" w:hAnsi="Times New Roman" w:cs="Times New Roman"/>
        </w:rPr>
      </w:pPr>
    </w:p>
    <w:p w14:paraId="23406C9C" w14:textId="77777777" w:rsidR="001764C6" w:rsidRDefault="001764C6" w:rsidP="001764C6">
      <w:pPr>
        <w:tabs>
          <w:tab w:val="left" w:pos="567"/>
        </w:tabs>
        <w:spacing w:after="0" w:line="240" w:lineRule="auto"/>
        <w:rPr>
          <w:rFonts w:ascii="Times New Roman" w:eastAsia="Times New Roman" w:hAnsi="Times New Roman" w:cs="Times New Roman"/>
        </w:rPr>
      </w:pPr>
    </w:p>
    <w:p w14:paraId="799353D1" w14:textId="77777777" w:rsidR="001764C6" w:rsidRDefault="001764C6" w:rsidP="001764C6">
      <w:pPr>
        <w:tabs>
          <w:tab w:val="left" w:pos="567"/>
        </w:tabs>
        <w:spacing w:after="0" w:line="240" w:lineRule="auto"/>
        <w:rPr>
          <w:rFonts w:ascii="Times New Roman" w:eastAsia="Times New Roman" w:hAnsi="Times New Roman" w:cs="Times New Roman"/>
        </w:rPr>
      </w:pPr>
    </w:p>
    <w:p w14:paraId="24036D24" w14:textId="77777777" w:rsidR="001764C6" w:rsidRDefault="001764C6" w:rsidP="001764C6">
      <w:pPr>
        <w:tabs>
          <w:tab w:val="left" w:pos="567"/>
        </w:tabs>
        <w:spacing w:after="0" w:line="240" w:lineRule="auto"/>
        <w:rPr>
          <w:rFonts w:ascii="Times New Roman" w:eastAsia="Times New Roman" w:hAnsi="Times New Roman" w:cs="Times New Roman"/>
        </w:rPr>
      </w:pPr>
    </w:p>
    <w:p w14:paraId="327ECD6E" w14:textId="77777777" w:rsidR="001764C6" w:rsidRDefault="001764C6" w:rsidP="001764C6">
      <w:pPr>
        <w:tabs>
          <w:tab w:val="left" w:pos="567"/>
        </w:tabs>
        <w:spacing w:after="0" w:line="240" w:lineRule="auto"/>
        <w:rPr>
          <w:rFonts w:ascii="Times New Roman" w:eastAsia="Times New Roman" w:hAnsi="Times New Roman" w:cs="Times New Roman"/>
        </w:rPr>
      </w:pPr>
    </w:p>
    <w:p w14:paraId="459BB626" w14:textId="77777777" w:rsidR="001764C6" w:rsidRDefault="001764C6" w:rsidP="001764C6">
      <w:pPr>
        <w:tabs>
          <w:tab w:val="left" w:pos="567"/>
        </w:tabs>
        <w:spacing w:after="0" w:line="240" w:lineRule="auto"/>
        <w:rPr>
          <w:rFonts w:ascii="Times New Roman" w:eastAsia="Times New Roman" w:hAnsi="Times New Roman" w:cs="Times New Roman"/>
        </w:rPr>
      </w:pPr>
    </w:p>
    <w:p w14:paraId="01A7AAB2" w14:textId="77777777" w:rsidR="001764C6" w:rsidRDefault="001764C6" w:rsidP="001764C6">
      <w:pPr>
        <w:tabs>
          <w:tab w:val="left" w:pos="567"/>
        </w:tabs>
        <w:spacing w:after="0" w:line="240" w:lineRule="auto"/>
        <w:rPr>
          <w:rFonts w:ascii="Times New Roman" w:eastAsia="Times New Roman" w:hAnsi="Times New Roman" w:cs="Times New Roman"/>
        </w:rPr>
      </w:pPr>
    </w:p>
    <w:p w14:paraId="184C2EC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6" w:name="_Toc129243253"/>
      <w:bookmarkStart w:id="7" w:name="_Toc129243128"/>
    </w:p>
    <w:p w14:paraId="3DAC5A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27E2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1C34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1DE5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30DB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3172E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011F0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B53470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4D896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037D6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EF7C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8A827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6BC0D7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5E2A6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28EBCB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EB85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6901E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7BCE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B079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A20C28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5D3E14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77378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9960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31E35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E64D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28B15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27463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BDAB5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63BA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6E9E3F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5DBDE7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EF148D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983B43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CA4D16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A035F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6233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5A499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C6CE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7DB7D2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5DE08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7B187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367933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88293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DA1A9D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DFEC52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1DD32D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F54B1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4F50B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 PRIEDAS</w:t>
      </w:r>
      <w:bookmarkEnd w:id="6"/>
      <w:bookmarkEnd w:id="7"/>
    </w:p>
    <w:p w14:paraId="3BD7F9E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9C18E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 SĄLYGOS</w:t>
      </w:r>
    </w:p>
    <w:p w14:paraId="6A74DA11" w14:textId="77777777" w:rsidR="001764C6" w:rsidRDefault="001764C6" w:rsidP="001764C6">
      <w:pPr>
        <w:tabs>
          <w:tab w:val="left" w:pos="567"/>
        </w:tabs>
        <w:spacing w:after="0" w:line="240" w:lineRule="auto"/>
        <w:rPr>
          <w:rFonts w:ascii="Times New Roman" w:eastAsia="Times New Roman" w:hAnsi="Times New Roman" w:cs="Times New Roman"/>
        </w:rPr>
      </w:pPr>
    </w:p>
    <w:p w14:paraId="1FDEB131" w14:textId="77777777" w:rsidR="001764C6" w:rsidRDefault="001764C6" w:rsidP="001764C6">
      <w:pPr>
        <w:tabs>
          <w:tab w:val="left" w:pos="0"/>
          <w:tab w:val="left" w:pos="567"/>
        </w:tabs>
        <w:spacing w:after="0" w:line="240" w:lineRule="auto"/>
        <w:ind w:left="1290" w:hanging="750"/>
        <w:rPr>
          <w:rFonts w:ascii="Times New Roman" w:eastAsia="Times New Roman" w:hAnsi="Times New Roman" w:cs="Times New Roman"/>
          <w:b/>
          <w:lang w:eastAsia="lt-LT"/>
        </w:rPr>
      </w:pPr>
      <w:r>
        <w:rPr>
          <w:rFonts w:ascii="Times New Roman" w:eastAsia="Times New Roman" w:hAnsi="Times New Roman" w:cs="Times New Roman"/>
          <w:b/>
          <w:lang w:eastAsia="lt-LT"/>
        </w:rPr>
        <w:t>A.</w:t>
      </w:r>
      <w:r>
        <w:rPr>
          <w:rFonts w:ascii="Times New Roman" w:eastAsia="Times New Roman" w:hAnsi="Times New Roman" w:cs="Times New Roman"/>
          <w:b/>
          <w:lang w:eastAsia="lt-LT"/>
        </w:rPr>
        <w:tab/>
        <w:t>GAMINTOJAS (-AI), ATSAKINGAS (-I) UŽ SERIJŲ IŠLEIDIMĄ</w:t>
      </w:r>
    </w:p>
    <w:p w14:paraId="3D4077AC"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6D3BD746" w14:textId="77777777" w:rsidR="001764C6" w:rsidRDefault="001764C6" w:rsidP="001764C6">
      <w:pPr>
        <w:tabs>
          <w:tab w:val="left" w:pos="567"/>
        </w:tabs>
        <w:spacing w:after="0" w:line="240" w:lineRule="auto"/>
        <w:ind w:left="540"/>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2BBE97CF"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49D2B1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A.</w:t>
      </w:r>
      <w:r>
        <w:rPr>
          <w:rFonts w:ascii="Times New Roman" w:eastAsia="Times New Roman" w:hAnsi="Times New Roman" w:cs="Times New Roman"/>
          <w:b/>
          <w:lang w:eastAsia="lt-LT"/>
        </w:rPr>
        <w:tab/>
        <w:t>GAMINTOJAS (-AI), ATSAKINGAS (-I) UŽ SERIJŲ IŠLEIDIMĄ</w:t>
      </w:r>
    </w:p>
    <w:p w14:paraId="330171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6354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Gamintojo (-ų), atsakingo (-ų) už serijų išleidimą, pavadinimas (-ai) ir adresas (-ai)</w:t>
      </w:r>
    </w:p>
    <w:p w14:paraId="52AED7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9D5B03" w14:textId="01285D1B"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Pharma</w:t>
      </w:r>
      <w:proofErr w:type="spellEnd"/>
    </w:p>
    <w:p w14:paraId="67B94E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4B0042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40592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44D342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7ACD8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EF8A4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4C9886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70C6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vaistinis preparatas.</w:t>
      </w:r>
    </w:p>
    <w:p w14:paraId="0B84559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D4460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rPr>
        <w:br w:type="page"/>
      </w:r>
    </w:p>
    <w:p w14:paraId="608FD2B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8936B4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A886B5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E8B114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8225909"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BE878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0616CE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AC7B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ED428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91DF69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8A6F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2EB11E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F1A540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17A37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5E5A6F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42990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3F4CEB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AC5A3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EC2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516158"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10258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7CFE4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A3450F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123B9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III PRIEDAS</w:t>
      </w:r>
      <w:bookmarkEnd w:id="4"/>
      <w:bookmarkEnd w:id="5"/>
    </w:p>
    <w:p w14:paraId="4A85DEDC" w14:textId="77777777" w:rsidR="001764C6" w:rsidRDefault="001764C6" w:rsidP="001764C6">
      <w:pPr>
        <w:tabs>
          <w:tab w:val="left" w:pos="567"/>
        </w:tabs>
        <w:spacing w:after="0" w:line="240" w:lineRule="auto"/>
        <w:rPr>
          <w:rFonts w:ascii="Times New Roman" w:eastAsia="Times New Roman" w:hAnsi="Times New Roman" w:cs="Times New Roman"/>
        </w:rPr>
      </w:pPr>
    </w:p>
    <w:p w14:paraId="0CC37C2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260"/>
      <w:bookmarkStart w:id="9" w:name="_Toc129243135"/>
      <w:r>
        <w:rPr>
          <w:rFonts w:ascii="Times New Roman" w:eastAsia="Times New Roman" w:hAnsi="Times New Roman" w:cs="Times New Roman"/>
          <w:b/>
          <w:caps/>
        </w:rPr>
        <w:t>ŽENKLINIMAS IR PAKUOTĖS LAPELIS</w:t>
      </w:r>
      <w:bookmarkEnd w:id="8"/>
      <w:bookmarkEnd w:id="9"/>
    </w:p>
    <w:p w14:paraId="427FDDE2"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rPr>
        <w:br w:type="page"/>
      </w:r>
    </w:p>
    <w:p w14:paraId="3E6FF387" w14:textId="77777777" w:rsidR="001764C6" w:rsidRDefault="001764C6" w:rsidP="001764C6">
      <w:pPr>
        <w:tabs>
          <w:tab w:val="left" w:pos="567"/>
        </w:tabs>
        <w:spacing w:after="0" w:line="240" w:lineRule="auto"/>
        <w:rPr>
          <w:rFonts w:ascii="Times New Roman" w:eastAsia="Times New Roman" w:hAnsi="Times New Roman" w:cs="Times New Roman"/>
        </w:rPr>
      </w:pPr>
    </w:p>
    <w:p w14:paraId="67DE665F" w14:textId="77777777" w:rsidR="001764C6" w:rsidRDefault="001764C6" w:rsidP="001764C6">
      <w:pPr>
        <w:tabs>
          <w:tab w:val="left" w:pos="567"/>
        </w:tabs>
        <w:spacing w:after="0" w:line="240" w:lineRule="auto"/>
        <w:rPr>
          <w:rFonts w:ascii="Times New Roman" w:eastAsia="Times New Roman" w:hAnsi="Times New Roman" w:cs="Times New Roman"/>
        </w:rPr>
      </w:pPr>
    </w:p>
    <w:p w14:paraId="5A0A2CAB" w14:textId="77777777" w:rsidR="001764C6" w:rsidRDefault="001764C6" w:rsidP="001764C6">
      <w:pPr>
        <w:tabs>
          <w:tab w:val="left" w:pos="567"/>
        </w:tabs>
        <w:spacing w:after="0" w:line="240" w:lineRule="auto"/>
        <w:rPr>
          <w:rFonts w:ascii="Times New Roman" w:eastAsia="Times New Roman" w:hAnsi="Times New Roman" w:cs="Times New Roman"/>
        </w:rPr>
      </w:pPr>
    </w:p>
    <w:p w14:paraId="53607403" w14:textId="77777777" w:rsidR="001764C6" w:rsidRDefault="001764C6" w:rsidP="001764C6">
      <w:pPr>
        <w:tabs>
          <w:tab w:val="left" w:pos="567"/>
        </w:tabs>
        <w:spacing w:after="0" w:line="240" w:lineRule="auto"/>
        <w:rPr>
          <w:rFonts w:ascii="Times New Roman" w:eastAsia="Times New Roman" w:hAnsi="Times New Roman" w:cs="Times New Roman"/>
        </w:rPr>
      </w:pPr>
    </w:p>
    <w:p w14:paraId="364F7367" w14:textId="77777777" w:rsidR="001764C6" w:rsidRDefault="001764C6" w:rsidP="001764C6">
      <w:pPr>
        <w:tabs>
          <w:tab w:val="left" w:pos="567"/>
        </w:tabs>
        <w:spacing w:after="0" w:line="240" w:lineRule="auto"/>
        <w:rPr>
          <w:rFonts w:ascii="Times New Roman" w:eastAsia="Times New Roman" w:hAnsi="Times New Roman" w:cs="Times New Roman"/>
        </w:rPr>
      </w:pPr>
    </w:p>
    <w:p w14:paraId="210B07DE" w14:textId="77777777" w:rsidR="001764C6" w:rsidRDefault="001764C6" w:rsidP="001764C6">
      <w:pPr>
        <w:tabs>
          <w:tab w:val="left" w:pos="567"/>
        </w:tabs>
        <w:spacing w:after="0" w:line="240" w:lineRule="auto"/>
        <w:rPr>
          <w:rFonts w:ascii="Times New Roman" w:eastAsia="Times New Roman" w:hAnsi="Times New Roman" w:cs="Times New Roman"/>
        </w:rPr>
      </w:pPr>
    </w:p>
    <w:p w14:paraId="3F399422" w14:textId="77777777" w:rsidR="001764C6" w:rsidRDefault="001764C6" w:rsidP="001764C6">
      <w:pPr>
        <w:tabs>
          <w:tab w:val="left" w:pos="567"/>
        </w:tabs>
        <w:spacing w:after="0" w:line="240" w:lineRule="auto"/>
        <w:rPr>
          <w:rFonts w:ascii="Times New Roman" w:eastAsia="Times New Roman" w:hAnsi="Times New Roman" w:cs="Times New Roman"/>
        </w:rPr>
      </w:pPr>
    </w:p>
    <w:p w14:paraId="1EF4B6F1" w14:textId="77777777" w:rsidR="001764C6" w:rsidRDefault="001764C6" w:rsidP="001764C6">
      <w:pPr>
        <w:tabs>
          <w:tab w:val="left" w:pos="567"/>
        </w:tabs>
        <w:spacing w:after="0" w:line="240" w:lineRule="auto"/>
        <w:rPr>
          <w:rFonts w:ascii="Times New Roman" w:eastAsia="Times New Roman" w:hAnsi="Times New Roman" w:cs="Times New Roman"/>
        </w:rPr>
      </w:pPr>
    </w:p>
    <w:p w14:paraId="2D1B062E" w14:textId="77777777" w:rsidR="001764C6" w:rsidRDefault="001764C6" w:rsidP="001764C6">
      <w:pPr>
        <w:tabs>
          <w:tab w:val="left" w:pos="567"/>
        </w:tabs>
        <w:spacing w:after="0" w:line="240" w:lineRule="auto"/>
        <w:rPr>
          <w:rFonts w:ascii="Times New Roman" w:eastAsia="Times New Roman" w:hAnsi="Times New Roman" w:cs="Times New Roman"/>
        </w:rPr>
      </w:pPr>
    </w:p>
    <w:p w14:paraId="00C8E942" w14:textId="77777777" w:rsidR="001764C6" w:rsidRDefault="001764C6" w:rsidP="001764C6">
      <w:pPr>
        <w:tabs>
          <w:tab w:val="left" w:pos="567"/>
        </w:tabs>
        <w:spacing w:after="0" w:line="240" w:lineRule="auto"/>
        <w:rPr>
          <w:rFonts w:ascii="Times New Roman" w:eastAsia="Times New Roman" w:hAnsi="Times New Roman" w:cs="Times New Roman"/>
        </w:rPr>
      </w:pPr>
    </w:p>
    <w:p w14:paraId="36A93496" w14:textId="77777777" w:rsidR="001764C6" w:rsidRDefault="001764C6" w:rsidP="001764C6">
      <w:pPr>
        <w:tabs>
          <w:tab w:val="left" w:pos="567"/>
        </w:tabs>
        <w:spacing w:after="0" w:line="240" w:lineRule="auto"/>
        <w:rPr>
          <w:rFonts w:ascii="Times New Roman" w:eastAsia="Times New Roman" w:hAnsi="Times New Roman" w:cs="Times New Roman"/>
        </w:rPr>
      </w:pPr>
    </w:p>
    <w:p w14:paraId="14532D65" w14:textId="77777777" w:rsidR="001764C6" w:rsidRDefault="001764C6" w:rsidP="001764C6">
      <w:pPr>
        <w:tabs>
          <w:tab w:val="left" w:pos="567"/>
        </w:tabs>
        <w:spacing w:after="0" w:line="240" w:lineRule="auto"/>
        <w:rPr>
          <w:rFonts w:ascii="Times New Roman" w:eastAsia="Times New Roman" w:hAnsi="Times New Roman" w:cs="Times New Roman"/>
        </w:rPr>
      </w:pPr>
    </w:p>
    <w:p w14:paraId="560144E5" w14:textId="77777777" w:rsidR="001764C6" w:rsidRDefault="001764C6" w:rsidP="001764C6">
      <w:pPr>
        <w:tabs>
          <w:tab w:val="left" w:pos="567"/>
        </w:tabs>
        <w:spacing w:after="0" w:line="240" w:lineRule="auto"/>
        <w:rPr>
          <w:rFonts w:ascii="Times New Roman" w:eastAsia="Times New Roman" w:hAnsi="Times New Roman" w:cs="Times New Roman"/>
        </w:rPr>
      </w:pPr>
    </w:p>
    <w:p w14:paraId="09BCF0CB" w14:textId="77777777" w:rsidR="001764C6" w:rsidRDefault="001764C6" w:rsidP="001764C6">
      <w:pPr>
        <w:tabs>
          <w:tab w:val="left" w:pos="567"/>
        </w:tabs>
        <w:spacing w:after="0" w:line="240" w:lineRule="auto"/>
        <w:rPr>
          <w:rFonts w:ascii="Times New Roman" w:eastAsia="Times New Roman" w:hAnsi="Times New Roman" w:cs="Times New Roman"/>
        </w:rPr>
      </w:pPr>
    </w:p>
    <w:p w14:paraId="306E48EE" w14:textId="77777777" w:rsidR="001764C6" w:rsidRDefault="001764C6" w:rsidP="001764C6">
      <w:pPr>
        <w:tabs>
          <w:tab w:val="left" w:pos="567"/>
        </w:tabs>
        <w:spacing w:after="0" w:line="240" w:lineRule="auto"/>
        <w:rPr>
          <w:rFonts w:ascii="Times New Roman" w:eastAsia="Times New Roman" w:hAnsi="Times New Roman" w:cs="Times New Roman"/>
        </w:rPr>
      </w:pPr>
    </w:p>
    <w:p w14:paraId="11F09A3F" w14:textId="77777777" w:rsidR="001764C6" w:rsidRDefault="001764C6" w:rsidP="001764C6">
      <w:pPr>
        <w:tabs>
          <w:tab w:val="left" w:pos="567"/>
        </w:tabs>
        <w:spacing w:after="0" w:line="240" w:lineRule="auto"/>
        <w:rPr>
          <w:rFonts w:ascii="Times New Roman" w:eastAsia="Times New Roman" w:hAnsi="Times New Roman" w:cs="Times New Roman"/>
        </w:rPr>
      </w:pPr>
    </w:p>
    <w:p w14:paraId="565A16D0" w14:textId="77777777" w:rsidR="001764C6" w:rsidRDefault="001764C6" w:rsidP="001764C6">
      <w:pPr>
        <w:tabs>
          <w:tab w:val="left" w:pos="567"/>
        </w:tabs>
        <w:spacing w:after="0" w:line="240" w:lineRule="auto"/>
        <w:rPr>
          <w:rFonts w:ascii="Times New Roman" w:eastAsia="Times New Roman" w:hAnsi="Times New Roman" w:cs="Times New Roman"/>
        </w:rPr>
      </w:pPr>
    </w:p>
    <w:p w14:paraId="5929FEAE" w14:textId="77777777" w:rsidR="001764C6" w:rsidRDefault="001764C6" w:rsidP="001764C6">
      <w:pPr>
        <w:tabs>
          <w:tab w:val="left" w:pos="567"/>
        </w:tabs>
        <w:spacing w:after="0" w:line="240" w:lineRule="auto"/>
        <w:rPr>
          <w:rFonts w:ascii="Times New Roman" w:eastAsia="Times New Roman" w:hAnsi="Times New Roman" w:cs="Times New Roman"/>
        </w:rPr>
      </w:pPr>
    </w:p>
    <w:p w14:paraId="3B1C403D" w14:textId="77777777" w:rsidR="001764C6" w:rsidRDefault="001764C6" w:rsidP="001764C6">
      <w:pPr>
        <w:tabs>
          <w:tab w:val="left" w:pos="567"/>
        </w:tabs>
        <w:spacing w:after="0" w:line="240" w:lineRule="auto"/>
        <w:rPr>
          <w:rFonts w:ascii="Times New Roman" w:eastAsia="Times New Roman" w:hAnsi="Times New Roman" w:cs="Times New Roman"/>
        </w:rPr>
      </w:pPr>
    </w:p>
    <w:p w14:paraId="45D934A2" w14:textId="77777777" w:rsidR="001764C6" w:rsidRDefault="001764C6" w:rsidP="001764C6">
      <w:pPr>
        <w:tabs>
          <w:tab w:val="left" w:pos="567"/>
        </w:tabs>
        <w:spacing w:after="0" w:line="240" w:lineRule="auto"/>
        <w:rPr>
          <w:rFonts w:ascii="Times New Roman" w:eastAsia="Times New Roman" w:hAnsi="Times New Roman" w:cs="Times New Roman"/>
        </w:rPr>
      </w:pPr>
    </w:p>
    <w:p w14:paraId="38C507D7" w14:textId="77777777" w:rsidR="001764C6" w:rsidRDefault="001764C6" w:rsidP="001764C6">
      <w:pPr>
        <w:tabs>
          <w:tab w:val="left" w:pos="567"/>
        </w:tabs>
        <w:spacing w:after="0" w:line="240" w:lineRule="auto"/>
        <w:rPr>
          <w:rFonts w:ascii="Times New Roman" w:eastAsia="Times New Roman" w:hAnsi="Times New Roman" w:cs="Times New Roman"/>
        </w:rPr>
      </w:pPr>
    </w:p>
    <w:p w14:paraId="79CA868A" w14:textId="77777777" w:rsidR="001764C6" w:rsidRDefault="001764C6" w:rsidP="001764C6">
      <w:pPr>
        <w:tabs>
          <w:tab w:val="left" w:pos="567"/>
        </w:tabs>
        <w:spacing w:after="0" w:line="240" w:lineRule="auto"/>
        <w:rPr>
          <w:rFonts w:ascii="Times New Roman" w:eastAsia="Times New Roman" w:hAnsi="Times New Roman" w:cs="Times New Roman"/>
        </w:rPr>
      </w:pPr>
    </w:p>
    <w:p w14:paraId="6998484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0" w:name="_Toc129243261"/>
      <w:bookmarkStart w:id="11" w:name="_Toc129243136"/>
    </w:p>
    <w:p w14:paraId="1218C3A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A. ŽENKLINIMAS</w:t>
      </w:r>
      <w:bookmarkEnd w:id="10"/>
      <w:bookmarkEnd w:id="11"/>
    </w:p>
    <w:p w14:paraId="5B168F9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B8EACD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B892438"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kern w:val="28"/>
          <w:lang w:eastAsia="lt-LT"/>
        </w:rPr>
        <w:br w:type="page"/>
      </w:r>
    </w:p>
    <w:p w14:paraId="573F6510"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 xml:space="preserve">INFORMACIJA ANT IŠORINĖS PAKUOTĖS </w:t>
      </w:r>
    </w:p>
    <w:p w14:paraId="3615063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eastAsia="lt-LT"/>
        </w:rPr>
      </w:pPr>
    </w:p>
    <w:p w14:paraId="5F9CE318"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KartonO dėžutė</w:t>
      </w:r>
    </w:p>
    <w:p w14:paraId="20C0EB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17A1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92424F"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w:t>
      </w:r>
    </w:p>
    <w:p w14:paraId="3B06A8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165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w:t>
      </w:r>
    </w:p>
    <w:p w14:paraId="440DF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IBE 1000 mg milteliai infuzinio tirpalo koncentratui</w:t>
      </w:r>
      <w:r>
        <w:rPr>
          <w:rFonts w:ascii="Times New Roman" w:eastAsia="Times New Roman" w:hAnsi="Times New Roman" w:cs="Times New Roman"/>
          <w:lang w:eastAsia="lt-LT"/>
        </w:rPr>
        <w:t xml:space="preserve"> </w:t>
      </w:r>
    </w:p>
    <w:p w14:paraId="67D48B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
    <w:p w14:paraId="5FEE072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994A6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B50BDC"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VEIKLIOJI (-IOS) MEDŽIAGA (-OS) IR JOS (-Ų) KIEKIS (-IAI)</w:t>
      </w:r>
    </w:p>
    <w:p w14:paraId="4A94DDA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C0804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98922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7A2C8A48"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Po ištirpinimo 10 ml vandens, 1 ml infuzinio tirpalo koncentrate yra 50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19C1E65E"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3EAF6184"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 xml:space="preserve">Kiekviename flakone yra 1000 mg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 xml:space="preserve"> hidrochlorido pavidalu), kuris atitinka  1 000 000 TV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w:t>
      </w:r>
    </w:p>
    <w:p w14:paraId="693CD5B9"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 xml:space="preserve">Po ištirpinimo 20 ml vandens, 1 ml infuzinio tirpalo koncentrate yra 50 mg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lang w:eastAsia="lt-LT"/>
        </w:rPr>
        <w:t>.</w:t>
      </w:r>
    </w:p>
    <w:p w14:paraId="5DE0131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484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B450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PAGALBINIŲ MEDŽIAGŲ SĄRAŠAS</w:t>
      </w:r>
    </w:p>
    <w:p w14:paraId="2D8413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FA8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B8514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FARMACINĖ FORMA IR KIEKIS PAKUOTĖJE</w:t>
      </w:r>
    </w:p>
    <w:p w14:paraId="3612A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996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Milteliai infuzinio tirpalo koncentratui </w:t>
      </w:r>
    </w:p>
    <w:p w14:paraId="689B43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76D0B8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14:paraId="1D5F65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flakonų</w:t>
      </w:r>
    </w:p>
    <w:p w14:paraId="6FBB24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69D4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FDE683"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VARTOJIMO METODAS IR BŪDAS (-AI)</w:t>
      </w:r>
    </w:p>
    <w:p w14:paraId="06812E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F0D2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 arba vartoti per burną, ištirpinus ir praskiedus.</w:t>
      </w:r>
    </w:p>
    <w:p w14:paraId="45B6DB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0D6A07"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būtina ištirpinti ir po to praskiesti. Prieš vartojimą perskaitykite pakuotės lapelį.</w:t>
      </w:r>
    </w:p>
    <w:p w14:paraId="04A93835"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tirpalas neskaidrus, vartoti negalima.</w:t>
      </w:r>
    </w:p>
    <w:p w14:paraId="6ADDFC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Tik vienkartiniam vartojimui.</w:t>
      </w:r>
    </w:p>
    <w:p w14:paraId="6129E41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2163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EAC22E"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SPECIALUS ĮSPĖJIMAS, KAD VAISTINĮ PREPARATĄ BŪTINA LAIKYTI VAIKAMS NEPASTEBIMOJE IR NEPASIEKIAMOJE VIETOJE</w:t>
      </w:r>
    </w:p>
    <w:p w14:paraId="6F2856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91D6E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6AEE54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4316F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A04719"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eastAsia="Times New Roman" w:hAnsi="Times New Roman" w:cs="Times New Roman"/>
          <w:snapToGrid w:val="0"/>
          <w:szCs w:val="24"/>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r>
      <w:r>
        <w:rPr>
          <w:rFonts w:ascii="Times New Roman" w:eastAsia="Times New Roman" w:hAnsi="Times New Roman" w:cs="Times New Roman"/>
          <w:b/>
          <w:noProof/>
          <w:snapToGrid w:val="0"/>
          <w:szCs w:val="24"/>
        </w:rPr>
        <w:t>KITAS (-I) SPECIALUS (-ŪS) ĮSPĖJIMAS (-AI) (JEI REIKIA)</w:t>
      </w:r>
      <w:r>
        <w:rPr>
          <w:rFonts w:ascii="Times New Roman" w:eastAsia="Times New Roman" w:hAnsi="Times New Roman" w:cs="Times New Roman"/>
          <w:snapToGrid w:val="0"/>
          <w:szCs w:val="24"/>
        </w:rPr>
        <w:t xml:space="preserve"> </w:t>
      </w:r>
    </w:p>
    <w:p w14:paraId="2AD435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1C9634"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TINKAMUMO LAIKAS</w:t>
      </w:r>
    </w:p>
    <w:p w14:paraId="25BB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FA42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Tinka iki: {</w:t>
      </w:r>
      <w:proofErr w:type="spellStart"/>
      <w:r>
        <w:rPr>
          <w:rFonts w:ascii="Times New Roman" w:eastAsia="Times New Roman" w:hAnsi="Times New Roman" w:cs="Times New Roman"/>
          <w:lang w:eastAsia="lt-LT"/>
        </w:rPr>
        <w:t>mm.MMMM</w:t>
      </w:r>
      <w:proofErr w:type="spellEnd"/>
      <w:r>
        <w:rPr>
          <w:rFonts w:ascii="Times New Roman" w:eastAsia="Times New Roman" w:hAnsi="Times New Roman" w:cs="Times New Roman"/>
          <w:lang w:eastAsia="lt-LT"/>
        </w:rPr>
        <w:t>}</w:t>
      </w:r>
    </w:p>
    <w:p w14:paraId="25C6C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Informacijos apie paruošto/praskiesto vaisto tinkamumo laiką pateikiama pakuotės lapelyje.</w:t>
      </w:r>
    </w:p>
    <w:p w14:paraId="554E853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596A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6A6E3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SPECIALIOS LAIKYMO SĄLYGOS</w:t>
      </w:r>
    </w:p>
    <w:p w14:paraId="2B12E2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E8B6D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w:t>
      </w:r>
    </w:p>
    <w:p w14:paraId="15F7C5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D6DCB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2CA93B"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 xml:space="preserve">SPECIALIOS ATSARGUMO PRIEMONĖS DĖL NESUVARTOTO </w:t>
      </w:r>
      <w:r>
        <w:rPr>
          <w:rFonts w:ascii="Times New Roman" w:eastAsia="Times New Roman" w:hAnsi="Times New Roman" w:cs="Times New Roman"/>
          <w:b/>
          <w:bCs/>
          <w:lang w:eastAsia="lt-LT"/>
        </w:rPr>
        <w:t xml:space="preserve">VAISTINIO PREPARATO AR JO ATLIEKŲ </w:t>
      </w:r>
      <w:r>
        <w:rPr>
          <w:rFonts w:ascii="Times New Roman" w:eastAsia="Times New Roman" w:hAnsi="Times New Roman" w:cs="Times New Roman"/>
          <w:b/>
          <w:lang w:eastAsia="lt-LT"/>
        </w:rPr>
        <w:t>TVARKYMO (JEI REIKIA)</w:t>
      </w:r>
    </w:p>
    <w:p w14:paraId="44652B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3EE8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6F5D01"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Pr>
          <w:rFonts w:ascii="Times New Roman" w:eastAsia="Times New Roman" w:hAnsi="Times New Roman" w:cs="Times New Roman"/>
          <w:b/>
          <w:snapToGrid w:val="0"/>
          <w:szCs w:val="24"/>
        </w:rPr>
        <w:t>11.</w:t>
      </w:r>
      <w:r>
        <w:rPr>
          <w:rFonts w:ascii="Times New Roman" w:eastAsia="Times New Roman" w:hAnsi="Times New Roman" w:cs="Times New Roman"/>
          <w:b/>
          <w:snapToGrid w:val="0"/>
          <w:szCs w:val="24"/>
        </w:rPr>
        <w:tab/>
      </w:r>
      <w:r>
        <w:rPr>
          <w:rFonts w:ascii="Times New Roman" w:eastAsia="Times New Roman" w:hAnsi="Times New Roman" w:cs="Times New Roman"/>
          <w:b/>
          <w:caps/>
          <w:noProof/>
          <w:snapToGrid w:val="0"/>
          <w:szCs w:val="24"/>
        </w:rPr>
        <w:t>REGISTRUOTOJO PAVADINIMAS IR ADRESAS</w:t>
      </w:r>
    </w:p>
    <w:p w14:paraId="6B4FB4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C1C5C5" w14:textId="2C7440D3"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Pharma</w:t>
      </w:r>
      <w:proofErr w:type="spellEnd"/>
    </w:p>
    <w:p w14:paraId="03CD1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6E56D0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138FA27D" w14:textId="77777777" w:rsidR="001764C6" w:rsidRDefault="001764C6" w:rsidP="001764C6">
      <w:pPr>
        <w:spacing w:after="0" w:line="240" w:lineRule="auto"/>
        <w:rPr>
          <w:rFonts w:ascii="Times New Roman" w:eastAsia="Times New Roman" w:hAnsi="Times New Roman" w:cs="Times New Roman"/>
          <w:bCs/>
          <w:noProof/>
          <w:lang w:eastAsia="lt-LT"/>
        </w:rPr>
      </w:pPr>
      <w:r>
        <w:rPr>
          <w:rFonts w:ascii="Times New Roman" w:eastAsia="Times New Roman" w:hAnsi="Times New Roman" w:cs="Times New Roman"/>
          <w:lang w:eastAsia="lt-LT"/>
        </w:rPr>
        <w:t>Lietuva</w:t>
      </w:r>
    </w:p>
    <w:p w14:paraId="085946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FD81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67C92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Pr>
          <w:rFonts w:ascii="Times New Roman" w:eastAsia="Times New Roman" w:hAnsi="Times New Roman" w:cs="Times New Roman"/>
          <w:b/>
          <w:snapToGrid w:val="0"/>
          <w:szCs w:val="24"/>
        </w:rPr>
        <w:t>12.</w:t>
      </w:r>
      <w:r>
        <w:rPr>
          <w:rFonts w:ascii="Times New Roman" w:eastAsia="Times New Roman" w:hAnsi="Times New Roman" w:cs="Times New Roman"/>
          <w:b/>
          <w:snapToGrid w:val="0"/>
          <w:szCs w:val="24"/>
        </w:rPr>
        <w:tab/>
      </w:r>
      <w:r>
        <w:rPr>
          <w:rFonts w:ascii="Times New Roman" w:eastAsia="Times New Roman" w:hAnsi="Times New Roman" w:cs="Times New Roman"/>
          <w:b/>
          <w:noProof/>
          <w:snapToGrid w:val="0"/>
          <w:szCs w:val="24"/>
        </w:rPr>
        <w:t>REGISTRACIJOS PAŽYMĖJIMO NUMERIS (-IAI)</w:t>
      </w:r>
      <w:r>
        <w:rPr>
          <w:rFonts w:ascii="Times New Roman" w:eastAsia="Times New Roman" w:hAnsi="Times New Roman" w:cs="Times New Roman"/>
          <w:b/>
          <w:snapToGrid w:val="0"/>
          <w:szCs w:val="24"/>
        </w:rPr>
        <w:t xml:space="preserve"> </w:t>
      </w:r>
    </w:p>
    <w:p w14:paraId="1B9D3A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D496B0"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500 mg</w:t>
      </w:r>
    </w:p>
    <w:p w14:paraId="6BA5D1C6"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LT/1/24/5395/001 </w:t>
      </w:r>
      <w:r>
        <w:rPr>
          <w:rFonts w:ascii="Times New Roman" w:eastAsia="Times New Roman" w:hAnsi="Times New Roman" w:cs="Times New Roman"/>
          <w:highlight w:val="lightGray"/>
          <w:lang w:eastAsia="lt-LT"/>
        </w:rPr>
        <w:t>– N1</w:t>
      </w:r>
    </w:p>
    <w:p w14:paraId="536D923D"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LT/1/24/5395/002 </w:t>
      </w:r>
      <w:r>
        <w:rPr>
          <w:rFonts w:ascii="Times New Roman" w:eastAsia="Times New Roman" w:hAnsi="Times New Roman" w:cs="Times New Roman"/>
          <w:highlight w:val="lightGray"/>
          <w:lang w:eastAsia="lt-LT"/>
        </w:rPr>
        <w:t>– N10</w:t>
      </w:r>
    </w:p>
    <w:p w14:paraId="2D900A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02B4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1000 mg</w:t>
      </w:r>
    </w:p>
    <w:p w14:paraId="24D360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LT/1/24/5396/001 – N1</w:t>
      </w:r>
    </w:p>
    <w:p w14:paraId="5C29EBB6"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LT/1/24/5396/002 – N10</w:t>
      </w:r>
    </w:p>
    <w:p w14:paraId="4F447D7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8D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1D66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13.</w:t>
      </w:r>
      <w:r>
        <w:rPr>
          <w:rFonts w:ascii="Times New Roman" w:eastAsia="Times New Roman" w:hAnsi="Times New Roman" w:cs="Times New Roman"/>
          <w:b/>
          <w:lang w:eastAsia="lt-LT"/>
        </w:rPr>
        <w:tab/>
        <w:t>SERIJOS NUMERIS</w:t>
      </w:r>
    </w:p>
    <w:p w14:paraId="43ABDA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E3B4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Serija:</w:t>
      </w:r>
    </w:p>
    <w:p w14:paraId="648A2F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547B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02B00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14.</w:t>
      </w:r>
      <w:r>
        <w:rPr>
          <w:rFonts w:ascii="Times New Roman" w:eastAsia="Times New Roman" w:hAnsi="Times New Roman" w:cs="Times New Roman"/>
          <w:b/>
          <w:lang w:eastAsia="lt-LT"/>
        </w:rPr>
        <w:tab/>
        <w:t>PARDAVIMO (IŠDAVIMO) TVARKA</w:t>
      </w:r>
    </w:p>
    <w:p w14:paraId="7A286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A0CD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58B2F8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EE71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7ACAC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15.</w:t>
      </w:r>
      <w:r>
        <w:rPr>
          <w:rFonts w:ascii="Times New Roman" w:eastAsia="Times New Roman" w:hAnsi="Times New Roman" w:cs="Times New Roman"/>
          <w:b/>
          <w:lang w:eastAsia="lt-LT"/>
        </w:rPr>
        <w:tab/>
        <w:t>VARTOJIMO INSTRUKCIJA</w:t>
      </w:r>
    </w:p>
    <w:p w14:paraId="43C25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D6B3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B3F4D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16.</w:t>
      </w:r>
      <w:r>
        <w:rPr>
          <w:rFonts w:ascii="Times New Roman" w:eastAsia="Times New Roman" w:hAnsi="Times New Roman" w:cs="Times New Roman"/>
          <w:b/>
          <w:lang w:eastAsia="lt-LT"/>
        </w:rPr>
        <w:tab/>
        <w:t>INFORMACIJA BRAILIO RAŠTU</w:t>
      </w:r>
    </w:p>
    <w:p w14:paraId="7FC44E7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9032930"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Priimtas pagrindimas informacijos Brailio raštu nepateikti.</w:t>
      </w:r>
    </w:p>
    <w:p w14:paraId="794FD6F3"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06F6112E"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28FDD09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17.</w:t>
      </w:r>
      <w:r>
        <w:rPr>
          <w:rFonts w:ascii="Times New Roman" w:eastAsia="Times New Roman" w:hAnsi="Times New Roman" w:cs="Times New Roman"/>
          <w:b/>
          <w:lang w:eastAsia="lt-LT"/>
        </w:rPr>
        <w:tab/>
        <w:t>UNIKALUS IDENTIFIKATORIUS – 2D BRŪKŠNINIS KODAS</w:t>
      </w:r>
    </w:p>
    <w:p w14:paraId="2C378074" w14:textId="77777777" w:rsidR="001764C6" w:rsidRDefault="001764C6" w:rsidP="001764C6">
      <w:pPr>
        <w:spacing w:after="0" w:line="240" w:lineRule="auto"/>
        <w:rPr>
          <w:rFonts w:ascii="Times New Roman" w:eastAsia="Times New Roman" w:hAnsi="Times New Roman" w:cs="Times New Roman"/>
          <w:noProof/>
          <w:szCs w:val="20"/>
          <w:lang w:val="fi-FI"/>
        </w:rPr>
      </w:pPr>
    </w:p>
    <w:p w14:paraId="6847AEF1"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r>
        <w:rPr>
          <w:rFonts w:ascii="Times New Roman" w:eastAsia="Times New Roman" w:hAnsi="Times New Roman" w:cs="Times New Roman"/>
          <w:noProof/>
          <w:shd w:val="clear" w:color="auto" w:fill="CCCCCC"/>
        </w:rPr>
        <w:t>2D brūkšninis kodas su nurodytu unikaliu identifikatoriumi.</w:t>
      </w:r>
    </w:p>
    <w:p w14:paraId="210F345C"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p>
    <w:p w14:paraId="5F587AF9"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lang w:val="fi-FI"/>
        </w:rPr>
      </w:pPr>
    </w:p>
    <w:p w14:paraId="60727C38" w14:textId="77777777" w:rsidR="001764C6" w:rsidRDefault="001764C6" w:rsidP="001764C6">
      <w:pPr>
        <w:tabs>
          <w:tab w:val="left" w:pos="567"/>
        </w:tabs>
        <w:spacing w:after="0" w:line="240" w:lineRule="auto"/>
        <w:rPr>
          <w:rFonts w:ascii="Times New Roman" w:eastAsia="Times New Roman" w:hAnsi="Times New Roman" w:cs="Times New Roman"/>
          <w:noProof/>
          <w:vanish/>
          <w:lang w:val="en-GB"/>
        </w:rPr>
      </w:pPr>
    </w:p>
    <w:p w14:paraId="2314616A"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18.</w:t>
      </w:r>
      <w:r>
        <w:rPr>
          <w:rFonts w:ascii="Times New Roman" w:eastAsia="Times New Roman" w:hAnsi="Times New Roman" w:cs="Times New Roman"/>
          <w:b/>
          <w:lang w:eastAsia="lt-LT"/>
        </w:rPr>
        <w:tab/>
        <w:t>UNIKALUS IDENTIFIKATORIUS – ŽMONĖMS SUPRANTAMI DUOMENYS</w:t>
      </w:r>
    </w:p>
    <w:p w14:paraId="5FE9D6A7" w14:textId="77777777" w:rsidR="001764C6" w:rsidRDefault="001764C6" w:rsidP="001764C6">
      <w:pPr>
        <w:spacing w:after="0" w:line="240" w:lineRule="auto"/>
        <w:rPr>
          <w:rFonts w:ascii="Times New Roman" w:eastAsia="Times New Roman" w:hAnsi="Times New Roman" w:cs="Times New Roman"/>
          <w:noProof/>
          <w:szCs w:val="20"/>
          <w:lang w:val="fi-FI"/>
        </w:rPr>
      </w:pPr>
    </w:p>
    <w:p w14:paraId="28DCB8E2"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PC: {numeris} </w:t>
      </w:r>
    </w:p>
    <w:p w14:paraId="36AD8560"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SN: {numeris}</w:t>
      </w:r>
    </w:p>
    <w:p w14:paraId="39E29475"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NN: {numeris} </w:t>
      </w:r>
    </w:p>
    <w:p w14:paraId="44662B83"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1EA026B8"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00FA2A6D" w14:textId="77777777" w:rsidR="001764C6" w:rsidRDefault="001764C6" w:rsidP="001764C6">
      <w:pPr>
        <w:rPr>
          <w:rFonts w:ascii="Times New Roman" w:eastAsia="Times New Roman" w:hAnsi="Times New Roman" w:cs="Times New Roman"/>
          <w:b/>
          <w:lang w:eastAsia="lt-LT"/>
        </w:rPr>
      </w:pPr>
      <w:r>
        <w:rPr>
          <w:rFonts w:ascii="Times New Roman" w:eastAsia="Times New Roman" w:hAnsi="Times New Roman" w:cs="Times New Roman"/>
          <w:b/>
          <w:lang w:eastAsia="lt-LT"/>
        </w:rPr>
        <w:br w:type="page"/>
      </w:r>
    </w:p>
    <w:p w14:paraId="183A5950" w14:textId="77777777" w:rsidR="001764C6" w:rsidRDefault="001764C6" w:rsidP="001764C6">
      <w:pPr>
        <w:keepNext/>
        <w:tabs>
          <w:tab w:val="left" w:pos="567"/>
        </w:tabs>
        <w:spacing w:after="0" w:line="240" w:lineRule="auto"/>
        <w:outlineLvl w:val="1"/>
        <w:rPr>
          <w:rFonts w:ascii="Times New Roman" w:eastAsia="Times New Roman" w:hAnsi="Times New Roman" w:cs="Times New Roman"/>
          <w:b/>
          <w:lang w:eastAsia="lt-LT"/>
        </w:rPr>
      </w:pPr>
    </w:p>
    <w:p w14:paraId="11811102"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MINIMALI INFORMACIJA ANT MAŽŲ VIDINIŲ PAKUOČIŲ</w:t>
      </w:r>
    </w:p>
    <w:p w14:paraId="1F76288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p>
    <w:p w14:paraId="12FD4DA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FLAKONO ETIKETĖ</w:t>
      </w:r>
    </w:p>
    <w:p w14:paraId="1A9894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8728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3A8D9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r>
      <w:r>
        <w:rPr>
          <w:rFonts w:ascii="Times New Roman" w:eastAsia="Times New Roman" w:hAnsi="Times New Roman" w:cs="Times New Roman"/>
          <w:b/>
          <w:caps/>
          <w:noProof/>
          <w:snapToGrid w:val="0"/>
          <w:szCs w:val="24"/>
        </w:rPr>
        <w:t>Vaistinio preparato pavadinimas ir vartojimo būdas (-ai)</w:t>
      </w:r>
    </w:p>
    <w:p w14:paraId="0756A88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8C38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w:t>
      </w:r>
    </w:p>
    <w:p w14:paraId="78646B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IBE 1000 mg milteliai infuzinio tirpalo koncentratui</w:t>
      </w:r>
      <w:r>
        <w:rPr>
          <w:rFonts w:ascii="Times New Roman" w:eastAsia="Times New Roman" w:hAnsi="Times New Roman" w:cs="Times New Roman"/>
          <w:lang w:eastAsia="lt-LT"/>
        </w:rPr>
        <w:t xml:space="preserve"> </w:t>
      </w:r>
    </w:p>
    <w:p w14:paraId="3F8D1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p>
    <w:p w14:paraId="240C47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i.v</w:t>
      </w:r>
      <w:proofErr w:type="spellEnd"/>
      <w:r>
        <w:rPr>
          <w:rFonts w:ascii="Times New Roman" w:eastAsia="Times New Roman" w:hAnsi="Times New Roman" w:cs="Times New Roman"/>
          <w:lang w:eastAsia="lt-LT"/>
        </w:rPr>
        <w:t>., vartoti per burną</w:t>
      </w:r>
    </w:p>
    <w:p w14:paraId="0610F7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F7C7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AD83A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VARTOJIMO METODAS</w:t>
      </w:r>
    </w:p>
    <w:p w14:paraId="12A10E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C402A9" w14:textId="77777777" w:rsidR="001764C6" w:rsidRDefault="001764C6" w:rsidP="001764C6">
      <w:pPr>
        <w:tabs>
          <w:tab w:val="left" w:pos="567"/>
        </w:tabs>
        <w:spacing w:after="0" w:line="240" w:lineRule="auto"/>
      </w:pPr>
      <w:r>
        <w:rPr>
          <w:rFonts w:ascii="Times New Roman" w:eastAsia="Times New Roman" w:hAnsi="Times New Roman" w:cs="Times New Roman"/>
          <w:lang w:eastAsia="lt-LT"/>
        </w:rPr>
        <w:t>Vartoti ištirpinus ir praskiedus.</w:t>
      </w:r>
      <w:r>
        <w:t xml:space="preserve"> </w:t>
      </w:r>
    </w:p>
    <w:p w14:paraId="45A6E7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2EFBFA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CE93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F1FF5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TINKAMUMO LAIKAS</w:t>
      </w:r>
    </w:p>
    <w:p w14:paraId="3CDE8B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AB91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w:t>
      </w:r>
      <w:proofErr w:type="spellStart"/>
      <w:r>
        <w:rPr>
          <w:rFonts w:ascii="Times New Roman" w:eastAsia="Times New Roman" w:hAnsi="Times New Roman" w:cs="Times New Roman"/>
          <w:lang w:eastAsia="lt-LT"/>
        </w:rPr>
        <w:t>mm.MMMM</w:t>
      </w:r>
      <w:proofErr w:type="spellEnd"/>
      <w:r>
        <w:rPr>
          <w:rFonts w:ascii="Times New Roman" w:eastAsia="Times New Roman" w:hAnsi="Times New Roman" w:cs="Times New Roman"/>
          <w:lang w:eastAsia="lt-LT"/>
        </w:rPr>
        <w:t>}</w:t>
      </w:r>
    </w:p>
    <w:p w14:paraId="1105B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23B9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B55C5"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SERIJOS NUMERIS</w:t>
      </w:r>
    </w:p>
    <w:p w14:paraId="41661B6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35A7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76619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F2F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92378"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KIEKIS (MASĖ, TŪRIS ARBA VIENETAI)</w:t>
      </w:r>
    </w:p>
    <w:p w14:paraId="79B2993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DD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500 mg</w:t>
      </w:r>
    </w:p>
    <w:p w14:paraId="4F8C7E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1000 mg</w:t>
      </w:r>
    </w:p>
    <w:p w14:paraId="5BDA24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t xml:space="preserve">   </w:t>
      </w:r>
    </w:p>
    <w:p w14:paraId="5AAFE4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D67CF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KITA</w:t>
      </w:r>
    </w:p>
    <w:p w14:paraId="478520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4AB844" w14:textId="77777777" w:rsidR="001764C6" w:rsidRDefault="001764C6" w:rsidP="001764C6">
      <w:pPr>
        <w:spacing w:after="0" w:line="240" w:lineRule="auto"/>
        <w:rPr>
          <w:rFonts w:ascii="Times New Roman" w:eastAsia="Times New Roman" w:hAnsi="Times New Roman" w:cs="Times New Roman"/>
          <w:lang w:eastAsia="lt-LT"/>
        </w:rPr>
      </w:pPr>
    </w:p>
    <w:p w14:paraId="228BFDD1" w14:textId="77777777" w:rsidR="001764C6" w:rsidRDefault="001764C6" w:rsidP="001764C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6F951117"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4BD9B3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F84A33"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843495D"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624F8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E91A03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3BD5F3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9872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9C2F7C1"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7A7620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B67B7B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5001B9C"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02FFCA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BFB4E8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F968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23EE04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2F142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6260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0B5C4B7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6EC83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67E29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96C5FF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DA99D6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F0783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B. PAKUOTĖS LAPELIS</w:t>
      </w:r>
    </w:p>
    <w:p w14:paraId="3E50A454"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rPr>
      </w:pPr>
      <w:r>
        <w:rPr>
          <w:rFonts w:ascii="Times New Roman" w:eastAsia="Times New Roman" w:hAnsi="Times New Roman" w:cs="Times New Roman"/>
        </w:rPr>
        <w:br w:type="page"/>
      </w:r>
    </w:p>
    <w:p w14:paraId="36BD0E3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263"/>
      <w:bookmarkStart w:id="13" w:name="_Toc129243138"/>
      <w:r>
        <w:rPr>
          <w:rFonts w:ascii="Times New Roman" w:eastAsia="Calibri" w:hAnsi="Times New Roman" w:cs="Times New Roman"/>
          <w:b/>
        </w:rPr>
        <w:lastRenderedPageBreak/>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12"/>
      <w:bookmarkEnd w:id="13"/>
    </w:p>
    <w:p w14:paraId="0DD857AA"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3FA7C0E4"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500 mg milteliai infuzinio tirpalo koncentratui </w:t>
      </w:r>
    </w:p>
    <w:p w14:paraId="219FC425"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1000 mg milteliai infuzinio tirpalo koncentratui </w:t>
      </w:r>
    </w:p>
    <w:p w14:paraId="093486B4"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p>
    <w:p w14:paraId="3F2050E7"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55CC798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14:paraId="205EC7B9"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6F20C6F7"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577DEBDD"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Pr>
          <w:rFonts w:ascii="Times New Roman" w:eastAsia="Times New Roman" w:hAnsi="Times New Roman" w:cs="Times New Roman"/>
          <w:noProof/>
          <w:snapToGrid w:val="0"/>
        </w:rPr>
        <w:t xml:space="preserve">Žr. 4 skyrių. </w:t>
      </w:r>
    </w:p>
    <w:p w14:paraId="14CE5A20" w14:textId="77777777" w:rsidR="001764C6" w:rsidRDefault="001764C6" w:rsidP="001764C6">
      <w:pPr>
        <w:tabs>
          <w:tab w:val="left" w:pos="567"/>
        </w:tabs>
        <w:spacing w:after="0" w:line="240" w:lineRule="auto"/>
        <w:jc w:val="both"/>
        <w:rPr>
          <w:rFonts w:ascii="Times New Roman" w:eastAsia="Times New Roman" w:hAnsi="Times New Roman" w:cs="Times New Roman"/>
          <w:b/>
          <w:i/>
          <w:lang w:eastAsia="lt-LT"/>
        </w:rPr>
      </w:pPr>
    </w:p>
    <w:p w14:paraId="4B64332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14:paraId="5E0A20A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p>
    <w:p w14:paraId="45927756" w14:textId="77777777" w:rsidR="001764C6" w:rsidRDefault="001764C6" w:rsidP="001764C6">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14:paraId="1EF8F6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501891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59A19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263337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w:t>
      </w:r>
      <w:r>
        <w:rPr>
          <w:rFonts w:ascii="Times New Roman" w:eastAsia="Times New Roman" w:hAnsi="Times New Roman" w:cs="Times New Roman"/>
          <w:b/>
          <w:lang w:eastAsia="lt-LT"/>
        </w:rPr>
        <w:t xml:space="preserve"> </w:t>
      </w:r>
    </w:p>
    <w:p w14:paraId="15F67777"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2B51D252"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7CFE4F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317FAB" w14:textId="77777777" w:rsidR="001764C6" w:rsidRDefault="001764C6" w:rsidP="001764C6">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lang w:eastAsia="lt-LT"/>
        </w:rPr>
        <w:t xml:space="preserve"> </w:t>
      </w:r>
      <w:r>
        <w:rPr>
          <w:rFonts w:ascii="Times New Roman" w:eastAsia="Times New Roman" w:hAnsi="Times New Roman" w:cs="Times New Roman"/>
          <w:b/>
          <w:caps/>
          <w:lang w:eastAsia="lt-LT"/>
        </w:rPr>
        <w:t>IBE</w:t>
      </w:r>
      <w:r>
        <w:rPr>
          <w:rFonts w:ascii="Times New Roman" w:eastAsia="Times New Roman" w:hAnsi="Times New Roman" w:cs="Times New Roman"/>
          <w:b/>
          <w:lang w:eastAsia="lt-LT"/>
        </w:rPr>
        <w:t xml:space="preserve"> ir kam jis vartojamas</w:t>
      </w:r>
    </w:p>
    <w:p w14:paraId="5CFB8DAC"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3976F5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veiklioji medžiaga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antibiotikas, priklausantis antibiotikų grupei, vadinamai </w:t>
      </w:r>
      <w:proofErr w:type="spellStart"/>
      <w:r>
        <w:rPr>
          <w:rFonts w:ascii="Times New Roman" w:eastAsia="Times New Roman" w:hAnsi="Times New Roman" w:cs="Times New Roman"/>
          <w:lang w:eastAsia="lt-LT"/>
        </w:rPr>
        <w:t>glikopeptidais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veikia naikindamas tam tikras bakterijas, sukeliančias infekcines ligas.</w:t>
      </w:r>
    </w:p>
    <w:p w14:paraId="23B206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A993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miltelių yra paruošiamas infuzinis (skirtas lašinimui į veną) tirpalas arba geriamasis tirpalas.</w:t>
      </w:r>
    </w:p>
    <w:p w14:paraId="277ACE43"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2D479B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vartojamas infuzijos (lašinimo į veną) būdu toliau nurodytų sunkių infekcijų gydymui.</w:t>
      </w:r>
    </w:p>
    <w:p w14:paraId="2F34FC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CC952A"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Odos ir poodinių audinių infekcijos;</w:t>
      </w:r>
    </w:p>
    <w:p w14:paraId="29833C95"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p w14:paraId="2AB7EF2E"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Plaučių infekcija, vadinama „pneumonija“;</w:t>
      </w:r>
    </w:p>
    <w:p w14:paraId="6D5F8363"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Vidinio širdies sluoksnio infekcija (</w:t>
      </w:r>
      <w:proofErr w:type="spellStart"/>
      <w:r>
        <w:rPr>
          <w:rFonts w:ascii="Times New Roman" w:eastAsia="Times New Roman" w:hAnsi="Times New Roman" w:cs="Times New Roman"/>
          <w:lang w:eastAsia="lt-LT"/>
        </w:rPr>
        <w:t>endokarditas</w:t>
      </w:r>
      <w:proofErr w:type="spellEnd"/>
      <w:r>
        <w:rPr>
          <w:rFonts w:ascii="Times New Roman" w:eastAsia="Times New Roman" w:hAnsi="Times New Roman" w:cs="Times New Roman"/>
          <w:lang w:eastAsia="lt-LT"/>
        </w:rPr>
        <w:t>), ir jos profilaktika pacientams, kuriems atliekamos didelės apimties chirurginės procedūros.</w:t>
      </w:r>
    </w:p>
    <w:p w14:paraId="0440585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3389C05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galima vartoti per burną plonosios ir storosios žarnos gleivinės infekcijai gydyti, jei yra </w:t>
      </w:r>
      <w:proofErr w:type="spellStart"/>
      <w:r>
        <w:rPr>
          <w:rFonts w:ascii="Times New Roman" w:eastAsia="Times New Roman" w:hAnsi="Times New Roman" w:cs="Times New Roman"/>
          <w:bCs/>
          <w:i/>
          <w:iCs/>
          <w:lang w:eastAsia="lt-LT"/>
        </w:rPr>
        <w:t>Clostridioides</w:t>
      </w:r>
      <w:proofErr w:type="spellEnd"/>
      <w:r>
        <w:rPr>
          <w:rFonts w:ascii="Times New Roman" w:eastAsia="Times New Roman" w:hAnsi="Times New Roman" w:cs="Times New Roman"/>
          <w:bCs/>
          <w:i/>
          <w:iCs/>
          <w:lang w:eastAsia="lt-LT"/>
        </w:rPr>
        <w:t xml:space="preserve"> </w:t>
      </w:r>
      <w:proofErr w:type="spellStart"/>
      <w:r>
        <w:rPr>
          <w:rFonts w:ascii="Times New Roman" w:eastAsia="Times New Roman" w:hAnsi="Times New Roman" w:cs="Times New Roman"/>
          <w:bCs/>
          <w:i/>
          <w:iCs/>
          <w:lang w:eastAsia="lt-LT"/>
        </w:rPr>
        <w:t>difficile</w:t>
      </w:r>
      <w:proofErr w:type="spellEnd"/>
      <w:r>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pseudomembraninis</w:t>
      </w:r>
      <w:proofErr w:type="spellEnd"/>
      <w:r>
        <w:rPr>
          <w:rFonts w:ascii="Times New Roman" w:eastAsia="Times New Roman" w:hAnsi="Times New Roman" w:cs="Times New Roman"/>
          <w:bCs/>
          <w:lang w:eastAsia="lt-LT"/>
        </w:rPr>
        <w:t xml:space="preserve"> kolitas).</w:t>
      </w:r>
    </w:p>
    <w:p w14:paraId="46A3E4E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9146F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5C2B6E"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14:paraId="22FAC93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lang w:eastAsia="lt-LT"/>
        </w:rPr>
      </w:pPr>
    </w:p>
    <w:p w14:paraId="0A05396A" w14:textId="77777777" w:rsidR="001764C6" w:rsidRDefault="001764C6" w:rsidP="001764C6">
      <w:pPr>
        <w:tabs>
          <w:tab w:val="left" w:pos="567"/>
        </w:tabs>
        <w:spacing w:after="0" w:line="240" w:lineRule="auto"/>
        <w:jc w:val="both"/>
        <w:rPr>
          <w:rFonts w:ascii="Times New Roman" w:eastAsia="Times New Roman" w:hAnsi="Times New Roman" w:cs="Times New Roman"/>
          <w:b/>
          <w:lang w:eastAsia="lt-LT"/>
        </w:rPr>
      </w:pP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IBE vartoti draudžiama:</w:t>
      </w:r>
    </w:p>
    <w:p w14:paraId="05785E78"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yra alergija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75CCD5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E2B044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14:paraId="6351075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692863E"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Po </w:t>
      </w:r>
      <w:proofErr w:type="spellStart"/>
      <w:r>
        <w:rPr>
          <w:rFonts w:ascii="Times New Roman" w:eastAsia="Times New Roman" w:hAnsi="Times New Roman" w:cs="Times New Roman"/>
          <w:bCs/>
          <w:lang w:eastAsia="lt-LT"/>
        </w:rPr>
        <w:t>vankomicino</w:t>
      </w:r>
      <w:proofErr w:type="spellEnd"/>
      <w:r>
        <w:rPr>
          <w:rFonts w:ascii="Times New Roman" w:eastAsia="Times New Roman" w:hAnsi="Times New Roman" w:cs="Times New Roman"/>
          <w:bCs/>
          <w:lang w:eastAsia="lt-LT"/>
        </w:rPr>
        <w:t xml:space="preserve"> suleidimo į akį pranešta apie sunkų šalutinį poveikį, kuris gali sukelti apakimą.</w:t>
      </w:r>
    </w:p>
    <w:p w14:paraId="2E34CDD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ACA9338"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Pasakykite savo gydytojui arba ligoninės vaistininkui arba slaugytojui, prieš pradėdami vartoti </w:t>
      </w:r>
      <w:proofErr w:type="spellStart"/>
      <w:r>
        <w:rPr>
          <w:rFonts w:ascii="Times New Roman" w:eastAsia="Times New Roman" w:hAnsi="Times New Roman" w:cs="Times New Roman"/>
          <w:bCs/>
          <w:lang w:eastAsia="lt-LT"/>
        </w:rPr>
        <w:t>Vancomycin</w:t>
      </w:r>
      <w:proofErr w:type="spellEnd"/>
      <w:r>
        <w:rPr>
          <w:rFonts w:ascii="Times New Roman" w:eastAsia="Times New Roman" w:hAnsi="Times New Roman" w:cs="Times New Roman"/>
          <w:bCs/>
          <w:lang w:eastAsia="lt-LT"/>
        </w:rPr>
        <w:t xml:space="preserve"> IBE:</w:t>
      </w:r>
    </w:p>
    <w:p w14:paraId="087E8F75"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pavartojimo buvo atsiradęs sunkus odos išbėrimas ar odos lupimasis, pūslių susidarymas ir (arba) burnos išopėjimas (žr. toliau 4 skyriuje) . </w:t>
      </w:r>
    </w:p>
    <w:p w14:paraId="7A52333F"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praeityje esate patyrę alerginių reakcijų į vaistą, vadinamą </w:t>
      </w:r>
      <w:proofErr w:type="spellStart"/>
      <w:r>
        <w:rPr>
          <w:rFonts w:ascii="Times New Roman" w:eastAsia="Times New Roman" w:hAnsi="Times New Roman" w:cs="Times New Roman"/>
          <w:lang w:eastAsia="lt-LT"/>
        </w:rPr>
        <w:t>teikoplaninu</w:t>
      </w:r>
      <w:proofErr w:type="spellEnd"/>
      <w:r>
        <w:rPr>
          <w:rFonts w:ascii="Times New Roman" w:eastAsia="Times New Roman" w:hAnsi="Times New Roman" w:cs="Times New Roman"/>
          <w:lang w:eastAsia="lt-LT"/>
        </w:rPr>
        <w:t xml:space="preserve">, kadangi tai gali reikšti, jog esate alergiškas ir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3E84FD7C"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turite klausos sutrikimų, ypatingai jei esate senyvo amžiaus (gydymo eigoje Jums gali prireikti atlikti klausos tyrimus).</w:t>
      </w:r>
    </w:p>
    <w:p w14:paraId="0EFD52CB"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turite inkstų sutrikimų (gydymo eigoje Jums turės būti atliekami kraujo ir inkstų tyrimai).</w:t>
      </w:r>
    </w:p>
    <w:p w14:paraId="275DF9EF"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infuzijos (lašinimo į veną) būdu gydyti viduriavimą, susijusį su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infekcija, vietoje to, kad vartotumėte jį per burną.</w:t>
      </w:r>
    </w:p>
    <w:p w14:paraId="5B4A048A" w14:textId="77777777" w:rsidR="001764C6" w:rsidRDefault="001764C6" w:rsidP="001764C6">
      <w:pPr>
        <w:tabs>
          <w:tab w:val="left" w:pos="567"/>
        </w:tabs>
        <w:spacing w:line="240" w:lineRule="auto"/>
        <w:contextualSpacing/>
        <w:rPr>
          <w:rFonts w:ascii="Times New Roman" w:eastAsia="Times New Roman" w:hAnsi="Times New Roman" w:cs="Times New Roman"/>
          <w:lang w:eastAsia="lt-LT"/>
        </w:rPr>
      </w:pPr>
    </w:p>
    <w:p w14:paraId="419CFD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Pasakykite savo gydytojui, ligoninės vaistininkui arba slaugytojui,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metu:</w:t>
      </w:r>
    </w:p>
    <w:p w14:paraId="3EAC2EEE"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ilgą laiką (gydymo metu Jums gali reikėti atlikti kraujo, kepenų ir inkstų tyrimus).</w:t>
      </w:r>
    </w:p>
    <w:p w14:paraId="6E914084"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metu Jums pasireiškė bet kokia odos reakcija.</w:t>
      </w:r>
    </w:p>
    <w:p w14:paraId="556502E9"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metu ar po jo, Jums pasireiškė sunkus ir užsitęsęs viduriavimas. Nedelsdami susisiekite su savo gydytoju, nes tai gali būti žarnyno patinimo (</w:t>
      </w:r>
      <w:proofErr w:type="spellStart"/>
      <w:r>
        <w:rPr>
          <w:rFonts w:ascii="Times New Roman" w:eastAsia="Times New Roman" w:hAnsi="Times New Roman" w:cs="Times New Roman"/>
          <w:lang w:eastAsia="lt-LT"/>
        </w:rPr>
        <w:t>pseudomembraninio</w:t>
      </w:r>
      <w:proofErr w:type="spellEnd"/>
      <w:r>
        <w:rPr>
          <w:rFonts w:ascii="Times New Roman" w:eastAsia="Times New Roman" w:hAnsi="Times New Roman" w:cs="Times New Roman"/>
          <w:lang w:eastAsia="lt-LT"/>
        </w:rPr>
        <w:t xml:space="preserve"> kolito) požymis, kuris gali pasireikšti po gydymo antibiotikais.</w:t>
      </w:r>
    </w:p>
    <w:p w14:paraId="1F2D81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C767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Pranešta apie su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susijusias sunkias odos reakcijas, įskaitant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w:t>
      </w:r>
      <w:proofErr w:type="spellStart"/>
      <w:r>
        <w:rPr>
          <w:rFonts w:ascii="Times New Roman" w:eastAsia="Times New Roman" w:hAnsi="Times New Roman" w:cs="Times New Roman"/>
          <w:i/>
          <w:iCs/>
          <w:lang w:eastAsia="lt-LT"/>
        </w:rPr>
        <w:t>Stevens</w:t>
      </w:r>
      <w:proofErr w:type="spellEnd"/>
      <w:r>
        <w:rPr>
          <w:rFonts w:ascii="Times New Roman" w:eastAsia="Times New Roman" w:hAnsi="Times New Roman" w:cs="Times New Roman"/>
          <w:i/>
          <w:iCs/>
          <w:lang w:eastAsia="lt-LT"/>
        </w:rPr>
        <w:t xml:space="preserve"> - </w:t>
      </w:r>
      <w:proofErr w:type="spellStart"/>
      <w:r>
        <w:rPr>
          <w:rFonts w:ascii="Times New Roman" w:eastAsia="Times New Roman" w:hAnsi="Times New Roman" w:cs="Times New Roman"/>
          <w:i/>
          <w:iCs/>
          <w:lang w:eastAsia="lt-LT"/>
        </w:rPr>
        <w:t>Johnson</w:t>
      </w:r>
      <w:proofErr w:type="spellEnd"/>
      <w:r>
        <w:rPr>
          <w:rFonts w:ascii="Times New Roman" w:eastAsia="Times New Roman" w:hAnsi="Times New Roman" w:cs="Times New Roman"/>
          <w:lang w:eastAsia="lt-LT"/>
        </w:rPr>
        <w:t xml:space="preserve">] sindromą, toksinę epidermio </w:t>
      </w:r>
      <w:proofErr w:type="spellStart"/>
      <w:r>
        <w:rPr>
          <w:rFonts w:ascii="Times New Roman" w:eastAsia="Times New Roman" w:hAnsi="Times New Roman" w:cs="Times New Roman"/>
          <w:lang w:eastAsia="lt-LT"/>
        </w:rPr>
        <w:t>nekrolizę</w:t>
      </w:r>
      <w:proofErr w:type="spellEnd"/>
      <w:r>
        <w:rPr>
          <w:rFonts w:ascii="Times New Roman" w:eastAsia="Times New Roman" w:hAnsi="Times New Roman" w:cs="Times New Roman"/>
          <w:lang w:eastAsia="lt-LT"/>
        </w:rPr>
        <w:t xml:space="preserve">, reakciją į vaistą su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sisteminiais simptomais (angl.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w:t>
      </w:r>
      <w:proofErr w:type="spellStart"/>
      <w:r>
        <w:rPr>
          <w:rFonts w:ascii="Times New Roman" w:eastAsia="Times New Roman" w:hAnsi="Times New Roman" w:cs="Times New Roman"/>
          <w:lang w:eastAsia="lt-LT"/>
        </w:rPr>
        <w:t>egzanteminę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pustuliozę</w:t>
      </w:r>
      <w:proofErr w:type="spellEnd"/>
      <w:r>
        <w:rPr>
          <w:rFonts w:ascii="Times New Roman" w:eastAsia="Times New Roman" w:hAnsi="Times New Roman" w:cs="Times New Roman"/>
          <w:lang w:eastAsia="lt-LT"/>
        </w:rPr>
        <w:t xml:space="preserve"> (angl.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Jei atsiranda bet kuris iš 4 skyriuje aprašytų simptomų, nutraukite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vartojimą ir nedelsdami kreipkitės į medikus.</w:t>
      </w:r>
    </w:p>
    <w:p w14:paraId="0FE620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0A697BB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14:paraId="0BBC6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Neišnešiotus naujagimius ir kūdikius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gydyti ypač atsargiai, kadangi jų inkstai nėra iki galo išsivystę ir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 kraujyje. Šioje amžiaus grupėje gali reikėti atlikti kraujo tyrimus, nustatančius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w:t>
      </w:r>
    </w:p>
    <w:p w14:paraId="56D30C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89A8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Vaikams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kartu su anestetikais buvo susijęs su odos paraudimu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alerginėmis reakcijomis. Panašiai kitų vaistų, tokių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antibiotikai, nesteroidiniai vaistai nuo uždegimo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 (vaistas skirtas gydyti grybelines infekcijas), vartojimas kartu gali didinti  inkstų pažeidimų riziką, todėl gali reikėti dažniau atlikti kraujo ir inkstų tyrimus.</w:t>
      </w:r>
    </w:p>
    <w:p w14:paraId="31077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460CE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Kiti vaistai ir </w:t>
      </w: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w:t>
      </w:r>
    </w:p>
    <w:p w14:paraId="2568D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noProof/>
          <w:snapToGrid w:val="0"/>
        </w:rPr>
        <w:t xml:space="preserve"> </w:t>
      </w:r>
      <w:r>
        <w:rPr>
          <w:rFonts w:ascii="Times New Roman" w:eastAsia="Times New Roman" w:hAnsi="Times New Roman" w:cs="Times New Roman"/>
          <w:lang w:eastAsia="lt-LT"/>
        </w:rPr>
        <w:t xml:space="preserve">arba dėl to nesate tikri, apie tai pasakykite savo gydytojui arba vaistininkui. Tai ypač svarbu su toliau išvardytais vaistais, nes jie gali sąveikauti su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4127E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3DC1B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skausmui malšinti operacijos metu (anestetikai). Gali sukelti paraudimą, alpimą, </w:t>
      </w:r>
      <w:proofErr w:type="spellStart"/>
      <w:r>
        <w:rPr>
          <w:rFonts w:ascii="Times New Roman" w:eastAsia="Times New Roman" w:hAnsi="Times New Roman" w:cs="Times New Roman"/>
          <w:lang w:eastAsia="lt-LT"/>
        </w:rPr>
        <w:t>kolapsą</w:t>
      </w:r>
      <w:proofErr w:type="spellEnd"/>
      <w:r>
        <w:rPr>
          <w:rFonts w:ascii="Times New Roman" w:eastAsia="Times New Roman" w:hAnsi="Times New Roman" w:cs="Times New Roman"/>
          <w:lang w:eastAsia="lt-LT"/>
        </w:rPr>
        <w:t xml:space="preserve">  ar net širdies priepuolius. Jeigu ruošiatės operacijai, informuokite gydytoją, kad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633E223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kurie veikia jūsų nervus arba inkstus, pvz., </w:t>
      </w:r>
      <w:proofErr w:type="spellStart"/>
      <w:r>
        <w:rPr>
          <w:rFonts w:ascii="Times New Roman" w:eastAsia="Times New Roman" w:hAnsi="Times New Roman" w:cs="Times New Roman"/>
          <w:lang w:eastAsia="lt-LT"/>
        </w:rPr>
        <w:t>amfotercinas</w:t>
      </w:r>
      <w:proofErr w:type="spellEnd"/>
      <w:r>
        <w:rPr>
          <w:rFonts w:ascii="Times New Roman" w:eastAsia="Times New Roman" w:hAnsi="Times New Roman" w:cs="Times New Roman"/>
          <w:lang w:eastAsia="lt-LT"/>
        </w:rPr>
        <w:t xml:space="preserve"> B (vaistas nuo grybelių sukeltų infekcijų),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kolistinas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viomicinas</w:t>
      </w:r>
      <w:proofErr w:type="spellEnd"/>
      <w:r>
        <w:rPr>
          <w:rFonts w:ascii="Times New Roman" w:eastAsia="Times New Roman" w:hAnsi="Times New Roman" w:cs="Times New Roman"/>
          <w:lang w:eastAsia="lt-LT"/>
        </w:rPr>
        <w:t xml:space="preserve"> (antibiotikas) ar </w:t>
      </w:r>
      <w:proofErr w:type="spellStart"/>
      <w:r>
        <w:rPr>
          <w:rFonts w:ascii="Times New Roman" w:eastAsia="Times New Roman" w:hAnsi="Times New Roman" w:cs="Times New Roman"/>
          <w:lang w:eastAsia="lt-LT"/>
        </w:rPr>
        <w:t>cisplatina</w:t>
      </w:r>
      <w:proofErr w:type="spellEnd"/>
      <w:r>
        <w:rPr>
          <w:rFonts w:ascii="Times New Roman" w:eastAsia="Times New Roman" w:hAnsi="Times New Roman" w:cs="Times New Roman"/>
          <w:lang w:eastAsia="lt-LT"/>
        </w:rPr>
        <w:t xml:space="preserve"> (chemoterapinis vaistas), </w:t>
      </w:r>
      <w:proofErr w:type="spellStart"/>
      <w:r>
        <w:rPr>
          <w:rFonts w:ascii="Times New Roman" w:eastAsia="Times New Roman" w:hAnsi="Times New Roman" w:cs="Times New Roman"/>
          <w:lang w:eastAsia="lt-LT"/>
        </w:rPr>
        <w:t>piperacilinas</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tazobaktamas</w:t>
      </w:r>
      <w:proofErr w:type="spellEnd"/>
      <w:r>
        <w:rPr>
          <w:rFonts w:ascii="Times New Roman" w:eastAsia="Times New Roman" w:hAnsi="Times New Roman" w:cs="Times New Roman"/>
          <w:lang w:eastAsia="lt-LT"/>
        </w:rPr>
        <w:t xml:space="preserve">. </w:t>
      </w:r>
    </w:p>
    <w:p w14:paraId="61B448F0"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Stipriai veikiantys diuretikai (stiprūs šlapimo išsiskyrimą skatinantys vaistai), pvz., </w:t>
      </w:r>
      <w:proofErr w:type="spellStart"/>
      <w:r>
        <w:rPr>
          <w:rFonts w:ascii="Times New Roman" w:eastAsia="Times New Roman" w:hAnsi="Times New Roman" w:cs="Times New Roman"/>
          <w:lang w:eastAsia="lt-LT"/>
        </w:rPr>
        <w:t>furozemidas</w:t>
      </w:r>
      <w:proofErr w:type="spellEnd"/>
      <w:r>
        <w:rPr>
          <w:rFonts w:ascii="Times New Roman" w:eastAsia="Times New Roman" w:hAnsi="Times New Roman" w:cs="Times New Roman"/>
          <w:lang w:eastAsia="lt-LT"/>
        </w:rPr>
        <w:t>.</w:t>
      </w:r>
    </w:p>
    <w:p w14:paraId="5C5F03A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441C80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14:paraId="1487F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3FAF0D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A6E4D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14:paraId="52A4C1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gebėjimą vairuoti ir valdyti mechanizmus neveikia arba veikia silpnai. </w:t>
      </w:r>
    </w:p>
    <w:p w14:paraId="15949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C5AF11" w14:textId="77777777" w:rsidR="001764C6" w:rsidRDefault="001764C6" w:rsidP="001764C6">
      <w:pPr>
        <w:tabs>
          <w:tab w:val="left" w:pos="567"/>
          <w:tab w:val="left" w:pos="720"/>
        </w:tabs>
        <w:spacing w:after="0" w:line="240" w:lineRule="auto"/>
        <w:rPr>
          <w:rFonts w:ascii="Times New Roman" w:eastAsia="Times New Roman" w:hAnsi="Times New Roman" w:cs="Times New Roman"/>
          <w:lang w:eastAsia="lt-LT"/>
        </w:rPr>
      </w:pPr>
    </w:p>
    <w:p w14:paraId="17D9C11F"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14:paraId="17D280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9C89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Jums sulašins medicinos personalas Jums esant ligoninėje. Jūsų gydytojas nuspręs, kokią šio vaisto dozę turite vartoti kiekvieną dieną ir kaip ilgai turi būti tęsiamas gydymas.</w:t>
      </w:r>
    </w:p>
    <w:p w14:paraId="6D56F9B6"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3CB69A2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Dozavimas</w:t>
      </w:r>
    </w:p>
    <w:p w14:paraId="4443AF4B"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73A898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14:paraId="25F9DD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14:paraId="7DB4C9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14:paraId="1BA23F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14:paraId="3A5A18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14:paraId="2D694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14:paraId="3A5FCB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vartojamų vaistų.</w:t>
      </w:r>
    </w:p>
    <w:p w14:paraId="081CC54A"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52C95FDA"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į veną</w:t>
      </w:r>
    </w:p>
    <w:p w14:paraId="126F225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4C85058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14:paraId="2632B0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C62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(lėto leidimo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14:paraId="4D5CC790"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7B60BD7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14:paraId="4952AE57"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3F72D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vaiko kūno svorį. Įprasta infuzijos (lėto leidimo į veną) dozė yra nuo 10 iki 15 mg kiekvienam kūno svorio kilogramui. Ši dozė įprastai skiriama kas 6 valandas.</w:t>
      </w:r>
    </w:p>
    <w:p w14:paraId="3C9A59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658C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neišnešiotiems ir išnešiotiems naujagimiams (nuo 0 iki 27 parų amžiaus)</w:t>
      </w:r>
    </w:p>
    <w:p w14:paraId="3ABBC1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Dozė bus apskaičiuota pagal </w:t>
      </w:r>
      <w:proofErr w:type="spellStart"/>
      <w:r>
        <w:rPr>
          <w:rFonts w:ascii="Times New Roman" w:eastAsia="Times New Roman" w:hAnsi="Times New Roman" w:cs="Times New Roman"/>
          <w:lang w:eastAsia="lt-LT"/>
        </w:rPr>
        <w:t>pomenstruacinį</w:t>
      </w:r>
      <w:proofErr w:type="spellEnd"/>
      <w:r>
        <w:rPr>
          <w:rFonts w:ascii="Times New Roman" w:eastAsia="Times New Roman" w:hAnsi="Times New Roman" w:cs="Times New Roman"/>
          <w:lang w:eastAsia="lt-LT"/>
        </w:rPr>
        <w:t xml:space="preserve"> amžių (laiką, praėjusį nuo paskutinio menstruacijų ciklo pirmos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 pridedant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14:paraId="4FEE69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5846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Pr>
          <w:rFonts w:ascii="Times New Roman" w:eastAsia="Times New Roman" w:hAnsi="Times New Roman" w:cs="Times New Roman"/>
          <w:lang w:eastAsia="lt-LT"/>
        </w:rPr>
        <w:t>dializuojamus</w:t>
      </w:r>
      <w:proofErr w:type="spellEnd"/>
      <w:r>
        <w:rPr>
          <w:rFonts w:ascii="Times New Roman" w:eastAsia="Times New Roman" w:hAnsi="Times New Roman" w:cs="Times New Roman"/>
          <w:lang w:eastAsia="lt-LT"/>
        </w:rPr>
        <w:t xml:space="preserve"> pacientus, gali reikėti skirti kitokią dozę.</w:t>
      </w:r>
    </w:p>
    <w:p w14:paraId="3D944D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78792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per burną</w:t>
      </w:r>
    </w:p>
    <w:p w14:paraId="11CC86F1"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E6180D3"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suaugusiesiems ir paaugliams (12</w:t>
      </w:r>
      <w:r>
        <w:rPr>
          <w:rFonts w:ascii="Times New Roman" w:eastAsia="Times New Roman" w:hAnsi="Times New Roman" w:cs="Times New Roman"/>
          <w:b/>
          <w:bCs/>
          <w:lang w:eastAsia="lt-LT"/>
        </w:rPr>
        <w:noBreakHyphen/>
        <w:t>18 metų)</w:t>
      </w:r>
    </w:p>
    <w:p w14:paraId="2D97FE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14:paraId="3AFC61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4473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0009D90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D898B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naujagimiams, kūdikiams ir jaunesniems kaip 12 metų vaikams</w:t>
      </w:r>
    </w:p>
    <w:p w14:paraId="5467B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14:paraId="292DF57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2FCBE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14:paraId="3BAE0A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Intraveninė infuzija reiškia, kad vaistas iš infuzinio buteliuko ar maišelio teka per vamzdelį į Jūsų veną, taip patenka į Jūsų kraujotaką ir organizmą. Jūsų gydytojas arba slaugytojas visada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lašins į veną, o ne leis jį į raumenį.</w:t>
      </w:r>
    </w:p>
    <w:p w14:paraId="1ECEEE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veną turi būti leidžiamas ne trumpiau nei 60 minučių.</w:t>
      </w:r>
    </w:p>
    <w:p w14:paraId="03AD7C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Vartojant virškinimo trakto sutrikimams (vadinamajam </w:t>
      </w:r>
      <w:proofErr w:type="spellStart"/>
      <w:r>
        <w:rPr>
          <w:rFonts w:ascii="Times New Roman" w:eastAsia="Times New Roman" w:hAnsi="Times New Roman" w:cs="Times New Roman"/>
          <w:lang w:eastAsia="lt-LT"/>
        </w:rPr>
        <w:t>pseudomembraniniam</w:t>
      </w:r>
      <w:proofErr w:type="spellEnd"/>
      <w:r>
        <w:rPr>
          <w:rFonts w:ascii="Times New Roman" w:eastAsia="Times New Roman" w:hAnsi="Times New Roman" w:cs="Times New Roman"/>
          <w:lang w:eastAsia="lt-LT"/>
        </w:rPr>
        <w:t xml:space="preserve"> kolitui) gydyti, vaisto vartojama kaip geriamojo tirpalo (vaistą vartosite per burną).</w:t>
      </w:r>
    </w:p>
    <w:p w14:paraId="317C152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Galima vartoti 500 mg arba 1000 mg flakono turinį. </w:t>
      </w:r>
    </w:p>
    <w:p w14:paraId="00442F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2D6231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Gydymo trukmė</w:t>
      </w:r>
    </w:p>
    <w:p w14:paraId="7C0CE5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14:paraId="15D108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14:paraId="0F387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0535E6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D34A95"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Ką daryti pavartojus per didelę </w:t>
      </w:r>
      <w:proofErr w:type="spellStart"/>
      <w:r>
        <w:rPr>
          <w:rFonts w:ascii="Times New Roman" w:eastAsia="Times New Roman" w:hAnsi="Times New Roman" w:cs="Times New Roman"/>
          <w:b/>
          <w:bCs/>
          <w:snapToGrid w:val="0"/>
          <w:szCs w:val="28"/>
          <w:lang w:eastAsia="x-none"/>
        </w:rPr>
        <w:t>Vancomycin</w:t>
      </w:r>
      <w:proofErr w:type="spellEnd"/>
      <w:r>
        <w:rPr>
          <w:rFonts w:ascii="Times New Roman" w:eastAsia="Times New Roman" w:hAnsi="Times New Roman" w:cs="Times New Roman"/>
          <w:b/>
          <w:bCs/>
          <w:snapToGrid w:val="0"/>
          <w:szCs w:val="28"/>
          <w:lang w:eastAsia="x-none"/>
        </w:rPr>
        <w:t xml:space="preserve"> IBE dozę</w:t>
      </w:r>
    </w:p>
    <w:p w14:paraId="67E13D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Jūs vartosite ligoninėje, todėl nėra tikėtina, kad suvartosite per mažą ar per didelę dozę. Vis dėlto, jei kiltų bet kokių abejonių, apie tai pasakykite gydytojui arba slaugytojui.</w:t>
      </w:r>
    </w:p>
    <w:p w14:paraId="46F980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C46E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14:paraId="46CDD6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9C1A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B0DBDE"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14:paraId="67EF9E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EABFF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5772FA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0FEDF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Vankomicinas</w:t>
      </w:r>
      <w:proofErr w:type="spellEnd"/>
      <w:r>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14:paraId="7CCC38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988DF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Nutraukite </w:t>
      </w:r>
      <w:proofErr w:type="spellStart"/>
      <w:r>
        <w:rPr>
          <w:rFonts w:ascii="Times New Roman" w:eastAsia="Times New Roman" w:hAnsi="Times New Roman" w:cs="Times New Roman"/>
          <w:b/>
          <w:bCs/>
          <w:lang w:eastAsia="lt-LT"/>
        </w:rPr>
        <w:t>vankomicino</w:t>
      </w:r>
      <w:proofErr w:type="spellEnd"/>
      <w:r>
        <w:rPr>
          <w:rFonts w:ascii="Times New Roman" w:eastAsia="Times New Roman" w:hAnsi="Times New Roman" w:cs="Times New Roman"/>
          <w:b/>
          <w:bCs/>
          <w:lang w:eastAsia="lt-LT"/>
        </w:rPr>
        <w:t xml:space="preserve"> vartojimą ir nedelsdami kreipkitės į medikus, jei pastebėsite bet kurį iš toliau išvardytų simptomų.</w:t>
      </w:r>
    </w:p>
    <w:p w14:paraId="148ABB76"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sindromas bei toksinė epidermio </w:t>
      </w:r>
      <w:proofErr w:type="spellStart"/>
      <w:r>
        <w:rPr>
          <w:rFonts w:ascii="Times New Roman" w:eastAsia="Times New Roman" w:hAnsi="Times New Roman" w:cs="Times New Roman"/>
          <w:lang w:eastAsia="lt-LT"/>
        </w:rPr>
        <w:t>nekrolizė</w:t>
      </w:r>
      <w:proofErr w:type="spellEnd"/>
      <w:r>
        <w:rPr>
          <w:rFonts w:ascii="Times New Roman" w:eastAsia="Times New Roman" w:hAnsi="Times New Roman" w:cs="Times New Roman"/>
          <w:lang w:eastAsia="lt-LT"/>
        </w:rPr>
        <w:t>).</w:t>
      </w:r>
    </w:p>
    <w:p w14:paraId="29464DF9"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092A1477"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Pr>
          <w:rFonts w:ascii="Times New Roman" w:eastAsia="Times New Roman" w:hAnsi="Times New Roman" w:cs="Times New Roman"/>
          <w:lang w:eastAsia="lt-LT"/>
        </w:rPr>
        <w:t>egzanteminė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pustuliozė</w:t>
      </w:r>
      <w:proofErr w:type="spellEnd"/>
      <w:r>
        <w:rPr>
          <w:rFonts w:ascii="Times New Roman" w:eastAsia="Times New Roman" w:hAnsi="Times New Roman" w:cs="Times New Roman"/>
          <w:lang w:eastAsia="lt-LT"/>
        </w:rPr>
        <w:t>).</w:t>
      </w:r>
    </w:p>
    <w:p w14:paraId="2E5FC5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3779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Jums yra uždegiminiai virškinimo trakto sutrikimai,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lašinant į veną.</w:t>
      </w:r>
    </w:p>
    <w:p w14:paraId="0A3143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0820B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14:paraId="15DAB2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0D9C1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lang w:eastAsia="lt-LT"/>
        </w:rPr>
        <w:t>:</w:t>
      </w:r>
    </w:p>
    <w:p w14:paraId="5F29C7DD"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14:paraId="60E55B4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14:paraId="59EAA1A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14:paraId="19488A1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14:paraId="0EE668F4"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14:paraId="38550E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2907C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Nedažni šalutinio poveikio reiškiniai (gali pasireikšti rečiau kaip 1 iš 100 asmenų):</w:t>
      </w:r>
    </w:p>
    <w:p w14:paraId="6B1C846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14:paraId="400F7F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A265EB" w14:textId="77777777" w:rsidR="001764C6" w:rsidRDefault="001764C6" w:rsidP="001764C6">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Reti šalutinio poveikio reiškiniai (gali pasireikšti rečiau kaip 1 iš 1 000 asmenų):</w:t>
      </w:r>
    </w:p>
    <w:p w14:paraId="4A2CC03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14:paraId="31D5C6C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kai kurių baltųjų kraujo ląstelių kiekio padidėjimas;</w:t>
      </w:r>
    </w:p>
    <w:p w14:paraId="7137BC39"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14:paraId="023CC12F"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kraujagyslių uždegimas;</w:t>
      </w:r>
    </w:p>
    <w:p w14:paraId="6FCBDFE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14:paraId="7B593A6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14:paraId="29221C5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14:paraId="1CA5315C"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karščiavimas, </w:t>
      </w:r>
      <w:proofErr w:type="spellStart"/>
      <w:r>
        <w:rPr>
          <w:rFonts w:ascii="Times New Roman" w:eastAsia="Times New Roman" w:hAnsi="Times New Roman" w:cs="Times New Roman"/>
          <w:lang w:eastAsia="lt-LT"/>
        </w:rPr>
        <w:t>šaltkrėtis</w:t>
      </w:r>
      <w:proofErr w:type="spellEnd"/>
      <w:r>
        <w:rPr>
          <w:rFonts w:ascii="Times New Roman" w:eastAsia="Times New Roman" w:hAnsi="Times New Roman" w:cs="Times New Roman"/>
          <w:lang w:eastAsia="lt-LT"/>
        </w:rPr>
        <w:t>.</w:t>
      </w:r>
    </w:p>
    <w:p w14:paraId="0863596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6669D374"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Labai reti šalutinio poveikio reiškiniai (gali pasireikšti rečiau kaip 1 iš 10 000 asmenų):</w:t>
      </w:r>
    </w:p>
    <w:p w14:paraId="04E1FFD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14:paraId="6D20371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14:paraId="07ED52DB"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14:paraId="369060B8"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5BDB3F6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Šalutinio poveikio reiškiniai, kurių dažnis nežinomas (negali būti apskaičiuotas pagal turimus duomenis):</w:t>
      </w:r>
    </w:p>
    <w:p w14:paraId="051CDE24" w14:textId="77777777" w:rsidR="001764C6" w:rsidRDefault="001764C6" w:rsidP="001764C6">
      <w:pPr>
        <w:pStyle w:val="Sraopastraipa"/>
        <w:numPr>
          <w:ilvl w:val="0"/>
          <w:numId w:val="41"/>
        </w:numPr>
        <w:tabs>
          <w:tab w:val="left" w:pos="567"/>
        </w:tabs>
        <w:spacing w:after="0" w:line="240" w:lineRule="auto"/>
        <w:ind w:hanging="128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14:paraId="3F82BEA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14:paraId="15D7FF2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nenormalūs kraujo ir kepenų funkciniai tyrimai;</w:t>
      </w:r>
    </w:p>
    <w:p w14:paraId="1A636A4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p>
    <w:p w14:paraId="72F03493" w14:textId="77777777" w:rsidR="001764C6" w:rsidRDefault="001764C6" w:rsidP="001764C6">
      <w:pPr>
        <w:tabs>
          <w:tab w:val="left" w:pos="357"/>
          <w:tab w:val="left" w:pos="567"/>
        </w:tabs>
        <w:spacing w:after="0" w:line="240" w:lineRule="auto"/>
        <w:rPr>
          <w:rFonts w:ascii="Times New Roman" w:eastAsia="Times New Roman" w:hAnsi="Times New Roman" w:cs="Times New Roman"/>
          <w:b/>
          <w:lang w:eastAsia="lt-LT"/>
        </w:rPr>
      </w:pPr>
    </w:p>
    <w:p w14:paraId="041DDA00" w14:textId="77777777" w:rsidR="001764C6" w:rsidRDefault="001764C6" w:rsidP="001764C6">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14:paraId="0840E960" w14:textId="77777777" w:rsidR="001764C6" w:rsidRDefault="001764C6" w:rsidP="001764C6">
      <w:pPr>
        <w:tabs>
          <w:tab w:val="left" w:pos="567"/>
        </w:tabs>
        <w:spacing w:after="0" w:line="260" w:lineRule="exact"/>
        <w:ind w:right="-1"/>
        <w:jc w:val="both"/>
        <w:rPr>
          <w:rFonts w:ascii="Times New Roman" w:eastAsia="Times New Roman" w:hAnsi="Times New Roman" w:cs="Times New Roman"/>
          <w:snapToGrid w:val="0"/>
          <w:szCs w:val="20"/>
        </w:rPr>
      </w:pPr>
      <w:r>
        <w:rPr>
          <w:rFonts w:ascii="Times New Roman" w:eastAsia="Times New Roman" w:hAnsi="Times New Roman" w:cs="Times New Roman"/>
          <w:noProof/>
          <w:snapToGrid w:val="0"/>
        </w:rPr>
        <w:t>Jeigu pasireiškė šalutinis poveikis, įskaitant šiame lapelyje nenurodytą, pasakykite gydytojui, vaistininkui arba slaugytojui</w:t>
      </w:r>
      <w:r>
        <w:rPr>
          <w:rFonts w:ascii="Times New Roman" w:eastAsia="Times New Roman" w:hAnsi="Times New Roman" w:cs="Times New Roman"/>
          <w:snapToGrid w:val="0"/>
        </w:rPr>
        <w:t>.</w:t>
      </w:r>
      <w:r>
        <w:rPr>
          <w:rFonts w:ascii="Times New Roman" w:eastAsia="Times New Roman" w:hAnsi="Times New Roman" w:cs="Times New Roman"/>
          <w:noProof/>
          <w:snapToGrid w:val="0"/>
        </w:rPr>
        <w:t xml:space="preserve"> </w:t>
      </w:r>
      <w:r>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Pr>
            <w:rStyle w:val="Hipersaitas"/>
            <w:snapToGrid w:val="0"/>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4" w:history="1">
        <w:r>
          <w:rPr>
            <w:rStyle w:val="Hipersaitas"/>
            <w:snapToGrid w:val="0"/>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15" w:history="1">
        <w:r>
          <w:rPr>
            <w:rStyle w:val="Hipersaitas"/>
            <w:snapToGrid w:val="0"/>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3D45C445"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38874DF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39C75187"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w:t>
      </w:r>
    </w:p>
    <w:p w14:paraId="2E8F7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A796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šio vaisto laikymo sąlygas yra atsakingas Jūsų gydytojas.</w:t>
      </w:r>
    </w:p>
    <w:p w14:paraId="253599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42C66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14:paraId="60C2B3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7259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po „Tinka iki“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14:paraId="45F24C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B61F0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paruošimą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specialių temperatūros laikymo sąlygų nereikia. Flakoną laikyti išorinėje dėžutėje, kad vaistas būtų apsaugotas nuo šviesos.</w:t>
      </w:r>
    </w:p>
    <w:p w14:paraId="775382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B36DDF"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p w14:paraId="538AEE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DAA9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infuzinis tirpalas turi būti suvartotas nedelsiant arba per 96 valandas, jei jis laikomas šaldytuve (2 °C – 8 °C), arba per </w:t>
      </w:r>
      <w:r>
        <w:rPr>
          <w:rFonts w:ascii="Times New Roman" w:eastAsia="Times New Roman" w:hAnsi="Times New Roman" w:cs="Times New Roman"/>
          <w:color w:val="000000"/>
          <w:lang w:eastAsia="lt-LT"/>
        </w:rPr>
        <w:t>24 valandas, jei laikomas 25 °C temperatūroje.</w:t>
      </w:r>
    </w:p>
    <w:p w14:paraId="46B607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0478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Gydytojas užtikrins, kad tirpalo spalva būtų nepakitusi ir jame nebūtų dalelių.</w:t>
      </w:r>
    </w:p>
    <w:p w14:paraId="63EBDB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4BE3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Jūsų gydytojas pasirūpins likusiu, po dozės suleidimo,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tirpalo sunaikinimu. </w:t>
      </w:r>
    </w:p>
    <w:p w14:paraId="7C67F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14:paraId="3B048DA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8BC1ED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3F89ED0" w14:textId="77777777" w:rsidR="001764C6" w:rsidRDefault="001764C6" w:rsidP="001764C6">
      <w:pPr>
        <w:keepNext/>
        <w:spacing w:after="0" w:line="240" w:lineRule="auto"/>
        <w:ind w:left="567" w:hanging="567"/>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lang w:eastAsia="lt-LT"/>
        </w:rPr>
        <w:t>6.</w:t>
      </w:r>
      <w:r>
        <w:rPr>
          <w:rFonts w:ascii="Times New Roman" w:eastAsia="Times New Roman" w:hAnsi="Times New Roman" w:cs="Times New Roman"/>
          <w:lang w:eastAsia="lt-LT"/>
        </w:rPr>
        <w:tab/>
      </w:r>
      <w:r>
        <w:rPr>
          <w:rFonts w:ascii="Times New Roman" w:eastAsia="Times New Roman" w:hAnsi="Times New Roman" w:cs="Times New Roman"/>
          <w:b/>
          <w:bCs/>
          <w:snapToGrid w:val="0"/>
          <w:lang w:eastAsia="x-none"/>
        </w:rPr>
        <w:t>Pakuotės turinys ir kita informacija</w:t>
      </w:r>
    </w:p>
    <w:p w14:paraId="13F15095"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p>
    <w:p w14:paraId="2BAD0E6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sudėtis</w:t>
      </w:r>
    </w:p>
    <w:p w14:paraId="290DD6E4" w14:textId="77777777" w:rsidR="001764C6" w:rsidRDefault="001764C6" w:rsidP="001764C6">
      <w:pPr>
        <w:pStyle w:val="Sraopastraipa"/>
        <w:numPr>
          <w:ilvl w:val="0"/>
          <w:numId w:val="42"/>
        </w:num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Veiklioji medžiaga yra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Kiekviename flakone yra </w:t>
      </w:r>
      <w:bookmarkStart w:id="14" w:name="_Hlk130543873"/>
      <w:r>
        <w:rPr>
          <w:rFonts w:ascii="Times New Roman" w:eastAsia="Times New Roman" w:hAnsi="Times New Roman" w:cs="Times New Roman"/>
          <w:lang w:eastAsia="lt-LT"/>
        </w:rPr>
        <w:t>500 mg arba</w:t>
      </w:r>
      <w:bookmarkEnd w:id="14"/>
      <w:r>
        <w:rPr>
          <w:rFonts w:ascii="Times New Roman" w:eastAsia="Times New Roman" w:hAnsi="Times New Roman" w:cs="Times New Roman"/>
          <w:lang w:eastAsia="lt-LT"/>
        </w:rPr>
        <w:t xml:space="preserve">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500 000 TV arba 1 000 000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
    <w:p w14:paraId="12F9A406" w14:textId="77777777" w:rsidR="001764C6" w:rsidRDefault="001764C6" w:rsidP="001764C6">
      <w:pPr>
        <w:pStyle w:val="Sraopastraipa"/>
        <w:numPr>
          <w:ilvl w:val="0"/>
          <w:numId w:val="42"/>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Pagalbinių medžiagų nėra.</w:t>
      </w:r>
      <w:r>
        <w:rPr>
          <w:rFonts w:ascii="Times New Roman" w:eastAsia="Times New Roman" w:hAnsi="Times New Roman" w:cs="Times New Roman"/>
          <w:i/>
          <w:lang w:eastAsia="lt-LT"/>
        </w:rPr>
        <w:t xml:space="preserve"> </w:t>
      </w:r>
    </w:p>
    <w:p w14:paraId="0E1640B1" w14:textId="77777777" w:rsidR="001764C6" w:rsidRDefault="001764C6" w:rsidP="001764C6">
      <w:pPr>
        <w:tabs>
          <w:tab w:val="left" w:pos="540"/>
          <w:tab w:val="left" w:pos="567"/>
        </w:tabs>
        <w:spacing w:after="0" w:line="240" w:lineRule="auto"/>
        <w:rPr>
          <w:rFonts w:ascii="Times New Roman" w:eastAsia="Times New Roman" w:hAnsi="Times New Roman" w:cs="Times New Roman"/>
          <w:lang w:eastAsia="lt-LT"/>
        </w:rPr>
      </w:pPr>
    </w:p>
    <w:p w14:paraId="06BC76DC"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išvaizda ir kiekis pakuotėje</w:t>
      </w:r>
    </w:p>
    <w:p w14:paraId="07287E03"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p>
    <w:p w14:paraId="3776F363"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500 mg:</w:t>
      </w:r>
    </w:p>
    <w:p w14:paraId="6963DC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10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14:paraId="3711FB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F4A4E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0F6656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64173BBA"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6A5B40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49C4CC4D"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1DDE9338"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1000 mg:</w:t>
      </w:r>
    </w:p>
    <w:p w14:paraId="7EC29E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1000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20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14:paraId="0B5098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E055F2E"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1F213C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590AB9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74EB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1F7DCC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81D23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14:paraId="50F61C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tirpalas yra skaidrus skystis.</w:t>
      </w:r>
    </w:p>
    <w:p w14:paraId="0CAB33B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ECC197"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14:paraId="7BCB6ED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668BFD2" w14:textId="02E7AAEF"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Pharma</w:t>
      </w:r>
      <w:proofErr w:type="spellEnd"/>
    </w:p>
    <w:p w14:paraId="3B93A3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29EC63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CAFAE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2AD1FCF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54E33BF8" w14:textId="0BEAB46B"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pakuotės lapelis paskutinį kartą peržiūrėtas 2024-04-</w:t>
      </w:r>
      <w:r w:rsidR="001A019D">
        <w:rPr>
          <w:rFonts w:ascii="Times New Roman" w:eastAsia="Times New Roman" w:hAnsi="Times New Roman" w:cs="Times New Roman"/>
          <w:b/>
          <w:lang w:eastAsia="lt-LT"/>
        </w:rPr>
        <w:t>18</w:t>
      </w:r>
      <w:r>
        <w:rPr>
          <w:rFonts w:ascii="Times New Roman" w:eastAsia="Times New Roman" w:hAnsi="Times New Roman" w:cs="Times New Roman"/>
          <w:b/>
          <w:lang w:eastAsia="lt-LT"/>
        </w:rPr>
        <w:t>.</w:t>
      </w:r>
    </w:p>
    <w:p w14:paraId="2C806C9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5D1B77D" w14:textId="77777777" w:rsidR="001764C6" w:rsidRDefault="001764C6" w:rsidP="001764C6">
      <w:pPr>
        <w:tabs>
          <w:tab w:val="left" w:pos="567"/>
        </w:tabs>
        <w:spacing w:after="0" w:line="240" w:lineRule="auto"/>
        <w:rPr>
          <w:rFonts w:ascii="Times New Roman" w:eastAsia="Times New Roman" w:hAnsi="Times New Roman" w:cs="Times New Roman"/>
        </w:rPr>
      </w:pPr>
    </w:p>
    <w:p w14:paraId="697914D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r>
        <w:rPr>
          <w:rFonts w:ascii="Times New Roman" w:eastAsia="Times New Roman" w:hAnsi="Times New Roman" w:cs="Times New Roman"/>
          <w:b/>
          <w:bCs/>
          <w:snapToGrid w:val="0"/>
        </w:rPr>
        <w:t>Kiti informacijos šaltiniai</w:t>
      </w:r>
    </w:p>
    <w:p w14:paraId="6520910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p>
    <w:p w14:paraId="2D68CA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r>
        <w:rPr>
          <w:rFonts w:ascii="Times New Roman" w:eastAsia="Times New Roman" w:hAnsi="Times New Roman" w:cs="Times New Roman"/>
          <w:b/>
          <w:bCs/>
          <w:snapToGrid w:val="0"/>
          <w:u w:val="single"/>
        </w:rPr>
        <w:t>Patarimai/medicininis švietimas</w:t>
      </w:r>
    </w:p>
    <w:p w14:paraId="282BA93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p>
    <w:p w14:paraId="2E07A4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Antibiotikai yra naudojami bakterinių infekcijų gydymui. Jei neveikia prieš virusines infekcijas. </w:t>
      </w:r>
    </w:p>
    <w:p w14:paraId="763CF18B"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B0B67E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 Jūsų gydytojas paskyrė antibiotikų, Jums jie reikalingi būtent esamam susirgimui gydyti.</w:t>
      </w:r>
    </w:p>
    <w:p w14:paraId="1F9E771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D4C7E1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Nepaisant gydymo antibiotikais, kai kurios bakterijos gali išgyventi ir augti. Šis reiškinys vadinamas atsparumu: kai kurie antibiotikai tampa nebeefektyvūs. </w:t>
      </w:r>
    </w:p>
    <w:p w14:paraId="1A8DD0B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4D8C8AD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Neteisingai vartojant antibiotikus, didėja atsparumas. Galima netgi prisidėti prie bakterijų atsparumo išsivystymo ir todėl užsitęs gydymas arba susilpnės antibiotikų efektyvumas, jei nesilaikysite gydytojo nurodymų dėl:</w:t>
      </w:r>
    </w:p>
    <w:p w14:paraId="23B83BB2"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dozės,</w:t>
      </w:r>
    </w:p>
    <w:p w14:paraId="6DD6D55B"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vartojimo dažnumo,</w:t>
      </w:r>
    </w:p>
    <w:p w14:paraId="65C3FF04"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trukmės.</w:t>
      </w:r>
    </w:p>
    <w:p w14:paraId="2B1B1924" w14:textId="77777777" w:rsidR="001764C6" w:rsidRDefault="001764C6" w:rsidP="001764C6">
      <w:pPr>
        <w:tabs>
          <w:tab w:val="left" w:pos="567"/>
        </w:tabs>
        <w:spacing w:after="0" w:line="240" w:lineRule="auto"/>
        <w:rPr>
          <w:rFonts w:ascii="Times New Roman" w:eastAsia="Times New Roman" w:hAnsi="Times New Roman" w:cs="Times New Roman"/>
          <w:snapToGrid w:val="0"/>
        </w:rPr>
      </w:pPr>
    </w:p>
    <w:p w14:paraId="49A0480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Todėl, norint kad būtų išsaugotas šio vaisto efektyvumas:</w:t>
      </w:r>
    </w:p>
    <w:p w14:paraId="24F7249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 – antibiotikus vartokite tik tada, kai jie paskiriami;</w:t>
      </w:r>
    </w:p>
    <w:p w14:paraId="38442AC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 – griežtai laikykitės paskyrimo nurodymų;</w:t>
      </w:r>
    </w:p>
    <w:p w14:paraId="2A29A6F4"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 – nenaudokite antibiotikų pakartotinai, jei nepaskyrė medicinos darbuotojas, net ir tuo atveju, kai</w:t>
      </w:r>
    </w:p>
    <w:p w14:paraId="1AF69AE3"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norite gydyti panašią ligą.</w:t>
      </w:r>
    </w:p>
    <w:p w14:paraId="01A0AB7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0BDDD1A4"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snapToGrid w:val="0"/>
        </w:rPr>
        <w:t xml:space="preserve"> </w:t>
      </w:r>
      <w:hyperlink r:id="rId16" w:history="1">
        <w:r>
          <w:rPr>
            <w:rStyle w:val="Hipersaitas"/>
            <w:rFonts w:eastAsia="SimSun"/>
            <w:snapToGrid w:val="0"/>
          </w:rPr>
          <w:t>http://www.vvkt.lt/</w:t>
        </w:r>
      </w:hyperlink>
      <w:r>
        <w:rPr>
          <w:rFonts w:ascii="Times New Roman" w:eastAsia="Times New Roman" w:hAnsi="Times New Roman" w:cs="Times New Roman"/>
          <w:snapToGrid w:val="0"/>
        </w:rPr>
        <w:t>.</w:t>
      </w:r>
    </w:p>
    <w:p w14:paraId="02AE24D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55E88D88"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558A6D0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A8672F9"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Skiedimo instrukcijos</w:t>
      </w:r>
    </w:p>
    <w:p w14:paraId="52F59FD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401A55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3E31CBB5"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760C050"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75BE83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CA4EF5"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paruošimas</w:t>
      </w:r>
    </w:p>
    <w:p w14:paraId="7443DB7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6A46D1C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w:t>
      </w:r>
    </w:p>
    <w:p w14:paraId="39EB653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16979EBE"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51B1A0B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w:t>
      </w:r>
    </w:p>
    <w:p w14:paraId="267031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392BAA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3C9E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bus 50 mg/ml. Ištirpinus injekciniame vandenyje, susidaro skaidrus tirpalas. </w:t>
      </w:r>
    </w:p>
    <w:p w14:paraId="3F9E41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3C3D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6318F41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F59094B" w14:textId="77777777" w:rsidR="001764C6" w:rsidRDefault="001764C6" w:rsidP="001764C6">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Galutinio praskiesto infuzinio tirpalo paruošimas:</w:t>
      </w:r>
    </w:p>
    <w:p w14:paraId="25C6748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9709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0A3F0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4E5A2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p w14:paraId="54E498F4"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0CC9C5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15" w:name="_Hlk130545898"/>
      <w:r>
        <w:rPr>
          <w:rFonts w:ascii="Times New Roman" w:eastAsia="Times New Roman" w:hAnsi="Times New Roman" w:cs="Times New Roman"/>
          <w:lang w:eastAsia="lt-LT"/>
        </w:rPr>
        <w:t xml:space="preserve">Paruoštą koncentratą, kuriame yra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bookmarkEnd w:id="15"/>
    <w:p w14:paraId="2497D4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CDC8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Tinkamą dozę reikia lėtai, ne greičiau kaip 10 mg/min.,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į veną mažiausiai 60 minučių arba net ilgiau. Jeigu </w:t>
      </w:r>
      <w:proofErr w:type="spellStart"/>
      <w:r>
        <w:rPr>
          <w:rFonts w:ascii="Times New Roman" w:eastAsia="Times New Roman" w:hAnsi="Times New Roman" w:cs="Times New Roman"/>
          <w:lang w:eastAsia="lt-LT"/>
        </w:rPr>
        <w:t>infuzuojama</w:t>
      </w:r>
      <w:proofErr w:type="spellEnd"/>
      <w:r>
        <w:rPr>
          <w:rFonts w:ascii="Times New Roman" w:eastAsia="Times New Roman" w:hAnsi="Times New Roman" w:cs="Times New Roman"/>
          <w:lang w:eastAsia="lt-LT"/>
        </w:rPr>
        <w:t xml:space="preserve"> trumpiau arba didesnėmis koncentracijomis, gali atsirasti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Greitai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gali atsirasti paraudimas ir trumpalaikis bėrimas ant kaklo ir pečių.</w:t>
      </w:r>
    </w:p>
    <w:p w14:paraId="448EC2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C9B9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5CDBFC5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E6B883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 :</w:t>
      </w:r>
    </w:p>
    <w:p w14:paraId="7E55892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27CBC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63A72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 :</w:t>
      </w:r>
    </w:p>
    <w:p w14:paraId="6810D3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689EBA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5E3D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ne didesnė kaip 5 mg/ml. Pacientams, kuriems reikia riboti skysčių kiekį, gali būti vartojama iki 10 mg/ml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w:t>
      </w:r>
    </w:p>
    <w:p w14:paraId="3670A2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0BCA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515DFB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777861" w14:textId="77777777" w:rsidR="001764C6" w:rsidRDefault="001764C6" w:rsidP="001764C6">
      <w:pPr>
        <w:tabs>
          <w:tab w:val="left" w:pos="567"/>
        </w:tabs>
        <w:spacing w:after="0" w:line="240" w:lineRule="auto"/>
        <w:rPr>
          <w:rFonts w:ascii="Times New Roman" w:eastAsia="Times New Roman" w:hAnsi="Times New Roman" w:cs="Times New Roman"/>
          <w:b/>
          <w:i/>
          <w:iCs/>
          <w:lang w:eastAsia="lt-LT"/>
        </w:rPr>
      </w:pPr>
      <w:r>
        <w:rPr>
          <w:rFonts w:ascii="Times New Roman" w:eastAsia="Times New Roman" w:hAnsi="Times New Roman" w:cs="Times New Roman"/>
          <w:b/>
          <w:i/>
          <w:iCs/>
          <w:lang w:eastAsia="lt-LT"/>
        </w:rPr>
        <w:t>Nesuderinamumas</w:t>
      </w:r>
    </w:p>
    <w:p w14:paraId="0B51E9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84DD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tirpalo pH yra mažas, todėl sumaišymas su kitomis medžiagomis gali sukelti cheminį arba fizinį nesuderinamumą. Su šarminiais tirpalais maišyti negalima. </w:t>
      </w:r>
    </w:p>
    <w:p w14:paraId="64395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DAB4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beta </w:t>
      </w:r>
      <w:proofErr w:type="spellStart"/>
      <w:r>
        <w:rPr>
          <w:rFonts w:ascii="Times New Roman" w:eastAsia="Times New Roman" w:hAnsi="Times New Roman" w:cs="Times New Roman"/>
          <w:lang w:eastAsia="lt-LT"/>
        </w:rPr>
        <w:t>laktaminių</w:t>
      </w:r>
      <w:proofErr w:type="spellEnd"/>
      <w:r>
        <w:rPr>
          <w:rFonts w:ascii="Times New Roman" w:eastAsia="Times New Roman" w:hAnsi="Times New Roman" w:cs="Times New Roman"/>
          <w:lang w:eastAsia="lt-LT"/>
        </w:rPr>
        <w:t xml:space="preserve"> antibiotikų tirpalų mišiniai yra fiziškai nesuderinami. Nuosėdų tikimybė didėja esant didesnei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 Rekomenduojama tinkamai praplauti </w:t>
      </w:r>
      <w:proofErr w:type="spellStart"/>
      <w:r>
        <w:rPr>
          <w:rFonts w:ascii="Times New Roman" w:eastAsia="Times New Roman" w:hAnsi="Times New Roman" w:cs="Times New Roman"/>
          <w:lang w:eastAsia="lt-LT"/>
        </w:rPr>
        <w:t>intavenines</w:t>
      </w:r>
      <w:proofErr w:type="spellEnd"/>
      <w:r>
        <w:rPr>
          <w:rFonts w:ascii="Times New Roman" w:eastAsia="Times New Roman" w:hAnsi="Times New Roman" w:cs="Times New Roman"/>
          <w:lang w:eastAsia="lt-LT"/>
        </w:rPr>
        <w:t xml:space="preserve"> įrangas tarp </w:t>
      </w:r>
      <w:proofErr w:type="spellStart"/>
      <w:r>
        <w:rPr>
          <w:rFonts w:ascii="Times New Roman" w:eastAsia="Times New Roman" w:hAnsi="Times New Roman" w:cs="Times New Roman"/>
          <w:lang w:eastAsia="lt-LT"/>
        </w:rPr>
        <w:t>tarp</w:t>
      </w:r>
      <w:proofErr w:type="spellEnd"/>
      <w:r>
        <w:rPr>
          <w:rFonts w:ascii="Times New Roman" w:eastAsia="Times New Roman" w:hAnsi="Times New Roman" w:cs="Times New Roman"/>
          <w:lang w:eastAsia="lt-LT"/>
        </w:rPr>
        <w:t xml:space="preserve"> šių antibiotikų vartojimo. Taip pat, 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tirpalus skiesti iki 5 mg/ml ar mažesne koncentracija. </w:t>
      </w:r>
    </w:p>
    <w:p w14:paraId="3245D7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5BFA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injekcija į stiklakūnį nėra patvirtintas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būdas, tačiau buvo pranešimų apie nuosėdų susidarymą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ceftazidimo</w:t>
      </w:r>
      <w:proofErr w:type="spellEnd"/>
      <w:r>
        <w:rPr>
          <w:rFonts w:ascii="Times New Roman" w:eastAsia="Times New Roman" w:hAnsi="Times New Roman" w:cs="Times New Roman"/>
          <w:lang w:eastAsia="lt-LT"/>
        </w:rPr>
        <w:t xml:space="preserve"> injekcijos į stiklakūnį </w:t>
      </w:r>
      <w:proofErr w:type="spellStart"/>
      <w:r>
        <w:rPr>
          <w:rFonts w:ascii="Times New Roman" w:eastAsia="Times New Roman" w:hAnsi="Times New Roman" w:cs="Times New Roman"/>
          <w:lang w:eastAsia="lt-LT"/>
        </w:rPr>
        <w:t>endoftalmitui</w:t>
      </w:r>
      <w:proofErr w:type="spellEnd"/>
      <w:r>
        <w:rPr>
          <w:rFonts w:ascii="Times New Roman" w:eastAsia="Times New Roman" w:hAnsi="Times New Roman" w:cs="Times New Roman"/>
          <w:lang w:eastAsia="lt-LT"/>
        </w:rPr>
        <w:t xml:space="preserve"> gydyti naudojant skirtingus švirkštus ir adatas. Nuosėdos ištirpo palaipsniui, visiškai išvalant stiklakūnio ertmę per du mėnesius ir pagerėjus regėjimo aštrumui.</w:t>
      </w:r>
    </w:p>
    <w:p w14:paraId="2F9429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0F95BB"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ir praskiestų tirpalų tinkamumo laikas:</w:t>
      </w:r>
    </w:p>
    <w:p w14:paraId="0AF01681"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379C18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koncentratas turi būti nedelsiant praskiestas.</w:t>
      </w:r>
    </w:p>
    <w:p w14:paraId="7A554AA0"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bookmarkStart w:id="16" w:name="_Hlk163725398"/>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bookmarkEnd w:id="16"/>
    <w:p w14:paraId="351CCA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8893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tirpalo cheminis ir fizinis stabilumas 25 °C temperatūroje išlieka 24 valandas ir 96 valandas, laikant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praskiedus injekciniu 0,9 % natrio chlorido tirpalu arba injekciniu 5 % gliukozės tirpalu.</w:t>
      </w:r>
    </w:p>
    <w:p w14:paraId="0E8F9EE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36D07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nebent tirpinimas/skiedimas buvo atliktas kontroliuojamomis ir patvirtintomis </w:t>
      </w:r>
      <w:proofErr w:type="spellStart"/>
      <w:r>
        <w:rPr>
          <w:rFonts w:ascii="Times New Roman" w:eastAsia="Times New Roman" w:hAnsi="Times New Roman" w:cs="Times New Roman"/>
          <w:lang w:eastAsia="lt-LT"/>
        </w:rPr>
        <w:t>aseptinėmis</w:t>
      </w:r>
      <w:proofErr w:type="spellEnd"/>
      <w:r>
        <w:rPr>
          <w:rFonts w:ascii="Times New Roman" w:eastAsia="Times New Roman" w:hAnsi="Times New Roman" w:cs="Times New Roman"/>
          <w:lang w:eastAsia="lt-LT"/>
        </w:rPr>
        <w:t xml:space="preserve"> sąlygomis.</w:t>
      </w:r>
    </w:p>
    <w:p w14:paraId="7737DB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F6510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68906D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B6C20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093DA3B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CBE66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skiriamo 500 mg arba 1000 mg flakono turinį. </w:t>
      </w:r>
    </w:p>
    <w:p w14:paraId="4F7F0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ACE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004211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9115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Atliekų tvarkymas</w:t>
      </w:r>
    </w:p>
    <w:p w14:paraId="4E0A0C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56AD144" w14:textId="7E587E4F" w:rsidR="00324F37" w:rsidRPr="006C6F24" w:rsidRDefault="001764C6" w:rsidP="001F2BA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r w:rsidR="008E76FF">
        <w:rPr>
          <w:rFonts w:ascii="Times New Roman" w:eastAsia="Times New Roman" w:hAnsi="Times New Roman" w:cs="Times New Roman"/>
          <w:lang w:eastAsia="lt-LT"/>
        </w:rPr>
        <w:t xml:space="preserve">      </w:t>
      </w:r>
      <w:bookmarkStart w:id="17" w:name="_GoBack"/>
      <w:bookmarkEnd w:id="17"/>
    </w:p>
    <w:sectPr w:rsidR="00324F37" w:rsidRPr="006C6F24" w:rsidSect="00615D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7E50FA"/>
    <w:multiLevelType w:val="hybridMultilevel"/>
    <w:tmpl w:val="4AA4DC58"/>
    <w:lvl w:ilvl="0" w:tplc="CB7860DC">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2A4E4C"/>
    <w:multiLevelType w:val="hybridMultilevel"/>
    <w:tmpl w:val="EE90C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A02DB"/>
    <w:multiLevelType w:val="hybridMultilevel"/>
    <w:tmpl w:val="903A89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C88506D"/>
    <w:multiLevelType w:val="multilevel"/>
    <w:tmpl w:val="3DA43A50"/>
    <w:lvl w:ilvl="0">
      <w:start w:val="6"/>
      <w:numFmt w:val="decimal"/>
      <w:lvlText w:val="%1"/>
      <w:lvlJc w:val="left"/>
      <w:pPr>
        <w:tabs>
          <w:tab w:val="num" w:pos="1290"/>
        </w:tabs>
        <w:ind w:left="1290" w:hanging="1290"/>
      </w:pPr>
      <w:rPr>
        <w:rFonts w:cs="Times New Roman"/>
      </w:rPr>
    </w:lvl>
    <w:lvl w:ilvl="1">
      <w:start w:val="6"/>
      <w:numFmt w:val="decimal"/>
      <w:lvlText w:val="%1.%2"/>
      <w:lvlJc w:val="left"/>
      <w:pPr>
        <w:tabs>
          <w:tab w:val="num" w:pos="1290"/>
        </w:tabs>
        <w:ind w:left="1290" w:hanging="1290"/>
      </w:pPr>
      <w:rPr>
        <w:rFonts w:cs="Times New Roman"/>
      </w:rPr>
    </w:lvl>
    <w:lvl w:ilvl="2">
      <w:start w:val="1"/>
      <w:numFmt w:val="decimal"/>
      <w:lvlText w:val="%1.%2.%3"/>
      <w:lvlJc w:val="left"/>
      <w:pPr>
        <w:tabs>
          <w:tab w:val="num" w:pos="1290"/>
        </w:tabs>
        <w:ind w:left="1290" w:hanging="1290"/>
      </w:pPr>
      <w:rPr>
        <w:rFonts w:cs="Times New Roman"/>
      </w:rPr>
    </w:lvl>
    <w:lvl w:ilvl="3">
      <w:start w:val="1"/>
      <w:numFmt w:val="decimal"/>
      <w:lvlText w:val="%1.%2.%3.%4"/>
      <w:lvlJc w:val="left"/>
      <w:pPr>
        <w:tabs>
          <w:tab w:val="num" w:pos="1290"/>
        </w:tabs>
        <w:ind w:left="1290" w:hanging="1290"/>
      </w:pPr>
      <w:rPr>
        <w:rFonts w:cs="Times New Roman"/>
      </w:rPr>
    </w:lvl>
    <w:lvl w:ilvl="4">
      <w:start w:val="1"/>
      <w:numFmt w:val="decimal"/>
      <w:lvlText w:val="%1.%2.%3.%4.%5"/>
      <w:lvlJc w:val="left"/>
      <w:pPr>
        <w:tabs>
          <w:tab w:val="num" w:pos="1290"/>
        </w:tabs>
        <w:ind w:left="1290" w:hanging="1290"/>
      </w:pPr>
      <w:rPr>
        <w:rFonts w:cs="Times New Roman"/>
      </w:rPr>
    </w:lvl>
    <w:lvl w:ilvl="5">
      <w:start w:val="1"/>
      <w:numFmt w:val="decimal"/>
      <w:lvlText w:val="%1.%2.%3.%4.%5.%6"/>
      <w:lvlJc w:val="left"/>
      <w:pPr>
        <w:tabs>
          <w:tab w:val="num" w:pos="1290"/>
        </w:tabs>
        <w:ind w:left="1290" w:hanging="129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6914E25"/>
    <w:multiLevelType w:val="hybridMultilevel"/>
    <w:tmpl w:val="6324E9C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5D6873"/>
    <w:multiLevelType w:val="hybridMultilevel"/>
    <w:tmpl w:val="8146D4DA"/>
    <w:lvl w:ilvl="0" w:tplc="04270001">
      <w:start w:val="1"/>
      <w:numFmt w:val="bullet"/>
      <w:lvlText w:val=""/>
      <w:lvlJc w:val="left"/>
      <w:pPr>
        <w:tabs>
          <w:tab w:val="num" w:pos="1080"/>
        </w:tabs>
        <w:ind w:left="1080" w:hanging="360"/>
      </w:pPr>
      <w:rPr>
        <w:rFonts w:ascii="Symbol" w:hAnsi="Symbol" w:hint="default"/>
      </w:rPr>
    </w:lvl>
    <w:lvl w:ilvl="1" w:tplc="04270003">
      <w:start w:val="1"/>
      <w:numFmt w:val="bullet"/>
      <w:lvlText w:val="o"/>
      <w:lvlJc w:val="left"/>
      <w:pPr>
        <w:tabs>
          <w:tab w:val="num" w:pos="1800"/>
        </w:tabs>
        <w:ind w:left="1800" w:hanging="360"/>
      </w:pPr>
      <w:rPr>
        <w:rFonts w:ascii="Courier New" w:hAnsi="Courier New" w:cs="Times New Roman"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cs="Times New Roman"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cs="Times New Roman"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D73EC6"/>
    <w:multiLevelType w:val="hybridMultilevel"/>
    <w:tmpl w:val="D6B69864"/>
    <w:lvl w:ilvl="0" w:tplc="165AC1F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B4E51DA"/>
    <w:multiLevelType w:val="hybridMultilevel"/>
    <w:tmpl w:val="D1D0B01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2" w15:restartNumberingAfterBreak="0">
    <w:nsid w:val="3E4B10D5"/>
    <w:multiLevelType w:val="hybridMultilevel"/>
    <w:tmpl w:val="63FAC3EE"/>
    <w:lvl w:ilvl="0" w:tplc="C6DEACF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48E3C3A"/>
    <w:multiLevelType w:val="hybridMultilevel"/>
    <w:tmpl w:val="A796A802"/>
    <w:lvl w:ilvl="0" w:tplc="04090001">
      <w:start w:val="1"/>
      <w:numFmt w:val="bullet"/>
      <w:lvlText w:val=""/>
      <w:lvlJc w:val="left"/>
      <w:pPr>
        <w:ind w:left="1287" w:hanging="360"/>
      </w:pPr>
      <w:rPr>
        <w:rFonts w:ascii="Symbol" w:hAnsi="Symbol" w:hint="default"/>
      </w:rPr>
    </w:lvl>
    <w:lvl w:ilvl="1" w:tplc="E1787162">
      <w:numFmt w:val="bullet"/>
      <w:lvlText w:val="-"/>
      <w:lvlJc w:val="left"/>
      <w:pPr>
        <w:ind w:left="2217" w:hanging="570"/>
      </w:pPr>
      <w:rPr>
        <w:rFonts w:ascii="Times New Roman" w:eastAsia="Times New Roman" w:hAnsi="Times New Roman" w:cs="Times New Roman"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48A23994"/>
    <w:multiLevelType w:val="hybridMultilevel"/>
    <w:tmpl w:val="A9AE2B40"/>
    <w:lvl w:ilvl="0" w:tplc="2160B1CE">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73F5543"/>
    <w:multiLevelType w:val="hybridMultilevel"/>
    <w:tmpl w:val="6F629DAE"/>
    <w:lvl w:ilvl="0" w:tplc="9822FFDA">
      <w:numFmt w:val="bullet"/>
      <w:lvlText w:val="•"/>
      <w:lvlJc w:val="left"/>
      <w:pPr>
        <w:ind w:left="360" w:hanging="360"/>
      </w:pPr>
      <w:rPr>
        <w:rFonts w:ascii="Times New Roman" w:eastAsia="Times New Roman" w:hAnsi="Times New Roman" w:cs="Times New Roman"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88C3909"/>
    <w:multiLevelType w:val="hybridMultilevel"/>
    <w:tmpl w:val="95E88D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BBF010A"/>
    <w:multiLevelType w:val="hybridMultilevel"/>
    <w:tmpl w:val="2382894E"/>
    <w:lvl w:ilvl="0" w:tplc="04270001">
      <w:start w:val="1"/>
      <w:numFmt w:val="bullet"/>
      <w:lvlText w:val=""/>
      <w:lvlJc w:val="left"/>
      <w:pPr>
        <w:ind w:left="720" w:hanging="360"/>
      </w:pPr>
      <w:rPr>
        <w:rFonts w:ascii="Symbol" w:hAnsi="Symbol" w:hint="default"/>
      </w:rPr>
    </w:lvl>
    <w:lvl w:ilvl="1" w:tplc="FD1A8DA2">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FBD1CE6"/>
    <w:multiLevelType w:val="hybridMultilevel"/>
    <w:tmpl w:val="B93E0670"/>
    <w:lvl w:ilvl="0" w:tplc="D8B63C8A">
      <w:numFmt w:val="bullet"/>
      <w:lvlText w:val="-"/>
      <w:lvlJc w:val="left"/>
      <w:pPr>
        <w:ind w:left="360" w:hanging="360"/>
      </w:pPr>
      <w:rPr>
        <w:rFonts w:ascii="Times New Roman" w:hAnsi="TIMESLT"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63114511"/>
    <w:multiLevelType w:val="multilevel"/>
    <w:tmpl w:val="B8E00BD0"/>
    <w:lvl w:ilvl="0">
      <w:start w:val="4"/>
      <w:numFmt w:val="decimal"/>
      <w:lvlText w:val="%1"/>
      <w:lvlJc w:val="left"/>
      <w:pPr>
        <w:tabs>
          <w:tab w:val="num" w:pos="720"/>
        </w:tabs>
        <w:ind w:left="720" w:hanging="720"/>
      </w:pPr>
      <w:rPr>
        <w:rFonts w:cs="Times New Roman"/>
      </w:rPr>
    </w:lvl>
    <w:lvl w:ilvl="1">
      <w:start w:val="8"/>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2" w15:restartNumberingAfterBreak="0">
    <w:nsid w:val="63660367"/>
    <w:multiLevelType w:val="hybridMultilevel"/>
    <w:tmpl w:val="91A257F8"/>
    <w:lvl w:ilvl="0" w:tplc="0409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62C723B"/>
    <w:multiLevelType w:val="multilevel"/>
    <w:tmpl w:val="0300912E"/>
    <w:lvl w:ilvl="0">
      <w:start w:val="5"/>
      <w:numFmt w:val="decimal"/>
      <w:lvlText w:val="%1"/>
      <w:lvlJc w:val="left"/>
      <w:pPr>
        <w:tabs>
          <w:tab w:val="num" w:pos="720"/>
        </w:tabs>
        <w:ind w:left="720" w:hanging="720"/>
      </w:pPr>
      <w:rPr>
        <w:rFonts w:cs="Times New Roman"/>
      </w:rPr>
    </w:lvl>
    <w:lvl w:ilvl="1">
      <w:start w:val="2"/>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4" w15:restartNumberingAfterBreak="0">
    <w:nsid w:val="696C1013"/>
    <w:multiLevelType w:val="multilevel"/>
    <w:tmpl w:val="94D2B11C"/>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5"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7F3437B3"/>
    <w:multiLevelType w:val="hybridMultilevel"/>
    <w:tmpl w:val="263E832E"/>
    <w:lvl w:ilvl="0" w:tplc="F034C2C6">
      <w:start w:val="8"/>
      <w:numFmt w:val="decimal"/>
      <w:lvlText w:val="%1."/>
      <w:lvlJc w:val="left"/>
      <w:pPr>
        <w:tabs>
          <w:tab w:val="num" w:pos="1004"/>
        </w:tabs>
        <w:ind w:left="1004" w:hanging="720"/>
      </w:pPr>
      <w:rPr>
        <w:rFonts w:cs="Times New Roman"/>
      </w:rPr>
    </w:lvl>
    <w:lvl w:ilvl="1" w:tplc="04270019">
      <w:start w:val="1"/>
      <w:numFmt w:val="lowerLetter"/>
      <w:lvlText w:val="%2."/>
      <w:lvlJc w:val="left"/>
      <w:pPr>
        <w:tabs>
          <w:tab w:val="num" w:pos="1364"/>
        </w:tabs>
        <w:ind w:left="1364" w:hanging="360"/>
      </w:pPr>
      <w:rPr>
        <w:rFonts w:cs="Times New Roman"/>
      </w:rPr>
    </w:lvl>
    <w:lvl w:ilvl="2" w:tplc="0427001B">
      <w:start w:val="1"/>
      <w:numFmt w:val="lowerRoman"/>
      <w:lvlText w:val="%3."/>
      <w:lvlJc w:val="right"/>
      <w:pPr>
        <w:tabs>
          <w:tab w:val="num" w:pos="2084"/>
        </w:tabs>
        <w:ind w:left="2084" w:hanging="180"/>
      </w:pPr>
      <w:rPr>
        <w:rFonts w:cs="Times New Roman"/>
      </w:rPr>
    </w:lvl>
    <w:lvl w:ilvl="3" w:tplc="0427000F">
      <w:start w:val="1"/>
      <w:numFmt w:val="decimal"/>
      <w:lvlText w:val="%4."/>
      <w:lvlJc w:val="left"/>
      <w:pPr>
        <w:tabs>
          <w:tab w:val="num" w:pos="2804"/>
        </w:tabs>
        <w:ind w:left="2804" w:hanging="360"/>
      </w:pPr>
      <w:rPr>
        <w:rFonts w:cs="Times New Roman"/>
      </w:rPr>
    </w:lvl>
    <w:lvl w:ilvl="4" w:tplc="04270019">
      <w:start w:val="1"/>
      <w:numFmt w:val="lowerLetter"/>
      <w:lvlText w:val="%5."/>
      <w:lvlJc w:val="left"/>
      <w:pPr>
        <w:tabs>
          <w:tab w:val="num" w:pos="3524"/>
        </w:tabs>
        <w:ind w:left="3524" w:hanging="360"/>
      </w:pPr>
      <w:rPr>
        <w:rFonts w:cs="Times New Roman"/>
      </w:rPr>
    </w:lvl>
    <w:lvl w:ilvl="5" w:tplc="0427001B">
      <w:start w:val="1"/>
      <w:numFmt w:val="lowerRoman"/>
      <w:lvlText w:val="%6."/>
      <w:lvlJc w:val="right"/>
      <w:pPr>
        <w:tabs>
          <w:tab w:val="num" w:pos="4244"/>
        </w:tabs>
        <w:ind w:left="4244" w:hanging="180"/>
      </w:pPr>
      <w:rPr>
        <w:rFonts w:cs="Times New Roman"/>
      </w:rPr>
    </w:lvl>
    <w:lvl w:ilvl="6" w:tplc="0427000F">
      <w:start w:val="1"/>
      <w:numFmt w:val="decimal"/>
      <w:lvlText w:val="%7."/>
      <w:lvlJc w:val="left"/>
      <w:pPr>
        <w:tabs>
          <w:tab w:val="num" w:pos="4964"/>
        </w:tabs>
        <w:ind w:left="4964" w:hanging="360"/>
      </w:pPr>
      <w:rPr>
        <w:rFonts w:cs="Times New Roman"/>
      </w:rPr>
    </w:lvl>
    <w:lvl w:ilvl="7" w:tplc="04270019">
      <w:start w:val="1"/>
      <w:numFmt w:val="lowerLetter"/>
      <w:lvlText w:val="%8."/>
      <w:lvlJc w:val="left"/>
      <w:pPr>
        <w:tabs>
          <w:tab w:val="num" w:pos="5684"/>
        </w:tabs>
        <w:ind w:left="5684" w:hanging="360"/>
      </w:pPr>
      <w:rPr>
        <w:rFonts w:cs="Times New Roman"/>
      </w:rPr>
    </w:lvl>
    <w:lvl w:ilvl="8" w:tplc="0427001B">
      <w:start w:val="1"/>
      <w:numFmt w:val="lowerRoman"/>
      <w:lvlText w:val="%9."/>
      <w:lvlJc w:val="right"/>
      <w:pPr>
        <w:tabs>
          <w:tab w:val="num" w:pos="6404"/>
        </w:tabs>
        <w:ind w:left="6404" w:hanging="180"/>
      </w:pPr>
      <w:rPr>
        <w:rFonts w:cs="Times New Roman"/>
      </w:rPr>
    </w:lvl>
  </w:abstractNum>
  <w:num w:numId="1">
    <w:abstractNumId w:val="8"/>
  </w:num>
  <w:num w:numId="2">
    <w:abstractNumId w:val="9"/>
  </w:num>
  <w:num w:numId="3">
    <w:abstractNumId w:val="21"/>
  </w:num>
  <w:num w:numId="4">
    <w:abstractNumId w:val="21"/>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num>
  <w:num w:numId="8">
    <w:abstractNumId w:val="2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0"/>
  </w:num>
  <w:num w:numId="15">
    <w:abstractNumId w:val="25"/>
  </w:num>
  <w:num w:numId="16">
    <w:abstractNumId w:val="14"/>
  </w:num>
  <w:num w:numId="17">
    <w:abstractNumId w:val="2"/>
  </w:num>
  <w:num w:numId="18">
    <w:abstractNumId w:val="5"/>
  </w:num>
  <w:num w:numId="19">
    <w:abstractNumId w:val="16"/>
  </w:num>
  <w:num w:numId="20">
    <w:abstractNumId w:val="19"/>
  </w:num>
  <w:num w:numId="21">
    <w:abstractNumId w:val="6"/>
  </w:num>
  <w:num w:numId="22">
    <w:abstractNumId w:val="1"/>
  </w:num>
  <w:num w:numId="23">
    <w:abstractNumId w:val="13"/>
  </w:num>
  <w:num w:numId="24">
    <w:abstractNumId w:val="26"/>
  </w:num>
  <w:num w:numId="25">
    <w:abstractNumId w:val="15"/>
  </w:num>
  <w:num w:numId="26">
    <w:abstractNumId w:val="7"/>
  </w:num>
  <w:num w:numId="27">
    <w:abstractNumId w:val="18"/>
  </w:num>
  <w:num w:numId="28">
    <w:abstractNumId w:val="22"/>
  </w:num>
  <w:num w:numId="29">
    <w:abstractNumId w:val="17"/>
  </w:num>
  <w:num w:numId="30">
    <w:abstractNumId w:val="0"/>
    <w:lvlOverride w:ilvl="0">
      <w:lvl w:ilvl="0">
        <w:start w:val="1"/>
        <w:numFmt w:val="bullet"/>
        <w:lvlText w:val="-"/>
        <w:lvlJc w:val="left"/>
        <w:pPr>
          <w:ind w:left="360" w:hanging="360"/>
        </w:pPr>
      </w:lvl>
    </w:lvlOverride>
  </w:num>
  <w:num w:numId="31">
    <w:abstractNumId w:val="3"/>
  </w:num>
  <w:num w:numId="32">
    <w:abstractNumId w:val="11"/>
  </w:num>
  <w:num w:numId="33">
    <w:abstractNumId w:val="20"/>
  </w:num>
  <w:num w:numId="34">
    <w:abstractNumId w:val="8"/>
  </w:num>
  <w:num w:numId="35">
    <w:abstractNumId w:val="25"/>
  </w:num>
  <w:num w:numId="36">
    <w:abstractNumId w:val="5"/>
  </w:num>
  <w:num w:numId="37">
    <w:abstractNumId w:val="16"/>
  </w:num>
  <w:num w:numId="38">
    <w:abstractNumId w:val="7"/>
  </w:num>
  <w:num w:numId="39">
    <w:abstractNumId w:val="15"/>
  </w:num>
  <w:num w:numId="40">
    <w:abstractNumId w:val="6"/>
  </w:num>
  <w:num w:numId="41">
    <w:abstractNumId w:val="13"/>
  </w:num>
  <w:num w:numId="42">
    <w:abstractNumId w:val="20"/>
  </w:num>
  <w:num w:numId="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D5B"/>
    <w:rsid w:val="000107D3"/>
    <w:rsid w:val="00013663"/>
    <w:rsid w:val="000151E2"/>
    <w:rsid w:val="0003094B"/>
    <w:rsid w:val="0003306B"/>
    <w:rsid w:val="00036A27"/>
    <w:rsid w:val="0006592E"/>
    <w:rsid w:val="000766CE"/>
    <w:rsid w:val="0009369C"/>
    <w:rsid w:val="000A2434"/>
    <w:rsid w:val="000A30FE"/>
    <w:rsid w:val="000B028B"/>
    <w:rsid w:val="000B68D3"/>
    <w:rsid w:val="000C2D5B"/>
    <w:rsid w:val="000D1899"/>
    <w:rsid w:val="000D35A7"/>
    <w:rsid w:val="000E028E"/>
    <w:rsid w:val="00121AD2"/>
    <w:rsid w:val="001423C2"/>
    <w:rsid w:val="0014597E"/>
    <w:rsid w:val="00145F77"/>
    <w:rsid w:val="00146FB2"/>
    <w:rsid w:val="00151342"/>
    <w:rsid w:val="0015349B"/>
    <w:rsid w:val="001729ED"/>
    <w:rsid w:val="001750F3"/>
    <w:rsid w:val="001764C6"/>
    <w:rsid w:val="00181005"/>
    <w:rsid w:val="0019638E"/>
    <w:rsid w:val="001A019D"/>
    <w:rsid w:val="001B0297"/>
    <w:rsid w:val="001C3CC8"/>
    <w:rsid w:val="001D2624"/>
    <w:rsid w:val="001E2F82"/>
    <w:rsid w:val="001E52A3"/>
    <w:rsid w:val="001F122A"/>
    <w:rsid w:val="001F2BA7"/>
    <w:rsid w:val="001F44BE"/>
    <w:rsid w:val="001F6491"/>
    <w:rsid w:val="00200EDF"/>
    <w:rsid w:val="002040DA"/>
    <w:rsid w:val="00213711"/>
    <w:rsid w:val="0022526C"/>
    <w:rsid w:val="00233434"/>
    <w:rsid w:val="002352FE"/>
    <w:rsid w:val="00241CCB"/>
    <w:rsid w:val="00263157"/>
    <w:rsid w:val="002701A0"/>
    <w:rsid w:val="00274A6C"/>
    <w:rsid w:val="002812AE"/>
    <w:rsid w:val="00296677"/>
    <w:rsid w:val="002B4D7B"/>
    <w:rsid w:val="002D6D51"/>
    <w:rsid w:val="002D7A25"/>
    <w:rsid w:val="002F363A"/>
    <w:rsid w:val="00311C3C"/>
    <w:rsid w:val="00314250"/>
    <w:rsid w:val="00324F37"/>
    <w:rsid w:val="00333638"/>
    <w:rsid w:val="003563D0"/>
    <w:rsid w:val="003608B4"/>
    <w:rsid w:val="00370F9D"/>
    <w:rsid w:val="0038510E"/>
    <w:rsid w:val="003A522A"/>
    <w:rsid w:val="003B582D"/>
    <w:rsid w:val="003D6473"/>
    <w:rsid w:val="004121FC"/>
    <w:rsid w:val="00412771"/>
    <w:rsid w:val="00423B34"/>
    <w:rsid w:val="00455263"/>
    <w:rsid w:val="00462373"/>
    <w:rsid w:val="0047181C"/>
    <w:rsid w:val="00484AD4"/>
    <w:rsid w:val="004863F0"/>
    <w:rsid w:val="00496316"/>
    <w:rsid w:val="004A2193"/>
    <w:rsid w:val="004B3351"/>
    <w:rsid w:val="004B5AE7"/>
    <w:rsid w:val="004D0EDF"/>
    <w:rsid w:val="004D6A0E"/>
    <w:rsid w:val="004D74D5"/>
    <w:rsid w:val="004E2AB0"/>
    <w:rsid w:val="004E6EA6"/>
    <w:rsid w:val="004E7BF9"/>
    <w:rsid w:val="00502F0A"/>
    <w:rsid w:val="005268DC"/>
    <w:rsid w:val="00545A48"/>
    <w:rsid w:val="00552EA1"/>
    <w:rsid w:val="00572C1D"/>
    <w:rsid w:val="005731C7"/>
    <w:rsid w:val="005764EF"/>
    <w:rsid w:val="005819E5"/>
    <w:rsid w:val="00583CDE"/>
    <w:rsid w:val="005A2E38"/>
    <w:rsid w:val="005B0FDF"/>
    <w:rsid w:val="005C0864"/>
    <w:rsid w:val="005C265C"/>
    <w:rsid w:val="005C58EB"/>
    <w:rsid w:val="005C646E"/>
    <w:rsid w:val="00610026"/>
    <w:rsid w:val="00610A48"/>
    <w:rsid w:val="00615D9E"/>
    <w:rsid w:val="00615DF6"/>
    <w:rsid w:val="00646CE9"/>
    <w:rsid w:val="006566B5"/>
    <w:rsid w:val="00660623"/>
    <w:rsid w:val="00675FA3"/>
    <w:rsid w:val="00683CCA"/>
    <w:rsid w:val="006867EA"/>
    <w:rsid w:val="00695E8F"/>
    <w:rsid w:val="006C1E2C"/>
    <w:rsid w:val="006C6F24"/>
    <w:rsid w:val="006D3A10"/>
    <w:rsid w:val="006D7D61"/>
    <w:rsid w:val="006E6C40"/>
    <w:rsid w:val="006F1D63"/>
    <w:rsid w:val="007141E7"/>
    <w:rsid w:val="00714BD7"/>
    <w:rsid w:val="00746152"/>
    <w:rsid w:val="00751E14"/>
    <w:rsid w:val="00765754"/>
    <w:rsid w:val="00771804"/>
    <w:rsid w:val="007744F0"/>
    <w:rsid w:val="00775D05"/>
    <w:rsid w:val="00780B3F"/>
    <w:rsid w:val="0078329A"/>
    <w:rsid w:val="00786063"/>
    <w:rsid w:val="00792724"/>
    <w:rsid w:val="00794FC5"/>
    <w:rsid w:val="007A5CFD"/>
    <w:rsid w:val="007B6361"/>
    <w:rsid w:val="007B6D04"/>
    <w:rsid w:val="007C27EA"/>
    <w:rsid w:val="007C4CD9"/>
    <w:rsid w:val="007E57DB"/>
    <w:rsid w:val="007F14F8"/>
    <w:rsid w:val="00812C61"/>
    <w:rsid w:val="008133F7"/>
    <w:rsid w:val="008175AF"/>
    <w:rsid w:val="00835E9B"/>
    <w:rsid w:val="00836FC2"/>
    <w:rsid w:val="00843E87"/>
    <w:rsid w:val="008516F2"/>
    <w:rsid w:val="00864FBC"/>
    <w:rsid w:val="00870109"/>
    <w:rsid w:val="00872C54"/>
    <w:rsid w:val="0089365C"/>
    <w:rsid w:val="00896E45"/>
    <w:rsid w:val="008A0E4F"/>
    <w:rsid w:val="008A32F1"/>
    <w:rsid w:val="008A5299"/>
    <w:rsid w:val="008A5E95"/>
    <w:rsid w:val="008D2D78"/>
    <w:rsid w:val="008E76FF"/>
    <w:rsid w:val="009003DD"/>
    <w:rsid w:val="00904518"/>
    <w:rsid w:val="00907DF6"/>
    <w:rsid w:val="00910E12"/>
    <w:rsid w:val="00911C8C"/>
    <w:rsid w:val="00932A05"/>
    <w:rsid w:val="00937B98"/>
    <w:rsid w:val="009826D6"/>
    <w:rsid w:val="00986881"/>
    <w:rsid w:val="00996CBD"/>
    <w:rsid w:val="009A130F"/>
    <w:rsid w:val="009A3183"/>
    <w:rsid w:val="009A3428"/>
    <w:rsid w:val="009B5D1A"/>
    <w:rsid w:val="009C1820"/>
    <w:rsid w:val="009C18B6"/>
    <w:rsid w:val="009C64DE"/>
    <w:rsid w:val="009E1D16"/>
    <w:rsid w:val="00A3546B"/>
    <w:rsid w:val="00A36884"/>
    <w:rsid w:val="00A40987"/>
    <w:rsid w:val="00A424C5"/>
    <w:rsid w:val="00A56C1A"/>
    <w:rsid w:val="00A63304"/>
    <w:rsid w:val="00A77991"/>
    <w:rsid w:val="00A87E3F"/>
    <w:rsid w:val="00AB6E74"/>
    <w:rsid w:val="00AC4998"/>
    <w:rsid w:val="00AC5201"/>
    <w:rsid w:val="00AD7501"/>
    <w:rsid w:val="00AE244B"/>
    <w:rsid w:val="00AF6AB0"/>
    <w:rsid w:val="00B031EC"/>
    <w:rsid w:val="00B05F3D"/>
    <w:rsid w:val="00B22C38"/>
    <w:rsid w:val="00B2486B"/>
    <w:rsid w:val="00B32FED"/>
    <w:rsid w:val="00B3635C"/>
    <w:rsid w:val="00B40377"/>
    <w:rsid w:val="00B730A2"/>
    <w:rsid w:val="00B74C95"/>
    <w:rsid w:val="00B84CE9"/>
    <w:rsid w:val="00B867F9"/>
    <w:rsid w:val="00BB1828"/>
    <w:rsid w:val="00BE1D56"/>
    <w:rsid w:val="00BE25D4"/>
    <w:rsid w:val="00BE4C91"/>
    <w:rsid w:val="00BF15C4"/>
    <w:rsid w:val="00BF1A8D"/>
    <w:rsid w:val="00BF5A72"/>
    <w:rsid w:val="00C05B4A"/>
    <w:rsid w:val="00C07603"/>
    <w:rsid w:val="00C24317"/>
    <w:rsid w:val="00C272E4"/>
    <w:rsid w:val="00C32CB3"/>
    <w:rsid w:val="00C3553B"/>
    <w:rsid w:val="00C379DC"/>
    <w:rsid w:val="00C748DA"/>
    <w:rsid w:val="00CA0AC4"/>
    <w:rsid w:val="00CA38A0"/>
    <w:rsid w:val="00CB1B67"/>
    <w:rsid w:val="00CD3E78"/>
    <w:rsid w:val="00CD63B4"/>
    <w:rsid w:val="00CF3389"/>
    <w:rsid w:val="00D04C0B"/>
    <w:rsid w:val="00D07A38"/>
    <w:rsid w:val="00D105C6"/>
    <w:rsid w:val="00D12E45"/>
    <w:rsid w:val="00D13566"/>
    <w:rsid w:val="00D22741"/>
    <w:rsid w:val="00D25F0E"/>
    <w:rsid w:val="00D27E60"/>
    <w:rsid w:val="00D31BCB"/>
    <w:rsid w:val="00D3223B"/>
    <w:rsid w:val="00D44BE6"/>
    <w:rsid w:val="00D62AB7"/>
    <w:rsid w:val="00D9479A"/>
    <w:rsid w:val="00DA004D"/>
    <w:rsid w:val="00DA703E"/>
    <w:rsid w:val="00DB2E91"/>
    <w:rsid w:val="00DB7DEE"/>
    <w:rsid w:val="00DC6450"/>
    <w:rsid w:val="00DD0697"/>
    <w:rsid w:val="00DD7124"/>
    <w:rsid w:val="00DE09E9"/>
    <w:rsid w:val="00DE2754"/>
    <w:rsid w:val="00DE4016"/>
    <w:rsid w:val="00DF0F16"/>
    <w:rsid w:val="00E309CE"/>
    <w:rsid w:val="00E37333"/>
    <w:rsid w:val="00E377BA"/>
    <w:rsid w:val="00E46942"/>
    <w:rsid w:val="00E502B6"/>
    <w:rsid w:val="00E66F16"/>
    <w:rsid w:val="00E70C73"/>
    <w:rsid w:val="00E720DC"/>
    <w:rsid w:val="00E80298"/>
    <w:rsid w:val="00E832C9"/>
    <w:rsid w:val="00E84A5F"/>
    <w:rsid w:val="00E878E9"/>
    <w:rsid w:val="00E9006F"/>
    <w:rsid w:val="00E92609"/>
    <w:rsid w:val="00E9578A"/>
    <w:rsid w:val="00E9579E"/>
    <w:rsid w:val="00EA27D9"/>
    <w:rsid w:val="00EA6F2B"/>
    <w:rsid w:val="00EA7253"/>
    <w:rsid w:val="00EB2645"/>
    <w:rsid w:val="00EC0533"/>
    <w:rsid w:val="00ED0877"/>
    <w:rsid w:val="00ED4FBA"/>
    <w:rsid w:val="00ED6527"/>
    <w:rsid w:val="00EE6FCA"/>
    <w:rsid w:val="00EF450C"/>
    <w:rsid w:val="00EF51FA"/>
    <w:rsid w:val="00EF6A71"/>
    <w:rsid w:val="00F479E9"/>
    <w:rsid w:val="00F54B6C"/>
    <w:rsid w:val="00F61DF3"/>
    <w:rsid w:val="00F7552D"/>
    <w:rsid w:val="00F92247"/>
    <w:rsid w:val="00FA3018"/>
    <w:rsid w:val="00FB681E"/>
    <w:rsid w:val="00FB6E26"/>
    <w:rsid w:val="00FC030B"/>
    <w:rsid w:val="00FD3A2E"/>
    <w:rsid w:val="00FD4329"/>
    <w:rsid w:val="00FE74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0248"/>
  <w15:chartTrackingRefBased/>
  <w15:docId w15:val="{E494229C-3EE6-4F26-9A8A-B4CADFD6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uiPriority w:val="99"/>
    <w:qFormat/>
    <w:rsid w:val="000C2D5B"/>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uiPriority w:val="99"/>
    <w:semiHidden/>
    <w:unhideWhenUsed/>
    <w:qFormat/>
    <w:rsid w:val="000C2D5B"/>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uiPriority w:val="99"/>
    <w:semiHidden/>
    <w:unhideWhenUsed/>
    <w:qFormat/>
    <w:rsid w:val="000C2D5B"/>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uiPriority w:val="9"/>
    <w:semiHidden/>
    <w:unhideWhenUsed/>
    <w:qFormat/>
    <w:rsid w:val="000C2D5B"/>
    <w:pPr>
      <w:keepNext/>
      <w:keepLines/>
      <w:spacing w:before="200" w:after="0" w:line="276" w:lineRule="auto"/>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C2D5B"/>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semiHidden/>
    <w:rsid w:val="000C2D5B"/>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semiHidden/>
    <w:rsid w:val="000C2D5B"/>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
    <w:semiHidden/>
    <w:rsid w:val="000C2D5B"/>
    <w:rPr>
      <w:rFonts w:ascii="Cambria" w:eastAsia="Times New Roman" w:hAnsi="Cambria" w:cs="Times New Roman"/>
      <w:b/>
      <w:bCs/>
      <w:i/>
      <w:iCs/>
      <w:color w:val="4F81BD"/>
    </w:rPr>
  </w:style>
  <w:style w:type="numbering" w:customStyle="1" w:styleId="Sraonra1">
    <w:name w:val="Sąrašo nėra1"/>
    <w:next w:val="Sraonra"/>
    <w:uiPriority w:val="99"/>
    <w:semiHidden/>
    <w:unhideWhenUsed/>
    <w:rsid w:val="000C2D5B"/>
  </w:style>
  <w:style w:type="numbering" w:customStyle="1" w:styleId="NoList1">
    <w:name w:val="No List1"/>
    <w:next w:val="Sraonra"/>
    <w:uiPriority w:val="99"/>
    <w:semiHidden/>
    <w:unhideWhenUsed/>
    <w:rsid w:val="000C2D5B"/>
  </w:style>
  <w:style w:type="character" w:styleId="Hipersaitas">
    <w:name w:val="Hyperlink"/>
    <w:uiPriority w:val="99"/>
    <w:unhideWhenUsed/>
    <w:rsid w:val="000C2D5B"/>
    <w:rPr>
      <w:rFonts w:ascii="Times New Roman" w:hAnsi="Times New Roman" w:cs="Times New Roman" w:hint="default"/>
      <w:color w:val="0000FF"/>
      <w:u w:val="single"/>
    </w:rPr>
  </w:style>
  <w:style w:type="character" w:styleId="Perirtashipersaitas">
    <w:name w:val="FollowedHyperlink"/>
    <w:uiPriority w:val="99"/>
    <w:semiHidden/>
    <w:unhideWhenUsed/>
    <w:rsid w:val="000C2D5B"/>
    <w:rPr>
      <w:color w:val="800080"/>
      <w:u w:val="single"/>
    </w:rPr>
  </w:style>
  <w:style w:type="paragraph" w:styleId="Komentarotekstas">
    <w:name w:val="annotation text"/>
    <w:basedOn w:val="prastasis"/>
    <w:link w:val="KomentarotekstasDiagrama"/>
    <w:uiPriority w:val="99"/>
    <w:unhideWhenUsed/>
    <w:rsid w:val="000C2D5B"/>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0C2D5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0C2D5B"/>
    <w:pPr>
      <w:tabs>
        <w:tab w:val="center" w:pos="4320"/>
        <w:tab w:val="right" w:pos="8640"/>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semiHidden/>
    <w:rsid w:val="000C2D5B"/>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0C2D5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uiPriority w:val="99"/>
    <w:semiHidden/>
    <w:rsid w:val="000C2D5B"/>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0C2D5B"/>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uiPriority w:val="99"/>
    <w:rsid w:val="000C2D5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semiHidden/>
    <w:unhideWhenUsed/>
    <w:rsid w:val="000C2D5B"/>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uiPriority w:val="99"/>
    <w:semiHidden/>
    <w:rsid w:val="000C2D5B"/>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0C2D5B"/>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0C2D5B"/>
    <w:rPr>
      <w:rFonts w:ascii="Times New Roman" w:eastAsia="Times New Roman" w:hAnsi="Times New Roman" w:cs="Times New Roman"/>
      <w:szCs w:val="20"/>
      <w:lang w:eastAsia="lt-LT"/>
    </w:rPr>
  </w:style>
  <w:style w:type="paragraph" w:styleId="Komentarotema">
    <w:name w:val="annotation subject"/>
    <w:basedOn w:val="Komentarotekstas"/>
    <w:next w:val="Komentarotekstas"/>
    <w:link w:val="KomentarotemaDiagrama"/>
    <w:uiPriority w:val="99"/>
    <w:semiHidden/>
    <w:unhideWhenUsed/>
    <w:rsid w:val="000C2D5B"/>
    <w:rPr>
      <w:b/>
      <w:bCs/>
    </w:rPr>
  </w:style>
  <w:style w:type="character" w:customStyle="1" w:styleId="KomentarotemaDiagrama">
    <w:name w:val="Komentaro tema Diagrama"/>
    <w:basedOn w:val="KomentarotekstasDiagrama"/>
    <w:link w:val="Komentarotema"/>
    <w:uiPriority w:val="99"/>
    <w:semiHidden/>
    <w:rsid w:val="000C2D5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0C2D5B"/>
    <w:pPr>
      <w:spacing w:after="0" w:line="240" w:lineRule="auto"/>
    </w:pPr>
    <w:rPr>
      <w:rFonts w:ascii="Tahoma" w:eastAsia="Times New Roman" w:hAnsi="Tahoma" w:cs="Tahoma"/>
      <w:sz w:val="16"/>
      <w:szCs w:val="16"/>
      <w:lang w:val="en-GB" w:eastAsia="lt-LT"/>
    </w:rPr>
  </w:style>
  <w:style w:type="character" w:customStyle="1" w:styleId="DebesliotekstasDiagrama">
    <w:name w:val="Debesėlio tekstas Diagrama"/>
    <w:basedOn w:val="Numatytasispastraiposriftas"/>
    <w:link w:val="Debesliotekstas"/>
    <w:uiPriority w:val="99"/>
    <w:semiHidden/>
    <w:rsid w:val="000C2D5B"/>
    <w:rPr>
      <w:rFonts w:ascii="Tahoma" w:eastAsia="Times New Roman" w:hAnsi="Tahoma" w:cs="Tahoma"/>
      <w:sz w:val="16"/>
      <w:szCs w:val="16"/>
      <w:lang w:val="en-GB" w:eastAsia="lt-LT"/>
    </w:rPr>
  </w:style>
  <w:style w:type="character" w:customStyle="1" w:styleId="BTEMEASMCAChar">
    <w:name w:val="BT EMEA_SMCA Char"/>
    <w:link w:val="BTEMEASMCA"/>
    <w:uiPriority w:val="99"/>
    <w:locked/>
    <w:rsid w:val="000C2D5B"/>
    <w:rPr>
      <w:rFonts w:ascii="Times New Roman" w:eastAsia="Times New Roman" w:hAnsi="Times New Roman" w:cs="Times New Roman"/>
      <w:noProof/>
    </w:rPr>
  </w:style>
  <w:style w:type="paragraph" w:customStyle="1" w:styleId="BTEMEASMCA">
    <w:name w:val="BT EMEA_SMCA"/>
    <w:basedOn w:val="prastasis"/>
    <w:link w:val="BTEMEASMCAChar"/>
    <w:autoRedefine/>
    <w:uiPriority w:val="99"/>
    <w:rsid w:val="000C2D5B"/>
    <w:pPr>
      <w:spacing w:after="0" w:line="240" w:lineRule="auto"/>
    </w:pPr>
    <w:rPr>
      <w:rFonts w:ascii="Times New Roman" w:eastAsia="Times New Roman" w:hAnsi="Times New Roman" w:cs="Times New Roman"/>
      <w:noProof/>
    </w:rPr>
  </w:style>
  <w:style w:type="character" w:customStyle="1" w:styleId="TTEMEASMCAChar">
    <w:name w:val="TT EMEA_SMCA Char"/>
    <w:link w:val="TTEMEASMCA"/>
    <w:uiPriority w:val="99"/>
    <w:locked/>
    <w:rsid w:val="000C2D5B"/>
    <w:rPr>
      <w:rFonts w:ascii="Times New Roman" w:eastAsia="Times New Roman" w:hAnsi="Times New Roman" w:cs="Times New Roman"/>
      <w:b/>
      <w:caps/>
      <w:lang w:val="en-US"/>
    </w:rPr>
  </w:style>
  <w:style w:type="paragraph" w:customStyle="1" w:styleId="TTEMEASMCA">
    <w:name w:val="TT EMEA_SMCA"/>
    <w:basedOn w:val="Antrat1"/>
    <w:link w:val="TTEMEASMCAChar"/>
    <w:autoRedefine/>
    <w:uiPriority w:val="99"/>
    <w:rsid w:val="000C2D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rsid w:val="000C2D5B"/>
    <w:pPr>
      <w:numPr>
        <w:numId w:val="1"/>
      </w:numPr>
      <w:tabs>
        <w:tab w:val="clear" w:pos="720"/>
        <w:tab w:val="num" w:pos="360"/>
      </w:tabs>
      <w:ind w:left="0" w:firstLine="0"/>
    </w:pPr>
  </w:style>
  <w:style w:type="paragraph" w:customStyle="1" w:styleId="BTbEMEASMCA">
    <w:name w:val="BT(b) EMEA_SMCA"/>
    <w:basedOn w:val="BTEMEASMCA"/>
    <w:autoRedefine/>
    <w:uiPriority w:val="99"/>
    <w:rsid w:val="000C2D5B"/>
    <w:rPr>
      <w:b/>
    </w:rPr>
  </w:style>
  <w:style w:type="paragraph" w:customStyle="1" w:styleId="PI-3EMEASMCA">
    <w:name w:val="PI-3 EMEA_SMCA"/>
    <w:basedOn w:val="prastasis"/>
    <w:autoRedefine/>
    <w:uiPriority w:val="99"/>
    <w:rsid w:val="000C2D5B"/>
    <w:pPr>
      <w:spacing w:after="0" w:line="220" w:lineRule="exact"/>
    </w:pPr>
    <w:rPr>
      <w:rFonts w:ascii="Times New Roman" w:eastAsia="Times New Roman" w:hAnsi="Times New Roman" w:cs="Times New Roman"/>
      <w:b/>
      <w:bCs/>
    </w:rPr>
  </w:style>
  <w:style w:type="character" w:customStyle="1" w:styleId="BTEMEASMCACharCharChar">
    <w:name w:val="BT EMEA_SMCA Char Char Char"/>
    <w:link w:val="BTEMEASMCACharChar"/>
    <w:uiPriority w:val="99"/>
    <w:locked/>
    <w:rsid w:val="000C2D5B"/>
    <w:rPr>
      <w:rFonts w:ascii="Times New Roman" w:eastAsia="Times New Roman" w:hAnsi="Times New Roman" w:cs="Times New Roman"/>
      <w:noProof/>
    </w:rPr>
  </w:style>
  <w:style w:type="paragraph" w:customStyle="1" w:styleId="BTEMEASMCACharChar">
    <w:name w:val="BT EMEA_SMCA Char Char"/>
    <w:basedOn w:val="prastasis"/>
    <w:link w:val="BTEMEASMCACharCharChar"/>
    <w:autoRedefine/>
    <w:uiPriority w:val="99"/>
    <w:rsid w:val="000C2D5B"/>
    <w:pPr>
      <w:spacing w:after="0" w:line="240" w:lineRule="auto"/>
    </w:pPr>
    <w:rPr>
      <w:rFonts w:ascii="Times New Roman" w:eastAsia="Times New Roman" w:hAnsi="Times New Roman" w:cs="Times New Roman"/>
      <w:noProof/>
    </w:rPr>
  </w:style>
  <w:style w:type="paragraph" w:customStyle="1" w:styleId="Default">
    <w:name w:val="Default"/>
    <w:uiPriority w:val="99"/>
    <w:rsid w:val="000C2D5B"/>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tyle6">
    <w:name w:val="Style6"/>
    <w:basedOn w:val="prastasis"/>
    <w:uiPriority w:val="99"/>
    <w:rsid w:val="000C2D5B"/>
    <w:pPr>
      <w:widowControl w:val="0"/>
      <w:autoSpaceDE w:val="0"/>
      <w:autoSpaceDN w:val="0"/>
      <w:adjustRightInd w:val="0"/>
      <w:spacing w:after="0" w:line="278" w:lineRule="exact"/>
      <w:jc w:val="both"/>
    </w:pPr>
    <w:rPr>
      <w:rFonts w:ascii="Times New Roman" w:eastAsia="Times New Roman" w:hAnsi="Times New Roman" w:cs="Times New Roman"/>
      <w:sz w:val="24"/>
      <w:szCs w:val="24"/>
      <w:lang w:val="en-US"/>
    </w:rPr>
  </w:style>
  <w:style w:type="paragraph" w:customStyle="1" w:styleId="Style7">
    <w:name w:val="Style7"/>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Style3">
    <w:name w:val="Style3"/>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character" w:styleId="Puslapionumeris">
    <w:name w:val="page number"/>
    <w:uiPriority w:val="99"/>
    <w:semiHidden/>
    <w:unhideWhenUsed/>
    <w:rsid w:val="000C2D5B"/>
    <w:rPr>
      <w:rFonts w:ascii="Times New Roman" w:hAnsi="Times New Roman" w:cs="Times New Roman" w:hint="default"/>
    </w:rPr>
  </w:style>
  <w:style w:type="character" w:customStyle="1" w:styleId="FontStyle11">
    <w:name w:val="Font Style11"/>
    <w:uiPriority w:val="99"/>
    <w:rsid w:val="000C2D5B"/>
    <w:rPr>
      <w:rFonts w:ascii="Times New Roman" w:hAnsi="Times New Roman" w:cs="Times New Roman" w:hint="default"/>
      <w:b/>
      <w:bCs/>
      <w:sz w:val="20"/>
      <w:szCs w:val="20"/>
    </w:rPr>
  </w:style>
  <w:style w:type="character" w:customStyle="1" w:styleId="CommentSubjectChar1">
    <w:name w:val="Comment Subject Char1"/>
    <w:uiPriority w:val="99"/>
    <w:semiHidden/>
    <w:rsid w:val="000C2D5B"/>
    <w:rPr>
      <w:rFonts w:ascii="Times New Roman" w:eastAsia="Times New Roman" w:hAnsi="Times New Roman" w:cs="Times New Roman" w:hint="default"/>
      <w:b/>
      <w:bCs/>
      <w:sz w:val="20"/>
      <w:szCs w:val="20"/>
      <w:lang w:val="lt-LT" w:eastAsia="lt-LT"/>
    </w:rPr>
  </w:style>
  <w:style w:type="character" w:customStyle="1" w:styleId="BalloonTextChar1">
    <w:name w:val="Balloon Text Char1"/>
    <w:uiPriority w:val="99"/>
    <w:semiHidden/>
    <w:rsid w:val="000C2D5B"/>
    <w:rPr>
      <w:rFonts w:ascii="Tahoma" w:eastAsia="Times New Roman" w:hAnsi="Tahoma" w:cs="Tahoma" w:hint="default"/>
      <w:sz w:val="16"/>
      <w:szCs w:val="16"/>
      <w:lang w:val="lt-LT" w:eastAsia="lt-LT"/>
    </w:rPr>
  </w:style>
  <w:style w:type="paragraph" w:styleId="Pataisymai">
    <w:name w:val="Revision"/>
    <w:hidden/>
    <w:uiPriority w:val="99"/>
    <w:semiHidden/>
    <w:rsid w:val="000C2D5B"/>
    <w:pPr>
      <w:spacing w:after="0" w:line="240" w:lineRule="auto"/>
    </w:pPr>
    <w:rPr>
      <w:rFonts w:ascii="Calibri" w:eastAsia="Calibri" w:hAnsi="Calibri" w:cs="Times New Roman"/>
    </w:rPr>
  </w:style>
  <w:style w:type="character" w:styleId="Komentaronuoroda">
    <w:name w:val="annotation reference"/>
    <w:uiPriority w:val="99"/>
    <w:semiHidden/>
    <w:unhideWhenUsed/>
    <w:rsid w:val="000C2D5B"/>
    <w:rPr>
      <w:sz w:val="16"/>
      <w:szCs w:val="16"/>
    </w:rPr>
  </w:style>
  <w:style w:type="table" w:customStyle="1" w:styleId="TableGrid1">
    <w:name w:val="Table Grid1"/>
    <w:basedOn w:val="prastojilentel"/>
    <w:next w:val="Lentelstinklelis"/>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prastasis"/>
    <w:next w:val="Sraopastraipa"/>
    <w:uiPriority w:val="34"/>
    <w:qFormat/>
    <w:rsid w:val="000C2D5B"/>
    <w:pPr>
      <w:ind w:left="720"/>
      <w:contextualSpacing/>
    </w:pPr>
  </w:style>
  <w:style w:type="table" w:styleId="Lentelstinklelis">
    <w:name w:val="Table Grid"/>
    <w:basedOn w:val="prastojilentel"/>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C2D5B"/>
    <w:pPr>
      <w:ind w:left="720"/>
      <w:contextualSpacing/>
    </w:pPr>
  </w:style>
  <w:style w:type="numbering" w:customStyle="1" w:styleId="NoList2">
    <w:name w:val="No List2"/>
    <w:next w:val="Sraonra"/>
    <w:uiPriority w:val="99"/>
    <w:semiHidden/>
    <w:unhideWhenUsed/>
    <w:rsid w:val="00DB7DEE"/>
  </w:style>
  <w:style w:type="numbering" w:customStyle="1" w:styleId="Sraonra11">
    <w:name w:val="Sąrašo nėra11"/>
    <w:next w:val="Sraonra"/>
    <w:uiPriority w:val="99"/>
    <w:semiHidden/>
    <w:unhideWhenUsed/>
    <w:rsid w:val="00DB7DEE"/>
  </w:style>
  <w:style w:type="numbering" w:customStyle="1" w:styleId="NoList11">
    <w:name w:val="No List11"/>
    <w:next w:val="Sraonra"/>
    <w:uiPriority w:val="99"/>
    <w:semiHidden/>
    <w:unhideWhenUsed/>
    <w:rsid w:val="00DB7DEE"/>
  </w:style>
  <w:style w:type="character" w:customStyle="1" w:styleId="TTEMEASMCACharChar">
    <w:name w:val="TT EMEA_SMCA Char Char"/>
    <w:uiPriority w:val="99"/>
    <w:locked/>
    <w:rsid w:val="00DB7DEE"/>
    <w:rPr>
      <w:rFonts w:ascii="Times New Roman" w:eastAsia="Times New Roman" w:hAnsi="Times New Roman" w:cs="Times New Roman"/>
      <w:b/>
      <w:caps/>
      <w:lang w:val="en-US"/>
    </w:rPr>
  </w:style>
  <w:style w:type="character" w:customStyle="1" w:styleId="BTEMEASMCACharCharCharChar">
    <w:name w:val="BT EMEA_SMCA Char Char Char Char"/>
    <w:uiPriority w:val="99"/>
    <w:locked/>
    <w:rsid w:val="00DB7DEE"/>
    <w:rPr>
      <w:rFonts w:ascii="Times New Roman" w:eastAsia="Times New Roman" w:hAnsi="Times New Roman" w:cs="Times New Roman"/>
      <w:noProof/>
    </w:rPr>
  </w:style>
  <w:style w:type="table" w:customStyle="1" w:styleId="TableGrid2">
    <w:name w:val="Table Grid2"/>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DA703E"/>
    <w:rPr>
      <w:color w:val="605E5C"/>
      <w:shd w:val="clear" w:color="auto" w:fill="E1DFDD"/>
    </w:rPr>
  </w:style>
  <w:style w:type="paragraph" w:styleId="Pagrindinistekstas2">
    <w:name w:val="Body Text 2"/>
    <w:basedOn w:val="prastasis"/>
    <w:link w:val="Pagrindinistekstas2Diagrama"/>
    <w:uiPriority w:val="99"/>
    <w:semiHidden/>
    <w:unhideWhenUsed/>
    <w:rsid w:val="005A2E38"/>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A2E38"/>
  </w:style>
  <w:style w:type="paragraph" w:customStyle="1" w:styleId="msonormal0">
    <w:name w:val="msonormal"/>
    <w:basedOn w:val="prastasis"/>
    <w:rsid w:val="001764C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055011">
      <w:bodyDiv w:val="1"/>
      <w:marLeft w:val="0"/>
      <w:marRight w:val="0"/>
      <w:marTop w:val="0"/>
      <w:marBottom w:val="0"/>
      <w:divBdr>
        <w:top w:val="none" w:sz="0" w:space="0" w:color="auto"/>
        <w:left w:val="none" w:sz="0" w:space="0" w:color="auto"/>
        <w:bottom w:val="none" w:sz="0" w:space="0" w:color="auto"/>
        <w:right w:val="none" w:sz="0" w:space="0" w:color="auto"/>
      </w:divBdr>
    </w:div>
    <w:div w:id="207134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hyperlink" Target="https://www.vvkt.lt/index.php?1399030386" TargetMode="External"/><Relationship Id="rId4" Type="http://schemas.openxmlformats.org/officeDocument/2006/relationships/customXml" Target="../customXml/item4.xml"/><Relationship Id="rId9" Type="http://schemas.openxmlformats.org/officeDocument/2006/relationships/hyperlink" Target="https://vapris.vvkt.lt/vvkt-web/public/nrvSpecialist"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F0BE9F-92F6-46C6-9EC8-8FF1AE105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253395-5BCC-4880-85D0-58B4CC593C62}">
  <ds:schemaRefs>
    <ds:schemaRef ds:uri="7ce3bdef-e01b-4c79-a146-40f31a971024"/>
    <ds:schemaRef ds:uri="http://schemas.microsoft.com/office/2006/documentManagement/types"/>
    <ds:schemaRef ds:uri="c9b52f9a-9d18-46b3-8a94-452a3f8981e1"/>
    <ds:schemaRef ds:uri="http://purl.org/dc/elements/1.1/"/>
    <ds:schemaRef ds:uri="http://schemas.openxmlformats.org/package/2006/metadata/core-properties"/>
    <ds:schemaRef ds:uri="http://www.w3.org/XML/1998/namespace"/>
    <ds:schemaRef ds:uri="http://schemas.microsoft.com/office/infopath/2007/PartnerControls"/>
    <ds:schemaRef ds:uri="http://schemas.microsoft.com/office/2006/metadata/properties"/>
    <ds:schemaRef ds:uri="http://purl.org/dc/dcmitype/"/>
    <ds:schemaRef ds:uri="http://purl.org/dc/terms/"/>
  </ds:schemaRefs>
</ds:datastoreItem>
</file>

<file path=customXml/itemProps3.xml><?xml version="1.0" encoding="utf-8"?>
<ds:datastoreItem xmlns:ds="http://schemas.openxmlformats.org/officeDocument/2006/customXml" ds:itemID="{038D974A-8DA4-4E06-AA63-B261EBAAEC4E}">
  <ds:schemaRefs>
    <ds:schemaRef ds:uri="http://schemas.microsoft.com/sharepoint/v3/contenttype/forms"/>
  </ds:schemaRefs>
</ds:datastoreItem>
</file>

<file path=customXml/itemProps4.xml><?xml version="1.0" encoding="utf-8"?>
<ds:datastoreItem xmlns:ds="http://schemas.openxmlformats.org/officeDocument/2006/customXml" ds:itemID="{D504A27E-99C0-40F5-AB69-FDB22F08C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48503</Words>
  <Characters>27647</Characters>
  <Application>Microsoft Office Word</Application>
  <DocSecurity>0</DocSecurity>
  <Lines>230</Lines>
  <Paragraphs>151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cp:keywords/>
  <dc:description/>
  <cp:lastModifiedBy>Albina Burkauskaitė</cp:lastModifiedBy>
  <cp:revision>3</cp:revision>
  <cp:lastPrinted>2024-04-18T08:50:00Z</cp:lastPrinted>
  <dcterms:created xsi:type="dcterms:W3CDTF">2024-06-14T10:19:00Z</dcterms:created>
  <dcterms:modified xsi:type="dcterms:W3CDTF">2024-06-14T10:21:00Z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