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E0F38" w14:textId="77777777" w:rsidR="001764C6" w:rsidRPr="002040DA" w:rsidRDefault="001764C6" w:rsidP="001764C6">
      <w:pPr>
        <w:tabs>
          <w:tab w:val="left" w:pos="567"/>
        </w:tabs>
        <w:spacing w:after="0" w:line="240" w:lineRule="auto"/>
        <w:rPr>
          <w:rFonts w:ascii="Times New Roman" w:eastAsia="Times New Roman" w:hAnsi="Times New Roman" w:cs="Times New Roman"/>
          <w:lang w:val="en-GB" w:eastAsia="lt-LT"/>
        </w:rPr>
      </w:pPr>
    </w:p>
    <w:p w14:paraId="29FABA0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BF5A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FF2C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69617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CC24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A55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401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E7EC3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CC7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5000B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389A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B98F79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5EE1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10E0F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385ADE0"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A6C156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5F7D347B"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61533164"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4F9AB9F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7DDC52F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8682767"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1EBC412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71C71D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 PRIEDAS</w:t>
      </w:r>
    </w:p>
    <w:p w14:paraId="594875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C766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PREPARATO CHARAKTERISTIKŲ SANTRAUKA</w:t>
      </w:r>
    </w:p>
    <w:p w14:paraId="3BB804E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A1CF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1.</w:t>
      </w:r>
      <w:r>
        <w:rPr>
          <w:rFonts w:ascii="Times New Roman" w:eastAsia="Times New Roman" w:hAnsi="Times New Roman" w:cs="Times New Roman"/>
          <w:b/>
          <w:lang w:eastAsia="lt-LT"/>
        </w:rPr>
        <w:tab/>
        <w:t>VAISTINIO PREPARATO PAVADINIMAS</w:t>
      </w:r>
    </w:p>
    <w:p w14:paraId="63B219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8367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461D5F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1000 mg milteliai infuzinio tirpalo koncentratui </w:t>
      </w:r>
    </w:p>
    <w:p w14:paraId="6FF18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AE81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B344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KOKYBINĖ IR KIEKYBINĖ SUDĖTIS</w:t>
      </w:r>
    </w:p>
    <w:p w14:paraId="355B19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DC79B7"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F36163A"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500 mg milteliai infuzinio tirpalo koncentratui</w:t>
      </w:r>
    </w:p>
    <w:p w14:paraId="38FFAA7B"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500 mg vankomicino (vankomicino hidrochlorido pavidalu), kuris atitinka 500 000 TV vankomicino.</w:t>
      </w:r>
    </w:p>
    <w:p w14:paraId="433C0162"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10 ml vandens, 1 ml infuzinio tirpalo koncentrate yra 50 mg vankomicino.</w:t>
      </w:r>
    </w:p>
    <w:p w14:paraId="700DD820"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E29476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1000 mg milteliai infuzinio tirpalo koncentratui</w:t>
      </w:r>
    </w:p>
    <w:p w14:paraId="70A5E78D"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1000 mg vankomicino (vankomicino hidrochlorido pavidalu), kuris atitinka  1 000 000 TV vankomicino.</w:t>
      </w:r>
    </w:p>
    <w:p w14:paraId="27B10CF4"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20 ml vandens, 1 ml infuzinio tirpalo koncentrate yra 50 mg vankomicino.</w:t>
      </w:r>
    </w:p>
    <w:p w14:paraId="4E4AA283"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20496C6F"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 pagalbinės medžiagos išvardytos 6.1 skyriuje. </w:t>
      </w:r>
    </w:p>
    <w:p w14:paraId="3BD1A6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FDD2A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88804F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FARMACINĖ FORMA</w:t>
      </w:r>
    </w:p>
    <w:p w14:paraId="253495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D65EFF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Milteliai infuzinio tirpalo koncentratui.</w:t>
      </w:r>
    </w:p>
    <w:p w14:paraId="7AB499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69D1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Balti arba balkšvi liofilizuoti milteliai.</w:t>
      </w:r>
    </w:p>
    <w:p w14:paraId="5F8799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261E1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5CD5F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KLINIKINĖ INFORMACIJA</w:t>
      </w:r>
    </w:p>
    <w:p w14:paraId="6188F90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EC6B0B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4.1</w:t>
      </w:r>
      <w:r>
        <w:rPr>
          <w:rFonts w:ascii="Times New Roman" w:eastAsia="Times New Roman" w:hAnsi="Times New Roman" w:cs="Times New Roman"/>
          <w:b/>
          <w:lang w:eastAsia="lt-LT"/>
        </w:rPr>
        <w:tab/>
        <w:t>Terapinės indikacijos</w:t>
      </w:r>
    </w:p>
    <w:p w14:paraId="0776A87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28947F"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į veną</w:t>
      </w:r>
    </w:p>
    <w:p w14:paraId="25D5B4B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12838005"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Vankomicinas skirtas visų amžiaus grupių pacientų toliau nurodytų infekcinių ligų gydymui (žr. 4.2, 4.4 ir 5.1 skyrius):</w:t>
      </w:r>
    </w:p>
    <w:p w14:paraId="59D2EC9F"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p>
    <w:p w14:paraId="0BCC816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komplikuotų odos ir minkštųjų audinių infekcinių ligų;</w:t>
      </w:r>
    </w:p>
    <w:p w14:paraId="3F8E217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kaulų ir sąnarių infekcinių ligų;</w:t>
      </w:r>
    </w:p>
    <w:p w14:paraId="4AA7B205"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bendruomenėje įgytos pneumonijos;</w:t>
      </w:r>
    </w:p>
    <w:p w14:paraId="1E653C17"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ligoninėje įgytos pneumonijos, įskaitant ventiliacinę pneumoniją;</w:t>
      </w:r>
    </w:p>
    <w:p w14:paraId="2CBF02C4"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infekcinio endokardito.</w:t>
      </w:r>
    </w:p>
    <w:p w14:paraId="36D9ECD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5F296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taip pat skirtas visų amžiaus grupių pacientų, kurie didelės apimties chirurginių procedūrų metu turi padidėjusią bakterinio endokardito riziką, perioperacinei antibakterinei profilaktikai.</w:t>
      </w:r>
    </w:p>
    <w:p w14:paraId="1AC42A97"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72A291FC"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per burną</w:t>
      </w:r>
    </w:p>
    <w:p w14:paraId="61C7540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36F058F4"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Vankomicinas skirtas visų amžiaus grupių pacientų </w:t>
      </w:r>
      <w:r>
        <w:rPr>
          <w:rFonts w:ascii="Times New Roman" w:eastAsia="Calibri" w:hAnsi="Times New Roman" w:cs="Times New Roman"/>
          <w:i/>
          <w:iCs/>
        </w:rPr>
        <w:t>Clostridioides difficile</w:t>
      </w:r>
      <w:r>
        <w:rPr>
          <w:rFonts w:ascii="Times New Roman" w:eastAsia="Calibri" w:hAnsi="Times New Roman" w:cs="Times New Roman"/>
        </w:rPr>
        <w:t xml:space="preserve"> infekcijos (CDI) gydymui (žr. 4.2, 4.4 ir 5.1 skyrius).</w:t>
      </w:r>
    </w:p>
    <w:p w14:paraId="3D9167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E3C71B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Reikia atsižvelgti į oficialias tinkamo antibakterinių </w:t>
      </w:r>
      <w:r>
        <w:rPr>
          <w:rFonts w:ascii="Times New Roman" w:eastAsia="Calibri" w:hAnsi="Times New Roman" w:cs="Times New Roman"/>
        </w:rPr>
        <w:t>vaistinių</w:t>
      </w:r>
      <w:r>
        <w:rPr>
          <w:rFonts w:ascii="Calibri" w:eastAsia="Calibri" w:hAnsi="Calibri" w:cs="Times New Roman"/>
        </w:rPr>
        <w:t xml:space="preserve"> </w:t>
      </w:r>
      <w:r>
        <w:rPr>
          <w:rFonts w:ascii="Times New Roman" w:eastAsia="Times New Roman" w:hAnsi="Times New Roman" w:cs="Times New Roman"/>
          <w:lang w:eastAsia="lt-LT"/>
        </w:rPr>
        <w:t>preparatų vartojimo rekomendacijas.</w:t>
      </w:r>
    </w:p>
    <w:p w14:paraId="3FE2651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B4E3D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4.2</w:t>
      </w:r>
      <w:r>
        <w:rPr>
          <w:rFonts w:ascii="Times New Roman" w:eastAsia="Times New Roman" w:hAnsi="Times New Roman" w:cs="Times New Roman"/>
          <w:b/>
          <w:lang w:eastAsia="lt-LT"/>
        </w:rPr>
        <w:tab/>
        <w:t>Dozavimas ir vartojimo metodas</w:t>
      </w:r>
    </w:p>
    <w:p w14:paraId="339D8F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A3F7C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Dozavimas</w:t>
      </w:r>
    </w:p>
    <w:p w14:paraId="3364A0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684C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Prireikus, vankomicinas turi būti skiriamas derinyje su kitais antibakteriniais vaistiniais preparatais.</w:t>
      </w:r>
    </w:p>
    <w:p w14:paraId="5A3D40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AE5A55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Vartojimas į veną</w:t>
      </w:r>
    </w:p>
    <w:p w14:paraId="5704418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95208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Pradinė dozė turi būti apskaičiuojama pagal bendrą kūno svorį. Kad būtų pasiekta pageidaujama terapinė koncentracija, tolimesnės dozės turi būti koreguojamos atsižvelgiant į vaistinio preparato koncentraciją kraujo serume. Skiriant tolimesnes dozes ir nustatant jų skyrimo intervalą, reikia atsižvelgti į paciento inkstų būklę.</w:t>
      </w:r>
    </w:p>
    <w:p w14:paraId="3B2A208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A2EE7F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vyresniems kaip 12 metų</w:t>
      </w:r>
    </w:p>
    <w:p w14:paraId="54867B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15 iki 20 mg/kg kūno svorio skiriant kas 8-12 valandų (ne daugiau kaip 2 g vienoje dozėje).</w:t>
      </w:r>
    </w:p>
    <w:p w14:paraId="463F85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FAFE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Sunkiai sergantiems pacientams, norint greitai pasiekti pageidaujamą vankomicino koncentraciją kraujo serume, gali būti skiriama 25-30 mg/kg kūno svorio įsotinamoji dozė.</w:t>
      </w:r>
    </w:p>
    <w:p w14:paraId="70FAAADC"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B79A06C"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Kūdikiams ir vaikams nuo vieno mėnesio iki 12 metų</w:t>
      </w:r>
    </w:p>
    <w:p w14:paraId="640C3B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10 iki 15 mg/kg kūno svorio skiriant kas 6 valandas (žr. 4.4 skyrių).</w:t>
      </w:r>
    </w:p>
    <w:p w14:paraId="44596F80"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61768A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 planuotos gimimo paros ir dar 27 paras po jos)</w:t>
      </w:r>
    </w:p>
    <w:p w14:paraId="3B17934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Nustatant dozavimo režimą naujagimiams reikia pasitarti su gydytoju turinčiu patirties naujagimių gydyme. Vienas iš galimų vankomicino dozavimo būdų kūdikiams pateiktas toliau nurodytoje lentelėje (žr. 4.4 skyrių).</w:t>
      </w:r>
    </w:p>
    <w:p w14:paraId="12791F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1951" w:type="dxa"/>
        <w:tblCellMar>
          <w:left w:w="0" w:type="dxa"/>
          <w:right w:w="0" w:type="dxa"/>
        </w:tblCellMar>
        <w:tblLook w:val="04A0" w:firstRow="1" w:lastRow="0" w:firstColumn="1" w:lastColumn="0" w:noHBand="0" w:noVBand="1"/>
      </w:tblPr>
      <w:tblGrid>
        <w:gridCol w:w="1352"/>
        <w:gridCol w:w="1244"/>
        <w:gridCol w:w="1891"/>
      </w:tblGrid>
      <w:tr w:rsidR="001764C6" w14:paraId="4AF23F3C" w14:textId="77777777" w:rsidTr="001764C6">
        <w:trPr>
          <w:trHeight w:val="875"/>
        </w:trPr>
        <w:tc>
          <w:tcPr>
            <w:tcW w:w="1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BC2C064" w14:textId="77777777" w:rsidR="001764C6" w:rsidRDefault="001764C6">
            <w:pPr>
              <w:autoSpaceDE w:val="0"/>
              <w:autoSpaceDN w:val="0"/>
              <w:adjustRightInd w:val="0"/>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5BA169" w14:textId="77777777" w:rsidR="001764C6" w:rsidRDefault="001764C6">
            <w:pPr>
              <w:autoSpaceDE w:val="0"/>
              <w:autoSpaceDN w:val="0"/>
              <w:adjustRightInd w:val="0"/>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4BEDE6" w14:textId="77777777" w:rsidR="001764C6" w:rsidRDefault="001764C6">
            <w:pPr>
              <w:autoSpaceDE w:val="0"/>
              <w:autoSpaceDN w:val="0"/>
              <w:adjustRightInd w:val="0"/>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1764C6" w14:paraId="6647399D" w14:textId="77777777" w:rsidTr="001764C6">
        <w:trPr>
          <w:trHeight w:val="283"/>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70C0DB"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29</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2A36627"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3192C2C8"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1764C6" w14:paraId="015CDA66"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7A1666"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7BA2324"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4AE2FEFC"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1764C6" w14:paraId="68D99F74"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332E27"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07E89B9"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717677AA"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14:paraId="7FC7182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PMA: postmenstruacinis amžius [(laikas praėjęs nuo paskutinio menstruacijų ciklo pirmos paros iki gimimo (gestacinis amžius) pridedant laiką praėjusį nuo gimimo (postnatalinis amžius)].</w:t>
      </w:r>
    </w:p>
    <w:p w14:paraId="13F689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020A5C"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Perioperacinė bakterinio endokardito profilaktika visoms amžiaus grupėms</w:t>
      </w:r>
    </w:p>
    <w:p w14:paraId="0D5452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E8F6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pradinė dozė yra 15 mg/kg iki anestezijos indukcijos. Atsižvelgiant į operacijos trukmę, gali prireikti antros vankomicino dozės.</w:t>
      </w:r>
    </w:p>
    <w:p w14:paraId="6246881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6DF955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Gydymo trukmė</w:t>
      </w:r>
    </w:p>
    <w:p w14:paraId="0A70691F"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157D87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gydymo trukmė pateikta toliau nurodytoje lentelėje. Visais atvejais, gydymo trukmė turi būti pritaikoma atsižvelgiant į infekcijos tipą bei sunkumą ir į individualų klinikinį atsaką.</w:t>
      </w:r>
    </w:p>
    <w:p w14:paraId="0BB7BD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2"/>
        <w:tblW w:w="0" w:type="auto"/>
        <w:tblLook w:val="04A0" w:firstRow="1" w:lastRow="0" w:firstColumn="1" w:lastColumn="0" w:noHBand="0" w:noVBand="1"/>
      </w:tblPr>
      <w:tblGrid>
        <w:gridCol w:w="4530"/>
        <w:gridCol w:w="4530"/>
      </w:tblGrid>
      <w:tr w:rsidR="001764C6" w14:paraId="3AA9017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22DBED7E"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Indikacija</w:t>
            </w:r>
          </w:p>
        </w:tc>
        <w:tc>
          <w:tcPr>
            <w:tcW w:w="4530" w:type="dxa"/>
            <w:tcBorders>
              <w:top w:val="single" w:sz="4" w:space="0" w:color="auto"/>
              <w:left w:val="single" w:sz="4" w:space="0" w:color="auto"/>
              <w:bottom w:val="single" w:sz="4" w:space="0" w:color="auto"/>
              <w:right w:val="single" w:sz="4" w:space="0" w:color="auto"/>
            </w:tcBorders>
            <w:hideMark/>
          </w:tcPr>
          <w:p w14:paraId="6A32D1D6"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Gydymo trukmė</w:t>
            </w:r>
          </w:p>
        </w:tc>
      </w:tr>
      <w:tr w:rsidR="001764C6" w:rsidRPr="001764C6" w14:paraId="4EC5A4A1" w14:textId="77777777" w:rsidTr="001764C6">
        <w:tc>
          <w:tcPr>
            <w:tcW w:w="4530" w:type="dxa"/>
            <w:tcBorders>
              <w:top w:val="single" w:sz="4" w:space="0" w:color="auto"/>
              <w:left w:val="single" w:sz="4" w:space="0" w:color="auto"/>
              <w:bottom w:val="single" w:sz="4" w:space="0" w:color="auto"/>
              <w:right w:val="single" w:sz="4" w:space="0" w:color="auto"/>
            </w:tcBorders>
          </w:tcPr>
          <w:p w14:paraId="00AB173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Komplikuotos odos ir minkštųjų audinių infekcijos:</w:t>
            </w:r>
          </w:p>
          <w:p w14:paraId="3EA5732A"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Ne nekrozuojančios</w:t>
            </w:r>
          </w:p>
          <w:p w14:paraId="6C3FED3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Nekrozuojančios</w:t>
            </w:r>
          </w:p>
          <w:p w14:paraId="6B7C7647" w14:textId="77777777" w:rsidR="001764C6" w:rsidRDefault="001764C6">
            <w:pPr>
              <w:tabs>
                <w:tab w:val="left" w:pos="567"/>
              </w:tabs>
              <w:rPr>
                <w:rFonts w:ascii="Times New Roman" w:hAnsi="Times New Roman" w:cs="Times New Roman"/>
                <w:lang w:eastAsia="lt-LT"/>
              </w:rPr>
            </w:pPr>
          </w:p>
        </w:tc>
        <w:tc>
          <w:tcPr>
            <w:tcW w:w="4530" w:type="dxa"/>
            <w:tcBorders>
              <w:top w:val="single" w:sz="4" w:space="0" w:color="auto"/>
              <w:left w:val="single" w:sz="4" w:space="0" w:color="auto"/>
              <w:bottom w:val="single" w:sz="4" w:space="0" w:color="auto"/>
              <w:right w:val="single" w:sz="4" w:space="0" w:color="auto"/>
            </w:tcBorders>
          </w:tcPr>
          <w:p w14:paraId="20D2623A" w14:textId="77777777" w:rsidR="001764C6" w:rsidRDefault="001764C6">
            <w:pPr>
              <w:tabs>
                <w:tab w:val="left" w:pos="567"/>
              </w:tabs>
              <w:rPr>
                <w:rFonts w:ascii="Times New Roman" w:hAnsi="Times New Roman" w:cs="Times New Roman"/>
                <w:lang w:eastAsia="lt-LT"/>
              </w:rPr>
            </w:pPr>
          </w:p>
          <w:p w14:paraId="420F1C38" w14:textId="77777777" w:rsidR="001764C6" w:rsidRDefault="001764C6">
            <w:pPr>
              <w:tabs>
                <w:tab w:val="left" w:pos="567"/>
              </w:tabs>
              <w:rPr>
                <w:rFonts w:ascii="Times New Roman" w:hAnsi="Times New Roman" w:cs="Times New Roman"/>
                <w:lang w:eastAsia="lt-LT"/>
              </w:rPr>
            </w:pPr>
          </w:p>
          <w:p w14:paraId="58BA5F5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p w14:paraId="00E7918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02A8AD4D"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0F49991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Kaulų ir sąnarių infekcijos</w:t>
            </w:r>
          </w:p>
        </w:tc>
        <w:tc>
          <w:tcPr>
            <w:tcW w:w="4530" w:type="dxa"/>
            <w:tcBorders>
              <w:top w:val="single" w:sz="4" w:space="0" w:color="auto"/>
              <w:left w:val="single" w:sz="4" w:space="0" w:color="auto"/>
              <w:bottom w:val="single" w:sz="4" w:space="0" w:color="auto"/>
              <w:right w:val="single" w:sz="4" w:space="0" w:color="auto"/>
            </w:tcBorders>
            <w:hideMark/>
          </w:tcPr>
          <w:p w14:paraId="1583F70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49B8D9C2"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C0D09B7"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Visuomenėje įgyta pneumonija</w:t>
            </w:r>
          </w:p>
        </w:tc>
        <w:tc>
          <w:tcPr>
            <w:tcW w:w="4530" w:type="dxa"/>
            <w:tcBorders>
              <w:top w:val="single" w:sz="4" w:space="0" w:color="auto"/>
              <w:left w:val="single" w:sz="4" w:space="0" w:color="auto"/>
              <w:bottom w:val="single" w:sz="4" w:space="0" w:color="auto"/>
              <w:right w:val="single" w:sz="4" w:space="0" w:color="auto"/>
            </w:tcBorders>
            <w:hideMark/>
          </w:tcPr>
          <w:p w14:paraId="3B3A6170"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47BBF1A0"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5386B9AC"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Hospitalinė pneumonija, įskaitant ventiliacinę pneumoniją</w:t>
            </w:r>
          </w:p>
        </w:tc>
        <w:tc>
          <w:tcPr>
            <w:tcW w:w="4530" w:type="dxa"/>
            <w:tcBorders>
              <w:top w:val="single" w:sz="4" w:space="0" w:color="auto"/>
              <w:left w:val="single" w:sz="4" w:space="0" w:color="auto"/>
              <w:bottom w:val="single" w:sz="4" w:space="0" w:color="auto"/>
              <w:right w:val="single" w:sz="4" w:space="0" w:color="auto"/>
            </w:tcBorders>
            <w:hideMark/>
          </w:tcPr>
          <w:p w14:paraId="728DDF49"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32AA2A6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0315594"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lastRenderedPageBreak/>
              <w:t>Infekcinis endokarditas</w:t>
            </w:r>
          </w:p>
        </w:tc>
        <w:tc>
          <w:tcPr>
            <w:tcW w:w="4530" w:type="dxa"/>
            <w:tcBorders>
              <w:top w:val="single" w:sz="4" w:space="0" w:color="auto"/>
              <w:left w:val="single" w:sz="4" w:space="0" w:color="auto"/>
              <w:bottom w:val="single" w:sz="4" w:space="0" w:color="auto"/>
              <w:right w:val="single" w:sz="4" w:space="0" w:color="auto"/>
            </w:tcBorders>
            <w:hideMark/>
          </w:tcPr>
          <w:p w14:paraId="4FACC90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bl>
    <w:p w14:paraId="452A79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*Gydymą tęsti kol nebereikės tolimesnio chirurginio šalinimo, paciento klinikinė būklė pagerės, bei pacientui nuo 48 iki 72 valandų nebepasireikš karščiavimas.</w:t>
      </w:r>
    </w:p>
    <w:p w14:paraId="0987F9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**Reikėtų apsvarstyti, ar dirbtinio sąnario infekcija galima ilgiau gydyti tinkamais slopinančiais geriamaisiais antibiotikais. </w:t>
      </w:r>
    </w:p>
    <w:p w14:paraId="40726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ir kombinuoto gydymo poreikis priklauso nuo vožtuvų tipo ir organizmo.</w:t>
      </w:r>
    </w:p>
    <w:p w14:paraId="7F6F18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1AAE5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6E9FB67E"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028ED0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Senyviems pacientams</w:t>
      </w:r>
    </w:p>
    <w:p w14:paraId="3D19A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Dėl su amžiumi susijusio inkstų funkcijos susilpnėjimo, gali reikėti skirti mažesnes palaikomąsias dozes.</w:t>
      </w:r>
    </w:p>
    <w:p w14:paraId="1CF6339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2C252A5A"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inkstų funkcija sutrikusi</w:t>
      </w:r>
    </w:p>
    <w:p w14:paraId="28D68F05"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ir vaikams, kurių inkstų funkcija sutrikusi, reikia įvertinti skiriamą pradinę dozę ir tolesnes dozes skirti atsižvelgiant į vankomicino koncentraciją kraujo serume, o ne laikantis nustatyto dozavimo režimo. Tai ypatingai svarbu, jei pacientas turi sunkų inkstų funkcijos sutrikimą, arba, jei jam yra taikoma pakaitinė inkstų terapija, kadangi esant šioms būklėms, egzistuoja daugybė kintančių veiksnių, galinčių padaryti įtaką vankomicino koncentracijai.</w:t>
      </w:r>
    </w:p>
    <w:p w14:paraId="4A3981D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1B37ED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lengvą ar vidutinio sunkumo inkstų nepakankamumą, pradinės dozės mažinti nereikia. Pacientams, turintiems sunkų inkstų nepakankamumą, geriau prailginti dozių skyrimo intervalą, nei skirti mažesnes paros dozes.</w:t>
      </w:r>
    </w:p>
    <w:p w14:paraId="4B9874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BB1DA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Turi būti skiriamas atitinkamas dėmesys derinyje vartojamiems vaistiniams preparatams, kurie gali sumažinti vankomicino klirensą ir/arba sustiprinti jo nepageidaujamą poveikį (žr. 4.4 skyrių).</w:t>
      </w:r>
    </w:p>
    <w:p w14:paraId="4F6E96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98EA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Protarpinės hemodializės būdu vankomicinas prastai dializuojamas. Tačiau, didelio pralaidumo (</w:t>
      </w:r>
      <w:r>
        <w:rPr>
          <w:rFonts w:ascii="Times New Roman" w:eastAsia="Times New Roman" w:hAnsi="Times New Roman" w:cs="Times New Roman"/>
          <w:i/>
          <w:lang w:eastAsia="lt-LT"/>
        </w:rPr>
        <w:t>high flux</w:t>
      </w:r>
      <w:r>
        <w:rPr>
          <w:rFonts w:ascii="Times New Roman" w:eastAsia="Times New Roman" w:hAnsi="Times New Roman" w:cs="Times New Roman"/>
          <w:lang w:eastAsia="lt-LT"/>
        </w:rPr>
        <w:t>) membranų taikymas bei ilgalaikė inkstų pakaitinė terapija didina vankomicino klirensą, todėl dažniausiai reikia pakartotinės vaistinio preparato dozės (protarpinės hemodializės atveju, dažniausiai po hemodializės atlikimo).</w:t>
      </w:r>
    </w:p>
    <w:p w14:paraId="65562E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F4A4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Suaugusiems</w:t>
      </w:r>
    </w:p>
    <w:p w14:paraId="3510B7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skiriama dozė gali būti koreguojama atsižvelgiant į apskaičiuotą glomerulų filtracijos greitį, naudojantis toliau nurodyta formule:</w:t>
      </w:r>
    </w:p>
    <w:p w14:paraId="5D50BE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9F62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Vyrai: [Svoris (kg) x 140 - amžius (metai)]/ 72 x kreatinino koncentracija kraujo serume (mg/dl)</w:t>
      </w:r>
    </w:p>
    <w:p w14:paraId="66A061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Moterys: 0,85 x vertė apskaičiuota naudojantis aukščiau nurodyta formule.</w:t>
      </w:r>
    </w:p>
    <w:p w14:paraId="31DA5A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CCF0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pacientams įprastinė pradinė dozė yra nuo 15 iki 20 mg/kg, kuri pacientams, kurių kreatinino klirensas yra tarp 20 ir 49 ml/min, gali būti skiriama kas 24 valandas. Pacientams, turintiems sunkų inkstų funkcijos sutrikimą (kreatinino klirensas mažiau nei 20 ml/min) arba pacientams, kuriems taikoma pakaitinė inkstų terapija, tinkamos tolimesnės dozės ir jų skyrimo laikas labai priklauso nuo pakaitinės inkstų terapijos būdo ir turi būti nustatomos atsižvelgiant į vankomicino koncentraciją kraujo serume bei likutinę inkstų funkciją (žr. 4.4 skyrių). Atsižvelgiant į klinikinę situaciją, kol laukiama vankomicino koncentracijos matavimo rezultatų, reikia apsvarstyti galimybę atidėti sekančios dozės skyrimą.</w:t>
      </w:r>
    </w:p>
    <w:p w14:paraId="712BA3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39888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Kritinės būklės pacientams, turintiems inkstų nepakankamumą, pradinė dozė (nuo 25 iki 30 mg/kg) neturi būti mažinama.</w:t>
      </w:r>
    </w:p>
    <w:p w14:paraId="6438AFC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DBCAA0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Vaikų populiacija</w:t>
      </w:r>
    </w:p>
    <w:p w14:paraId="79D4B4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 metų ir vyresniems vaikams, dozė gali būti koreguojama atsižvelgiant į glomerulų filtracijos greitį naudojantis koreguotomis </w:t>
      </w:r>
      <w:r>
        <w:rPr>
          <w:rFonts w:ascii="Times New Roman" w:eastAsia="Times New Roman" w:hAnsi="Times New Roman" w:cs="Times New Roman"/>
          <w:i/>
          <w:lang w:eastAsia="lt-LT"/>
        </w:rPr>
        <w:t xml:space="preserve">Schwartz </w:t>
      </w:r>
      <w:r>
        <w:rPr>
          <w:rFonts w:ascii="Times New Roman" w:eastAsia="Times New Roman" w:hAnsi="Times New Roman" w:cs="Times New Roman"/>
          <w:lang w:eastAsia="lt-LT"/>
        </w:rPr>
        <w:t>formulėmis:</w:t>
      </w:r>
    </w:p>
    <w:p w14:paraId="701C7A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eGFG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 (ūgis cm x 0,413)/ kreatinino koncentracija kraujo serume (mg/dl)</w:t>
      </w:r>
    </w:p>
    <w:p w14:paraId="0F98F8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eGFG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(ūgis cm x 36,2)/ kreatinino koncentracija kraujo serume(μmol/l)</w:t>
      </w:r>
    </w:p>
    <w:p w14:paraId="7A8454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B7EC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Skiriant vaistinį preparatą naujagimiams ir kūdikiams iki 1 metų amžiaus, turi būti kreipiamasi į specialistus, kadangi </w:t>
      </w:r>
      <w:r>
        <w:rPr>
          <w:rFonts w:ascii="Times New Roman" w:eastAsia="Times New Roman" w:hAnsi="Times New Roman" w:cs="Times New Roman"/>
          <w:i/>
          <w:lang w:eastAsia="lt-LT"/>
        </w:rPr>
        <w:t xml:space="preserve">Schwartz </w:t>
      </w:r>
      <w:r>
        <w:rPr>
          <w:rFonts w:ascii="Times New Roman" w:eastAsia="Times New Roman" w:hAnsi="Times New Roman" w:cs="Times New Roman"/>
          <w:lang w:eastAsia="lt-LT"/>
        </w:rPr>
        <w:t>formulė šiai populiacijai yra netaikoma.</w:t>
      </w:r>
    </w:p>
    <w:p w14:paraId="480980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Orientacinės rekomenduojamos dozės vaikų populiacijai pateiktos toliau esančioje lentelėje ir vadovaujasi tais pačiais principais kaip ir suaugusių pacientų atveju.</w:t>
      </w:r>
    </w:p>
    <w:p w14:paraId="2F912C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75F4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7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4"/>
        <w:gridCol w:w="1968"/>
        <w:gridCol w:w="2173"/>
      </w:tblGrid>
      <w:tr w:rsidR="001764C6" w14:paraId="0A5C63F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B3AD2AD"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b/>
                <w:color w:val="000000"/>
                <w:lang w:eastAsia="ja-JP"/>
              </w:rPr>
            </w:pPr>
            <w:r>
              <w:rPr>
                <w:rFonts w:ascii="Times New Roman" w:eastAsia="MS Mincho" w:hAnsi="Times New Roman" w:cs="Times New Roman"/>
                <w:b/>
                <w:bCs/>
                <w:color w:val="000000"/>
                <w:lang w:eastAsia="ja-JP"/>
              </w:rPr>
              <w:t>GFG (ml/min/1,73 m</w:t>
            </w:r>
            <w:r>
              <w:rPr>
                <w:rFonts w:ascii="Times New Roman" w:eastAsia="MS Mincho" w:hAnsi="Times New Roman" w:cs="Times New Roman"/>
                <w:b/>
                <w:bCs/>
                <w:color w:val="000000"/>
                <w:vertAlign w:val="superscript"/>
                <w:lang w:eastAsia="ja-JP"/>
              </w:rPr>
              <w:t>2</w:t>
            </w:r>
            <w:r>
              <w:rPr>
                <w:rFonts w:ascii="Times New Roman" w:eastAsia="MS Mincho" w:hAnsi="Times New Roman" w:cs="Times New Roman"/>
                <w:b/>
                <w:bCs/>
                <w:color w:val="000000"/>
                <w:lang w:eastAsia="ja-JP"/>
              </w:rPr>
              <w:t>)</w:t>
            </w:r>
          </w:p>
        </w:tc>
        <w:tc>
          <w:tcPr>
            <w:tcW w:w="1969" w:type="dxa"/>
            <w:tcBorders>
              <w:top w:val="single" w:sz="4" w:space="0" w:color="auto"/>
              <w:left w:val="single" w:sz="4" w:space="0" w:color="auto"/>
              <w:bottom w:val="single" w:sz="4" w:space="0" w:color="auto"/>
              <w:right w:val="single" w:sz="4" w:space="0" w:color="auto"/>
            </w:tcBorders>
            <w:hideMark/>
          </w:tcPr>
          <w:p w14:paraId="3AB0EC6C"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IV dozė</w:t>
            </w:r>
          </w:p>
        </w:tc>
        <w:tc>
          <w:tcPr>
            <w:tcW w:w="2174" w:type="dxa"/>
            <w:tcBorders>
              <w:top w:val="single" w:sz="4" w:space="0" w:color="auto"/>
              <w:left w:val="single" w:sz="4" w:space="0" w:color="auto"/>
              <w:bottom w:val="single" w:sz="4" w:space="0" w:color="auto"/>
              <w:right w:val="single" w:sz="4" w:space="0" w:color="auto"/>
            </w:tcBorders>
            <w:hideMark/>
          </w:tcPr>
          <w:p w14:paraId="306AC034" w14:textId="77777777" w:rsidR="001764C6" w:rsidRDefault="001764C6">
            <w:pPr>
              <w:autoSpaceDE w:val="0"/>
              <w:autoSpaceDN w:val="0"/>
              <w:adjustRightInd w:val="0"/>
              <w:spacing w:after="120" w:line="240" w:lineRule="auto"/>
              <w:ind w:left="240"/>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Dažnis</w:t>
            </w:r>
          </w:p>
        </w:tc>
      </w:tr>
      <w:tr w:rsidR="001764C6" w14:paraId="7CE15EA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5746CE7"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50-30</w:t>
            </w:r>
          </w:p>
        </w:tc>
        <w:tc>
          <w:tcPr>
            <w:tcW w:w="1969" w:type="dxa"/>
            <w:tcBorders>
              <w:top w:val="single" w:sz="4" w:space="0" w:color="auto"/>
              <w:left w:val="single" w:sz="4" w:space="0" w:color="auto"/>
              <w:bottom w:val="single" w:sz="4" w:space="0" w:color="auto"/>
              <w:right w:val="single" w:sz="4" w:space="0" w:color="auto"/>
            </w:tcBorders>
            <w:hideMark/>
          </w:tcPr>
          <w:p w14:paraId="2E828FCB"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61D32939"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12 valandų</w:t>
            </w:r>
          </w:p>
        </w:tc>
      </w:tr>
      <w:tr w:rsidR="001764C6" w14:paraId="1D88CBED"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6CF9ED0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29-10</w:t>
            </w:r>
          </w:p>
        </w:tc>
        <w:tc>
          <w:tcPr>
            <w:tcW w:w="1969" w:type="dxa"/>
            <w:tcBorders>
              <w:top w:val="single" w:sz="4" w:space="0" w:color="auto"/>
              <w:left w:val="single" w:sz="4" w:space="0" w:color="auto"/>
              <w:bottom w:val="single" w:sz="4" w:space="0" w:color="auto"/>
              <w:right w:val="single" w:sz="4" w:space="0" w:color="auto"/>
            </w:tcBorders>
            <w:hideMark/>
          </w:tcPr>
          <w:p w14:paraId="4B084CF6"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187D6498"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24 valandas</w:t>
            </w:r>
          </w:p>
        </w:tc>
      </w:tr>
      <w:tr w:rsidR="001764C6" w:rsidRPr="001764C6" w14:paraId="65025C4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403F91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10</w:t>
            </w:r>
          </w:p>
        </w:tc>
        <w:tc>
          <w:tcPr>
            <w:tcW w:w="1969" w:type="dxa"/>
            <w:vMerge w:val="restart"/>
            <w:tcBorders>
              <w:top w:val="single" w:sz="4" w:space="0" w:color="auto"/>
              <w:left w:val="single" w:sz="4" w:space="0" w:color="auto"/>
              <w:bottom w:val="single" w:sz="4" w:space="0" w:color="auto"/>
              <w:right w:val="single" w:sz="4" w:space="0" w:color="auto"/>
            </w:tcBorders>
          </w:tcPr>
          <w:p w14:paraId="4778F2AD"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p w14:paraId="0602BD94"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10-15 mg/kg</w:t>
            </w:r>
          </w:p>
        </w:tc>
        <w:tc>
          <w:tcPr>
            <w:tcW w:w="2174" w:type="dxa"/>
            <w:vMerge w:val="restart"/>
            <w:tcBorders>
              <w:top w:val="single" w:sz="4" w:space="0" w:color="auto"/>
              <w:left w:val="single" w:sz="4" w:space="0" w:color="auto"/>
              <w:bottom w:val="single" w:sz="4" w:space="0" w:color="auto"/>
              <w:right w:val="single" w:sz="4" w:space="0" w:color="auto"/>
            </w:tcBorders>
            <w:hideMark/>
          </w:tcPr>
          <w:p w14:paraId="322F8B5E"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r w:rsidR="001764C6" w14:paraId="2F066427"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69A11EA"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Protarpinė hemodializė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FAE11D9"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53EFBBD9" w14:textId="77777777" w:rsidR="001764C6" w:rsidRDefault="001764C6">
            <w:pPr>
              <w:spacing w:after="0"/>
              <w:rPr>
                <w:rFonts w:ascii="Times New Roman" w:eastAsia="MS Mincho" w:hAnsi="Times New Roman" w:cs="Times New Roman"/>
                <w:color w:val="000000"/>
                <w:lang w:eastAsia="ja-JP"/>
              </w:rPr>
            </w:pPr>
          </w:p>
        </w:tc>
      </w:tr>
      <w:tr w:rsidR="001764C6" w14:paraId="7DB64ED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33CEA5C"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Peritoninė 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2F79C1E"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202D1CCB" w14:textId="77777777" w:rsidR="001764C6" w:rsidRDefault="001764C6">
            <w:pPr>
              <w:spacing w:after="0"/>
              <w:rPr>
                <w:rFonts w:ascii="Times New Roman" w:eastAsia="MS Mincho" w:hAnsi="Times New Roman" w:cs="Times New Roman"/>
                <w:color w:val="000000"/>
                <w:lang w:eastAsia="ja-JP"/>
              </w:rPr>
            </w:pPr>
          </w:p>
        </w:tc>
      </w:tr>
      <w:tr w:rsidR="001764C6" w:rsidRPr="001764C6" w14:paraId="10C0DCBB"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vAlign w:val="center"/>
            <w:hideMark/>
          </w:tcPr>
          <w:p w14:paraId="55FA952C" w14:textId="77777777" w:rsidR="001764C6" w:rsidRDefault="001764C6">
            <w:pPr>
              <w:autoSpaceDE w:val="0"/>
              <w:autoSpaceDN w:val="0"/>
              <w:adjustRightInd w:val="0"/>
              <w:spacing w:after="120" w:line="240" w:lineRule="auto"/>
              <w:ind w:left="7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Ilgalaikė pakaitinė inkstų terapija</w:t>
            </w:r>
          </w:p>
        </w:tc>
        <w:tc>
          <w:tcPr>
            <w:tcW w:w="1969" w:type="dxa"/>
            <w:tcBorders>
              <w:top w:val="single" w:sz="4" w:space="0" w:color="auto"/>
              <w:left w:val="single" w:sz="4" w:space="0" w:color="auto"/>
              <w:bottom w:val="single" w:sz="4" w:space="0" w:color="auto"/>
              <w:right w:val="single" w:sz="4" w:space="0" w:color="auto"/>
            </w:tcBorders>
            <w:hideMark/>
          </w:tcPr>
          <w:p w14:paraId="09398C88"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7FD1052F"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bl>
    <w:p w14:paraId="51E0A0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*Tinkamos tolimesnės dozės ir jų skyrimo laikas labai priklauso nuo pakaitinės inkstų terapijos būdo ir turi būti nustatomos, atsižvelgiant į vankomicino koncentraciją kraujo serume bei likutinę inkstų funkciją. Atsižvelgiant į klinikinę situaciją, kol laukiama vankomicino koncentracijos matavimo rezultatų, reikia apsvarstyti galimybę atidėti sekančios dozės skyrimą.</w:t>
      </w:r>
    </w:p>
    <w:p w14:paraId="318446D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A9E4C1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kepenų funkcija sutrikusi</w:t>
      </w:r>
    </w:p>
    <w:p w14:paraId="65DA12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kepenų nepakankamumą, dozės keisti nereikia.</w:t>
      </w:r>
    </w:p>
    <w:p w14:paraId="79F46F8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167FF0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Nėštumas</w:t>
      </w:r>
    </w:p>
    <w:p w14:paraId="7DAEF5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3C1D44C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9E4BC25"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Viršsvorio turintys pacientai</w:t>
      </w:r>
    </w:p>
    <w:p w14:paraId="6712AB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 pacientams pradinė dozė turi būti parenkama individualiai, atsižvelgiant į bendrą kūno svorį, taip kaip ir nenutukusių pacientų atveju.</w:t>
      </w:r>
    </w:p>
    <w:p w14:paraId="523F134D"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p>
    <w:p w14:paraId="58D46543"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r>
        <w:rPr>
          <w:rFonts w:ascii="Times New Roman" w:eastAsia="Times New Roman" w:hAnsi="Times New Roman" w:cs="Times New Roman"/>
          <w:b/>
          <w:bCs/>
          <w:i/>
          <w:iCs/>
          <w:u w:val="single"/>
          <w:lang w:eastAsia="lt-LT"/>
        </w:rPr>
        <w:t>Vartojimas per burną</w:t>
      </w:r>
    </w:p>
    <w:p w14:paraId="673D919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006DD9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14:paraId="626FC93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75880BC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i/>
          <w:iCs/>
          <w:u w:val="single"/>
          <w:lang w:eastAsia="lt-LT"/>
        </w:rPr>
        <w:t>Clostridioides difficile</w:t>
      </w:r>
      <w:r>
        <w:rPr>
          <w:rFonts w:ascii="Times New Roman" w:eastAsia="Times New Roman" w:hAnsi="Times New Roman" w:cs="Times New Roman"/>
          <w:u w:val="single"/>
          <w:lang w:eastAsia="lt-LT"/>
        </w:rPr>
        <w:t xml:space="preserve"> infekcijos (CDI) gydymas</w:t>
      </w:r>
    </w:p>
    <w:p w14:paraId="7F38398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B044D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pirmajam nesunkios CDI epizodui, rekomenduojama vankomicino dozė yra 125 mg kas 6 valandas 10 dienų. Jei pasireiškia sunki ar komplikuota liga, dozę galima didinti iki 500 mg kas 6 valandas 10 dienų. Didžiausia paros dozė neturi viršyti 2 g.</w:t>
      </w:r>
    </w:p>
    <w:p w14:paraId="5F10D2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F79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pacientui liga dažnai kartojasi, galima apsvarstyti dabartiniam CDI epizodui gydyti vartoti 125 mg keturis kartus per parą 10 dienų, po to arba dozė laipsniškai mažinama iki 125 mg per parą, arba taikomas pulsinis režimas, t. y. 125</w:t>
      </w:r>
      <w:r>
        <w:rPr>
          <w:rFonts w:ascii="Times New Roman" w:eastAsia="Times New Roman" w:hAnsi="Times New Roman" w:cs="Times New Roman"/>
          <w:lang w:eastAsia="lt-LT"/>
        </w:rPr>
        <w:noBreakHyphen/>
        <w:t>500 mg per parą kas 2</w:t>
      </w:r>
      <w:r>
        <w:rPr>
          <w:rFonts w:ascii="Times New Roman" w:eastAsia="Times New Roman" w:hAnsi="Times New Roman" w:cs="Times New Roman"/>
          <w:lang w:eastAsia="lt-LT"/>
        </w:rPr>
        <w:noBreakHyphen/>
        <w:t>3 dienas ne trumpiau kaip 3 savaites.</w:t>
      </w:r>
    </w:p>
    <w:p w14:paraId="20CA0A2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1F44CE5"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14:paraId="14368EB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C0CB0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vankomicino dozė yra 10 mg/kg per burną kas 6 valandas 10 dienų. Didžiausia paros dozė neturi viršyti 2 g.</w:t>
      </w:r>
    </w:p>
    <w:p w14:paraId="5DE8C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C3E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vankomicinu trukmė parenkama atsižvelgiant į konkretaus paciento klinikinę būklę. Jei įmanoma, reikia nutraukti antibakterinių vaistinių preparatų, kurie, kaip manoma, galėjo sukelti CDI, vartojimą. Reikia užtikrinti tinkamo skysčio ir elektrolitų kiekio suvartojimą.</w:t>
      </w:r>
    </w:p>
    <w:p w14:paraId="16195B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CBBC0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Vankomicino  koncentracijos kraujo serume stebėjimas</w:t>
      </w:r>
    </w:p>
    <w:p w14:paraId="53F8CA2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A703F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Terapinio vaistinio preparato stebėjimo (TVS) dažnis turi būti nustatomas individualiai, atsižvelgiant į klinikinę situaciją ir atsaką į gydymą, ir gali svyruoti nuo mėginių ėmimo kiekvieną parą, kai kuriems  hemodinamiškai nestabiliems pacientams, iki mėginių ėmimo kartą į savaitę, stabiliems pacientams, kuriems pasireiškė atsakas į gydymą. Pacientams, kurių inkstų funkcija normali, vankomicino koncentracija kraujo serume turi būti nustatoma antrąją gydymo parą, prieš pat skiriant sekančią dozę.</w:t>
      </w:r>
    </w:p>
    <w:p w14:paraId="0F3417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85FD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atliekama protarpinė hemodializė, dažniausiai vankomicino koncentracija turi būti nustatoma prieš hemodializės sesijos pradžią.</w:t>
      </w:r>
    </w:p>
    <w:p w14:paraId="1B59A46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0606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Vartojant per burną, pacientams, kuriems yra uždegiminių žarnyno sutrikimų, turi būti nustatoma vankomicino koncentracija kraujo serume (žr. 4.4 skyrių).</w:t>
      </w:r>
    </w:p>
    <w:p w14:paraId="57427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C0F5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Terapinio slenksčio (mažiausia) vankomicino koncentracija kraujyje įprastai turi būti 10-20 mg/l, priklausomai nuo infekcijos vietos ir patogeno jautrumo. Klinikinės laboratorijos įprastai rekomenduoja palaikyti 15-20 mg/l slenkstinę koncentraciją, kad geriau būtų padengti jautrūs patogenai, kurių minimali inhibicinė koncentracija (MIC) yra ≥1 mg/l (žr. 4.4 ir 5.1 skyrius).</w:t>
      </w:r>
    </w:p>
    <w:p w14:paraId="019383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20153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Modeliais grįsti metodai gali būti naudingi prognozuojant individualius dozavimo poreikius, kad būtų pasiektas pakankamas plotas po koncentracijos ir laiko kreive (AUC). Modeliais grįsti metodai gali būti naudojami apskaičiuoti individualias pradines dozes bei tolimesnių dozių koregavimui atsižvelgiant į terapinio vaistinio preparato stebėjimo rezultatus (žr. 5.1 skyrių).</w:t>
      </w:r>
    </w:p>
    <w:p w14:paraId="50DB5B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51B4B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Vartojimo metodas</w:t>
      </w:r>
    </w:p>
    <w:p w14:paraId="7B8DF09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0F52FE10"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į veną</w:t>
      </w:r>
    </w:p>
    <w:p w14:paraId="7DE96A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Į veną Vancomycin IBE dažniausiai vartojamas protarpinės infuzijos būdu ir šiame skyriuje pateikiamos dozavimo rekomendacijos atitinka šį vartojimo būdą.</w:t>
      </w:r>
    </w:p>
    <w:p w14:paraId="7EA2D8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85537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turi būti skiriamas tik pakankamai praskiesto (bent 500 mg/100 ml arba bent 1000 mg/200 ml) tirpalo pavidalu, kuris lėtai leidžiamas į veną, ne didesniu kaip 10 mg/min greičiu arba mažiausiai 1 valandą (priklausomai kuris rodiklis yra ilgesnis) (žr. 4.4 skyrių).</w:t>
      </w:r>
    </w:p>
    <w:p w14:paraId="085005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0FE16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reikia riboti skysčių vartojimą, galima leisti 500 mg/50 ml arba 1000 mg/100 ml tirpalą, tačiau leidžiant šių didesnių koncentracijų tirpalus, gali padidėti su infuzija susijusio nepageidaujamo poveikio rizika.</w:t>
      </w:r>
    </w:p>
    <w:p w14:paraId="2EAD3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Vaistinio preparato ruošimo/skiedimo prieš vartojant instrukcija pateikiama 6.6 skyriuje. </w:t>
      </w:r>
    </w:p>
    <w:p w14:paraId="47088C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Galima svarstyti galimybę atlikti nuolatinę vankomicino infuziją, pvz., pacientams, turintiems nestabilų vankomicino klirensą.</w:t>
      </w:r>
    </w:p>
    <w:p w14:paraId="2DFA35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EDFB71"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per burną</w:t>
      </w:r>
    </w:p>
    <w:p w14:paraId="2ED40A53"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p>
    <w:p w14:paraId="179CD7C3" w14:textId="77777777" w:rsidR="001764C6" w:rsidRDefault="001764C6" w:rsidP="001764C6">
      <w:pPr>
        <w:tabs>
          <w:tab w:val="left" w:pos="567"/>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Vankomicinas skirtas visų amžiaus grupių pacientų </w:t>
      </w:r>
      <w:r>
        <w:rPr>
          <w:rFonts w:ascii="Times New Roman" w:hAnsi="Times New Roman" w:cs="Times New Roman"/>
          <w:i/>
          <w:iCs/>
          <w:sz w:val="24"/>
          <w:szCs w:val="24"/>
        </w:rPr>
        <w:t>Clostridioides difficile</w:t>
      </w:r>
      <w:r>
        <w:rPr>
          <w:rFonts w:ascii="Times New Roman" w:hAnsi="Times New Roman" w:cs="Times New Roman"/>
          <w:sz w:val="24"/>
          <w:szCs w:val="24"/>
        </w:rPr>
        <w:t xml:space="preserve"> infekcijos (CDI) gydymui (žr. 4.2, 4.4 ir 5.1 skyrius).</w:t>
      </w:r>
    </w:p>
    <w:p w14:paraId="770E23DC" w14:textId="77777777" w:rsidR="001764C6" w:rsidRDefault="001764C6" w:rsidP="001764C6">
      <w:pPr>
        <w:tabs>
          <w:tab w:val="left" w:pos="567"/>
        </w:tabs>
        <w:spacing w:after="0" w:line="240" w:lineRule="auto"/>
        <w:rPr>
          <w:rFonts w:ascii="Times New Roman" w:hAnsi="Times New Roman" w:cs="Times New Roman"/>
          <w:b/>
          <w:sz w:val="24"/>
          <w:szCs w:val="24"/>
        </w:rPr>
      </w:pPr>
    </w:p>
    <w:p w14:paraId="7482AED2"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hAnsi="Times New Roman" w:cs="Times New Roman"/>
          <w:sz w:val="24"/>
          <w:szCs w:val="24"/>
        </w:rPr>
        <w:t>Reikia atsižvelgti į oficialias tinkamo antibakterinių vaistinių preparatų vartojimo rekomendacijas.</w:t>
      </w:r>
    </w:p>
    <w:p w14:paraId="5479B0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Parenteriniu būdu vartoti skirto flakono turinį po paruošimo galima pacientui duoti išgerti arba supilti per nazogastrinį zondą (žr. 6.6 skyrių).</w:t>
      </w:r>
    </w:p>
    <w:p w14:paraId="5B83E561"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p>
    <w:p w14:paraId="6E03B02C"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4.3</w:t>
      </w:r>
      <w:r>
        <w:rPr>
          <w:rFonts w:ascii="Times New Roman" w:eastAsia="Times New Roman" w:hAnsi="Times New Roman" w:cs="Times New Roman"/>
          <w:b/>
          <w:lang w:eastAsia="lt-LT"/>
        </w:rPr>
        <w:tab/>
        <w:t>Kontraindikacijos</w:t>
      </w:r>
    </w:p>
    <w:p w14:paraId="1E8A8471"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4307B1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Padidėjęs jautrumas veikliajai medžiagai.</w:t>
      </w:r>
    </w:p>
    <w:p w14:paraId="19371BE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723624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negalima leisti į raumenis dėl nekrozės atsiradimo vartojimo vietoje rizikos.</w:t>
      </w:r>
    </w:p>
    <w:p w14:paraId="221B0D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E70FA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4.4</w:t>
      </w:r>
      <w:r>
        <w:rPr>
          <w:rFonts w:ascii="Times New Roman" w:eastAsia="Times New Roman" w:hAnsi="Times New Roman" w:cs="Times New Roman"/>
          <w:b/>
          <w:lang w:eastAsia="lt-LT"/>
        </w:rPr>
        <w:tab/>
        <w:t>Specialūs įspėjimai ir atsargumo priemonės</w:t>
      </w:r>
    </w:p>
    <w:p w14:paraId="754FCF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E5F72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Padidėjusio jautrumo reakcijos</w:t>
      </w:r>
    </w:p>
    <w:p w14:paraId="3E466D0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Galimos sunkios ir kartais mirtinos padidėjusio jautrumo reakcijos (žr. 4.3 ir 4.8 skyrius). Pasireiškus padidėjusio jautrumo reakcijoms, gydymą vankomicinu reikia nedelsiant nutraukti ir imtis atitinkamų skubios pagalbos priemonių.</w:t>
      </w:r>
    </w:p>
    <w:p w14:paraId="2ED27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A4CA2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 vankomiciną vartoja ilgą laiką arba derinyje vartoja kitų vaistinių preparatų, galinčių sukelti neutropeniją ar agranuliocitozę, reguliariais intervalais turi būti nustatomas leukocitų kiekis. Visiems vankomiciną vartojantiems pacientams periodiškai turi būti atliekami kraujo tyrimai, šlapimo tyrimai, kepenų ir inkstų funkcijų tyrimai.</w:t>
      </w:r>
    </w:p>
    <w:p w14:paraId="4913B7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8646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turi būti atsargiai skiriamas pacientams, kurie yra alergiški teikoplaninui, kadangi gali pasireikšti kryžminio jautrumo reakcijos, įskaitant mirtiną anafilaksinį šoką.</w:t>
      </w:r>
    </w:p>
    <w:p w14:paraId="7E588F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843DD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Antibakterinio aktyvumo spektras</w:t>
      </w:r>
    </w:p>
    <w:p w14:paraId="3A444B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antimikrobinio aktyvumo spektras apsiriboja gramteigiamais mikroorganizmais. Kaip vienintelis skiriamas vaistinis preparatas, jis nėra tinkamas vartoti kai kurių infekcijų gydymui, nebent yra nustatytas infekciją sukėlęs patogenas ir yra žinoma, kad jis jautrus, arba yra didelis įtarimas, kad labiausiai tikėtiną patogeną(-us) tinka gydyti vankomicinu.</w:t>
      </w:r>
    </w:p>
    <w:p w14:paraId="690A85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3B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Siekiant racionaliai vartoti vankomiciną, reikia įvertinti jo aktyvumo bakterinį spektrą, saugumo duomenis ir jo, kaip standartinio antibakterinio gydymo, tinkamumą konkrečiam pacientui.</w:t>
      </w:r>
    </w:p>
    <w:p w14:paraId="49B88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8E5E3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Ototoksinis poveikis</w:t>
      </w:r>
    </w:p>
    <w:p w14:paraId="3BC170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Gauta pranešimų apie laikiną ar nuolatinį ototoksinį poveikį (žr. 4.8 skyrių) pacientams, kuriems jau buvo prikurtimas ir kuriems į veną buvo lašinama didelė dozė arba kurie derinyje vartojo kitų ototoksinį poveikį sukeliančių vaistinių preparatų, pvz., aminoglikozidų. Vankomicino taip pat turi vengti pacientai, kurie praeityje yra patyrę klausos praradimą. Prieš apkurtimą gali pasireikšti ūžesys (tinnitus). Kitų antibiotikų vartojimo patirtis rodo, kad prikurtimas gali progresuoti nepaisant gydymo nutraukimo. Siekiant sumažinti ototoksinio poveikio riziką, rekomenduojama reguliariai tirti vankomicino koncentraciją kraujyje ir reguliariai vertinti klausos funkciją.</w:t>
      </w:r>
    </w:p>
    <w:p w14:paraId="06FBFB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FC8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Senyviems pacientams klausos sutrikimo rizika yra didesnė. Gydymo metu ir po jo, senyviems pacientams turi būti stebimos vestibuliarinio aparato ir klausos funkcijos. Reikia vengti kitų ototoksinių medžiagų vartojimo derinyje ar paeiliui.</w:t>
      </w:r>
    </w:p>
    <w:p w14:paraId="70F4592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D747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 infuzija susijusios reakcijos</w:t>
      </w:r>
    </w:p>
    <w:p w14:paraId="443A4C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Greitas smūginės dozės įvedimas (t.y. ją atliekant per keletą minučių) gali būti susijęs su išreikšta hipotenzija (įskaitant šoką ir, retais atvejais, širdies sustojimą), į histamino poveikį panašiu atsaku bei makulopapuliniu arba eritematoziniu išbėrimu („raudono žmogaus sindromas“ arba „raudono kaklo sindromas“). Siekiant išvengti su greita infuzija susijusių reakcijų, vankomiciną reikia lėtai lašinti praskiesto tirpalo pavidalu (2,5</w:t>
      </w:r>
      <w:r>
        <w:rPr>
          <w:rFonts w:ascii="Times New Roman" w:eastAsia="Times New Roman" w:hAnsi="Times New Roman" w:cs="Times New Roman"/>
          <w:lang w:eastAsia="lt-LT"/>
        </w:rPr>
        <w:noBreakHyphen/>
        <w:t>5 mg/ml), ne greičiau kaip 10 mg/min ir ne trumpiau kaip 60 min. Infuziją sustabdžius, šios reakcijos įprastai išnyksta gretai.</w:t>
      </w:r>
    </w:p>
    <w:p w14:paraId="0B93D9B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13A6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 infuzija susijusių reakcijų (hipotenzijos, paraudimų, eritemos, dilgėlinės ir niežulio) dažnis didėja derinyje vartojant anestetikų (žr. 4.5 skyrių). Šią riziką galima sumažinti vankomiciną infuzijos būdu skiriant bent 60 minučių prieš anestetiko vartojimą.</w:t>
      </w:r>
    </w:p>
    <w:p w14:paraId="06F5F3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8C0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Sunkios nepageidaujamos odos reakcijos (SNOR)</w:t>
      </w:r>
    </w:p>
    <w:p w14:paraId="2D40F9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Pranešta apie su vankomicino vartojimu susijusias sunkias nepageidaujamas odos reakcijas (SNOR), įskaitant Stivenso ir Džonsono (</w:t>
      </w:r>
      <w:r>
        <w:rPr>
          <w:rFonts w:ascii="Times New Roman" w:eastAsia="Times New Roman" w:hAnsi="Times New Roman" w:cs="Times New Roman"/>
          <w:i/>
          <w:iCs/>
          <w:lang w:eastAsia="lt-LT"/>
        </w:rPr>
        <w:t>Stevens-Johnson</w:t>
      </w:r>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nekrolizę (TEN), reakciją į vaistinį preparatą su eozinofilija ir sisteminiais simptomais (angl. </w:t>
      </w:r>
      <w:r>
        <w:rPr>
          <w:rFonts w:ascii="Times New Roman" w:eastAsia="Times New Roman" w:hAnsi="Times New Roman" w:cs="Times New Roman"/>
          <w:i/>
          <w:iCs/>
          <w:lang w:eastAsia="lt-LT"/>
        </w:rPr>
        <w:t>drug reaction with eosinophilia and systemic symptoms, 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acute generalised exanthematous pustulosis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kurios gali būti pavojingos gyvybei arba mirtinos. </w:t>
      </w:r>
      <w:r>
        <w:rPr>
          <w:rFonts w:ascii="Times New Roman" w:eastAsia="Times New Roman" w:hAnsi="Times New Roman" w:cs="Times New Roman"/>
          <w:lang w:eastAsia="lt-LT"/>
        </w:rPr>
        <w:lastRenderedPageBreak/>
        <w:t>Dauguma tokių reakcijų atsirado per kelias dienas ir laikotarpiu iki aštuonių savaičių nuo gydymo vankomicinu pradžios.</w:t>
      </w:r>
    </w:p>
    <w:p w14:paraId="30A13F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0353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 paskyrimo metu pacientams būtina pateikti informaciją apie požymius ir simptomus bei nurodyti atidžiai stebėti, ar neatsiranda odos reakcijų. Jei atsiranda tokioms reakcijoms būdingų požymių ir simptomų, būtina nedelsiant nutraukti vankomicino vartojimą ir apsvarstyti alternatyvų gydymą. Jei pacientui vartojant vankomiciną pasireiškia SNOR, gydymo vankomicinu atnaujinti nebegalima niekada.</w:t>
      </w:r>
    </w:p>
    <w:p w14:paraId="5B9FE3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DD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Vartojimo vietos reakcijos</w:t>
      </w:r>
    </w:p>
    <w:p w14:paraId="7D54312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Daugumai intraveniniu vankomicinu gydomų pacientų atsiranda skausmas ir tromboflebitas, kuris kartais būna sunkus. Tromboflebito dažnį ir sunkumą galima iki minimumo sumažinti vaistinį preparatą praskiesto tirpalo pavidalu (žr. 4.2 skyrių) lašinant į veną lėtai ir reguliariai keičiant infuzijos vietas. </w:t>
      </w:r>
    </w:p>
    <w:p w14:paraId="21EF20E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veiksmingumas ir saugumas nėra tirtas jį skiriant į povoratinklinę ertmę, į smegenų skystį (intraspinaliniu būdu) ir į smegenų skilvelius (intraventrikuliniu būdu).</w:t>
      </w:r>
    </w:p>
    <w:p w14:paraId="6DCF09E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BC9D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Nefrotoksinis poveikis</w:t>
      </w:r>
    </w:p>
    <w:p w14:paraId="70E64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Vankomiciną reikia atsargiai skirti pacientams, turintiems inkstų nepakankamumą, įskaitant anuriją, kadangi ilgą laiką esant aukštai koncentracijai kraujyje, šie pacientai turi ženkliai didesnę toksinio poveikio riziką. Toksiškumo riziką didina aukšta koncentracija kraujyje ir ilgalaikis gydymas. </w:t>
      </w:r>
    </w:p>
    <w:p w14:paraId="4E2391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09E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Skiriant didelių dozių ir ilgalaikį gydymą, ypač jei paciento inkstų funkcija sutrikusi, yra klausos sutrikimų ar derinyje vartojama ototoksinį arba nefrotoksinį poveikį sukeliančių preparatų, turi būti reguliariai nustatoma vankomicino koncentracija kraujyje (žr. 4.2 ir 4.5 skyrius).</w:t>
      </w:r>
    </w:p>
    <w:p w14:paraId="58217D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D36F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Akių sutrikimai</w:t>
      </w:r>
    </w:p>
    <w:p w14:paraId="25794C0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nėra patvirtintas leisti į akies kamerą ar vartoti į stiklakūnį, įskaitant vartojimą endoftalmito profilaktikai.</w:t>
      </w:r>
    </w:p>
    <w:p w14:paraId="3965C7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Atskirais atvejais po vankomicino suleidimo į akies kamerą ar pavartojimo į stiklakūnį kataraktos operacijos metu ar po jos buvo stebėtas hemoraginis okliuzinis tinklainės vaskulitas (HOTV), įskaitant sukėlusį negrįžtamą apakimą.</w:t>
      </w:r>
    </w:p>
    <w:p w14:paraId="10927E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0F2F2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64911C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Dabartinės intraveniniu būdų skiriamo vaistinio preparato dozavimo rekomendacijos vaikų populiacijoje, daugumai vaikų gali sąlygoti subterapinę vankomicino koncentraciją, ypatingai jaunesniems kaip 12 metų amžiaus vaikams. Tačiau didesnių vankomicino dozių saugumas nėra pakankamai ištirtas ir didesnės nei 60 mg/kg/parą dozės paprastai nerekomenduojamos.</w:t>
      </w:r>
    </w:p>
    <w:p w14:paraId="2E02F8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F93F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turi būti ypač atsargiai skiriama vartoti neišnešiotiems naujagimiams ir kūdikiams, nes jų inkstai yra nesubrendę ir gali padidėti vankomicino koncentracija kraujo serume. Dėl to, tokių vaikų populiacijoje reikia atidžiai stebėti vankomicino koncentraciją kraujyje. Vankomicino vartojimas derinyje su anestetikais vaikams buvo susijęs su eritema ir paraudimu, panašiu į sukeliamą histamino. Panašiai, vankomicino vartojimas derinyje su nefrotoksinį poveikį sukeliančiais vaistiniais preparatais, tokiais kaip aminoglikozidų grupės antibiotikai, NVNU (pvz., ibuprofenas skiriamas atviro arterinio latako uždarymui) ar amfotericinu B, yra siejamas su padidėjusia nefrotoksinio poveikio rizika (žr. 4.5 skyrių), todėl šiomis sąlygomis vankomicino koncentracijos kraujo serume nustatymas ir inkstų funkcijos tyrimai turi būti atliekami dažniau.</w:t>
      </w:r>
    </w:p>
    <w:p w14:paraId="6F0AE1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8069B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Senyviems pacientams</w:t>
      </w:r>
    </w:p>
    <w:p w14:paraId="4C6355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dozė nėra koreguojama, su amžiumi susijęs natūralus glomerulų filtracijos sumažėjimas gali sąlygoti vankomicino koncentracijos kraujo serume padidėjimą (žr. 4.2 skyrių).</w:t>
      </w:r>
    </w:p>
    <w:p w14:paraId="19D35A0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3097A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anestetikais</w:t>
      </w:r>
    </w:p>
    <w:p w14:paraId="4F37B4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gali sustiprinti anestetikų sukeltą miokardo slopinimą. Anestezijos metu vaistinio preparato dozes reikia labai praskiesti ir jas lašinti lėtai, atidžiai stebint širdies veiklą. Pozicijos </w:t>
      </w:r>
      <w:r>
        <w:rPr>
          <w:rFonts w:ascii="Times New Roman" w:eastAsia="Times New Roman" w:hAnsi="Times New Roman" w:cs="Times New Roman"/>
          <w:lang w:eastAsia="lt-LT"/>
        </w:rPr>
        <w:lastRenderedPageBreak/>
        <w:t>negalima keisti tol, kol nebaigiama infuzija, kad keičiant paciento padėtį būtų galima koreguoti ortostatinę reakciją (žr. 4.5 skyrių).</w:t>
      </w:r>
    </w:p>
    <w:p w14:paraId="270E6E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AE6ED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Pseudomembraninis enterokolitas</w:t>
      </w:r>
    </w:p>
    <w:p w14:paraId="11DEE6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sunkiam, užsitęsusiam viduriavimui, reikia apsvarstyti pseudomembraninio enterokolito, kuris gali būti pavojingas gyvybei, galimybę (žr. 4.8 skyrių). Vaistinių preparatų nuo viduriavimo skirti negalima.</w:t>
      </w:r>
    </w:p>
    <w:p w14:paraId="2F3E9A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B3D88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Superinfekcija</w:t>
      </w:r>
    </w:p>
    <w:p w14:paraId="018622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vankomicino vartojama ilgai, gali labai pagausėti nejautrių patogenų. Būtina atidžiai stebėti paciento būklę. Jei gydymo metu pasireiškia superinfekcija, reikia imtis atitinkamų priemonių.</w:t>
      </w:r>
    </w:p>
    <w:p w14:paraId="11F142E7"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FA04F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u w:val="single"/>
          <w:lang w:eastAsia="lt-LT"/>
        </w:rPr>
        <w:t>Vartojimas per burną</w:t>
      </w:r>
    </w:p>
    <w:p w14:paraId="7408F86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172E3A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leidžiamas vankomicinas nėra veiksmingas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infekcijai gydyti. Šiai indikacijai vankomicinas turi būti vartojamas per burną.</w:t>
      </w:r>
    </w:p>
    <w:p w14:paraId="639634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79BB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Jaunesniems kaip 1 metų vaikams tirti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kolonizaciją ar toksiną nerekomenduojama, kadangi dažnai pasireiškia besimptomė kolonizacija, nebent sunkus viduriavimas pasireiškia kūdikiui, kuriam yra stazės rizikos veiksnių, pvz., Hiršprungo (</w:t>
      </w:r>
      <w:r>
        <w:rPr>
          <w:rFonts w:ascii="Times New Roman" w:eastAsia="Times New Roman" w:hAnsi="Times New Roman" w:cs="Times New Roman"/>
          <w:i/>
          <w:iCs/>
          <w:lang w:eastAsia="lt-LT"/>
        </w:rPr>
        <w:t>Hirschsprung</w:t>
      </w:r>
      <w:r>
        <w:rPr>
          <w:rFonts w:ascii="Times New Roman" w:eastAsia="Times New Roman" w:hAnsi="Times New Roman" w:cs="Times New Roman"/>
          <w:lang w:eastAsia="lt-LT"/>
        </w:rPr>
        <w:t xml:space="preserve">) liga, operuota išangės atrezija ar kitoks sunkus motorikos sutrikimas. Reikia visada ištirti kitas galimas sutrikimo priežastis ir įrodyti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enterokolitą.</w:t>
      </w:r>
    </w:p>
    <w:p w14:paraId="1D1CB3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130D6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Galima sisteminė absorbcija</w:t>
      </w:r>
    </w:p>
    <w:p w14:paraId="79AF7E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Absorbcija gali sustiprėti pacientams, sergantiems uždegimine žarnyno gleivinės liga arba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sukeltu pseudomembraniniu kolitu. Tokiems pacientams gali būti nepageidaujamų reakcijų pasireiškimo rizika, ypač jei derinyje yra inkstų funkcijos sutrikimas. Kuo labiau yra sutrikusi inkstų funkcija, tuo yra didesnė su parenteriniu vankomicino vartojimu susijusių nepageidaujamų reakcijų pasireiškimo rizika. Pacientams, kuriems yra uždegiminių žarnyno sutrikimų, turi būti nustatomos vankomicino koncentracijos kraujo serume.</w:t>
      </w:r>
    </w:p>
    <w:p w14:paraId="5C901B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7F4D4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Nefrotoksinis poveikis</w:t>
      </w:r>
    </w:p>
    <w:p w14:paraId="71C4FD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Reikia kartotinai tirti inkstų funkciją gydant pacientus, kuriems yra inkstų funkcijos sutrikimas, arba pacientus, kurie derinyje yra gydomi aminoglikozidais ar kitais nefrotoksinį poveikį sukeliančiais vaistiniais preparatais.</w:t>
      </w:r>
    </w:p>
    <w:p w14:paraId="2D2FAE6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41C5E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Ototoksinis poveikis</w:t>
      </w:r>
    </w:p>
    <w:p w14:paraId="0B5158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Kartotiniai klausos funkcijos tyrimai gali padėti sumažinti ototoksinio poveikio riziką pacientams, kuriems yra susilpnėjusi klausa arba kurie derinyje vartoja ototoksinį poveikį sukeliančių vaistinių preparatų, pvz., aminoglikozidų.</w:t>
      </w:r>
    </w:p>
    <w:p w14:paraId="4AC0DC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CC323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motoriką slopinančiais vaistiniais preparatais ir protonų siurblio inhibitoriais</w:t>
      </w:r>
    </w:p>
    <w:p w14:paraId="2BB06A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Motoriką slopinančių vaistinių preparatų vartoti nerekomenduojama, o gydymo protonų siurblio inhibitoriais būtinybę reikia įvertinti iš naujo.</w:t>
      </w:r>
    </w:p>
    <w:p w14:paraId="29F9A6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78179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Vaistiniams preparatams atsparių bakterijų atsiradimas</w:t>
      </w:r>
    </w:p>
    <w:p w14:paraId="3F2CD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vartojimas per burną didina vankomicinui atsparių enterokokų kolonijų atsiradimo virškinimo trakte riziką. Dėl to vankomiciną vartoti per burną reikia pagrįstai (tik tais atvejais, kai būtina).</w:t>
      </w:r>
    </w:p>
    <w:p w14:paraId="3669B5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5597B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4.5</w:t>
      </w:r>
      <w:r>
        <w:rPr>
          <w:rFonts w:ascii="Times New Roman" w:eastAsia="Times New Roman" w:hAnsi="Times New Roman" w:cs="Times New Roman"/>
          <w:b/>
          <w:lang w:eastAsia="lt-LT"/>
        </w:rPr>
        <w:tab/>
        <w:t>Sąveika su kitais vaistiniais preparatais ir kitokia sąveika</w:t>
      </w:r>
    </w:p>
    <w:p w14:paraId="3EAAF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3AA2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vartojant derinyje su anestetikais pasireiškė eritema, paraudimas su karščio pojūčiu, panašiu į histamino sukeliamą, bei anafilaktoidinės reakcijos (žr. 4.4 skyrių).</w:t>
      </w:r>
    </w:p>
    <w:p w14:paraId="248AD4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06BB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pranešimų, kad su infuzija susijusių reiškinių dažnis didėja, jei derinyje vartojami anestetikai.</w:t>
      </w:r>
    </w:p>
    <w:p w14:paraId="065F22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Nuo infuzijos priklausomus reiškinius galima labai sumažinti, jei vankomicino lašinama 60 min. prieš anestetikų vartojimą. Vartojant anestezijos metu, dozę reikia skiesti iki 5 mg/ml ar mažiau ir lėtai leisti atidžiai stebint širdies būklę. Kūno padėties į vertikalią reikia nekeisti tol, kol nebus užbaigta infuzija, tik ją pabaigus kūno padėtį būtų galima keisti į vertikalią.</w:t>
      </w:r>
    </w:p>
    <w:p w14:paraId="0AB3CF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3787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derinyje arba paeiliui vartojama sisteminio arba lokalaus poveikio vaistinių preparatų, galinčių sukelti ototoksinį arba nefrotoksinį poveikį, pvz., amfotericino B, aminoglikozidų, bacitracino, polimiksino B, piperacilino/tazobaktamo, kolistino, viomicino, cisplatinos, kilpinių diuretikų ar nesteroidinių vaistinių preparatų nuo uždegimo (NVNU), gali sustiprėti toksinis vankomicino poveikis; jei toks kombinuotasis gydymas yra būtinas, reikia imtis atsargumo priemonių ir pacientus tinkamai stebėti (žr. 4.4 skyrių).</w:t>
      </w:r>
    </w:p>
    <w:p w14:paraId="004A6A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F5A1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Vartojimas per burną:</w:t>
      </w:r>
      <w:r>
        <w:rPr>
          <w:rFonts w:ascii="Times New Roman" w:eastAsia="Times New Roman" w:hAnsi="Times New Roman" w:cs="Times New Roman"/>
          <w:lang w:eastAsia="lt-LT"/>
        </w:rPr>
        <w:t xml:space="preserve"> reikia apsvarstyti protonų siurblio inhibitorių ir motoriką slopinančių vaistinių preparatų vartojimo nutraukimą, atsižvelgiant į vietines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infekcijos gydymo gaires.</w:t>
      </w:r>
    </w:p>
    <w:p w14:paraId="073ADE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66367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4.6</w:t>
      </w:r>
      <w:r>
        <w:rPr>
          <w:rFonts w:ascii="Times New Roman" w:eastAsia="Times New Roman" w:hAnsi="Times New Roman" w:cs="Times New Roman"/>
          <w:b/>
          <w:lang w:eastAsia="lt-LT"/>
        </w:rPr>
        <w:tab/>
        <w:t>Vaisingumas, nėštumo ir žindymo laikotarpis</w:t>
      </w:r>
    </w:p>
    <w:p w14:paraId="04459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3781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Nėštumas</w:t>
      </w:r>
    </w:p>
    <w:p w14:paraId="4EE31A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Teratogeninio poveikio tyrimai buvo atlikti su žiurkėmis (vartota dozė 5 kartus viršijo žmonėms skiriamą dozę) ir triušiais (vartota dozė 3 kartus viršijo žmonėms skiriamą dozę), duomenų apie žalingą vankomicino poveikį vaisiui negauta. Kontroliuoto klinikinio tyrimo metu galimas ototoksinis ir nefrotoksinis vankomicino hiodrochlorido poveikis kūdikiui vertintas vaistinio preparato skiriant nėščioms moterims, kurioms sunki stafilokokinė infekcija pasireiškė kaip piktnaudžiavimo intraveniniais narkotikais komplikacija. Vankomicino hidrochlorido nustatyta virkštelės kraujyje. Su vankomicinu susijusių sensorineuralinio prikurtimo ar nefrotoksinio poveikio nenustatyta. Vienam kūdikiui, kurio motina vankomicino vartojo trečiuoju trimestru, pasireiškė kondukcinis prikurtimas, kuris nelaikytas susijusiu su vankomicinu. Vankomicino buvo vartojama tik antruoju ir trečiuoju nėštumo trimestrais, nėra žinoma, ar jis sukelia žalingą poveikį vaisiui. Vankomicino nėščioms moterims galima skirti tik jei neabejotinai būtina ir tokiu atveju reikia atidžiai stebėti koncentraciją kraujyje, siekiant sumažinti toksinio poveikio vaisiui riziką. Vis dėlto pranešta, kad nėščioms moterims gali prireikti reikšmingai didesnių dozių terapinei koncentracijai kraujo serume pasiekti.</w:t>
      </w:r>
    </w:p>
    <w:p w14:paraId="797D261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2A84D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Žindymas</w:t>
      </w:r>
    </w:p>
    <w:p w14:paraId="6737E3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hidrochlorido išsiskiria į motinos pieną. Žindančiai moteriai vankomicino reikia skirti atsargiai. Nėra tikėtina, kad žindomo kūdikio virškinimo trakte bus absorbuojamas reikšmingas vankomicino kiekis.</w:t>
      </w:r>
    </w:p>
    <w:p w14:paraId="662867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223E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Vaisingumas</w:t>
      </w:r>
    </w:p>
    <w:p w14:paraId="37BAC1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Duomenų apie vankomicino hidrochlorido poveikį gyvūnų vislumui nėra.</w:t>
      </w:r>
    </w:p>
    <w:p w14:paraId="129EBB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8BC9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4.7</w:t>
      </w:r>
      <w:r>
        <w:rPr>
          <w:rFonts w:ascii="Times New Roman" w:eastAsia="Times New Roman" w:hAnsi="Times New Roman" w:cs="Times New Roman"/>
          <w:b/>
          <w:lang w:eastAsia="lt-LT"/>
        </w:rPr>
        <w:tab/>
        <w:t>Poveikis gebėjimui vairuoti ir valdyti mechanizmus</w:t>
      </w:r>
    </w:p>
    <w:p w14:paraId="03AF06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88C4B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gebėjimo vairuoti ir valdyti mechanizmus neveikia arba veikia nereikšmingai. </w:t>
      </w:r>
    </w:p>
    <w:p w14:paraId="55EF9B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41C94F2" w14:textId="77777777" w:rsidR="001764C6" w:rsidRDefault="001764C6" w:rsidP="001764C6">
      <w:pPr>
        <w:numPr>
          <w:ilvl w:val="1"/>
          <w:numId w:val="4"/>
        </w:numPr>
        <w:tabs>
          <w:tab w:val="left" w:pos="567"/>
          <w:tab w:val="num"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Nepageidaujamas poveikis</w:t>
      </w:r>
    </w:p>
    <w:p w14:paraId="378AE3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64597C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Saugumo duomenų santrauka</w:t>
      </w:r>
    </w:p>
    <w:p w14:paraId="16DDCD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Dažniausios nepageidaujamos reakcijos yra flebitas, pseudoalerginės reakcijos ir viršutinės kūno dalies paraudimas („raudono kaklo“ sindromas), susijusios su per greita vankomicino infuzija į veną.</w:t>
      </w:r>
    </w:p>
    <w:p w14:paraId="5630A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9E9DC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Parenterinės formos, skirtos vartoti per burną</w:t>
      </w:r>
      <w:r>
        <w:rPr>
          <w:rFonts w:ascii="Times New Roman" w:eastAsia="Times New Roman" w:hAnsi="Times New Roman" w:cs="Times New Roman"/>
          <w:lang w:eastAsia="lt-LT"/>
        </w:rPr>
        <w:t xml:space="preserve">. </w:t>
      </w:r>
    </w:p>
    <w:p w14:paraId="3A16B3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absorbcija iš virškinimo trakto yra nereikšminga. Vis dėlto, jei yra sunkus žarnyno gleivinės uždegimas, ypač jei taip pat yra inkstų nepakankamumas, gali pasireikšti nepageidaujamų reakcijų, atsirandančių vankomicino vartojant parenteriniu būdu.</w:t>
      </w:r>
    </w:p>
    <w:p w14:paraId="13F227A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BE7CA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Pranešta apie su vankomicino vartojimu susijusias sunkias odos nepageidaujamas reakcijas (SNOR), įskaitant Stivenso - Džonsono (</w:t>
      </w:r>
      <w:r>
        <w:rPr>
          <w:rFonts w:ascii="Times New Roman" w:eastAsia="Times New Roman" w:hAnsi="Times New Roman" w:cs="Times New Roman"/>
          <w:i/>
          <w:iCs/>
          <w:lang w:eastAsia="lt-LT"/>
        </w:rPr>
        <w:t>Stevens-Johnson</w:t>
      </w:r>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nekrolizę (TEN), reakciją į vaistinį preparatą su eozinofilija ir sisteminiais simptomais (angl. </w:t>
      </w:r>
      <w:r>
        <w:rPr>
          <w:rFonts w:ascii="Times New Roman" w:eastAsia="Times New Roman" w:hAnsi="Times New Roman" w:cs="Times New Roman"/>
          <w:i/>
          <w:iCs/>
          <w:lang w:eastAsia="lt-LT"/>
        </w:rPr>
        <w:t>drug reaction with eosinophilia and systemic symptoms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acute generalised exanthematous pustulosis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(žr. 4.4 skyrių).</w:t>
      </w:r>
    </w:p>
    <w:p w14:paraId="164F3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C386D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Nepageidaujamų reakcijų santrauka lentelėje</w:t>
      </w:r>
    </w:p>
    <w:p w14:paraId="001915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Kiekvienoje dažnio grupėje nepageidaujamas poveikis pateikiamas mažėjančio sunkumo tvarka. </w:t>
      </w:r>
    </w:p>
    <w:p w14:paraId="5D4CC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4339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Toliau išvardytos nepageidaujamos reakcijos yra suskirstytos pagal MedDRA organų sistemų klases.</w:t>
      </w:r>
    </w:p>
    <w:p w14:paraId="5F044F82"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36B14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6660"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firstRow="0" w:lastRow="0" w:firstColumn="1" w:lastColumn="0" w:noHBand="0" w:noVBand="1"/>
      </w:tblPr>
      <w:tblGrid>
        <w:gridCol w:w="1418"/>
        <w:gridCol w:w="5242"/>
      </w:tblGrid>
      <w:tr w:rsidR="001764C6" w14:paraId="5A56DB66"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7DF5D0C4"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Organų sistemų klasės</w:t>
            </w:r>
          </w:p>
        </w:tc>
      </w:tr>
      <w:tr w:rsidR="001764C6" w14:paraId="4709827E" w14:textId="77777777" w:rsidTr="001764C6">
        <w:trPr>
          <w:trHeight w:val="381"/>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14:paraId="512BBCFB"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Dažnis</w:t>
            </w:r>
          </w:p>
        </w:tc>
        <w:tc>
          <w:tcPr>
            <w:tcW w:w="5244" w:type="dxa"/>
            <w:tcBorders>
              <w:top w:val="single" w:sz="4" w:space="0" w:color="000000"/>
              <w:left w:val="single" w:sz="4" w:space="0" w:color="000000"/>
              <w:bottom w:val="single" w:sz="4" w:space="0" w:color="000000"/>
              <w:right w:val="single" w:sz="4" w:space="0" w:color="000000"/>
            </w:tcBorders>
            <w:shd w:val="clear" w:color="auto" w:fill="F2F2F2"/>
            <w:hideMark/>
          </w:tcPr>
          <w:p w14:paraId="15FDDCBA"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Nepageidaujama reakcija</w:t>
            </w:r>
          </w:p>
        </w:tc>
      </w:tr>
      <w:tr w:rsidR="001764C6" w:rsidRPr="001764C6" w14:paraId="75B03043"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hideMark/>
          </w:tcPr>
          <w:p w14:paraId="52DFFB15"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Kraujo ir limfinės sistemos sutrikimai</w:t>
            </w:r>
          </w:p>
        </w:tc>
      </w:tr>
      <w:tr w:rsidR="001764C6" w:rsidRPr="001764C6" w14:paraId="0301288F"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338802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29998E9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 neutropenija, agranulocitozė, eozinofilija, trombocitopenija, pancitopenija.</w:t>
            </w:r>
          </w:p>
        </w:tc>
      </w:tr>
      <w:tr w:rsidR="00A80022" w:rsidRPr="001764C6" w14:paraId="1BFDD2D6" w14:textId="77777777" w:rsidTr="001764C6">
        <w:tc>
          <w:tcPr>
            <w:tcW w:w="1418" w:type="dxa"/>
            <w:tcBorders>
              <w:top w:val="single" w:sz="4" w:space="0" w:color="000000"/>
              <w:left w:val="single" w:sz="4" w:space="0" w:color="000000"/>
              <w:bottom w:val="single" w:sz="4" w:space="0" w:color="000000"/>
              <w:right w:val="single" w:sz="4" w:space="0" w:color="000000"/>
            </w:tcBorders>
          </w:tcPr>
          <w:p w14:paraId="3BC3F432" w14:textId="0C5A566C" w:rsidR="00A80022" w:rsidRDefault="00A8002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tcPr>
          <w:p w14:paraId="677C05F7" w14:textId="328A68E6" w:rsidR="00A80022" w:rsidRDefault="00A8002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Hemolizinė anemija</w:t>
            </w:r>
          </w:p>
        </w:tc>
      </w:tr>
      <w:tr w:rsidR="001764C6" w14:paraId="14C8789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5E7DA24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Imuninės sistemos sutrikimai</w:t>
            </w:r>
          </w:p>
        </w:tc>
      </w:tr>
      <w:tr w:rsidR="001764C6" w:rsidRPr="001764C6" w14:paraId="38F78C1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9C5D7D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5F667C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Padidėjusio jautrumo reakcijos, anafilaksinės reakcijos</w:t>
            </w:r>
          </w:p>
        </w:tc>
      </w:tr>
      <w:tr w:rsidR="001764C6" w14:paraId="27911B8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0BC5350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Ausų ir labirintų sutrikimai</w:t>
            </w:r>
          </w:p>
        </w:tc>
      </w:tr>
      <w:tr w:rsidR="001764C6" w14:paraId="41BD452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4D8C6E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Nedažnas</w:t>
            </w:r>
          </w:p>
        </w:tc>
        <w:tc>
          <w:tcPr>
            <w:tcW w:w="5244" w:type="dxa"/>
            <w:tcBorders>
              <w:top w:val="single" w:sz="4" w:space="0" w:color="000000"/>
              <w:left w:val="single" w:sz="4" w:space="0" w:color="000000"/>
              <w:bottom w:val="single" w:sz="4" w:space="0" w:color="000000"/>
              <w:right w:val="single" w:sz="4" w:space="0" w:color="000000"/>
            </w:tcBorders>
            <w:hideMark/>
          </w:tcPr>
          <w:p w14:paraId="0B54729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tc>
      </w:tr>
      <w:tr w:rsidR="001764C6" w14:paraId="1CE5F80A"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11CBE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6C7DFE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Svaigimas, ūžesys (tinnitus), svaigulys</w:t>
            </w:r>
          </w:p>
        </w:tc>
      </w:tr>
      <w:tr w:rsidR="001764C6" w14:paraId="0E44C263"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D695D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Širdies sutrikimai</w:t>
            </w:r>
          </w:p>
        </w:tc>
      </w:tr>
      <w:tr w:rsidR="001764C6" w14:paraId="31B60E4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EE20469"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3FD0360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w:t>
            </w:r>
          </w:p>
        </w:tc>
      </w:tr>
      <w:tr w:rsidR="001764C6" w14:paraId="294CEEA4"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4D8751"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Kraujagyslių sutrikimai</w:t>
            </w:r>
          </w:p>
        </w:tc>
      </w:tr>
      <w:tr w:rsidR="001764C6" w14:paraId="6B3C5F9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6BD69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4F14C7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Kraujospūdžio sumažėjimas</w:t>
            </w:r>
          </w:p>
        </w:tc>
      </w:tr>
      <w:tr w:rsidR="001764C6" w14:paraId="58AE41E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62BB20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5592A0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Vaskulitas</w:t>
            </w:r>
          </w:p>
        </w:tc>
      </w:tr>
      <w:tr w:rsidR="001764C6" w:rsidRPr="001764C6" w14:paraId="794BA888"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243D2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Kvėpavimo sistemos, krūtinės ląstos ir tarpuplaučio sutrikimai</w:t>
            </w:r>
          </w:p>
        </w:tc>
      </w:tr>
      <w:tr w:rsidR="001764C6" w14:paraId="21154EB3"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68D6A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5A41959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Dispnėja, stridoras</w:t>
            </w:r>
          </w:p>
        </w:tc>
      </w:tr>
      <w:tr w:rsidR="001764C6" w14:paraId="40DD626D"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4978F86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Virškinimo trakto sutrikimai</w:t>
            </w:r>
          </w:p>
        </w:tc>
      </w:tr>
      <w:tr w:rsidR="001764C6" w14:paraId="47113048"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815CA7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4705DD8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tc>
      </w:tr>
      <w:tr w:rsidR="001764C6" w14:paraId="292D5A75"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9760DA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40F59A4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Pseudomembraninis enterokolitas</w:t>
            </w:r>
          </w:p>
        </w:tc>
      </w:tr>
      <w:tr w:rsidR="001764C6" w14:paraId="5605D53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BF4163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E05226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tc>
      </w:tr>
      <w:tr w:rsidR="001764C6" w:rsidRPr="001764C6" w14:paraId="73831A81"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8D236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Odos ir poodinio audinio sutrikimai</w:t>
            </w:r>
          </w:p>
        </w:tc>
      </w:tr>
      <w:tr w:rsidR="001764C6" w:rsidRPr="001764C6" w14:paraId="0D09725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9CC6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487E92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paraudimas („raudono žmogaus“ sindromas), egzantema ir gleivinės uždegimas, niežėjimas, dilgėlinė</w:t>
            </w:r>
          </w:p>
        </w:tc>
      </w:tr>
      <w:tr w:rsidR="001764C6" w:rsidRPr="001764C6" w14:paraId="20130D4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3E73306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64154C0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Eksfoliacinis dermatitas, Toksinė epidermio nekrolizė (TEN), Stivenso-Džonsono (</w:t>
            </w:r>
            <w:r>
              <w:rPr>
                <w:rFonts w:ascii="Times New Roman" w:eastAsia="Times New Roman" w:hAnsi="Times New Roman" w:cs="Times New Roman"/>
                <w:i/>
                <w:lang w:eastAsia="lt-LT"/>
              </w:rPr>
              <w:t>Stevens-Johnson)</w:t>
            </w:r>
            <w:r>
              <w:rPr>
                <w:rFonts w:ascii="Times New Roman" w:eastAsia="Times New Roman" w:hAnsi="Times New Roman" w:cs="Times New Roman"/>
                <w:lang w:eastAsia="lt-LT"/>
              </w:rPr>
              <w:t xml:space="preserve"> sindromas, linijinė pūslelinė IgA dermatozė</w:t>
            </w:r>
          </w:p>
        </w:tc>
      </w:tr>
      <w:tr w:rsidR="001764C6" w:rsidRPr="001764C6" w14:paraId="5DD92F7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F20B82"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01B0271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Eozinofilija ir sisteminiai simptomai (DRESS sindromas), ūminė generalizuota egzanteminė pustuliozė (ŪGEP)</w:t>
            </w:r>
          </w:p>
        </w:tc>
      </w:tr>
      <w:tr w:rsidR="001764C6" w:rsidRPr="001764C6" w14:paraId="7B734546"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6FFDECD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Inkstų ir šlapimo takų sutrikimai</w:t>
            </w:r>
          </w:p>
        </w:tc>
      </w:tr>
      <w:tr w:rsidR="001764C6" w:rsidRPr="001764C6" w14:paraId="3D59293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0357A8E"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Calibri" w:hAnsi="Times New Roman" w:cs="Times New Roman"/>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6EAB514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Inkstų nepakankamumas, pradžioje pasireiškiantis kreatinino ir šlapalo kiekių kraujo serume padidėjimu</w:t>
            </w:r>
          </w:p>
        </w:tc>
      </w:tr>
      <w:tr w:rsidR="001764C6" w:rsidRPr="001764C6" w14:paraId="5FEB993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2090087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0A18802"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Intersticinis nefritas, ūminis inkstų nepakankamumas</w:t>
            </w:r>
          </w:p>
        </w:tc>
      </w:tr>
      <w:tr w:rsidR="001764C6" w14:paraId="5EFFC94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C614FF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C46463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Ūminė kanalėlių nekrozė</w:t>
            </w:r>
          </w:p>
        </w:tc>
      </w:tr>
      <w:tr w:rsidR="001764C6" w14:paraId="75B1D3B7"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15DA606C"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Bendrieji sutrikimai ir vartojimo vietos pažeidimai</w:t>
            </w:r>
          </w:p>
        </w:tc>
      </w:tr>
      <w:tr w:rsidR="001764C6" w:rsidRPr="001764C6" w14:paraId="7374370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214146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1760B10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Flebitas, viršutinės kūno dalies ir veido paraudimas</w:t>
            </w:r>
          </w:p>
        </w:tc>
      </w:tr>
      <w:tr w:rsidR="001764C6" w:rsidRPr="001764C6" w14:paraId="72FB065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C70E1F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Retas</w:t>
            </w:r>
          </w:p>
        </w:tc>
        <w:tc>
          <w:tcPr>
            <w:tcW w:w="5244" w:type="dxa"/>
            <w:tcBorders>
              <w:top w:val="single" w:sz="4" w:space="0" w:color="000000"/>
              <w:left w:val="single" w:sz="4" w:space="0" w:color="000000"/>
              <w:bottom w:val="single" w:sz="4" w:space="0" w:color="000000"/>
              <w:right w:val="single" w:sz="4" w:space="0" w:color="000000"/>
            </w:tcBorders>
            <w:hideMark/>
          </w:tcPr>
          <w:p w14:paraId="219883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Medikamentinis karščiavimas, drebulys, krūtinės ir nugaros skausmas ir raumenų spazmai</w:t>
            </w:r>
          </w:p>
        </w:tc>
      </w:tr>
    </w:tbl>
    <w:p w14:paraId="232E52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269D6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Atrinktų nepageidaujamų reakcijų apibūdinimas</w:t>
      </w:r>
    </w:p>
    <w:p w14:paraId="3B722B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 neutropenija dažniausiai pasireiškia praėjus vienai ar daugiau savaičių nuo intraveninio gydymo pradžios arba skyrus bendrą dozę didesnę nei 25 g.</w:t>
      </w:r>
    </w:p>
    <w:p w14:paraId="260068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B4D1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Greitos infuzijos metu arba tuoj pat po jos galimos anafilaksinės/anafilaktoidinės reakcijos, įskaitant gargimą. Infuziją sustabdžius, reakcijos išnyksta paprastai per 20 min.– 2 val. Vankomiciną reikia lašinti lėtai (žr. 4.2 ir 4.4 skyrius). Suleidus į raumenis, gali pasireikšti nekrozė.</w:t>
      </w:r>
    </w:p>
    <w:p w14:paraId="4BD643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5D996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Ūžesys (tinnitus), galimai pasireiškiantis prieš beprasidedantį prikurtimą, turi būti traktuojamas kaip indikacija nutraukti gydymą.</w:t>
      </w:r>
    </w:p>
    <w:p w14:paraId="3760A3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6F9A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Apie ototoksinio poveikio atvejus dažniausiai pranešama, kai pacientams buvo skiriamos didelės dozės, arba kai jie derinyje vartojo kitų toksinį poveikį klausai sukeliančių vaistinių preparatų, tokių kaip aminoglikozidai, arba kai pacientai anksčiau turėjo inkstų ar klausos funkcijų susilpnėjimą.</w:t>
      </w:r>
    </w:p>
    <w:p w14:paraId="018D2C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021AC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0BCB10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Saugumo duomenys vaikams atitinka suaugusių pacientų duomenis. Vaikams aprašytas nefrotoksinis poveikis, dažniausiai susijęs su derinyje kitų nefrotoksinį poveikį sukeliančių vaistinių preparatų, tokių kaip aminoglikozidai, vartojimu.</w:t>
      </w:r>
    </w:p>
    <w:p w14:paraId="08571862"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u w:val="single"/>
        </w:rPr>
      </w:pPr>
    </w:p>
    <w:p w14:paraId="104F235C" w14:textId="77777777" w:rsidR="001764C6" w:rsidRDefault="001764C6" w:rsidP="001764C6">
      <w:pPr>
        <w:keepNext/>
        <w:keepLines/>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Pr>
          <w:rFonts w:ascii="Times New Roman" w:eastAsia="Times New Roman" w:hAnsi="Times New Roman" w:cs="Times New Roman"/>
          <w:noProof/>
          <w:snapToGrid w:val="0"/>
          <w:u w:val="single"/>
        </w:rPr>
        <w:t>Pranešimas apie įtariamas nepageidaujamas reakcijas</w:t>
      </w:r>
    </w:p>
    <w:p w14:paraId="517A269F" w14:textId="34ED3E1F" w:rsidR="00A80022" w:rsidRDefault="00A80022" w:rsidP="001764C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A80022">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3C3F487F"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p>
    <w:p w14:paraId="62CD015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4.9</w:t>
      </w:r>
      <w:r>
        <w:rPr>
          <w:rFonts w:ascii="Times New Roman" w:eastAsia="Times New Roman" w:hAnsi="Times New Roman" w:cs="Times New Roman"/>
          <w:b/>
          <w:lang w:eastAsia="lt-LT"/>
        </w:rPr>
        <w:tab/>
        <w:t>Perdozavimas</w:t>
      </w:r>
    </w:p>
    <w:p w14:paraId="6DB9F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1362B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Perdozavus vaistinio preparato, rekomenduojamas simptominis gydymas kartu palaikant inkstų glomerulų filtraciją.</w:t>
      </w:r>
    </w:p>
    <w:p w14:paraId="69BFB6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Hemodialize arba peritonine dialize vankomicino iš kraujo pašalinama labai nedaug.</w:t>
      </w:r>
    </w:p>
    <w:p w14:paraId="7AC20A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Pranešimų duomenimis hemoperfuzija su polimeriniu adsorbentu </w:t>
      </w:r>
      <w:r>
        <w:rPr>
          <w:rFonts w:ascii="Times New Roman" w:eastAsia="Times New Roman" w:hAnsi="Times New Roman" w:cs="Times New Roman"/>
          <w:i/>
          <w:lang w:eastAsia="lt-LT"/>
        </w:rPr>
        <w:t>Amberlite XAD-4</w:t>
      </w:r>
      <w:r>
        <w:rPr>
          <w:rFonts w:ascii="Times New Roman" w:eastAsia="Times New Roman" w:hAnsi="Times New Roman" w:cs="Times New Roman"/>
          <w:lang w:eastAsia="lt-LT"/>
        </w:rPr>
        <w:t xml:space="preserve"> reikšmingo poveikio nedaro. </w:t>
      </w:r>
    </w:p>
    <w:p w14:paraId="010A8E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1C706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710055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FARMAKOLOGINĖS SAVYBĖS</w:t>
      </w:r>
    </w:p>
    <w:p w14:paraId="5CAABB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CD8D5BD" w14:textId="77777777" w:rsidR="001764C6" w:rsidRDefault="001764C6" w:rsidP="001764C6">
      <w:pPr>
        <w:numPr>
          <w:ilvl w:val="1"/>
          <w:numId w:val="6"/>
        </w:numPr>
        <w:tabs>
          <w:tab w:val="left" w:pos="567"/>
          <w:tab w:val="num"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Farmakodinaminės savybės</w:t>
      </w:r>
    </w:p>
    <w:p w14:paraId="458C64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5E7A0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Farmakoterapinė grupė:</w:t>
      </w:r>
    </w:p>
    <w:p w14:paraId="120C68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Sisteminio poveikio antibakteriniai vaistiniai preparatai, glikopeptidų grupės antibakteriniai vaistiniai preparatai, ATC kodas – J01XA01 (leidžiant į veną).</w:t>
      </w:r>
    </w:p>
    <w:p w14:paraId="011EBEF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Vaistiniai preparatai nuo viduriavimo, žarnyną veikiantys priešuždegiminiai/antiinfekciniai vaistiniai preparatai, antibiotikai, ATC kodas –  A07AA09 (vartojant per burną).</w:t>
      </w:r>
    </w:p>
    <w:p w14:paraId="1391192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7E6D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Veikimo mechanizmas</w:t>
      </w:r>
    </w:p>
    <w:p w14:paraId="4D31CF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yra </w:t>
      </w:r>
      <w:r>
        <w:rPr>
          <w:rFonts w:ascii="Times New Roman" w:hAnsi="Times New Roman" w:cs="Times New Roman"/>
        </w:rPr>
        <w:t>triciklinis glikopeptidų</w:t>
      </w:r>
      <w:r>
        <w:rPr>
          <w:rFonts w:ascii="Times New Roman" w:eastAsia="Times New Roman" w:hAnsi="Times New Roman" w:cs="Times New Roman"/>
          <w:lang w:eastAsia="lt-LT"/>
        </w:rPr>
        <w:t xml:space="preserve"> grupės antibiotikas, kuris slopina jautrių bakterijų ląstelės sienelės sintezę, dideliu afinitetu prisijungdamas prie ląstelės sienelės pirmtako vienetų D-alanil- D-alanino galo. Besidalijantiems mikroorganizmams šis vaistinis preparatas pasižymi lėtu baktericidiniu poveikiu. Taip pat, jis sutrikdo bakterijų ląstelės sienelės pralaidumą bei RNR sintezę.</w:t>
      </w:r>
    </w:p>
    <w:p w14:paraId="0AFEFA8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DE6A0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Santykis tarp farmakokinetikos ir farmakodinamikos</w:t>
      </w:r>
    </w:p>
    <w:p w14:paraId="59959B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Vankomicinui būdingas nuo koncentracijos nepriklausomas aktyvumas. Svarbiausias prognozuojantis veiksmingumo parametras yra plotas po koncentracijos ir laiko kreive (AUC) padalintas iš tikslinių mikroorganizmų minimalios inhibicinės koncentracijos (MIC). Remiantis </w:t>
      </w:r>
      <w:r>
        <w:rPr>
          <w:rFonts w:ascii="Times New Roman" w:eastAsia="Times New Roman" w:hAnsi="Times New Roman" w:cs="Times New Roman"/>
          <w:i/>
          <w:iCs/>
          <w:lang w:eastAsia="lt-LT"/>
        </w:rPr>
        <w:t>in vitro</w:t>
      </w:r>
      <w:r>
        <w:rPr>
          <w:rFonts w:ascii="Times New Roman" w:eastAsia="Times New Roman" w:hAnsi="Times New Roman" w:cs="Times New Roman"/>
          <w:lang w:eastAsia="lt-LT"/>
        </w:rPr>
        <w:t xml:space="preserve"> tyrimų, tyrimų su gyvūnais bei ribotais tyrimų su žmonėmis duomenimis, kaip tikslinis santykis tarp farmakokinetikos ir farmakodinamikos, kuris reikalingas pasiekti kliniškai veiksmingą gydymą vankomicinu, buvo nustatyta 400 AUC/MIC reikšmė. Norint pasiekti šį santykį, kai MIC reikšmė yra ≥ 1,0 mg/l, turi būti skiriama aukštesnės intervalo ribos dozė bei palaikoma aukšta mažiausia koncentracija kraujo serume (15</w:t>
      </w:r>
      <w:r>
        <w:rPr>
          <w:rFonts w:ascii="Times New Roman" w:eastAsia="Times New Roman" w:hAnsi="Times New Roman" w:cs="Times New Roman"/>
          <w:lang w:eastAsia="lt-LT"/>
        </w:rPr>
        <w:noBreakHyphen/>
        <w:t>20 mg/l) (žr. 4.2 skyrių).</w:t>
      </w:r>
    </w:p>
    <w:p w14:paraId="5B798AF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D590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Atsparumo mechanizmas</w:t>
      </w:r>
    </w:p>
    <w:p w14:paraId="7C22FA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Įgytas atsparumas glikopeptidams yra dažniausias enterokokams, jis priklauso nuo įvairių </w:t>
      </w:r>
      <w:r>
        <w:rPr>
          <w:rFonts w:ascii="Times New Roman" w:eastAsia="Times New Roman" w:hAnsi="Times New Roman" w:cs="Times New Roman"/>
          <w:i/>
          <w:lang w:eastAsia="lt-LT"/>
        </w:rPr>
        <w:t>van</w:t>
      </w:r>
      <w:r>
        <w:rPr>
          <w:rFonts w:ascii="Times New Roman" w:eastAsia="Times New Roman" w:hAnsi="Times New Roman" w:cs="Times New Roman"/>
          <w:lang w:eastAsia="lt-LT"/>
        </w:rPr>
        <w:t xml:space="preserve"> geno kompleksų, kurie taikinį D-alanil-D-alaniną modifikuoja į D-alanil-D-laktatą arba D-alanil-D-seriną, prie kurių vankomicinas prisijungia prastai. Kai kuriose šalyse pastebimas atsparumo atvejų didėjimas, ypatingai enterokokų. Ypatingai nerimą kelia multirezistentiškos </w:t>
      </w:r>
      <w:r>
        <w:rPr>
          <w:rFonts w:ascii="Times New Roman" w:eastAsia="Times New Roman" w:hAnsi="Times New Roman" w:cs="Times New Roman"/>
          <w:i/>
          <w:iCs/>
          <w:lang w:eastAsia="lt-LT"/>
        </w:rPr>
        <w:t xml:space="preserve">Enterococcus faecium </w:t>
      </w:r>
      <w:r>
        <w:rPr>
          <w:rFonts w:ascii="Times New Roman" w:eastAsia="Times New Roman" w:hAnsi="Times New Roman" w:cs="Times New Roman"/>
          <w:lang w:eastAsia="lt-LT"/>
        </w:rPr>
        <w:t>padermės.</w:t>
      </w:r>
    </w:p>
    <w:p w14:paraId="65020A8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59C2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Retais atvejais </w:t>
      </w:r>
      <w:r>
        <w:rPr>
          <w:rFonts w:ascii="Times New Roman" w:eastAsia="Times New Roman" w:hAnsi="Times New Roman" w:cs="Times New Roman"/>
          <w:i/>
          <w:lang w:eastAsia="lt-LT"/>
        </w:rPr>
        <w:t>van</w:t>
      </w:r>
      <w:r>
        <w:rPr>
          <w:rFonts w:ascii="Times New Roman" w:eastAsia="Times New Roman" w:hAnsi="Times New Roman" w:cs="Times New Roman"/>
          <w:lang w:eastAsia="lt-LT"/>
        </w:rPr>
        <w:t xml:space="preserve"> genų buvo rasta </w:t>
      </w:r>
      <w:r>
        <w:rPr>
          <w:rFonts w:ascii="Times New Roman" w:eastAsia="Times New Roman" w:hAnsi="Times New Roman" w:cs="Times New Roman"/>
          <w:i/>
          <w:iCs/>
          <w:lang w:eastAsia="lt-LT"/>
        </w:rPr>
        <w:t>Staphylococcus aureus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padermėse, jų ląstelės membranos sudėties pokyčiai lemia vidutinį jautrumą, kuris dažniausiai yra heterogeninis. Taip pat gauta pranešimų apie meticilinui atsparias </w:t>
      </w:r>
      <w:r>
        <w:rPr>
          <w:rFonts w:ascii="Times New Roman" w:eastAsia="Times New Roman" w:hAnsi="Times New Roman" w:cs="Times New Roman"/>
          <w:i/>
          <w:iCs/>
          <w:lang w:eastAsia="lt-LT"/>
        </w:rPr>
        <w:t xml:space="preserve">Staphylococcus </w:t>
      </w:r>
      <w:r>
        <w:rPr>
          <w:rFonts w:ascii="Times New Roman" w:eastAsia="Times New Roman" w:hAnsi="Times New Roman" w:cs="Times New Roman"/>
          <w:i/>
          <w:lang w:eastAsia="lt-LT"/>
        </w:rPr>
        <w:t>padermes</w:t>
      </w:r>
      <w:r>
        <w:rPr>
          <w:rFonts w:ascii="Times New Roman" w:eastAsia="Times New Roman" w:hAnsi="Times New Roman" w:cs="Times New Roman"/>
          <w:lang w:eastAsia="lt-LT"/>
        </w:rPr>
        <w:t xml:space="preserve"> (MRSA), kurie turėjo sumažėjusį jautrumą vankomicinui. Sumažėjęs stafilokokų jautrumas arba atsparumas vankomicinui nėra gerai suprantamas. Tam reikalingi keli genetiniai elementai bei daugybinės mutacijos.</w:t>
      </w:r>
    </w:p>
    <w:p w14:paraId="008BF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048A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Kryžminio atsparumo tarp vankomicino ir kitų grupių antibiotikų nėra. Tačiau galimas kryžminis atsparumas tarp vankomicino ir kitų glikopeptidinių antibiotikų, tokių kaip teikoplaninas. Antrinis atsparumo išsivystymas gydymo metu pasitaiko retai.</w:t>
      </w:r>
    </w:p>
    <w:p w14:paraId="0D4C090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01FFC8" w14:textId="77777777" w:rsidR="001764C6" w:rsidRDefault="001764C6" w:rsidP="001764C6">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Sinerginis poveikis</w:t>
      </w:r>
    </w:p>
    <w:p w14:paraId="1CBE7563"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vankomiciną derinyje su aminoglikozidų grupės antibiotikais pasiekiamas sinerginis poveikis prieš daugumą </w:t>
      </w:r>
      <w:r>
        <w:rPr>
          <w:rFonts w:ascii="Times New Roman" w:eastAsia="Times New Roman" w:hAnsi="Times New Roman" w:cs="Times New Roman"/>
          <w:i/>
          <w:iCs/>
          <w:lang w:eastAsia="lt-LT"/>
        </w:rPr>
        <w:t>Staphylococcus aureus</w:t>
      </w:r>
      <w:r>
        <w:rPr>
          <w:rFonts w:ascii="Times New Roman" w:eastAsia="Times New Roman" w:hAnsi="Times New Roman" w:cs="Times New Roman"/>
          <w:lang w:eastAsia="lt-LT"/>
        </w:rPr>
        <w:t xml:space="preserve">, ne enterokokų grupės D-streptokokų, </w:t>
      </w:r>
      <w:r>
        <w:rPr>
          <w:rFonts w:ascii="Times New Roman" w:eastAsia="Times New Roman" w:hAnsi="Times New Roman" w:cs="Times New Roman"/>
          <w:i/>
          <w:iCs/>
          <w:lang w:eastAsia="lt-LT"/>
        </w:rPr>
        <w:t>Viridans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grupių enterokokų ir streptokokų padermių. Vankomicino derinimas su cefalosporinu turi sinerginį poveikį prieš kai kuriuos oksacilinui atsparias </w:t>
      </w:r>
      <w:r>
        <w:rPr>
          <w:rFonts w:ascii="Times New Roman" w:eastAsia="Times New Roman" w:hAnsi="Times New Roman" w:cs="Times New Roman"/>
          <w:i/>
          <w:iCs/>
          <w:lang w:eastAsia="lt-LT"/>
        </w:rPr>
        <w:t>Staphylococcus epidermidis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o vankomicino derinimas su rifampicinu turi sinerginį poveikį prieš </w:t>
      </w:r>
      <w:r>
        <w:rPr>
          <w:rFonts w:ascii="Times New Roman" w:eastAsia="Times New Roman" w:hAnsi="Times New Roman" w:cs="Times New Roman"/>
          <w:i/>
          <w:iCs/>
          <w:lang w:eastAsia="lt-LT"/>
        </w:rPr>
        <w:t>Staphylococcus epidermidis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ir dalinai sinerginį poveikį prieš kai kurias </w:t>
      </w:r>
      <w:r>
        <w:rPr>
          <w:rFonts w:ascii="Times New Roman" w:eastAsia="Times New Roman" w:hAnsi="Times New Roman" w:cs="Times New Roman"/>
          <w:i/>
          <w:iCs/>
          <w:lang w:eastAsia="lt-LT"/>
        </w:rPr>
        <w:t>Staphylococcus aureus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Kadangi, vankomicino skyrimas derinyje su cefalosporinų taip pat gali turėti antagonistinį poveikį prieš kai kurias </w:t>
      </w:r>
      <w:r>
        <w:rPr>
          <w:rFonts w:ascii="Times New Roman" w:eastAsia="Times New Roman" w:hAnsi="Times New Roman" w:cs="Times New Roman"/>
          <w:i/>
          <w:iCs/>
          <w:lang w:eastAsia="lt-LT"/>
        </w:rPr>
        <w:t xml:space="preserve">Staphylococcus epidermidis </w:t>
      </w:r>
      <w:r>
        <w:rPr>
          <w:rFonts w:ascii="Times New Roman" w:eastAsia="Times New Roman" w:hAnsi="Times New Roman" w:cs="Times New Roman"/>
          <w:lang w:eastAsia="lt-LT"/>
        </w:rPr>
        <w:t>padermes, o skyrimas derinyje su rifampicinu – prieš kai kurias</w:t>
      </w:r>
      <w:r>
        <w:rPr>
          <w:rFonts w:ascii="Times New Roman" w:eastAsia="Times New Roman" w:hAnsi="Times New Roman" w:cs="Times New Roman"/>
          <w:i/>
          <w:lang w:eastAsia="lt-LT"/>
        </w:rPr>
        <w:t xml:space="preserve"> </w:t>
      </w:r>
      <w:r>
        <w:rPr>
          <w:rFonts w:ascii="Times New Roman" w:eastAsia="Times New Roman" w:hAnsi="Times New Roman" w:cs="Times New Roman"/>
          <w:i/>
          <w:iCs/>
          <w:lang w:eastAsia="lt-LT"/>
        </w:rPr>
        <w:t xml:space="preserve">Staphylococcus aureus </w:t>
      </w:r>
      <w:r>
        <w:rPr>
          <w:rFonts w:ascii="Times New Roman" w:eastAsia="Times New Roman" w:hAnsi="Times New Roman" w:cs="Times New Roman"/>
          <w:lang w:eastAsia="lt-LT"/>
        </w:rPr>
        <w:t>padermes, prieš šių vaistinių preparatų derinimą gali būti naudinga atlikti sinergizmo tyrimus.</w:t>
      </w:r>
    </w:p>
    <w:p w14:paraId="51AA0A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37381D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Siekiant identifikuoti organizmus sukėlusius infekciją ir nustatyti jų jautrumą vankomicinui, turi būti paimami ir izoliuojami bakterijų kultūrų mėginiai.</w:t>
      </w:r>
    </w:p>
    <w:p w14:paraId="014811D6"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4E0E93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Jautrumo tyrimų ribos</w:t>
      </w:r>
    </w:p>
    <w:p w14:paraId="03602F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veikia gramteigiamas bakterijas, tokias kaip stafilokokai, streptokokai, enterokokai, pneumokokai ir klostridijos. Gramneigiamos bakterijos yra atsparios.</w:t>
      </w:r>
    </w:p>
    <w:p w14:paraId="1C0C7B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7E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Tam tikrų rūšių įgyto atsparumo paplitimas gali skirtis priklausomai nuo geografinės vietos ir laiko, todėl reikia susipažinti su vietine informacija apie atsparumą, ypač gydant sunkias infekcijas. Jeigu vietinis mikroorganizmų atsparumas yra toks, kad vaistinio preparato veiksmingumas kai kurioms infekcijų formoms gydyti yra abejotinas, prireikus galima, kreiptis į ekspertą patarimo. Ši informacija suteikia tik apytiksles gaires dėl mikroorganizmų jautrumo vankomicinui.</w:t>
      </w:r>
    </w:p>
    <w:p w14:paraId="4D1EEB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9E51A" w14:textId="77777777" w:rsidR="001764C6" w:rsidRDefault="001764C6" w:rsidP="001764C6">
      <w:pPr>
        <w:tabs>
          <w:tab w:val="left" w:pos="567"/>
        </w:tabs>
        <w:spacing w:after="0" w:line="240" w:lineRule="auto"/>
        <w:rPr>
          <w:rFonts w:ascii="Times New Roman" w:eastAsia="Times New Roman" w:hAnsi="Times New Roman" w:cs="Times New Roman"/>
          <w:lang w:val="en-US" w:eastAsia="lt-LT"/>
        </w:rPr>
      </w:pPr>
      <w:r>
        <w:rPr>
          <w:rFonts w:ascii="Times New Roman" w:eastAsia="Times New Roman" w:hAnsi="Times New Roman" w:cs="Times New Roman"/>
          <w:lang w:eastAsia="lt-LT"/>
        </w:rPr>
        <w:t>Minimalios inhibicinės koncentracijos (MIK) ribos nustatytos EUCAST (ang.</w:t>
      </w:r>
      <w:r>
        <w:rPr>
          <w:rFonts w:ascii="Times New Roman" w:eastAsia="Times New Roman" w:hAnsi="Times New Roman" w:cs="Times New Roman"/>
          <w:i/>
          <w:lang w:eastAsia="lt-LT"/>
        </w:rPr>
        <w:t xml:space="preserve"> European Committee on Antimicrobial Susceptibility Testing</w:t>
      </w:r>
      <w:r>
        <w:rPr>
          <w:rFonts w:ascii="Times New Roman" w:eastAsia="Times New Roman" w:hAnsi="Times New Roman" w:cs="Times New Roman"/>
          <w:lang w:eastAsia="lt-LT"/>
        </w:rPr>
        <w:t>) nurodytos toliau (galioja nuo 2022-12-01).</w:t>
      </w:r>
    </w:p>
    <w:p w14:paraId="6616D4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701"/>
        <w:gridCol w:w="1418"/>
      </w:tblGrid>
      <w:tr w:rsidR="001764C6" w14:paraId="2B856A23" w14:textId="77777777" w:rsidTr="001764C6">
        <w:tc>
          <w:tcPr>
            <w:tcW w:w="3827" w:type="dxa"/>
            <w:tcBorders>
              <w:top w:val="single" w:sz="4" w:space="0" w:color="auto"/>
              <w:left w:val="single" w:sz="4" w:space="0" w:color="auto"/>
              <w:bottom w:val="single" w:sz="4" w:space="0" w:color="auto"/>
              <w:right w:val="single" w:sz="4" w:space="0" w:color="auto"/>
            </w:tcBorders>
          </w:tcPr>
          <w:p w14:paraId="14E841EA" w14:textId="77777777" w:rsidR="001764C6" w:rsidRDefault="001764C6">
            <w:pPr>
              <w:spacing w:after="0" w:line="240" w:lineRule="auto"/>
              <w:jc w:val="both"/>
              <w:rPr>
                <w:rFonts w:ascii="Times New Roman" w:eastAsia="Times New Roman" w:hAnsi="Times New Roman" w:cs="Times New Roman"/>
                <w:lang w:eastAsia="en-GB"/>
              </w:rPr>
            </w:pPr>
          </w:p>
        </w:tc>
        <w:tc>
          <w:tcPr>
            <w:tcW w:w="1701" w:type="dxa"/>
            <w:tcBorders>
              <w:top w:val="single" w:sz="4" w:space="0" w:color="auto"/>
              <w:left w:val="single" w:sz="4" w:space="0" w:color="auto"/>
              <w:bottom w:val="single" w:sz="4" w:space="0" w:color="auto"/>
              <w:right w:val="single" w:sz="4" w:space="0" w:color="auto"/>
            </w:tcBorders>
            <w:hideMark/>
          </w:tcPr>
          <w:p w14:paraId="2D357989"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Jautrūs</w:t>
            </w:r>
          </w:p>
        </w:tc>
        <w:tc>
          <w:tcPr>
            <w:tcW w:w="1418" w:type="dxa"/>
            <w:tcBorders>
              <w:top w:val="single" w:sz="4" w:space="0" w:color="auto"/>
              <w:left w:val="single" w:sz="4" w:space="0" w:color="auto"/>
              <w:bottom w:val="single" w:sz="4" w:space="0" w:color="auto"/>
              <w:right w:val="single" w:sz="4" w:space="0" w:color="auto"/>
            </w:tcBorders>
            <w:hideMark/>
          </w:tcPr>
          <w:p w14:paraId="77845A34"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Atsparūs</w:t>
            </w:r>
          </w:p>
        </w:tc>
      </w:tr>
      <w:tr w:rsidR="001764C6" w14:paraId="4647DF57"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8459443"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 xml:space="preserve">Aerococcus sanguinicola </w:t>
            </w:r>
            <w:r>
              <w:rPr>
                <w:rFonts w:ascii="Times New Roman" w:eastAsia="Times New Roman" w:hAnsi="Times New Roman" w:cs="Times New Roman"/>
                <w:lang w:eastAsia="en-GB"/>
              </w:rPr>
              <w:t xml:space="preserve">ir </w:t>
            </w:r>
            <w:r>
              <w:rPr>
                <w:rFonts w:ascii="Times New Roman" w:eastAsia="Times New Roman" w:hAnsi="Times New Roman" w:cs="Times New Roman"/>
                <w:i/>
                <w:iCs/>
                <w:lang w:eastAsia="en-GB"/>
              </w:rPr>
              <w:t>A. urinae</w:t>
            </w:r>
          </w:p>
        </w:tc>
        <w:tc>
          <w:tcPr>
            <w:tcW w:w="1701" w:type="dxa"/>
            <w:tcBorders>
              <w:top w:val="single" w:sz="4" w:space="0" w:color="auto"/>
              <w:left w:val="single" w:sz="4" w:space="0" w:color="auto"/>
              <w:bottom w:val="single" w:sz="4" w:space="0" w:color="auto"/>
              <w:right w:val="single" w:sz="4" w:space="0" w:color="auto"/>
            </w:tcBorders>
            <w:hideMark/>
          </w:tcPr>
          <w:p w14:paraId="6055961F"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c>
          <w:tcPr>
            <w:tcW w:w="1418" w:type="dxa"/>
            <w:tcBorders>
              <w:top w:val="single" w:sz="4" w:space="0" w:color="auto"/>
              <w:left w:val="single" w:sz="4" w:space="0" w:color="auto"/>
              <w:bottom w:val="single" w:sz="4" w:space="0" w:color="auto"/>
              <w:right w:val="single" w:sz="4" w:space="0" w:color="auto"/>
            </w:tcBorders>
            <w:hideMark/>
          </w:tcPr>
          <w:p w14:paraId="4E6CFD8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r>
      <w:tr w:rsidR="001764C6" w14:paraId="5632EF96"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E4FF3A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Bacillus anthracis</w:t>
            </w:r>
          </w:p>
        </w:tc>
        <w:tc>
          <w:tcPr>
            <w:tcW w:w="1701" w:type="dxa"/>
            <w:tcBorders>
              <w:top w:val="single" w:sz="4" w:space="0" w:color="auto"/>
              <w:left w:val="single" w:sz="4" w:space="0" w:color="auto"/>
              <w:bottom w:val="single" w:sz="4" w:space="0" w:color="auto"/>
              <w:right w:val="single" w:sz="4" w:space="0" w:color="auto"/>
            </w:tcBorders>
            <w:hideMark/>
          </w:tcPr>
          <w:p w14:paraId="6C425E5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4929732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r>
      <w:tr w:rsidR="001764C6" w14:paraId="0B05DC7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B1E4094"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Bacillus spp. išskyrus B. anthracis</w:t>
            </w:r>
          </w:p>
        </w:tc>
        <w:tc>
          <w:tcPr>
            <w:tcW w:w="1701" w:type="dxa"/>
            <w:tcBorders>
              <w:top w:val="single" w:sz="4" w:space="0" w:color="auto"/>
              <w:left w:val="single" w:sz="4" w:space="0" w:color="auto"/>
              <w:bottom w:val="single" w:sz="4" w:space="0" w:color="auto"/>
              <w:right w:val="single" w:sz="4" w:space="0" w:color="auto"/>
            </w:tcBorders>
            <w:hideMark/>
          </w:tcPr>
          <w:p w14:paraId="52A06DF8"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FA794D7"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27B3E885"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AE78B7B"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Clostridium perfringens</w:t>
            </w:r>
          </w:p>
        </w:tc>
        <w:tc>
          <w:tcPr>
            <w:tcW w:w="1701" w:type="dxa"/>
            <w:tcBorders>
              <w:top w:val="single" w:sz="4" w:space="0" w:color="auto"/>
              <w:left w:val="single" w:sz="4" w:space="0" w:color="auto"/>
              <w:bottom w:val="single" w:sz="4" w:space="0" w:color="auto"/>
              <w:right w:val="single" w:sz="4" w:space="0" w:color="auto"/>
            </w:tcBorders>
            <w:hideMark/>
          </w:tcPr>
          <w:p w14:paraId="1FDEEE1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6618EE6"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66DA79B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BEBFD6D"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lastRenderedPageBreak/>
              <w:t>Staphylococcus aureus</w:t>
            </w:r>
            <w:r>
              <w:rPr>
                <w:rFonts w:ascii="Times New Roman" w:eastAsia="Times New Roman" w:hAnsi="Times New Roman" w:cs="Times New Roman"/>
                <w:i/>
                <w:iCs/>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76600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F2F5B9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BFAF9E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667B451A" w14:textId="77777777" w:rsidR="001764C6" w:rsidRDefault="001764C6">
            <w:pPr>
              <w:spacing w:after="0" w:line="240" w:lineRule="auto"/>
              <w:rPr>
                <w:rFonts w:ascii="Times New Roman" w:eastAsia="Times New Roman" w:hAnsi="Times New Roman" w:cs="Times New Roman"/>
                <w:iCs/>
                <w:color w:val="000000"/>
                <w:lang w:eastAsia="en-GB"/>
              </w:rPr>
            </w:pPr>
            <w:r>
              <w:rPr>
                <w:rFonts w:ascii="Times New Roman" w:eastAsia="Times New Roman" w:hAnsi="Times New Roman" w:cs="Times New Roman"/>
                <w:iCs/>
                <w:color w:val="000000"/>
                <w:lang w:eastAsia="en-GB"/>
              </w:rPr>
              <w:t>Koagulazės negaminantys stafilokokai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2216F36E"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65857589"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4 mg/l</w:t>
            </w:r>
          </w:p>
        </w:tc>
      </w:tr>
      <w:tr w:rsidR="001764C6" w14:paraId="6839B7D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652441F"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
                <w:color w:val="000000"/>
                <w:lang w:eastAsia="en-GB"/>
              </w:rPr>
              <w:t>Cutibacterium acnes</w:t>
            </w:r>
          </w:p>
        </w:tc>
        <w:tc>
          <w:tcPr>
            <w:tcW w:w="1701" w:type="dxa"/>
            <w:tcBorders>
              <w:top w:val="single" w:sz="4" w:space="0" w:color="auto"/>
              <w:left w:val="single" w:sz="4" w:space="0" w:color="auto"/>
              <w:bottom w:val="single" w:sz="4" w:space="0" w:color="auto"/>
              <w:right w:val="single" w:sz="4" w:space="0" w:color="auto"/>
            </w:tcBorders>
            <w:hideMark/>
          </w:tcPr>
          <w:p w14:paraId="4D0C495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B66F7B4"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31B6B41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4D977C"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
                <w:color w:val="000000"/>
                <w:lang w:eastAsia="en-GB"/>
              </w:rPr>
              <w:t>E. gallinarum</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00B91943"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80ACF1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01E37A5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926BCE7"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Cs/>
                <w:color w:val="000000"/>
                <w:lang w:eastAsia="en-GB"/>
              </w:rPr>
              <w:t>Enterokokai išskyrus</w:t>
            </w:r>
            <w:r>
              <w:rPr>
                <w:rFonts w:ascii="Times New Roman" w:eastAsia="Times New Roman" w:hAnsi="Times New Roman" w:cs="Times New Roman"/>
                <w:i/>
                <w:color w:val="000000"/>
                <w:lang w:eastAsia="en-GB"/>
              </w:rPr>
              <w:t xml:space="preserve"> E. casseliflavus</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6E29C3C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347BB26"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3972ED3A"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ED95E2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Cs/>
                <w:color w:val="000000"/>
                <w:lang w:eastAsia="en-GB"/>
              </w:rPr>
              <w:t>Streptococcus A, B, C ir G</w:t>
            </w:r>
            <w:r>
              <w:rPr>
                <w:rFonts w:ascii="Times New Roman" w:eastAsia="Times New Roman" w:hAnsi="Times New Roman" w:cs="Times New Roman"/>
                <w:iCs/>
                <w:color w:val="000000"/>
                <w:vertAlign w:val="superscript"/>
                <w:lang w:eastAsia="en-GB"/>
              </w:rPr>
              <w:t>1</w:t>
            </w:r>
            <w:r>
              <w:rPr>
                <w:rFonts w:ascii="Times New Roman" w:eastAsia="Times New Roman" w:hAnsi="Times New Roman" w:cs="Times New Roman"/>
                <w:iCs/>
                <w:color w:val="000000"/>
                <w:lang w:eastAsia="en-GB"/>
              </w:rPr>
              <w:t xml:space="preserve"> grupės</w:t>
            </w:r>
          </w:p>
        </w:tc>
        <w:tc>
          <w:tcPr>
            <w:tcW w:w="1701" w:type="dxa"/>
            <w:tcBorders>
              <w:top w:val="single" w:sz="4" w:space="0" w:color="auto"/>
              <w:left w:val="single" w:sz="4" w:space="0" w:color="auto"/>
              <w:bottom w:val="single" w:sz="4" w:space="0" w:color="auto"/>
              <w:right w:val="single" w:sz="4" w:space="0" w:color="auto"/>
            </w:tcBorders>
            <w:hideMark/>
          </w:tcPr>
          <w:p w14:paraId="43FD01D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5C3D5F03"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1D21C34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039C9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Streptococcus pneumoniae</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A9A3FF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A95BA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051540E"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34D6CC3"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Viridans</w:t>
            </w:r>
            <w:r>
              <w:rPr>
                <w:rFonts w:ascii="Times New Roman" w:eastAsia="Times New Roman" w:hAnsi="Times New Roman" w:cs="Times New Roman"/>
                <w:iCs/>
                <w:lang w:eastAsia="en-GB"/>
              </w:rPr>
              <w:t xml:space="preserve"> grupės streptokokai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3C5232E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876CAD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191D9DF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B1279C7"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Clostridioides difficile</w:t>
            </w:r>
            <w:r>
              <w:rPr>
                <w:rFonts w:ascii="Times New Roman" w:eastAsia="Times New Roman" w:hAnsi="Times New Roman" w:cs="Times New Roman"/>
                <w:iCs/>
                <w:vertAlign w:val="superscript"/>
                <w:lang w:eastAsia="en-GB"/>
              </w:rPr>
              <w:t>2</w:t>
            </w:r>
          </w:p>
        </w:tc>
        <w:tc>
          <w:tcPr>
            <w:tcW w:w="1701" w:type="dxa"/>
            <w:tcBorders>
              <w:top w:val="single" w:sz="4" w:space="0" w:color="auto"/>
              <w:left w:val="single" w:sz="4" w:space="0" w:color="auto"/>
              <w:bottom w:val="single" w:sz="4" w:space="0" w:color="auto"/>
              <w:right w:val="single" w:sz="4" w:space="0" w:color="auto"/>
            </w:tcBorders>
            <w:hideMark/>
          </w:tcPr>
          <w:p w14:paraId="5ED66E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3679DC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04FABD0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2040B936"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Corynebacterium</w:t>
            </w:r>
            <w:r>
              <w:rPr>
                <w:rFonts w:ascii="Times New Roman" w:eastAsia="Times New Roman" w:hAnsi="Times New Roman" w:cs="Times New Roman"/>
                <w:iCs/>
                <w:lang w:eastAsia="en-GB"/>
              </w:rPr>
              <w:t xml:space="preserve"> spp. išskyrus</w:t>
            </w:r>
            <w:r>
              <w:rPr>
                <w:rFonts w:ascii="Times New Roman" w:eastAsia="Times New Roman" w:hAnsi="Times New Roman" w:cs="Times New Roman"/>
                <w:i/>
                <w:iCs/>
                <w:lang w:eastAsia="en-GB"/>
              </w:rPr>
              <w:t xml:space="preserve"> C. diphtheriae </w:t>
            </w:r>
            <w:r>
              <w:rPr>
                <w:rFonts w:ascii="Times New Roman" w:eastAsia="Times New Roman" w:hAnsi="Times New Roman" w:cs="Times New Roman"/>
                <w:iCs/>
                <w:lang w:eastAsia="en-GB"/>
              </w:rPr>
              <w:t>ir</w:t>
            </w:r>
            <w:r>
              <w:rPr>
                <w:rFonts w:ascii="Times New Roman" w:eastAsia="Times New Roman" w:hAnsi="Times New Roman" w:cs="Times New Roman"/>
                <w:i/>
                <w:iCs/>
                <w:lang w:eastAsia="en-GB"/>
              </w:rPr>
              <w:t xml:space="preserve"> C. ulcerans</w:t>
            </w:r>
          </w:p>
        </w:tc>
        <w:tc>
          <w:tcPr>
            <w:tcW w:w="1701" w:type="dxa"/>
            <w:tcBorders>
              <w:top w:val="single" w:sz="4" w:space="0" w:color="auto"/>
              <w:left w:val="single" w:sz="4" w:space="0" w:color="auto"/>
              <w:bottom w:val="single" w:sz="4" w:space="0" w:color="auto"/>
              <w:right w:val="single" w:sz="4" w:space="0" w:color="auto"/>
            </w:tcBorders>
            <w:hideMark/>
          </w:tcPr>
          <w:p w14:paraId="6E0E08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2B76BB4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bl>
    <w:p w14:paraId="223183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 xml:space="preserve">1 </w:t>
      </w:r>
      <w:r>
        <w:rPr>
          <w:rFonts w:ascii="Times New Roman" w:eastAsia="Times New Roman" w:hAnsi="Times New Roman" w:cs="Times New Roman"/>
          <w:lang w:eastAsia="lt-LT"/>
        </w:rPr>
        <w:t>Nejautrios išskirtos padermės pasitaiko retai arba apie jas dar nepranešta. Reikia patvirtinti bet kokios tokios išskirtos padermės identifikavimo ir antimikrobinio jautrumo tyrimo rezultatus ir išskirtą padermę nusiųsti į referentinę laboratoriją.</w:t>
      </w:r>
    </w:p>
    <w:p w14:paraId="6094E2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Jautrumo ribos yra paremtos epidemiologinėmis ribinėmis reikšmėmis (</w:t>
      </w:r>
      <w:r>
        <w:rPr>
          <w:rFonts w:ascii="Times New Roman" w:eastAsia="Times New Roman" w:hAnsi="Times New Roman" w:cs="Times New Roman"/>
          <w:i/>
          <w:iCs/>
          <w:lang w:eastAsia="lt-LT"/>
        </w:rPr>
        <w:t>epidemiological cut-off values</w:t>
      </w:r>
      <w:r>
        <w:rPr>
          <w:rFonts w:ascii="Times New Roman" w:eastAsia="Times New Roman" w:hAnsi="Times New Roman" w:cs="Times New Roman"/>
          <w:lang w:eastAsia="lt-LT"/>
        </w:rPr>
        <w:t xml:space="preserve">, ECOFF) ir taikomos vankomiciną vartojant per burną </w:t>
      </w:r>
      <w:r>
        <w:rPr>
          <w:rFonts w:ascii="Times New Roman" w:eastAsia="Times New Roman" w:hAnsi="Times New Roman" w:cs="Times New Roman"/>
          <w:i/>
          <w:iCs/>
          <w:lang w:eastAsia="lt-LT"/>
        </w:rPr>
        <w:t>C. difficile</w:t>
      </w:r>
      <w:r>
        <w:rPr>
          <w:rFonts w:ascii="Times New Roman" w:eastAsia="Times New Roman" w:hAnsi="Times New Roman" w:cs="Times New Roman"/>
          <w:lang w:eastAsia="lt-LT"/>
        </w:rPr>
        <w:t xml:space="preserve"> infekcijai gydyti. Klinikinių duomenų, kuriais remiantis būtų galima daryti galutines išvadas dėl MIK ir baigčių ryšio, nėra.</w:t>
      </w:r>
    </w:p>
    <w:p w14:paraId="4ABC8F7B" w14:textId="77777777" w:rsidR="001764C6" w:rsidRDefault="001764C6" w:rsidP="001764C6">
      <w:pPr>
        <w:tabs>
          <w:tab w:val="left" w:pos="567"/>
        </w:tabs>
        <w:spacing w:after="0" w:line="240" w:lineRule="auto"/>
        <w:rPr>
          <w:rFonts w:ascii="Times New Roman" w:eastAsia="Times New Roman" w:hAnsi="Times New Roman" w:cs="Times New Roman"/>
          <w:vertAlign w:val="superscript"/>
          <w:lang w:eastAsia="lt-LT"/>
        </w:rPr>
      </w:pPr>
      <w:r>
        <w:rPr>
          <w:rFonts w:ascii="Times New Roman" w:eastAsia="Times New Roman" w:hAnsi="Times New Roman" w:cs="Times New Roman"/>
          <w:vertAlign w:val="superscript"/>
          <w:lang w:eastAsia="lt-LT"/>
        </w:rPr>
        <w:t xml:space="preserve">3 </w:t>
      </w:r>
      <w:r>
        <w:rPr>
          <w:rFonts w:ascii="Times New Roman" w:eastAsia="Times New Roman" w:hAnsi="Times New Roman" w:cs="Times New Roman"/>
          <w:lang w:eastAsia="lt-LT"/>
        </w:rPr>
        <w:t>Atsparumas vankomicinui yra tikėtinas E. casseliflavus ir E. gallinarum fenotipams, todėl jautrumo tyrimai neturėtų būti atliekami.</w:t>
      </w:r>
    </w:p>
    <w:p w14:paraId="3ED934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1"/>
        <w:tblW w:w="0" w:type="auto"/>
        <w:tblLook w:val="04A0" w:firstRow="1" w:lastRow="0" w:firstColumn="1" w:lastColumn="0" w:noHBand="0" w:noVBand="1"/>
      </w:tblPr>
      <w:tblGrid>
        <w:gridCol w:w="9060"/>
      </w:tblGrid>
      <w:tr w:rsidR="001764C6" w14:paraId="02CEDA06"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DADE24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Įprastai jautrios rūšys</w:t>
            </w:r>
          </w:p>
        </w:tc>
      </w:tr>
      <w:tr w:rsidR="001764C6" w:rsidRPr="001764C6" w14:paraId="1A9E047D"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548EC0F1"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Gramteigiami</w:t>
            </w:r>
          </w:p>
          <w:p w14:paraId="038CB034"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Enterococcus faecalis</w:t>
            </w:r>
          </w:p>
          <w:p w14:paraId="47506C6B"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Staphylococcus aureus</w:t>
            </w:r>
          </w:p>
          <w:p w14:paraId="735C212E"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lang w:eastAsia="lt-LT"/>
              </w:rPr>
              <w:t xml:space="preserve">Meticilinui atsparūs </w:t>
            </w:r>
            <w:r>
              <w:rPr>
                <w:rFonts w:ascii="Times New Roman" w:eastAsia="Times New Roman" w:hAnsi="Times New Roman" w:cs="Times New Roman"/>
                <w:i/>
                <w:iCs/>
                <w:lang w:eastAsia="lt-LT"/>
              </w:rPr>
              <w:t>Staphylococcus aureus</w:t>
            </w:r>
          </w:p>
          <w:p w14:paraId="3071D986"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Koagulazės negaminantys stafilokokai</w:t>
            </w:r>
          </w:p>
          <w:p w14:paraId="1AB2AE3E"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Streptococcus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53D33BB7"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Streptococcus pneumoniae</w:t>
            </w:r>
          </w:p>
          <w:p w14:paraId="69A6C859"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Enteroccocus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3E60FB9D"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Staphylococcus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29A1847D"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Anaerobai</w:t>
            </w:r>
          </w:p>
          <w:p w14:paraId="346469B5"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Clostridium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išskyrus </w:t>
            </w:r>
            <w:r>
              <w:rPr>
                <w:rFonts w:ascii="Times New Roman" w:eastAsia="Times New Roman" w:hAnsi="Times New Roman" w:cs="Times New Roman"/>
                <w:i/>
                <w:iCs/>
                <w:lang w:eastAsia="lt-LT"/>
              </w:rPr>
              <w:t>Clostridium innocuum</w:t>
            </w:r>
          </w:p>
          <w:p w14:paraId="0B38045F"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Eubacterium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7F0C6C27"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Peptostreptococcus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tc>
      </w:tr>
      <w:tr w:rsidR="001764C6" w:rsidRPr="001764C6" w14:paraId="2C90DD84"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3B1EEDAD"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Mikroorganizmai, kurių įgytas atsparumas gali kelti problemų</w:t>
            </w:r>
          </w:p>
        </w:tc>
      </w:tr>
      <w:tr w:rsidR="001764C6" w14:paraId="1F0F1F3C"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4C8ED85C"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Enterococcus faecium</w:t>
            </w:r>
          </w:p>
        </w:tc>
      </w:tr>
      <w:tr w:rsidR="001764C6" w14:paraId="5A6257AF"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22E042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Natūraliai atsparūs</w:t>
            </w:r>
          </w:p>
        </w:tc>
      </w:tr>
      <w:tr w:rsidR="001764C6" w14:paraId="1E244ABB" w14:textId="77777777" w:rsidTr="001764C6">
        <w:tc>
          <w:tcPr>
            <w:tcW w:w="9060" w:type="dxa"/>
            <w:tcBorders>
              <w:top w:val="single" w:sz="4" w:space="0" w:color="auto"/>
              <w:left w:val="single" w:sz="4" w:space="0" w:color="auto"/>
              <w:bottom w:val="single" w:sz="4" w:space="0" w:color="auto"/>
              <w:right w:val="single" w:sz="4" w:space="0" w:color="auto"/>
            </w:tcBorders>
          </w:tcPr>
          <w:p w14:paraId="09CAB6A9"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Visos gramneigiamos bakterijos</w:t>
            </w:r>
          </w:p>
          <w:p w14:paraId="40CE1BF4"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Gramteigiami aerobai</w:t>
            </w:r>
          </w:p>
          <w:p w14:paraId="3E134013"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Erysipelothrix rhusiopathiae,</w:t>
            </w:r>
          </w:p>
          <w:p w14:paraId="038DE9FB"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Heterofermentative Lactobacillus,</w:t>
            </w:r>
          </w:p>
          <w:p w14:paraId="7655E3D3"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Leuconostoc </w:t>
            </w:r>
            <w:r>
              <w:rPr>
                <w:rFonts w:ascii="Times New Roman" w:eastAsia="Times New Roman" w:hAnsi="Times New Roman" w:cs="Times New Roman"/>
                <w:lang w:eastAsia="lt-LT"/>
              </w:rPr>
              <w:t>spp.</w:t>
            </w:r>
          </w:p>
          <w:p w14:paraId="581204D8"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Pediococcus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4650C196" w14:textId="77777777" w:rsidR="001764C6" w:rsidRDefault="001764C6">
            <w:pPr>
              <w:tabs>
                <w:tab w:val="left" w:pos="567"/>
              </w:tabs>
              <w:rPr>
                <w:rFonts w:ascii="Times New Roman" w:eastAsia="Times New Roman" w:hAnsi="Times New Roman" w:cs="Times New Roman"/>
                <w:b/>
                <w:bCs/>
                <w:lang w:eastAsia="lt-LT"/>
              </w:rPr>
            </w:pPr>
          </w:p>
          <w:p w14:paraId="231F7FA5"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Anaerobai</w:t>
            </w:r>
          </w:p>
          <w:p w14:paraId="0A70A2DA"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Clostridium innocuum</w:t>
            </w:r>
          </w:p>
        </w:tc>
      </w:tr>
      <w:tr w:rsidR="001764C6" w14:paraId="32B9B792"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7153B0FC" w14:textId="77777777" w:rsidR="001764C6" w:rsidRDefault="001764C6">
            <w:pPr>
              <w:tabs>
                <w:tab w:val="left" w:pos="567"/>
              </w:tabs>
              <w:rPr>
                <w:rFonts w:ascii="Times New Roman" w:eastAsia="Times New Roman" w:hAnsi="Times New Roman" w:cs="Times New Roman"/>
                <w:bCs/>
                <w:lang w:eastAsia="lt-LT"/>
              </w:rPr>
            </w:pPr>
            <w:r>
              <w:rPr>
                <w:rFonts w:ascii="Times New Roman" w:eastAsia="Times New Roman" w:hAnsi="Times New Roman" w:cs="Times New Roman"/>
                <w:bCs/>
                <w:lang w:eastAsia="lt-LT"/>
              </w:rPr>
              <w:t>Atsparumas vankomicinui skirtingose ligoninėse gali skirtis, todėl rekomenduojama pasikonsultuoti su vietine mikrobiologijos laboratorija dėl vietinės informacijos.</w:t>
            </w:r>
          </w:p>
        </w:tc>
      </w:tr>
    </w:tbl>
    <w:p w14:paraId="19C437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A446CB" w14:textId="77777777" w:rsidR="001764C6" w:rsidRDefault="001764C6" w:rsidP="001764C6">
      <w:pPr>
        <w:numPr>
          <w:ilvl w:val="1"/>
          <w:numId w:val="8"/>
        </w:numPr>
        <w:tabs>
          <w:tab w:val="left" w:pos="567"/>
          <w:tab w:val="num" w:pos="1440"/>
        </w:tabs>
        <w:overflowPunct w:val="0"/>
        <w:autoSpaceDE w:val="0"/>
        <w:autoSpaceDN w:val="0"/>
        <w:adjustRightInd w:val="0"/>
        <w:spacing w:after="0" w:line="240" w:lineRule="auto"/>
        <w:textAlignment w:val="baseline"/>
        <w:rPr>
          <w:rFonts w:ascii="Times New Roman" w:eastAsia="Times New Roman" w:hAnsi="Times New Roman" w:cs="Times New Roman"/>
          <w:b/>
          <w:lang w:eastAsia="lt-LT"/>
        </w:rPr>
      </w:pPr>
      <w:r>
        <w:rPr>
          <w:rFonts w:ascii="Times New Roman" w:eastAsia="Times New Roman" w:hAnsi="Times New Roman" w:cs="Times New Roman"/>
          <w:b/>
          <w:lang w:eastAsia="lt-LT"/>
        </w:rPr>
        <w:t>Farmakokinetinės savybės</w:t>
      </w:r>
    </w:p>
    <w:p w14:paraId="143C8C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1E5D6A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Absorbcija</w:t>
      </w:r>
    </w:p>
    <w:p w14:paraId="19696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sistemines infekcines ligas, vankomicinas leidžiamas į veną.</w:t>
      </w:r>
    </w:p>
    <w:p w14:paraId="7AB063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EFFF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paciento inkstų funkcija normali, kartotines 1 g (15 mg/kg) vankomicino dozes sulašinus į veną per 60 minučių, vidutinė koncentracija kraujo plazmoje tuoj pat po infuzijos pabaigos ir praėjus 2 val. </w:t>
      </w:r>
      <w:r>
        <w:rPr>
          <w:rFonts w:ascii="Times New Roman" w:eastAsia="Times New Roman" w:hAnsi="Times New Roman" w:cs="Times New Roman"/>
          <w:lang w:eastAsia="lt-LT"/>
        </w:rPr>
        <w:lastRenderedPageBreak/>
        <w:t>bei 11 val. po infuzijos būna atitinkamai 50–60 mg/l, 20–25 mg/l ir 5–10 mg/l. Po kartotinų dozių infuzijos koncentracija kraujo plazmoje būna panaši į atsirandančią po vienkartinės dozės infuzijos.</w:t>
      </w:r>
    </w:p>
    <w:p w14:paraId="21265BC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579AB1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Paprastai per burną pavartotas vankomicinas į kraują nėra absorbuojamas. Vis dėlto absorbcija gali pasireikšti, jei vaistinį preparatą per burną vartoja (pseudomembraniniu) kolitu sergantis pacientas. Dėl to pacientų, kurių inkstų funkcija sutrikusi, organizme vankomicinas gali kauptis.</w:t>
      </w:r>
    </w:p>
    <w:p w14:paraId="648D440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A76969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Pasiskirstymas</w:t>
      </w:r>
    </w:p>
    <w:p w14:paraId="527C93A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Pasiskirstymo tūris yra apie 60 l / 1,73 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kūno paviršiaus ploto. Kai vankomicino koncentracija kraujo serume yra 10–100 mg/l, prie kraujo plazmos baltymų jo prisijungia maždaug 30-55% (nustatyta ultrafiltracija).</w:t>
      </w:r>
    </w:p>
    <w:p w14:paraId="10390A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lengvai pereina placentą ir yra paskirstomas į virkštelės kraujotaką. Į uždegimo neapimtus smegenų dangalus per kraujo ir smegenų barjerą vankomicino prasiskverbia mažai.</w:t>
      </w:r>
    </w:p>
    <w:p w14:paraId="7763A08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4120A6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Biotransformacija</w:t>
      </w:r>
    </w:p>
    <w:p w14:paraId="0325BD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Organizme vaistinio preparato metabolizuojama labai mažai. Vartojant parenteriniu būdu, jis beveik pilnai šalinamas glomerulų filtracijos inkstuose būdu mikrobiologiškai aktyvios veikliosios medžiagos formoje (apie 75-90% per 24 valandas).</w:t>
      </w:r>
    </w:p>
    <w:p w14:paraId="59D4645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Eliminacija</w:t>
      </w:r>
    </w:p>
    <w:p w14:paraId="441931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Pacientų, kurių inkstų funkcija normali, organizme vankomicino pusinės eliminacijos laikas yra 4–6 val., vaikų - 2,2–3 val. Plazmos klirensas yra apie 0,058 l/kg/val., inkstų klirensas – apie 0,048 l/kg/val. Maždaug 80% suvartotos vankomicino dozės glomerulų filtracijos būdu išsiskiria su šlapimu per pirmas 24 valandas. Inkstų funkcijos sutrikimas sulėtina vankomicino išsiskyrimą.</w:t>
      </w:r>
    </w:p>
    <w:p w14:paraId="157B7D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Pacientų, kurių inkstai nefunkcionuoja, organizme vidutinis vankomicino pusinės eliminacijos laikas yra 7,5 paros. Dėl vankomicino ototoksinio poveikio, tokiais atvejais papildomai turi būti nustatoma jo koncentracija plazmoje.</w:t>
      </w:r>
    </w:p>
    <w:p w14:paraId="3D9D2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77372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Šalinimas su tulžimi yra nereikšmingas (mažiau nei 5% vaistinio preparato dozės).</w:t>
      </w:r>
    </w:p>
    <w:p w14:paraId="658C7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005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hemodializės ar peritoninės dializės būdais vankomicinas veiksmingai neeliminuojamas, tačiau yra pranešimų apie tai, kad hemoperfuzijos ir hemofiltracijos metu vankomicino klirensas padidėja.</w:t>
      </w:r>
    </w:p>
    <w:p w14:paraId="626EB1B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A5CE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Pavartojus per burną, šlapime nustatyta tik dalis pavartotos dozės. Priešingai, didelė vankomicino koncentracija nustatyta išmatose (&gt; 3100 mg/kg vartojant 2 g paros dozę).</w:t>
      </w:r>
    </w:p>
    <w:p w14:paraId="32EEA2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DD82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Tiesinis / netiesinis pobūdis</w:t>
      </w:r>
    </w:p>
    <w:p w14:paraId="57DFE1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koncentracija didėja proporcingai didinamai dozei. Koncentracija plazmoje vartojant kartotines dozes yra panaši į koncentracijas pasiekiamas vartojant vienkartinę dozę.</w:t>
      </w:r>
    </w:p>
    <w:p w14:paraId="42C904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C3D06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571F14E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inkstų funkcija</w:t>
      </w:r>
    </w:p>
    <w:p w14:paraId="5E71A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daugiausiai šalinamas glomerulų filtracijos būdu. Esant sutrikusiai inkstų funkcijai, prailgėja galutinis vankomicino pusinės eliminacijos laikas ir sumažėja bendras organizmo klirensas. Todėl optimalią dozę reikia apskaičiuoti laikantis dozavimo rekomendacijų pateiktų 4.2 skyriuje „Dozavimas ir vartojimo metodas“.</w:t>
      </w:r>
    </w:p>
    <w:p w14:paraId="48A21CA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E326B4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kepenų funkcija</w:t>
      </w:r>
    </w:p>
    <w:p w14:paraId="3F4AE54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kurių kepenų funkcija sutrikusi, vankomicino farmakokinetika nepakinta.</w:t>
      </w:r>
    </w:p>
    <w:p w14:paraId="374B98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2B5A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Nėščios moterys</w:t>
      </w:r>
    </w:p>
    <w:p w14:paraId="1C410C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068D9E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F36455"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lastRenderedPageBreak/>
        <w:t>Viršsvorio turinys pacientai</w:t>
      </w:r>
    </w:p>
    <w:p w14:paraId="715CCDCB"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 pacientams, vankomicino pasiskirstymas gali pakisti, dėl padidėjusio pasiskirstymo tūrio, inkstų klirenso bei galimų jungimosi prie plazmos baltymų pokyčių. Šioje subpopuliacijoje nustatomos didesnės vankomicino koncentracijos kraujo serume nei sveikiems suaugusiems vyrams (žr. 4.2 skyrių).</w:t>
      </w:r>
    </w:p>
    <w:p w14:paraId="104FD8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2F1C9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4469FB1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Išnešiotiems ir neišnešiotiems naujagimiams, buvo nustatyta didelė vankomicino farmakokinetikos variacija tarp individų. Po intraveninio vartojimo, naujagimiams vankomicino pasiskirstymo tūris varijuoja tarp 0,38 ir 0,97 l/kg, panašiai kaip ir suaugusiems, kai tuo tarpu klirensas varijuoja tarp 0,63 ir 1,4 ml/kg/min. Pusinės eliminacijos laikas varijuoja tarp 3,5 ir 10 val. ir yra ilgesnis nei suaugusiems, kas atitinka įprastai mažesnį naujagimių klirensą.</w:t>
      </w:r>
    </w:p>
    <w:p w14:paraId="30D2A0C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B6FFD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Kūdikiams ir vyresniems vaikams, pasiskirstymo tūris varijuoja tarp 0,26-1,05 l/kg, kai tuo tarpu klirensas – tarp 0,33-1,87 ml/kg/min.</w:t>
      </w:r>
    </w:p>
    <w:p w14:paraId="326CD6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63F95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5.3</w:t>
      </w:r>
      <w:r>
        <w:rPr>
          <w:rFonts w:ascii="Times New Roman" w:eastAsia="Times New Roman" w:hAnsi="Times New Roman" w:cs="Times New Roman"/>
          <w:b/>
          <w:lang w:eastAsia="lt-LT"/>
        </w:rPr>
        <w:tab/>
        <w:t>Ikiklinikinių saugumo tyrimų duomenys</w:t>
      </w:r>
    </w:p>
    <w:p w14:paraId="5A6253C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33ED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ilgalaikių galimo kancerogeninio poveikio tyrimų su gyvūnais neatlikta, įprastinių laboratorinių tyrimų metu galimo mutageninio vankomicino poveikio nenustatyta. Poveikio vaisingumui tyrimų, kuriais remiantis būtų galima daryti išvadas, neatlikta. </w:t>
      </w:r>
    </w:p>
    <w:p w14:paraId="28247DA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AF5CDE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2E90D6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FARMACINĖ INFORMACIJA</w:t>
      </w:r>
    </w:p>
    <w:p w14:paraId="21B322C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48D16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6.1</w:t>
      </w:r>
      <w:r>
        <w:rPr>
          <w:rFonts w:ascii="Times New Roman" w:eastAsia="Times New Roman" w:hAnsi="Times New Roman" w:cs="Times New Roman"/>
          <w:b/>
          <w:lang w:eastAsia="lt-LT"/>
        </w:rPr>
        <w:tab/>
        <w:t>Pagalbinių medžiagų sąrašas</w:t>
      </w:r>
    </w:p>
    <w:p w14:paraId="34972C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A04A3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Nėra.</w:t>
      </w:r>
    </w:p>
    <w:p w14:paraId="6E4AE6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A7DB9F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bookmarkStart w:id="0" w:name="_Hlk129598292"/>
      <w:r>
        <w:rPr>
          <w:rFonts w:ascii="Times New Roman" w:eastAsia="Times New Roman" w:hAnsi="Times New Roman" w:cs="Times New Roman"/>
          <w:b/>
          <w:lang w:eastAsia="lt-LT"/>
        </w:rPr>
        <w:t>6.2</w:t>
      </w:r>
      <w:r>
        <w:rPr>
          <w:rFonts w:ascii="Times New Roman" w:eastAsia="Times New Roman" w:hAnsi="Times New Roman" w:cs="Times New Roman"/>
          <w:b/>
          <w:lang w:eastAsia="lt-LT"/>
        </w:rPr>
        <w:tab/>
        <w:t>Nesuderinamumas</w:t>
      </w:r>
    </w:p>
    <w:p w14:paraId="545474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0353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Vankomicino tirpalo pH yra mažas, todėl sumaišymas su kitomis medžiagomis gali sukelti cheminį arba fizinį nesuderinamumą. Su šarminiais tirpalais maišyti negalima. </w:t>
      </w:r>
    </w:p>
    <w:p w14:paraId="65B320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FA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vankomicino ir beta laktaminių antibiotikų tirpalų mišiniai yra fiziškai nesuderinami. Nuosėdų tikimybė didėja esant didesnei vankomicino koncentracijai. Rekomenduojama tinkamai praplauti intavenines įrangas tarp tarp šių antibiotikų vartojimo. Taip pat, rekomenduojama vankomicino tirpalus skiesti iki 5 mg/ml ar mažesne koncentracija. </w:t>
      </w:r>
    </w:p>
    <w:p w14:paraId="683AE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C1B1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injekcija į stiklakūnį nėra patvirtintas vankomicino vartojimo būdas, tačiau buvo pranešimų apie nuosėdų susidarymą po vankomicino ir ceftazidimo injekcijos į stiklakūnį endoftalmitui gydyti naudojant skirtingus švirkštus ir adatas. Nuosėdos ištirpo palaipsniui, visiškai išvalant stiklakūnio ertmę per du mėnesius ir pagerėjus regėjimo aštrumui.</w:t>
      </w:r>
    </w:p>
    <w:p w14:paraId="1CD5C2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0"/>
    <w:p w14:paraId="4F88EEF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43F63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vaistinio preparato negalima maišyti su kitais, išskyrus nurodytus 6.6 skyriuje.</w:t>
      </w:r>
    </w:p>
    <w:p w14:paraId="71493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16390B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6.3</w:t>
      </w:r>
      <w:r>
        <w:rPr>
          <w:rFonts w:ascii="Times New Roman" w:eastAsia="Times New Roman" w:hAnsi="Times New Roman" w:cs="Times New Roman"/>
          <w:b/>
          <w:lang w:eastAsia="lt-LT"/>
        </w:rPr>
        <w:tab/>
        <w:t>Tinkamumo laikas</w:t>
      </w:r>
    </w:p>
    <w:p w14:paraId="03B490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26E8F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supakuotų miltelių tinkamumo laikas</w:t>
      </w:r>
    </w:p>
    <w:p w14:paraId="0CC54F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 metai.</w:t>
      </w:r>
    </w:p>
    <w:p w14:paraId="088CE14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FAA479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koncentrato tinkamumo laikas</w:t>
      </w:r>
    </w:p>
    <w:p w14:paraId="62884E0E"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14:paraId="22275AC3"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išlieka 96 valandas, </w:t>
      </w:r>
      <w:bookmarkStart w:id="1" w:name="_Hlk163725137"/>
      <w:r>
        <w:rPr>
          <w:rFonts w:ascii="Times New Roman" w:eastAsia="Times New Roman" w:hAnsi="Times New Roman" w:cs="Times New Roman"/>
          <w:lang w:eastAsia="lt-LT"/>
        </w:rPr>
        <w:t>o laikant 25 °C temperatūroje – 24 valandas.</w:t>
      </w:r>
    </w:p>
    <w:bookmarkEnd w:id="1"/>
    <w:p w14:paraId="5AD19E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CD39E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Praskiesto tirpalo tinkamumo laikas</w:t>
      </w:r>
    </w:p>
    <w:p w14:paraId="7A3460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Praskiesto tirpalo cheminis ir fizinis stabilumas išlieka 24 valandas, laikant 25 °C temperatūroje ir 96 valandas, laikant 2 °C </w:t>
      </w:r>
      <w:r>
        <w:rPr>
          <w:rFonts w:ascii="Times New Roman" w:eastAsia="Times New Roman" w:hAnsi="Times New Roman" w:cs="Times New Roman"/>
          <w:szCs w:val="20"/>
          <w:lang w:eastAsia="lt-LT"/>
        </w:rPr>
        <w:t xml:space="preserve">– 8 </w:t>
      </w:r>
      <w:r>
        <w:rPr>
          <w:rFonts w:ascii="Times New Roman" w:eastAsia="Times New Roman" w:hAnsi="Times New Roman" w:cs="Times New Roman"/>
          <w:lang w:eastAsia="lt-LT"/>
        </w:rPr>
        <w:t>°C temperatūroje, praskiedus injekciniu 0,9 % natrio chlorido tirpalu arba injekciniu 5 % gliukozės tirpalu.</w:t>
      </w:r>
    </w:p>
    <w:p w14:paraId="46666D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70B839"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nebent tirpinimas/skiedimas buvo atliktas kontroliuojamomis ir patvirtintomis aseptinėmis sąlygomis.</w:t>
      </w:r>
    </w:p>
    <w:p w14:paraId="19583C0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3796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6.4</w:t>
      </w:r>
      <w:r>
        <w:rPr>
          <w:rFonts w:ascii="Times New Roman" w:eastAsia="Times New Roman" w:hAnsi="Times New Roman" w:cs="Times New Roman"/>
          <w:b/>
          <w:lang w:eastAsia="lt-LT"/>
        </w:rPr>
        <w:tab/>
        <w:t>Specialios laikymo sąlygos</w:t>
      </w:r>
    </w:p>
    <w:p w14:paraId="45568D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198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1AD42D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Šiam vaistiniam preparatui specialių temperatūros laikymo sąlygų nereikia. Flakoną laikyti išorinėje dėžutėje, kad vaistinis preparatas būtų apsaugotas nuo šviesos.</w:t>
      </w:r>
    </w:p>
    <w:p w14:paraId="58DEFE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D70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koncentrato ir praskiesto tirpalo laikymo sąlygos pateikiamos 6.3 skyriuje.</w:t>
      </w:r>
    </w:p>
    <w:p w14:paraId="4D6E9E6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7C0AFF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6.5</w:t>
      </w:r>
      <w:r>
        <w:rPr>
          <w:rFonts w:ascii="Times New Roman" w:eastAsia="Times New Roman" w:hAnsi="Times New Roman" w:cs="Times New Roman"/>
          <w:b/>
          <w:lang w:eastAsia="lt-LT"/>
        </w:rPr>
        <w:tab/>
        <w:t>Talpyklės pobūdis ir jos turinys</w:t>
      </w:r>
    </w:p>
    <w:p w14:paraId="262B4D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4BFF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ml (500 mg) arba 20 ml (1000 mg) bespalvio I tipo stiklo flakonas, užkimštas pilku chlorobutilo guminiu kamščiu ir užspaustu aliuminio nuplėšiamuoju dangteliu.</w:t>
      </w:r>
    </w:p>
    <w:p w14:paraId="0C868E9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1182FC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37ED12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 kurioje yra 1 flakonas arba 10 flakonų.</w:t>
      </w:r>
    </w:p>
    <w:p w14:paraId="1CEE56D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E871E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20A5044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5A28CBB" w14:textId="77777777" w:rsidR="001764C6" w:rsidRDefault="001764C6" w:rsidP="001764C6">
      <w:pPr>
        <w:numPr>
          <w:ilvl w:val="1"/>
          <w:numId w:val="10"/>
        </w:num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Specialūs reikalavimai atliekoms tvarkyti ir vaistiniam preparatui ruošti </w:t>
      </w:r>
      <w:bookmarkStart w:id="2" w:name="_Hlk129597400"/>
    </w:p>
    <w:p w14:paraId="77FDD9D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09A18B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12B40792"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F9317A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68FF0A34"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1B3750FF"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paruoštą tirpalą reikia apžiūrėti, ar nėra nuosėdų ir ar nepakitusi spalva.</w:t>
      </w:r>
    </w:p>
    <w:p w14:paraId="342B13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3A6CFB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Koncentrato paruošimas</w:t>
      </w:r>
    </w:p>
    <w:p w14:paraId="617BA108"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5EDD8BF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745072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4D391F8F"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237C8A7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7BD9B9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6AB0FF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680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tirpalo koncentracija bus 50 mg/ml. Ištirpinus injekciniame vandenyje, susidaro skaidrus tirpalas. </w:t>
      </w:r>
    </w:p>
    <w:p w14:paraId="489866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8E28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7DAC05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5E09A7" w14:textId="77777777" w:rsidR="001764C6" w:rsidRDefault="001764C6" w:rsidP="001764C6">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Galutinio praskiesto infuzinio tirpalo paruošimas:</w:t>
      </w:r>
    </w:p>
    <w:p w14:paraId="71A52940"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682C77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CEEA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C231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 koncentratą, kuriame yra 500 mg vankomicino,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46E94C4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F2037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Paruoštą koncentratą, kuriame yra 1000 mg vankomicino,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1204D9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1F25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Tinkamą dozę reikia lėtai, ne greičiau kaip 10 mg/min., infuzuoti į veną mažiausiai 60 minučių arba net ilgiau. Jeigu infuzuojama trumpiau arba didesnėmis koncentracijomis, gali atsirasti hipotenzija. Greitai infuzuojant gali atsirasti paraudimas ir trumpalaikis bėrimas ant kaklo ir pečių.</w:t>
      </w:r>
    </w:p>
    <w:p w14:paraId="48E6CC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512E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1A7DC5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14FE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4E6F66C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22C6486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D4005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7F1DE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8FBDA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0F8E0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vankomicino koncentracija turi būti ne didesnė kaip 5 mg/ml. Pacientams, kuriems reikia riboti skysčių kiekį, gali būti vartojama iki 10 mg/ml vankomicino koncentracija. </w:t>
      </w:r>
    </w:p>
    <w:p w14:paraId="56C84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A23E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7A532F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4B91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vaistinio preparato laikymo sąlygos nurodytas 6.3 skyriuje „Tinkamumo laikas“. Prieš vartojimą reikia apžiūrėti paruoštą ir praskiestą tirpalą ar jis be matomų medžiagos dalelių ir ar nepakitusi spalva. Vartoti galima tik skaidrų, be matomų dalelių tirpalą.</w:t>
      </w:r>
    </w:p>
    <w:p w14:paraId="421773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B681A4"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2C9834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661EA2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parenteriniu būdu skiriamo 500 mg arba 1000 mg flakono turinį. </w:t>
      </w:r>
    </w:p>
    <w:p w14:paraId="404F5E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FD72C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2,5 ml paruošto koncentrato yra 125 mg vankomicino hidrochlorido, jį reikia praskiesti 5 ml vandens, t. y. 1 dalį paruošto koncentrato reikia skiesti 2 ml vandens. Praskiestą tirpalą galima pacientui duoti išgerti arba supilti per nazogastrinį zondą.</w:t>
      </w:r>
    </w:p>
    <w:p w14:paraId="3CC2C6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897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6EB8F4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4B5C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Atliekų tvarkymas</w:t>
      </w:r>
    </w:p>
    <w:p w14:paraId="521EF1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p>
    <w:p w14:paraId="08165F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2"/>
    <w:p w14:paraId="5D4D29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4DF28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7.</w:t>
      </w:r>
      <w:r>
        <w:rPr>
          <w:rFonts w:ascii="Times New Roman" w:eastAsia="Times New Roman" w:hAnsi="Times New Roman" w:cs="Times New Roman"/>
          <w:b/>
          <w:bCs/>
          <w:snapToGrid w:val="0"/>
          <w:szCs w:val="26"/>
          <w:lang w:eastAsia="x-none"/>
        </w:rPr>
        <w:tab/>
        <w:t>REGISTRUOTOJAS</w:t>
      </w:r>
    </w:p>
    <w:p w14:paraId="6D5E6DA0"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5AA076B4" w14:textId="2BFBB425"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3" w:name="_Hlk53499359"/>
      <w:r>
        <w:rPr>
          <w:rFonts w:ascii="Times New Roman" w:eastAsia="Times New Roman" w:hAnsi="Times New Roman" w:cs="Times New Roman"/>
          <w:lang w:eastAsia="lt-LT"/>
        </w:rPr>
        <w:t>UAB Eletis Pharma</w:t>
      </w:r>
    </w:p>
    <w:p w14:paraId="58F6C0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per. 61-2</w:t>
      </w:r>
    </w:p>
    <w:p w14:paraId="0D4A1B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F0C78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bookmarkEnd w:id="3"/>
    </w:p>
    <w:p w14:paraId="4C7E53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570B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EF31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8.</w:t>
      </w:r>
      <w:r>
        <w:rPr>
          <w:rFonts w:ascii="Times New Roman" w:eastAsia="Times New Roman" w:hAnsi="Times New Roman" w:cs="Times New Roman"/>
          <w:b/>
          <w:bCs/>
          <w:snapToGrid w:val="0"/>
          <w:szCs w:val="26"/>
          <w:lang w:eastAsia="x-none"/>
        </w:rPr>
        <w:tab/>
        <w:t xml:space="preserve">REGISTRACIJOS </w:t>
      </w:r>
      <w:r>
        <w:rPr>
          <w:rFonts w:ascii="Times New Roman" w:eastAsia="Times New Roman" w:hAnsi="Times New Roman" w:cs="Times New Roman"/>
          <w:b/>
          <w:bCs/>
          <w:noProof/>
          <w:snapToGrid w:val="0"/>
          <w:lang w:eastAsia="x-none"/>
        </w:rPr>
        <w:t>PAŽYMĖJIMO</w:t>
      </w:r>
      <w:r>
        <w:rPr>
          <w:rFonts w:ascii="Times New Roman" w:eastAsia="Times New Roman" w:hAnsi="Times New Roman" w:cs="Times New Roman"/>
          <w:b/>
          <w:bCs/>
          <w:snapToGrid w:val="0"/>
          <w:szCs w:val="26"/>
          <w:lang w:eastAsia="x-none"/>
        </w:rPr>
        <w:t xml:space="preserve"> NUMERIS (-IAI) </w:t>
      </w:r>
    </w:p>
    <w:p w14:paraId="4AD0BA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764C6" w14:paraId="364C5C35" w14:textId="77777777" w:rsidTr="001764C6">
        <w:tc>
          <w:tcPr>
            <w:tcW w:w="4530" w:type="dxa"/>
            <w:hideMark/>
          </w:tcPr>
          <w:p w14:paraId="4493B2CF"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500 mg</w:t>
            </w:r>
          </w:p>
          <w:p w14:paraId="713F9B9E"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LT/1/24/5395/001 – N1</w:t>
            </w:r>
          </w:p>
          <w:p w14:paraId="3041F63C"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LT/1/24/5395/002 – N10</w:t>
            </w:r>
          </w:p>
        </w:tc>
        <w:tc>
          <w:tcPr>
            <w:tcW w:w="4530" w:type="dxa"/>
            <w:hideMark/>
          </w:tcPr>
          <w:p w14:paraId="6D901CC2"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1000 mg</w:t>
            </w:r>
          </w:p>
          <w:p w14:paraId="4CAC2AD3"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LT/1/24/5396/001 – N1</w:t>
            </w:r>
          </w:p>
          <w:p w14:paraId="03F3AD4F"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LT/1/24/5396/002 – N10</w:t>
            </w:r>
          </w:p>
        </w:tc>
      </w:tr>
    </w:tbl>
    <w:p w14:paraId="2A7A33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052C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84309F"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9.</w:t>
      </w:r>
      <w:r>
        <w:rPr>
          <w:rFonts w:ascii="Times New Roman" w:eastAsia="Times New Roman" w:hAnsi="Times New Roman" w:cs="Times New Roman"/>
          <w:b/>
          <w:bCs/>
          <w:snapToGrid w:val="0"/>
          <w:szCs w:val="26"/>
          <w:lang w:eastAsia="x-none"/>
        </w:rPr>
        <w:tab/>
        <w:t>REGISTRAVIMO / PERREGISTRAVIMO DATA</w:t>
      </w:r>
    </w:p>
    <w:p w14:paraId="7C4A24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5883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Registravimo data 2024 m. balandžio 5 d.</w:t>
      </w:r>
    </w:p>
    <w:p w14:paraId="35B479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7A0411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EF0A6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TEKSTO PERŽIŪROS DATA</w:t>
      </w:r>
    </w:p>
    <w:p w14:paraId="326F81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E12842" w14:textId="01402E94" w:rsidR="001764C6" w:rsidRDefault="006671F5"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2026 m. sausio 20 d. </w:t>
      </w:r>
    </w:p>
    <w:p w14:paraId="1C3B6C5C" w14:textId="77777777" w:rsidR="006671F5" w:rsidRDefault="006671F5" w:rsidP="001764C6">
      <w:pPr>
        <w:tabs>
          <w:tab w:val="left" w:pos="567"/>
        </w:tabs>
        <w:spacing w:after="0" w:line="240" w:lineRule="auto"/>
        <w:rPr>
          <w:rFonts w:ascii="Times New Roman" w:eastAsia="Times New Roman" w:hAnsi="Times New Roman" w:cs="Times New Roman"/>
          <w:lang w:eastAsia="lt-LT"/>
        </w:rPr>
      </w:pPr>
    </w:p>
    <w:p w14:paraId="54D22AD7" w14:textId="0C74F705" w:rsidR="001764C6" w:rsidRDefault="001764C6" w:rsidP="001764C6">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CC2284" w:rsidRPr="006671F5">
        <w:t xml:space="preserve"> </w:t>
      </w:r>
      <w:r w:rsidR="00CC2284" w:rsidRPr="00CC2284">
        <w:rPr>
          <w:rFonts w:ascii="Times New Roman" w:eastAsia="SimSun" w:hAnsi="Times New Roman" w:cs="Times New Roman"/>
          <w:noProof/>
        </w:rPr>
        <w:t>https://vvkt.lrv.lt/lt/.</w:t>
      </w:r>
    </w:p>
    <w:p w14:paraId="1DC2632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562C255" w14:textId="77777777" w:rsidR="001764C6" w:rsidRDefault="001764C6" w:rsidP="001764C6">
      <w:pPr>
        <w:tabs>
          <w:tab w:val="left" w:pos="567"/>
        </w:tabs>
        <w:spacing w:after="0" w:line="240" w:lineRule="auto"/>
        <w:rPr>
          <w:rFonts w:ascii="Times New Roman" w:eastAsia="Times New Roman" w:hAnsi="Times New Roman" w:cs="Times New Roman"/>
        </w:rPr>
      </w:pPr>
      <w:bookmarkStart w:id="4" w:name="_Toc129243259"/>
      <w:bookmarkStart w:id="5" w:name="_Toc129243134"/>
    </w:p>
    <w:p w14:paraId="78C617AF" w14:textId="77777777" w:rsidR="001764C6" w:rsidRDefault="001764C6" w:rsidP="001764C6">
      <w:pPr>
        <w:tabs>
          <w:tab w:val="left" w:pos="567"/>
        </w:tabs>
        <w:spacing w:after="0" w:line="240" w:lineRule="auto"/>
        <w:rPr>
          <w:rFonts w:ascii="Times New Roman" w:eastAsia="Times New Roman" w:hAnsi="Times New Roman" w:cs="Times New Roman"/>
        </w:rPr>
      </w:pPr>
    </w:p>
    <w:p w14:paraId="6287887D" w14:textId="77777777" w:rsidR="001764C6" w:rsidRDefault="001764C6" w:rsidP="001764C6">
      <w:pPr>
        <w:tabs>
          <w:tab w:val="left" w:pos="567"/>
        </w:tabs>
        <w:spacing w:after="0" w:line="240" w:lineRule="auto"/>
        <w:rPr>
          <w:rFonts w:ascii="Times New Roman" w:eastAsia="Times New Roman" w:hAnsi="Times New Roman" w:cs="Times New Roman"/>
        </w:rPr>
      </w:pPr>
    </w:p>
    <w:p w14:paraId="048BFD41" w14:textId="77777777" w:rsidR="001764C6" w:rsidRDefault="001764C6" w:rsidP="001764C6">
      <w:pPr>
        <w:tabs>
          <w:tab w:val="left" w:pos="567"/>
        </w:tabs>
        <w:spacing w:after="0" w:line="240" w:lineRule="auto"/>
        <w:rPr>
          <w:rFonts w:ascii="Times New Roman" w:eastAsia="Times New Roman" w:hAnsi="Times New Roman" w:cs="Times New Roman"/>
        </w:rPr>
      </w:pPr>
    </w:p>
    <w:p w14:paraId="097F51ED" w14:textId="77777777" w:rsidR="001764C6" w:rsidRDefault="001764C6" w:rsidP="001764C6">
      <w:pPr>
        <w:tabs>
          <w:tab w:val="left" w:pos="567"/>
        </w:tabs>
        <w:spacing w:after="0" w:line="240" w:lineRule="auto"/>
        <w:rPr>
          <w:rFonts w:ascii="Times New Roman" w:eastAsia="Times New Roman" w:hAnsi="Times New Roman" w:cs="Times New Roman"/>
        </w:rPr>
      </w:pPr>
    </w:p>
    <w:p w14:paraId="7476A41F" w14:textId="77777777" w:rsidR="001764C6" w:rsidRDefault="001764C6" w:rsidP="001764C6">
      <w:pPr>
        <w:tabs>
          <w:tab w:val="left" w:pos="567"/>
        </w:tabs>
        <w:spacing w:after="0" w:line="240" w:lineRule="auto"/>
        <w:rPr>
          <w:rFonts w:ascii="Times New Roman" w:eastAsia="Times New Roman" w:hAnsi="Times New Roman" w:cs="Times New Roman"/>
        </w:rPr>
      </w:pPr>
    </w:p>
    <w:p w14:paraId="06832DDB" w14:textId="77777777" w:rsidR="001764C6" w:rsidRDefault="001764C6" w:rsidP="001764C6">
      <w:pPr>
        <w:tabs>
          <w:tab w:val="left" w:pos="567"/>
        </w:tabs>
        <w:spacing w:after="0" w:line="240" w:lineRule="auto"/>
        <w:rPr>
          <w:rFonts w:ascii="Times New Roman" w:eastAsia="Times New Roman" w:hAnsi="Times New Roman" w:cs="Times New Roman"/>
        </w:rPr>
      </w:pPr>
    </w:p>
    <w:p w14:paraId="7182CFF2" w14:textId="77777777" w:rsidR="001764C6" w:rsidRDefault="001764C6" w:rsidP="001764C6">
      <w:pPr>
        <w:tabs>
          <w:tab w:val="left" w:pos="567"/>
        </w:tabs>
        <w:spacing w:after="0" w:line="240" w:lineRule="auto"/>
        <w:rPr>
          <w:rFonts w:ascii="Times New Roman" w:eastAsia="Times New Roman" w:hAnsi="Times New Roman" w:cs="Times New Roman"/>
        </w:rPr>
      </w:pPr>
    </w:p>
    <w:p w14:paraId="42706941" w14:textId="77777777" w:rsidR="001764C6" w:rsidRDefault="001764C6" w:rsidP="001764C6">
      <w:pPr>
        <w:tabs>
          <w:tab w:val="left" w:pos="567"/>
        </w:tabs>
        <w:spacing w:after="0" w:line="240" w:lineRule="auto"/>
        <w:rPr>
          <w:rFonts w:ascii="Times New Roman" w:eastAsia="Times New Roman" w:hAnsi="Times New Roman" w:cs="Times New Roman"/>
        </w:rPr>
      </w:pPr>
    </w:p>
    <w:p w14:paraId="6D82C3A5" w14:textId="77777777" w:rsidR="001764C6" w:rsidRDefault="001764C6" w:rsidP="001764C6">
      <w:pPr>
        <w:tabs>
          <w:tab w:val="left" w:pos="567"/>
        </w:tabs>
        <w:spacing w:after="0" w:line="240" w:lineRule="auto"/>
        <w:rPr>
          <w:rFonts w:ascii="Times New Roman" w:eastAsia="Times New Roman" w:hAnsi="Times New Roman" w:cs="Times New Roman"/>
        </w:rPr>
      </w:pPr>
    </w:p>
    <w:p w14:paraId="4C987366" w14:textId="77777777" w:rsidR="001764C6" w:rsidRDefault="001764C6" w:rsidP="001764C6">
      <w:pPr>
        <w:tabs>
          <w:tab w:val="left" w:pos="567"/>
        </w:tabs>
        <w:spacing w:after="0" w:line="240" w:lineRule="auto"/>
        <w:rPr>
          <w:rFonts w:ascii="Times New Roman" w:eastAsia="Times New Roman" w:hAnsi="Times New Roman" w:cs="Times New Roman"/>
        </w:rPr>
      </w:pPr>
    </w:p>
    <w:p w14:paraId="0F8FDD9C" w14:textId="77777777" w:rsidR="001764C6" w:rsidRDefault="001764C6" w:rsidP="001764C6">
      <w:pPr>
        <w:tabs>
          <w:tab w:val="left" w:pos="567"/>
        </w:tabs>
        <w:spacing w:after="0" w:line="240" w:lineRule="auto"/>
        <w:rPr>
          <w:rFonts w:ascii="Times New Roman" w:eastAsia="Times New Roman" w:hAnsi="Times New Roman" w:cs="Times New Roman"/>
        </w:rPr>
      </w:pPr>
    </w:p>
    <w:p w14:paraId="1D355D13" w14:textId="77777777" w:rsidR="001764C6" w:rsidRDefault="001764C6" w:rsidP="001764C6">
      <w:pPr>
        <w:tabs>
          <w:tab w:val="left" w:pos="567"/>
        </w:tabs>
        <w:spacing w:after="0" w:line="240" w:lineRule="auto"/>
        <w:rPr>
          <w:rFonts w:ascii="Times New Roman" w:eastAsia="Times New Roman" w:hAnsi="Times New Roman" w:cs="Times New Roman"/>
        </w:rPr>
      </w:pPr>
    </w:p>
    <w:p w14:paraId="23406C9C" w14:textId="77777777" w:rsidR="001764C6" w:rsidRDefault="001764C6" w:rsidP="001764C6">
      <w:pPr>
        <w:tabs>
          <w:tab w:val="left" w:pos="567"/>
        </w:tabs>
        <w:spacing w:after="0" w:line="240" w:lineRule="auto"/>
        <w:rPr>
          <w:rFonts w:ascii="Times New Roman" w:eastAsia="Times New Roman" w:hAnsi="Times New Roman" w:cs="Times New Roman"/>
        </w:rPr>
      </w:pPr>
    </w:p>
    <w:p w14:paraId="799353D1" w14:textId="77777777" w:rsidR="001764C6" w:rsidRDefault="001764C6" w:rsidP="001764C6">
      <w:pPr>
        <w:tabs>
          <w:tab w:val="left" w:pos="567"/>
        </w:tabs>
        <w:spacing w:after="0" w:line="240" w:lineRule="auto"/>
        <w:rPr>
          <w:rFonts w:ascii="Times New Roman" w:eastAsia="Times New Roman" w:hAnsi="Times New Roman" w:cs="Times New Roman"/>
        </w:rPr>
      </w:pPr>
    </w:p>
    <w:p w14:paraId="24036D24" w14:textId="77777777" w:rsidR="001764C6" w:rsidRDefault="001764C6" w:rsidP="001764C6">
      <w:pPr>
        <w:tabs>
          <w:tab w:val="left" w:pos="567"/>
        </w:tabs>
        <w:spacing w:after="0" w:line="240" w:lineRule="auto"/>
        <w:rPr>
          <w:rFonts w:ascii="Times New Roman" w:eastAsia="Times New Roman" w:hAnsi="Times New Roman" w:cs="Times New Roman"/>
        </w:rPr>
      </w:pPr>
    </w:p>
    <w:p w14:paraId="327ECD6E" w14:textId="77777777" w:rsidR="001764C6" w:rsidRDefault="001764C6" w:rsidP="001764C6">
      <w:pPr>
        <w:tabs>
          <w:tab w:val="left" w:pos="567"/>
        </w:tabs>
        <w:spacing w:after="0" w:line="240" w:lineRule="auto"/>
        <w:rPr>
          <w:rFonts w:ascii="Times New Roman" w:eastAsia="Times New Roman" w:hAnsi="Times New Roman" w:cs="Times New Roman"/>
        </w:rPr>
      </w:pPr>
    </w:p>
    <w:p w14:paraId="459BB626" w14:textId="77777777" w:rsidR="001764C6" w:rsidRDefault="001764C6" w:rsidP="001764C6">
      <w:pPr>
        <w:tabs>
          <w:tab w:val="left" w:pos="567"/>
        </w:tabs>
        <w:spacing w:after="0" w:line="240" w:lineRule="auto"/>
        <w:rPr>
          <w:rFonts w:ascii="Times New Roman" w:eastAsia="Times New Roman" w:hAnsi="Times New Roman" w:cs="Times New Roman"/>
        </w:rPr>
      </w:pPr>
    </w:p>
    <w:p w14:paraId="01A7AAB2" w14:textId="77777777" w:rsidR="001764C6" w:rsidRDefault="001764C6" w:rsidP="001764C6">
      <w:pPr>
        <w:tabs>
          <w:tab w:val="left" w:pos="567"/>
        </w:tabs>
        <w:spacing w:after="0" w:line="240" w:lineRule="auto"/>
        <w:rPr>
          <w:rFonts w:ascii="Times New Roman" w:eastAsia="Times New Roman" w:hAnsi="Times New Roman" w:cs="Times New Roman"/>
        </w:rPr>
      </w:pPr>
    </w:p>
    <w:p w14:paraId="184C2EC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6" w:name="_Toc129243253"/>
      <w:bookmarkStart w:id="7" w:name="_Toc129243128"/>
    </w:p>
    <w:p w14:paraId="3DAC5A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27E2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1C34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1DE5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30DB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3172E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011F0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B53470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4D896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037D6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EF7C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8A827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6BC0D7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5E2A6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28EBCB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EB85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6901E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7BCE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B079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A20C28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5D3E14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77378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9960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31E35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E64D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28B15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27463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BDAB5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63BA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6E9E3F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5DBDE7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EF148D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983B43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CA4D16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A035F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6233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5A499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C6CE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7DB7D2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5DE08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7B187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367933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88293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DA1A9D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DFEC52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1DD32D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F54B1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4F50B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 PRIEDAS</w:t>
      </w:r>
      <w:bookmarkEnd w:id="6"/>
      <w:bookmarkEnd w:id="7"/>
    </w:p>
    <w:p w14:paraId="3BD7F9E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9C18E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 SĄLYGOS</w:t>
      </w:r>
    </w:p>
    <w:p w14:paraId="6A74DA11" w14:textId="77777777" w:rsidR="001764C6" w:rsidRDefault="001764C6" w:rsidP="001764C6">
      <w:pPr>
        <w:tabs>
          <w:tab w:val="left" w:pos="567"/>
        </w:tabs>
        <w:spacing w:after="0" w:line="240" w:lineRule="auto"/>
        <w:rPr>
          <w:rFonts w:ascii="Times New Roman" w:eastAsia="Times New Roman" w:hAnsi="Times New Roman" w:cs="Times New Roman"/>
        </w:rPr>
      </w:pPr>
    </w:p>
    <w:p w14:paraId="1FDEB131" w14:textId="77777777" w:rsidR="001764C6" w:rsidRDefault="001764C6" w:rsidP="001764C6">
      <w:pPr>
        <w:tabs>
          <w:tab w:val="left" w:pos="0"/>
          <w:tab w:val="left" w:pos="567"/>
        </w:tabs>
        <w:spacing w:after="0" w:line="240" w:lineRule="auto"/>
        <w:ind w:left="1290" w:hanging="750"/>
        <w:rPr>
          <w:rFonts w:ascii="Times New Roman" w:eastAsia="Times New Roman" w:hAnsi="Times New Roman" w:cs="Times New Roman"/>
          <w:b/>
          <w:lang w:eastAsia="lt-LT"/>
        </w:rPr>
      </w:pPr>
      <w:r>
        <w:rPr>
          <w:rFonts w:ascii="Times New Roman" w:eastAsia="Times New Roman" w:hAnsi="Times New Roman" w:cs="Times New Roman"/>
          <w:b/>
          <w:lang w:eastAsia="lt-LT"/>
        </w:rPr>
        <w:t>A.</w:t>
      </w:r>
      <w:r>
        <w:rPr>
          <w:rFonts w:ascii="Times New Roman" w:eastAsia="Times New Roman" w:hAnsi="Times New Roman" w:cs="Times New Roman"/>
          <w:b/>
          <w:lang w:eastAsia="lt-LT"/>
        </w:rPr>
        <w:tab/>
        <w:t>GAMINTOJAS (-AI), ATSAKINGAS (-I) UŽ SERIJŲ IŠLEIDIMĄ</w:t>
      </w:r>
    </w:p>
    <w:p w14:paraId="3D4077AC"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6D3BD746" w14:textId="77777777" w:rsidR="001764C6" w:rsidRDefault="001764C6" w:rsidP="001764C6">
      <w:pPr>
        <w:tabs>
          <w:tab w:val="left" w:pos="567"/>
        </w:tabs>
        <w:spacing w:after="0" w:line="240" w:lineRule="auto"/>
        <w:ind w:left="540"/>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2BBE97CF"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49D2B1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A.</w:t>
      </w:r>
      <w:r>
        <w:rPr>
          <w:rFonts w:ascii="Times New Roman" w:eastAsia="Times New Roman" w:hAnsi="Times New Roman" w:cs="Times New Roman"/>
          <w:b/>
          <w:lang w:eastAsia="lt-LT"/>
        </w:rPr>
        <w:tab/>
        <w:t>GAMINTOJAS (-AI), ATSAKINGAS (-I) UŽ SERIJŲ IŠLEIDIMĄ</w:t>
      </w:r>
    </w:p>
    <w:p w14:paraId="330171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6354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Gamintojo (-ų), atsakingo (-ų) už serijų išleidimą, pavadinimas (-ai) ir adresas (-ai)</w:t>
      </w:r>
    </w:p>
    <w:p w14:paraId="52AED7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9D5B03" w14:textId="01285D1B"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67B94E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4B0042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40592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44D342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7ACD8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EF8A4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4C9886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70C6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vaistinis preparatas.</w:t>
      </w:r>
    </w:p>
    <w:p w14:paraId="0B84559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D4460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rPr>
        <w:br w:type="page"/>
      </w:r>
    </w:p>
    <w:p w14:paraId="608FD2B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8936B4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A886B5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E8B114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8225909"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BE878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0616CE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AC7B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ED428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91DF69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8A6F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2EB11E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F1A540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17A37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5E5A6F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42990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3F4CEB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AC5A3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EC2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516158"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10258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7CFE4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A3450F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123B9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III PRIEDAS</w:t>
      </w:r>
      <w:bookmarkEnd w:id="4"/>
      <w:bookmarkEnd w:id="5"/>
    </w:p>
    <w:p w14:paraId="4A85DEDC" w14:textId="77777777" w:rsidR="001764C6" w:rsidRDefault="001764C6" w:rsidP="001764C6">
      <w:pPr>
        <w:tabs>
          <w:tab w:val="left" w:pos="567"/>
        </w:tabs>
        <w:spacing w:after="0" w:line="240" w:lineRule="auto"/>
        <w:rPr>
          <w:rFonts w:ascii="Times New Roman" w:eastAsia="Times New Roman" w:hAnsi="Times New Roman" w:cs="Times New Roman"/>
        </w:rPr>
      </w:pPr>
    </w:p>
    <w:p w14:paraId="0CC37C2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260"/>
      <w:bookmarkStart w:id="9" w:name="_Toc129243135"/>
      <w:r>
        <w:rPr>
          <w:rFonts w:ascii="Times New Roman" w:eastAsia="Times New Roman" w:hAnsi="Times New Roman" w:cs="Times New Roman"/>
          <w:b/>
          <w:caps/>
        </w:rPr>
        <w:t>ŽENKLINIMAS IR PAKUOTĖS LAPELIS</w:t>
      </w:r>
      <w:bookmarkEnd w:id="8"/>
      <w:bookmarkEnd w:id="9"/>
    </w:p>
    <w:p w14:paraId="427FDDE2"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rPr>
        <w:br w:type="page"/>
      </w:r>
    </w:p>
    <w:p w14:paraId="3E6FF387" w14:textId="77777777" w:rsidR="001764C6" w:rsidRDefault="001764C6" w:rsidP="001764C6">
      <w:pPr>
        <w:tabs>
          <w:tab w:val="left" w:pos="567"/>
        </w:tabs>
        <w:spacing w:after="0" w:line="240" w:lineRule="auto"/>
        <w:rPr>
          <w:rFonts w:ascii="Times New Roman" w:eastAsia="Times New Roman" w:hAnsi="Times New Roman" w:cs="Times New Roman"/>
        </w:rPr>
      </w:pPr>
    </w:p>
    <w:p w14:paraId="67DE665F" w14:textId="77777777" w:rsidR="001764C6" w:rsidRDefault="001764C6" w:rsidP="001764C6">
      <w:pPr>
        <w:tabs>
          <w:tab w:val="left" w:pos="567"/>
        </w:tabs>
        <w:spacing w:after="0" w:line="240" w:lineRule="auto"/>
        <w:rPr>
          <w:rFonts w:ascii="Times New Roman" w:eastAsia="Times New Roman" w:hAnsi="Times New Roman" w:cs="Times New Roman"/>
        </w:rPr>
      </w:pPr>
    </w:p>
    <w:p w14:paraId="5A0A2CAB" w14:textId="77777777" w:rsidR="001764C6" w:rsidRDefault="001764C6" w:rsidP="001764C6">
      <w:pPr>
        <w:tabs>
          <w:tab w:val="left" w:pos="567"/>
        </w:tabs>
        <w:spacing w:after="0" w:line="240" w:lineRule="auto"/>
        <w:rPr>
          <w:rFonts w:ascii="Times New Roman" w:eastAsia="Times New Roman" w:hAnsi="Times New Roman" w:cs="Times New Roman"/>
        </w:rPr>
      </w:pPr>
    </w:p>
    <w:p w14:paraId="53607403" w14:textId="77777777" w:rsidR="001764C6" w:rsidRDefault="001764C6" w:rsidP="001764C6">
      <w:pPr>
        <w:tabs>
          <w:tab w:val="left" w:pos="567"/>
        </w:tabs>
        <w:spacing w:after="0" w:line="240" w:lineRule="auto"/>
        <w:rPr>
          <w:rFonts w:ascii="Times New Roman" w:eastAsia="Times New Roman" w:hAnsi="Times New Roman" w:cs="Times New Roman"/>
        </w:rPr>
      </w:pPr>
    </w:p>
    <w:p w14:paraId="364F7367" w14:textId="77777777" w:rsidR="001764C6" w:rsidRDefault="001764C6" w:rsidP="001764C6">
      <w:pPr>
        <w:tabs>
          <w:tab w:val="left" w:pos="567"/>
        </w:tabs>
        <w:spacing w:after="0" w:line="240" w:lineRule="auto"/>
        <w:rPr>
          <w:rFonts w:ascii="Times New Roman" w:eastAsia="Times New Roman" w:hAnsi="Times New Roman" w:cs="Times New Roman"/>
        </w:rPr>
      </w:pPr>
    </w:p>
    <w:p w14:paraId="210B07DE" w14:textId="77777777" w:rsidR="001764C6" w:rsidRDefault="001764C6" w:rsidP="001764C6">
      <w:pPr>
        <w:tabs>
          <w:tab w:val="left" w:pos="567"/>
        </w:tabs>
        <w:spacing w:after="0" w:line="240" w:lineRule="auto"/>
        <w:rPr>
          <w:rFonts w:ascii="Times New Roman" w:eastAsia="Times New Roman" w:hAnsi="Times New Roman" w:cs="Times New Roman"/>
        </w:rPr>
      </w:pPr>
    </w:p>
    <w:p w14:paraId="3F399422" w14:textId="77777777" w:rsidR="001764C6" w:rsidRDefault="001764C6" w:rsidP="001764C6">
      <w:pPr>
        <w:tabs>
          <w:tab w:val="left" w:pos="567"/>
        </w:tabs>
        <w:spacing w:after="0" w:line="240" w:lineRule="auto"/>
        <w:rPr>
          <w:rFonts w:ascii="Times New Roman" w:eastAsia="Times New Roman" w:hAnsi="Times New Roman" w:cs="Times New Roman"/>
        </w:rPr>
      </w:pPr>
    </w:p>
    <w:p w14:paraId="1EF4B6F1" w14:textId="77777777" w:rsidR="001764C6" w:rsidRDefault="001764C6" w:rsidP="001764C6">
      <w:pPr>
        <w:tabs>
          <w:tab w:val="left" w:pos="567"/>
        </w:tabs>
        <w:spacing w:after="0" w:line="240" w:lineRule="auto"/>
        <w:rPr>
          <w:rFonts w:ascii="Times New Roman" w:eastAsia="Times New Roman" w:hAnsi="Times New Roman" w:cs="Times New Roman"/>
        </w:rPr>
      </w:pPr>
    </w:p>
    <w:p w14:paraId="2D1B062E" w14:textId="77777777" w:rsidR="001764C6" w:rsidRDefault="001764C6" w:rsidP="001764C6">
      <w:pPr>
        <w:tabs>
          <w:tab w:val="left" w:pos="567"/>
        </w:tabs>
        <w:spacing w:after="0" w:line="240" w:lineRule="auto"/>
        <w:rPr>
          <w:rFonts w:ascii="Times New Roman" w:eastAsia="Times New Roman" w:hAnsi="Times New Roman" w:cs="Times New Roman"/>
        </w:rPr>
      </w:pPr>
    </w:p>
    <w:p w14:paraId="00C8E942" w14:textId="77777777" w:rsidR="001764C6" w:rsidRDefault="001764C6" w:rsidP="001764C6">
      <w:pPr>
        <w:tabs>
          <w:tab w:val="left" w:pos="567"/>
        </w:tabs>
        <w:spacing w:after="0" w:line="240" w:lineRule="auto"/>
        <w:rPr>
          <w:rFonts w:ascii="Times New Roman" w:eastAsia="Times New Roman" w:hAnsi="Times New Roman" w:cs="Times New Roman"/>
        </w:rPr>
      </w:pPr>
    </w:p>
    <w:p w14:paraId="36A93496" w14:textId="77777777" w:rsidR="001764C6" w:rsidRDefault="001764C6" w:rsidP="001764C6">
      <w:pPr>
        <w:tabs>
          <w:tab w:val="left" w:pos="567"/>
        </w:tabs>
        <w:spacing w:after="0" w:line="240" w:lineRule="auto"/>
        <w:rPr>
          <w:rFonts w:ascii="Times New Roman" w:eastAsia="Times New Roman" w:hAnsi="Times New Roman" w:cs="Times New Roman"/>
        </w:rPr>
      </w:pPr>
    </w:p>
    <w:p w14:paraId="14532D65" w14:textId="77777777" w:rsidR="001764C6" w:rsidRDefault="001764C6" w:rsidP="001764C6">
      <w:pPr>
        <w:tabs>
          <w:tab w:val="left" w:pos="567"/>
        </w:tabs>
        <w:spacing w:after="0" w:line="240" w:lineRule="auto"/>
        <w:rPr>
          <w:rFonts w:ascii="Times New Roman" w:eastAsia="Times New Roman" w:hAnsi="Times New Roman" w:cs="Times New Roman"/>
        </w:rPr>
      </w:pPr>
    </w:p>
    <w:p w14:paraId="560144E5" w14:textId="77777777" w:rsidR="001764C6" w:rsidRDefault="001764C6" w:rsidP="001764C6">
      <w:pPr>
        <w:tabs>
          <w:tab w:val="left" w:pos="567"/>
        </w:tabs>
        <w:spacing w:after="0" w:line="240" w:lineRule="auto"/>
        <w:rPr>
          <w:rFonts w:ascii="Times New Roman" w:eastAsia="Times New Roman" w:hAnsi="Times New Roman" w:cs="Times New Roman"/>
        </w:rPr>
      </w:pPr>
    </w:p>
    <w:p w14:paraId="09BCF0CB" w14:textId="77777777" w:rsidR="001764C6" w:rsidRDefault="001764C6" w:rsidP="001764C6">
      <w:pPr>
        <w:tabs>
          <w:tab w:val="left" w:pos="567"/>
        </w:tabs>
        <w:spacing w:after="0" w:line="240" w:lineRule="auto"/>
        <w:rPr>
          <w:rFonts w:ascii="Times New Roman" w:eastAsia="Times New Roman" w:hAnsi="Times New Roman" w:cs="Times New Roman"/>
        </w:rPr>
      </w:pPr>
    </w:p>
    <w:p w14:paraId="306E48EE" w14:textId="77777777" w:rsidR="001764C6" w:rsidRDefault="001764C6" w:rsidP="001764C6">
      <w:pPr>
        <w:tabs>
          <w:tab w:val="left" w:pos="567"/>
        </w:tabs>
        <w:spacing w:after="0" w:line="240" w:lineRule="auto"/>
        <w:rPr>
          <w:rFonts w:ascii="Times New Roman" w:eastAsia="Times New Roman" w:hAnsi="Times New Roman" w:cs="Times New Roman"/>
        </w:rPr>
      </w:pPr>
    </w:p>
    <w:p w14:paraId="11F09A3F" w14:textId="77777777" w:rsidR="001764C6" w:rsidRDefault="001764C6" w:rsidP="001764C6">
      <w:pPr>
        <w:tabs>
          <w:tab w:val="left" w:pos="567"/>
        </w:tabs>
        <w:spacing w:after="0" w:line="240" w:lineRule="auto"/>
        <w:rPr>
          <w:rFonts w:ascii="Times New Roman" w:eastAsia="Times New Roman" w:hAnsi="Times New Roman" w:cs="Times New Roman"/>
        </w:rPr>
      </w:pPr>
    </w:p>
    <w:p w14:paraId="565A16D0" w14:textId="77777777" w:rsidR="001764C6" w:rsidRDefault="001764C6" w:rsidP="001764C6">
      <w:pPr>
        <w:tabs>
          <w:tab w:val="left" w:pos="567"/>
        </w:tabs>
        <w:spacing w:after="0" w:line="240" w:lineRule="auto"/>
        <w:rPr>
          <w:rFonts w:ascii="Times New Roman" w:eastAsia="Times New Roman" w:hAnsi="Times New Roman" w:cs="Times New Roman"/>
        </w:rPr>
      </w:pPr>
    </w:p>
    <w:p w14:paraId="5929FEAE" w14:textId="77777777" w:rsidR="001764C6" w:rsidRDefault="001764C6" w:rsidP="001764C6">
      <w:pPr>
        <w:tabs>
          <w:tab w:val="left" w:pos="567"/>
        </w:tabs>
        <w:spacing w:after="0" w:line="240" w:lineRule="auto"/>
        <w:rPr>
          <w:rFonts w:ascii="Times New Roman" w:eastAsia="Times New Roman" w:hAnsi="Times New Roman" w:cs="Times New Roman"/>
        </w:rPr>
      </w:pPr>
    </w:p>
    <w:p w14:paraId="3B1C403D" w14:textId="77777777" w:rsidR="001764C6" w:rsidRDefault="001764C6" w:rsidP="001764C6">
      <w:pPr>
        <w:tabs>
          <w:tab w:val="left" w:pos="567"/>
        </w:tabs>
        <w:spacing w:after="0" w:line="240" w:lineRule="auto"/>
        <w:rPr>
          <w:rFonts w:ascii="Times New Roman" w:eastAsia="Times New Roman" w:hAnsi="Times New Roman" w:cs="Times New Roman"/>
        </w:rPr>
      </w:pPr>
    </w:p>
    <w:p w14:paraId="45D934A2" w14:textId="77777777" w:rsidR="001764C6" w:rsidRDefault="001764C6" w:rsidP="001764C6">
      <w:pPr>
        <w:tabs>
          <w:tab w:val="left" w:pos="567"/>
        </w:tabs>
        <w:spacing w:after="0" w:line="240" w:lineRule="auto"/>
        <w:rPr>
          <w:rFonts w:ascii="Times New Roman" w:eastAsia="Times New Roman" w:hAnsi="Times New Roman" w:cs="Times New Roman"/>
        </w:rPr>
      </w:pPr>
    </w:p>
    <w:p w14:paraId="38C507D7" w14:textId="77777777" w:rsidR="001764C6" w:rsidRDefault="001764C6" w:rsidP="001764C6">
      <w:pPr>
        <w:tabs>
          <w:tab w:val="left" w:pos="567"/>
        </w:tabs>
        <w:spacing w:after="0" w:line="240" w:lineRule="auto"/>
        <w:rPr>
          <w:rFonts w:ascii="Times New Roman" w:eastAsia="Times New Roman" w:hAnsi="Times New Roman" w:cs="Times New Roman"/>
        </w:rPr>
      </w:pPr>
    </w:p>
    <w:p w14:paraId="79CA868A" w14:textId="77777777" w:rsidR="001764C6" w:rsidRDefault="001764C6" w:rsidP="001764C6">
      <w:pPr>
        <w:tabs>
          <w:tab w:val="left" w:pos="567"/>
        </w:tabs>
        <w:spacing w:after="0" w:line="240" w:lineRule="auto"/>
        <w:rPr>
          <w:rFonts w:ascii="Times New Roman" w:eastAsia="Times New Roman" w:hAnsi="Times New Roman" w:cs="Times New Roman"/>
        </w:rPr>
      </w:pPr>
    </w:p>
    <w:p w14:paraId="6998484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0" w:name="_Toc129243261"/>
      <w:bookmarkStart w:id="11" w:name="_Toc129243136"/>
    </w:p>
    <w:p w14:paraId="1218C3A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A. ŽENKLINIMAS</w:t>
      </w:r>
      <w:bookmarkEnd w:id="10"/>
      <w:bookmarkEnd w:id="11"/>
    </w:p>
    <w:p w14:paraId="5B168F9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B8EACD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B892438"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kern w:val="28"/>
          <w:lang w:eastAsia="lt-LT"/>
        </w:rPr>
        <w:br w:type="page"/>
      </w:r>
    </w:p>
    <w:p w14:paraId="573F6510"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 xml:space="preserve">INFORMACIJA ANT IŠORINĖS PAKUOTĖS </w:t>
      </w:r>
    </w:p>
    <w:p w14:paraId="3615063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eastAsia="lt-LT"/>
        </w:rPr>
      </w:pPr>
    </w:p>
    <w:p w14:paraId="5F9CE318"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KartonO dėžutė</w:t>
      </w:r>
    </w:p>
    <w:p w14:paraId="20C0EB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17A1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92424F"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w:t>
      </w:r>
    </w:p>
    <w:p w14:paraId="3B06A8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165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440DF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Vancomycin IBE 1000 mg milteliai infuzinio tirpalo koncentratui</w:t>
      </w:r>
      <w:r>
        <w:rPr>
          <w:rFonts w:ascii="Times New Roman" w:eastAsia="Times New Roman" w:hAnsi="Times New Roman" w:cs="Times New Roman"/>
          <w:lang w:eastAsia="lt-LT"/>
        </w:rPr>
        <w:t xml:space="preserve"> </w:t>
      </w:r>
    </w:p>
    <w:p w14:paraId="67D48B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w:t>
      </w:r>
    </w:p>
    <w:p w14:paraId="5FEE072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994A6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B50BDC"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VEIKLIOJI (-IOS) MEDŽIAGA (-OS) IR JOS (-Ų) KIEKIS (-IAI)</w:t>
      </w:r>
    </w:p>
    <w:p w14:paraId="4A94DDA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C0804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98922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500 mg vankomicino (vankomicino hidrochlorido pavidalu), kuris atitinka 500 000 TV vankomicino.</w:t>
      </w:r>
    </w:p>
    <w:p w14:paraId="7A2C8A48"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10 ml vandens, 1 ml infuzinio tirpalo koncentrate yra 50 mg vankomicino.</w:t>
      </w:r>
    </w:p>
    <w:p w14:paraId="19C1E65E"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3EAF6184"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Kiekviename flakone yra 1000 mg vankomicino (vankomicino hidrochlorido pavidalu), kuris atitinka  1 000 000 TV vankomicino.</w:t>
      </w:r>
    </w:p>
    <w:p w14:paraId="693CD5B9"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Po ištirpinimo 20 ml vandens, 1 ml infuzinio tirpalo koncentrate yra 50 mg vankomicino</w:t>
      </w:r>
      <w:r>
        <w:rPr>
          <w:rFonts w:ascii="Times New Roman" w:eastAsia="Times New Roman" w:hAnsi="Times New Roman" w:cs="Times New Roman"/>
          <w:lang w:eastAsia="lt-LT"/>
        </w:rPr>
        <w:t>.</w:t>
      </w:r>
    </w:p>
    <w:p w14:paraId="5DE0131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484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B450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PAGALBINIŲ MEDŽIAGŲ SĄRAŠAS</w:t>
      </w:r>
    </w:p>
    <w:p w14:paraId="2D8413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FA8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B8514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FARMACINĖ FORMA IR KIEKIS PAKUOTĖJE</w:t>
      </w:r>
    </w:p>
    <w:p w14:paraId="3612A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996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Milteliai infuzinio tirpalo koncentratui </w:t>
      </w:r>
    </w:p>
    <w:p w14:paraId="689B43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76D0B8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14:paraId="1D5F65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flakonų</w:t>
      </w:r>
    </w:p>
    <w:p w14:paraId="6FBB24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69D4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FDE683"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VARTOJIMO METODAS IR BŪDAS (-AI)</w:t>
      </w:r>
    </w:p>
    <w:p w14:paraId="06812E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F0D2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 arba vartoti per burną, ištirpinus ir praskiedus.</w:t>
      </w:r>
    </w:p>
    <w:p w14:paraId="45B6DB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0D6A07"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būtina ištirpinti ir po to praskiesti. Prieš vartojimą perskaitykite pakuotės lapelį.</w:t>
      </w:r>
    </w:p>
    <w:p w14:paraId="04A93835"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tirpalas neskaidrus, vartoti negalima.</w:t>
      </w:r>
    </w:p>
    <w:p w14:paraId="6ADDFC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Tik vienkartiniam vartojimui.</w:t>
      </w:r>
    </w:p>
    <w:p w14:paraId="6129E41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2163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EAC22E"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SPECIALUS ĮSPĖJIMAS, KAD VAISTINĮ PREPARATĄ BŪTINA LAIKYTI VAIKAMS NEPASTEBIMOJE IR NEPASIEKIAMOJE VIETOJE</w:t>
      </w:r>
    </w:p>
    <w:p w14:paraId="6F2856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91D6E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6AEE54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4316F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A04719"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eastAsia="Times New Roman" w:hAnsi="Times New Roman" w:cs="Times New Roman"/>
          <w:snapToGrid w:val="0"/>
          <w:szCs w:val="24"/>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r>
      <w:r>
        <w:rPr>
          <w:rFonts w:ascii="Times New Roman" w:eastAsia="Times New Roman" w:hAnsi="Times New Roman" w:cs="Times New Roman"/>
          <w:b/>
          <w:noProof/>
          <w:snapToGrid w:val="0"/>
          <w:szCs w:val="24"/>
        </w:rPr>
        <w:t>KITAS (-I) SPECIALUS (-ŪS) ĮSPĖJIMAS (-AI) (JEI REIKIA)</w:t>
      </w:r>
      <w:r>
        <w:rPr>
          <w:rFonts w:ascii="Times New Roman" w:eastAsia="Times New Roman" w:hAnsi="Times New Roman" w:cs="Times New Roman"/>
          <w:snapToGrid w:val="0"/>
          <w:szCs w:val="24"/>
        </w:rPr>
        <w:t xml:space="preserve"> </w:t>
      </w:r>
    </w:p>
    <w:p w14:paraId="2AD435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1C9634"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TINKAMUMO LAIKAS</w:t>
      </w:r>
    </w:p>
    <w:p w14:paraId="25BB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FA421B" w14:textId="43BAA53A"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Tinka iki</w:t>
      </w:r>
      <w:r w:rsidR="0030747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{mm</w:t>
      </w:r>
      <w:r w:rsidR="00307479">
        <w:rPr>
          <w:rFonts w:ascii="Times New Roman" w:eastAsia="Times New Roman" w:hAnsi="Times New Roman" w:cs="Times New Roman"/>
          <w:lang w:eastAsia="lt-LT"/>
        </w:rPr>
        <w:t>/</w:t>
      </w:r>
      <w:r>
        <w:rPr>
          <w:rFonts w:ascii="Times New Roman" w:eastAsia="Times New Roman" w:hAnsi="Times New Roman" w:cs="Times New Roman"/>
          <w:lang w:eastAsia="lt-LT"/>
        </w:rPr>
        <w:t>MMMM}</w:t>
      </w:r>
    </w:p>
    <w:p w14:paraId="25C6C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Informacijos apie paruošto/praskiesto vaisto tinkamumo laiką pateikiama pakuotės lapelyje.</w:t>
      </w:r>
    </w:p>
    <w:p w14:paraId="554E853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596A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6A6E3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SPECIALIOS LAIKYMO SĄLYGOS</w:t>
      </w:r>
    </w:p>
    <w:p w14:paraId="2B12E2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E8B6D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w:t>
      </w:r>
    </w:p>
    <w:p w14:paraId="15F7C5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D6DCB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2CA93B"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 xml:space="preserve">SPECIALIOS ATSARGUMO PRIEMONĖS DĖL NESUVARTOTO </w:t>
      </w:r>
      <w:r>
        <w:rPr>
          <w:rFonts w:ascii="Times New Roman" w:eastAsia="Times New Roman" w:hAnsi="Times New Roman" w:cs="Times New Roman"/>
          <w:b/>
          <w:bCs/>
          <w:lang w:eastAsia="lt-LT"/>
        </w:rPr>
        <w:t xml:space="preserve">VAISTINIO PREPARATO AR JO ATLIEKŲ </w:t>
      </w:r>
      <w:r>
        <w:rPr>
          <w:rFonts w:ascii="Times New Roman" w:eastAsia="Times New Roman" w:hAnsi="Times New Roman" w:cs="Times New Roman"/>
          <w:b/>
          <w:lang w:eastAsia="lt-LT"/>
        </w:rPr>
        <w:t>TVARKYMO (JEI REIKIA)</w:t>
      </w:r>
    </w:p>
    <w:p w14:paraId="44652B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3EE8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6F5D01"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Pr>
          <w:rFonts w:ascii="Times New Roman" w:eastAsia="Times New Roman" w:hAnsi="Times New Roman" w:cs="Times New Roman"/>
          <w:b/>
          <w:snapToGrid w:val="0"/>
          <w:szCs w:val="24"/>
        </w:rPr>
        <w:t>11.</w:t>
      </w:r>
      <w:r>
        <w:rPr>
          <w:rFonts w:ascii="Times New Roman" w:eastAsia="Times New Roman" w:hAnsi="Times New Roman" w:cs="Times New Roman"/>
          <w:b/>
          <w:snapToGrid w:val="0"/>
          <w:szCs w:val="24"/>
        </w:rPr>
        <w:tab/>
      </w:r>
      <w:r>
        <w:rPr>
          <w:rFonts w:ascii="Times New Roman" w:eastAsia="Times New Roman" w:hAnsi="Times New Roman" w:cs="Times New Roman"/>
          <w:b/>
          <w:caps/>
          <w:noProof/>
          <w:snapToGrid w:val="0"/>
          <w:szCs w:val="24"/>
        </w:rPr>
        <w:t>REGISTRUOTOJO PAVADINIMAS IR ADRESAS</w:t>
      </w:r>
    </w:p>
    <w:p w14:paraId="6B4FB4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C1C5C5" w14:textId="2C7440D3"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03CD1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6E56D0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138FA27D" w14:textId="77777777" w:rsidR="001764C6" w:rsidRDefault="001764C6" w:rsidP="001764C6">
      <w:pPr>
        <w:spacing w:after="0" w:line="240" w:lineRule="auto"/>
        <w:rPr>
          <w:rFonts w:ascii="Times New Roman" w:eastAsia="Times New Roman" w:hAnsi="Times New Roman" w:cs="Times New Roman"/>
          <w:bCs/>
          <w:noProof/>
          <w:lang w:eastAsia="lt-LT"/>
        </w:rPr>
      </w:pPr>
      <w:r>
        <w:rPr>
          <w:rFonts w:ascii="Times New Roman" w:eastAsia="Times New Roman" w:hAnsi="Times New Roman" w:cs="Times New Roman"/>
          <w:lang w:eastAsia="lt-LT"/>
        </w:rPr>
        <w:t>Lietuva</w:t>
      </w:r>
    </w:p>
    <w:p w14:paraId="085946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FD81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67C92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Pr>
          <w:rFonts w:ascii="Times New Roman" w:eastAsia="Times New Roman" w:hAnsi="Times New Roman" w:cs="Times New Roman"/>
          <w:b/>
          <w:snapToGrid w:val="0"/>
          <w:szCs w:val="24"/>
        </w:rPr>
        <w:t>12.</w:t>
      </w:r>
      <w:r>
        <w:rPr>
          <w:rFonts w:ascii="Times New Roman" w:eastAsia="Times New Roman" w:hAnsi="Times New Roman" w:cs="Times New Roman"/>
          <w:b/>
          <w:snapToGrid w:val="0"/>
          <w:szCs w:val="24"/>
        </w:rPr>
        <w:tab/>
      </w:r>
      <w:r>
        <w:rPr>
          <w:rFonts w:ascii="Times New Roman" w:eastAsia="Times New Roman" w:hAnsi="Times New Roman" w:cs="Times New Roman"/>
          <w:b/>
          <w:noProof/>
          <w:snapToGrid w:val="0"/>
          <w:szCs w:val="24"/>
        </w:rPr>
        <w:t>REGISTRACIJOS PAŽYMĖJIMO NUMERIS (-IAI)</w:t>
      </w:r>
      <w:r>
        <w:rPr>
          <w:rFonts w:ascii="Times New Roman" w:eastAsia="Times New Roman" w:hAnsi="Times New Roman" w:cs="Times New Roman"/>
          <w:b/>
          <w:snapToGrid w:val="0"/>
          <w:szCs w:val="24"/>
        </w:rPr>
        <w:t xml:space="preserve"> </w:t>
      </w:r>
    </w:p>
    <w:p w14:paraId="1B9D3A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D496B0"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500 mg</w:t>
      </w:r>
    </w:p>
    <w:p w14:paraId="6BA5D1C6"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LT/1/24/5395/001 </w:t>
      </w:r>
      <w:r>
        <w:rPr>
          <w:rFonts w:ascii="Times New Roman" w:eastAsia="Times New Roman" w:hAnsi="Times New Roman" w:cs="Times New Roman"/>
          <w:highlight w:val="lightGray"/>
          <w:lang w:eastAsia="lt-LT"/>
        </w:rPr>
        <w:t>– N1</w:t>
      </w:r>
    </w:p>
    <w:p w14:paraId="536D923D"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LT/1/24/5395/002 </w:t>
      </w:r>
      <w:r>
        <w:rPr>
          <w:rFonts w:ascii="Times New Roman" w:eastAsia="Times New Roman" w:hAnsi="Times New Roman" w:cs="Times New Roman"/>
          <w:highlight w:val="lightGray"/>
          <w:lang w:eastAsia="lt-LT"/>
        </w:rPr>
        <w:t>– N10</w:t>
      </w:r>
    </w:p>
    <w:p w14:paraId="2D900A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02B4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1000 mg</w:t>
      </w:r>
    </w:p>
    <w:p w14:paraId="24D360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LT/1/24/5396/001 – N1</w:t>
      </w:r>
    </w:p>
    <w:p w14:paraId="5C29EBB6"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LT/1/24/5396/002 – N10</w:t>
      </w:r>
    </w:p>
    <w:p w14:paraId="4F447D7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8D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1D66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13.</w:t>
      </w:r>
      <w:r>
        <w:rPr>
          <w:rFonts w:ascii="Times New Roman" w:eastAsia="Times New Roman" w:hAnsi="Times New Roman" w:cs="Times New Roman"/>
          <w:b/>
          <w:lang w:eastAsia="lt-LT"/>
        </w:rPr>
        <w:tab/>
        <w:t>SERIJOS NUMERIS</w:t>
      </w:r>
    </w:p>
    <w:p w14:paraId="43ABDA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E3B457" w14:textId="5030D5E3"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Serija</w:t>
      </w:r>
    </w:p>
    <w:p w14:paraId="648A2F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547B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02B00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14.</w:t>
      </w:r>
      <w:r>
        <w:rPr>
          <w:rFonts w:ascii="Times New Roman" w:eastAsia="Times New Roman" w:hAnsi="Times New Roman" w:cs="Times New Roman"/>
          <w:b/>
          <w:lang w:eastAsia="lt-LT"/>
        </w:rPr>
        <w:tab/>
        <w:t>PARDAVIMO (IŠDAVIMO) TVARKA</w:t>
      </w:r>
    </w:p>
    <w:p w14:paraId="7A286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A0CD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58B2F8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EE71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7ACAC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15.</w:t>
      </w:r>
      <w:r>
        <w:rPr>
          <w:rFonts w:ascii="Times New Roman" w:eastAsia="Times New Roman" w:hAnsi="Times New Roman" w:cs="Times New Roman"/>
          <w:b/>
          <w:lang w:eastAsia="lt-LT"/>
        </w:rPr>
        <w:tab/>
        <w:t>VARTOJIMO INSTRUKCIJA</w:t>
      </w:r>
    </w:p>
    <w:p w14:paraId="43C25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D6B3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B3F4D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16.</w:t>
      </w:r>
      <w:r>
        <w:rPr>
          <w:rFonts w:ascii="Times New Roman" w:eastAsia="Times New Roman" w:hAnsi="Times New Roman" w:cs="Times New Roman"/>
          <w:b/>
          <w:lang w:eastAsia="lt-LT"/>
        </w:rPr>
        <w:tab/>
        <w:t>INFORMACIJA BRAILIO RAŠTU</w:t>
      </w:r>
    </w:p>
    <w:p w14:paraId="7FC44E7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9032930"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Priimtas pagrindimas informacijos Brailio raštu nepateikti.</w:t>
      </w:r>
    </w:p>
    <w:p w14:paraId="794FD6F3"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06F6112E"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28FDD09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17.</w:t>
      </w:r>
      <w:r>
        <w:rPr>
          <w:rFonts w:ascii="Times New Roman" w:eastAsia="Times New Roman" w:hAnsi="Times New Roman" w:cs="Times New Roman"/>
          <w:b/>
          <w:lang w:eastAsia="lt-LT"/>
        </w:rPr>
        <w:tab/>
        <w:t>UNIKALUS IDENTIFIKATORIUS – 2D BRŪKŠNINIS KODAS</w:t>
      </w:r>
    </w:p>
    <w:p w14:paraId="2C378074" w14:textId="77777777" w:rsidR="001764C6" w:rsidRDefault="001764C6" w:rsidP="001764C6">
      <w:pPr>
        <w:spacing w:after="0" w:line="240" w:lineRule="auto"/>
        <w:rPr>
          <w:rFonts w:ascii="Times New Roman" w:eastAsia="Times New Roman" w:hAnsi="Times New Roman" w:cs="Times New Roman"/>
          <w:noProof/>
          <w:szCs w:val="20"/>
          <w:lang w:val="fi-FI"/>
        </w:rPr>
      </w:pPr>
    </w:p>
    <w:p w14:paraId="6847AEF1"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r>
        <w:rPr>
          <w:rFonts w:ascii="Times New Roman" w:eastAsia="Times New Roman" w:hAnsi="Times New Roman" w:cs="Times New Roman"/>
          <w:noProof/>
          <w:shd w:val="clear" w:color="auto" w:fill="CCCCCC"/>
        </w:rPr>
        <w:t>2D brūkšninis kodas su nurodytu unikaliu identifikatoriumi.</w:t>
      </w:r>
    </w:p>
    <w:p w14:paraId="210F345C"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p>
    <w:p w14:paraId="5F587AF9"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lang w:val="fi-FI"/>
        </w:rPr>
      </w:pPr>
    </w:p>
    <w:p w14:paraId="60727C38" w14:textId="77777777" w:rsidR="001764C6" w:rsidRDefault="001764C6" w:rsidP="001764C6">
      <w:pPr>
        <w:tabs>
          <w:tab w:val="left" w:pos="567"/>
        </w:tabs>
        <w:spacing w:after="0" w:line="240" w:lineRule="auto"/>
        <w:rPr>
          <w:rFonts w:ascii="Times New Roman" w:eastAsia="Times New Roman" w:hAnsi="Times New Roman" w:cs="Times New Roman"/>
          <w:noProof/>
          <w:vanish/>
          <w:lang w:val="en-GB"/>
        </w:rPr>
      </w:pPr>
    </w:p>
    <w:p w14:paraId="2314616A"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18.</w:t>
      </w:r>
      <w:r>
        <w:rPr>
          <w:rFonts w:ascii="Times New Roman" w:eastAsia="Times New Roman" w:hAnsi="Times New Roman" w:cs="Times New Roman"/>
          <w:b/>
          <w:lang w:eastAsia="lt-LT"/>
        </w:rPr>
        <w:tab/>
        <w:t>UNIKALUS IDENTIFIKATORIUS – ŽMONĖMS SUPRANTAMI DUOMENYS</w:t>
      </w:r>
    </w:p>
    <w:p w14:paraId="5FE9D6A7" w14:textId="77777777" w:rsidR="001764C6" w:rsidRDefault="001764C6" w:rsidP="001764C6">
      <w:pPr>
        <w:spacing w:after="0" w:line="240" w:lineRule="auto"/>
        <w:rPr>
          <w:rFonts w:ascii="Times New Roman" w:eastAsia="Times New Roman" w:hAnsi="Times New Roman" w:cs="Times New Roman"/>
          <w:noProof/>
          <w:szCs w:val="20"/>
          <w:lang w:val="fi-FI"/>
        </w:rPr>
      </w:pPr>
    </w:p>
    <w:p w14:paraId="28DCB8E2"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PC: {numeris} </w:t>
      </w:r>
    </w:p>
    <w:p w14:paraId="36AD8560"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SN: {numeris}</w:t>
      </w:r>
    </w:p>
    <w:p w14:paraId="39E29475"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NN: {numeris} </w:t>
      </w:r>
    </w:p>
    <w:p w14:paraId="44662B83"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1EA026B8"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00FA2A6D" w14:textId="77777777" w:rsidR="001764C6" w:rsidRDefault="001764C6" w:rsidP="001764C6">
      <w:pPr>
        <w:rPr>
          <w:rFonts w:ascii="Times New Roman" w:eastAsia="Times New Roman" w:hAnsi="Times New Roman" w:cs="Times New Roman"/>
          <w:b/>
          <w:lang w:eastAsia="lt-LT"/>
        </w:rPr>
      </w:pPr>
      <w:r>
        <w:rPr>
          <w:rFonts w:ascii="Times New Roman" w:eastAsia="Times New Roman" w:hAnsi="Times New Roman" w:cs="Times New Roman"/>
          <w:b/>
          <w:lang w:eastAsia="lt-LT"/>
        </w:rPr>
        <w:br w:type="page"/>
      </w:r>
    </w:p>
    <w:p w14:paraId="183A5950" w14:textId="77777777" w:rsidR="001764C6" w:rsidRDefault="001764C6" w:rsidP="001764C6">
      <w:pPr>
        <w:keepNext/>
        <w:tabs>
          <w:tab w:val="left" w:pos="567"/>
        </w:tabs>
        <w:spacing w:after="0" w:line="240" w:lineRule="auto"/>
        <w:outlineLvl w:val="1"/>
        <w:rPr>
          <w:rFonts w:ascii="Times New Roman" w:eastAsia="Times New Roman" w:hAnsi="Times New Roman" w:cs="Times New Roman"/>
          <w:b/>
          <w:lang w:eastAsia="lt-LT"/>
        </w:rPr>
      </w:pPr>
    </w:p>
    <w:p w14:paraId="11811102"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MINIMALI INFORMACIJA ANT MAŽŲ VIDINIŲ PAKUOČIŲ</w:t>
      </w:r>
    </w:p>
    <w:p w14:paraId="1F76288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p>
    <w:p w14:paraId="12FD4DA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FLAKONO ETIKETĖ</w:t>
      </w:r>
    </w:p>
    <w:p w14:paraId="1A9894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8728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3A8D9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r>
      <w:r>
        <w:rPr>
          <w:rFonts w:ascii="Times New Roman" w:eastAsia="Times New Roman" w:hAnsi="Times New Roman" w:cs="Times New Roman"/>
          <w:b/>
          <w:caps/>
          <w:noProof/>
          <w:snapToGrid w:val="0"/>
          <w:szCs w:val="24"/>
        </w:rPr>
        <w:t>Vaistinio preparato pavadinimas ir vartojimo būdas (-ai)</w:t>
      </w:r>
    </w:p>
    <w:p w14:paraId="0756A88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8C38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78646B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Vancomycin IBE 1000 mg milteliai infuzinio tirpalo koncentratui</w:t>
      </w:r>
      <w:r>
        <w:rPr>
          <w:rFonts w:ascii="Times New Roman" w:eastAsia="Times New Roman" w:hAnsi="Times New Roman" w:cs="Times New Roman"/>
          <w:lang w:eastAsia="lt-LT"/>
        </w:rPr>
        <w:t xml:space="preserve"> </w:t>
      </w:r>
    </w:p>
    <w:p w14:paraId="3F8D1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w:t>
      </w:r>
    </w:p>
    <w:p w14:paraId="240C47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i.v., vartoti per burną</w:t>
      </w:r>
    </w:p>
    <w:p w14:paraId="0610F7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F7C7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AD83A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VARTOJIMO METODAS</w:t>
      </w:r>
    </w:p>
    <w:p w14:paraId="12A10E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C402A9" w14:textId="77777777" w:rsidR="001764C6" w:rsidRDefault="001764C6" w:rsidP="001764C6">
      <w:pPr>
        <w:tabs>
          <w:tab w:val="left" w:pos="567"/>
        </w:tabs>
        <w:spacing w:after="0" w:line="240" w:lineRule="auto"/>
      </w:pPr>
      <w:r>
        <w:rPr>
          <w:rFonts w:ascii="Times New Roman" w:eastAsia="Times New Roman" w:hAnsi="Times New Roman" w:cs="Times New Roman"/>
          <w:lang w:eastAsia="lt-LT"/>
        </w:rPr>
        <w:t>Vartoti ištirpinus ir praskiedus.</w:t>
      </w:r>
      <w:r>
        <w:t xml:space="preserve"> </w:t>
      </w:r>
    </w:p>
    <w:p w14:paraId="45A6E7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2EFBFA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CE93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F1FF5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TINKAMUMO LAIKAS</w:t>
      </w:r>
    </w:p>
    <w:p w14:paraId="3CDE8B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AB91D0" w14:textId="7C60BF88"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{mm</w:t>
      </w:r>
      <w:r w:rsidR="00307479">
        <w:rPr>
          <w:rFonts w:ascii="Times New Roman" w:eastAsia="Times New Roman" w:hAnsi="Times New Roman" w:cs="Times New Roman"/>
          <w:lang w:eastAsia="lt-LT"/>
        </w:rPr>
        <w:t>/</w:t>
      </w:r>
      <w:r>
        <w:rPr>
          <w:rFonts w:ascii="Times New Roman" w:eastAsia="Times New Roman" w:hAnsi="Times New Roman" w:cs="Times New Roman"/>
          <w:lang w:eastAsia="lt-LT"/>
        </w:rPr>
        <w:t>MMMM}</w:t>
      </w:r>
    </w:p>
    <w:p w14:paraId="1105B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23B9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B55C5"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SERIJOS NUMERIS</w:t>
      </w:r>
    </w:p>
    <w:p w14:paraId="41661B6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35A7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76619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F2F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92378"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KIEKIS (MASĖ, TŪRIS ARBA VIENETAI)</w:t>
      </w:r>
    </w:p>
    <w:p w14:paraId="79B2993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DD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500 mg</w:t>
      </w:r>
    </w:p>
    <w:p w14:paraId="4F8C7E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1000 mg</w:t>
      </w:r>
    </w:p>
    <w:p w14:paraId="5BDA24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t xml:space="preserve">   </w:t>
      </w:r>
    </w:p>
    <w:p w14:paraId="5AAFE4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D67CF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KITA</w:t>
      </w:r>
    </w:p>
    <w:p w14:paraId="478520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4AB844" w14:textId="77777777" w:rsidR="001764C6" w:rsidRDefault="001764C6" w:rsidP="001764C6">
      <w:pPr>
        <w:spacing w:after="0" w:line="240" w:lineRule="auto"/>
        <w:rPr>
          <w:rFonts w:ascii="Times New Roman" w:eastAsia="Times New Roman" w:hAnsi="Times New Roman" w:cs="Times New Roman"/>
          <w:lang w:eastAsia="lt-LT"/>
        </w:rPr>
      </w:pPr>
    </w:p>
    <w:p w14:paraId="228BFDD1" w14:textId="77777777" w:rsidR="001764C6" w:rsidRDefault="001764C6" w:rsidP="001764C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6F951117"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4BD9B3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F84A33"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843495D"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624F8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E91A03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3BD5F3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9872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9C2F7C1"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7A7620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B67B7B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5001B9C"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02FFCA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BFB4E8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F968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23EE04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2F142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6260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0B5C4B7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6EC83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67E29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96C5FF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DA99D6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F0783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B. PAKUOTĖS LAPELIS</w:t>
      </w:r>
    </w:p>
    <w:p w14:paraId="3E50A454"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rPr>
      </w:pPr>
      <w:r>
        <w:rPr>
          <w:rFonts w:ascii="Times New Roman" w:eastAsia="Times New Roman" w:hAnsi="Times New Roman" w:cs="Times New Roman"/>
        </w:rPr>
        <w:br w:type="page"/>
      </w:r>
    </w:p>
    <w:p w14:paraId="36BD0E3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263"/>
      <w:bookmarkStart w:id="13" w:name="_Toc129243138"/>
      <w:r>
        <w:rPr>
          <w:rFonts w:ascii="Times New Roman" w:eastAsia="Calibri" w:hAnsi="Times New Roman" w:cs="Times New Roman"/>
          <w:b/>
        </w:rPr>
        <w:lastRenderedPageBreak/>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12"/>
      <w:bookmarkEnd w:id="13"/>
    </w:p>
    <w:p w14:paraId="0DD857AA"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3FA7C0E4"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Vancomycin IBE 500 mg milteliai infuzinio tirpalo koncentratui </w:t>
      </w:r>
    </w:p>
    <w:p w14:paraId="219FC425"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Vancomycin IBE 1000 mg milteliai infuzinio tirpalo koncentratui </w:t>
      </w:r>
    </w:p>
    <w:p w14:paraId="093486B4"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vankomicinas</w:t>
      </w:r>
    </w:p>
    <w:p w14:paraId="3F2050E7"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55CC798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14:paraId="205EC7B9"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6F20C6F7"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577DEBDD"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Pr>
          <w:rFonts w:ascii="Times New Roman" w:eastAsia="Times New Roman" w:hAnsi="Times New Roman" w:cs="Times New Roman"/>
          <w:noProof/>
          <w:snapToGrid w:val="0"/>
        </w:rPr>
        <w:t xml:space="preserve">Žr. 4 skyrių. </w:t>
      </w:r>
    </w:p>
    <w:p w14:paraId="14CE5A20" w14:textId="77777777" w:rsidR="001764C6" w:rsidRDefault="001764C6" w:rsidP="001764C6">
      <w:pPr>
        <w:tabs>
          <w:tab w:val="left" w:pos="567"/>
        </w:tabs>
        <w:spacing w:after="0" w:line="240" w:lineRule="auto"/>
        <w:jc w:val="both"/>
        <w:rPr>
          <w:rFonts w:ascii="Times New Roman" w:eastAsia="Times New Roman" w:hAnsi="Times New Roman" w:cs="Times New Roman"/>
          <w:b/>
          <w:i/>
          <w:lang w:eastAsia="lt-LT"/>
        </w:rPr>
      </w:pPr>
    </w:p>
    <w:p w14:paraId="4B64332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14:paraId="5E0A20A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p>
    <w:p w14:paraId="45927756" w14:textId="77777777" w:rsidR="001764C6" w:rsidRDefault="001764C6" w:rsidP="001764C6">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Kas yra Vancomycin IBE</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14:paraId="1EF8F6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Kas žinotina prieš vartojant Vancomycin IBE</w:t>
      </w:r>
    </w:p>
    <w:p w14:paraId="501891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Kaip vartoti Vancomycin IBE</w:t>
      </w:r>
    </w:p>
    <w:p w14:paraId="59A19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263337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Vancomycin IBE </w:t>
      </w:r>
      <w:r>
        <w:rPr>
          <w:rFonts w:ascii="Times New Roman" w:eastAsia="Times New Roman" w:hAnsi="Times New Roman" w:cs="Times New Roman"/>
          <w:b/>
          <w:lang w:eastAsia="lt-LT"/>
        </w:rPr>
        <w:t xml:space="preserve"> </w:t>
      </w:r>
    </w:p>
    <w:p w14:paraId="15F67777"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2B51D252"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7CFE4F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317FAB" w14:textId="77777777" w:rsidR="001764C6" w:rsidRDefault="001764C6" w:rsidP="001764C6">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 xml:space="preserve">ancomycin </w:t>
      </w:r>
      <w:r>
        <w:rPr>
          <w:rFonts w:ascii="Times New Roman" w:eastAsia="Times New Roman" w:hAnsi="Times New Roman" w:cs="Times New Roman"/>
          <w:b/>
          <w:caps/>
          <w:lang w:eastAsia="lt-LT"/>
        </w:rPr>
        <w:t>IBE</w:t>
      </w:r>
      <w:r>
        <w:rPr>
          <w:rFonts w:ascii="Times New Roman" w:eastAsia="Times New Roman" w:hAnsi="Times New Roman" w:cs="Times New Roman"/>
          <w:b/>
          <w:lang w:eastAsia="lt-LT"/>
        </w:rPr>
        <w:t xml:space="preserve"> ir kam jis vartojamas</w:t>
      </w:r>
    </w:p>
    <w:p w14:paraId="5CFB8DAC"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3976F5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veiklioji medžiaga vankomicinas yra antibiotikas, priklausantis antibiotikų grupei, vadinamai glikopeptidais. Vankomicinas veikia naikindamas tam tikras bakterijas, sukeliančias infekcines ligas.</w:t>
      </w:r>
    </w:p>
    <w:p w14:paraId="23B206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A993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Iš vankomicino miltelių yra paruošiamas infuzinis (skirtas lašinimui į veną) tirpalas arba geriamasis tirpalas.</w:t>
      </w:r>
    </w:p>
    <w:p w14:paraId="277ACE43"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2D479B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Visose amžiaus grupėse vankomicinas yra vartojamas infuzijos (lašinimo į veną) būdu toliau nurodytų sunkių infekcijų gydymui.</w:t>
      </w:r>
    </w:p>
    <w:p w14:paraId="2F34FC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CC952A"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Odos ir poodinių audinių infekcijos;</w:t>
      </w:r>
    </w:p>
    <w:p w14:paraId="29833C95"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p w14:paraId="2AB7EF2E"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Plaučių infekcija, vadinama „pneumonija“;</w:t>
      </w:r>
    </w:p>
    <w:p w14:paraId="6D5F8363"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Vidinio širdies sluoksnio infekcija (endokarditas), ir jos profilaktika pacientams, kuriems atliekamos didelės apimties chirurginės procedūros.</w:t>
      </w:r>
    </w:p>
    <w:p w14:paraId="0440585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3389C05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r>
        <w:rPr>
          <w:rFonts w:ascii="Times New Roman" w:eastAsia="Times New Roman" w:hAnsi="Times New Roman" w:cs="Times New Roman"/>
          <w:lang w:eastAsia="lt-LT"/>
        </w:rPr>
        <w:t xml:space="preserve">Visose amžiaus grupėse vankomiciną galima vartoti per burną plonosios ir storosios žarnos gleivinės infekcijai gydyti, jei yra </w:t>
      </w:r>
      <w:r>
        <w:rPr>
          <w:rFonts w:ascii="Times New Roman" w:eastAsia="Times New Roman" w:hAnsi="Times New Roman" w:cs="Times New Roman"/>
          <w:bCs/>
          <w:i/>
          <w:iCs/>
          <w:lang w:eastAsia="lt-LT"/>
        </w:rPr>
        <w:t xml:space="preserve">Clostridioides difficile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(pseudomembraninis kolitas).</w:t>
      </w:r>
    </w:p>
    <w:p w14:paraId="46A3E4E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9146F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5C2B6E"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IBE</w:t>
      </w:r>
    </w:p>
    <w:p w14:paraId="22FAC93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lang w:eastAsia="lt-LT"/>
        </w:rPr>
      </w:pPr>
    </w:p>
    <w:p w14:paraId="0A05396A" w14:textId="77777777" w:rsidR="001764C6" w:rsidRDefault="001764C6" w:rsidP="001764C6">
      <w:pPr>
        <w:tabs>
          <w:tab w:val="left" w:pos="567"/>
        </w:tabs>
        <w:spacing w:after="0" w:line="240" w:lineRule="auto"/>
        <w:jc w:val="both"/>
        <w:rPr>
          <w:rFonts w:ascii="Times New Roman" w:eastAsia="Times New Roman" w:hAnsi="Times New Roman" w:cs="Times New Roman"/>
          <w:b/>
          <w:lang w:eastAsia="lt-LT"/>
        </w:rPr>
      </w:pP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IBE vartoti draudžiama:</w:t>
      </w:r>
    </w:p>
    <w:p w14:paraId="05785E78"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jeigu yra alergija vankomicinui.</w:t>
      </w:r>
    </w:p>
    <w:p w14:paraId="75CCD5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E2B044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14:paraId="6351075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692863E"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Po vankomicino suleidimo į akį pranešta apie sunkų šalutinį poveikį, kuris gali sukelti apakimą.</w:t>
      </w:r>
    </w:p>
    <w:p w14:paraId="2E34CDD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ACA9338"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Pasakykite savo gydytojui arba ligoninės vaistininkui arba slaugytojui, prieš pradėdami vartoti Vancomycin IBE:</w:t>
      </w:r>
    </w:p>
    <w:p w14:paraId="087E8F75"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po vankomicino pavartojimo buvo atsiradęs sunkus odos išbėrimas ar odos lupimasis, pūslių susidarymas ir (arba) burnos išopėjimas (žr. toliau 4 skyriuje) . </w:t>
      </w:r>
    </w:p>
    <w:p w14:paraId="7A52333F"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praeityje esate patyrę alerginių reakcijų į vaistą, vadinamą teikoplaninu, kadangi tai gali reikšti, jog esate alergiškas ir vankomicinui.</w:t>
      </w:r>
    </w:p>
    <w:p w14:paraId="3E84FD7C"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turite klausos sutrikimų, ypatingai jei esate senyvo amžiaus (gydymo eigoje Jums gali prireikti atlikti klausos tyrimus).</w:t>
      </w:r>
    </w:p>
    <w:p w14:paraId="0EFD52CB"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turite inkstų sutrikimų (gydymo eigoje Jums turės būti atliekami kraujo ir inkstų tyrimai).</w:t>
      </w:r>
    </w:p>
    <w:p w14:paraId="275DF9EF"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lang w:eastAsia="lt-LT"/>
        </w:rPr>
        <w:t xml:space="preserve">Jei vartojate vankomiciną infuzijos (lašinimo į veną) būdu gydyti viduriavimą, susijusį su </w:t>
      </w:r>
      <w:r>
        <w:rPr>
          <w:rFonts w:ascii="Times New Roman" w:eastAsia="Times New Roman" w:hAnsi="Times New Roman" w:cs="Times New Roman"/>
          <w:i/>
          <w:iCs/>
          <w:lang w:eastAsia="lt-LT"/>
        </w:rPr>
        <w:t xml:space="preserve">Clostridioides difficile </w:t>
      </w:r>
      <w:r>
        <w:rPr>
          <w:rFonts w:ascii="Times New Roman" w:eastAsia="Times New Roman" w:hAnsi="Times New Roman" w:cs="Times New Roman"/>
          <w:lang w:eastAsia="lt-LT"/>
        </w:rPr>
        <w:t>infekcija, vietoje to, kad vartotumėte jį per burną.</w:t>
      </w:r>
    </w:p>
    <w:p w14:paraId="5B4A048A" w14:textId="77777777" w:rsidR="001764C6" w:rsidRDefault="001764C6" w:rsidP="001764C6">
      <w:pPr>
        <w:tabs>
          <w:tab w:val="left" w:pos="567"/>
        </w:tabs>
        <w:spacing w:line="240" w:lineRule="auto"/>
        <w:contextualSpacing/>
        <w:rPr>
          <w:rFonts w:ascii="Times New Roman" w:eastAsia="Times New Roman" w:hAnsi="Times New Roman" w:cs="Times New Roman"/>
          <w:lang w:eastAsia="lt-LT"/>
        </w:rPr>
      </w:pPr>
    </w:p>
    <w:p w14:paraId="419CFD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Pasakykite savo gydytojui, ligoninės vaistininkui arba slaugytojui, vankomicino vartojimo metu:</w:t>
      </w:r>
    </w:p>
    <w:p w14:paraId="3EAC2EEE"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vartojate Vancomycin IBE ilgą laiką (gydymo metu Jums gali reikėti atlikti kraujo, kepenų ir inkstų tyrimus).</w:t>
      </w:r>
    </w:p>
    <w:p w14:paraId="6E914084"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metu Jums pasireiškė bet kokia odos reakcija.</w:t>
      </w:r>
    </w:p>
    <w:p w14:paraId="556502E9"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vankomicinu metu ar po jo, Jums pasireiškė sunkus ir užsitęsęs viduriavimas. Nedelsdami susisiekite su savo gydytoju, nes tai gali būti žarnyno patinimo (pseudomembraninio kolito) požymis, kuris gali pasireikšti po gydymo antibiotikais.</w:t>
      </w:r>
    </w:p>
    <w:p w14:paraId="1F2D81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C767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Pranešta apie su vankomicino vartojimu susijusias sunkias odos reakcijas, įskaitant Stivenso - Džonsono [</w:t>
      </w:r>
      <w:r>
        <w:rPr>
          <w:rFonts w:ascii="Times New Roman" w:eastAsia="Times New Roman" w:hAnsi="Times New Roman" w:cs="Times New Roman"/>
          <w:i/>
          <w:iCs/>
          <w:lang w:eastAsia="lt-LT"/>
        </w:rPr>
        <w:t>Stevens - Johnson</w:t>
      </w:r>
      <w:r>
        <w:rPr>
          <w:rFonts w:ascii="Times New Roman" w:eastAsia="Times New Roman" w:hAnsi="Times New Roman" w:cs="Times New Roman"/>
          <w:lang w:eastAsia="lt-LT"/>
        </w:rPr>
        <w:t xml:space="preserve">] sindromą, toksinę epidermio nekrolizę, reakciją į vaistą su eozinofilija ir sisteminiais simptomais (angl.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Jei atsiranda bet kuris iš 4 skyriuje aprašytų simptomų, nutraukite vankomicino vartojimą ir nedelsdami kreipkitės į medikus.</w:t>
      </w:r>
    </w:p>
    <w:p w14:paraId="0FE620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0A697BB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14:paraId="0BBC6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Neišnešiotus naujagimius ir kūdikius vankomicinu reikia gydyti ypač atsargiai, kadangi jų inkstai nėra iki galo išsivystę ir vankomicinas gali kauptis kraujyje. Šioje amžiaus grupėje gali reikėti atlikti kraujo tyrimus, nustatančius vankomicino koncentraciją kraujyje.</w:t>
      </w:r>
    </w:p>
    <w:p w14:paraId="56D30C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89A8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Vaikams vankomicino vartojimas kartu su anestetikais buvo susijęs su odos paraudimu (eritema) ir alerginėmis reakcijomis. Panašiai kitų vaistų, tokių kaip aminoglikozidų antibiotikai, nesteroidiniai vaistai nuo uždegimo (NVNU, pvz., ibuprofenas) ar amfotericinas B (vaistas skirtas gydyti grybelines infekcijas), vartojimas kartu gali didinti  inkstų pažeidimų riziką, todėl gali reikėti dažniau atlikti kraujo ir inkstų tyrimus.</w:t>
      </w:r>
    </w:p>
    <w:p w14:paraId="31077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460CE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Kiti vaistai ir Vancomycin IBE</w:t>
      </w:r>
    </w:p>
    <w:p w14:paraId="2568D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noProof/>
          <w:snapToGrid w:val="0"/>
        </w:rPr>
        <w:t xml:space="preserve"> </w:t>
      </w:r>
      <w:r>
        <w:rPr>
          <w:rFonts w:ascii="Times New Roman" w:eastAsia="Times New Roman" w:hAnsi="Times New Roman" w:cs="Times New Roman"/>
          <w:lang w:eastAsia="lt-LT"/>
        </w:rPr>
        <w:t>arba dėl to nesate tikri, apie tai pasakykite savo gydytojui arba vaistininkui. Tai ypač svarbu su toliau išvardytais vaistais, nes jie gali sąveikauti su Vancomycin IBE:</w:t>
      </w:r>
    </w:p>
    <w:p w14:paraId="4127E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3DC1B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Vaistai skausmui malšinti operacijos metu (anestetikai). Gali sukelti paraudimą, alpimą, kolapsą  ar net širdies priepuolius. Jeigu ruošiatės operacijai, informuokite gydytoją, kad vartojate Vancomycin IBE.</w:t>
      </w:r>
    </w:p>
    <w:p w14:paraId="633E223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kurie veikia jūsų nervus arba inkstus, pvz., amfotercinas B (vaistas nuo grybelių sukeltų infekcijų), aminoglikozidai, bacitracinas, polimiksinas B, kolistinas, viomicinas (antibiotikas) ar cisplatina (chemoterapinis vaistas), piperacilinas/tazobaktamas. </w:t>
      </w:r>
    </w:p>
    <w:p w14:paraId="61B448F0"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Stipriai veikiantys diuretikai (stiprūs šlapimo išsiskyrimą skatinantys vaistai), pvz., furozemidas.</w:t>
      </w:r>
    </w:p>
    <w:p w14:paraId="5C5F03A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441C80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14:paraId="1487F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3FAF0D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A6E4D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14:paraId="52A4C1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gebėjimą vairuoti ir valdyti mechanizmus neveikia arba veikia silpnai. </w:t>
      </w:r>
    </w:p>
    <w:p w14:paraId="15949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C5AF11" w14:textId="77777777" w:rsidR="001764C6" w:rsidRDefault="001764C6" w:rsidP="001764C6">
      <w:pPr>
        <w:tabs>
          <w:tab w:val="left" w:pos="567"/>
          <w:tab w:val="left" w:pos="720"/>
        </w:tabs>
        <w:spacing w:after="0" w:line="240" w:lineRule="auto"/>
        <w:rPr>
          <w:rFonts w:ascii="Times New Roman" w:eastAsia="Times New Roman" w:hAnsi="Times New Roman" w:cs="Times New Roman"/>
          <w:lang w:eastAsia="lt-LT"/>
        </w:rPr>
      </w:pPr>
    </w:p>
    <w:p w14:paraId="17D9C11F"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IBE</w:t>
      </w:r>
    </w:p>
    <w:p w14:paraId="17D280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9C89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Jums sulašins medicinos personalas Jums esant ligoninėje. Jūsų gydytojas nuspręs, kokią šio vaisto dozę turite vartoti kiekvieną dieną ir kaip ilgai turi būti tęsiamas gydymas.</w:t>
      </w:r>
    </w:p>
    <w:p w14:paraId="6D56F9B6"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3CB69A2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Dozavimas</w:t>
      </w:r>
    </w:p>
    <w:p w14:paraId="4443AF4B"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73A898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14:paraId="25F9DD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14:paraId="7DB4C9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14:paraId="1BA23F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14:paraId="3A5A18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14:paraId="2D694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14:paraId="3A5FCB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vartojamų vaistų.</w:t>
      </w:r>
    </w:p>
    <w:p w14:paraId="081CC54A"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52C95FDA"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į veną</w:t>
      </w:r>
    </w:p>
    <w:p w14:paraId="126F225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4C85058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14:paraId="2632B0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C62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(lėto leidimo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14:paraId="4D5CC790"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7B60BD7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14:paraId="4952AE57"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3F72D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vaiko kūno svorį. Įprasta infuzijos (lėto leidimo į veną) dozė yra nuo 10 iki 15 mg kiekvienam kūno svorio kilogramui. Ši dozė įprastai skiriama kas 6 valandas.</w:t>
      </w:r>
    </w:p>
    <w:p w14:paraId="3C9A59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658C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neišnešiotiems ir išnešiotiems naujagimiams (nuo 0 iki 27 parų amžiaus)</w:t>
      </w:r>
    </w:p>
    <w:p w14:paraId="3ABBC1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pomenstruacinį amžių (laiką, praėjusį nuo paskutinio menstruacijų ciklo pirmos paros iki gimimo (gestacinis amžius), pridedant laiką, praėjusį nuo gimimo (postnatalinis amžius)).</w:t>
      </w:r>
    </w:p>
    <w:p w14:paraId="4FEE69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5846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Senyviems pacientams, nėščioms moterims ir pacientams, kurių inkstų funkcija sutrikusi, įskaitant dializuojamus pacientus, gali reikėti skirti kitokią dozę.</w:t>
      </w:r>
    </w:p>
    <w:p w14:paraId="3D944D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78792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per burną</w:t>
      </w:r>
    </w:p>
    <w:p w14:paraId="11CC86F1"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E6180D3"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suaugusiesiems ir paaugliams (12</w:t>
      </w:r>
      <w:r>
        <w:rPr>
          <w:rFonts w:ascii="Times New Roman" w:eastAsia="Times New Roman" w:hAnsi="Times New Roman" w:cs="Times New Roman"/>
          <w:b/>
          <w:bCs/>
          <w:lang w:eastAsia="lt-LT"/>
        </w:rPr>
        <w:noBreakHyphen/>
        <w:t>18 metų)</w:t>
      </w:r>
    </w:p>
    <w:p w14:paraId="2D97FE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14:paraId="3AFC61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4473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0009D90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D898B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naujagimiams, kūdikiams ir jaunesniems kaip 12 metų vaikams</w:t>
      </w:r>
    </w:p>
    <w:p w14:paraId="5467B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14:paraId="292DF57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2FCBE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14:paraId="3BAE0A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Intraveninė infuzija reiškia, kad vaistas iš infuzinio buteliuko ar maišelio teka per vamzdelį į Jūsų veną, taip patenka į Jūsų kraujotaką ir organizmą. Jūsų gydytojas arba slaugytojas visada vankomiciną lašins į veną, o ne leis jį į raumenį.</w:t>
      </w:r>
    </w:p>
    <w:p w14:paraId="1ECEEE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į veną turi būti leidžiamas ne trumpiau nei 60 minučių.</w:t>
      </w:r>
    </w:p>
    <w:p w14:paraId="03AD7C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Vartojant virškinimo trakto sutrikimams (vadinamajam pseudomembraniniam kolitui) gydyti, vaisto vartojama kaip geriamojo tirpalo (vaistą vartosite per burną).</w:t>
      </w:r>
    </w:p>
    <w:p w14:paraId="317C152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Galima vartoti 500 mg arba 1000 mg flakono turinį. </w:t>
      </w:r>
    </w:p>
    <w:p w14:paraId="00442F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2D6231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Gydymo trukmė</w:t>
      </w:r>
    </w:p>
    <w:p w14:paraId="7C0CE5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14:paraId="15D108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14:paraId="0F387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0535E6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D34A95"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Ką daryti pavartojus per didelę Vancomycin IBE dozę</w:t>
      </w:r>
    </w:p>
    <w:p w14:paraId="67E13D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Jūs vartosite ligoninėje, todėl nėra tikėtina, kad suvartosite per mažą ar per didelę dozę. Vis dėlto, jei kiltų bet kokių abejonių, apie tai pasakykite gydytojui arba slaugytojui.</w:t>
      </w:r>
    </w:p>
    <w:p w14:paraId="46F980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C46E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14:paraId="46CDD6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9C1A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B0DBDE"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14:paraId="67EF9E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EABFF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5772FA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0FEDF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Vankomicinas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14:paraId="7CCC38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988DF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Nutraukite vankomicino vartojimą ir nedelsdami kreipkitės į medikus, jei pastebėsite bet kurį iš toliau išvardytų simptomų.</w:t>
      </w:r>
    </w:p>
    <w:p w14:paraId="148ABB76"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(Stivenso - Džonsono sindromas bei toksinė epidermio nekrolizė).</w:t>
      </w:r>
    </w:p>
    <w:p w14:paraId="29464DF9"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092A1477"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odos išbėrimas raudonomis pleiskanotomis dėmėmis su gumbeliais po oda ir pūslėmis, kartu pasireiškiant karščiavimui, gydymo pradžioje (ūminė išplitusi egzanteminė pustuliozė).</w:t>
      </w:r>
    </w:p>
    <w:p w14:paraId="2E5FC5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3779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absorbcija iš virškinimo trakto yra nereikšminga. Vis dėlto, jei Jums yra uždegiminiai virškinimo trakto sutrikimai, ypač jei kartu sergate inkstų liga, gali pasireikšti šalutinis poveikis, atsirandantis vankomicino lašinant į veną.</w:t>
      </w:r>
    </w:p>
    <w:p w14:paraId="0A3143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0820B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14:paraId="15DAB2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0D9C1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lang w:eastAsia="lt-LT"/>
        </w:rPr>
        <w:t>:</w:t>
      </w:r>
    </w:p>
    <w:p w14:paraId="5F29C7DD"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14:paraId="60E55B4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14:paraId="59EAA1A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14:paraId="19488A1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14:paraId="0EE668F4"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14:paraId="38550E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2907C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Nedažni šalutinio poveikio reiškiniai (gali pasireikšti rečiau kaip 1 iš 100 asmenų):</w:t>
      </w:r>
    </w:p>
    <w:p w14:paraId="6B1C846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14:paraId="400F7F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A265EB" w14:textId="77777777" w:rsidR="001764C6" w:rsidRDefault="001764C6" w:rsidP="001764C6">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Reti šalutinio poveikio reiškiniai (gali pasireikšti rečiau kaip 1 iš 1 000 asmenų):</w:t>
      </w:r>
    </w:p>
    <w:p w14:paraId="4A2CC03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14:paraId="31D5C6C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kai kurių baltųjų kraujo ląstelių kiekio padidėjimas;</w:t>
      </w:r>
    </w:p>
    <w:p w14:paraId="7137BC39"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14:paraId="023CC12F"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kraujagyslių uždegimas;</w:t>
      </w:r>
    </w:p>
    <w:p w14:paraId="6FCBDFE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14:paraId="7B593A6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14:paraId="29221C5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14:paraId="1CA5315C"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karščiavimas, šaltkrėtis.</w:t>
      </w:r>
    </w:p>
    <w:p w14:paraId="0863596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6669D374"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Labai reti šalutinio poveikio reiškiniai (gali pasireikšti rečiau kaip 1 iš 10 000 asmenų):</w:t>
      </w:r>
    </w:p>
    <w:p w14:paraId="04E1FFD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14:paraId="6D20371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14:paraId="07ED52DB"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14:paraId="369060B8"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5BDB3F6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Šalutinio poveikio reiškiniai, kurių dažnis nežinomas (negali būti apskaičiuotas pagal turimus duomenis):</w:t>
      </w:r>
    </w:p>
    <w:p w14:paraId="051CDE24" w14:textId="77777777" w:rsidR="001764C6" w:rsidRDefault="001764C6" w:rsidP="001764C6">
      <w:pPr>
        <w:pStyle w:val="Sraopastraipa"/>
        <w:numPr>
          <w:ilvl w:val="0"/>
          <w:numId w:val="41"/>
        </w:numPr>
        <w:tabs>
          <w:tab w:val="left" w:pos="567"/>
        </w:tabs>
        <w:spacing w:after="0" w:line="240" w:lineRule="auto"/>
        <w:ind w:hanging="128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14:paraId="3F82BEA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14:paraId="15D7FF2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nenormalūs kraujo ir kepenų funkciniai tyrimai;</w:t>
      </w:r>
    </w:p>
    <w:p w14:paraId="1A636A42" w14:textId="65FD909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r w:rsidR="00A80022">
        <w:rPr>
          <w:rFonts w:ascii="Times New Roman" w:eastAsia="Times New Roman" w:hAnsi="Times New Roman" w:cs="Times New Roman"/>
          <w:lang w:eastAsia="lt-LT"/>
        </w:rPr>
        <w:t>;</w:t>
      </w:r>
    </w:p>
    <w:p w14:paraId="4BEDA8B9" w14:textId="1B2AF4A2" w:rsidR="00A80022" w:rsidRDefault="00A80022"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per didelis raudonųjų kraujo ląstelių skilimas, sukeliantis nuovargį ir blyškią odą (hemolozinė anemija).</w:t>
      </w:r>
    </w:p>
    <w:p w14:paraId="72F03493" w14:textId="77777777" w:rsidR="001764C6" w:rsidRDefault="001764C6" w:rsidP="001764C6">
      <w:pPr>
        <w:tabs>
          <w:tab w:val="left" w:pos="357"/>
          <w:tab w:val="left" w:pos="567"/>
        </w:tabs>
        <w:spacing w:after="0" w:line="240" w:lineRule="auto"/>
        <w:rPr>
          <w:rFonts w:ascii="Times New Roman" w:eastAsia="Times New Roman" w:hAnsi="Times New Roman" w:cs="Times New Roman"/>
          <w:b/>
          <w:lang w:eastAsia="lt-LT"/>
        </w:rPr>
      </w:pPr>
    </w:p>
    <w:p w14:paraId="041DDA00" w14:textId="77777777" w:rsidR="001764C6" w:rsidRDefault="001764C6" w:rsidP="001764C6">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14:paraId="3D45C445" w14:textId="748C951E" w:rsidR="001764C6" w:rsidRDefault="00A80022" w:rsidP="006671F5">
      <w:pPr>
        <w:tabs>
          <w:tab w:val="left" w:pos="357"/>
          <w:tab w:val="left" w:pos="567"/>
        </w:tabs>
        <w:spacing w:after="0" w:line="240" w:lineRule="auto"/>
        <w:rPr>
          <w:rFonts w:ascii="Times New Roman" w:eastAsia="Times New Roman" w:hAnsi="Times New Roman" w:cs="Times New Roman"/>
          <w:lang w:eastAsia="lt-LT"/>
        </w:rPr>
      </w:pPr>
      <w:r w:rsidRPr="00A80022">
        <w:rPr>
          <w:rFonts w:ascii="Times New Roman" w:eastAsia="Times New Roman" w:hAnsi="Times New Roman" w:cs="Times New Roman"/>
          <w:noProof/>
          <w:snapToGrid w:val="0"/>
        </w:rPr>
        <w:t>Jeigu pasireiškė šalutinis poveikis, įskaitant šiame lapelyje nenurodytą, pasakykite</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gydytojui</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arba</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vaistininkui</w:t>
      </w:r>
      <w:r>
        <w:rPr>
          <w:rFonts w:ascii="Times New Roman" w:eastAsia="Times New Roman" w:hAnsi="Times New Roman" w:cs="Times New Roman"/>
          <w:noProof/>
          <w:snapToGrid w:val="0"/>
        </w:rPr>
        <w:t>.</w:t>
      </w:r>
      <w:r w:rsidRPr="00A80022">
        <w:rPr>
          <w:rFonts w:ascii="Times New Roman" w:eastAsia="Times New Roman" w:hAnsi="Times New Roman" w:cs="Times New Roman"/>
          <w:noProof/>
          <w:snapToGrid w:val="0"/>
        </w:rPr>
        <w:t xml:space="preserve">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38874DF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39C75187"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Kaip laikyti Vancomycin IBE</w:t>
      </w:r>
    </w:p>
    <w:p w14:paraId="2E8F7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A796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šio vaisto laikymo sąlygas yra atsakingas Jūsų gydytojas.</w:t>
      </w:r>
    </w:p>
    <w:p w14:paraId="253599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42C66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14:paraId="60C2B3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7259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po „Tinka iki“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14:paraId="45F24C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B61F0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paruošimą Vancomycin IBE specialių temperatūros laikymo sąlygų nereikia. Flakoną laikyti išorinėje dėžutėje, kad vaistas būtų apsaugotas nuo šviesos.</w:t>
      </w:r>
    </w:p>
    <w:p w14:paraId="775382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B36DDF"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p w14:paraId="538AEE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DAA9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Vancomycin IBE infuzinis tirpalas turi būti suvartotas nedelsiant arba per 96 valandas, jei jis laikomas šaldytuve (2 °C – 8 °C), arba per </w:t>
      </w:r>
      <w:r>
        <w:rPr>
          <w:rFonts w:ascii="Times New Roman" w:eastAsia="Times New Roman" w:hAnsi="Times New Roman" w:cs="Times New Roman"/>
          <w:color w:val="000000"/>
          <w:lang w:eastAsia="lt-LT"/>
        </w:rPr>
        <w:t>24 valandas, jei laikomas 25 °C temperatūroje.</w:t>
      </w:r>
    </w:p>
    <w:p w14:paraId="46B607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0478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Gydytojas užtikrins, kad tirpalo spalva būtų nepakitusi ir jame nebūtų dalelių.</w:t>
      </w:r>
    </w:p>
    <w:p w14:paraId="63EBDB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4BE3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Jūsų gydytojas pasirūpins likusiu, po dozės suleidimo, Vancomycin IBE tirpalo sunaikinimu. </w:t>
      </w:r>
    </w:p>
    <w:p w14:paraId="7C67F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14:paraId="3B048DA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8BC1ED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3F89ED0" w14:textId="77777777" w:rsidR="001764C6" w:rsidRDefault="001764C6" w:rsidP="001764C6">
      <w:pPr>
        <w:keepNext/>
        <w:spacing w:after="0" w:line="240" w:lineRule="auto"/>
        <w:ind w:left="567" w:hanging="567"/>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lang w:eastAsia="lt-LT"/>
        </w:rPr>
        <w:t>6.</w:t>
      </w:r>
      <w:r>
        <w:rPr>
          <w:rFonts w:ascii="Times New Roman" w:eastAsia="Times New Roman" w:hAnsi="Times New Roman" w:cs="Times New Roman"/>
          <w:lang w:eastAsia="lt-LT"/>
        </w:rPr>
        <w:tab/>
      </w:r>
      <w:r>
        <w:rPr>
          <w:rFonts w:ascii="Times New Roman" w:eastAsia="Times New Roman" w:hAnsi="Times New Roman" w:cs="Times New Roman"/>
          <w:b/>
          <w:bCs/>
          <w:snapToGrid w:val="0"/>
          <w:lang w:eastAsia="x-none"/>
        </w:rPr>
        <w:t>Pakuotės turinys ir kita informacija</w:t>
      </w:r>
    </w:p>
    <w:p w14:paraId="13F15095"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p>
    <w:p w14:paraId="2BAD0E6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Vancomycin IBE sudėtis</w:t>
      </w:r>
    </w:p>
    <w:p w14:paraId="290DD6E4" w14:textId="77777777" w:rsidR="001764C6" w:rsidRDefault="001764C6" w:rsidP="001764C6">
      <w:pPr>
        <w:pStyle w:val="Sraopastraipa"/>
        <w:numPr>
          <w:ilvl w:val="0"/>
          <w:numId w:val="42"/>
        </w:num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Veiklioji medžiaga yra vankomicinas (vankomicino hidrochlorido pavidalu). Kiekviename flakone yra </w:t>
      </w:r>
      <w:bookmarkStart w:id="14" w:name="_Hlk130543873"/>
      <w:r>
        <w:rPr>
          <w:rFonts w:ascii="Times New Roman" w:eastAsia="Times New Roman" w:hAnsi="Times New Roman" w:cs="Times New Roman"/>
          <w:lang w:eastAsia="lt-LT"/>
        </w:rPr>
        <w:t>500 mg arba</w:t>
      </w:r>
      <w:bookmarkEnd w:id="14"/>
      <w:r>
        <w:rPr>
          <w:rFonts w:ascii="Times New Roman" w:eastAsia="Times New Roman" w:hAnsi="Times New Roman" w:cs="Times New Roman"/>
          <w:lang w:eastAsia="lt-LT"/>
        </w:rPr>
        <w:t xml:space="preserve"> 1000 mg vankomicino (vankomicino hidrochlorido pavidalu), kuris atitinka 500 000 TV arba 1 000 000 TV vankomicino.  </w:t>
      </w:r>
    </w:p>
    <w:p w14:paraId="12F9A406" w14:textId="77777777" w:rsidR="001764C6" w:rsidRDefault="001764C6" w:rsidP="001764C6">
      <w:pPr>
        <w:pStyle w:val="Sraopastraipa"/>
        <w:numPr>
          <w:ilvl w:val="0"/>
          <w:numId w:val="42"/>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Pagalbinių medžiagų nėra.</w:t>
      </w:r>
      <w:r>
        <w:rPr>
          <w:rFonts w:ascii="Times New Roman" w:eastAsia="Times New Roman" w:hAnsi="Times New Roman" w:cs="Times New Roman"/>
          <w:i/>
          <w:lang w:eastAsia="lt-LT"/>
        </w:rPr>
        <w:t xml:space="preserve"> </w:t>
      </w:r>
    </w:p>
    <w:p w14:paraId="0E1640B1" w14:textId="77777777" w:rsidR="001764C6" w:rsidRDefault="001764C6" w:rsidP="001764C6">
      <w:pPr>
        <w:tabs>
          <w:tab w:val="left" w:pos="540"/>
          <w:tab w:val="left" w:pos="567"/>
        </w:tabs>
        <w:spacing w:after="0" w:line="240" w:lineRule="auto"/>
        <w:rPr>
          <w:rFonts w:ascii="Times New Roman" w:eastAsia="Times New Roman" w:hAnsi="Times New Roman" w:cs="Times New Roman"/>
          <w:lang w:eastAsia="lt-LT"/>
        </w:rPr>
      </w:pPr>
    </w:p>
    <w:p w14:paraId="06BC76DC"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Vancomycin IBE išvaizda ir kiekis pakuotėje</w:t>
      </w:r>
    </w:p>
    <w:p w14:paraId="07287E03"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p>
    <w:p w14:paraId="3776F363"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500 mg:</w:t>
      </w:r>
    </w:p>
    <w:p w14:paraId="6963DC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500 mg milteliai infuzinio tirpalo koncentratui yra balti arba balkšvi liofilizuoti milteliai, tiekiami 10 ml talpos flakonais užkimštais chlorobutilo guminiais kamščiais ir aliuminio nuplėšiamais dangteliais.</w:t>
      </w:r>
    </w:p>
    <w:p w14:paraId="3711FB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F4A4E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0F6656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64173BBA"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6A5B40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49C4CC4D"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1DDE9338"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1000 mg:</w:t>
      </w:r>
    </w:p>
    <w:p w14:paraId="7EC29E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1000 mg milteliai infuzinio tirpalo koncentratui yra balti arba balkšvi liofilizuoti milteliai, tiekiami 20 ml talpos flakonais užkimštais chlorobutilo guminiais kamščiais ir aliuminio nuplėšiamais dangteliais.</w:t>
      </w:r>
    </w:p>
    <w:p w14:paraId="0B5098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E055F2E"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1F213C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590AB9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74EB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1F7DCC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81D23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14:paraId="50F61C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Vancomycin IBE tirpalas yra skaidrus skystis.</w:t>
      </w:r>
    </w:p>
    <w:p w14:paraId="0CAB33B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ECC197"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14:paraId="7BCB6ED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668BFD2" w14:textId="02E7AAEF"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3B93A3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29EC63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CAFAE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5DCF1686" w14:textId="77777777" w:rsidR="00CC2284" w:rsidRP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Tel. +370 37 370054</w:t>
      </w:r>
    </w:p>
    <w:p w14:paraId="6C9FFBE0" w14:textId="77777777" w:rsidR="00CC2284" w:rsidRP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Faksas +370 37 370067</w:t>
      </w:r>
    </w:p>
    <w:p w14:paraId="73E900AE" w14:textId="508EC17A" w:rsid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El. paštas info@eletispharma.lt</w:t>
      </w:r>
    </w:p>
    <w:p w14:paraId="2AD1FCF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54E33BF8" w14:textId="6BCA4BBF"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Šis pakuotės lapelis paskutinį kartą peržiūrėtas </w:t>
      </w:r>
      <w:r w:rsidR="006671F5">
        <w:rPr>
          <w:rFonts w:ascii="Times New Roman" w:eastAsia="Times New Roman" w:hAnsi="Times New Roman" w:cs="Times New Roman"/>
          <w:b/>
          <w:lang w:eastAsia="lt-LT"/>
        </w:rPr>
        <w:t>2026-01-20.</w:t>
      </w:r>
    </w:p>
    <w:p w14:paraId="2C806C9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5D1B77D" w14:textId="77777777" w:rsidR="001764C6" w:rsidRDefault="001764C6" w:rsidP="001764C6">
      <w:pPr>
        <w:tabs>
          <w:tab w:val="left" w:pos="567"/>
        </w:tabs>
        <w:spacing w:after="0" w:line="240" w:lineRule="auto"/>
        <w:rPr>
          <w:rFonts w:ascii="Times New Roman" w:eastAsia="Times New Roman" w:hAnsi="Times New Roman" w:cs="Times New Roman"/>
        </w:rPr>
      </w:pPr>
    </w:p>
    <w:p w14:paraId="697914D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r>
        <w:rPr>
          <w:rFonts w:ascii="Times New Roman" w:eastAsia="Times New Roman" w:hAnsi="Times New Roman" w:cs="Times New Roman"/>
          <w:b/>
          <w:bCs/>
          <w:snapToGrid w:val="0"/>
        </w:rPr>
        <w:t>Kiti informacijos šaltiniai</w:t>
      </w:r>
    </w:p>
    <w:p w14:paraId="6520910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p>
    <w:p w14:paraId="2D68CA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r>
        <w:rPr>
          <w:rFonts w:ascii="Times New Roman" w:eastAsia="Times New Roman" w:hAnsi="Times New Roman" w:cs="Times New Roman"/>
          <w:b/>
          <w:bCs/>
          <w:snapToGrid w:val="0"/>
          <w:u w:val="single"/>
        </w:rPr>
        <w:t>Patarimai/medicininis švietimas</w:t>
      </w:r>
    </w:p>
    <w:p w14:paraId="282BA93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p>
    <w:p w14:paraId="2E07A4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Antibiotikai yra naudojami bakterinių infekcijų gydymui. Jei neveikia prieš virusines infekcijas. </w:t>
      </w:r>
    </w:p>
    <w:p w14:paraId="763CF18B"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B0B67E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 Jūsų gydytojas paskyrė antibiotikų, Jums jie reikalingi būtent esamam susirgimui gydyti.</w:t>
      </w:r>
    </w:p>
    <w:p w14:paraId="1F9E771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D4C7E1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 xml:space="preserve">Nepaisant gydymo antibiotikais, kai kurios bakterijos gali išgyventi ir augti. Šis reiškinys vadinamas atsparumu: kai kurie antibiotikai tampa nebeefektyvūs. </w:t>
      </w:r>
    </w:p>
    <w:p w14:paraId="1A8DD0B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4D8C8AD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Neteisingai vartojant antibiotikus, didėja atsparumas. Galima netgi prisidėti prie bakterijų atsparumo išsivystymo ir todėl užsitęs gydymas arba susilpnės antibiotikų efektyvumas, jei nesilaikysite gydytojo nurodymų dėl:</w:t>
      </w:r>
    </w:p>
    <w:p w14:paraId="23B83BB2"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dozės,</w:t>
      </w:r>
    </w:p>
    <w:p w14:paraId="6DD6D55B"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vartojimo dažnumo,</w:t>
      </w:r>
    </w:p>
    <w:p w14:paraId="65C3FF04"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trukmės.</w:t>
      </w:r>
    </w:p>
    <w:p w14:paraId="2B1B1924" w14:textId="77777777" w:rsidR="001764C6" w:rsidRDefault="001764C6" w:rsidP="001764C6">
      <w:pPr>
        <w:tabs>
          <w:tab w:val="left" w:pos="567"/>
        </w:tabs>
        <w:spacing w:after="0" w:line="240" w:lineRule="auto"/>
        <w:rPr>
          <w:rFonts w:ascii="Times New Roman" w:eastAsia="Times New Roman" w:hAnsi="Times New Roman" w:cs="Times New Roman"/>
          <w:snapToGrid w:val="0"/>
        </w:rPr>
      </w:pPr>
    </w:p>
    <w:p w14:paraId="49A0480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Todėl, norint kad būtų išsaugotas šio vaisto efektyvumas:</w:t>
      </w:r>
    </w:p>
    <w:p w14:paraId="24F7249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 – antibiotikus vartokite tik tada, kai jie paskiriami;</w:t>
      </w:r>
    </w:p>
    <w:p w14:paraId="38442AC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 – griežtai laikykitės paskyrimo nurodymų;</w:t>
      </w:r>
    </w:p>
    <w:p w14:paraId="2A29A6F4"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 – nenaudokite antibiotikų pakartotinai, jei nepaskyrė medicinos darbuotojas, net ir tuo atveju, kai</w:t>
      </w:r>
    </w:p>
    <w:p w14:paraId="1AF69AE3"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norite gydyti panašią ligą.</w:t>
      </w:r>
    </w:p>
    <w:p w14:paraId="01A0AB7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D6B0CAA" w14:textId="16DC990A" w:rsidR="00B30B3C"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6671F5">
        <w:rPr>
          <w:rFonts w:ascii="Times New Roman" w:hAnsi="Times New Roman"/>
        </w:rPr>
        <w:t xml:space="preserve"> </w:t>
      </w:r>
      <w:hyperlink r:id="rId9" w:history="1">
        <w:r w:rsidR="00B30B3C" w:rsidRPr="00A639FD">
          <w:rPr>
            <w:rStyle w:val="Hipersaitas"/>
            <w:rFonts w:eastAsia="Times New Roman"/>
            <w:iCs/>
            <w:snapToGrid w:val="0"/>
          </w:rPr>
          <w:t>https://vvkt.lrv.lt/lt/</w:t>
        </w:r>
      </w:hyperlink>
      <w:r w:rsidR="00CC2284" w:rsidRPr="00484A65">
        <w:rPr>
          <w:rFonts w:ascii="Times New Roman" w:eastAsia="Times New Roman" w:hAnsi="Times New Roman" w:cs="Times New Roman"/>
          <w:iCs/>
          <w:snapToGrid w:val="0"/>
        </w:rPr>
        <w:t>.</w:t>
      </w:r>
    </w:p>
    <w:p w14:paraId="02AE24D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55E88D88"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558A6D0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A8672F9"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Skiedimo instrukcijos</w:t>
      </w:r>
    </w:p>
    <w:p w14:paraId="52F59FD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401A55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3E31CBB5"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760C050"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75BE83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CA4EF5"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paruošimas</w:t>
      </w:r>
    </w:p>
    <w:p w14:paraId="7443DB7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6A46D1C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39EB653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16979EBE"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51B1A0B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267031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392BAA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3C9E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vankomicino koncentracija bus 50 mg/ml. Ištirpinus injekciniame vandenyje, susidaro skaidrus tirpalas. </w:t>
      </w:r>
    </w:p>
    <w:p w14:paraId="3F9E41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3C3D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6318F41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F59094B" w14:textId="77777777" w:rsidR="001764C6" w:rsidRDefault="001764C6" w:rsidP="001764C6">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Galutinio praskiesto infuzinio tirpalo paruošimas:</w:t>
      </w:r>
    </w:p>
    <w:p w14:paraId="25C6748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9709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0A3F0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4E5A2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vankomicino,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p w14:paraId="54E498F4"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0CC9C5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15" w:name="_Hlk130545898"/>
      <w:r>
        <w:rPr>
          <w:rFonts w:ascii="Times New Roman" w:eastAsia="Times New Roman" w:hAnsi="Times New Roman" w:cs="Times New Roman"/>
          <w:lang w:eastAsia="lt-LT"/>
        </w:rPr>
        <w:t xml:space="preserve">Paruoštą koncentratą, kuriame yra 1000 mg vankomicino,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bookmarkEnd w:id="15"/>
    <w:p w14:paraId="2497D4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CDC8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Tinkamą dozę reikia lėtai, ne greičiau kaip 10 mg/min., infuzuoti į veną mažiausiai 60 minučių arba net ilgiau. Jeigu infuzuojama trumpiau arba didesnėmis koncentracijomis, gali atsirasti hipotenzija. Greitai infuzuojant gali atsirasti paraudimas ir trumpalaikis bėrimas ant kaklo ir pečių.</w:t>
      </w:r>
    </w:p>
    <w:p w14:paraId="448EC2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C9B9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5CDBFC5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E6B883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 :</w:t>
      </w:r>
    </w:p>
    <w:p w14:paraId="7E55892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27CBC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63A72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 :</w:t>
      </w:r>
    </w:p>
    <w:p w14:paraId="6810D3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689EBA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5E3D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vankomicino koncentracija turi būti ne didesnė kaip 5 mg/ml. Pacientams, kuriems reikia riboti skysčių kiekį, gali būti vartojama iki 10 mg/ml vankomicino koncentracija. </w:t>
      </w:r>
    </w:p>
    <w:p w14:paraId="3670A2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0BCA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515DFB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777861" w14:textId="77777777" w:rsidR="001764C6" w:rsidRDefault="001764C6" w:rsidP="001764C6">
      <w:pPr>
        <w:tabs>
          <w:tab w:val="left" w:pos="567"/>
        </w:tabs>
        <w:spacing w:after="0" w:line="240" w:lineRule="auto"/>
        <w:rPr>
          <w:rFonts w:ascii="Times New Roman" w:eastAsia="Times New Roman" w:hAnsi="Times New Roman" w:cs="Times New Roman"/>
          <w:b/>
          <w:i/>
          <w:iCs/>
          <w:lang w:eastAsia="lt-LT"/>
        </w:rPr>
      </w:pPr>
      <w:r>
        <w:rPr>
          <w:rFonts w:ascii="Times New Roman" w:eastAsia="Times New Roman" w:hAnsi="Times New Roman" w:cs="Times New Roman"/>
          <w:b/>
          <w:i/>
          <w:iCs/>
          <w:lang w:eastAsia="lt-LT"/>
        </w:rPr>
        <w:t>Nesuderinamumas</w:t>
      </w:r>
    </w:p>
    <w:p w14:paraId="0B51E9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84DD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Vankomicino tirpalo pH yra mažas, todėl sumaišymas su kitomis medžiagomis gali sukelti cheminį arba fizinį nesuderinamumą. Su šarminiais tirpalais maišyti negalima. </w:t>
      </w:r>
    </w:p>
    <w:p w14:paraId="64395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DAB4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vankomicino ir beta laktaminių antibiotikų tirpalų mišiniai yra fiziškai nesuderinami. Nuosėdų tikimybė didėja esant didesnei vankomicino koncentracijai. Rekomenduojama tinkamai praplauti intavenines įrangas tarp tarp šių antibiotikų vartojimo. Taip pat, rekomenduojama vankomicino tirpalus skiesti iki 5 mg/ml ar mažesne koncentracija. </w:t>
      </w:r>
    </w:p>
    <w:p w14:paraId="3245D7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5BFA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injekcija į stiklakūnį nėra patvirtintas vankomicino vartojimo būdas, tačiau buvo pranešimų apie nuosėdų susidarymą po vankomicino ir ceftazidimo injekcijos į stiklakūnį endoftalmitui gydyti naudojant skirtingus švirkštus ir adatas. Nuosėdos ištirpo palaipsniui, visiškai išvalant stiklakūnio ertmę per du mėnesius ir pagerėjus regėjimo aštrumui.</w:t>
      </w:r>
    </w:p>
    <w:p w14:paraId="2F9429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0F95BB"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ir praskiestų tirpalų tinkamumo laikas:</w:t>
      </w:r>
    </w:p>
    <w:p w14:paraId="0AF01681"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379C18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koncentratas turi būti nedelsiant praskiestas.</w:t>
      </w:r>
    </w:p>
    <w:p w14:paraId="7A554AA0"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bookmarkStart w:id="16" w:name="_Hlk163725398"/>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bookmarkEnd w:id="16"/>
    <w:p w14:paraId="351CCA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8893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tirpalo cheminis ir fizinis stabilumas 25 °C temperatūroje išlieka 24 valandas ir 96 valandas, laikant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praskiedus injekciniu 0,9 % natrio chlorido tirpalu arba injekciniu 5 % gliukozės tirpalu.</w:t>
      </w:r>
    </w:p>
    <w:p w14:paraId="0E8F9EE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36D07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nebent tirpinimas/skiedimas buvo atliktas kontroliuojamomis ir patvirtintomis aseptinėmis sąlygomis.</w:t>
      </w:r>
    </w:p>
    <w:p w14:paraId="7737DB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F6510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68906D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B6C20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093DA3B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CBE66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parenteriniu būdu skiriamo 500 mg arba 1000 mg flakono turinį. </w:t>
      </w:r>
    </w:p>
    <w:p w14:paraId="4F7F0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ACE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004211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9115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Atliekų tvarkymas</w:t>
      </w:r>
    </w:p>
    <w:p w14:paraId="4E0A0C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955E713" w14:textId="77777777" w:rsidR="00D6383C" w:rsidRDefault="001764C6" w:rsidP="001F2BA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r w:rsidR="008E76FF">
        <w:rPr>
          <w:rFonts w:ascii="Times New Roman" w:eastAsia="Times New Roman" w:hAnsi="Times New Roman" w:cs="Times New Roman"/>
          <w:lang w:eastAsia="lt-LT"/>
        </w:rPr>
        <w:t xml:space="preserve">   </w:t>
      </w:r>
    </w:p>
    <w:p w14:paraId="156AD144" w14:textId="5936E0AB" w:rsidR="00324F37" w:rsidRPr="006C6F24" w:rsidRDefault="008E76FF" w:rsidP="001F2BA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   </w:t>
      </w:r>
    </w:p>
    <w:sectPr w:rsidR="00324F37" w:rsidRPr="006C6F24" w:rsidSect="00615D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7E50FA"/>
    <w:multiLevelType w:val="hybridMultilevel"/>
    <w:tmpl w:val="4AA4DC58"/>
    <w:lvl w:ilvl="0" w:tplc="CB7860DC">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2A4E4C"/>
    <w:multiLevelType w:val="hybridMultilevel"/>
    <w:tmpl w:val="EE90C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A02DB"/>
    <w:multiLevelType w:val="hybridMultilevel"/>
    <w:tmpl w:val="903A89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C88506D"/>
    <w:multiLevelType w:val="multilevel"/>
    <w:tmpl w:val="3DA43A50"/>
    <w:lvl w:ilvl="0">
      <w:start w:val="6"/>
      <w:numFmt w:val="decimal"/>
      <w:lvlText w:val="%1"/>
      <w:lvlJc w:val="left"/>
      <w:pPr>
        <w:tabs>
          <w:tab w:val="num" w:pos="1290"/>
        </w:tabs>
        <w:ind w:left="1290" w:hanging="1290"/>
      </w:pPr>
      <w:rPr>
        <w:rFonts w:cs="Times New Roman"/>
      </w:rPr>
    </w:lvl>
    <w:lvl w:ilvl="1">
      <w:start w:val="6"/>
      <w:numFmt w:val="decimal"/>
      <w:lvlText w:val="%1.%2"/>
      <w:lvlJc w:val="left"/>
      <w:pPr>
        <w:tabs>
          <w:tab w:val="num" w:pos="1290"/>
        </w:tabs>
        <w:ind w:left="1290" w:hanging="1290"/>
      </w:pPr>
      <w:rPr>
        <w:rFonts w:cs="Times New Roman"/>
      </w:rPr>
    </w:lvl>
    <w:lvl w:ilvl="2">
      <w:start w:val="1"/>
      <w:numFmt w:val="decimal"/>
      <w:lvlText w:val="%1.%2.%3"/>
      <w:lvlJc w:val="left"/>
      <w:pPr>
        <w:tabs>
          <w:tab w:val="num" w:pos="1290"/>
        </w:tabs>
        <w:ind w:left="1290" w:hanging="1290"/>
      </w:pPr>
      <w:rPr>
        <w:rFonts w:cs="Times New Roman"/>
      </w:rPr>
    </w:lvl>
    <w:lvl w:ilvl="3">
      <w:start w:val="1"/>
      <w:numFmt w:val="decimal"/>
      <w:lvlText w:val="%1.%2.%3.%4"/>
      <w:lvlJc w:val="left"/>
      <w:pPr>
        <w:tabs>
          <w:tab w:val="num" w:pos="1290"/>
        </w:tabs>
        <w:ind w:left="1290" w:hanging="1290"/>
      </w:pPr>
      <w:rPr>
        <w:rFonts w:cs="Times New Roman"/>
      </w:rPr>
    </w:lvl>
    <w:lvl w:ilvl="4">
      <w:start w:val="1"/>
      <w:numFmt w:val="decimal"/>
      <w:lvlText w:val="%1.%2.%3.%4.%5"/>
      <w:lvlJc w:val="left"/>
      <w:pPr>
        <w:tabs>
          <w:tab w:val="num" w:pos="1290"/>
        </w:tabs>
        <w:ind w:left="1290" w:hanging="1290"/>
      </w:pPr>
      <w:rPr>
        <w:rFonts w:cs="Times New Roman"/>
      </w:rPr>
    </w:lvl>
    <w:lvl w:ilvl="5">
      <w:start w:val="1"/>
      <w:numFmt w:val="decimal"/>
      <w:lvlText w:val="%1.%2.%3.%4.%5.%6"/>
      <w:lvlJc w:val="left"/>
      <w:pPr>
        <w:tabs>
          <w:tab w:val="num" w:pos="1290"/>
        </w:tabs>
        <w:ind w:left="1290" w:hanging="129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6914E25"/>
    <w:multiLevelType w:val="hybridMultilevel"/>
    <w:tmpl w:val="6324E9C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5D6873"/>
    <w:multiLevelType w:val="hybridMultilevel"/>
    <w:tmpl w:val="8146D4DA"/>
    <w:lvl w:ilvl="0" w:tplc="04270001">
      <w:start w:val="1"/>
      <w:numFmt w:val="bullet"/>
      <w:lvlText w:val=""/>
      <w:lvlJc w:val="left"/>
      <w:pPr>
        <w:tabs>
          <w:tab w:val="num" w:pos="1080"/>
        </w:tabs>
        <w:ind w:left="1080" w:hanging="360"/>
      </w:pPr>
      <w:rPr>
        <w:rFonts w:ascii="Symbol" w:hAnsi="Symbol" w:hint="default"/>
      </w:rPr>
    </w:lvl>
    <w:lvl w:ilvl="1" w:tplc="04270003">
      <w:start w:val="1"/>
      <w:numFmt w:val="bullet"/>
      <w:lvlText w:val="o"/>
      <w:lvlJc w:val="left"/>
      <w:pPr>
        <w:tabs>
          <w:tab w:val="num" w:pos="1800"/>
        </w:tabs>
        <w:ind w:left="1800" w:hanging="360"/>
      </w:pPr>
      <w:rPr>
        <w:rFonts w:ascii="Courier New" w:hAnsi="Courier New" w:cs="Times New Roman"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cs="Times New Roman"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cs="Times New Roman"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D73EC6"/>
    <w:multiLevelType w:val="hybridMultilevel"/>
    <w:tmpl w:val="D6B69864"/>
    <w:lvl w:ilvl="0" w:tplc="165AC1F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B4E51DA"/>
    <w:multiLevelType w:val="hybridMultilevel"/>
    <w:tmpl w:val="D1D0B01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2" w15:restartNumberingAfterBreak="0">
    <w:nsid w:val="3E4B10D5"/>
    <w:multiLevelType w:val="hybridMultilevel"/>
    <w:tmpl w:val="63FAC3EE"/>
    <w:lvl w:ilvl="0" w:tplc="C6DEACF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48E3C3A"/>
    <w:multiLevelType w:val="hybridMultilevel"/>
    <w:tmpl w:val="A796A802"/>
    <w:lvl w:ilvl="0" w:tplc="04090001">
      <w:start w:val="1"/>
      <w:numFmt w:val="bullet"/>
      <w:lvlText w:val=""/>
      <w:lvlJc w:val="left"/>
      <w:pPr>
        <w:ind w:left="1287" w:hanging="360"/>
      </w:pPr>
      <w:rPr>
        <w:rFonts w:ascii="Symbol" w:hAnsi="Symbol" w:hint="default"/>
      </w:rPr>
    </w:lvl>
    <w:lvl w:ilvl="1" w:tplc="E1787162">
      <w:numFmt w:val="bullet"/>
      <w:lvlText w:val="-"/>
      <w:lvlJc w:val="left"/>
      <w:pPr>
        <w:ind w:left="2217" w:hanging="570"/>
      </w:pPr>
      <w:rPr>
        <w:rFonts w:ascii="Times New Roman" w:eastAsia="Times New Roman" w:hAnsi="Times New Roman" w:cs="Times New Roman"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48A23994"/>
    <w:multiLevelType w:val="hybridMultilevel"/>
    <w:tmpl w:val="A9AE2B40"/>
    <w:lvl w:ilvl="0" w:tplc="2160B1CE">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73F5543"/>
    <w:multiLevelType w:val="hybridMultilevel"/>
    <w:tmpl w:val="6F629DAE"/>
    <w:lvl w:ilvl="0" w:tplc="9822FFDA">
      <w:numFmt w:val="bullet"/>
      <w:lvlText w:val="•"/>
      <w:lvlJc w:val="left"/>
      <w:pPr>
        <w:ind w:left="360" w:hanging="360"/>
      </w:pPr>
      <w:rPr>
        <w:rFonts w:ascii="Times New Roman" w:eastAsia="Times New Roman" w:hAnsi="Times New Roman" w:cs="Times New Roman"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88C3909"/>
    <w:multiLevelType w:val="hybridMultilevel"/>
    <w:tmpl w:val="95E88D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BBF010A"/>
    <w:multiLevelType w:val="hybridMultilevel"/>
    <w:tmpl w:val="2382894E"/>
    <w:lvl w:ilvl="0" w:tplc="04270001">
      <w:start w:val="1"/>
      <w:numFmt w:val="bullet"/>
      <w:lvlText w:val=""/>
      <w:lvlJc w:val="left"/>
      <w:pPr>
        <w:ind w:left="720" w:hanging="360"/>
      </w:pPr>
      <w:rPr>
        <w:rFonts w:ascii="Symbol" w:hAnsi="Symbol" w:hint="default"/>
      </w:rPr>
    </w:lvl>
    <w:lvl w:ilvl="1" w:tplc="FD1A8DA2">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FBD1CE6"/>
    <w:multiLevelType w:val="hybridMultilevel"/>
    <w:tmpl w:val="B93E0670"/>
    <w:lvl w:ilvl="0" w:tplc="D8B63C8A">
      <w:numFmt w:val="bullet"/>
      <w:lvlText w:val="-"/>
      <w:lvlJc w:val="left"/>
      <w:pPr>
        <w:ind w:left="360" w:hanging="360"/>
      </w:pPr>
      <w:rPr>
        <w:rFonts w:ascii="Times New Roman" w:hAnsi="TIMESLT"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63114511"/>
    <w:multiLevelType w:val="multilevel"/>
    <w:tmpl w:val="B8E00BD0"/>
    <w:lvl w:ilvl="0">
      <w:start w:val="4"/>
      <w:numFmt w:val="decimal"/>
      <w:lvlText w:val="%1"/>
      <w:lvlJc w:val="left"/>
      <w:pPr>
        <w:tabs>
          <w:tab w:val="num" w:pos="720"/>
        </w:tabs>
        <w:ind w:left="720" w:hanging="720"/>
      </w:pPr>
      <w:rPr>
        <w:rFonts w:cs="Times New Roman"/>
      </w:rPr>
    </w:lvl>
    <w:lvl w:ilvl="1">
      <w:start w:val="8"/>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2" w15:restartNumberingAfterBreak="0">
    <w:nsid w:val="63660367"/>
    <w:multiLevelType w:val="hybridMultilevel"/>
    <w:tmpl w:val="91A257F8"/>
    <w:lvl w:ilvl="0" w:tplc="0409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62C723B"/>
    <w:multiLevelType w:val="multilevel"/>
    <w:tmpl w:val="0300912E"/>
    <w:lvl w:ilvl="0">
      <w:start w:val="5"/>
      <w:numFmt w:val="decimal"/>
      <w:lvlText w:val="%1"/>
      <w:lvlJc w:val="left"/>
      <w:pPr>
        <w:tabs>
          <w:tab w:val="num" w:pos="720"/>
        </w:tabs>
        <w:ind w:left="720" w:hanging="720"/>
      </w:pPr>
      <w:rPr>
        <w:rFonts w:cs="Times New Roman"/>
      </w:rPr>
    </w:lvl>
    <w:lvl w:ilvl="1">
      <w:start w:val="2"/>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4" w15:restartNumberingAfterBreak="0">
    <w:nsid w:val="696C1013"/>
    <w:multiLevelType w:val="multilevel"/>
    <w:tmpl w:val="94D2B11C"/>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5"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7F3437B3"/>
    <w:multiLevelType w:val="hybridMultilevel"/>
    <w:tmpl w:val="263E832E"/>
    <w:lvl w:ilvl="0" w:tplc="F034C2C6">
      <w:start w:val="8"/>
      <w:numFmt w:val="decimal"/>
      <w:lvlText w:val="%1."/>
      <w:lvlJc w:val="left"/>
      <w:pPr>
        <w:tabs>
          <w:tab w:val="num" w:pos="1004"/>
        </w:tabs>
        <w:ind w:left="1004" w:hanging="720"/>
      </w:pPr>
      <w:rPr>
        <w:rFonts w:cs="Times New Roman"/>
      </w:rPr>
    </w:lvl>
    <w:lvl w:ilvl="1" w:tplc="04270019">
      <w:start w:val="1"/>
      <w:numFmt w:val="lowerLetter"/>
      <w:lvlText w:val="%2."/>
      <w:lvlJc w:val="left"/>
      <w:pPr>
        <w:tabs>
          <w:tab w:val="num" w:pos="1364"/>
        </w:tabs>
        <w:ind w:left="1364" w:hanging="360"/>
      </w:pPr>
      <w:rPr>
        <w:rFonts w:cs="Times New Roman"/>
      </w:rPr>
    </w:lvl>
    <w:lvl w:ilvl="2" w:tplc="0427001B">
      <w:start w:val="1"/>
      <w:numFmt w:val="lowerRoman"/>
      <w:lvlText w:val="%3."/>
      <w:lvlJc w:val="right"/>
      <w:pPr>
        <w:tabs>
          <w:tab w:val="num" w:pos="2084"/>
        </w:tabs>
        <w:ind w:left="2084" w:hanging="180"/>
      </w:pPr>
      <w:rPr>
        <w:rFonts w:cs="Times New Roman"/>
      </w:rPr>
    </w:lvl>
    <w:lvl w:ilvl="3" w:tplc="0427000F">
      <w:start w:val="1"/>
      <w:numFmt w:val="decimal"/>
      <w:lvlText w:val="%4."/>
      <w:lvlJc w:val="left"/>
      <w:pPr>
        <w:tabs>
          <w:tab w:val="num" w:pos="2804"/>
        </w:tabs>
        <w:ind w:left="2804" w:hanging="360"/>
      </w:pPr>
      <w:rPr>
        <w:rFonts w:cs="Times New Roman"/>
      </w:rPr>
    </w:lvl>
    <w:lvl w:ilvl="4" w:tplc="04270019">
      <w:start w:val="1"/>
      <w:numFmt w:val="lowerLetter"/>
      <w:lvlText w:val="%5."/>
      <w:lvlJc w:val="left"/>
      <w:pPr>
        <w:tabs>
          <w:tab w:val="num" w:pos="3524"/>
        </w:tabs>
        <w:ind w:left="3524" w:hanging="360"/>
      </w:pPr>
      <w:rPr>
        <w:rFonts w:cs="Times New Roman"/>
      </w:rPr>
    </w:lvl>
    <w:lvl w:ilvl="5" w:tplc="0427001B">
      <w:start w:val="1"/>
      <w:numFmt w:val="lowerRoman"/>
      <w:lvlText w:val="%6."/>
      <w:lvlJc w:val="right"/>
      <w:pPr>
        <w:tabs>
          <w:tab w:val="num" w:pos="4244"/>
        </w:tabs>
        <w:ind w:left="4244" w:hanging="180"/>
      </w:pPr>
      <w:rPr>
        <w:rFonts w:cs="Times New Roman"/>
      </w:rPr>
    </w:lvl>
    <w:lvl w:ilvl="6" w:tplc="0427000F">
      <w:start w:val="1"/>
      <w:numFmt w:val="decimal"/>
      <w:lvlText w:val="%7."/>
      <w:lvlJc w:val="left"/>
      <w:pPr>
        <w:tabs>
          <w:tab w:val="num" w:pos="4964"/>
        </w:tabs>
        <w:ind w:left="4964" w:hanging="360"/>
      </w:pPr>
      <w:rPr>
        <w:rFonts w:cs="Times New Roman"/>
      </w:rPr>
    </w:lvl>
    <w:lvl w:ilvl="7" w:tplc="04270019">
      <w:start w:val="1"/>
      <w:numFmt w:val="lowerLetter"/>
      <w:lvlText w:val="%8."/>
      <w:lvlJc w:val="left"/>
      <w:pPr>
        <w:tabs>
          <w:tab w:val="num" w:pos="5684"/>
        </w:tabs>
        <w:ind w:left="5684" w:hanging="360"/>
      </w:pPr>
      <w:rPr>
        <w:rFonts w:cs="Times New Roman"/>
      </w:rPr>
    </w:lvl>
    <w:lvl w:ilvl="8" w:tplc="0427001B">
      <w:start w:val="1"/>
      <w:numFmt w:val="lowerRoman"/>
      <w:lvlText w:val="%9."/>
      <w:lvlJc w:val="right"/>
      <w:pPr>
        <w:tabs>
          <w:tab w:val="num" w:pos="6404"/>
        </w:tabs>
        <w:ind w:left="6404" w:hanging="180"/>
      </w:pPr>
      <w:rPr>
        <w:rFonts w:cs="Times New Roman"/>
      </w:rPr>
    </w:lvl>
  </w:abstractNum>
  <w:num w:numId="1" w16cid:durableId="108748034">
    <w:abstractNumId w:val="8"/>
  </w:num>
  <w:num w:numId="2" w16cid:durableId="2123725763">
    <w:abstractNumId w:val="9"/>
  </w:num>
  <w:num w:numId="3" w16cid:durableId="301424547">
    <w:abstractNumId w:val="21"/>
  </w:num>
  <w:num w:numId="4" w16cid:durableId="905411523">
    <w:abstractNumId w:val="21"/>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73963738">
    <w:abstractNumId w:val="24"/>
  </w:num>
  <w:num w:numId="6" w16cid:durableId="1865630077">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1212534">
    <w:abstractNumId w:val="23"/>
  </w:num>
  <w:num w:numId="8" w16cid:durableId="37751092">
    <w:abstractNumId w:val="2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6595969">
    <w:abstractNumId w:val="4"/>
  </w:num>
  <w:num w:numId="10" w16cid:durableId="634532063">
    <w:abstractNumId w:val="4"/>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19732813">
    <w:abstractNumId w:val="27"/>
  </w:num>
  <w:num w:numId="12" w16cid:durableId="1923949910">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51410699">
    <w:abstractNumId w:val="12"/>
  </w:num>
  <w:num w:numId="14" w16cid:durableId="95565102">
    <w:abstractNumId w:val="10"/>
  </w:num>
  <w:num w:numId="15" w16cid:durableId="1267036846">
    <w:abstractNumId w:val="25"/>
  </w:num>
  <w:num w:numId="16" w16cid:durableId="1572540566">
    <w:abstractNumId w:val="14"/>
  </w:num>
  <w:num w:numId="17" w16cid:durableId="1676228687">
    <w:abstractNumId w:val="2"/>
  </w:num>
  <w:num w:numId="18" w16cid:durableId="837502436">
    <w:abstractNumId w:val="5"/>
  </w:num>
  <w:num w:numId="19" w16cid:durableId="1275016619">
    <w:abstractNumId w:val="16"/>
  </w:num>
  <w:num w:numId="20" w16cid:durableId="1571647345">
    <w:abstractNumId w:val="19"/>
  </w:num>
  <w:num w:numId="21" w16cid:durableId="883442306">
    <w:abstractNumId w:val="6"/>
  </w:num>
  <w:num w:numId="22" w16cid:durableId="236667364">
    <w:abstractNumId w:val="1"/>
  </w:num>
  <w:num w:numId="23" w16cid:durableId="1381980157">
    <w:abstractNumId w:val="13"/>
  </w:num>
  <w:num w:numId="24" w16cid:durableId="1503816782">
    <w:abstractNumId w:val="26"/>
  </w:num>
  <w:num w:numId="25" w16cid:durableId="706639680">
    <w:abstractNumId w:val="15"/>
  </w:num>
  <w:num w:numId="26" w16cid:durableId="458109972">
    <w:abstractNumId w:val="7"/>
  </w:num>
  <w:num w:numId="27" w16cid:durableId="1099789531">
    <w:abstractNumId w:val="18"/>
  </w:num>
  <w:num w:numId="28" w16cid:durableId="1768651983">
    <w:abstractNumId w:val="22"/>
  </w:num>
  <w:num w:numId="29" w16cid:durableId="1021323120">
    <w:abstractNumId w:val="17"/>
  </w:num>
  <w:num w:numId="30" w16cid:durableId="1158232357">
    <w:abstractNumId w:val="0"/>
    <w:lvlOverride w:ilvl="0">
      <w:lvl w:ilvl="0">
        <w:start w:val="1"/>
        <w:numFmt w:val="bullet"/>
        <w:lvlText w:val="-"/>
        <w:lvlJc w:val="left"/>
        <w:pPr>
          <w:ind w:left="360" w:hanging="360"/>
        </w:pPr>
      </w:lvl>
    </w:lvlOverride>
  </w:num>
  <w:num w:numId="31" w16cid:durableId="1409571794">
    <w:abstractNumId w:val="3"/>
  </w:num>
  <w:num w:numId="32" w16cid:durableId="171843127">
    <w:abstractNumId w:val="11"/>
  </w:num>
  <w:num w:numId="33" w16cid:durableId="2040006387">
    <w:abstractNumId w:val="20"/>
  </w:num>
  <w:num w:numId="34" w16cid:durableId="430391688">
    <w:abstractNumId w:val="8"/>
  </w:num>
  <w:num w:numId="35" w16cid:durableId="721946819">
    <w:abstractNumId w:val="25"/>
  </w:num>
  <w:num w:numId="36" w16cid:durableId="2013947928">
    <w:abstractNumId w:val="5"/>
  </w:num>
  <w:num w:numId="37" w16cid:durableId="1671568323">
    <w:abstractNumId w:val="16"/>
  </w:num>
  <w:num w:numId="38" w16cid:durableId="1579706893">
    <w:abstractNumId w:val="7"/>
  </w:num>
  <w:num w:numId="39" w16cid:durableId="1506895578">
    <w:abstractNumId w:val="15"/>
  </w:num>
  <w:num w:numId="40" w16cid:durableId="384305681">
    <w:abstractNumId w:val="6"/>
  </w:num>
  <w:num w:numId="41" w16cid:durableId="94257211">
    <w:abstractNumId w:val="13"/>
  </w:num>
  <w:num w:numId="42" w16cid:durableId="206187740">
    <w:abstractNumId w:val="20"/>
  </w:num>
  <w:num w:numId="43" w16cid:durableId="8122610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D5B"/>
    <w:rsid w:val="000107D3"/>
    <w:rsid w:val="00013663"/>
    <w:rsid w:val="000151E2"/>
    <w:rsid w:val="0003094B"/>
    <w:rsid w:val="0003306B"/>
    <w:rsid w:val="00036A27"/>
    <w:rsid w:val="00056754"/>
    <w:rsid w:val="0006592E"/>
    <w:rsid w:val="000766CE"/>
    <w:rsid w:val="0009369C"/>
    <w:rsid w:val="000A2434"/>
    <w:rsid w:val="000A30FE"/>
    <w:rsid w:val="000B028B"/>
    <w:rsid w:val="000B68D3"/>
    <w:rsid w:val="000C2D5B"/>
    <w:rsid w:val="000D1899"/>
    <w:rsid w:val="000D35A7"/>
    <w:rsid w:val="000E028E"/>
    <w:rsid w:val="00121AD2"/>
    <w:rsid w:val="001423C2"/>
    <w:rsid w:val="0014597E"/>
    <w:rsid w:val="00145F77"/>
    <w:rsid w:val="00146FB2"/>
    <w:rsid w:val="00151342"/>
    <w:rsid w:val="0015349B"/>
    <w:rsid w:val="001729ED"/>
    <w:rsid w:val="001750F3"/>
    <w:rsid w:val="001764C6"/>
    <w:rsid w:val="00181005"/>
    <w:rsid w:val="0019638E"/>
    <w:rsid w:val="001A019D"/>
    <w:rsid w:val="001B0297"/>
    <w:rsid w:val="001C3CC8"/>
    <w:rsid w:val="001D2624"/>
    <w:rsid w:val="001E2F82"/>
    <w:rsid w:val="001E52A3"/>
    <w:rsid w:val="001F122A"/>
    <w:rsid w:val="001F2BA7"/>
    <w:rsid w:val="001F44BE"/>
    <w:rsid w:val="001F6491"/>
    <w:rsid w:val="00200EDF"/>
    <w:rsid w:val="002040DA"/>
    <w:rsid w:val="00213711"/>
    <w:rsid w:val="0022526C"/>
    <w:rsid w:val="00233434"/>
    <w:rsid w:val="002352FE"/>
    <w:rsid w:val="00241CCB"/>
    <w:rsid w:val="00263157"/>
    <w:rsid w:val="002701A0"/>
    <w:rsid w:val="00274A6C"/>
    <w:rsid w:val="002812AE"/>
    <w:rsid w:val="00296677"/>
    <w:rsid w:val="002B4D7B"/>
    <w:rsid w:val="002D6D51"/>
    <w:rsid w:val="002D7A25"/>
    <w:rsid w:val="002F363A"/>
    <w:rsid w:val="00307479"/>
    <w:rsid w:val="00311C3C"/>
    <w:rsid w:val="00314250"/>
    <w:rsid w:val="00324F37"/>
    <w:rsid w:val="00333638"/>
    <w:rsid w:val="003563D0"/>
    <w:rsid w:val="003608B4"/>
    <w:rsid w:val="00370F9D"/>
    <w:rsid w:val="0038510E"/>
    <w:rsid w:val="003A522A"/>
    <w:rsid w:val="003B582D"/>
    <w:rsid w:val="003D6473"/>
    <w:rsid w:val="003E7085"/>
    <w:rsid w:val="004121FC"/>
    <w:rsid w:val="00412771"/>
    <w:rsid w:val="00423B34"/>
    <w:rsid w:val="00455263"/>
    <w:rsid w:val="00462373"/>
    <w:rsid w:val="0047181C"/>
    <w:rsid w:val="00484A65"/>
    <w:rsid w:val="00484AD4"/>
    <w:rsid w:val="004863F0"/>
    <w:rsid w:val="00496316"/>
    <w:rsid w:val="004A2193"/>
    <w:rsid w:val="004B3351"/>
    <w:rsid w:val="004B5AE7"/>
    <w:rsid w:val="004D0EDF"/>
    <w:rsid w:val="004D6A0E"/>
    <w:rsid w:val="004D74D5"/>
    <w:rsid w:val="004E2AB0"/>
    <w:rsid w:val="004E6EA6"/>
    <w:rsid w:val="004E7BF9"/>
    <w:rsid w:val="00502F0A"/>
    <w:rsid w:val="005268DC"/>
    <w:rsid w:val="00545A48"/>
    <w:rsid w:val="00552EA1"/>
    <w:rsid w:val="00572C1D"/>
    <w:rsid w:val="005731C7"/>
    <w:rsid w:val="005764EF"/>
    <w:rsid w:val="005819E5"/>
    <w:rsid w:val="00583CDE"/>
    <w:rsid w:val="005A2E38"/>
    <w:rsid w:val="005B0FDF"/>
    <w:rsid w:val="005C0864"/>
    <w:rsid w:val="005C265C"/>
    <w:rsid w:val="005C58EB"/>
    <w:rsid w:val="005C646E"/>
    <w:rsid w:val="00610026"/>
    <w:rsid w:val="00610A48"/>
    <w:rsid w:val="00615D9E"/>
    <w:rsid w:val="00615DF6"/>
    <w:rsid w:val="00646CE9"/>
    <w:rsid w:val="006566B5"/>
    <w:rsid w:val="00660623"/>
    <w:rsid w:val="006671F5"/>
    <w:rsid w:val="00675FA3"/>
    <w:rsid w:val="00683CCA"/>
    <w:rsid w:val="006867EA"/>
    <w:rsid w:val="00695E8F"/>
    <w:rsid w:val="006C1E2C"/>
    <w:rsid w:val="006C6F24"/>
    <w:rsid w:val="006D3A10"/>
    <w:rsid w:val="006D7D61"/>
    <w:rsid w:val="006E6C40"/>
    <w:rsid w:val="006F1D63"/>
    <w:rsid w:val="007141E7"/>
    <w:rsid w:val="00714BD7"/>
    <w:rsid w:val="00746152"/>
    <w:rsid w:val="00751E14"/>
    <w:rsid w:val="00765754"/>
    <w:rsid w:val="00771804"/>
    <w:rsid w:val="007744F0"/>
    <w:rsid w:val="00775D05"/>
    <w:rsid w:val="00780B3F"/>
    <w:rsid w:val="0078329A"/>
    <w:rsid w:val="00786063"/>
    <w:rsid w:val="00792724"/>
    <w:rsid w:val="00794FC5"/>
    <w:rsid w:val="007A5CFD"/>
    <w:rsid w:val="007B280D"/>
    <w:rsid w:val="007B6361"/>
    <w:rsid w:val="007B6D04"/>
    <w:rsid w:val="007C27EA"/>
    <w:rsid w:val="007C4CD9"/>
    <w:rsid w:val="007E57DB"/>
    <w:rsid w:val="007F14F8"/>
    <w:rsid w:val="007F2E1D"/>
    <w:rsid w:val="00812C61"/>
    <w:rsid w:val="008133F7"/>
    <w:rsid w:val="008175AF"/>
    <w:rsid w:val="00835E9B"/>
    <w:rsid w:val="00836FC2"/>
    <w:rsid w:val="00843E87"/>
    <w:rsid w:val="008516F2"/>
    <w:rsid w:val="00864FBC"/>
    <w:rsid w:val="00870109"/>
    <w:rsid w:val="00872C54"/>
    <w:rsid w:val="0089365C"/>
    <w:rsid w:val="00896E45"/>
    <w:rsid w:val="008A0E4F"/>
    <w:rsid w:val="008A32F1"/>
    <w:rsid w:val="008A5299"/>
    <w:rsid w:val="008A5E95"/>
    <w:rsid w:val="008D2D78"/>
    <w:rsid w:val="008E76FF"/>
    <w:rsid w:val="009003DD"/>
    <w:rsid w:val="00904518"/>
    <w:rsid w:val="00907DF6"/>
    <w:rsid w:val="00910E12"/>
    <w:rsid w:val="00911C8C"/>
    <w:rsid w:val="00932A05"/>
    <w:rsid w:val="00937B98"/>
    <w:rsid w:val="009826D6"/>
    <w:rsid w:val="00986881"/>
    <w:rsid w:val="00996CBD"/>
    <w:rsid w:val="009A130F"/>
    <w:rsid w:val="009A3183"/>
    <w:rsid w:val="009A3428"/>
    <w:rsid w:val="009B5D1A"/>
    <w:rsid w:val="009C1820"/>
    <w:rsid w:val="009C18B6"/>
    <w:rsid w:val="009C64DE"/>
    <w:rsid w:val="009E1D16"/>
    <w:rsid w:val="00A112DC"/>
    <w:rsid w:val="00A3546B"/>
    <w:rsid w:val="00A36884"/>
    <w:rsid w:val="00A40987"/>
    <w:rsid w:val="00A424C5"/>
    <w:rsid w:val="00A56C1A"/>
    <w:rsid w:val="00A63304"/>
    <w:rsid w:val="00A77991"/>
    <w:rsid w:val="00A80022"/>
    <w:rsid w:val="00A87E3F"/>
    <w:rsid w:val="00AB6E74"/>
    <w:rsid w:val="00AC4998"/>
    <w:rsid w:val="00AC5201"/>
    <w:rsid w:val="00AD7501"/>
    <w:rsid w:val="00AE244B"/>
    <w:rsid w:val="00AF6AB0"/>
    <w:rsid w:val="00B031EC"/>
    <w:rsid w:val="00B04033"/>
    <w:rsid w:val="00B05F3D"/>
    <w:rsid w:val="00B22C38"/>
    <w:rsid w:val="00B2486B"/>
    <w:rsid w:val="00B24CCD"/>
    <w:rsid w:val="00B30B3C"/>
    <w:rsid w:val="00B32FED"/>
    <w:rsid w:val="00B3635C"/>
    <w:rsid w:val="00B40377"/>
    <w:rsid w:val="00B51AA0"/>
    <w:rsid w:val="00B730A2"/>
    <w:rsid w:val="00B74C95"/>
    <w:rsid w:val="00B84CE9"/>
    <w:rsid w:val="00B867F9"/>
    <w:rsid w:val="00BB1828"/>
    <w:rsid w:val="00BE1D56"/>
    <w:rsid w:val="00BE25D4"/>
    <w:rsid w:val="00BE4C91"/>
    <w:rsid w:val="00BF15C4"/>
    <w:rsid w:val="00BF1A8D"/>
    <w:rsid w:val="00BF5A72"/>
    <w:rsid w:val="00C05B4A"/>
    <w:rsid w:val="00C07603"/>
    <w:rsid w:val="00C24317"/>
    <w:rsid w:val="00C272E4"/>
    <w:rsid w:val="00C32CB3"/>
    <w:rsid w:val="00C3553B"/>
    <w:rsid w:val="00C379DC"/>
    <w:rsid w:val="00C748DA"/>
    <w:rsid w:val="00CA0AC4"/>
    <w:rsid w:val="00CA38A0"/>
    <w:rsid w:val="00CB1B67"/>
    <w:rsid w:val="00CC2284"/>
    <w:rsid w:val="00CD3E78"/>
    <w:rsid w:val="00CD63B4"/>
    <w:rsid w:val="00CF3389"/>
    <w:rsid w:val="00D03BBF"/>
    <w:rsid w:val="00D04C0B"/>
    <w:rsid w:val="00D07A38"/>
    <w:rsid w:val="00D105C6"/>
    <w:rsid w:val="00D12E45"/>
    <w:rsid w:val="00D13566"/>
    <w:rsid w:val="00D22741"/>
    <w:rsid w:val="00D25F0E"/>
    <w:rsid w:val="00D27E60"/>
    <w:rsid w:val="00D31BCB"/>
    <w:rsid w:val="00D3223B"/>
    <w:rsid w:val="00D44BE6"/>
    <w:rsid w:val="00D62AB7"/>
    <w:rsid w:val="00D6383C"/>
    <w:rsid w:val="00D9479A"/>
    <w:rsid w:val="00DA004D"/>
    <w:rsid w:val="00DA3265"/>
    <w:rsid w:val="00DA703E"/>
    <w:rsid w:val="00DB2E91"/>
    <w:rsid w:val="00DB7DEE"/>
    <w:rsid w:val="00DC6450"/>
    <w:rsid w:val="00DD0697"/>
    <w:rsid w:val="00DD7124"/>
    <w:rsid w:val="00DE09E9"/>
    <w:rsid w:val="00DE2754"/>
    <w:rsid w:val="00DE4016"/>
    <w:rsid w:val="00DF0F16"/>
    <w:rsid w:val="00E309CE"/>
    <w:rsid w:val="00E37333"/>
    <w:rsid w:val="00E377BA"/>
    <w:rsid w:val="00E46942"/>
    <w:rsid w:val="00E502B6"/>
    <w:rsid w:val="00E66F16"/>
    <w:rsid w:val="00E70C73"/>
    <w:rsid w:val="00E720DC"/>
    <w:rsid w:val="00E80298"/>
    <w:rsid w:val="00E832C9"/>
    <w:rsid w:val="00E84A5F"/>
    <w:rsid w:val="00E878E9"/>
    <w:rsid w:val="00E9006F"/>
    <w:rsid w:val="00E92609"/>
    <w:rsid w:val="00E9578A"/>
    <w:rsid w:val="00E9579E"/>
    <w:rsid w:val="00EA27D9"/>
    <w:rsid w:val="00EA6F2B"/>
    <w:rsid w:val="00EA7253"/>
    <w:rsid w:val="00EB2645"/>
    <w:rsid w:val="00EC0533"/>
    <w:rsid w:val="00ED0877"/>
    <w:rsid w:val="00ED4FBA"/>
    <w:rsid w:val="00ED6527"/>
    <w:rsid w:val="00EE6FCA"/>
    <w:rsid w:val="00EF450C"/>
    <w:rsid w:val="00EF51FA"/>
    <w:rsid w:val="00EF6A71"/>
    <w:rsid w:val="00F479E9"/>
    <w:rsid w:val="00F54B6C"/>
    <w:rsid w:val="00F61DF3"/>
    <w:rsid w:val="00F7552D"/>
    <w:rsid w:val="00F92247"/>
    <w:rsid w:val="00FA3018"/>
    <w:rsid w:val="00FB681E"/>
    <w:rsid w:val="00FB6E26"/>
    <w:rsid w:val="00FC030B"/>
    <w:rsid w:val="00FD3A2E"/>
    <w:rsid w:val="00FD4329"/>
    <w:rsid w:val="00FD5CF1"/>
    <w:rsid w:val="00FE74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0248"/>
  <w15:chartTrackingRefBased/>
  <w15:docId w15:val="{E494229C-3EE6-4F26-9A8A-B4CADFD6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autoRedefine/>
    <w:uiPriority w:val="99"/>
    <w:qFormat/>
    <w:rsid w:val="000C2D5B"/>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uiPriority w:val="99"/>
    <w:semiHidden/>
    <w:unhideWhenUsed/>
    <w:qFormat/>
    <w:rsid w:val="000C2D5B"/>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uiPriority w:val="99"/>
    <w:semiHidden/>
    <w:unhideWhenUsed/>
    <w:qFormat/>
    <w:rsid w:val="000C2D5B"/>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uiPriority w:val="9"/>
    <w:semiHidden/>
    <w:unhideWhenUsed/>
    <w:qFormat/>
    <w:rsid w:val="000C2D5B"/>
    <w:pPr>
      <w:keepNext/>
      <w:keepLines/>
      <w:spacing w:before="200" w:after="0" w:line="276" w:lineRule="auto"/>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C2D5B"/>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semiHidden/>
    <w:rsid w:val="000C2D5B"/>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semiHidden/>
    <w:rsid w:val="000C2D5B"/>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
    <w:semiHidden/>
    <w:rsid w:val="000C2D5B"/>
    <w:rPr>
      <w:rFonts w:ascii="Cambria" w:eastAsia="Times New Roman" w:hAnsi="Cambria" w:cs="Times New Roman"/>
      <w:b/>
      <w:bCs/>
      <w:i/>
      <w:iCs/>
      <w:color w:val="4F81BD"/>
    </w:rPr>
  </w:style>
  <w:style w:type="numbering" w:customStyle="1" w:styleId="Sraonra1">
    <w:name w:val="Sąrašo nėra1"/>
    <w:next w:val="Sraonra"/>
    <w:uiPriority w:val="99"/>
    <w:semiHidden/>
    <w:unhideWhenUsed/>
    <w:rsid w:val="000C2D5B"/>
  </w:style>
  <w:style w:type="numbering" w:customStyle="1" w:styleId="NoList1">
    <w:name w:val="No List1"/>
    <w:next w:val="Sraonra"/>
    <w:uiPriority w:val="99"/>
    <w:semiHidden/>
    <w:unhideWhenUsed/>
    <w:rsid w:val="000C2D5B"/>
  </w:style>
  <w:style w:type="character" w:styleId="Hipersaitas">
    <w:name w:val="Hyperlink"/>
    <w:uiPriority w:val="99"/>
    <w:unhideWhenUsed/>
    <w:rsid w:val="000C2D5B"/>
    <w:rPr>
      <w:rFonts w:ascii="Times New Roman" w:hAnsi="Times New Roman" w:cs="Times New Roman" w:hint="default"/>
      <w:color w:val="0000FF"/>
      <w:u w:val="single"/>
    </w:rPr>
  </w:style>
  <w:style w:type="character" w:styleId="Perirtashipersaitas">
    <w:name w:val="FollowedHyperlink"/>
    <w:uiPriority w:val="99"/>
    <w:semiHidden/>
    <w:unhideWhenUsed/>
    <w:rsid w:val="000C2D5B"/>
    <w:rPr>
      <w:color w:val="800080"/>
      <w:u w:val="single"/>
    </w:rPr>
  </w:style>
  <w:style w:type="paragraph" w:styleId="Komentarotekstas">
    <w:name w:val="annotation text"/>
    <w:basedOn w:val="prastasis"/>
    <w:link w:val="KomentarotekstasDiagrama"/>
    <w:uiPriority w:val="99"/>
    <w:unhideWhenUsed/>
    <w:rsid w:val="000C2D5B"/>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0C2D5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0C2D5B"/>
    <w:pPr>
      <w:tabs>
        <w:tab w:val="center" w:pos="4320"/>
        <w:tab w:val="right" w:pos="8640"/>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semiHidden/>
    <w:rsid w:val="000C2D5B"/>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0C2D5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uiPriority w:val="99"/>
    <w:semiHidden/>
    <w:rsid w:val="000C2D5B"/>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0C2D5B"/>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uiPriority w:val="99"/>
    <w:rsid w:val="000C2D5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semiHidden/>
    <w:unhideWhenUsed/>
    <w:rsid w:val="000C2D5B"/>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uiPriority w:val="99"/>
    <w:semiHidden/>
    <w:rsid w:val="000C2D5B"/>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0C2D5B"/>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0C2D5B"/>
    <w:rPr>
      <w:rFonts w:ascii="Times New Roman" w:eastAsia="Times New Roman" w:hAnsi="Times New Roman" w:cs="Times New Roman"/>
      <w:szCs w:val="20"/>
      <w:lang w:eastAsia="lt-LT"/>
    </w:rPr>
  </w:style>
  <w:style w:type="paragraph" w:styleId="Komentarotema">
    <w:name w:val="annotation subject"/>
    <w:basedOn w:val="Komentarotekstas"/>
    <w:next w:val="Komentarotekstas"/>
    <w:link w:val="KomentarotemaDiagrama"/>
    <w:uiPriority w:val="99"/>
    <w:semiHidden/>
    <w:unhideWhenUsed/>
    <w:rsid w:val="000C2D5B"/>
    <w:rPr>
      <w:b/>
      <w:bCs/>
    </w:rPr>
  </w:style>
  <w:style w:type="character" w:customStyle="1" w:styleId="KomentarotemaDiagrama">
    <w:name w:val="Komentaro tema Diagrama"/>
    <w:basedOn w:val="KomentarotekstasDiagrama"/>
    <w:link w:val="Komentarotema"/>
    <w:uiPriority w:val="99"/>
    <w:semiHidden/>
    <w:rsid w:val="000C2D5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0C2D5B"/>
    <w:pPr>
      <w:spacing w:after="0" w:line="240" w:lineRule="auto"/>
    </w:pPr>
    <w:rPr>
      <w:rFonts w:ascii="Tahoma" w:eastAsia="Times New Roman" w:hAnsi="Tahoma" w:cs="Tahoma"/>
      <w:sz w:val="16"/>
      <w:szCs w:val="16"/>
      <w:lang w:val="en-GB" w:eastAsia="lt-LT"/>
    </w:rPr>
  </w:style>
  <w:style w:type="character" w:customStyle="1" w:styleId="DebesliotekstasDiagrama">
    <w:name w:val="Debesėlio tekstas Diagrama"/>
    <w:basedOn w:val="Numatytasispastraiposriftas"/>
    <w:link w:val="Debesliotekstas"/>
    <w:uiPriority w:val="99"/>
    <w:semiHidden/>
    <w:rsid w:val="000C2D5B"/>
    <w:rPr>
      <w:rFonts w:ascii="Tahoma" w:eastAsia="Times New Roman" w:hAnsi="Tahoma" w:cs="Tahoma"/>
      <w:sz w:val="16"/>
      <w:szCs w:val="16"/>
      <w:lang w:val="en-GB" w:eastAsia="lt-LT"/>
    </w:rPr>
  </w:style>
  <w:style w:type="character" w:customStyle="1" w:styleId="BTEMEASMCAChar">
    <w:name w:val="BT EMEA_SMCA Char"/>
    <w:link w:val="BTEMEASMCA"/>
    <w:uiPriority w:val="99"/>
    <w:locked/>
    <w:rsid w:val="000C2D5B"/>
    <w:rPr>
      <w:rFonts w:ascii="Times New Roman" w:eastAsia="Times New Roman" w:hAnsi="Times New Roman" w:cs="Times New Roman"/>
      <w:noProof/>
    </w:rPr>
  </w:style>
  <w:style w:type="paragraph" w:customStyle="1" w:styleId="BTEMEASMCA">
    <w:name w:val="BT EMEA_SMCA"/>
    <w:basedOn w:val="prastasis"/>
    <w:link w:val="BTEMEASMCAChar"/>
    <w:autoRedefine/>
    <w:uiPriority w:val="99"/>
    <w:rsid w:val="000C2D5B"/>
    <w:pPr>
      <w:spacing w:after="0" w:line="240" w:lineRule="auto"/>
    </w:pPr>
    <w:rPr>
      <w:rFonts w:ascii="Times New Roman" w:eastAsia="Times New Roman" w:hAnsi="Times New Roman" w:cs="Times New Roman"/>
      <w:noProof/>
    </w:rPr>
  </w:style>
  <w:style w:type="character" w:customStyle="1" w:styleId="TTEMEASMCAChar">
    <w:name w:val="TT EMEA_SMCA Char"/>
    <w:link w:val="TTEMEASMCA"/>
    <w:uiPriority w:val="99"/>
    <w:locked/>
    <w:rsid w:val="000C2D5B"/>
    <w:rPr>
      <w:rFonts w:ascii="Times New Roman" w:eastAsia="Times New Roman" w:hAnsi="Times New Roman" w:cs="Times New Roman"/>
      <w:b/>
      <w:caps/>
      <w:lang w:val="en-US"/>
    </w:rPr>
  </w:style>
  <w:style w:type="paragraph" w:customStyle="1" w:styleId="TTEMEASMCA">
    <w:name w:val="TT EMEA_SMCA"/>
    <w:basedOn w:val="Antrat1"/>
    <w:link w:val="TTEMEASMCAChar"/>
    <w:autoRedefine/>
    <w:uiPriority w:val="99"/>
    <w:rsid w:val="000C2D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rsid w:val="000C2D5B"/>
    <w:pPr>
      <w:numPr>
        <w:numId w:val="1"/>
      </w:numPr>
      <w:tabs>
        <w:tab w:val="clear" w:pos="720"/>
        <w:tab w:val="num" w:pos="360"/>
      </w:tabs>
      <w:ind w:left="0" w:firstLine="0"/>
    </w:pPr>
  </w:style>
  <w:style w:type="paragraph" w:customStyle="1" w:styleId="BTbEMEASMCA">
    <w:name w:val="BT(b) EMEA_SMCA"/>
    <w:basedOn w:val="BTEMEASMCA"/>
    <w:autoRedefine/>
    <w:uiPriority w:val="99"/>
    <w:rsid w:val="000C2D5B"/>
    <w:rPr>
      <w:b/>
    </w:rPr>
  </w:style>
  <w:style w:type="paragraph" w:customStyle="1" w:styleId="PI-3EMEASMCA">
    <w:name w:val="PI-3 EMEA_SMCA"/>
    <w:basedOn w:val="prastasis"/>
    <w:autoRedefine/>
    <w:uiPriority w:val="99"/>
    <w:rsid w:val="000C2D5B"/>
    <w:pPr>
      <w:spacing w:after="0" w:line="220" w:lineRule="exact"/>
    </w:pPr>
    <w:rPr>
      <w:rFonts w:ascii="Times New Roman" w:eastAsia="Times New Roman" w:hAnsi="Times New Roman" w:cs="Times New Roman"/>
      <w:b/>
      <w:bCs/>
    </w:rPr>
  </w:style>
  <w:style w:type="character" w:customStyle="1" w:styleId="BTEMEASMCACharCharChar">
    <w:name w:val="BT EMEA_SMCA Char Char Char"/>
    <w:link w:val="BTEMEASMCACharChar"/>
    <w:uiPriority w:val="99"/>
    <w:locked/>
    <w:rsid w:val="000C2D5B"/>
    <w:rPr>
      <w:rFonts w:ascii="Times New Roman" w:eastAsia="Times New Roman" w:hAnsi="Times New Roman" w:cs="Times New Roman"/>
      <w:noProof/>
    </w:rPr>
  </w:style>
  <w:style w:type="paragraph" w:customStyle="1" w:styleId="BTEMEASMCACharChar">
    <w:name w:val="BT EMEA_SMCA Char Char"/>
    <w:basedOn w:val="prastasis"/>
    <w:link w:val="BTEMEASMCACharCharChar"/>
    <w:autoRedefine/>
    <w:uiPriority w:val="99"/>
    <w:rsid w:val="000C2D5B"/>
    <w:pPr>
      <w:spacing w:after="0" w:line="240" w:lineRule="auto"/>
    </w:pPr>
    <w:rPr>
      <w:rFonts w:ascii="Times New Roman" w:eastAsia="Times New Roman" w:hAnsi="Times New Roman" w:cs="Times New Roman"/>
      <w:noProof/>
    </w:rPr>
  </w:style>
  <w:style w:type="paragraph" w:customStyle="1" w:styleId="Default">
    <w:name w:val="Default"/>
    <w:uiPriority w:val="99"/>
    <w:rsid w:val="000C2D5B"/>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tyle6">
    <w:name w:val="Style6"/>
    <w:basedOn w:val="prastasis"/>
    <w:uiPriority w:val="99"/>
    <w:rsid w:val="000C2D5B"/>
    <w:pPr>
      <w:widowControl w:val="0"/>
      <w:autoSpaceDE w:val="0"/>
      <w:autoSpaceDN w:val="0"/>
      <w:adjustRightInd w:val="0"/>
      <w:spacing w:after="0" w:line="278" w:lineRule="exact"/>
      <w:jc w:val="both"/>
    </w:pPr>
    <w:rPr>
      <w:rFonts w:ascii="Times New Roman" w:eastAsia="Times New Roman" w:hAnsi="Times New Roman" w:cs="Times New Roman"/>
      <w:sz w:val="24"/>
      <w:szCs w:val="24"/>
      <w:lang w:val="en-US"/>
    </w:rPr>
  </w:style>
  <w:style w:type="paragraph" w:customStyle="1" w:styleId="Style7">
    <w:name w:val="Style7"/>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Style3">
    <w:name w:val="Style3"/>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character" w:styleId="Puslapionumeris">
    <w:name w:val="page number"/>
    <w:uiPriority w:val="99"/>
    <w:semiHidden/>
    <w:unhideWhenUsed/>
    <w:rsid w:val="000C2D5B"/>
    <w:rPr>
      <w:rFonts w:ascii="Times New Roman" w:hAnsi="Times New Roman" w:cs="Times New Roman" w:hint="default"/>
    </w:rPr>
  </w:style>
  <w:style w:type="character" w:customStyle="1" w:styleId="FontStyle11">
    <w:name w:val="Font Style11"/>
    <w:uiPriority w:val="99"/>
    <w:rsid w:val="000C2D5B"/>
    <w:rPr>
      <w:rFonts w:ascii="Times New Roman" w:hAnsi="Times New Roman" w:cs="Times New Roman" w:hint="default"/>
      <w:b/>
      <w:bCs/>
      <w:sz w:val="20"/>
      <w:szCs w:val="20"/>
    </w:rPr>
  </w:style>
  <w:style w:type="character" w:customStyle="1" w:styleId="CommentSubjectChar1">
    <w:name w:val="Comment Subject Char1"/>
    <w:uiPriority w:val="99"/>
    <w:semiHidden/>
    <w:rsid w:val="000C2D5B"/>
    <w:rPr>
      <w:rFonts w:ascii="Times New Roman" w:eastAsia="Times New Roman" w:hAnsi="Times New Roman" w:cs="Times New Roman" w:hint="default"/>
      <w:b/>
      <w:bCs/>
      <w:sz w:val="20"/>
      <w:szCs w:val="20"/>
      <w:lang w:val="lt-LT" w:eastAsia="lt-LT"/>
    </w:rPr>
  </w:style>
  <w:style w:type="character" w:customStyle="1" w:styleId="BalloonTextChar1">
    <w:name w:val="Balloon Text Char1"/>
    <w:uiPriority w:val="99"/>
    <w:semiHidden/>
    <w:rsid w:val="000C2D5B"/>
    <w:rPr>
      <w:rFonts w:ascii="Tahoma" w:eastAsia="Times New Roman" w:hAnsi="Tahoma" w:cs="Tahoma" w:hint="default"/>
      <w:sz w:val="16"/>
      <w:szCs w:val="16"/>
      <w:lang w:val="lt-LT" w:eastAsia="lt-LT"/>
    </w:rPr>
  </w:style>
  <w:style w:type="paragraph" w:styleId="Pataisymai">
    <w:name w:val="Revision"/>
    <w:hidden/>
    <w:uiPriority w:val="99"/>
    <w:semiHidden/>
    <w:rsid w:val="000C2D5B"/>
    <w:pPr>
      <w:spacing w:after="0" w:line="240" w:lineRule="auto"/>
    </w:pPr>
    <w:rPr>
      <w:rFonts w:ascii="Calibri" w:eastAsia="Calibri" w:hAnsi="Calibri" w:cs="Times New Roman"/>
    </w:rPr>
  </w:style>
  <w:style w:type="character" w:styleId="Komentaronuoroda">
    <w:name w:val="annotation reference"/>
    <w:uiPriority w:val="99"/>
    <w:semiHidden/>
    <w:unhideWhenUsed/>
    <w:rsid w:val="000C2D5B"/>
    <w:rPr>
      <w:sz w:val="16"/>
      <w:szCs w:val="16"/>
    </w:rPr>
  </w:style>
  <w:style w:type="table" w:customStyle="1" w:styleId="TableGrid1">
    <w:name w:val="Table Grid1"/>
    <w:basedOn w:val="prastojilentel"/>
    <w:next w:val="Lentelstinklelis"/>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prastasis"/>
    <w:next w:val="Sraopastraipa"/>
    <w:uiPriority w:val="34"/>
    <w:qFormat/>
    <w:rsid w:val="000C2D5B"/>
    <w:pPr>
      <w:ind w:left="720"/>
      <w:contextualSpacing/>
    </w:pPr>
  </w:style>
  <w:style w:type="table" w:styleId="Lentelstinklelis">
    <w:name w:val="Table Grid"/>
    <w:basedOn w:val="prastojilentel"/>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C2D5B"/>
    <w:pPr>
      <w:ind w:left="720"/>
      <w:contextualSpacing/>
    </w:pPr>
  </w:style>
  <w:style w:type="numbering" w:customStyle="1" w:styleId="NoList2">
    <w:name w:val="No List2"/>
    <w:next w:val="Sraonra"/>
    <w:uiPriority w:val="99"/>
    <w:semiHidden/>
    <w:unhideWhenUsed/>
    <w:rsid w:val="00DB7DEE"/>
  </w:style>
  <w:style w:type="numbering" w:customStyle="1" w:styleId="Sraonra11">
    <w:name w:val="Sąrašo nėra11"/>
    <w:next w:val="Sraonra"/>
    <w:uiPriority w:val="99"/>
    <w:semiHidden/>
    <w:unhideWhenUsed/>
    <w:rsid w:val="00DB7DEE"/>
  </w:style>
  <w:style w:type="numbering" w:customStyle="1" w:styleId="NoList11">
    <w:name w:val="No List11"/>
    <w:next w:val="Sraonra"/>
    <w:uiPriority w:val="99"/>
    <w:semiHidden/>
    <w:unhideWhenUsed/>
    <w:rsid w:val="00DB7DEE"/>
  </w:style>
  <w:style w:type="character" w:customStyle="1" w:styleId="TTEMEASMCACharChar">
    <w:name w:val="TT EMEA_SMCA Char Char"/>
    <w:uiPriority w:val="99"/>
    <w:locked/>
    <w:rsid w:val="00DB7DEE"/>
    <w:rPr>
      <w:rFonts w:ascii="Times New Roman" w:eastAsia="Times New Roman" w:hAnsi="Times New Roman" w:cs="Times New Roman"/>
      <w:b/>
      <w:caps/>
      <w:lang w:val="en-US"/>
    </w:rPr>
  </w:style>
  <w:style w:type="character" w:customStyle="1" w:styleId="BTEMEASMCACharCharCharChar">
    <w:name w:val="BT EMEA_SMCA Char Char Char Char"/>
    <w:uiPriority w:val="99"/>
    <w:locked/>
    <w:rsid w:val="00DB7DEE"/>
    <w:rPr>
      <w:rFonts w:ascii="Times New Roman" w:eastAsia="Times New Roman" w:hAnsi="Times New Roman" w:cs="Times New Roman"/>
      <w:noProof/>
    </w:rPr>
  </w:style>
  <w:style w:type="table" w:customStyle="1" w:styleId="TableGrid2">
    <w:name w:val="Table Grid2"/>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DA703E"/>
    <w:rPr>
      <w:color w:val="605E5C"/>
      <w:shd w:val="clear" w:color="auto" w:fill="E1DFDD"/>
    </w:rPr>
  </w:style>
  <w:style w:type="paragraph" w:styleId="Pagrindinistekstas2">
    <w:name w:val="Body Text 2"/>
    <w:basedOn w:val="prastasis"/>
    <w:link w:val="Pagrindinistekstas2Diagrama"/>
    <w:uiPriority w:val="99"/>
    <w:semiHidden/>
    <w:unhideWhenUsed/>
    <w:rsid w:val="005A2E38"/>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A2E38"/>
  </w:style>
  <w:style w:type="paragraph" w:customStyle="1" w:styleId="msonormal0">
    <w:name w:val="msonormal"/>
    <w:basedOn w:val="prastasis"/>
    <w:rsid w:val="001764C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eapdorotaspaminjimas">
    <w:name w:val="Unresolved Mention"/>
    <w:basedOn w:val="Numatytasispastraiposriftas"/>
    <w:uiPriority w:val="99"/>
    <w:semiHidden/>
    <w:unhideWhenUsed/>
    <w:rsid w:val="00B30B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055011">
      <w:bodyDiv w:val="1"/>
      <w:marLeft w:val="0"/>
      <w:marRight w:val="0"/>
      <w:marTop w:val="0"/>
      <w:marBottom w:val="0"/>
      <w:divBdr>
        <w:top w:val="none" w:sz="0" w:space="0" w:color="auto"/>
        <w:left w:val="none" w:sz="0" w:space="0" w:color="auto"/>
        <w:bottom w:val="none" w:sz="0" w:space="0" w:color="auto"/>
        <w:right w:val="none" w:sz="0" w:space="0" w:color="auto"/>
      </w:divBdr>
    </w:div>
    <w:div w:id="207134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F0BE9F-92F6-46C6-9EC8-8FF1AE105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04A27E-99C0-40F5-AB69-FDB22F08CFCE}">
  <ds:schemaRefs>
    <ds:schemaRef ds:uri="http://schemas.openxmlformats.org/officeDocument/2006/bibliography"/>
  </ds:schemaRefs>
</ds:datastoreItem>
</file>

<file path=customXml/itemProps3.xml><?xml version="1.0" encoding="utf-8"?>
<ds:datastoreItem xmlns:ds="http://schemas.openxmlformats.org/officeDocument/2006/customXml" ds:itemID="{038D974A-8DA4-4E06-AA63-B261EBAAEC4E}">
  <ds:schemaRefs>
    <ds:schemaRef ds:uri="http://schemas.microsoft.com/sharepoint/v3/contenttype/forms"/>
  </ds:schemaRefs>
</ds:datastoreItem>
</file>

<file path=customXml/itemProps4.xml><?xml version="1.0" encoding="utf-8"?>
<ds:datastoreItem xmlns:ds="http://schemas.openxmlformats.org/officeDocument/2006/customXml" ds:itemID="{1C253395-5BCC-4880-85D0-58B4CC593C6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48089</Words>
  <Characters>27412</Characters>
  <Application>Microsoft Office Word</Application>
  <DocSecurity>4</DocSecurity>
  <Lines>228</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cp:keywords/>
  <dc:description/>
  <cp:lastModifiedBy>Albina Burkauskaitė</cp:lastModifiedBy>
  <cp:revision>2</cp:revision>
  <cp:lastPrinted>2024-04-18T08:50:00Z</cp:lastPrinted>
  <dcterms:created xsi:type="dcterms:W3CDTF">2026-03-25T13:18:00Z</dcterms:created>
  <dcterms:modified xsi:type="dcterms:W3CDTF">2026-03-25T13:18:00Z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