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F54" w:rsidRDefault="00844F54">
      <w:pPr>
        <w:suppressAutoHyphens w:val="0"/>
        <w:textAlignment w:val="auto"/>
        <w:rPr>
          <w:rFonts w:ascii="Times New Roman" w:eastAsia="Times New Roman" w:hAnsi="Times New Roman" w:cs="Times New Roman"/>
          <w:i/>
          <w:iCs/>
          <w:kern w:val="0"/>
          <w:sz w:val="22"/>
          <w:szCs w:val="22"/>
          <w:lang w:eastAsia="en-US" w:bidi="ar-SA"/>
        </w:rPr>
      </w:pPr>
    </w:p>
    <w:p w:rsidR="00844F54" w:rsidRDefault="00844F54">
      <w:pPr>
        <w:suppressAutoHyphens w:val="0"/>
        <w:textAlignment w:val="auto"/>
        <w:rPr>
          <w:rFonts w:ascii="Times New Roman" w:eastAsia="Times New Roman" w:hAnsi="Times New Roman" w:cs="Times New Roman"/>
          <w:i/>
          <w:iCs/>
          <w:kern w:val="0"/>
          <w:sz w:val="22"/>
          <w:szCs w:val="22"/>
          <w:lang w:eastAsia="en-US" w:bidi="ar-SA"/>
        </w:rPr>
      </w:pPr>
    </w:p>
    <w:p w:rsidR="00844F54" w:rsidRDefault="001558A7">
      <w:pPr>
        <w:jc w:val="center"/>
        <w:outlineLvl w:val="0"/>
        <w:rPr>
          <w:rFonts w:hint="eastAsia"/>
          <w:b/>
          <w:szCs w:val="22"/>
        </w:rPr>
      </w:pPr>
      <w:r>
        <w:rPr>
          <w:b/>
          <w:szCs w:val="22"/>
        </w:rPr>
        <w:t>B. PAKUOTĖS LAPELIS</w:t>
      </w:r>
    </w:p>
    <w:p w:rsidR="00844F54" w:rsidRDefault="00844F54">
      <w:pPr>
        <w:tabs>
          <w:tab w:val="left" w:pos="1134"/>
        </w:tabs>
        <w:ind w:left="567" w:hanging="567"/>
        <w:jc w:val="center"/>
        <w:rPr>
          <w:rFonts w:ascii="Times New Roman" w:eastAsia="Times New Roman" w:hAnsi="Times New Roman" w:cs="Times New Roman"/>
          <w:b/>
          <w:caps/>
          <w:sz w:val="22"/>
          <w:szCs w:val="22"/>
        </w:rPr>
      </w:pPr>
    </w:p>
    <w:p w:rsidR="00844F54" w:rsidRDefault="001558A7">
      <w:pPr>
        <w:pageBreakBefore/>
        <w:tabs>
          <w:tab w:val="left" w:pos="1134"/>
        </w:tabs>
        <w:ind w:left="567" w:hanging="567"/>
        <w:jc w:val="center"/>
        <w:rPr>
          <w:rFonts w:ascii="Times New Roman" w:eastAsia="Times New Roman" w:hAnsi="Times New Roman" w:cs="Times New Roman"/>
          <w:b/>
          <w:caps/>
          <w:sz w:val="22"/>
          <w:szCs w:val="22"/>
        </w:rPr>
      </w:pPr>
      <w:r>
        <w:rPr>
          <w:rFonts w:ascii="Times New Roman" w:eastAsia="Times New Roman" w:hAnsi="Times New Roman" w:cs="Times New Roman"/>
          <w:b/>
          <w:caps/>
          <w:sz w:val="22"/>
          <w:szCs w:val="22"/>
        </w:rPr>
        <w:lastRenderedPageBreak/>
        <w:t>Pakuotės lapelis: informacija vartotojui</w:t>
      </w:r>
    </w:p>
    <w:p w:rsidR="00844F54" w:rsidRDefault="00844F54">
      <w:pPr>
        <w:tabs>
          <w:tab w:val="left" w:pos="567"/>
        </w:tabs>
        <w:suppressAutoHyphens w:val="0"/>
        <w:textAlignment w:val="auto"/>
        <w:rPr>
          <w:rFonts w:ascii="Times New Roman" w:eastAsia="Times New Roman" w:hAnsi="Times New Roman" w:cs="Times New Roman"/>
          <w:sz w:val="22"/>
          <w:szCs w:val="22"/>
          <w:lang w:eastAsia="en-US" w:bidi="ar-SA"/>
        </w:rPr>
      </w:pPr>
    </w:p>
    <w:p w:rsidR="00844F54" w:rsidRDefault="001558A7">
      <w:pPr>
        <w:tabs>
          <w:tab w:val="left" w:pos="567"/>
          <w:tab w:val="left" w:pos="2127"/>
          <w:tab w:val="left" w:pos="2268"/>
        </w:tabs>
        <w:jc w:val="center"/>
        <w:rPr>
          <w:rFonts w:ascii="Times New Roman" w:hAnsi="Times New Roman" w:cs="Times New Roman"/>
          <w:b/>
          <w:sz w:val="22"/>
          <w:szCs w:val="22"/>
        </w:rPr>
      </w:pPr>
      <w:r>
        <w:rPr>
          <w:rFonts w:ascii="Times New Roman" w:hAnsi="Times New Roman" w:cs="Times New Roman"/>
          <w:b/>
          <w:sz w:val="22"/>
          <w:szCs w:val="22"/>
        </w:rPr>
        <w:t>EPITRIM 200 mg/40 mg/5 ml geriamoji suspensija</w:t>
      </w:r>
    </w:p>
    <w:p w:rsidR="00844F54" w:rsidRDefault="001558A7">
      <w:pPr>
        <w:tabs>
          <w:tab w:val="left" w:pos="567"/>
        </w:tabs>
        <w:jc w:val="center"/>
        <w:rPr>
          <w:rFonts w:ascii="Times New Roman" w:hAnsi="Times New Roman" w:cs="Times New Roman"/>
          <w:sz w:val="22"/>
          <w:szCs w:val="22"/>
        </w:rPr>
      </w:pPr>
      <w:r>
        <w:rPr>
          <w:rFonts w:ascii="Times New Roman" w:hAnsi="Times New Roman" w:cs="Times New Roman"/>
          <w:sz w:val="22"/>
          <w:szCs w:val="22"/>
        </w:rPr>
        <w:t>sulfametoksazolas ir trimetoprimas</w:t>
      </w:r>
    </w:p>
    <w:p w:rsidR="00844F54" w:rsidRDefault="00844F54">
      <w:pPr>
        <w:tabs>
          <w:tab w:val="left" w:pos="567"/>
        </w:tabs>
        <w:suppressAutoHyphens w:val="0"/>
        <w:textAlignment w:val="auto"/>
        <w:rPr>
          <w:rFonts w:ascii="Times New Roman" w:eastAsia="Times New Roman" w:hAnsi="Times New Roman" w:cs="Times New Roman"/>
          <w:sz w:val="22"/>
          <w:szCs w:val="22"/>
          <w:lang w:eastAsia="en-US" w:bidi="ar-SA"/>
        </w:rPr>
      </w:pPr>
    </w:p>
    <w:p w:rsidR="00844F54" w:rsidRDefault="001558A7">
      <w:pPr>
        <w:tabs>
          <w:tab w:val="left" w:pos="567"/>
        </w:tabs>
        <w:rPr>
          <w:rFonts w:ascii="Times New Roman" w:hAnsi="Times New Roman" w:cs="Times New Roman"/>
          <w:b/>
          <w:sz w:val="22"/>
          <w:szCs w:val="22"/>
        </w:rPr>
      </w:pPr>
      <w:r>
        <w:rPr>
          <w:rFonts w:ascii="Times New Roman" w:hAnsi="Times New Roman" w:cs="Times New Roman"/>
          <w:b/>
          <w:sz w:val="22"/>
          <w:szCs w:val="22"/>
        </w:rPr>
        <w:t>Atidžiai perskaitykite visą šį lapelį, prieš pradėdami vartoti vaistą, nes jame pateikiama Jums svarbi informacija.</w:t>
      </w:r>
    </w:p>
    <w:p w:rsidR="00844F54" w:rsidRDefault="001558A7">
      <w:pPr>
        <w:numPr>
          <w:ilvl w:val="0"/>
          <w:numId w:val="1"/>
        </w:numPr>
        <w:suppressAutoHyphens w:val="0"/>
        <w:textAlignment w:val="auto"/>
        <w:rPr>
          <w:rFonts w:ascii="Times New Roman" w:hAnsi="Times New Roman" w:cs="Times New Roman"/>
          <w:sz w:val="22"/>
          <w:szCs w:val="22"/>
        </w:rPr>
      </w:pPr>
      <w:r>
        <w:rPr>
          <w:rFonts w:ascii="Times New Roman" w:hAnsi="Times New Roman" w:cs="Times New Roman"/>
          <w:sz w:val="22"/>
          <w:szCs w:val="22"/>
        </w:rPr>
        <w:t>Neišmeskite šio lapelio, nes vėl gali prireikti jį perskaityti.</w:t>
      </w:r>
    </w:p>
    <w:p w:rsidR="00844F54" w:rsidRDefault="001558A7">
      <w:pPr>
        <w:numPr>
          <w:ilvl w:val="0"/>
          <w:numId w:val="1"/>
        </w:numPr>
        <w:suppressAutoHyphens w:val="0"/>
        <w:textAlignment w:val="auto"/>
        <w:rPr>
          <w:rFonts w:ascii="Times New Roman" w:hAnsi="Times New Roman" w:cs="Times New Roman"/>
          <w:sz w:val="22"/>
          <w:szCs w:val="22"/>
        </w:rPr>
      </w:pPr>
      <w:r>
        <w:rPr>
          <w:rFonts w:ascii="Times New Roman" w:hAnsi="Times New Roman" w:cs="Times New Roman"/>
          <w:sz w:val="22"/>
          <w:szCs w:val="22"/>
        </w:rPr>
        <w:t>Jeigu kiltų daugiau klausimų, kreipkitės į gydytoją arba vaistininką.</w:t>
      </w:r>
    </w:p>
    <w:p w:rsidR="00844F54" w:rsidRDefault="001558A7">
      <w:pPr>
        <w:numPr>
          <w:ilvl w:val="0"/>
          <w:numId w:val="1"/>
        </w:numPr>
        <w:suppressAutoHyphens w:val="0"/>
        <w:textAlignment w:val="auto"/>
        <w:rPr>
          <w:rFonts w:ascii="Times New Roman" w:hAnsi="Times New Roman" w:cs="Times New Roman"/>
          <w:sz w:val="22"/>
          <w:szCs w:val="22"/>
        </w:rPr>
      </w:pPr>
      <w:r>
        <w:rPr>
          <w:rFonts w:ascii="Times New Roman" w:hAnsi="Times New Roman" w:cs="Times New Roman"/>
          <w:sz w:val="22"/>
          <w:szCs w:val="22"/>
        </w:rPr>
        <w:t>Šis vaistas skirtas tik Jums, todėl kitiems žmonėms jo duoti negalima. Vaistas gali jiems pakenkti (net tiems, kurių ligos požymiai yra tokie patys kaip Jūsų).</w:t>
      </w:r>
    </w:p>
    <w:p w:rsidR="00844F54" w:rsidRDefault="001558A7">
      <w:pPr>
        <w:numPr>
          <w:ilvl w:val="0"/>
          <w:numId w:val="1"/>
        </w:numPr>
        <w:suppressAutoHyphens w:val="0"/>
        <w:textAlignment w:val="auto"/>
        <w:rPr>
          <w:rFonts w:ascii="Times New Roman" w:hAnsi="Times New Roman" w:cs="Times New Roman"/>
          <w:sz w:val="22"/>
          <w:szCs w:val="22"/>
        </w:rPr>
      </w:pPr>
      <w:r>
        <w:rPr>
          <w:rFonts w:ascii="Times New Roman" w:hAnsi="Times New Roman" w:cs="Times New Roman"/>
          <w:sz w:val="22"/>
          <w:szCs w:val="22"/>
        </w:rPr>
        <w:t>Jeigu pasireiškė šalutinis poveikis (net jei jis šiame lapelyje nenurodytas), kreipkitės į gydytoją ar vaistininką. Žr. 4 skyrių.</w:t>
      </w:r>
    </w:p>
    <w:p w:rsidR="00844F54" w:rsidRDefault="00844F54">
      <w:pPr>
        <w:tabs>
          <w:tab w:val="left" w:pos="567"/>
        </w:tabs>
        <w:suppressAutoHyphens w:val="0"/>
        <w:textAlignment w:val="auto"/>
        <w:rPr>
          <w:rFonts w:ascii="Times New Roman" w:eastAsia="Times New Roman" w:hAnsi="Times New Roman" w:cs="Times New Roman"/>
          <w:sz w:val="22"/>
          <w:szCs w:val="22"/>
          <w:lang w:eastAsia="en-US" w:bidi="ar-SA"/>
        </w:rPr>
      </w:pPr>
    </w:p>
    <w:p w:rsidR="00844F54" w:rsidRDefault="001558A7">
      <w:pPr>
        <w:tabs>
          <w:tab w:val="left" w:pos="567"/>
        </w:tabs>
        <w:rPr>
          <w:rFonts w:ascii="Times New Roman" w:hAnsi="Times New Roman" w:cs="Times New Roman"/>
          <w:b/>
          <w:sz w:val="22"/>
          <w:szCs w:val="22"/>
        </w:rPr>
      </w:pPr>
      <w:r>
        <w:rPr>
          <w:rFonts w:ascii="Times New Roman" w:hAnsi="Times New Roman" w:cs="Times New Roman"/>
          <w:b/>
          <w:sz w:val="22"/>
          <w:szCs w:val="22"/>
        </w:rPr>
        <w:t>Apie ką rašoma šiame lapelyje?</w:t>
      </w:r>
    </w:p>
    <w:p w:rsidR="00844F54" w:rsidRDefault="00844F54">
      <w:pPr>
        <w:tabs>
          <w:tab w:val="left" w:pos="567"/>
        </w:tabs>
        <w:rPr>
          <w:rFonts w:ascii="Times New Roman" w:hAnsi="Times New Roman" w:cs="Times New Roman"/>
          <w:b/>
          <w:sz w:val="22"/>
          <w:szCs w:val="22"/>
        </w:rPr>
      </w:pPr>
    </w:p>
    <w:p w:rsidR="00844F54" w:rsidRDefault="001558A7">
      <w:pPr>
        <w:tabs>
          <w:tab w:val="left" w:pos="567"/>
        </w:tabs>
        <w:suppressAutoHyphens w:val="0"/>
        <w:textAlignment w:val="auto"/>
        <w:rPr>
          <w:rFonts w:ascii="Times New Roman" w:eastAsia="Times New Roman" w:hAnsi="Times New Roman" w:cs="Times New Roman"/>
          <w:sz w:val="22"/>
          <w:szCs w:val="22"/>
          <w:lang w:eastAsia="en-US" w:bidi="ar-SA"/>
        </w:rPr>
      </w:pPr>
      <w:r>
        <w:rPr>
          <w:rFonts w:ascii="Times New Roman" w:eastAsia="Times New Roman" w:hAnsi="Times New Roman" w:cs="Times New Roman"/>
          <w:sz w:val="22"/>
          <w:szCs w:val="22"/>
          <w:lang w:eastAsia="en-US" w:bidi="ar-SA"/>
        </w:rPr>
        <w:t>1.</w:t>
      </w:r>
      <w:r>
        <w:rPr>
          <w:rFonts w:ascii="Times New Roman" w:eastAsia="Times New Roman" w:hAnsi="Times New Roman" w:cs="Times New Roman"/>
          <w:sz w:val="22"/>
          <w:szCs w:val="22"/>
          <w:lang w:eastAsia="en-US" w:bidi="ar-SA"/>
        </w:rPr>
        <w:tab/>
        <w:t>Kas yra EPITRIM ir kam jis vartojamas</w:t>
      </w:r>
    </w:p>
    <w:p w:rsidR="00844F54" w:rsidRDefault="001558A7">
      <w:pPr>
        <w:tabs>
          <w:tab w:val="left" w:pos="567"/>
        </w:tabs>
        <w:suppressAutoHyphens w:val="0"/>
        <w:textAlignment w:val="auto"/>
        <w:rPr>
          <w:rFonts w:ascii="Times New Roman" w:eastAsia="Times New Roman" w:hAnsi="Times New Roman" w:cs="Times New Roman"/>
          <w:sz w:val="22"/>
          <w:szCs w:val="22"/>
          <w:lang w:eastAsia="en-US" w:bidi="ar-SA"/>
        </w:rPr>
      </w:pPr>
      <w:r>
        <w:rPr>
          <w:rFonts w:ascii="Times New Roman" w:eastAsia="Times New Roman" w:hAnsi="Times New Roman" w:cs="Times New Roman"/>
          <w:sz w:val="22"/>
          <w:szCs w:val="22"/>
          <w:lang w:eastAsia="en-US" w:bidi="ar-SA"/>
        </w:rPr>
        <w:t>2.</w:t>
      </w:r>
      <w:r>
        <w:rPr>
          <w:rFonts w:ascii="Times New Roman" w:eastAsia="Times New Roman" w:hAnsi="Times New Roman" w:cs="Times New Roman"/>
          <w:sz w:val="22"/>
          <w:szCs w:val="22"/>
          <w:lang w:eastAsia="en-US" w:bidi="ar-SA"/>
        </w:rPr>
        <w:tab/>
        <w:t>Kas žinotina prieš vartojant EPITRIM</w:t>
      </w:r>
    </w:p>
    <w:p w:rsidR="00844F54" w:rsidRDefault="001558A7">
      <w:pPr>
        <w:tabs>
          <w:tab w:val="left" w:pos="567"/>
        </w:tabs>
        <w:suppressAutoHyphens w:val="0"/>
        <w:textAlignment w:val="auto"/>
        <w:rPr>
          <w:rFonts w:ascii="Times New Roman" w:eastAsia="Times New Roman" w:hAnsi="Times New Roman" w:cs="Times New Roman"/>
          <w:sz w:val="22"/>
          <w:szCs w:val="22"/>
          <w:lang w:eastAsia="en-US" w:bidi="ar-SA"/>
        </w:rPr>
      </w:pPr>
      <w:r>
        <w:rPr>
          <w:rFonts w:ascii="Times New Roman" w:eastAsia="Times New Roman" w:hAnsi="Times New Roman" w:cs="Times New Roman"/>
          <w:sz w:val="22"/>
          <w:szCs w:val="22"/>
          <w:lang w:eastAsia="en-US" w:bidi="ar-SA"/>
        </w:rPr>
        <w:t>3.</w:t>
      </w:r>
      <w:r>
        <w:rPr>
          <w:rFonts w:ascii="Times New Roman" w:eastAsia="Times New Roman" w:hAnsi="Times New Roman" w:cs="Times New Roman"/>
          <w:sz w:val="22"/>
          <w:szCs w:val="22"/>
          <w:lang w:eastAsia="en-US" w:bidi="ar-SA"/>
        </w:rPr>
        <w:tab/>
        <w:t>Kaip vartoti EPITRIM</w:t>
      </w:r>
    </w:p>
    <w:p w:rsidR="00844F54" w:rsidRDefault="001558A7">
      <w:pPr>
        <w:tabs>
          <w:tab w:val="left" w:pos="567"/>
        </w:tabs>
        <w:suppressAutoHyphens w:val="0"/>
        <w:textAlignment w:val="auto"/>
        <w:rPr>
          <w:rFonts w:ascii="Times New Roman" w:eastAsia="Times New Roman" w:hAnsi="Times New Roman" w:cs="Times New Roman"/>
          <w:sz w:val="22"/>
          <w:szCs w:val="22"/>
          <w:lang w:eastAsia="en-US" w:bidi="ar-SA"/>
        </w:rPr>
      </w:pPr>
      <w:r>
        <w:rPr>
          <w:rFonts w:ascii="Times New Roman" w:eastAsia="Times New Roman" w:hAnsi="Times New Roman" w:cs="Times New Roman"/>
          <w:sz w:val="22"/>
          <w:szCs w:val="22"/>
          <w:lang w:eastAsia="en-US" w:bidi="ar-SA"/>
        </w:rPr>
        <w:t>4.</w:t>
      </w:r>
      <w:r>
        <w:rPr>
          <w:rFonts w:ascii="Times New Roman" w:eastAsia="Times New Roman" w:hAnsi="Times New Roman" w:cs="Times New Roman"/>
          <w:sz w:val="22"/>
          <w:szCs w:val="22"/>
          <w:lang w:eastAsia="en-US" w:bidi="ar-SA"/>
        </w:rPr>
        <w:tab/>
        <w:t>Galimas šalutinis poveikis</w:t>
      </w:r>
    </w:p>
    <w:p w:rsidR="00844F54" w:rsidRDefault="001558A7">
      <w:pPr>
        <w:tabs>
          <w:tab w:val="left" w:pos="567"/>
        </w:tabs>
        <w:suppressAutoHyphens w:val="0"/>
        <w:textAlignment w:val="auto"/>
        <w:rPr>
          <w:rFonts w:ascii="Times New Roman" w:eastAsia="Times New Roman" w:hAnsi="Times New Roman" w:cs="Times New Roman"/>
          <w:sz w:val="22"/>
          <w:szCs w:val="22"/>
          <w:lang w:eastAsia="en-US" w:bidi="ar-SA"/>
        </w:rPr>
      </w:pPr>
      <w:r>
        <w:rPr>
          <w:rFonts w:ascii="Times New Roman" w:eastAsia="Times New Roman" w:hAnsi="Times New Roman" w:cs="Times New Roman"/>
          <w:sz w:val="22"/>
          <w:szCs w:val="22"/>
          <w:lang w:eastAsia="en-US" w:bidi="ar-SA"/>
        </w:rPr>
        <w:t>5.</w:t>
      </w:r>
      <w:r>
        <w:rPr>
          <w:rFonts w:ascii="Times New Roman" w:eastAsia="Times New Roman" w:hAnsi="Times New Roman" w:cs="Times New Roman"/>
          <w:sz w:val="22"/>
          <w:szCs w:val="22"/>
          <w:lang w:eastAsia="en-US" w:bidi="ar-SA"/>
        </w:rPr>
        <w:tab/>
        <w:t>Kaip laikyti EPITRIM</w:t>
      </w:r>
    </w:p>
    <w:p w:rsidR="00844F54" w:rsidRDefault="001558A7">
      <w:pPr>
        <w:tabs>
          <w:tab w:val="left" w:pos="567"/>
        </w:tabs>
        <w:suppressAutoHyphens w:val="0"/>
        <w:textAlignment w:val="auto"/>
        <w:rPr>
          <w:rFonts w:ascii="Times New Roman" w:eastAsia="Times New Roman" w:hAnsi="Times New Roman" w:cs="Times New Roman"/>
          <w:sz w:val="22"/>
          <w:szCs w:val="22"/>
          <w:lang w:eastAsia="en-US" w:bidi="ar-SA"/>
        </w:rPr>
      </w:pPr>
      <w:r>
        <w:rPr>
          <w:rFonts w:ascii="Times New Roman" w:eastAsia="Times New Roman" w:hAnsi="Times New Roman" w:cs="Times New Roman"/>
          <w:sz w:val="22"/>
          <w:szCs w:val="22"/>
          <w:lang w:eastAsia="en-US" w:bidi="ar-SA"/>
        </w:rPr>
        <w:t>6.</w:t>
      </w:r>
      <w:r>
        <w:rPr>
          <w:rFonts w:ascii="Times New Roman" w:eastAsia="Times New Roman" w:hAnsi="Times New Roman" w:cs="Times New Roman"/>
          <w:sz w:val="22"/>
          <w:szCs w:val="22"/>
          <w:lang w:eastAsia="en-US" w:bidi="ar-SA"/>
        </w:rPr>
        <w:tab/>
        <w:t>Pakuotės turinys ir kita informacija</w:t>
      </w:r>
    </w:p>
    <w:p w:rsidR="00844F54" w:rsidRDefault="00844F54">
      <w:pPr>
        <w:tabs>
          <w:tab w:val="left" w:pos="567"/>
        </w:tabs>
        <w:suppressAutoHyphens w:val="0"/>
        <w:textAlignment w:val="auto"/>
        <w:rPr>
          <w:rFonts w:ascii="Times New Roman" w:eastAsia="Times New Roman" w:hAnsi="Times New Roman" w:cs="Times New Roman"/>
          <w:sz w:val="22"/>
          <w:szCs w:val="22"/>
          <w:lang w:eastAsia="en-US" w:bidi="ar-SA"/>
        </w:rPr>
      </w:pPr>
    </w:p>
    <w:p w:rsidR="00844F54" w:rsidRDefault="00844F54">
      <w:pPr>
        <w:tabs>
          <w:tab w:val="left" w:pos="567"/>
        </w:tabs>
        <w:suppressAutoHyphens w:val="0"/>
        <w:textAlignment w:val="auto"/>
        <w:rPr>
          <w:rFonts w:ascii="Times New Roman" w:eastAsia="Times New Roman" w:hAnsi="Times New Roman" w:cs="Times New Roman"/>
          <w:sz w:val="22"/>
          <w:szCs w:val="22"/>
          <w:lang w:eastAsia="en-US" w:bidi="ar-SA"/>
        </w:rPr>
      </w:pPr>
    </w:p>
    <w:p w:rsidR="00844F54" w:rsidRDefault="001558A7">
      <w:pPr>
        <w:tabs>
          <w:tab w:val="left" w:pos="1134"/>
        </w:tabs>
        <w:ind w:left="567" w:hanging="567"/>
        <w:rPr>
          <w:rFonts w:ascii="Times New Roman" w:eastAsia="Times New Roman" w:hAnsi="Times New Roman" w:cs="Times New Roman"/>
          <w:b/>
          <w:sz w:val="22"/>
          <w:szCs w:val="22"/>
        </w:rPr>
      </w:pPr>
      <w:bookmarkStart w:id="0" w:name="_Toc129243264"/>
      <w:bookmarkStart w:id="1" w:name="_Toc129243139"/>
      <w:r>
        <w:rPr>
          <w:rFonts w:ascii="Times New Roman" w:eastAsia="Times New Roman" w:hAnsi="Times New Roman" w:cs="Times New Roman"/>
          <w:b/>
          <w:sz w:val="22"/>
          <w:szCs w:val="22"/>
        </w:rPr>
        <w:t>1.</w:t>
      </w:r>
      <w:r>
        <w:rPr>
          <w:rFonts w:ascii="Times New Roman" w:eastAsia="Times New Roman" w:hAnsi="Times New Roman" w:cs="Times New Roman"/>
          <w:b/>
          <w:sz w:val="22"/>
          <w:szCs w:val="22"/>
        </w:rPr>
        <w:tab/>
        <w:t>Kas yra EPITRIM ir kam jis vartojamas</w:t>
      </w:r>
      <w:bookmarkEnd w:id="0"/>
      <w:bookmarkEnd w:id="1"/>
    </w:p>
    <w:p w:rsidR="00844F54" w:rsidRDefault="00844F54">
      <w:pPr>
        <w:tabs>
          <w:tab w:val="left" w:pos="567"/>
        </w:tabs>
        <w:suppressAutoHyphens w:val="0"/>
        <w:textAlignment w:val="auto"/>
        <w:rPr>
          <w:rFonts w:ascii="Times New Roman" w:eastAsia="Times New Roman" w:hAnsi="Times New Roman" w:cs="Times New Roman"/>
          <w:sz w:val="22"/>
          <w:szCs w:val="22"/>
          <w:lang w:eastAsia="en-US" w:bidi="ar-SA"/>
        </w:rPr>
      </w:pPr>
    </w:p>
    <w:p w:rsidR="00844F54" w:rsidRDefault="001558A7">
      <w:pPr>
        <w:tabs>
          <w:tab w:val="left" w:pos="567"/>
        </w:tabs>
        <w:suppressAutoHyphens w:val="0"/>
        <w:textAlignment w:val="auto"/>
        <w:rPr>
          <w:rFonts w:ascii="Times New Roman" w:eastAsia="Times New Roman" w:hAnsi="Times New Roman" w:cs="Times New Roman"/>
          <w:sz w:val="22"/>
          <w:szCs w:val="22"/>
          <w:lang w:eastAsia="en-US" w:bidi="ar-SA"/>
        </w:rPr>
      </w:pPr>
      <w:r>
        <w:rPr>
          <w:rFonts w:ascii="Times New Roman" w:eastAsia="Times New Roman" w:hAnsi="Times New Roman" w:cs="Times New Roman"/>
          <w:sz w:val="22"/>
          <w:szCs w:val="22"/>
          <w:lang w:eastAsia="en-US" w:bidi="ar-SA"/>
        </w:rPr>
        <w:t>EPITRIM yra vaistas, kuris veikia daugelį bakterijų rūšių. Jo sudėtyje yra sulfametoksazolo ir trimetoprimo derinys santykiu 5:1 (kotrimoksazolas).</w:t>
      </w:r>
    </w:p>
    <w:p w:rsidR="00844F54" w:rsidRDefault="001558A7">
      <w:pPr>
        <w:tabs>
          <w:tab w:val="left" w:pos="567"/>
        </w:tabs>
        <w:suppressAutoHyphens w:val="0"/>
        <w:textAlignment w:val="auto"/>
        <w:rPr>
          <w:rFonts w:ascii="Times New Roman" w:eastAsia="Times New Roman" w:hAnsi="Times New Roman" w:cs="Times New Roman"/>
          <w:sz w:val="22"/>
          <w:szCs w:val="22"/>
          <w:lang w:eastAsia="en-US" w:bidi="ar-SA"/>
        </w:rPr>
      </w:pPr>
      <w:r>
        <w:rPr>
          <w:rFonts w:ascii="Times New Roman" w:eastAsia="Times New Roman" w:hAnsi="Times New Roman" w:cs="Times New Roman"/>
          <w:sz w:val="22"/>
          <w:szCs w:val="22"/>
          <w:lang w:eastAsia="en-US" w:bidi="ar-SA"/>
        </w:rPr>
        <w:t>EPITRIM vartojamas sulfametoksazolo ir trimetoprimo deriniui jautrių mikroorganizmų sukeltų infekcinių ligų gydymui:</w:t>
      </w:r>
    </w:p>
    <w:p w:rsidR="00844F54" w:rsidRDefault="001558A7">
      <w:pPr>
        <w:tabs>
          <w:tab w:val="left" w:pos="567"/>
        </w:tabs>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t>ūminių nekomplikuotų inkstų ir šlapimo takų (cistito, pielito, pielonefrito);</w:t>
      </w:r>
    </w:p>
    <w:p w:rsidR="00844F54" w:rsidRDefault="001558A7">
      <w:pPr>
        <w:tabs>
          <w:tab w:val="left" w:pos="1134"/>
        </w:tabs>
        <w:ind w:left="567" w:hanging="567"/>
        <w:rPr>
          <w:rFonts w:hint="eastAsia"/>
        </w:rPr>
      </w:pPr>
      <w:r>
        <w:rPr>
          <w:rFonts w:ascii="Times New Roman" w:hAnsi="Times New Roman" w:cs="Times New Roman"/>
          <w:sz w:val="22"/>
          <w:szCs w:val="22"/>
        </w:rPr>
        <w:t>-</w:t>
      </w:r>
      <w:r>
        <w:rPr>
          <w:rFonts w:ascii="Times New Roman" w:hAnsi="Times New Roman" w:cs="Times New Roman"/>
          <w:sz w:val="22"/>
          <w:szCs w:val="22"/>
        </w:rPr>
        <w:tab/>
        <w:t xml:space="preserve">apatinių kvėpavimo takų, pvz., lėtinio paūmėjusio bronchito, </w:t>
      </w:r>
      <w:r>
        <w:rPr>
          <w:rFonts w:ascii="Times New Roman" w:hAnsi="Times New Roman" w:cs="Times New Roman"/>
          <w:i/>
          <w:sz w:val="22"/>
          <w:szCs w:val="22"/>
        </w:rPr>
        <w:t xml:space="preserve">Pneumocystis jiroveci </w:t>
      </w:r>
      <w:r>
        <w:rPr>
          <w:rFonts w:ascii="Times New Roman" w:hAnsi="Times New Roman" w:cs="Times New Roman"/>
          <w:sz w:val="22"/>
          <w:szCs w:val="22"/>
        </w:rPr>
        <w:t>(anksčiau vadintos</w:t>
      </w:r>
      <w:r>
        <w:rPr>
          <w:rFonts w:ascii="Times New Roman" w:hAnsi="Times New Roman" w:cs="Times New Roman"/>
          <w:i/>
          <w:sz w:val="22"/>
          <w:szCs w:val="22"/>
        </w:rPr>
        <w:t xml:space="preserve"> P. carinii</w:t>
      </w:r>
      <w:r>
        <w:rPr>
          <w:rFonts w:ascii="Times New Roman" w:hAnsi="Times New Roman" w:cs="Times New Roman"/>
          <w:sz w:val="22"/>
          <w:szCs w:val="22"/>
        </w:rPr>
        <w:t>) sukelto plaučių uždegimo;</w:t>
      </w:r>
    </w:p>
    <w:p w:rsidR="00844F54" w:rsidRDefault="001558A7">
      <w:pPr>
        <w:tabs>
          <w:tab w:val="left" w:pos="567"/>
        </w:tabs>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t>ausų, nosies ir gerklės, pvz., vidurinės ausies uždegimo;</w:t>
      </w:r>
    </w:p>
    <w:p w:rsidR="00844F54" w:rsidRDefault="001558A7">
      <w:pPr>
        <w:tabs>
          <w:tab w:val="left" w:pos="1134"/>
        </w:tabs>
        <w:ind w:left="567" w:hanging="567"/>
        <w:rPr>
          <w:rFonts w:hint="eastAsia"/>
        </w:rPr>
      </w:pPr>
      <w:r>
        <w:rPr>
          <w:rFonts w:ascii="Times New Roman" w:hAnsi="Times New Roman" w:cs="Times New Roman"/>
          <w:sz w:val="22"/>
          <w:szCs w:val="22"/>
        </w:rPr>
        <w:t>-</w:t>
      </w:r>
      <w:r>
        <w:rPr>
          <w:rFonts w:ascii="Times New Roman" w:hAnsi="Times New Roman" w:cs="Times New Roman"/>
          <w:sz w:val="22"/>
          <w:szCs w:val="22"/>
        </w:rPr>
        <w:tab/>
      </w:r>
      <w:r>
        <w:rPr>
          <w:rFonts w:ascii="Times New Roman" w:hAnsi="Times New Roman" w:cs="Times New Roman"/>
          <w:i/>
          <w:sz w:val="22"/>
          <w:szCs w:val="22"/>
        </w:rPr>
        <w:t xml:space="preserve">Pneumocystis jiroveci </w:t>
      </w:r>
      <w:r>
        <w:rPr>
          <w:rFonts w:ascii="Times New Roman" w:hAnsi="Times New Roman" w:cs="Times New Roman"/>
          <w:sz w:val="22"/>
          <w:szCs w:val="22"/>
        </w:rPr>
        <w:t>(</w:t>
      </w:r>
      <w:r>
        <w:rPr>
          <w:rFonts w:ascii="Times New Roman" w:hAnsi="Times New Roman" w:cs="Times New Roman"/>
          <w:i/>
          <w:sz w:val="22"/>
          <w:szCs w:val="22"/>
        </w:rPr>
        <w:t>P. carinii</w:t>
      </w:r>
      <w:r>
        <w:rPr>
          <w:rFonts w:ascii="Times New Roman" w:hAnsi="Times New Roman" w:cs="Times New Roman"/>
          <w:iCs/>
          <w:sz w:val="22"/>
          <w:szCs w:val="22"/>
        </w:rPr>
        <w:t>)</w:t>
      </w:r>
      <w:r>
        <w:rPr>
          <w:rFonts w:ascii="Times New Roman" w:hAnsi="Times New Roman" w:cs="Times New Roman"/>
          <w:sz w:val="22"/>
          <w:szCs w:val="22"/>
        </w:rPr>
        <w:t xml:space="preserve"> sukeliamo plaučių uždegimo profilaktikai rizikos grupės pacientams, pvz., sergantiems ŽIV liga.</w:t>
      </w:r>
    </w:p>
    <w:p w:rsidR="00844F54" w:rsidRDefault="001558A7">
      <w:pPr>
        <w:tabs>
          <w:tab w:val="left" w:pos="567"/>
        </w:tabs>
        <w:suppressAutoHyphens w:val="0"/>
        <w:textAlignment w:val="auto"/>
        <w:rPr>
          <w:rFonts w:ascii="Times New Roman" w:eastAsia="Times New Roman" w:hAnsi="Times New Roman" w:cs="Times New Roman"/>
          <w:sz w:val="22"/>
          <w:szCs w:val="22"/>
          <w:lang w:eastAsia="en-US" w:bidi="ar-SA"/>
        </w:rPr>
      </w:pPr>
      <w:r>
        <w:rPr>
          <w:rFonts w:ascii="Times New Roman" w:eastAsia="Times New Roman" w:hAnsi="Times New Roman" w:cs="Times New Roman"/>
          <w:sz w:val="22"/>
          <w:szCs w:val="22"/>
          <w:lang w:eastAsia="en-US" w:bidi="ar-SA"/>
        </w:rPr>
        <w:t>EPITRIM skirtas suaugusiesiems, paaugliams, vaikams ir vyresniems kaip 6 savaičių amžiaus kūdikiams.</w:t>
      </w:r>
    </w:p>
    <w:p w:rsidR="00844F54" w:rsidRDefault="00844F54">
      <w:pPr>
        <w:tabs>
          <w:tab w:val="left" w:pos="567"/>
        </w:tabs>
        <w:suppressAutoHyphens w:val="0"/>
        <w:textAlignment w:val="auto"/>
        <w:rPr>
          <w:rFonts w:ascii="Times New Roman" w:eastAsia="Times New Roman" w:hAnsi="Times New Roman" w:cs="Times New Roman"/>
          <w:sz w:val="22"/>
          <w:szCs w:val="22"/>
          <w:lang w:eastAsia="en-US" w:bidi="ar-SA"/>
        </w:rPr>
      </w:pPr>
    </w:p>
    <w:p w:rsidR="00844F54" w:rsidRDefault="001558A7">
      <w:pPr>
        <w:tabs>
          <w:tab w:val="left" w:pos="567"/>
        </w:tabs>
        <w:suppressAutoHyphens w:val="0"/>
        <w:textAlignment w:val="auto"/>
        <w:rPr>
          <w:rFonts w:ascii="Times New Roman" w:eastAsia="Times New Roman" w:hAnsi="Times New Roman" w:cs="Times New Roman"/>
          <w:sz w:val="22"/>
          <w:szCs w:val="22"/>
          <w:lang w:eastAsia="en-US" w:bidi="ar-SA"/>
        </w:rPr>
      </w:pPr>
      <w:r>
        <w:rPr>
          <w:rFonts w:ascii="Times New Roman" w:eastAsia="Times New Roman" w:hAnsi="Times New Roman" w:cs="Times New Roman"/>
          <w:sz w:val="22"/>
          <w:szCs w:val="22"/>
          <w:lang w:eastAsia="en-US" w:bidi="ar-SA"/>
        </w:rPr>
        <w:t>Bakterijų jautrumas antibiotikams skiriasi priklausomai nuo geografinės vietos ir laiko, todėl renkantis priešbakterinį gydymą, visada reikia atsižvelgti į vietinę informaciją apie atsparumą.</w:t>
      </w:r>
    </w:p>
    <w:p w:rsidR="00844F54" w:rsidRDefault="00844F54">
      <w:pPr>
        <w:tabs>
          <w:tab w:val="left" w:pos="567"/>
        </w:tabs>
        <w:suppressAutoHyphens w:val="0"/>
        <w:textAlignment w:val="auto"/>
        <w:rPr>
          <w:rFonts w:ascii="Times New Roman" w:eastAsia="Times New Roman" w:hAnsi="Times New Roman" w:cs="Times New Roman"/>
          <w:sz w:val="22"/>
          <w:szCs w:val="22"/>
          <w:lang w:eastAsia="en-US" w:bidi="ar-SA"/>
        </w:rPr>
      </w:pPr>
    </w:p>
    <w:p w:rsidR="00844F54" w:rsidRDefault="00844F54">
      <w:pPr>
        <w:tabs>
          <w:tab w:val="left" w:pos="567"/>
        </w:tabs>
        <w:suppressAutoHyphens w:val="0"/>
        <w:textAlignment w:val="auto"/>
        <w:rPr>
          <w:rFonts w:ascii="Times New Roman" w:eastAsia="Times New Roman" w:hAnsi="Times New Roman" w:cs="Times New Roman"/>
          <w:sz w:val="22"/>
          <w:szCs w:val="22"/>
          <w:lang w:eastAsia="en-US" w:bidi="ar-SA"/>
        </w:rPr>
      </w:pPr>
    </w:p>
    <w:p w:rsidR="00844F54" w:rsidRDefault="001558A7">
      <w:pPr>
        <w:tabs>
          <w:tab w:val="left" w:pos="1134"/>
        </w:tabs>
        <w:ind w:left="567" w:hanging="567"/>
        <w:rPr>
          <w:rFonts w:ascii="Times New Roman" w:eastAsia="Times New Roman" w:hAnsi="Times New Roman" w:cs="Times New Roman"/>
          <w:b/>
          <w:sz w:val="22"/>
          <w:szCs w:val="22"/>
        </w:rPr>
      </w:pPr>
      <w:bookmarkStart w:id="2" w:name="_Toc129243265"/>
      <w:bookmarkStart w:id="3" w:name="_Toc129243140"/>
      <w:r>
        <w:rPr>
          <w:rFonts w:ascii="Times New Roman" w:eastAsia="Times New Roman" w:hAnsi="Times New Roman" w:cs="Times New Roman"/>
          <w:b/>
          <w:sz w:val="22"/>
          <w:szCs w:val="22"/>
        </w:rPr>
        <w:t>2.</w:t>
      </w:r>
      <w:r>
        <w:rPr>
          <w:rFonts w:ascii="Times New Roman" w:eastAsia="Times New Roman" w:hAnsi="Times New Roman" w:cs="Times New Roman"/>
          <w:b/>
          <w:sz w:val="22"/>
          <w:szCs w:val="22"/>
        </w:rPr>
        <w:tab/>
        <w:t>Kas žinotina prieš vartojant EPITRIM</w:t>
      </w:r>
      <w:bookmarkEnd w:id="2"/>
      <w:bookmarkEnd w:id="3"/>
    </w:p>
    <w:p w:rsidR="00844F54" w:rsidRDefault="00844F54">
      <w:pPr>
        <w:tabs>
          <w:tab w:val="left" w:pos="567"/>
        </w:tabs>
        <w:suppressAutoHyphens w:val="0"/>
        <w:textAlignment w:val="auto"/>
        <w:rPr>
          <w:rFonts w:ascii="Times New Roman" w:eastAsia="Times New Roman" w:hAnsi="Times New Roman" w:cs="Times New Roman"/>
          <w:sz w:val="22"/>
          <w:szCs w:val="22"/>
          <w:lang w:eastAsia="en-US" w:bidi="ar-SA"/>
        </w:rPr>
      </w:pPr>
    </w:p>
    <w:p w:rsidR="00844F54" w:rsidRDefault="001558A7">
      <w:pPr>
        <w:rPr>
          <w:rFonts w:ascii="Times New Roman" w:hAnsi="Times New Roman" w:cs="Times New Roman"/>
          <w:b/>
          <w:bCs/>
          <w:sz w:val="22"/>
          <w:szCs w:val="22"/>
        </w:rPr>
      </w:pPr>
      <w:r>
        <w:rPr>
          <w:rFonts w:ascii="Times New Roman" w:hAnsi="Times New Roman" w:cs="Times New Roman"/>
          <w:b/>
          <w:bCs/>
          <w:sz w:val="22"/>
          <w:szCs w:val="22"/>
        </w:rPr>
        <w:t>EPITRIM vartoti draudžiama:</w:t>
      </w:r>
    </w:p>
    <w:p w:rsidR="00844F54" w:rsidRDefault="001558A7">
      <w:pPr>
        <w:tabs>
          <w:tab w:val="left" w:pos="1134"/>
        </w:tabs>
        <w:ind w:left="567" w:hanging="567"/>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t>jeigu yra alergija veikliosioms medžiagoms arba bet kuriai pagalbinei šio vaisto medžiagai (jos išvardytos 6 skyriuje);</w:t>
      </w:r>
    </w:p>
    <w:p w:rsidR="00844F54" w:rsidRDefault="001558A7">
      <w:pPr>
        <w:tabs>
          <w:tab w:val="left" w:pos="1134"/>
        </w:tabs>
        <w:ind w:left="567" w:hanging="567"/>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t>jeigu yra ženklus kepenų parenchimos pažeidimas arba sunkus inkstų nepakankamumas, kai negalima reguliariai nustatyti vaisto koncentracijos plazmoje; kotrimoksazolio nerekomenduojama vartoti pacientams, kuriems yra pažengęs kepenų ar inkstų nepakankamumas (kreatinino klirensas mažesnis nei 15 ml/min.);</w:t>
      </w:r>
    </w:p>
    <w:p w:rsidR="00844F54" w:rsidRDefault="001558A7">
      <w:pPr>
        <w:tabs>
          <w:tab w:val="left" w:pos="567"/>
        </w:tabs>
        <w:rPr>
          <w:rFonts w:ascii="Times New Roman" w:hAnsi="Times New Roman" w:cs="Times New Roman"/>
          <w:sz w:val="22"/>
          <w:szCs w:val="22"/>
        </w:rPr>
      </w:pPr>
      <w:r>
        <w:rPr>
          <w:rFonts w:ascii="Times New Roman" w:hAnsi="Times New Roman" w:cs="Times New Roman"/>
          <w:sz w:val="22"/>
          <w:szCs w:val="22"/>
        </w:rPr>
        <w:lastRenderedPageBreak/>
        <w:t>-</w:t>
      </w:r>
      <w:r>
        <w:rPr>
          <w:rFonts w:ascii="Times New Roman" w:hAnsi="Times New Roman" w:cs="Times New Roman"/>
          <w:sz w:val="22"/>
          <w:szCs w:val="22"/>
        </w:rPr>
        <w:tab/>
        <w:t>jeigu yra sunkių kraujo ir limfinės sistemos sutrikimų.</w:t>
      </w:r>
    </w:p>
    <w:p w:rsidR="00844F54" w:rsidRDefault="001558A7">
      <w:pPr>
        <w:tabs>
          <w:tab w:val="left" w:pos="567"/>
        </w:tabs>
        <w:suppressAutoHyphens w:val="0"/>
        <w:textAlignment w:val="auto"/>
        <w:rPr>
          <w:rFonts w:ascii="Times New Roman" w:eastAsia="Times New Roman" w:hAnsi="Times New Roman" w:cs="Times New Roman"/>
          <w:sz w:val="22"/>
          <w:szCs w:val="22"/>
          <w:lang w:eastAsia="en-US" w:bidi="ar-SA"/>
        </w:rPr>
      </w:pPr>
      <w:r>
        <w:rPr>
          <w:rFonts w:ascii="Times New Roman" w:eastAsia="Times New Roman" w:hAnsi="Times New Roman" w:cs="Times New Roman"/>
          <w:sz w:val="22"/>
          <w:szCs w:val="22"/>
          <w:lang w:eastAsia="en-US" w:bidi="ar-SA"/>
        </w:rPr>
        <w:t>EPITRIM negalima skirti jaunesniems nei 6 savaičių kūdikiams.</w:t>
      </w:r>
    </w:p>
    <w:p w:rsidR="00844F54" w:rsidRDefault="00844F54">
      <w:pPr>
        <w:tabs>
          <w:tab w:val="left" w:pos="567"/>
        </w:tabs>
        <w:suppressAutoHyphens w:val="0"/>
        <w:textAlignment w:val="auto"/>
        <w:rPr>
          <w:rFonts w:ascii="Times New Roman" w:eastAsia="Times New Roman" w:hAnsi="Times New Roman" w:cs="Times New Roman"/>
          <w:sz w:val="22"/>
          <w:szCs w:val="22"/>
          <w:lang w:eastAsia="en-US" w:bidi="ar-SA"/>
        </w:rPr>
      </w:pPr>
    </w:p>
    <w:p w:rsidR="00844F54" w:rsidRDefault="001558A7">
      <w:pPr>
        <w:tabs>
          <w:tab w:val="left" w:pos="567"/>
        </w:tabs>
        <w:suppressAutoHyphens w:val="0"/>
        <w:textAlignment w:val="auto"/>
        <w:rPr>
          <w:rFonts w:hint="eastAsia"/>
        </w:rPr>
      </w:pPr>
      <w:r>
        <w:rPr>
          <w:rFonts w:ascii="Times New Roman" w:eastAsia="Times New Roman" w:hAnsi="Times New Roman" w:cs="Times New Roman"/>
          <w:sz w:val="22"/>
          <w:szCs w:val="22"/>
          <w:lang w:eastAsia="en-US" w:bidi="ar-SA"/>
        </w:rPr>
        <w:t>Yra gauta pranešimų apie galimai gyvybei pavojingus odos bėrimus (Stivenso-Džonsono (</w:t>
      </w:r>
      <w:r>
        <w:rPr>
          <w:rFonts w:ascii="Times New Roman" w:eastAsia="Times New Roman" w:hAnsi="Times New Roman" w:cs="Times New Roman"/>
          <w:i/>
          <w:sz w:val="22"/>
          <w:szCs w:val="22"/>
          <w:lang w:eastAsia="en-US" w:bidi="ar-SA"/>
        </w:rPr>
        <w:t>Stevens-Johnson</w:t>
      </w:r>
      <w:r>
        <w:rPr>
          <w:rFonts w:ascii="Times New Roman" w:eastAsia="Times New Roman" w:hAnsi="Times New Roman" w:cs="Times New Roman"/>
          <w:sz w:val="22"/>
          <w:szCs w:val="22"/>
          <w:lang w:eastAsia="en-US" w:bidi="ar-SA"/>
        </w:rPr>
        <w:t>) sindromas, toksinė epidermio nekrolizė) vartojant EPITRIM, kurie paprastai prasideda ant liemens, kaip rausvos panašios į taikinius dėmės ar apvalios dėmės dažnai su pūsle centre.</w:t>
      </w:r>
    </w:p>
    <w:p w:rsidR="00844F54" w:rsidRDefault="00844F54">
      <w:pPr>
        <w:tabs>
          <w:tab w:val="left" w:pos="567"/>
        </w:tabs>
        <w:suppressAutoHyphens w:val="0"/>
        <w:textAlignment w:val="auto"/>
        <w:rPr>
          <w:rFonts w:ascii="Times New Roman" w:eastAsia="Times New Roman" w:hAnsi="Times New Roman" w:cs="Times New Roman"/>
          <w:sz w:val="22"/>
          <w:szCs w:val="22"/>
          <w:lang w:eastAsia="en-US" w:bidi="ar-SA"/>
        </w:rPr>
      </w:pPr>
    </w:p>
    <w:p w:rsidR="00844F54" w:rsidRDefault="001558A7">
      <w:pPr>
        <w:tabs>
          <w:tab w:val="left" w:pos="567"/>
        </w:tabs>
        <w:suppressAutoHyphens w:val="0"/>
        <w:textAlignment w:val="auto"/>
        <w:rPr>
          <w:rFonts w:ascii="Times New Roman" w:eastAsia="Times New Roman" w:hAnsi="Times New Roman" w:cs="Times New Roman"/>
          <w:sz w:val="22"/>
          <w:szCs w:val="22"/>
          <w:lang w:eastAsia="en-US" w:bidi="ar-SA"/>
        </w:rPr>
      </w:pPr>
      <w:r>
        <w:rPr>
          <w:rFonts w:ascii="Times New Roman" w:eastAsia="Times New Roman" w:hAnsi="Times New Roman" w:cs="Times New Roman"/>
          <w:sz w:val="22"/>
          <w:szCs w:val="22"/>
          <w:lang w:eastAsia="en-US" w:bidi="ar-SA"/>
        </w:rPr>
        <w:t>Papildomi požymiai į kuriuos reikia atkreipti dėmesį yra opos burnoje, gerklėje, nosyje, ant lyties organų ir konjunktyvitas (paraudusios ir patinusios akys).</w:t>
      </w:r>
    </w:p>
    <w:p w:rsidR="00844F54" w:rsidRDefault="00844F54">
      <w:pPr>
        <w:tabs>
          <w:tab w:val="left" w:pos="567"/>
        </w:tabs>
        <w:suppressAutoHyphens w:val="0"/>
        <w:textAlignment w:val="auto"/>
        <w:rPr>
          <w:rFonts w:ascii="Times New Roman" w:eastAsia="Times New Roman" w:hAnsi="Times New Roman" w:cs="Times New Roman"/>
          <w:sz w:val="22"/>
          <w:szCs w:val="22"/>
          <w:lang w:eastAsia="en-US" w:bidi="ar-SA"/>
        </w:rPr>
      </w:pPr>
    </w:p>
    <w:p w:rsidR="00844F54" w:rsidRDefault="001558A7">
      <w:pPr>
        <w:tabs>
          <w:tab w:val="left" w:pos="567"/>
        </w:tabs>
        <w:suppressAutoHyphens w:val="0"/>
        <w:textAlignment w:val="auto"/>
        <w:rPr>
          <w:rFonts w:ascii="Times New Roman" w:eastAsia="Times New Roman" w:hAnsi="Times New Roman" w:cs="Times New Roman"/>
          <w:sz w:val="22"/>
          <w:szCs w:val="22"/>
          <w:lang w:eastAsia="en-US" w:bidi="ar-SA"/>
        </w:rPr>
      </w:pPr>
      <w:r>
        <w:rPr>
          <w:rFonts w:ascii="Times New Roman" w:eastAsia="Times New Roman" w:hAnsi="Times New Roman" w:cs="Times New Roman"/>
          <w:sz w:val="22"/>
          <w:szCs w:val="22"/>
          <w:lang w:eastAsia="en-US" w:bidi="ar-SA"/>
        </w:rPr>
        <w:t>Šie galimai gyvybei pavojingi odos bėrimai gali pasireikšti kartu su į gripą panašiais simptomais. Bėrimas gali progresuoti į išplitusį odos pūslėtumą ar lupimąsi.</w:t>
      </w:r>
    </w:p>
    <w:p w:rsidR="00844F54" w:rsidRDefault="00844F54">
      <w:pPr>
        <w:tabs>
          <w:tab w:val="left" w:pos="567"/>
        </w:tabs>
        <w:suppressAutoHyphens w:val="0"/>
        <w:textAlignment w:val="auto"/>
        <w:rPr>
          <w:rFonts w:ascii="Times New Roman" w:eastAsia="Times New Roman" w:hAnsi="Times New Roman" w:cs="Times New Roman"/>
          <w:sz w:val="22"/>
          <w:szCs w:val="22"/>
          <w:lang w:eastAsia="en-US" w:bidi="ar-SA"/>
        </w:rPr>
      </w:pPr>
    </w:p>
    <w:p w:rsidR="00844F54" w:rsidRDefault="001558A7">
      <w:pPr>
        <w:tabs>
          <w:tab w:val="left" w:pos="567"/>
        </w:tabs>
        <w:suppressAutoHyphens w:val="0"/>
        <w:textAlignment w:val="auto"/>
        <w:rPr>
          <w:rFonts w:ascii="Times New Roman" w:eastAsia="Times New Roman" w:hAnsi="Times New Roman" w:cs="Times New Roman"/>
          <w:sz w:val="22"/>
          <w:szCs w:val="22"/>
          <w:lang w:eastAsia="en-US" w:bidi="ar-SA"/>
        </w:rPr>
      </w:pPr>
      <w:r>
        <w:rPr>
          <w:rFonts w:ascii="Times New Roman" w:eastAsia="Times New Roman" w:hAnsi="Times New Roman" w:cs="Times New Roman"/>
          <w:sz w:val="22"/>
          <w:szCs w:val="22"/>
          <w:lang w:eastAsia="en-US" w:bidi="ar-SA"/>
        </w:rPr>
        <w:t>Didžiausia sunkių odos reakcijų atsiradimo rizika yra pirmosiomis gydymo savaitėmis.</w:t>
      </w:r>
    </w:p>
    <w:p w:rsidR="00844F54" w:rsidRDefault="001558A7">
      <w:pPr>
        <w:tabs>
          <w:tab w:val="left" w:pos="567"/>
        </w:tabs>
        <w:suppressAutoHyphens w:val="0"/>
        <w:textAlignment w:val="auto"/>
        <w:rPr>
          <w:rFonts w:hint="eastAsia"/>
        </w:rPr>
      </w:pPr>
      <w:r>
        <w:rPr>
          <w:rFonts w:ascii="Times New Roman" w:eastAsia="Times New Roman" w:hAnsi="Times New Roman" w:cs="Times New Roman"/>
          <w:sz w:val="22"/>
          <w:szCs w:val="22"/>
          <w:lang w:eastAsia="en-US" w:bidi="ar-SA"/>
        </w:rPr>
        <w:t>Jei vartojant EPITRIM pasireiškė Stivenso-Džonsono (</w:t>
      </w:r>
      <w:r>
        <w:rPr>
          <w:rFonts w:ascii="Times New Roman" w:eastAsia="Times New Roman" w:hAnsi="Times New Roman" w:cs="Times New Roman"/>
          <w:i/>
          <w:sz w:val="22"/>
          <w:szCs w:val="22"/>
          <w:lang w:eastAsia="en-US" w:bidi="ar-SA"/>
        </w:rPr>
        <w:t>Stevens-Johnson</w:t>
      </w:r>
      <w:r>
        <w:rPr>
          <w:rFonts w:ascii="Times New Roman" w:eastAsia="Times New Roman" w:hAnsi="Times New Roman" w:cs="Times New Roman"/>
          <w:sz w:val="22"/>
          <w:szCs w:val="22"/>
          <w:lang w:eastAsia="en-US" w:bidi="ar-SA"/>
        </w:rPr>
        <w:t>) sindromas ar toksinė epidermio nekrolizė, daugiau niekada EPITRIM gydyti nebegalima.</w:t>
      </w:r>
    </w:p>
    <w:p w:rsidR="00844F54" w:rsidRDefault="00844F54">
      <w:pPr>
        <w:tabs>
          <w:tab w:val="left" w:pos="567"/>
        </w:tabs>
        <w:suppressAutoHyphens w:val="0"/>
        <w:textAlignment w:val="auto"/>
        <w:rPr>
          <w:rFonts w:ascii="Times New Roman" w:eastAsia="Times New Roman" w:hAnsi="Times New Roman" w:cs="Times New Roman"/>
          <w:sz w:val="22"/>
          <w:szCs w:val="22"/>
          <w:lang w:eastAsia="en-US" w:bidi="ar-SA"/>
        </w:rPr>
      </w:pPr>
    </w:p>
    <w:p w:rsidR="00844F54" w:rsidRDefault="001558A7">
      <w:pPr>
        <w:tabs>
          <w:tab w:val="left" w:pos="567"/>
        </w:tabs>
        <w:suppressAutoHyphens w:val="0"/>
        <w:textAlignment w:val="auto"/>
        <w:rPr>
          <w:rFonts w:ascii="Times New Roman" w:eastAsia="Times New Roman" w:hAnsi="Times New Roman" w:cs="Times New Roman"/>
          <w:sz w:val="22"/>
          <w:szCs w:val="22"/>
          <w:lang w:eastAsia="en-US" w:bidi="ar-SA"/>
        </w:rPr>
      </w:pPr>
      <w:r>
        <w:rPr>
          <w:rFonts w:ascii="Times New Roman" w:eastAsia="Times New Roman" w:hAnsi="Times New Roman" w:cs="Times New Roman"/>
          <w:sz w:val="22"/>
          <w:szCs w:val="22"/>
          <w:lang w:eastAsia="en-US" w:bidi="ar-SA"/>
        </w:rPr>
        <w:t>Jei Jums pasireiškė bėrimas ar šie simptomai, nedelsiant nutraukite EPITRIM vartojimą ir skubiai susisiekite su gydytoju ir jam pasakykite, kad vartojate šį vaistą.</w:t>
      </w:r>
    </w:p>
    <w:p w:rsidR="00844F54" w:rsidRDefault="00844F54">
      <w:pPr>
        <w:tabs>
          <w:tab w:val="left" w:pos="567"/>
        </w:tabs>
        <w:suppressAutoHyphens w:val="0"/>
        <w:textAlignment w:val="auto"/>
        <w:rPr>
          <w:rFonts w:ascii="Times New Roman" w:eastAsia="Times New Roman" w:hAnsi="Times New Roman" w:cs="Times New Roman"/>
          <w:sz w:val="22"/>
          <w:szCs w:val="22"/>
          <w:lang w:eastAsia="en-US" w:bidi="ar-SA"/>
        </w:rPr>
      </w:pPr>
    </w:p>
    <w:p w:rsidR="00844F54" w:rsidRDefault="001558A7">
      <w:pPr>
        <w:tabs>
          <w:tab w:val="left" w:pos="567"/>
        </w:tabs>
        <w:suppressAutoHyphens w:val="0"/>
        <w:textAlignment w:val="auto"/>
        <w:rPr>
          <w:rFonts w:ascii="Times New Roman" w:eastAsia="Times New Roman" w:hAnsi="Times New Roman" w:cs="Times New Roman"/>
          <w:sz w:val="22"/>
          <w:szCs w:val="22"/>
          <w:lang w:eastAsia="en-US" w:bidi="ar-SA"/>
        </w:rPr>
      </w:pPr>
      <w:r>
        <w:rPr>
          <w:rFonts w:ascii="Times New Roman" w:eastAsia="Times New Roman" w:hAnsi="Times New Roman" w:cs="Times New Roman"/>
          <w:sz w:val="22"/>
          <w:szCs w:val="22"/>
          <w:lang w:eastAsia="en-US" w:bidi="ar-SA"/>
        </w:rPr>
        <w:t>EPITRIM buvo skiriama citotoksinių vaistų vartojantiems pacientams, ir jiems nepasireiškė ar pasireiškė nežymus papildomas poveikis kaulų čiulpams ar periferinio kraujo sudėčiai.</w:t>
      </w:r>
    </w:p>
    <w:p w:rsidR="00844F54" w:rsidRDefault="00844F54">
      <w:pPr>
        <w:rPr>
          <w:rFonts w:ascii="Times New Roman" w:hAnsi="Times New Roman" w:cs="Times New Roman"/>
          <w:b/>
          <w:bCs/>
          <w:sz w:val="22"/>
          <w:szCs w:val="22"/>
        </w:rPr>
      </w:pPr>
    </w:p>
    <w:p w:rsidR="00844F54" w:rsidRDefault="001558A7">
      <w:pPr>
        <w:rPr>
          <w:rFonts w:ascii="Times New Roman" w:hAnsi="Times New Roman" w:cs="Times New Roman"/>
          <w:b/>
          <w:bCs/>
          <w:sz w:val="22"/>
          <w:szCs w:val="22"/>
        </w:rPr>
      </w:pPr>
      <w:r>
        <w:rPr>
          <w:rFonts w:ascii="Times New Roman" w:hAnsi="Times New Roman" w:cs="Times New Roman"/>
          <w:b/>
          <w:bCs/>
          <w:sz w:val="22"/>
          <w:szCs w:val="22"/>
        </w:rPr>
        <w:t>Įspėjimai ir atsargumo priemonės</w:t>
      </w:r>
    </w:p>
    <w:p w:rsidR="00844F54" w:rsidRDefault="001558A7">
      <w:pPr>
        <w:ind w:right="-2"/>
        <w:rPr>
          <w:rFonts w:ascii="Times New Roman" w:hAnsi="Times New Roman" w:cs="Times New Roman"/>
          <w:sz w:val="22"/>
          <w:szCs w:val="22"/>
        </w:rPr>
      </w:pPr>
      <w:r>
        <w:rPr>
          <w:rFonts w:ascii="Times New Roman" w:hAnsi="Times New Roman" w:cs="Times New Roman"/>
          <w:sz w:val="22"/>
          <w:szCs w:val="22"/>
        </w:rPr>
        <w:t>Pasitarkite su gydytoju arba vaistininku, prieš pradėdami vartoti EPITRIM.</w:t>
      </w:r>
    </w:p>
    <w:p w:rsidR="00844F54" w:rsidRDefault="00844F54">
      <w:pPr>
        <w:rPr>
          <w:rFonts w:ascii="Times New Roman" w:hAnsi="Times New Roman" w:cs="Times New Roman"/>
          <w:b/>
          <w:bCs/>
          <w:sz w:val="22"/>
          <w:szCs w:val="22"/>
        </w:rPr>
      </w:pPr>
    </w:p>
    <w:p w:rsidR="00844F54" w:rsidRDefault="001558A7">
      <w:pPr>
        <w:rPr>
          <w:rFonts w:ascii="Times New Roman" w:hAnsi="Times New Roman" w:cs="Times New Roman"/>
          <w:sz w:val="22"/>
          <w:szCs w:val="22"/>
        </w:rPr>
      </w:pPr>
      <w:r>
        <w:rPr>
          <w:rFonts w:ascii="Times New Roman" w:hAnsi="Times New Roman" w:cs="Times New Roman"/>
          <w:sz w:val="22"/>
          <w:szCs w:val="22"/>
        </w:rPr>
        <w:t>Kai vaisto vartoja senyvi pacientai, kadangi šioje grupėje pasireiškia daugiau nepageidaujamų reakcijų ir jos būna sunkesnės, ypač tuomet, kai yra gretutinių sutrikimų, pvz., sutrikusi inkstų ir (arba) kepenų funkcija, ir (arba) kai kartu vartojama kitų vaistų.</w:t>
      </w:r>
    </w:p>
    <w:p w:rsidR="00844F54" w:rsidRDefault="001558A7">
      <w:pPr>
        <w:rPr>
          <w:rFonts w:ascii="Times New Roman" w:hAnsi="Times New Roman" w:cs="Times New Roman"/>
          <w:sz w:val="22"/>
          <w:szCs w:val="22"/>
        </w:rPr>
      </w:pPr>
      <w:r>
        <w:rPr>
          <w:rFonts w:ascii="Times New Roman" w:hAnsi="Times New Roman" w:cs="Times New Roman"/>
          <w:sz w:val="22"/>
          <w:szCs w:val="22"/>
        </w:rPr>
        <w:t>Kai vaisto vartoja senyvi asmenys ir pacientai, kuriems įtariama folatų stoka; šiuo atveju reikėtų vartoti folatų papildų.</w:t>
      </w:r>
    </w:p>
    <w:p w:rsidR="00844F54" w:rsidRDefault="001558A7">
      <w:pPr>
        <w:tabs>
          <w:tab w:val="left" w:pos="567"/>
        </w:tabs>
        <w:suppressAutoHyphens w:val="0"/>
        <w:textAlignment w:val="auto"/>
        <w:rPr>
          <w:rFonts w:hint="eastAsia"/>
        </w:rPr>
      </w:pPr>
      <w:r>
        <w:rPr>
          <w:rFonts w:ascii="Times New Roman" w:eastAsia="Times New Roman" w:hAnsi="Times New Roman" w:cs="Times New Roman"/>
          <w:sz w:val="22"/>
          <w:szCs w:val="22"/>
          <w:lang w:eastAsia="en-US" w:bidi="ar-SA"/>
        </w:rPr>
        <w:t xml:space="preserve">Visuomet reikia palaikyti tinkamą šalinamo šlapimo kiekį. Kristalurijos (kristalų šlapime) atvejų </w:t>
      </w:r>
      <w:r>
        <w:rPr>
          <w:rFonts w:ascii="Times New Roman" w:eastAsia="Times New Roman" w:hAnsi="Times New Roman" w:cs="Times New Roman"/>
          <w:i/>
          <w:iCs/>
          <w:sz w:val="22"/>
          <w:szCs w:val="22"/>
          <w:lang w:eastAsia="en-US" w:bidi="ar-SA"/>
        </w:rPr>
        <w:t>in vivo</w:t>
      </w:r>
      <w:r>
        <w:rPr>
          <w:rFonts w:ascii="Times New Roman" w:eastAsia="Times New Roman" w:hAnsi="Times New Roman" w:cs="Times New Roman"/>
          <w:sz w:val="22"/>
          <w:szCs w:val="22"/>
          <w:lang w:eastAsia="en-US" w:bidi="ar-SA"/>
        </w:rPr>
        <w:t xml:space="preserve"> pasireiškia retai, nors atvėsusiame EPITRIM gydytų pacientų šlapime buvo pastebėta sulfonamidų kristalų. Šio sutrikimo rizika gali būti didesnė blogos mitybos pacientams..EPITRIM vartojant ilgą laiką, rekomenduojama reguliariai kartą per mėnesį ištirti kraujo ląstelių skaičių, kadangi dėl folatų stokos gali atsirasti asimptominių laboratorinių kraujo tyrimo rodiklių pokyčių. Šie pokyčiai yra grįžtami, paskyrus folio rūgšties (5</w:t>
      </w:r>
      <w:r>
        <w:rPr>
          <w:rFonts w:ascii="Times New Roman" w:eastAsia="Times New Roman" w:hAnsi="Times New Roman" w:cs="Times New Roman"/>
          <w:sz w:val="22"/>
          <w:szCs w:val="22"/>
          <w:lang w:eastAsia="en-US" w:bidi="ar-SA"/>
        </w:rPr>
        <w:noBreakHyphen/>
        <w:t>10 mg per parą) ir neįtakojant priešbakterinio poveikio.</w:t>
      </w:r>
    </w:p>
    <w:p w:rsidR="00844F54" w:rsidRDefault="001558A7">
      <w:pPr>
        <w:tabs>
          <w:tab w:val="left" w:pos="567"/>
        </w:tabs>
        <w:suppressAutoHyphens w:val="0"/>
        <w:textAlignment w:val="auto"/>
        <w:rPr>
          <w:rFonts w:ascii="Times New Roman" w:eastAsia="Times New Roman" w:hAnsi="Times New Roman" w:cs="Times New Roman"/>
          <w:sz w:val="22"/>
          <w:szCs w:val="22"/>
          <w:lang w:eastAsia="en-US" w:bidi="ar-SA"/>
        </w:rPr>
      </w:pPr>
      <w:r>
        <w:rPr>
          <w:rFonts w:ascii="Times New Roman" w:eastAsia="Times New Roman" w:hAnsi="Times New Roman" w:cs="Times New Roman"/>
          <w:sz w:val="22"/>
          <w:szCs w:val="22"/>
          <w:lang w:eastAsia="en-US" w:bidi="ar-SA"/>
        </w:rPr>
        <w:t>Pacientams, kuriems yra gliukozės-6-fosfato dehidrogenazės (G-6-PD) stoka, gali pasireikšti hemolizė.</w:t>
      </w:r>
    </w:p>
    <w:p w:rsidR="00844F54" w:rsidRDefault="001558A7">
      <w:pPr>
        <w:tabs>
          <w:tab w:val="left" w:pos="567"/>
        </w:tabs>
        <w:suppressAutoHyphens w:val="0"/>
        <w:textAlignment w:val="auto"/>
        <w:rPr>
          <w:rFonts w:ascii="Times New Roman" w:eastAsia="Times New Roman" w:hAnsi="Times New Roman" w:cs="Times New Roman"/>
          <w:sz w:val="22"/>
          <w:szCs w:val="22"/>
          <w:lang w:eastAsia="en-US" w:bidi="ar-SA"/>
        </w:rPr>
      </w:pPr>
      <w:r>
        <w:rPr>
          <w:rFonts w:ascii="Times New Roman" w:eastAsia="Times New Roman" w:hAnsi="Times New Roman" w:cs="Times New Roman"/>
          <w:sz w:val="22"/>
          <w:szCs w:val="22"/>
          <w:lang w:eastAsia="en-US" w:bidi="ar-SA"/>
        </w:rPr>
        <w:t>EPITRIM reikia atsargiai vartoti sunkia alergija ar astma sergantiems pacientams.</w:t>
      </w:r>
    </w:p>
    <w:p w:rsidR="00844F54" w:rsidRDefault="001558A7">
      <w:pPr>
        <w:tabs>
          <w:tab w:val="left" w:pos="567"/>
        </w:tabs>
        <w:suppressAutoHyphens w:val="0"/>
        <w:textAlignment w:val="auto"/>
        <w:rPr>
          <w:rFonts w:ascii="Times New Roman" w:eastAsia="Times New Roman" w:hAnsi="Times New Roman" w:cs="Times New Roman"/>
          <w:sz w:val="22"/>
          <w:szCs w:val="22"/>
          <w:lang w:eastAsia="en-US" w:bidi="ar-SA"/>
        </w:rPr>
      </w:pPr>
      <w:r>
        <w:rPr>
          <w:rFonts w:ascii="Times New Roman" w:eastAsia="Times New Roman" w:hAnsi="Times New Roman" w:cs="Times New Roman"/>
          <w:sz w:val="22"/>
          <w:szCs w:val="22"/>
          <w:lang w:eastAsia="en-US" w:bidi="ar-SA"/>
        </w:rPr>
        <w:t>EPITRIM nereikėtų vartoti A grupės beta-hemolizinių streptokokų sukeltam faringitui gydyti; šiems mikroorganizmams naikinti iš gerklės vaistas yra mažiau veiksmingas nei penicilinas.</w:t>
      </w:r>
    </w:p>
    <w:p w:rsidR="00844F54" w:rsidRDefault="001558A7">
      <w:pPr>
        <w:tabs>
          <w:tab w:val="left" w:pos="567"/>
        </w:tabs>
        <w:suppressAutoHyphens w:val="0"/>
        <w:textAlignment w:val="auto"/>
        <w:rPr>
          <w:rFonts w:ascii="Times New Roman" w:eastAsia="Times New Roman" w:hAnsi="Times New Roman" w:cs="Times New Roman"/>
          <w:sz w:val="22"/>
          <w:szCs w:val="22"/>
          <w:lang w:eastAsia="en-US" w:bidi="ar-SA"/>
        </w:rPr>
      </w:pPr>
      <w:r>
        <w:rPr>
          <w:rFonts w:ascii="Times New Roman" w:eastAsia="Times New Roman" w:hAnsi="Times New Roman" w:cs="Times New Roman"/>
          <w:sz w:val="22"/>
          <w:szCs w:val="22"/>
          <w:lang w:eastAsia="en-US" w:bidi="ar-SA"/>
        </w:rPr>
        <w:t>Nustatyta, kad trimetoprimas sutrikdo fenilalanino metabolizmą, tačiau tai nėra kliniškai reikšmingas poveikis fenilketonurija sergantiems pacientams, kuriems skiriama tinkama dieta.</w:t>
      </w:r>
    </w:p>
    <w:p w:rsidR="00844F54" w:rsidRDefault="001558A7">
      <w:pPr>
        <w:tabs>
          <w:tab w:val="left" w:pos="567"/>
        </w:tabs>
        <w:suppressAutoHyphens w:val="0"/>
        <w:textAlignment w:val="auto"/>
        <w:rPr>
          <w:rFonts w:ascii="Times New Roman" w:eastAsia="Times New Roman" w:hAnsi="Times New Roman" w:cs="Times New Roman"/>
          <w:sz w:val="22"/>
          <w:szCs w:val="22"/>
          <w:lang w:eastAsia="en-US" w:bidi="ar-SA"/>
        </w:rPr>
      </w:pPr>
      <w:r>
        <w:rPr>
          <w:rFonts w:ascii="Times New Roman" w:eastAsia="Times New Roman" w:hAnsi="Times New Roman" w:cs="Times New Roman"/>
          <w:sz w:val="22"/>
          <w:szCs w:val="22"/>
          <w:lang w:eastAsia="en-US" w:bidi="ar-SA"/>
        </w:rPr>
        <w:t>EPITRIM nereikėtų vartoti pacientams, kuriems yra ar gali būti padidėjusi rizika sirgti ūmine porfirija. Tiek trimetoprimo, tiek sulfonamidų (nors būtent sulfametoksazolas tokio poveikio neturi) vartojimas susijęs su kliniškai pablogėjusia porfirija.</w:t>
      </w:r>
    </w:p>
    <w:p w:rsidR="00844F54" w:rsidRDefault="001558A7">
      <w:pPr>
        <w:tabs>
          <w:tab w:val="left" w:pos="567"/>
        </w:tabs>
        <w:suppressAutoHyphens w:val="0"/>
        <w:textAlignment w:val="auto"/>
        <w:rPr>
          <w:rFonts w:ascii="Times New Roman" w:eastAsia="Times New Roman" w:hAnsi="Times New Roman" w:cs="Times New Roman"/>
          <w:sz w:val="22"/>
          <w:szCs w:val="22"/>
          <w:lang w:eastAsia="en-US" w:bidi="ar-SA"/>
        </w:rPr>
      </w:pPr>
      <w:r>
        <w:rPr>
          <w:rFonts w:ascii="Times New Roman" w:eastAsia="Times New Roman" w:hAnsi="Times New Roman" w:cs="Times New Roman"/>
          <w:sz w:val="22"/>
          <w:szCs w:val="22"/>
          <w:lang w:eastAsia="en-US" w:bidi="ar-SA"/>
        </w:rPr>
        <w:t>Pacientams, kuriems yra padidėjusi hiperkalemijos pasireiškimo rizika, rekomenduojama atidžiai stebėti kalio koncentraciją serume.</w:t>
      </w:r>
    </w:p>
    <w:p w:rsidR="00844F54" w:rsidRDefault="001558A7">
      <w:pPr>
        <w:rPr>
          <w:rFonts w:hint="eastAsia"/>
        </w:rPr>
      </w:pPr>
      <w:r>
        <w:rPr>
          <w:sz w:val="22"/>
          <w:szCs w:val="22"/>
        </w:rPr>
        <w:t xml:space="preserve">Kartu vartojant EPITRIM ir tam tikrų vaistų, kalio papildų ar daug kalio turinčio maisto, gali pasireikšti sunki hiperkalemija (padidėjęs kalio kiekis kraujyje). Sunkios hiperkalemijos simptomai gali būti </w:t>
      </w:r>
      <w:r>
        <w:rPr>
          <w:sz w:val="22"/>
          <w:szCs w:val="22"/>
        </w:rPr>
        <w:lastRenderedPageBreak/>
        <w:t>raumenų mėšlungis, neritmiškas širdies plakimas, viduriavimas, pykinimas, galvos svaigimas arba galvos skausmas.</w:t>
      </w:r>
    </w:p>
    <w:p w:rsidR="00844F54" w:rsidRDefault="00844F54">
      <w:pPr>
        <w:rPr>
          <w:rFonts w:ascii="Times New Roman" w:hAnsi="Times New Roman" w:cs="Times New Roman"/>
          <w:sz w:val="22"/>
          <w:szCs w:val="22"/>
        </w:rPr>
      </w:pPr>
    </w:p>
    <w:p w:rsidR="00844F54" w:rsidRDefault="001558A7">
      <w:pPr>
        <w:rPr>
          <w:rFonts w:ascii="Times New Roman" w:hAnsi="Times New Roman" w:cs="Times New Roman"/>
          <w:sz w:val="22"/>
          <w:szCs w:val="22"/>
        </w:rPr>
      </w:pPr>
      <w:r>
        <w:rPr>
          <w:rFonts w:ascii="Times New Roman" w:hAnsi="Times New Roman" w:cs="Times New Roman"/>
          <w:sz w:val="22"/>
          <w:szCs w:val="22"/>
        </w:rPr>
        <w:t>Jeigu Jums netikėtai pasunkėja kosulys ir dusulys, nedelsdami praneškite savo gydytojui.</w:t>
      </w:r>
    </w:p>
    <w:p w:rsidR="00844F54" w:rsidRDefault="00844F54">
      <w:pPr>
        <w:rPr>
          <w:rFonts w:ascii="Times New Roman" w:hAnsi="Times New Roman" w:cs="Times New Roman"/>
          <w:sz w:val="22"/>
          <w:szCs w:val="22"/>
        </w:rPr>
      </w:pPr>
    </w:p>
    <w:p w:rsidR="00844F54" w:rsidRDefault="001558A7">
      <w:pPr>
        <w:rPr>
          <w:rFonts w:ascii="Times New Roman" w:eastAsia="Calibri" w:hAnsi="Times New Roman" w:cs="Times New Roman"/>
          <w:color w:val="000000"/>
          <w:sz w:val="22"/>
          <w:szCs w:val="22"/>
          <w:lang w:eastAsia="lt-LT"/>
        </w:rPr>
      </w:pPr>
      <w:r>
        <w:rPr>
          <w:rFonts w:ascii="Times New Roman" w:eastAsia="Calibri" w:hAnsi="Times New Roman" w:cs="Times New Roman"/>
          <w:color w:val="000000"/>
          <w:sz w:val="22"/>
          <w:szCs w:val="22"/>
          <w:lang w:eastAsia="lt-LT"/>
        </w:rPr>
        <w:t>Hemofagocitinė limfohistiocitozė</w:t>
      </w:r>
    </w:p>
    <w:p w:rsidR="00844F54" w:rsidRDefault="001558A7">
      <w:pPr>
        <w:rPr>
          <w:rFonts w:ascii="Times New Roman" w:eastAsia="Calibri" w:hAnsi="Times New Roman" w:cs="Times New Roman"/>
          <w:color w:val="000000"/>
          <w:sz w:val="22"/>
          <w:szCs w:val="22"/>
          <w:lang w:eastAsia="lt-LT"/>
        </w:rPr>
      </w:pPr>
      <w:r>
        <w:rPr>
          <w:rFonts w:ascii="Times New Roman" w:eastAsia="Calibri" w:hAnsi="Times New Roman" w:cs="Times New Roman"/>
          <w:color w:val="000000"/>
          <w:sz w:val="22"/>
          <w:szCs w:val="22"/>
          <w:lang w:eastAsia="lt-LT"/>
        </w:rPr>
        <w:t>Labai retai gauta pranešimų apie stiprias imuninės sistemos reakcijas, pasireiškiančias dėl netinkamai reguliuojamo baltųjų kraujo ląstelių suaktyvėjimo (hemofagocitinės limfohistiocitozės), kurio nediagnozavus ir negydant ankstyvame etape gali kilti pavojus paciento gyvybei. Jeigu Jums tuo pat metu arba kiek uždelstai pasireikštų keli simptomai, pvz., karščiavimas, liaukų patinimas, silpnumas, galvos svaigimas, dusulys, kraujosruvos ar odos išbėrimas, nedelsdami kreipkitės į savo gydytoją.</w:t>
      </w:r>
    </w:p>
    <w:p w:rsidR="00844F54" w:rsidRDefault="00844F54">
      <w:pPr>
        <w:rPr>
          <w:rFonts w:ascii="Times New Roman" w:hAnsi="Times New Roman" w:cs="Times New Roman"/>
          <w:sz w:val="22"/>
          <w:szCs w:val="22"/>
        </w:rPr>
      </w:pPr>
    </w:p>
    <w:p w:rsidR="00844F54" w:rsidRDefault="001558A7">
      <w:pPr>
        <w:rPr>
          <w:rFonts w:ascii="Times New Roman" w:hAnsi="Times New Roman" w:cs="Times New Roman"/>
          <w:b/>
          <w:bCs/>
          <w:sz w:val="22"/>
          <w:szCs w:val="22"/>
        </w:rPr>
      </w:pPr>
      <w:r>
        <w:rPr>
          <w:rFonts w:ascii="Times New Roman" w:hAnsi="Times New Roman" w:cs="Times New Roman"/>
          <w:b/>
          <w:bCs/>
          <w:sz w:val="22"/>
          <w:szCs w:val="22"/>
        </w:rPr>
        <w:t>Kiti vaistai ir EPITRIM</w:t>
      </w:r>
    </w:p>
    <w:p w:rsidR="00844F54" w:rsidRDefault="001558A7">
      <w:pPr>
        <w:tabs>
          <w:tab w:val="left" w:pos="567"/>
        </w:tabs>
        <w:suppressAutoHyphens w:val="0"/>
        <w:textAlignment w:val="auto"/>
        <w:rPr>
          <w:rFonts w:ascii="Times New Roman" w:eastAsia="Times New Roman" w:hAnsi="Times New Roman" w:cs="Times New Roman"/>
          <w:sz w:val="22"/>
          <w:szCs w:val="22"/>
          <w:lang w:eastAsia="en-US" w:bidi="ar-SA"/>
        </w:rPr>
      </w:pPr>
      <w:r>
        <w:rPr>
          <w:rFonts w:ascii="Times New Roman" w:eastAsia="Times New Roman" w:hAnsi="Times New Roman" w:cs="Times New Roman"/>
          <w:sz w:val="22"/>
          <w:szCs w:val="22"/>
          <w:lang w:eastAsia="en-US" w:bidi="ar-SA"/>
        </w:rPr>
        <w:t>Jeigu vartojate ar neseniai vartojote kitų vaistų arba dėl to nesate tikri, apie tai pasakykite gydytojui arba vaistininkui.</w:t>
      </w:r>
    </w:p>
    <w:p w:rsidR="00844F54" w:rsidRDefault="001558A7">
      <w:pPr>
        <w:tabs>
          <w:tab w:val="left" w:pos="567"/>
        </w:tabs>
        <w:suppressAutoHyphens w:val="0"/>
        <w:textAlignment w:val="auto"/>
        <w:rPr>
          <w:rFonts w:ascii="Times New Roman" w:eastAsia="Times New Roman" w:hAnsi="Times New Roman" w:cs="Times New Roman"/>
          <w:sz w:val="22"/>
          <w:szCs w:val="22"/>
          <w:lang w:eastAsia="en-US" w:bidi="ar-SA"/>
        </w:rPr>
      </w:pPr>
      <w:r>
        <w:rPr>
          <w:rFonts w:ascii="Times New Roman" w:eastAsia="Times New Roman" w:hAnsi="Times New Roman" w:cs="Times New Roman"/>
          <w:sz w:val="22"/>
          <w:szCs w:val="22"/>
          <w:lang w:eastAsia="en-US" w:bidi="ar-SA"/>
        </w:rPr>
        <w:t>Būtina laikytis atsargumo priemonių, kai EPITRIM vartojama kartu su toliau išvardytais vaistais:</w:t>
      </w:r>
    </w:p>
    <w:p w:rsidR="00844F54" w:rsidRDefault="001558A7">
      <w:pPr>
        <w:numPr>
          <w:ilvl w:val="0"/>
          <w:numId w:val="1"/>
        </w:numPr>
        <w:suppressAutoHyphens w:val="0"/>
        <w:ind w:left="284" w:hanging="284"/>
        <w:textAlignment w:val="auto"/>
        <w:rPr>
          <w:rFonts w:ascii="Times New Roman" w:hAnsi="Times New Roman" w:cs="Times New Roman"/>
          <w:sz w:val="22"/>
          <w:szCs w:val="22"/>
        </w:rPr>
      </w:pPr>
      <w:r>
        <w:rPr>
          <w:rFonts w:ascii="Times New Roman" w:hAnsi="Times New Roman" w:cs="Times New Roman"/>
          <w:sz w:val="22"/>
          <w:szCs w:val="22"/>
        </w:rPr>
        <w:t>diuretikais (ypač tiazidiniais); senyviems pacientams, kurie kartu vartoja diuretikų (ypač tiazidinių), padidėja trombocitopenijos su purpura ar be jos pasireiškimo rizika;</w:t>
      </w:r>
    </w:p>
    <w:p w:rsidR="00844F54" w:rsidRDefault="001558A7">
      <w:pPr>
        <w:numPr>
          <w:ilvl w:val="0"/>
          <w:numId w:val="1"/>
        </w:numPr>
        <w:suppressAutoHyphens w:val="0"/>
        <w:ind w:left="284" w:hanging="284"/>
        <w:textAlignment w:val="auto"/>
        <w:rPr>
          <w:rFonts w:ascii="Times New Roman" w:hAnsi="Times New Roman" w:cs="Times New Roman"/>
          <w:sz w:val="22"/>
          <w:szCs w:val="22"/>
        </w:rPr>
      </w:pPr>
      <w:r>
        <w:rPr>
          <w:rFonts w:ascii="Times New Roman" w:hAnsi="Times New Roman" w:cs="Times New Roman"/>
          <w:sz w:val="22"/>
          <w:szCs w:val="22"/>
        </w:rPr>
        <w:t>pirimetaminu; retais atvejais pastebėta, kad didesnę nei 25 mg per savaitę pirimetamino dozę kartu su EPITRIM vartojantiems pacientams gali pasireikšti megaloblastinė anemija;</w:t>
      </w:r>
    </w:p>
    <w:p w:rsidR="00844F54" w:rsidRDefault="001558A7">
      <w:pPr>
        <w:numPr>
          <w:ilvl w:val="0"/>
          <w:numId w:val="1"/>
        </w:numPr>
        <w:suppressAutoHyphens w:val="0"/>
        <w:ind w:left="284" w:hanging="284"/>
        <w:textAlignment w:val="auto"/>
        <w:rPr>
          <w:rFonts w:ascii="Times New Roman" w:hAnsi="Times New Roman" w:cs="Times New Roman"/>
          <w:sz w:val="22"/>
          <w:szCs w:val="22"/>
        </w:rPr>
      </w:pPr>
      <w:r>
        <w:rPr>
          <w:rFonts w:ascii="Times New Roman" w:hAnsi="Times New Roman" w:cs="Times New Roman"/>
          <w:sz w:val="22"/>
          <w:szCs w:val="22"/>
        </w:rPr>
        <w:t>zidovudinu; kai kuriais atvejais kartu vartojamas zidovudinas gali didinti EPITRIM sukeliamų hematologinių nepageidaujamų reakcijų pasireiškimo riziką; jei toks vaistų derinys būtinas, reikėtų stebėti kraujo sudėties rodiklius;</w:t>
      </w:r>
    </w:p>
    <w:p w:rsidR="00844F54" w:rsidRDefault="001558A7">
      <w:pPr>
        <w:numPr>
          <w:ilvl w:val="0"/>
          <w:numId w:val="1"/>
        </w:numPr>
        <w:suppressAutoHyphens w:val="0"/>
        <w:ind w:left="284" w:hanging="284"/>
        <w:textAlignment w:val="auto"/>
        <w:rPr>
          <w:rFonts w:ascii="Times New Roman" w:hAnsi="Times New Roman" w:cs="Times New Roman"/>
          <w:sz w:val="22"/>
          <w:szCs w:val="22"/>
        </w:rPr>
      </w:pPr>
      <w:r>
        <w:rPr>
          <w:rFonts w:ascii="Times New Roman" w:hAnsi="Times New Roman" w:cs="Times New Roman"/>
          <w:sz w:val="22"/>
          <w:szCs w:val="22"/>
        </w:rPr>
        <w:t>ciklosporinu; pacientams po inkstų transplantacijos EPITRIM vartojant kartu su ciklosporinu, pasireiškia grįžtamai susilpnėjusios inkstų funkcijos atvejų;</w:t>
      </w:r>
    </w:p>
    <w:p w:rsidR="00844F54" w:rsidRDefault="001558A7">
      <w:pPr>
        <w:numPr>
          <w:ilvl w:val="0"/>
          <w:numId w:val="1"/>
        </w:numPr>
        <w:suppressAutoHyphens w:val="0"/>
        <w:ind w:left="284" w:hanging="284"/>
        <w:textAlignment w:val="auto"/>
        <w:rPr>
          <w:rFonts w:hint="eastAsia"/>
        </w:rPr>
      </w:pPr>
      <w:r>
        <w:rPr>
          <w:rFonts w:ascii="Times New Roman" w:hAnsi="Times New Roman" w:cs="Times New Roman"/>
          <w:sz w:val="22"/>
          <w:szCs w:val="22"/>
        </w:rPr>
        <w:t xml:space="preserve">varfarinu; nustatyta, kad EPITRIM stiprina antikoaguliacinį varfarino poveikį stereo-selektyviai slopindamas pastarojo metabolizmą; sulfametoksazolas </w:t>
      </w:r>
      <w:r>
        <w:rPr>
          <w:rFonts w:ascii="Times New Roman" w:hAnsi="Times New Roman" w:cs="Times New Roman"/>
          <w:i/>
          <w:iCs/>
          <w:sz w:val="22"/>
          <w:szCs w:val="22"/>
        </w:rPr>
        <w:t>in vitro</w:t>
      </w:r>
      <w:r>
        <w:rPr>
          <w:rFonts w:ascii="Times New Roman" w:hAnsi="Times New Roman" w:cs="Times New Roman"/>
          <w:sz w:val="22"/>
          <w:szCs w:val="22"/>
        </w:rPr>
        <w:t xml:space="preserve"> gali išstumti varfariną iš pastarojo junginių su plazmos albuminais; todėl kotrimoksazolo vartojant kartu antikoaguliantais, rekomenduojama atidžiai stebėti antikoaguliacinį poveikį;</w:t>
      </w:r>
    </w:p>
    <w:p w:rsidR="00844F54" w:rsidRDefault="001558A7">
      <w:pPr>
        <w:numPr>
          <w:ilvl w:val="0"/>
          <w:numId w:val="1"/>
        </w:numPr>
        <w:suppressAutoHyphens w:val="0"/>
        <w:ind w:left="284" w:hanging="284"/>
        <w:textAlignment w:val="auto"/>
        <w:rPr>
          <w:rFonts w:ascii="Times New Roman" w:hAnsi="Times New Roman" w:cs="Times New Roman"/>
          <w:sz w:val="22"/>
          <w:szCs w:val="22"/>
        </w:rPr>
      </w:pPr>
      <w:r>
        <w:rPr>
          <w:rFonts w:ascii="Times New Roman" w:hAnsi="Times New Roman" w:cs="Times New Roman"/>
          <w:sz w:val="22"/>
          <w:szCs w:val="22"/>
        </w:rPr>
        <w:t>fenitoinu; EPITRIM ilgina kartu vartojamo fenitoino pusinės eliminacijos laiką ir todėl gali sukelti pernelyg stiprų fenitoino poveikį; rekomenduojama atidžiai stebėti pacientų būklę ir serumo fenitoino koncentraciją;</w:t>
      </w:r>
    </w:p>
    <w:p w:rsidR="00844F54" w:rsidRDefault="001558A7">
      <w:pPr>
        <w:numPr>
          <w:ilvl w:val="0"/>
          <w:numId w:val="1"/>
        </w:numPr>
        <w:suppressAutoHyphens w:val="0"/>
        <w:ind w:left="284" w:hanging="284"/>
        <w:textAlignment w:val="auto"/>
        <w:rPr>
          <w:rFonts w:ascii="Times New Roman" w:hAnsi="Times New Roman" w:cs="Times New Roman"/>
          <w:sz w:val="22"/>
          <w:szCs w:val="22"/>
        </w:rPr>
      </w:pPr>
      <w:r>
        <w:rPr>
          <w:rFonts w:ascii="Times New Roman" w:hAnsi="Times New Roman" w:cs="Times New Roman"/>
          <w:sz w:val="22"/>
          <w:szCs w:val="22"/>
        </w:rPr>
        <w:t>digoksinu; trimetoprimo vartojant kartu su digoksinu, senyviems pacientams padidėja digoksino koncentracija plazmoje;</w:t>
      </w:r>
    </w:p>
    <w:p w:rsidR="00844F54" w:rsidRDefault="001558A7">
      <w:pPr>
        <w:numPr>
          <w:ilvl w:val="0"/>
          <w:numId w:val="1"/>
        </w:numPr>
        <w:suppressAutoHyphens w:val="0"/>
        <w:ind w:left="284" w:hanging="284"/>
        <w:textAlignment w:val="auto"/>
        <w:rPr>
          <w:rFonts w:ascii="Times New Roman" w:hAnsi="Times New Roman" w:cs="Times New Roman"/>
          <w:sz w:val="22"/>
          <w:szCs w:val="22"/>
        </w:rPr>
      </w:pPr>
      <w:r>
        <w:rPr>
          <w:rFonts w:ascii="Times New Roman" w:hAnsi="Times New Roman" w:cs="Times New Roman"/>
          <w:sz w:val="22"/>
          <w:szCs w:val="22"/>
        </w:rPr>
        <w:t>sulfonilkarbamidų grupės gliukozės koncentraciją mažinančiais vaistais; sąveika su sulfonilkarbamidų grupės gliukozės koncentraciją mažinančiais vaistais yra nedažna, tačiau pranešta padidėjusio hipoglikeminio poveikio atvejų;</w:t>
      </w:r>
    </w:p>
    <w:p w:rsidR="00844F54" w:rsidRDefault="001558A7">
      <w:pPr>
        <w:numPr>
          <w:ilvl w:val="0"/>
          <w:numId w:val="1"/>
        </w:numPr>
        <w:suppressAutoHyphens w:val="0"/>
        <w:ind w:left="284" w:hanging="284"/>
        <w:textAlignment w:val="auto"/>
        <w:rPr>
          <w:rFonts w:ascii="Times New Roman" w:hAnsi="Times New Roman" w:cs="Times New Roman"/>
          <w:sz w:val="22"/>
          <w:szCs w:val="22"/>
        </w:rPr>
      </w:pPr>
      <w:r>
        <w:rPr>
          <w:rFonts w:ascii="Times New Roman" w:hAnsi="Times New Roman" w:cs="Times New Roman"/>
          <w:sz w:val="22"/>
          <w:szCs w:val="22"/>
        </w:rPr>
        <w:t>metotreksatu; EPITRIM gali didinti laisvojo metotreksato koncentraciją plazmoje;</w:t>
      </w:r>
    </w:p>
    <w:p w:rsidR="00844F54" w:rsidRDefault="001558A7">
      <w:pPr>
        <w:numPr>
          <w:ilvl w:val="0"/>
          <w:numId w:val="1"/>
        </w:numPr>
        <w:suppressAutoHyphens w:val="0"/>
        <w:ind w:left="284" w:hanging="284"/>
        <w:textAlignment w:val="auto"/>
        <w:rPr>
          <w:rFonts w:hint="eastAsia"/>
        </w:rPr>
      </w:pPr>
      <w:r>
        <w:rPr>
          <w:rFonts w:ascii="Times New Roman" w:eastAsia="Verdana" w:hAnsi="Times New Roman" w:cs="Times New Roman"/>
          <w:sz w:val="22"/>
          <w:szCs w:val="22"/>
          <w:lang w:eastAsia="en-GB"/>
        </w:rPr>
        <w:t xml:space="preserve">spironolaktonu; </w:t>
      </w:r>
      <w:r>
        <w:rPr>
          <w:sz w:val="22"/>
          <w:szCs w:val="22"/>
          <w:lang w:eastAsia="en-GB"/>
        </w:rPr>
        <w:t>pacientams, vartojantiems bet kuriuos kitus vaistus, kurie gali sukelti hiperkalemiją, reikia būti atsargiems (žr. aukščiau ,,Įspėjimai ir atsargumo priemonės”).</w:t>
      </w:r>
    </w:p>
    <w:p w:rsidR="00844F54" w:rsidRDefault="00844F54">
      <w:pPr>
        <w:tabs>
          <w:tab w:val="left" w:pos="567"/>
        </w:tabs>
        <w:suppressAutoHyphens w:val="0"/>
        <w:textAlignment w:val="auto"/>
        <w:rPr>
          <w:rFonts w:ascii="Times New Roman" w:eastAsia="Times New Roman" w:hAnsi="Times New Roman" w:cs="Times New Roman"/>
          <w:sz w:val="22"/>
          <w:szCs w:val="22"/>
          <w:lang w:eastAsia="en-US" w:bidi="ar-SA"/>
        </w:rPr>
      </w:pPr>
    </w:p>
    <w:p w:rsidR="00844F54" w:rsidRDefault="001558A7">
      <w:pPr>
        <w:tabs>
          <w:tab w:val="left" w:pos="567"/>
        </w:tabs>
        <w:suppressAutoHyphens w:val="0"/>
        <w:textAlignment w:val="auto"/>
        <w:rPr>
          <w:rFonts w:ascii="Times New Roman" w:eastAsia="Times New Roman" w:hAnsi="Times New Roman" w:cs="Times New Roman"/>
          <w:sz w:val="22"/>
          <w:szCs w:val="22"/>
          <w:lang w:eastAsia="en-US" w:bidi="ar-SA"/>
        </w:rPr>
      </w:pPr>
      <w:r>
        <w:rPr>
          <w:rFonts w:ascii="Times New Roman" w:eastAsia="Times New Roman" w:hAnsi="Times New Roman" w:cs="Times New Roman"/>
          <w:sz w:val="22"/>
          <w:szCs w:val="22"/>
          <w:lang w:eastAsia="en-US" w:bidi="ar-SA"/>
        </w:rPr>
        <w:t>Jei EPITRIM reikia gerti kitų folatų kiekį organizme mažinančių vaistų (pvz., metotreksato) vartojantiems pacientams, kartu reikėtų vartoti folatų papildų.</w:t>
      </w:r>
    </w:p>
    <w:p w:rsidR="00844F54" w:rsidRDefault="00844F54">
      <w:pPr>
        <w:tabs>
          <w:tab w:val="left" w:pos="567"/>
        </w:tabs>
        <w:suppressAutoHyphens w:val="0"/>
        <w:textAlignment w:val="auto"/>
        <w:rPr>
          <w:rFonts w:ascii="Times New Roman" w:eastAsia="Times New Roman" w:hAnsi="Times New Roman" w:cs="Times New Roman"/>
          <w:sz w:val="22"/>
          <w:szCs w:val="22"/>
          <w:lang w:eastAsia="en-US" w:bidi="ar-SA"/>
        </w:rPr>
      </w:pPr>
    </w:p>
    <w:p w:rsidR="00844F54" w:rsidRDefault="001558A7">
      <w:pPr>
        <w:tabs>
          <w:tab w:val="left" w:pos="567"/>
        </w:tabs>
        <w:suppressAutoHyphens w:val="0"/>
        <w:textAlignment w:val="auto"/>
        <w:rPr>
          <w:rFonts w:ascii="Times New Roman" w:eastAsia="Times New Roman" w:hAnsi="Times New Roman" w:cs="Times New Roman"/>
          <w:sz w:val="22"/>
          <w:szCs w:val="22"/>
          <w:lang w:eastAsia="en-US" w:bidi="ar-SA"/>
        </w:rPr>
      </w:pPr>
      <w:r>
        <w:rPr>
          <w:rFonts w:ascii="Times New Roman" w:eastAsia="Times New Roman" w:hAnsi="Times New Roman" w:cs="Times New Roman"/>
          <w:sz w:val="22"/>
          <w:szCs w:val="22"/>
          <w:lang w:eastAsia="en-US" w:bidi="ar-SA"/>
        </w:rPr>
        <w:t>Kai trimetoprimo vartojama kartu su vaistais, kurie fiziologinio pH sąlygomis formuoja katijonus ir kurie taip pat iš dalies šalinami aktyvios inkstų sekrecijos būdu (pvz., prikainamidu, amantadinu), gali pasireikšti konkurencinis pastarojo proceso slopinimas ir dėl to padidėti trimetoprimo arba ir kartu vartojamų minėtų vaistų koncentracija plazmoje.</w:t>
      </w:r>
    </w:p>
    <w:p w:rsidR="00844F54" w:rsidRDefault="00844F54">
      <w:pPr>
        <w:tabs>
          <w:tab w:val="left" w:pos="567"/>
        </w:tabs>
        <w:suppressAutoHyphens w:val="0"/>
        <w:textAlignment w:val="auto"/>
        <w:rPr>
          <w:rFonts w:ascii="Times New Roman" w:eastAsia="Times New Roman" w:hAnsi="Times New Roman" w:cs="Times New Roman"/>
          <w:sz w:val="22"/>
          <w:szCs w:val="22"/>
          <w:lang w:eastAsia="en-US" w:bidi="ar-SA"/>
        </w:rPr>
      </w:pPr>
    </w:p>
    <w:p w:rsidR="00844F54" w:rsidRDefault="001558A7">
      <w:pPr>
        <w:rPr>
          <w:rFonts w:ascii="Times New Roman" w:hAnsi="Times New Roman" w:cs="Times New Roman"/>
          <w:b/>
          <w:bCs/>
          <w:sz w:val="22"/>
          <w:szCs w:val="22"/>
        </w:rPr>
      </w:pPr>
      <w:r>
        <w:rPr>
          <w:rFonts w:ascii="Times New Roman" w:hAnsi="Times New Roman" w:cs="Times New Roman"/>
          <w:b/>
          <w:bCs/>
          <w:sz w:val="22"/>
          <w:szCs w:val="22"/>
        </w:rPr>
        <w:t>EPITRIM vartojimas su maistu ir gėrimais</w:t>
      </w:r>
    </w:p>
    <w:p w:rsidR="00844F54" w:rsidRDefault="001558A7">
      <w:pPr>
        <w:tabs>
          <w:tab w:val="left" w:pos="567"/>
        </w:tabs>
        <w:suppressAutoHyphens w:val="0"/>
        <w:textAlignment w:val="auto"/>
        <w:rPr>
          <w:rFonts w:ascii="Times New Roman" w:eastAsia="Times New Roman" w:hAnsi="Times New Roman" w:cs="Times New Roman"/>
          <w:sz w:val="22"/>
          <w:szCs w:val="22"/>
          <w:lang w:eastAsia="en-US" w:bidi="ar-SA"/>
        </w:rPr>
      </w:pPr>
      <w:r>
        <w:rPr>
          <w:rFonts w:ascii="Times New Roman" w:eastAsia="Times New Roman" w:hAnsi="Times New Roman" w:cs="Times New Roman"/>
          <w:sz w:val="22"/>
          <w:szCs w:val="22"/>
          <w:lang w:eastAsia="en-US" w:bidi="ar-SA"/>
        </w:rPr>
        <w:t>EPITRIM reikia vartoti po valgio užgeriant dideliu skysčio kiekiu.</w:t>
      </w:r>
    </w:p>
    <w:p w:rsidR="00844F54" w:rsidRDefault="00844F54">
      <w:pPr>
        <w:tabs>
          <w:tab w:val="left" w:pos="567"/>
        </w:tabs>
        <w:suppressAutoHyphens w:val="0"/>
        <w:textAlignment w:val="auto"/>
        <w:rPr>
          <w:rFonts w:ascii="Times New Roman" w:eastAsia="Times New Roman" w:hAnsi="Times New Roman" w:cs="Times New Roman"/>
          <w:sz w:val="22"/>
          <w:szCs w:val="22"/>
          <w:lang w:eastAsia="en-US" w:bidi="ar-SA"/>
        </w:rPr>
      </w:pPr>
    </w:p>
    <w:p w:rsidR="00844F54" w:rsidRDefault="001558A7">
      <w:pPr>
        <w:rPr>
          <w:rFonts w:ascii="Times New Roman" w:hAnsi="Times New Roman" w:cs="Times New Roman"/>
          <w:b/>
          <w:bCs/>
          <w:sz w:val="22"/>
          <w:szCs w:val="22"/>
        </w:rPr>
      </w:pPr>
      <w:r>
        <w:rPr>
          <w:rFonts w:ascii="Times New Roman" w:hAnsi="Times New Roman" w:cs="Times New Roman"/>
          <w:b/>
          <w:bCs/>
          <w:sz w:val="22"/>
          <w:szCs w:val="22"/>
        </w:rPr>
        <w:t>Nėštumas ir žindymo laikotarpis</w:t>
      </w:r>
    </w:p>
    <w:p w:rsidR="00844F54" w:rsidRDefault="001558A7">
      <w:pPr>
        <w:tabs>
          <w:tab w:val="left" w:pos="567"/>
        </w:tabs>
        <w:suppressAutoHyphens w:val="0"/>
        <w:textAlignment w:val="auto"/>
        <w:rPr>
          <w:rFonts w:ascii="Times New Roman" w:eastAsia="Times New Roman" w:hAnsi="Times New Roman" w:cs="Times New Roman"/>
          <w:sz w:val="22"/>
          <w:szCs w:val="22"/>
          <w:lang w:eastAsia="en-US" w:bidi="ar-SA"/>
        </w:rPr>
      </w:pPr>
      <w:r>
        <w:rPr>
          <w:rFonts w:ascii="Times New Roman" w:eastAsia="Times New Roman" w:hAnsi="Times New Roman" w:cs="Times New Roman"/>
          <w:sz w:val="22"/>
          <w:szCs w:val="22"/>
          <w:lang w:eastAsia="en-US" w:bidi="ar-SA"/>
        </w:rPr>
        <w:t>Jeigu esate nėščia, žindote kūdikį, manote, kad galbūt esate nėščia arba planuojate pastoti, tai prieš vartodama šį vaistą pasitarkite su gydytoju arba vaistininku.</w:t>
      </w:r>
    </w:p>
    <w:p w:rsidR="00844F54" w:rsidRDefault="00844F54">
      <w:pPr>
        <w:tabs>
          <w:tab w:val="left" w:pos="567"/>
        </w:tabs>
        <w:suppressAutoHyphens w:val="0"/>
        <w:textAlignment w:val="auto"/>
        <w:rPr>
          <w:rFonts w:ascii="Times New Roman" w:eastAsia="Times New Roman" w:hAnsi="Times New Roman" w:cs="Times New Roman"/>
          <w:sz w:val="22"/>
          <w:szCs w:val="22"/>
          <w:lang w:eastAsia="en-US" w:bidi="ar-SA"/>
        </w:rPr>
      </w:pPr>
    </w:p>
    <w:p w:rsidR="00844F54" w:rsidRDefault="001558A7">
      <w:pPr>
        <w:tabs>
          <w:tab w:val="left" w:pos="567"/>
        </w:tabs>
        <w:suppressAutoHyphens w:val="0"/>
        <w:textAlignment w:val="auto"/>
        <w:rPr>
          <w:rFonts w:ascii="Times New Roman" w:eastAsia="Times New Roman" w:hAnsi="Times New Roman" w:cs="Times New Roman"/>
          <w:sz w:val="22"/>
          <w:szCs w:val="22"/>
          <w:lang w:eastAsia="en-US" w:bidi="ar-SA"/>
        </w:rPr>
      </w:pPr>
      <w:r>
        <w:rPr>
          <w:rFonts w:ascii="Times New Roman" w:eastAsia="Times New Roman" w:hAnsi="Times New Roman" w:cs="Times New Roman"/>
          <w:sz w:val="22"/>
          <w:szCs w:val="22"/>
          <w:lang w:eastAsia="en-US" w:bidi="ar-SA"/>
        </w:rPr>
        <w:t>Nėštumo ir žindymo laikotarpiu EPITRIM vartoti negalima.</w:t>
      </w:r>
    </w:p>
    <w:p w:rsidR="00844F54" w:rsidRDefault="00844F54">
      <w:pPr>
        <w:tabs>
          <w:tab w:val="left" w:pos="567"/>
        </w:tabs>
        <w:suppressAutoHyphens w:val="0"/>
        <w:textAlignment w:val="auto"/>
        <w:rPr>
          <w:rFonts w:ascii="Times New Roman" w:eastAsia="Times New Roman" w:hAnsi="Times New Roman" w:cs="Times New Roman"/>
          <w:sz w:val="22"/>
          <w:szCs w:val="22"/>
          <w:lang w:eastAsia="en-US" w:bidi="ar-SA"/>
        </w:rPr>
      </w:pPr>
    </w:p>
    <w:p w:rsidR="00844F54" w:rsidRDefault="001558A7">
      <w:pPr>
        <w:rPr>
          <w:rFonts w:ascii="Times New Roman" w:hAnsi="Times New Roman" w:cs="Times New Roman"/>
          <w:b/>
          <w:bCs/>
          <w:sz w:val="22"/>
          <w:szCs w:val="22"/>
        </w:rPr>
      </w:pPr>
      <w:r>
        <w:rPr>
          <w:rFonts w:ascii="Times New Roman" w:hAnsi="Times New Roman" w:cs="Times New Roman"/>
          <w:b/>
          <w:bCs/>
          <w:sz w:val="22"/>
          <w:szCs w:val="22"/>
        </w:rPr>
        <w:t>Vairavimas ir mechanizmų valdymas</w:t>
      </w:r>
    </w:p>
    <w:p w:rsidR="00844F54" w:rsidRDefault="001558A7">
      <w:pPr>
        <w:tabs>
          <w:tab w:val="left" w:pos="567"/>
        </w:tabs>
        <w:suppressAutoHyphens w:val="0"/>
        <w:textAlignment w:val="auto"/>
        <w:rPr>
          <w:rFonts w:ascii="Times New Roman" w:eastAsia="Times New Roman" w:hAnsi="Times New Roman" w:cs="Times New Roman"/>
          <w:sz w:val="22"/>
          <w:szCs w:val="22"/>
          <w:lang w:eastAsia="en-US" w:bidi="ar-SA"/>
        </w:rPr>
      </w:pPr>
      <w:r>
        <w:rPr>
          <w:rFonts w:ascii="Times New Roman" w:eastAsia="Times New Roman" w:hAnsi="Times New Roman" w:cs="Times New Roman"/>
          <w:sz w:val="22"/>
          <w:szCs w:val="22"/>
          <w:lang w:eastAsia="en-US" w:bidi="ar-SA"/>
        </w:rPr>
        <w:t>Jeigu pasireiškia tokių šalutinių reiškinių kaip galvos skausmas ir svaigimas, mieguistumas, depresija ar apatija, būtina pasikonsultuoti su gydytoju dėl galimybės vairuoti automobilį, valdyti judančius mechanizmus ar dirbti kitą greitos psichinės ir fizinės reakcijos reikalaujantį darbą.</w:t>
      </w:r>
    </w:p>
    <w:p w:rsidR="00844F54" w:rsidRDefault="00844F54">
      <w:pPr>
        <w:tabs>
          <w:tab w:val="left" w:pos="567"/>
        </w:tabs>
        <w:suppressAutoHyphens w:val="0"/>
        <w:textAlignment w:val="auto"/>
        <w:rPr>
          <w:rFonts w:ascii="Times New Roman" w:eastAsia="Times New Roman" w:hAnsi="Times New Roman" w:cs="Times New Roman"/>
          <w:sz w:val="22"/>
          <w:szCs w:val="22"/>
          <w:lang w:eastAsia="en-US" w:bidi="ar-SA"/>
        </w:rPr>
      </w:pPr>
    </w:p>
    <w:p w:rsidR="00844F54" w:rsidRDefault="001558A7">
      <w:pPr>
        <w:tabs>
          <w:tab w:val="left" w:pos="567"/>
        </w:tabs>
        <w:suppressAutoHyphens w:val="0"/>
        <w:textAlignment w:val="auto"/>
        <w:rPr>
          <w:rFonts w:hint="eastAsia"/>
        </w:rPr>
      </w:pPr>
      <w:r>
        <w:rPr>
          <w:rFonts w:ascii="Times New Roman" w:eastAsia="Times New Roman" w:hAnsi="Times New Roman" w:cs="Times New Roman"/>
          <w:b/>
          <w:sz w:val="22"/>
          <w:szCs w:val="22"/>
          <w:lang w:eastAsia="en-US" w:bidi="ar-SA"/>
        </w:rPr>
        <w:t>EPITRIM sudėtyje yra: cukraus 60,00 g, natrio benzoato (E 211), metilo parahidroksibenzoato (E 218).</w:t>
      </w:r>
    </w:p>
    <w:p w:rsidR="00844F54" w:rsidRDefault="00844F54">
      <w:pPr>
        <w:rPr>
          <w:rFonts w:ascii="Times New Roman" w:eastAsia="Calibri" w:hAnsi="Times New Roman" w:cs="Times New Roman"/>
          <w:color w:val="000000"/>
          <w:sz w:val="22"/>
          <w:szCs w:val="22"/>
        </w:rPr>
      </w:pPr>
    </w:p>
    <w:p w:rsidR="00844F54" w:rsidRDefault="001558A7">
      <w:pPr>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 xml:space="preserve">EPITRIM sudėtyje yra natrio benzoato (E 211). Padidėjęs bilirubino kiekis po albumino surišimo dislokacijos gali paūminti naujagimių gelta, kuri gali progresuoti iki nekonjuguoto bilirubino sankaupų susidarymo smegenų audinyje. Tai gali sukelti alergines reakcijas (net uždelstas). </w:t>
      </w:r>
    </w:p>
    <w:p w:rsidR="00844F54" w:rsidRDefault="00844F54">
      <w:pPr>
        <w:rPr>
          <w:rFonts w:ascii="Times New Roman" w:eastAsia="Calibri" w:hAnsi="Times New Roman" w:cs="Times New Roman"/>
          <w:color w:val="000000"/>
          <w:sz w:val="22"/>
          <w:szCs w:val="22"/>
        </w:rPr>
      </w:pPr>
    </w:p>
    <w:p w:rsidR="00844F54" w:rsidRDefault="001558A7">
      <w:pPr>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EPITRIM sudėtyje yra metilo parahidroksibenzoato (E 218), kuris gali sukelti alergines reakcijas (net uždelstas).</w:t>
      </w:r>
    </w:p>
    <w:p w:rsidR="00844F54" w:rsidRDefault="00844F54">
      <w:pPr>
        <w:rPr>
          <w:rFonts w:ascii="Times New Roman" w:eastAsia="Calibri" w:hAnsi="Times New Roman" w:cs="Times New Roman"/>
          <w:color w:val="000000"/>
          <w:sz w:val="22"/>
          <w:szCs w:val="22"/>
        </w:rPr>
      </w:pPr>
    </w:p>
    <w:p w:rsidR="00844F54" w:rsidRDefault="001558A7">
      <w:pPr>
        <w:rPr>
          <w:rFonts w:ascii="Times New Roman" w:eastAsia="Calibri" w:hAnsi="Times New Roman" w:cs="Times New Roman"/>
          <w:color w:val="000000"/>
          <w:sz w:val="22"/>
          <w:szCs w:val="22"/>
          <w:lang w:val="it-IT"/>
        </w:rPr>
      </w:pPr>
      <w:r>
        <w:rPr>
          <w:rFonts w:ascii="Times New Roman" w:eastAsia="Calibri" w:hAnsi="Times New Roman" w:cs="Times New Roman"/>
          <w:color w:val="000000"/>
          <w:sz w:val="22"/>
          <w:szCs w:val="22"/>
          <w:lang w:val="it-IT"/>
        </w:rPr>
        <w:t>Viename ml geriamosios suspensijos yra 0,6 g cukraus. Pacientams, sergantiems cukriniu diabetu, reikia atsižvelgti į cukraus kiekį produkte (3 g/5 ml). Kadangi produkte yra cukraus (3 g/5 ml geriamosios suspensijos), EPITRIM draudžiama vartoti esant fruktozės netoleravimui, gliukozės ir galaktozės malabsorbcijos sindromui arba sacharazės izomaltazės trūkumui. Esant sunkiam inkstų nepakankamumui (kreatinino klirensas &lt; 30 ml/min.), rekomenduojama sumažinti dozes.</w:t>
      </w:r>
    </w:p>
    <w:p w:rsidR="00844F54" w:rsidRDefault="00844F54">
      <w:pPr>
        <w:rPr>
          <w:rFonts w:ascii="Times New Roman" w:eastAsia="Calibri" w:hAnsi="Times New Roman" w:cs="Times New Roman"/>
          <w:color w:val="000000"/>
          <w:sz w:val="22"/>
          <w:szCs w:val="22"/>
        </w:rPr>
      </w:pPr>
    </w:p>
    <w:p w:rsidR="00844F54" w:rsidRDefault="00844F54">
      <w:pPr>
        <w:tabs>
          <w:tab w:val="left" w:pos="1134"/>
        </w:tabs>
        <w:ind w:left="567" w:hanging="567"/>
        <w:rPr>
          <w:rFonts w:ascii="Times New Roman" w:eastAsia="Times New Roman" w:hAnsi="Times New Roman" w:cs="Times New Roman"/>
          <w:b/>
          <w:sz w:val="22"/>
          <w:szCs w:val="22"/>
        </w:rPr>
      </w:pPr>
      <w:bookmarkStart w:id="4" w:name="_Toc129243266"/>
      <w:bookmarkStart w:id="5" w:name="_Toc129243141"/>
    </w:p>
    <w:p w:rsidR="00844F54" w:rsidRDefault="001558A7">
      <w:pPr>
        <w:tabs>
          <w:tab w:val="left" w:pos="1134"/>
        </w:tabs>
        <w:ind w:left="567" w:hanging="567"/>
        <w:rPr>
          <w:rFonts w:ascii="Times New Roman" w:eastAsia="Times New Roman" w:hAnsi="Times New Roman" w:cs="Times New Roman"/>
          <w:b/>
          <w:sz w:val="22"/>
          <w:szCs w:val="22"/>
        </w:rPr>
      </w:pPr>
      <w:r>
        <w:rPr>
          <w:rFonts w:ascii="Times New Roman" w:eastAsia="Times New Roman" w:hAnsi="Times New Roman" w:cs="Times New Roman"/>
          <w:b/>
          <w:sz w:val="22"/>
          <w:szCs w:val="22"/>
        </w:rPr>
        <w:t>3.</w:t>
      </w:r>
      <w:r>
        <w:rPr>
          <w:rFonts w:ascii="Times New Roman" w:eastAsia="Times New Roman" w:hAnsi="Times New Roman" w:cs="Times New Roman"/>
          <w:b/>
          <w:sz w:val="22"/>
          <w:szCs w:val="22"/>
        </w:rPr>
        <w:tab/>
        <w:t>Kaip vartoti EPITRIM</w:t>
      </w:r>
      <w:bookmarkEnd w:id="4"/>
      <w:bookmarkEnd w:id="5"/>
    </w:p>
    <w:p w:rsidR="00844F54" w:rsidRDefault="00844F54">
      <w:pPr>
        <w:tabs>
          <w:tab w:val="left" w:pos="567"/>
        </w:tabs>
        <w:suppressAutoHyphens w:val="0"/>
        <w:textAlignment w:val="auto"/>
        <w:rPr>
          <w:rFonts w:ascii="Times New Roman" w:eastAsia="Times New Roman" w:hAnsi="Times New Roman" w:cs="Times New Roman"/>
          <w:sz w:val="22"/>
          <w:szCs w:val="22"/>
          <w:lang w:eastAsia="en-US" w:bidi="ar-SA"/>
        </w:rPr>
      </w:pPr>
    </w:p>
    <w:p w:rsidR="00844F54" w:rsidRDefault="001558A7">
      <w:pPr>
        <w:tabs>
          <w:tab w:val="left" w:pos="567"/>
        </w:tabs>
        <w:suppressAutoHyphens w:val="0"/>
        <w:textAlignment w:val="auto"/>
        <w:rPr>
          <w:rFonts w:ascii="Times New Roman" w:eastAsia="Times New Roman" w:hAnsi="Times New Roman" w:cs="Times New Roman"/>
          <w:sz w:val="22"/>
          <w:szCs w:val="22"/>
          <w:lang w:eastAsia="en-US" w:bidi="ar-SA"/>
        </w:rPr>
      </w:pPr>
      <w:r>
        <w:rPr>
          <w:rFonts w:ascii="Times New Roman" w:eastAsia="Times New Roman" w:hAnsi="Times New Roman" w:cs="Times New Roman"/>
          <w:sz w:val="22"/>
          <w:szCs w:val="22"/>
          <w:lang w:eastAsia="en-US" w:bidi="ar-SA"/>
        </w:rPr>
        <w:t>Visada vartokite šį vaistą tiksliai kaip nurodė gydytojas. Jeigu abejojate, kreipkitės į gydytoją arba vaistininką.</w:t>
      </w:r>
    </w:p>
    <w:p w:rsidR="00844F54" w:rsidRDefault="00844F54">
      <w:pPr>
        <w:tabs>
          <w:tab w:val="left" w:pos="567"/>
        </w:tabs>
        <w:suppressAutoHyphens w:val="0"/>
        <w:textAlignment w:val="auto"/>
        <w:rPr>
          <w:rFonts w:ascii="Times New Roman" w:eastAsia="Times New Roman" w:hAnsi="Times New Roman" w:cs="Times New Roman"/>
          <w:sz w:val="22"/>
          <w:szCs w:val="22"/>
          <w:lang w:eastAsia="en-US" w:bidi="ar-SA"/>
        </w:rPr>
      </w:pPr>
    </w:p>
    <w:p w:rsidR="00844F54" w:rsidRDefault="001558A7">
      <w:pPr>
        <w:tabs>
          <w:tab w:val="left" w:pos="567"/>
        </w:tabs>
        <w:suppressAutoHyphens w:val="0"/>
        <w:textAlignment w:val="auto"/>
        <w:rPr>
          <w:rFonts w:ascii="Times New Roman" w:eastAsia="Times New Roman" w:hAnsi="Times New Roman" w:cs="Times New Roman"/>
          <w:sz w:val="22"/>
          <w:szCs w:val="22"/>
          <w:lang w:eastAsia="en-US" w:bidi="ar-SA"/>
        </w:rPr>
      </w:pPr>
      <w:r>
        <w:rPr>
          <w:rFonts w:ascii="Times New Roman" w:eastAsia="Times New Roman" w:hAnsi="Times New Roman" w:cs="Times New Roman"/>
          <w:sz w:val="22"/>
          <w:szCs w:val="22"/>
          <w:lang w:eastAsia="en-US" w:bidi="ar-SA"/>
        </w:rPr>
        <w:t>Prieš vartojimą geriamąją suspensiją reikia suplakti, kad ji taptų homogeniška.</w:t>
      </w:r>
    </w:p>
    <w:p w:rsidR="00844F54" w:rsidRDefault="00844F54">
      <w:pPr>
        <w:tabs>
          <w:tab w:val="left" w:pos="567"/>
        </w:tabs>
        <w:suppressAutoHyphens w:val="0"/>
        <w:textAlignment w:val="auto"/>
        <w:rPr>
          <w:rFonts w:ascii="Times New Roman" w:eastAsia="Times New Roman" w:hAnsi="Times New Roman" w:cs="Times New Roman"/>
          <w:sz w:val="22"/>
          <w:szCs w:val="22"/>
          <w:lang w:eastAsia="en-US" w:bidi="ar-SA"/>
        </w:rPr>
      </w:pPr>
    </w:p>
    <w:p w:rsidR="00844F54" w:rsidRDefault="001558A7">
      <w:pPr>
        <w:tabs>
          <w:tab w:val="left" w:pos="567"/>
        </w:tabs>
        <w:suppressAutoHyphens w:val="0"/>
        <w:textAlignment w:val="auto"/>
        <w:rPr>
          <w:rFonts w:ascii="Times New Roman" w:eastAsia="Times New Roman" w:hAnsi="Times New Roman" w:cs="Times New Roman"/>
          <w:sz w:val="22"/>
          <w:szCs w:val="22"/>
          <w:lang w:eastAsia="en-US" w:bidi="ar-SA"/>
        </w:rPr>
      </w:pPr>
      <w:r>
        <w:rPr>
          <w:rFonts w:ascii="Times New Roman" w:eastAsia="Times New Roman" w:hAnsi="Times New Roman" w:cs="Times New Roman"/>
          <w:sz w:val="22"/>
          <w:szCs w:val="22"/>
          <w:lang w:eastAsia="en-US" w:bidi="ar-SA"/>
        </w:rPr>
        <w:t>EPITRIM reikia vartoti užgeriant skysčiu po valgio, kad būtų sumažinta virškinimo trakto sutrikimų pasireiškimo rizika.</w:t>
      </w:r>
    </w:p>
    <w:p w:rsidR="00844F54" w:rsidRDefault="00844F54">
      <w:pPr>
        <w:tabs>
          <w:tab w:val="left" w:pos="567"/>
        </w:tabs>
        <w:suppressAutoHyphens w:val="0"/>
        <w:textAlignment w:val="auto"/>
        <w:rPr>
          <w:rFonts w:ascii="Times New Roman" w:eastAsia="Times New Roman" w:hAnsi="Times New Roman" w:cs="Times New Roman"/>
          <w:sz w:val="22"/>
          <w:szCs w:val="22"/>
          <w:lang w:eastAsia="en-US" w:bidi="ar-SA"/>
        </w:rPr>
      </w:pPr>
    </w:p>
    <w:p w:rsidR="00844F54" w:rsidRDefault="001558A7">
      <w:pPr>
        <w:tabs>
          <w:tab w:val="left" w:pos="567"/>
        </w:tabs>
        <w:suppressAutoHyphens w:val="0"/>
        <w:textAlignment w:val="auto"/>
        <w:rPr>
          <w:rFonts w:ascii="Times New Roman" w:eastAsia="Times New Roman" w:hAnsi="Times New Roman" w:cs="Times New Roman"/>
          <w:sz w:val="22"/>
          <w:szCs w:val="22"/>
          <w:lang w:eastAsia="en-US" w:bidi="ar-SA"/>
        </w:rPr>
      </w:pPr>
      <w:r>
        <w:rPr>
          <w:rFonts w:ascii="Times New Roman" w:eastAsia="Times New Roman" w:hAnsi="Times New Roman" w:cs="Times New Roman"/>
          <w:sz w:val="22"/>
          <w:szCs w:val="22"/>
          <w:lang w:eastAsia="en-US" w:bidi="ar-SA"/>
        </w:rPr>
        <w:t>Įprasta dozė:</w:t>
      </w:r>
    </w:p>
    <w:p w:rsidR="00844F54" w:rsidRDefault="00844F54">
      <w:pPr>
        <w:tabs>
          <w:tab w:val="left" w:pos="567"/>
        </w:tabs>
        <w:suppressAutoHyphens w:val="0"/>
        <w:textAlignment w:val="auto"/>
        <w:rPr>
          <w:rFonts w:ascii="Times New Roman" w:eastAsia="Times New Roman" w:hAnsi="Times New Roman" w:cs="Times New Roman"/>
          <w:sz w:val="22"/>
          <w:szCs w:val="22"/>
          <w:lang w:eastAsia="en-US" w:bidi="ar-SA"/>
        </w:rPr>
      </w:pPr>
    </w:p>
    <w:p w:rsidR="00844F54" w:rsidRDefault="001558A7">
      <w:pPr>
        <w:tabs>
          <w:tab w:val="left" w:pos="567"/>
        </w:tabs>
        <w:suppressAutoHyphens w:val="0"/>
        <w:textAlignment w:val="auto"/>
        <w:rPr>
          <w:rFonts w:ascii="Times New Roman" w:eastAsia="Times New Roman" w:hAnsi="Times New Roman" w:cs="Times New Roman"/>
          <w:sz w:val="22"/>
          <w:szCs w:val="22"/>
          <w:lang w:eastAsia="en-US" w:bidi="ar-SA"/>
        </w:rPr>
      </w:pPr>
      <w:r>
        <w:rPr>
          <w:rFonts w:ascii="Times New Roman" w:eastAsia="Times New Roman" w:hAnsi="Times New Roman" w:cs="Times New Roman"/>
          <w:sz w:val="22"/>
          <w:szCs w:val="22"/>
          <w:lang w:eastAsia="en-US" w:bidi="ar-SA"/>
        </w:rPr>
        <w:t>Suaugusiesiems</w:t>
      </w:r>
    </w:p>
    <w:p w:rsidR="00844F54" w:rsidRDefault="001558A7">
      <w:pPr>
        <w:tabs>
          <w:tab w:val="left" w:pos="567"/>
        </w:tabs>
        <w:suppressAutoHyphens w:val="0"/>
        <w:textAlignment w:val="auto"/>
        <w:rPr>
          <w:rFonts w:ascii="Times New Roman" w:eastAsia="Times New Roman" w:hAnsi="Times New Roman" w:cs="Times New Roman"/>
          <w:sz w:val="22"/>
          <w:szCs w:val="22"/>
          <w:lang w:eastAsia="en-US" w:bidi="ar-SA"/>
        </w:rPr>
      </w:pPr>
      <w:r>
        <w:rPr>
          <w:rFonts w:ascii="Times New Roman" w:eastAsia="Times New Roman" w:hAnsi="Times New Roman" w:cs="Times New Roman"/>
          <w:sz w:val="22"/>
          <w:szCs w:val="22"/>
          <w:lang w:eastAsia="en-US" w:bidi="ar-SA"/>
        </w:rPr>
        <w:t>Vartoti 20 ml geriamosios suspensijos kas 12 valandų.</w:t>
      </w:r>
    </w:p>
    <w:p w:rsidR="00844F54" w:rsidRDefault="001558A7">
      <w:pPr>
        <w:tabs>
          <w:tab w:val="left" w:pos="567"/>
        </w:tabs>
        <w:suppressAutoHyphens w:val="0"/>
        <w:textAlignment w:val="auto"/>
        <w:rPr>
          <w:rFonts w:ascii="Times New Roman" w:eastAsia="Times New Roman" w:hAnsi="Times New Roman" w:cs="Times New Roman"/>
          <w:sz w:val="22"/>
          <w:szCs w:val="22"/>
          <w:lang w:eastAsia="en-US" w:bidi="ar-SA"/>
        </w:rPr>
      </w:pPr>
      <w:r>
        <w:rPr>
          <w:rFonts w:ascii="Times New Roman" w:eastAsia="Times New Roman" w:hAnsi="Times New Roman" w:cs="Times New Roman"/>
          <w:sz w:val="22"/>
          <w:szCs w:val="22"/>
          <w:lang w:eastAsia="en-US" w:bidi="ar-SA"/>
        </w:rPr>
        <w:t>Įprasta dozė suaugusiesiems yra 6 mg trimetoprimo ir 30 mg sulfametoksazolo 1 kg kūno svorio per parą.</w:t>
      </w:r>
    </w:p>
    <w:p w:rsidR="00844F54" w:rsidRDefault="00844F54">
      <w:pPr>
        <w:tabs>
          <w:tab w:val="left" w:pos="567"/>
        </w:tabs>
        <w:suppressAutoHyphens w:val="0"/>
        <w:textAlignment w:val="auto"/>
        <w:rPr>
          <w:rFonts w:ascii="Times New Roman" w:eastAsia="Times New Roman" w:hAnsi="Times New Roman" w:cs="Times New Roman"/>
          <w:sz w:val="22"/>
          <w:szCs w:val="22"/>
          <w:lang w:eastAsia="en-US" w:bidi="ar-SA"/>
        </w:rPr>
      </w:pPr>
    </w:p>
    <w:p w:rsidR="00844F54" w:rsidRDefault="001558A7">
      <w:pPr>
        <w:tabs>
          <w:tab w:val="left" w:pos="567"/>
        </w:tabs>
        <w:suppressAutoHyphens w:val="0"/>
        <w:textAlignment w:val="auto"/>
        <w:rPr>
          <w:rFonts w:ascii="Times New Roman" w:eastAsia="Times New Roman" w:hAnsi="Times New Roman" w:cs="Times New Roman"/>
          <w:sz w:val="22"/>
          <w:szCs w:val="22"/>
          <w:lang w:eastAsia="en-US" w:bidi="ar-SA"/>
        </w:rPr>
      </w:pPr>
      <w:r>
        <w:rPr>
          <w:rFonts w:ascii="Times New Roman" w:eastAsia="Times New Roman" w:hAnsi="Times New Roman" w:cs="Times New Roman"/>
          <w:sz w:val="22"/>
          <w:szCs w:val="22"/>
          <w:lang w:eastAsia="en-US" w:bidi="ar-SA"/>
        </w:rPr>
        <w:t>Vaikų populiacija</w:t>
      </w:r>
    </w:p>
    <w:p w:rsidR="00844F54" w:rsidRDefault="001558A7">
      <w:pPr>
        <w:tabs>
          <w:tab w:val="left" w:pos="567"/>
        </w:tabs>
        <w:suppressAutoHyphens w:val="0"/>
        <w:textAlignment w:val="auto"/>
        <w:rPr>
          <w:rFonts w:ascii="Times New Roman" w:eastAsia="Times New Roman" w:hAnsi="Times New Roman" w:cs="Times New Roman"/>
          <w:sz w:val="22"/>
          <w:szCs w:val="22"/>
          <w:lang w:eastAsia="en-US" w:bidi="ar-SA"/>
        </w:rPr>
      </w:pPr>
      <w:r>
        <w:rPr>
          <w:rFonts w:ascii="Times New Roman" w:eastAsia="Times New Roman" w:hAnsi="Times New Roman" w:cs="Times New Roman"/>
          <w:sz w:val="22"/>
          <w:szCs w:val="22"/>
          <w:lang w:eastAsia="en-US" w:bidi="ar-SA"/>
        </w:rPr>
        <w:t>Įprasta dozė vaikams yra apytiksliai 6 mg trimetoprimo ir 30 mg sulfametoksazolo kilogramui kūno svorio per parą.</w:t>
      </w:r>
    </w:p>
    <w:p w:rsidR="00844F54" w:rsidRDefault="00844F54">
      <w:pPr>
        <w:rPr>
          <w:rFonts w:ascii="Times New Roman" w:hAnsi="Times New Roman" w:cs="Times New Roman"/>
          <w:sz w:val="22"/>
          <w:szCs w:val="22"/>
        </w:rPr>
      </w:pPr>
    </w:p>
    <w:p w:rsidR="00844F54" w:rsidRDefault="001558A7">
      <w:pPr>
        <w:rPr>
          <w:rFonts w:ascii="Times New Roman" w:hAnsi="Times New Roman" w:cs="Times New Roman"/>
          <w:sz w:val="22"/>
          <w:szCs w:val="22"/>
        </w:rPr>
      </w:pPr>
      <w:r>
        <w:rPr>
          <w:rFonts w:ascii="Times New Roman" w:hAnsi="Times New Roman" w:cs="Times New Roman"/>
          <w:sz w:val="22"/>
          <w:szCs w:val="22"/>
        </w:rPr>
        <w:t>Dozavimas vaikams priklauso vaiko amžiaus, ir yra pateikiamas lentelėje žemiau:</w:t>
      </w:r>
    </w:p>
    <w:p w:rsidR="00844F54" w:rsidRDefault="00844F54">
      <w:pPr>
        <w:rPr>
          <w:rFonts w:ascii="Times New Roman" w:hAnsi="Times New Roman" w:cs="Times New Roman"/>
          <w:sz w:val="22"/>
          <w:szCs w:val="22"/>
        </w:rPr>
      </w:pPr>
    </w:p>
    <w:tbl>
      <w:tblPr>
        <w:tblW w:w="9286" w:type="dxa"/>
        <w:tblInd w:w="5" w:type="dxa"/>
        <w:tblLayout w:type="fixed"/>
        <w:tblCellMar>
          <w:left w:w="10" w:type="dxa"/>
          <w:right w:w="10" w:type="dxa"/>
        </w:tblCellMar>
        <w:tblLook w:val="0000" w:firstRow="0" w:lastRow="0" w:firstColumn="0" w:lastColumn="0" w:noHBand="0" w:noVBand="0"/>
      </w:tblPr>
      <w:tblGrid>
        <w:gridCol w:w="4643"/>
        <w:gridCol w:w="4643"/>
      </w:tblGrid>
      <w:tr w:rsidR="00844F54">
        <w:tc>
          <w:tcPr>
            <w:tcW w:w="92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4F54" w:rsidRDefault="001558A7">
            <w:pPr>
              <w:keepNext/>
              <w:widowControl w:val="0"/>
              <w:jc w:val="center"/>
              <w:rPr>
                <w:rFonts w:ascii="Times New Roman" w:hAnsi="Times New Roman" w:cs="Times New Roman"/>
                <w:sz w:val="22"/>
                <w:szCs w:val="22"/>
              </w:rPr>
            </w:pPr>
            <w:r>
              <w:rPr>
                <w:rFonts w:ascii="Times New Roman" w:hAnsi="Times New Roman" w:cs="Times New Roman"/>
                <w:sz w:val="22"/>
                <w:szCs w:val="22"/>
              </w:rPr>
              <w:lastRenderedPageBreak/>
              <w:t>Įprasta dozė</w:t>
            </w:r>
          </w:p>
        </w:tc>
      </w:tr>
      <w:tr w:rsidR="00844F54">
        <w:tc>
          <w:tcPr>
            <w:tcW w:w="4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4F54" w:rsidRDefault="001558A7">
            <w:pPr>
              <w:keepNext/>
              <w:widowControl w:val="0"/>
              <w:rPr>
                <w:rFonts w:ascii="Times New Roman" w:hAnsi="Times New Roman" w:cs="Times New Roman"/>
                <w:b/>
                <w:sz w:val="22"/>
                <w:szCs w:val="22"/>
              </w:rPr>
            </w:pPr>
            <w:r>
              <w:rPr>
                <w:rFonts w:ascii="Times New Roman" w:hAnsi="Times New Roman" w:cs="Times New Roman"/>
                <w:b/>
                <w:sz w:val="22"/>
                <w:szCs w:val="22"/>
              </w:rPr>
              <w:t>Amžius</w:t>
            </w:r>
          </w:p>
        </w:tc>
        <w:tc>
          <w:tcPr>
            <w:tcW w:w="4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4F54" w:rsidRDefault="001558A7">
            <w:pPr>
              <w:keepNext/>
              <w:widowControl w:val="0"/>
              <w:rPr>
                <w:rFonts w:ascii="Times New Roman" w:hAnsi="Times New Roman" w:cs="Times New Roman"/>
                <w:b/>
                <w:sz w:val="22"/>
                <w:szCs w:val="22"/>
              </w:rPr>
            </w:pPr>
            <w:r>
              <w:rPr>
                <w:rFonts w:ascii="Times New Roman" w:hAnsi="Times New Roman" w:cs="Times New Roman"/>
                <w:b/>
                <w:sz w:val="22"/>
                <w:szCs w:val="22"/>
              </w:rPr>
              <w:t>Geriamosios suspensijos tūris ir vartojimo dažnis</w:t>
            </w:r>
          </w:p>
        </w:tc>
      </w:tr>
      <w:tr w:rsidR="00844F54">
        <w:tc>
          <w:tcPr>
            <w:tcW w:w="4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4F54" w:rsidRDefault="001558A7">
            <w:pPr>
              <w:keepNext/>
              <w:widowControl w:val="0"/>
              <w:rPr>
                <w:rFonts w:ascii="Times New Roman" w:hAnsi="Times New Roman" w:cs="Times New Roman"/>
                <w:sz w:val="22"/>
                <w:szCs w:val="22"/>
              </w:rPr>
            </w:pPr>
            <w:r>
              <w:rPr>
                <w:rFonts w:ascii="Times New Roman" w:hAnsi="Times New Roman" w:cs="Times New Roman"/>
                <w:sz w:val="22"/>
                <w:szCs w:val="22"/>
              </w:rPr>
              <w:t>Vyresni kaip 12 metų</w:t>
            </w:r>
          </w:p>
        </w:tc>
        <w:tc>
          <w:tcPr>
            <w:tcW w:w="4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4F54" w:rsidRDefault="001558A7">
            <w:pPr>
              <w:keepNext/>
              <w:widowControl w:val="0"/>
              <w:rPr>
                <w:rFonts w:ascii="Times New Roman" w:hAnsi="Times New Roman" w:cs="Times New Roman"/>
                <w:sz w:val="22"/>
                <w:szCs w:val="22"/>
              </w:rPr>
            </w:pPr>
            <w:r>
              <w:rPr>
                <w:rFonts w:ascii="Times New Roman" w:hAnsi="Times New Roman" w:cs="Times New Roman"/>
                <w:sz w:val="22"/>
                <w:szCs w:val="22"/>
              </w:rPr>
              <w:t>20 ml kas 12 valandų</w:t>
            </w:r>
          </w:p>
        </w:tc>
      </w:tr>
      <w:tr w:rsidR="00844F54">
        <w:tc>
          <w:tcPr>
            <w:tcW w:w="4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4F54" w:rsidRDefault="001558A7">
            <w:pPr>
              <w:widowControl w:val="0"/>
              <w:rPr>
                <w:rFonts w:ascii="Times New Roman" w:hAnsi="Times New Roman" w:cs="Times New Roman"/>
                <w:sz w:val="22"/>
                <w:szCs w:val="22"/>
              </w:rPr>
            </w:pPr>
            <w:r>
              <w:rPr>
                <w:rFonts w:ascii="Times New Roman" w:hAnsi="Times New Roman" w:cs="Times New Roman"/>
                <w:sz w:val="22"/>
                <w:szCs w:val="22"/>
              </w:rPr>
              <w:t>Nuo 6 iki 12 metų</w:t>
            </w:r>
          </w:p>
        </w:tc>
        <w:tc>
          <w:tcPr>
            <w:tcW w:w="4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4F54" w:rsidRDefault="001558A7">
            <w:pPr>
              <w:widowControl w:val="0"/>
              <w:rPr>
                <w:rFonts w:ascii="Times New Roman" w:hAnsi="Times New Roman" w:cs="Times New Roman"/>
                <w:sz w:val="22"/>
                <w:szCs w:val="22"/>
              </w:rPr>
            </w:pPr>
            <w:r>
              <w:rPr>
                <w:rFonts w:ascii="Times New Roman" w:hAnsi="Times New Roman" w:cs="Times New Roman"/>
                <w:sz w:val="22"/>
                <w:szCs w:val="22"/>
              </w:rPr>
              <w:t>10 ml kas 12 valandų</w:t>
            </w:r>
          </w:p>
        </w:tc>
      </w:tr>
      <w:tr w:rsidR="00844F54">
        <w:tc>
          <w:tcPr>
            <w:tcW w:w="4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4F54" w:rsidRDefault="001558A7">
            <w:pPr>
              <w:widowControl w:val="0"/>
              <w:rPr>
                <w:rFonts w:ascii="Times New Roman" w:hAnsi="Times New Roman" w:cs="Times New Roman"/>
                <w:sz w:val="22"/>
                <w:szCs w:val="22"/>
              </w:rPr>
            </w:pPr>
            <w:r>
              <w:rPr>
                <w:rFonts w:ascii="Times New Roman" w:hAnsi="Times New Roman" w:cs="Times New Roman"/>
                <w:sz w:val="22"/>
                <w:szCs w:val="22"/>
              </w:rPr>
              <w:t>Nuo 6 mėnesių iki 5 metų</w:t>
            </w:r>
          </w:p>
        </w:tc>
        <w:tc>
          <w:tcPr>
            <w:tcW w:w="4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4F54" w:rsidRDefault="001558A7">
            <w:pPr>
              <w:widowControl w:val="0"/>
              <w:rPr>
                <w:rFonts w:ascii="Times New Roman" w:hAnsi="Times New Roman" w:cs="Times New Roman"/>
                <w:sz w:val="22"/>
                <w:szCs w:val="22"/>
              </w:rPr>
            </w:pPr>
            <w:r>
              <w:rPr>
                <w:rFonts w:ascii="Times New Roman" w:hAnsi="Times New Roman" w:cs="Times New Roman"/>
                <w:sz w:val="22"/>
                <w:szCs w:val="22"/>
              </w:rPr>
              <w:t>5 ml kas 12 valandų</w:t>
            </w:r>
          </w:p>
        </w:tc>
      </w:tr>
      <w:tr w:rsidR="00844F54">
        <w:tc>
          <w:tcPr>
            <w:tcW w:w="4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4F54" w:rsidRDefault="001558A7">
            <w:pPr>
              <w:widowControl w:val="0"/>
              <w:rPr>
                <w:rFonts w:ascii="Times New Roman" w:hAnsi="Times New Roman" w:cs="Times New Roman"/>
                <w:sz w:val="22"/>
                <w:szCs w:val="22"/>
              </w:rPr>
            </w:pPr>
            <w:r>
              <w:rPr>
                <w:rFonts w:ascii="Times New Roman" w:hAnsi="Times New Roman" w:cs="Times New Roman"/>
                <w:sz w:val="22"/>
                <w:szCs w:val="22"/>
              </w:rPr>
              <w:t>Nuo 6 savaičių iki 5 mėnesių</w:t>
            </w:r>
          </w:p>
        </w:tc>
        <w:tc>
          <w:tcPr>
            <w:tcW w:w="4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4F54" w:rsidRDefault="001558A7">
            <w:pPr>
              <w:widowControl w:val="0"/>
              <w:rPr>
                <w:rFonts w:ascii="Times New Roman" w:hAnsi="Times New Roman" w:cs="Times New Roman"/>
                <w:sz w:val="22"/>
                <w:szCs w:val="22"/>
              </w:rPr>
            </w:pPr>
            <w:r>
              <w:rPr>
                <w:rFonts w:ascii="Times New Roman" w:hAnsi="Times New Roman" w:cs="Times New Roman"/>
                <w:sz w:val="22"/>
                <w:szCs w:val="22"/>
              </w:rPr>
              <w:t>2,5 ml kas 12 valandų</w:t>
            </w:r>
          </w:p>
        </w:tc>
      </w:tr>
      <w:tr w:rsidR="00844F54">
        <w:tc>
          <w:tcPr>
            <w:tcW w:w="4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4F54" w:rsidRDefault="001558A7">
            <w:pPr>
              <w:widowControl w:val="0"/>
              <w:rPr>
                <w:rFonts w:ascii="Times New Roman" w:hAnsi="Times New Roman" w:cs="Times New Roman"/>
                <w:sz w:val="22"/>
                <w:szCs w:val="22"/>
              </w:rPr>
            </w:pPr>
            <w:r>
              <w:rPr>
                <w:rFonts w:ascii="Times New Roman" w:hAnsi="Times New Roman" w:cs="Times New Roman"/>
                <w:sz w:val="22"/>
                <w:szCs w:val="22"/>
              </w:rPr>
              <w:t>Mažiau nei 6 savaitės</w:t>
            </w:r>
          </w:p>
        </w:tc>
        <w:tc>
          <w:tcPr>
            <w:tcW w:w="4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4F54" w:rsidRDefault="001558A7">
            <w:pPr>
              <w:widowControl w:val="0"/>
              <w:rPr>
                <w:rFonts w:ascii="Times New Roman" w:hAnsi="Times New Roman" w:cs="Times New Roman"/>
                <w:sz w:val="22"/>
                <w:szCs w:val="22"/>
              </w:rPr>
            </w:pPr>
            <w:r>
              <w:rPr>
                <w:rFonts w:ascii="Times New Roman" w:hAnsi="Times New Roman" w:cs="Times New Roman"/>
                <w:sz w:val="22"/>
                <w:szCs w:val="22"/>
              </w:rPr>
              <w:t>Vartoti draudžiama</w:t>
            </w:r>
          </w:p>
        </w:tc>
      </w:tr>
    </w:tbl>
    <w:p w:rsidR="00844F54" w:rsidRDefault="00844F54">
      <w:pPr>
        <w:tabs>
          <w:tab w:val="left" w:pos="567"/>
        </w:tabs>
        <w:suppressAutoHyphens w:val="0"/>
        <w:textAlignment w:val="auto"/>
        <w:rPr>
          <w:rFonts w:ascii="Times New Roman" w:eastAsia="Times New Roman" w:hAnsi="Times New Roman" w:cs="Times New Roman"/>
          <w:sz w:val="22"/>
          <w:szCs w:val="22"/>
          <w:lang w:eastAsia="en-US" w:bidi="ar-SA"/>
        </w:rPr>
      </w:pPr>
    </w:p>
    <w:p w:rsidR="00844F54" w:rsidRDefault="001558A7">
      <w:pPr>
        <w:tabs>
          <w:tab w:val="left" w:pos="567"/>
        </w:tabs>
        <w:suppressAutoHyphens w:val="0"/>
        <w:textAlignment w:val="auto"/>
        <w:rPr>
          <w:rFonts w:ascii="Times New Roman" w:eastAsia="Times New Roman" w:hAnsi="Times New Roman" w:cs="Times New Roman"/>
          <w:sz w:val="22"/>
          <w:szCs w:val="22"/>
          <w:lang w:eastAsia="en-US" w:bidi="ar-SA"/>
        </w:rPr>
      </w:pPr>
      <w:r>
        <w:rPr>
          <w:rFonts w:ascii="Times New Roman" w:eastAsia="Times New Roman" w:hAnsi="Times New Roman" w:cs="Times New Roman"/>
          <w:sz w:val="22"/>
          <w:szCs w:val="22"/>
          <w:lang w:eastAsia="en-US" w:bidi="ar-SA"/>
        </w:rPr>
        <w:t>Gydymą reikia tęsti, kol pacientas dvi paras nejaus infekcijos simptomų; daugumai pacientų vaisto reikia vartoti mažiausiai 5 paras. Jei po 7 gydymo parų klinikinio pagerėjimo negauta, reikia iš naujo apsvarstyti paciento būklę ir gydymą.</w:t>
      </w:r>
    </w:p>
    <w:p w:rsidR="00844F54" w:rsidRDefault="00844F54">
      <w:pPr>
        <w:tabs>
          <w:tab w:val="left" w:pos="567"/>
        </w:tabs>
        <w:suppressAutoHyphens w:val="0"/>
        <w:textAlignment w:val="auto"/>
        <w:rPr>
          <w:rFonts w:ascii="Times New Roman" w:eastAsia="Times New Roman" w:hAnsi="Times New Roman" w:cs="Times New Roman"/>
          <w:sz w:val="22"/>
          <w:szCs w:val="22"/>
          <w:lang w:eastAsia="en-US" w:bidi="ar-SA"/>
        </w:rPr>
      </w:pPr>
    </w:p>
    <w:p w:rsidR="00844F54" w:rsidRDefault="001558A7">
      <w:pPr>
        <w:tabs>
          <w:tab w:val="left" w:pos="567"/>
        </w:tabs>
        <w:suppressAutoHyphens w:val="0"/>
        <w:textAlignment w:val="auto"/>
        <w:rPr>
          <w:rFonts w:hint="eastAsia"/>
        </w:rPr>
      </w:pPr>
      <w:r>
        <w:rPr>
          <w:rFonts w:ascii="Times New Roman" w:eastAsia="Times New Roman" w:hAnsi="Times New Roman" w:cs="Times New Roman"/>
          <w:i/>
          <w:sz w:val="22"/>
          <w:szCs w:val="22"/>
          <w:lang w:eastAsia="en-US" w:bidi="ar-SA"/>
        </w:rPr>
        <w:t>Pneumocystis jiroveci</w:t>
      </w:r>
      <w:r>
        <w:rPr>
          <w:rFonts w:ascii="Times New Roman" w:eastAsia="Times New Roman" w:hAnsi="Times New Roman" w:cs="Times New Roman"/>
          <w:sz w:val="22"/>
          <w:szCs w:val="22"/>
          <w:lang w:eastAsia="en-US" w:bidi="ar-SA"/>
        </w:rPr>
        <w:t xml:space="preserve"> sukeltas plaučių uždegimas</w:t>
      </w:r>
    </w:p>
    <w:p w:rsidR="00844F54" w:rsidRDefault="001558A7">
      <w:pPr>
        <w:tabs>
          <w:tab w:val="left" w:pos="567"/>
        </w:tabs>
        <w:suppressAutoHyphens w:val="0"/>
        <w:textAlignment w:val="auto"/>
        <w:rPr>
          <w:rFonts w:hint="eastAsia"/>
        </w:rPr>
      </w:pPr>
      <w:r>
        <w:rPr>
          <w:rFonts w:ascii="Times New Roman" w:eastAsia="Times New Roman" w:hAnsi="Times New Roman" w:cs="Times New Roman"/>
          <w:iCs/>
          <w:sz w:val="22"/>
          <w:szCs w:val="22"/>
          <w:lang w:eastAsia="en-US" w:bidi="ar-SA"/>
        </w:rPr>
        <w:t xml:space="preserve">Rekomenduojama vartoti didesnę dozę, t.y. </w:t>
      </w:r>
      <w:r>
        <w:rPr>
          <w:rFonts w:ascii="Times New Roman" w:eastAsia="Times New Roman" w:hAnsi="Times New Roman" w:cs="Times New Roman"/>
          <w:sz w:val="22"/>
          <w:szCs w:val="22"/>
          <w:lang w:eastAsia="en-US" w:bidi="ar-SA"/>
        </w:rPr>
        <w:t>20 mg trimetoprimo ir 100 mg sulfametoksazolo 1 kg kūno svorio per parą per du ar daugiau kartų dvi savaites.</w:t>
      </w:r>
    </w:p>
    <w:p w:rsidR="00844F54" w:rsidRDefault="00844F54">
      <w:pPr>
        <w:tabs>
          <w:tab w:val="left" w:pos="567"/>
        </w:tabs>
        <w:suppressAutoHyphens w:val="0"/>
        <w:textAlignment w:val="auto"/>
        <w:rPr>
          <w:rFonts w:ascii="Times New Roman" w:eastAsia="Times New Roman" w:hAnsi="Times New Roman" w:cs="Times New Roman"/>
          <w:sz w:val="22"/>
          <w:szCs w:val="22"/>
          <w:lang w:eastAsia="en-US" w:bidi="ar-SA"/>
        </w:rPr>
      </w:pPr>
    </w:p>
    <w:p w:rsidR="00844F54" w:rsidRDefault="001558A7">
      <w:pPr>
        <w:tabs>
          <w:tab w:val="left" w:pos="567"/>
        </w:tabs>
        <w:suppressAutoHyphens w:val="0"/>
        <w:textAlignment w:val="auto"/>
        <w:rPr>
          <w:rFonts w:ascii="Times New Roman" w:eastAsia="Times New Roman" w:hAnsi="Times New Roman" w:cs="Times New Roman"/>
          <w:sz w:val="22"/>
          <w:szCs w:val="22"/>
          <w:lang w:eastAsia="en-US" w:bidi="ar-SA"/>
        </w:rPr>
      </w:pPr>
      <w:r>
        <w:rPr>
          <w:rFonts w:ascii="Times New Roman" w:eastAsia="Times New Roman" w:hAnsi="Times New Roman" w:cs="Times New Roman"/>
          <w:sz w:val="22"/>
          <w:szCs w:val="22"/>
          <w:lang w:eastAsia="en-US" w:bidi="ar-SA"/>
        </w:rPr>
        <w:t>Kepenų ar inkstų nepakankamumu sergantiems pacientams</w:t>
      </w:r>
    </w:p>
    <w:p w:rsidR="00844F54" w:rsidRDefault="001558A7">
      <w:pPr>
        <w:tabs>
          <w:tab w:val="left" w:pos="567"/>
        </w:tabs>
        <w:suppressAutoHyphens w:val="0"/>
        <w:textAlignment w:val="auto"/>
        <w:rPr>
          <w:rFonts w:ascii="Times New Roman" w:eastAsia="Times New Roman" w:hAnsi="Times New Roman" w:cs="Times New Roman"/>
          <w:sz w:val="22"/>
          <w:szCs w:val="22"/>
          <w:lang w:eastAsia="en-US" w:bidi="ar-SA"/>
        </w:rPr>
      </w:pPr>
      <w:r>
        <w:rPr>
          <w:rFonts w:ascii="Times New Roman" w:eastAsia="Times New Roman" w:hAnsi="Times New Roman" w:cs="Times New Roman"/>
          <w:sz w:val="22"/>
          <w:szCs w:val="22"/>
          <w:lang w:eastAsia="en-US" w:bidi="ar-SA"/>
        </w:rPr>
        <w:t>Jei kreatinino klirensas yra 15</w:t>
      </w:r>
      <w:r>
        <w:rPr>
          <w:rFonts w:ascii="Times New Roman" w:eastAsia="Times New Roman" w:hAnsi="Times New Roman" w:cs="Times New Roman"/>
          <w:sz w:val="22"/>
          <w:szCs w:val="22"/>
          <w:lang w:eastAsia="en-US" w:bidi="ar-SA"/>
        </w:rPr>
        <w:noBreakHyphen/>
        <w:t>30 ml/min., reikia vartoti pusę įprastinės dozės.</w:t>
      </w:r>
    </w:p>
    <w:p w:rsidR="00844F54" w:rsidRDefault="00844F54">
      <w:pPr>
        <w:tabs>
          <w:tab w:val="left" w:pos="567"/>
        </w:tabs>
        <w:suppressAutoHyphens w:val="0"/>
        <w:textAlignment w:val="auto"/>
        <w:rPr>
          <w:rFonts w:ascii="Times New Roman" w:eastAsia="Times New Roman" w:hAnsi="Times New Roman" w:cs="Times New Roman"/>
          <w:sz w:val="22"/>
          <w:szCs w:val="22"/>
          <w:lang w:eastAsia="en-US" w:bidi="ar-SA"/>
        </w:rPr>
      </w:pPr>
    </w:p>
    <w:p w:rsidR="00844F54" w:rsidRDefault="001558A7">
      <w:pPr>
        <w:rPr>
          <w:rFonts w:ascii="Times New Roman" w:hAnsi="Times New Roman" w:cs="Times New Roman"/>
          <w:b/>
          <w:bCs/>
          <w:sz w:val="22"/>
          <w:szCs w:val="22"/>
        </w:rPr>
      </w:pPr>
      <w:r>
        <w:rPr>
          <w:rFonts w:ascii="Times New Roman" w:hAnsi="Times New Roman" w:cs="Times New Roman"/>
          <w:b/>
          <w:bCs/>
          <w:sz w:val="22"/>
          <w:szCs w:val="22"/>
        </w:rPr>
        <w:t>Ką daryti pavartojus per didelę EPITRIM dozę?</w:t>
      </w:r>
    </w:p>
    <w:p w:rsidR="00844F54" w:rsidRDefault="001558A7">
      <w:pPr>
        <w:tabs>
          <w:tab w:val="left" w:pos="567"/>
        </w:tabs>
        <w:suppressAutoHyphens w:val="0"/>
        <w:textAlignment w:val="auto"/>
        <w:rPr>
          <w:rFonts w:ascii="Times New Roman" w:eastAsia="Times New Roman" w:hAnsi="Times New Roman" w:cs="Times New Roman"/>
          <w:sz w:val="22"/>
          <w:szCs w:val="22"/>
          <w:lang w:eastAsia="en-US" w:bidi="ar-SA"/>
        </w:rPr>
      </w:pPr>
      <w:r>
        <w:rPr>
          <w:rFonts w:ascii="Times New Roman" w:eastAsia="Times New Roman" w:hAnsi="Times New Roman" w:cs="Times New Roman"/>
          <w:sz w:val="22"/>
          <w:szCs w:val="22"/>
          <w:lang w:eastAsia="en-US" w:bidi="ar-SA"/>
        </w:rPr>
        <w:t>Jei pavartojote didesnę vaisto dozę nei rekomenduojama, nedelsiant kreipkitės į gydytoją arba vaistininką.</w:t>
      </w:r>
    </w:p>
    <w:p w:rsidR="00844F54" w:rsidRDefault="00844F54">
      <w:pPr>
        <w:tabs>
          <w:tab w:val="left" w:pos="567"/>
        </w:tabs>
        <w:suppressAutoHyphens w:val="0"/>
        <w:textAlignment w:val="auto"/>
        <w:rPr>
          <w:rFonts w:ascii="Times New Roman" w:eastAsia="Times New Roman" w:hAnsi="Times New Roman" w:cs="Times New Roman"/>
          <w:sz w:val="22"/>
          <w:szCs w:val="22"/>
          <w:lang w:eastAsia="en-US" w:bidi="ar-SA"/>
        </w:rPr>
      </w:pPr>
    </w:p>
    <w:p w:rsidR="00844F54" w:rsidRDefault="001558A7">
      <w:pPr>
        <w:rPr>
          <w:rFonts w:ascii="Times New Roman" w:hAnsi="Times New Roman" w:cs="Times New Roman"/>
          <w:b/>
          <w:bCs/>
          <w:sz w:val="22"/>
          <w:szCs w:val="22"/>
        </w:rPr>
      </w:pPr>
      <w:r>
        <w:rPr>
          <w:rFonts w:ascii="Times New Roman" w:hAnsi="Times New Roman" w:cs="Times New Roman"/>
          <w:b/>
          <w:bCs/>
          <w:sz w:val="22"/>
          <w:szCs w:val="22"/>
        </w:rPr>
        <w:t>Pamiršus pavartoti EPITRIM</w:t>
      </w:r>
    </w:p>
    <w:p w:rsidR="00844F54" w:rsidRDefault="001558A7">
      <w:pPr>
        <w:tabs>
          <w:tab w:val="left" w:pos="567"/>
        </w:tabs>
        <w:suppressAutoHyphens w:val="0"/>
        <w:textAlignment w:val="auto"/>
        <w:rPr>
          <w:rFonts w:ascii="Times New Roman" w:eastAsia="Times New Roman" w:hAnsi="Times New Roman" w:cs="Times New Roman"/>
          <w:sz w:val="22"/>
          <w:szCs w:val="22"/>
          <w:lang w:eastAsia="en-US" w:bidi="ar-SA"/>
        </w:rPr>
      </w:pPr>
      <w:r>
        <w:rPr>
          <w:rFonts w:ascii="Times New Roman" w:eastAsia="Times New Roman" w:hAnsi="Times New Roman" w:cs="Times New Roman"/>
          <w:sz w:val="22"/>
          <w:szCs w:val="22"/>
          <w:lang w:eastAsia="en-US" w:bidi="ar-SA"/>
        </w:rPr>
        <w:t>Negalima vartoti dvigubos dozės norint kompensuoti praleistą dozę.</w:t>
      </w:r>
    </w:p>
    <w:p w:rsidR="00844F54" w:rsidRDefault="00844F54">
      <w:pPr>
        <w:tabs>
          <w:tab w:val="left" w:pos="567"/>
        </w:tabs>
        <w:suppressAutoHyphens w:val="0"/>
        <w:textAlignment w:val="auto"/>
        <w:rPr>
          <w:rFonts w:ascii="Times New Roman" w:eastAsia="Times New Roman" w:hAnsi="Times New Roman" w:cs="Times New Roman"/>
          <w:sz w:val="22"/>
          <w:szCs w:val="22"/>
          <w:lang w:eastAsia="en-US" w:bidi="ar-SA"/>
        </w:rPr>
      </w:pPr>
    </w:p>
    <w:p w:rsidR="00844F54" w:rsidRDefault="00844F54">
      <w:pPr>
        <w:tabs>
          <w:tab w:val="left" w:pos="567"/>
        </w:tabs>
        <w:suppressAutoHyphens w:val="0"/>
        <w:textAlignment w:val="auto"/>
        <w:rPr>
          <w:rFonts w:ascii="Times New Roman" w:eastAsia="Times New Roman" w:hAnsi="Times New Roman" w:cs="Times New Roman"/>
          <w:sz w:val="22"/>
          <w:szCs w:val="22"/>
          <w:lang w:eastAsia="en-US" w:bidi="ar-SA"/>
        </w:rPr>
      </w:pPr>
    </w:p>
    <w:p w:rsidR="00844F54" w:rsidRDefault="001558A7">
      <w:pPr>
        <w:tabs>
          <w:tab w:val="left" w:pos="1134"/>
        </w:tabs>
        <w:ind w:left="567" w:hanging="567"/>
        <w:rPr>
          <w:rFonts w:ascii="Times New Roman" w:eastAsia="Times New Roman" w:hAnsi="Times New Roman" w:cs="Times New Roman"/>
          <w:b/>
          <w:sz w:val="22"/>
          <w:szCs w:val="22"/>
        </w:rPr>
      </w:pPr>
      <w:bookmarkStart w:id="6" w:name="_Toc129243267"/>
      <w:bookmarkStart w:id="7" w:name="_Toc129243142"/>
      <w:r>
        <w:rPr>
          <w:rFonts w:ascii="Times New Roman" w:eastAsia="Times New Roman" w:hAnsi="Times New Roman" w:cs="Times New Roman"/>
          <w:b/>
          <w:sz w:val="22"/>
          <w:szCs w:val="22"/>
        </w:rPr>
        <w:t>4.</w:t>
      </w:r>
      <w:r>
        <w:rPr>
          <w:rFonts w:ascii="Times New Roman" w:eastAsia="Times New Roman" w:hAnsi="Times New Roman" w:cs="Times New Roman"/>
          <w:b/>
          <w:sz w:val="22"/>
          <w:szCs w:val="22"/>
        </w:rPr>
        <w:tab/>
        <w:t>Galimas šalutinis poveikis</w:t>
      </w:r>
      <w:bookmarkEnd w:id="6"/>
      <w:bookmarkEnd w:id="7"/>
    </w:p>
    <w:p w:rsidR="00844F54" w:rsidRDefault="00844F54">
      <w:pPr>
        <w:tabs>
          <w:tab w:val="left" w:pos="567"/>
        </w:tabs>
        <w:suppressAutoHyphens w:val="0"/>
        <w:textAlignment w:val="auto"/>
        <w:rPr>
          <w:rFonts w:ascii="Times New Roman" w:eastAsia="Times New Roman" w:hAnsi="Times New Roman" w:cs="Times New Roman"/>
          <w:sz w:val="22"/>
          <w:szCs w:val="22"/>
          <w:lang w:eastAsia="en-US" w:bidi="ar-SA"/>
        </w:rPr>
      </w:pPr>
    </w:p>
    <w:p w:rsidR="00844F54" w:rsidRDefault="001558A7">
      <w:pPr>
        <w:tabs>
          <w:tab w:val="left" w:pos="567"/>
        </w:tabs>
        <w:suppressAutoHyphens w:val="0"/>
        <w:textAlignment w:val="auto"/>
        <w:rPr>
          <w:rFonts w:ascii="Times New Roman" w:eastAsia="Times New Roman" w:hAnsi="Times New Roman" w:cs="Times New Roman"/>
          <w:sz w:val="22"/>
          <w:szCs w:val="22"/>
          <w:lang w:eastAsia="en-US" w:bidi="ar-SA"/>
        </w:rPr>
      </w:pPr>
      <w:r>
        <w:rPr>
          <w:rFonts w:ascii="Times New Roman" w:eastAsia="Times New Roman" w:hAnsi="Times New Roman" w:cs="Times New Roman"/>
          <w:sz w:val="22"/>
          <w:szCs w:val="22"/>
          <w:lang w:eastAsia="en-US" w:bidi="ar-SA"/>
        </w:rPr>
        <w:t>Šis vaistas, kaip ir visi kiti, gali sukelti šalutinį poveikį, nors jis pasireiškia ne visiems žmonėms.</w:t>
      </w:r>
    </w:p>
    <w:p w:rsidR="00844F54" w:rsidRDefault="00844F54">
      <w:pPr>
        <w:tabs>
          <w:tab w:val="left" w:pos="567"/>
        </w:tabs>
        <w:suppressAutoHyphens w:val="0"/>
        <w:textAlignment w:val="auto"/>
        <w:rPr>
          <w:rFonts w:ascii="Times New Roman" w:eastAsia="Times New Roman" w:hAnsi="Times New Roman" w:cs="Times New Roman"/>
          <w:sz w:val="22"/>
          <w:szCs w:val="22"/>
          <w:lang w:eastAsia="en-US" w:bidi="ar-SA"/>
        </w:rPr>
      </w:pPr>
    </w:p>
    <w:p w:rsidR="00844F54" w:rsidRDefault="001558A7">
      <w:pPr>
        <w:tabs>
          <w:tab w:val="left" w:pos="567"/>
        </w:tabs>
        <w:suppressAutoHyphens w:val="0"/>
        <w:textAlignment w:val="auto"/>
        <w:rPr>
          <w:rFonts w:ascii="Times New Roman" w:eastAsia="Times New Roman" w:hAnsi="Times New Roman" w:cs="Times New Roman"/>
          <w:sz w:val="22"/>
          <w:szCs w:val="22"/>
          <w:lang w:eastAsia="en-US" w:bidi="ar-SA"/>
        </w:rPr>
      </w:pPr>
      <w:r>
        <w:rPr>
          <w:rFonts w:ascii="Times New Roman" w:eastAsia="Times New Roman" w:hAnsi="Times New Roman" w:cs="Times New Roman"/>
          <w:sz w:val="22"/>
          <w:szCs w:val="22"/>
          <w:lang w:eastAsia="en-US" w:bidi="ar-SA"/>
        </w:rPr>
        <w:t>Nepageidaujamas poveikis, kuris gali pasireikšti vartojant EPITRIM, pateikiamas mažėjančio sunkumo tvarka naudojant tokius dažnio apibūdinimus.</w:t>
      </w:r>
    </w:p>
    <w:p w:rsidR="00844F54" w:rsidRDefault="00844F54">
      <w:pPr>
        <w:tabs>
          <w:tab w:val="left" w:pos="567"/>
        </w:tabs>
        <w:suppressAutoHyphens w:val="0"/>
        <w:textAlignment w:val="auto"/>
        <w:rPr>
          <w:rFonts w:ascii="Times New Roman" w:eastAsia="Times New Roman" w:hAnsi="Times New Roman" w:cs="Times New Roman"/>
          <w:sz w:val="22"/>
          <w:szCs w:val="22"/>
          <w:lang w:eastAsia="en-US" w:bidi="ar-SA"/>
        </w:rPr>
      </w:pPr>
    </w:p>
    <w:p w:rsidR="00844F54" w:rsidRDefault="001558A7">
      <w:pPr>
        <w:tabs>
          <w:tab w:val="left" w:pos="567"/>
        </w:tabs>
        <w:suppressAutoHyphens w:val="0"/>
        <w:textAlignment w:val="auto"/>
        <w:rPr>
          <w:rFonts w:ascii="Times New Roman" w:eastAsia="Times New Roman" w:hAnsi="Times New Roman" w:cs="Times New Roman"/>
          <w:b/>
          <w:bCs/>
          <w:sz w:val="22"/>
          <w:szCs w:val="22"/>
          <w:lang w:eastAsia="en-US" w:bidi="ar-SA"/>
        </w:rPr>
      </w:pPr>
      <w:r>
        <w:rPr>
          <w:rFonts w:ascii="Times New Roman" w:eastAsia="Times New Roman" w:hAnsi="Times New Roman" w:cs="Times New Roman"/>
          <w:b/>
          <w:bCs/>
          <w:sz w:val="22"/>
          <w:szCs w:val="22"/>
          <w:lang w:eastAsia="en-US" w:bidi="ar-SA"/>
        </w:rPr>
        <w:t>Labai dažni šalutinio poveikio reiškiniai (gali pasireikšti ne rečiau kaip 1 iš 10 asmenų):</w:t>
      </w:r>
    </w:p>
    <w:p w:rsidR="00844F54" w:rsidRDefault="001558A7">
      <w:pPr>
        <w:tabs>
          <w:tab w:val="left" w:pos="567"/>
        </w:tabs>
        <w:suppressAutoHyphens w:val="0"/>
        <w:textAlignment w:val="auto"/>
        <w:rPr>
          <w:rFonts w:ascii="Times New Roman" w:eastAsia="Times New Roman" w:hAnsi="Times New Roman" w:cs="Times New Roman"/>
          <w:sz w:val="22"/>
          <w:szCs w:val="22"/>
          <w:lang w:eastAsia="en-US" w:bidi="ar-SA"/>
        </w:rPr>
      </w:pPr>
      <w:r>
        <w:rPr>
          <w:rFonts w:ascii="Times New Roman" w:eastAsia="Times New Roman" w:hAnsi="Times New Roman" w:cs="Times New Roman"/>
          <w:sz w:val="22"/>
          <w:szCs w:val="22"/>
          <w:lang w:eastAsia="en-US" w:bidi="ar-SA"/>
        </w:rPr>
        <w:t>-</w:t>
      </w:r>
      <w:r>
        <w:rPr>
          <w:rFonts w:ascii="Times New Roman" w:eastAsia="Times New Roman" w:hAnsi="Times New Roman" w:cs="Times New Roman"/>
          <w:sz w:val="22"/>
          <w:szCs w:val="22"/>
          <w:lang w:eastAsia="en-US" w:bidi="ar-SA"/>
        </w:rPr>
        <w:tab/>
        <w:t>hiperkalemija.</w:t>
      </w:r>
    </w:p>
    <w:p w:rsidR="00844F54" w:rsidRDefault="00844F54">
      <w:pPr>
        <w:tabs>
          <w:tab w:val="left" w:pos="567"/>
        </w:tabs>
        <w:suppressAutoHyphens w:val="0"/>
        <w:textAlignment w:val="auto"/>
        <w:rPr>
          <w:rFonts w:ascii="Times New Roman" w:eastAsia="Times New Roman" w:hAnsi="Times New Roman" w:cs="Times New Roman"/>
          <w:sz w:val="22"/>
          <w:szCs w:val="22"/>
          <w:lang w:eastAsia="en-US" w:bidi="ar-SA"/>
        </w:rPr>
      </w:pPr>
    </w:p>
    <w:p w:rsidR="00844F54" w:rsidRDefault="001558A7">
      <w:pPr>
        <w:tabs>
          <w:tab w:val="left" w:pos="567"/>
        </w:tabs>
        <w:suppressAutoHyphens w:val="0"/>
        <w:textAlignment w:val="auto"/>
        <w:rPr>
          <w:rFonts w:ascii="Times New Roman" w:eastAsia="Times New Roman" w:hAnsi="Times New Roman" w:cs="Times New Roman"/>
          <w:b/>
          <w:bCs/>
          <w:sz w:val="22"/>
          <w:szCs w:val="22"/>
          <w:lang w:eastAsia="en-US" w:bidi="ar-SA"/>
        </w:rPr>
      </w:pPr>
      <w:r>
        <w:rPr>
          <w:rFonts w:ascii="Times New Roman" w:eastAsia="Times New Roman" w:hAnsi="Times New Roman" w:cs="Times New Roman"/>
          <w:b/>
          <w:bCs/>
          <w:sz w:val="22"/>
          <w:szCs w:val="22"/>
          <w:lang w:eastAsia="en-US" w:bidi="ar-SA"/>
        </w:rPr>
        <w:t>Dažni šalutinio poveikio reiškiniai (gali pasireikšti rečiau kaip 1 iš 10 asmenų):</w:t>
      </w:r>
    </w:p>
    <w:p w:rsidR="00844F54" w:rsidRDefault="001558A7">
      <w:pPr>
        <w:tabs>
          <w:tab w:val="left" w:pos="567"/>
        </w:tabs>
        <w:suppressAutoHyphens w:val="0"/>
        <w:textAlignment w:val="auto"/>
        <w:rPr>
          <w:rFonts w:ascii="Times New Roman" w:eastAsia="Times New Roman" w:hAnsi="Times New Roman" w:cs="Times New Roman"/>
          <w:sz w:val="22"/>
          <w:szCs w:val="22"/>
          <w:lang w:eastAsia="en-US" w:bidi="ar-SA"/>
        </w:rPr>
      </w:pPr>
      <w:r>
        <w:rPr>
          <w:rFonts w:ascii="Times New Roman" w:eastAsia="Times New Roman" w:hAnsi="Times New Roman" w:cs="Times New Roman"/>
          <w:sz w:val="22"/>
          <w:szCs w:val="22"/>
          <w:lang w:eastAsia="en-US" w:bidi="ar-SA"/>
        </w:rPr>
        <w:t>-</w:t>
      </w:r>
      <w:r>
        <w:rPr>
          <w:rFonts w:ascii="Times New Roman" w:eastAsia="Times New Roman" w:hAnsi="Times New Roman" w:cs="Times New Roman"/>
          <w:sz w:val="22"/>
          <w:szCs w:val="22"/>
          <w:lang w:eastAsia="en-US" w:bidi="ar-SA"/>
        </w:rPr>
        <w:tab/>
        <w:t>mieliagrybių sukeliamos infekcijos paūmėjimas;</w:t>
      </w:r>
    </w:p>
    <w:p w:rsidR="00844F54" w:rsidRDefault="001558A7">
      <w:pPr>
        <w:tabs>
          <w:tab w:val="left" w:pos="567"/>
        </w:tabs>
        <w:suppressAutoHyphens w:val="0"/>
        <w:textAlignment w:val="auto"/>
        <w:rPr>
          <w:rFonts w:ascii="Times New Roman" w:eastAsia="Times New Roman" w:hAnsi="Times New Roman" w:cs="Times New Roman"/>
          <w:sz w:val="22"/>
          <w:szCs w:val="22"/>
          <w:lang w:eastAsia="en-US" w:bidi="ar-SA"/>
        </w:rPr>
      </w:pPr>
      <w:r>
        <w:rPr>
          <w:rFonts w:ascii="Times New Roman" w:eastAsia="Times New Roman" w:hAnsi="Times New Roman" w:cs="Times New Roman"/>
          <w:sz w:val="22"/>
          <w:szCs w:val="22"/>
          <w:lang w:eastAsia="en-US" w:bidi="ar-SA"/>
        </w:rPr>
        <w:t>-</w:t>
      </w:r>
      <w:r>
        <w:rPr>
          <w:rFonts w:ascii="Times New Roman" w:eastAsia="Times New Roman" w:hAnsi="Times New Roman" w:cs="Times New Roman"/>
          <w:sz w:val="22"/>
          <w:szCs w:val="22"/>
          <w:lang w:eastAsia="en-US" w:bidi="ar-SA"/>
        </w:rPr>
        <w:tab/>
        <w:t>galvos skausmas;</w:t>
      </w:r>
    </w:p>
    <w:p w:rsidR="00844F54" w:rsidRDefault="001558A7">
      <w:pPr>
        <w:tabs>
          <w:tab w:val="left" w:pos="567"/>
        </w:tabs>
        <w:suppressAutoHyphens w:val="0"/>
        <w:textAlignment w:val="auto"/>
        <w:rPr>
          <w:rFonts w:ascii="Times New Roman" w:eastAsia="Times New Roman" w:hAnsi="Times New Roman" w:cs="Times New Roman"/>
          <w:sz w:val="22"/>
          <w:szCs w:val="22"/>
          <w:lang w:eastAsia="en-US" w:bidi="ar-SA"/>
        </w:rPr>
      </w:pPr>
      <w:r>
        <w:rPr>
          <w:rFonts w:ascii="Times New Roman" w:eastAsia="Times New Roman" w:hAnsi="Times New Roman" w:cs="Times New Roman"/>
          <w:sz w:val="22"/>
          <w:szCs w:val="22"/>
          <w:lang w:eastAsia="en-US" w:bidi="ar-SA"/>
        </w:rPr>
        <w:t>-</w:t>
      </w:r>
      <w:r>
        <w:rPr>
          <w:rFonts w:ascii="Times New Roman" w:eastAsia="Times New Roman" w:hAnsi="Times New Roman" w:cs="Times New Roman"/>
          <w:sz w:val="22"/>
          <w:szCs w:val="22"/>
          <w:lang w:eastAsia="en-US" w:bidi="ar-SA"/>
        </w:rPr>
        <w:tab/>
        <w:t>pykinimas, viduriavimas;</w:t>
      </w:r>
    </w:p>
    <w:p w:rsidR="00844F54" w:rsidRDefault="001558A7">
      <w:pPr>
        <w:tabs>
          <w:tab w:val="left" w:pos="567"/>
        </w:tabs>
        <w:suppressAutoHyphens w:val="0"/>
        <w:textAlignment w:val="auto"/>
        <w:rPr>
          <w:rFonts w:ascii="Times New Roman" w:eastAsia="Times New Roman" w:hAnsi="Times New Roman" w:cs="Times New Roman"/>
          <w:sz w:val="22"/>
          <w:szCs w:val="22"/>
          <w:lang w:eastAsia="en-US" w:bidi="ar-SA"/>
        </w:rPr>
      </w:pPr>
      <w:r>
        <w:rPr>
          <w:rFonts w:ascii="Times New Roman" w:eastAsia="Times New Roman" w:hAnsi="Times New Roman" w:cs="Times New Roman"/>
          <w:sz w:val="22"/>
          <w:szCs w:val="22"/>
          <w:lang w:eastAsia="en-US" w:bidi="ar-SA"/>
        </w:rPr>
        <w:t>-</w:t>
      </w:r>
      <w:r>
        <w:rPr>
          <w:rFonts w:ascii="Times New Roman" w:eastAsia="Times New Roman" w:hAnsi="Times New Roman" w:cs="Times New Roman"/>
          <w:sz w:val="22"/>
          <w:szCs w:val="22"/>
          <w:lang w:eastAsia="en-US" w:bidi="ar-SA"/>
        </w:rPr>
        <w:tab/>
        <w:t>odos išbėrimas.</w:t>
      </w:r>
    </w:p>
    <w:p w:rsidR="00844F54" w:rsidRDefault="00844F54">
      <w:pPr>
        <w:tabs>
          <w:tab w:val="left" w:pos="567"/>
        </w:tabs>
        <w:suppressAutoHyphens w:val="0"/>
        <w:textAlignment w:val="auto"/>
        <w:rPr>
          <w:rFonts w:ascii="Times New Roman" w:eastAsia="Times New Roman" w:hAnsi="Times New Roman" w:cs="Times New Roman"/>
          <w:sz w:val="22"/>
          <w:szCs w:val="22"/>
          <w:lang w:eastAsia="en-US" w:bidi="ar-SA"/>
        </w:rPr>
      </w:pPr>
    </w:p>
    <w:p w:rsidR="00844F54" w:rsidRDefault="001558A7">
      <w:pPr>
        <w:tabs>
          <w:tab w:val="left" w:pos="567"/>
        </w:tabs>
        <w:suppressAutoHyphens w:val="0"/>
        <w:textAlignment w:val="auto"/>
        <w:rPr>
          <w:rFonts w:ascii="Times New Roman" w:eastAsia="Times New Roman" w:hAnsi="Times New Roman" w:cs="Times New Roman"/>
          <w:b/>
          <w:bCs/>
          <w:sz w:val="22"/>
          <w:szCs w:val="22"/>
          <w:lang w:eastAsia="en-US" w:bidi="ar-SA"/>
        </w:rPr>
      </w:pPr>
      <w:r>
        <w:rPr>
          <w:rFonts w:ascii="Times New Roman" w:eastAsia="Times New Roman" w:hAnsi="Times New Roman" w:cs="Times New Roman"/>
          <w:b/>
          <w:bCs/>
          <w:sz w:val="22"/>
          <w:szCs w:val="22"/>
          <w:lang w:eastAsia="en-US" w:bidi="ar-SA"/>
        </w:rPr>
        <w:t>Nedažni šalutinio poveikio reiškiniai (gali pasireikšti rečiau kaip 1 iš 100 asmenų):</w:t>
      </w:r>
    </w:p>
    <w:p w:rsidR="00844F54" w:rsidRDefault="001558A7">
      <w:pPr>
        <w:numPr>
          <w:ilvl w:val="0"/>
          <w:numId w:val="2"/>
        </w:numPr>
        <w:tabs>
          <w:tab w:val="left" w:pos="567"/>
        </w:tabs>
        <w:suppressAutoHyphens w:val="0"/>
        <w:textAlignment w:val="auto"/>
        <w:rPr>
          <w:rFonts w:ascii="Times New Roman" w:eastAsia="Times New Roman" w:hAnsi="Times New Roman" w:cs="Times New Roman"/>
          <w:sz w:val="22"/>
          <w:szCs w:val="22"/>
          <w:lang w:eastAsia="en-US" w:bidi="ar-SA"/>
        </w:rPr>
      </w:pPr>
      <w:r>
        <w:rPr>
          <w:rFonts w:ascii="Times New Roman" w:eastAsia="Times New Roman" w:hAnsi="Times New Roman" w:cs="Times New Roman"/>
          <w:sz w:val="22"/>
          <w:szCs w:val="22"/>
          <w:lang w:eastAsia="en-US" w:bidi="ar-SA"/>
        </w:rPr>
        <w:t>vėmimas.</w:t>
      </w:r>
    </w:p>
    <w:p w:rsidR="00844F54" w:rsidRDefault="00844F54">
      <w:pPr>
        <w:tabs>
          <w:tab w:val="left" w:pos="567"/>
        </w:tabs>
        <w:suppressAutoHyphens w:val="0"/>
        <w:textAlignment w:val="auto"/>
        <w:rPr>
          <w:rFonts w:ascii="Times New Roman" w:eastAsia="Times New Roman" w:hAnsi="Times New Roman" w:cs="Times New Roman"/>
          <w:sz w:val="22"/>
          <w:szCs w:val="22"/>
          <w:lang w:eastAsia="en-US" w:bidi="ar-SA"/>
        </w:rPr>
      </w:pPr>
    </w:p>
    <w:p w:rsidR="00844F54" w:rsidRDefault="001558A7">
      <w:pPr>
        <w:keepNext/>
        <w:tabs>
          <w:tab w:val="left" w:pos="567"/>
        </w:tabs>
        <w:suppressAutoHyphens w:val="0"/>
        <w:textAlignment w:val="auto"/>
        <w:rPr>
          <w:rFonts w:ascii="Times New Roman" w:eastAsia="Times New Roman" w:hAnsi="Times New Roman" w:cs="Times New Roman"/>
          <w:b/>
          <w:bCs/>
          <w:sz w:val="22"/>
          <w:szCs w:val="22"/>
          <w:lang w:eastAsia="en-US" w:bidi="ar-SA"/>
        </w:rPr>
      </w:pPr>
      <w:r>
        <w:rPr>
          <w:rFonts w:ascii="Times New Roman" w:eastAsia="Times New Roman" w:hAnsi="Times New Roman" w:cs="Times New Roman"/>
          <w:b/>
          <w:bCs/>
          <w:sz w:val="22"/>
          <w:szCs w:val="22"/>
          <w:lang w:eastAsia="en-US" w:bidi="ar-SA"/>
        </w:rPr>
        <w:lastRenderedPageBreak/>
        <w:t>Labai reti šalutinio poveikio reiškiniai (gali pasireikšti rečiau kaip 1 iš 10 000 asmenų):</w:t>
      </w:r>
    </w:p>
    <w:p w:rsidR="00844F54" w:rsidRDefault="001558A7">
      <w:pPr>
        <w:keepNext/>
        <w:numPr>
          <w:ilvl w:val="0"/>
          <w:numId w:val="2"/>
        </w:numPr>
        <w:tabs>
          <w:tab w:val="left" w:pos="567"/>
        </w:tabs>
        <w:suppressAutoHyphens w:val="0"/>
        <w:textAlignment w:val="auto"/>
        <w:rPr>
          <w:rFonts w:ascii="Times New Roman" w:eastAsia="Times New Roman" w:hAnsi="Times New Roman" w:cs="Times New Roman"/>
          <w:sz w:val="22"/>
          <w:szCs w:val="22"/>
          <w:lang w:eastAsia="en-US" w:bidi="ar-SA"/>
        </w:rPr>
      </w:pPr>
      <w:r>
        <w:rPr>
          <w:rFonts w:ascii="Times New Roman" w:eastAsia="Times New Roman" w:hAnsi="Times New Roman" w:cs="Times New Roman"/>
          <w:sz w:val="22"/>
          <w:szCs w:val="22"/>
          <w:lang w:eastAsia="en-US" w:bidi="ar-SA"/>
        </w:rPr>
        <w:t>leukopenija, neutropenija, trombocitopenija, agranulocitozė, megaloblastinė anemija, aplazinė anemija, hemolizinė anemija, methemoglobinemija, eozinofilija, purpura, hemolizė tam tikriems pacientams, kuriems įtariama gliukozės-6-fosfato dehidrogenazės (G-6-PD) stoka.</w:t>
      </w:r>
    </w:p>
    <w:p w:rsidR="00844F54" w:rsidRDefault="001558A7">
      <w:pPr>
        <w:tabs>
          <w:tab w:val="left" w:pos="567"/>
        </w:tabs>
        <w:suppressAutoHyphens w:val="0"/>
        <w:ind w:left="567"/>
        <w:textAlignment w:val="auto"/>
        <w:rPr>
          <w:rFonts w:ascii="Times New Roman" w:eastAsia="Times New Roman" w:hAnsi="Times New Roman" w:cs="Times New Roman"/>
          <w:sz w:val="22"/>
          <w:szCs w:val="22"/>
          <w:lang w:eastAsia="en-US" w:bidi="ar-SA"/>
        </w:rPr>
      </w:pPr>
      <w:r>
        <w:rPr>
          <w:rFonts w:ascii="Times New Roman" w:eastAsia="Times New Roman" w:hAnsi="Times New Roman" w:cs="Times New Roman"/>
          <w:sz w:val="22"/>
          <w:szCs w:val="22"/>
          <w:lang w:eastAsia="en-US" w:bidi="ar-SA"/>
        </w:rPr>
        <w:t>Dauguma šių sutrikimų yra lengvi ir praeina nutraukus gydymą. Dauguma šių pokyčių nesukelia jokių klinikinių simptomų, tačiau pavieniais atvejais jie gali tapti sunkūs, ypač senyviems asmenims, kuriems yra sutrikusi kepenų ar inkstų veikla arba kurių organizme yra folatų stoka. Rizikos grupių pacientų tarpe buvo mirčių atvejų, todėl šiuos pacientus reikia atidžiai stebėti;</w:t>
      </w:r>
    </w:p>
    <w:p w:rsidR="00844F54" w:rsidRDefault="001558A7">
      <w:pPr>
        <w:tabs>
          <w:tab w:val="left" w:pos="567"/>
        </w:tabs>
        <w:suppressAutoHyphens w:val="0"/>
        <w:ind w:left="567" w:hanging="567"/>
        <w:textAlignment w:val="auto"/>
        <w:rPr>
          <w:rFonts w:ascii="Times New Roman" w:eastAsia="Times New Roman" w:hAnsi="Times New Roman" w:cs="Times New Roman"/>
          <w:sz w:val="22"/>
          <w:szCs w:val="22"/>
          <w:lang w:eastAsia="en-US" w:bidi="ar-SA"/>
        </w:rPr>
      </w:pPr>
      <w:r>
        <w:rPr>
          <w:rFonts w:ascii="Times New Roman" w:eastAsia="Times New Roman" w:hAnsi="Times New Roman" w:cs="Times New Roman"/>
          <w:sz w:val="22"/>
          <w:szCs w:val="22"/>
          <w:lang w:eastAsia="en-US" w:bidi="ar-SA"/>
        </w:rPr>
        <w:t>-</w:t>
      </w:r>
      <w:r>
        <w:rPr>
          <w:rFonts w:ascii="Times New Roman" w:eastAsia="Times New Roman" w:hAnsi="Times New Roman" w:cs="Times New Roman"/>
          <w:sz w:val="22"/>
          <w:szCs w:val="22"/>
          <w:lang w:eastAsia="en-US" w:bidi="ar-SA"/>
        </w:rPr>
        <w:tab/>
        <w:t>seruminė liga, anafilaksija, alerginis miokarditas, angioneurozinė edema, vaisto sukeltas karščiavimas, į Henoch-Schoenlein purpurą panašus alerginis vaskulitas, mazginis periarteritas, sisteminė raudonoji vilkligė;</w:t>
      </w:r>
    </w:p>
    <w:p w:rsidR="00844F54" w:rsidRDefault="001558A7">
      <w:pPr>
        <w:tabs>
          <w:tab w:val="left" w:pos="567"/>
        </w:tabs>
        <w:suppressAutoHyphens w:val="0"/>
        <w:textAlignment w:val="auto"/>
        <w:rPr>
          <w:rFonts w:ascii="Times New Roman" w:eastAsia="Times New Roman" w:hAnsi="Times New Roman" w:cs="Times New Roman"/>
          <w:sz w:val="22"/>
          <w:szCs w:val="22"/>
          <w:lang w:eastAsia="en-US" w:bidi="ar-SA"/>
        </w:rPr>
      </w:pPr>
      <w:r>
        <w:rPr>
          <w:rFonts w:ascii="Times New Roman" w:eastAsia="Times New Roman" w:hAnsi="Times New Roman" w:cs="Times New Roman"/>
          <w:sz w:val="22"/>
          <w:szCs w:val="22"/>
          <w:lang w:eastAsia="en-US" w:bidi="ar-SA"/>
        </w:rPr>
        <w:t>-</w:t>
      </w:r>
      <w:r>
        <w:rPr>
          <w:rFonts w:ascii="Times New Roman" w:eastAsia="Times New Roman" w:hAnsi="Times New Roman" w:cs="Times New Roman"/>
          <w:sz w:val="22"/>
          <w:szCs w:val="22"/>
          <w:lang w:eastAsia="en-US" w:bidi="ar-SA"/>
        </w:rPr>
        <w:tab/>
        <w:t>hipoglikemija, hiponatremija, anoreksija.</w:t>
      </w:r>
    </w:p>
    <w:p w:rsidR="00844F54" w:rsidRDefault="001558A7">
      <w:pPr>
        <w:tabs>
          <w:tab w:val="left" w:pos="567"/>
        </w:tabs>
        <w:suppressAutoHyphens w:val="0"/>
        <w:ind w:left="567"/>
        <w:textAlignment w:val="auto"/>
        <w:rPr>
          <w:rFonts w:ascii="Times New Roman" w:eastAsia="Times New Roman" w:hAnsi="Times New Roman" w:cs="Times New Roman"/>
          <w:sz w:val="22"/>
          <w:szCs w:val="22"/>
          <w:lang w:eastAsia="en-US" w:bidi="ar-SA"/>
        </w:rPr>
      </w:pPr>
      <w:r>
        <w:rPr>
          <w:rFonts w:ascii="Times New Roman" w:eastAsia="Times New Roman" w:hAnsi="Times New Roman" w:cs="Times New Roman"/>
          <w:sz w:val="22"/>
          <w:szCs w:val="22"/>
          <w:lang w:eastAsia="en-US" w:bidi="ar-SA"/>
        </w:rPr>
        <w:t>Kai kotrimoksazolio vartoja senyvi asmenys arba kai vartojama didelė jo dozė, šiuos pacientus rekomenduojama atidžiai stebėti, kadangi jiems gali padidėti hiperkalemijos ir hipernatremijos pasireiškimo rizika;</w:t>
      </w:r>
    </w:p>
    <w:p w:rsidR="00844F54" w:rsidRDefault="001558A7">
      <w:pPr>
        <w:tabs>
          <w:tab w:val="left" w:pos="567"/>
        </w:tabs>
        <w:suppressAutoHyphens w:val="0"/>
        <w:textAlignment w:val="auto"/>
        <w:rPr>
          <w:rFonts w:ascii="Times New Roman" w:eastAsia="Times New Roman" w:hAnsi="Times New Roman" w:cs="Times New Roman"/>
          <w:sz w:val="22"/>
          <w:szCs w:val="22"/>
          <w:lang w:eastAsia="en-US" w:bidi="ar-SA"/>
        </w:rPr>
      </w:pPr>
      <w:r>
        <w:rPr>
          <w:rFonts w:ascii="Times New Roman" w:eastAsia="Times New Roman" w:hAnsi="Times New Roman" w:cs="Times New Roman"/>
          <w:sz w:val="22"/>
          <w:szCs w:val="22"/>
          <w:lang w:eastAsia="en-US" w:bidi="ar-SA"/>
        </w:rPr>
        <w:t>-</w:t>
      </w:r>
      <w:r>
        <w:rPr>
          <w:rFonts w:ascii="Times New Roman" w:eastAsia="Times New Roman" w:hAnsi="Times New Roman" w:cs="Times New Roman"/>
          <w:sz w:val="22"/>
          <w:szCs w:val="22"/>
          <w:lang w:eastAsia="en-US" w:bidi="ar-SA"/>
        </w:rPr>
        <w:tab/>
        <w:t>depresija, haliucinacijos;</w:t>
      </w:r>
    </w:p>
    <w:p w:rsidR="00844F54" w:rsidRDefault="001558A7">
      <w:pPr>
        <w:tabs>
          <w:tab w:val="left" w:pos="567"/>
        </w:tabs>
        <w:suppressAutoHyphens w:val="0"/>
        <w:ind w:left="567" w:hanging="567"/>
        <w:textAlignment w:val="auto"/>
        <w:rPr>
          <w:rFonts w:ascii="Times New Roman" w:eastAsia="Times New Roman" w:hAnsi="Times New Roman" w:cs="Times New Roman"/>
          <w:sz w:val="22"/>
          <w:szCs w:val="22"/>
          <w:lang w:eastAsia="en-US" w:bidi="ar-SA"/>
        </w:rPr>
      </w:pPr>
      <w:r>
        <w:rPr>
          <w:rFonts w:ascii="Times New Roman" w:eastAsia="Times New Roman" w:hAnsi="Times New Roman" w:cs="Times New Roman"/>
          <w:sz w:val="22"/>
          <w:szCs w:val="22"/>
          <w:lang w:eastAsia="en-US" w:bidi="ar-SA"/>
        </w:rPr>
        <w:t>-</w:t>
      </w:r>
      <w:r>
        <w:rPr>
          <w:rFonts w:ascii="Times New Roman" w:eastAsia="Times New Roman" w:hAnsi="Times New Roman" w:cs="Times New Roman"/>
          <w:sz w:val="22"/>
          <w:szCs w:val="22"/>
          <w:lang w:eastAsia="en-US" w:bidi="ar-SA"/>
        </w:rPr>
        <w:tab/>
        <w:t>aseptinis meningitas, traukuliai, periferinė neuropatija, ataksija, svaigulys, spengimas ausyse, galvos svaigimas.</w:t>
      </w:r>
    </w:p>
    <w:p w:rsidR="00844F54" w:rsidRDefault="001558A7">
      <w:pPr>
        <w:tabs>
          <w:tab w:val="left" w:pos="567"/>
        </w:tabs>
        <w:suppressAutoHyphens w:val="0"/>
        <w:ind w:left="567"/>
        <w:textAlignment w:val="auto"/>
        <w:rPr>
          <w:rFonts w:ascii="Times New Roman" w:eastAsia="Times New Roman" w:hAnsi="Times New Roman" w:cs="Times New Roman"/>
          <w:sz w:val="22"/>
          <w:szCs w:val="22"/>
          <w:lang w:eastAsia="en-US" w:bidi="ar-SA"/>
        </w:rPr>
      </w:pPr>
      <w:r>
        <w:rPr>
          <w:rFonts w:ascii="Times New Roman" w:eastAsia="Times New Roman" w:hAnsi="Times New Roman" w:cs="Times New Roman"/>
          <w:sz w:val="22"/>
          <w:szCs w:val="22"/>
          <w:lang w:eastAsia="en-US" w:bidi="ar-SA"/>
        </w:rPr>
        <w:t>Nutraukus vaisto vartojimą, aseptinis meningitas greitai išnyko, tačiau daugeliu atvejų vėl atsinaujino pradėjus vartoti kotrimoksazolio ar vien tik trimetoprimo;</w:t>
      </w:r>
    </w:p>
    <w:p w:rsidR="00844F54" w:rsidRDefault="001558A7">
      <w:pPr>
        <w:numPr>
          <w:ilvl w:val="0"/>
          <w:numId w:val="2"/>
        </w:numPr>
        <w:tabs>
          <w:tab w:val="left" w:pos="567"/>
        </w:tabs>
        <w:suppressAutoHyphens w:val="0"/>
        <w:textAlignment w:val="auto"/>
        <w:rPr>
          <w:rFonts w:ascii="Times New Roman" w:eastAsia="Times New Roman" w:hAnsi="Times New Roman" w:cs="Times New Roman"/>
          <w:sz w:val="22"/>
          <w:szCs w:val="22"/>
          <w:lang w:eastAsia="en-US" w:bidi="ar-SA"/>
        </w:rPr>
      </w:pPr>
      <w:r>
        <w:rPr>
          <w:rFonts w:ascii="Times New Roman" w:eastAsia="Times New Roman" w:hAnsi="Times New Roman" w:cs="Times New Roman"/>
          <w:sz w:val="22"/>
          <w:szCs w:val="22"/>
          <w:lang w:eastAsia="en-US" w:bidi="ar-SA"/>
        </w:rPr>
        <w:t>kosulys, dusulys, plaučių infiltratai.</w:t>
      </w:r>
    </w:p>
    <w:p w:rsidR="00844F54" w:rsidRDefault="001558A7">
      <w:pPr>
        <w:tabs>
          <w:tab w:val="left" w:pos="567"/>
        </w:tabs>
        <w:suppressAutoHyphens w:val="0"/>
        <w:ind w:left="567"/>
        <w:textAlignment w:val="auto"/>
        <w:rPr>
          <w:rFonts w:ascii="Times New Roman" w:eastAsia="Times New Roman" w:hAnsi="Times New Roman" w:cs="Times New Roman"/>
          <w:sz w:val="22"/>
          <w:szCs w:val="22"/>
          <w:lang w:eastAsia="en-US" w:bidi="ar-SA"/>
        </w:rPr>
      </w:pPr>
      <w:r>
        <w:rPr>
          <w:rFonts w:ascii="Times New Roman" w:eastAsia="Times New Roman" w:hAnsi="Times New Roman" w:cs="Times New Roman"/>
          <w:sz w:val="22"/>
          <w:szCs w:val="22"/>
          <w:lang w:eastAsia="en-US" w:bidi="ar-SA"/>
        </w:rPr>
        <w:t>Pasireiškę kosulys, dusulys ir plaučių infiltratai gali būti ankstyvi padidėjusio kvėpavimo takų jautrumo, kuris labai retais atvejais lėmė pacientų mirtį, požymiai;</w:t>
      </w:r>
    </w:p>
    <w:p w:rsidR="00844F54" w:rsidRDefault="001558A7">
      <w:pPr>
        <w:tabs>
          <w:tab w:val="left" w:pos="567"/>
        </w:tabs>
        <w:suppressAutoHyphens w:val="0"/>
        <w:textAlignment w:val="auto"/>
        <w:rPr>
          <w:rFonts w:ascii="Times New Roman" w:eastAsia="Times New Roman" w:hAnsi="Times New Roman" w:cs="Times New Roman"/>
          <w:sz w:val="22"/>
          <w:szCs w:val="22"/>
          <w:lang w:eastAsia="en-US" w:bidi="ar-SA"/>
        </w:rPr>
      </w:pPr>
      <w:r>
        <w:rPr>
          <w:rFonts w:ascii="Times New Roman" w:eastAsia="Times New Roman" w:hAnsi="Times New Roman" w:cs="Times New Roman"/>
          <w:sz w:val="22"/>
          <w:szCs w:val="22"/>
          <w:lang w:eastAsia="en-US" w:bidi="ar-SA"/>
        </w:rPr>
        <w:t>-</w:t>
      </w:r>
      <w:r>
        <w:rPr>
          <w:rFonts w:ascii="Times New Roman" w:eastAsia="Times New Roman" w:hAnsi="Times New Roman" w:cs="Times New Roman"/>
          <w:sz w:val="22"/>
          <w:szCs w:val="22"/>
          <w:lang w:eastAsia="en-US" w:bidi="ar-SA"/>
        </w:rPr>
        <w:tab/>
        <w:t>glositas, stomatitas, pseudomembraninis kolitas, pankreatitas;</w:t>
      </w:r>
    </w:p>
    <w:p w:rsidR="00844F54" w:rsidRDefault="001558A7">
      <w:pPr>
        <w:tabs>
          <w:tab w:val="left" w:pos="567"/>
        </w:tabs>
        <w:suppressAutoHyphens w:val="0"/>
        <w:ind w:left="567" w:hanging="567"/>
        <w:textAlignment w:val="auto"/>
        <w:rPr>
          <w:rFonts w:ascii="Times New Roman" w:eastAsia="Times New Roman" w:hAnsi="Times New Roman" w:cs="Times New Roman"/>
          <w:sz w:val="22"/>
          <w:szCs w:val="22"/>
          <w:lang w:eastAsia="en-US" w:bidi="ar-SA"/>
        </w:rPr>
      </w:pPr>
      <w:r>
        <w:rPr>
          <w:rFonts w:ascii="Times New Roman" w:eastAsia="Times New Roman" w:hAnsi="Times New Roman" w:cs="Times New Roman"/>
          <w:sz w:val="22"/>
          <w:szCs w:val="22"/>
          <w:lang w:eastAsia="en-US" w:bidi="ar-SA"/>
        </w:rPr>
        <w:t>-</w:t>
      </w:r>
      <w:r>
        <w:rPr>
          <w:rFonts w:ascii="Times New Roman" w:eastAsia="Times New Roman" w:hAnsi="Times New Roman" w:cs="Times New Roman"/>
          <w:sz w:val="22"/>
          <w:szCs w:val="22"/>
          <w:lang w:eastAsia="en-US" w:bidi="ar-SA"/>
        </w:rPr>
        <w:tab/>
        <w:t>padidėjusi transaminazių koncentracija serume, padidėjusi bilirubino koncentracija, cholestazinė gelta, kepenų nekrozė.</w:t>
      </w:r>
    </w:p>
    <w:p w:rsidR="00844F54" w:rsidRDefault="001558A7">
      <w:pPr>
        <w:tabs>
          <w:tab w:val="left" w:pos="567"/>
        </w:tabs>
        <w:suppressAutoHyphens w:val="0"/>
        <w:textAlignment w:val="auto"/>
        <w:rPr>
          <w:rFonts w:ascii="Times New Roman" w:eastAsia="Times New Roman" w:hAnsi="Times New Roman" w:cs="Times New Roman"/>
          <w:sz w:val="22"/>
          <w:szCs w:val="22"/>
          <w:lang w:eastAsia="en-US" w:bidi="ar-SA"/>
        </w:rPr>
      </w:pPr>
      <w:r>
        <w:rPr>
          <w:rFonts w:ascii="Times New Roman" w:eastAsia="Times New Roman" w:hAnsi="Times New Roman" w:cs="Times New Roman"/>
          <w:sz w:val="22"/>
          <w:szCs w:val="22"/>
          <w:lang w:eastAsia="en-US" w:bidi="ar-SA"/>
        </w:rPr>
        <w:tab/>
        <w:t>Cholestazinė gelta ir kepenų nekrozė gali lemti mirtį;</w:t>
      </w:r>
    </w:p>
    <w:p w:rsidR="00844F54" w:rsidRDefault="001558A7">
      <w:pPr>
        <w:numPr>
          <w:ilvl w:val="0"/>
          <w:numId w:val="2"/>
        </w:numPr>
        <w:tabs>
          <w:tab w:val="left" w:pos="567"/>
        </w:tabs>
        <w:suppressAutoHyphens w:val="0"/>
        <w:textAlignment w:val="auto"/>
        <w:rPr>
          <w:rFonts w:hint="eastAsia"/>
        </w:rPr>
      </w:pPr>
      <w:r>
        <w:rPr>
          <w:rFonts w:ascii="Times New Roman" w:eastAsia="Times New Roman" w:hAnsi="Times New Roman" w:cs="Times New Roman"/>
          <w:sz w:val="22"/>
          <w:szCs w:val="22"/>
          <w:lang w:eastAsia="en-US" w:bidi="ar-SA"/>
        </w:rPr>
        <w:t>padidėjęs jautrumas šviesai, eksfoliacinis dermatitas, fiksuotos lokalizacijos vaisto sukeltas bėrimas, daugiaformė eritema, Stivenso-Džonsono (</w:t>
      </w:r>
      <w:r>
        <w:rPr>
          <w:rFonts w:ascii="Times New Roman" w:eastAsia="Times New Roman" w:hAnsi="Times New Roman" w:cs="Times New Roman"/>
          <w:i/>
          <w:sz w:val="22"/>
          <w:szCs w:val="22"/>
          <w:lang w:eastAsia="en-US" w:bidi="ar-SA"/>
        </w:rPr>
        <w:t>Stevens-Johnson</w:t>
      </w:r>
      <w:r>
        <w:rPr>
          <w:rFonts w:ascii="Times New Roman" w:eastAsia="Times New Roman" w:hAnsi="Times New Roman" w:cs="Times New Roman"/>
          <w:sz w:val="22"/>
          <w:szCs w:val="22"/>
          <w:lang w:eastAsia="en-US" w:bidi="ar-SA"/>
        </w:rPr>
        <w:t>) sindromas, toksinė epidermio nekrolizė (žr. 2 skyrių).</w:t>
      </w:r>
    </w:p>
    <w:p w:rsidR="00844F54" w:rsidRDefault="001558A7">
      <w:pPr>
        <w:tabs>
          <w:tab w:val="left" w:pos="567"/>
        </w:tabs>
        <w:suppressAutoHyphens w:val="0"/>
        <w:textAlignment w:val="auto"/>
        <w:rPr>
          <w:rFonts w:ascii="Times New Roman" w:eastAsia="Times New Roman" w:hAnsi="Times New Roman" w:cs="Times New Roman"/>
          <w:sz w:val="22"/>
          <w:szCs w:val="22"/>
          <w:lang w:eastAsia="en-US" w:bidi="ar-SA"/>
        </w:rPr>
      </w:pPr>
      <w:r>
        <w:rPr>
          <w:rFonts w:ascii="Times New Roman" w:eastAsia="Times New Roman" w:hAnsi="Times New Roman" w:cs="Times New Roman"/>
          <w:sz w:val="22"/>
          <w:szCs w:val="22"/>
          <w:lang w:eastAsia="en-US" w:bidi="ar-SA"/>
        </w:rPr>
        <w:tab/>
        <w:t>Toksinei epidermio nekrolizei būdingas didelis mirtingumas;</w:t>
      </w:r>
    </w:p>
    <w:p w:rsidR="00844F54" w:rsidRDefault="001558A7">
      <w:pPr>
        <w:tabs>
          <w:tab w:val="left" w:pos="567"/>
        </w:tabs>
        <w:suppressAutoHyphens w:val="0"/>
        <w:textAlignment w:val="auto"/>
        <w:rPr>
          <w:rFonts w:ascii="Times New Roman" w:eastAsia="Times New Roman" w:hAnsi="Times New Roman" w:cs="Times New Roman"/>
          <w:sz w:val="22"/>
          <w:szCs w:val="22"/>
          <w:lang w:eastAsia="en-US" w:bidi="ar-SA"/>
        </w:rPr>
      </w:pPr>
      <w:r>
        <w:rPr>
          <w:rFonts w:ascii="Times New Roman" w:eastAsia="Times New Roman" w:hAnsi="Times New Roman" w:cs="Times New Roman"/>
          <w:sz w:val="22"/>
          <w:szCs w:val="22"/>
          <w:lang w:eastAsia="en-US" w:bidi="ar-SA"/>
        </w:rPr>
        <w:t>-</w:t>
      </w:r>
      <w:r>
        <w:rPr>
          <w:rFonts w:ascii="Times New Roman" w:eastAsia="Times New Roman" w:hAnsi="Times New Roman" w:cs="Times New Roman"/>
          <w:sz w:val="22"/>
          <w:szCs w:val="22"/>
          <w:lang w:eastAsia="en-US" w:bidi="ar-SA"/>
        </w:rPr>
        <w:tab/>
        <w:t>sąnarių ir raumenų skausmas;</w:t>
      </w:r>
    </w:p>
    <w:p w:rsidR="00844F54" w:rsidRDefault="001558A7">
      <w:pPr>
        <w:tabs>
          <w:tab w:val="left" w:pos="567"/>
        </w:tabs>
        <w:suppressAutoHyphens w:val="0"/>
        <w:ind w:left="567" w:hanging="567"/>
        <w:textAlignment w:val="auto"/>
        <w:rPr>
          <w:rFonts w:ascii="Times New Roman" w:eastAsia="Times New Roman" w:hAnsi="Times New Roman" w:cs="Times New Roman"/>
          <w:sz w:val="22"/>
          <w:szCs w:val="22"/>
          <w:lang w:eastAsia="en-US" w:bidi="ar-SA"/>
        </w:rPr>
      </w:pPr>
      <w:r>
        <w:rPr>
          <w:rFonts w:ascii="Times New Roman" w:eastAsia="Times New Roman" w:hAnsi="Times New Roman" w:cs="Times New Roman"/>
          <w:sz w:val="22"/>
          <w:szCs w:val="22"/>
          <w:lang w:eastAsia="en-US" w:bidi="ar-SA"/>
        </w:rPr>
        <w:t>-</w:t>
      </w:r>
      <w:r>
        <w:rPr>
          <w:rFonts w:ascii="Times New Roman" w:eastAsia="Times New Roman" w:hAnsi="Times New Roman" w:cs="Times New Roman"/>
          <w:sz w:val="22"/>
          <w:szCs w:val="22"/>
          <w:lang w:eastAsia="en-US" w:bidi="ar-SA"/>
        </w:rPr>
        <w:tab/>
        <w:t>sutrikusi inkstų veikla (kai kuriais atvejais pranešama kaip inkstų nepakankamumas), intersticinis nefritas.</w:t>
      </w:r>
    </w:p>
    <w:p w:rsidR="00844F54" w:rsidRDefault="00844F54">
      <w:pPr>
        <w:tabs>
          <w:tab w:val="left" w:pos="567"/>
        </w:tabs>
        <w:suppressAutoHyphens w:val="0"/>
        <w:textAlignment w:val="auto"/>
        <w:rPr>
          <w:rFonts w:ascii="Times New Roman" w:eastAsia="Times New Roman" w:hAnsi="Times New Roman" w:cs="Times New Roman"/>
          <w:sz w:val="22"/>
          <w:szCs w:val="22"/>
          <w:lang w:eastAsia="en-US" w:bidi="ar-SA"/>
        </w:rPr>
      </w:pPr>
    </w:p>
    <w:p w:rsidR="00844F54" w:rsidRDefault="001558A7">
      <w:pPr>
        <w:tabs>
          <w:tab w:val="left" w:pos="567"/>
        </w:tabs>
        <w:suppressAutoHyphens w:val="0"/>
        <w:textAlignment w:val="auto"/>
        <w:rPr>
          <w:rFonts w:ascii="Times New Roman" w:eastAsia="Times New Roman" w:hAnsi="Times New Roman" w:cs="Times New Roman"/>
          <w:sz w:val="22"/>
          <w:szCs w:val="22"/>
          <w:lang w:eastAsia="en-US" w:bidi="ar-SA"/>
        </w:rPr>
      </w:pPr>
      <w:r>
        <w:rPr>
          <w:rFonts w:ascii="Times New Roman" w:eastAsia="Times New Roman" w:hAnsi="Times New Roman" w:cs="Times New Roman"/>
          <w:sz w:val="22"/>
          <w:szCs w:val="22"/>
          <w:lang w:eastAsia="en-US" w:bidi="ar-SA"/>
        </w:rPr>
        <w:t>Šalutinio poveikio reiškiniai, kurių dažnis nežinomas (negali būti apskaičiuotas pagal turimus duomenis):</w:t>
      </w:r>
    </w:p>
    <w:p w:rsidR="00844F54" w:rsidRDefault="001558A7">
      <w:pPr>
        <w:numPr>
          <w:ilvl w:val="0"/>
          <w:numId w:val="2"/>
        </w:numPr>
        <w:tabs>
          <w:tab w:val="left" w:pos="1134"/>
        </w:tabs>
        <w:suppressAutoHyphens w:val="0"/>
        <w:textAlignment w:val="auto"/>
        <w:rPr>
          <w:rFonts w:hint="eastAsia"/>
        </w:rPr>
      </w:pPr>
      <w:r>
        <w:rPr>
          <w:rFonts w:ascii="Times New Roman" w:hAnsi="Times New Roman" w:cs="Times New Roman"/>
          <w:sz w:val="22"/>
          <w:szCs w:val="22"/>
        </w:rPr>
        <w:t>violetinės spalvos iškilios skausmingos žaizdos ant galūnių ir kai kuriais atvejais ant veido ir kaklo kartu su karščiavimu (Svyto (</w:t>
      </w:r>
      <w:r>
        <w:rPr>
          <w:rFonts w:ascii="Times New Roman" w:hAnsi="Times New Roman" w:cs="Times New Roman"/>
          <w:i/>
          <w:iCs/>
          <w:sz w:val="22"/>
          <w:szCs w:val="22"/>
        </w:rPr>
        <w:t>Sweet</w:t>
      </w:r>
      <w:r>
        <w:rPr>
          <w:rFonts w:ascii="Times New Roman" w:hAnsi="Times New Roman" w:cs="Times New Roman"/>
          <w:sz w:val="22"/>
          <w:szCs w:val="22"/>
        </w:rPr>
        <w:t>) sindromas)).</w:t>
      </w:r>
    </w:p>
    <w:p w:rsidR="00844F54" w:rsidRDefault="00844F54">
      <w:pPr>
        <w:tabs>
          <w:tab w:val="left" w:pos="567"/>
        </w:tabs>
        <w:suppressAutoHyphens w:val="0"/>
        <w:textAlignment w:val="auto"/>
        <w:rPr>
          <w:rFonts w:ascii="Times New Roman" w:eastAsia="Times New Roman" w:hAnsi="Times New Roman" w:cs="Times New Roman"/>
          <w:sz w:val="22"/>
          <w:szCs w:val="22"/>
          <w:lang w:eastAsia="en-US" w:bidi="ar-SA"/>
        </w:rPr>
      </w:pPr>
    </w:p>
    <w:p w:rsidR="00844F54" w:rsidRDefault="001558A7">
      <w:pPr>
        <w:tabs>
          <w:tab w:val="left" w:pos="567"/>
        </w:tabs>
        <w:suppressAutoHyphens w:val="0"/>
        <w:textAlignment w:val="auto"/>
        <w:rPr>
          <w:rFonts w:hint="eastAsia"/>
        </w:rPr>
      </w:pPr>
      <w:r>
        <w:rPr>
          <w:rFonts w:ascii="Times New Roman" w:eastAsia="Times New Roman" w:hAnsi="Times New Roman" w:cs="Times New Roman"/>
          <w:sz w:val="22"/>
          <w:szCs w:val="22"/>
          <w:lang w:eastAsia="en-US" w:bidi="ar-SA"/>
        </w:rPr>
        <w:t xml:space="preserve">Nepageidaujamas poveikis, susijęs su </w:t>
      </w:r>
      <w:r>
        <w:rPr>
          <w:rFonts w:ascii="Times New Roman" w:eastAsia="Times New Roman" w:hAnsi="Times New Roman" w:cs="Times New Roman"/>
          <w:i/>
          <w:iCs/>
          <w:sz w:val="22"/>
          <w:szCs w:val="22"/>
          <w:lang w:eastAsia="en-US" w:bidi="ar-SA"/>
        </w:rPr>
        <w:t xml:space="preserve">Pneumocystis jiroveci </w:t>
      </w:r>
      <w:r>
        <w:rPr>
          <w:rFonts w:ascii="Times New Roman" w:eastAsia="Times New Roman" w:hAnsi="Times New Roman" w:cs="Times New Roman"/>
          <w:iCs/>
          <w:sz w:val="22"/>
          <w:szCs w:val="22"/>
          <w:lang w:eastAsia="en-US" w:bidi="ar-SA"/>
        </w:rPr>
        <w:t>(</w:t>
      </w:r>
      <w:r>
        <w:rPr>
          <w:rFonts w:ascii="Times New Roman" w:eastAsia="Times New Roman" w:hAnsi="Times New Roman" w:cs="Times New Roman"/>
          <w:i/>
          <w:iCs/>
          <w:sz w:val="22"/>
          <w:szCs w:val="22"/>
          <w:lang w:eastAsia="en-US" w:bidi="ar-SA"/>
        </w:rPr>
        <w:t>P. carinii</w:t>
      </w:r>
      <w:r>
        <w:rPr>
          <w:rFonts w:ascii="Times New Roman" w:eastAsia="Times New Roman" w:hAnsi="Times New Roman" w:cs="Times New Roman"/>
          <w:iCs/>
          <w:sz w:val="22"/>
          <w:szCs w:val="22"/>
          <w:lang w:eastAsia="en-US" w:bidi="ar-SA"/>
        </w:rPr>
        <w:t>)</w:t>
      </w:r>
      <w:r>
        <w:rPr>
          <w:rFonts w:ascii="Times New Roman" w:eastAsia="Times New Roman" w:hAnsi="Times New Roman" w:cs="Times New Roman"/>
          <w:sz w:val="22"/>
          <w:szCs w:val="22"/>
          <w:lang w:eastAsia="en-US" w:bidi="ar-SA"/>
        </w:rPr>
        <w:t xml:space="preserve"> sukelto plaučių uždegimo (PCP) gydymu</w:t>
      </w:r>
    </w:p>
    <w:p w:rsidR="00844F54" w:rsidRDefault="001558A7">
      <w:pPr>
        <w:tabs>
          <w:tab w:val="left" w:pos="567"/>
        </w:tabs>
        <w:suppressAutoHyphens w:val="0"/>
        <w:textAlignment w:val="auto"/>
        <w:rPr>
          <w:rFonts w:hint="eastAsia"/>
        </w:rPr>
      </w:pPr>
      <w:r>
        <w:rPr>
          <w:rFonts w:ascii="Times New Roman" w:eastAsia="Times New Roman" w:hAnsi="Times New Roman" w:cs="Times New Roman"/>
          <w:b/>
          <w:bCs/>
          <w:i/>
          <w:sz w:val="22"/>
          <w:szCs w:val="22"/>
          <w:lang w:eastAsia="en-US" w:bidi="ar-SA"/>
        </w:rPr>
        <w:t>Labai reti šalutinio poveikio reiškiniai (gali pasireikšti rečiau kaip 1 iš 10 000 asmenų</w:t>
      </w:r>
      <w:r>
        <w:rPr>
          <w:rFonts w:ascii="Times New Roman" w:eastAsia="Times New Roman" w:hAnsi="Times New Roman" w:cs="Times New Roman"/>
          <w:b/>
          <w:bCs/>
          <w:sz w:val="22"/>
          <w:szCs w:val="22"/>
          <w:lang w:eastAsia="en-US" w:bidi="ar-SA"/>
        </w:rPr>
        <w:t>):</w:t>
      </w:r>
      <w:r>
        <w:rPr>
          <w:rFonts w:ascii="Times New Roman" w:eastAsia="Times New Roman" w:hAnsi="Times New Roman" w:cs="Times New Roman"/>
          <w:sz w:val="22"/>
          <w:szCs w:val="22"/>
          <w:lang w:eastAsia="en-US" w:bidi="ar-SA"/>
        </w:rPr>
        <w:t xml:space="preserve"> </w:t>
      </w:r>
    </w:p>
    <w:p w:rsidR="00844F54" w:rsidRDefault="001558A7">
      <w:pPr>
        <w:tabs>
          <w:tab w:val="left" w:pos="567"/>
        </w:tabs>
        <w:suppressAutoHyphens w:val="0"/>
        <w:textAlignment w:val="auto"/>
        <w:rPr>
          <w:rFonts w:ascii="Times New Roman" w:eastAsia="Times New Roman" w:hAnsi="Times New Roman" w:cs="Times New Roman"/>
          <w:sz w:val="22"/>
          <w:szCs w:val="22"/>
          <w:lang w:eastAsia="en-US" w:bidi="ar-SA"/>
        </w:rPr>
      </w:pPr>
      <w:r>
        <w:rPr>
          <w:rFonts w:ascii="Times New Roman" w:eastAsia="Times New Roman" w:hAnsi="Times New Roman" w:cs="Times New Roman"/>
          <w:sz w:val="22"/>
          <w:szCs w:val="22"/>
          <w:lang w:eastAsia="en-US" w:bidi="ar-SA"/>
        </w:rPr>
        <w:t>sunkios padidėjusio jautrumo reakcijos, bėrimas, karščiavimas, neutropenija, trombocitopenija, padidėjusi kepenų fermentų koncentracija, hiperkalemija, hiponatremija.</w:t>
      </w:r>
    </w:p>
    <w:p w:rsidR="00844F54" w:rsidRDefault="001558A7">
      <w:pPr>
        <w:tabs>
          <w:tab w:val="left" w:pos="567"/>
        </w:tabs>
        <w:suppressAutoHyphens w:val="0"/>
        <w:textAlignment w:val="auto"/>
        <w:rPr>
          <w:rFonts w:ascii="Times New Roman" w:eastAsia="Times New Roman" w:hAnsi="Times New Roman" w:cs="Times New Roman"/>
          <w:sz w:val="22"/>
          <w:szCs w:val="22"/>
          <w:lang w:eastAsia="en-US" w:bidi="ar-SA"/>
        </w:rPr>
      </w:pPr>
      <w:r>
        <w:rPr>
          <w:rFonts w:ascii="Times New Roman" w:eastAsia="Times New Roman" w:hAnsi="Times New Roman" w:cs="Times New Roman"/>
          <w:sz w:val="22"/>
          <w:szCs w:val="22"/>
          <w:lang w:eastAsia="en-US" w:bidi="ar-SA"/>
        </w:rPr>
        <w:t>PCP gydymui vartojant dideles vaisto dozes, pasireiškė sunkių padidėjusio jautrumo reakcijų, dėl kurių reikėjo nutraukti vaisto vartojimą. Jei pasireiškia kaulų čiulpų slopinimo požymių, pacientui reikia skirti kalcio folinato papildų (5</w:t>
      </w:r>
      <w:r>
        <w:rPr>
          <w:rFonts w:ascii="Times New Roman" w:eastAsia="Times New Roman" w:hAnsi="Times New Roman" w:cs="Times New Roman"/>
          <w:sz w:val="22"/>
          <w:szCs w:val="22"/>
          <w:lang w:eastAsia="en-US" w:bidi="ar-SA"/>
        </w:rPr>
        <w:noBreakHyphen/>
        <w:t>10 mg per parą). PCP sergantiems pacientams padidėjusio jautrumo reakcijų pasireiškė ir vėl atnaujinus kotrimoksazolio vartojimą, kartais po kelių dienų vaisto vartojimo pertraukos.</w:t>
      </w:r>
    </w:p>
    <w:p w:rsidR="00844F54" w:rsidRDefault="00844F54">
      <w:pPr>
        <w:tabs>
          <w:tab w:val="left" w:pos="567"/>
        </w:tabs>
        <w:suppressAutoHyphens w:val="0"/>
        <w:textAlignment w:val="auto"/>
        <w:rPr>
          <w:rFonts w:ascii="Times New Roman" w:eastAsia="Times New Roman" w:hAnsi="Times New Roman" w:cs="Times New Roman"/>
          <w:sz w:val="22"/>
          <w:szCs w:val="22"/>
          <w:lang w:eastAsia="en-US" w:bidi="ar-SA"/>
        </w:rPr>
      </w:pPr>
    </w:p>
    <w:p w:rsidR="00844F54" w:rsidRDefault="001558A7">
      <w:pPr>
        <w:tabs>
          <w:tab w:val="left" w:pos="567"/>
        </w:tabs>
        <w:suppressAutoHyphens w:val="0"/>
        <w:textAlignment w:val="auto"/>
        <w:rPr>
          <w:rFonts w:hint="eastAsia"/>
        </w:rPr>
      </w:pPr>
      <w:bookmarkStart w:id="8" w:name="_Toc129243268"/>
      <w:bookmarkStart w:id="9" w:name="_Toc129243143"/>
      <w:r>
        <w:rPr>
          <w:rFonts w:ascii="Times New Roman" w:eastAsia="Times New Roman" w:hAnsi="Times New Roman" w:cs="Times New Roman"/>
          <w:b/>
          <w:kern w:val="0"/>
          <w:sz w:val="22"/>
          <w:szCs w:val="22"/>
          <w:lang w:eastAsia="en-US" w:bidi="ar-SA"/>
        </w:rPr>
        <w:t>Pranešimas apie šalutinį poveikį</w:t>
      </w:r>
    </w:p>
    <w:p w:rsidR="00844F54" w:rsidRDefault="001558A7">
      <w:pPr>
        <w:tabs>
          <w:tab w:val="left" w:pos="567"/>
        </w:tabs>
        <w:suppressAutoHyphens w:val="0"/>
        <w:spacing w:line="260" w:lineRule="exact"/>
        <w:ind w:right="-1"/>
        <w:textAlignment w:val="auto"/>
        <w:rPr>
          <w:rFonts w:hint="eastAsia"/>
        </w:rPr>
      </w:pPr>
      <w:r>
        <w:rPr>
          <w:rFonts w:ascii="Times New Roman" w:eastAsia="Times New Roman" w:hAnsi="Times New Roman" w:cs="Times New Roman"/>
          <w:kern w:val="0"/>
          <w:sz w:val="22"/>
          <w:szCs w:val="20"/>
          <w:lang w:eastAsia="en-US" w:bidi="ar-SA"/>
        </w:rPr>
        <w:lastRenderedPageBreak/>
        <w:t>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w:t>
      </w:r>
      <w:r w:rsidR="008D4348">
        <w:rPr>
          <w:rFonts w:ascii="Times New Roman" w:eastAsia="Times New Roman" w:hAnsi="Times New Roman" w:cs="Times New Roman"/>
          <w:kern w:val="0"/>
          <w:sz w:val="22"/>
          <w:szCs w:val="20"/>
          <w:lang w:eastAsia="en-US" w:bidi="ar-SA"/>
        </w:rPr>
        <w:t xml:space="preserve">alapyje </w:t>
      </w:r>
      <w:hyperlink r:id="rId7" w:history="1">
        <w:r w:rsidR="008D4348" w:rsidRPr="00F92A73">
          <w:rPr>
            <w:rStyle w:val="Hyperlink"/>
            <w:rFonts w:ascii="Times New Roman" w:eastAsia="Times New Roman" w:hAnsi="Times New Roman" w:cs="Times New Roman"/>
            <w:kern w:val="0"/>
            <w:sz w:val="22"/>
            <w:szCs w:val="20"/>
            <w:lang w:eastAsia="en-US" w:bidi="ar-SA"/>
          </w:rPr>
          <w:t>https://vvkt.lrv.lt/lt/</w:t>
        </w:r>
      </w:hyperlink>
      <w:r w:rsidR="008D4348">
        <w:rPr>
          <w:rFonts w:ascii="Times New Roman" w:eastAsia="Times New Roman" w:hAnsi="Times New Roman" w:cs="Times New Roman"/>
          <w:kern w:val="0"/>
          <w:sz w:val="22"/>
          <w:szCs w:val="20"/>
          <w:lang w:eastAsia="en-US" w:bidi="ar-SA"/>
        </w:rPr>
        <w:t xml:space="preserve"> </w:t>
      </w:r>
      <w:r>
        <w:rPr>
          <w:rFonts w:ascii="Times New Roman" w:eastAsia="Times New Roman" w:hAnsi="Times New Roman" w:cs="Times New Roman"/>
          <w:kern w:val="0"/>
          <w:sz w:val="22"/>
          <w:szCs w:val="20"/>
          <w:lang w:eastAsia="en-US" w:bidi="ar-SA"/>
        </w:rPr>
        <w:t>nurodytais būdais arba paskambinti nemokamu telefonu 8 800 73 568. Pranešdami apie šalutinį poveikį galite mums padėti gauti daugiau informacijos apie šio vaisto saugumą.</w:t>
      </w:r>
    </w:p>
    <w:p w:rsidR="00844F54" w:rsidRDefault="00844F54">
      <w:pPr>
        <w:tabs>
          <w:tab w:val="left" w:pos="567"/>
        </w:tabs>
        <w:suppressAutoHyphens w:val="0"/>
        <w:spacing w:line="260" w:lineRule="exact"/>
        <w:ind w:right="-449"/>
        <w:textAlignment w:val="auto"/>
        <w:rPr>
          <w:rFonts w:ascii="Times New Roman" w:eastAsia="Times New Roman" w:hAnsi="Times New Roman" w:cs="Times New Roman"/>
          <w:kern w:val="0"/>
          <w:sz w:val="22"/>
          <w:szCs w:val="22"/>
          <w:lang w:eastAsia="en-US" w:bidi="ar-SA"/>
        </w:rPr>
      </w:pPr>
    </w:p>
    <w:p w:rsidR="00844F54" w:rsidRDefault="001558A7">
      <w:pPr>
        <w:tabs>
          <w:tab w:val="left" w:pos="1134"/>
        </w:tabs>
        <w:ind w:left="567" w:hanging="567"/>
        <w:rPr>
          <w:rFonts w:ascii="Times New Roman" w:eastAsia="Times New Roman" w:hAnsi="Times New Roman" w:cs="Times New Roman"/>
          <w:b/>
          <w:sz w:val="22"/>
          <w:szCs w:val="22"/>
        </w:rPr>
      </w:pPr>
      <w:r>
        <w:rPr>
          <w:rFonts w:ascii="Times New Roman" w:eastAsia="Times New Roman" w:hAnsi="Times New Roman" w:cs="Times New Roman"/>
          <w:b/>
          <w:sz w:val="22"/>
          <w:szCs w:val="22"/>
        </w:rPr>
        <w:t>5.</w:t>
      </w:r>
      <w:r>
        <w:rPr>
          <w:rFonts w:ascii="Times New Roman" w:eastAsia="Times New Roman" w:hAnsi="Times New Roman" w:cs="Times New Roman"/>
          <w:b/>
          <w:sz w:val="22"/>
          <w:szCs w:val="22"/>
        </w:rPr>
        <w:tab/>
        <w:t>Kaip laikyti EPITRIM</w:t>
      </w:r>
      <w:bookmarkEnd w:id="8"/>
      <w:bookmarkEnd w:id="9"/>
    </w:p>
    <w:p w:rsidR="00844F54" w:rsidRDefault="00844F54">
      <w:pPr>
        <w:tabs>
          <w:tab w:val="left" w:pos="567"/>
        </w:tabs>
        <w:suppressAutoHyphens w:val="0"/>
        <w:textAlignment w:val="auto"/>
        <w:rPr>
          <w:rFonts w:ascii="Times New Roman" w:eastAsia="Times New Roman" w:hAnsi="Times New Roman" w:cs="Times New Roman"/>
          <w:sz w:val="22"/>
          <w:szCs w:val="22"/>
          <w:lang w:eastAsia="en-US" w:bidi="ar-SA"/>
        </w:rPr>
      </w:pPr>
    </w:p>
    <w:p w:rsidR="00844F54" w:rsidRDefault="001558A7">
      <w:pPr>
        <w:tabs>
          <w:tab w:val="left" w:pos="567"/>
        </w:tabs>
        <w:suppressAutoHyphens w:val="0"/>
        <w:textAlignment w:val="auto"/>
        <w:rPr>
          <w:rFonts w:ascii="Times New Roman" w:eastAsia="Times New Roman" w:hAnsi="Times New Roman" w:cs="Times New Roman"/>
          <w:sz w:val="22"/>
          <w:szCs w:val="22"/>
          <w:lang w:eastAsia="en-US" w:bidi="ar-SA"/>
        </w:rPr>
      </w:pPr>
      <w:r>
        <w:rPr>
          <w:rFonts w:ascii="Times New Roman" w:eastAsia="Times New Roman" w:hAnsi="Times New Roman" w:cs="Times New Roman"/>
          <w:sz w:val="22"/>
          <w:szCs w:val="22"/>
          <w:lang w:eastAsia="en-US" w:bidi="ar-SA"/>
        </w:rPr>
        <w:t>Šį vaistą laikykite vaikams nepastebimoje ir nepasiekiamoje vietoje.</w:t>
      </w:r>
    </w:p>
    <w:p w:rsidR="00844F54" w:rsidRDefault="00844F54">
      <w:pPr>
        <w:tabs>
          <w:tab w:val="left" w:pos="567"/>
        </w:tabs>
        <w:suppressAutoHyphens w:val="0"/>
        <w:textAlignment w:val="auto"/>
        <w:rPr>
          <w:rFonts w:ascii="Times New Roman" w:eastAsia="Times New Roman" w:hAnsi="Times New Roman" w:cs="Times New Roman"/>
          <w:sz w:val="22"/>
          <w:szCs w:val="22"/>
          <w:lang w:eastAsia="en-US" w:bidi="ar-SA"/>
        </w:rPr>
      </w:pPr>
    </w:p>
    <w:p w:rsidR="00844F54" w:rsidRDefault="001558A7">
      <w:pPr>
        <w:tabs>
          <w:tab w:val="left" w:pos="567"/>
        </w:tabs>
        <w:suppressAutoHyphens w:val="0"/>
        <w:textAlignment w:val="auto"/>
        <w:rPr>
          <w:rFonts w:ascii="Times New Roman" w:eastAsia="Times New Roman" w:hAnsi="Times New Roman" w:cs="Times New Roman"/>
          <w:sz w:val="22"/>
          <w:szCs w:val="22"/>
          <w:lang w:eastAsia="en-US" w:bidi="ar-SA"/>
        </w:rPr>
      </w:pPr>
      <w:r>
        <w:rPr>
          <w:rFonts w:ascii="Times New Roman" w:eastAsia="Times New Roman" w:hAnsi="Times New Roman" w:cs="Times New Roman"/>
          <w:sz w:val="22"/>
          <w:szCs w:val="22"/>
          <w:lang w:eastAsia="en-US" w:bidi="ar-SA"/>
        </w:rPr>
        <w:t xml:space="preserve">Laikyti ne aukštesnėje kaip  25 °C temperatūroje, </w:t>
      </w:r>
      <w:bookmarkStart w:id="10" w:name="_Hlk145418564"/>
      <w:r>
        <w:rPr>
          <w:rFonts w:ascii="Times New Roman" w:eastAsia="Times New Roman" w:hAnsi="Times New Roman" w:cs="Times New Roman"/>
          <w:sz w:val="22"/>
          <w:szCs w:val="22"/>
          <w:lang w:eastAsia="en-US" w:bidi="ar-SA"/>
        </w:rPr>
        <w:t xml:space="preserve">gamintojo pakuotėje. </w:t>
      </w:r>
    </w:p>
    <w:p w:rsidR="00844F54" w:rsidRDefault="001558A7">
      <w:pPr>
        <w:tabs>
          <w:tab w:val="left" w:pos="567"/>
        </w:tabs>
        <w:suppressAutoHyphens w:val="0"/>
        <w:textAlignment w:val="auto"/>
        <w:rPr>
          <w:rFonts w:ascii="Times New Roman" w:eastAsia="Times New Roman" w:hAnsi="Times New Roman" w:cs="Times New Roman"/>
          <w:sz w:val="22"/>
          <w:szCs w:val="22"/>
          <w:lang w:eastAsia="en-US" w:bidi="ar-SA"/>
        </w:rPr>
      </w:pPr>
      <w:r>
        <w:rPr>
          <w:rFonts w:ascii="Times New Roman" w:eastAsia="Times New Roman" w:hAnsi="Times New Roman" w:cs="Times New Roman"/>
          <w:sz w:val="22"/>
          <w:szCs w:val="22"/>
          <w:lang w:eastAsia="en-US" w:bidi="ar-SA"/>
        </w:rPr>
        <w:t xml:space="preserve">Tinkamumo laikas po buteliuko pirmojo atidarymo: ne ilgiau kaip 20 dienų, kai </w:t>
      </w:r>
      <w:r w:rsidR="008D4348">
        <w:rPr>
          <w:rFonts w:ascii="Times New Roman" w:eastAsia="Times New Roman" w:hAnsi="Times New Roman" w:cs="Times New Roman"/>
          <w:sz w:val="22"/>
          <w:szCs w:val="22"/>
          <w:lang w:eastAsia="en-US" w:bidi="ar-SA"/>
        </w:rPr>
        <w:t xml:space="preserve">laikoma </w:t>
      </w:r>
      <w:r>
        <w:rPr>
          <w:rFonts w:ascii="Times New Roman" w:eastAsia="Times New Roman" w:hAnsi="Times New Roman" w:cs="Times New Roman"/>
          <w:sz w:val="22"/>
          <w:szCs w:val="22"/>
          <w:lang w:eastAsia="en-US" w:bidi="ar-SA"/>
        </w:rPr>
        <w:t>žemesnėje nei 25 °C temperatūroje, arba ne ilgiau kaip 3</w:t>
      </w:r>
      <w:r w:rsidR="008D4348">
        <w:rPr>
          <w:rFonts w:ascii="Times New Roman" w:eastAsia="Times New Roman" w:hAnsi="Times New Roman" w:cs="Times New Roman"/>
          <w:sz w:val="22"/>
          <w:szCs w:val="22"/>
          <w:lang w:eastAsia="en-US" w:bidi="ar-SA"/>
        </w:rPr>
        <w:t xml:space="preserve">0 dienų, kai laikoma šaldytuve </w:t>
      </w:r>
      <w:r>
        <w:rPr>
          <w:rFonts w:ascii="Times New Roman" w:eastAsia="Times New Roman" w:hAnsi="Times New Roman" w:cs="Times New Roman"/>
          <w:sz w:val="22"/>
          <w:szCs w:val="22"/>
          <w:lang w:eastAsia="en-US" w:bidi="ar-SA"/>
        </w:rPr>
        <w:t>(2 °C -  8 °C). Laikyti gamintojo pakuotėje.</w:t>
      </w:r>
    </w:p>
    <w:p w:rsidR="00844F54" w:rsidRDefault="00844F54">
      <w:pPr>
        <w:tabs>
          <w:tab w:val="left" w:pos="567"/>
        </w:tabs>
        <w:suppressAutoHyphens w:val="0"/>
        <w:textAlignment w:val="auto"/>
        <w:rPr>
          <w:rFonts w:ascii="Times New Roman" w:eastAsia="Times New Roman" w:hAnsi="Times New Roman" w:cs="Times New Roman"/>
          <w:sz w:val="22"/>
          <w:szCs w:val="22"/>
          <w:lang w:eastAsia="en-US" w:bidi="ar-SA"/>
        </w:rPr>
      </w:pPr>
    </w:p>
    <w:bookmarkEnd w:id="10"/>
    <w:p w:rsidR="00844F54" w:rsidRDefault="001558A7">
      <w:pPr>
        <w:tabs>
          <w:tab w:val="left" w:pos="567"/>
        </w:tabs>
        <w:suppressAutoHyphens w:val="0"/>
        <w:textAlignment w:val="auto"/>
        <w:rPr>
          <w:rFonts w:ascii="Times New Roman" w:eastAsia="Times New Roman" w:hAnsi="Times New Roman" w:cs="Times New Roman"/>
          <w:sz w:val="22"/>
          <w:szCs w:val="22"/>
          <w:lang w:eastAsia="en-US" w:bidi="ar-SA"/>
        </w:rPr>
      </w:pPr>
      <w:r>
        <w:rPr>
          <w:rFonts w:ascii="Times New Roman" w:eastAsia="Times New Roman" w:hAnsi="Times New Roman" w:cs="Times New Roman"/>
          <w:sz w:val="22"/>
          <w:szCs w:val="22"/>
          <w:lang w:eastAsia="en-US" w:bidi="ar-SA"/>
        </w:rPr>
        <w:t>Ant buteliuko ir dėžutės po „EXP“ nurodytam tinkamumo laikui pasibaigus, šio vaisto vartoti negalima. Vaistas tinkamas vartoti iki paskutinės nurodyto mėnesio dienos.</w:t>
      </w:r>
    </w:p>
    <w:p w:rsidR="00844F54" w:rsidRDefault="00844F54">
      <w:pPr>
        <w:tabs>
          <w:tab w:val="left" w:pos="567"/>
        </w:tabs>
        <w:suppressAutoHyphens w:val="0"/>
        <w:textAlignment w:val="auto"/>
        <w:rPr>
          <w:rFonts w:ascii="Times New Roman" w:eastAsia="Times New Roman" w:hAnsi="Times New Roman" w:cs="Times New Roman"/>
          <w:sz w:val="22"/>
          <w:szCs w:val="22"/>
          <w:lang w:eastAsia="en-US" w:bidi="ar-SA"/>
        </w:rPr>
      </w:pPr>
    </w:p>
    <w:p w:rsidR="00844F54" w:rsidRDefault="001558A7">
      <w:pPr>
        <w:tabs>
          <w:tab w:val="left" w:pos="567"/>
        </w:tabs>
        <w:suppressAutoHyphens w:val="0"/>
        <w:textAlignment w:val="auto"/>
        <w:rPr>
          <w:rFonts w:ascii="Times New Roman" w:eastAsia="Times New Roman" w:hAnsi="Times New Roman" w:cs="Times New Roman"/>
          <w:sz w:val="22"/>
          <w:szCs w:val="22"/>
          <w:lang w:eastAsia="en-US" w:bidi="ar-SA"/>
        </w:rPr>
      </w:pPr>
      <w:r>
        <w:rPr>
          <w:rFonts w:ascii="Times New Roman" w:eastAsia="Times New Roman" w:hAnsi="Times New Roman" w:cs="Times New Roman"/>
          <w:sz w:val="22"/>
          <w:szCs w:val="22"/>
          <w:lang w:eastAsia="en-US" w:bidi="ar-SA"/>
        </w:rPr>
        <w:t>Vaistų negalima išmesti į kanalizaciją arba su buitinėmis atliekomis. Kaip išmesti nereikalingus vaistus, klauskite vaistininko. Šios priemonės padės apsaugoti aplinką.</w:t>
      </w:r>
    </w:p>
    <w:p w:rsidR="00844F54" w:rsidRDefault="00844F54">
      <w:pPr>
        <w:tabs>
          <w:tab w:val="left" w:pos="567"/>
        </w:tabs>
        <w:suppressAutoHyphens w:val="0"/>
        <w:textAlignment w:val="auto"/>
        <w:rPr>
          <w:rFonts w:ascii="Times New Roman" w:eastAsia="Times New Roman" w:hAnsi="Times New Roman" w:cs="Times New Roman"/>
          <w:sz w:val="22"/>
          <w:szCs w:val="22"/>
          <w:lang w:eastAsia="en-US" w:bidi="ar-SA"/>
        </w:rPr>
      </w:pPr>
    </w:p>
    <w:p w:rsidR="00844F54" w:rsidRDefault="00844F54">
      <w:pPr>
        <w:tabs>
          <w:tab w:val="left" w:pos="567"/>
        </w:tabs>
        <w:suppressAutoHyphens w:val="0"/>
        <w:textAlignment w:val="auto"/>
        <w:rPr>
          <w:rFonts w:ascii="Times New Roman" w:eastAsia="Times New Roman" w:hAnsi="Times New Roman" w:cs="Times New Roman"/>
          <w:sz w:val="22"/>
          <w:szCs w:val="22"/>
          <w:lang w:eastAsia="en-US" w:bidi="ar-SA"/>
        </w:rPr>
      </w:pPr>
    </w:p>
    <w:p w:rsidR="00844F54" w:rsidRDefault="001558A7">
      <w:pPr>
        <w:tabs>
          <w:tab w:val="left" w:pos="1134"/>
        </w:tabs>
        <w:ind w:left="567" w:hanging="567"/>
        <w:rPr>
          <w:rFonts w:ascii="Times New Roman" w:eastAsia="Times New Roman" w:hAnsi="Times New Roman" w:cs="Times New Roman"/>
          <w:b/>
          <w:sz w:val="22"/>
          <w:szCs w:val="22"/>
        </w:rPr>
      </w:pPr>
      <w:bookmarkStart w:id="11" w:name="_Toc129243269"/>
      <w:bookmarkStart w:id="12" w:name="_Toc129243144"/>
      <w:r>
        <w:rPr>
          <w:rFonts w:ascii="Times New Roman" w:eastAsia="Times New Roman" w:hAnsi="Times New Roman" w:cs="Times New Roman"/>
          <w:b/>
          <w:sz w:val="22"/>
          <w:szCs w:val="22"/>
        </w:rPr>
        <w:t>6.</w:t>
      </w:r>
      <w:r>
        <w:rPr>
          <w:rFonts w:ascii="Times New Roman" w:eastAsia="Times New Roman" w:hAnsi="Times New Roman" w:cs="Times New Roman"/>
          <w:b/>
          <w:sz w:val="22"/>
          <w:szCs w:val="22"/>
        </w:rPr>
        <w:tab/>
        <w:t>Pakuotės turinys ir kita informacija</w:t>
      </w:r>
      <w:bookmarkEnd w:id="11"/>
      <w:bookmarkEnd w:id="12"/>
    </w:p>
    <w:p w:rsidR="00844F54" w:rsidRDefault="00844F54">
      <w:pPr>
        <w:tabs>
          <w:tab w:val="left" w:pos="567"/>
        </w:tabs>
        <w:suppressAutoHyphens w:val="0"/>
        <w:textAlignment w:val="auto"/>
        <w:rPr>
          <w:rFonts w:ascii="Times New Roman" w:eastAsia="Times New Roman" w:hAnsi="Times New Roman" w:cs="Times New Roman"/>
          <w:sz w:val="22"/>
          <w:szCs w:val="22"/>
          <w:lang w:eastAsia="en-US" w:bidi="ar-SA"/>
        </w:rPr>
      </w:pPr>
    </w:p>
    <w:p w:rsidR="00844F54" w:rsidRDefault="001558A7">
      <w:pPr>
        <w:rPr>
          <w:rFonts w:ascii="Times New Roman" w:hAnsi="Times New Roman" w:cs="Times New Roman"/>
          <w:b/>
          <w:bCs/>
          <w:sz w:val="22"/>
          <w:szCs w:val="22"/>
        </w:rPr>
      </w:pPr>
      <w:r>
        <w:rPr>
          <w:rFonts w:ascii="Times New Roman" w:hAnsi="Times New Roman" w:cs="Times New Roman"/>
          <w:b/>
          <w:bCs/>
          <w:sz w:val="22"/>
          <w:szCs w:val="22"/>
        </w:rPr>
        <w:t>EPITRIM sudėtis</w:t>
      </w:r>
    </w:p>
    <w:p w:rsidR="00844F54" w:rsidRDefault="001558A7">
      <w:pPr>
        <w:tabs>
          <w:tab w:val="left" w:pos="1134"/>
        </w:tabs>
        <w:ind w:left="567" w:hanging="567"/>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t>Veikliosios medžiagos yra sulfametoksazolas ir trimetoprimas. 5 ml geriamosios suspensijos yra 200 mg sulfametoksazolo ir 40 mg trimetoprimo.</w:t>
      </w:r>
    </w:p>
    <w:p w:rsidR="00844F54" w:rsidRDefault="001558A7">
      <w:pPr>
        <w:tabs>
          <w:tab w:val="left" w:pos="1134"/>
        </w:tabs>
        <w:ind w:left="567" w:hanging="567"/>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t>Pagalbinės medžiagos yra cukrus, sorbitolio tirpalas 70% (E 420), natrio karboksimetilceliuliozė, koloidinis silicio dioksidas, sacharino natrio druska, bevandenis natrio citratas, bevandenė citrinų rūgštis, polisorbatas 80, natrio benzoatas (E 211), metilo parahidroksibenzoatas (E 218), Tutti Fruti aromatinė medžiaga, išgrynintas vanduo.</w:t>
      </w:r>
    </w:p>
    <w:p w:rsidR="00844F54" w:rsidRDefault="00844F54">
      <w:pPr>
        <w:rPr>
          <w:rFonts w:ascii="Times New Roman" w:hAnsi="Times New Roman" w:cs="Times New Roman"/>
          <w:sz w:val="22"/>
          <w:szCs w:val="22"/>
        </w:rPr>
      </w:pPr>
    </w:p>
    <w:p w:rsidR="00844F54" w:rsidRDefault="00844F54">
      <w:pPr>
        <w:tabs>
          <w:tab w:val="left" w:pos="1134"/>
        </w:tabs>
        <w:ind w:left="567" w:hanging="567"/>
        <w:rPr>
          <w:rFonts w:ascii="Times New Roman" w:hAnsi="Times New Roman" w:cs="Times New Roman"/>
          <w:sz w:val="22"/>
          <w:szCs w:val="22"/>
        </w:rPr>
      </w:pPr>
    </w:p>
    <w:p w:rsidR="00844F54" w:rsidRDefault="001558A7">
      <w:pPr>
        <w:rPr>
          <w:rFonts w:ascii="Times New Roman" w:hAnsi="Times New Roman" w:cs="Times New Roman"/>
          <w:b/>
          <w:bCs/>
          <w:sz w:val="22"/>
          <w:szCs w:val="22"/>
        </w:rPr>
      </w:pPr>
      <w:r>
        <w:rPr>
          <w:rFonts w:ascii="Times New Roman" w:hAnsi="Times New Roman" w:cs="Times New Roman"/>
          <w:b/>
          <w:bCs/>
          <w:sz w:val="22"/>
          <w:szCs w:val="22"/>
        </w:rPr>
        <w:t>EPITRIM išvaizda ir kiekis pakuotėje</w:t>
      </w:r>
    </w:p>
    <w:p w:rsidR="00844F54" w:rsidRDefault="001558A7">
      <w:pPr>
        <w:tabs>
          <w:tab w:val="left" w:pos="567"/>
        </w:tabs>
        <w:suppressAutoHyphens w:val="0"/>
        <w:textAlignment w:val="auto"/>
        <w:rPr>
          <w:rFonts w:ascii="Times New Roman" w:eastAsia="Times New Roman" w:hAnsi="Times New Roman" w:cs="Times New Roman"/>
          <w:sz w:val="22"/>
          <w:szCs w:val="22"/>
          <w:lang w:eastAsia="en-US" w:bidi="ar-SA"/>
        </w:rPr>
      </w:pPr>
      <w:r>
        <w:rPr>
          <w:rFonts w:ascii="Times New Roman" w:eastAsia="Times New Roman" w:hAnsi="Times New Roman" w:cs="Times New Roman"/>
          <w:sz w:val="22"/>
          <w:szCs w:val="22"/>
          <w:lang w:eastAsia="en-US" w:bidi="ar-SA"/>
        </w:rPr>
        <w:t>EPITRIM yra baltos ar šviesios drobės spalvos, Tutti Fruti kvapo geriamoji suspensija.</w:t>
      </w:r>
    </w:p>
    <w:p w:rsidR="00844F54" w:rsidRDefault="001558A7">
      <w:pPr>
        <w:tabs>
          <w:tab w:val="left" w:pos="567"/>
        </w:tabs>
        <w:suppressAutoHyphens w:val="0"/>
        <w:textAlignment w:val="auto"/>
        <w:rPr>
          <w:rFonts w:ascii="Times New Roman" w:eastAsia="Times New Roman" w:hAnsi="Times New Roman" w:cs="Times New Roman"/>
          <w:sz w:val="22"/>
          <w:szCs w:val="22"/>
          <w:lang w:eastAsia="en-US" w:bidi="ar-SA"/>
        </w:rPr>
      </w:pPr>
      <w:r>
        <w:rPr>
          <w:rFonts w:ascii="Times New Roman" w:eastAsia="Times New Roman" w:hAnsi="Times New Roman" w:cs="Times New Roman"/>
          <w:sz w:val="22"/>
          <w:szCs w:val="22"/>
          <w:lang w:eastAsia="en-US" w:bidi="ar-SA"/>
        </w:rPr>
        <w:t>Kartono dėžutėje yra vienas tamsaus stiklo buteliukas, kuriame yra 100 ml geriamosios suspensijos, matavimo taurelė ir pakuotės lapelis.</w:t>
      </w:r>
    </w:p>
    <w:p w:rsidR="00844F54" w:rsidRDefault="00844F54">
      <w:pPr>
        <w:tabs>
          <w:tab w:val="left" w:pos="567"/>
        </w:tabs>
        <w:suppressAutoHyphens w:val="0"/>
        <w:textAlignment w:val="auto"/>
        <w:rPr>
          <w:rFonts w:ascii="Times New Roman" w:eastAsia="Times New Roman" w:hAnsi="Times New Roman" w:cs="Times New Roman"/>
          <w:sz w:val="22"/>
          <w:szCs w:val="22"/>
          <w:lang w:eastAsia="en-US" w:bidi="ar-SA"/>
        </w:rPr>
      </w:pPr>
    </w:p>
    <w:p w:rsidR="00844F54" w:rsidRDefault="00844F54">
      <w:pPr>
        <w:tabs>
          <w:tab w:val="left" w:pos="567"/>
        </w:tabs>
        <w:suppressAutoHyphens w:val="0"/>
        <w:textAlignment w:val="auto"/>
        <w:rPr>
          <w:rFonts w:ascii="Times New Roman" w:eastAsia="Times New Roman" w:hAnsi="Times New Roman" w:cs="Times New Roman"/>
          <w:sz w:val="22"/>
          <w:szCs w:val="22"/>
          <w:lang w:eastAsia="en-US" w:bidi="ar-SA"/>
        </w:rPr>
      </w:pPr>
    </w:p>
    <w:p w:rsidR="00844F54" w:rsidRDefault="001558A7">
      <w:pPr>
        <w:suppressAutoHyphens w:val="0"/>
        <w:jc w:val="both"/>
        <w:textAlignment w:val="auto"/>
        <w:rPr>
          <w:rFonts w:ascii="Times New Roman" w:eastAsia="Times New Roman" w:hAnsi="Times New Roman" w:cs="Times New Roman"/>
          <w:b/>
          <w:color w:val="000000"/>
          <w:kern w:val="0"/>
          <w:sz w:val="22"/>
          <w:szCs w:val="22"/>
          <w:lang w:eastAsia="en-US" w:bidi="ar-SA"/>
        </w:rPr>
      </w:pPr>
      <w:r>
        <w:rPr>
          <w:rFonts w:ascii="Times New Roman" w:eastAsia="Times New Roman" w:hAnsi="Times New Roman" w:cs="Times New Roman"/>
          <w:b/>
          <w:color w:val="000000"/>
          <w:kern w:val="0"/>
          <w:sz w:val="22"/>
          <w:szCs w:val="22"/>
          <w:lang w:eastAsia="en-US" w:bidi="ar-SA"/>
        </w:rPr>
        <w:t>Registruotojas eksportuojančioje valstybėje ir gamintojas</w:t>
      </w:r>
    </w:p>
    <w:p w:rsidR="00844F54" w:rsidRDefault="00844F54">
      <w:pPr>
        <w:suppressAutoHyphens w:val="0"/>
        <w:textAlignment w:val="auto"/>
        <w:rPr>
          <w:rFonts w:ascii="Times New Roman" w:eastAsia="Times New Roman" w:hAnsi="Times New Roman" w:cs="Times New Roman"/>
          <w:iCs/>
          <w:kern w:val="0"/>
          <w:sz w:val="22"/>
          <w:szCs w:val="22"/>
          <w:lang w:eastAsia="en-US" w:bidi="ar-SA"/>
        </w:rPr>
      </w:pPr>
    </w:p>
    <w:p w:rsidR="00844F54" w:rsidRDefault="001558A7">
      <w:pPr>
        <w:suppressAutoHyphens w:val="0"/>
        <w:textAlignment w:val="auto"/>
        <w:rPr>
          <w:rFonts w:hint="eastAsia"/>
        </w:rPr>
      </w:pPr>
      <w:r>
        <w:rPr>
          <w:rFonts w:ascii="Times New Roman" w:eastAsia="Times New Roman" w:hAnsi="Times New Roman" w:cs="Times New Roman"/>
          <w:b/>
          <w:bCs/>
          <w:kern w:val="0"/>
          <w:sz w:val="22"/>
          <w:szCs w:val="22"/>
          <w:lang w:eastAsia="en-US" w:bidi="ar-SA"/>
        </w:rPr>
        <w:t>Registruotojas</w:t>
      </w:r>
    </w:p>
    <w:p w:rsidR="00844F54" w:rsidRDefault="001558A7">
      <w:pPr>
        <w:suppressAutoHyphens w:val="0"/>
        <w:textAlignment w:val="auto"/>
        <w:rPr>
          <w:rFonts w:ascii="Times New Roman" w:eastAsia="Times New Roman" w:hAnsi="Times New Roman" w:cs="Times New Roman"/>
          <w:kern w:val="0"/>
          <w:sz w:val="22"/>
          <w:szCs w:val="22"/>
          <w:lang w:eastAsia="en-US" w:bidi="ar-SA"/>
        </w:rPr>
      </w:pPr>
      <w:r>
        <w:rPr>
          <w:rFonts w:ascii="Times New Roman" w:eastAsia="Times New Roman" w:hAnsi="Times New Roman" w:cs="Times New Roman"/>
          <w:kern w:val="0"/>
          <w:sz w:val="22"/>
          <w:szCs w:val="22"/>
          <w:lang w:eastAsia="en-US" w:bidi="ar-SA"/>
        </w:rPr>
        <w:t>E.I.P.I.CO MED S.R.L.</w:t>
      </w:r>
    </w:p>
    <w:p w:rsidR="00844F54" w:rsidRDefault="001558A7">
      <w:pPr>
        <w:suppressAutoHyphens w:val="0"/>
        <w:textAlignment w:val="auto"/>
        <w:rPr>
          <w:rFonts w:ascii="Times New Roman" w:eastAsia="Times New Roman" w:hAnsi="Times New Roman" w:cs="Times New Roman"/>
          <w:kern w:val="0"/>
          <w:sz w:val="22"/>
          <w:szCs w:val="22"/>
          <w:lang w:eastAsia="en-US" w:bidi="ar-SA"/>
        </w:rPr>
      </w:pPr>
      <w:r>
        <w:rPr>
          <w:rFonts w:ascii="Times New Roman" w:eastAsia="Times New Roman" w:hAnsi="Times New Roman" w:cs="Times New Roman"/>
          <w:kern w:val="0"/>
          <w:sz w:val="22"/>
          <w:szCs w:val="22"/>
          <w:lang w:eastAsia="en-US" w:bidi="ar-SA"/>
        </w:rPr>
        <w:t xml:space="preserve">B-dul Unirii, Nr. 6, Bloc 8C, Scara 1 </w:t>
      </w:r>
    </w:p>
    <w:p w:rsidR="00844F54" w:rsidRDefault="001558A7">
      <w:pPr>
        <w:suppressAutoHyphens w:val="0"/>
        <w:textAlignment w:val="auto"/>
        <w:rPr>
          <w:rFonts w:ascii="Times New Roman" w:eastAsia="Times New Roman" w:hAnsi="Times New Roman" w:cs="Times New Roman"/>
          <w:kern w:val="0"/>
          <w:sz w:val="22"/>
          <w:szCs w:val="22"/>
          <w:lang w:eastAsia="en-US" w:bidi="ar-SA"/>
        </w:rPr>
      </w:pPr>
      <w:r>
        <w:rPr>
          <w:rFonts w:ascii="Times New Roman" w:eastAsia="Times New Roman" w:hAnsi="Times New Roman" w:cs="Times New Roman"/>
          <w:kern w:val="0"/>
          <w:sz w:val="22"/>
          <w:szCs w:val="22"/>
          <w:lang w:eastAsia="en-US" w:bidi="ar-SA"/>
        </w:rPr>
        <w:t>Etaj 3, Ap. 9, Sector 4, București</w:t>
      </w:r>
    </w:p>
    <w:p w:rsidR="00844F54" w:rsidRDefault="001558A7">
      <w:pPr>
        <w:suppressAutoHyphens w:val="0"/>
        <w:textAlignment w:val="auto"/>
        <w:rPr>
          <w:rFonts w:ascii="Times New Roman" w:eastAsia="Times New Roman" w:hAnsi="Times New Roman" w:cs="Times New Roman"/>
          <w:kern w:val="0"/>
          <w:sz w:val="22"/>
          <w:szCs w:val="22"/>
          <w:lang w:eastAsia="en-US" w:bidi="ar-SA"/>
        </w:rPr>
      </w:pPr>
      <w:bookmarkStart w:id="13" w:name="_Hlk145443611"/>
      <w:r>
        <w:rPr>
          <w:rFonts w:ascii="Times New Roman" w:eastAsia="Times New Roman" w:hAnsi="Times New Roman" w:cs="Times New Roman"/>
          <w:kern w:val="0"/>
          <w:sz w:val="22"/>
          <w:szCs w:val="22"/>
          <w:lang w:eastAsia="en-US" w:bidi="ar-SA"/>
        </w:rPr>
        <w:t>Rumunija</w:t>
      </w:r>
    </w:p>
    <w:bookmarkEnd w:id="13"/>
    <w:p w:rsidR="00844F54" w:rsidRDefault="00844F54">
      <w:pPr>
        <w:suppressAutoHyphens w:val="0"/>
        <w:textAlignment w:val="auto"/>
        <w:rPr>
          <w:rFonts w:ascii="Times New Roman" w:eastAsia="Times New Roman" w:hAnsi="Times New Roman" w:cs="Times New Roman"/>
          <w:kern w:val="0"/>
          <w:sz w:val="22"/>
          <w:szCs w:val="22"/>
          <w:lang w:eastAsia="en-US" w:bidi="ar-SA"/>
        </w:rPr>
      </w:pPr>
    </w:p>
    <w:p w:rsidR="00844F54" w:rsidRDefault="001558A7">
      <w:pPr>
        <w:suppressAutoHyphens w:val="0"/>
        <w:textAlignment w:val="auto"/>
        <w:rPr>
          <w:rFonts w:ascii="Times New Roman" w:eastAsia="Times New Roman" w:hAnsi="Times New Roman" w:cs="Times New Roman"/>
          <w:b/>
          <w:bCs/>
          <w:kern w:val="0"/>
          <w:sz w:val="22"/>
          <w:szCs w:val="22"/>
          <w:lang w:eastAsia="en-US" w:bidi="ar-SA"/>
        </w:rPr>
      </w:pPr>
      <w:r>
        <w:rPr>
          <w:rFonts w:ascii="Times New Roman" w:eastAsia="Times New Roman" w:hAnsi="Times New Roman" w:cs="Times New Roman"/>
          <w:b/>
          <w:bCs/>
          <w:kern w:val="0"/>
          <w:sz w:val="22"/>
          <w:szCs w:val="22"/>
          <w:lang w:eastAsia="en-US" w:bidi="ar-SA"/>
        </w:rPr>
        <w:t>Gamintojas</w:t>
      </w:r>
    </w:p>
    <w:p w:rsidR="00844F54" w:rsidRDefault="001558A7">
      <w:pPr>
        <w:suppressAutoHyphens w:val="0"/>
        <w:textAlignment w:val="auto"/>
        <w:rPr>
          <w:rFonts w:ascii="Times New Roman" w:eastAsia="Times New Roman" w:hAnsi="Times New Roman" w:cs="Times New Roman"/>
          <w:kern w:val="0"/>
          <w:sz w:val="22"/>
          <w:szCs w:val="22"/>
          <w:lang w:eastAsia="en-US" w:bidi="ar-SA"/>
        </w:rPr>
      </w:pPr>
      <w:r>
        <w:rPr>
          <w:rFonts w:ascii="Times New Roman" w:eastAsia="Times New Roman" w:hAnsi="Times New Roman" w:cs="Times New Roman"/>
          <w:kern w:val="0"/>
          <w:sz w:val="22"/>
          <w:szCs w:val="22"/>
          <w:lang w:eastAsia="en-US" w:bidi="ar-SA"/>
        </w:rPr>
        <w:t>S.C. Felsin Farm S.R.L.</w:t>
      </w:r>
    </w:p>
    <w:p w:rsidR="00844F54" w:rsidRDefault="001558A7">
      <w:pPr>
        <w:suppressAutoHyphens w:val="0"/>
        <w:textAlignment w:val="auto"/>
        <w:rPr>
          <w:rFonts w:ascii="Times New Roman" w:eastAsia="Times New Roman" w:hAnsi="Times New Roman" w:cs="Times New Roman"/>
          <w:kern w:val="0"/>
          <w:sz w:val="22"/>
          <w:szCs w:val="22"/>
          <w:lang w:val="it-IT" w:eastAsia="en-US" w:bidi="ar-SA"/>
        </w:rPr>
      </w:pPr>
      <w:r>
        <w:rPr>
          <w:rFonts w:ascii="Times New Roman" w:eastAsia="Times New Roman" w:hAnsi="Times New Roman" w:cs="Times New Roman"/>
          <w:kern w:val="0"/>
          <w:sz w:val="22"/>
          <w:szCs w:val="22"/>
          <w:lang w:val="it-IT" w:eastAsia="en-US" w:bidi="ar-SA"/>
        </w:rPr>
        <w:t xml:space="preserve">Str. Drumul Piscul Cerbului, nr.20-28, </w:t>
      </w:r>
    </w:p>
    <w:p w:rsidR="00844F54" w:rsidRDefault="001558A7">
      <w:pPr>
        <w:suppressAutoHyphens w:val="0"/>
        <w:textAlignment w:val="auto"/>
        <w:rPr>
          <w:rFonts w:ascii="Times New Roman" w:eastAsia="Times New Roman" w:hAnsi="Times New Roman" w:cs="Times New Roman"/>
          <w:kern w:val="0"/>
          <w:sz w:val="22"/>
          <w:szCs w:val="22"/>
          <w:lang w:val="en-US" w:eastAsia="en-US" w:bidi="ar-SA"/>
        </w:rPr>
      </w:pPr>
      <w:r>
        <w:rPr>
          <w:rFonts w:ascii="Times New Roman" w:eastAsia="Times New Roman" w:hAnsi="Times New Roman" w:cs="Times New Roman"/>
          <w:kern w:val="0"/>
          <w:sz w:val="22"/>
          <w:szCs w:val="22"/>
          <w:lang w:val="en-US" w:eastAsia="en-US" w:bidi="ar-SA"/>
        </w:rPr>
        <w:t>Etaj P, Camerele 1-9 şi etaj, sector 1, Bucureşti</w:t>
      </w:r>
    </w:p>
    <w:p w:rsidR="00844F54" w:rsidRDefault="001558A7">
      <w:pPr>
        <w:suppressAutoHyphens w:val="0"/>
        <w:textAlignment w:val="auto"/>
        <w:rPr>
          <w:rFonts w:ascii="Times New Roman" w:eastAsia="Times New Roman" w:hAnsi="Times New Roman" w:cs="Times New Roman"/>
          <w:kern w:val="0"/>
          <w:sz w:val="22"/>
          <w:szCs w:val="22"/>
          <w:lang w:eastAsia="en-US" w:bidi="ar-SA"/>
        </w:rPr>
      </w:pPr>
      <w:r>
        <w:rPr>
          <w:rFonts w:ascii="Times New Roman" w:eastAsia="Times New Roman" w:hAnsi="Times New Roman" w:cs="Times New Roman"/>
          <w:kern w:val="0"/>
          <w:sz w:val="22"/>
          <w:szCs w:val="22"/>
          <w:lang w:eastAsia="en-US" w:bidi="ar-SA"/>
        </w:rPr>
        <w:lastRenderedPageBreak/>
        <w:t>Rumunija</w:t>
      </w:r>
    </w:p>
    <w:p w:rsidR="00844F54" w:rsidRDefault="00844F54">
      <w:pPr>
        <w:suppressAutoHyphens w:val="0"/>
        <w:textAlignment w:val="auto"/>
        <w:rPr>
          <w:rFonts w:ascii="Times New Roman" w:eastAsia="Times New Roman" w:hAnsi="Times New Roman" w:cs="Times New Roman"/>
          <w:kern w:val="0"/>
          <w:sz w:val="22"/>
          <w:szCs w:val="22"/>
          <w:lang w:val="en-US" w:eastAsia="en-US" w:bidi="ar-SA"/>
        </w:rPr>
      </w:pPr>
    </w:p>
    <w:p w:rsidR="00844F54" w:rsidRDefault="001558A7">
      <w:pPr>
        <w:suppressAutoHyphens w:val="0"/>
        <w:autoSpaceDE w:val="0"/>
        <w:textAlignment w:val="auto"/>
        <w:rPr>
          <w:rFonts w:hint="eastAsia"/>
        </w:rPr>
      </w:pPr>
      <w:r>
        <w:rPr>
          <w:rFonts w:ascii="Times New Roman" w:eastAsia="Calibri" w:hAnsi="Times New Roman" w:cs="Times New Roman"/>
          <w:b/>
          <w:color w:val="000000"/>
          <w:kern w:val="0"/>
          <w:sz w:val="22"/>
          <w:szCs w:val="22"/>
          <w:lang w:eastAsia="en-US" w:bidi="ar-SA"/>
        </w:rPr>
        <w:t xml:space="preserve">Lygiagretus importuotojas </w:t>
      </w:r>
      <w:r>
        <w:rPr>
          <w:rFonts w:ascii="Times New Roman" w:eastAsia="Calibri" w:hAnsi="Times New Roman" w:cs="Times New Roman"/>
          <w:b/>
          <w:color w:val="000000"/>
          <w:kern w:val="0"/>
          <w:sz w:val="22"/>
          <w:szCs w:val="22"/>
          <w:lang w:eastAsia="en-US" w:bidi="ar-SA"/>
        </w:rPr>
        <w:br/>
      </w:r>
      <w:r>
        <w:rPr>
          <w:rFonts w:ascii="Times New Roman" w:eastAsia="TimesNewRoman" w:hAnsi="Times New Roman" w:cs="Times New Roman"/>
          <w:color w:val="000000"/>
          <w:kern w:val="0"/>
          <w:sz w:val="22"/>
          <w:szCs w:val="22"/>
          <w:lang w:eastAsia="en-US" w:bidi="ar-SA"/>
        </w:rPr>
        <w:t>UAB „Niromed“</w:t>
      </w:r>
      <w:r>
        <w:rPr>
          <w:rFonts w:ascii="Times New Roman" w:eastAsia="Calibri" w:hAnsi="Times New Roman" w:cs="Times New Roman"/>
          <w:b/>
          <w:color w:val="000000"/>
          <w:kern w:val="0"/>
          <w:sz w:val="22"/>
          <w:szCs w:val="22"/>
          <w:lang w:eastAsia="en-US" w:bidi="ar-SA"/>
        </w:rPr>
        <w:br/>
      </w:r>
      <w:r>
        <w:rPr>
          <w:rFonts w:ascii="Times New Roman" w:eastAsia="TimesNewRoman" w:hAnsi="Times New Roman" w:cs="Times New Roman"/>
          <w:color w:val="000000"/>
          <w:kern w:val="0"/>
          <w:sz w:val="22"/>
          <w:szCs w:val="22"/>
          <w:lang w:eastAsia="en-US" w:bidi="ar-SA"/>
        </w:rPr>
        <w:t>Žirmūnų g. 139A</w:t>
      </w:r>
      <w:r>
        <w:rPr>
          <w:rFonts w:ascii="Times New Roman" w:eastAsia="Calibri" w:hAnsi="Times New Roman" w:cs="Times New Roman"/>
          <w:b/>
          <w:color w:val="000000"/>
          <w:kern w:val="0"/>
          <w:sz w:val="22"/>
          <w:szCs w:val="22"/>
          <w:lang w:eastAsia="en-US" w:bidi="ar-SA"/>
        </w:rPr>
        <w:br/>
      </w:r>
      <w:r>
        <w:rPr>
          <w:rFonts w:ascii="Times New Roman" w:eastAsia="TimesNewRoman" w:hAnsi="Times New Roman" w:cs="Times New Roman"/>
          <w:color w:val="000000"/>
          <w:kern w:val="0"/>
          <w:sz w:val="22"/>
          <w:szCs w:val="22"/>
          <w:lang w:eastAsia="en-US" w:bidi="ar-SA"/>
        </w:rPr>
        <w:t>LT</w:t>
      </w:r>
      <w:r>
        <w:rPr>
          <w:rFonts w:ascii="Times New Roman" w:eastAsia="TimesNewRoman" w:hAnsi="Times New Roman" w:cs="Times New Roman"/>
          <w:color w:val="000000"/>
          <w:kern w:val="0"/>
          <w:sz w:val="22"/>
          <w:szCs w:val="22"/>
          <w:lang w:eastAsia="en-US" w:bidi="ar-SA"/>
        </w:rPr>
        <w:noBreakHyphen/>
        <w:t>09120 Vilnius</w:t>
      </w:r>
      <w:r>
        <w:rPr>
          <w:rFonts w:ascii="Times New Roman" w:eastAsia="TimesNewRoman" w:hAnsi="Times New Roman" w:cs="Times New Roman"/>
          <w:color w:val="000000"/>
          <w:kern w:val="0"/>
          <w:sz w:val="22"/>
          <w:szCs w:val="22"/>
          <w:lang w:eastAsia="en-US" w:bidi="ar-SA"/>
        </w:rPr>
        <w:br/>
        <w:t>Lietuva</w:t>
      </w:r>
    </w:p>
    <w:p w:rsidR="00844F54" w:rsidRDefault="00844F54">
      <w:pPr>
        <w:widowControl w:val="0"/>
        <w:suppressAutoHyphens w:val="0"/>
        <w:textAlignment w:val="auto"/>
        <w:rPr>
          <w:rFonts w:ascii="Times New Roman" w:eastAsia="Times New Roman" w:hAnsi="Times New Roman" w:cs="Times New Roman"/>
          <w:b/>
          <w:color w:val="000000"/>
          <w:kern w:val="0"/>
          <w:sz w:val="22"/>
          <w:szCs w:val="22"/>
          <w:lang w:eastAsia="en-US" w:bidi="ar-SA"/>
        </w:rPr>
      </w:pPr>
    </w:p>
    <w:p w:rsidR="00844F54" w:rsidRDefault="001558A7">
      <w:pPr>
        <w:suppressAutoHyphens w:val="0"/>
        <w:ind w:left="567" w:hanging="567"/>
        <w:textAlignment w:val="auto"/>
        <w:rPr>
          <w:rFonts w:ascii="Times New Roman" w:eastAsia="Times New Roman" w:hAnsi="Times New Roman" w:cs="Times New Roman"/>
          <w:b/>
          <w:bCs/>
          <w:kern w:val="0"/>
          <w:sz w:val="22"/>
          <w:szCs w:val="22"/>
          <w:lang w:val="cs-CZ" w:eastAsia="en-US" w:bidi="ar-SA"/>
        </w:rPr>
      </w:pPr>
      <w:r>
        <w:rPr>
          <w:rFonts w:ascii="Times New Roman" w:eastAsia="Times New Roman" w:hAnsi="Times New Roman" w:cs="Times New Roman"/>
          <w:b/>
          <w:bCs/>
          <w:kern w:val="0"/>
          <w:sz w:val="22"/>
          <w:szCs w:val="22"/>
          <w:lang w:val="cs-CZ" w:eastAsia="en-US" w:bidi="ar-SA"/>
        </w:rPr>
        <w:t>Perpakavo</w:t>
      </w:r>
    </w:p>
    <w:p w:rsidR="00844F54" w:rsidRDefault="001558A7">
      <w:pPr>
        <w:suppressAutoHyphens w:val="0"/>
        <w:ind w:left="567" w:hanging="567"/>
        <w:textAlignment w:val="auto"/>
        <w:rPr>
          <w:rFonts w:ascii="Times New Roman" w:eastAsia="Times New Roman" w:hAnsi="Times New Roman" w:cs="Times New Roman"/>
          <w:kern w:val="0"/>
          <w:sz w:val="22"/>
          <w:szCs w:val="22"/>
          <w:lang w:val="cs-CZ" w:eastAsia="en-US" w:bidi="ar-SA"/>
        </w:rPr>
      </w:pPr>
      <w:r>
        <w:rPr>
          <w:rFonts w:ascii="Times New Roman" w:eastAsia="Times New Roman" w:hAnsi="Times New Roman" w:cs="Times New Roman"/>
          <w:kern w:val="0"/>
          <w:sz w:val="22"/>
          <w:szCs w:val="22"/>
          <w:lang w:val="cs-CZ" w:eastAsia="en-US" w:bidi="ar-SA"/>
        </w:rPr>
        <w:t>LABOR Przedsiębiorstwo Farmaceutyczno-Chemiczne sp. z o.o.</w:t>
      </w:r>
    </w:p>
    <w:p w:rsidR="00844F54" w:rsidRDefault="001558A7">
      <w:pPr>
        <w:suppressAutoHyphens w:val="0"/>
        <w:ind w:left="567" w:hanging="567"/>
        <w:textAlignment w:val="auto"/>
        <w:rPr>
          <w:rFonts w:ascii="Times New Roman" w:eastAsia="Times New Roman" w:hAnsi="Times New Roman" w:cs="Times New Roman"/>
          <w:kern w:val="0"/>
          <w:sz w:val="22"/>
          <w:szCs w:val="22"/>
          <w:lang w:val="cs-CZ" w:eastAsia="en-US" w:bidi="ar-SA"/>
        </w:rPr>
      </w:pPr>
      <w:r>
        <w:rPr>
          <w:rFonts w:ascii="Times New Roman" w:eastAsia="Times New Roman" w:hAnsi="Times New Roman" w:cs="Times New Roman"/>
          <w:kern w:val="0"/>
          <w:sz w:val="22"/>
          <w:szCs w:val="22"/>
          <w:lang w:val="cs-CZ" w:eastAsia="en-US" w:bidi="ar-SA"/>
        </w:rPr>
        <w:t>Ul. Długosza 49,</w:t>
      </w:r>
    </w:p>
    <w:p w:rsidR="00844F54" w:rsidRDefault="001558A7">
      <w:pPr>
        <w:suppressAutoHyphens w:val="0"/>
        <w:ind w:left="567" w:hanging="567"/>
        <w:textAlignment w:val="auto"/>
        <w:rPr>
          <w:rFonts w:ascii="Times New Roman" w:eastAsia="Times New Roman" w:hAnsi="Times New Roman" w:cs="Times New Roman"/>
          <w:kern w:val="0"/>
          <w:sz w:val="22"/>
          <w:szCs w:val="22"/>
          <w:lang w:val="cs-CZ" w:eastAsia="en-US" w:bidi="ar-SA"/>
        </w:rPr>
      </w:pPr>
      <w:r>
        <w:rPr>
          <w:rFonts w:ascii="Times New Roman" w:eastAsia="Times New Roman" w:hAnsi="Times New Roman" w:cs="Times New Roman"/>
          <w:kern w:val="0"/>
          <w:sz w:val="22"/>
          <w:szCs w:val="22"/>
          <w:lang w:val="cs-CZ" w:eastAsia="en-US" w:bidi="ar-SA"/>
        </w:rPr>
        <w:t>51-162 Wrocław,</w:t>
      </w:r>
    </w:p>
    <w:p w:rsidR="00844F54" w:rsidRDefault="001558A7">
      <w:pPr>
        <w:suppressAutoHyphens w:val="0"/>
        <w:ind w:left="567" w:hanging="567"/>
        <w:textAlignment w:val="auto"/>
        <w:rPr>
          <w:rFonts w:ascii="Times New Roman" w:eastAsia="Times New Roman" w:hAnsi="Times New Roman" w:cs="Times New Roman"/>
          <w:kern w:val="0"/>
          <w:sz w:val="22"/>
          <w:szCs w:val="22"/>
          <w:lang w:val="cs-CZ" w:eastAsia="en-US" w:bidi="ar-SA"/>
        </w:rPr>
      </w:pPr>
      <w:r>
        <w:rPr>
          <w:rFonts w:ascii="Times New Roman" w:eastAsia="Times New Roman" w:hAnsi="Times New Roman" w:cs="Times New Roman"/>
          <w:kern w:val="0"/>
          <w:sz w:val="22"/>
          <w:szCs w:val="22"/>
          <w:lang w:val="cs-CZ" w:eastAsia="en-US" w:bidi="ar-SA"/>
        </w:rPr>
        <w:t>Lenkija</w:t>
      </w:r>
    </w:p>
    <w:p w:rsidR="00844F54" w:rsidRDefault="00844F54">
      <w:pPr>
        <w:suppressAutoHyphens w:val="0"/>
        <w:ind w:left="567" w:hanging="567"/>
        <w:textAlignment w:val="auto"/>
        <w:rPr>
          <w:rFonts w:ascii="Times New Roman" w:eastAsia="Times New Roman" w:hAnsi="Times New Roman" w:cs="Times New Roman"/>
          <w:kern w:val="0"/>
          <w:sz w:val="22"/>
          <w:szCs w:val="22"/>
          <w:lang w:val="cs-CZ" w:eastAsia="en-US" w:bidi="ar-SA"/>
        </w:rPr>
      </w:pPr>
    </w:p>
    <w:p w:rsidR="00844F54" w:rsidRDefault="001558A7">
      <w:pPr>
        <w:suppressAutoHyphens w:val="0"/>
        <w:ind w:left="567" w:hanging="567"/>
        <w:textAlignment w:val="auto"/>
        <w:rPr>
          <w:rFonts w:ascii="Times New Roman" w:eastAsia="Times New Roman" w:hAnsi="Times New Roman" w:cs="Times New Roman"/>
          <w:kern w:val="0"/>
          <w:sz w:val="22"/>
          <w:szCs w:val="22"/>
          <w:lang w:val="cs-CZ" w:eastAsia="en-US" w:bidi="ar-SA"/>
        </w:rPr>
      </w:pPr>
      <w:r>
        <w:rPr>
          <w:rFonts w:ascii="Times New Roman" w:eastAsia="Times New Roman" w:hAnsi="Times New Roman" w:cs="Times New Roman"/>
          <w:kern w:val="0"/>
          <w:sz w:val="22"/>
          <w:szCs w:val="22"/>
          <w:lang w:val="cs-CZ" w:eastAsia="en-US" w:bidi="ar-SA"/>
        </w:rPr>
        <w:t>arba</w:t>
      </w:r>
    </w:p>
    <w:p w:rsidR="00844F54" w:rsidRDefault="00844F54">
      <w:pPr>
        <w:suppressAutoHyphens w:val="0"/>
        <w:ind w:left="567" w:hanging="567"/>
        <w:textAlignment w:val="auto"/>
        <w:rPr>
          <w:rFonts w:ascii="Times New Roman" w:eastAsia="Times New Roman" w:hAnsi="Times New Roman" w:cs="Times New Roman"/>
          <w:kern w:val="0"/>
          <w:sz w:val="22"/>
          <w:szCs w:val="22"/>
          <w:lang w:val="cs-CZ" w:eastAsia="en-US" w:bidi="ar-SA"/>
        </w:rPr>
      </w:pPr>
    </w:p>
    <w:p w:rsidR="00844F54" w:rsidRDefault="001558A7">
      <w:pPr>
        <w:suppressAutoHyphens w:val="0"/>
        <w:textAlignment w:val="auto"/>
        <w:rPr>
          <w:rFonts w:ascii="Times New Roman" w:eastAsia="Times New Roman" w:hAnsi="Times New Roman" w:cs="Times New Roman"/>
          <w:kern w:val="0"/>
          <w:sz w:val="22"/>
          <w:szCs w:val="22"/>
          <w:lang w:val="cs-CZ" w:eastAsia="en-US" w:bidi="ar-SA"/>
        </w:rPr>
      </w:pPr>
      <w:r>
        <w:rPr>
          <w:rFonts w:ascii="Times New Roman" w:eastAsia="Times New Roman" w:hAnsi="Times New Roman" w:cs="Times New Roman"/>
          <w:kern w:val="0"/>
          <w:sz w:val="22"/>
          <w:szCs w:val="22"/>
          <w:lang w:val="cs-CZ" w:eastAsia="en-US" w:bidi="ar-SA"/>
        </w:rPr>
        <w:t>UAB „Entafarma“</w:t>
      </w:r>
    </w:p>
    <w:p w:rsidR="00844F54" w:rsidRDefault="001558A7">
      <w:pPr>
        <w:suppressAutoHyphens w:val="0"/>
        <w:textAlignment w:val="auto"/>
        <w:rPr>
          <w:rFonts w:ascii="Times New Roman" w:eastAsia="Times New Roman" w:hAnsi="Times New Roman" w:cs="Times New Roman"/>
          <w:kern w:val="0"/>
          <w:sz w:val="22"/>
          <w:szCs w:val="22"/>
          <w:lang w:val="cs-CZ" w:eastAsia="en-US" w:bidi="ar-SA"/>
        </w:rPr>
      </w:pPr>
      <w:r>
        <w:rPr>
          <w:rFonts w:ascii="Times New Roman" w:eastAsia="Times New Roman" w:hAnsi="Times New Roman" w:cs="Times New Roman"/>
          <w:kern w:val="0"/>
          <w:sz w:val="22"/>
          <w:szCs w:val="22"/>
          <w:lang w:val="cs-CZ" w:eastAsia="en-US" w:bidi="ar-SA"/>
        </w:rPr>
        <w:t>Klonėnų vs. 1,</w:t>
      </w:r>
    </w:p>
    <w:p w:rsidR="00844F54" w:rsidRDefault="001558A7">
      <w:pPr>
        <w:suppressAutoHyphens w:val="0"/>
        <w:textAlignment w:val="auto"/>
        <w:rPr>
          <w:rFonts w:ascii="Times New Roman" w:eastAsia="Times New Roman" w:hAnsi="Times New Roman" w:cs="Times New Roman"/>
          <w:kern w:val="0"/>
          <w:sz w:val="22"/>
          <w:szCs w:val="22"/>
          <w:lang w:val="cs-CZ" w:eastAsia="en-US" w:bidi="ar-SA"/>
        </w:rPr>
      </w:pPr>
      <w:r>
        <w:rPr>
          <w:rFonts w:ascii="Times New Roman" w:eastAsia="Times New Roman" w:hAnsi="Times New Roman" w:cs="Times New Roman"/>
          <w:kern w:val="0"/>
          <w:sz w:val="22"/>
          <w:szCs w:val="22"/>
          <w:lang w:val="cs-CZ" w:eastAsia="en-US" w:bidi="ar-SA"/>
        </w:rPr>
        <w:t>LT-19156 Širvintų r. sav.</w:t>
      </w:r>
    </w:p>
    <w:p w:rsidR="00844F54" w:rsidRDefault="001558A7">
      <w:pPr>
        <w:suppressAutoHyphens w:val="0"/>
        <w:textAlignment w:val="auto"/>
        <w:rPr>
          <w:rFonts w:hint="eastAsia"/>
        </w:rPr>
      </w:pPr>
      <w:r>
        <w:rPr>
          <w:rFonts w:ascii="Times New Roman" w:eastAsia="Times New Roman" w:hAnsi="Times New Roman" w:cs="Times New Roman"/>
          <w:kern w:val="0"/>
          <w:sz w:val="22"/>
          <w:szCs w:val="22"/>
          <w:lang w:val="cs-CZ" w:eastAsia="en-US" w:bidi="ar-SA"/>
        </w:rPr>
        <w:t>Lietuva</w:t>
      </w:r>
    </w:p>
    <w:p w:rsidR="00844F54" w:rsidRDefault="00844F54">
      <w:pPr>
        <w:suppressAutoHyphens w:val="0"/>
        <w:ind w:left="567" w:hanging="567"/>
        <w:textAlignment w:val="auto"/>
        <w:outlineLvl w:val="0"/>
        <w:rPr>
          <w:rFonts w:ascii="Times New Roman" w:eastAsia="Times New Roman" w:hAnsi="Times New Roman" w:cs="Times New Roman"/>
          <w:b/>
          <w:kern w:val="0"/>
          <w:sz w:val="22"/>
          <w:szCs w:val="22"/>
          <w:lang w:eastAsia="en-US" w:bidi="ar-SA"/>
        </w:rPr>
      </w:pPr>
    </w:p>
    <w:p w:rsidR="00844F54" w:rsidRDefault="00844F54">
      <w:pPr>
        <w:suppressAutoHyphens w:val="0"/>
        <w:ind w:left="567" w:hanging="567"/>
        <w:textAlignment w:val="auto"/>
        <w:outlineLvl w:val="0"/>
        <w:rPr>
          <w:rFonts w:ascii="Times New Roman" w:eastAsia="Times New Roman" w:hAnsi="Times New Roman" w:cs="Times New Roman"/>
          <w:b/>
          <w:kern w:val="0"/>
          <w:sz w:val="22"/>
          <w:szCs w:val="22"/>
          <w:lang w:eastAsia="en-US" w:bidi="ar-SA"/>
        </w:rPr>
      </w:pPr>
    </w:p>
    <w:p w:rsidR="00844F54" w:rsidRDefault="001558A7">
      <w:pPr>
        <w:suppressAutoHyphens w:val="0"/>
        <w:ind w:left="567" w:hanging="567"/>
        <w:textAlignment w:val="auto"/>
        <w:rPr>
          <w:rFonts w:ascii="Times New Roman" w:eastAsia="Times New Roman" w:hAnsi="Times New Roman" w:cs="Times New Roman"/>
          <w:b/>
          <w:kern w:val="0"/>
          <w:sz w:val="22"/>
          <w:szCs w:val="22"/>
          <w:lang w:eastAsia="en-US" w:bidi="ar-SA"/>
        </w:rPr>
      </w:pPr>
      <w:r>
        <w:rPr>
          <w:rFonts w:ascii="Times New Roman" w:eastAsia="Times New Roman" w:hAnsi="Times New Roman" w:cs="Times New Roman"/>
          <w:b/>
          <w:kern w:val="0"/>
          <w:sz w:val="22"/>
          <w:szCs w:val="22"/>
          <w:lang w:eastAsia="en-US" w:bidi="ar-SA"/>
        </w:rPr>
        <w:t>Šis pakuotės lapelis paskutinį kartą peržiūrėtas 2024-</w:t>
      </w:r>
      <w:r w:rsidR="00431101">
        <w:rPr>
          <w:rFonts w:ascii="Times New Roman" w:eastAsia="Times New Roman" w:hAnsi="Times New Roman" w:cs="Times New Roman"/>
          <w:b/>
          <w:kern w:val="0"/>
          <w:sz w:val="22"/>
          <w:szCs w:val="22"/>
          <w:lang w:eastAsia="en-US" w:bidi="ar-SA"/>
        </w:rPr>
        <w:t>12-02</w:t>
      </w:r>
    </w:p>
    <w:p w:rsidR="00844F54" w:rsidRDefault="00844F54">
      <w:pPr>
        <w:suppressAutoHyphens w:val="0"/>
        <w:ind w:left="567" w:hanging="567"/>
        <w:textAlignment w:val="auto"/>
        <w:rPr>
          <w:rFonts w:ascii="Times New Roman" w:eastAsia="Times New Roman" w:hAnsi="Times New Roman" w:cs="Times New Roman"/>
          <w:b/>
          <w:kern w:val="0"/>
          <w:sz w:val="22"/>
          <w:szCs w:val="22"/>
          <w:lang w:eastAsia="en-US" w:bidi="ar-SA"/>
        </w:rPr>
      </w:pPr>
    </w:p>
    <w:p w:rsidR="00844F54" w:rsidRDefault="001558A7">
      <w:pPr>
        <w:suppressAutoHyphens w:val="0"/>
        <w:ind w:left="567" w:hanging="567"/>
        <w:textAlignment w:val="auto"/>
        <w:rPr>
          <w:rFonts w:ascii="Times New Roman" w:eastAsia="Calibri" w:hAnsi="Times New Roman" w:cs="Times New Roman"/>
          <w:kern w:val="0"/>
          <w:sz w:val="22"/>
          <w:szCs w:val="22"/>
          <w:lang w:eastAsia="en-US" w:bidi="ar-SA"/>
        </w:rPr>
      </w:pPr>
      <w:r>
        <w:rPr>
          <w:rFonts w:ascii="Times New Roman" w:eastAsia="Calibri" w:hAnsi="Times New Roman" w:cs="Times New Roman"/>
          <w:kern w:val="0"/>
          <w:sz w:val="22"/>
          <w:szCs w:val="22"/>
          <w:lang w:eastAsia="en-US" w:bidi="ar-SA"/>
        </w:rPr>
        <w:t>Išsami informacija apie šį vaistą pateikiama Valstybinės vaistų kontrolės tarnybos prie Lietuvos</w:t>
      </w:r>
    </w:p>
    <w:p w:rsidR="00844F54" w:rsidRDefault="001558A7">
      <w:pPr>
        <w:suppressAutoHyphens w:val="0"/>
        <w:ind w:left="567" w:hanging="567"/>
        <w:textAlignment w:val="auto"/>
        <w:rPr>
          <w:rFonts w:hint="eastAsia"/>
        </w:rPr>
      </w:pPr>
      <w:r>
        <w:rPr>
          <w:rFonts w:ascii="Times New Roman" w:eastAsia="Calibri" w:hAnsi="Times New Roman" w:cs="Times New Roman"/>
          <w:kern w:val="0"/>
          <w:sz w:val="22"/>
          <w:szCs w:val="22"/>
          <w:lang w:eastAsia="en-US" w:bidi="ar-SA"/>
        </w:rPr>
        <w:t>Respublikos sveikatos apsaugos ministerijos tinklalapyje</w:t>
      </w:r>
      <w:r>
        <w:rPr>
          <w:rFonts w:ascii="Times New Roman" w:eastAsia="Calibri" w:hAnsi="Times New Roman" w:cs="Times New Roman"/>
          <w:i/>
          <w:kern w:val="0"/>
          <w:sz w:val="22"/>
          <w:szCs w:val="22"/>
          <w:lang w:eastAsia="en-US" w:bidi="ar-SA"/>
        </w:rPr>
        <w:t xml:space="preserve"> </w:t>
      </w:r>
      <w:r>
        <w:rPr>
          <w:rFonts w:ascii="Times New Roman" w:eastAsia="Times New Roman" w:hAnsi="Times New Roman" w:cs="Times New Roman"/>
          <w:kern w:val="0"/>
          <w:sz w:val="22"/>
          <w:lang w:eastAsia="en-US" w:bidi="ar-SA"/>
        </w:rPr>
        <w:t>https://vvkt.lrv.lt/lt/.</w:t>
      </w:r>
    </w:p>
    <w:p w:rsidR="00844F54" w:rsidRDefault="00844F54">
      <w:pPr>
        <w:suppressAutoHyphens w:val="0"/>
        <w:ind w:left="567" w:hanging="567"/>
        <w:textAlignment w:val="auto"/>
        <w:rPr>
          <w:rFonts w:ascii="Times New Roman" w:eastAsia="Times New Roman" w:hAnsi="Times New Roman" w:cs="Times New Roman"/>
          <w:kern w:val="0"/>
          <w:sz w:val="22"/>
          <w:szCs w:val="22"/>
          <w:lang w:eastAsia="en-US" w:bidi="ar-SA"/>
        </w:rPr>
      </w:pPr>
    </w:p>
    <w:p w:rsidR="00844F54" w:rsidRDefault="00844F54">
      <w:pPr>
        <w:suppressAutoHyphens w:val="0"/>
        <w:ind w:left="567" w:hanging="567"/>
        <w:textAlignment w:val="auto"/>
        <w:rPr>
          <w:rFonts w:ascii="Times New Roman" w:eastAsia="Calibri" w:hAnsi="Times New Roman" w:cs="Times New Roman"/>
          <w:kern w:val="0"/>
          <w:sz w:val="22"/>
          <w:szCs w:val="22"/>
          <w:lang w:eastAsia="en-US" w:bidi="ar-SA"/>
        </w:rPr>
      </w:pPr>
    </w:p>
    <w:p w:rsidR="00844F54" w:rsidRDefault="001558A7">
      <w:pPr>
        <w:suppressAutoHyphens w:val="0"/>
        <w:textAlignment w:val="auto"/>
        <w:rPr>
          <w:rFonts w:hint="eastAsia"/>
        </w:rPr>
      </w:pPr>
      <w:r>
        <w:rPr>
          <w:rFonts w:ascii="Times New Roman" w:eastAsia="Times New Roman" w:hAnsi="Times New Roman" w:cs="Times New Roman"/>
          <w:i/>
          <w:iCs/>
          <w:kern w:val="0"/>
          <w:sz w:val="22"/>
          <w:szCs w:val="22"/>
          <w:lang w:eastAsia="en-US" w:bidi="ar-SA"/>
        </w:rPr>
        <w:t xml:space="preserve">Lygiagrečiai importuojamas vaistinis preparatas nuo referencinio vaistinio preparato skiriasi laikymo sąlygomis: referencinį - papildomai </w:t>
      </w:r>
      <w:r>
        <w:rPr>
          <w:rFonts w:ascii="Times New Roman" w:eastAsia="Times New Roman" w:hAnsi="Times New Roman" w:cs="Times New Roman"/>
          <w:i/>
          <w:iCs/>
          <w:kern w:val="0"/>
          <w:sz w:val="22"/>
          <w:lang w:eastAsia="en-US" w:bidi="ar-SA"/>
        </w:rPr>
        <w:t xml:space="preserve">saugoti nuo šviesos; tinkamumo laiku po atidarymo: lygiagretų - laikyti ne ilgiau kaip 20 dienų, </w:t>
      </w:r>
      <w:r w:rsidR="008D4348" w:rsidRPr="008D4348">
        <w:rPr>
          <w:rFonts w:ascii="Times New Roman" w:eastAsia="Times New Roman" w:hAnsi="Times New Roman" w:cs="Times New Roman"/>
          <w:i/>
          <w:iCs/>
          <w:kern w:val="0"/>
          <w:sz w:val="22"/>
          <w:lang w:eastAsia="en-US" w:bidi="ar-SA"/>
        </w:rPr>
        <w:t xml:space="preserve">kai laikoma </w:t>
      </w:r>
      <w:r w:rsidR="008D4348" w:rsidRPr="008D4348">
        <w:rPr>
          <w:rFonts w:ascii="Times New Roman" w:eastAsia="Times New Roman" w:hAnsi="Times New Roman" w:cs="Times New Roman" w:hint="eastAsia"/>
          <w:i/>
          <w:iCs/>
          <w:kern w:val="0"/>
          <w:sz w:val="22"/>
          <w:lang w:eastAsia="en-US" w:bidi="ar-SA"/>
        </w:rPr>
        <w:t>ž</w:t>
      </w:r>
      <w:r w:rsidR="008D4348" w:rsidRPr="008D4348">
        <w:rPr>
          <w:rFonts w:ascii="Times New Roman" w:eastAsia="Times New Roman" w:hAnsi="Times New Roman" w:cs="Times New Roman"/>
          <w:i/>
          <w:iCs/>
          <w:kern w:val="0"/>
          <w:sz w:val="22"/>
          <w:lang w:eastAsia="en-US" w:bidi="ar-SA"/>
        </w:rPr>
        <w:t>emesn</w:t>
      </w:r>
      <w:r w:rsidR="008D4348" w:rsidRPr="008D4348">
        <w:rPr>
          <w:rFonts w:ascii="Times New Roman" w:eastAsia="Times New Roman" w:hAnsi="Times New Roman" w:cs="Times New Roman" w:hint="cs"/>
          <w:i/>
          <w:iCs/>
          <w:kern w:val="0"/>
          <w:sz w:val="22"/>
          <w:lang w:eastAsia="en-US" w:bidi="ar-SA"/>
        </w:rPr>
        <w:t>ė</w:t>
      </w:r>
      <w:r w:rsidR="008D4348" w:rsidRPr="008D4348">
        <w:rPr>
          <w:rFonts w:ascii="Times New Roman" w:eastAsia="Times New Roman" w:hAnsi="Times New Roman" w:cs="Times New Roman"/>
          <w:i/>
          <w:iCs/>
          <w:kern w:val="0"/>
          <w:sz w:val="22"/>
          <w:lang w:eastAsia="en-US" w:bidi="ar-SA"/>
        </w:rPr>
        <w:t xml:space="preserve">je nei 25 </w:t>
      </w:r>
      <w:r w:rsidR="008D4348" w:rsidRPr="008D4348">
        <w:rPr>
          <w:rFonts w:ascii="Times New Roman" w:eastAsia="Times New Roman" w:hAnsi="Times New Roman" w:cs="Times New Roman" w:hint="eastAsia"/>
          <w:i/>
          <w:iCs/>
          <w:kern w:val="0"/>
          <w:sz w:val="22"/>
          <w:lang w:eastAsia="en-US" w:bidi="ar-SA"/>
        </w:rPr>
        <w:t>°</w:t>
      </w:r>
      <w:r w:rsidR="008D4348" w:rsidRPr="008D4348">
        <w:rPr>
          <w:rFonts w:ascii="Times New Roman" w:eastAsia="Times New Roman" w:hAnsi="Times New Roman" w:cs="Times New Roman"/>
          <w:i/>
          <w:iCs/>
          <w:kern w:val="0"/>
          <w:sz w:val="22"/>
          <w:lang w:eastAsia="en-US" w:bidi="ar-SA"/>
        </w:rPr>
        <w:t>C temperat</w:t>
      </w:r>
      <w:r w:rsidR="008D4348" w:rsidRPr="008D4348">
        <w:rPr>
          <w:rFonts w:ascii="Times New Roman" w:eastAsia="Times New Roman" w:hAnsi="Times New Roman" w:cs="Times New Roman" w:hint="eastAsia"/>
          <w:i/>
          <w:iCs/>
          <w:kern w:val="0"/>
          <w:sz w:val="22"/>
          <w:lang w:eastAsia="en-US" w:bidi="ar-SA"/>
        </w:rPr>
        <w:t>ū</w:t>
      </w:r>
      <w:r w:rsidR="008D4348" w:rsidRPr="008D4348">
        <w:rPr>
          <w:rFonts w:ascii="Times New Roman" w:eastAsia="Times New Roman" w:hAnsi="Times New Roman" w:cs="Times New Roman"/>
          <w:i/>
          <w:iCs/>
          <w:kern w:val="0"/>
          <w:sz w:val="22"/>
          <w:lang w:eastAsia="en-US" w:bidi="ar-SA"/>
        </w:rPr>
        <w:t>roje</w:t>
      </w:r>
      <w:r>
        <w:rPr>
          <w:rFonts w:ascii="Times New Roman" w:eastAsia="Times New Roman" w:hAnsi="Times New Roman" w:cs="Times New Roman"/>
          <w:i/>
          <w:iCs/>
          <w:kern w:val="0"/>
          <w:sz w:val="22"/>
          <w:lang w:eastAsia="en-US" w:bidi="ar-SA"/>
        </w:rPr>
        <w:t xml:space="preserve">, arba ne ilgiau kaip 30 dienų, kai laikoma šaldytuve (2 °C - 8 °C), gamintojo pakuotėje, referencinio - po buteliuko pirmojo atidarymo: 8 mėnesiai; pagalbinėmis medžiagomis: </w:t>
      </w:r>
      <w:r>
        <w:rPr>
          <w:rFonts w:ascii="Times New Roman" w:eastAsia="Times New Roman" w:hAnsi="Times New Roman" w:cs="Times New Roman"/>
          <w:i/>
          <w:iCs/>
          <w:kern w:val="0"/>
          <w:sz w:val="22"/>
          <w:szCs w:val="22"/>
          <w:lang w:eastAsia="en-US" w:bidi="ar-SA"/>
        </w:rPr>
        <w:t>lygiagretaus - cukrus, sorbitolio tirpalas 70% (E 420), natrio karboksimetilceliuliozė, koloidinis silicio dioksidas, bevandenis natrio citratas, bevandenė citrinų rūgštis, polisorbatas 80, natrio benzoatas (E 211), Tutti Fruti aromatinė medžiaga, referencinio - makrogolglicerolio hidroksistearatas, karmeliozės natrio druska, aliuminio-magnio silikatas, citrinų rūgštis monohidratas, dinatrio fosfatas dodekahidratas, propilo parahidroksibenzoatas (E216), skystasis maltitolis, propilenglikolis (E1520), miško žemuogių kvapo medžiaga; pakuotės dydžiu: lygiagretaus – 100 ml, referencinio – 80 ml: išvaizda: lygiagretus – Tutti Fruti kvapo geriamoji suspensija, o referencinis -</w:t>
      </w:r>
      <w:r w:rsidR="00CC1A23">
        <w:rPr>
          <w:rFonts w:ascii="Times New Roman" w:eastAsia="Times New Roman" w:hAnsi="Times New Roman" w:cs="Times New Roman"/>
          <w:i/>
          <w:iCs/>
          <w:kern w:val="0"/>
          <w:sz w:val="22"/>
          <w:szCs w:val="22"/>
          <w:lang w:eastAsia="en-US" w:bidi="ar-SA"/>
        </w:rPr>
        <w:t xml:space="preserve"> </w:t>
      </w:r>
      <w:bookmarkStart w:id="14" w:name="_GoBack"/>
      <w:bookmarkEnd w:id="14"/>
      <w:r>
        <w:rPr>
          <w:rFonts w:ascii="Times New Roman" w:eastAsia="Times New Roman" w:hAnsi="Times New Roman" w:cs="Times New Roman"/>
          <w:i/>
          <w:iCs/>
          <w:kern w:val="0"/>
          <w:sz w:val="22"/>
          <w:szCs w:val="22"/>
          <w:lang w:eastAsia="en-US" w:bidi="ar-SA"/>
        </w:rPr>
        <w:t xml:space="preserve">miško žemuogių kvapo. </w:t>
      </w:r>
    </w:p>
    <w:p w:rsidR="00844F54" w:rsidRDefault="00844F54">
      <w:pPr>
        <w:suppressAutoHyphens w:val="0"/>
        <w:textAlignment w:val="auto"/>
        <w:rPr>
          <w:rFonts w:ascii="Times New Roman" w:eastAsia="Times New Roman" w:hAnsi="Times New Roman" w:cs="Times New Roman"/>
          <w:i/>
          <w:iCs/>
          <w:kern w:val="0"/>
          <w:sz w:val="22"/>
          <w:szCs w:val="22"/>
          <w:lang w:eastAsia="en-US" w:bidi="ar-SA"/>
        </w:rPr>
      </w:pPr>
    </w:p>
    <w:p w:rsidR="00844F54" w:rsidRDefault="00844F54">
      <w:pPr>
        <w:suppressAutoHyphens w:val="0"/>
        <w:textAlignment w:val="auto"/>
        <w:rPr>
          <w:rFonts w:ascii="Times New Roman" w:eastAsia="Times New Roman" w:hAnsi="Times New Roman" w:cs="Times New Roman"/>
          <w:i/>
          <w:iCs/>
          <w:kern w:val="0"/>
          <w:sz w:val="22"/>
          <w:szCs w:val="22"/>
          <w:lang w:eastAsia="en-US" w:bidi="ar-SA"/>
        </w:rPr>
      </w:pPr>
    </w:p>
    <w:p w:rsidR="00844F54" w:rsidRDefault="00844F54">
      <w:pPr>
        <w:suppressAutoHyphens w:val="0"/>
        <w:textAlignment w:val="auto"/>
        <w:rPr>
          <w:rFonts w:ascii="Times New Roman" w:eastAsia="Times New Roman" w:hAnsi="Times New Roman" w:cs="Times New Roman"/>
          <w:i/>
          <w:iCs/>
          <w:kern w:val="0"/>
          <w:sz w:val="22"/>
          <w:szCs w:val="22"/>
          <w:lang w:eastAsia="en-US" w:bidi="ar-SA"/>
        </w:rPr>
      </w:pPr>
    </w:p>
    <w:p w:rsidR="00844F54" w:rsidRDefault="00844F54">
      <w:pPr>
        <w:suppressAutoHyphens w:val="0"/>
        <w:textAlignment w:val="auto"/>
        <w:rPr>
          <w:rFonts w:ascii="Times New Roman" w:eastAsia="Times New Roman" w:hAnsi="Times New Roman" w:cs="Times New Roman"/>
          <w:i/>
          <w:iCs/>
          <w:kern w:val="0"/>
          <w:sz w:val="22"/>
          <w:szCs w:val="22"/>
          <w:lang w:eastAsia="en-US" w:bidi="ar-SA"/>
        </w:rPr>
      </w:pPr>
    </w:p>
    <w:p w:rsidR="00844F54" w:rsidRDefault="00844F54">
      <w:pPr>
        <w:suppressAutoHyphens w:val="0"/>
        <w:textAlignment w:val="auto"/>
        <w:rPr>
          <w:rFonts w:ascii="Times New Roman" w:eastAsia="Times New Roman" w:hAnsi="Times New Roman" w:cs="Times New Roman"/>
          <w:i/>
          <w:iCs/>
          <w:kern w:val="0"/>
          <w:sz w:val="22"/>
          <w:szCs w:val="22"/>
          <w:lang w:eastAsia="en-US" w:bidi="ar-SA"/>
        </w:rPr>
      </w:pPr>
    </w:p>
    <w:p w:rsidR="00844F54" w:rsidRDefault="00844F54">
      <w:pPr>
        <w:suppressAutoHyphens w:val="0"/>
        <w:textAlignment w:val="auto"/>
        <w:rPr>
          <w:rFonts w:ascii="Times New Roman" w:eastAsia="Times New Roman" w:hAnsi="Times New Roman" w:cs="Times New Roman"/>
          <w:i/>
          <w:iCs/>
          <w:kern w:val="0"/>
          <w:sz w:val="22"/>
          <w:szCs w:val="22"/>
          <w:lang w:eastAsia="en-US" w:bidi="ar-SA"/>
        </w:rPr>
      </w:pPr>
    </w:p>
    <w:p w:rsidR="00844F54" w:rsidRDefault="00844F54">
      <w:pPr>
        <w:suppressAutoHyphens w:val="0"/>
        <w:textAlignment w:val="auto"/>
        <w:rPr>
          <w:rFonts w:ascii="Times New Roman" w:eastAsia="Times New Roman" w:hAnsi="Times New Roman" w:cs="Times New Roman"/>
          <w:kern w:val="0"/>
          <w:sz w:val="22"/>
          <w:lang w:eastAsia="en-US" w:bidi="ar-SA"/>
        </w:rPr>
      </w:pPr>
    </w:p>
    <w:p w:rsidR="00844F54" w:rsidRDefault="00844F54">
      <w:pPr>
        <w:rPr>
          <w:rFonts w:hint="eastAsia"/>
        </w:rPr>
      </w:pPr>
    </w:p>
    <w:sectPr w:rsidR="00844F54">
      <w:pgSz w:w="12240" w:h="15840"/>
      <w:pgMar w:top="1440" w:right="1440" w:bottom="1440" w:left="1440"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36F1" w:rsidRDefault="00A636F1">
      <w:pPr>
        <w:rPr>
          <w:rFonts w:hint="eastAsia"/>
        </w:rPr>
      </w:pPr>
      <w:r>
        <w:separator/>
      </w:r>
    </w:p>
  </w:endnote>
  <w:endnote w:type="continuationSeparator" w:id="0">
    <w:p w:rsidR="00A636F1" w:rsidRDefault="00A636F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Dutch TL">
    <w:charset w:val="00"/>
    <w:family w:val="roman"/>
    <w:pitch w:val="variable"/>
  </w:font>
  <w:font w:name="Mangal">
    <w:altName w:val="Courier New"/>
    <w:panose1 w:val="00000400000000000000"/>
    <w:charset w:val="00"/>
    <w:family w:val="roman"/>
    <w:pitch w:val="variable"/>
  </w:font>
  <w:font w:name="Calibri">
    <w:panose1 w:val="020F0502020204030204"/>
    <w:charset w:val="BA"/>
    <w:family w:val="swiss"/>
    <w:pitch w:val="variable"/>
    <w:sig w:usb0="E0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New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36F1" w:rsidRDefault="00A636F1">
      <w:pPr>
        <w:rPr>
          <w:rFonts w:hint="eastAsia"/>
        </w:rPr>
      </w:pPr>
      <w:r>
        <w:rPr>
          <w:color w:val="000000"/>
        </w:rPr>
        <w:separator/>
      </w:r>
    </w:p>
  </w:footnote>
  <w:footnote w:type="continuationSeparator" w:id="0">
    <w:p w:rsidR="00A636F1" w:rsidRDefault="00A636F1">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6E51B5"/>
    <w:multiLevelType w:val="multilevel"/>
    <w:tmpl w:val="A0B602BE"/>
    <w:styleLink w:val="WWNum7"/>
    <w:lvl w:ilvl="0">
      <w:numFmt w:val="bullet"/>
      <w:lvlText w:val="-"/>
      <w:lvlJc w:val="left"/>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4BB23A82"/>
    <w:multiLevelType w:val="multilevel"/>
    <w:tmpl w:val="7444F168"/>
    <w:styleLink w:val="WWNum41"/>
    <w:lvl w:ilvl="0">
      <w:numFmt w:val="bullet"/>
      <w:lvlText w:val="-"/>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65F41181"/>
    <w:multiLevelType w:val="multilevel"/>
    <w:tmpl w:val="44CEF1EA"/>
    <w:styleLink w:val="WWNum4"/>
    <w:lvl w:ilvl="0">
      <w:numFmt w:val="bullet"/>
      <w:lvlText w:val="-"/>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75840D61"/>
    <w:multiLevelType w:val="multilevel"/>
    <w:tmpl w:val="DBB6618C"/>
    <w:styleLink w:val="WWNum71"/>
    <w:lvl w:ilvl="0">
      <w:numFmt w:val="bullet"/>
      <w:lvlText w:val="-"/>
      <w:lvlJc w:val="left"/>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F54"/>
    <w:rsid w:val="00021587"/>
    <w:rsid w:val="001558A7"/>
    <w:rsid w:val="00431101"/>
    <w:rsid w:val="00844F54"/>
    <w:rsid w:val="008D4348"/>
    <w:rsid w:val="00992FB4"/>
    <w:rsid w:val="00A636F1"/>
    <w:rsid w:val="00CC1A23"/>
    <w:rsid w:val="00DA22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2CAC7"/>
  <w15:docId w15:val="{1CFD76B4-DCBD-4E5A-96CC-C28FB1078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Arial"/>
        <w:kern w:val="3"/>
        <w:sz w:val="24"/>
        <w:szCs w:val="24"/>
        <w:lang w:val="lt-LT" w:eastAsia="zh-CN" w:bidi="hi-IN"/>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Heading1">
    <w:name w:val="heading 1"/>
    <w:basedOn w:val="Standard"/>
    <w:next w:val="Standard"/>
    <w:pPr>
      <w:keepNext/>
      <w:keepLines/>
      <w:spacing w:before="240"/>
      <w:outlineLvl w:val="0"/>
    </w:pPr>
    <w:rPr>
      <w:rFonts w:ascii="Calibri Light" w:eastAsia="Calibri Light" w:hAnsi="Calibri Light" w:cs="Calibri Light"/>
      <w:color w:val="2E74B5"/>
      <w:sz w:val="32"/>
      <w:szCs w:val="32"/>
    </w:rPr>
  </w:style>
  <w:style w:type="paragraph" w:styleId="Heading2">
    <w:name w:val="heading 2"/>
    <w:basedOn w:val="Standard"/>
    <w:next w:val="Standard"/>
    <w:pPr>
      <w:keepNext/>
      <w:keepLines/>
      <w:spacing w:before="40"/>
      <w:outlineLvl w:val="1"/>
    </w:pPr>
    <w:rPr>
      <w:rFonts w:ascii="Calibri Light" w:eastAsia="Calibri Light" w:hAnsi="Calibri Light" w:cs="Calibri Light"/>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TEMEASMCA">
    <w:name w:val="TT EMEA_SMCA"/>
    <w:basedOn w:val="Heading1"/>
    <w:pPr>
      <w:keepNext w:val="0"/>
      <w:keepLines w:val="0"/>
      <w:tabs>
        <w:tab w:val="left" w:pos="1134"/>
      </w:tabs>
      <w:spacing w:before="0"/>
      <w:ind w:left="567" w:hanging="567"/>
      <w:jc w:val="center"/>
    </w:pPr>
    <w:rPr>
      <w:rFonts w:ascii="Times New Roman" w:eastAsia="Times New Roman" w:hAnsi="Times New Roman" w:cs="Times New Roman"/>
      <w:b/>
      <w:caps/>
      <w:color w:val="auto"/>
      <w:sz w:val="22"/>
      <w:szCs w:val="22"/>
      <w:lang w:val="en-US"/>
    </w:rPr>
  </w:style>
  <w:style w:type="paragraph" w:customStyle="1" w:styleId="BTEMEASMCA">
    <w:name w:val="BT EMEA_SMCA"/>
    <w:basedOn w:val="Standard"/>
    <w:pPr>
      <w:tabs>
        <w:tab w:val="left" w:pos="567"/>
      </w:tabs>
    </w:pPr>
    <w:rPr>
      <w:szCs w:val="22"/>
    </w:rPr>
  </w:style>
  <w:style w:type="paragraph" w:customStyle="1" w:styleId="BTbeEMEASMCA">
    <w:name w:val="BT(be) EMEA_SMCA"/>
    <w:basedOn w:val="BTEMEASMCA"/>
    <w:pPr>
      <w:tabs>
        <w:tab w:val="left" w:pos="2127"/>
        <w:tab w:val="left" w:pos="2268"/>
      </w:tabs>
      <w:jc w:val="center"/>
    </w:pPr>
    <w:rPr>
      <w:b/>
    </w:rPr>
  </w:style>
  <w:style w:type="paragraph" w:customStyle="1" w:styleId="BTeEMEASMCA">
    <w:name w:val="BT(e) EMEA_SMCA"/>
    <w:basedOn w:val="BTEMEASMCA"/>
    <w:pPr>
      <w:jc w:val="center"/>
    </w:pPr>
  </w:style>
  <w:style w:type="paragraph" w:customStyle="1" w:styleId="BTbEMEASMCA">
    <w:name w:val="BT(b) EMEA_SMCA"/>
    <w:basedOn w:val="BTEMEASMCA"/>
    <w:rPr>
      <w:b/>
    </w:rPr>
  </w:style>
  <w:style w:type="paragraph" w:customStyle="1" w:styleId="Kolorowalistaakcent11">
    <w:name w:val="Kolorowa lista — akcent 11"/>
    <w:basedOn w:val="Standard"/>
    <w:pPr>
      <w:ind w:left="720"/>
    </w:pPr>
  </w:style>
  <w:style w:type="paragraph" w:customStyle="1" w:styleId="PI-1EMEASMCA">
    <w:name w:val="PI-1 EMEA_SMCA"/>
    <w:basedOn w:val="Heading2"/>
    <w:pPr>
      <w:keepNext w:val="0"/>
      <w:keepLines w:val="0"/>
      <w:tabs>
        <w:tab w:val="left" w:pos="1134"/>
      </w:tabs>
      <w:spacing w:before="0"/>
      <w:ind w:left="567" w:hanging="567"/>
    </w:pPr>
    <w:rPr>
      <w:rFonts w:ascii="Times New Roman" w:eastAsia="Times New Roman" w:hAnsi="Times New Roman" w:cs="Times New Roman"/>
      <w:b/>
      <w:color w:val="auto"/>
      <w:sz w:val="22"/>
      <w:szCs w:val="22"/>
    </w:rPr>
  </w:style>
  <w:style w:type="paragraph" w:customStyle="1" w:styleId="PI-3EMEASMCA">
    <w:name w:val="PI-3 EMEA_SMCA"/>
    <w:basedOn w:val="Standard"/>
    <w:rPr>
      <w:b/>
      <w:bCs/>
      <w:szCs w:val="22"/>
    </w:rPr>
  </w:style>
  <w:style w:type="paragraph" w:customStyle="1" w:styleId="Style3">
    <w:name w:val="Style3"/>
    <w:basedOn w:val="Standard"/>
    <w:pPr>
      <w:widowControl w:val="0"/>
      <w:spacing w:line="252" w:lineRule="exact"/>
    </w:pPr>
    <w:rPr>
      <w:lang w:val="en-GB" w:eastAsia="en-GB"/>
    </w:rPr>
  </w:style>
  <w:style w:type="paragraph" w:customStyle="1" w:styleId="Default">
    <w:name w:val="Default"/>
    <w:pPr>
      <w:suppressAutoHyphens/>
    </w:pPr>
    <w:rPr>
      <w:rFonts w:ascii="Dutch TL" w:eastAsia="Times New Roman" w:hAnsi="Dutch TL" w:cs="Dutch TL"/>
      <w:color w:val="000000"/>
      <w:lang w:val="en-US" w:eastAsia="en-US"/>
    </w:rPr>
  </w:style>
  <w:style w:type="paragraph" w:customStyle="1" w:styleId="TableContents">
    <w:name w:val="Table Contents"/>
    <w:basedOn w:val="Standard"/>
    <w:pPr>
      <w:widowControl w:val="0"/>
      <w:suppressLineNumbers/>
    </w:p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tlid-translation">
    <w:name w:val="tlid-translation"/>
    <w:basedOn w:val="DefaultParagraphFont"/>
  </w:style>
  <w:style w:type="character" w:customStyle="1" w:styleId="FontStyle14">
    <w:name w:val="Font Style14"/>
    <w:rPr>
      <w:rFonts w:ascii="Times New Roman" w:eastAsia="Times New Roman" w:hAnsi="Times New Roman" w:cs="Times New Roman"/>
      <w:sz w:val="20"/>
      <w:szCs w:val="20"/>
      <w:lang w:val="en-GB" w:eastAsia="en-GB"/>
    </w:rPr>
  </w:style>
  <w:style w:type="character" w:customStyle="1" w:styleId="Internetlink">
    <w:name w:val="Internet link"/>
    <w:rPr>
      <w:color w:val="0000FF"/>
      <w:u w:val="single"/>
    </w:rPr>
  </w:style>
  <w:style w:type="character" w:customStyle="1" w:styleId="VisitedInternetLink">
    <w:name w:val="Visited Internet Link"/>
    <w:rPr>
      <w:color w:val="954F72"/>
      <w:u w:val="single"/>
    </w:rPr>
  </w:style>
  <w:style w:type="paragraph" w:styleId="BodyText">
    <w:name w:val="Body Text"/>
    <w:basedOn w:val="Normal"/>
    <w:pPr>
      <w:spacing w:after="120"/>
    </w:pPr>
    <w:rPr>
      <w:rFonts w:cs="Mangal"/>
      <w:szCs w:val="21"/>
    </w:rPr>
  </w:style>
  <w:style w:type="character" w:customStyle="1" w:styleId="BodyTextChar">
    <w:name w:val="Body Text Char"/>
    <w:basedOn w:val="DefaultParagraphFont"/>
    <w:rPr>
      <w:rFonts w:cs="Mangal"/>
      <w:szCs w:val="21"/>
    </w:rPr>
  </w:style>
  <w:style w:type="character" w:styleId="CommentReference">
    <w:name w:val="annotation reference"/>
    <w:basedOn w:val="DefaultParagraphFont"/>
    <w:rPr>
      <w:sz w:val="16"/>
      <w:szCs w:val="16"/>
    </w:rPr>
  </w:style>
  <w:style w:type="paragraph" w:styleId="CommentText">
    <w:name w:val="annotation text"/>
    <w:basedOn w:val="Normal"/>
    <w:pPr>
      <w:suppressAutoHyphens w:val="0"/>
      <w:textAlignment w:val="auto"/>
    </w:pPr>
    <w:rPr>
      <w:rFonts w:ascii="Times New Roman" w:eastAsia="Times New Roman" w:hAnsi="Times New Roman" w:cs="Times New Roman"/>
      <w:kern w:val="0"/>
      <w:sz w:val="20"/>
      <w:szCs w:val="20"/>
      <w:lang w:eastAsia="en-US" w:bidi="ar-SA"/>
    </w:rPr>
  </w:style>
  <w:style w:type="character" w:customStyle="1" w:styleId="CommentTextChar">
    <w:name w:val="Comment Text Char"/>
    <w:basedOn w:val="DefaultParagraphFont"/>
    <w:rPr>
      <w:rFonts w:ascii="Times New Roman" w:eastAsia="Times New Roman" w:hAnsi="Times New Roman" w:cs="Times New Roman"/>
      <w:kern w:val="0"/>
      <w:sz w:val="20"/>
      <w:szCs w:val="20"/>
      <w:lang w:eastAsia="en-US" w:bidi="ar-SA"/>
    </w:rPr>
  </w:style>
  <w:style w:type="numbering" w:customStyle="1" w:styleId="WWNum41">
    <w:name w:val="WWNum41"/>
    <w:basedOn w:val="NoList"/>
    <w:pPr>
      <w:numPr>
        <w:numId w:val="1"/>
      </w:numPr>
    </w:pPr>
  </w:style>
  <w:style w:type="numbering" w:customStyle="1" w:styleId="WWNum71">
    <w:name w:val="WWNum71"/>
    <w:basedOn w:val="NoList"/>
    <w:pPr>
      <w:numPr>
        <w:numId w:val="2"/>
      </w:numPr>
    </w:pPr>
  </w:style>
  <w:style w:type="numbering" w:customStyle="1" w:styleId="WWNum4">
    <w:name w:val="WWNum4"/>
    <w:basedOn w:val="NoList"/>
    <w:pPr>
      <w:numPr>
        <w:numId w:val="3"/>
      </w:numPr>
    </w:pPr>
  </w:style>
  <w:style w:type="numbering" w:customStyle="1" w:styleId="WWNum7">
    <w:name w:val="WWNum7"/>
    <w:basedOn w:val="NoList"/>
    <w:pPr>
      <w:numPr>
        <w:numId w:val="4"/>
      </w:numPr>
    </w:pPr>
  </w:style>
  <w:style w:type="character" w:styleId="Hyperlink">
    <w:name w:val="Hyperlink"/>
    <w:basedOn w:val="DefaultParagraphFont"/>
    <w:uiPriority w:val="99"/>
    <w:unhideWhenUsed/>
    <w:rsid w:val="008D43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vkt.lrv.l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13435</Words>
  <Characters>7659</Characters>
  <Application>Microsoft Office Word</Application>
  <DocSecurity>0</DocSecurity>
  <Lines>63</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Tomaševič</dc:creator>
  <cp:lastModifiedBy>Renata Tomaševič</cp:lastModifiedBy>
  <cp:revision>8</cp:revision>
  <dcterms:created xsi:type="dcterms:W3CDTF">2024-12-01T16:30:00Z</dcterms:created>
  <dcterms:modified xsi:type="dcterms:W3CDTF">2024-12-02T11:24:00Z</dcterms:modified>
</cp:coreProperties>
</file>