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96B4A" w14:textId="77777777" w:rsidR="00982934" w:rsidRPr="00A552D9" w:rsidRDefault="00982934" w:rsidP="00214AAF">
      <w:pPr>
        <w:spacing w:before="0" w:after="0" w:line="240" w:lineRule="auto"/>
        <w:jc w:val="left"/>
        <w:rPr>
          <w:rFonts w:ascii="Times New Roman" w:hAnsi="Times New Roman" w:cs="Times New Roman"/>
          <w:b/>
          <w:color w:val="000000"/>
        </w:rPr>
      </w:pPr>
    </w:p>
    <w:p w14:paraId="477C543C" w14:textId="77777777" w:rsidR="00982934" w:rsidRPr="00A552D9" w:rsidRDefault="00982934" w:rsidP="00214AAF">
      <w:pPr>
        <w:spacing w:before="0" w:after="0" w:line="240" w:lineRule="auto"/>
        <w:jc w:val="left"/>
        <w:rPr>
          <w:rFonts w:ascii="Times New Roman" w:hAnsi="Times New Roman" w:cs="Times New Roman"/>
          <w:b/>
          <w:color w:val="000000"/>
        </w:rPr>
      </w:pPr>
    </w:p>
    <w:p w14:paraId="48EAB381" w14:textId="77777777" w:rsidR="00982934" w:rsidRPr="00A552D9" w:rsidRDefault="00982934" w:rsidP="00214AAF">
      <w:pPr>
        <w:spacing w:before="0" w:after="0" w:line="240" w:lineRule="auto"/>
        <w:jc w:val="left"/>
        <w:rPr>
          <w:rFonts w:ascii="Times New Roman" w:hAnsi="Times New Roman" w:cs="Times New Roman"/>
          <w:b/>
          <w:color w:val="000000"/>
        </w:rPr>
      </w:pPr>
    </w:p>
    <w:p w14:paraId="50874726" w14:textId="77777777" w:rsidR="00982934" w:rsidRPr="00A552D9" w:rsidRDefault="00982934" w:rsidP="00214AAF">
      <w:pPr>
        <w:spacing w:before="0" w:after="0" w:line="240" w:lineRule="auto"/>
        <w:jc w:val="left"/>
        <w:rPr>
          <w:rFonts w:ascii="Times New Roman" w:hAnsi="Times New Roman" w:cs="Times New Roman"/>
          <w:b/>
          <w:color w:val="000000"/>
        </w:rPr>
      </w:pPr>
    </w:p>
    <w:p w14:paraId="439BCFD2" w14:textId="77777777" w:rsidR="00982934" w:rsidRPr="00A552D9" w:rsidRDefault="00982934" w:rsidP="00214AAF">
      <w:pPr>
        <w:spacing w:before="0" w:after="0" w:line="240" w:lineRule="auto"/>
        <w:jc w:val="left"/>
        <w:rPr>
          <w:rFonts w:ascii="Times New Roman" w:hAnsi="Times New Roman" w:cs="Times New Roman"/>
          <w:b/>
          <w:color w:val="000000"/>
        </w:rPr>
      </w:pPr>
    </w:p>
    <w:p w14:paraId="1D5A8AD5" w14:textId="77777777" w:rsidR="00982934" w:rsidRPr="00A552D9" w:rsidRDefault="00982934" w:rsidP="00214AAF">
      <w:pPr>
        <w:spacing w:before="0" w:after="0" w:line="240" w:lineRule="auto"/>
        <w:jc w:val="left"/>
        <w:rPr>
          <w:rFonts w:ascii="Times New Roman" w:hAnsi="Times New Roman" w:cs="Times New Roman"/>
          <w:b/>
          <w:color w:val="000000"/>
        </w:rPr>
      </w:pPr>
    </w:p>
    <w:p w14:paraId="788C6CA7" w14:textId="77777777" w:rsidR="00982934" w:rsidRPr="00A552D9" w:rsidRDefault="00982934" w:rsidP="00214AAF">
      <w:pPr>
        <w:spacing w:before="0" w:after="0" w:line="240" w:lineRule="auto"/>
        <w:jc w:val="left"/>
        <w:rPr>
          <w:rFonts w:ascii="Times New Roman" w:hAnsi="Times New Roman" w:cs="Times New Roman"/>
          <w:b/>
          <w:color w:val="000000"/>
        </w:rPr>
      </w:pPr>
    </w:p>
    <w:p w14:paraId="00E54D86" w14:textId="77777777" w:rsidR="00982934" w:rsidRPr="00A552D9" w:rsidRDefault="00982934" w:rsidP="00214AAF">
      <w:pPr>
        <w:spacing w:before="0" w:after="0" w:line="240" w:lineRule="auto"/>
        <w:jc w:val="left"/>
        <w:rPr>
          <w:rFonts w:ascii="Times New Roman" w:hAnsi="Times New Roman" w:cs="Times New Roman"/>
          <w:b/>
          <w:color w:val="000000"/>
        </w:rPr>
      </w:pPr>
    </w:p>
    <w:p w14:paraId="44FE0829" w14:textId="77777777" w:rsidR="00982934" w:rsidRPr="00A552D9" w:rsidRDefault="00982934" w:rsidP="00214AAF">
      <w:pPr>
        <w:spacing w:before="0" w:after="0" w:line="240" w:lineRule="auto"/>
        <w:jc w:val="left"/>
        <w:rPr>
          <w:rFonts w:ascii="Times New Roman" w:hAnsi="Times New Roman" w:cs="Times New Roman"/>
          <w:b/>
          <w:color w:val="000000"/>
        </w:rPr>
      </w:pPr>
    </w:p>
    <w:p w14:paraId="72B5053E" w14:textId="77777777" w:rsidR="00982934" w:rsidRPr="00A552D9" w:rsidRDefault="00982934" w:rsidP="00214AAF">
      <w:pPr>
        <w:spacing w:before="0" w:after="0" w:line="240" w:lineRule="auto"/>
        <w:jc w:val="left"/>
        <w:rPr>
          <w:rFonts w:ascii="Times New Roman" w:hAnsi="Times New Roman" w:cs="Times New Roman"/>
          <w:b/>
          <w:color w:val="000000"/>
        </w:rPr>
      </w:pPr>
    </w:p>
    <w:p w14:paraId="2D9FE7E4" w14:textId="77777777" w:rsidR="00982934" w:rsidRPr="00A552D9" w:rsidRDefault="00982934" w:rsidP="00214AAF">
      <w:pPr>
        <w:spacing w:before="0" w:after="0" w:line="240" w:lineRule="auto"/>
        <w:jc w:val="left"/>
        <w:rPr>
          <w:rFonts w:ascii="Times New Roman" w:hAnsi="Times New Roman" w:cs="Times New Roman"/>
          <w:b/>
          <w:color w:val="000000"/>
        </w:rPr>
      </w:pPr>
    </w:p>
    <w:p w14:paraId="2F26A214" w14:textId="77777777" w:rsidR="00982934" w:rsidRPr="00A552D9" w:rsidRDefault="00982934" w:rsidP="00214AAF">
      <w:pPr>
        <w:spacing w:before="0" w:after="0" w:line="240" w:lineRule="auto"/>
        <w:jc w:val="left"/>
        <w:rPr>
          <w:rFonts w:ascii="Times New Roman" w:hAnsi="Times New Roman" w:cs="Times New Roman"/>
          <w:b/>
          <w:color w:val="000000"/>
        </w:rPr>
      </w:pPr>
    </w:p>
    <w:p w14:paraId="316E1633" w14:textId="77777777" w:rsidR="00982934" w:rsidRPr="00A552D9" w:rsidRDefault="00982934" w:rsidP="00214AAF">
      <w:pPr>
        <w:spacing w:before="0" w:after="0" w:line="240" w:lineRule="auto"/>
        <w:jc w:val="left"/>
        <w:rPr>
          <w:rFonts w:ascii="Times New Roman" w:hAnsi="Times New Roman" w:cs="Times New Roman"/>
          <w:b/>
          <w:color w:val="000000"/>
        </w:rPr>
      </w:pPr>
    </w:p>
    <w:p w14:paraId="7A3EC737" w14:textId="77777777" w:rsidR="00982934" w:rsidRPr="00A552D9" w:rsidRDefault="00982934" w:rsidP="00214AAF">
      <w:pPr>
        <w:spacing w:before="0" w:after="0" w:line="240" w:lineRule="auto"/>
        <w:jc w:val="left"/>
        <w:rPr>
          <w:rFonts w:ascii="Times New Roman" w:hAnsi="Times New Roman" w:cs="Times New Roman"/>
          <w:b/>
          <w:color w:val="000000"/>
        </w:rPr>
      </w:pPr>
    </w:p>
    <w:p w14:paraId="66CA1B18" w14:textId="77777777" w:rsidR="00982934" w:rsidRPr="00A552D9" w:rsidRDefault="00982934" w:rsidP="00214AAF">
      <w:pPr>
        <w:spacing w:before="0" w:after="0" w:line="240" w:lineRule="auto"/>
        <w:jc w:val="left"/>
        <w:rPr>
          <w:rFonts w:ascii="Times New Roman" w:hAnsi="Times New Roman" w:cs="Times New Roman"/>
          <w:b/>
          <w:color w:val="000000"/>
        </w:rPr>
      </w:pPr>
    </w:p>
    <w:p w14:paraId="740155F3" w14:textId="77777777" w:rsidR="00982934" w:rsidRPr="00A552D9" w:rsidRDefault="00982934" w:rsidP="00214AAF">
      <w:pPr>
        <w:spacing w:before="0" w:after="0" w:line="240" w:lineRule="auto"/>
        <w:jc w:val="left"/>
        <w:rPr>
          <w:rFonts w:ascii="Times New Roman" w:hAnsi="Times New Roman" w:cs="Times New Roman"/>
          <w:b/>
          <w:color w:val="000000"/>
        </w:rPr>
      </w:pPr>
    </w:p>
    <w:p w14:paraId="4CDDC7F7" w14:textId="77777777" w:rsidR="00982934" w:rsidRPr="00A552D9" w:rsidRDefault="00982934" w:rsidP="00214AAF">
      <w:pPr>
        <w:spacing w:before="0" w:after="0" w:line="240" w:lineRule="auto"/>
        <w:jc w:val="left"/>
        <w:rPr>
          <w:rFonts w:ascii="Times New Roman" w:hAnsi="Times New Roman" w:cs="Times New Roman"/>
          <w:b/>
          <w:color w:val="000000"/>
        </w:rPr>
      </w:pPr>
    </w:p>
    <w:p w14:paraId="739B6961" w14:textId="77777777" w:rsidR="00982934" w:rsidRPr="00A552D9" w:rsidRDefault="00982934" w:rsidP="00214AAF">
      <w:pPr>
        <w:spacing w:before="0" w:after="0" w:line="240" w:lineRule="auto"/>
        <w:jc w:val="left"/>
        <w:rPr>
          <w:rFonts w:ascii="Times New Roman" w:hAnsi="Times New Roman" w:cs="Times New Roman"/>
          <w:b/>
          <w:color w:val="000000"/>
        </w:rPr>
      </w:pPr>
    </w:p>
    <w:p w14:paraId="60A911B2" w14:textId="77777777" w:rsidR="00982934" w:rsidRPr="00A552D9" w:rsidRDefault="00982934" w:rsidP="00214AAF">
      <w:pPr>
        <w:spacing w:before="0" w:after="0" w:line="240" w:lineRule="auto"/>
        <w:jc w:val="left"/>
        <w:rPr>
          <w:rFonts w:ascii="Times New Roman" w:hAnsi="Times New Roman" w:cs="Times New Roman"/>
          <w:b/>
          <w:color w:val="000000"/>
        </w:rPr>
      </w:pPr>
    </w:p>
    <w:p w14:paraId="3E9F2B86" w14:textId="77777777" w:rsidR="00982934" w:rsidRPr="00A552D9" w:rsidRDefault="00982934" w:rsidP="00214AAF">
      <w:pPr>
        <w:spacing w:before="0" w:after="0" w:line="240" w:lineRule="auto"/>
        <w:jc w:val="left"/>
        <w:rPr>
          <w:rFonts w:ascii="Times New Roman" w:hAnsi="Times New Roman" w:cs="Times New Roman"/>
          <w:b/>
          <w:color w:val="000000"/>
        </w:rPr>
      </w:pPr>
    </w:p>
    <w:p w14:paraId="1A9EEA73" w14:textId="77777777" w:rsidR="00982934" w:rsidRPr="00A552D9" w:rsidRDefault="00982934" w:rsidP="00214AAF">
      <w:pPr>
        <w:spacing w:before="0" w:after="0" w:line="240" w:lineRule="auto"/>
        <w:jc w:val="left"/>
        <w:rPr>
          <w:rFonts w:ascii="Times New Roman" w:hAnsi="Times New Roman" w:cs="Times New Roman"/>
          <w:b/>
          <w:color w:val="000000"/>
        </w:rPr>
      </w:pPr>
    </w:p>
    <w:p w14:paraId="38CC7BB2" w14:textId="77777777" w:rsidR="00982934" w:rsidRPr="00A552D9" w:rsidRDefault="00982934" w:rsidP="00214AAF">
      <w:pPr>
        <w:spacing w:before="0" w:after="0" w:line="240" w:lineRule="auto"/>
        <w:jc w:val="left"/>
        <w:rPr>
          <w:rFonts w:ascii="Times New Roman" w:hAnsi="Times New Roman" w:cs="Times New Roman"/>
          <w:b/>
          <w:color w:val="000000"/>
        </w:rPr>
      </w:pPr>
    </w:p>
    <w:p w14:paraId="2A42ACF8" w14:textId="77777777" w:rsidR="00982934" w:rsidRPr="00A552D9" w:rsidRDefault="00982934" w:rsidP="00214AAF">
      <w:pPr>
        <w:spacing w:before="0" w:after="0" w:line="240" w:lineRule="auto"/>
        <w:jc w:val="left"/>
        <w:rPr>
          <w:rFonts w:ascii="Times New Roman" w:hAnsi="Times New Roman" w:cs="Times New Roman"/>
          <w:b/>
          <w:color w:val="000000"/>
        </w:rPr>
      </w:pPr>
    </w:p>
    <w:p w14:paraId="2142E69B" w14:textId="77777777" w:rsidR="00982934" w:rsidRPr="00A552D9" w:rsidRDefault="00982934" w:rsidP="00214AAF">
      <w:pPr>
        <w:spacing w:before="0" w:after="0" w:line="240" w:lineRule="auto"/>
        <w:jc w:val="left"/>
        <w:rPr>
          <w:rFonts w:ascii="Times New Roman" w:hAnsi="Times New Roman" w:cs="Times New Roman"/>
          <w:b/>
          <w:color w:val="000000"/>
        </w:rPr>
      </w:pPr>
    </w:p>
    <w:p w14:paraId="7681EC7D" w14:textId="5AF26CC0" w:rsidR="00593585" w:rsidRPr="00A552D9" w:rsidRDefault="003F09FD" w:rsidP="00214AAF">
      <w:pPr>
        <w:spacing w:before="0" w:after="0" w:line="240" w:lineRule="auto"/>
        <w:jc w:val="center"/>
        <w:rPr>
          <w:rFonts w:ascii="Times New Roman" w:hAnsi="Times New Roman" w:cs="Times New Roman"/>
          <w:b/>
          <w:color w:val="000000"/>
        </w:rPr>
      </w:pPr>
      <w:r w:rsidRPr="00A552D9">
        <w:rPr>
          <w:rFonts w:ascii="Times New Roman" w:hAnsi="Times New Roman" w:cs="Times New Roman"/>
          <w:b/>
          <w:color w:val="000000"/>
        </w:rPr>
        <w:t>I</w:t>
      </w:r>
      <w:bookmarkStart w:id="0" w:name="br1"/>
      <w:bookmarkEnd w:id="0"/>
      <w:r w:rsidRPr="00A552D9">
        <w:rPr>
          <w:rFonts w:ascii="Times New Roman" w:hAnsi="Times New Roman" w:cs="Times New Roman"/>
          <w:b/>
          <w:color w:val="000000"/>
        </w:rPr>
        <w:t xml:space="preserve"> PRIEDAS</w:t>
      </w:r>
    </w:p>
    <w:p w14:paraId="21496D69" w14:textId="77777777" w:rsidR="00982934" w:rsidRPr="00A552D9" w:rsidRDefault="00982934" w:rsidP="00214AAF">
      <w:pPr>
        <w:spacing w:before="0" w:after="0" w:line="240" w:lineRule="auto"/>
        <w:jc w:val="left"/>
        <w:rPr>
          <w:rFonts w:ascii="Times New Roman" w:hAnsi="Times New Roman" w:cs="Times New Roman"/>
          <w:b/>
          <w:color w:val="000000"/>
        </w:rPr>
      </w:pPr>
    </w:p>
    <w:p w14:paraId="6A893F5C" w14:textId="77777777" w:rsidR="00982934" w:rsidRPr="00A552D9" w:rsidRDefault="003F09FD" w:rsidP="00214AAF">
      <w:pPr>
        <w:spacing w:before="0" w:after="0" w:line="240" w:lineRule="auto"/>
        <w:jc w:val="center"/>
        <w:rPr>
          <w:rFonts w:ascii="Times New Roman" w:hAnsi="Times New Roman" w:cs="Times New Roman"/>
          <w:b/>
          <w:color w:val="000000"/>
        </w:rPr>
      </w:pPr>
      <w:r w:rsidRPr="00A552D9">
        <w:rPr>
          <w:rFonts w:ascii="Times New Roman" w:hAnsi="Times New Roman" w:cs="Times New Roman"/>
          <w:b/>
          <w:color w:val="000000"/>
        </w:rPr>
        <w:t>PREPARATO CHARAKTERISTIKŲ</w:t>
      </w:r>
      <w:r w:rsidRPr="00A552D9">
        <w:rPr>
          <w:rFonts w:ascii="Times New Roman" w:hAnsi="Times New Roman" w:cs="Times New Roman"/>
          <w:b/>
          <w:color w:val="000000"/>
          <w:spacing w:val="1"/>
        </w:rPr>
        <w:t xml:space="preserve"> </w:t>
      </w:r>
      <w:r w:rsidRPr="00A552D9">
        <w:rPr>
          <w:rFonts w:ascii="Times New Roman" w:hAnsi="Times New Roman" w:cs="Times New Roman"/>
          <w:b/>
          <w:color w:val="000000"/>
        </w:rPr>
        <w:t>SANTRAUKA</w:t>
      </w:r>
    </w:p>
    <w:p w14:paraId="7681EC81" w14:textId="1E958E85" w:rsidR="00593585" w:rsidRPr="00A552D9" w:rsidRDefault="003F09FD" w:rsidP="00214AAF">
      <w:pPr>
        <w:spacing w:before="0" w:after="0" w:line="240" w:lineRule="auto"/>
        <w:jc w:val="center"/>
        <w:rPr>
          <w:rFonts w:ascii="Times New Roman" w:hAnsi="Times New Roman" w:cs="Times New Roman"/>
          <w:b/>
          <w:color w:val="000000"/>
        </w:rPr>
      </w:pPr>
      <w:r w:rsidRPr="00A552D9">
        <w:rPr>
          <w:rFonts w:ascii="Times New Roman" w:hAnsi="Times New Roman" w:cs="Times New Roman"/>
          <w:color w:val="FF0000"/>
        </w:rPr>
        <w:br w:type="page"/>
      </w:r>
    </w:p>
    <w:p w14:paraId="44F24E6A" w14:textId="77777777" w:rsidR="00992F19" w:rsidRPr="00A552D9" w:rsidRDefault="00992F19" w:rsidP="00992F19">
      <w:pPr>
        <w:widowControl w:val="0"/>
        <w:tabs>
          <w:tab w:val="left" w:pos="865"/>
          <w:tab w:val="left" w:pos="866"/>
        </w:tabs>
        <w:autoSpaceDE w:val="0"/>
        <w:autoSpaceDN w:val="0"/>
        <w:spacing w:before="0" w:after="0" w:line="240" w:lineRule="auto"/>
        <w:ind w:right="2"/>
        <w:jc w:val="left"/>
        <w:rPr>
          <w:rFonts w:ascii="Times New Roman" w:eastAsia="Times New Roman" w:hAnsi="Times New Roman" w:cs="Times New Roman"/>
          <w:kern w:val="0"/>
          <w:lang w:val="lt-LT"/>
          <w14:ligatures w14:val="none"/>
        </w:rPr>
      </w:pPr>
      <w:bookmarkStart w:id="1" w:name="br2"/>
      <w:bookmarkEnd w:id="1"/>
    </w:p>
    <w:p w14:paraId="1EB71C3D" w14:textId="77777777" w:rsidR="00992F19" w:rsidRPr="00A552D9" w:rsidRDefault="00992F19" w:rsidP="00992F19">
      <w:pPr>
        <w:widowControl w:val="0"/>
        <w:tabs>
          <w:tab w:val="left" w:pos="865"/>
          <w:tab w:val="left" w:pos="866"/>
        </w:tabs>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1C320EE"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VAISTINIO PREPARATO PAVADINIMAS</w:t>
      </w:r>
    </w:p>
    <w:p w14:paraId="65D3435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74CA7A2D" w14:textId="6F4B2A96"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992F19" w:rsidRPr="00A552D9">
        <w:rPr>
          <w:rFonts w:ascii="Times New Roman" w:eastAsia="Times New Roman" w:hAnsi="Times New Roman" w:cs="Times New Roman"/>
          <w:kern w:val="0"/>
          <w:lang w:val="lt-LT"/>
          <w14:ligatures w14:val="none"/>
        </w:rPr>
        <w:t xml:space="preserve"> 1 mg kietosios kapsulės</w:t>
      </w:r>
    </w:p>
    <w:p w14:paraId="16BE04F0" w14:textId="6D728C46"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992F19" w:rsidRPr="00A552D9">
        <w:rPr>
          <w:rFonts w:ascii="Times New Roman" w:eastAsia="Times New Roman" w:hAnsi="Times New Roman" w:cs="Times New Roman"/>
          <w:kern w:val="0"/>
          <w:lang w:val="lt-LT"/>
          <w14:ligatures w14:val="none"/>
        </w:rPr>
        <w:t xml:space="preserve"> 2 mg kietosios kapsulės</w:t>
      </w:r>
    </w:p>
    <w:p w14:paraId="12D036F1" w14:textId="602BF431"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992F19" w:rsidRPr="00A552D9">
        <w:rPr>
          <w:rFonts w:ascii="Times New Roman" w:eastAsia="Times New Roman" w:hAnsi="Times New Roman" w:cs="Times New Roman"/>
          <w:kern w:val="0"/>
          <w:lang w:val="lt-LT"/>
          <w14:ligatures w14:val="none"/>
        </w:rPr>
        <w:t xml:space="preserve"> 3 mg kietosios kapsulės</w:t>
      </w:r>
    </w:p>
    <w:p w14:paraId="58D88787" w14:textId="7305DF22"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992F19" w:rsidRPr="00A552D9">
        <w:rPr>
          <w:rFonts w:ascii="Times New Roman" w:eastAsia="Times New Roman" w:hAnsi="Times New Roman" w:cs="Times New Roman"/>
          <w:kern w:val="0"/>
          <w:lang w:val="lt-LT"/>
          <w14:ligatures w14:val="none"/>
        </w:rPr>
        <w:t xml:space="preserve"> 4 mg kietosios kapsulės</w:t>
      </w:r>
    </w:p>
    <w:p w14:paraId="05D426E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6E6269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664510B"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KOKYBINĖ IR KIEKYBINĖ SUDĖTIS</w:t>
      </w:r>
    </w:p>
    <w:p w14:paraId="4185DE1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47A558E4" w14:textId="715B2752"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992F19" w:rsidRPr="00A552D9">
        <w:rPr>
          <w:rFonts w:ascii="Times New Roman" w:eastAsia="Times New Roman" w:hAnsi="Times New Roman" w:cs="Times New Roman"/>
          <w:kern w:val="0"/>
          <w:u w:val="single"/>
          <w:lang w:val="lt-LT"/>
          <w14:ligatures w14:val="none"/>
        </w:rPr>
        <w:t xml:space="preserve"> 1 mg kietosios kapsulės</w:t>
      </w:r>
    </w:p>
    <w:p w14:paraId="2D50027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Kiekvienoje kietojoje kapsulėje yra 1 mg pomalidomido.</w:t>
      </w:r>
    </w:p>
    <w:p w14:paraId="717A53D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59E77ED" w14:textId="5CB69E4D" w:rsidR="00CD40EC" w:rsidRPr="00A552D9" w:rsidRDefault="00CD40EC" w:rsidP="00CD40E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Pagalbinė medžiag</w:t>
      </w:r>
      <w:r w:rsidR="00292DAB">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kuri</w:t>
      </w:r>
      <w:r w:rsidR="00292DAB">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poveikis žinomas:</w:t>
      </w:r>
    </w:p>
    <w:p w14:paraId="10988C0E" w14:textId="58A9A6FC" w:rsidR="00CD40EC" w:rsidRPr="00A552D9" w:rsidRDefault="00CD40EC" w:rsidP="00CD40E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Kiekvienoje kietoj</w:t>
      </w:r>
      <w:r w:rsidR="00AF6404" w:rsidRPr="00A552D9">
        <w:rPr>
          <w:rFonts w:ascii="Times New Roman" w:eastAsia="Times New Roman" w:hAnsi="Times New Roman" w:cs="Times New Roman"/>
          <w:kern w:val="0"/>
          <w:lang w:val="lt-LT"/>
          <w14:ligatures w14:val="none"/>
        </w:rPr>
        <w:t>oj</w:t>
      </w:r>
      <w:r w:rsidRPr="00A552D9">
        <w:rPr>
          <w:rFonts w:ascii="Times New Roman" w:eastAsia="Times New Roman" w:hAnsi="Times New Roman" w:cs="Times New Roman"/>
          <w:kern w:val="0"/>
          <w:lang w:val="lt-LT"/>
          <w14:ligatures w14:val="none"/>
        </w:rPr>
        <w:t>e kapsulėje yra 10,1 mg sacharozės.</w:t>
      </w:r>
    </w:p>
    <w:p w14:paraId="3C16537C" w14:textId="77777777" w:rsidR="00CD40EC" w:rsidRPr="00A552D9" w:rsidRDefault="00CD40EC" w:rsidP="00CD40E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CEF07B7" w14:textId="15A1338C"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992F19" w:rsidRPr="00A552D9">
        <w:rPr>
          <w:rFonts w:ascii="Times New Roman" w:eastAsia="Times New Roman" w:hAnsi="Times New Roman" w:cs="Times New Roman"/>
          <w:kern w:val="0"/>
          <w:u w:val="single"/>
          <w:lang w:val="lt-LT"/>
          <w14:ligatures w14:val="none"/>
        </w:rPr>
        <w:t xml:space="preserve"> 2 mg kietosios kapsulės</w:t>
      </w:r>
    </w:p>
    <w:p w14:paraId="7907E2B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Kiekvienoje kietojoje kapsulėje yra 2 mg pomalidomido.</w:t>
      </w:r>
    </w:p>
    <w:p w14:paraId="3E90EA8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D8B472D" w14:textId="01467A8C" w:rsidR="00D267C5" w:rsidRPr="00A552D9" w:rsidRDefault="00D267C5" w:rsidP="00D267C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Pagalbinė medžiag</w:t>
      </w:r>
      <w:r w:rsidR="00292DAB">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kuri</w:t>
      </w:r>
      <w:r w:rsidR="00292DAB">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poveikis žinomas:</w:t>
      </w:r>
    </w:p>
    <w:p w14:paraId="633680DB" w14:textId="1EF8E899" w:rsidR="00D267C5" w:rsidRPr="00A552D9" w:rsidRDefault="00D267C5" w:rsidP="00D267C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kietojoje kapsulėje yra </w:t>
      </w:r>
      <w:r w:rsidR="006B4096" w:rsidRPr="00A552D9">
        <w:rPr>
          <w:rFonts w:ascii="Times New Roman" w:eastAsia="Times New Roman" w:hAnsi="Times New Roman" w:cs="Times New Roman"/>
          <w:kern w:val="0"/>
          <w:lang w:val="lt-LT"/>
          <w14:ligatures w14:val="none"/>
        </w:rPr>
        <w:t>20</w:t>
      </w:r>
      <w:r w:rsidRPr="00A552D9">
        <w:rPr>
          <w:rFonts w:ascii="Times New Roman" w:eastAsia="Times New Roman" w:hAnsi="Times New Roman" w:cs="Times New Roman"/>
          <w:kern w:val="0"/>
          <w:lang w:val="lt-LT"/>
          <w14:ligatures w14:val="none"/>
        </w:rPr>
        <w:t>,</w:t>
      </w:r>
      <w:r w:rsidR="006B4096" w:rsidRPr="00A552D9">
        <w:rPr>
          <w:rFonts w:ascii="Times New Roman" w:eastAsia="Times New Roman" w:hAnsi="Times New Roman" w:cs="Times New Roman"/>
          <w:kern w:val="0"/>
          <w:lang w:val="lt-LT"/>
          <w14:ligatures w14:val="none"/>
        </w:rPr>
        <w:t>2</w:t>
      </w:r>
      <w:r w:rsidRPr="00A552D9">
        <w:rPr>
          <w:rFonts w:ascii="Times New Roman" w:eastAsia="Times New Roman" w:hAnsi="Times New Roman" w:cs="Times New Roman"/>
          <w:kern w:val="0"/>
          <w:lang w:val="lt-LT"/>
          <w14:ligatures w14:val="none"/>
        </w:rPr>
        <w:t> mg sacharozės.</w:t>
      </w:r>
    </w:p>
    <w:p w14:paraId="796046DB" w14:textId="77777777" w:rsidR="00D267C5" w:rsidRPr="00A552D9" w:rsidRDefault="00D267C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88246D6" w14:textId="01481715"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992F19" w:rsidRPr="00A552D9">
        <w:rPr>
          <w:rFonts w:ascii="Times New Roman" w:eastAsia="Times New Roman" w:hAnsi="Times New Roman" w:cs="Times New Roman"/>
          <w:kern w:val="0"/>
          <w:u w:val="single"/>
          <w:lang w:val="lt-LT"/>
          <w14:ligatures w14:val="none"/>
        </w:rPr>
        <w:t xml:space="preserve"> 3 mg kietosios kapsulės</w:t>
      </w:r>
    </w:p>
    <w:p w14:paraId="18E45B0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Kiekvienoje kietojoje kapsulėje yra 3 mg pomalidomido.</w:t>
      </w:r>
    </w:p>
    <w:p w14:paraId="71FDC3AE" w14:textId="77777777" w:rsidR="006B4096" w:rsidRPr="00A552D9" w:rsidRDefault="006B4096"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F7196B8" w14:textId="05FCC031" w:rsidR="006B4096" w:rsidRPr="00A552D9" w:rsidRDefault="006B4096" w:rsidP="006B4096">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Pagalbinė medžiag</w:t>
      </w:r>
      <w:r w:rsidR="00292DAB">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kuri</w:t>
      </w:r>
      <w:r w:rsidR="00292DAB">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poveikis žinomas:</w:t>
      </w:r>
    </w:p>
    <w:p w14:paraId="1BDFB00D" w14:textId="377C6AF8" w:rsidR="006B4096" w:rsidRPr="00A552D9" w:rsidRDefault="006B4096"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Kiekvienoje kietojoje kapsulėje yra 30,3 mg sacharozės.</w:t>
      </w:r>
    </w:p>
    <w:p w14:paraId="0B84185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5A6BFC8" w14:textId="2D5BA475"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992F19" w:rsidRPr="00A552D9">
        <w:rPr>
          <w:rFonts w:ascii="Times New Roman" w:eastAsia="Times New Roman" w:hAnsi="Times New Roman" w:cs="Times New Roman"/>
          <w:kern w:val="0"/>
          <w:u w:val="single"/>
          <w:lang w:val="lt-LT"/>
          <w14:ligatures w14:val="none"/>
        </w:rPr>
        <w:t xml:space="preserve"> 4 mg kietosios kapsulės</w:t>
      </w:r>
    </w:p>
    <w:p w14:paraId="4918575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Kiekvienoje kietojoje kapsulėje yra 4 mg pomalidomido.</w:t>
      </w:r>
    </w:p>
    <w:p w14:paraId="45DC60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32B2E70" w14:textId="7EDE588D" w:rsidR="006B4096" w:rsidRPr="00A552D9" w:rsidRDefault="006B4096" w:rsidP="006B4096">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Pagalbinė medžiag</w:t>
      </w:r>
      <w:r w:rsidR="00292DAB">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kuri</w:t>
      </w:r>
      <w:r w:rsidR="00292DAB">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poveikis žinomas:</w:t>
      </w:r>
    </w:p>
    <w:p w14:paraId="4AA13742" w14:textId="063A3B16" w:rsidR="006B4096" w:rsidRPr="00A552D9" w:rsidRDefault="006B4096" w:rsidP="006B4096">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Kiekvienoje kietojoje kapsulėje yra 40,4 mg sacharozės.</w:t>
      </w:r>
    </w:p>
    <w:p w14:paraId="65A5C2B3" w14:textId="77777777" w:rsidR="006B4096" w:rsidRPr="00A552D9" w:rsidRDefault="006B4096"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269472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Visos pagalbinės medžiagos išvardytos 6.1 skyriuje.</w:t>
      </w:r>
    </w:p>
    <w:p w14:paraId="0BDC1AB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5FA572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FEEE14A" w14:textId="77777777" w:rsidR="00992F19" w:rsidRPr="00A552D9" w:rsidRDefault="00992F19" w:rsidP="001E4AC5">
      <w:pPr>
        <w:widowControl w:val="0"/>
        <w:numPr>
          <w:ilvl w:val="0"/>
          <w:numId w:val="12"/>
        </w:numPr>
        <w:tabs>
          <w:tab w:val="left" w:pos="567"/>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FARMACINĖ FORMA</w:t>
      </w:r>
    </w:p>
    <w:p w14:paraId="4A45B77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6F9C131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Kietoji kapsulė</w:t>
      </w:r>
    </w:p>
    <w:p w14:paraId="51944DE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17DE2A6" w14:textId="1FAD1BE2"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992F19" w:rsidRPr="00A552D9">
        <w:rPr>
          <w:rFonts w:ascii="Times New Roman" w:eastAsia="Times New Roman" w:hAnsi="Times New Roman" w:cs="Times New Roman"/>
          <w:kern w:val="0"/>
          <w:u w:val="single"/>
          <w:lang w:val="lt-LT"/>
          <w14:ligatures w14:val="none"/>
        </w:rPr>
        <w:t xml:space="preserve"> 1 mg kietosios kapsulės</w:t>
      </w:r>
      <w:r w:rsidR="006B4096" w:rsidRPr="00A552D9">
        <w:rPr>
          <w:rFonts w:ascii="Times New Roman" w:eastAsia="Times New Roman" w:hAnsi="Times New Roman" w:cs="Times New Roman"/>
          <w:kern w:val="0"/>
          <w:u w:val="single"/>
          <w:lang w:val="lt-LT"/>
          <w14:ligatures w14:val="none"/>
        </w:rPr>
        <w:t xml:space="preserve"> (kapsulės)</w:t>
      </w:r>
    </w:p>
    <w:p w14:paraId="3ABA3398" w14:textId="60303C87" w:rsidR="00992F19" w:rsidRPr="00A552D9" w:rsidRDefault="00575B97"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w:t>
      </w:r>
      <w:r w:rsidR="00025E16" w:rsidRPr="00A552D9">
        <w:rPr>
          <w:rFonts w:ascii="Times New Roman" w:eastAsia="Times New Roman" w:hAnsi="Times New Roman" w:cs="Times New Roman"/>
          <w:kern w:val="0"/>
          <w:lang w:val="lt-LT"/>
          <w14:ligatures w14:val="none"/>
        </w:rPr>
        <w:t>n</w:t>
      </w:r>
      <w:r w:rsidR="00567F29" w:rsidRPr="00A552D9">
        <w:rPr>
          <w:rFonts w:ascii="Times New Roman" w:eastAsia="Times New Roman" w:hAnsi="Times New Roman" w:cs="Times New Roman"/>
          <w:kern w:val="0"/>
          <w:lang w:val="lt-LT"/>
          <w14:ligatures w14:val="none"/>
        </w:rPr>
        <w:t>epermatom</w:t>
      </w:r>
      <w:r w:rsidRPr="00A552D9">
        <w:rPr>
          <w:rFonts w:ascii="Times New Roman" w:eastAsia="Times New Roman" w:hAnsi="Times New Roman" w:cs="Times New Roman"/>
          <w:kern w:val="0"/>
          <w:lang w:val="lt-LT"/>
          <w14:ligatures w14:val="none"/>
        </w:rPr>
        <w:t>u</w:t>
      </w:r>
      <w:r w:rsidR="00567F29" w:rsidRPr="00A552D9">
        <w:rPr>
          <w:rFonts w:ascii="Times New Roman" w:eastAsia="Times New Roman" w:hAnsi="Times New Roman" w:cs="Times New Roman"/>
          <w:kern w:val="0"/>
          <w:lang w:val="lt-LT"/>
          <w14:ligatures w14:val="none"/>
        </w:rPr>
        <w:t>, baltos spalvos dangteli</w:t>
      </w:r>
      <w:r w:rsidRPr="00A552D9">
        <w:rPr>
          <w:rFonts w:ascii="Times New Roman" w:eastAsia="Times New Roman" w:hAnsi="Times New Roman" w:cs="Times New Roman"/>
          <w:kern w:val="0"/>
          <w:lang w:val="lt-LT"/>
          <w14:ligatures w14:val="none"/>
        </w:rPr>
        <w:t>u</w:t>
      </w:r>
      <w:r w:rsidR="00567F29" w:rsidRPr="00A552D9">
        <w:rPr>
          <w:rFonts w:ascii="Times New Roman" w:eastAsia="Times New Roman" w:hAnsi="Times New Roman" w:cs="Times New Roman"/>
          <w:kern w:val="0"/>
          <w:lang w:val="lt-LT"/>
          <w14:ligatures w14:val="none"/>
        </w:rPr>
        <w:t xml:space="preserve"> ir nepermatom</w:t>
      </w:r>
      <w:r w:rsidRPr="00A552D9">
        <w:rPr>
          <w:rFonts w:ascii="Times New Roman" w:eastAsia="Times New Roman" w:hAnsi="Times New Roman" w:cs="Times New Roman"/>
          <w:kern w:val="0"/>
          <w:lang w:val="lt-LT"/>
          <w14:ligatures w14:val="none"/>
        </w:rPr>
        <w:t>u, baltos spalvos</w:t>
      </w:r>
      <w:r w:rsidR="00567F29" w:rsidRPr="00A552D9">
        <w:rPr>
          <w:rFonts w:ascii="Times New Roman" w:eastAsia="Times New Roman" w:hAnsi="Times New Roman" w:cs="Times New Roman"/>
          <w:kern w:val="0"/>
          <w:lang w:val="lt-LT"/>
          <w14:ligatures w14:val="none"/>
        </w:rPr>
        <w:t xml:space="preserve"> korpus</w:t>
      </w:r>
      <w:r w:rsidRPr="00A552D9">
        <w:rPr>
          <w:rFonts w:ascii="Times New Roman" w:eastAsia="Times New Roman" w:hAnsi="Times New Roman" w:cs="Times New Roman"/>
          <w:kern w:val="0"/>
          <w:lang w:val="lt-LT"/>
          <w14:ligatures w14:val="none"/>
        </w:rPr>
        <w:t>u</w:t>
      </w:r>
      <w:r w:rsidR="00567F29" w:rsidRPr="00A552D9">
        <w:rPr>
          <w:rFonts w:ascii="Times New Roman" w:eastAsia="Times New Roman" w:hAnsi="Times New Roman" w:cs="Times New Roman"/>
          <w:kern w:val="0"/>
          <w:lang w:val="lt-LT"/>
          <w14:ligatures w14:val="none"/>
        </w:rPr>
        <w:t>, kurių ilgis 10,70–11,50</w:t>
      </w:r>
      <w:r w:rsidR="00025E16" w:rsidRPr="00A552D9">
        <w:rPr>
          <w:rFonts w:ascii="Times New Roman" w:eastAsia="Times New Roman" w:hAnsi="Times New Roman" w:cs="Times New Roman"/>
          <w:kern w:val="0"/>
          <w:lang w:val="lt-LT"/>
          <w14:ligatures w14:val="none"/>
        </w:rPr>
        <w:t> </w:t>
      </w:r>
      <w:r w:rsidR="00567F29" w:rsidRPr="00A552D9">
        <w:rPr>
          <w:rFonts w:ascii="Times New Roman" w:eastAsia="Times New Roman" w:hAnsi="Times New Roman" w:cs="Times New Roman"/>
          <w:kern w:val="0"/>
          <w:lang w:val="lt-LT"/>
          <w14:ligatures w14:val="none"/>
        </w:rPr>
        <w:t>mm, su įspaudu „H“ ant dangtelio ir „P6“ ant korpuso, užpildytos šviesiai geltonos arba gelsvos spalvos milteliais, be fizinių defektų.</w:t>
      </w:r>
    </w:p>
    <w:p w14:paraId="62F60368" w14:textId="77777777" w:rsidR="00567F29" w:rsidRPr="00A552D9" w:rsidRDefault="00567F2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45A2BF5" w14:textId="05073C4F"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992F19" w:rsidRPr="00A552D9">
        <w:rPr>
          <w:rFonts w:ascii="Times New Roman" w:eastAsia="Times New Roman" w:hAnsi="Times New Roman" w:cs="Times New Roman"/>
          <w:kern w:val="0"/>
          <w:u w:val="single"/>
          <w:lang w:val="lt-LT"/>
          <w14:ligatures w14:val="none"/>
        </w:rPr>
        <w:t xml:space="preserve"> 2 mg kietosios kapsulės</w:t>
      </w:r>
      <w:r w:rsidR="006B4096" w:rsidRPr="00A552D9">
        <w:rPr>
          <w:rFonts w:ascii="Times New Roman" w:eastAsia="Times New Roman" w:hAnsi="Times New Roman" w:cs="Times New Roman"/>
          <w:kern w:val="0"/>
          <w:u w:val="single"/>
          <w:lang w:val="lt-LT"/>
          <w14:ligatures w14:val="none"/>
        </w:rPr>
        <w:t xml:space="preserve"> (kapsulės)</w:t>
      </w:r>
    </w:p>
    <w:p w14:paraId="2FED090C" w14:textId="358EEA2D" w:rsidR="00025E16" w:rsidRPr="00A552D9" w:rsidRDefault="00025E16" w:rsidP="00025E16">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w:t>
      </w:r>
      <w:r w:rsidR="009A523A" w:rsidRPr="00A552D9">
        <w:rPr>
          <w:rFonts w:ascii="Times New Roman" w:eastAsia="Times New Roman" w:hAnsi="Times New Roman" w:cs="Times New Roman"/>
          <w:kern w:val="0"/>
          <w:lang w:val="lt-LT"/>
          <w14:ligatures w14:val="none"/>
        </w:rPr>
        <w:t>rudos</w:t>
      </w:r>
      <w:r w:rsidRPr="00A552D9">
        <w:rPr>
          <w:rFonts w:ascii="Times New Roman" w:eastAsia="Times New Roman" w:hAnsi="Times New Roman" w:cs="Times New Roman"/>
          <w:kern w:val="0"/>
          <w:lang w:val="lt-LT"/>
          <w14:ligatures w14:val="none"/>
        </w:rPr>
        <w:t xml:space="preserve"> spalvos korpusu, kurių ilgis </w:t>
      </w:r>
      <w:r w:rsidR="009A523A" w:rsidRPr="00A552D9">
        <w:rPr>
          <w:rFonts w:ascii="Times New Roman" w:eastAsia="Times New Roman" w:hAnsi="Times New Roman" w:cs="Times New Roman"/>
          <w:kern w:val="0"/>
          <w:lang w:val="lt-LT"/>
          <w14:ligatures w14:val="none"/>
        </w:rPr>
        <w:t>13</w:t>
      </w:r>
      <w:r w:rsidRPr="00A552D9">
        <w:rPr>
          <w:rFonts w:ascii="Times New Roman" w:eastAsia="Times New Roman" w:hAnsi="Times New Roman" w:cs="Times New Roman"/>
          <w:kern w:val="0"/>
          <w:lang w:val="lt-LT"/>
          <w14:ligatures w14:val="none"/>
        </w:rPr>
        <w:t>,</w:t>
      </w:r>
      <w:r w:rsidR="009A523A" w:rsidRPr="00A552D9">
        <w:rPr>
          <w:rFonts w:ascii="Times New Roman" w:eastAsia="Times New Roman" w:hAnsi="Times New Roman" w:cs="Times New Roman"/>
          <w:kern w:val="0"/>
          <w:lang w:val="lt-LT"/>
          <w14:ligatures w14:val="none"/>
        </w:rPr>
        <w:t>9</w:t>
      </w:r>
      <w:r w:rsidRPr="00A552D9">
        <w:rPr>
          <w:rFonts w:ascii="Times New Roman" w:eastAsia="Times New Roman" w:hAnsi="Times New Roman" w:cs="Times New Roman"/>
          <w:kern w:val="0"/>
          <w:lang w:val="lt-LT"/>
          <w14:ligatures w14:val="none"/>
        </w:rPr>
        <w:t>0–</w:t>
      </w:r>
      <w:r w:rsidR="009A523A" w:rsidRPr="00A552D9">
        <w:rPr>
          <w:rFonts w:ascii="Times New Roman" w:eastAsia="Times New Roman" w:hAnsi="Times New Roman" w:cs="Times New Roman"/>
          <w:kern w:val="0"/>
          <w:lang w:val="lt-LT"/>
          <w14:ligatures w14:val="none"/>
        </w:rPr>
        <w:t>14</w:t>
      </w:r>
      <w:r w:rsidRPr="00A552D9">
        <w:rPr>
          <w:rFonts w:ascii="Times New Roman" w:eastAsia="Times New Roman" w:hAnsi="Times New Roman" w:cs="Times New Roman"/>
          <w:kern w:val="0"/>
          <w:lang w:val="lt-LT"/>
          <w14:ligatures w14:val="none"/>
        </w:rPr>
        <w:t>,</w:t>
      </w:r>
      <w:r w:rsidR="009A523A" w:rsidRPr="00A552D9">
        <w:rPr>
          <w:rFonts w:ascii="Times New Roman" w:eastAsia="Times New Roman" w:hAnsi="Times New Roman" w:cs="Times New Roman"/>
          <w:kern w:val="0"/>
          <w:lang w:val="lt-LT"/>
          <w14:ligatures w14:val="none"/>
        </w:rPr>
        <w:t>70</w:t>
      </w:r>
      <w:r w:rsidRPr="00A552D9">
        <w:rPr>
          <w:rFonts w:ascii="Times New Roman" w:eastAsia="Times New Roman" w:hAnsi="Times New Roman" w:cs="Times New Roman"/>
          <w:kern w:val="0"/>
          <w:lang w:val="lt-LT"/>
          <w14:ligatures w14:val="none"/>
        </w:rPr>
        <w:t> mm, su įspaudu „H“ ant dangtelio ir „P</w:t>
      </w:r>
      <w:r w:rsidR="009A523A" w:rsidRPr="00A552D9">
        <w:rPr>
          <w:rFonts w:ascii="Times New Roman" w:eastAsia="Times New Roman" w:hAnsi="Times New Roman" w:cs="Times New Roman"/>
          <w:kern w:val="0"/>
          <w:lang w:val="lt-LT"/>
          <w14:ligatures w14:val="none"/>
        </w:rPr>
        <w:t>7</w:t>
      </w:r>
      <w:r w:rsidRPr="00A552D9">
        <w:rPr>
          <w:rFonts w:ascii="Times New Roman" w:eastAsia="Times New Roman" w:hAnsi="Times New Roman" w:cs="Times New Roman"/>
          <w:kern w:val="0"/>
          <w:lang w:val="lt-LT"/>
          <w14:ligatures w14:val="none"/>
        </w:rPr>
        <w:t>“ ant korpuso, užpildytos šviesiai geltonos arba gelsvos spalvos milteliais, be fizinių defektų.</w:t>
      </w:r>
    </w:p>
    <w:p w14:paraId="74AF95F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F190671" w14:textId="22E18BA3"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992F19" w:rsidRPr="00A552D9">
        <w:rPr>
          <w:rFonts w:ascii="Times New Roman" w:eastAsia="Times New Roman" w:hAnsi="Times New Roman" w:cs="Times New Roman"/>
          <w:kern w:val="0"/>
          <w:u w:val="single"/>
          <w:lang w:val="lt-LT"/>
          <w14:ligatures w14:val="none"/>
        </w:rPr>
        <w:t xml:space="preserve"> 3 mg kietosios kapsulės</w:t>
      </w:r>
      <w:r w:rsidR="006B4096" w:rsidRPr="00A552D9">
        <w:rPr>
          <w:rFonts w:ascii="Times New Roman" w:eastAsia="Times New Roman" w:hAnsi="Times New Roman" w:cs="Times New Roman"/>
          <w:kern w:val="0"/>
          <w:u w:val="single"/>
          <w:lang w:val="lt-LT"/>
          <w14:ligatures w14:val="none"/>
        </w:rPr>
        <w:t xml:space="preserve"> (kapsulės)</w:t>
      </w:r>
    </w:p>
    <w:p w14:paraId="2835A607" w14:textId="46BA7FBD" w:rsidR="00992F19" w:rsidRPr="00A552D9" w:rsidRDefault="00E9339D"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rausvos spalvos korpusu, kurių ilgis </w:t>
      </w:r>
      <w:r w:rsidR="00571986" w:rsidRPr="00A552D9">
        <w:rPr>
          <w:rFonts w:ascii="Times New Roman" w:eastAsia="Times New Roman" w:hAnsi="Times New Roman" w:cs="Times New Roman"/>
          <w:kern w:val="0"/>
          <w:lang w:val="lt-LT"/>
          <w14:ligatures w14:val="none"/>
        </w:rPr>
        <w:t>15</w:t>
      </w:r>
      <w:r w:rsidRPr="00A552D9">
        <w:rPr>
          <w:rFonts w:ascii="Times New Roman" w:eastAsia="Times New Roman" w:hAnsi="Times New Roman" w:cs="Times New Roman"/>
          <w:kern w:val="0"/>
          <w:lang w:val="lt-LT"/>
          <w14:ligatures w14:val="none"/>
        </w:rPr>
        <w:t>,</w:t>
      </w:r>
      <w:r w:rsidR="00571986" w:rsidRPr="00A552D9">
        <w:rPr>
          <w:rFonts w:ascii="Times New Roman" w:eastAsia="Times New Roman" w:hAnsi="Times New Roman" w:cs="Times New Roman"/>
          <w:kern w:val="0"/>
          <w:lang w:val="lt-LT"/>
          <w14:ligatures w14:val="none"/>
        </w:rPr>
        <w:t>3</w:t>
      </w:r>
      <w:r w:rsidRPr="00A552D9">
        <w:rPr>
          <w:rFonts w:ascii="Times New Roman" w:eastAsia="Times New Roman" w:hAnsi="Times New Roman" w:cs="Times New Roman"/>
          <w:kern w:val="0"/>
          <w:lang w:val="lt-LT"/>
          <w14:ligatures w14:val="none"/>
        </w:rPr>
        <w:t>0–</w:t>
      </w:r>
      <w:r w:rsidR="00571986" w:rsidRPr="00A552D9">
        <w:rPr>
          <w:rFonts w:ascii="Times New Roman" w:eastAsia="Times New Roman" w:hAnsi="Times New Roman" w:cs="Times New Roman"/>
          <w:kern w:val="0"/>
          <w:lang w:val="lt-LT"/>
          <w14:ligatures w14:val="none"/>
        </w:rPr>
        <w:t>16,1</w:t>
      </w:r>
      <w:r w:rsidRPr="00A552D9">
        <w:rPr>
          <w:rFonts w:ascii="Times New Roman" w:eastAsia="Times New Roman" w:hAnsi="Times New Roman" w:cs="Times New Roman"/>
          <w:kern w:val="0"/>
          <w:lang w:val="lt-LT"/>
          <w14:ligatures w14:val="none"/>
        </w:rPr>
        <w:t>0 mm, su įspaudu „H“ ant dangtelio ir „P</w:t>
      </w:r>
      <w:r w:rsidR="00571986" w:rsidRPr="00A552D9">
        <w:rPr>
          <w:rFonts w:ascii="Times New Roman" w:eastAsia="Times New Roman" w:hAnsi="Times New Roman" w:cs="Times New Roman"/>
          <w:kern w:val="0"/>
          <w:lang w:val="lt-LT"/>
          <w14:ligatures w14:val="none"/>
        </w:rPr>
        <w:t>8</w:t>
      </w:r>
      <w:r w:rsidRPr="00A552D9">
        <w:rPr>
          <w:rFonts w:ascii="Times New Roman" w:eastAsia="Times New Roman" w:hAnsi="Times New Roman" w:cs="Times New Roman"/>
          <w:kern w:val="0"/>
          <w:lang w:val="lt-LT"/>
          <w14:ligatures w14:val="none"/>
        </w:rPr>
        <w:t>“ ant korpuso, užpildytos šviesiai geltonos arba gelsvos spalvos milteliais, be fizinių defektų.</w:t>
      </w:r>
    </w:p>
    <w:p w14:paraId="583AAFE9" w14:textId="77777777" w:rsidR="00E9339D" w:rsidRPr="00A552D9" w:rsidRDefault="00E9339D"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D2F29BE" w14:textId="197A5F8D"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992F19" w:rsidRPr="00A552D9">
        <w:rPr>
          <w:rFonts w:ascii="Times New Roman" w:eastAsia="Times New Roman" w:hAnsi="Times New Roman" w:cs="Times New Roman"/>
          <w:kern w:val="0"/>
          <w:u w:val="single"/>
          <w:lang w:val="lt-LT"/>
          <w14:ligatures w14:val="none"/>
        </w:rPr>
        <w:t xml:space="preserve"> 4 mg kietosios kapsulės</w:t>
      </w:r>
      <w:r w:rsidR="006B4096" w:rsidRPr="00A552D9">
        <w:rPr>
          <w:rFonts w:ascii="Times New Roman" w:eastAsia="Times New Roman" w:hAnsi="Times New Roman" w:cs="Times New Roman"/>
          <w:kern w:val="0"/>
          <w:u w:val="single"/>
          <w:lang w:val="lt-LT"/>
          <w14:ligatures w14:val="none"/>
        </w:rPr>
        <w:t xml:space="preserve"> (kapsulės)</w:t>
      </w:r>
    </w:p>
    <w:p w14:paraId="7DA04B57" w14:textId="7BC342C2" w:rsidR="00992F19" w:rsidRPr="00A552D9" w:rsidRDefault="00571986"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baltos spalvos korpusu, kurių ilgis </w:t>
      </w:r>
      <w:r w:rsidR="00540C4F" w:rsidRPr="00A552D9">
        <w:rPr>
          <w:rFonts w:ascii="Times New Roman" w:eastAsia="Times New Roman" w:hAnsi="Times New Roman" w:cs="Times New Roman"/>
          <w:kern w:val="0"/>
          <w:lang w:val="lt-LT"/>
          <w14:ligatures w14:val="none"/>
        </w:rPr>
        <w:t>17</w:t>
      </w:r>
      <w:r w:rsidRPr="00A552D9">
        <w:rPr>
          <w:rFonts w:ascii="Times New Roman" w:eastAsia="Times New Roman" w:hAnsi="Times New Roman" w:cs="Times New Roman"/>
          <w:kern w:val="0"/>
          <w:lang w:val="lt-LT"/>
          <w14:ligatures w14:val="none"/>
        </w:rPr>
        <w:t>,</w:t>
      </w:r>
      <w:r w:rsidR="00540C4F" w:rsidRPr="00A552D9">
        <w:rPr>
          <w:rFonts w:ascii="Times New Roman" w:eastAsia="Times New Roman" w:hAnsi="Times New Roman" w:cs="Times New Roman"/>
          <w:kern w:val="0"/>
          <w:lang w:val="lt-LT"/>
          <w14:ligatures w14:val="none"/>
        </w:rPr>
        <w:t>2</w:t>
      </w:r>
      <w:r w:rsidRPr="00A552D9">
        <w:rPr>
          <w:rFonts w:ascii="Times New Roman" w:eastAsia="Times New Roman" w:hAnsi="Times New Roman" w:cs="Times New Roman"/>
          <w:kern w:val="0"/>
          <w:lang w:val="lt-LT"/>
          <w14:ligatures w14:val="none"/>
        </w:rPr>
        <w:t>0–1</w:t>
      </w:r>
      <w:r w:rsidR="00540C4F" w:rsidRPr="00A552D9">
        <w:rPr>
          <w:rFonts w:ascii="Times New Roman" w:eastAsia="Times New Roman" w:hAnsi="Times New Roman" w:cs="Times New Roman"/>
          <w:kern w:val="0"/>
          <w:lang w:val="lt-LT"/>
          <w14:ligatures w14:val="none"/>
        </w:rPr>
        <w:t>8</w:t>
      </w:r>
      <w:r w:rsidRPr="00A552D9">
        <w:rPr>
          <w:rFonts w:ascii="Times New Roman" w:eastAsia="Times New Roman" w:hAnsi="Times New Roman" w:cs="Times New Roman"/>
          <w:kern w:val="0"/>
          <w:lang w:val="lt-LT"/>
          <w14:ligatures w14:val="none"/>
        </w:rPr>
        <w:t>,</w:t>
      </w:r>
      <w:r w:rsidR="00540C4F" w:rsidRPr="00A552D9">
        <w:rPr>
          <w:rFonts w:ascii="Times New Roman" w:eastAsia="Times New Roman" w:hAnsi="Times New Roman" w:cs="Times New Roman"/>
          <w:kern w:val="0"/>
          <w:lang w:val="lt-LT"/>
          <w14:ligatures w14:val="none"/>
        </w:rPr>
        <w:t>0</w:t>
      </w:r>
      <w:r w:rsidRPr="00A552D9">
        <w:rPr>
          <w:rFonts w:ascii="Times New Roman" w:eastAsia="Times New Roman" w:hAnsi="Times New Roman" w:cs="Times New Roman"/>
          <w:kern w:val="0"/>
          <w:lang w:val="lt-LT"/>
          <w14:ligatures w14:val="none"/>
        </w:rPr>
        <w:t>0 mm, su įspaudu „H“ ant dangtelio ir „P</w:t>
      </w:r>
      <w:r w:rsidR="00540C4F" w:rsidRPr="00A552D9">
        <w:rPr>
          <w:rFonts w:ascii="Times New Roman" w:eastAsia="Times New Roman" w:hAnsi="Times New Roman" w:cs="Times New Roman"/>
          <w:kern w:val="0"/>
          <w:lang w:val="lt-LT"/>
          <w14:ligatures w14:val="none"/>
        </w:rPr>
        <w:t>9</w:t>
      </w:r>
      <w:r w:rsidRPr="00A552D9">
        <w:rPr>
          <w:rFonts w:ascii="Times New Roman" w:eastAsia="Times New Roman" w:hAnsi="Times New Roman" w:cs="Times New Roman"/>
          <w:kern w:val="0"/>
          <w:lang w:val="lt-LT"/>
          <w14:ligatures w14:val="none"/>
        </w:rPr>
        <w:t>“ ant korpuso, užpildytos šviesiai geltonos arba gelsvos spalvos milteliais, be fizinių defektų.</w:t>
      </w:r>
    </w:p>
    <w:p w14:paraId="097754B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2EC8F71" w14:textId="77777777" w:rsidR="00571986" w:rsidRPr="00A552D9" w:rsidRDefault="00571986"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1FA0A75"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KLINIKINĖ INFORMACIJA</w:t>
      </w:r>
    </w:p>
    <w:p w14:paraId="30700E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55F303AA"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Terapinės indikacijos</w:t>
      </w:r>
    </w:p>
    <w:p w14:paraId="66E06CC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4AB99D81" w14:textId="1DEEBE65"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992F19" w:rsidRPr="00A552D9">
        <w:rPr>
          <w:rFonts w:ascii="Times New Roman" w:eastAsia="Times New Roman" w:hAnsi="Times New Roman" w:cs="Times New Roman"/>
          <w:kern w:val="0"/>
          <w:lang w:val="lt-LT"/>
          <w14:ligatures w14:val="none"/>
        </w:rPr>
        <w:t xml:space="preserve"> </w:t>
      </w:r>
      <w:r w:rsidR="0095504C">
        <w:rPr>
          <w:rFonts w:ascii="Times New Roman" w:eastAsia="Times New Roman" w:hAnsi="Times New Roman" w:cs="Times New Roman"/>
          <w:kern w:val="0"/>
          <w:lang w:val="lt-LT"/>
          <w14:ligatures w14:val="none"/>
        </w:rPr>
        <w:t>derinant</w:t>
      </w:r>
      <w:r w:rsidR="0095504C" w:rsidRPr="00A552D9">
        <w:rPr>
          <w:rFonts w:ascii="Times New Roman" w:eastAsia="Times New Roman" w:hAnsi="Times New Roman" w:cs="Times New Roman"/>
          <w:kern w:val="0"/>
          <w:lang w:val="lt-LT"/>
          <w14:ligatures w14:val="none"/>
        </w:rPr>
        <w:t xml:space="preserve"> </w:t>
      </w:r>
      <w:r w:rsidR="00992F19" w:rsidRPr="00A552D9">
        <w:rPr>
          <w:rFonts w:ascii="Times New Roman" w:eastAsia="Times New Roman" w:hAnsi="Times New Roman" w:cs="Times New Roman"/>
          <w:kern w:val="0"/>
          <w:lang w:val="lt-LT"/>
          <w14:ligatures w14:val="none"/>
        </w:rPr>
        <w:t>su bortezomibu ir deksametazonu skirtas suaugusių pacientų, sergančių daugine mieloma, kurie prieš tai yra gavę mažiausiai vieną gydymo kursą (įskaitant gydymą lenalidomidu), gydymui.</w:t>
      </w:r>
    </w:p>
    <w:p w14:paraId="4DDC32D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396EE79" w14:textId="068AA2D5"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992F19" w:rsidRPr="00A552D9">
        <w:rPr>
          <w:rFonts w:ascii="Times New Roman" w:eastAsia="Times New Roman" w:hAnsi="Times New Roman" w:cs="Times New Roman"/>
          <w:kern w:val="0"/>
          <w:lang w:val="lt-LT"/>
          <w14:ligatures w14:val="none"/>
        </w:rPr>
        <w:t xml:space="preserve"> </w:t>
      </w:r>
      <w:r w:rsidR="0095504C">
        <w:rPr>
          <w:rFonts w:ascii="Times New Roman" w:eastAsia="Times New Roman" w:hAnsi="Times New Roman" w:cs="Times New Roman"/>
          <w:kern w:val="0"/>
          <w:lang w:val="lt-LT"/>
          <w14:ligatures w14:val="none"/>
        </w:rPr>
        <w:t>derinant</w:t>
      </w:r>
      <w:r w:rsidR="0095504C" w:rsidRPr="00A552D9">
        <w:rPr>
          <w:rFonts w:ascii="Times New Roman" w:eastAsia="Times New Roman" w:hAnsi="Times New Roman" w:cs="Times New Roman"/>
          <w:kern w:val="0"/>
          <w:lang w:val="lt-LT"/>
          <w14:ligatures w14:val="none"/>
        </w:rPr>
        <w:t xml:space="preserve"> </w:t>
      </w:r>
      <w:r w:rsidR="00992F19" w:rsidRPr="00A552D9">
        <w:rPr>
          <w:rFonts w:ascii="Times New Roman" w:eastAsia="Times New Roman" w:hAnsi="Times New Roman" w:cs="Times New Roman"/>
          <w:kern w:val="0"/>
          <w:lang w:val="lt-LT"/>
          <w14:ligatures w14:val="none"/>
        </w:rPr>
        <w:t>su deksametazonu skirtas suaugusių pacientų, sergančių recidyvuojančia ir refrakterine daugine mieloma, kurie prieš tai yra gavę mažiausiai du gydymo kursus (įskaitant gydymą lenalidomidu ir bortezomibu) ir kuriems po paskutinio gydymo nustatytas ligos progresavimas, gydymui.</w:t>
      </w:r>
    </w:p>
    <w:p w14:paraId="20474A5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9FA94EF"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Dozavimas ir vartojimo metodas</w:t>
      </w:r>
    </w:p>
    <w:p w14:paraId="4D3085A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984B9BA" w14:textId="47CCFAE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Gydymas turi būti pradėtas ir stebimas gydytojų, turinčių daugin</w:t>
      </w:r>
      <w:r w:rsidR="00F64F82">
        <w:rPr>
          <w:rFonts w:ascii="Times New Roman" w:eastAsia="Times New Roman" w:hAnsi="Times New Roman" w:cs="Times New Roman"/>
          <w:kern w:val="0"/>
          <w:lang w:val="lt-LT"/>
          <w14:ligatures w14:val="none"/>
        </w:rPr>
        <w:t>ių</w:t>
      </w:r>
      <w:r w:rsidRPr="00A552D9">
        <w:rPr>
          <w:rFonts w:ascii="Times New Roman" w:eastAsia="Times New Roman" w:hAnsi="Times New Roman" w:cs="Times New Roman"/>
          <w:kern w:val="0"/>
          <w:lang w:val="lt-LT"/>
          <w14:ligatures w14:val="none"/>
        </w:rPr>
        <w:t xml:space="preserve"> mielom</w:t>
      </w:r>
      <w:r w:rsidR="00F64F82">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gydymo patirties. </w:t>
      </w:r>
    </w:p>
    <w:p w14:paraId="2E8753C5" w14:textId="4C8B541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Dozavimą tęsti arba koreguoti reikia atsižvelgiant į klinikinius ir laboratorinius duomenis (žr.</w:t>
      </w:r>
      <w:r w:rsidR="00271996"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4.4 skyrių).</w:t>
      </w:r>
    </w:p>
    <w:p w14:paraId="18A57CA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FAC664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Dozavimas</w:t>
      </w:r>
    </w:p>
    <w:p w14:paraId="33DC16B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D61614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Pomalidomidas kartu su bortezomibu ir deksametazonu</w:t>
      </w:r>
    </w:p>
    <w:p w14:paraId="3BDD83A3" w14:textId="144BB8F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Rekomenduojama pradinė pomalidomido dozė yra 4 mg, vartojama per burną, vieną kartą per parą 1</w:t>
      </w:r>
      <w:r w:rsidRPr="00A552D9">
        <w:rPr>
          <w:rFonts w:ascii="Times New Roman" w:eastAsia="Times New Roman" w:hAnsi="Times New Roman" w:cs="Times New Roman"/>
          <w:kern w:val="0"/>
          <w:lang w:val="lt-LT"/>
          <w14:ligatures w14:val="none"/>
        </w:rPr>
        <w:noBreakHyphen/>
        <w:t>14 pasikartojančio</w:t>
      </w:r>
      <w:r w:rsidR="00C14B35">
        <w:rPr>
          <w:rFonts w:ascii="Times New Roman" w:eastAsia="Times New Roman" w:hAnsi="Times New Roman" w:cs="Times New Roman"/>
          <w:kern w:val="0"/>
          <w:lang w:val="lt-LT"/>
          <w14:ligatures w14:val="none"/>
        </w:rPr>
        <w:t>mis</w:t>
      </w:r>
      <w:r w:rsidRPr="00A552D9">
        <w:rPr>
          <w:rFonts w:ascii="Times New Roman" w:eastAsia="Times New Roman" w:hAnsi="Times New Roman" w:cs="Times New Roman"/>
          <w:kern w:val="0"/>
          <w:lang w:val="lt-LT"/>
          <w14:ligatures w14:val="none"/>
        </w:rPr>
        <w:t xml:space="preserve"> 21 dienos ciklo dien</w:t>
      </w:r>
      <w:r w:rsidR="00C14B35">
        <w:rPr>
          <w:rFonts w:ascii="Times New Roman" w:eastAsia="Times New Roman" w:hAnsi="Times New Roman" w:cs="Times New Roman"/>
          <w:kern w:val="0"/>
          <w:lang w:val="lt-LT"/>
          <w14:ligatures w14:val="none"/>
        </w:rPr>
        <w:t>omis</w:t>
      </w:r>
      <w:r w:rsidRPr="00A552D9">
        <w:rPr>
          <w:rFonts w:ascii="Times New Roman" w:eastAsia="Times New Roman" w:hAnsi="Times New Roman" w:cs="Times New Roman"/>
          <w:kern w:val="0"/>
          <w:lang w:val="lt-LT"/>
          <w14:ligatures w14:val="none"/>
        </w:rPr>
        <w:t>.</w:t>
      </w:r>
    </w:p>
    <w:p w14:paraId="3C0FC97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AC9C6E4" w14:textId="77777777" w:rsidR="002225C3"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Pomalidomidas vartojamas kartu su bortezomibu ir deksametazonu, kaip parodyta 1 lentelėje.</w:t>
      </w:r>
    </w:p>
    <w:p w14:paraId="4DA4505B" w14:textId="77777777" w:rsidR="002225C3" w:rsidRPr="00A552D9" w:rsidRDefault="002225C3"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4B01453" w14:textId="69DFE6C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Rekomenduojama pradinė bortezomibo dozė yra 1,3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xml:space="preserve"> į veną arba po oda, vieną kartą per parą, vartojama 1 lentelėje nurodytomis dienomis. Rekomenduojama deksametazono dozė yra 20 mg, vartojama per burną, vieną kartą per parą, 1 lentelėje nurodytomis dienomis.</w:t>
      </w:r>
    </w:p>
    <w:p w14:paraId="32087BE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A875A1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Gydymas pomalidomidu kartu su bortezomibu ir deksametazonu skiriamas iki ligos progresavimo arba nepriimtino toksinio poveikio pasireiškimo.</w:t>
      </w:r>
    </w:p>
    <w:p w14:paraId="0598DFA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4C8F0B2" w14:textId="02C0E49C" w:rsidR="00992F19" w:rsidRPr="00A552D9" w:rsidRDefault="00B832F1" w:rsidP="00B832F1">
      <w:pPr>
        <w:widowControl w:val="0"/>
        <w:tabs>
          <w:tab w:val="left" w:pos="464"/>
        </w:tabs>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1 </w:t>
      </w:r>
      <w:r w:rsidR="00992F19" w:rsidRPr="00A552D9">
        <w:rPr>
          <w:rFonts w:ascii="Times New Roman" w:eastAsia="Times New Roman" w:hAnsi="Times New Roman" w:cs="Times New Roman"/>
          <w:b/>
          <w:bCs/>
          <w:kern w:val="0"/>
          <w:lang w:val="lt-LT"/>
          <w14:ligatures w14:val="none"/>
        </w:rPr>
        <w:t>lentelė. Rekomenduojama pomalidomido dozavimo schema, vartojant kartu su bortezomibu ir deksametazonu</w:t>
      </w:r>
    </w:p>
    <w:p w14:paraId="3BC6AD2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317"/>
        <w:gridCol w:w="317"/>
        <w:gridCol w:w="317"/>
        <w:gridCol w:w="317"/>
        <w:gridCol w:w="318"/>
        <w:gridCol w:w="317"/>
        <w:gridCol w:w="317"/>
        <w:gridCol w:w="317"/>
        <w:gridCol w:w="318"/>
        <w:gridCol w:w="317"/>
        <w:gridCol w:w="317"/>
        <w:gridCol w:w="317"/>
        <w:gridCol w:w="318"/>
        <w:gridCol w:w="317"/>
        <w:gridCol w:w="317"/>
        <w:gridCol w:w="317"/>
        <w:gridCol w:w="318"/>
        <w:gridCol w:w="317"/>
        <w:gridCol w:w="317"/>
        <w:gridCol w:w="317"/>
        <w:gridCol w:w="318"/>
      </w:tblGrid>
      <w:tr w:rsidR="00992F19" w:rsidRPr="00A552D9" w14:paraId="1BB36AC7" w14:textId="77777777" w:rsidTr="00A552D9">
        <w:trPr>
          <w:trHeight w:val="20"/>
        </w:trPr>
        <w:tc>
          <w:tcPr>
            <w:tcW w:w="2410" w:type="dxa"/>
            <w:vAlign w:val="center"/>
          </w:tcPr>
          <w:p w14:paraId="4FECF4B3"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1-8 ciklas</w:t>
            </w:r>
          </w:p>
        </w:tc>
        <w:tc>
          <w:tcPr>
            <w:tcW w:w="6662" w:type="dxa"/>
            <w:gridSpan w:val="21"/>
            <w:vAlign w:val="center"/>
          </w:tcPr>
          <w:p w14:paraId="507460D3"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Diena (21 dienos ciklas)</w:t>
            </w:r>
          </w:p>
        </w:tc>
      </w:tr>
      <w:tr w:rsidR="00992F19" w:rsidRPr="00A552D9" w14:paraId="6317154C" w14:textId="77777777" w:rsidTr="00A552D9">
        <w:trPr>
          <w:trHeight w:val="20"/>
        </w:trPr>
        <w:tc>
          <w:tcPr>
            <w:tcW w:w="2410" w:type="dxa"/>
            <w:vAlign w:val="center"/>
          </w:tcPr>
          <w:p w14:paraId="4D140BE4"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vAlign w:val="center"/>
          </w:tcPr>
          <w:p w14:paraId="1518FB21"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w:t>
            </w:r>
          </w:p>
        </w:tc>
        <w:tc>
          <w:tcPr>
            <w:tcW w:w="317" w:type="dxa"/>
            <w:vAlign w:val="center"/>
          </w:tcPr>
          <w:p w14:paraId="7A66D788"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w:t>
            </w:r>
          </w:p>
        </w:tc>
        <w:tc>
          <w:tcPr>
            <w:tcW w:w="317" w:type="dxa"/>
            <w:vAlign w:val="center"/>
          </w:tcPr>
          <w:p w14:paraId="56678599"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w:t>
            </w:r>
          </w:p>
        </w:tc>
        <w:tc>
          <w:tcPr>
            <w:tcW w:w="317" w:type="dxa"/>
            <w:vAlign w:val="center"/>
          </w:tcPr>
          <w:p w14:paraId="5C7D2EE6"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w:t>
            </w:r>
          </w:p>
        </w:tc>
        <w:tc>
          <w:tcPr>
            <w:tcW w:w="318" w:type="dxa"/>
            <w:vAlign w:val="center"/>
          </w:tcPr>
          <w:p w14:paraId="497D121C"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w:t>
            </w:r>
          </w:p>
        </w:tc>
        <w:tc>
          <w:tcPr>
            <w:tcW w:w="317" w:type="dxa"/>
            <w:vAlign w:val="center"/>
          </w:tcPr>
          <w:p w14:paraId="5E2C8CDE"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6</w:t>
            </w:r>
          </w:p>
        </w:tc>
        <w:tc>
          <w:tcPr>
            <w:tcW w:w="317" w:type="dxa"/>
            <w:vAlign w:val="center"/>
          </w:tcPr>
          <w:p w14:paraId="6E251289"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7</w:t>
            </w:r>
          </w:p>
        </w:tc>
        <w:tc>
          <w:tcPr>
            <w:tcW w:w="317" w:type="dxa"/>
            <w:vAlign w:val="center"/>
          </w:tcPr>
          <w:p w14:paraId="1F451592"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w:t>
            </w:r>
          </w:p>
        </w:tc>
        <w:tc>
          <w:tcPr>
            <w:tcW w:w="318" w:type="dxa"/>
            <w:vAlign w:val="center"/>
          </w:tcPr>
          <w:p w14:paraId="385948FF"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9</w:t>
            </w:r>
          </w:p>
        </w:tc>
        <w:tc>
          <w:tcPr>
            <w:tcW w:w="317" w:type="dxa"/>
            <w:vAlign w:val="center"/>
          </w:tcPr>
          <w:p w14:paraId="54523900"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w:t>
            </w:r>
          </w:p>
        </w:tc>
        <w:tc>
          <w:tcPr>
            <w:tcW w:w="317" w:type="dxa"/>
            <w:vAlign w:val="center"/>
          </w:tcPr>
          <w:p w14:paraId="71619116"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11</w:t>
            </w:r>
          </w:p>
        </w:tc>
        <w:tc>
          <w:tcPr>
            <w:tcW w:w="317" w:type="dxa"/>
            <w:vAlign w:val="center"/>
          </w:tcPr>
          <w:p w14:paraId="4707DBE6"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12</w:t>
            </w:r>
          </w:p>
        </w:tc>
        <w:tc>
          <w:tcPr>
            <w:tcW w:w="318" w:type="dxa"/>
            <w:vAlign w:val="center"/>
          </w:tcPr>
          <w:p w14:paraId="138BD768"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13</w:t>
            </w:r>
          </w:p>
        </w:tc>
        <w:tc>
          <w:tcPr>
            <w:tcW w:w="317" w:type="dxa"/>
            <w:vAlign w:val="center"/>
          </w:tcPr>
          <w:p w14:paraId="76D363E1"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14</w:t>
            </w:r>
          </w:p>
        </w:tc>
        <w:tc>
          <w:tcPr>
            <w:tcW w:w="317" w:type="dxa"/>
            <w:vAlign w:val="center"/>
          </w:tcPr>
          <w:p w14:paraId="26ABAA4C"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15</w:t>
            </w:r>
          </w:p>
        </w:tc>
        <w:tc>
          <w:tcPr>
            <w:tcW w:w="317" w:type="dxa"/>
            <w:vAlign w:val="center"/>
          </w:tcPr>
          <w:p w14:paraId="22B0ED51"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16</w:t>
            </w:r>
          </w:p>
        </w:tc>
        <w:tc>
          <w:tcPr>
            <w:tcW w:w="318" w:type="dxa"/>
            <w:vAlign w:val="center"/>
          </w:tcPr>
          <w:p w14:paraId="788D0FBE"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17</w:t>
            </w:r>
          </w:p>
        </w:tc>
        <w:tc>
          <w:tcPr>
            <w:tcW w:w="317" w:type="dxa"/>
            <w:vAlign w:val="center"/>
          </w:tcPr>
          <w:p w14:paraId="56A1EBA0"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18</w:t>
            </w:r>
          </w:p>
        </w:tc>
        <w:tc>
          <w:tcPr>
            <w:tcW w:w="317" w:type="dxa"/>
            <w:vAlign w:val="center"/>
          </w:tcPr>
          <w:p w14:paraId="1CD93FDB"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19</w:t>
            </w:r>
          </w:p>
        </w:tc>
        <w:tc>
          <w:tcPr>
            <w:tcW w:w="317" w:type="dxa"/>
            <w:vAlign w:val="center"/>
          </w:tcPr>
          <w:p w14:paraId="55736928"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w:t>
            </w:r>
          </w:p>
        </w:tc>
        <w:tc>
          <w:tcPr>
            <w:tcW w:w="318" w:type="dxa"/>
            <w:vAlign w:val="center"/>
          </w:tcPr>
          <w:p w14:paraId="47961100"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21</w:t>
            </w:r>
          </w:p>
        </w:tc>
      </w:tr>
      <w:tr w:rsidR="00E316D3" w:rsidRPr="00A552D9" w14:paraId="5EE9A187" w14:textId="77777777" w:rsidTr="00A552D9">
        <w:trPr>
          <w:trHeight w:val="20"/>
        </w:trPr>
        <w:tc>
          <w:tcPr>
            <w:tcW w:w="2410" w:type="dxa"/>
            <w:vAlign w:val="center"/>
          </w:tcPr>
          <w:p w14:paraId="0798FED2" w14:textId="77777777" w:rsidR="00E316D3" w:rsidRPr="00A552D9" w:rsidRDefault="00E316D3" w:rsidP="00E316D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Pomalidomidas (4 mg)</w:t>
            </w:r>
          </w:p>
        </w:tc>
        <w:tc>
          <w:tcPr>
            <w:tcW w:w="317" w:type="dxa"/>
          </w:tcPr>
          <w:p w14:paraId="13747B95" w14:textId="50A2FDE0"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76B5CCEE" w14:textId="5B498FC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3783C371" w14:textId="7FEF5929"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54ED9EFD" w14:textId="56A388B9"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3AF9410D" w14:textId="397CE0BF"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07417435" w14:textId="1449461A"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7513B89E" w14:textId="267C033A"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109E7B6A" w14:textId="260EA516"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2AF14848" w14:textId="207FCA92"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056EC388" w14:textId="302D7D6E"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054FF5ED" w14:textId="796C276C"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679A3D71" w14:textId="0D84B92F"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233408AC" w14:textId="023D8386"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1E3D6230" w14:textId="3F01586F"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33EC8BA7"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14B652B2"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8" w:type="dxa"/>
          </w:tcPr>
          <w:p w14:paraId="318F4604"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607DC8A4"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54871677"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5D75B9BB"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8" w:type="dxa"/>
          </w:tcPr>
          <w:p w14:paraId="0863275C"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r w:rsidR="00E316D3" w:rsidRPr="00A552D9" w14:paraId="4CC0FD17" w14:textId="77777777" w:rsidTr="00A552D9">
        <w:trPr>
          <w:trHeight w:val="20"/>
        </w:trPr>
        <w:tc>
          <w:tcPr>
            <w:tcW w:w="2410" w:type="dxa"/>
            <w:vAlign w:val="center"/>
          </w:tcPr>
          <w:p w14:paraId="43E69F38" w14:textId="77777777" w:rsidR="00E316D3" w:rsidRPr="00A552D9" w:rsidRDefault="00E316D3" w:rsidP="00E316D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Bortezomibas (1,3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w:t>
            </w:r>
          </w:p>
        </w:tc>
        <w:tc>
          <w:tcPr>
            <w:tcW w:w="317" w:type="dxa"/>
          </w:tcPr>
          <w:p w14:paraId="017705C2" w14:textId="52B1412D"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4E2491DB"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6BFC691B"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4D59215A" w14:textId="4D988F35"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6F614CF0"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02D18BD3"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3BEDE236"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300C132D" w14:textId="0F67BC2B"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5A4882DB"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2AD0FFC6"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2EF11E35" w14:textId="6261213F"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73209178"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8" w:type="dxa"/>
          </w:tcPr>
          <w:p w14:paraId="4379ADF7"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2E13C2DC"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47273B80"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47228593"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8" w:type="dxa"/>
          </w:tcPr>
          <w:p w14:paraId="126B3DB5"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372B1269"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0A6E0ED4"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3B3B95D6"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8" w:type="dxa"/>
          </w:tcPr>
          <w:p w14:paraId="77EFFCC5"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r w:rsidR="00E316D3" w:rsidRPr="00A552D9" w14:paraId="2CEC7BFD" w14:textId="77777777" w:rsidTr="00A552D9">
        <w:trPr>
          <w:trHeight w:val="20"/>
        </w:trPr>
        <w:tc>
          <w:tcPr>
            <w:tcW w:w="2410" w:type="dxa"/>
            <w:vAlign w:val="center"/>
          </w:tcPr>
          <w:p w14:paraId="22BA2802" w14:textId="1703FAF6" w:rsidR="00E316D3" w:rsidRPr="00A552D9" w:rsidRDefault="00E316D3" w:rsidP="00E316D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Deksametazonas (20 mg)</w:t>
            </w:r>
            <w:r w:rsidR="008768C5" w:rsidRPr="00A552D9">
              <w:rPr>
                <w:rFonts w:ascii="Times New Roman" w:eastAsia="Times New Roman" w:hAnsi="Times New Roman" w:cs="Times New Roman"/>
                <w:kern w:val="0"/>
                <w:vertAlign w:val="superscript"/>
                <w:lang w:val="lt-LT"/>
                <w14:ligatures w14:val="none"/>
              </w:rPr>
              <w:t>*</w:t>
            </w:r>
          </w:p>
        </w:tc>
        <w:tc>
          <w:tcPr>
            <w:tcW w:w="317" w:type="dxa"/>
          </w:tcPr>
          <w:p w14:paraId="5A9DA799" w14:textId="22E8643E"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6D336E5F" w14:textId="070D7AC1"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691E31E3"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466CC993" w14:textId="06B5DC9D"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567DECC2" w14:textId="608394AF"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37F0BEF2"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29DA160B"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2E8C6C74" w14:textId="3BDE30F4"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5C296A6B" w14:textId="734DA563"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3BE46144"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437431BD" w14:textId="57D14EB8"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5BA4F6CD" w14:textId="2BA590FF"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629CF9D3"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3B290E50"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3116D3CD"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53C836EA"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8" w:type="dxa"/>
          </w:tcPr>
          <w:p w14:paraId="42EF87DF"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7A3C602F"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7942D3AC"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13BF5D35"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8" w:type="dxa"/>
          </w:tcPr>
          <w:p w14:paraId="2F676723"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bl>
    <w:p w14:paraId="075D5D5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52"/>
        <w:gridCol w:w="310"/>
        <w:gridCol w:w="310"/>
        <w:gridCol w:w="311"/>
        <w:gridCol w:w="310"/>
        <w:gridCol w:w="311"/>
        <w:gridCol w:w="310"/>
        <w:gridCol w:w="311"/>
        <w:gridCol w:w="310"/>
        <w:gridCol w:w="311"/>
        <w:gridCol w:w="310"/>
        <w:gridCol w:w="311"/>
        <w:gridCol w:w="310"/>
        <w:gridCol w:w="311"/>
        <w:gridCol w:w="310"/>
        <w:gridCol w:w="311"/>
        <w:gridCol w:w="310"/>
        <w:gridCol w:w="311"/>
        <w:gridCol w:w="310"/>
        <w:gridCol w:w="311"/>
        <w:gridCol w:w="310"/>
        <w:gridCol w:w="311"/>
      </w:tblGrid>
      <w:tr w:rsidR="00992F19" w:rsidRPr="00A552D9" w14:paraId="61A4DF5B" w14:textId="77777777" w:rsidTr="00A552D9">
        <w:trPr>
          <w:trHeight w:val="20"/>
        </w:trPr>
        <w:tc>
          <w:tcPr>
            <w:tcW w:w="2552" w:type="dxa"/>
            <w:vAlign w:val="center"/>
          </w:tcPr>
          <w:p w14:paraId="23D1E669"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Nuo 9 ciklo</w:t>
            </w:r>
          </w:p>
        </w:tc>
        <w:tc>
          <w:tcPr>
            <w:tcW w:w="6520" w:type="dxa"/>
            <w:gridSpan w:val="21"/>
            <w:vAlign w:val="center"/>
          </w:tcPr>
          <w:p w14:paraId="468118E5"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Diena (21 dienos ciklas)</w:t>
            </w:r>
          </w:p>
        </w:tc>
      </w:tr>
      <w:tr w:rsidR="00992F19" w:rsidRPr="00A552D9" w14:paraId="0068873A" w14:textId="77777777" w:rsidTr="00A552D9">
        <w:trPr>
          <w:trHeight w:val="20"/>
        </w:trPr>
        <w:tc>
          <w:tcPr>
            <w:tcW w:w="2552" w:type="dxa"/>
            <w:vAlign w:val="center"/>
          </w:tcPr>
          <w:p w14:paraId="0D19A1EB"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2B657184"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w:t>
            </w:r>
          </w:p>
        </w:tc>
        <w:tc>
          <w:tcPr>
            <w:tcW w:w="310" w:type="dxa"/>
            <w:vAlign w:val="center"/>
          </w:tcPr>
          <w:p w14:paraId="6DC090D2"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w:t>
            </w:r>
          </w:p>
        </w:tc>
        <w:tc>
          <w:tcPr>
            <w:tcW w:w="311" w:type="dxa"/>
            <w:vAlign w:val="center"/>
          </w:tcPr>
          <w:p w14:paraId="0F80A727"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w:t>
            </w:r>
          </w:p>
        </w:tc>
        <w:tc>
          <w:tcPr>
            <w:tcW w:w="310" w:type="dxa"/>
            <w:vAlign w:val="center"/>
          </w:tcPr>
          <w:p w14:paraId="55993525"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w:t>
            </w:r>
          </w:p>
        </w:tc>
        <w:tc>
          <w:tcPr>
            <w:tcW w:w="311" w:type="dxa"/>
            <w:vAlign w:val="center"/>
          </w:tcPr>
          <w:p w14:paraId="7198AC32"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w:t>
            </w:r>
          </w:p>
        </w:tc>
        <w:tc>
          <w:tcPr>
            <w:tcW w:w="310" w:type="dxa"/>
            <w:vAlign w:val="center"/>
          </w:tcPr>
          <w:p w14:paraId="0912FF9D"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6</w:t>
            </w:r>
          </w:p>
        </w:tc>
        <w:tc>
          <w:tcPr>
            <w:tcW w:w="311" w:type="dxa"/>
            <w:vAlign w:val="center"/>
          </w:tcPr>
          <w:p w14:paraId="38E4F0D8"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7</w:t>
            </w:r>
          </w:p>
        </w:tc>
        <w:tc>
          <w:tcPr>
            <w:tcW w:w="310" w:type="dxa"/>
            <w:vAlign w:val="center"/>
          </w:tcPr>
          <w:p w14:paraId="41F85AE5"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w:t>
            </w:r>
          </w:p>
        </w:tc>
        <w:tc>
          <w:tcPr>
            <w:tcW w:w="311" w:type="dxa"/>
            <w:vAlign w:val="center"/>
          </w:tcPr>
          <w:p w14:paraId="6FC3E785"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9</w:t>
            </w:r>
          </w:p>
        </w:tc>
        <w:tc>
          <w:tcPr>
            <w:tcW w:w="310" w:type="dxa"/>
            <w:vAlign w:val="center"/>
          </w:tcPr>
          <w:p w14:paraId="4995BB79"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w:t>
            </w:r>
          </w:p>
        </w:tc>
        <w:tc>
          <w:tcPr>
            <w:tcW w:w="311" w:type="dxa"/>
            <w:vAlign w:val="center"/>
          </w:tcPr>
          <w:p w14:paraId="1045E900"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11</w:t>
            </w:r>
          </w:p>
        </w:tc>
        <w:tc>
          <w:tcPr>
            <w:tcW w:w="310" w:type="dxa"/>
            <w:vAlign w:val="center"/>
          </w:tcPr>
          <w:p w14:paraId="650868E2"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12</w:t>
            </w:r>
          </w:p>
        </w:tc>
        <w:tc>
          <w:tcPr>
            <w:tcW w:w="311" w:type="dxa"/>
            <w:vAlign w:val="center"/>
          </w:tcPr>
          <w:p w14:paraId="0EAC95AC"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13</w:t>
            </w:r>
          </w:p>
        </w:tc>
        <w:tc>
          <w:tcPr>
            <w:tcW w:w="310" w:type="dxa"/>
            <w:vAlign w:val="center"/>
          </w:tcPr>
          <w:p w14:paraId="0DF6ACB9"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14</w:t>
            </w:r>
          </w:p>
        </w:tc>
        <w:tc>
          <w:tcPr>
            <w:tcW w:w="311" w:type="dxa"/>
            <w:vAlign w:val="center"/>
          </w:tcPr>
          <w:p w14:paraId="4B4CE263"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15</w:t>
            </w:r>
          </w:p>
        </w:tc>
        <w:tc>
          <w:tcPr>
            <w:tcW w:w="310" w:type="dxa"/>
            <w:vAlign w:val="center"/>
          </w:tcPr>
          <w:p w14:paraId="5F95DE1C"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16</w:t>
            </w:r>
          </w:p>
        </w:tc>
        <w:tc>
          <w:tcPr>
            <w:tcW w:w="311" w:type="dxa"/>
            <w:vAlign w:val="center"/>
          </w:tcPr>
          <w:p w14:paraId="1376B277"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17</w:t>
            </w:r>
          </w:p>
        </w:tc>
        <w:tc>
          <w:tcPr>
            <w:tcW w:w="310" w:type="dxa"/>
            <w:vAlign w:val="center"/>
          </w:tcPr>
          <w:p w14:paraId="4BA92DFC"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18</w:t>
            </w:r>
          </w:p>
        </w:tc>
        <w:tc>
          <w:tcPr>
            <w:tcW w:w="311" w:type="dxa"/>
            <w:vAlign w:val="center"/>
          </w:tcPr>
          <w:p w14:paraId="34560393"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19</w:t>
            </w:r>
          </w:p>
        </w:tc>
        <w:tc>
          <w:tcPr>
            <w:tcW w:w="310" w:type="dxa"/>
            <w:vAlign w:val="center"/>
          </w:tcPr>
          <w:p w14:paraId="62D3EEE0"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w:t>
            </w:r>
          </w:p>
        </w:tc>
        <w:tc>
          <w:tcPr>
            <w:tcW w:w="311" w:type="dxa"/>
            <w:vAlign w:val="center"/>
          </w:tcPr>
          <w:p w14:paraId="777FE45C"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21</w:t>
            </w:r>
          </w:p>
        </w:tc>
      </w:tr>
      <w:tr w:rsidR="0099185C" w:rsidRPr="00A552D9" w14:paraId="4FEB548B" w14:textId="77777777" w:rsidTr="00A552D9">
        <w:trPr>
          <w:trHeight w:val="20"/>
        </w:trPr>
        <w:tc>
          <w:tcPr>
            <w:tcW w:w="2552" w:type="dxa"/>
            <w:vAlign w:val="center"/>
          </w:tcPr>
          <w:p w14:paraId="45185B77" w14:textId="77777777" w:rsidR="0099185C" w:rsidRPr="00A552D9" w:rsidRDefault="0099185C" w:rsidP="0099185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Pomalidomidas (4 mg)</w:t>
            </w:r>
          </w:p>
        </w:tc>
        <w:tc>
          <w:tcPr>
            <w:tcW w:w="310" w:type="dxa"/>
          </w:tcPr>
          <w:p w14:paraId="5279C231" w14:textId="09720E23"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tcPr>
          <w:p w14:paraId="241BB17C" w14:textId="2D453C02"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tcPr>
          <w:p w14:paraId="5574BA29" w14:textId="4A5BAE3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tcPr>
          <w:p w14:paraId="7A16A81C" w14:textId="78F5E8D5"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tcPr>
          <w:p w14:paraId="523C259E" w14:textId="445B19BC"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tcPr>
          <w:p w14:paraId="687C0A85" w14:textId="25686D6A"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tcPr>
          <w:p w14:paraId="79AC6E46" w14:textId="7D7F8756"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tcPr>
          <w:p w14:paraId="670F6B17" w14:textId="32AA6CAE"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tcPr>
          <w:p w14:paraId="558C2E57" w14:textId="6D44C562"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tcPr>
          <w:p w14:paraId="7DDAA967" w14:textId="19ACE724"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tcPr>
          <w:p w14:paraId="48A1C08A" w14:textId="4D17B324"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tcPr>
          <w:p w14:paraId="00644C2C" w14:textId="3C6D7B86"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tcPr>
          <w:p w14:paraId="22CAE5E4" w14:textId="6219210B"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tcPr>
          <w:p w14:paraId="5CE20E41" w14:textId="4834F17C"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vAlign w:val="center"/>
          </w:tcPr>
          <w:p w14:paraId="6749C534"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141F43D2"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0E79804C"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663B8F24"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15EF4660"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176B92BD"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14E9298A"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r w:rsidR="0099185C" w:rsidRPr="00A552D9" w14:paraId="5DC7DE16" w14:textId="77777777" w:rsidTr="00A552D9">
        <w:trPr>
          <w:trHeight w:val="20"/>
        </w:trPr>
        <w:tc>
          <w:tcPr>
            <w:tcW w:w="2552" w:type="dxa"/>
            <w:vAlign w:val="center"/>
          </w:tcPr>
          <w:p w14:paraId="1217484B" w14:textId="77777777" w:rsidR="0099185C" w:rsidRPr="00A552D9" w:rsidRDefault="0099185C" w:rsidP="0099185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Bortezomibas (1,3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w:t>
            </w:r>
          </w:p>
        </w:tc>
        <w:tc>
          <w:tcPr>
            <w:tcW w:w="310" w:type="dxa"/>
          </w:tcPr>
          <w:p w14:paraId="223D1906" w14:textId="61B99E66"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vAlign w:val="center"/>
          </w:tcPr>
          <w:p w14:paraId="1CF5C25D"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1B2E32B1"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565B8006"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0F4B4A36"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566ABFE6"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5850C2EE"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tcPr>
          <w:p w14:paraId="2D52FF47" w14:textId="5ACC0264"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vAlign w:val="center"/>
          </w:tcPr>
          <w:p w14:paraId="6417FFF6"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07C370EA"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6FCF6DBD"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03B1D65D"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58795413"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419B2FC6"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798494B8"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6E4A5638"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34DA9A74"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41643493"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3C41BC7A"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40E85C54"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2D2ACB59"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r w:rsidR="0099185C" w:rsidRPr="00A552D9" w14:paraId="67268A0A" w14:textId="77777777" w:rsidTr="00A552D9">
        <w:trPr>
          <w:trHeight w:val="20"/>
        </w:trPr>
        <w:tc>
          <w:tcPr>
            <w:tcW w:w="2552" w:type="dxa"/>
            <w:vAlign w:val="center"/>
          </w:tcPr>
          <w:p w14:paraId="579FDA24" w14:textId="6230E841" w:rsidR="0099185C" w:rsidRPr="00A552D9" w:rsidRDefault="0099185C" w:rsidP="0099185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Deksametazonas (20 mg) </w:t>
            </w:r>
            <w:r w:rsidR="008768C5" w:rsidRPr="00A552D9">
              <w:rPr>
                <w:rFonts w:ascii="Times New Roman" w:eastAsia="Times New Roman" w:hAnsi="Times New Roman" w:cs="Times New Roman"/>
                <w:kern w:val="0"/>
                <w:vertAlign w:val="superscript"/>
                <w:lang w:val="lt-LT"/>
                <w14:ligatures w14:val="none"/>
              </w:rPr>
              <w:t>*</w:t>
            </w:r>
          </w:p>
        </w:tc>
        <w:tc>
          <w:tcPr>
            <w:tcW w:w="310" w:type="dxa"/>
          </w:tcPr>
          <w:p w14:paraId="2A80835A" w14:textId="47918DF8"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vAlign w:val="center"/>
          </w:tcPr>
          <w:p w14:paraId="1F3BD93B" w14:textId="1601DF60"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vAlign w:val="center"/>
          </w:tcPr>
          <w:p w14:paraId="5609757D"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43ED1A12"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7A0E0053"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062F5D8D"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6224A531"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tcPr>
          <w:p w14:paraId="32E220C5" w14:textId="7D985C66"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vAlign w:val="center"/>
          </w:tcPr>
          <w:p w14:paraId="280FE27C" w14:textId="74259311"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vAlign w:val="center"/>
          </w:tcPr>
          <w:p w14:paraId="04707C60"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6A6033BB"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07AD8A5E"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27A1EE2C"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0A3AE667"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10A5BDC9"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416E7C9F"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46AFA6DE"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5BA17AF2"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5CF6901F"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7A03D8EA"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00A5792E"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bl>
    <w:p w14:paraId="4C8A818B" w14:textId="1D44FEF2" w:rsidR="00992F19" w:rsidRPr="00A552D9" w:rsidRDefault="008768C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w:t>
      </w:r>
      <w:r w:rsidR="00992F19" w:rsidRPr="00A552D9">
        <w:rPr>
          <w:rFonts w:ascii="Times New Roman" w:eastAsia="Times New Roman" w:hAnsi="Times New Roman" w:cs="Times New Roman"/>
          <w:kern w:val="0"/>
          <w:lang w:val="lt-LT"/>
          <w14:ligatures w14:val="none"/>
        </w:rPr>
        <w:t xml:space="preserve"> &gt; 75 metų pacientams žr. skyrių „Ypatingos populiacijos“.</w:t>
      </w:r>
    </w:p>
    <w:p w14:paraId="7898839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DFE213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u w:val="single"/>
          <w:lang w:val="lt-LT"/>
          <w14:ligatures w14:val="none"/>
        </w:rPr>
        <w:lastRenderedPageBreak/>
        <w:t>Pomalidomido dozės koregavimas arba vartojimo nutraukimas</w:t>
      </w:r>
    </w:p>
    <w:p w14:paraId="694DD6BB" w14:textId="6700C8C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Norint pradėti naują gydymo pomalidomidu ciklą, neutrofilų skaičius turi būti </w:t>
      </w:r>
      <w:r w:rsidR="003A4922"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1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 xml:space="preserve">/l, o trombocitų skaičius </w:t>
      </w:r>
      <w:r w:rsidR="003A4922"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50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p w14:paraId="5E3D6CC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Nurodymai, kaip nutraukti gydymą pomalidomidu arba mažinti jo dozę pasireiškus su jo vartojimu susijusioms nepageidaujamoms reakcijoms, pateikiami 2 lentelėje, dozių lygiai nurodyti 3 lentelėje toliau.</w:t>
      </w:r>
    </w:p>
    <w:p w14:paraId="7583807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0E40B1A" w14:textId="751744DA" w:rsidR="00992F19" w:rsidRPr="00A552D9" w:rsidRDefault="003E5334" w:rsidP="003E5334">
      <w:pPr>
        <w:widowControl w:val="0"/>
        <w:tabs>
          <w:tab w:val="left" w:pos="464"/>
        </w:tabs>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2. </w:t>
      </w:r>
      <w:r w:rsidR="00992F19" w:rsidRPr="00A552D9">
        <w:rPr>
          <w:rFonts w:ascii="Times New Roman" w:eastAsia="Times New Roman" w:hAnsi="Times New Roman" w:cs="Times New Roman"/>
          <w:b/>
          <w:bCs/>
          <w:kern w:val="0"/>
          <w:lang w:val="lt-LT"/>
          <w14:ligatures w14:val="none"/>
        </w:rPr>
        <w:t>lentelė. Pomalidomido dozės koregavimo nurodymai</w:t>
      </w:r>
      <w:r w:rsidR="00992F19" w:rsidRPr="00A552D9">
        <w:rPr>
          <w:rFonts w:ascii="Times New Roman" w:eastAsia="Times New Roman" w:hAnsi="Times New Roman" w:cs="Times New Roman"/>
          <w:b/>
          <w:bCs/>
          <w:kern w:val="0"/>
          <w:vertAlign w:val="superscript"/>
          <w:lang w:val="lt-LT"/>
          <w14:ligatures w14:val="none"/>
        </w:rPr>
        <w:t>∞</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4319"/>
        <w:gridCol w:w="4753"/>
      </w:tblGrid>
      <w:tr w:rsidR="00992F19" w:rsidRPr="00A552D9" w14:paraId="126E3F85" w14:textId="77777777" w:rsidTr="005B5BF2">
        <w:trPr>
          <w:trHeight w:val="20"/>
        </w:trPr>
        <w:tc>
          <w:tcPr>
            <w:tcW w:w="4319" w:type="dxa"/>
            <w:tcBorders>
              <w:bottom w:val="single" w:sz="4" w:space="0" w:color="000000"/>
            </w:tcBorders>
            <w:vAlign w:val="center"/>
          </w:tcPr>
          <w:p w14:paraId="578AD55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Toksinis poveikis</w:t>
            </w:r>
          </w:p>
        </w:tc>
        <w:tc>
          <w:tcPr>
            <w:tcW w:w="4753" w:type="dxa"/>
            <w:tcBorders>
              <w:bottom w:val="single" w:sz="4" w:space="0" w:color="000000"/>
            </w:tcBorders>
            <w:vAlign w:val="center"/>
          </w:tcPr>
          <w:p w14:paraId="0428205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Dozės koregavimas</w:t>
            </w:r>
          </w:p>
        </w:tc>
      </w:tr>
      <w:tr w:rsidR="00992F19" w:rsidRPr="00A552D9" w14:paraId="0FDF1CF3" w14:textId="77777777" w:rsidTr="005B5BF2">
        <w:trPr>
          <w:trHeight w:val="20"/>
        </w:trPr>
        <w:tc>
          <w:tcPr>
            <w:tcW w:w="4319" w:type="dxa"/>
            <w:tcBorders>
              <w:top w:val="single" w:sz="4" w:space="0" w:color="000000"/>
              <w:left w:val="single" w:sz="4" w:space="0" w:color="000000"/>
              <w:bottom w:val="single" w:sz="4" w:space="0" w:color="000000"/>
              <w:right w:val="single" w:sz="4" w:space="0" w:color="000000"/>
            </w:tcBorders>
            <w:vAlign w:val="center"/>
          </w:tcPr>
          <w:p w14:paraId="2A87797B" w14:textId="30999076"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u w:val="thick"/>
                <w:lang w:val="lt-LT"/>
                <w14:ligatures w14:val="none"/>
              </w:rPr>
              <w:t>Neutropenija</w:t>
            </w:r>
            <w:r w:rsidR="008768C5" w:rsidRPr="00A552D9">
              <w:rPr>
                <w:rFonts w:ascii="Times New Roman" w:eastAsia="Times New Roman" w:hAnsi="Times New Roman" w:cs="Times New Roman"/>
                <w:kern w:val="0"/>
                <w:vertAlign w:val="superscript"/>
                <w:lang w:val="lt-LT"/>
                <w14:ligatures w14:val="none"/>
              </w:rPr>
              <w:t>*</w:t>
            </w:r>
          </w:p>
          <w:p w14:paraId="2A4C24F3" w14:textId="307D1CC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ANS</w:t>
            </w:r>
            <w:r w:rsidR="008768C5" w:rsidRPr="00A552D9">
              <w:rPr>
                <w:rFonts w:ascii="Times New Roman" w:eastAsia="Times New Roman" w:hAnsi="Times New Roman" w:cs="Times New Roman"/>
                <w:kern w:val="0"/>
                <w:vertAlign w:val="superscript"/>
                <w:lang w:val="lt-LT"/>
                <w14:ligatures w14:val="none"/>
              </w:rPr>
              <w:t>**</w:t>
            </w:r>
            <w:r w:rsidRPr="00A552D9">
              <w:rPr>
                <w:rFonts w:ascii="Times New Roman" w:eastAsia="Times New Roman" w:hAnsi="Times New Roman" w:cs="Times New Roman"/>
                <w:kern w:val="0"/>
                <w:lang w:val="lt-LT"/>
                <w14:ligatures w14:val="none"/>
              </w:rPr>
              <w:t xml:space="preserve"> &lt; 0,5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 arba febrili neutropenija (≥ 38,5 °C temperatūra ir ANS &lt; 1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top w:val="single" w:sz="4" w:space="0" w:color="000000"/>
              <w:left w:val="single" w:sz="4" w:space="0" w:color="000000"/>
              <w:bottom w:val="single" w:sz="4" w:space="0" w:color="000000"/>
              <w:right w:val="single" w:sz="4" w:space="0" w:color="000000"/>
            </w:tcBorders>
            <w:vAlign w:val="center"/>
          </w:tcPr>
          <w:p w14:paraId="463239C5" w14:textId="412CD30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Laikinai nutraukti gydymą pomalidomidu likusią ciklo dalį. Kas savaitę atlikti BKT</w:t>
            </w:r>
            <w:r w:rsidR="008768C5" w:rsidRPr="00A552D9">
              <w:rPr>
                <w:rFonts w:ascii="Times New Roman" w:eastAsia="Times New Roman" w:hAnsi="Times New Roman" w:cs="Times New Roman"/>
                <w:kern w:val="0"/>
                <w:vertAlign w:val="superscript"/>
                <w:lang w:val="lt-LT"/>
                <w14:ligatures w14:val="none"/>
              </w:rPr>
              <w:t>***</w:t>
            </w:r>
            <w:r w:rsidRPr="00A552D9">
              <w:rPr>
                <w:rFonts w:ascii="Times New Roman" w:eastAsia="Times New Roman" w:hAnsi="Times New Roman" w:cs="Times New Roman"/>
                <w:kern w:val="0"/>
                <w:lang w:val="lt-LT"/>
                <w14:ligatures w14:val="none"/>
              </w:rPr>
              <w:t>.</w:t>
            </w:r>
          </w:p>
        </w:tc>
      </w:tr>
      <w:tr w:rsidR="00992F19" w:rsidRPr="004D4255" w14:paraId="172D98D3" w14:textId="77777777" w:rsidTr="005B5BF2">
        <w:trPr>
          <w:trHeight w:val="20"/>
        </w:trPr>
        <w:tc>
          <w:tcPr>
            <w:tcW w:w="4319" w:type="dxa"/>
            <w:tcBorders>
              <w:top w:val="single" w:sz="4" w:space="0" w:color="000000"/>
              <w:left w:val="single" w:sz="4" w:space="0" w:color="000000"/>
              <w:bottom w:val="single" w:sz="4" w:space="0" w:color="000000"/>
              <w:right w:val="single" w:sz="4" w:space="0" w:color="000000"/>
            </w:tcBorders>
            <w:vAlign w:val="center"/>
          </w:tcPr>
          <w:p w14:paraId="7D665CB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ANS vėl pasiekia ≥ 1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top w:val="single" w:sz="4" w:space="0" w:color="000000"/>
              <w:left w:val="single" w:sz="4" w:space="0" w:color="000000"/>
              <w:bottom w:val="single" w:sz="4" w:space="0" w:color="000000"/>
              <w:right w:val="single" w:sz="4" w:space="0" w:color="000000"/>
            </w:tcBorders>
            <w:vAlign w:val="center"/>
          </w:tcPr>
          <w:p w14:paraId="5AFF8210" w14:textId="0F38BBD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Vėl skirti vartoti pomalidomid</w:t>
            </w:r>
            <w:r w:rsidR="008D7A0A">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ą, sumažinus ankstesnę dozę vienu lygiu.</w:t>
            </w:r>
          </w:p>
        </w:tc>
      </w:tr>
      <w:tr w:rsidR="00992F19" w:rsidRPr="00A552D9" w14:paraId="45C26836" w14:textId="77777777" w:rsidTr="0002277A">
        <w:trPr>
          <w:trHeight w:val="20"/>
        </w:trPr>
        <w:tc>
          <w:tcPr>
            <w:tcW w:w="4319" w:type="dxa"/>
            <w:tcBorders>
              <w:top w:val="single" w:sz="4" w:space="0" w:color="000000"/>
              <w:left w:val="single" w:sz="4" w:space="0" w:color="000000"/>
              <w:bottom w:val="single" w:sz="4" w:space="0" w:color="000000"/>
              <w:right w:val="single" w:sz="4" w:space="0" w:color="000000"/>
            </w:tcBorders>
            <w:vAlign w:val="center"/>
          </w:tcPr>
          <w:p w14:paraId="4B4C978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Kiekvienas kitas sumažėjimas &lt; 0,5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top w:val="single" w:sz="4" w:space="0" w:color="000000"/>
              <w:left w:val="single" w:sz="4" w:space="0" w:color="000000"/>
              <w:bottom w:val="single" w:sz="4" w:space="0" w:color="000000"/>
              <w:right w:val="single" w:sz="4" w:space="0" w:color="000000"/>
            </w:tcBorders>
            <w:vAlign w:val="center"/>
          </w:tcPr>
          <w:p w14:paraId="545E6E8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Laikinai nutraukti gydymą pomalidomidu.</w:t>
            </w:r>
          </w:p>
        </w:tc>
      </w:tr>
      <w:tr w:rsidR="00992F19" w:rsidRPr="004D4255" w14:paraId="2B96D9CF" w14:textId="77777777" w:rsidTr="0002277A">
        <w:trPr>
          <w:trHeight w:val="20"/>
        </w:trPr>
        <w:tc>
          <w:tcPr>
            <w:tcW w:w="4319" w:type="dxa"/>
            <w:tcBorders>
              <w:top w:val="single" w:sz="4" w:space="0" w:color="000000"/>
              <w:bottom w:val="single" w:sz="4" w:space="0" w:color="auto"/>
            </w:tcBorders>
            <w:vAlign w:val="center"/>
          </w:tcPr>
          <w:p w14:paraId="4E24CA8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ANS vėl pasiekia ≥ 1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top w:val="single" w:sz="4" w:space="0" w:color="000000"/>
              <w:bottom w:val="single" w:sz="4" w:space="0" w:color="auto"/>
            </w:tcBorders>
            <w:vAlign w:val="center"/>
          </w:tcPr>
          <w:p w14:paraId="747AF1B0" w14:textId="714654B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Vėl skirti vartoti pomalidomid</w:t>
            </w:r>
            <w:r w:rsidR="00317031">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sumažinus ankstesnę dozę vienu lygiu.</w:t>
            </w:r>
          </w:p>
        </w:tc>
      </w:tr>
      <w:tr w:rsidR="00992F19" w:rsidRPr="00A552D9" w14:paraId="5BA8A82A" w14:textId="77777777" w:rsidTr="0002277A">
        <w:trPr>
          <w:trHeight w:val="20"/>
        </w:trPr>
        <w:tc>
          <w:tcPr>
            <w:tcW w:w="4319" w:type="dxa"/>
            <w:tcBorders>
              <w:top w:val="single" w:sz="4" w:space="0" w:color="auto"/>
              <w:bottom w:val="single" w:sz="4" w:space="0" w:color="000000"/>
            </w:tcBorders>
            <w:vAlign w:val="center"/>
          </w:tcPr>
          <w:p w14:paraId="552EB13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u w:val="thick"/>
                <w:lang w:val="lt-LT"/>
                <w14:ligatures w14:val="none"/>
              </w:rPr>
              <w:t>Trombocitopenija</w:t>
            </w:r>
          </w:p>
          <w:p w14:paraId="7B507A3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Trombocitų skaičius &lt; 25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top w:val="single" w:sz="4" w:space="0" w:color="auto"/>
              <w:bottom w:val="single" w:sz="4" w:space="0" w:color="000000"/>
            </w:tcBorders>
            <w:vAlign w:val="center"/>
          </w:tcPr>
          <w:p w14:paraId="596D92E1" w14:textId="1A3109D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Laikinai nutraukti gydymą pomalidomidu likusią ciklo dalį. Kas savaitę atlikti BKT</w:t>
            </w:r>
            <w:r w:rsidR="008768C5" w:rsidRPr="00A552D9">
              <w:rPr>
                <w:rFonts w:ascii="Times New Roman" w:eastAsia="Times New Roman" w:hAnsi="Times New Roman" w:cs="Times New Roman"/>
                <w:kern w:val="0"/>
                <w:vertAlign w:val="superscript"/>
                <w:lang w:val="lt-LT"/>
                <w14:ligatures w14:val="none"/>
              </w:rPr>
              <w:t>***</w:t>
            </w:r>
            <w:r w:rsidRPr="00A552D9">
              <w:rPr>
                <w:rFonts w:ascii="Times New Roman" w:eastAsia="Times New Roman" w:hAnsi="Times New Roman" w:cs="Times New Roman"/>
                <w:kern w:val="0"/>
                <w:lang w:val="lt-LT"/>
                <w14:ligatures w14:val="none"/>
              </w:rPr>
              <w:t>.</w:t>
            </w:r>
          </w:p>
        </w:tc>
      </w:tr>
      <w:tr w:rsidR="00992F19" w:rsidRPr="004D4255" w14:paraId="2F1487A2" w14:textId="77777777" w:rsidTr="005B5BF2">
        <w:trPr>
          <w:trHeight w:val="20"/>
        </w:trPr>
        <w:tc>
          <w:tcPr>
            <w:tcW w:w="4319" w:type="dxa"/>
            <w:tcBorders>
              <w:top w:val="single" w:sz="4" w:space="0" w:color="000000"/>
            </w:tcBorders>
            <w:vAlign w:val="center"/>
          </w:tcPr>
          <w:p w14:paraId="704838B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Trombocitų skaičius vėl pasiekia ≥ 50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top w:val="single" w:sz="4" w:space="0" w:color="000000"/>
            </w:tcBorders>
            <w:vAlign w:val="center"/>
          </w:tcPr>
          <w:p w14:paraId="1DB475B6" w14:textId="13C6A17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Vėl skirti vartoti pomalidomid</w:t>
            </w:r>
            <w:r w:rsidR="00317031">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sumažinus ankstesnę dozę vienu lygiu.</w:t>
            </w:r>
          </w:p>
        </w:tc>
      </w:tr>
      <w:tr w:rsidR="00992F19" w:rsidRPr="00A552D9" w14:paraId="2A80E3DA" w14:textId="77777777" w:rsidTr="00EC4DEE">
        <w:trPr>
          <w:trHeight w:val="20"/>
        </w:trPr>
        <w:tc>
          <w:tcPr>
            <w:tcW w:w="4319" w:type="dxa"/>
            <w:tcBorders>
              <w:bottom w:val="single" w:sz="4" w:space="0" w:color="000000"/>
            </w:tcBorders>
            <w:vAlign w:val="center"/>
          </w:tcPr>
          <w:p w14:paraId="41A4146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Kiekvienas kitas sumažėjimas &lt; 25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bottom w:val="single" w:sz="4" w:space="0" w:color="000000"/>
            </w:tcBorders>
            <w:vAlign w:val="center"/>
          </w:tcPr>
          <w:p w14:paraId="4EAEFF3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Laikinai nutraukti gydymą pomalidomidu.</w:t>
            </w:r>
          </w:p>
        </w:tc>
      </w:tr>
      <w:tr w:rsidR="00992F19" w:rsidRPr="004D4255" w14:paraId="61811BF7" w14:textId="77777777" w:rsidTr="00EC4DEE">
        <w:trPr>
          <w:trHeight w:val="20"/>
        </w:trPr>
        <w:tc>
          <w:tcPr>
            <w:tcW w:w="4319" w:type="dxa"/>
            <w:tcBorders>
              <w:top w:val="single" w:sz="4" w:space="0" w:color="000000"/>
              <w:bottom w:val="single" w:sz="4" w:space="0" w:color="auto"/>
            </w:tcBorders>
            <w:vAlign w:val="center"/>
          </w:tcPr>
          <w:p w14:paraId="2DB1EF0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Trombocitų skaičius vėl pasiekia ≥ 50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top w:val="single" w:sz="4" w:space="0" w:color="000000"/>
              <w:bottom w:val="single" w:sz="4" w:space="0" w:color="auto"/>
            </w:tcBorders>
            <w:vAlign w:val="center"/>
          </w:tcPr>
          <w:p w14:paraId="1E2A8D72" w14:textId="1C3DFF1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Vėl skirti vartoti pomalidomid</w:t>
            </w:r>
            <w:r w:rsidR="00317031">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sumažinus ankstesnę dozę vienu lygiu.</w:t>
            </w:r>
          </w:p>
        </w:tc>
      </w:tr>
      <w:tr w:rsidR="00992F19" w:rsidRPr="004D4255" w14:paraId="338E5A40" w14:textId="77777777" w:rsidTr="006C71E8">
        <w:trPr>
          <w:trHeight w:val="20"/>
        </w:trPr>
        <w:tc>
          <w:tcPr>
            <w:tcW w:w="4319" w:type="dxa"/>
            <w:tcBorders>
              <w:top w:val="single" w:sz="4" w:space="0" w:color="auto"/>
              <w:bottom w:val="single" w:sz="4" w:space="0" w:color="000000"/>
            </w:tcBorders>
            <w:vAlign w:val="center"/>
          </w:tcPr>
          <w:p w14:paraId="311AAC7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Išbėrimas</w:t>
            </w:r>
          </w:p>
          <w:p w14:paraId="67584ED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2-3 laipsnio išbėrimas</w:t>
            </w:r>
          </w:p>
        </w:tc>
        <w:tc>
          <w:tcPr>
            <w:tcW w:w="4753" w:type="dxa"/>
            <w:tcBorders>
              <w:top w:val="single" w:sz="4" w:space="0" w:color="auto"/>
              <w:bottom w:val="single" w:sz="4" w:space="0" w:color="000000"/>
            </w:tcBorders>
            <w:vAlign w:val="center"/>
          </w:tcPr>
          <w:p w14:paraId="41D56B9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Apsvarstyti galimybę laikinai arba visiškai nutraukti gydymą pomalidomidu.</w:t>
            </w:r>
          </w:p>
        </w:tc>
      </w:tr>
      <w:tr w:rsidR="00992F19" w:rsidRPr="004D4255" w14:paraId="2869C26D" w14:textId="77777777" w:rsidTr="006C71E8">
        <w:trPr>
          <w:trHeight w:val="20"/>
        </w:trPr>
        <w:tc>
          <w:tcPr>
            <w:tcW w:w="4319" w:type="dxa"/>
            <w:tcBorders>
              <w:top w:val="single" w:sz="4" w:space="0" w:color="000000"/>
              <w:bottom w:val="single" w:sz="4" w:space="0" w:color="auto"/>
            </w:tcBorders>
            <w:vAlign w:val="center"/>
          </w:tcPr>
          <w:p w14:paraId="77291885" w14:textId="1170F83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4 laipsnio išbėrimas arba odos </w:t>
            </w:r>
            <w:r w:rsidR="008F6E93">
              <w:rPr>
                <w:rFonts w:ascii="Times New Roman" w:eastAsia="Times New Roman" w:hAnsi="Times New Roman" w:cs="Times New Roman"/>
                <w:kern w:val="0"/>
                <w:lang w:val="lt-LT"/>
                <w14:ligatures w14:val="none"/>
              </w:rPr>
              <w:t>pūslių susidary</w:t>
            </w:r>
            <w:r w:rsidR="00E75049">
              <w:rPr>
                <w:rFonts w:ascii="Times New Roman" w:eastAsia="Times New Roman" w:hAnsi="Times New Roman" w:cs="Times New Roman"/>
                <w:kern w:val="0"/>
                <w:lang w:val="lt-LT"/>
                <w14:ligatures w14:val="none"/>
              </w:rPr>
              <w:t>mas</w:t>
            </w:r>
            <w:r w:rsidR="008F6E93"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(įskaitant angioneurozinę edemą, anafilaksinę reakciją, eksfoliacinį ar pūslinį išbėrimą arba įtarus Stivenso-Džonsono sindromą (SDS), toksinę epidermio nekrolizę (TEN) ar reakcija į vaistinį preparatą su eozinofilija ir sisteminiais simptomais (VRESS))</w:t>
            </w:r>
          </w:p>
        </w:tc>
        <w:tc>
          <w:tcPr>
            <w:tcW w:w="4753" w:type="dxa"/>
            <w:tcBorders>
              <w:top w:val="single" w:sz="4" w:space="0" w:color="000000"/>
              <w:bottom w:val="single" w:sz="4" w:space="0" w:color="auto"/>
            </w:tcBorders>
            <w:vAlign w:val="center"/>
          </w:tcPr>
          <w:p w14:paraId="7E9EAD4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Visiškai nutraukti gydymą (žr. 4.4 skyrių).</w:t>
            </w:r>
          </w:p>
        </w:tc>
      </w:tr>
      <w:tr w:rsidR="00992F19" w:rsidRPr="004D4255" w14:paraId="09CC774A" w14:textId="77777777" w:rsidTr="006C71E8">
        <w:trPr>
          <w:trHeight w:val="20"/>
        </w:trPr>
        <w:tc>
          <w:tcPr>
            <w:tcW w:w="4319" w:type="dxa"/>
            <w:tcBorders>
              <w:top w:val="single" w:sz="4" w:space="0" w:color="auto"/>
              <w:bottom w:val="single" w:sz="4" w:space="0" w:color="000000"/>
            </w:tcBorders>
            <w:vAlign w:val="center"/>
          </w:tcPr>
          <w:p w14:paraId="7C54966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Kita</w:t>
            </w:r>
          </w:p>
          <w:p w14:paraId="541AE03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Kiti ≥ 3 laipsnio su pomalidomidu susiję nepageidaujami reiškiniai</w:t>
            </w:r>
          </w:p>
        </w:tc>
        <w:tc>
          <w:tcPr>
            <w:tcW w:w="4753" w:type="dxa"/>
            <w:tcBorders>
              <w:top w:val="single" w:sz="4" w:space="0" w:color="auto"/>
              <w:bottom w:val="single" w:sz="4" w:space="0" w:color="000000"/>
            </w:tcBorders>
            <w:vAlign w:val="center"/>
          </w:tcPr>
          <w:p w14:paraId="2618359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Laikinai nutraukti gydymą pomalidomidu likusią ciklo dalį. Tęsti kitą ciklą, sumažinus ankstesnę dozę vienu lygiu (nepageidaujamas reiškinys turi išnykti arba pagerėti iki ≤ 2 laipsnio prieš atnaujinant dozavimą).</w:t>
            </w:r>
          </w:p>
        </w:tc>
      </w:tr>
    </w:tbl>
    <w:p w14:paraId="0409036A" w14:textId="58888B0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w:t>
      </w:r>
      <w:r w:rsidRPr="00A552D9">
        <w:rPr>
          <w:rFonts w:ascii="Times New Roman" w:eastAsia="Times New Roman" w:hAnsi="Times New Roman" w:cs="Times New Roman"/>
          <w:kern w:val="0"/>
          <w:lang w:val="lt-LT"/>
          <w14:ligatures w14:val="none"/>
        </w:rPr>
        <w:t xml:space="preserve"> Dozės koregavimo nurodymai šioje lentelėje taikomi vartojant pomalidomid</w:t>
      </w:r>
      <w:r w:rsidR="006B484C">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kartu su bortezomibu ir deksametazonu</w:t>
      </w:r>
      <w:r w:rsidR="006B484C">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ir vartojant pomalidomid</w:t>
      </w:r>
      <w:r w:rsidR="006B484C">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kartu su deksametazonu.</w:t>
      </w:r>
    </w:p>
    <w:p w14:paraId="68D4AF74" w14:textId="23613470" w:rsidR="00992F19" w:rsidRPr="00A552D9" w:rsidRDefault="008768C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w:t>
      </w:r>
      <w:r w:rsidR="00992F19" w:rsidRPr="00A552D9">
        <w:rPr>
          <w:rFonts w:ascii="Times New Roman" w:eastAsia="Times New Roman" w:hAnsi="Times New Roman" w:cs="Times New Roman"/>
          <w:kern w:val="0"/>
          <w:lang w:val="lt-LT"/>
          <w14:ligatures w14:val="none"/>
        </w:rPr>
        <w:t>Neutropenijos atveju gydytojas turi apsvarstyti augimo faktorių vartojimą.</w:t>
      </w:r>
    </w:p>
    <w:p w14:paraId="425BECF3" w14:textId="0162C8D0" w:rsidR="00992F19" w:rsidRPr="00A552D9" w:rsidRDefault="008768C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w:t>
      </w:r>
      <w:r w:rsidR="00992F19" w:rsidRPr="00A552D9">
        <w:rPr>
          <w:rFonts w:ascii="Times New Roman" w:eastAsia="Times New Roman" w:hAnsi="Times New Roman" w:cs="Times New Roman"/>
          <w:kern w:val="0"/>
          <w:lang w:val="lt-LT"/>
          <w14:ligatures w14:val="none"/>
        </w:rPr>
        <w:t>ANS – absoliutus neutrofilų skaičius;</w:t>
      </w:r>
    </w:p>
    <w:p w14:paraId="5B9E1120" w14:textId="7897DAA2" w:rsidR="00992F19" w:rsidRPr="00A552D9" w:rsidRDefault="008768C5"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kern w:val="0"/>
          <w:vertAlign w:val="superscript"/>
          <w:lang w:val="lt-LT"/>
          <w14:ligatures w14:val="none"/>
        </w:rPr>
        <w:t>***</w:t>
      </w:r>
      <w:r w:rsidR="00992F19" w:rsidRPr="00A552D9">
        <w:rPr>
          <w:rFonts w:ascii="Times New Roman" w:eastAsia="Times New Roman" w:hAnsi="Times New Roman" w:cs="Times New Roman"/>
          <w:kern w:val="0"/>
          <w:lang w:val="lt-LT"/>
          <w14:ligatures w14:val="none"/>
        </w:rPr>
        <w:t xml:space="preserve">BKT – bendras kraujo tyrimas (ang. </w:t>
      </w:r>
      <w:r w:rsidR="00992F19" w:rsidRPr="00A552D9">
        <w:rPr>
          <w:rFonts w:ascii="Times New Roman" w:eastAsia="Times New Roman" w:hAnsi="Times New Roman" w:cs="Times New Roman"/>
          <w:i/>
          <w:kern w:val="0"/>
          <w:lang w:val="lt-LT"/>
          <w14:ligatures w14:val="none"/>
        </w:rPr>
        <w:t>Complete Blood Count, CBC).</w:t>
      </w:r>
    </w:p>
    <w:p w14:paraId="5A03D33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
    <w:p w14:paraId="5FCAAF9C" w14:textId="3BF6BF85" w:rsidR="00992F19" w:rsidRPr="00A552D9" w:rsidRDefault="00583A15" w:rsidP="00583A15">
      <w:pPr>
        <w:widowControl w:val="0"/>
        <w:tabs>
          <w:tab w:val="left" w:pos="464"/>
        </w:tabs>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3. </w:t>
      </w:r>
      <w:r w:rsidR="00992F19" w:rsidRPr="00A552D9">
        <w:rPr>
          <w:rFonts w:ascii="Times New Roman" w:eastAsia="Times New Roman" w:hAnsi="Times New Roman" w:cs="Times New Roman"/>
          <w:b/>
          <w:bCs/>
          <w:kern w:val="0"/>
          <w:lang w:val="lt-LT"/>
          <w14:ligatures w14:val="none"/>
        </w:rPr>
        <w:t>lentelė. Pomalidomido dozės mažinimas</w:t>
      </w:r>
      <w:r w:rsidR="00992F19" w:rsidRPr="00A552D9">
        <w:rPr>
          <w:rFonts w:ascii="Times New Roman" w:eastAsia="Times New Roman" w:hAnsi="Times New Roman" w:cs="Times New Roman"/>
          <w:b/>
          <w:bCs/>
          <w:kern w:val="0"/>
          <w:vertAlign w:val="superscript"/>
          <w:lang w:val="lt-LT"/>
          <w14:ligatures w14:val="none"/>
        </w:rPr>
        <w:t>∞</w:t>
      </w:r>
    </w:p>
    <w:tbl>
      <w:tblPr>
        <w:tblW w:w="864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02"/>
        <w:gridCol w:w="5245"/>
      </w:tblGrid>
      <w:tr w:rsidR="00992F19" w:rsidRPr="00A552D9" w14:paraId="1BC96CB1" w14:textId="77777777" w:rsidTr="00583A15">
        <w:trPr>
          <w:trHeight w:val="20"/>
        </w:trPr>
        <w:tc>
          <w:tcPr>
            <w:tcW w:w="3402" w:type="dxa"/>
            <w:tcBorders>
              <w:bottom w:val="single" w:sz="4" w:space="0" w:color="auto"/>
            </w:tcBorders>
            <w:vAlign w:val="center"/>
          </w:tcPr>
          <w:p w14:paraId="7DBFCA36"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Dozės lygis</w:t>
            </w:r>
          </w:p>
        </w:tc>
        <w:tc>
          <w:tcPr>
            <w:tcW w:w="5245" w:type="dxa"/>
            <w:tcBorders>
              <w:bottom w:val="single" w:sz="4" w:space="0" w:color="auto"/>
            </w:tcBorders>
            <w:vAlign w:val="center"/>
          </w:tcPr>
          <w:p w14:paraId="41BD71F4"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Geriamoji pomalidomido dozė</w:t>
            </w:r>
          </w:p>
        </w:tc>
      </w:tr>
      <w:tr w:rsidR="00992F19" w:rsidRPr="00A552D9" w14:paraId="29E88BCE" w14:textId="77777777" w:rsidTr="00583A15">
        <w:trPr>
          <w:trHeight w:val="20"/>
        </w:trPr>
        <w:tc>
          <w:tcPr>
            <w:tcW w:w="3402" w:type="dxa"/>
            <w:tcBorders>
              <w:top w:val="single" w:sz="4" w:space="0" w:color="auto"/>
            </w:tcBorders>
            <w:vAlign w:val="center"/>
          </w:tcPr>
          <w:p w14:paraId="195B8DFB"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Pradinė dozė</w:t>
            </w:r>
          </w:p>
        </w:tc>
        <w:tc>
          <w:tcPr>
            <w:tcW w:w="5245" w:type="dxa"/>
            <w:tcBorders>
              <w:top w:val="single" w:sz="4" w:space="0" w:color="auto"/>
            </w:tcBorders>
            <w:vAlign w:val="center"/>
          </w:tcPr>
          <w:p w14:paraId="68629B31"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 mg</w:t>
            </w:r>
          </w:p>
        </w:tc>
      </w:tr>
      <w:tr w:rsidR="00992F19" w:rsidRPr="00A552D9" w14:paraId="6ECE8D03" w14:textId="77777777" w:rsidTr="005B5BF2">
        <w:trPr>
          <w:trHeight w:val="20"/>
        </w:trPr>
        <w:tc>
          <w:tcPr>
            <w:tcW w:w="3402" w:type="dxa"/>
            <w:vAlign w:val="center"/>
          </w:tcPr>
          <w:p w14:paraId="594831FB"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Dozės lygis -1</w:t>
            </w:r>
          </w:p>
        </w:tc>
        <w:tc>
          <w:tcPr>
            <w:tcW w:w="5245" w:type="dxa"/>
            <w:vAlign w:val="center"/>
          </w:tcPr>
          <w:p w14:paraId="41B24359"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 mg</w:t>
            </w:r>
          </w:p>
        </w:tc>
      </w:tr>
      <w:tr w:rsidR="00992F19" w:rsidRPr="00A552D9" w14:paraId="5454AF46" w14:textId="77777777" w:rsidTr="00EA1D13">
        <w:trPr>
          <w:trHeight w:val="20"/>
        </w:trPr>
        <w:tc>
          <w:tcPr>
            <w:tcW w:w="3402" w:type="dxa"/>
            <w:tcBorders>
              <w:bottom w:val="single" w:sz="4" w:space="0" w:color="000000"/>
            </w:tcBorders>
            <w:vAlign w:val="center"/>
          </w:tcPr>
          <w:p w14:paraId="0504AA93"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Dozės lygis -2</w:t>
            </w:r>
          </w:p>
        </w:tc>
        <w:tc>
          <w:tcPr>
            <w:tcW w:w="5245" w:type="dxa"/>
            <w:tcBorders>
              <w:bottom w:val="single" w:sz="4" w:space="0" w:color="000000"/>
            </w:tcBorders>
            <w:vAlign w:val="center"/>
          </w:tcPr>
          <w:p w14:paraId="1F106DE5"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 mg</w:t>
            </w:r>
          </w:p>
        </w:tc>
      </w:tr>
      <w:tr w:rsidR="00992F19" w:rsidRPr="00A552D9" w14:paraId="16008798" w14:textId="77777777" w:rsidTr="00EA1D13">
        <w:trPr>
          <w:trHeight w:val="20"/>
        </w:trPr>
        <w:tc>
          <w:tcPr>
            <w:tcW w:w="3402" w:type="dxa"/>
            <w:tcBorders>
              <w:top w:val="single" w:sz="4" w:space="0" w:color="000000"/>
              <w:bottom w:val="single" w:sz="4" w:space="0" w:color="auto"/>
            </w:tcBorders>
            <w:vAlign w:val="center"/>
          </w:tcPr>
          <w:p w14:paraId="4FD4FC67"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Dozės lygis -3</w:t>
            </w:r>
          </w:p>
        </w:tc>
        <w:tc>
          <w:tcPr>
            <w:tcW w:w="5245" w:type="dxa"/>
            <w:tcBorders>
              <w:top w:val="single" w:sz="4" w:space="0" w:color="000000"/>
              <w:bottom w:val="single" w:sz="4" w:space="0" w:color="auto"/>
            </w:tcBorders>
            <w:vAlign w:val="center"/>
          </w:tcPr>
          <w:p w14:paraId="38E3CB71"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 mg</w:t>
            </w:r>
          </w:p>
        </w:tc>
      </w:tr>
    </w:tbl>
    <w:p w14:paraId="2D5E8805" w14:textId="7074619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vertAlign w:val="superscript"/>
          <w:lang w:val="lt-LT"/>
          <w14:ligatures w14:val="none"/>
        </w:rPr>
        <w:t>∞</w:t>
      </w:r>
      <w:r w:rsidRPr="00A552D9">
        <w:rPr>
          <w:rFonts w:ascii="Times New Roman" w:eastAsia="Times New Roman" w:hAnsi="Times New Roman" w:cs="Times New Roman"/>
          <w:kern w:val="0"/>
          <w:lang w:val="lt-LT"/>
          <w14:ligatures w14:val="none"/>
        </w:rPr>
        <w:t>Dozės mažinimo nurodymai šioje lentelėje taikomi vartojant pomalidomid</w:t>
      </w:r>
      <w:r w:rsidR="0002517A">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kartu su bortezomibu ir deksametazonu</w:t>
      </w:r>
      <w:r w:rsidR="0002517A">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ir vartojant pomalidomid</w:t>
      </w:r>
      <w:r w:rsidR="0002517A">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kartu su deksametazonu.</w:t>
      </w:r>
    </w:p>
    <w:p w14:paraId="1E94EB5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214C2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 nepageidaujamos reakcijos pasireiškia sumažinus dozę iki 1 mg, gydymą reikia nutraukti. </w:t>
      </w:r>
    </w:p>
    <w:p w14:paraId="016C9E5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F04277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iCs/>
          <w:kern w:val="0"/>
          <w:lang w:val="lt-LT"/>
          <w14:ligatures w14:val="none"/>
        </w:rPr>
      </w:pPr>
      <w:r w:rsidRPr="00A552D9">
        <w:rPr>
          <w:rFonts w:ascii="Times New Roman" w:eastAsia="Times New Roman" w:hAnsi="Times New Roman" w:cs="Times New Roman"/>
          <w:i/>
          <w:iCs/>
          <w:kern w:val="0"/>
          <w:u w:val="single"/>
          <w:lang w:val="lt-LT"/>
          <w14:ligatures w14:val="none"/>
        </w:rPr>
        <w:lastRenderedPageBreak/>
        <w:t>Stiprūs CYP1A2 inhibitoriai</w:t>
      </w:r>
    </w:p>
    <w:p w14:paraId="1D6A8C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 stiprūs CYP1A2 inhibitoriai (pvz., ciprofloksacinas, enoksacinas ir fluvoksaminas) vartojami kartu su pomalidomidu, pomalidomido dozę reikia sumažinti 50 % (žr. 4.5 ir 5.2 skyrius).</w:t>
      </w:r>
    </w:p>
    <w:p w14:paraId="1BAC06E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190CFD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Bortezomibo dozės koregavimas arba laikinas vartojimo nutraukimas</w:t>
      </w:r>
    </w:p>
    <w:p w14:paraId="1B82266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Nurodymus, kaip laikinai nutraukti arba mažinti bortezomibo dozę pasireiškus su jo vartojimu susijusioms nepageidaujamoms reakcijoms, gydytojai turi žiūrėti bortezomibo preparato charakteristikų santraukoje (PCS).</w:t>
      </w:r>
    </w:p>
    <w:p w14:paraId="6B06FE5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658957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Deksametozano dozės koregavimas arba laikinas vartojimo nutraukimas</w:t>
      </w:r>
    </w:p>
    <w:p w14:paraId="0F6BD1A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Nurodymai, kaip laikinai nutraukti arba sumažinti dozę dėl su mažomis deksametazono dozėmis susijusių nepageidaujamų reakcijų, pateikiami 4 ir 5 lentelėse toliau. Tačiau sprendimą laikinai nutraukti arba atnaujinti dozės vartojimą priima gydytojas remdamasis preparato charakteristikų santrauka (PCS).</w:t>
      </w:r>
    </w:p>
    <w:p w14:paraId="3657979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95F491B" w14:textId="6CB37545" w:rsidR="00992F19" w:rsidRPr="00A552D9" w:rsidRDefault="00710903" w:rsidP="00710903">
      <w:pPr>
        <w:widowControl w:val="0"/>
        <w:tabs>
          <w:tab w:val="left" w:pos="464"/>
        </w:tabs>
        <w:autoSpaceDE w:val="0"/>
        <w:autoSpaceDN w:val="0"/>
        <w:spacing w:before="0" w:after="0" w:line="240" w:lineRule="auto"/>
        <w:ind w:right="2"/>
        <w:jc w:val="left"/>
        <w:outlineLvl w:val="0"/>
        <w:rPr>
          <w:rFonts w:ascii="Times New Roman" w:eastAsia="Times New Roman" w:hAnsi="Times New Roman" w:cs="Times New Roman"/>
          <w:bCs/>
          <w:kern w:val="0"/>
          <w:lang w:val="lt-LT"/>
          <w14:ligatures w14:val="none"/>
        </w:rPr>
      </w:pPr>
      <w:r w:rsidRPr="00A552D9">
        <w:rPr>
          <w:rFonts w:ascii="Times New Roman" w:eastAsia="Times New Roman" w:hAnsi="Times New Roman" w:cs="Times New Roman"/>
          <w:b/>
          <w:bCs/>
          <w:kern w:val="0"/>
          <w:lang w:val="lt-LT"/>
          <w14:ligatures w14:val="none"/>
        </w:rPr>
        <w:t xml:space="preserve">4. </w:t>
      </w:r>
      <w:r w:rsidR="00992F19" w:rsidRPr="00A552D9">
        <w:rPr>
          <w:rFonts w:ascii="Times New Roman" w:eastAsia="Times New Roman" w:hAnsi="Times New Roman" w:cs="Times New Roman"/>
          <w:b/>
          <w:bCs/>
          <w:kern w:val="0"/>
          <w:lang w:val="lt-LT"/>
          <w14:ligatures w14:val="none"/>
        </w:rPr>
        <w:t>lentelė. Deksametazono dozės koregavimo nurodymai</w:t>
      </w:r>
      <w:r w:rsidR="00992F19" w:rsidRPr="00A552D9">
        <w:rPr>
          <w:rFonts w:ascii="Times New Roman" w:eastAsia="Times New Roman" w:hAnsi="Times New Roman" w:cs="Times New Roman"/>
          <w:bCs/>
          <w:kern w:val="0"/>
          <w:lang w:val="lt-LT"/>
          <w14:ligatures w14:val="none"/>
        </w:rPr>
        <w:t xml:space="preserve"> </w:t>
      </w:r>
    </w:p>
    <w:tbl>
      <w:tblPr>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3310"/>
        <w:gridCol w:w="5762"/>
      </w:tblGrid>
      <w:tr w:rsidR="00992F19" w:rsidRPr="00A552D9" w14:paraId="5F9E5603" w14:textId="77777777" w:rsidTr="00710903">
        <w:trPr>
          <w:trHeight w:val="20"/>
        </w:trPr>
        <w:tc>
          <w:tcPr>
            <w:tcW w:w="3310" w:type="dxa"/>
            <w:tcBorders>
              <w:bottom w:val="single" w:sz="4" w:space="0" w:color="auto"/>
            </w:tcBorders>
            <w:vAlign w:val="center"/>
          </w:tcPr>
          <w:p w14:paraId="3784751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Toksinis poveikis</w:t>
            </w:r>
          </w:p>
        </w:tc>
        <w:tc>
          <w:tcPr>
            <w:tcW w:w="5762" w:type="dxa"/>
            <w:tcBorders>
              <w:bottom w:val="single" w:sz="4" w:space="0" w:color="auto"/>
            </w:tcBorders>
            <w:vAlign w:val="center"/>
          </w:tcPr>
          <w:p w14:paraId="6F8BC1F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Dozės koregavimas</w:t>
            </w:r>
          </w:p>
        </w:tc>
      </w:tr>
      <w:tr w:rsidR="00992F19" w:rsidRPr="00A552D9" w14:paraId="739EECAD" w14:textId="77777777" w:rsidTr="00710903">
        <w:trPr>
          <w:trHeight w:val="20"/>
        </w:trPr>
        <w:tc>
          <w:tcPr>
            <w:tcW w:w="3310" w:type="dxa"/>
            <w:tcBorders>
              <w:top w:val="single" w:sz="4" w:space="0" w:color="auto"/>
            </w:tcBorders>
            <w:vAlign w:val="center"/>
          </w:tcPr>
          <w:p w14:paraId="58568D0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1-2 laipsnio dispepsija</w:t>
            </w:r>
          </w:p>
        </w:tc>
        <w:tc>
          <w:tcPr>
            <w:tcW w:w="5762" w:type="dxa"/>
            <w:tcBorders>
              <w:top w:val="single" w:sz="4" w:space="0" w:color="auto"/>
            </w:tcBorders>
            <w:vAlign w:val="center"/>
          </w:tcPr>
          <w:p w14:paraId="0B6D1A8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Išlaikyti dozę ir gydyti histamino (H</w:t>
            </w:r>
            <w:r w:rsidRPr="00A552D9">
              <w:rPr>
                <w:rFonts w:ascii="Times New Roman" w:eastAsia="Times New Roman" w:hAnsi="Times New Roman" w:cs="Times New Roman"/>
                <w:kern w:val="0"/>
                <w:vertAlign w:val="subscript"/>
                <w:lang w:val="lt-LT"/>
                <w14:ligatures w14:val="none"/>
              </w:rPr>
              <w:t>2</w:t>
            </w:r>
            <w:r w:rsidRPr="00A552D9">
              <w:rPr>
                <w:rFonts w:ascii="Times New Roman" w:eastAsia="Times New Roman" w:hAnsi="Times New Roman" w:cs="Times New Roman"/>
                <w:kern w:val="0"/>
                <w:lang w:val="lt-LT"/>
                <w14:ligatures w14:val="none"/>
              </w:rPr>
              <w:t>) receptorių blokatoriais ar jiems ekvivalentiškais vaistiniais preparatais. Jei simptomai išlieka, sumažinti dozę vienu lygiu.</w:t>
            </w:r>
          </w:p>
        </w:tc>
      </w:tr>
      <w:tr w:rsidR="00992F19" w:rsidRPr="004D4255" w14:paraId="7A74ACB8" w14:textId="77777777" w:rsidTr="005B5BF2">
        <w:trPr>
          <w:trHeight w:val="20"/>
        </w:trPr>
        <w:tc>
          <w:tcPr>
            <w:tcW w:w="3310" w:type="dxa"/>
            <w:vAlign w:val="center"/>
          </w:tcPr>
          <w:p w14:paraId="32EAA7E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3 laipsnio dispepsija</w:t>
            </w:r>
          </w:p>
        </w:tc>
        <w:tc>
          <w:tcPr>
            <w:tcW w:w="5762" w:type="dxa"/>
            <w:vAlign w:val="center"/>
          </w:tcPr>
          <w:p w14:paraId="6F390B5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Laikinai nutraukti gydymą, kol simptomai taps kontroliuojami. Papildomai skirti H</w:t>
            </w:r>
            <w:r w:rsidRPr="00A552D9">
              <w:rPr>
                <w:rFonts w:ascii="Times New Roman" w:eastAsia="Times New Roman" w:hAnsi="Times New Roman" w:cs="Times New Roman"/>
                <w:kern w:val="0"/>
                <w:vertAlign w:val="subscript"/>
                <w:lang w:val="lt-LT"/>
                <w14:ligatures w14:val="none"/>
              </w:rPr>
              <w:t>2</w:t>
            </w:r>
            <w:r w:rsidRPr="00A552D9">
              <w:rPr>
                <w:rFonts w:ascii="Times New Roman" w:eastAsia="Times New Roman" w:hAnsi="Times New Roman" w:cs="Times New Roman"/>
                <w:kern w:val="0"/>
                <w:lang w:val="lt-LT"/>
                <w14:ligatures w14:val="none"/>
              </w:rPr>
              <w:t xml:space="preserve"> receptorių blokatoriaus ir vėl skirti vartoti, sumažinus ankstesnę dozę vienu lygiu.</w:t>
            </w:r>
          </w:p>
        </w:tc>
      </w:tr>
      <w:tr w:rsidR="00992F19" w:rsidRPr="004D4255" w14:paraId="2727CA19" w14:textId="77777777" w:rsidTr="005B5BF2">
        <w:trPr>
          <w:trHeight w:val="20"/>
        </w:trPr>
        <w:tc>
          <w:tcPr>
            <w:tcW w:w="3310" w:type="dxa"/>
            <w:vAlign w:val="center"/>
          </w:tcPr>
          <w:p w14:paraId="6912FDF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3 laipsnio edema</w:t>
            </w:r>
          </w:p>
        </w:tc>
        <w:tc>
          <w:tcPr>
            <w:tcW w:w="5762" w:type="dxa"/>
            <w:vAlign w:val="center"/>
          </w:tcPr>
          <w:p w14:paraId="18A5AE9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 reikia, vartoti diuretikų ir sumažinti dozę vienu lygiu.</w:t>
            </w:r>
          </w:p>
        </w:tc>
      </w:tr>
      <w:tr w:rsidR="00992F19" w:rsidRPr="004D4255" w14:paraId="74C2F3D0" w14:textId="77777777" w:rsidTr="005B5BF2">
        <w:trPr>
          <w:trHeight w:val="20"/>
        </w:trPr>
        <w:tc>
          <w:tcPr>
            <w:tcW w:w="3310" w:type="dxa"/>
            <w:vAlign w:val="center"/>
          </w:tcPr>
          <w:p w14:paraId="3C80E27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2 laipsnio sumišimas ir nuotaikų kaita</w:t>
            </w:r>
          </w:p>
        </w:tc>
        <w:tc>
          <w:tcPr>
            <w:tcW w:w="5762" w:type="dxa"/>
            <w:vAlign w:val="center"/>
          </w:tcPr>
          <w:p w14:paraId="377DEB9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Laikinai nutraukti gydymą, kol simptomai išnyks. Vėl skirti vartoti, sumažinus ankstesnę dozę vienu lygiu.</w:t>
            </w:r>
          </w:p>
        </w:tc>
      </w:tr>
      <w:tr w:rsidR="00992F19" w:rsidRPr="00A552D9" w14:paraId="5F3E1DCE" w14:textId="77777777" w:rsidTr="005B5BF2">
        <w:trPr>
          <w:trHeight w:val="20"/>
        </w:trPr>
        <w:tc>
          <w:tcPr>
            <w:tcW w:w="3310" w:type="dxa"/>
            <w:vAlign w:val="center"/>
          </w:tcPr>
          <w:p w14:paraId="7610601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2 laipsnio raumenų silpnumas</w:t>
            </w:r>
          </w:p>
        </w:tc>
        <w:tc>
          <w:tcPr>
            <w:tcW w:w="5762" w:type="dxa"/>
            <w:vAlign w:val="center"/>
          </w:tcPr>
          <w:p w14:paraId="6D43DB3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Laikinai nutraukti gydymą, kol raumenų silpnumas bus ≤ 1 laipsnio. Vėl skirti vartoti, sumažinus ankstesnę dozę vienu lygiu.</w:t>
            </w:r>
          </w:p>
        </w:tc>
      </w:tr>
      <w:tr w:rsidR="00992F19" w:rsidRPr="004D4255" w14:paraId="177379BD" w14:textId="77777777" w:rsidTr="00EE335B">
        <w:trPr>
          <w:trHeight w:val="20"/>
        </w:trPr>
        <w:tc>
          <w:tcPr>
            <w:tcW w:w="3310" w:type="dxa"/>
            <w:tcBorders>
              <w:bottom w:val="single" w:sz="6" w:space="0" w:color="000000"/>
            </w:tcBorders>
            <w:vAlign w:val="center"/>
          </w:tcPr>
          <w:p w14:paraId="6D0A4AA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3 laipsnio hiperglikemija</w:t>
            </w:r>
          </w:p>
        </w:tc>
        <w:tc>
          <w:tcPr>
            <w:tcW w:w="5762" w:type="dxa"/>
            <w:tcBorders>
              <w:bottom w:val="single" w:sz="6" w:space="0" w:color="000000"/>
            </w:tcBorders>
            <w:vAlign w:val="center"/>
          </w:tcPr>
          <w:p w14:paraId="3EDF4C00" w14:textId="3BD2089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Sumažinti dozę vienu lygiu. Jei reikia, gydyti insulinu arba geriamaisiais gliukozės </w:t>
            </w:r>
            <w:r w:rsidR="002C50E4">
              <w:rPr>
                <w:rFonts w:ascii="Times New Roman" w:eastAsia="Times New Roman" w:hAnsi="Times New Roman" w:cs="Times New Roman"/>
                <w:kern w:val="0"/>
                <w:lang w:val="lt-LT"/>
                <w14:ligatures w14:val="none"/>
              </w:rPr>
              <w:t>koncentraciją</w:t>
            </w:r>
            <w:r w:rsidR="002C50E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mažinančiais vaistiniais preparatais.</w:t>
            </w:r>
          </w:p>
        </w:tc>
      </w:tr>
      <w:tr w:rsidR="00992F19" w:rsidRPr="00A552D9" w14:paraId="5F33CB57" w14:textId="77777777" w:rsidTr="00EE335B">
        <w:trPr>
          <w:trHeight w:val="20"/>
        </w:trPr>
        <w:tc>
          <w:tcPr>
            <w:tcW w:w="3310" w:type="dxa"/>
            <w:tcBorders>
              <w:bottom w:val="single" w:sz="4" w:space="0" w:color="auto"/>
            </w:tcBorders>
            <w:vAlign w:val="center"/>
          </w:tcPr>
          <w:p w14:paraId="4412040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Ūminis pankreatitas</w:t>
            </w:r>
          </w:p>
        </w:tc>
        <w:tc>
          <w:tcPr>
            <w:tcW w:w="5762" w:type="dxa"/>
            <w:tcBorders>
              <w:bottom w:val="single" w:sz="4" w:space="0" w:color="auto"/>
            </w:tcBorders>
            <w:vAlign w:val="center"/>
          </w:tcPr>
          <w:p w14:paraId="0232500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Nutraukti gydymo deksametazonu kursą.</w:t>
            </w:r>
          </w:p>
        </w:tc>
      </w:tr>
      <w:tr w:rsidR="00992F19" w:rsidRPr="00A552D9" w14:paraId="5634BA92" w14:textId="77777777" w:rsidTr="00EE335B">
        <w:trPr>
          <w:trHeight w:val="20"/>
        </w:trPr>
        <w:tc>
          <w:tcPr>
            <w:tcW w:w="3310" w:type="dxa"/>
            <w:tcBorders>
              <w:top w:val="single" w:sz="4" w:space="0" w:color="auto"/>
              <w:bottom w:val="single" w:sz="4" w:space="0" w:color="auto"/>
            </w:tcBorders>
            <w:vAlign w:val="center"/>
          </w:tcPr>
          <w:p w14:paraId="610CC36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Kitos ≥ 3 laipsnio su deksametazonu susijusios nepageidaujamos reakcijos</w:t>
            </w:r>
          </w:p>
        </w:tc>
        <w:tc>
          <w:tcPr>
            <w:tcW w:w="5762" w:type="dxa"/>
            <w:tcBorders>
              <w:top w:val="single" w:sz="4" w:space="0" w:color="auto"/>
              <w:bottom w:val="single" w:sz="4" w:space="0" w:color="auto"/>
            </w:tcBorders>
            <w:vAlign w:val="center"/>
          </w:tcPr>
          <w:p w14:paraId="41B19F3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Nutraukti gydymą deksametazonu, kol nepageidaujama reakcija sumažės iki ≤ 2 laipsnio. Vėl skirti vartoti, sumažinus ankstesnę dozę vienu lygiu.</w:t>
            </w:r>
          </w:p>
        </w:tc>
      </w:tr>
    </w:tbl>
    <w:p w14:paraId="3FE64D7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137246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 toksinis poveikis išlieka ilgiau nei 14 dienų, deksametazono dozė bus vėl skirta, sumažinus ankstesnę dozę vienu lygiu.</w:t>
      </w:r>
    </w:p>
    <w:p w14:paraId="14BB8928" w14:textId="77777777" w:rsidR="00A15763" w:rsidRPr="00A552D9" w:rsidRDefault="00A15763" w:rsidP="00A15763">
      <w:pPr>
        <w:widowControl w:val="0"/>
        <w:tabs>
          <w:tab w:val="left" w:pos="464"/>
        </w:tabs>
        <w:autoSpaceDE w:val="0"/>
        <w:autoSpaceDN w:val="0"/>
        <w:spacing w:before="0" w:after="0" w:line="240" w:lineRule="auto"/>
        <w:ind w:right="2"/>
        <w:jc w:val="left"/>
        <w:outlineLvl w:val="0"/>
        <w:rPr>
          <w:rFonts w:ascii="Times New Roman" w:eastAsia="Times New Roman" w:hAnsi="Times New Roman" w:cs="Times New Roman"/>
          <w:kern w:val="0"/>
          <w:lang w:val="lt-LT"/>
          <w14:ligatures w14:val="none"/>
        </w:rPr>
      </w:pPr>
    </w:p>
    <w:p w14:paraId="0592059F" w14:textId="20034468" w:rsidR="00992F19" w:rsidRPr="00A552D9" w:rsidRDefault="00A15763" w:rsidP="00A15763">
      <w:pPr>
        <w:widowControl w:val="0"/>
        <w:tabs>
          <w:tab w:val="left" w:pos="464"/>
        </w:tabs>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5. </w:t>
      </w:r>
      <w:r w:rsidR="00992F19" w:rsidRPr="00A552D9">
        <w:rPr>
          <w:rFonts w:ascii="Times New Roman" w:eastAsia="Times New Roman" w:hAnsi="Times New Roman" w:cs="Times New Roman"/>
          <w:b/>
          <w:bCs/>
          <w:kern w:val="0"/>
          <w:lang w:val="lt-LT"/>
          <w14:ligatures w14:val="none"/>
        </w:rPr>
        <w:t>lentelė. Deksametazono dozės mažinimas</w:t>
      </w:r>
    </w:p>
    <w:tbl>
      <w:tblPr>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1620"/>
        <w:gridCol w:w="3674"/>
        <w:gridCol w:w="3778"/>
      </w:tblGrid>
      <w:tr w:rsidR="00992F19" w:rsidRPr="004D4255" w14:paraId="4C6776A5" w14:textId="77777777" w:rsidTr="00A15763">
        <w:trPr>
          <w:trHeight w:val="20"/>
        </w:trPr>
        <w:tc>
          <w:tcPr>
            <w:tcW w:w="1620" w:type="dxa"/>
            <w:tcBorders>
              <w:bottom w:val="single" w:sz="4" w:space="0" w:color="auto"/>
            </w:tcBorders>
          </w:tcPr>
          <w:p w14:paraId="4DEE5FC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Dozės lygis</w:t>
            </w:r>
          </w:p>
        </w:tc>
        <w:tc>
          <w:tcPr>
            <w:tcW w:w="3674" w:type="dxa"/>
            <w:tcBorders>
              <w:bottom w:val="single" w:sz="4" w:space="0" w:color="auto"/>
            </w:tcBorders>
          </w:tcPr>
          <w:p w14:paraId="4CDE40C5"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75</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metų</w:t>
            </w:r>
          </w:p>
          <w:p w14:paraId="0567A4BB"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Dozė (1-8 ciklas: 1, 2, 4, 5, 8, 9, 11, 12 kiekvieno 21 dienos gydymo ciklo dienas</w:t>
            </w:r>
          </w:p>
          <w:p w14:paraId="74274145"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 9 ciklas: 1, 2, 8, 9 kiekvieno 21 dienos gydymo ciklo dienas)</w:t>
            </w:r>
          </w:p>
        </w:tc>
        <w:tc>
          <w:tcPr>
            <w:tcW w:w="3778" w:type="dxa"/>
            <w:tcBorders>
              <w:bottom w:val="single" w:sz="4" w:space="0" w:color="auto"/>
            </w:tcBorders>
          </w:tcPr>
          <w:p w14:paraId="20FFDBC5" w14:textId="77777777" w:rsidR="00992F19" w:rsidRPr="00A552D9" w:rsidRDefault="00992F19" w:rsidP="00992F19">
            <w:pPr>
              <w:widowControl w:val="0"/>
              <w:tabs>
                <w:tab w:val="left" w:pos="1603"/>
              </w:tabs>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&gt;</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75</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metų</w:t>
            </w:r>
          </w:p>
          <w:p w14:paraId="129ED708"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Dozė (1-8 ciklas: 1, 2, 4, 5, 8, 9, 11, 12 kiekvieno 21 dienos gydymo ciklo dienas</w:t>
            </w:r>
          </w:p>
          <w:p w14:paraId="72AC05CD"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 9 ciklas: 1, 2, 8, 9 kiekvieno 21 dienos gydymo ciklo dienas)</w:t>
            </w:r>
          </w:p>
        </w:tc>
      </w:tr>
      <w:tr w:rsidR="00992F19" w:rsidRPr="00A552D9" w14:paraId="5D16F07D" w14:textId="77777777" w:rsidTr="00A15763">
        <w:trPr>
          <w:trHeight w:val="20"/>
        </w:trPr>
        <w:tc>
          <w:tcPr>
            <w:tcW w:w="1620" w:type="dxa"/>
            <w:tcBorders>
              <w:top w:val="single" w:sz="4" w:space="0" w:color="auto"/>
            </w:tcBorders>
          </w:tcPr>
          <w:p w14:paraId="383F647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Pradinė dozė</w:t>
            </w:r>
          </w:p>
        </w:tc>
        <w:tc>
          <w:tcPr>
            <w:tcW w:w="3674" w:type="dxa"/>
            <w:tcBorders>
              <w:top w:val="single" w:sz="4" w:space="0" w:color="auto"/>
            </w:tcBorders>
          </w:tcPr>
          <w:p w14:paraId="72FD2E58"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 mg</w:t>
            </w:r>
          </w:p>
        </w:tc>
        <w:tc>
          <w:tcPr>
            <w:tcW w:w="3778" w:type="dxa"/>
            <w:tcBorders>
              <w:top w:val="single" w:sz="4" w:space="0" w:color="auto"/>
            </w:tcBorders>
          </w:tcPr>
          <w:p w14:paraId="75E7EA5D"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 mg</w:t>
            </w:r>
          </w:p>
        </w:tc>
      </w:tr>
      <w:tr w:rsidR="00992F19" w:rsidRPr="00A552D9" w14:paraId="50482612" w14:textId="77777777" w:rsidTr="00A15763">
        <w:trPr>
          <w:trHeight w:val="20"/>
        </w:trPr>
        <w:tc>
          <w:tcPr>
            <w:tcW w:w="1620" w:type="dxa"/>
            <w:tcBorders>
              <w:bottom w:val="single" w:sz="6" w:space="0" w:color="000000"/>
            </w:tcBorders>
          </w:tcPr>
          <w:p w14:paraId="5414CB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Dozės lygis -1</w:t>
            </w:r>
          </w:p>
        </w:tc>
        <w:tc>
          <w:tcPr>
            <w:tcW w:w="3674" w:type="dxa"/>
            <w:tcBorders>
              <w:bottom w:val="single" w:sz="6" w:space="0" w:color="000000"/>
            </w:tcBorders>
          </w:tcPr>
          <w:p w14:paraId="3CC5EF94"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12 mg</w:t>
            </w:r>
          </w:p>
        </w:tc>
        <w:tc>
          <w:tcPr>
            <w:tcW w:w="3778" w:type="dxa"/>
            <w:tcBorders>
              <w:bottom w:val="single" w:sz="6" w:space="0" w:color="000000"/>
            </w:tcBorders>
          </w:tcPr>
          <w:p w14:paraId="1084C361"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6 mg</w:t>
            </w:r>
          </w:p>
        </w:tc>
      </w:tr>
      <w:tr w:rsidR="00992F19" w:rsidRPr="00A552D9" w14:paraId="7D6EE53E" w14:textId="77777777" w:rsidTr="00A15763">
        <w:trPr>
          <w:trHeight w:val="20"/>
        </w:trPr>
        <w:tc>
          <w:tcPr>
            <w:tcW w:w="1620" w:type="dxa"/>
            <w:tcBorders>
              <w:bottom w:val="single" w:sz="4" w:space="0" w:color="auto"/>
            </w:tcBorders>
          </w:tcPr>
          <w:p w14:paraId="7AE9657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Dozės lygis -2</w:t>
            </w:r>
          </w:p>
        </w:tc>
        <w:tc>
          <w:tcPr>
            <w:tcW w:w="3674" w:type="dxa"/>
            <w:tcBorders>
              <w:bottom w:val="single" w:sz="4" w:space="0" w:color="auto"/>
            </w:tcBorders>
          </w:tcPr>
          <w:p w14:paraId="66E679C5"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 mg</w:t>
            </w:r>
          </w:p>
        </w:tc>
        <w:tc>
          <w:tcPr>
            <w:tcW w:w="3778" w:type="dxa"/>
            <w:tcBorders>
              <w:bottom w:val="single" w:sz="4" w:space="0" w:color="auto"/>
            </w:tcBorders>
          </w:tcPr>
          <w:p w14:paraId="32DA5801"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 mg</w:t>
            </w:r>
          </w:p>
        </w:tc>
      </w:tr>
    </w:tbl>
    <w:p w14:paraId="225D754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76692B7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Deksametazono vartojimą reikia nutraukti, jeigu ≤ 75 metų pacientas netoleruoja 8 mg arba </w:t>
      </w:r>
      <w:r w:rsidRPr="00A552D9">
        <w:rPr>
          <w:rFonts w:ascii="Times New Roman" w:eastAsia="Times New Roman" w:hAnsi="Times New Roman" w:cs="Times New Roman"/>
          <w:b/>
          <w:kern w:val="0"/>
          <w:lang w:val="lt-LT"/>
          <w14:ligatures w14:val="none"/>
        </w:rPr>
        <w:t>&gt;</w:t>
      </w:r>
      <w:r w:rsidRPr="00A552D9">
        <w:rPr>
          <w:rFonts w:ascii="Times New Roman" w:eastAsia="Times New Roman" w:hAnsi="Times New Roman" w:cs="Times New Roman"/>
          <w:kern w:val="0"/>
          <w:lang w:val="lt-LT"/>
          <w14:ligatures w14:val="none"/>
        </w:rPr>
        <w:t> 75 metų pacientas netoleruoja 4 mg.</w:t>
      </w:r>
    </w:p>
    <w:p w14:paraId="3BB4513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F9B6EB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bet kurio gydymo kurso komponento vartojimas visiškai nutraukiamas, likusių vaistinių preparatų vartojimas tęsiamas gydytojo nuožiūra.</w:t>
      </w:r>
    </w:p>
    <w:p w14:paraId="58F21E0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B76759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Pomalidomidas kartu su deksametazonu</w:t>
      </w:r>
    </w:p>
    <w:p w14:paraId="6A8AF30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Rekomenduojama pradinė pomalidomido dozė yra 4 mg, vartojama per burną, vieną kartą per parą nuo 1 iki 21 kiekvieno 28 dienų gydymo ciklo dienos.</w:t>
      </w:r>
    </w:p>
    <w:p w14:paraId="6F9A626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0BEFEB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Rekomenduojama deksametazono dozė yra 40 mg, vartojama per burną, vieną kartą per parą 1, 8, 15 ir 22 kiekvieno 28 dienų ciklo dienas.</w:t>
      </w:r>
    </w:p>
    <w:p w14:paraId="0A3E639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67E3DD1" w14:textId="4420E36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Gydymas pomalidomidu kartu su deksametazonu turi būti skiriamas iki ligos progresavimo arba </w:t>
      </w:r>
      <w:r w:rsidR="00CC56FB">
        <w:rPr>
          <w:rFonts w:ascii="Times New Roman" w:eastAsia="Times New Roman" w:hAnsi="Times New Roman" w:cs="Times New Roman"/>
          <w:kern w:val="0"/>
          <w:lang w:val="lt-LT"/>
          <w14:ligatures w14:val="none"/>
        </w:rPr>
        <w:t>nepageidaujamo</w:t>
      </w:r>
      <w:r w:rsidR="00CC56FB"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toksinio poveikio pasireiškimo.</w:t>
      </w:r>
    </w:p>
    <w:p w14:paraId="04163EB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4719AE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Pomalidomido dozės koregavimas arba laikinas vartojimo nutraukimas</w:t>
      </w:r>
    </w:p>
    <w:p w14:paraId="755032E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Nurodymai, kaip laikinai nutraukti ar sumažinti dozę dėl su pomalidomidu susijusių nepageidaujamų reakcijų, pateikiami 2 ir 3 lentelėse.</w:t>
      </w:r>
    </w:p>
    <w:p w14:paraId="20BDE7D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073086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Deksametozano dozės koregavimas arba vartojimo nutraukimas</w:t>
      </w:r>
    </w:p>
    <w:p w14:paraId="481547B5" w14:textId="59DCC27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Nurodymai, kaip koreguoti dozę pasireiškus su deksometazonu susijusioms nepageidaujamoms reakcijoms, pateikiami 4 lentelėje. Nurodymai, kaip mažinti dozę pasireiškus su deksametazono vartojimu susijusioms nepageidaujamoms reakcijoms, pateikiami toliau 6 lentelėje. Tačiau sprendimą laikinai nutraukti ar vėl pradėti vartoti vaistinį preparatą priima gydytojas remdamasis preparato charakteristikų santrauka (PCS).</w:t>
      </w:r>
    </w:p>
    <w:p w14:paraId="736CB5C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C85A680" w14:textId="078AA399" w:rsidR="00992F19" w:rsidRPr="00A552D9" w:rsidRDefault="006B193A" w:rsidP="006B193A">
      <w:pPr>
        <w:widowControl w:val="0"/>
        <w:tabs>
          <w:tab w:val="left" w:pos="464"/>
        </w:tabs>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6. </w:t>
      </w:r>
      <w:r w:rsidR="00992F19" w:rsidRPr="00A552D9">
        <w:rPr>
          <w:rFonts w:ascii="Times New Roman" w:eastAsia="Times New Roman" w:hAnsi="Times New Roman" w:cs="Times New Roman"/>
          <w:b/>
          <w:bCs/>
          <w:kern w:val="0"/>
          <w:lang w:val="lt-LT"/>
          <w14:ligatures w14:val="none"/>
        </w:rPr>
        <w:t>lentelė. Deksametazono dozės mažinimas</w:t>
      </w:r>
    </w:p>
    <w:tbl>
      <w:tblPr>
        <w:tblW w:w="946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1728"/>
        <w:gridCol w:w="3960"/>
        <w:gridCol w:w="3780"/>
      </w:tblGrid>
      <w:tr w:rsidR="00992F19" w:rsidRPr="004D4255" w14:paraId="3450EC0D" w14:textId="77777777" w:rsidTr="006B193A">
        <w:trPr>
          <w:trHeight w:val="20"/>
        </w:trPr>
        <w:tc>
          <w:tcPr>
            <w:tcW w:w="1728" w:type="dxa"/>
            <w:tcBorders>
              <w:bottom w:val="single" w:sz="4" w:space="0" w:color="auto"/>
            </w:tcBorders>
            <w:vAlign w:val="center"/>
          </w:tcPr>
          <w:p w14:paraId="1E5139D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2D25CA6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Dozės lygis</w:t>
            </w:r>
          </w:p>
        </w:tc>
        <w:tc>
          <w:tcPr>
            <w:tcW w:w="3960" w:type="dxa"/>
            <w:tcBorders>
              <w:bottom w:val="single" w:sz="4" w:space="0" w:color="auto"/>
            </w:tcBorders>
            <w:vAlign w:val="center"/>
          </w:tcPr>
          <w:p w14:paraId="1DD363BC"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75</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metų</w:t>
            </w:r>
          </w:p>
          <w:p w14:paraId="51A5D63F"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1, 8, 15 ir 22 kiekvieno 28 dienų ciklo dienas</w:t>
            </w:r>
          </w:p>
        </w:tc>
        <w:tc>
          <w:tcPr>
            <w:tcW w:w="3780" w:type="dxa"/>
            <w:tcBorders>
              <w:bottom w:val="single" w:sz="4" w:space="0" w:color="auto"/>
            </w:tcBorders>
            <w:vAlign w:val="center"/>
          </w:tcPr>
          <w:p w14:paraId="62191C81" w14:textId="77777777" w:rsidR="00992F19" w:rsidRPr="00A552D9" w:rsidRDefault="00992F19" w:rsidP="00992F19">
            <w:pPr>
              <w:widowControl w:val="0"/>
              <w:tabs>
                <w:tab w:val="left" w:pos="1603"/>
              </w:tabs>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&gt;</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75</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metų</w:t>
            </w:r>
          </w:p>
          <w:p w14:paraId="78677719"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1, 8, 15 ir 22 kiekvieno 28 dienų ciklo dienas</w:t>
            </w:r>
          </w:p>
        </w:tc>
      </w:tr>
      <w:tr w:rsidR="00992F19" w:rsidRPr="00A552D9" w14:paraId="48B07B64" w14:textId="77777777" w:rsidTr="006B193A">
        <w:trPr>
          <w:trHeight w:val="20"/>
        </w:trPr>
        <w:tc>
          <w:tcPr>
            <w:tcW w:w="1728" w:type="dxa"/>
            <w:tcBorders>
              <w:top w:val="single" w:sz="4" w:space="0" w:color="auto"/>
            </w:tcBorders>
            <w:vAlign w:val="center"/>
          </w:tcPr>
          <w:p w14:paraId="1F7C6CD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Pradinė dozė</w:t>
            </w:r>
          </w:p>
        </w:tc>
        <w:tc>
          <w:tcPr>
            <w:tcW w:w="3960" w:type="dxa"/>
            <w:tcBorders>
              <w:top w:val="single" w:sz="4" w:space="0" w:color="auto"/>
            </w:tcBorders>
            <w:vAlign w:val="center"/>
          </w:tcPr>
          <w:p w14:paraId="03683DD7"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40 mg</w:t>
            </w:r>
          </w:p>
        </w:tc>
        <w:tc>
          <w:tcPr>
            <w:tcW w:w="3780" w:type="dxa"/>
            <w:tcBorders>
              <w:top w:val="single" w:sz="4" w:space="0" w:color="auto"/>
            </w:tcBorders>
            <w:vAlign w:val="center"/>
          </w:tcPr>
          <w:p w14:paraId="51190A64"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 mg</w:t>
            </w:r>
          </w:p>
        </w:tc>
      </w:tr>
      <w:tr w:rsidR="00992F19" w:rsidRPr="00A552D9" w14:paraId="38A3E3AC" w14:textId="77777777" w:rsidTr="00A552D9">
        <w:trPr>
          <w:trHeight w:val="20"/>
        </w:trPr>
        <w:tc>
          <w:tcPr>
            <w:tcW w:w="1728" w:type="dxa"/>
            <w:tcBorders>
              <w:bottom w:val="single" w:sz="4" w:space="0" w:color="auto"/>
            </w:tcBorders>
            <w:vAlign w:val="center"/>
          </w:tcPr>
          <w:p w14:paraId="357A75B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Dozės lygis -1</w:t>
            </w:r>
          </w:p>
        </w:tc>
        <w:tc>
          <w:tcPr>
            <w:tcW w:w="3960" w:type="dxa"/>
            <w:tcBorders>
              <w:bottom w:val="single" w:sz="4" w:space="0" w:color="auto"/>
            </w:tcBorders>
            <w:vAlign w:val="center"/>
          </w:tcPr>
          <w:p w14:paraId="36036EEF"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 mg</w:t>
            </w:r>
          </w:p>
        </w:tc>
        <w:tc>
          <w:tcPr>
            <w:tcW w:w="3780" w:type="dxa"/>
            <w:tcBorders>
              <w:bottom w:val="single" w:sz="4" w:space="0" w:color="auto"/>
            </w:tcBorders>
            <w:vAlign w:val="center"/>
          </w:tcPr>
          <w:p w14:paraId="3CC3A529"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12 mg</w:t>
            </w:r>
          </w:p>
        </w:tc>
      </w:tr>
      <w:tr w:rsidR="00992F19" w:rsidRPr="00A552D9" w14:paraId="1DF84FC5" w14:textId="77777777" w:rsidTr="00A552D9">
        <w:trPr>
          <w:trHeight w:val="20"/>
        </w:trPr>
        <w:tc>
          <w:tcPr>
            <w:tcW w:w="1728" w:type="dxa"/>
            <w:tcBorders>
              <w:top w:val="single" w:sz="4" w:space="0" w:color="auto"/>
              <w:left w:val="single" w:sz="4" w:space="0" w:color="auto"/>
              <w:bottom w:val="single" w:sz="4" w:space="0" w:color="auto"/>
              <w:right w:val="single" w:sz="4" w:space="0" w:color="auto"/>
            </w:tcBorders>
            <w:vAlign w:val="center"/>
          </w:tcPr>
          <w:p w14:paraId="026205C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Dozės lygis -2</w:t>
            </w:r>
          </w:p>
        </w:tc>
        <w:tc>
          <w:tcPr>
            <w:tcW w:w="3960" w:type="dxa"/>
            <w:tcBorders>
              <w:top w:val="single" w:sz="4" w:space="0" w:color="auto"/>
              <w:left w:val="single" w:sz="4" w:space="0" w:color="auto"/>
              <w:bottom w:val="single" w:sz="4" w:space="0" w:color="auto"/>
              <w:right w:val="single" w:sz="4" w:space="0" w:color="auto"/>
            </w:tcBorders>
            <w:vAlign w:val="center"/>
          </w:tcPr>
          <w:p w14:paraId="0584FB17"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 mg</w:t>
            </w:r>
          </w:p>
        </w:tc>
        <w:tc>
          <w:tcPr>
            <w:tcW w:w="3780" w:type="dxa"/>
            <w:tcBorders>
              <w:top w:val="single" w:sz="4" w:space="0" w:color="auto"/>
              <w:left w:val="single" w:sz="4" w:space="0" w:color="auto"/>
              <w:bottom w:val="single" w:sz="4" w:space="0" w:color="auto"/>
              <w:right w:val="single" w:sz="4" w:space="0" w:color="auto"/>
            </w:tcBorders>
            <w:vAlign w:val="center"/>
          </w:tcPr>
          <w:p w14:paraId="59A159A1" w14:textId="0FAA2E65" w:rsidR="00A552D9" w:rsidRPr="00A552D9" w:rsidRDefault="00992F19" w:rsidP="00A552D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 mg</w:t>
            </w:r>
          </w:p>
        </w:tc>
      </w:tr>
    </w:tbl>
    <w:p w14:paraId="5A18FE6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0BE473F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Deksametazono vartojimą reikia nutraukti, jeigu ≤ 75 metų pacientas netoleruoja 10 mg arba </w:t>
      </w:r>
      <w:r w:rsidRPr="00A552D9">
        <w:rPr>
          <w:rFonts w:ascii="Times New Roman" w:eastAsia="Times New Roman" w:hAnsi="Times New Roman" w:cs="Times New Roman"/>
          <w:b/>
          <w:kern w:val="0"/>
          <w:lang w:val="lt-LT"/>
          <w14:ligatures w14:val="none"/>
        </w:rPr>
        <w:t>&gt;</w:t>
      </w:r>
      <w:r w:rsidRPr="00A552D9">
        <w:rPr>
          <w:rFonts w:ascii="Times New Roman" w:eastAsia="Times New Roman" w:hAnsi="Times New Roman" w:cs="Times New Roman"/>
          <w:kern w:val="0"/>
          <w:lang w:val="lt-LT"/>
          <w14:ligatures w14:val="none"/>
        </w:rPr>
        <w:t> 75 metų pacientas netoleruoja 8 mg.</w:t>
      </w:r>
    </w:p>
    <w:p w14:paraId="564257B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A2C31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Ypatingos populiacijos</w:t>
      </w:r>
    </w:p>
    <w:p w14:paraId="1C738E1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81E974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Senyviems pacientams</w:t>
      </w:r>
    </w:p>
    <w:p w14:paraId="689DEB2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Pomalidomido dozės koreguoti nereikia.</w:t>
      </w:r>
    </w:p>
    <w:p w14:paraId="0D536D7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49B6BC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Pomalidomidas kartu su bortezomibu ir deksametazonu</w:t>
      </w:r>
    </w:p>
    <w:p w14:paraId="6983CE8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&gt;</w:t>
      </w:r>
      <w:r w:rsidRPr="00A552D9">
        <w:rPr>
          <w:rFonts w:ascii="Times New Roman" w:eastAsia="Times New Roman" w:hAnsi="Times New Roman" w:cs="Times New Roman"/>
          <w:kern w:val="0"/>
          <w:lang w:val="lt-LT"/>
          <w14:ligatures w14:val="none"/>
        </w:rPr>
        <w:t> 75 metų pacientams rekomenduojama pradinė deksametazono dozė yra:</w:t>
      </w:r>
    </w:p>
    <w:p w14:paraId="0096BADB" w14:textId="77777777" w:rsidR="00992F19" w:rsidRPr="00A552D9" w:rsidRDefault="00992F19" w:rsidP="001E4AC5">
      <w:pPr>
        <w:widowControl w:val="0"/>
        <w:numPr>
          <w:ilvl w:val="0"/>
          <w:numId w:val="11"/>
        </w:numPr>
        <w:tabs>
          <w:tab w:val="left" w:pos="865"/>
          <w:tab w:val="left" w:pos="866"/>
        </w:tabs>
        <w:autoSpaceDE w:val="0"/>
        <w:autoSpaceDN w:val="0"/>
        <w:spacing w:before="0" w:after="0" w:line="240" w:lineRule="auto"/>
        <w:ind w:left="567"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nuo 1 iki 8 ciklo: 10 mg vieną kartą per parą 1, 2, 4, 5, 8, 9, 11 ir 12 kiekvieno 21 dienos ciklo dieną;</w:t>
      </w:r>
    </w:p>
    <w:p w14:paraId="318B24AC" w14:textId="77777777" w:rsidR="00992F19" w:rsidRPr="00A552D9" w:rsidRDefault="00992F19" w:rsidP="001E4AC5">
      <w:pPr>
        <w:widowControl w:val="0"/>
        <w:numPr>
          <w:ilvl w:val="0"/>
          <w:numId w:val="11"/>
        </w:numPr>
        <w:tabs>
          <w:tab w:val="left" w:pos="865"/>
          <w:tab w:val="left" w:pos="866"/>
        </w:tabs>
        <w:autoSpaceDE w:val="0"/>
        <w:autoSpaceDN w:val="0"/>
        <w:spacing w:before="0" w:after="0" w:line="240" w:lineRule="auto"/>
        <w:ind w:left="567"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nuo 9 ciklo: 10 mg vieną kartą per parą 1, 2, 8 ir 9 kiekvieno 21 dienos ciklo dieną.</w:t>
      </w:r>
    </w:p>
    <w:p w14:paraId="420AAE6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ED19B8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Pomalidomidas kartu su deksametazonu</w:t>
      </w:r>
    </w:p>
    <w:p w14:paraId="3A48F7DE" w14:textId="77777777" w:rsidR="00992F19" w:rsidRPr="00A552D9" w:rsidRDefault="00992F19" w:rsidP="00992F19">
      <w:pPr>
        <w:widowControl w:val="0"/>
        <w:tabs>
          <w:tab w:val="left" w:pos="478"/>
        </w:tabs>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i/>
          <w:kern w:val="0"/>
          <w:lang w:val="lt-LT"/>
          <w14:ligatures w14:val="none"/>
        </w:rPr>
        <w:t>&gt;</w:t>
      </w:r>
      <w:r w:rsidRPr="00A552D9">
        <w:rPr>
          <w:rFonts w:ascii="Times New Roman" w:eastAsia="Times New Roman" w:hAnsi="Times New Roman" w:cs="Times New Roman"/>
          <w:kern w:val="0"/>
          <w:lang w:val="lt-LT"/>
          <w14:ligatures w14:val="none"/>
        </w:rPr>
        <w:t> 75 metų pacientams pradinė deksametazono dozė yra:</w:t>
      </w:r>
    </w:p>
    <w:p w14:paraId="1C59C75B" w14:textId="77777777" w:rsidR="00992F19" w:rsidRPr="00A552D9" w:rsidRDefault="00992F19" w:rsidP="001E4AC5">
      <w:pPr>
        <w:widowControl w:val="0"/>
        <w:numPr>
          <w:ilvl w:val="0"/>
          <w:numId w:val="11"/>
        </w:numPr>
        <w:tabs>
          <w:tab w:val="left" w:pos="658"/>
          <w:tab w:val="left" w:pos="659"/>
        </w:tabs>
        <w:autoSpaceDE w:val="0"/>
        <w:autoSpaceDN w:val="0"/>
        <w:spacing w:before="0" w:after="0" w:line="240" w:lineRule="auto"/>
        <w:ind w:left="567" w:right="2"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 mg vieną kartą per parą, vartojama 1, 8, 15 ir 22 kiekvieno 28 dienų ciklo dienas.</w:t>
      </w:r>
    </w:p>
    <w:p w14:paraId="3B41C16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4A47F7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Pacientams, kurių kepenų funkcija sutrikusi</w:t>
      </w:r>
    </w:p>
    <w:p w14:paraId="15BB51FA" w14:textId="2972F81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Pacientai, kurių bendr</w:t>
      </w:r>
      <w:r w:rsidR="008A340E">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bilirubino </w:t>
      </w:r>
      <w:r w:rsidR="008A340E">
        <w:rPr>
          <w:rFonts w:ascii="Times New Roman" w:eastAsia="Times New Roman" w:hAnsi="Times New Roman" w:cs="Times New Roman"/>
          <w:kern w:val="0"/>
          <w:lang w:val="lt-LT"/>
          <w14:ligatures w14:val="none"/>
        </w:rPr>
        <w:t>koncentracija</w:t>
      </w:r>
      <w:r w:rsidR="008A340E"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serume yra &gt; 1,5 x VNR (viršutinė normos riba), į klinikinius tyrimus įtraukti nebuvo. Kepenų funkcijos sutrikimas turi vidutinį poveikį pomalidomido farmakokinetikai (žr. 5.2 skyrių). Pacientams, kuriems yra kepenų funkcijos sutrikimas, vertinant pagal </w:t>
      </w:r>
      <w:r w:rsidRPr="00A552D9">
        <w:rPr>
          <w:rFonts w:ascii="Times New Roman" w:eastAsia="Times New Roman" w:hAnsi="Times New Roman" w:cs="Times New Roman"/>
          <w:i/>
          <w:kern w:val="0"/>
          <w:lang w:val="lt-LT"/>
          <w14:ligatures w14:val="none"/>
        </w:rPr>
        <w:t xml:space="preserve">Child-Pugh </w:t>
      </w:r>
      <w:r w:rsidRPr="00A552D9">
        <w:rPr>
          <w:rFonts w:ascii="Times New Roman" w:eastAsia="Times New Roman" w:hAnsi="Times New Roman" w:cs="Times New Roman"/>
          <w:kern w:val="0"/>
          <w:lang w:val="lt-LT"/>
          <w14:ligatures w14:val="none"/>
        </w:rPr>
        <w:t>kriterijus, pradinės pomalidomido dozės koreguoti nereikia. Tačiau, reikia atidžiai stebėti, ar pacientams, kuriems yra kepenų funkcijos sutrikimas, nepasireiškia nepageidaujamos reakcijos ir, jei reikia, mažinti dozę arba nutraukti pomalidomido vartojimą.</w:t>
      </w:r>
    </w:p>
    <w:p w14:paraId="4E44917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78CDA5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Pacientams, kurių inkstų funkcija sutrikusi</w:t>
      </w:r>
    </w:p>
    <w:p w14:paraId="31A2301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Pacientams, kuriems yra inkstų funkcijos sutrikimas, pomalidomido dozės koreguoti nereikia. Hemodializės dienomis pacientai pomalidomido dozę turi vartoti po hemodializės.</w:t>
      </w:r>
    </w:p>
    <w:p w14:paraId="361B204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9B1C8F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Vaikų populiacija</w:t>
      </w:r>
    </w:p>
    <w:p w14:paraId="447773A9" w14:textId="1B30E7AA"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Pomalidomidas nėra skirtas vaikams nuo 0 iki 17 metų dauginės mielomos </w:t>
      </w:r>
      <w:r w:rsidR="000B5522">
        <w:rPr>
          <w:rFonts w:ascii="Times New Roman" w:eastAsia="Times New Roman" w:hAnsi="Times New Roman" w:cs="Times New Roman"/>
          <w:kern w:val="0"/>
          <w:lang w:val="lt-LT"/>
          <w14:ligatures w14:val="none"/>
        </w:rPr>
        <w:t>gydymui</w:t>
      </w:r>
      <w:r w:rsidRPr="00A552D9">
        <w:rPr>
          <w:rFonts w:ascii="Times New Roman" w:eastAsia="Times New Roman" w:hAnsi="Times New Roman" w:cs="Times New Roman"/>
          <w:kern w:val="0"/>
          <w:lang w:val="lt-LT"/>
          <w14:ligatures w14:val="none"/>
        </w:rPr>
        <w:t>.</w:t>
      </w:r>
    </w:p>
    <w:p w14:paraId="359D029F" w14:textId="421D4FB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Be patvirtintų indikacijų, buvo tiriamas pomalidomido poveikis 4–18 metų vaikams, kurie serga pasikartojančiais ar progresuojančiais smegenų navikais</w:t>
      </w:r>
      <w:r w:rsidR="00D42276" w:rsidRPr="00A552D9">
        <w:rPr>
          <w:rFonts w:ascii="Times New Roman" w:eastAsia="Times New Roman" w:hAnsi="Times New Roman" w:cs="Times New Roman"/>
          <w:kern w:val="0"/>
          <w:lang w:val="lt-LT"/>
          <w14:ligatures w14:val="none"/>
        </w:rPr>
        <w:t>, tačiau t</w:t>
      </w:r>
      <w:r w:rsidRPr="00A552D9">
        <w:rPr>
          <w:rFonts w:ascii="Times New Roman" w:eastAsia="Times New Roman" w:hAnsi="Times New Roman" w:cs="Times New Roman"/>
          <w:kern w:val="0"/>
          <w:lang w:val="lt-LT"/>
          <w14:ligatures w14:val="none"/>
        </w:rPr>
        <w:t>yrimų rezultatai neleido daryti išvados, kad tokio vaistinio preparato vartojimo nauda yra didesnė už riziką. Šiuo metu turimi duomenys yra aprašyti 4.8, 5.1 ir 5.2 skyriuose.</w:t>
      </w:r>
    </w:p>
    <w:p w14:paraId="637A5AA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7F406F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Vartojimo metodas</w:t>
      </w:r>
    </w:p>
    <w:p w14:paraId="17BD07B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9DD5E8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Vartoti per burną.</w:t>
      </w:r>
    </w:p>
    <w:p w14:paraId="4C804E96" w14:textId="74A1AAE5"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992F19" w:rsidRPr="00A552D9">
        <w:rPr>
          <w:rFonts w:ascii="Times New Roman" w:eastAsia="Times New Roman" w:hAnsi="Times New Roman" w:cs="Times New Roman"/>
          <w:kern w:val="0"/>
          <w:lang w:val="lt-LT"/>
          <w14:ligatures w14:val="none"/>
        </w:rPr>
        <w:t xml:space="preserve"> kietosios kapsulės turi būti vartojamos per burną kasdien tuo pačiu laiku. Kapsulių negalima atidaryti, laužyti ar kramtyti (žr. 6.6 skyrių). Kapsules reikia praryti nepažeistas, geriausia – užsigeriant vandeniu, su maistu ar be jo. Jeigu pacientas vieną dieną pamiršo išgerti pomalidomido dozę, tada jis turi išgerti </w:t>
      </w:r>
      <w:r w:rsidR="00654A4F">
        <w:rPr>
          <w:rFonts w:ascii="Times New Roman" w:eastAsia="Times New Roman" w:hAnsi="Times New Roman" w:cs="Times New Roman"/>
          <w:kern w:val="0"/>
          <w:lang w:val="lt-LT"/>
          <w14:ligatures w14:val="none"/>
        </w:rPr>
        <w:t>pa</w:t>
      </w:r>
      <w:r w:rsidR="00992F19" w:rsidRPr="00A552D9">
        <w:rPr>
          <w:rFonts w:ascii="Times New Roman" w:eastAsia="Times New Roman" w:hAnsi="Times New Roman" w:cs="Times New Roman"/>
          <w:kern w:val="0"/>
          <w:lang w:val="lt-LT"/>
          <w14:ligatures w14:val="none"/>
        </w:rPr>
        <w:t>skirtą dozę įprastu laiku kitą dieną. Pacientams negalima koreguoti dozės norint kompensuoti ankstesnėmis dienomis praleistą dozę.</w:t>
      </w:r>
    </w:p>
    <w:p w14:paraId="7153BF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4F06B9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Išimant kapsulę iš lizdinės plokštelės, rekomenduojama spausti tik vieną kapsulės galą, taip sumažinant kapsulės deformavimo arba perlaužimo riziką.</w:t>
      </w:r>
    </w:p>
    <w:p w14:paraId="065B575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9329140" w14:textId="77777777" w:rsidR="00992F19" w:rsidRPr="00A552D9" w:rsidRDefault="00992F19" w:rsidP="001E4AC5">
      <w:pPr>
        <w:widowControl w:val="0"/>
        <w:numPr>
          <w:ilvl w:val="1"/>
          <w:numId w:val="10"/>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Kontraindikacijos</w:t>
      </w:r>
    </w:p>
    <w:p w14:paraId="23FB2CA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75EBD103"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Nėštumas.</w:t>
      </w:r>
    </w:p>
    <w:p w14:paraId="72BE4697"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Vaisingos moterys, nebent įvykdytos visos nėštumo prevencijos programos sąlygos (žr. 4.4 ir 4.6 skyrius).</w:t>
      </w:r>
    </w:p>
    <w:p w14:paraId="08A6FB48" w14:textId="57CD3A7A"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Pacientai vyrai, </w:t>
      </w:r>
      <w:r w:rsidR="00E1309C">
        <w:rPr>
          <w:rFonts w:ascii="Times New Roman" w:eastAsia="Times New Roman" w:hAnsi="Times New Roman" w:cs="Times New Roman"/>
          <w:kern w:val="0"/>
          <w:lang w:val="lt-LT"/>
          <w14:ligatures w14:val="none"/>
        </w:rPr>
        <w:t>negalintys</w:t>
      </w:r>
      <w:r w:rsidR="00E1309C"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naudotis reikiamomis kontraceptinėmis priemonėmis</w:t>
      </w:r>
      <w:r w:rsidR="00626622">
        <w:rPr>
          <w:rFonts w:ascii="Times New Roman" w:eastAsia="Times New Roman" w:hAnsi="Times New Roman" w:cs="Times New Roman"/>
          <w:kern w:val="0"/>
          <w:lang w:val="lt-LT"/>
          <w14:ligatures w14:val="none"/>
        </w:rPr>
        <w:t xml:space="preserve"> arba</w:t>
      </w:r>
      <w:r w:rsidR="00B320B3">
        <w:rPr>
          <w:rFonts w:ascii="Times New Roman" w:eastAsia="Times New Roman" w:hAnsi="Times New Roman" w:cs="Times New Roman"/>
          <w:kern w:val="0"/>
          <w:lang w:val="lt-LT"/>
          <w14:ligatures w14:val="none"/>
        </w:rPr>
        <w:t xml:space="preserve"> nesugebantys</w:t>
      </w:r>
      <w:r w:rsidR="00626622">
        <w:rPr>
          <w:rFonts w:ascii="Times New Roman" w:eastAsia="Times New Roman" w:hAnsi="Times New Roman" w:cs="Times New Roman"/>
          <w:kern w:val="0"/>
          <w:lang w:val="lt-LT"/>
          <w14:ligatures w14:val="none"/>
        </w:rPr>
        <w:t xml:space="preserve"> jų laikytis</w:t>
      </w:r>
      <w:r w:rsidRPr="00A552D9">
        <w:rPr>
          <w:rFonts w:ascii="Times New Roman" w:eastAsia="Times New Roman" w:hAnsi="Times New Roman" w:cs="Times New Roman"/>
          <w:kern w:val="0"/>
          <w:lang w:val="lt-LT"/>
          <w14:ligatures w14:val="none"/>
        </w:rPr>
        <w:t xml:space="preserve"> (žr. 4.4 skyrių).</w:t>
      </w:r>
    </w:p>
    <w:p w14:paraId="0902A657"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Padidėjęs jautrumas veikliajai arba bet kuriai 6.1 skyriuje nurodytai pagalbinei medžiagai.</w:t>
      </w:r>
    </w:p>
    <w:p w14:paraId="45B41F6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A24F341" w14:textId="77777777" w:rsidR="00992F19" w:rsidRPr="00A552D9" w:rsidRDefault="00992F19" w:rsidP="001E4AC5">
      <w:pPr>
        <w:widowControl w:val="0"/>
        <w:numPr>
          <w:ilvl w:val="1"/>
          <w:numId w:val="10"/>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Specialūs įspėjimai ir atsargumo priemonės</w:t>
      </w:r>
    </w:p>
    <w:p w14:paraId="6694D9B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7771C1F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Teratogeninis poveikis</w:t>
      </w:r>
    </w:p>
    <w:p w14:paraId="1EB4773E" w14:textId="719BD01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Pomalidomido negalima vartoti nėštumo metu, nes tikėtinas teratogeninis poveikis. Pomalidomido struktūra panaši į talidomido. Talidomidas yra žinoma teratogeninė veiklioji medžiaga žmogui, kuri sukelia sunkias, gyvybei pavojingas įgimtas formavimos</w:t>
      </w:r>
      <w:r w:rsidR="00F42709">
        <w:rPr>
          <w:rFonts w:ascii="Times New Roman" w:eastAsia="Times New Roman" w:hAnsi="Times New Roman" w:cs="Times New Roman"/>
          <w:kern w:val="0"/>
          <w:lang w:val="lt-LT"/>
          <w14:ligatures w14:val="none"/>
        </w:rPr>
        <w:t>i</w:t>
      </w:r>
      <w:r w:rsidRPr="00A552D9">
        <w:rPr>
          <w:rFonts w:ascii="Times New Roman" w:eastAsia="Times New Roman" w:hAnsi="Times New Roman" w:cs="Times New Roman"/>
          <w:kern w:val="0"/>
          <w:lang w:val="lt-LT"/>
          <w14:ligatures w14:val="none"/>
        </w:rPr>
        <w:t xml:space="preserve"> ydas. Žiurkėms ir triušiams duodant pomalidomido pagrindinių organų formavimosi laikotarpiu, nustatytas teratogeninis pomalidomido poveikis (žr. 5.3 skyrių).</w:t>
      </w:r>
    </w:p>
    <w:p w14:paraId="0C4F56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AC5731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Nėštumo prevencijos programos sąlygos turi būti įgyvendintos visoms pacientėms, nebent yra akivaizdus įrodymas, kad pacientė yra nevaisinga.</w:t>
      </w:r>
    </w:p>
    <w:p w14:paraId="63DC583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7325982" w14:textId="0E499186" w:rsidR="00992F19" w:rsidRPr="00A552D9" w:rsidRDefault="00B05E82"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Kriterijai nevaisingoms moterims</w:t>
      </w:r>
    </w:p>
    <w:p w14:paraId="05F201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Pacientė moteris ar paciento vyro partnerė laikoma nevaisinga, jei ji atitinka bent vieną iš toliau nurodytų kriterijų:</w:t>
      </w:r>
    </w:p>
    <w:p w14:paraId="303716E0"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Amžius ≥ 50 metų ir natūrali amenorėja trunka ≥ 1 metus (amenorėja dėl vėžio gydymo arba žindymo metu neatmeta pastojimo galimybės).</w:t>
      </w:r>
    </w:p>
    <w:p w14:paraId="4C756A38" w14:textId="4569A681"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Gydytojo ginekologo patvirtintas </w:t>
      </w:r>
      <w:r w:rsidR="00AB7AD6">
        <w:rPr>
          <w:rFonts w:ascii="Times New Roman" w:eastAsia="Times New Roman" w:hAnsi="Times New Roman" w:cs="Times New Roman"/>
          <w:kern w:val="0"/>
          <w:lang w:val="lt-LT"/>
          <w14:ligatures w14:val="none"/>
        </w:rPr>
        <w:t>priešlaikinis</w:t>
      </w:r>
      <w:r w:rsidR="00AB7AD6"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kiaušidžių nepakankamumas.</w:t>
      </w:r>
    </w:p>
    <w:p w14:paraId="4F78D4E6" w14:textId="15DFDE22"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Anksčiau atlikta abipusė gimdos priedų</w:t>
      </w:r>
      <w:r w:rsidR="00D77514">
        <w:rPr>
          <w:rFonts w:ascii="Times New Roman" w:eastAsia="Times New Roman" w:hAnsi="Times New Roman" w:cs="Times New Roman"/>
          <w:kern w:val="0"/>
          <w:lang w:val="lt-LT"/>
          <w14:ligatures w14:val="none"/>
        </w:rPr>
        <w:t xml:space="preserve"> (kiaušidžių ir kiaušintakių)</w:t>
      </w:r>
      <w:r w:rsidRPr="00A552D9">
        <w:rPr>
          <w:rFonts w:ascii="Times New Roman" w:eastAsia="Times New Roman" w:hAnsi="Times New Roman" w:cs="Times New Roman"/>
          <w:kern w:val="0"/>
          <w:lang w:val="lt-LT"/>
          <w14:ligatures w14:val="none"/>
        </w:rPr>
        <w:t xml:space="preserve"> pašalinimo operacija ar histerektomija.</w:t>
      </w:r>
    </w:p>
    <w:p w14:paraId="698C68F3" w14:textId="57401E7E"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XY genotipas, Ternerio (</w:t>
      </w:r>
      <w:r w:rsidR="00DE6750" w:rsidRPr="00A552D9">
        <w:rPr>
          <w:rFonts w:ascii="Times New Roman" w:eastAsia="Times New Roman" w:hAnsi="Times New Roman" w:cs="Times New Roman"/>
          <w:kern w:val="0"/>
          <w:lang w:val="lt-LT"/>
          <w14:ligatures w14:val="none"/>
        </w:rPr>
        <w:t xml:space="preserve">angl. </w:t>
      </w:r>
      <w:r w:rsidRPr="00A552D9">
        <w:rPr>
          <w:rFonts w:ascii="Times New Roman" w:eastAsia="Times New Roman" w:hAnsi="Times New Roman" w:cs="Times New Roman"/>
          <w:i/>
          <w:kern w:val="0"/>
          <w:lang w:val="lt-LT"/>
          <w14:ligatures w14:val="none"/>
        </w:rPr>
        <w:t>Turner</w:t>
      </w:r>
      <w:r w:rsidRPr="00A552D9">
        <w:rPr>
          <w:rFonts w:ascii="Times New Roman" w:eastAsia="Times New Roman" w:hAnsi="Times New Roman" w:cs="Times New Roman"/>
          <w:kern w:val="0"/>
          <w:lang w:val="lt-LT"/>
          <w14:ligatures w14:val="none"/>
        </w:rPr>
        <w:t>) sindromas, gimdos agenezė.</w:t>
      </w:r>
    </w:p>
    <w:p w14:paraId="4AA3139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D341FA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Patarimai</w:t>
      </w:r>
    </w:p>
    <w:p w14:paraId="5B5D3C89" w14:textId="404306A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Vaisingai moteriai pomalidomido negalima vartoti, </w:t>
      </w:r>
      <w:r w:rsidR="00595C13">
        <w:rPr>
          <w:rFonts w:ascii="Times New Roman" w:eastAsia="Times New Roman" w:hAnsi="Times New Roman" w:cs="Times New Roman"/>
          <w:kern w:val="0"/>
          <w:lang w:val="lt-LT"/>
          <w14:ligatures w14:val="none"/>
        </w:rPr>
        <w:t>nebent tenkinamos</w:t>
      </w:r>
      <w:r w:rsidR="00141F83">
        <w:rPr>
          <w:rFonts w:ascii="Times New Roman" w:eastAsia="Times New Roman" w:hAnsi="Times New Roman" w:cs="Times New Roman"/>
          <w:kern w:val="0"/>
          <w:lang w:val="lt-LT"/>
          <w14:ligatures w14:val="none"/>
        </w:rPr>
        <w:t xml:space="preserve"> visos</w:t>
      </w:r>
      <w:r w:rsidR="00595C13"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toliau nurodyt</w:t>
      </w:r>
      <w:r w:rsidR="00141F83">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w:t>
      </w:r>
      <w:r w:rsidR="00141F83">
        <w:rPr>
          <w:rFonts w:ascii="Times New Roman" w:eastAsia="Times New Roman" w:hAnsi="Times New Roman" w:cs="Times New Roman"/>
          <w:kern w:val="0"/>
          <w:lang w:val="lt-LT"/>
          <w14:ligatures w14:val="none"/>
        </w:rPr>
        <w:t>sąlygos</w:t>
      </w:r>
      <w:r w:rsidR="007E008D" w:rsidRPr="00A552D9">
        <w:rPr>
          <w:rFonts w:ascii="Times New Roman" w:eastAsia="Times New Roman" w:hAnsi="Times New Roman" w:cs="Times New Roman"/>
          <w:kern w:val="0"/>
          <w:lang w:val="lt-LT"/>
          <w14:ligatures w14:val="none"/>
        </w:rPr>
        <w:t>:</w:t>
      </w:r>
    </w:p>
    <w:p w14:paraId="22E845F6" w14:textId="6AEDB539"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 xml:space="preserve">i supranta </w:t>
      </w:r>
      <w:r w:rsidR="00141F83">
        <w:rPr>
          <w:rFonts w:ascii="Times New Roman" w:eastAsia="Times New Roman" w:hAnsi="Times New Roman" w:cs="Times New Roman"/>
          <w:kern w:val="0"/>
          <w:lang w:val="lt-LT"/>
          <w14:ligatures w14:val="none"/>
        </w:rPr>
        <w:t>numatomą</w:t>
      </w:r>
      <w:r w:rsidR="00141F83" w:rsidRPr="00A552D9">
        <w:rPr>
          <w:rFonts w:ascii="Times New Roman" w:eastAsia="Times New Roman" w:hAnsi="Times New Roman" w:cs="Times New Roman"/>
          <w:kern w:val="0"/>
          <w:lang w:val="lt-LT"/>
          <w14:ligatures w14:val="none"/>
        </w:rPr>
        <w:t xml:space="preserve"> </w:t>
      </w:r>
      <w:r w:rsidR="00992F19" w:rsidRPr="00A552D9">
        <w:rPr>
          <w:rFonts w:ascii="Times New Roman" w:eastAsia="Times New Roman" w:hAnsi="Times New Roman" w:cs="Times New Roman"/>
          <w:kern w:val="0"/>
          <w:lang w:val="lt-LT"/>
          <w14:ligatures w14:val="none"/>
        </w:rPr>
        <w:t>teratogeninio poveikio riziką dar negimusiam vaikui</w:t>
      </w:r>
      <w:r>
        <w:rPr>
          <w:rFonts w:ascii="Times New Roman" w:eastAsia="Times New Roman" w:hAnsi="Times New Roman" w:cs="Times New Roman"/>
          <w:kern w:val="0"/>
          <w:lang w:val="lt-LT"/>
          <w14:ligatures w14:val="none"/>
        </w:rPr>
        <w:t>;</w:t>
      </w:r>
    </w:p>
    <w:p w14:paraId="43D0C150" w14:textId="3D1B05C3"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lastRenderedPageBreak/>
        <w:t>j</w:t>
      </w:r>
      <w:r w:rsidR="00992F19" w:rsidRPr="00A552D9">
        <w:rPr>
          <w:rFonts w:ascii="Times New Roman" w:eastAsia="Times New Roman" w:hAnsi="Times New Roman" w:cs="Times New Roman"/>
          <w:kern w:val="0"/>
          <w:lang w:val="lt-LT"/>
          <w14:ligatures w14:val="none"/>
        </w:rPr>
        <w:t>i supranta veiksmingos ir nenutrūkstamos kontracepcijos poreikį mažiausiai 4 savaites prieš pradedant gydymą, viso gydymo metu ir mažiausiai 4 savaites po gydymo pabaigos</w:t>
      </w:r>
      <w:r>
        <w:rPr>
          <w:rFonts w:ascii="Times New Roman" w:eastAsia="Times New Roman" w:hAnsi="Times New Roman" w:cs="Times New Roman"/>
          <w:kern w:val="0"/>
          <w:lang w:val="lt-LT"/>
          <w14:ligatures w14:val="none"/>
        </w:rPr>
        <w:t>;</w:t>
      </w:r>
    </w:p>
    <w:p w14:paraId="3A94F6D3" w14:textId="6D8EBB95"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992F19" w:rsidRPr="00A552D9">
        <w:rPr>
          <w:rFonts w:ascii="Times New Roman" w:eastAsia="Times New Roman" w:hAnsi="Times New Roman" w:cs="Times New Roman"/>
          <w:kern w:val="0"/>
          <w:lang w:val="lt-LT"/>
          <w14:ligatures w14:val="none"/>
        </w:rPr>
        <w:t>et jei vaisingai moteriai yra amenorėja, ji turi atsižvelgti į visus patarimus dėl veiksmingos kontracepcijos</w:t>
      </w:r>
      <w:r>
        <w:rPr>
          <w:rFonts w:ascii="Times New Roman" w:eastAsia="Times New Roman" w:hAnsi="Times New Roman" w:cs="Times New Roman"/>
          <w:kern w:val="0"/>
          <w:lang w:val="lt-LT"/>
          <w14:ligatures w14:val="none"/>
        </w:rPr>
        <w:t>;</w:t>
      </w:r>
    </w:p>
    <w:p w14:paraId="7FCDD18B" w14:textId="77924ED1"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i turi sugebėti naudotis veiksmingomis kontracepcijos priemonėmis</w:t>
      </w:r>
      <w:r>
        <w:rPr>
          <w:rFonts w:ascii="Times New Roman" w:eastAsia="Times New Roman" w:hAnsi="Times New Roman" w:cs="Times New Roman"/>
          <w:kern w:val="0"/>
          <w:lang w:val="lt-LT"/>
          <w14:ligatures w14:val="none"/>
        </w:rPr>
        <w:t>;</w:t>
      </w:r>
    </w:p>
    <w:p w14:paraId="15ECB9FC" w14:textId="7D946B87"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i yra informuota ir supranta galimas nėštumo pasekmes ir skubios konsultacijos poreikį iškilus nėštumo tikimybei</w:t>
      </w:r>
      <w:r>
        <w:rPr>
          <w:rFonts w:ascii="Times New Roman" w:eastAsia="Times New Roman" w:hAnsi="Times New Roman" w:cs="Times New Roman"/>
          <w:kern w:val="0"/>
          <w:lang w:val="lt-LT"/>
          <w14:ligatures w14:val="none"/>
        </w:rPr>
        <w:t>;</w:t>
      </w:r>
    </w:p>
    <w:p w14:paraId="35A7AF05" w14:textId="04CF1FFA"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 xml:space="preserve">i supranta poreikį pradėti gydymą, kai tik po neigiamo nėštumo testo </w:t>
      </w:r>
      <w:r w:rsidR="00DE70F5">
        <w:rPr>
          <w:rFonts w:ascii="Times New Roman" w:eastAsia="Times New Roman" w:hAnsi="Times New Roman" w:cs="Times New Roman"/>
          <w:kern w:val="0"/>
          <w:lang w:val="lt-LT"/>
          <w14:ligatures w14:val="none"/>
        </w:rPr>
        <w:t>teks vartoti</w:t>
      </w:r>
      <w:r w:rsidR="00DE70F5" w:rsidRPr="00A552D9">
        <w:rPr>
          <w:rFonts w:ascii="Times New Roman" w:eastAsia="Times New Roman" w:hAnsi="Times New Roman" w:cs="Times New Roman"/>
          <w:kern w:val="0"/>
          <w:lang w:val="lt-LT"/>
          <w14:ligatures w14:val="none"/>
        </w:rPr>
        <w:t xml:space="preserve"> </w:t>
      </w:r>
      <w:r w:rsidR="00992F19" w:rsidRPr="00A552D9">
        <w:rPr>
          <w:rFonts w:ascii="Times New Roman" w:eastAsia="Times New Roman" w:hAnsi="Times New Roman" w:cs="Times New Roman"/>
          <w:kern w:val="0"/>
          <w:lang w:val="lt-LT"/>
          <w14:ligatures w14:val="none"/>
        </w:rPr>
        <w:t>pomalidomid</w:t>
      </w:r>
      <w:r w:rsidR="00DE70F5">
        <w:rPr>
          <w:rFonts w:ascii="Times New Roman" w:eastAsia="Times New Roman" w:hAnsi="Times New Roman" w:cs="Times New Roman"/>
          <w:kern w:val="0"/>
          <w:lang w:val="lt-LT"/>
          <w14:ligatures w14:val="none"/>
        </w:rPr>
        <w:t>o</w:t>
      </w:r>
      <w:r>
        <w:rPr>
          <w:rFonts w:ascii="Times New Roman" w:eastAsia="Times New Roman" w:hAnsi="Times New Roman" w:cs="Times New Roman"/>
          <w:kern w:val="0"/>
          <w:lang w:val="lt-LT"/>
          <w14:ligatures w14:val="none"/>
        </w:rPr>
        <w:t>;</w:t>
      </w:r>
    </w:p>
    <w:p w14:paraId="7CF22EAD" w14:textId="6A470EA2"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i supranta poreikį ir sutinka atlikinėti nėštumo testą mažiausiai kas 4 savaites, nebent jai yra patvirtinta kiaušintakių sterilizacija</w:t>
      </w:r>
      <w:r>
        <w:rPr>
          <w:rFonts w:ascii="Times New Roman" w:eastAsia="Times New Roman" w:hAnsi="Times New Roman" w:cs="Times New Roman"/>
          <w:kern w:val="0"/>
          <w:lang w:val="lt-LT"/>
          <w14:ligatures w14:val="none"/>
        </w:rPr>
        <w:t>;</w:t>
      </w:r>
    </w:p>
    <w:p w14:paraId="71F59735" w14:textId="1185E6E1"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i patvirtina, kad supranta su pomalidomido vartojimu susijusią riziką bei būtinas atsargumo priemones.</w:t>
      </w:r>
    </w:p>
    <w:p w14:paraId="75B6CF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152B04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Vaistinį preparatą vaisingai moteriai skiriantis gydytojas turi būti įsitikinęs, kad:</w:t>
      </w:r>
    </w:p>
    <w:p w14:paraId="5C425CA7" w14:textId="5365EF65"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992F19" w:rsidRPr="00A552D9">
        <w:rPr>
          <w:rFonts w:ascii="Times New Roman" w:eastAsia="Times New Roman" w:hAnsi="Times New Roman" w:cs="Times New Roman"/>
          <w:kern w:val="0"/>
          <w:lang w:val="lt-LT"/>
          <w14:ligatures w14:val="none"/>
        </w:rPr>
        <w:t xml:space="preserve">acientė laikysis </w:t>
      </w:r>
      <w:r w:rsidR="00DC1E0F" w:rsidRPr="00A552D9">
        <w:rPr>
          <w:rFonts w:ascii="Times New Roman" w:eastAsia="Times New Roman" w:hAnsi="Times New Roman" w:cs="Times New Roman"/>
          <w:kern w:val="0"/>
          <w:lang w:val="lt-LT"/>
          <w14:ligatures w14:val="none"/>
        </w:rPr>
        <w:t>n</w:t>
      </w:r>
      <w:r w:rsidR="00992F19" w:rsidRPr="00A552D9">
        <w:rPr>
          <w:rFonts w:ascii="Times New Roman" w:eastAsia="Times New Roman" w:hAnsi="Times New Roman" w:cs="Times New Roman"/>
          <w:kern w:val="0"/>
          <w:lang w:val="lt-LT"/>
          <w14:ligatures w14:val="none"/>
        </w:rPr>
        <w:t>ėštumo prevencijos programos sąlygų, įskaitant patvirtinimą, kad ji gerai suprato šias sąlygas</w:t>
      </w:r>
      <w:r>
        <w:rPr>
          <w:rFonts w:ascii="Times New Roman" w:eastAsia="Times New Roman" w:hAnsi="Times New Roman" w:cs="Times New Roman"/>
          <w:kern w:val="0"/>
          <w:lang w:val="lt-LT"/>
          <w14:ligatures w14:val="none"/>
        </w:rPr>
        <w:t>;</w:t>
      </w:r>
    </w:p>
    <w:p w14:paraId="78E954F9" w14:textId="1DECE55C"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992F19" w:rsidRPr="00A552D9">
        <w:rPr>
          <w:rFonts w:ascii="Times New Roman" w:eastAsia="Times New Roman" w:hAnsi="Times New Roman" w:cs="Times New Roman"/>
          <w:kern w:val="0"/>
          <w:lang w:val="lt-LT"/>
          <w14:ligatures w14:val="none"/>
        </w:rPr>
        <w:t>acientė patvirtina pirmiau minėtas sąlygas.</w:t>
      </w:r>
    </w:p>
    <w:p w14:paraId="2A6DC5C0" w14:textId="77777777" w:rsidR="00992F19" w:rsidRPr="00A552D9" w:rsidRDefault="00992F19" w:rsidP="00992F19">
      <w:pPr>
        <w:widowControl w:val="0"/>
        <w:tabs>
          <w:tab w:val="left" w:pos="845"/>
          <w:tab w:val="left" w:pos="846"/>
        </w:tabs>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04822CD" w14:textId="5258177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Farmakokinetikos duomenys rodo, kad pomalidomidas gydymo metu patenka į jį vartojančiųjų vyrų spermą. </w:t>
      </w:r>
      <w:r w:rsidR="00E00B81">
        <w:rPr>
          <w:rFonts w:ascii="Times New Roman" w:eastAsia="Times New Roman" w:hAnsi="Times New Roman" w:cs="Times New Roman"/>
          <w:kern w:val="0"/>
          <w:lang w:val="lt-LT"/>
          <w14:ligatures w14:val="none"/>
        </w:rPr>
        <w:t>Dėl a</w:t>
      </w:r>
      <w:r w:rsidRPr="00A552D9">
        <w:rPr>
          <w:rFonts w:ascii="Times New Roman" w:eastAsia="Times New Roman" w:hAnsi="Times New Roman" w:cs="Times New Roman"/>
          <w:kern w:val="0"/>
          <w:lang w:val="lt-LT"/>
          <w14:ligatures w14:val="none"/>
        </w:rPr>
        <w:t>tsargumo visi pomalidomid</w:t>
      </w:r>
      <w:r w:rsidR="00E00B81">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vartojantys pacientai vyrai, ypač priklausantys ypatingoms populiacijoms, kurių eliminacijos laikas gali būti ilgesnis, pvz., dėl sutrikusios kepenų funkcijos, turi </w:t>
      </w:r>
      <w:r w:rsidR="005D5042">
        <w:rPr>
          <w:rFonts w:ascii="Times New Roman" w:eastAsia="Times New Roman" w:hAnsi="Times New Roman" w:cs="Times New Roman"/>
          <w:kern w:val="0"/>
          <w:lang w:val="lt-LT"/>
          <w14:ligatures w14:val="none"/>
        </w:rPr>
        <w:t>atitikti</w:t>
      </w:r>
      <w:r w:rsidR="005D5042"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toliau pateiktas sąlygas</w:t>
      </w:r>
      <w:r w:rsidR="000D59B3" w:rsidRPr="00A552D9">
        <w:rPr>
          <w:rFonts w:ascii="Times New Roman" w:eastAsia="Times New Roman" w:hAnsi="Times New Roman" w:cs="Times New Roman"/>
          <w:kern w:val="0"/>
          <w:lang w:val="lt-LT"/>
          <w14:ligatures w14:val="none"/>
        </w:rPr>
        <w:t>:</w:t>
      </w:r>
    </w:p>
    <w:p w14:paraId="7A6BFA52" w14:textId="13E9B1AD" w:rsidR="00992F19" w:rsidRPr="00A552D9" w:rsidRDefault="005D5042"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 xml:space="preserve">is supranta </w:t>
      </w:r>
      <w:r w:rsidR="00414F3E">
        <w:rPr>
          <w:rFonts w:ascii="Times New Roman" w:eastAsia="Times New Roman" w:hAnsi="Times New Roman" w:cs="Times New Roman"/>
          <w:kern w:val="0"/>
          <w:lang w:val="lt-LT"/>
          <w14:ligatures w14:val="none"/>
        </w:rPr>
        <w:t>numatomą</w:t>
      </w:r>
      <w:r w:rsidR="00414F3E" w:rsidRPr="00A552D9">
        <w:rPr>
          <w:rFonts w:ascii="Times New Roman" w:eastAsia="Times New Roman" w:hAnsi="Times New Roman" w:cs="Times New Roman"/>
          <w:kern w:val="0"/>
          <w:lang w:val="lt-LT"/>
          <w14:ligatures w14:val="none"/>
        </w:rPr>
        <w:t xml:space="preserve"> </w:t>
      </w:r>
      <w:r w:rsidR="00992F19" w:rsidRPr="00A552D9">
        <w:rPr>
          <w:rFonts w:ascii="Times New Roman" w:eastAsia="Times New Roman" w:hAnsi="Times New Roman" w:cs="Times New Roman"/>
          <w:kern w:val="0"/>
          <w:lang w:val="lt-LT"/>
          <w14:ligatures w14:val="none"/>
        </w:rPr>
        <w:t>teratogeninio poveikio riziką, jei turi lytinių santykių su nėščia arba vaisinga moterimi</w:t>
      </w:r>
      <w:r>
        <w:rPr>
          <w:rFonts w:ascii="Times New Roman" w:eastAsia="Times New Roman" w:hAnsi="Times New Roman" w:cs="Times New Roman"/>
          <w:kern w:val="0"/>
          <w:lang w:val="lt-LT"/>
          <w14:ligatures w14:val="none"/>
        </w:rPr>
        <w:t>;</w:t>
      </w:r>
    </w:p>
    <w:p w14:paraId="1B6F128E" w14:textId="6E45C80B" w:rsidR="00992F19" w:rsidRPr="00A552D9" w:rsidRDefault="005D5042"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is supranta, kad reikia naudoti prezervatyvą lytinių santykių su nėščia arba vaisinga moterimi metu, jei ji nenaudoja veiksmingo kontracepcijos metodo, gydymo metu (įskaitant laikinus gydymo nutraukimus) ir 7 dienas po laikino ir (arba) visiško gydymo nutraukimo. Vyrams, kuriems atlikta vazektomija, taip pat reikia naudoti prezervatyvą lytinių santykių su nėščia arba vaisinga moterimi metu, nes sėklos skystyje gali būti pomalidomido likučių, nesant spermatozoidų</w:t>
      </w:r>
      <w:r>
        <w:rPr>
          <w:rFonts w:ascii="Times New Roman" w:eastAsia="Times New Roman" w:hAnsi="Times New Roman" w:cs="Times New Roman"/>
          <w:kern w:val="0"/>
          <w:lang w:val="lt-LT"/>
          <w14:ligatures w14:val="none"/>
        </w:rPr>
        <w:t>;</w:t>
      </w:r>
    </w:p>
    <w:p w14:paraId="0F278152" w14:textId="1D3E6E51" w:rsidR="00992F19" w:rsidRPr="00A552D9" w:rsidRDefault="005D5042"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is supranta, kad jeigu jo partnerė pastoja jam vartojant pomalidomid</w:t>
      </w:r>
      <w:r w:rsidR="0056663F">
        <w:rPr>
          <w:rFonts w:ascii="Times New Roman" w:eastAsia="Times New Roman" w:hAnsi="Times New Roman" w:cs="Times New Roman"/>
          <w:kern w:val="0"/>
          <w:lang w:val="lt-LT"/>
          <w14:ligatures w14:val="none"/>
        </w:rPr>
        <w:t>o</w:t>
      </w:r>
      <w:r w:rsidR="00992F19" w:rsidRPr="00A552D9">
        <w:rPr>
          <w:rFonts w:ascii="Times New Roman" w:eastAsia="Times New Roman" w:hAnsi="Times New Roman" w:cs="Times New Roman"/>
          <w:kern w:val="0"/>
          <w:lang w:val="lt-LT"/>
          <w14:ligatures w14:val="none"/>
        </w:rPr>
        <w:t xml:space="preserve"> arba 7 dienas po jo vartojimo nutraukimo, jis turi nedelsdamas informuoti savo gydytoją, taip pat supranta, kad rekomenduojama nukreipti partnerę teratologijos srityje dirbančio gydytojo konsultacijai, ištyrimui bei stebėjimui.</w:t>
      </w:r>
    </w:p>
    <w:p w14:paraId="7998CEF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64827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Kontracepcija</w:t>
      </w:r>
    </w:p>
    <w:p w14:paraId="44BA3042" w14:textId="7F1AD59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Vaisingos moterys turi naudoti </w:t>
      </w:r>
      <w:r w:rsidR="00F13447">
        <w:rPr>
          <w:rFonts w:ascii="Times New Roman" w:eastAsia="Times New Roman" w:hAnsi="Times New Roman" w:cs="Times New Roman"/>
          <w:kern w:val="0"/>
          <w:lang w:val="lt-LT"/>
          <w14:ligatures w14:val="none"/>
        </w:rPr>
        <w:t>bent</w:t>
      </w:r>
      <w:r w:rsidR="00F1344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vieną veiksmingą kontracepcijos metodą mažiausiai 4 savaites prieš pradėdamos gydymą, gydymo metu ir mažiausiai 4 savaites po gydymo pomalidomidu pabaigos, net ir laikinai nutraukus gydymą, išskyrus tuos atvejus, kai pacientė visiškai ir nuolatos susilaiko nuo lytinių santykių, tai patvirtinant kas mėnesį. Jei pacientas nevartoja veiksmingos kontracepcijos, jis turi būti nukreiptas pas atitinkamos srities sveikatos priežiūros specialistą, kad pradėtų naudoti kontracepcijos priemones.</w:t>
      </w:r>
    </w:p>
    <w:p w14:paraId="35DA1D4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BA1392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Gali būti apsvarstomi šie tinkamos kontracepcijos metodų pavyzdžiai:</w:t>
      </w:r>
    </w:p>
    <w:p w14:paraId="431B6923"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kontraceptinis implantas;</w:t>
      </w:r>
    </w:p>
    <w:p w14:paraId="0D9D2BE0" w14:textId="010B9025"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levonorgestrelį atpalaiduojanti </w:t>
      </w:r>
      <w:r w:rsidR="00FE4010">
        <w:rPr>
          <w:rFonts w:ascii="Times New Roman" w:eastAsia="Times New Roman" w:hAnsi="Times New Roman" w:cs="Times New Roman"/>
          <w:kern w:val="0"/>
          <w:lang w:val="lt-LT"/>
          <w14:ligatures w14:val="none"/>
        </w:rPr>
        <w:t>intrauterinė</w:t>
      </w:r>
      <w:r w:rsidRPr="00A552D9">
        <w:rPr>
          <w:rFonts w:ascii="Times New Roman" w:eastAsia="Times New Roman" w:hAnsi="Times New Roman" w:cs="Times New Roman"/>
          <w:kern w:val="0"/>
          <w:lang w:val="lt-LT"/>
          <w14:ligatures w14:val="none"/>
        </w:rPr>
        <w:t xml:space="preserve"> sistema;</w:t>
      </w:r>
    </w:p>
    <w:p w14:paraId="61A8E0C7"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medroksiprogesterono acetato depo injekcija;</w:t>
      </w:r>
    </w:p>
    <w:p w14:paraId="26C4192C"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kiaušintakių sterilizacija;</w:t>
      </w:r>
    </w:p>
    <w:p w14:paraId="4C066F85"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lytiniai santykiai tik su vyru, kuriam atlikta vazektomija, kuri patvirtinta dviem neigiamais ejakuliato tyrimais;</w:t>
      </w:r>
    </w:p>
    <w:p w14:paraId="2DF1268C"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ovuliaciją slopinančios tik progestogeno turinčios kontraceptinės tabletės (t.y. dezogestrelis).</w:t>
      </w:r>
    </w:p>
    <w:p w14:paraId="17608B8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DD646A9" w14:textId="6C67C72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Dėl padidėjusios venų tromb</w:t>
      </w:r>
      <w:r w:rsidR="006E29C0">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embolijos rizikos daugine mieloma sergančioms ir pomalidomid</w:t>
      </w:r>
      <w:r w:rsidR="00830E93">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bei deksametazon</w:t>
      </w:r>
      <w:r w:rsidR="00830E93">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vartojančioms pacientėms nerekomenduojama vartoti sudėtin</w:t>
      </w:r>
      <w:r w:rsidR="00830E93">
        <w:rPr>
          <w:rFonts w:ascii="Times New Roman" w:eastAsia="Times New Roman" w:hAnsi="Times New Roman" w:cs="Times New Roman"/>
          <w:kern w:val="0"/>
          <w:lang w:val="lt-LT"/>
          <w14:ligatures w14:val="none"/>
        </w:rPr>
        <w:t>ių</w:t>
      </w:r>
      <w:r w:rsidRPr="00A552D9">
        <w:rPr>
          <w:rFonts w:ascii="Times New Roman" w:eastAsia="Times New Roman" w:hAnsi="Times New Roman" w:cs="Times New Roman"/>
          <w:kern w:val="0"/>
          <w:lang w:val="lt-LT"/>
          <w14:ligatures w14:val="none"/>
        </w:rPr>
        <w:t xml:space="preserve"> geriam</w:t>
      </w:r>
      <w:r w:rsidR="00830E93">
        <w:rPr>
          <w:rFonts w:ascii="Times New Roman" w:eastAsia="Times New Roman" w:hAnsi="Times New Roman" w:cs="Times New Roman"/>
          <w:kern w:val="0"/>
          <w:lang w:val="lt-LT"/>
          <w14:ligatures w14:val="none"/>
        </w:rPr>
        <w:t>ųjų</w:t>
      </w:r>
      <w:r w:rsidRPr="00A552D9">
        <w:rPr>
          <w:rFonts w:ascii="Times New Roman" w:eastAsia="Times New Roman" w:hAnsi="Times New Roman" w:cs="Times New Roman"/>
          <w:kern w:val="0"/>
          <w:lang w:val="lt-LT"/>
          <w14:ligatures w14:val="none"/>
        </w:rPr>
        <w:t xml:space="preserve"> kontracepcijos tablečių (taip pat žr. 4.5 skyrių). Jei pacientė vartoja sudėtini</w:t>
      </w:r>
      <w:r w:rsidR="00A80769">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geriam</w:t>
      </w:r>
      <w:r w:rsidR="00A80769">
        <w:rPr>
          <w:rFonts w:ascii="Times New Roman" w:eastAsia="Times New Roman" w:hAnsi="Times New Roman" w:cs="Times New Roman"/>
          <w:kern w:val="0"/>
          <w:lang w:val="lt-LT"/>
          <w14:ligatures w14:val="none"/>
        </w:rPr>
        <w:t>ųjų</w:t>
      </w:r>
      <w:r w:rsidRPr="00A552D9">
        <w:rPr>
          <w:rFonts w:ascii="Times New Roman" w:eastAsia="Times New Roman" w:hAnsi="Times New Roman" w:cs="Times New Roman"/>
          <w:kern w:val="0"/>
          <w:lang w:val="lt-LT"/>
          <w14:ligatures w14:val="none"/>
        </w:rPr>
        <w:t xml:space="preserve"> kontraceptik</w:t>
      </w:r>
      <w:r w:rsidR="00A80769">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lastRenderedPageBreak/>
        <w:t>turi būti apsvarstytas šio kontracepcijos metodo pakeitimas vienu iš anksčiau pateiktų veiksmingų kontracepcijos metodų.Venų tromb</w:t>
      </w:r>
      <w:r w:rsidR="00F24D7B">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embolijos rizika išlieka dar 4-6 savaites po sudėtinių geriamųjų kontraceptikų vartojimo nutraukimo. Kontraceptinių steroidų veiksmingumas gali sumažėti gydymo su deksametazonu metu (žr. 4.5 skyrių).</w:t>
      </w:r>
    </w:p>
    <w:p w14:paraId="5061A23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C987271" w14:textId="64511D7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Implantai ir levonorgestrelį atpalaiduojančios </w:t>
      </w:r>
      <w:r w:rsidR="00D705A8">
        <w:rPr>
          <w:rFonts w:ascii="Times New Roman" w:eastAsia="Times New Roman" w:hAnsi="Times New Roman" w:cs="Times New Roman"/>
          <w:kern w:val="0"/>
          <w:lang w:val="lt-LT"/>
          <w14:ligatures w14:val="none"/>
        </w:rPr>
        <w:t>intrauterinės</w:t>
      </w:r>
      <w:r w:rsidRPr="00A552D9">
        <w:rPr>
          <w:rFonts w:ascii="Times New Roman" w:eastAsia="Times New Roman" w:hAnsi="Times New Roman" w:cs="Times New Roman"/>
          <w:kern w:val="0"/>
          <w:lang w:val="lt-LT"/>
          <w14:ligatures w14:val="none"/>
        </w:rPr>
        <w:t xml:space="preserve"> sistemos yra susijusios su padidėjusia infekcijos patekimo rizika jų įdėjimo metu bei nereguliaraus kraujavimo iš makšties rizika. Ypač pacientams, kuriems yra neutropenija, turi būti apsvarstomas profilaktinis antibiotikų skyrimas.</w:t>
      </w:r>
    </w:p>
    <w:p w14:paraId="0F6B32D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E8946A2" w14:textId="7954936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Varį atpalaiduojančių vartojimo į gimd</w:t>
      </w:r>
      <w:r w:rsidR="00BE79D6">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w:t>
      </w:r>
      <w:r w:rsidR="00BE79D6">
        <w:rPr>
          <w:rFonts w:ascii="Times New Roman" w:eastAsia="Times New Roman" w:hAnsi="Times New Roman" w:cs="Times New Roman"/>
          <w:kern w:val="0"/>
          <w:lang w:val="lt-LT"/>
          <w14:ligatures w14:val="none"/>
        </w:rPr>
        <w:t xml:space="preserve">ertmę </w:t>
      </w:r>
      <w:r w:rsidRPr="00A552D9">
        <w:rPr>
          <w:rFonts w:ascii="Times New Roman" w:eastAsia="Times New Roman" w:hAnsi="Times New Roman" w:cs="Times New Roman"/>
          <w:kern w:val="0"/>
          <w:lang w:val="lt-LT"/>
          <w14:ligatures w14:val="none"/>
        </w:rPr>
        <w:t xml:space="preserve">sistemų įvedimas nėra rekomenduojamas dėl potencialios infekcijos patekimo rizikos įdėjimo metu ir kraujo </w:t>
      </w:r>
      <w:r w:rsidR="0044369C">
        <w:rPr>
          <w:rFonts w:ascii="Times New Roman" w:eastAsia="Times New Roman" w:hAnsi="Times New Roman" w:cs="Times New Roman"/>
          <w:kern w:val="0"/>
          <w:lang w:val="lt-LT"/>
          <w14:ligatures w14:val="none"/>
        </w:rPr>
        <w:t>netekimo</w:t>
      </w:r>
      <w:r w:rsidR="0044369C"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menstruacijų metu, kas galėtų kelti pavojų pacientėms, kurioms yra sunki neutropenija ar sunki trombocitopenija.</w:t>
      </w:r>
    </w:p>
    <w:p w14:paraId="13676C0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1A709D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Nėštumo testai</w:t>
      </w:r>
    </w:p>
    <w:p w14:paraId="0F8B3F2E" w14:textId="6F5C78C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Remiantis praktika, mediciniškai patikimus nėštumo testus, kurių minimalus jautrumas yra </w:t>
      </w:r>
      <w:r w:rsidR="008B6880">
        <w:rPr>
          <w:rFonts w:ascii="Times New Roman" w:eastAsia="Times New Roman" w:hAnsi="Times New Roman" w:cs="Times New Roman"/>
          <w:kern w:val="0"/>
          <w:lang w:val="lt-LT"/>
          <w14:ligatures w14:val="none"/>
        </w:rPr>
        <w:t xml:space="preserve">ne mažesnis nei </w:t>
      </w:r>
      <w:r w:rsidRPr="00A552D9">
        <w:rPr>
          <w:rFonts w:ascii="Times New Roman" w:eastAsia="Times New Roman" w:hAnsi="Times New Roman" w:cs="Times New Roman"/>
          <w:kern w:val="0"/>
          <w:lang w:val="lt-LT"/>
          <w14:ligatures w14:val="none"/>
        </w:rPr>
        <w:t>25 mTV/ml, vaisingos moterys turi atlikti taip, kaip nurodyta toliau. Tai taikytina ir toms vaisingoms moterims, kurios praktikuoja visišką ir nuolatinį susilaikymą nuo lytinių santykių. Idealiu atveju nėštumo testas turi būti atliktas</w:t>
      </w:r>
      <w:r w:rsidR="006C20E4">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paskirtas </w:t>
      </w:r>
      <w:r w:rsidR="00AA1BD5">
        <w:rPr>
          <w:rFonts w:ascii="Times New Roman" w:eastAsia="Times New Roman" w:hAnsi="Times New Roman" w:cs="Times New Roman"/>
          <w:kern w:val="0"/>
          <w:lang w:val="lt-LT"/>
          <w14:ligatures w14:val="none"/>
        </w:rPr>
        <w:t>bei</w:t>
      </w:r>
      <w:r w:rsidR="00AA1BD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išduotas tą pačią dieną. Pomalidomidas vaisingoms moterims turi būti išduotas per 7 dienas po jo išrašymo.</w:t>
      </w:r>
    </w:p>
    <w:p w14:paraId="6C038BD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F19313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Prieš pradedant gydymą</w:t>
      </w:r>
    </w:p>
    <w:p w14:paraId="6481F11B" w14:textId="66C536C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Gydytojui prižiūrint nėštumo </w:t>
      </w:r>
      <w:r w:rsidR="009E6037">
        <w:rPr>
          <w:rFonts w:ascii="Times New Roman" w:eastAsia="Times New Roman" w:hAnsi="Times New Roman" w:cs="Times New Roman"/>
          <w:kern w:val="0"/>
          <w:lang w:val="lt-LT"/>
          <w14:ligatures w14:val="none"/>
        </w:rPr>
        <w:t>testas</w:t>
      </w:r>
      <w:r w:rsidR="009E603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turi būti atliktas konsultacijos, kurios metu skiriamas pomalidomid</w:t>
      </w:r>
      <w:r w:rsidR="009E6037">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metu arba likus 3 dienoms iki šio vizito pas vaistinį preparatą skiriantį gydytoją pacientei, kuri pastarąsias </w:t>
      </w:r>
      <w:r w:rsidR="00233992">
        <w:rPr>
          <w:rFonts w:ascii="Times New Roman" w:eastAsia="Times New Roman" w:hAnsi="Times New Roman" w:cs="Times New Roman"/>
          <w:kern w:val="0"/>
          <w:lang w:val="lt-LT"/>
          <w14:ligatures w14:val="none"/>
        </w:rPr>
        <w:t xml:space="preserve">bent </w:t>
      </w:r>
      <w:r w:rsidRPr="00A552D9">
        <w:rPr>
          <w:rFonts w:ascii="Times New Roman" w:eastAsia="Times New Roman" w:hAnsi="Times New Roman" w:cs="Times New Roman"/>
          <w:kern w:val="0"/>
          <w:lang w:val="lt-LT"/>
          <w14:ligatures w14:val="none"/>
        </w:rPr>
        <w:t xml:space="preserve">4 savaites vartojo veiksmingą kontracepciją. </w:t>
      </w:r>
      <w:r w:rsidR="001C361B">
        <w:rPr>
          <w:rFonts w:ascii="Times New Roman" w:eastAsia="Times New Roman" w:hAnsi="Times New Roman" w:cs="Times New Roman"/>
          <w:kern w:val="0"/>
          <w:lang w:val="lt-LT"/>
          <w14:ligatures w14:val="none"/>
        </w:rPr>
        <w:t>Testas</w:t>
      </w:r>
      <w:r w:rsidR="001C361B"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turi užtikrinti, kad gydymą pomalidomidu pradedanti pacientė nėra nėščia.</w:t>
      </w:r>
    </w:p>
    <w:p w14:paraId="680B88C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D8A15D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Stebėjimas ir gydymo pabaiga</w:t>
      </w:r>
    </w:p>
    <w:p w14:paraId="557424F4" w14:textId="542AF11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Gydytojui prižiūrint nėštumo </w:t>
      </w:r>
      <w:r w:rsidR="005D1AAB">
        <w:rPr>
          <w:rFonts w:ascii="Times New Roman" w:eastAsia="Times New Roman" w:hAnsi="Times New Roman" w:cs="Times New Roman"/>
          <w:kern w:val="0"/>
          <w:lang w:val="lt-LT"/>
          <w14:ligatures w14:val="none"/>
        </w:rPr>
        <w:t>testas</w:t>
      </w:r>
      <w:r w:rsidR="005D1AAB"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turi būti kartojamas mažiausiai kas 4 savaites, įskaitant mažiausiai 4 savaites po gydymo pabaigos, nebent yra patvirtinta kiaušintakių sterilizacij</w:t>
      </w:r>
      <w:r w:rsidR="005D1AAB">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xml:space="preserve">. Šie nėštumo testai turi būti atliekami apsilankymo pas vaistinį preparatą skiriantį gydytoją dieną arba likus 3 dienoms iki apsilankymo. </w:t>
      </w:r>
    </w:p>
    <w:p w14:paraId="63BA94A8" w14:textId="77777777" w:rsidR="00992F19" w:rsidRPr="00A552D9" w:rsidRDefault="00992F19" w:rsidP="00992F19">
      <w:pPr>
        <w:widowControl w:val="0"/>
        <w:tabs>
          <w:tab w:val="left" w:pos="464"/>
        </w:tabs>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7E5E014" w14:textId="77777777" w:rsidR="00992F19" w:rsidRPr="00A552D9" w:rsidRDefault="00992F19" w:rsidP="00992F19">
      <w:pPr>
        <w:widowControl w:val="0"/>
        <w:tabs>
          <w:tab w:val="left" w:pos="464"/>
        </w:tabs>
        <w:autoSpaceDE w:val="0"/>
        <w:autoSpaceDN w:val="0"/>
        <w:spacing w:before="0" w:after="0" w:line="240" w:lineRule="auto"/>
        <w:ind w:right="2"/>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Papildomos atsargumo priemonės</w:t>
      </w:r>
    </w:p>
    <w:p w14:paraId="4F3F8805" w14:textId="0A0E478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Pacienta</w:t>
      </w:r>
      <w:r w:rsidR="00251364" w:rsidRPr="00A552D9">
        <w:rPr>
          <w:rFonts w:ascii="Times New Roman" w:eastAsia="Times New Roman" w:hAnsi="Times New Roman" w:cs="Times New Roman"/>
          <w:kern w:val="0"/>
          <w:lang w:val="lt-LT"/>
          <w14:ligatures w14:val="none"/>
        </w:rPr>
        <w:t>i</w:t>
      </w:r>
      <w:r w:rsidRPr="00A552D9">
        <w:rPr>
          <w:rFonts w:ascii="Times New Roman" w:eastAsia="Times New Roman" w:hAnsi="Times New Roman" w:cs="Times New Roman"/>
          <w:kern w:val="0"/>
          <w:lang w:val="lt-LT"/>
          <w14:ligatures w14:val="none"/>
        </w:rPr>
        <w:t xml:space="preserve"> turi būti įspėt</w:t>
      </w:r>
      <w:r w:rsidR="00251364" w:rsidRPr="00A552D9">
        <w:rPr>
          <w:rFonts w:ascii="Times New Roman" w:eastAsia="Times New Roman" w:hAnsi="Times New Roman" w:cs="Times New Roman"/>
          <w:kern w:val="0"/>
          <w:lang w:val="lt-LT"/>
          <w14:ligatures w14:val="none"/>
        </w:rPr>
        <w:t>i</w:t>
      </w:r>
      <w:r w:rsidRPr="00A552D9">
        <w:rPr>
          <w:rFonts w:ascii="Times New Roman" w:eastAsia="Times New Roman" w:hAnsi="Times New Roman" w:cs="Times New Roman"/>
          <w:kern w:val="0"/>
          <w:lang w:val="lt-LT"/>
          <w14:ligatures w14:val="none"/>
        </w:rPr>
        <w:t xml:space="preserve"> niekuomet neduoti šio vaistinio preparato kitam asmeniui ir pabaigus gydymą grąžinti visas nesuvartotas kapsules vaistininkui.</w:t>
      </w:r>
    </w:p>
    <w:p w14:paraId="535213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EBCBD2F" w14:textId="0917CBB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Gydymo metu (įskaitant laikinus gydymo nutraukimus) ir bent 7 dienas po gydymo pomalidomidu nutraukimo pacienta</w:t>
      </w:r>
      <w:r w:rsidR="00BE2055" w:rsidRPr="00A552D9">
        <w:rPr>
          <w:rFonts w:ascii="Times New Roman" w:eastAsia="Times New Roman" w:hAnsi="Times New Roman" w:cs="Times New Roman"/>
          <w:kern w:val="0"/>
          <w:lang w:val="lt-LT"/>
          <w14:ligatures w14:val="none"/>
        </w:rPr>
        <w:t>i</w:t>
      </w:r>
      <w:r w:rsidRPr="00A552D9">
        <w:rPr>
          <w:rFonts w:ascii="Times New Roman" w:eastAsia="Times New Roman" w:hAnsi="Times New Roman" w:cs="Times New Roman"/>
          <w:kern w:val="0"/>
          <w:lang w:val="lt-LT"/>
          <w14:ligatures w14:val="none"/>
        </w:rPr>
        <w:t xml:space="preserve"> negali būti kraujo, sėklos arba spermos donor</w:t>
      </w:r>
      <w:r w:rsidR="00BE2055" w:rsidRPr="00A552D9">
        <w:rPr>
          <w:rFonts w:ascii="Times New Roman" w:eastAsia="Times New Roman" w:hAnsi="Times New Roman" w:cs="Times New Roman"/>
          <w:kern w:val="0"/>
          <w:lang w:val="lt-LT"/>
          <w14:ligatures w14:val="none"/>
        </w:rPr>
        <w:t>ais</w:t>
      </w:r>
      <w:r w:rsidRPr="00A552D9">
        <w:rPr>
          <w:rFonts w:ascii="Times New Roman" w:eastAsia="Times New Roman" w:hAnsi="Times New Roman" w:cs="Times New Roman"/>
          <w:kern w:val="0"/>
          <w:lang w:val="lt-LT"/>
          <w14:ligatures w14:val="none"/>
        </w:rPr>
        <w:t>.</w:t>
      </w:r>
    </w:p>
    <w:p w14:paraId="79B27FF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FE473B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Ruošdami lizdinę plokštelę arba kapsulę, sveikatos priežiūros specialistai ir globėjai turi mūvėti vienkartines pirštines. Moterims, kurios yra nėščios arba įtaria, kad galbūt yra nėščios, lizdinės plokštelės arba kapsulės ruošti negalima (žr. 6.6 skyrių).</w:t>
      </w:r>
    </w:p>
    <w:p w14:paraId="0A38CBF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FF48B7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Mokamoji medžiaga, vaistinio preparato receptų išrašymo ir išdavimo apribojimai</w:t>
      </w:r>
    </w:p>
    <w:p w14:paraId="6CA09209" w14:textId="0D2A094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Siekdamas padėti pacientams išvengti pomalidomido poveikio vaisiui, registruotojas pateiks informacinę medžiagą sveikatos priežiūros specialistams, kad būtų sustiprintas perspėjimas apie galimą teratogeninį pomalidomido poveikį, kad prieš pradedant gydymą šiuo vaistiniu preparatu būtų patariama kontracepcijos klausimais ir patariama dėl būtinybės atlikti nėštumo testus. Vaistinį preparatą </w:t>
      </w:r>
      <w:r w:rsidR="0049569F">
        <w:rPr>
          <w:rFonts w:ascii="Times New Roman" w:eastAsia="Times New Roman" w:hAnsi="Times New Roman" w:cs="Times New Roman"/>
          <w:kern w:val="0"/>
          <w:lang w:val="lt-LT"/>
          <w14:ligatures w14:val="none"/>
        </w:rPr>
        <w:t>skiriantis</w:t>
      </w:r>
      <w:r w:rsidR="0049569F" w:rsidRPr="00A552D9">
        <w:rPr>
          <w:rFonts w:ascii="Times New Roman" w:eastAsia="Times New Roman" w:hAnsi="Times New Roman" w:cs="Times New Roman"/>
          <w:kern w:val="0"/>
          <w:lang w:val="lt-LT"/>
          <w14:ligatures w14:val="none"/>
        </w:rPr>
        <w:t xml:space="preserve"> </w:t>
      </w:r>
      <w:r w:rsidR="005871BF">
        <w:rPr>
          <w:rFonts w:ascii="Times New Roman" w:eastAsia="Times New Roman" w:hAnsi="Times New Roman" w:cs="Times New Roman"/>
          <w:kern w:val="0"/>
          <w:lang w:val="lt-LT"/>
          <w14:ligatures w14:val="none"/>
        </w:rPr>
        <w:t>gydytojas</w:t>
      </w:r>
      <w:r w:rsidR="005871BF"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turi informuoti pacientą apie galimą teratogeninio poveikio riziką ir griežtas nėštumo prevencijos priemones, kaip aprašyta Nėštumo prevencijos programoje</w:t>
      </w:r>
      <w:r w:rsidR="00133F45">
        <w:rPr>
          <w:rFonts w:ascii="Times New Roman" w:eastAsia="Times New Roman" w:hAnsi="Times New Roman" w:cs="Times New Roman"/>
          <w:kern w:val="0"/>
          <w:lang w:val="lt-LT"/>
          <w14:ligatures w14:val="none"/>
        </w:rPr>
        <w:t xml:space="preserve"> bei</w:t>
      </w:r>
      <w:r w:rsidRPr="00A552D9">
        <w:rPr>
          <w:rFonts w:ascii="Times New Roman" w:eastAsia="Times New Roman" w:hAnsi="Times New Roman" w:cs="Times New Roman"/>
          <w:kern w:val="0"/>
          <w:lang w:val="lt-LT"/>
          <w14:ligatures w14:val="none"/>
        </w:rPr>
        <w:t xml:space="preserve"> pateikti atitinkamą pacientams skirtą mokamąją brošiūrą, paciento kortelę ir (arba) atitinkamą priemonę, </w:t>
      </w:r>
      <w:r w:rsidR="00145E72" w:rsidRPr="00A1310F">
        <w:rPr>
          <w:rFonts w:ascii="Times New Roman" w:eastAsia="Times New Roman" w:hAnsi="Times New Roman" w:cs="Times New Roman"/>
          <w:kern w:val="0"/>
          <w:lang w:val="lt-LT"/>
          <w14:ligatures w14:val="none"/>
        </w:rPr>
        <w:t>pagal šalyje įdiegtą paciento kortelių sistemą</w:t>
      </w:r>
      <w:r w:rsidRPr="00A552D9">
        <w:rPr>
          <w:rFonts w:ascii="Times New Roman" w:eastAsia="Times New Roman" w:hAnsi="Times New Roman" w:cs="Times New Roman"/>
          <w:kern w:val="0"/>
          <w:lang w:val="lt-LT"/>
          <w14:ligatures w14:val="none"/>
        </w:rPr>
        <w:t xml:space="preserve">. </w:t>
      </w:r>
      <w:r w:rsidR="003E1E45" w:rsidRPr="00A552D9">
        <w:rPr>
          <w:rFonts w:ascii="Times New Roman" w:eastAsia="Times New Roman" w:hAnsi="Times New Roman" w:cs="Times New Roman"/>
          <w:kern w:val="0"/>
          <w:lang w:val="lt-LT"/>
          <w14:ligatures w14:val="none"/>
        </w:rPr>
        <w:t>Bendradarbiaujant su kiekviena nacionaline kompetentinga institucija buvo įdiegta nacionalinė kontroliuojamo platinimo sistema.</w:t>
      </w:r>
      <w:r w:rsidR="006628EF" w:rsidRPr="00A552D9">
        <w:rPr>
          <w:rFonts w:ascii="Times New Roman" w:eastAsia="Times New Roman" w:hAnsi="Times New Roman" w:cs="Times New Roman"/>
          <w:kern w:val="0"/>
          <w:lang w:val="lt-LT"/>
          <w14:ligatures w14:val="none"/>
        </w:rPr>
        <w:t xml:space="preserve"> </w:t>
      </w:r>
      <w:r w:rsidR="002A00CC" w:rsidRPr="00A552D9">
        <w:rPr>
          <w:rFonts w:ascii="Times New Roman" w:eastAsia="Times New Roman" w:hAnsi="Times New Roman" w:cs="Times New Roman"/>
          <w:kern w:val="0"/>
          <w:lang w:val="lt-LT"/>
          <w14:ligatures w14:val="none"/>
        </w:rPr>
        <w:t>Į</w:t>
      </w:r>
      <w:r w:rsidRPr="00A552D9">
        <w:rPr>
          <w:rFonts w:ascii="Times New Roman" w:eastAsia="Times New Roman" w:hAnsi="Times New Roman" w:cs="Times New Roman"/>
          <w:kern w:val="0"/>
          <w:lang w:val="lt-LT"/>
          <w14:ligatures w14:val="none"/>
        </w:rPr>
        <w:t xml:space="preserve"> </w:t>
      </w:r>
      <w:r w:rsidR="002A00CC" w:rsidRPr="00A552D9">
        <w:rPr>
          <w:rFonts w:ascii="Times New Roman" w:eastAsia="Times New Roman" w:hAnsi="Times New Roman" w:cs="Times New Roman"/>
          <w:kern w:val="0"/>
          <w:lang w:val="lt-LT"/>
          <w14:ligatures w14:val="none"/>
        </w:rPr>
        <w:t>kontroliuojamą platinimo sistemą</w:t>
      </w:r>
      <w:r w:rsidRPr="00A552D9">
        <w:rPr>
          <w:rFonts w:ascii="Times New Roman" w:eastAsia="Times New Roman" w:hAnsi="Times New Roman" w:cs="Times New Roman"/>
          <w:kern w:val="0"/>
          <w:lang w:val="lt-LT"/>
          <w14:ligatures w14:val="none"/>
        </w:rPr>
        <w:t xml:space="preserve"> įeina paciento kortelės ir (arba) lygiavertės receptų išrašymo ir (arba) vaistinio preparato išdavimo kontrolės priemonės naudojimas ir išsami</w:t>
      </w:r>
      <w:r w:rsidR="00FE3682" w:rsidRPr="00A552D9">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su indikacija susijusios informacijos rinkimas, siekiant stebėti vaistinio preparato vartojimą ne pagal indikacijas šalies teritorijoje. Idealiu atveju nėštumo testas turi būti atliktas ir vaistinis preparatas paskirtas </w:t>
      </w:r>
      <w:r w:rsidR="009F2302">
        <w:rPr>
          <w:rFonts w:ascii="Times New Roman" w:eastAsia="Times New Roman" w:hAnsi="Times New Roman" w:cs="Times New Roman"/>
          <w:kern w:val="0"/>
          <w:lang w:val="lt-LT"/>
          <w14:ligatures w14:val="none"/>
        </w:rPr>
        <w:t>bei</w:t>
      </w:r>
      <w:r w:rsidR="009F2302"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išduotas tą pačią dieną. Vaisingoms </w:t>
      </w:r>
      <w:r w:rsidRPr="00A552D9">
        <w:rPr>
          <w:rFonts w:ascii="Times New Roman" w:eastAsia="Times New Roman" w:hAnsi="Times New Roman" w:cs="Times New Roman"/>
          <w:kern w:val="0"/>
          <w:lang w:val="lt-LT"/>
          <w14:ligatures w14:val="none"/>
        </w:rPr>
        <w:lastRenderedPageBreak/>
        <w:t>moterims pomalidomid</w:t>
      </w:r>
      <w:r w:rsidR="00FC57D9">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turi būti išduodamas per 7 dienas nuo vaistinio preparato skyrimo ir gydytojui prižiūrint gavus neigiamą nėštumo testo rezultatą. Vaisingoms moterims receptai gali galioti ne ilgiau nei </w:t>
      </w:r>
      <w:r w:rsidR="001B00A6" w:rsidRPr="00A552D9">
        <w:rPr>
          <w:rFonts w:ascii="Times New Roman" w:eastAsia="Times New Roman" w:hAnsi="Times New Roman" w:cs="Times New Roman"/>
          <w:kern w:val="0"/>
          <w:lang w:val="lt-LT"/>
          <w14:ligatures w14:val="none"/>
        </w:rPr>
        <w:t xml:space="preserve">4 </w:t>
      </w:r>
      <w:r w:rsidRPr="00A552D9">
        <w:rPr>
          <w:rFonts w:ascii="Times New Roman" w:eastAsia="Times New Roman" w:hAnsi="Times New Roman" w:cs="Times New Roman"/>
          <w:kern w:val="0"/>
          <w:lang w:val="lt-LT"/>
          <w14:ligatures w14:val="none"/>
        </w:rPr>
        <w:t>gydymo savaites, laikantis patvirtintoms indikacijoms taikomo dozavimo režimo (žr. 4.2 skyrių), visiems kitiems pacientams – ne ilgiau nei 12 savaičių.</w:t>
      </w:r>
    </w:p>
    <w:p w14:paraId="670F675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4FD63F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Hematologiniai reiškiniai</w:t>
      </w:r>
    </w:p>
    <w:p w14:paraId="21B26966" w14:textId="3A58C4A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Pacientams</w:t>
      </w:r>
      <w:r w:rsidR="00FD2B51">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w:t>
      </w:r>
      <w:r w:rsidR="00E84237">
        <w:rPr>
          <w:rFonts w:ascii="Times New Roman" w:eastAsia="Times New Roman" w:hAnsi="Times New Roman" w:cs="Times New Roman"/>
          <w:kern w:val="0"/>
          <w:lang w:val="lt-LT"/>
          <w14:ligatures w14:val="none"/>
        </w:rPr>
        <w:t>sergantiems</w:t>
      </w:r>
      <w:r w:rsidR="00E8423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recidyvuojančia ir (arba) refrakterine daugine mieloma, kurią lydėjo anemija ir trombocitopenija, dažniausiai nustatyta 3-ojo ar 4-ojo laipsnio nepageidaujama hematologinė reakcija buvo neutropenija. Reikia stebėti, ar pacientams nepasireiškia nepageidaujamos hematologinės reakcijos, ypač neutropenijos. Pacientams reikia patarti pranešti apie trumpalaikį karščiavimą nedelsiant. Gydytojai turi stebėti, ar pacientams nėra kraujavimo, įskaitant kraujavimą iš nosies, požymių, ypač kartu vartojant vaistinių preparatų, kurie didina kraujavimo riziką (žr. 4.8 skyrių). Pradinio įvertinimo metu, pirmąsias 8 savaites</w:t>
      </w:r>
      <w:r w:rsidR="00EB7886">
        <w:rPr>
          <w:rFonts w:ascii="Times New Roman" w:eastAsia="Times New Roman" w:hAnsi="Times New Roman" w:cs="Times New Roman"/>
          <w:kern w:val="0"/>
          <w:lang w:val="lt-LT"/>
          <w14:ligatures w14:val="none"/>
        </w:rPr>
        <w:t xml:space="preserve"> kas savaitę</w:t>
      </w:r>
      <w:r w:rsidRPr="00A552D9">
        <w:rPr>
          <w:rFonts w:ascii="Times New Roman" w:eastAsia="Times New Roman" w:hAnsi="Times New Roman" w:cs="Times New Roman"/>
          <w:kern w:val="0"/>
          <w:lang w:val="lt-LT"/>
          <w14:ligatures w14:val="none"/>
        </w:rPr>
        <w:t xml:space="preserve"> ir po to kas mėnesį reikia atlikti bendrą kraujo tyrimą. Gali reikėti koreguoti dozę (žr. 4.2 skyrių). Pacientams gali reikėti papildomai vartoti kraujo preparatų ir (arba) augimo faktorių.</w:t>
      </w:r>
    </w:p>
    <w:p w14:paraId="548242D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44C568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Tromboemboliniai reiškiniai</w:t>
      </w:r>
    </w:p>
    <w:p w14:paraId="65A98D7C" w14:textId="2D92AD8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w:t>
      </w:r>
      <w:r w:rsidR="00701AF7">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kartu su bortezomibu ir deksametazonu arba kartu su deksametazonu vartojantiems pacientams pasireiškė tromboemboliniai reiškiniai (daugiausiai giliųjų venų trombozės ir plaučių embolijos) bei arterijų trombozės reiškiniai (miokardo infarktas ir galvos smegenų kraujotakos sutrikimas) (žr. 4.8 skyrių). Todėl pacientus, kuriems yra žinomų tromboembolijos rizikos veiksnių, įskaitant ankstesnę trombozę, reikia atidžiai stebėti. Reikia imtis veiksmų </w:t>
      </w:r>
      <w:r w:rsidR="00A62D16">
        <w:rPr>
          <w:rFonts w:ascii="Times New Roman" w:eastAsia="Times New Roman" w:hAnsi="Times New Roman" w:cs="Times New Roman"/>
          <w:kern w:val="0"/>
          <w:lang w:val="lt-LT"/>
          <w14:ligatures w14:val="none"/>
        </w:rPr>
        <w:t>siekiant</w:t>
      </w:r>
      <w:r w:rsidR="00A62D16"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sumažinti visus valdomuosius rizikos veiksnius (pvz., rūkymą, padidėjusį kraujospūdį ir hiperlipidemiją). Pacientams ir gydytojams patariama stebėti, ar neatsiranda tromb</w:t>
      </w:r>
      <w:r w:rsidR="008700BA">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embolijos požymių ir simptomų. Pacientams reikia nurodyti kreiptis į gydytoją, jei pasireiškia tokie simptomai kaip dusulys, krūtinės skausmas, rankų ar kojų patinimas. Rekomenduojama vartoti antikoaguliantus (jei tai nėra kontraindikuotina) (pvz., acetilsalicilo rūgštį, varfariną, hepariną ar klopidogrelį), ypač pacientams, kuriems yra papildomų trombozės rizikos veiksnių. Sprendimas dėl profilaktinių priemonių turi būti priimtas atidžiai įvertinus individualius paciento rizikos veiksnius. Klinikinių tyrimų metu pacientai profilaktiškai vartojo acetilsalicilo rūgštį ar kitų trombų susidarymą mažinančių vaistinių preparatų. Eritropoezę skatinančių vaistinių preparatų vartojimas yra susijęs su trombozės reiškinių, įskaitant tromboemboliją, rizik</w:t>
      </w:r>
      <w:r w:rsidR="00B9592D">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Todėl eritropoezę skatinanči</w:t>
      </w:r>
      <w:r w:rsidR="00FD1D95">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vaistini</w:t>
      </w:r>
      <w:r w:rsidR="00FD1D95">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preparat</w:t>
      </w:r>
      <w:r w:rsidR="00FD1D95">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taip pat kit</w:t>
      </w:r>
      <w:r w:rsidR="00FD1D95">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vaistini</w:t>
      </w:r>
      <w:r w:rsidR="00FD1D95">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preparat</w:t>
      </w:r>
      <w:r w:rsidR="00FD1D95">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galinči</w:t>
      </w:r>
      <w:r w:rsidR="00FD1D95">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didinti tromboembolinių reiškinių riziką, reikia vartoti atsargiai. </w:t>
      </w:r>
    </w:p>
    <w:p w14:paraId="34A5C5E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6A72D4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Skydliaukės sutrikimai</w:t>
      </w:r>
    </w:p>
    <w:p w14:paraId="77357C5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Gauta pranešimų apie hipotirozės atvejus. Prieš pradedant gydymą, rekomenduojama optimaliai kontroliuoti gretutines ligas, kurios veikia skydliaukės funkciją. Rekomenduojama gydymo pradžioje ir vėliau stebėti skydliaukės funkciją.</w:t>
      </w:r>
    </w:p>
    <w:p w14:paraId="59F00EF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97BE3A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Periferinė neuropatija</w:t>
      </w:r>
    </w:p>
    <w:p w14:paraId="2A63DE3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Pacientai, sergantys nepraeinančia ≥ 2 laipsnio periferine neuropatija, į klinikinius pomalidomido tyrimus įtraukti nebuvo. Tokius pacientus pomalidomidu reikia gydyti ypač atsargiai.</w:t>
      </w:r>
    </w:p>
    <w:p w14:paraId="544FD71D" w14:textId="3AC1E7A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5FC612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Reikšmingas širdies funkcijos sutrikimas</w:t>
      </w:r>
    </w:p>
    <w:p w14:paraId="314A6063" w14:textId="6EC2F52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Pacientai, kuriems nustatytas reikšmingas širdies funkcijos sutrikimas (stazinis širdies nepakankamumas [III ar IV funkcinė klasė pagal NYHA (angl. </w:t>
      </w:r>
      <w:r w:rsidRPr="00A552D9">
        <w:rPr>
          <w:rFonts w:ascii="Times New Roman" w:eastAsia="Times New Roman" w:hAnsi="Times New Roman" w:cs="Times New Roman"/>
          <w:i/>
          <w:kern w:val="0"/>
          <w:lang w:val="lt-LT"/>
          <w14:ligatures w14:val="none"/>
        </w:rPr>
        <w:t>NY Heart Association</w:t>
      </w:r>
      <w:r w:rsidRPr="00A552D9">
        <w:rPr>
          <w:rFonts w:ascii="Times New Roman" w:eastAsia="Times New Roman" w:hAnsi="Times New Roman" w:cs="Times New Roman"/>
          <w:kern w:val="0"/>
          <w:lang w:val="lt-LT"/>
          <w14:ligatures w14:val="none"/>
        </w:rPr>
        <w:t>) klasifikaciją]; miokardo infarktas per 12 mėnesių nuo tyrimo pradžios; nestabilioji ar prastai kontroliuojama krūtinės angina), į klinikinius pomalidomido tyrimus įtraukti nebuvo. Nustatyta širdies reiškinių, įskaitant stazinį širdies nepakankamumą, plaučių edemą ir prieširdžių virpėjimą (žr. 4.8 skyrių), daugiausia pacientams, kurie jau serga širdies liga arba kuriems yra širdies reiškinių rizikos veiksnių. Tokius pacientus pomalidomidu reikia gydyti ypač atsargiai, reguliariai stebint, ar neatsirado širdies</w:t>
      </w:r>
      <w:r w:rsidR="00F310E4">
        <w:rPr>
          <w:rFonts w:ascii="Times New Roman" w:eastAsia="Times New Roman" w:hAnsi="Times New Roman" w:cs="Times New Roman"/>
          <w:kern w:val="0"/>
          <w:lang w:val="lt-LT"/>
          <w14:ligatures w14:val="none"/>
        </w:rPr>
        <w:t xml:space="preserve"> funkcijos</w:t>
      </w:r>
      <w:r w:rsidRPr="00A552D9">
        <w:rPr>
          <w:rFonts w:ascii="Times New Roman" w:eastAsia="Times New Roman" w:hAnsi="Times New Roman" w:cs="Times New Roman"/>
          <w:kern w:val="0"/>
          <w:lang w:val="lt-LT"/>
          <w14:ligatures w14:val="none"/>
        </w:rPr>
        <w:t xml:space="preserve"> </w:t>
      </w:r>
      <w:r w:rsidR="002A77B4">
        <w:rPr>
          <w:rFonts w:ascii="Times New Roman" w:eastAsia="Times New Roman" w:hAnsi="Times New Roman" w:cs="Times New Roman"/>
          <w:kern w:val="0"/>
          <w:lang w:val="lt-LT"/>
          <w14:ligatures w14:val="none"/>
        </w:rPr>
        <w:t>sutrikim</w:t>
      </w:r>
      <w:r w:rsidR="00F310E4">
        <w:rPr>
          <w:rFonts w:ascii="Times New Roman" w:eastAsia="Times New Roman" w:hAnsi="Times New Roman" w:cs="Times New Roman"/>
          <w:kern w:val="0"/>
          <w:lang w:val="lt-LT"/>
          <w14:ligatures w14:val="none"/>
        </w:rPr>
        <w:t xml:space="preserve">o </w:t>
      </w:r>
      <w:r w:rsidRPr="00A552D9">
        <w:rPr>
          <w:rFonts w:ascii="Times New Roman" w:eastAsia="Times New Roman" w:hAnsi="Times New Roman" w:cs="Times New Roman"/>
          <w:kern w:val="0"/>
          <w:lang w:val="lt-LT"/>
          <w14:ligatures w14:val="none"/>
        </w:rPr>
        <w:t>požymių ar simptomų.</w:t>
      </w:r>
    </w:p>
    <w:p w14:paraId="0D60740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84F337D" w14:textId="5EDD5E4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Navik</w:t>
      </w:r>
      <w:r w:rsidR="008C21DD">
        <w:rPr>
          <w:rFonts w:ascii="Times New Roman" w:eastAsia="Times New Roman" w:hAnsi="Times New Roman" w:cs="Times New Roman"/>
          <w:kern w:val="0"/>
          <w:u w:val="single"/>
          <w:lang w:val="lt-LT"/>
          <w14:ligatures w14:val="none"/>
        </w:rPr>
        <w:t>ų</w:t>
      </w:r>
      <w:r w:rsidRPr="00A552D9">
        <w:rPr>
          <w:rFonts w:ascii="Times New Roman" w:eastAsia="Times New Roman" w:hAnsi="Times New Roman" w:cs="Times New Roman"/>
          <w:kern w:val="0"/>
          <w:u w:val="single"/>
          <w:lang w:val="lt-LT"/>
          <w14:ligatures w14:val="none"/>
        </w:rPr>
        <w:t xml:space="preserve"> lizės sindromas</w:t>
      </w:r>
    </w:p>
    <w:p w14:paraId="709ABF65" w14:textId="4B86B05D"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Didžiausia navik</w:t>
      </w:r>
      <w:r w:rsidR="0027324A">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lizės sindromo rizika yra tiems pacientams, kurių navikas iki gydymo labai </w:t>
      </w:r>
      <w:r w:rsidR="008A39C1">
        <w:rPr>
          <w:rFonts w:ascii="Times New Roman" w:eastAsia="Times New Roman" w:hAnsi="Times New Roman" w:cs="Times New Roman"/>
          <w:kern w:val="0"/>
          <w:lang w:val="lt-LT"/>
          <w14:ligatures w14:val="none"/>
        </w:rPr>
        <w:t>išplitęs</w:t>
      </w:r>
      <w:r w:rsidRPr="00A552D9">
        <w:rPr>
          <w:rFonts w:ascii="Times New Roman" w:eastAsia="Times New Roman" w:hAnsi="Times New Roman" w:cs="Times New Roman"/>
          <w:kern w:val="0"/>
          <w:lang w:val="lt-LT"/>
          <w14:ligatures w14:val="none"/>
        </w:rPr>
        <w:t>. Šiuos pacientus reikia atidžiai stebėti ir imtis reikiamų atsargumo priemonių.</w:t>
      </w:r>
    </w:p>
    <w:p w14:paraId="7BAD79F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92D686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lastRenderedPageBreak/>
        <w:t>Antrieji pirminiai piktybiniai navikai</w:t>
      </w:r>
    </w:p>
    <w:p w14:paraId="5C87D0B4" w14:textId="2B4B07E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w:t>
      </w:r>
      <w:r w:rsidR="00050815">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vartojantiems pacientams nustatyti antrieji pirminiai piktybiniai navikai, pvz., nemelanominis odos vėžys (žr. 4.8 skyrių). Prieš gydymą ir gydymo metu gydytojai, </w:t>
      </w:r>
      <w:r w:rsidR="00E6577C">
        <w:rPr>
          <w:rFonts w:ascii="Times New Roman" w:eastAsia="Times New Roman" w:hAnsi="Times New Roman" w:cs="Times New Roman"/>
          <w:kern w:val="0"/>
          <w:lang w:val="lt-LT"/>
          <w14:ligatures w14:val="none"/>
        </w:rPr>
        <w:t>atlikdami</w:t>
      </w:r>
      <w:r w:rsidR="00E6577C"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standartinę vėžio patikrą, turi atidžiai įvertinti, ar pacientams neatsirado antrųjų pirminių</w:t>
      </w:r>
      <w:r w:rsidR="00E67352">
        <w:rPr>
          <w:rFonts w:ascii="Times New Roman" w:eastAsia="Times New Roman" w:hAnsi="Times New Roman" w:cs="Times New Roman"/>
          <w:kern w:val="0"/>
          <w:lang w:val="lt-LT"/>
          <w14:ligatures w14:val="none"/>
        </w:rPr>
        <w:t xml:space="preserve"> piktybinių</w:t>
      </w:r>
      <w:r w:rsidRPr="00A552D9">
        <w:rPr>
          <w:rFonts w:ascii="Times New Roman" w:eastAsia="Times New Roman" w:hAnsi="Times New Roman" w:cs="Times New Roman"/>
          <w:kern w:val="0"/>
          <w:lang w:val="lt-LT"/>
          <w14:ligatures w14:val="none"/>
        </w:rPr>
        <w:t xml:space="preserve"> navikų ir pradėti gydymą pagal indikacijas.</w:t>
      </w:r>
    </w:p>
    <w:p w14:paraId="615E680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DC997D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Alerginės reakcijos ir sunkios odos reakcijos</w:t>
      </w:r>
    </w:p>
    <w:p w14:paraId="5B4050CE" w14:textId="0BF95B86"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Vartojant pomalidomid</w:t>
      </w:r>
      <w:r w:rsidR="006F706D">
        <w:rPr>
          <w:rFonts w:ascii="Times New Roman" w:eastAsia="Times New Roman" w:hAnsi="Times New Roman" w:cs="Times New Roman"/>
          <w:kern w:val="0"/>
          <w:lang w:val="lt-LT"/>
          <w14:ligatures w14:val="none"/>
        </w:rPr>
        <w:t>o</w:t>
      </w:r>
      <w:r w:rsidR="00D973D4">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nustatyta angioneurozinė edema, anafilaksinė reakcija ir sunkios dermatologinės reakcijos, įskaitant SDS, TEN ir VRESS (žr. 4.8 skyrių). Vaistinį preparatą skiriantis gydytojas pacientus turi įspėti dėl šių reakcijų požymių ir simptomų, pacientams reikia nurodyti nedelsiant kreiptis medicininės pagalbos, jeigu jiems pasireiškia ši</w:t>
      </w:r>
      <w:r w:rsidR="00137F2E">
        <w:rPr>
          <w:rFonts w:ascii="Times New Roman" w:eastAsia="Times New Roman" w:hAnsi="Times New Roman" w:cs="Times New Roman"/>
          <w:kern w:val="0"/>
          <w:lang w:val="lt-LT"/>
          <w14:ligatures w14:val="none"/>
        </w:rPr>
        <w:t>e</w:t>
      </w:r>
      <w:r w:rsidRPr="00A552D9">
        <w:rPr>
          <w:rFonts w:ascii="Times New Roman" w:eastAsia="Times New Roman" w:hAnsi="Times New Roman" w:cs="Times New Roman"/>
          <w:kern w:val="0"/>
          <w:lang w:val="lt-LT"/>
          <w14:ligatures w14:val="none"/>
        </w:rPr>
        <w:t xml:space="preserve"> simptom</w:t>
      </w:r>
      <w:r w:rsidR="00137F2E">
        <w:rPr>
          <w:rFonts w:ascii="Times New Roman" w:eastAsia="Times New Roman" w:hAnsi="Times New Roman" w:cs="Times New Roman"/>
          <w:kern w:val="0"/>
          <w:lang w:val="lt-LT"/>
          <w14:ligatures w14:val="none"/>
        </w:rPr>
        <w:t>ai</w:t>
      </w:r>
      <w:r w:rsidRPr="00A552D9">
        <w:rPr>
          <w:rFonts w:ascii="Times New Roman" w:eastAsia="Times New Roman" w:hAnsi="Times New Roman" w:cs="Times New Roman"/>
          <w:kern w:val="0"/>
          <w:lang w:val="lt-LT"/>
          <w14:ligatures w14:val="none"/>
        </w:rPr>
        <w:t>. Pomalidomido vartojimą reikia nutraukti pasireiškus eksfoliaciniam ar pūsliniam išbėrimui arba įtarus SDS, TEN arba VRESS; šioms reakcijoms išnykus, vartojimo tęsti negalima. Pacientai, kuriems yra pasireiškę sunkių alerginių reakcijų vartojant talidomid</w:t>
      </w:r>
      <w:r w:rsidR="00980381">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arba lenalidomid</w:t>
      </w:r>
      <w:r w:rsidR="00980381">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į klinikinius tyrimus įtraukti nebuvo</w:t>
      </w:r>
      <w:r w:rsidR="00E249BB" w:rsidRPr="00A552D9">
        <w:rPr>
          <w:rFonts w:ascii="Times New Roman" w:eastAsia="Times New Roman" w:hAnsi="Times New Roman" w:cs="Times New Roman"/>
          <w:kern w:val="0"/>
          <w:lang w:val="lt-LT"/>
          <w14:ligatures w14:val="none"/>
        </w:rPr>
        <w:t xml:space="preserve">. </w:t>
      </w:r>
      <w:r w:rsidR="000D774F" w:rsidRPr="00A552D9">
        <w:rPr>
          <w:rFonts w:ascii="Times New Roman" w:eastAsia="Times New Roman" w:hAnsi="Times New Roman" w:cs="Times New Roman"/>
          <w:kern w:val="0"/>
          <w:lang w:val="lt-LT"/>
          <w14:ligatures w14:val="none"/>
        </w:rPr>
        <w:t>Tokiems pacientams</w:t>
      </w:r>
      <w:r w:rsidRPr="00A552D9">
        <w:rPr>
          <w:rFonts w:ascii="Times New Roman" w:eastAsia="Times New Roman" w:hAnsi="Times New Roman" w:cs="Times New Roman"/>
          <w:kern w:val="0"/>
          <w:lang w:val="lt-LT"/>
          <w14:ligatures w14:val="none"/>
        </w:rPr>
        <w:t xml:space="preserve"> gali būti didesnė padidėjusio jautrumo</w:t>
      </w:r>
      <w:r w:rsidR="009919B6">
        <w:rPr>
          <w:rFonts w:ascii="Times New Roman" w:eastAsia="Times New Roman" w:hAnsi="Times New Roman" w:cs="Times New Roman"/>
          <w:kern w:val="0"/>
          <w:lang w:val="lt-LT"/>
          <w14:ligatures w14:val="none"/>
        </w:rPr>
        <w:t xml:space="preserve"> reakcijų</w:t>
      </w:r>
      <w:r w:rsidRPr="00A552D9">
        <w:rPr>
          <w:rFonts w:ascii="Times New Roman" w:eastAsia="Times New Roman" w:hAnsi="Times New Roman" w:cs="Times New Roman"/>
          <w:kern w:val="0"/>
          <w:lang w:val="lt-LT"/>
          <w14:ligatures w14:val="none"/>
        </w:rPr>
        <w:t xml:space="preserve"> rizika ir jiems pomalidomido skirti negalima. Pasireiškus 2–3 laipsnio odos išbėrimui, reikia apsvarstyti galimybę laikinai arba visiškai nutraukti pomalidomido vartojimą. Pasireiškus angioneurozinei edemai ir anafilaksinei reakcijai, pomalidomido vartojimą reikia visiškai nutraukti.</w:t>
      </w:r>
    </w:p>
    <w:p w14:paraId="4D68C6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78E4A8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Svaigulys ir sumišimas</w:t>
      </w:r>
    </w:p>
    <w:p w14:paraId="525998B1" w14:textId="3FDFE70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Vartojant pomalidomid</w:t>
      </w:r>
      <w:r w:rsidR="003F517D">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nustatyti svaigulio ir sumišimo būsenos atvejai. Pacientai turi vengti situacijų, kuriose gali pasireikšti svaigulys ir sumišimas, bei nevartoti kitų vaistinių preparatų, kurie gali sukelti svaigulį ar sumišimą, prieš tai nepasitarę su gydytoju.</w:t>
      </w:r>
    </w:p>
    <w:p w14:paraId="5243AA7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8F0AF1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Intersticinė plaučių liga (IPL)</w:t>
      </w:r>
    </w:p>
    <w:p w14:paraId="7E1015FA" w14:textId="0BAE059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Vartojant pomalidomid</w:t>
      </w:r>
      <w:r w:rsidR="00272EE7">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nustatyta IPL ir susiję reiškiniai, įskaitant pneumonito atvejus. Reikia atidžiai įvertinti pacientus, kuriems nustatytas ūminis ligos pasireiškimas arba nepaaiškinamas plaučių simptomų pasunkėjimas, kad būtų atmesta IPL galimybė. Kol bus ištirti šie simptomai, gydymą pomalidomidu reikia nutraukti, o jei patvirtinta IPL, reikia pradėti atitinkamą gydymą. Gydymą pomalidomidu galima tęsti tik kruopščiai įvertinus jo naudą ir riziką.</w:t>
      </w:r>
    </w:p>
    <w:p w14:paraId="4A281D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000466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Kepenų sutrikimai</w:t>
      </w:r>
    </w:p>
    <w:p w14:paraId="216F4286" w14:textId="1E57499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Pomalidomidu gydomiems pacientams nustatytas labai padidėjęs alaninaminotransferazės aktyvumas ir bilirubino </w:t>
      </w:r>
      <w:r w:rsidR="000349D8">
        <w:rPr>
          <w:rFonts w:ascii="Times New Roman" w:eastAsia="Times New Roman" w:hAnsi="Times New Roman" w:cs="Times New Roman"/>
          <w:kern w:val="0"/>
          <w:lang w:val="lt-LT"/>
          <w14:ligatures w14:val="none"/>
        </w:rPr>
        <w:t>koncentracija</w:t>
      </w:r>
      <w:r w:rsidR="000349D8"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(žr. 4.8 skyrių). Taip pat nustatyta hepatito, dėl kurio reikėjo nutraukti pomalidomido vartojimą, atvejų. Rekomenduojama pirmuosius 6 gydymo pomalidomidu mėnesius ir po to, jei yra klinikinių indikacijų, reguliariai stebėti kepenų funkciją.</w:t>
      </w:r>
    </w:p>
    <w:p w14:paraId="4457CD5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76C96E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Infekcijos</w:t>
      </w:r>
    </w:p>
    <w:p w14:paraId="2FBB0314" w14:textId="632499C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Pacientams, vartojantiems pomalidomid</w:t>
      </w:r>
      <w:r w:rsidR="008C4755">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kartu su deksametazonu, kurie anksčiau buvo infekuoti hepatito B virusu (HBV), retai nustatyta hepatito B reaktyvacija. Kai kuriais iš šių atvejų išsivystė ūminis kepenų nepakankamumas, dėl kurio reikėjo nutraukti pomalidomido vartojimą. Prieš pradedant gydymą pomalidomidu reikia ištirti, ar nėra hepatito B viruso. Pacientams, kuriems tyrimais nustatyta HBV infekcija, rekomenduojama pasitarti su gydytoju, turinčiu hepatito B gydymo patirties.</w:t>
      </w:r>
      <w:r w:rsidR="00ED5D6D"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Pomalidomido ir deksametazono derinį atsargiai reikia vartoti pacientams, kurie anksčiau buvo infekuoti HBV, įskaitant pacientus, kuriems nustatyta antikūnų prieš HBc, bet nenustatyta HBsAg. Viso gydymo metu reikia atidžiai stebėti, ar šiems pacientams nepasireiškia aktyvios HBV infekcijos požymių ir simptomų.</w:t>
      </w:r>
    </w:p>
    <w:p w14:paraId="3471D8E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E99F59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Progresuojanti daugiažidinė leukoencefalopatija (PDL)</w:t>
      </w:r>
    </w:p>
    <w:p w14:paraId="0BD3E546" w14:textId="12DDF9C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Vartojant pomalidomid</w:t>
      </w:r>
      <w:r w:rsidR="00ED2373">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gauta pranešimų apie progresuojančios daugiažidinės leukoencefalopatijos atvejus, įskaitant mirtinus atvejus. Apie PDL buvo pranešta praėjus nuo kelių mėnesių iki kelerių metų nuo gydymo pomalidomidu pradžios. Paprastai apie tokius atvejus buvo pranešama, kai pacientai tuo pat metu vartojo deksametazon</w:t>
      </w:r>
      <w:r w:rsidR="00625DD4">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arba pacientai prieš tai buvo gydyti kitais imuninę sistemą slopinančiais chemoterapiniais vaistiniais preparatais. Gydytojai turi reguliariai tikrinti pacientų sveikatos būklę ir apsvarstyti PDL galimybę atlikdami diferencinę diagnostiką pacientams, kuriems pasireiškia nauji arba sunkėjantys neurologiniai simptomai, taip pat kognityviniai arba su elgesiu susiję požymiai arba simptomai. Pacientams taip pat reikia patarti informuoti savo partnerį (-ę) arba </w:t>
      </w:r>
      <w:r w:rsidRPr="00A552D9">
        <w:rPr>
          <w:rFonts w:ascii="Times New Roman" w:eastAsia="Times New Roman" w:hAnsi="Times New Roman" w:cs="Times New Roman"/>
          <w:kern w:val="0"/>
          <w:lang w:val="lt-LT"/>
          <w14:ligatures w14:val="none"/>
        </w:rPr>
        <w:lastRenderedPageBreak/>
        <w:t>juos slaugančius asmenis apie jiems taikomą gydymą, nes šie žmonės gali pastebėti simptomus, kurių pats pacientas gali nepastebėti.</w:t>
      </w:r>
    </w:p>
    <w:p w14:paraId="5B0F65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8B00D00" w14:textId="7C3D091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Vertinant PDL galimybę, reikia atlikti neurologinį vertinimą, galvos smegenų magnetinio rezonanso tyrimą ir cerebrospinalinio skysčio analizę dėl </w:t>
      </w:r>
      <w:r w:rsidRPr="00A552D9">
        <w:rPr>
          <w:rFonts w:ascii="Times New Roman" w:eastAsia="Times New Roman" w:hAnsi="Times New Roman" w:cs="Times New Roman"/>
          <w:i/>
          <w:kern w:val="0"/>
          <w:lang w:val="lt-LT"/>
          <w14:ligatures w14:val="none"/>
        </w:rPr>
        <w:t xml:space="preserve">John Cunningham </w:t>
      </w:r>
      <w:r w:rsidRPr="00A552D9">
        <w:rPr>
          <w:rFonts w:ascii="Times New Roman" w:eastAsia="Times New Roman" w:hAnsi="Times New Roman" w:cs="Times New Roman"/>
          <w:kern w:val="0"/>
          <w:lang w:val="lt-LT"/>
          <w14:ligatures w14:val="none"/>
        </w:rPr>
        <w:t xml:space="preserve">viruso (JCV) DNR polimerazės grandininės reakcijos (PGR) būdu arba atliekant galvos smegenų biopsiją su tyrimu dėl JCV. Gavus neigiamus analizės dėl JCV PGR būdu rezultatus, PDL galimybės negalima atmesti. Nepavykus nustatyti kitos diagnozės, </w:t>
      </w:r>
      <w:r w:rsidR="00986BB1">
        <w:rPr>
          <w:rFonts w:ascii="Times New Roman" w:eastAsia="Times New Roman" w:hAnsi="Times New Roman" w:cs="Times New Roman"/>
          <w:kern w:val="0"/>
          <w:lang w:val="lt-LT"/>
          <w14:ligatures w14:val="none"/>
        </w:rPr>
        <w:t>gali būti reikalingas</w:t>
      </w:r>
      <w:r w:rsidRPr="00A552D9">
        <w:rPr>
          <w:rFonts w:ascii="Times New Roman" w:eastAsia="Times New Roman" w:hAnsi="Times New Roman" w:cs="Times New Roman"/>
          <w:kern w:val="0"/>
          <w:lang w:val="lt-LT"/>
          <w14:ligatures w14:val="none"/>
        </w:rPr>
        <w:t xml:space="preserve"> tolesn</w:t>
      </w:r>
      <w:r w:rsidR="00986BB1">
        <w:rPr>
          <w:rFonts w:ascii="Times New Roman" w:eastAsia="Times New Roman" w:hAnsi="Times New Roman" w:cs="Times New Roman"/>
          <w:kern w:val="0"/>
          <w:lang w:val="lt-LT"/>
          <w14:ligatures w14:val="none"/>
        </w:rPr>
        <w:t>is</w:t>
      </w:r>
      <w:r w:rsidRPr="00A552D9">
        <w:rPr>
          <w:rFonts w:ascii="Times New Roman" w:eastAsia="Times New Roman" w:hAnsi="Times New Roman" w:cs="Times New Roman"/>
          <w:kern w:val="0"/>
          <w:lang w:val="lt-LT"/>
          <w14:ligatures w14:val="none"/>
        </w:rPr>
        <w:t xml:space="preserve"> paciento būklės stebėjim</w:t>
      </w:r>
      <w:r w:rsidR="00986BB1">
        <w:rPr>
          <w:rFonts w:ascii="Times New Roman" w:eastAsia="Times New Roman" w:hAnsi="Times New Roman" w:cs="Times New Roman"/>
          <w:kern w:val="0"/>
          <w:lang w:val="lt-LT"/>
          <w14:ligatures w14:val="none"/>
        </w:rPr>
        <w:t>as</w:t>
      </w:r>
      <w:r w:rsidRPr="00A552D9">
        <w:rPr>
          <w:rFonts w:ascii="Times New Roman" w:eastAsia="Times New Roman" w:hAnsi="Times New Roman" w:cs="Times New Roman"/>
          <w:kern w:val="0"/>
          <w:lang w:val="lt-LT"/>
          <w14:ligatures w14:val="none"/>
        </w:rPr>
        <w:t xml:space="preserve"> ir papildom</w:t>
      </w:r>
      <w:r w:rsidR="00986BB1">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tyrim</w:t>
      </w:r>
      <w:r w:rsidR="00986BB1">
        <w:rPr>
          <w:rFonts w:ascii="Times New Roman" w:eastAsia="Times New Roman" w:hAnsi="Times New Roman" w:cs="Times New Roman"/>
          <w:kern w:val="0"/>
          <w:lang w:val="lt-LT"/>
          <w14:ligatures w14:val="none"/>
        </w:rPr>
        <w:t>ų atlikimas</w:t>
      </w:r>
      <w:r w:rsidRPr="00A552D9">
        <w:rPr>
          <w:rFonts w:ascii="Times New Roman" w:eastAsia="Times New Roman" w:hAnsi="Times New Roman" w:cs="Times New Roman"/>
          <w:kern w:val="0"/>
          <w:lang w:val="lt-LT"/>
          <w14:ligatures w14:val="none"/>
        </w:rPr>
        <w:t>.</w:t>
      </w:r>
    </w:p>
    <w:p w14:paraId="14EFBB0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BE5CE8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Įtarus PDL, nebegalima toliau vartoti vaistinio preparato, kol nebus atmesta PDL galimybė. Patvirtinus PDL, būtina visiškai nutraukti gydymą pomalidomidu.</w:t>
      </w:r>
    </w:p>
    <w:p w14:paraId="57C79A2A" w14:textId="77777777" w:rsidR="008C1AF1" w:rsidRPr="00A552D9" w:rsidRDefault="008C1AF1" w:rsidP="008C1AF1">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16A0CBE" w14:textId="63308768" w:rsidR="008C1AF1" w:rsidRPr="00A552D9" w:rsidRDefault="008C1AF1" w:rsidP="008C1AF1">
      <w:pPr>
        <w:widowControl w:val="0"/>
        <w:autoSpaceDE w:val="0"/>
        <w:autoSpaceDN w:val="0"/>
        <w:spacing w:before="0" w:after="0" w:line="240" w:lineRule="auto"/>
        <w:ind w:right="2"/>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Sacharozė</w:t>
      </w:r>
    </w:p>
    <w:p w14:paraId="4A3127F3" w14:textId="3B6AB678" w:rsidR="00992F19" w:rsidRPr="00A552D9" w:rsidRDefault="008C1AF1" w:rsidP="008C1AF1">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Šio vaistinio preparato negalima vartoti pacientams, kuriems nustatytas retas paveldimas sutrikimas – fruktozės netoleravimas, gliukozės ir galaktozės malabsorbcija arba sacharazės ir izomaltazės trūkumas.</w:t>
      </w:r>
    </w:p>
    <w:p w14:paraId="0A96EDEE" w14:textId="77777777" w:rsidR="008C1AF1" w:rsidRPr="00A552D9" w:rsidRDefault="008C1AF1"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AD6685F" w14:textId="47DBF2F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Natri</w:t>
      </w:r>
      <w:r w:rsidR="00D3706D" w:rsidRPr="00A552D9">
        <w:rPr>
          <w:rFonts w:ascii="Times New Roman" w:eastAsia="Times New Roman" w:hAnsi="Times New Roman" w:cs="Times New Roman"/>
          <w:kern w:val="0"/>
          <w:u w:val="single"/>
          <w:lang w:val="lt-LT"/>
          <w14:ligatures w14:val="none"/>
        </w:rPr>
        <w:t>s</w:t>
      </w:r>
    </w:p>
    <w:p w14:paraId="30DBB745" w14:textId="239BCDD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Vienoje šio vaistinio preparato </w:t>
      </w:r>
      <w:r w:rsidR="00D32BA5">
        <w:rPr>
          <w:rFonts w:ascii="Times New Roman" w:eastAsia="Times New Roman" w:hAnsi="Times New Roman" w:cs="Times New Roman"/>
          <w:kern w:val="0"/>
          <w:lang w:val="lt-LT"/>
          <w14:ligatures w14:val="none"/>
        </w:rPr>
        <w:t xml:space="preserve">kiekvienoje </w:t>
      </w:r>
      <w:r w:rsidRPr="00A552D9">
        <w:rPr>
          <w:rFonts w:ascii="Times New Roman" w:eastAsia="Times New Roman" w:hAnsi="Times New Roman" w:cs="Times New Roman"/>
          <w:kern w:val="0"/>
          <w:lang w:val="lt-LT"/>
          <w14:ligatures w14:val="none"/>
        </w:rPr>
        <w:t>kapsulėje yra mažiau kaip 1 mmol (23 mg) natrio, t.y. jis beveik neturi reikšmės.</w:t>
      </w:r>
    </w:p>
    <w:p w14:paraId="7812A50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E5140D9" w14:textId="77777777" w:rsidR="00992F19" w:rsidRPr="00A552D9" w:rsidRDefault="00992F19" w:rsidP="001E4AC5">
      <w:pPr>
        <w:widowControl w:val="0"/>
        <w:numPr>
          <w:ilvl w:val="1"/>
          <w:numId w:val="10"/>
        </w:numPr>
        <w:tabs>
          <w:tab w:val="left" w:pos="567"/>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Sąveika su kitais vaistiniais preparatais ir kitokia sąveika</w:t>
      </w:r>
    </w:p>
    <w:p w14:paraId="0E31C0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25A8C44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Pomalidomido poveikis kitiems vaistiniams preparatams</w:t>
      </w:r>
    </w:p>
    <w:p w14:paraId="6CB279B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Pomalidomidas neturėtų sukelti kliniškai reikšmingos farmakokinetinės sąveikos dėl P450 izofermentų slopinimo ar indukcijos arba nešiklių slopinimo, vartojant kartu su šių fermentų ar nešiklių substratais. Galima tokia sąveika, įskaitant galimą pomalidomido poveikį sudėtinių geriamųjų kontraceptikų farmakokinetikai, kliniškai neištirta (žr. 4.4 skyrių „Teratogeninis poveikis“).</w:t>
      </w:r>
    </w:p>
    <w:p w14:paraId="15F342A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05017B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Kitų vaistinių preparatų poveikis pomalidomidui</w:t>
      </w:r>
    </w:p>
    <w:p w14:paraId="0C7CA339" w14:textId="6D9B2126"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Pomalidomidą iš dalies metabolizuoja CYP1A2 ir CYP3A4/5. Jis taip pat yra P-glikoproteino substratas. Vartojant pomalidomid</w:t>
      </w:r>
      <w:r w:rsidR="000204B2">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kartu su stipriu CYP3A4/5 ir P-gp inhibitoriumi ketokonazolu arba stipriu CYP3A4/5 induktoriumi karbamazepinu, kliniškai reikšmingo poveikio pomalidomido ekspozicijai nenustatyta. Kartu vartojant stiprų CYP1A2 inhibitorių fluvoksamin</w:t>
      </w:r>
      <w:r w:rsidR="00F30C44">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su pomalidomidu ir ketokonazolu, vidutinė pomalidomido ekspozicija padidėjo 107 % su 90 % pasikliautin</w:t>
      </w:r>
      <w:r w:rsidR="00D3271A" w:rsidRPr="00A552D9">
        <w:rPr>
          <w:rFonts w:ascii="Times New Roman" w:eastAsia="Times New Roman" w:hAnsi="Times New Roman" w:cs="Times New Roman"/>
          <w:kern w:val="0"/>
          <w:lang w:val="lt-LT"/>
          <w14:ligatures w14:val="none"/>
        </w:rPr>
        <w:t>uoju</w:t>
      </w:r>
      <w:r w:rsidRPr="00A552D9">
        <w:rPr>
          <w:rFonts w:ascii="Times New Roman" w:eastAsia="Times New Roman" w:hAnsi="Times New Roman" w:cs="Times New Roman"/>
          <w:kern w:val="0"/>
          <w:lang w:val="lt-LT"/>
          <w14:ligatures w14:val="none"/>
        </w:rPr>
        <w:t xml:space="preserve"> intervalu [nuo 91 % iki 124 %], palyginti su pomalidomido vartojimu tik su ketokonazolu. Atliekant antrąjį tyrimą, skirtą įvertinti CYP1A2 inhibitoriaus įtaką metabolizmo pokyčiams, nustatyta, kad vartojant fluvoksamino ir pomalidomido derinį, vidutinė pomalidomido ekspozicija padidėjo 125 % su 90 % pasikliautin</w:t>
      </w:r>
      <w:r w:rsidR="00142032" w:rsidRPr="00A552D9">
        <w:rPr>
          <w:rFonts w:ascii="Times New Roman" w:eastAsia="Times New Roman" w:hAnsi="Times New Roman" w:cs="Times New Roman"/>
          <w:kern w:val="0"/>
          <w:lang w:val="lt-LT"/>
          <w14:ligatures w14:val="none"/>
        </w:rPr>
        <w:t>uoju</w:t>
      </w:r>
      <w:r w:rsidRPr="00A552D9">
        <w:rPr>
          <w:rFonts w:ascii="Times New Roman" w:eastAsia="Times New Roman" w:hAnsi="Times New Roman" w:cs="Times New Roman"/>
          <w:kern w:val="0"/>
          <w:lang w:val="lt-LT"/>
          <w14:ligatures w14:val="none"/>
        </w:rPr>
        <w:t xml:space="preserve"> intervalu [nuo 98 % iki 157 %], palyginti su vien pomalidomido vartojimu. Jei stiprūs CYP1A2 inhibitoriai (ciprofloksacinas, enoksacinas ir fluvoksaminas) vartojami kartu su pomalidomidu, pomalidomido dozę reikia sumažinti 50 %.</w:t>
      </w:r>
    </w:p>
    <w:p w14:paraId="248E80F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9F5A97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Deksametazonas</w:t>
      </w:r>
    </w:p>
    <w:p w14:paraId="280C6D5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Daugine mieloma sergantiems pacientams vartojant kartotines iki 4 mg pomalidomido dozes kartu su 20-40 mg deksametazono (silpnu ar vidutinio stiprumo kelių CYP fermentų, įskaitant CYP3A, induktoriumi) doze, poveikio pomalidomido farmakokinetikai, lyginant su atskirai vartojamu pomalidomidu, nenustatyta.</w:t>
      </w:r>
    </w:p>
    <w:p w14:paraId="7FCBF7F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EF5FDD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Deksametazono poveikis varfarinui nėra žinomas. Gydymo metu reikalingas varfarino koncentracijos stebėjimas.</w:t>
      </w:r>
    </w:p>
    <w:p w14:paraId="4E17822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6E9380E" w14:textId="77777777" w:rsidR="00992F19" w:rsidRPr="00A552D9" w:rsidRDefault="00992F19" w:rsidP="001E4AC5">
      <w:pPr>
        <w:widowControl w:val="0"/>
        <w:numPr>
          <w:ilvl w:val="1"/>
          <w:numId w:val="10"/>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Vaisingumas, nėštumo ir žindymo laikotarpis</w:t>
      </w:r>
    </w:p>
    <w:p w14:paraId="6C18772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019F2B8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Vaisingos moterys / vyrų ir moterų kontracepcija</w:t>
      </w:r>
    </w:p>
    <w:p w14:paraId="52B0FB9F" w14:textId="2E56205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Vaisingos moterys turi naudoti veiksmingą kontracepcijos metodą. Jeigu vartodama pomalidomid</w:t>
      </w:r>
      <w:r w:rsidR="00DB292C">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pacientė pastoja, reikia nutraukti gydymą ir nukreipti pacientę teratologijos srityje dirbančio gydytojo </w:t>
      </w:r>
      <w:r w:rsidRPr="00A552D9">
        <w:rPr>
          <w:rFonts w:ascii="Times New Roman" w:eastAsia="Times New Roman" w:hAnsi="Times New Roman" w:cs="Times New Roman"/>
          <w:kern w:val="0"/>
          <w:lang w:val="lt-LT"/>
          <w14:ligatures w14:val="none"/>
        </w:rPr>
        <w:lastRenderedPageBreak/>
        <w:t>konsultacijai, ištyrimui bei stebėjimui. Jeigu pomalidomidu gydomo vyro partnerė pastoja, partnerę rekomenduojama nukreipti teratologijos srityje dirbančio gydytojo konsultacijai, ištyrimui bei stebėjimui. Pomalidomido patenka į vyrų spermą. Atsargumo dėlei visi pomalidomid</w:t>
      </w:r>
      <w:r w:rsidR="00AA41D1">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vartojantys pacientai vyrai turi naudotis prezervatyvais gydymo metu, </w:t>
      </w:r>
      <w:r w:rsidR="00981426" w:rsidRPr="00A552D9">
        <w:rPr>
          <w:rFonts w:ascii="Times New Roman" w:eastAsia="Times New Roman" w:hAnsi="Times New Roman" w:cs="Times New Roman"/>
          <w:kern w:val="0"/>
          <w:lang w:val="lt-LT"/>
          <w14:ligatures w14:val="none"/>
        </w:rPr>
        <w:t xml:space="preserve">įskaitant laikinus gydymo nutraukimus </w:t>
      </w:r>
      <w:r w:rsidRPr="00A552D9">
        <w:rPr>
          <w:rFonts w:ascii="Times New Roman" w:eastAsia="Times New Roman" w:hAnsi="Times New Roman" w:cs="Times New Roman"/>
          <w:kern w:val="0"/>
          <w:lang w:val="lt-LT"/>
          <w14:ligatures w14:val="none"/>
        </w:rPr>
        <w:t>ir 7 dienas po gydymo nutraukimo, jei partnerė yra nėščia arba vaisinga ir nevartoja kontracepcijos (žr. 4.3 ir 4.4 skyrius).</w:t>
      </w:r>
    </w:p>
    <w:p w14:paraId="6AB1F67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848850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Nėštumas</w:t>
      </w:r>
    </w:p>
    <w:p w14:paraId="5CC4F09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Tikėtinas teratogeninis pomalidomido poveikis žmonėms. Pomalidomido negalima vartoti nėštumo metu ir vaisingoms moterims, nebent buvo įgyvendintos visos nėštumo prevencijos sąlygos (žr. 4.3 ir 4.4 skyrius).</w:t>
      </w:r>
    </w:p>
    <w:p w14:paraId="0A4D9CB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E82724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Žindymas</w:t>
      </w:r>
    </w:p>
    <w:p w14:paraId="1CBAD683" w14:textId="09D8B2B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Nežinoma, ar pomalidomid</w:t>
      </w:r>
      <w:r w:rsidR="006E2712">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išsiskiria į gydytų moterų pieną. Davus žindančioms žiurkėms pomalidomido, jo buvo aptikta žiurkių piene. Kadangi pomalidomidas žindomiems kūdikiams gali sukelti nepageidaujamų reakcijų, atsižvelgiant į žindymo naudą kūdikiui ir gydymo naudą moteriai, reikia nuspręsti, ar nutraukti žindymą, ar nutraukti vaistinio preparato vartojimą.</w:t>
      </w:r>
    </w:p>
    <w:p w14:paraId="46C4218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D470BE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Vaisingumas</w:t>
      </w:r>
    </w:p>
    <w:p w14:paraId="66725A37" w14:textId="594C880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Nustatytas neigiamas pomalidomido poveikis vaisingumui ir teratogeninis poveikis gyvūnams. Davus pomalidomido vaikingoms triušių patelėms, vaistinis preparatas prasiskverbė </w:t>
      </w:r>
      <w:r w:rsidR="00B4235D">
        <w:rPr>
          <w:rFonts w:ascii="Times New Roman" w:eastAsia="Times New Roman" w:hAnsi="Times New Roman" w:cs="Times New Roman"/>
          <w:kern w:val="0"/>
          <w:lang w:val="lt-LT"/>
          <w14:ligatures w14:val="none"/>
        </w:rPr>
        <w:t>per</w:t>
      </w:r>
      <w:r w:rsidR="00B4235D"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placentą ir jo buvo aptikta vaisiaus kraujyje (žr. 5.3 skyrių).</w:t>
      </w:r>
    </w:p>
    <w:p w14:paraId="4BFBD48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7155C78" w14:textId="77777777" w:rsidR="00992F19" w:rsidRPr="00A552D9" w:rsidRDefault="00992F19" w:rsidP="001E4AC5">
      <w:pPr>
        <w:widowControl w:val="0"/>
        <w:numPr>
          <w:ilvl w:val="1"/>
          <w:numId w:val="9"/>
        </w:numPr>
        <w:tabs>
          <w:tab w:val="left" w:pos="567"/>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Poveikis gebėjimui vairuoti ir valdyti mechanizmus</w:t>
      </w:r>
    </w:p>
    <w:p w14:paraId="2989332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7E2FDEE8" w14:textId="58776E1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Pomalidomidas gebėjimą vairuoti ir valdyti mechanizmus veikia silpnai arba vidutiniškai.</w:t>
      </w:r>
      <w:r w:rsidR="00272EE2"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Buvo pranešta apie nuovargį, sumažėjusį sąmoningumą, sumišimą ir svaigulį, pasireiškusį vartojant pomalidomid</w:t>
      </w:r>
      <w:r w:rsidR="00722616">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Jeigu pasireiškė toks poveikis, pacientams reikia nurodyti gydymo pomalidomido metu nevairuoti automobilių, nevaldyti mechanizmų ir neužsiimti pavojinga veikla.</w:t>
      </w:r>
    </w:p>
    <w:p w14:paraId="0D87640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E15B3EB" w14:textId="77777777" w:rsidR="00992F19" w:rsidRPr="00A552D9" w:rsidRDefault="00992F19" w:rsidP="001E4AC5">
      <w:pPr>
        <w:widowControl w:val="0"/>
        <w:numPr>
          <w:ilvl w:val="1"/>
          <w:numId w:val="9"/>
        </w:numPr>
        <w:tabs>
          <w:tab w:val="left" w:pos="567"/>
        </w:tabs>
        <w:autoSpaceDE w:val="0"/>
        <w:autoSpaceDN w:val="0"/>
        <w:spacing w:before="0" w:after="0" w:line="240" w:lineRule="auto"/>
        <w:ind w:left="567" w:right="2" w:hanging="631"/>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Nepageidaujamas poveikis</w:t>
      </w:r>
    </w:p>
    <w:p w14:paraId="41A4018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4BDAA879" w14:textId="064E11C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 xml:space="preserve">Saugumo </w:t>
      </w:r>
      <w:r w:rsidR="00D60397" w:rsidRPr="00A552D9">
        <w:rPr>
          <w:rFonts w:ascii="Times New Roman" w:eastAsia="Times New Roman" w:hAnsi="Times New Roman" w:cs="Times New Roman"/>
          <w:kern w:val="0"/>
          <w:u w:val="single"/>
          <w:lang w:val="lt-LT"/>
          <w14:ligatures w14:val="none"/>
        </w:rPr>
        <w:t>duomenų</w:t>
      </w:r>
      <w:r w:rsidRPr="00A552D9">
        <w:rPr>
          <w:rFonts w:ascii="Times New Roman" w:eastAsia="Times New Roman" w:hAnsi="Times New Roman" w:cs="Times New Roman"/>
          <w:kern w:val="0"/>
          <w:u w:val="single"/>
          <w:lang w:val="lt-LT"/>
          <w14:ligatures w14:val="none"/>
        </w:rPr>
        <w:t xml:space="preserve"> santrauka</w:t>
      </w:r>
    </w:p>
    <w:p w14:paraId="1E7E186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67AF73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Pomalidomidas kartu su bortezomibu ir deksametazonu</w:t>
      </w:r>
    </w:p>
    <w:p w14:paraId="166AE3F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Dažniausiai stebėti kraujo ir limfinės sistemos sutrikimai buvo neutropenija (54,0 %), trombocitopenija (39,9 %) ir anemija (32,0 %). Tarp kitų dažniausiai nustatytų nepageidaujamų reakcijų buvo periferinė sensorinė neuropatija (48,2 %), nuovargis (38,8 %), viduriavimas (38,1 %), vidurių užkietėjimas (38,1 %) ir periferinė edema (36,3 %). Dažniausiai stebėtos 3 ir 4 laipsnio nepageidaujamos reakcijos buvo kraujo ir limfinės sistemos sutrikimai, įskaitant neutropeniją (47,1 %), trombocitopeniją (28,1 %) ir anemiją (15,1 %). Dažniausiai stebėta sunki nepageidaujama reakcija buvo pneumonija (12,2 %). Tarp kitų nustatytų sunkių nepageidaujamų reakcijų buvo karščiavimas (4,3 %), apatinių kvėpavimo takų infekcija (3,6 %), gripas (3,6 %), plaučių embolija (3,2 %), prieširdžių virpėjimas (3,2 %) ir ūminis inkstų pažeidimas (2,9 %).</w:t>
      </w:r>
    </w:p>
    <w:p w14:paraId="1DB8D65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703D6B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Pomalidomidas kartu su deksametazonu</w:t>
      </w:r>
    </w:p>
    <w:p w14:paraId="49512823" w14:textId="7BD6DB4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Klinikinių tyrimų metu dažniausiai stebėtos nepageidaujamos reakcijos buvo kraujo ir limfinės sistemos sutrikimai, įskaitant anemiją (45,7 %), neutropeniją (45,3 %) ir trombocitopeniją (27 %); bendrieji sutrikimai ir vartojimo vietos pažeidimai, įskaitant nuovargį (28,3 %), karščiavimą (21 %) ir periferinę edemą (13 %); taip pat infekcijos ir infestacijos, įskaitant pneumoniją (10,7 %). Periferinės neuropatijos nepageidaujamos reakcijos nustatytos 12,3 % pacientų, venų embolijos ar trombozės reiškinių (VTR) nepageidaujamos reakcijos nustatytos 3,3 % pacientų. Dažniausiai stebėtos 3-ojo ir 4-ojo laipsnio nepageidaujamos reakcijos buvo kraujo ir limfinės sistemos sutrikimai, įskaitant neutropeniją (41,7 %), anemiją (27 %) ir trombocitopeniją (20,7 %); infekcijos ir infestacijos, įskaitant pneumoniją (9 %); taip pat bendrieji sutrikimai ir vartojimo vietos pažeidimai, įskaitant nuovargį (4,7 %), karščiavimą (3 %) ir periferinę edemą (1,3 %). Dažniausiai stebėta sunki nepageidaujama reakcija buvo pneumo</w:t>
      </w:r>
      <w:r w:rsidR="00DE4019" w:rsidRPr="00A552D9">
        <w:rPr>
          <w:rFonts w:ascii="Times New Roman" w:eastAsia="Times New Roman" w:hAnsi="Times New Roman" w:cs="Times New Roman"/>
          <w:kern w:val="0"/>
          <w:lang w:val="lt-LT"/>
          <w14:ligatures w14:val="none"/>
        </w:rPr>
        <w:t>nij</w:t>
      </w:r>
      <w:r w:rsidRPr="00A552D9">
        <w:rPr>
          <w:rFonts w:ascii="Times New Roman" w:eastAsia="Times New Roman" w:hAnsi="Times New Roman" w:cs="Times New Roman"/>
          <w:kern w:val="0"/>
          <w:lang w:val="lt-LT"/>
          <w14:ligatures w14:val="none"/>
        </w:rPr>
        <w:t xml:space="preserve">a (9,3 %). Tarp kitų nustatytų sunkių nepageidaujamų reakcijų buvo febrilinė </w:t>
      </w:r>
      <w:r w:rsidRPr="00A552D9">
        <w:rPr>
          <w:rFonts w:ascii="Times New Roman" w:eastAsia="Times New Roman" w:hAnsi="Times New Roman" w:cs="Times New Roman"/>
          <w:kern w:val="0"/>
          <w:lang w:val="lt-LT"/>
          <w14:ligatures w14:val="none"/>
        </w:rPr>
        <w:lastRenderedPageBreak/>
        <w:t>neutropenija (4,0 %), neutropenija (2,0 %), trombocitopenija (1,7 %) ir VT</w:t>
      </w:r>
      <w:r w:rsidR="001C06B2" w:rsidRPr="00A552D9">
        <w:rPr>
          <w:rFonts w:ascii="Times New Roman" w:eastAsia="Times New Roman" w:hAnsi="Times New Roman" w:cs="Times New Roman"/>
          <w:kern w:val="0"/>
          <w:lang w:val="lt-LT"/>
          <w14:ligatures w14:val="none"/>
        </w:rPr>
        <w:t>E</w:t>
      </w:r>
      <w:r w:rsidRPr="00A552D9">
        <w:rPr>
          <w:rFonts w:ascii="Times New Roman" w:eastAsia="Times New Roman" w:hAnsi="Times New Roman" w:cs="Times New Roman"/>
          <w:kern w:val="0"/>
          <w:lang w:val="lt-LT"/>
          <w14:ligatures w14:val="none"/>
        </w:rPr>
        <w:t xml:space="preserve"> nepageidaujamos reakcijos (1,7 %).</w:t>
      </w:r>
    </w:p>
    <w:p w14:paraId="497D91A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14932F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Paprastai nepageidaujamos reakcijos dažniau pasireiškė per pirmus 2 gydymo pomalidomidu ciklus. </w:t>
      </w:r>
    </w:p>
    <w:p w14:paraId="2036222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7C7F62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Nepageidaujamų reakcijų santrauka lentelėje</w:t>
      </w:r>
    </w:p>
    <w:p w14:paraId="6C24B1DD" w14:textId="2EC51EF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Visos 3 ar 4 laipsnio nepageidaujamos reakcijos, stebėtos pacientams, gydytiems pomalidomidu kartu su bortezomibu ir deksametazonu, pomalidomidu kartu su deksametazonu ir stebėjimo vaistiniam preparatui esant rinkoje metu pateiktos 7 lentelėje pagal organų sistemų klases (OSK) bei pasireiškimo dažnį.</w:t>
      </w:r>
    </w:p>
    <w:p w14:paraId="56C857C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EDC6E18" w14:textId="5B411955" w:rsidR="00992F19" w:rsidRPr="00A552D9" w:rsidRDefault="006C0EDF"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Nepageidaujamo poveikio dažnis</w:t>
      </w:r>
      <w:r w:rsidR="002A5E45">
        <w:rPr>
          <w:rFonts w:ascii="Times New Roman" w:eastAsia="Times New Roman" w:hAnsi="Times New Roman" w:cs="Times New Roman"/>
          <w:kern w:val="0"/>
          <w:lang w:val="lt-LT"/>
          <w14:ligatures w14:val="none"/>
        </w:rPr>
        <w:t xml:space="preserve"> apibūdinamas taip</w:t>
      </w:r>
      <w:r w:rsidR="00992F19" w:rsidRPr="00A552D9">
        <w:rPr>
          <w:rFonts w:ascii="Times New Roman" w:eastAsia="Times New Roman" w:hAnsi="Times New Roman" w:cs="Times New Roman"/>
          <w:kern w:val="0"/>
          <w:lang w:val="lt-LT"/>
          <w14:ligatures w14:val="none"/>
        </w:rPr>
        <w:t>: labai dažnas (≥ 1/10), dažnas (nuo ≥ 1/100 iki &lt; 1/10), nedažnas (nuo ≥ 1/1 000 iki &lt; 1/100) ir dažnis nežinomas (negali būti apskaičiuotas pagal turimus duomenis).</w:t>
      </w:r>
    </w:p>
    <w:p w14:paraId="497871C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CB197B7" w14:textId="77777777" w:rsidR="00992F19" w:rsidRPr="00A552D9" w:rsidRDefault="00992F19" w:rsidP="00992F19">
      <w:pPr>
        <w:widowControl w:val="0"/>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7 lentelė. Nepageidaujamos reakcijos (NR), nustatytos klinikiniuose tyrimuose ir vaistiniam preparatui esant rinkoje</w:t>
      </w:r>
    </w:p>
    <w:p w14:paraId="341618B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3313"/>
        <w:gridCol w:w="1417"/>
        <w:gridCol w:w="1418"/>
        <w:gridCol w:w="1417"/>
        <w:gridCol w:w="1507"/>
      </w:tblGrid>
      <w:tr w:rsidR="00992F19" w:rsidRPr="00A552D9" w14:paraId="16CCC149" w14:textId="77777777" w:rsidTr="005B5BF2">
        <w:trPr>
          <w:trHeight w:val="20"/>
        </w:trPr>
        <w:tc>
          <w:tcPr>
            <w:tcW w:w="3313" w:type="dxa"/>
            <w:vAlign w:val="center"/>
          </w:tcPr>
          <w:p w14:paraId="4EBE875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Kombinuotas gydymas</w:t>
            </w:r>
          </w:p>
        </w:tc>
        <w:tc>
          <w:tcPr>
            <w:tcW w:w="2835" w:type="dxa"/>
            <w:gridSpan w:val="2"/>
            <w:vAlign w:val="center"/>
          </w:tcPr>
          <w:p w14:paraId="7E5AAED4" w14:textId="28316C76"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Pomalidomidas/bortezomibas/deksametazonas</w:t>
            </w:r>
          </w:p>
        </w:tc>
        <w:tc>
          <w:tcPr>
            <w:tcW w:w="2924" w:type="dxa"/>
            <w:gridSpan w:val="2"/>
            <w:vAlign w:val="center"/>
          </w:tcPr>
          <w:p w14:paraId="77F1EAE1" w14:textId="778B0ED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Pomalidomidas/deksametazonas</w:t>
            </w:r>
          </w:p>
        </w:tc>
      </w:tr>
      <w:tr w:rsidR="00992F19" w:rsidRPr="00A552D9" w14:paraId="497792A4" w14:textId="77777777" w:rsidTr="005B5BF2">
        <w:trPr>
          <w:trHeight w:val="20"/>
        </w:trPr>
        <w:tc>
          <w:tcPr>
            <w:tcW w:w="3313" w:type="dxa"/>
            <w:vAlign w:val="center"/>
          </w:tcPr>
          <w:p w14:paraId="481FD7A0" w14:textId="2A73865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Organų sistemų klasė/tinkamiausias terminas</w:t>
            </w:r>
          </w:p>
        </w:tc>
        <w:tc>
          <w:tcPr>
            <w:tcW w:w="1417" w:type="dxa"/>
            <w:vAlign w:val="center"/>
          </w:tcPr>
          <w:p w14:paraId="089FE14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Visos NR</w:t>
            </w:r>
          </w:p>
        </w:tc>
        <w:tc>
          <w:tcPr>
            <w:tcW w:w="1418" w:type="dxa"/>
            <w:vAlign w:val="center"/>
          </w:tcPr>
          <w:p w14:paraId="7891431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3-4-ojo laipsnio NR</w:t>
            </w:r>
          </w:p>
        </w:tc>
        <w:tc>
          <w:tcPr>
            <w:tcW w:w="1417" w:type="dxa"/>
            <w:vAlign w:val="center"/>
          </w:tcPr>
          <w:p w14:paraId="77C6D5D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Visos NR</w:t>
            </w:r>
          </w:p>
        </w:tc>
        <w:tc>
          <w:tcPr>
            <w:tcW w:w="1507" w:type="dxa"/>
            <w:vAlign w:val="center"/>
          </w:tcPr>
          <w:p w14:paraId="2205897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3-4-ojo laipsnio NR</w:t>
            </w:r>
          </w:p>
        </w:tc>
      </w:tr>
      <w:tr w:rsidR="00992F19" w:rsidRPr="00A552D9" w14:paraId="68F6BC65" w14:textId="77777777" w:rsidTr="005B5BF2">
        <w:trPr>
          <w:trHeight w:val="20"/>
        </w:trPr>
        <w:tc>
          <w:tcPr>
            <w:tcW w:w="9072" w:type="dxa"/>
            <w:gridSpan w:val="5"/>
            <w:vAlign w:val="center"/>
          </w:tcPr>
          <w:p w14:paraId="0B41737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Infekcijos ir infestacijos</w:t>
            </w:r>
          </w:p>
        </w:tc>
      </w:tr>
      <w:tr w:rsidR="00992F19" w:rsidRPr="00A552D9" w14:paraId="24F9E4EA" w14:textId="77777777" w:rsidTr="005B5BF2">
        <w:trPr>
          <w:trHeight w:val="20"/>
        </w:trPr>
        <w:tc>
          <w:tcPr>
            <w:tcW w:w="3313" w:type="dxa"/>
            <w:vAlign w:val="center"/>
          </w:tcPr>
          <w:p w14:paraId="5CA662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Pneumonija</w:t>
            </w:r>
          </w:p>
        </w:tc>
        <w:tc>
          <w:tcPr>
            <w:tcW w:w="1417" w:type="dxa"/>
            <w:vAlign w:val="center"/>
          </w:tcPr>
          <w:p w14:paraId="76248DF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736643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7" w:type="dxa"/>
            <w:vAlign w:val="center"/>
          </w:tcPr>
          <w:p w14:paraId="35383D2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98F995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ACB3AFF" w14:textId="77777777" w:rsidTr="005B5BF2">
        <w:trPr>
          <w:trHeight w:val="20"/>
        </w:trPr>
        <w:tc>
          <w:tcPr>
            <w:tcW w:w="3313" w:type="dxa"/>
            <w:vAlign w:val="center"/>
          </w:tcPr>
          <w:p w14:paraId="21CF9DB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Pneumonija (bakterinės, virusinės ir grybelinės infekcijos, įskaitant oportunistines infekcijas)</w:t>
            </w:r>
          </w:p>
        </w:tc>
        <w:tc>
          <w:tcPr>
            <w:tcW w:w="1417" w:type="dxa"/>
            <w:vAlign w:val="center"/>
          </w:tcPr>
          <w:p w14:paraId="34E2D5A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D2BC69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136E043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7EA493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4AFEED24" w14:textId="77777777" w:rsidTr="005B5BF2">
        <w:trPr>
          <w:trHeight w:val="20"/>
        </w:trPr>
        <w:tc>
          <w:tcPr>
            <w:tcW w:w="3313" w:type="dxa"/>
            <w:vAlign w:val="center"/>
          </w:tcPr>
          <w:p w14:paraId="31A30B1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Bronchitas</w:t>
            </w:r>
          </w:p>
        </w:tc>
        <w:tc>
          <w:tcPr>
            <w:tcW w:w="1417" w:type="dxa"/>
            <w:vAlign w:val="center"/>
          </w:tcPr>
          <w:p w14:paraId="56ED9C5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7493A2C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ED878B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319C0F2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7C4121FE" w14:textId="77777777" w:rsidTr="005B5BF2">
        <w:trPr>
          <w:trHeight w:val="20"/>
        </w:trPr>
        <w:tc>
          <w:tcPr>
            <w:tcW w:w="3313" w:type="dxa"/>
            <w:vAlign w:val="center"/>
          </w:tcPr>
          <w:p w14:paraId="30DC55F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Viršutinių kvėpavimo takų infekcija</w:t>
            </w:r>
          </w:p>
        </w:tc>
        <w:tc>
          <w:tcPr>
            <w:tcW w:w="1417" w:type="dxa"/>
            <w:vAlign w:val="center"/>
          </w:tcPr>
          <w:p w14:paraId="0FDAE76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5BEC523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141B65E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7A21C2F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7FE15E6F" w14:textId="77777777" w:rsidTr="005B5BF2">
        <w:trPr>
          <w:trHeight w:val="20"/>
        </w:trPr>
        <w:tc>
          <w:tcPr>
            <w:tcW w:w="3313" w:type="dxa"/>
            <w:vAlign w:val="center"/>
          </w:tcPr>
          <w:p w14:paraId="69C20A2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Virusinė viršutinių kvėpavimo takų infekcija</w:t>
            </w:r>
          </w:p>
        </w:tc>
        <w:tc>
          <w:tcPr>
            <w:tcW w:w="1417" w:type="dxa"/>
            <w:vAlign w:val="center"/>
          </w:tcPr>
          <w:p w14:paraId="540D58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1F12E05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32356FF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714B14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7E341C5" w14:textId="77777777" w:rsidTr="005B5BF2">
        <w:trPr>
          <w:trHeight w:val="20"/>
        </w:trPr>
        <w:tc>
          <w:tcPr>
            <w:tcW w:w="3313" w:type="dxa"/>
            <w:vAlign w:val="center"/>
          </w:tcPr>
          <w:p w14:paraId="03F0B54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Sepsis</w:t>
            </w:r>
          </w:p>
        </w:tc>
        <w:tc>
          <w:tcPr>
            <w:tcW w:w="1417" w:type="dxa"/>
            <w:vAlign w:val="center"/>
          </w:tcPr>
          <w:p w14:paraId="4466F61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3CFC1BB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EBFED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1416C07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109ED6F" w14:textId="77777777" w:rsidTr="005B5BF2">
        <w:trPr>
          <w:trHeight w:val="20"/>
        </w:trPr>
        <w:tc>
          <w:tcPr>
            <w:tcW w:w="3313" w:type="dxa"/>
            <w:vAlign w:val="center"/>
          </w:tcPr>
          <w:p w14:paraId="745EEB8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Septinis šokas</w:t>
            </w:r>
          </w:p>
        </w:tc>
        <w:tc>
          <w:tcPr>
            <w:tcW w:w="1417" w:type="dxa"/>
            <w:vAlign w:val="center"/>
          </w:tcPr>
          <w:p w14:paraId="787F308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4276713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4E1CBF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755A375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45CC340" w14:textId="77777777" w:rsidTr="005B5BF2">
        <w:trPr>
          <w:trHeight w:val="20"/>
        </w:trPr>
        <w:tc>
          <w:tcPr>
            <w:tcW w:w="3313" w:type="dxa"/>
            <w:vAlign w:val="center"/>
          </w:tcPr>
          <w:p w14:paraId="14E6734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Neutropeninis sepsis</w:t>
            </w:r>
          </w:p>
        </w:tc>
        <w:tc>
          <w:tcPr>
            <w:tcW w:w="1417" w:type="dxa"/>
            <w:vAlign w:val="center"/>
          </w:tcPr>
          <w:p w14:paraId="67E1F86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6302B64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7A1759C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6CDBB93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664EC79A" w14:textId="77777777" w:rsidTr="005B5BF2">
        <w:trPr>
          <w:trHeight w:val="20"/>
        </w:trPr>
        <w:tc>
          <w:tcPr>
            <w:tcW w:w="3313" w:type="dxa"/>
            <w:vAlign w:val="center"/>
          </w:tcPr>
          <w:p w14:paraId="35BB537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i/>
                <w:kern w:val="0"/>
                <w:lang w:val="lt-LT"/>
                <w14:ligatures w14:val="none"/>
              </w:rPr>
              <w:t xml:space="preserve">Clostridium difficile </w:t>
            </w:r>
            <w:r w:rsidRPr="00A552D9">
              <w:rPr>
                <w:rFonts w:ascii="Times New Roman" w:eastAsia="Times New Roman" w:hAnsi="Times New Roman" w:cs="Times New Roman"/>
                <w:kern w:val="0"/>
                <w:lang w:val="lt-LT"/>
                <w14:ligatures w14:val="none"/>
              </w:rPr>
              <w:t>sukeltas kolitas</w:t>
            </w:r>
          </w:p>
        </w:tc>
        <w:tc>
          <w:tcPr>
            <w:tcW w:w="1417" w:type="dxa"/>
            <w:vAlign w:val="center"/>
          </w:tcPr>
          <w:p w14:paraId="6E7E585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011015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76C3AF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7E1E2A6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47490B7" w14:textId="77777777" w:rsidTr="005B5BF2">
        <w:trPr>
          <w:trHeight w:val="20"/>
        </w:trPr>
        <w:tc>
          <w:tcPr>
            <w:tcW w:w="3313" w:type="dxa"/>
            <w:vAlign w:val="center"/>
          </w:tcPr>
          <w:p w14:paraId="774C52B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Bronchopneumonija</w:t>
            </w:r>
          </w:p>
        </w:tc>
        <w:tc>
          <w:tcPr>
            <w:tcW w:w="1417" w:type="dxa"/>
            <w:vAlign w:val="center"/>
          </w:tcPr>
          <w:p w14:paraId="460DDBF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1CBBA5D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5D6C5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7B6A9F7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3761CB41" w14:textId="77777777" w:rsidTr="005B5BF2">
        <w:trPr>
          <w:trHeight w:val="20"/>
        </w:trPr>
        <w:tc>
          <w:tcPr>
            <w:tcW w:w="3313" w:type="dxa"/>
            <w:vAlign w:val="center"/>
          </w:tcPr>
          <w:p w14:paraId="46E0995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Kvėpavimo takų infekcija</w:t>
            </w:r>
          </w:p>
        </w:tc>
        <w:tc>
          <w:tcPr>
            <w:tcW w:w="1417" w:type="dxa"/>
            <w:vAlign w:val="center"/>
          </w:tcPr>
          <w:p w14:paraId="3166944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4753A8E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6F82C34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068BAC6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0E6B0F0E" w14:textId="77777777" w:rsidTr="005B5BF2">
        <w:trPr>
          <w:trHeight w:val="20"/>
        </w:trPr>
        <w:tc>
          <w:tcPr>
            <w:tcW w:w="3313" w:type="dxa"/>
            <w:vAlign w:val="center"/>
          </w:tcPr>
          <w:p w14:paraId="3DBF3C4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Apatinių kvėpavimo takų infekcija</w:t>
            </w:r>
          </w:p>
        </w:tc>
        <w:tc>
          <w:tcPr>
            <w:tcW w:w="1417" w:type="dxa"/>
            <w:vAlign w:val="center"/>
          </w:tcPr>
          <w:p w14:paraId="6C793EF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270B61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907351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648CF39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7EA101CE" w14:textId="77777777" w:rsidTr="005B5BF2">
        <w:trPr>
          <w:trHeight w:val="20"/>
        </w:trPr>
        <w:tc>
          <w:tcPr>
            <w:tcW w:w="3313" w:type="dxa"/>
            <w:vAlign w:val="center"/>
          </w:tcPr>
          <w:p w14:paraId="3C2D3BF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Plaučių infekcija</w:t>
            </w:r>
          </w:p>
        </w:tc>
        <w:tc>
          <w:tcPr>
            <w:tcW w:w="1417" w:type="dxa"/>
            <w:vAlign w:val="center"/>
          </w:tcPr>
          <w:p w14:paraId="2E624F3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C84EA3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6218EF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71AFC18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A6CEC5D" w14:textId="77777777" w:rsidTr="005B5BF2">
        <w:trPr>
          <w:trHeight w:val="20"/>
        </w:trPr>
        <w:tc>
          <w:tcPr>
            <w:tcW w:w="3313" w:type="dxa"/>
            <w:vAlign w:val="center"/>
          </w:tcPr>
          <w:p w14:paraId="01CF360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Gripas</w:t>
            </w:r>
          </w:p>
        </w:tc>
        <w:tc>
          <w:tcPr>
            <w:tcW w:w="1417" w:type="dxa"/>
            <w:vAlign w:val="center"/>
          </w:tcPr>
          <w:p w14:paraId="055927B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4855DB5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0CCA87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666777D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3542A4C9" w14:textId="77777777" w:rsidTr="005B5BF2">
        <w:trPr>
          <w:trHeight w:val="20"/>
        </w:trPr>
        <w:tc>
          <w:tcPr>
            <w:tcW w:w="3313" w:type="dxa"/>
            <w:vAlign w:val="center"/>
          </w:tcPr>
          <w:p w14:paraId="2FB4784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Bronchiolitas</w:t>
            </w:r>
          </w:p>
        </w:tc>
        <w:tc>
          <w:tcPr>
            <w:tcW w:w="1417" w:type="dxa"/>
            <w:vAlign w:val="center"/>
          </w:tcPr>
          <w:p w14:paraId="397773D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36A2F6F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4E913A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1CA306A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1953F901" w14:textId="77777777" w:rsidTr="005B5BF2">
        <w:trPr>
          <w:trHeight w:val="20"/>
        </w:trPr>
        <w:tc>
          <w:tcPr>
            <w:tcW w:w="3313" w:type="dxa"/>
            <w:vAlign w:val="center"/>
          </w:tcPr>
          <w:p w14:paraId="58B8796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Šlapimo takų infekcija</w:t>
            </w:r>
          </w:p>
        </w:tc>
        <w:tc>
          <w:tcPr>
            <w:tcW w:w="1417" w:type="dxa"/>
            <w:vAlign w:val="center"/>
          </w:tcPr>
          <w:p w14:paraId="3815473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235A060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4FA6672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3DD1165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730A4F4" w14:textId="77777777" w:rsidTr="005B5BF2">
        <w:trPr>
          <w:trHeight w:val="20"/>
        </w:trPr>
        <w:tc>
          <w:tcPr>
            <w:tcW w:w="3313" w:type="dxa"/>
            <w:vAlign w:val="center"/>
          </w:tcPr>
          <w:p w14:paraId="4584619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Nazofaringitas</w:t>
            </w:r>
          </w:p>
        </w:tc>
        <w:tc>
          <w:tcPr>
            <w:tcW w:w="1417" w:type="dxa"/>
            <w:vAlign w:val="center"/>
          </w:tcPr>
          <w:p w14:paraId="029FFF7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4F17975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571610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0483967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833E601" w14:textId="77777777" w:rsidTr="005B5BF2">
        <w:trPr>
          <w:trHeight w:val="20"/>
        </w:trPr>
        <w:tc>
          <w:tcPr>
            <w:tcW w:w="3313" w:type="dxa"/>
            <w:vAlign w:val="center"/>
          </w:tcPr>
          <w:p w14:paraId="30350E4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Juostinė pūslelinė (</w:t>
            </w:r>
            <w:r w:rsidRPr="00A552D9">
              <w:rPr>
                <w:rFonts w:ascii="Times New Roman" w:eastAsia="Times New Roman" w:hAnsi="Times New Roman" w:cs="Times New Roman"/>
                <w:i/>
                <w:kern w:val="0"/>
                <w:lang w:val="lt-LT"/>
                <w14:ligatures w14:val="none"/>
              </w:rPr>
              <w:t>Herpes zoster</w:t>
            </w:r>
            <w:r w:rsidRPr="00A552D9">
              <w:rPr>
                <w:rFonts w:ascii="Times New Roman" w:eastAsia="Times New Roman" w:hAnsi="Times New Roman" w:cs="Times New Roman"/>
                <w:kern w:val="0"/>
                <w:lang w:val="lt-LT"/>
                <w14:ligatures w14:val="none"/>
              </w:rPr>
              <w:t>)</w:t>
            </w:r>
          </w:p>
        </w:tc>
        <w:tc>
          <w:tcPr>
            <w:tcW w:w="1417" w:type="dxa"/>
            <w:vAlign w:val="center"/>
          </w:tcPr>
          <w:p w14:paraId="7E720B1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81F716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94D66C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596D110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4D9CC8C1" w14:textId="77777777" w:rsidTr="005B5BF2">
        <w:trPr>
          <w:trHeight w:val="20"/>
        </w:trPr>
        <w:tc>
          <w:tcPr>
            <w:tcW w:w="3313" w:type="dxa"/>
            <w:vAlign w:val="center"/>
          </w:tcPr>
          <w:p w14:paraId="0A0B9CB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Hepatito B reaktyvacija</w:t>
            </w:r>
          </w:p>
        </w:tc>
        <w:tc>
          <w:tcPr>
            <w:tcW w:w="1417" w:type="dxa"/>
            <w:vAlign w:val="center"/>
          </w:tcPr>
          <w:p w14:paraId="7A88D97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6F0BD67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34306A07" w14:textId="6ECBFCCD"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406068AF" w14:textId="0E26A54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r>
      <w:tr w:rsidR="00992F19" w:rsidRPr="004D4255" w14:paraId="17931654" w14:textId="77777777" w:rsidTr="005B5BF2">
        <w:trPr>
          <w:trHeight w:val="20"/>
        </w:trPr>
        <w:tc>
          <w:tcPr>
            <w:tcW w:w="9072" w:type="dxa"/>
            <w:gridSpan w:val="5"/>
            <w:vAlign w:val="center"/>
          </w:tcPr>
          <w:p w14:paraId="12CE836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Gerybiniai, piktybiniai ir nepatikslinti navikai (tarp jų cistos ir polipai)</w:t>
            </w:r>
          </w:p>
        </w:tc>
      </w:tr>
      <w:tr w:rsidR="00992F19" w:rsidRPr="00A552D9" w14:paraId="6A65F7B3" w14:textId="77777777" w:rsidTr="005B5BF2">
        <w:trPr>
          <w:trHeight w:val="20"/>
        </w:trPr>
        <w:tc>
          <w:tcPr>
            <w:tcW w:w="3313" w:type="dxa"/>
            <w:vAlign w:val="center"/>
          </w:tcPr>
          <w:p w14:paraId="00CC523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Bazalinių ląstelių karcinoma</w:t>
            </w:r>
          </w:p>
        </w:tc>
        <w:tc>
          <w:tcPr>
            <w:tcW w:w="1417" w:type="dxa"/>
            <w:vAlign w:val="center"/>
          </w:tcPr>
          <w:p w14:paraId="39799B5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949DA7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714DBA9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DFC7D7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9AFBF48" w14:textId="77777777" w:rsidTr="005B5BF2">
        <w:trPr>
          <w:trHeight w:val="20"/>
        </w:trPr>
        <w:tc>
          <w:tcPr>
            <w:tcW w:w="3313" w:type="dxa"/>
            <w:vAlign w:val="center"/>
          </w:tcPr>
          <w:p w14:paraId="64DC7414" w14:textId="5C3100A2" w:rsidR="00992F19" w:rsidRPr="00A552D9" w:rsidRDefault="002B7D6D"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Odos b</w:t>
            </w:r>
            <w:r w:rsidR="00992F19" w:rsidRPr="00A552D9">
              <w:rPr>
                <w:rFonts w:ascii="Times New Roman" w:eastAsia="Times New Roman" w:hAnsi="Times New Roman" w:cs="Times New Roman"/>
                <w:kern w:val="0"/>
                <w:lang w:val="lt-LT"/>
                <w14:ligatures w14:val="none"/>
              </w:rPr>
              <w:t>azalinių ląstelių karcinoma</w:t>
            </w:r>
          </w:p>
        </w:tc>
        <w:tc>
          <w:tcPr>
            <w:tcW w:w="1417" w:type="dxa"/>
            <w:vAlign w:val="center"/>
          </w:tcPr>
          <w:p w14:paraId="785E0C3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4B086C5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1D31C3F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507" w:type="dxa"/>
            <w:vAlign w:val="center"/>
          </w:tcPr>
          <w:p w14:paraId="19388E1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5289CB15" w14:textId="77777777" w:rsidTr="005B5BF2">
        <w:trPr>
          <w:trHeight w:val="20"/>
        </w:trPr>
        <w:tc>
          <w:tcPr>
            <w:tcW w:w="3313" w:type="dxa"/>
            <w:vAlign w:val="center"/>
          </w:tcPr>
          <w:p w14:paraId="5649E61A" w14:textId="1A29E14B" w:rsidR="00992F19" w:rsidRPr="00A552D9" w:rsidRDefault="00C064C8"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Odos p</w:t>
            </w:r>
            <w:r w:rsidR="00992F19" w:rsidRPr="00A552D9">
              <w:rPr>
                <w:rFonts w:ascii="Times New Roman" w:eastAsia="Times New Roman" w:hAnsi="Times New Roman" w:cs="Times New Roman"/>
                <w:kern w:val="0"/>
                <w:lang w:val="lt-LT"/>
                <w14:ligatures w14:val="none"/>
              </w:rPr>
              <w:t>lokščialąstelinė karcinoma</w:t>
            </w:r>
          </w:p>
        </w:tc>
        <w:tc>
          <w:tcPr>
            <w:tcW w:w="1417" w:type="dxa"/>
            <w:vAlign w:val="center"/>
          </w:tcPr>
          <w:p w14:paraId="6C0D4F1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559FB81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B660DB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507" w:type="dxa"/>
            <w:vAlign w:val="center"/>
          </w:tcPr>
          <w:p w14:paraId="45290AA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4E986A9A" w14:textId="77777777" w:rsidTr="005B5BF2">
        <w:trPr>
          <w:trHeight w:val="20"/>
        </w:trPr>
        <w:tc>
          <w:tcPr>
            <w:tcW w:w="9072" w:type="dxa"/>
            <w:gridSpan w:val="5"/>
            <w:vAlign w:val="center"/>
          </w:tcPr>
          <w:p w14:paraId="0B40C3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Kraujo ir limfinės sistemos sutrikimai</w:t>
            </w:r>
          </w:p>
        </w:tc>
      </w:tr>
      <w:tr w:rsidR="00992F19" w:rsidRPr="00A552D9" w14:paraId="5A211719" w14:textId="77777777" w:rsidTr="005B5BF2">
        <w:trPr>
          <w:trHeight w:val="20"/>
        </w:trPr>
        <w:tc>
          <w:tcPr>
            <w:tcW w:w="3313" w:type="dxa"/>
            <w:vAlign w:val="center"/>
          </w:tcPr>
          <w:p w14:paraId="483E67C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Neutropenija</w:t>
            </w:r>
          </w:p>
        </w:tc>
        <w:tc>
          <w:tcPr>
            <w:tcW w:w="1417" w:type="dxa"/>
            <w:vAlign w:val="center"/>
          </w:tcPr>
          <w:p w14:paraId="1D1FB18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63EA746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7" w:type="dxa"/>
            <w:vAlign w:val="center"/>
          </w:tcPr>
          <w:p w14:paraId="347FECD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2AAD6C5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r>
      <w:tr w:rsidR="00992F19" w:rsidRPr="00A552D9" w14:paraId="2AF6999B" w14:textId="77777777" w:rsidTr="005B5BF2">
        <w:trPr>
          <w:trHeight w:val="20"/>
        </w:trPr>
        <w:tc>
          <w:tcPr>
            <w:tcW w:w="3313" w:type="dxa"/>
            <w:vAlign w:val="center"/>
          </w:tcPr>
          <w:p w14:paraId="427FF25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Trombocitopenija</w:t>
            </w:r>
          </w:p>
        </w:tc>
        <w:tc>
          <w:tcPr>
            <w:tcW w:w="1417" w:type="dxa"/>
            <w:vAlign w:val="center"/>
          </w:tcPr>
          <w:p w14:paraId="4181191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10AD9D7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7" w:type="dxa"/>
            <w:vAlign w:val="center"/>
          </w:tcPr>
          <w:p w14:paraId="6F7ECAF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6E3CBB9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r>
      <w:tr w:rsidR="00992F19" w:rsidRPr="00A552D9" w14:paraId="5E4FB003" w14:textId="77777777" w:rsidTr="005B5BF2">
        <w:trPr>
          <w:trHeight w:val="20"/>
        </w:trPr>
        <w:tc>
          <w:tcPr>
            <w:tcW w:w="3313" w:type="dxa"/>
            <w:vAlign w:val="center"/>
          </w:tcPr>
          <w:p w14:paraId="516F96D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Leukopenija</w:t>
            </w:r>
          </w:p>
        </w:tc>
        <w:tc>
          <w:tcPr>
            <w:tcW w:w="1417" w:type="dxa"/>
            <w:vAlign w:val="center"/>
          </w:tcPr>
          <w:p w14:paraId="40FB880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0C9E7C6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716C7D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7FFE6AA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61A3BC3E" w14:textId="77777777" w:rsidTr="005B5BF2">
        <w:trPr>
          <w:trHeight w:val="20"/>
        </w:trPr>
        <w:tc>
          <w:tcPr>
            <w:tcW w:w="3313" w:type="dxa"/>
            <w:vAlign w:val="center"/>
          </w:tcPr>
          <w:p w14:paraId="3220476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Anemija</w:t>
            </w:r>
          </w:p>
        </w:tc>
        <w:tc>
          <w:tcPr>
            <w:tcW w:w="1417" w:type="dxa"/>
            <w:vAlign w:val="center"/>
          </w:tcPr>
          <w:p w14:paraId="1B60B60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6834026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7" w:type="dxa"/>
            <w:vAlign w:val="center"/>
          </w:tcPr>
          <w:p w14:paraId="2E4E38A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09DF96A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r>
      <w:tr w:rsidR="00992F19" w:rsidRPr="00A552D9" w14:paraId="1987A3E9" w14:textId="77777777" w:rsidTr="005B5BF2">
        <w:trPr>
          <w:trHeight w:val="20"/>
        </w:trPr>
        <w:tc>
          <w:tcPr>
            <w:tcW w:w="3313" w:type="dxa"/>
            <w:vAlign w:val="center"/>
          </w:tcPr>
          <w:p w14:paraId="6179711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Febrilinė neutropenija</w:t>
            </w:r>
          </w:p>
        </w:tc>
        <w:tc>
          <w:tcPr>
            <w:tcW w:w="1417" w:type="dxa"/>
            <w:vAlign w:val="center"/>
          </w:tcPr>
          <w:p w14:paraId="0AF5302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7B4591C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6F7377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4516DF7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67CA2ECF" w14:textId="77777777" w:rsidTr="005B5BF2">
        <w:trPr>
          <w:trHeight w:val="20"/>
        </w:trPr>
        <w:tc>
          <w:tcPr>
            <w:tcW w:w="3313" w:type="dxa"/>
            <w:vAlign w:val="center"/>
          </w:tcPr>
          <w:p w14:paraId="03A7E6A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Limfopenija</w:t>
            </w:r>
          </w:p>
        </w:tc>
        <w:tc>
          <w:tcPr>
            <w:tcW w:w="1417" w:type="dxa"/>
            <w:vAlign w:val="center"/>
          </w:tcPr>
          <w:p w14:paraId="5B4879A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6708FA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742ECA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D7DA2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6A50D212" w14:textId="77777777" w:rsidTr="005B5BF2">
        <w:trPr>
          <w:trHeight w:val="20"/>
        </w:trPr>
        <w:tc>
          <w:tcPr>
            <w:tcW w:w="3313" w:type="dxa"/>
            <w:vAlign w:val="center"/>
          </w:tcPr>
          <w:p w14:paraId="5272AC6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Pancitopenija</w:t>
            </w:r>
          </w:p>
        </w:tc>
        <w:tc>
          <w:tcPr>
            <w:tcW w:w="1417" w:type="dxa"/>
            <w:vAlign w:val="center"/>
          </w:tcPr>
          <w:p w14:paraId="144D49F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41B019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4B19B40F" w14:textId="413E556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341D7CFD" w14:textId="37C3D91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136F3D3D" w14:textId="77777777" w:rsidTr="005B5BF2">
        <w:trPr>
          <w:trHeight w:val="20"/>
        </w:trPr>
        <w:tc>
          <w:tcPr>
            <w:tcW w:w="9072" w:type="dxa"/>
            <w:gridSpan w:val="5"/>
            <w:vAlign w:val="center"/>
          </w:tcPr>
          <w:p w14:paraId="3997E66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Imuninės sistemos sutrikimai</w:t>
            </w:r>
          </w:p>
        </w:tc>
      </w:tr>
      <w:tr w:rsidR="00992F19" w:rsidRPr="00A552D9" w14:paraId="67273FE8" w14:textId="77777777" w:rsidTr="005B5BF2">
        <w:trPr>
          <w:trHeight w:val="20"/>
        </w:trPr>
        <w:tc>
          <w:tcPr>
            <w:tcW w:w="3313" w:type="dxa"/>
            <w:vAlign w:val="center"/>
          </w:tcPr>
          <w:p w14:paraId="2D8D00A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Angioneurozinė edema</w:t>
            </w:r>
          </w:p>
        </w:tc>
        <w:tc>
          <w:tcPr>
            <w:tcW w:w="1417" w:type="dxa"/>
            <w:vAlign w:val="center"/>
          </w:tcPr>
          <w:p w14:paraId="155E3EE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5B9F63D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CC696CA" w14:textId="134D791A"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399368C6" w14:textId="0863633D"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1F33EAEA" w14:textId="77777777" w:rsidTr="005B5BF2">
        <w:trPr>
          <w:trHeight w:val="20"/>
        </w:trPr>
        <w:tc>
          <w:tcPr>
            <w:tcW w:w="3313" w:type="dxa"/>
            <w:vAlign w:val="center"/>
          </w:tcPr>
          <w:p w14:paraId="67CB882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Dilgėlinė</w:t>
            </w:r>
          </w:p>
        </w:tc>
        <w:tc>
          <w:tcPr>
            <w:tcW w:w="1417" w:type="dxa"/>
            <w:vAlign w:val="center"/>
          </w:tcPr>
          <w:p w14:paraId="063387C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01ECB2F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70996C43" w14:textId="0157E95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48DB46B2" w14:textId="7A4A1CB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373684F2" w14:textId="77777777" w:rsidTr="005B5BF2">
        <w:trPr>
          <w:trHeight w:val="20"/>
        </w:trPr>
        <w:tc>
          <w:tcPr>
            <w:tcW w:w="3313" w:type="dxa"/>
            <w:vAlign w:val="center"/>
          </w:tcPr>
          <w:p w14:paraId="25C7DB1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Anafilaksinė reakcija</w:t>
            </w:r>
          </w:p>
        </w:tc>
        <w:tc>
          <w:tcPr>
            <w:tcW w:w="1417" w:type="dxa"/>
            <w:vAlign w:val="center"/>
          </w:tcPr>
          <w:p w14:paraId="7F2CD127" w14:textId="427AE6F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c>
          <w:tcPr>
            <w:tcW w:w="1418" w:type="dxa"/>
            <w:vAlign w:val="center"/>
          </w:tcPr>
          <w:p w14:paraId="7560B02A" w14:textId="55CE69E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c>
          <w:tcPr>
            <w:tcW w:w="1417" w:type="dxa"/>
            <w:vAlign w:val="center"/>
          </w:tcPr>
          <w:p w14:paraId="195323C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2590987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3FE7E30" w14:textId="77777777" w:rsidTr="005B5BF2">
        <w:trPr>
          <w:trHeight w:val="20"/>
        </w:trPr>
        <w:tc>
          <w:tcPr>
            <w:tcW w:w="3313" w:type="dxa"/>
            <w:vAlign w:val="center"/>
          </w:tcPr>
          <w:p w14:paraId="4196FEB9" w14:textId="42D0074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Solidinio organo transplant</w:t>
            </w:r>
            <w:r w:rsidR="006363BF">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atmetimas</w:t>
            </w:r>
          </w:p>
        </w:tc>
        <w:tc>
          <w:tcPr>
            <w:tcW w:w="1417" w:type="dxa"/>
            <w:vAlign w:val="center"/>
          </w:tcPr>
          <w:p w14:paraId="58B6CBA2" w14:textId="0A6C103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c>
          <w:tcPr>
            <w:tcW w:w="1418" w:type="dxa"/>
            <w:vAlign w:val="center"/>
          </w:tcPr>
          <w:p w14:paraId="77AEEA2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C5AC8D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11D8C4B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305A3F2D" w14:textId="77777777" w:rsidTr="005B5BF2">
        <w:trPr>
          <w:trHeight w:val="20"/>
        </w:trPr>
        <w:tc>
          <w:tcPr>
            <w:tcW w:w="9072" w:type="dxa"/>
            <w:gridSpan w:val="5"/>
            <w:vAlign w:val="center"/>
          </w:tcPr>
          <w:p w14:paraId="153BC0A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Endokrininiai sutrikimai</w:t>
            </w:r>
          </w:p>
        </w:tc>
      </w:tr>
      <w:tr w:rsidR="00992F19" w:rsidRPr="00A552D9" w14:paraId="669BB631" w14:textId="77777777" w:rsidTr="005B5BF2">
        <w:trPr>
          <w:trHeight w:val="20"/>
        </w:trPr>
        <w:tc>
          <w:tcPr>
            <w:tcW w:w="3313" w:type="dxa"/>
            <w:vAlign w:val="center"/>
          </w:tcPr>
          <w:p w14:paraId="113674E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Hipotirozė</w:t>
            </w:r>
          </w:p>
        </w:tc>
        <w:tc>
          <w:tcPr>
            <w:tcW w:w="1417" w:type="dxa"/>
            <w:vAlign w:val="center"/>
          </w:tcPr>
          <w:p w14:paraId="712F3CF8" w14:textId="781689E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c>
          <w:tcPr>
            <w:tcW w:w="1418" w:type="dxa"/>
            <w:vAlign w:val="center"/>
          </w:tcPr>
          <w:p w14:paraId="3C42F6B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7000D29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6A9B65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0E8322C" w14:textId="77777777" w:rsidTr="005B5BF2">
        <w:trPr>
          <w:trHeight w:val="20"/>
        </w:trPr>
        <w:tc>
          <w:tcPr>
            <w:tcW w:w="9072" w:type="dxa"/>
            <w:gridSpan w:val="5"/>
            <w:vAlign w:val="center"/>
          </w:tcPr>
          <w:p w14:paraId="7EA9532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Metabolizmo ir mitybos sutrikimai</w:t>
            </w:r>
          </w:p>
        </w:tc>
      </w:tr>
      <w:tr w:rsidR="00992F19" w:rsidRPr="00A552D9" w14:paraId="23B413E5" w14:textId="77777777" w:rsidTr="005B5BF2">
        <w:trPr>
          <w:trHeight w:val="20"/>
        </w:trPr>
        <w:tc>
          <w:tcPr>
            <w:tcW w:w="3313" w:type="dxa"/>
            <w:vAlign w:val="center"/>
          </w:tcPr>
          <w:p w14:paraId="26D9999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Hipokalemija</w:t>
            </w:r>
          </w:p>
        </w:tc>
        <w:tc>
          <w:tcPr>
            <w:tcW w:w="1417" w:type="dxa"/>
            <w:vAlign w:val="center"/>
          </w:tcPr>
          <w:p w14:paraId="04E5833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73E743D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0A21B8A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AB52E0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8A0242D" w14:textId="77777777" w:rsidTr="005B5BF2">
        <w:trPr>
          <w:trHeight w:val="20"/>
        </w:trPr>
        <w:tc>
          <w:tcPr>
            <w:tcW w:w="3313" w:type="dxa"/>
            <w:vAlign w:val="center"/>
          </w:tcPr>
          <w:p w14:paraId="4E6BFF0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Hiperglikemija</w:t>
            </w:r>
          </w:p>
        </w:tc>
        <w:tc>
          <w:tcPr>
            <w:tcW w:w="1417" w:type="dxa"/>
            <w:vAlign w:val="center"/>
          </w:tcPr>
          <w:p w14:paraId="20226F6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64198CE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4340424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133A8F8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1D52A1AF" w14:textId="77777777" w:rsidTr="005B5BF2">
        <w:trPr>
          <w:trHeight w:val="20"/>
        </w:trPr>
        <w:tc>
          <w:tcPr>
            <w:tcW w:w="3313" w:type="dxa"/>
            <w:vAlign w:val="center"/>
          </w:tcPr>
          <w:p w14:paraId="4298A3C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Hipomagnezemija</w:t>
            </w:r>
          </w:p>
        </w:tc>
        <w:tc>
          <w:tcPr>
            <w:tcW w:w="1417" w:type="dxa"/>
            <w:vAlign w:val="center"/>
          </w:tcPr>
          <w:p w14:paraId="74D08D9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7FD4DAC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3DB01E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23E4D88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56D457B" w14:textId="77777777" w:rsidTr="005B5BF2">
        <w:trPr>
          <w:trHeight w:val="20"/>
        </w:trPr>
        <w:tc>
          <w:tcPr>
            <w:tcW w:w="3313" w:type="dxa"/>
            <w:vAlign w:val="center"/>
          </w:tcPr>
          <w:p w14:paraId="061181B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Hipokalcemija</w:t>
            </w:r>
          </w:p>
        </w:tc>
        <w:tc>
          <w:tcPr>
            <w:tcW w:w="1417" w:type="dxa"/>
            <w:vAlign w:val="center"/>
          </w:tcPr>
          <w:p w14:paraId="68AA9D8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746A1F8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64875E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4E0F6E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F0FF840" w14:textId="77777777" w:rsidTr="005B5BF2">
        <w:trPr>
          <w:trHeight w:val="20"/>
        </w:trPr>
        <w:tc>
          <w:tcPr>
            <w:tcW w:w="3313" w:type="dxa"/>
            <w:vAlign w:val="center"/>
          </w:tcPr>
          <w:p w14:paraId="4C0F245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Hipofosfatemija</w:t>
            </w:r>
          </w:p>
        </w:tc>
        <w:tc>
          <w:tcPr>
            <w:tcW w:w="1417" w:type="dxa"/>
            <w:vAlign w:val="center"/>
          </w:tcPr>
          <w:p w14:paraId="7BF1572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74AA16B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C363B5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078EDF0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3D6E12E" w14:textId="77777777" w:rsidTr="005B5BF2">
        <w:trPr>
          <w:trHeight w:val="20"/>
        </w:trPr>
        <w:tc>
          <w:tcPr>
            <w:tcW w:w="3313" w:type="dxa"/>
            <w:vAlign w:val="center"/>
          </w:tcPr>
          <w:p w14:paraId="72B372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Hiperkalemija</w:t>
            </w:r>
          </w:p>
        </w:tc>
        <w:tc>
          <w:tcPr>
            <w:tcW w:w="1417" w:type="dxa"/>
            <w:vAlign w:val="center"/>
          </w:tcPr>
          <w:p w14:paraId="69466F9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4E32E78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11E884A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2034C78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101BC022" w14:textId="77777777" w:rsidTr="005B5BF2">
        <w:trPr>
          <w:trHeight w:val="20"/>
        </w:trPr>
        <w:tc>
          <w:tcPr>
            <w:tcW w:w="3313" w:type="dxa"/>
            <w:vAlign w:val="center"/>
          </w:tcPr>
          <w:p w14:paraId="05896D7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Hiperkalcemija</w:t>
            </w:r>
          </w:p>
        </w:tc>
        <w:tc>
          <w:tcPr>
            <w:tcW w:w="1417" w:type="dxa"/>
            <w:vAlign w:val="center"/>
          </w:tcPr>
          <w:p w14:paraId="04393A3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227AE42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F8EE73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0849BE7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3A6607F9" w14:textId="77777777" w:rsidTr="005B5BF2">
        <w:trPr>
          <w:trHeight w:val="20"/>
        </w:trPr>
        <w:tc>
          <w:tcPr>
            <w:tcW w:w="3313" w:type="dxa"/>
            <w:vAlign w:val="center"/>
          </w:tcPr>
          <w:p w14:paraId="13A68BF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Hiponatremija</w:t>
            </w:r>
          </w:p>
        </w:tc>
        <w:tc>
          <w:tcPr>
            <w:tcW w:w="1417" w:type="dxa"/>
            <w:vAlign w:val="center"/>
          </w:tcPr>
          <w:p w14:paraId="7754D56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0C8CAE1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C00373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7F53516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161C9013" w14:textId="77777777" w:rsidTr="005B5BF2">
        <w:trPr>
          <w:trHeight w:val="20"/>
        </w:trPr>
        <w:tc>
          <w:tcPr>
            <w:tcW w:w="3313" w:type="dxa"/>
            <w:vAlign w:val="center"/>
          </w:tcPr>
          <w:p w14:paraId="774CC08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Sumažėjęs apetitas</w:t>
            </w:r>
          </w:p>
        </w:tc>
        <w:tc>
          <w:tcPr>
            <w:tcW w:w="1417" w:type="dxa"/>
            <w:vAlign w:val="center"/>
          </w:tcPr>
          <w:p w14:paraId="568322E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FDE0D2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4AB248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34A4173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7A7B6AC5" w14:textId="77777777" w:rsidTr="005B5BF2">
        <w:trPr>
          <w:trHeight w:val="20"/>
        </w:trPr>
        <w:tc>
          <w:tcPr>
            <w:tcW w:w="3313" w:type="dxa"/>
            <w:vAlign w:val="center"/>
          </w:tcPr>
          <w:p w14:paraId="60CFE79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Hiperuricemija</w:t>
            </w:r>
          </w:p>
        </w:tc>
        <w:tc>
          <w:tcPr>
            <w:tcW w:w="1417" w:type="dxa"/>
            <w:vAlign w:val="center"/>
          </w:tcPr>
          <w:p w14:paraId="22F5738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3D5D3DA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3D124FE9" w14:textId="38A711E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0290723E" w14:textId="2F3ADD7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2E8E8C85" w14:textId="77777777" w:rsidTr="005B5BF2">
        <w:trPr>
          <w:trHeight w:val="20"/>
        </w:trPr>
        <w:tc>
          <w:tcPr>
            <w:tcW w:w="3313" w:type="dxa"/>
            <w:vAlign w:val="center"/>
          </w:tcPr>
          <w:p w14:paraId="6BBBF4E3" w14:textId="41B41F8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Navik</w:t>
            </w:r>
            <w:r w:rsidR="006D041A">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lizės sindromas</w:t>
            </w:r>
          </w:p>
        </w:tc>
        <w:tc>
          <w:tcPr>
            <w:tcW w:w="1417" w:type="dxa"/>
            <w:vAlign w:val="center"/>
          </w:tcPr>
          <w:p w14:paraId="24AE99D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5950537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799F33A7" w14:textId="7233495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6B8D80AE" w14:textId="39E1F00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13665F08" w14:textId="77777777" w:rsidTr="005B5BF2">
        <w:trPr>
          <w:trHeight w:val="20"/>
        </w:trPr>
        <w:tc>
          <w:tcPr>
            <w:tcW w:w="9072" w:type="dxa"/>
            <w:gridSpan w:val="5"/>
            <w:vAlign w:val="center"/>
          </w:tcPr>
          <w:p w14:paraId="2DB1A72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Psichikos sutrikimai</w:t>
            </w:r>
          </w:p>
        </w:tc>
      </w:tr>
      <w:tr w:rsidR="00992F19" w:rsidRPr="00A552D9" w14:paraId="219E019D" w14:textId="77777777" w:rsidTr="005B5BF2">
        <w:trPr>
          <w:trHeight w:val="20"/>
        </w:trPr>
        <w:tc>
          <w:tcPr>
            <w:tcW w:w="3313" w:type="dxa"/>
            <w:vAlign w:val="center"/>
          </w:tcPr>
          <w:p w14:paraId="595883E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Nemiga</w:t>
            </w:r>
          </w:p>
        </w:tc>
        <w:tc>
          <w:tcPr>
            <w:tcW w:w="1417" w:type="dxa"/>
            <w:vAlign w:val="center"/>
          </w:tcPr>
          <w:p w14:paraId="33C938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4989121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A88C24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5B92965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F0526D4" w14:textId="77777777" w:rsidTr="005B5BF2">
        <w:trPr>
          <w:trHeight w:val="20"/>
        </w:trPr>
        <w:tc>
          <w:tcPr>
            <w:tcW w:w="3313" w:type="dxa"/>
            <w:vAlign w:val="center"/>
          </w:tcPr>
          <w:p w14:paraId="45B0A9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Depresija</w:t>
            </w:r>
          </w:p>
        </w:tc>
        <w:tc>
          <w:tcPr>
            <w:tcW w:w="1417" w:type="dxa"/>
            <w:vAlign w:val="center"/>
          </w:tcPr>
          <w:p w14:paraId="25632F3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69177F7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4582B9D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31F9E3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3E957E81" w14:textId="77777777" w:rsidTr="005B5BF2">
        <w:trPr>
          <w:trHeight w:val="20"/>
        </w:trPr>
        <w:tc>
          <w:tcPr>
            <w:tcW w:w="3313" w:type="dxa"/>
            <w:vAlign w:val="center"/>
          </w:tcPr>
          <w:p w14:paraId="73AF691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Sumišimo būklė</w:t>
            </w:r>
          </w:p>
        </w:tc>
        <w:tc>
          <w:tcPr>
            <w:tcW w:w="1417" w:type="dxa"/>
            <w:vAlign w:val="center"/>
          </w:tcPr>
          <w:p w14:paraId="2B6025B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2293054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7D3EC9B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6CCE3A0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3FA533FA" w14:textId="77777777" w:rsidTr="005B5BF2">
        <w:trPr>
          <w:trHeight w:val="20"/>
        </w:trPr>
        <w:tc>
          <w:tcPr>
            <w:tcW w:w="9072" w:type="dxa"/>
            <w:gridSpan w:val="5"/>
            <w:vAlign w:val="center"/>
          </w:tcPr>
          <w:p w14:paraId="0822F1D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Nervų sistemos sutrikimai</w:t>
            </w:r>
          </w:p>
        </w:tc>
      </w:tr>
      <w:tr w:rsidR="00992F19" w:rsidRPr="00A552D9" w14:paraId="46448AFC" w14:textId="77777777" w:rsidTr="005B5BF2">
        <w:trPr>
          <w:trHeight w:val="20"/>
        </w:trPr>
        <w:tc>
          <w:tcPr>
            <w:tcW w:w="3313" w:type="dxa"/>
            <w:vAlign w:val="center"/>
          </w:tcPr>
          <w:p w14:paraId="3FC7DA5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Periferinė sensorinė neuropatija</w:t>
            </w:r>
          </w:p>
        </w:tc>
        <w:tc>
          <w:tcPr>
            <w:tcW w:w="1417" w:type="dxa"/>
            <w:vAlign w:val="center"/>
          </w:tcPr>
          <w:p w14:paraId="7110BB6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29F289A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896C14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2A8187D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7FEB4EFE" w14:textId="77777777" w:rsidTr="005B5BF2">
        <w:trPr>
          <w:trHeight w:val="20"/>
        </w:trPr>
        <w:tc>
          <w:tcPr>
            <w:tcW w:w="3313" w:type="dxa"/>
            <w:vAlign w:val="center"/>
          </w:tcPr>
          <w:p w14:paraId="4E94BD8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Svaigulys</w:t>
            </w:r>
          </w:p>
        </w:tc>
        <w:tc>
          <w:tcPr>
            <w:tcW w:w="1417" w:type="dxa"/>
            <w:vAlign w:val="center"/>
          </w:tcPr>
          <w:p w14:paraId="3B372DD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4EE791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24BF7B7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60F05B4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62C73364" w14:textId="77777777" w:rsidTr="005B5BF2">
        <w:trPr>
          <w:trHeight w:val="20"/>
        </w:trPr>
        <w:tc>
          <w:tcPr>
            <w:tcW w:w="3313" w:type="dxa"/>
            <w:vAlign w:val="center"/>
          </w:tcPr>
          <w:p w14:paraId="0142650E" w14:textId="3661FD0E" w:rsidR="00992F19" w:rsidRPr="00A552D9" w:rsidRDefault="00A10EEB"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Tremoras</w:t>
            </w:r>
          </w:p>
        </w:tc>
        <w:tc>
          <w:tcPr>
            <w:tcW w:w="1417" w:type="dxa"/>
            <w:vAlign w:val="center"/>
          </w:tcPr>
          <w:p w14:paraId="6B2B8A7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006B38B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2C6CA3A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5ECFBE5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06AFDDFD" w14:textId="77777777" w:rsidTr="005B5BF2">
        <w:trPr>
          <w:trHeight w:val="20"/>
        </w:trPr>
        <w:tc>
          <w:tcPr>
            <w:tcW w:w="3313" w:type="dxa"/>
            <w:vAlign w:val="center"/>
          </w:tcPr>
          <w:p w14:paraId="0F0B62A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Apalpimas</w:t>
            </w:r>
          </w:p>
        </w:tc>
        <w:tc>
          <w:tcPr>
            <w:tcW w:w="1417" w:type="dxa"/>
            <w:vAlign w:val="center"/>
          </w:tcPr>
          <w:p w14:paraId="42D3E2D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55B2A4A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416384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21D515B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334B3BE1" w14:textId="77777777" w:rsidTr="005B5BF2">
        <w:trPr>
          <w:trHeight w:val="20"/>
        </w:trPr>
        <w:tc>
          <w:tcPr>
            <w:tcW w:w="3313" w:type="dxa"/>
            <w:vAlign w:val="center"/>
          </w:tcPr>
          <w:p w14:paraId="23E3DCB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Periferinė sensorinė motorinė neuropatija</w:t>
            </w:r>
          </w:p>
        </w:tc>
        <w:tc>
          <w:tcPr>
            <w:tcW w:w="1417" w:type="dxa"/>
            <w:vAlign w:val="center"/>
          </w:tcPr>
          <w:p w14:paraId="7797665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63D2BB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73C2A96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0DE8B3E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8778F0B" w14:textId="77777777" w:rsidTr="005B5BF2">
        <w:trPr>
          <w:trHeight w:val="20"/>
        </w:trPr>
        <w:tc>
          <w:tcPr>
            <w:tcW w:w="3313" w:type="dxa"/>
            <w:vAlign w:val="center"/>
          </w:tcPr>
          <w:p w14:paraId="6844E3B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Parestezija</w:t>
            </w:r>
          </w:p>
        </w:tc>
        <w:tc>
          <w:tcPr>
            <w:tcW w:w="1417" w:type="dxa"/>
            <w:vAlign w:val="center"/>
          </w:tcPr>
          <w:p w14:paraId="35E1513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1FF6052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3C31406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8816E7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16261999" w14:textId="77777777" w:rsidTr="005B5BF2">
        <w:trPr>
          <w:trHeight w:val="20"/>
        </w:trPr>
        <w:tc>
          <w:tcPr>
            <w:tcW w:w="3313" w:type="dxa"/>
            <w:vAlign w:val="center"/>
          </w:tcPr>
          <w:p w14:paraId="0DB75B3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Sutrikęs skonio pojūtis</w:t>
            </w:r>
          </w:p>
        </w:tc>
        <w:tc>
          <w:tcPr>
            <w:tcW w:w="1417" w:type="dxa"/>
            <w:vAlign w:val="center"/>
          </w:tcPr>
          <w:p w14:paraId="4E33D62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35AB695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BF4F9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5024282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79811F56" w14:textId="77777777" w:rsidTr="005B5BF2">
        <w:trPr>
          <w:trHeight w:val="20"/>
        </w:trPr>
        <w:tc>
          <w:tcPr>
            <w:tcW w:w="3313" w:type="dxa"/>
            <w:vAlign w:val="center"/>
          </w:tcPr>
          <w:p w14:paraId="4EB0AE7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Sutrikusi sąmonė</w:t>
            </w:r>
          </w:p>
        </w:tc>
        <w:tc>
          <w:tcPr>
            <w:tcW w:w="1417" w:type="dxa"/>
            <w:vAlign w:val="center"/>
          </w:tcPr>
          <w:p w14:paraId="6B22DC2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3365CAB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31DDD6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0BC401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5E2AFB79" w14:textId="77777777" w:rsidTr="005B5BF2">
        <w:trPr>
          <w:trHeight w:val="20"/>
        </w:trPr>
        <w:tc>
          <w:tcPr>
            <w:tcW w:w="3313" w:type="dxa"/>
            <w:vAlign w:val="center"/>
          </w:tcPr>
          <w:p w14:paraId="699C301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Intrakranijinis kraujavimas</w:t>
            </w:r>
          </w:p>
        </w:tc>
        <w:tc>
          <w:tcPr>
            <w:tcW w:w="1417" w:type="dxa"/>
            <w:vAlign w:val="center"/>
          </w:tcPr>
          <w:p w14:paraId="27EE846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045A424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15AD75FD" w14:textId="4048D2E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3A94165F" w14:textId="782B11D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0C232DDF" w14:textId="77777777" w:rsidTr="005B5BF2">
        <w:trPr>
          <w:trHeight w:val="20"/>
        </w:trPr>
        <w:tc>
          <w:tcPr>
            <w:tcW w:w="3313" w:type="dxa"/>
            <w:vAlign w:val="center"/>
          </w:tcPr>
          <w:p w14:paraId="31FE3D4E" w14:textId="04025C2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Cerebrovaskulinis </w:t>
            </w:r>
            <w:r w:rsidR="00566989">
              <w:rPr>
                <w:rFonts w:ascii="Times New Roman" w:eastAsia="Times New Roman" w:hAnsi="Times New Roman" w:cs="Times New Roman"/>
                <w:kern w:val="0"/>
                <w:lang w:val="lt-LT"/>
                <w14:ligatures w14:val="none"/>
              </w:rPr>
              <w:t>įvykis</w:t>
            </w:r>
          </w:p>
        </w:tc>
        <w:tc>
          <w:tcPr>
            <w:tcW w:w="1417" w:type="dxa"/>
            <w:vAlign w:val="center"/>
          </w:tcPr>
          <w:p w14:paraId="0182A5D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0C20EE0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658D3AB" w14:textId="2E3DA0D6"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78BD2AE3" w14:textId="5143D70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643D5E53" w14:textId="77777777" w:rsidTr="005B5BF2">
        <w:trPr>
          <w:trHeight w:val="20"/>
        </w:trPr>
        <w:tc>
          <w:tcPr>
            <w:tcW w:w="9072" w:type="dxa"/>
            <w:gridSpan w:val="5"/>
            <w:vAlign w:val="center"/>
          </w:tcPr>
          <w:p w14:paraId="3CA36A9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Akių sutrikimai</w:t>
            </w:r>
          </w:p>
        </w:tc>
      </w:tr>
      <w:tr w:rsidR="00992F19" w:rsidRPr="00A552D9" w14:paraId="1A305EE3" w14:textId="77777777" w:rsidTr="005B5BF2">
        <w:trPr>
          <w:trHeight w:val="20"/>
        </w:trPr>
        <w:tc>
          <w:tcPr>
            <w:tcW w:w="3313" w:type="dxa"/>
            <w:vAlign w:val="center"/>
          </w:tcPr>
          <w:p w14:paraId="215881D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Katarakta</w:t>
            </w:r>
          </w:p>
        </w:tc>
        <w:tc>
          <w:tcPr>
            <w:tcW w:w="1417" w:type="dxa"/>
            <w:vAlign w:val="center"/>
          </w:tcPr>
          <w:p w14:paraId="5B79562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58EB734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BB26BD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66DF28E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565382F0" w14:textId="77777777" w:rsidTr="005B5BF2">
        <w:trPr>
          <w:trHeight w:val="20"/>
        </w:trPr>
        <w:tc>
          <w:tcPr>
            <w:tcW w:w="9072" w:type="dxa"/>
            <w:gridSpan w:val="5"/>
            <w:vAlign w:val="center"/>
          </w:tcPr>
          <w:p w14:paraId="4CB4FCD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Ausų ir labirintų sutrikimai</w:t>
            </w:r>
          </w:p>
        </w:tc>
      </w:tr>
      <w:tr w:rsidR="00992F19" w:rsidRPr="00A552D9" w14:paraId="5403CD3C" w14:textId="77777777" w:rsidTr="005B5BF2">
        <w:trPr>
          <w:trHeight w:val="20"/>
        </w:trPr>
        <w:tc>
          <w:tcPr>
            <w:tcW w:w="3313" w:type="dxa"/>
            <w:vAlign w:val="center"/>
          </w:tcPr>
          <w:p w14:paraId="5CD3270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Svaigimas (</w:t>
            </w:r>
            <w:r w:rsidRPr="00A552D9">
              <w:rPr>
                <w:rFonts w:ascii="Times New Roman" w:eastAsia="Times New Roman" w:hAnsi="Times New Roman" w:cs="Times New Roman"/>
                <w:i/>
                <w:kern w:val="0"/>
                <w:lang w:val="lt-LT"/>
                <w14:ligatures w14:val="none"/>
              </w:rPr>
              <w:t>vertigo</w:t>
            </w:r>
            <w:r w:rsidRPr="00A552D9">
              <w:rPr>
                <w:rFonts w:ascii="Times New Roman" w:eastAsia="Times New Roman" w:hAnsi="Times New Roman" w:cs="Times New Roman"/>
                <w:kern w:val="0"/>
                <w:lang w:val="lt-LT"/>
                <w14:ligatures w14:val="none"/>
              </w:rPr>
              <w:t>)</w:t>
            </w:r>
          </w:p>
        </w:tc>
        <w:tc>
          <w:tcPr>
            <w:tcW w:w="1417" w:type="dxa"/>
            <w:vAlign w:val="center"/>
          </w:tcPr>
          <w:p w14:paraId="2B8DECD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EC4137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432C169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0D6AC49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69A67FA0" w14:textId="77777777" w:rsidTr="005B5BF2">
        <w:trPr>
          <w:trHeight w:val="20"/>
        </w:trPr>
        <w:tc>
          <w:tcPr>
            <w:tcW w:w="9072" w:type="dxa"/>
            <w:gridSpan w:val="5"/>
            <w:vAlign w:val="center"/>
          </w:tcPr>
          <w:p w14:paraId="30E5597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Širdies sutrikimai</w:t>
            </w:r>
          </w:p>
        </w:tc>
      </w:tr>
      <w:tr w:rsidR="00992F19" w:rsidRPr="00A552D9" w14:paraId="265BCCB4" w14:textId="77777777" w:rsidTr="005B5BF2">
        <w:trPr>
          <w:trHeight w:val="20"/>
        </w:trPr>
        <w:tc>
          <w:tcPr>
            <w:tcW w:w="3313" w:type="dxa"/>
            <w:vAlign w:val="center"/>
          </w:tcPr>
          <w:p w14:paraId="337B02F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Prieširdžių virpėjimas</w:t>
            </w:r>
          </w:p>
        </w:tc>
        <w:tc>
          <w:tcPr>
            <w:tcW w:w="1417" w:type="dxa"/>
            <w:vAlign w:val="center"/>
          </w:tcPr>
          <w:p w14:paraId="112D1EB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0AFFFE5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19CC26DF" w14:textId="5890B0E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47FBEA64" w14:textId="4CEB402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7BA4A6B3" w14:textId="77777777" w:rsidTr="005B5BF2">
        <w:trPr>
          <w:trHeight w:val="20"/>
        </w:trPr>
        <w:tc>
          <w:tcPr>
            <w:tcW w:w="3313" w:type="dxa"/>
            <w:vAlign w:val="center"/>
          </w:tcPr>
          <w:p w14:paraId="2AC8EF1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Širdies nepakankamumas</w:t>
            </w:r>
          </w:p>
        </w:tc>
        <w:tc>
          <w:tcPr>
            <w:tcW w:w="1417" w:type="dxa"/>
            <w:vAlign w:val="center"/>
          </w:tcPr>
          <w:p w14:paraId="7988BC5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0DAF1D6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12085F6D" w14:textId="74F1DD7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66418BFF" w14:textId="512EB55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44472B3F" w14:textId="77777777" w:rsidTr="005B5BF2">
        <w:trPr>
          <w:trHeight w:val="20"/>
        </w:trPr>
        <w:tc>
          <w:tcPr>
            <w:tcW w:w="3313" w:type="dxa"/>
            <w:vAlign w:val="center"/>
          </w:tcPr>
          <w:p w14:paraId="769C24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Miokardo infarktas</w:t>
            </w:r>
          </w:p>
        </w:tc>
        <w:tc>
          <w:tcPr>
            <w:tcW w:w="1417" w:type="dxa"/>
            <w:vAlign w:val="center"/>
          </w:tcPr>
          <w:p w14:paraId="5F407FC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487277E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A6F338E" w14:textId="1355CF1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4719CFD6" w14:textId="79A506C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79E67862" w14:textId="77777777" w:rsidTr="005B5BF2">
        <w:trPr>
          <w:trHeight w:val="20"/>
        </w:trPr>
        <w:tc>
          <w:tcPr>
            <w:tcW w:w="9072" w:type="dxa"/>
            <w:gridSpan w:val="5"/>
            <w:vAlign w:val="center"/>
          </w:tcPr>
          <w:p w14:paraId="7952D5F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Kraujagyslių sutrikimai</w:t>
            </w:r>
          </w:p>
        </w:tc>
      </w:tr>
      <w:tr w:rsidR="00992F19" w:rsidRPr="00A552D9" w14:paraId="16AD9D15" w14:textId="77777777" w:rsidTr="005B5BF2">
        <w:trPr>
          <w:trHeight w:val="20"/>
        </w:trPr>
        <w:tc>
          <w:tcPr>
            <w:tcW w:w="3313" w:type="dxa"/>
            <w:vAlign w:val="center"/>
          </w:tcPr>
          <w:p w14:paraId="19A52EE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Giliųjų venų trombozė</w:t>
            </w:r>
          </w:p>
        </w:tc>
        <w:tc>
          <w:tcPr>
            <w:tcW w:w="1417" w:type="dxa"/>
            <w:vAlign w:val="center"/>
          </w:tcPr>
          <w:p w14:paraId="7106268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14008FC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7498F95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2BA2915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042FCDB5" w14:textId="77777777" w:rsidTr="005B5BF2">
        <w:trPr>
          <w:trHeight w:val="20"/>
        </w:trPr>
        <w:tc>
          <w:tcPr>
            <w:tcW w:w="3313" w:type="dxa"/>
            <w:vAlign w:val="center"/>
          </w:tcPr>
          <w:p w14:paraId="1D6FDB2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Hipotenzija</w:t>
            </w:r>
          </w:p>
        </w:tc>
        <w:tc>
          <w:tcPr>
            <w:tcW w:w="1417" w:type="dxa"/>
            <w:vAlign w:val="center"/>
          </w:tcPr>
          <w:p w14:paraId="6736A38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362B8B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F899B4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1D16866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C9507BF" w14:textId="77777777" w:rsidTr="005B5BF2">
        <w:trPr>
          <w:trHeight w:val="20"/>
        </w:trPr>
        <w:tc>
          <w:tcPr>
            <w:tcW w:w="3313" w:type="dxa"/>
            <w:vAlign w:val="center"/>
          </w:tcPr>
          <w:p w14:paraId="38F33E8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Hipertenzija</w:t>
            </w:r>
          </w:p>
        </w:tc>
        <w:tc>
          <w:tcPr>
            <w:tcW w:w="1417" w:type="dxa"/>
            <w:vAlign w:val="center"/>
          </w:tcPr>
          <w:p w14:paraId="66B23CC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5ED2443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438F7BA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728753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2B9E631" w14:textId="77777777" w:rsidTr="005B5BF2">
        <w:trPr>
          <w:trHeight w:val="20"/>
        </w:trPr>
        <w:tc>
          <w:tcPr>
            <w:tcW w:w="9072" w:type="dxa"/>
            <w:gridSpan w:val="5"/>
            <w:vAlign w:val="center"/>
          </w:tcPr>
          <w:p w14:paraId="0C570DD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Kvėpavimo sistemos, krūtinės ląstos ir tarpuplaučio sutrikimai</w:t>
            </w:r>
          </w:p>
        </w:tc>
      </w:tr>
      <w:tr w:rsidR="00992F19" w:rsidRPr="00A552D9" w14:paraId="1ABC1093" w14:textId="77777777" w:rsidTr="005B5BF2">
        <w:trPr>
          <w:trHeight w:val="20"/>
        </w:trPr>
        <w:tc>
          <w:tcPr>
            <w:tcW w:w="3313" w:type="dxa"/>
            <w:vAlign w:val="center"/>
          </w:tcPr>
          <w:p w14:paraId="30C0A26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Dispnėja</w:t>
            </w:r>
          </w:p>
        </w:tc>
        <w:tc>
          <w:tcPr>
            <w:tcW w:w="1417" w:type="dxa"/>
            <w:vAlign w:val="center"/>
          </w:tcPr>
          <w:p w14:paraId="6923BAB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1ABDDE4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0105630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46B4A21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31C642F5" w14:textId="77777777" w:rsidTr="005B5BF2">
        <w:trPr>
          <w:trHeight w:val="20"/>
        </w:trPr>
        <w:tc>
          <w:tcPr>
            <w:tcW w:w="3313" w:type="dxa"/>
            <w:vAlign w:val="center"/>
          </w:tcPr>
          <w:p w14:paraId="3BD494C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Kosulys</w:t>
            </w:r>
          </w:p>
        </w:tc>
        <w:tc>
          <w:tcPr>
            <w:tcW w:w="1417" w:type="dxa"/>
            <w:vAlign w:val="center"/>
          </w:tcPr>
          <w:p w14:paraId="655C1A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196B4E1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44A014C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4C49441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3B8A367E" w14:textId="77777777" w:rsidTr="005B5BF2">
        <w:trPr>
          <w:trHeight w:val="20"/>
        </w:trPr>
        <w:tc>
          <w:tcPr>
            <w:tcW w:w="3313" w:type="dxa"/>
            <w:vAlign w:val="center"/>
          </w:tcPr>
          <w:p w14:paraId="1E037C9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Plaučių embolija</w:t>
            </w:r>
          </w:p>
        </w:tc>
        <w:tc>
          <w:tcPr>
            <w:tcW w:w="1417" w:type="dxa"/>
            <w:vAlign w:val="center"/>
          </w:tcPr>
          <w:p w14:paraId="06D02AB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7B03713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4E1C2B4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29B5B91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247BEC23" w14:textId="77777777" w:rsidTr="005B5BF2">
        <w:trPr>
          <w:trHeight w:val="20"/>
        </w:trPr>
        <w:tc>
          <w:tcPr>
            <w:tcW w:w="3313" w:type="dxa"/>
            <w:vAlign w:val="center"/>
          </w:tcPr>
          <w:p w14:paraId="40594DC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Kraujavimas iš nosies</w:t>
            </w:r>
          </w:p>
        </w:tc>
        <w:tc>
          <w:tcPr>
            <w:tcW w:w="1417" w:type="dxa"/>
            <w:vAlign w:val="center"/>
          </w:tcPr>
          <w:p w14:paraId="3D09822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30D2776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153C23A2" w14:textId="1247C6D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3F2FB693" w14:textId="0E6FEC8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64DBEDE9" w14:textId="77777777" w:rsidTr="005B5BF2">
        <w:trPr>
          <w:trHeight w:val="20"/>
        </w:trPr>
        <w:tc>
          <w:tcPr>
            <w:tcW w:w="3313" w:type="dxa"/>
            <w:vAlign w:val="center"/>
          </w:tcPr>
          <w:p w14:paraId="411EC02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Intersticinė plaučių liga</w:t>
            </w:r>
          </w:p>
        </w:tc>
        <w:tc>
          <w:tcPr>
            <w:tcW w:w="1417" w:type="dxa"/>
            <w:vAlign w:val="center"/>
          </w:tcPr>
          <w:p w14:paraId="53BF406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6B17C41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9CB1B3A" w14:textId="46B7B95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4FE02443" w14:textId="08AB8DBA"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7967B3F8" w14:textId="77777777" w:rsidTr="005B5BF2">
        <w:trPr>
          <w:trHeight w:val="20"/>
        </w:trPr>
        <w:tc>
          <w:tcPr>
            <w:tcW w:w="9072" w:type="dxa"/>
            <w:gridSpan w:val="5"/>
            <w:vAlign w:val="center"/>
          </w:tcPr>
          <w:p w14:paraId="6443001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Virškinimo trakto sutrikimai</w:t>
            </w:r>
          </w:p>
        </w:tc>
      </w:tr>
      <w:tr w:rsidR="00992F19" w:rsidRPr="00A552D9" w14:paraId="4CB0866C" w14:textId="77777777" w:rsidTr="005B5BF2">
        <w:trPr>
          <w:trHeight w:val="20"/>
        </w:trPr>
        <w:tc>
          <w:tcPr>
            <w:tcW w:w="3313" w:type="dxa"/>
            <w:vAlign w:val="center"/>
          </w:tcPr>
          <w:p w14:paraId="1A7018B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Viduriavimas</w:t>
            </w:r>
          </w:p>
        </w:tc>
        <w:tc>
          <w:tcPr>
            <w:tcW w:w="1417" w:type="dxa"/>
            <w:vAlign w:val="center"/>
          </w:tcPr>
          <w:p w14:paraId="59712CC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65CF914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6705397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4E7A80E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5C6F0047" w14:textId="77777777" w:rsidTr="005B5BF2">
        <w:trPr>
          <w:trHeight w:val="20"/>
        </w:trPr>
        <w:tc>
          <w:tcPr>
            <w:tcW w:w="3313" w:type="dxa"/>
            <w:vAlign w:val="center"/>
          </w:tcPr>
          <w:p w14:paraId="2B21A8E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Vėmimas</w:t>
            </w:r>
          </w:p>
        </w:tc>
        <w:tc>
          <w:tcPr>
            <w:tcW w:w="1417" w:type="dxa"/>
            <w:vAlign w:val="center"/>
          </w:tcPr>
          <w:p w14:paraId="4559DE0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23A7247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E2E70A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36A4697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4AB0ECC9" w14:textId="77777777" w:rsidTr="005B5BF2">
        <w:trPr>
          <w:trHeight w:val="20"/>
        </w:trPr>
        <w:tc>
          <w:tcPr>
            <w:tcW w:w="3313" w:type="dxa"/>
            <w:vAlign w:val="center"/>
          </w:tcPr>
          <w:p w14:paraId="296A7B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Pykinimas</w:t>
            </w:r>
          </w:p>
        </w:tc>
        <w:tc>
          <w:tcPr>
            <w:tcW w:w="1417" w:type="dxa"/>
            <w:vAlign w:val="center"/>
          </w:tcPr>
          <w:p w14:paraId="7520647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76BC479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30130B4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65A3744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6515CA3D" w14:textId="77777777" w:rsidTr="005B5BF2">
        <w:trPr>
          <w:trHeight w:val="20"/>
        </w:trPr>
        <w:tc>
          <w:tcPr>
            <w:tcW w:w="3313" w:type="dxa"/>
            <w:vAlign w:val="center"/>
          </w:tcPr>
          <w:p w14:paraId="0078B3D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Vidurių užkietėjimas</w:t>
            </w:r>
          </w:p>
        </w:tc>
        <w:tc>
          <w:tcPr>
            <w:tcW w:w="1417" w:type="dxa"/>
            <w:vAlign w:val="center"/>
          </w:tcPr>
          <w:p w14:paraId="3196EF6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066B2F2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8FC4C8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6211EF4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2929827E" w14:textId="77777777" w:rsidTr="005B5BF2">
        <w:trPr>
          <w:trHeight w:val="20"/>
        </w:trPr>
        <w:tc>
          <w:tcPr>
            <w:tcW w:w="3313" w:type="dxa"/>
            <w:vAlign w:val="center"/>
          </w:tcPr>
          <w:p w14:paraId="0FFC76A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Pilvo skausmas</w:t>
            </w:r>
          </w:p>
        </w:tc>
        <w:tc>
          <w:tcPr>
            <w:tcW w:w="1417" w:type="dxa"/>
            <w:vAlign w:val="center"/>
          </w:tcPr>
          <w:p w14:paraId="635FCA9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6CECD7D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521B8D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09BCC04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7957B04" w14:textId="77777777" w:rsidTr="005B5BF2">
        <w:trPr>
          <w:trHeight w:val="20"/>
        </w:trPr>
        <w:tc>
          <w:tcPr>
            <w:tcW w:w="3313" w:type="dxa"/>
            <w:vAlign w:val="center"/>
          </w:tcPr>
          <w:p w14:paraId="387FEAA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Skausmas viršutinėje pilvo dalyje</w:t>
            </w:r>
          </w:p>
        </w:tc>
        <w:tc>
          <w:tcPr>
            <w:tcW w:w="1417" w:type="dxa"/>
            <w:vAlign w:val="center"/>
          </w:tcPr>
          <w:p w14:paraId="1E5AAC9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179BEA1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5370F21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2F032B0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8A749BA" w14:textId="77777777" w:rsidTr="005B5BF2">
        <w:trPr>
          <w:trHeight w:val="20"/>
        </w:trPr>
        <w:tc>
          <w:tcPr>
            <w:tcW w:w="3313" w:type="dxa"/>
            <w:vAlign w:val="center"/>
          </w:tcPr>
          <w:p w14:paraId="2C9CFE0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Stomatitas</w:t>
            </w:r>
          </w:p>
        </w:tc>
        <w:tc>
          <w:tcPr>
            <w:tcW w:w="1417" w:type="dxa"/>
            <w:vAlign w:val="center"/>
          </w:tcPr>
          <w:p w14:paraId="1DCA278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6F5AA5A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0392DCE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34324C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70D702A2" w14:textId="77777777" w:rsidTr="005B5BF2">
        <w:trPr>
          <w:trHeight w:val="20"/>
        </w:trPr>
        <w:tc>
          <w:tcPr>
            <w:tcW w:w="3313" w:type="dxa"/>
            <w:vAlign w:val="center"/>
          </w:tcPr>
          <w:p w14:paraId="14C406D1" w14:textId="78FD92C3" w:rsidR="00992F19" w:rsidRPr="00A552D9" w:rsidRDefault="008A4A90"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Sausa burna</w:t>
            </w:r>
          </w:p>
        </w:tc>
        <w:tc>
          <w:tcPr>
            <w:tcW w:w="1417" w:type="dxa"/>
            <w:vAlign w:val="center"/>
          </w:tcPr>
          <w:p w14:paraId="3F4633C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33D277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5C1F053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2D1745A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4860046" w14:textId="77777777" w:rsidTr="005B5BF2">
        <w:trPr>
          <w:trHeight w:val="20"/>
        </w:trPr>
        <w:tc>
          <w:tcPr>
            <w:tcW w:w="3313" w:type="dxa"/>
            <w:vAlign w:val="center"/>
          </w:tcPr>
          <w:p w14:paraId="038CF63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Pilvo pūtimas</w:t>
            </w:r>
          </w:p>
        </w:tc>
        <w:tc>
          <w:tcPr>
            <w:tcW w:w="1417" w:type="dxa"/>
            <w:vAlign w:val="center"/>
          </w:tcPr>
          <w:p w14:paraId="51CD7AA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52E77C7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159E974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001D710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64D455C7" w14:textId="77777777" w:rsidTr="005B5BF2">
        <w:trPr>
          <w:trHeight w:val="20"/>
        </w:trPr>
        <w:tc>
          <w:tcPr>
            <w:tcW w:w="3313" w:type="dxa"/>
            <w:vAlign w:val="center"/>
          </w:tcPr>
          <w:p w14:paraId="23C5320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Kraujavimas iš virškinimo trakto</w:t>
            </w:r>
          </w:p>
        </w:tc>
        <w:tc>
          <w:tcPr>
            <w:tcW w:w="1417" w:type="dxa"/>
            <w:vAlign w:val="center"/>
          </w:tcPr>
          <w:p w14:paraId="5F1D326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E22CC9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180F2C6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192613D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2C662B6A" w14:textId="77777777" w:rsidTr="005B5BF2">
        <w:trPr>
          <w:trHeight w:val="20"/>
        </w:trPr>
        <w:tc>
          <w:tcPr>
            <w:tcW w:w="9072" w:type="dxa"/>
            <w:gridSpan w:val="5"/>
            <w:vAlign w:val="center"/>
          </w:tcPr>
          <w:p w14:paraId="40EBAD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Kepenų, tulžies pūslės ir latakų sutrikimai</w:t>
            </w:r>
          </w:p>
        </w:tc>
      </w:tr>
      <w:tr w:rsidR="00992F19" w:rsidRPr="00A552D9" w14:paraId="7524B420" w14:textId="77777777" w:rsidTr="005B5BF2">
        <w:trPr>
          <w:trHeight w:val="20"/>
        </w:trPr>
        <w:tc>
          <w:tcPr>
            <w:tcW w:w="3313" w:type="dxa"/>
            <w:vAlign w:val="center"/>
          </w:tcPr>
          <w:p w14:paraId="669C538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Hiperbilirubinemija</w:t>
            </w:r>
          </w:p>
        </w:tc>
        <w:tc>
          <w:tcPr>
            <w:tcW w:w="1417" w:type="dxa"/>
            <w:vAlign w:val="center"/>
          </w:tcPr>
          <w:p w14:paraId="163E447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6DD4F61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1DF2F74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507" w:type="dxa"/>
            <w:vAlign w:val="center"/>
          </w:tcPr>
          <w:p w14:paraId="0D0432F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6FA5E096" w14:textId="77777777" w:rsidTr="005B5BF2">
        <w:trPr>
          <w:trHeight w:val="20"/>
        </w:trPr>
        <w:tc>
          <w:tcPr>
            <w:tcW w:w="3313" w:type="dxa"/>
            <w:vAlign w:val="center"/>
          </w:tcPr>
          <w:p w14:paraId="1C1F33E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Hepatitas</w:t>
            </w:r>
          </w:p>
        </w:tc>
        <w:tc>
          <w:tcPr>
            <w:tcW w:w="1417" w:type="dxa"/>
            <w:vAlign w:val="center"/>
          </w:tcPr>
          <w:p w14:paraId="7415E2C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06A9D44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3C421F95" w14:textId="28D2E9BD"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4FC264E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4D4255" w14:paraId="76A4BFCC" w14:textId="77777777" w:rsidTr="005B5BF2">
        <w:trPr>
          <w:trHeight w:val="20"/>
        </w:trPr>
        <w:tc>
          <w:tcPr>
            <w:tcW w:w="9072" w:type="dxa"/>
            <w:gridSpan w:val="5"/>
            <w:vAlign w:val="center"/>
          </w:tcPr>
          <w:p w14:paraId="49A5BF3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Odos ir poodinio audinio sutrikimai</w:t>
            </w:r>
          </w:p>
        </w:tc>
      </w:tr>
      <w:tr w:rsidR="00992F19" w:rsidRPr="00A552D9" w14:paraId="5FD0D3F7" w14:textId="77777777" w:rsidTr="005B5BF2">
        <w:trPr>
          <w:trHeight w:val="20"/>
        </w:trPr>
        <w:tc>
          <w:tcPr>
            <w:tcW w:w="3313" w:type="dxa"/>
            <w:vAlign w:val="center"/>
          </w:tcPr>
          <w:p w14:paraId="295EDEC3" w14:textId="013EC360" w:rsidR="00992F19" w:rsidRPr="00A552D9" w:rsidRDefault="006250BC"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Bėrimas</w:t>
            </w:r>
          </w:p>
        </w:tc>
        <w:tc>
          <w:tcPr>
            <w:tcW w:w="1417" w:type="dxa"/>
            <w:vAlign w:val="center"/>
          </w:tcPr>
          <w:p w14:paraId="379496D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5A6A77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41710C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29092B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2699ED4D" w14:textId="77777777" w:rsidTr="005B5BF2">
        <w:trPr>
          <w:trHeight w:val="20"/>
        </w:trPr>
        <w:tc>
          <w:tcPr>
            <w:tcW w:w="3313" w:type="dxa"/>
            <w:vAlign w:val="center"/>
          </w:tcPr>
          <w:p w14:paraId="69609461" w14:textId="2F6F4CB8" w:rsidR="00992F19" w:rsidRPr="00A552D9" w:rsidRDefault="006250BC"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Niežulys</w:t>
            </w:r>
          </w:p>
        </w:tc>
        <w:tc>
          <w:tcPr>
            <w:tcW w:w="1417" w:type="dxa"/>
            <w:vAlign w:val="center"/>
          </w:tcPr>
          <w:p w14:paraId="39292B6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B73B46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20DDFD3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7F48CAD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2934B9D" w14:textId="77777777" w:rsidTr="005B5BF2">
        <w:trPr>
          <w:trHeight w:val="20"/>
        </w:trPr>
        <w:tc>
          <w:tcPr>
            <w:tcW w:w="3313" w:type="dxa"/>
            <w:vAlign w:val="center"/>
          </w:tcPr>
          <w:p w14:paraId="7A31652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Reakcija į vaistinį preparatą su eozinofilija ir sisteminiais simptomais</w:t>
            </w:r>
          </w:p>
        </w:tc>
        <w:tc>
          <w:tcPr>
            <w:tcW w:w="1417" w:type="dxa"/>
            <w:vAlign w:val="center"/>
          </w:tcPr>
          <w:p w14:paraId="5401B21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601A66E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FE9EB54" w14:textId="2D16116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7BF5DFB0" w14:textId="6AB69A5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4F7148E9" w14:textId="77777777" w:rsidTr="005B5BF2">
        <w:trPr>
          <w:trHeight w:val="20"/>
        </w:trPr>
        <w:tc>
          <w:tcPr>
            <w:tcW w:w="3313" w:type="dxa"/>
            <w:vAlign w:val="center"/>
          </w:tcPr>
          <w:p w14:paraId="07C8967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Toksinė epidermio nekrolizė</w:t>
            </w:r>
          </w:p>
        </w:tc>
        <w:tc>
          <w:tcPr>
            <w:tcW w:w="1417" w:type="dxa"/>
            <w:vAlign w:val="center"/>
          </w:tcPr>
          <w:p w14:paraId="353FF65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1DA558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00FE16D" w14:textId="3537BAB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5C47F43A" w14:textId="12297A2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442B6299" w14:textId="77777777" w:rsidTr="005B5BF2">
        <w:trPr>
          <w:trHeight w:val="20"/>
        </w:trPr>
        <w:tc>
          <w:tcPr>
            <w:tcW w:w="3313" w:type="dxa"/>
            <w:vAlign w:val="center"/>
          </w:tcPr>
          <w:p w14:paraId="4806E57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Stivenso</w:t>
            </w:r>
            <w:r w:rsidRPr="00A552D9">
              <w:rPr>
                <w:rFonts w:ascii="Times New Roman" w:eastAsia="Times New Roman" w:hAnsi="Times New Roman" w:cs="Times New Roman"/>
                <w:kern w:val="0"/>
                <w:lang w:val="lt-LT"/>
                <w14:ligatures w14:val="none"/>
              </w:rPr>
              <w:noBreakHyphen/>
              <w:t>Džonsono (</w:t>
            </w:r>
            <w:r w:rsidRPr="00A552D9">
              <w:rPr>
                <w:rFonts w:ascii="Times New Roman" w:eastAsia="Times New Roman" w:hAnsi="Times New Roman" w:cs="Times New Roman"/>
                <w:i/>
                <w:kern w:val="0"/>
                <w:lang w:val="lt-LT"/>
                <w14:ligatures w14:val="none"/>
              </w:rPr>
              <w:t>Stevens- Johnson</w:t>
            </w:r>
            <w:r w:rsidRPr="00A552D9">
              <w:rPr>
                <w:rFonts w:ascii="Times New Roman" w:eastAsia="Times New Roman" w:hAnsi="Times New Roman" w:cs="Times New Roman"/>
                <w:kern w:val="0"/>
                <w:lang w:val="lt-LT"/>
                <w14:ligatures w14:val="none"/>
              </w:rPr>
              <w:t>) sindromas</w:t>
            </w:r>
          </w:p>
        </w:tc>
        <w:tc>
          <w:tcPr>
            <w:tcW w:w="1417" w:type="dxa"/>
            <w:vAlign w:val="center"/>
          </w:tcPr>
          <w:p w14:paraId="4B9CEEE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5E84E48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2B3F46F7" w14:textId="45029B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35922F3F" w14:textId="45F42FD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r>
      <w:tr w:rsidR="00992F19" w:rsidRPr="004D4255" w14:paraId="6FBA58CE" w14:textId="77777777" w:rsidTr="005B5BF2">
        <w:trPr>
          <w:trHeight w:val="20"/>
        </w:trPr>
        <w:tc>
          <w:tcPr>
            <w:tcW w:w="9072" w:type="dxa"/>
            <w:gridSpan w:val="5"/>
            <w:vAlign w:val="center"/>
          </w:tcPr>
          <w:p w14:paraId="4F7251D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Skeleto, raumenų ir jungiamojo audinio sutrikimai</w:t>
            </w:r>
          </w:p>
        </w:tc>
      </w:tr>
      <w:tr w:rsidR="00992F19" w:rsidRPr="00A552D9" w14:paraId="3646D6A1" w14:textId="77777777" w:rsidTr="005B5BF2">
        <w:trPr>
          <w:trHeight w:val="20"/>
        </w:trPr>
        <w:tc>
          <w:tcPr>
            <w:tcW w:w="3313" w:type="dxa"/>
            <w:vAlign w:val="center"/>
          </w:tcPr>
          <w:p w14:paraId="5AEDBD6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Raumenų silpnumas</w:t>
            </w:r>
          </w:p>
        </w:tc>
        <w:tc>
          <w:tcPr>
            <w:tcW w:w="1417" w:type="dxa"/>
            <w:vAlign w:val="center"/>
          </w:tcPr>
          <w:p w14:paraId="6D88589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22BC2EF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863835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0CB27BD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587534E" w14:textId="77777777" w:rsidTr="005B5BF2">
        <w:trPr>
          <w:trHeight w:val="20"/>
        </w:trPr>
        <w:tc>
          <w:tcPr>
            <w:tcW w:w="3313" w:type="dxa"/>
            <w:vAlign w:val="center"/>
          </w:tcPr>
          <w:p w14:paraId="56A4B64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Nugaros skausmas</w:t>
            </w:r>
          </w:p>
        </w:tc>
        <w:tc>
          <w:tcPr>
            <w:tcW w:w="1417" w:type="dxa"/>
            <w:vAlign w:val="center"/>
          </w:tcPr>
          <w:p w14:paraId="07F2A3A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027E1FC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B95FFC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0481E05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645E8F57" w14:textId="77777777" w:rsidTr="005B5BF2">
        <w:trPr>
          <w:trHeight w:val="20"/>
        </w:trPr>
        <w:tc>
          <w:tcPr>
            <w:tcW w:w="3313" w:type="dxa"/>
            <w:vAlign w:val="center"/>
          </w:tcPr>
          <w:p w14:paraId="33937C9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Kaulų skausmas</w:t>
            </w:r>
          </w:p>
        </w:tc>
        <w:tc>
          <w:tcPr>
            <w:tcW w:w="1417" w:type="dxa"/>
            <w:vAlign w:val="center"/>
          </w:tcPr>
          <w:p w14:paraId="3C1EF7C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B1582F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534DEB2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6F427A6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269C7922" w14:textId="77777777" w:rsidTr="005B5BF2">
        <w:trPr>
          <w:trHeight w:val="20"/>
        </w:trPr>
        <w:tc>
          <w:tcPr>
            <w:tcW w:w="3313" w:type="dxa"/>
            <w:vAlign w:val="center"/>
          </w:tcPr>
          <w:p w14:paraId="1AADF93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Raumenų spazmas</w:t>
            </w:r>
          </w:p>
        </w:tc>
        <w:tc>
          <w:tcPr>
            <w:tcW w:w="1417" w:type="dxa"/>
            <w:vAlign w:val="center"/>
          </w:tcPr>
          <w:p w14:paraId="1F3E691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385203A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3D62D9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144E9AF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36C95F14" w14:textId="77777777" w:rsidTr="005B5BF2">
        <w:trPr>
          <w:trHeight w:val="20"/>
        </w:trPr>
        <w:tc>
          <w:tcPr>
            <w:tcW w:w="9072" w:type="dxa"/>
            <w:gridSpan w:val="5"/>
            <w:vAlign w:val="center"/>
          </w:tcPr>
          <w:p w14:paraId="5BDFE10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Inkstų ir šlapimo takų sutrikimai</w:t>
            </w:r>
          </w:p>
        </w:tc>
      </w:tr>
      <w:tr w:rsidR="00992F19" w:rsidRPr="00A552D9" w14:paraId="6220DFBB" w14:textId="77777777" w:rsidTr="005B5BF2">
        <w:trPr>
          <w:trHeight w:val="20"/>
        </w:trPr>
        <w:tc>
          <w:tcPr>
            <w:tcW w:w="3313" w:type="dxa"/>
            <w:vAlign w:val="center"/>
          </w:tcPr>
          <w:p w14:paraId="6651544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Ūminis inkstų pažeidimas</w:t>
            </w:r>
          </w:p>
        </w:tc>
        <w:tc>
          <w:tcPr>
            <w:tcW w:w="1417" w:type="dxa"/>
            <w:vAlign w:val="center"/>
          </w:tcPr>
          <w:p w14:paraId="591C56E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2F3FC87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CF98B0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C57DF5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50146B55" w14:textId="77777777" w:rsidTr="005B5BF2">
        <w:trPr>
          <w:trHeight w:val="20"/>
        </w:trPr>
        <w:tc>
          <w:tcPr>
            <w:tcW w:w="3313" w:type="dxa"/>
            <w:vAlign w:val="center"/>
          </w:tcPr>
          <w:p w14:paraId="2233E6D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Lėtinis inkstų pažeidimas</w:t>
            </w:r>
          </w:p>
        </w:tc>
        <w:tc>
          <w:tcPr>
            <w:tcW w:w="1417" w:type="dxa"/>
            <w:vAlign w:val="center"/>
          </w:tcPr>
          <w:p w14:paraId="3C2AD09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51921E6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6DA6446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1E9B8A4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30205342" w14:textId="77777777" w:rsidTr="005B5BF2">
        <w:trPr>
          <w:trHeight w:val="20"/>
        </w:trPr>
        <w:tc>
          <w:tcPr>
            <w:tcW w:w="3313" w:type="dxa"/>
            <w:vAlign w:val="center"/>
          </w:tcPr>
          <w:p w14:paraId="3A6675C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Šlapimo susilaikymas</w:t>
            </w:r>
          </w:p>
        </w:tc>
        <w:tc>
          <w:tcPr>
            <w:tcW w:w="1417" w:type="dxa"/>
            <w:vAlign w:val="center"/>
          </w:tcPr>
          <w:p w14:paraId="07C1C56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2FBE3C3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019986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60F8494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2A78906A" w14:textId="77777777" w:rsidTr="005B5BF2">
        <w:trPr>
          <w:trHeight w:val="20"/>
        </w:trPr>
        <w:tc>
          <w:tcPr>
            <w:tcW w:w="3313" w:type="dxa"/>
            <w:vAlign w:val="center"/>
          </w:tcPr>
          <w:p w14:paraId="6326C75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Inkstų nepakankamumas</w:t>
            </w:r>
          </w:p>
        </w:tc>
        <w:tc>
          <w:tcPr>
            <w:tcW w:w="1417" w:type="dxa"/>
            <w:vAlign w:val="center"/>
          </w:tcPr>
          <w:p w14:paraId="61BB4A6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6922F2F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7CCEDBF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26DA945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7FB9CE8C" w14:textId="77777777" w:rsidTr="005B5BF2">
        <w:trPr>
          <w:trHeight w:val="20"/>
        </w:trPr>
        <w:tc>
          <w:tcPr>
            <w:tcW w:w="9072" w:type="dxa"/>
            <w:gridSpan w:val="5"/>
            <w:vAlign w:val="center"/>
          </w:tcPr>
          <w:p w14:paraId="6E48F3B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Lytinės sistemos ir krūties sutrikimai</w:t>
            </w:r>
          </w:p>
        </w:tc>
      </w:tr>
      <w:tr w:rsidR="00992F19" w:rsidRPr="00A552D9" w14:paraId="361F866F" w14:textId="77777777" w:rsidTr="005B5BF2">
        <w:trPr>
          <w:trHeight w:val="20"/>
        </w:trPr>
        <w:tc>
          <w:tcPr>
            <w:tcW w:w="3313" w:type="dxa"/>
            <w:vAlign w:val="center"/>
          </w:tcPr>
          <w:p w14:paraId="1635DDC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Dubens skausmai</w:t>
            </w:r>
          </w:p>
        </w:tc>
        <w:tc>
          <w:tcPr>
            <w:tcW w:w="1417" w:type="dxa"/>
            <w:vAlign w:val="center"/>
          </w:tcPr>
          <w:p w14:paraId="2B8ACE9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c>
        <w:tc>
          <w:tcPr>
            <w:tcW w:w="1418" w:type="dxa"/>
            <w:vAlign w:val="center"/>
          </w:tcPr>
          <w:p w14:paraId="0723B3B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c>
        <w:tc>
          <w:tcPr>
            <w:tcW w:w="1417" w:type="dxa"/>
            <w:vAlign w:val="center"/>
          </w:tcPr>
          <w:p w14:paraId="7FB27D4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7D7CC1B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0FEB8C75" w14:textId="77777777" w:rsidTr="005B5BF2">
        <w:trPr>
          <w:trHeight w:val="20"/>
        </w:trPr>
        <w:tc>
          <w:tcPr>
            <w:tcW w:w="9072" w:type="dxa"/>
            <w:gridSpan w:val="5"/>
            <w:vAlign w:val="center"/>
          </w:tcPr>
          <w:p w14:paraId="72750FC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Bendrieji sutrikimai ir vartojimo vietos pažeidimai</w:t>
            </w:r>
          </w:p>
        </w:tc>
      </w:tr>
      <w:tr w:rsidR="00992F19" w:rsidRPr="00A552D9" w14:paraId="0FCE59BC" w14:textId="77777777" w:rsidTr="005B5BF2">
        <w:trPr>
          <w:trHeight w:val="20"/>
        </w:trPr>
        <w:tc>
          <w:tcPr>
            <w:tcW w:w="3313" w:type="dxa"/>
            <w:vAlign w:val="center"/>
          </w:tcPr>
          <w:p w14:paraId="5A78107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Nuovargis</w:t>
            </w:r>
          </w:p>
        </w:tc>
        <w:tc>
          <w:tcPr>
            <w:tcW w:w="1417" w:type="dxa"/>
            <w:vAlign w:val="center"/>
          </w:tcPr>
          <w:p w14:paraId="4B1D56C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3F9752E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B53773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3C11BEB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631777E6" w14:textId="77777777" w:rsidTr="005B5BF2">
        <w:trPr>
          <w:trHeight w:val="20"/>
        </w:trPr>
        <w:tc>
          <w:tcPr>
            <w:tcW w:w="3313" w:type="dxa"/>
            <w:vAlign w:val="center"/>
          </w:tcPr>
          <w:p w14:paraId="7A55404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Karščiavimas</w:t>
            </w:r>
          </w:p>
        </w:tc>
        <w:tc>
          <w:tcPr>
            <w:tcW w:w="1417" w:type="dxa"/>
            <w:vAlign w:val="center"/>
          </w:tcPr>
          <w:p w14:paraId="33910DB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5EC6DD7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0E2C32B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50A19D2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0EA59AB9" w14:textId="77777777" w:rsidTr="005B5BF2">
        <w:trPr>
          <w:trHeight w:val="20"/>
        </w:trPr>
        <w:tc>
          <w:tcPr>
            <w:tcW w:w="3313" w:type="dxa"/>
            <w:vAlign w:val="center"/>
          </w:tcPr>
          <w:p w14:paraId="165FA75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Periferinė edema</w:t>
            </w:r>
          </w:p>
        </w:tc>
        <w:tc>
          <w:tcPr>
            <w:tcW w:w="1417" w:type="dxa"/>
            <w:vAlign w:val="center"/>
          </w:tcPr>
          <w:p w14:paraId="6EA4A1C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3CE041D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0249AAA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5F244CD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7730A58B" w14:textId="77777777" w:rsidTr="005B5BF2">
        <w:trPr>
          <w:trHeight w:val="20"/>
        </w:trPr>
        <w:tc>
          <w:tcPr>
            <w:tcW w:w="3313" w:type="dxa"/>
            <w:vAlign w:val="center"/>
          </w:tcPr>
          <w:p w14:paraId="022D6CE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 širdies skausmas krūtinės srityje</w:t>
            </w:r>
          </w:p>
        </w:tc>
        <w:tc>
          <w:tcPr>
            <w:tcW w:w="1417" w:type="dxa"/>
            <w:vAlign w:val="center"/>
          </w:tcPr>
          <w:p w14:paraId="23B858A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722EAE8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03E96A8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2CA9550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5D5D8226" w14:textId="77777777" w:rsidTr="005B5BF2">
        <w:trPr>
          <w:trHeight w:val="20"/>
        </w:trPr>
        <w:tc>
          <w:tcPr>
            <w:tcW w:w="3313" w:type="dxa"/>
            <w:vAlign w:val="center"/>
          </w:tcPr>
          <w:p w14:paraId="204BACD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Edema</w:t>
            </w:r>
          </w:p>
        </w:tc>
        <w:tc>
          <w:tcPr>
            <w:tcW w:w="1417" w:type="dxa"/>
            <w:vAlign w:val="center"/>
          </w:tcPr>
          <w:p w14:paraId="1231E0B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1E86799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7F356A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3D50BC8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96A1FC7" w14:textId="77777777" w:rsidTr="005B5BF2">
        <w:trPr>
          <w:trHeight w:val="20"/>
        </w:trPr>
        <w:tc>
          <w:tcPr>
            <w:tcW w:w="9072" w:type="dxa"/>
            <w:gridSpan w:val="5"/>
            <w:vAlign w:val="center"/>
          </w:tcPr>
          <w:p w14:paraId="6756D6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Tyrimai</w:t>
            </w:r>
          </w:p>
        </w:tc>
      </w:tr>
      <w:tr w:rsidR="00992F19" w:rsidRPr="00A552D9" w14:paraId="3D33F0CB" w14:textId="77777777" w:rsidTr="005B5BF2">
        <w:trPr>
          <w:trHeight w:val="20"/>
        </w:trPr>
        <w:tc>
          <w:tcPr>
            <w:tcW w:w="3313" w:type="dxa"/>
            <w:vAlign w:val="center"/>
          </w:tcPr>
          <w:p w14:paraId="4751CA0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Padidėjęs alaninaminotransferazės aktyvumas</w:t>
            </w:r>
          </w:p>
        </w:tc>
        <w:tc>
          <w:tcPr>
            <w:tcW w:w="1417" w:type="dxa"/>
            <w:vAlign w:val="center"/>
          </w:tcPr>
          <w:p w14:paraId="27C0DD0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2CECA8B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0E1062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25AEC7C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0557CD39" w14:textId="77777777" w:rsidTr="005B5BF2">
        <w:trPr>
          <w:trHeight w:val="20"/>
        </w:trPr>
        <w:tc>
          <w:tcPr>
            <w:tcW w:w="3313" w:type="dxa"/>
            <w:vAlign w:val="center"/>
          </w:tcPr>
          <w:p w14:paraId="0CA9761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Sumažėjęs svoris</w:t>
            </w:r>
          </w:p>
        </w:tc>
        <w:tc>
          <w:tcPr>
            <w:tcW w:w="1417" w:type="dxa"/>
            <w:vAlign w:val="center"/>
          </w:tcPr>
          <w:p w14:paraId="5C24EC4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F8882E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0311E8F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61228BB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3356C988" w14:textId="77777777" w:rsidTr="005B5BF2">
        <w:trPr>
          <w:trHeight w:val="20"/>
        </w:trPr>
        <w:tc>
          <w:tcPr>
            <w:tcW w:w="3313" w:type="dxa"/>
            <w:vAlign w:val="center"/>
          </w:tcPr>
          <w:p w14:paraId="1468BBF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Sumažėjęs neutrofilų skaičius</w:t>
            </w:r>
          </w:p>
        </w:tc>
        <w:tc>
          <w:tcPr>
            <w:tcW w:w="1417" w:type="dxa"/>
            <w:vAlign w:val="center"/>
          </w:tcPr>
          <w:p w14:paraId="11004F7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53F58CC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E26948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791B9C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0DA1B444" w14:textId="77777777" w:rsidTr="005B5BF2">
        <w:trPr>
          <w:trHeight w:val="20"/>
        </w:trPr>
        <w:tc>
          <w:tcPr>
            <w:tcW w:w="3313" w:type="dxa"/>
            <w:vAlign w:val="center"/>
          </w:tcPr>
          <w:p w14:paraId="237E25D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Sumažėjęs baltųjų kraujo ląstelių skaičius</w:t>
            </w:r>
          </w:p>
        </w:tc>
        <w:tc>
          <w:tcPr>
            <w:tcW w:w="1417" w:type="dxa"/>
            <w:vAlign w:val="center"/>
          </w:tcPr>
          <w:p w14:paraId="397FB01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292E7D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8D46D7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5877F9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30A109C7" w14:textId="77777777" w:rsidTr="005B5BF2">
        <w:trPr>
          <w:trHeight w:val="20"/>
        </w:trPr>
        <w:tc>
          <w:tcPr>
            <w:tcW w:w="3313" w:type="dxa"/>
            <w:vAlign w:val="center"/>
          </w:tcPr>
          <w:p w14:paraId="0F8D480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Sumažėjęs trombocitų skaičius</w:t>
            </w:r>
          </w:p>
        </w:tc>
        <w:tc>
          <w:tcPr>
            <w:tcW w:w="1417" w:type="dxa"/>
            <w:vAlign w:val="center"/>
          </w:tcPr>
          <w:p w14:paraId="3A111EA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3DD15B3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23A4F41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0A350F8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30FFA95E" w14:textId="77777777" w:rsidTr="005B5BF2">
        <w:trPr>
          <w:trHeight w:val="20"/>
        </w:trPr>
        <w:tc>
          <w:tcPr>
            <w:tcW w:w="3313" w:type="dxa"/>
            <w:vAlign w:val="center"/>
          </w:tcPr>
          <w:p w14:paraId="2D00F46E" w14:textId="7E344CD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Padidėj</w:t>
            </w:r>
            <w:r w:rsidR="001E07A9">
              <w:rPr>
                <w:rFonts w:ascii="Times New Roman" w:eastAsia="Times New Roman" w:hAnsi="Times New Roman" w:cs="Times New Roman"/>
                <w:kern w:val="0"/>
                <w:lang w:val="lt-LT"/>
                <w14:ligatures w14:val="none"/>
              </w:rPr>
              <w:t>usi</w:t>
            </w:r>
            <w:r w:rsidRPr="00A552D9">
              <w:rPr>
                <w:rFonts w:ascii="Times New Roman" w:eastAsia="Times New Roman" w:hAnsi="Times New Roman" w:cs="Times New Roman"/>
                <w:kern w:val="0"/>
                <w:lang w:val="lt-LT"/>
                <w14:ligatures w14:val="none"/>
              </w:rPr>
              <w:t xml:space="preserve"> šlapimo rūgšties </w:t>
            </w:r>
            <w:r w:rsidR="001E07A9">
              <w:rPr>
                <w:rFonts w:ascii="Times New Roman" w:eastAsia="Times New Roman" w:hAnsi="Times New Roman" w:cs="Times New Roman"/>
                <w:kern w:val="0"/>
                <w:lang w:val="lt-LT"/>
                <w14:ligatures w14:val="none"/>
              </w:rPr>
              <w:t>koncentracija</w:t>
            </w:r>
            <w:r w:rsidR="001E07A9"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kraujyje</w:t>
            </w:r>
          </w:p>
        </w:tc>
        <w:tc>
          <w:tcPr>
            <w:tcW w:w="1417" w:type="dxa"/>
            <w:vAlign w:val="center"/>
          </w:tcPr>
          <w:p w14:paraId="18ADF1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64102D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5BB84A2F" w14:textId="5EB02B5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4802DDB1" w14:textId="253FB496"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3F1F2BD0" w14:textId="77777777" w:rsidTr="005B5BF2">
        <w:trPr>
          <w:trHeight w:val="20"/>
        </w:trPr>
        <w:tc>
          <w:tcPr>
            <w:tcW w:w="9072" w:type="dxa"/>
            <w:gridSpan w:val="5"/>
            <w:vAlign w:val="center"/>
          </w:tcPr>
          <w:p w14:paraId="5B113B5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Sužalojimai, apsinuodijimai ir procedūrų komplikacijos</w:t>
            </w:r>
          </w:p>
        </w:tc>
      </w:tr>
      <w:tr w:rsidR="00992F19" w:rsidRPr="00A552D9" w14:paraId="68253575" w14:textId="77777777" w:rsidTr="005B5BF2">
        <w:trPr>
          <w:trHeight w:val="20"/>
        </w:trPr>
        <w:tc>
          <w:tcPr>
            <w:tcW w:w="3313" w:type="dxa"/>
            <w:vAlign w:val="center"/>
          </w:tcPr>
          <w:p w14:paraId="29E099EA" w14:textId="19372F59" w:rsidR="00992F19" w:rsidRPr="00A552D9" w:rsidRDefault="00931B1C"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lastRenderedPageBreak/>
              <w:t>Nukritimas</w:t>
            </w:r>
          </w:p>
        </w:tc>
        <w:tc>
          <w:tcPr>
            <w:tcW w:w="1417" w:type="dxa"/>
            <w:vAlign w:val="center"/>
          </w:tcPr>
          <w:p w14:paraId="287D673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6DECC40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F2A0D3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7B4A302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bl>
    <w:p w14:paraId="7680B0D4" w14:textId="43645F32" w:rsidR="00992F19" w:rsidRPr="00A552D9" w:rsidRDefault="008768C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w:t>
      </w:r>
      <w:r w:rsidR="00992F19" w:rsidRPr="00A552D9">
        <w:rPr>
          <w:rFonts w:ascii="Times New Roman" w:eastAsia="Times New Roman" w:hAnsi="Times New Roman" w:cs="Times New Roman"/>
          <w:kern w:val="0"/>
          <w:lang w:val="lt-LT"/>
          <w14:ligatures w14:val="none"/>
        </w:rPr>
        <w:t xml:space="preserve"> Nustatyta vaistiniam preparatui esant rinkoje.</w:t>
      </w:r>
    </w:p>
    <w:p w14:paraId="420CA15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997396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Atrinktų nepageidaujamų reakcijų apibūdinimas</w:t>
      </w:r>
    </w:p>
    <w:p w14:paraId="7DB653E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Šiame skyriuje pateikiamas dažnis paremtas klinikiniais tyrimais, kuriuose dalyvavo pacientai, gydyti pomalidomidu kartu su bortezomibu ir deksametazonu (Pom+Btz+Deks) arba kartu su deksametazonu (Pom+Deks).</w:t>
      </w:r>
    </w:p>
    <w:p w14:paraId="56BD38C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4381A5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Teratogeninis poveikis</w:t>
      </w:r>
    </w:p>
    <w:p w14:paraId="675637BE" w14:textId="3064EE0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Pomalidomido struktūra panaši į talidomido. Talidomidas yra žinoma teratogeninė veiklioji medžiaga žmogui, kuri sukelia sunkias, gyvybei pavojingas įgimtas formavimos</w:t>
      </w:r>
      <w:r w:rsidR="00E855C6">
        <w:rPr>
          <w:rFonts w:ascii="Times New Roman" w:eastAsia="Times New Roman" w:hAnsi="Times New Roman" w:cs="Times New Roman"/>
          <w:kern w:val="0"/>
          <w:lang w:val="lt-LT"/>
          <w14:ligatures w14:val="none"/>
        </w:rPr>
        <w:t>i</w:t>
      </w:r>
      <w:r w:rsidRPr="00A552D9">
        <w:rPr>
          <w:rFonts w:ascii="Times New Roman" w:eastAsia="Times New Roman" w:hAnsi="Times New Roman" w:cs="Times New Roman"/>
          <w:kern w:val="0"/>
          <w:lang w:val="lt-LT"/>
          <w14:ligatures w14:val="none"/>
        </w:rPr>
        <w:t xml:space="preserve"> ydas. Žiurkėms ir triušiams duodant pomalidomido pagrindinių organų formavimosi laikotarpiu, nustatytas teratogeninis pomalidomido poveikis (žr. 4.6 ir 5.3 skyrius). Jei pomalidomid</w:t>
      </w:r>
      <w:r w:rsidR="00AC46ED">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vartojamas nėštumo metu, gali pasireikšti teratogeninis pomalidomido poveikis žmonėms (žr. 4.4 skyrių).</w:t>
      </w:r>
    </w:p>
    <w:p w14:paraId="71A5553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EC29C4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Neutropenija ir trombocitopenija</w:t>
      </w:r>
    </w:p>
    <w:p w14:paraId="3AF261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Neutropenija pasireiškė iki 54,0 % (Pom+Btz+Deks) pacientų (47,1 % (Pom+Btz+Deks) 3 ar 4 laipsnio). Dėl neutropenijos reikėjo nutraukti gydymą pomalidomidu 0,7 % pacientų ir ji nedažnai buvo sunki.</w:t>
      </w:r>
    </w:p>
    <w:p w14:paraId="7F9A1CD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6521D2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Febrilinė neutropenija (FN) pasireiškė 3,2 % (Pom+Btz+Deks) pacientų ir 6,7 % (Pom+Deks) pacientų, sunki FN nustatyta 1,8 % (Pom+Btz+Deks) pacientų ir 4,0 % (Pom+Deks) pacientų (žr. 4.2 ir 4.4 skyrius).</w:t>
      </w:r>
    </w:p>
    <w:p w14:paraId="27355D7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7F73440" w14:textId="77777777" w:rsidR="00765456"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Trombocitopenija pasireiškė 39,9 % (Pom+Btz+Deks) pacientų ir 27,0 % (Pom+Deks) pacientų.</w:t>
      </w:r>
    </w:p>
    <w:p w14:paraId="454FD1E9" w14:textId="4E56834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Trombocitopenija buvo 3-ojo ar 4-ojo laipsnio 28,1 % (Pom+Btz+Deks) pacientų ir 20,7 % (Pom+Deks) pacientų, dėl jos reikėjo nutraukti pomalidomido vartojimą 0,7 % (Pom+Btz+Deks) pacientų ir 0,7 % (Pom+Deks) pacientų ir buvo sunki 0,7 % (Pom+Btz+Deks) ir 1,7 % (Pom+Deks) pacientų (žr. 4.2 ir 4.4 skyrius).</w:t>
      </w:r>
    </w:p>
    <w:p w14:paraId="2234A12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8170F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Neutropenija ir trombocitopenija dažniau pasireiškė per pirmus 2 gydymo pomalidomidu kartu su bortezomibu ir deksametazonu arba kartu su deksametazonu ciklus.</w:t>
      </w:r>
    </w:p>
    <w:p w14:paraId="07CA471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61546D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Infekcija</w:t>
      </w:r>
    </w:p>
    <w:p w14:paraId="294AB2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Infekcija buvo dažniausias nehematologinis toksinis poveikis.</w:t>
      </w:r>
    </w:p>
    <w:p w14:paraId="31AE5B4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8F05B8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Infekcija pasireiškė 83,1 % (Pom+Btz+Deks) pacientų ir 55,0 % (Pom+Deks) pacientų (34,9 % (Pom+Btz+Deks) ir 24,0 % (Pom+Deks) 3 ar 4 laipsnio). Viršutinių kvėpavimo takų infekcija ir pneumonija buvo dažniausiai nustatytos infekcijos. Mirtinos (5 laipsnio) infekcijos pasireiškė 4,0 % (Pom+Btz+Deks) pacientų ir 2,7 % (Pom+Deks) pacientų. Dėl infekcijų pomalidomido vartojimą reikėjo nutraukti 3,6 % (Pom+Btz+Deks) pacientų ir 2,0 % (Pom+Deks) pacientų.</w:t>
      </w:r>
    </w:p>
    <w:p w14:paraId="07F5293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33BA3A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Tromboemboliniai reiškiniai</w:t>
      </w:r>
    </w:p>
    <w:p w14:paraId="020355F5" w14:textId="3C4DF5E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Klinikinių tyrimų metu profilaktiškai vartoti acetilsalicilo rūgšt</w:t>
      </w:r>
      <w:r w:rsidR="008E3E08">
        <w:rPr>
          <w:rFonts w:ascii="Times New Roman" w:eastAsia="Times New Roman" w:hAnsi="Times New Roman" w:cs="Times New Roman"/>
          <w:kern w:val="0"/>
          <w:lang w:val="lt-LT"/>
          <w14:ligatures w14:val="none"/>
        </w:rPr>
        <w:t>ies</w:t>
      </w:r>
      <w:r w:rsidRPr="00A552D9">
        <w:rPr>
          <w:rFonts w:ascii="Times New Roman" w:eastAsia="Times New Roman" w:hAnsi="Times New Roman" w:cs="Times New Roman"/>
          <w:kern w:val="0"/>
          <w:lang w:val="lt-LT"/>
          <w14:ligatures w14:val="none"/>
        </w:rPr>
        <w:t xml:space="preserve"> (ir kitų antikoaguliantų didelės rizikos pacientams) buvo privaloma visiems pacientams. Yra rekomenduotas gydymas antikoaguliantais (jei nėra kontraindikuotinas) (žr. 4.4 skyrių).</w:t>
      </w:r>
    </w:p>
    <w:p w14:paraId="5505424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5CBEF4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Venų tromboemboliniai reiškiniai (VTR) pasireiškė 12,2 % (Pom+Btz+Deks) ir 3,3 % (Pom+Deks) pacientų (5,8 % (Pom+Btz+Deks) ir 1,3 % (Pom+Deks) 3 ar 4 laipsnio). Sunkūs VTR nustatyti 4,7 % (Pom+Btz+Deks) ir 1,7 % (Pom+Deks) pacientų, mirtinų reakcijų nenustatyta, VTR buvo susiję gydymo pomalidomidu nutraukimu iki 2,2 % (Pom+Btz+Deks) pacientų.</w:t>
      </w:r>
    </w:p>
    <w:p w14:paraId="3BA6D5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A68BC5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Periferinė neuropatija – pomalidomidas kartu su bortezomibu ir deksametazonu</w:t>
      </w:r>
    </w:p>
    <w:p w14:paraId="6F0EED2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Pacientai, 14 dienų iki atsitiktinių imčių laikotarpio, sergantys nepraeinančia ≥ 2 laipsnio periferine neuropatija su skausmu, į klinikinius tyrimus įtraukti nebuvo. Periferinė neuropatija pasireiškė 55,4 % pacientų (10,8 % 3 laipsnio, 0,7 % 4 laipsnio). Pagal ekspoziciją koreguoti rodikliai buvo panašūs visose gydymo grupėse. Maždaug 30 % pacientų, kuriems pasireiškė periferinė neuropatija, anksčiau </w:t>
      </w:r>
      <w:r w:rsidRPr="00A552D9">
        <w:rPr>
          <w:rFonts w:ascii="Times New Roman" w:eastAsia="Times New Roman" w:hAnsi="Times New Roman" w:cs="Times New Roman"/>
          <w:kern w:val="0"/>
          <w:lang w:val="lt-LT"/>
          <w14:ligatures w14:val="none"/>
        </w:rPr>
        <w:lastRenderedPageBreak/>
        <w:t>buvo periferinė neuropatija pradinio įvertinimo metu. Dėl periferinės neuropatijos reikėjo nutraukti gydymą bortezomibu maždaug 14,4 % pacientų, pomalidomidu – 1,8 %, deksametazonu – 1,8 % Pom+Btz+Deks grupės pacientų ir 8,9 % – Btz+Deks grupės pacientų.</w:t>
      </w:r>
    </w:p>
    <w:p w14:paraId="2AAD32A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17C4AB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Periferinė neuropatija – pomalidomidas kartu su deksametazonu</w:t>
      </w:r>
    </w:p>
    <w:p w14:paraId="284A39F9" w14:textId="15DEB1AD"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Pacientai, sergantys nepraeinančia ≥ 2 laipsnio periferine neuropatija, į klinikinius tyrimus įtraukti nebuvo. Periferinė neuropatija pasireiškė 12,3 % pacientų (1,0 % 3 arba 4 laipsnio). Sunkių periferinės neuropatijos reakcijų nenustatyta, dėl periferinės neuropatijos gydymą reikėjo nutraukti 0,3 % pacientų (žr. 4.4 skyrių).</w:t>
      </w:r>
    </w:p>
    <w:p w14:paraId="429EDED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3D7F90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Kraujavimas</w:t>
      </w:r>
    </w:p>
    <w:p w14:paraId="6F7A8033" w14:textId="095D7AA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Vartojant pomalidomid</w:t>
      </w:r>
      <w:r w:rsidR="001B28FB">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nustatyti hemoraginiai sutrikimai, ypač pacientams, kuriems yra rizikos veiksnių, pvz., kartu vartojant vaistini</w:t>
      </w:r>
      <w:r w:rsidR="001B28FB">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preparat</w:t>
      </w:r>
      <w:r w:rsidR="001B28FB">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didinanči</w:t>
      </w:r>
      <w:r w:rsidR="001B28FB">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polinkį krauj</w:t>
      </w:r>
      <w:r w:rsidR="00FA68CA">
        <w:rPr>
          <w:rFonts w:ascii="Times New Roman" w:eastAsia="Times New Roman" w:hAnsi="Times New Roman" w:cs="Times New Roman"/>
          <w:kern w:val="0"/>
          <w:lang w:val="lt-LT"/>
          <w14:ligatures w14:val="none"/>
        </w:rPr>
        <w:t>uoti</w:t>
      </w:r>
      <w:r w:rsidRPr="00A552D9">
        <w:rPr>
          <w:rFonts w:ascii="Times New Roman" w:eastAsia="Times New Roman" w:hAnsi="Times New Roman" w:cs="Times New Roman"/>
          <w:kern w:val="0"/>
          <w:lang w:val="lt-LT"/>
          <w14:ligatures w14:val="none"/>
        </w:rPr>
        <w:t>. Hemoraginiai reiškiniai buvo kraujavimas iš nosies, intrakranijinis kraujavimas ir kraujavimas iš virškinimo trakto.</w:t>
      </w:r>
    </w:p>
    <w:p w14:paraId="499516D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 </w:t>
      </w:r>
    </w:p>
    <w:p w14:paraId="779B23A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Alerginės reakcijos ir sunkios odos reakcijos</w:t>
      </w:r>
    </w:p>
    <w:p w14:paraId="15B4ACAB" w14:textId="2703A95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Vartojant pomalidomid</w:t>
      </w:r>
      <w:r w:rsidR="009D2D7E">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nustatyta angioneurozinė edema, anafilaksinė reakcija ir sunki</w:t>
      </w:r>
      <w:r w:rsidR="00A149BB">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odos reakcij</w:t>
      </w:r>
      <w:r w:rsidR="00A149BB">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įskaitant SDS, TEN ir VRESS. Pacientams, kuriems yra pasireiškęs sunkus išbėrimas vartojant lenalidomid</w:t>
      </w:r>
      <w:r w:rsidR="00312111">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arba talidomid</w:t>
      </w:r>
      <w:r w:rsidR="00312111">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pomalidomido skirti negalima (žr. 4.4 skyrių).</w:t>
      </w:r>
    </w:p>
    <w:p w14:paraId="4F50E9A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E21453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Vaikų populiacija</w:t>
      </w:r>
    </w:p>
    <w:p w14:paraId="0D6A72F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Vaikams (nuo 4 iki 18 metų), kurie sirgo pasikartojančiais ar progresuojančiais smegenų navikais, vartojant vaistinį preparatą stebėtos nepageidaujamos reakcijos atitiko žinomą pomalidomido saugumo santrauką suaugusiems pacientams (žr. 5.1 skyrių).</w:t>
      </w:r>
    </w:p>
    <w:p w14:paraId="47C8D83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F1BFDE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Pranešimas apie įtariamas nepageidaujamas reakcijas</w:t>
      </w:r>
    </w:p>
    <w:p w14:paraId="2D62243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hyperlink r:id="rId9" w:history="1">
        <w:r w:rsidRPr="00A552D9">
          <w:rPr>
            <w:rFonts w:ascii="Times New Roman" w:eastAsia="Times New Roman" w:hAnsi="Times New Roman" w:cs="Times New Roman"/>
            <w:color w:val="0000FF"/>
            <w:kern w:val="0"/>
            <w:u w:val="single"/>
            <w:lang w:val="lt-LT"/>
            <w14:ligatures w14:val="none"/>
          </w:rPr>
          <w:t>https://vvkt.lrv.lt/lt/</w:t>
        </w:r>
      </w:hyperlink>
      <w:r w:rsidRPr="00A552D9">
        <w:rPr>
          <w:rFonts w:ascii="Times New Roman" w:eastAsia="Times New Roman" w:hAnsi="Times New Roman" w:cs="Times New Roman"/>
          <w:kern w:val="0"/>
          <w:lang w:val="lt-LT"/>
          <w14:ligatures w14:val="none"/>
        </w:rPr>
        <w:t xml:space="preserve"> nurodytais būdais. </w:t>
      </w:r>
    </w:p>
    <w:p w14:paraId="2914348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72F59F7" w14:textId="77777777" w:rsidR="00992F19" w:rsidRPr="00A552D9" w:rsidRDefault="00992F19" w:rsidP="001E4AC5">
      <w:pPr>
        <w:widowControl w:val="0"/>
        <w:numPr>
          <w:ilvl w:val="1"/>
          <w:numId w:val="9"/>
        </w:numPr>
        <w:tabs>
          <w:tab w:val="left" w:pos="1018"/>
          <w:tab w:val="left" w:pos="1019"/>
        </w:tabs>
        <w:autoSpaceDE w:val="0"/>
        <w:autoSpaceDN w:val="0"/>
        <w:spacing w:before="0" w:after="0" w:line="240" w:lineRule="auto"/>
        <w:ind w:left="567" w:right="2"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Perdozavimas</w:t>
      </w:r>
    </w:p>
    <w:p w14:paraId="3E9AFA1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5A787E3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Tyrimų metu sveikiems savanoriams vartojant net 50 mg vienkartinę pomalidomido dozę, su perdozavimu susijusių sunkių nepageidaujamų reakcijų nenustatyta. Daugine mieloma sergantiems pacientams vartojant net 10 mg kartą per parą kartotines dozes, su perdozavimu susijusių sunkių nepageidaujamų reakcijų nenustatyta. Dozę ribojantis toksinis poveikis buvo mielosupresija. Tyrimų metu nustatyta, kad pomalidomidas gali būti šalinamas hemodialize.</w:t>
      </w:r>
    </w:p>
    <w:p w14:paraId="5B8F29F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E490F9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Perdozavimo atveju rekomenduojama palaikomoji priežiūra.</w:t>
      </w:r>
    </w:p>
    <w:p w14:paraId="73E701A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037EEB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CCDA40A"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FARMAKOLOGINĖS SAVYBĖS</w:t>
      </w:r>
    </w:p>
    <w:p w14:paraId="781B115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4175FD11"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Farmakodinaminės savybės</w:t>
      </w:r>
    </w:p>
    <w:p w14:paraId="667A5EB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7F91C2F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Farmakoterapinė grupė – imunosupresantai, kiti imunosupresantai, ATC kodas – L04AX06. </w:t>
      </w:r>
    </w:p>
    <w:p w14:paraId="15F1680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931B15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Veikimo mechanizmas</w:t>
      </w:r>
    </w:p>
    <w:p w14:paraId="455DF046" w14:textId="3FB42EF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Pomalidomidas tiesiogiai cidiškai veikia mielomos navikines ląsteles, turi imunomoduliuojamąjį poveikį ir slopina stromos ląstelių dalyvavimą dauginės mielomos navikinių ląstelių augime. Tiksliau sakant, pomalidomidas slopina hemopoetinių navikinių ląstelių proliferaciją ir skatina jų apoptozę.</w:t>
      </w:r>
      <w:r w:rsidR="00784FC2"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Taip pat pomalidomidas slopina lenalidomidui atsparių dauginės mielomos ląstelių eilių proliferaciją ir sąveikauja su deksametazonu lenalidomidui jautrių ir lenalidomidui atsparių ląstelių eilėse, skatindamas navikinių ląstelių apoptozę. Pomalidomidas skatina T ląstelių ir NK (</w:t>
      </w:r>
      <w:r w:rsidRPr="00A552D9">
        <w:rPr>
          <w:rFonts w:ascii="Times New Roman" w:eastAsia="Times New Roman" w:hAnsi="Times New Roman" w:cs="Times New Roman"/>
          <w:iCs/>
          <w:kern w:val="0"/>
          <w:lang w:val="lt-LT"/>
          <w14:ligatures w14:val="none"/>
        </w:rPr>
        <w:t>angl.</w:t>
      </w:r>
      <w:r w:rsidRPr="00A552D9">
        <w:rPr>
          <w:rFonts w:ascii="Times New Roman" w:eastAsia="Times New Roman" w:hAnsi="Times New Roman" w:cs="Times New Roman"/>
          <w:i/>
          <w:kern w:val="0"/>
          <w:lang w:val="lt-LT"/>
          <w14:ligatures w14:val="none"/>
        </w:rPr>
        <w:t xml:space="preserve"> Natural Killer</w:t>
      </w:r>
      <w:r w:rsidRPr="00A552D9">
        <w:rPr>
          <w:rFonts w:ascii="Times New Roman" w:eastAsia="Times New Roman" w:hAnsi="Times New Roman" w:cs="Times New Roman"/>
          <w:kern w:val="0"/>
          <w:lang w:val="lt-LT"/>
          <w14:ligatures w14:val="none"/>
        </w:rPr>
        <w:t xml:space="preserve">) ląstelių ląstelinį imunitetą bei monocituose slopina prouždegiminių citokinų, pavyzdžiui, TNF-α ir </w:t>
      </w:r>
      <w:r w:rsidRPr="00A552D9">
        <w:rPr>
          <w:rFonts w:ascii="Times New Roman" w:eastAsia="Times New Roman" w:hAnsi="Times New Roman" w:cs="Times New Roman"/>
          <w:kern w:val="0"/>
          <w:lang w:val="lt-LT"/>
          <w14:ligatures w14:val="none"/>
        </w:rPr>
        <w:lastRenderedPageBreak/>
        <w:t>IL</w:t>
      </w:r>
      <w:r w:rsidRPr="00A552D9">
        <w:rPr>
          <w:rFonts w:ascii="Times New Roman" w:eastAsia="Times New Roman" w:hAnsi="Times New Roman" w:cs="Times New Roman"/>
          <w:kern w:val="0"/>
          <w:lang w:val="lt-LT"/>
          <w14:ligatures w14:val="none"/>
        </w:rPr>
        <w:noBreakHyphen/>
        <w:t>6, gamybą. Pomalidomidas taip pat slopina angiogenezę blokuodamas endotelio ląstelių migravimą ir adheziją.</w:t>
      </w:r>
    </w:p>
    <w:p w14:paraId="3FD795F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CA09A64" w14:textId="50D3F6B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Pomalidomidas jungiasi tiesiogiai su baltymu cereblonu (CRBN), įeinančiu į E3 ligazės kompleksą, kurį sudaro baltymas 1(DDB1), kuris jungiasi su pažeista dezoksiribonukleino rūgštimi (DNR), kulinas 4 (CUL4) ir kulinų 1 reguliatorius (Roc1), jis gali slopinti CRBN autoubikvitinimą komplekso viduje. E3 ubikvitino ligazės atsako už įvairių substratinių baltymų poliubikvitinimą ir gali iš dalies paaiškinti ple</w:t>
      </w:r>
      <w:r w:rsidR="00153A62">
        <w:rPr>
          <w:rFonts w:ascii="Times New Roman" w:eastAsia="Times New Roman" w:hAnsi="Times New Roman" w:cs="Times New Roman"/>
          <w:kern w:val="0"/>
          <w:lang w:val="lt-LT"/>
          <w14:ligatures w14:val="none"/>
        </w:rPr>
        <w:t>i</w:t>
      </w:r>
      <w:r w:rsidRPr="00A552D9">
        <w:rPr>
          <w:rFonts w:ascii="Times New Roman" w:eastAsia="Times New Roman" w:hAnsi="Times New Roman" w:cs="Times New Roman"/>
          <w:kern w:val="0"/>
          <w:lang w:val="lt-LT"/>
          <w14:ligatures w14:val="none"/>
        </w:rPr>
        <w:t>otropinį ląstelių poveikį, pasireiškiantį gydant pomalidomidu.</w:t>
      </w:r>
    </w:p>
    <w:p w14:paraId="484FC59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75D2FB1" w14:textId="6EABB01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Esant pomalidomidui </w:t>
      </w:r>
      <w:r w:rsidRPr="00A552D9">
        <w:rPr>
          <w:rFonts w:ascii="Times New Roman" w:eastAsia="Times New Roman" w:hAnsi="Times New Roman" w:cs="Times New Roman"/>
          <w:i/>
          <w:kern w:val="0"/>
          <w:lang w:val="lt-LT"/>
          <w14:ligatures w14:val="none"/>
        </w:rPr>
        <w:t>in vitro</w:t>
      </w:r>
      <w:r w:rsidRPr="00A552D9">
        <w:rPr>
          <w:rFonts w:ascii="Times New Roman" w:eastAsia="Times New Roman" w:hAnsi="Times New Roman" w:cs="Times New Roman"/>
          <w:kern w:val="0"/>
          <w:lang w:val="lt-LT"/>
          <w14:ligatures w14:val="none"/>
        </w:rPr>
        <w:t xml:space="preserve">, substratiniai baltymai Aiolos ir Ikaros yra reikalingi ubikvitinimui ir tolesniam skaidymui, kuris sukelia tiesioginį citotoksinį ir imunomoduliuojamąjį poveikį. </w:t>
      </w:r>
      <w:r w:rsidRPr="00A552D9">
        <w:rPr>
          <w:rFonts w:ascii="Times New Roman" w:eastAsia="Times New Roman" w:hAnsi="Times New Roman" w:cs="Times New Roman"/>
          <w:i/>
          <w:kern w:val="0"/>
          <w:lang w:val="lt-LT"/>
          <w14:ligatures w14:val="none"/>
        </w:rPr>
        <w:t xml:space="preserve">In vivo </w:t>
      </w:r>
      <w:r w:rsidRPr="00A552D9">
        <w:rPr>
          <w:rFonts w:ascii="Times New Roman" w:eastAsia="Times New Roman" w:hAnsi="Times New Roman" w:cs="Times New Roman"/>
          <w:kern w:val="0"/>
          <w:lang w:val="lt-LT"/>
          <w14:ligatures w14:val="none"/>
        </w:rPr>
        <w:t xml:space="preserve">gydymas pomalidomidu sumažino Ikaros kiekį pacientams, sergantiems recidyvuojančia lenalidomidui </w:t>
      </w:r>
      <w:r w:rsidR="00394142">
        <w:rPr>
          <w:rFonts w:ascii="Times New Roman" w:eastAsia="Times New Roman" w:hAnsi="Times New Roman" w:cs="Times New Roman"/>
          <w:kern w:val="0"/>
          <w:lang w:val="lt-LT"/>
          <w14:ligatures w14:val="none"/>
        </w:rPr>
        <w:t>atsparia</w:t>
      </w:r>
      <w:r w:rsidR="00394142"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daugine mieloma.</w:t>
      </w:r>
    </w:p>
    <w:p w14:paraId="0CFB655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36C158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Klinikinis veiksmingumas ir saugumas</w:t>
      </w:r>
    </w:p>
    <w:p w14:paraId="40DCF5F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Pomalidomidas kartu su bortezomibu ir deksametazonu</w:t>
      </w:r>
    </w:p>
    <w:p w14:paraId="77D5FF31" w14:textId="4E2977D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Pomalidomido, vartojamo kartu su bortezomibu ir maža deksametazono doze (Pom + Btz + M</w:t>
      </w:r>
      <w:r w:rsidR="009359B5" w:rsidRPr="00A552D9">
        <w:rPr>
          <w:rFonts w:ascii="Times New Roman" w:eastAsia="Times New Roman" w:hAnsi="Times New Roman" w:cs="Times New Roman"/>
          <w:kern w:val="0"/>
          <w:lang w:val="lt-LT"/>
          <w14:ligatures w14:val="none"/>
        </w:rPr>
        <w:t>-</w:t>
      </w:r>
      <w:r w:rsidR="0001414D" w:rsidRPr="00A552D9">
        <w:rPr>
          <w:rFonts w:ascii="Times New Roman" w:eastAsia="Times New Roman" w:hAnsi="Times New Roman" w:cs="Times New Roman"/>
          <w:kern w:val="0"/>
          <w:lang w:val="lt-LT"/>
          <w14:ligatures w14:val="none"/>
        </w:rPr>
        <w:t>Deks</w:t>
      </w:r>
      <w:r w:rsidRPr="00A552D9">
        <w:rPr>
          <w:rFonts w:ascii="Times New Roman" w:eastAsia="Times New Roman" w:hAnsi="Times New Roman" w:cs="Times New Roman"/>
          <w:kern w:val="0"/>
          <w:lang w:val="lt-LT"/>
          <w14:ligatures w14:val="none"/>
        </w:rPr>
        <w:t>), veiksmingumas ir saugumas buvo lyginamas su bortezomibu ir maža deksametazono doze (Btz + M</w:t>
      </w:r>
      <w:r w:rsidR="009359B5" w:rsidRPr="00A552D9">
        <w:rPr>
          <w:rFonts w:ascii="Times New Roman" w:eastAsia="Times New Roman" w:hAnsi="Times New Roman" w:cs="Times New Roman"/>
          <w:kern w:val="0"/>
          <w:lang w:val="lt-LT"/>
          <w14:ligatures w14:val="none"/>
        </w:rPr>
        <w:t>-Deks</w:t>
      </w:r>
      <w:r w:rsidRPr="00A552D9">
        <w:rPr>
          <w:rFonts w:ascii="Times New Roman" w:eastAsia="Times New Roman" w:hAnsi="Times New Roman" w:cs="Times New Roman"/>
          <w:kern w:val="0"/>
          <w:lang w:val="lt-LT"/>
          <w14:ligatures w14:val="none"/>
        </w:rPr>
        <w:t>) III fazės daugiacentriame, atsitiktinių imčių, atvirame tyrime (CC-4047-MM-007) anksčiau gydytiems suaugusiems pacientams, sergantiems daugine mieloma, kurie prieš tai yra gavę mažiausiai vieną gydymo kursą (įskaitant gydymą lenalidomidu), ir kuriems nustatytas ligos progresavimas paskutinio gydymo metu arba po jo. Iš viso į tyrimą buvo įtraukti ir atsitikiniu imčių būdu buvo paskirstyti 559 pacientai: 281 Pom + Btz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grupėje ir 278 Btz + </w:t>
      </w:r>
      <w:r w:rsidR="00352C1A"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grupėje. 54 % pacientų buvo vyrai, visos populiacijos amžiaus mediana buvo 68 metai (min., maks.: 27, 89 metų). Maždaug 70 % pacientų sunkiai pasidavė gydymui lenalidomidu (71,2 % Pom + Btz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68,7 % Btz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Maždaug 40 % pacientų buvo pirmasis atkrytis ir maždaug 73 % pacientų anksčiau buvo gydyti bortezomibu.</w:t>
      </w:r>
    </w:p>
    <w:p w14:paraId="67ABE68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8B86A7E" w14:textId="6A2F17B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 + Btz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grupės pacientams buvo skiriama vartoti 4 mg geriamojo pomalidomido 1-14 kiekvieno 21 dienos ciklo dieną. Bortezomibas (1,3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/dozė) buvo skiriamas abiejų tyrimo grupių pacientams 1, 4, 8 ir 11 kiekvieno 21 dienos ciklo dieną 1-8 ciklų metu bei 1 ir 8 kiekvieno 21 dienos ciklo dieną nuo 9 ciklo. Maža deksametazono dozė (20 mg per parą [≤ 75 metų] arba 10 mg per parą [&gt; 75 metų]) buvo skiriama abiejų tyrimo grupių pacientams 21 dienos ciklo 1, 2, 4, 5, 8, 9, 11 ir 12 dieną 1-8 ciklų metu ir kiekvieno 21 dienos ciklo 1, 2, 8 ir 9 dieną nuo 9 ciklo. Pasireiškus toksiniam poveikiui, jei reikėjo, dozės buvo mažinamos ir gydymas buvo laikinai nutraukiamas arba stabdomas (žr. 4.2 skyrių).</w:t>
      </w:r>
    </w:p>
    <w:p w14:paraId="65DA313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EA0370B" w14:textId="716A766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Pirminė veiksmingumo vertinamoji baigtis buvo išgyvenamumas be ligos progresavimo (IBLP) pagal Nepriklausomo </w:t>
      </w:r>
      <w:r w:rsidR="00935062">
        <w:rPr>
          <w:rFonts w:ascii="Times New Roman" w:eastAsia="Times New Roman" w:hAnsi="Times New Roman" w:cs="Times New Roman"/>
          <w:kern w:val="0"/>
          <w:lang w:val="lt-LT"/>
          <w14:ligatures w14:val="none"/>
        </w:rPr>
        <w:t xml:space="preserve">atsako </w:t>
      </w:r>
      <w:r w:rsidRPr="00A552D9">
        <w:rPr>
          <w:rFonts w:ascii="Times New Roman" w:eastAsia="Times New Roman" w:hAnsi="Times New Roman" w:cs="Times New Roman"/>
          <w:kern w:val="0"/>
          <w:lang w:val="lt-LT"/>
          <w14:ligatures w14:val="none"/>
        </w:rPr>
        <w:t xml:space="preserve">vertinimo komiteto (angl. </w:t>
      </w:r>
      <w:r w:rsidRPr="00A552D9">
        <w:rPr>
          <w:rFonts w:ascii="Times New Roman" w:eastAsia="Times New Roman" w:hAnsi="Times New Roman" w:cs="Times New Roman"/>
          <w:i/>
          <w:kern w:val="0"/>
          <w:lang w:val="lt-LT"/>
          <w14:ligatures w14:val="none"/>
        </w:rPr>
        <w:t xml:space="preserve">Independent </w:t>
      </w:r>
      <w:r w:rsidR="00935062">
        <w:rPr>
          <w:rFonts w:ascii="Times New Roman" w:eastAsia="Times New Roman" w:hAnsi="Times New Roman" w:cs="Times New Roman"/>
          <w:i/>
          <w:kern w:val="0"/>
          <w:lang w:val="lt-LT"/>
          <w14:ligatures w14:val="none"/>
        </w:rPr>
        <w:t>Response</w:t>
      </w:r>
      <w:r w:rsidRPr="00A552D9">
        <w:rPr>
          <w:rFonts w:ascii="Times New Roman" w:eastAsia="Times New Roman" w:hAnsi="Times New Roman" w:cs="Times New Roman"/>
          <w:i/>
          <w:kern w:val="0"/>
          <w:lang w:val="lt-LT"/>
          <w14:ligatures w14:val="none"/>
        </w:rPr>
        <w:t xml:space="preserve"> Adjudication Committee</w:t>
      </w:r>
      <w:r w:rsidRPr="00A552D9">
        <w:rPr>
          <w:rFonts w:ascii="Times New Roman" w:eastAsia="Times New Roman" w:hAnsi="Times New Roman" w:cs="Times New Roman"/>
          <w:kern w:val="0"/>
          <w:lang w:val="lt-LT"/>
          <w14:ligatures w14:val="none"/>
        </w:rPr>
        <w:t xml:space="preserve">, IRAC) įvertinimą remiantis IMWG kriterijais numatytoje gydyti (angl. </w:t>
      </w:r>
      <w:r w:rsidRPr="00A552D9">
        <w:rPr>
          <w:rFonts w:ascii="Times New Roman" w:eastAsia="Times New Roman" w:hAnsi="Times New Roman" w:cs="Times New Roman"/>
          <w:i/>
          <w:kern w:val="0"/>
          <w:lang w:val="lt-LT"/>
          <w14:ligatures w14:val="none"/>
        </w:rPr>
        <w:t>Intention to treat</w:t>
      </w:r>
      <w:r w:rsidRPr="00A552D9">
        <w:rPr>
          <w:rFonts w:ascii="Times New Roman" w:eastAsia="Times New Roman" w:hAnsi="Times New Roman" w:cs="Times New Roman"/>
          <w:kern w:val="0"/>
          <w:lang w:val="lt-LT"/>
          <w14:ligatures w14:val="none"/>
        </w:rPr>
        <w:t>, ITT) populiacijoje. Po stebėjimo laikotarpio, kurio mediana 15,9 mėnesio, IBLP laiko mediana buvo 11,20 mėnesio (95 % PI: 9,66, 13,73) Pom + Btz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grupėje. Btz + </w:t>
      </w:r>
      <w:r w:rsidR="00385C3C"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grupėje IBLP laiko mediana buvo 7,1 mėnesio (95 % PI: 5,88; 8,48).</w:t>
      </w:r>
    </w:p>
    <w:p w14:paraId="636C962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7CA663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Bendrų veiksmingumo duomenų, surinktų iki 2017 m. spalio 26 d., santrauka pateikiama 8 lentelėje. ITT populiacijos IBLP Kaplano-Mejerio kreivė pateikta 1 pav.</w:t>
      </w:r>
    </w:p>
    <w:p w14:paraId="0ABFF6F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1732BCB" w14:textId="77777777" w:rsidR="00992F19" w:rsidRPr="00A552D9" w:rsidRDefault="00992F19" w:rsidP="00992F19">
      <w:pPr>
        <w:widowControl w:val="0"/>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8 lentelė. Bendrų veiksmingumo duomenų santrauka</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2997"/>
        <w:gridCol w:w="3051"/>
        <w:gridCol w:w="3015"/>
      </w:tblGrid>
      <w:tr w:rsidR="00992F19" w:rsidRPr="00A552D9" w14:paraId="49B5D7B7" w14:textId="77777777" w:rsidTr="005B5BF2">
        <w:trPr>
          <w:trHeight w:val="20"/>
        </w:trPr>
        <w:tc>
          <w:tcPr>
            <w:tcW w:w="2997" w:type="dxa"/>
            <w:vAlign w:val="center"/>
          </w:tcPr>
          <w:p w14:paraId="3A63C31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c>
        <w:tc>
          <w:tcPr>
            <w:tcW w:w="3051" w:type="dxa"/>
            <w:vAlign w:val="center"/>
          </w:tcPr>
          <w:p w14:paraId="5AFCEAFC" w14:textId="227FDC56" w:rsidR="00992F19" w:rsidRPr="00A552D9" w:rsidRDefault="00992F19" w:rsidP="00445288">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 +Btz + </w:t>
            </w:r>
            <w:r w:rsidR="0089553E" w:rsidRPr="00A552D9">
              <w:rPr>
                <w:rFonts w:ascii="Times New Roman" w:eastAsia="Times New Roman" w:hAnsi="Times New Roman" w:cs="Times New Roman"/>
                <w:kern w:val="0"/>
                <w:lang w:val="lt-LT"/>
                <w14:ligatures w14:val="none"/>
              </w:rPr>
              <w:t>M-Deks</w:t>
            </w:r>
            <w:r w:rsidR="00445288"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(N = 281)</w:t>
            </w:r>
          </w:p>
        </w:tc>
        <w:tc>
          <w:tcPr>
            <w:tcW w:w="3015" w:type="dxa"/>
            <w:vAlign w:val="center"/>
          </w:tcPr>
          <w:p w14:paraId="3FD7827D" w14:textId="6B32D227" w:rsidR="00992F19" w:rsidRPr="00A552D9" w:rsidRDefault="00992F19" w:rsidP="00445288">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Btz + </w:t>
            </w:r>
            <w:r w:rsidR="0089553E" w:rsidRPr="00A552D9">
              <w:rPr>
                <w:rFonts w:ascii="Times New Roman" w:eastAsia="Times New Roman" w:hAnsi="Times New Roman" w:cs="Times New Roman"/>
                <w:kern w:val="0"/>
                <w:lang w:val="lt-LT"/>
                <w14:ligatures w14:val="none"/>
              </w:rPr>
              <w:t>M-Deks</w:t>
            </w:r>
            <w:r w:rsidR="00445288"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(N = 278)</w:t>
            </w:r>
          </w:p>
        </w:tc>
      </w:tr>
      <w:tr w:rsidR="00992F19" w:rsidRPr="00A552D9" w14:paraId="1713AEC4" w14:textId="77777777" w:rsidTr="005B5BF2">
        <w:trPr>
          <w:trHeight w:val="20"/>
        </w:trPr>
        <w:tc>
          <w:tcPr>
            <w:tcW w:w="2997" w:type="dxa"/>
            <w:vAlign w:val="center"/>
          </w:tcPr>
          <w:p w14:paraId="60216D4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IBLP (mėnesiai)</w:t>
            </w:r>
          </w:p>
        </w:tc>
        <w:tc>
          <w:tcPr>
            <w:tcW w:w="6066" w:type="dxa"/>
            <w:gridSpan w:val="2"/>
            <w:vAlign w:val="center"/>
          </w:tcPr>
          <w:p w14:paraId="7D6B43C4"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r w:rsidR="00992F19" w:rsidRPr="00A552D9" w14:paraId="0606922C" w14:textId="77777777" w:rsidTr="005B5BF2">
        <w:trPr>
          <w:trHeight w:val="20"/>
        </w:trPr>
        <w:tc>
          <w:tcPr>
            <w:tcW w:w="2997" w:type="dxa"/>
            <w:vAlign w:val="center"/>
          </w:tcPr>
          <w:p w14:paraId="692452B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Laiko mediana</w:t>
            </w:r>
            <w:r w:rsidRPr="00A552D9">
              <w:rPr>
                <w:rFonts w:ascii="Times New Roman" w:eastAsia="Times New Roman" w:hAnsi="Times New Roman" w:cs="Times New Roman"/>
                <w:kern w:val="0"/>
                <w:vertAlign w:val="superscript"/>
                <w:lang w:val="lt-LT"/>
                <w14:ligatures w14:val="none"/>
              </w:rPr>
              <w:t>a</w:t>
            </w:r>
            <w:r w:rsidRPr="00A552D9">
              <w:rPr>
                <w:rFonts w:ascii="Times New Roman" w:eastAsia="Times New Roman" w:hAnsi="Times New Roman" w:cs="Times New Roman"/>
                <w:kern w:val="0"/>
                <w:lang w:val="lt-LT"/>
                <w14:ligatures w14:val="none"/>
              </w:rPr>
              <w:t xml:space="preserve"> (95 % PI)</w:t>
            </w:r>
            <w:r w:rsidRPr="00A552D9">
              <w:rPr>
                <w:rFonts w:ascii="Times New Roman" w:eastAsia="Times New Roman" w:hAnsi="Times New Roman" w:cs="Times New Roman"/>
                <w:kern w:val="0"/>
                <w:vertAlign w:val="superscript"/>
                <w:lang w:val="lt-LT"/>
                <w14:ligatures w14:val="none"/>
              </w:rPr>
              <w:t>b</w:t>
            </w:r>
          </w:p>
        </w:tc>
        <w:tc>
          <w:tcPr>
            <w:tcW w:w="3051" w:type="dxa"/>
            <w:vAlign w:val="center"/>
          </w:tcPr>
          <w:p w14:paraId="31863B8E"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11,20 (9,66, 13,73)</w:t>
            </w:r>
          </w:p>
        </w:tc>
        <w:tc>
          <w:tcPr>
            <w:tcW w:w="3015" w:type="dxa"/>
            <w:vAlign w:val="center"/>
          </w:tcPr>
          <w:p w14:paraId="05A780D8"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7,10 (5,88, 8,48)</w:t>
            </w:r>
          </w:p>
        </w:tc>
      </w:tr>
      <w:tr w:rsidR="00992F19" w:rsidRPr="00A552D9" w14:paraId="42AE15EF" w14:textId="77777777" w:rsidTr="005B5BF2">
        <w:trPr>
          <w:trHeight w:val="20"/>
        </w:trPr>
        <w:tc>
          <w:tcPr>
            <w:tcW w:w="2997" w:type="dxa"/>
            <w:vAlign w:val="center"/>
          </w:tcPr>
          <w:p w14:paraId="4522623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RS </w:t>
            </w:r>
            <w:r w:rsidRPr="00A552D9">
              <w:rPr>
                <w:rFonts w:ascii="Times New Roman" w:eastAsia="Times New Roman" w:hAnsi="Times New Roman" w:cs="Times New Roman"/>
                <w:kern w:val="0"/>
                <w:vertAlign w:val="superscript"/>
                <w:lang w:val="lt-LT"/>
                <w14:ligatures w14:val="none"/>
              </w:rPr>
              <w:t>c</w:t>
            </w:r>
            <w:r w:rsidRPr="00A552D9">
              <w:rPr>
                <w:rFonts w:ascii="Times New Roman" w:eastAsia="Times New Roman" w:hAnsi="Times New Roman" w:cs="Times New Roman"/>
                <w:kern w:val="0"/>
                <w:lang w:val="lt-LT"/>
                <w14:ligatures w14:val="none"/>
              </w:rPr>
              <w:t>[95 % PI]; p vertė</w:t>
            </w:r>
            <w:r w:rsidRPr="00A552D9">
              <w:rPr>
                <w:rFonts w:ascii="Times New Roman" w:eastAsia="Times New Roman" w:hAnsi="Times New Roman" w:cs="Times New Roman"/>
                <w:kern w:val="0"/>
                <w:vertAlign w:val="superscript"/>
                <w:lang w:val="lt-LT"/>
                <w14:ligatures w14:val="none"/>
              </w:rPr>
              <w:t>d</w:t>
            </w:r>
          </w:p>
        </w:tc>
        <w:tc>
          <w:tcPr>
            <w:tcW w:w="6066" w:type="dxa"/>
            <w:gridSpan w:val="2"/>
            <w:vAlign w:val="center"/>
          </w:tcPr>
          <w:p w14:paraId="531E0B8E"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0,61 (0,49; 0,77), &lt; 0,0001</w:t>
            </w:r>
          </w:p>
        </w:tc>
      </w:tr>
      <w:tr w:rsidR="00992F19" w:rsidRPr="00A552D9" w14:paraId="4B8D490F" w14:textId="77777777" w:rsidTr="005B5BF2">
        <w:trPr>
          <w:trHeight w:val="20"/>
        </w:trPr>
        <w:tc>
          <w:tcPr>
            <w:tcW w:w="2997" w:type="dxa"/>
            <w:vAlign w:val="center"/>
          </w:tcPr>
          <w:p w14:paraId="17896F0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BAD, n (%)</w:t>
            </w:r>
          </w:p>
        </w:tc>
        <w:tc>
          <w:tcPr>
            <w:tcW w:w="3051" w:type="dxa"/>
            <w:vAlign w:val="center"/>
          </w:tcPr>
          <w:p w14:paraId="0E74AD6B"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82,2 %</w:t>
            </w:r>
          </w:p>
        </w:tc>
        <w:tc>
          <w:tcPr>
            <w:tcW w:w="3015" w:type="dxa"/>
            <w:vAlign w:val="center"/>
          </w:tcPr>
          <w:p w14:paraId="2D2DA7DB"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50,0 %</w:t>
            </w:r>
          </w:p>
        </w:tc>
      </w:tr>
      <w:tr w:rsidR="00992F19" w:rsidRPr="00A552D9" w14:paraId="2065224B" w14:textId="77777777" w:rsidTr="005B5BF2">
        <w:trPr>
          <w:trHeight w:val="20"/>
        </w:trPr>
        <w:tc>
          <w:tcPr>
            <w:tcW w:w="2997" w:type="dxa"/>
            <w:vAlign w:val="center"/>
          </w:tcPr>
          <w:p w14:paraId="0638AFC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gVA</w:t>
            </w:r>
          </w:p>
        </w:tc>
        <w:tc>
          <w:tcPr>
            <w:tcW w:w="3051" w:type="dxa"/>
            <w:vAlign w:val="center"/>
          </w:tcPr>
          <w:p w14:paraId="47BB106C"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9 (3,2)</w:t>
            </w:r>
          </w:p>
        </w:tc>
        <w:tc>
          <w:tcPr>
            <w:tcW w:w="3015" w:type="dxa"/>
            <w:vAlign w:val="center"/>
          </w:tcPr>
          <w:p w14:paraId="6E71D77F"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 (0,7)</w:t>
            </w:r>
          </w:p>
        </w:tc>
      </w:tr>
      <w:tr w:rsidR="00992F19" w:rsidRPr="00A552D9" w14:paraId="28FEB2D7" w14:textId="77777777" w:rsidTr="005B5BF2">
        <w:trPr>
          <w:trHeight w:val="20"/>
        </w:trPr>
        <w:tc>
          <w:tcPr>
            <w:tcW w:w="2997" w:type="dxa"/>
            <w:vAlign w:val="center"/>
          </w:tcPr>
          <w:p w14:paraId="62E1542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w:t>
            </w:r>
          </w:p>
        </w:tc>
        <w:tc>
          <w:tcPr>
            <w:tcW w:w="3051" w:type="dxa"/>
            <w:vAlign w:val="center"/>
          </w:tcPr>
          <w:p w14:paraId="79669C95"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35 (12,5)</w:t>
            </w:r>
          </w:p>
        </w:tc>
        <w:tc>
          <w:tcPr>
            <w:tcW w:w="3015" w:type="dxa"/>
            <w:vAlign w:val="center"/>
          </w:tcPr>
          <w:p w14:paraId="7091EB59"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9 (3,2)</w:t>
            </w:r>
          </w:p>
        </w:tc>
      </w:tr>
      <w:tr w:rsidR="00992F19" w:rsidRPr="00A552D9" w14:paraId="759EA976" w14:textId="77777777" w:rsidTr="005B5BF2">
        <w:trPr>
          <w:trHeight w:val="20"/>
        </w:trPr>
        <w:tc>
          <w:tcPr>
            <w:tcW w:w="2997" w:type="dxa"/>
            <w:vAlign w:val="center"/>
          </w:tcPr>
          <w:p w14:paraId="4E1F9F2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LGDA</w:t>
            </w:r>
          </w:p>
        </w:tc>
        <w:tc>
          <w:tcPr>
            <w:tcW w:w="3051" w:type="dxa"/>
            <w:vAlign w:val="center"/>
          </w:tcPr>
          <w:p w14:paraId="2E2A3640"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104 (37,0)</w:t>
            </w:r>
          </w:p>
        </w:tc>
        <w:tc>
          <w:tcPr>
            <w:tcW w:w="3015" w:type="dxa"/>
            <w:vAlign w:val="center"/>
          </w:tcPr>
          <w:p w14:paraId="246FF1DE"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40 (14,4)</w:t>
            </w:r>
          </w:p>
        </w:tc>
      </w:tr>
      <w:tr w:rsidR="00992F19" w:rsidRPr="00A552D9" w14:paraId="1F4D4DAE" w14:textId="77777777" w:rsidTr="005B5BF2">
        <w:trPr>
          <w:trHeight w:val="20"/>
        </w:trPr>
        <w:tc>
          <w:tcPr>
            <w:tcW w:w="2997" w:type="dxa"/>
            <w:vAlign w:val="center"/>
          </w:tcPr>
          <w:p w14:paraId="62D80F9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w:t>
            </w:r>
          </w:p>
        </w:tc>
        <w:tc>
          <w:tcPr>
            <w:tcW w:w="3051" w:type="dxa"/>
            <w:vAlign w:val="center"/>
          </w:tcPr>
          <w:p w14:paraId="15DA500C"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83 (29,5)</w:t>
            </w:r>
          </w:p>
        </w:tc>
        <w:tc>
          <w:tcPr>
            <w:tcW w:w="3015" w:type="dxa"/>
            <w:vAlign w:val="center"/>
          </w:tcPr>
          <w:p w14:paraId="733DA76F"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88 (31,7)</w:t>
            </w:r>
          </w:p>
        </w:tc>
      </w:tr>
      <w:tr w:rsidR="00992F19" w:rsidRPr="00A552D9" w14:paraId="06654189" w14:textId="77777777" w:rsidTr="005B5BF2">
        <w:trPr>
          <w:trHeight w:val="20"/>
        </w:trPr>
        <w:tc>
          <w:tcPr>
            <w:tcW w:w="2997" w:type="dxa"/>
            <w:vAlign w:val="center"/>
          </w:tcPr>
          <w:p w14:paraId="73A9C58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 xml:space="preserve">ŠS (95 % PI) </w:t>
            </w:r>
            <w:r w:rsidRPr="00A552D9">
              <w:rPr>
                <w:rFonts w:ascii="Times New Roman" w:eastAsia="Times New Roman" w:hAnsi="Times New Roman" w:cs="Times New Roman"/>
                <w:kern w:val="0"/>
                <w:vertAlign w:val="superscript"/>
                <w:lang w:val="lt-LT"/>
                <w14:ligatures w14:val="none"/>
              </w:rPr>
              <w:t>e</w:t>
            </w:r>
            <w:r w:rsidRPr="00A552D9">
              <w:rPr>
                <w:rFonts w:ascii="Times New Roman" w:eastAsia="Times New Roman" w:hAnsi="Times New Roman" w:cs="Times New Roman"/>
                <w:kern w:val="0"/>
                <w:lang w:val="lt-LT"/>
                <w14:ligatures w14:val="none"/>
              </w:rPr>
              <w:t>; p vertė</w:t>
            </w:r>
            <w:r w:rsidRPr="00A552D9">
              <w:rPr>
                <w:rFonts w:ascii="Times New Roman" w:eastAsia="Times New Roman" w:hAnsi="Times New Roman" w:cs="Times New Roman"/>
                <w:kern w:val="0"/>
                <w:vertAlign w:val="superscript"/>
                <w:lang w:val="lt-LT"/>
                <w14:ligatures w14:val="none"/>
              </w:rPr>
              <w:t>f</w:t>
            </w:r>
          </w:p>
        </w:tc>
        <w:tc>
          <w:tcPr>
            <w:tcW w:w="6066" w:type="dxa"/>
            <w:gridSpan w:val="2"/>
            <w:vAlign w:val="center"/>
          </w:tcPr>
          <w:p w14:paraId="530BCA85"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5,02 (3,35; 7,52), &lt; 0,001</w:t>
            </w:r>
          </w:p>
        </w:tc>
      </w:tr>
      <w:tr w:rsidR="00992F19" w:rsidRPr="00A552D9" w14:paraId="23100DB9" w14:textId="77777777" w:rsidTr="005B5BF2">
        <w:trPr>
          <w:trHeight w:val="20"/>
        </w:trPr>
        <w:tc>
          <w:tcPr>
            <w:tcW w:w="2997" w:type="dxa"/>
            <w:vAlign w:val="center"/>
          </w:tcPr>
          <w:p w14:paraId="758FE9D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AT (mėnesiai)</w:t>
            </w:r>
          </w:p>
        </w:tc>
        <w:tc>
          <w:tcPr>
            <w:tcW w:w="6066" w:type="dxa"/>
            <w:gridSpan w:val="2"/>
            <w:vAlign w:val="center"/>
          </w:tcPr>
          <w:p w14:paraId="2D0B3C2B"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r w:rsidR="00992F19" w:rsidRPr="00A552D9" w14:paraId="15FA9211" w14:textId="77777777" w:rsidTr="005B5BF2">
        <w:trPr>
          <w:trHeight w:val="20"/>
        </w:trPr>
        <w:tc>
          <w:tcPr>
            <w:tcW w:w="2997" w:type="dxa"/>
            <w:vAlign w:val="center"/>
          </w:tcPr>
          <w:p w14:paraId="39EB2C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Laiko mediana</w:t>
            </w:r>
            <w:r w:rsidRPr="00A552D9">
              <w:rPr>
                <w:rFonts w:ascii="Times New Roman" w:eastAsia="Times New Roman" w:hAnsi="Times New Roman" w:cs="Times New Roman"/>
                <w:kern w:val="0"/>
                <w:vertAlign w:val="superscript"/>
                <w:lang w:val="lt-LT"/>
                <w14:ligatures w14:val="none"/>
              </w:rPr>
              <w:t>a</w:t>
            </w:r>
            <w:r w:rsidRPr="00A552D9">
              <w:rPr>
                <w:rFonts w:ascii="Times New Roman" w:eastAsia="Times New Roman" w:hAnsi="Times New Roman" w:cs="Times New Roman"/>
                <w:kern w:val="0"/>
                <w:lang w:val="lt-LT"/>
                <w14:ligatures w14:val="none"/>
              </w:rPr>
              <w:t xml:space="preserve"> (95 % PI)</w:t>
            </w:r>
            <w:r w:rsidRPr="00A552D9">
              <w:rPr>
                <w:rFonts w:ascii="Times New Roman" w:eastAsia="Times New Roman" w:hAnsi="Times New Roman" w:cs="Times New Roman"/>
                <w:kern w:val="0"/>
                <w:vertAlign w:val="superscript"/>
                <w:lang w:val="lt-LT"/>
                <w14:ligatures w14:val="none"/>
              </w:rPr>
              <w:t>b</w:t>
            </w:r>
          </w:p>
        </w:tc>
        <w:tc>
          <w:tcPr>
            <w:tcW w:w="3051" w:type="dxa"/>
            <w:vAlign w:val="center"/>
          </w:tcPr>
          <w:p w14:paraId="0E1150BD" w14:textId="77777777" w:rsidR="00992F19" w:rsidRPr="00A552D9" w:rsidRDefault="00992F19" w:rsidP="00FC76B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13,7 (10,94; 18,10)</w:t>
            </w:r>
          </w:p>
        </w:tc>
        <w:tc>
          <w:tcPr>
            <w:tcW w:w="3015" w:type="dxa"/>
            <w:vAlign w:val="center"/>
          </w:tcPr>
          <w:p w14:paraId="4953268C" w14:textId="77777777" w:rsidR="00992F19" w:rsidRPr="00A552D9" w:rsidRDefault="00992F19" w:rsidP="00FC76B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10,94 (8,11; 14,78)</w:t>
            </w:r>
          </w:p>
        </w:tc>
      </w:tr>
      <w:tr w:rsidR="00992F19" w:rsidRPr="00A552D9" w14:paraId="3489B415" w14:textId="77777777" w:rsidTr="005B5BF2">
        <w:trPr>
          <w:trHeight w:val="20"/>
        </w:trPr>
        <w:tc>
          <w:tcPr>
            <w:tcW w:w="2997" w:type="dxa"/>
            <w:vAlign w:val="center"/>
          </w:tcPr>
          <w:p w14:paraId="48C25B69" w14:textId="582DFC0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w:t>
            </w:r>
            <w:r w:rsidR="00DF5D2A">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vertAlign w:val="superscript"/>
                <w:lang w:val="lt-LT"/>
                <w14:ligatures w14:val="none"/>
              </w:rPr>
              <w:t>c</w:t>
            </w:r>
            <w:r w:rsidRPr="00A552D9">
              <w:rPr>
                <w:rFonts w:ascii="Times New Roman" w:eastAsia="Times New Roman" w:hAnsi="Times New Roman" w:cs="Times New Roman"/>
                <w:kern w:val="0"/>
                <w:lang w:val="lt-LT"/>
                <w14:ligatures w14:val="none"/>
              </w:rPr>
              <w:t xml:space="preserve"> (95 % PI)</w:t>
            </w:r>
          </w:p>
        </w:tc>
        <w:tc>
          <w:tcPr>
            <w:tcW w:w="6066" w:type="dxa"/>
            <w:gridSpan w:val="2"/>
            <w:vAlign w:val="center"/>
          </w:tcPr>
          <w:p w14:paraId="63399EB0"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0,76 (0,56; 1,02)</w:t>
            </w:r>
          </w:p>
        </w:tc>
      </w:tr>
    </w:tbl>
    <w:p w14:paraId="05DC037E" w14:textId="02935E6A"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Btz = bortezomibas; PI = pasikliautinasis intervalas; VA = visiškas atsakas; AT = atsako trukmė;RS = rizikos santykis;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 maža deksametazono dozė; ŠS = šansų santykis; BAD = bendras atsako dažnis; IBLP = išgyvenamumas be ligos progresavimo;</w:t>
      </w:r>
      <w:r w:rsidR="00C6685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POM = pomalidomidas; DA = dalinis atsakas; gVA = griežtas visiškas atsakas; LGDA = labai geras dalinis atsakas.</w:t>
      </w:r>
    </w:p>
    <w:p w14:paraId="647EB96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a</w:t>
      </w:r>
      <w:r w:rsidRPr="00A552D9">
        <w:rPr>
          <w:rFonts w:ascii="Times New Roman" w:eastAsia="Times New Roman" w:hAnsi="Times New Roman" w:cs="Times New Roman"/>
          <w:kern w:val="0"/>
          <w:lang w:val="lt-LT"/>
          <w14:ligatures w14:val="none"/>
        </w:rPr>
        <w:t xml:space="preserve"> Mediana paremta Kaplano-Mejerio įverčiu.</w:t>
      </w:r>
    </w:p>
    <w:p w14:paraId="6C9CCE2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b</w:t>
      </w:r>
      <w:r w:rsidRPr="00A552D9">
        <w:rPr>
          <w:rFonts w:ascii="Times New Roman" w:eastAsia="Times New Roman" w:hAnsi="Times New Roman" w:cs="Times New Roman"/>
          <w:kern w:val="0"/>
          <w:lang w:val="lt-LT"/>
          <w14:ligatures w14:val="none"/>
        </w:rPr>
        <w:t xml:space="preserve"> 95 % PI apie medianą.</w:t>
      </w:r>
    </w:p>
    <w:p w14:paraId="569DD7E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c</w:t>
      </w:r>
      <w:r w:rsidRPr="00A552D9">
        <w:rPr>
          <w:rFonts w:ascii="Times New Roman" w:eastAsia="Times New Roman" w:hAnsi="Times New Roman" w:cs="Times New Roman"/>
          <w:kern w:val="0"/>
          <w:lang w:val="lt-LT"/>
          <w14:ligatures w14:val="none"/>
        </w:rPr>
        <w:t xml:space="preserve"> Vertinta naudojant Kokso proporcingos rizikos modelį.</w:t>
      </w:r>
    </w:p>
    <w:p w14:paraId="006FBC9E" w14:textId="772BA86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d</w:t>
      </w:r>
      <w:r w:rsidRPr="00A552D9">
        <w:rPr>
          <w:rFonts w:ascii="Times New Roman" w:eastAsia="Times New Roman" w:hAnsi="Times New Roman" w:cs="Times New Roman"/>
          <w:kern w:val="0"/>
          <w:lang w:val="lt-LT"/>
          <w14:ligatures w14:val="none"/>
        </w:rPr>
        <w:t xml:space="preserve"> P vertė paremta stratifikuotu </w:t>
      </w:r>
      <w:r w:rsidRPr="00A552D9">
        <w:rPr>
          <w:rFonts w:ascii="Times New Roman" w:eastAsia="Times New Roman" w:hAnsi="Times New Roman" w:cs="Times New Roman"/>
          <w:i/>
          <w:kern w:val="0"/>
          <w:lang w:val="lt-LT"/>
          <w14:ligatures w14:val="none"/>
        </w:rPr>
        <w:t xml:space="preserve">log rank </w:t>
      </w:r>
      <w:r w:rsidRPr="00A552D9">
        <w:rPr>
          <w:rFonts w:ascii="Times New Roman" w:eastAsia="Times New Roman" w:hAnsi="Times New Roman" w:cs="Times New Roman"/>
          <w:kern w:val="0"/>
          <w:lang w:val="lt-LT"/>
          <w14:ligatures w14:val="none"/>
        </w:rPr>
        <w:t>testu.</w:t>
      </w:r>
    </w:p>
    <w:p w14:paraId="59A39FC3" w14:textId="78F7E66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e</w:t>
      </w:r>
      <w:r w:rsidRPr="00A552D9">
        <w:rPr>
          <w:rFonts w:ascii="Times New Roman" w:eastAsia="Times New Roman" w:hAnsi="Times New Roman" w:cs="Times New Roman"/>
          <w:kern w:val="0"/>
          <w:lang w:val="lt-LT"/>
          <w14:ligatures w14:val="none"/>
        </w:rPr>
        <w:t xml:space="preserve"> Pom + Btz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:Btz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šansų santykis.</w:t>
      </w:r>
    </w:p>
    <w:p w14:paraId="7534D5AD" w14:textId="60E9941F" w:rsidR="00992F19" w:rsidRPr="00A552D9" w:rsidRDefault="00D46D9D"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f.</w:t>
      </w:r>
      <w:r w:rsidRPr="00A552D9">
        <w:rPr>
          <w:rFonts w:ascii="Times New Roman" w:eastAsia="Times New Roman" w:hAnsi="Times New Roman" w:cs="Times New Roman"/>
          <w:kern w:val="0"/>
          <w:lang w:val="lt-LT"/>
          <w14:ligatures w14:val="none"/>
        </w:rPr>
        <w:t xml:space="preserve"> </w:t>
      </w:r>
      <w:r w:rsidR="00992F19" w:rsidRPr="00A552D9">
        <w:rPr>
          <w:rFonts w:ascii="Times New Roman" w:eastAsia="Times New Roman" w:hAnsi="Times New Roman" w:cs="Times New Roman"/>
          <w:kern w:val="0"/>
          <w:lang w:val="lt-LT"/>
          <w14:ligatures w14:val="none"/>
        </w:rPr>
        <w:t xml:space="preserve">P vertė paremta CMH tyrimu, stratifikuotu pagal amžių </w:t>
      </w:r>
      <w:r w:rsidR="00992F19" w:rsidRPr="00757BFD">
        <w:rPr>
          <w:rFonts w:ascii="Times New Roman" w:eastAsia="Times New Roman" w:hAnsi="Times New Roman" w:cs="Times New Roman"/>
          <w:kern w:val="0"/>
          <w:lang w:val="lt-LT"/>
          <w14:ligatures w14:val="none"/>
        </w:rPr>
        <w:t>(</w:t>
      </w:r>
      <w:r w:rsidR="009F6B44" w:rsidRPr="00A552D9">
        <w:rPr>
          <w:rFonts w:ascii="Times New Roman" w:eastAsia="Times New Roman" w:hAnsi="Times New Roman" w:cs="Times New Roman"/>
          <w:kern w:val="0"/>
          <w:lang w:val="lt-LT"/>
          <w14:ligatures w14:val="none"/>
        </w:rPr>
        <w:t>≤ </w:t>
      </w:r>
      <w:r w:rsidR="00992F19" w:rsidRPr="00757BFD">
        <w:rPr>
          <w:rFonts w:ascii="Times New Roman" w:eastAsia="Times New Roman" w:hAnsi="Times New Roman" w:cs="Times New Roman"/>
          <w:kern w:val="0"/>
          <w:lang w:val="lt-LT"/>
          <w14:ligatures w14:val="none"/>
        </w:rPr>
        <w:t>75 ir &gt; 75),</w:t>
      </w:r>
      <w:r w:rsidR="00992F19" w:rsidRPr="00A552D9">
        <w:rPr>
          <w:rFonts w:ascii="Times New Roman" w:eastAsia="Times New Roman" w:hAnsi="Times New Roman" w:cs="Times New Roman"/>
          <w:kern w:val="0"/>
          <w:lang w:val="lt-LT"/>
          <w14:ligatures w14:val="none"/>
        </w:rPr>
        <w:t xml:space="preserve"> ankstesnių mielomos gydymo kursų skaičius (1 ir&gt; 1) ir beta-2 mikroglobulino kiekis atrankos metu (&lt; 3,5 mg/l, palyginti su ≥ 3,5 mg/l, ≤ 5,5 mg/l, palyginti su &gt; 5,5 mg/l).</w:t>
      </w:r>
    </w:p>
    <w:p w14:paraId="06F651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29B94C8" w14:textId="05BC56F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 + Btz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tyrimo grupės gydymo trukmės mediana buvo 8,8 mėnesio (12 gydymo ciklų) ir 4,9 mėnesio (7 gydymo ciklai) Btz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tyrimo grupėje.</w:t>
      </w:r>
    </w:p>
    <w:p w14:paraId="15A7812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6121CAA" w14:textId="0086702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IBLP pranašumas buvo ryškesnis pacientams, kuriems buvo skirta tik viena ankstesnė gydymo eilė. Pacientams, kuriems buvo skirta 1 ankstesnė mielomos gydymo eilė, IBLP trukmės mediana buvo 20,73 mėnesio (95 % PI: 15,11, 27,99) Pom + Btz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grupėje ir 11,63 mėnesio (95 % PI: 7,52, 15,74) Btz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grupėje. 46 % rizikos sumažėjimas buvo pastebėtas skiriant Pom + Btz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gydymą (RS = 0,54, 95 % PI: 0,36; 0,82).</w:t>
      </w:r>
    </w:p>
    <w:p w14:paraId="02BE1A4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2038138" w14:textId="77777777" w:rsidR="00992F19" w:rsidRPr="00A552D9" w:rsidRDefault="00992F19" w:rsidP="00992F19">
      <w:pPr>
        <w:widowControl w:val="0"/>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1 pav. Išgyvenamumas be ligos progresavimo pagal IRAC atsako vertinimą remiantis IMWG kriterijais (stratifikuotas </w:t>
      </w:r>
      <w:r w:rsidRPr="00A552D9">
        <w:rPr>
          <w:rFonts w:ascii="Times New Roman" w:eastAsia="Times New Roman" w:hAnsi="Times New Roman" w:cs="Times New Roman"/>
          <w:b/>
          <w:bCs/>
          <w:i/>
          <w:kern w:val="0"/>
          <w:lang w:val="lt-LT"/>
          <w14:ligatures w14:val="none"/>
        </w:rPr>
        <w:t xml:space="preserve">log rank </w:t>
      </w:r>
      <w:r w:rsidRPr="00A552D9">
        <w:rPr>
          <w:rFonts w:ascii="Times New Roman" w:eastAsia="Times New Roman" w:hAnsi="Times New Roman" w:cs="Times New Roman"/>
          <w:b/>
          <w:bCs/>
          <w:kern w:val="0"/>
          <w:lang w:val="lt-LT"/>
          <w14:ligatures w14:val="none"/>
        </w:rPr>
        <w:t>testas) (ITT populiacija)</w:t>
      </w:r>
    </w:p>
    <w:p w14:paraId="6B8110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15915A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noProof/>
          <w:kern w:val="0"/>
          <w:lang w:val="lt-LT" w:eastAsia="lt-LT"/>
          <w14:ligatures w14:val="none"/>
        </w:rPr>
        <w:drawing>
          <wp:inline distT="0" distB="0" distL="0" distR="0" wp14:anchorId="5F2D9BAC" wp14:editId="73B9F577">
            <wp:extent cx="5761990" cy="3474085"/>
            <wp:effectExtent l="0" t="0" r="0" b="0"/>
            <wp:docPr id="780752122"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52122" name="Picture 1" descr="A graph with numbers and lines&#10;&#10;Description automatically generated"/>
                    <pic:cNvPicPr/>
                  </pic:nvPicPr>
                  <pic:blipFill>
                    <a:blip r:embed="rId10"/>
                    <a:stretch>
                      <a:fillRect/>
                    </a:stretch>
                  </pic:blipFill>
                  <pic:spPr>
                    <a:xfrm>
                      <a:off x="0" y="0"/>
                      <a:ext cx="5761990" cy="3474085"/>
                    </a:xfrm>
                    <a:prstGeom prst="rect">
                      <a:avLst/>
                    </a:prstGeom>
                  </pic:spPr>
                </pic:pic>
              </a:graphicData>
            </a:graphic>
          </wp:inline>
        </w:drawing>
      </w:r>
    </w:p>
    <w:p w14:paraId="619FAC1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59A9A38" w14:textId="5C0D644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Remiantis bendro išgyvenamumo (BI) galutine analize ir duomenimis, surinktais iki 2022 m. gegužės 13 d. (stebėjimo laikotarpio mediana 64,5 mėnesio), BI mediana pagal Kaplano-Me</w:t>
      </w:r>
      <w:r w:rsidR="00EF20BD">
        <w:rPr>
          <w:rFonts w:ascii="Times New Roman" w:eastAsia="Times New Roman" w:hAnsi="Times New Roman" w:cs="Times New Roman"/>
          <w:kern w:val="0"/>
          <w:lang w:val="lt-LT"/>
          <w14:ligatures w14:val="none"/>
        </w:rPr>
        <w:t>j</w:t>
      </w:r>
      <w:r w:rsidRPr="00A552D9">
        <w:rPr>
          <w:rFonts w:ascii="Times New Roman" w:eastAsia="Times New Roman" w:hAnsi="Times New Roman" w:cs="Times New Roman"/>
          <w:kern w:val="0"/>
          <w:lang w:val="lt-LT"/>
          <w14:ligatures w14:val="none"/>
        </w:rPr>
        <w:t>erio įverčius buvo 35,6 mėnesio Pom + Btz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grupėje ir 31,6 mėnesio Btz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grupėje; RS = 0,94; 95 % PI: -0,77; 1,15 ir bendras reiškinių dažnis 70,0 %. BI analizė nebuvo koreguota atsižvelgiant į </w:t>
      </w:r>
      <w:r w:rsidRPr="00A552D9">
        <w:rPr>
          <w:rFonts w:ascii="Times New Roman" w:eastAsia="Times New Roman" w:hAnsi="Times New Roman" w:cs="Times New Roman"/>
          <w:kern w:val="0"/>
          <w:lang w:val="lt-LT"/>
          <w14:ligatures w14:val="none"/>
        </w:rPr>
        <w:lastRenderedPageBreak/>
        <w:t>tolesniam gydymui vartojamus vaistinius preparatus.</w:t>
      </w:r>
    </w:p>
    <w:p w14:paraId="571B2D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8A711A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Pomalidomidas kartu su deksametazonu</w:t>
      </w:r>
    </w:p>
    <w:p w14:paraId="4C5D5CEE" w14:textId="4FE7F7ED"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Pomalidomido, vartojamo kartu su deksametazonu, veiksmingumas ir saugumas buvo vertinti III fazės daugiacentriame, atsitiktinių imčių, atvirame tyrime (CC-404</w:t>
      </w:r>
      <w:r w:rsidR="0086162A">
        <w:rPr>
          <w:rFonts w:ascii="Times New Roman" w:eastAsia="Times New Roman" w:hAnsi="Times New Roman" w:cs="Times New Roman"/>
          <w:kern w:val="0"/>
          <w:lang w:val="lt-LT"/>
          <w14:ligatures w14:val="none"/>
        </w:rPr>
        <w:t>7</w:t>
      </w:r>
      <w:r w:rsidRPr="00A552D9">
        <w:rPr>
          <w:rFonts w:ascii="Times New Roman" w:eastAsia="Times New Roman" w:hAnsi="Times New Roman" w:cs="Times New Roman"/>
          <w:kern w:val="0"/>
          <w:lang w:val="lt-LT"/>
          <w14:ligatures w14:val="none"/>
        </w:rPr>
        <w:t>-MM-003), kuriame gydymas pomalidomidu ir maža deksametazono doze (Pom+</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buvo lyginamas su tik didele deksametazono doze (D</w:t>
      </w:r>
      <w:r w:rsidR="000207D6" w:rsidRPr="00A552D9">
        <w:rPr>
          <w:rFonts w:ascii="Times New Roman" w:eastAsia="Times New Roman" w:hAnsi="Times New Roman" w:cs="Times New Roman"/>
          <w:kern w:val="0"/>
          <w:lang w:val="lt-LT"/>
          <w14:ligatures w14:val="none"/>
        </w:rPr>
        <w:t>-Deks</w:t>
      </w:r>
      <w:r w:rsidRPr="00A552D9">
        <w:rPr>
          <w:rFonts w:ascii="Times New Roman" w:eastAsia="Times New Roman" w:hAnsi="Times New Roman" w:cs="Times New Roman"/>
          <w:kern w:val="0"/>
          <w:lang w:val="lt-LT"/>
          <w14:ligatures w14:val="none"/>
        </w:rPr>
        <w:t>) anksčiau gydytiems pacientams, sergantiems recidyvuojančia ir refrakterine daugine mieloma, kurie prieš tai yra gavę mažiausiai du gydymo kursus (įskaitant gydymą lenalidomidu ir bortezomibu) ir kuriems po paskutinio gydymo nustatytas ligos progresavimas. Iš viso tyrime dalyvavo 455 pacientai: 302 Pom+</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grupėje ir 153 D</w:t>
      </w:r>
      <w:r w:rsidR="000207D6" w:rsidRPr="00A552D9">
        <w:rPr>
          <w:rFonts w:ascii="Times New Roman" w:eastAsia="Times New Roman" w:hAnsi="Times New Roman" w:cs="Times New Roman"/>
          <w:kern w:val="0"/>
          <w:lang w:val="lt-LT"/>
          <w14:ligatures w14:val="none"/>
        </w:rPr>
        <w:t>-Deks</w:t>
      </w:r>
      <w:r w:rsidRPr="00A552D9">
        <w:rPr>
          <w:rFonts w:ascii="Times New Roman" w:eastAsia="Times New Roman" w:hAnsi="Times New Roman" w:cs="Times New Roman"/>
          <w:kern w:val="0"/>
          <w:lang w:val="lt-LT"/>
          <w14:ligatures w14:val="none"/>
        </w:rPr>
        <w:t xml:space="preserve"> grupėje. Dauguma pacientų buvo vyrai (59 %) ir baltaodžiai (79 %); visos populiacijos amžiaus mediana buvo 64 metai (min., maks.: 35, 87 metai).</w:t>
      </w:r>
    </w:p>
    <w:p w14:paraId="34C2FCD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769960C" w14:textId="5FE76C2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grupės pacientams buvo skiriama vartoti 4 mg geriamojo pomalidomido 1-21 kiekvieno 28 dienų ciklo dieną.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(40 mg) buvo skiriama vartoti vieną kartą per parą 28 dienų ciklo 1, 8, 15 ir 22 dienomis. </w:t>
      </w:r>
      <w:r w:rsidR="00D4663F" w:rsidRPr="00A552D9">
        <w:rPr>
          <w:rFonts w:ascii="Times New Roman" w:eastAsia="Times New Roman" w:hAnsi="Times New Roman" w:cs="Times New Roman"/>
          <w:kern w:val="0"/>
          <w:lang w:val="lt-LT"/>
          <w14:ligatures w14:val="none"/>
        </w:rPr>
        <w:t>D-Deks</w:t>
      </w:r>
      <w:r w:rsidRPr="00A552D9">
        <w:rPr>
          <w:rFonts w:ascii="Times New Roman" w:eastAsia="Times New Roman" w:hAnsi="Times New Roman" w:cs="Times New Roman"/>
          <w:kern w:val="0"/>
          <w:lang w:val="lt-LT"/>
          <w14:ligatures w14:val="none"/>
        </w:rPr>
        <w:t xml:space="preserve"> grupėje deksametazono (40 mg) buvo skiriama vartoti vieną kartą per parą 28 dienų ciklo 1-4, 9-12 ir 17-20 dienomis. &gt; 75 metų pacientams gydymas buvo pradedamas nuo 20 mg deksametazono dozės. Gydymas buvo tęsiamas iki ligos progresavimo pradžios.</w:t>
      </w:r>
    </w:p>
    <w:p w14:paraId="68AE261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BF766F6" w14:textId="562D856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Pirminė veiksmingumo vertinamoji baigtis buvo išgyvenamumas be ligos progresavimo pagal Tarptautinės mielomos darbo grupės (angl. </w:t>
      </w:r>
      <w:r w:rsidRPr="00A552D9">
        <w:rPr>
          <w:rFonts w:ascii="Times New Roman" w:eastAsia="Times New Roman" w:hAnsi="Times New Roman" w:cs="Times New Roman"/>
          <w:i/>
          <w:kern w:val="0"/>
          <w:lang w:val="lt-LT"/>
          <w14:ligatures w14:val="none"/>
        </w:rPr>
        <w:t xml:space="preserve">International Myeloma Working Group, </w:t>
      </w:r>
      <w:r w:rsidRPr="00A552D9">
        <w:rPr>
          <w:rFonts w:ascii="Times New Roman" w:eastAsia="Times New Roman" w:hAnsi="Times New Roman" w:cs="Times New Roman"/>
          <w:kern w:val="0"/>
          <w:lang w:val="lt-LT"/>
          <w14:ligatures w14:val="none"/>
        </w:rPr>
        <w:t xml:space="preserve">IMWG) kriterijus. Numatytoje gydyti (ang. </w:t>
      </w:r>
      <w:r w:rsidRPr="00A552D9">
        <w:rPr>
          <w:rFonts w:ascii="Times New Roman" w:eastAsia="Times New Roman" w:hAnsi="Times New Roman" w:cs="Times New Roman"/>
          <w:i/>
          <w:kern w:val="0"/>
          <w:lang w:val="lt-LT"/>
          <w14:ligatures w14:val="none"/>
        </w:rPr>
        <w:t xml:space="preserve">Intention to treat, </w:t>
      </w:r>
      <w:r w:rsidRPr="00A552D9">
        <w:rPr>
          <w:rFonts w:ascii="Times New Roman" w:eastAsia="Times New Roman" w:hAnsi="Times New Roman" w:cs="Times New Roman"/>
          <w:kern w:val="0"/>
          <w:lang w:val="lt-LT"/>
          <w14:ligatures w14:val="none"/>
        </w:rPr>
        <w:t xml:space="preserve">ITT) populiacijoje IBLP laiko mediana pagal Nepriklausomo </w:t>
      </w:r>
      <w:r w:rsidR="00E86403">
        <w:rPr>
          <w:rFonts w:ascii="Times New Roman" w:eastAsia="Times New Roman" w:hAnsi="Times New Roman" w:cs="Times New Roman"/>
          <w:kern w:val="0"/>
          <w:lang w:val="lt-LT"/>
          <w14:ligatures w14:val="none"/>
        </w:rPr>
        <w:t xml:space="preserve">atsako </w:t>
      </w:r>
      <w:r w:rsidRPr="00A552D9">
        <w:rPr>
          <w:rFonts w:ascii="Times New Roman" w:eastAsia="Times New Roman" w:hAnsi="Times New Roman" w:cs="Times New Roman"/>
          <w:kern w:val="0"/>
          <w:lang w:val="lt-LT"/>
          <w14:ligatures w14:val="none"/>
        </w:rPr>
        <w:t xml:space="preserve">vertinimo komiteto (angl. </w:t>
      </w:r>
      <w:r w:rsidRPr="00A552D9">
        <w:rPr>
          <w:rFonts w:ascii="Times New Roman" w:eastAsia="Times New Roman" w:hAnsi="Times New Roman" w:cs="Times New Roman"/>
          <w:i/>
          <w:kern w:val="0"/>
          <w:lang w:val="lt-LT"/>
          <w14:ligatures w14:val="none"/>
        </w:rPr>
        <w:t>Independent Review Adjudication Committee, IRAC</w:t>
      </w:r>
      <w:r w:rsidRPr="00A552D9">
        <w:rPr>
          <w:rFonts w:ascii="Times New Roman" w:eastAsia="Times New Roman" w:hAnsi="Times New Roman" w:cs="Times New Roman"/>
          <w:kern w:val="0"/>
          <w:lang w:val="lt-LT"/>
          <w14:ligatures w14:val="none"/>
        </w:rPr>
        <w:t>) įvertinimą remiantis IMWG kriterijais buvo 15,7 savaitės (95 % PI: 13,0; 20,1) Pom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grupėje; nustatytas išgyvenamumo be nepageidaujamų reiškinių dažnis po 26 savaičių buvo 35,99 % (± 3,46 %). </w:t>
      </w:r>
      <w:r w:rsidR="00D4663F" w:rsidRPr="00A552D9">
        <w:rPr>
          <w:rFonts w:ascii="Times New Roman" w:eastAsia="Times New Roman" w:hAnsi="Times New Roman" w:cs="Times New Roman"/>
          <w:kern w:val="0"/>
          <w:lang w:val="lt-LT"/>
          <w14:ligatures w14:val="none"/>
        </w:rPr>
        <w:t>D-Deks</w:t>
      </w:r>
      <w:r w:rsidRPr="00A552D9">
        <w:rPr>
          <w:rFonts w:ascii="Times New Roman" w:eastAsia="Times New Roman" w:hAnsi="Times New Roman" w:cs="Times New Roman"/>
          <w:kern w:val="0"/>
          <w:lang w:val="lt-LT"/>
          <w14:ligatures w14:val="none"/>
        </w:rPr>
        <w:t xml:space="preserve"> grupėje IBLP laiko mediana buvo 8,0 savaitės (95 %</w:t>
      </w:r>
      <w:r w:rsidR="00BE6E4B">
        <w:rPr>
          <w:rFonts w:ascii="Times New Roman" w:eastAsia="Times New Roman" w:hAnsi="Times New Roman" w:cs="Times New Roman"/>
          <w:kern w:val="0"/>
          <w:lang w:val="lt-LT"/>
          <w14:ligatures w14:val="none"/>
        </w:rPr>
        <w:t>PI:</w:t>
      </w:r>
      <w:r w:rsidRPr="00A552D9">
        <w:rPr>
          <w:rFonts w:ascii="Times New Roman" w:eastAsia="Times New Roman" w:hAnsi="Times New Roman" w:cs="Times New Roman"/>
          <w:kern w:val="0"/>
          <w:lang w:val="lt-LT"/>
          <w14:ligatures w14:val="none"/>
        </w:rPr>
        <w:t xml:space="preserve"> 7,0; 9,0); nustatytas išgyvenamumo be nepageidaujamų reiškinių dažnis po 26 savaičių buvo 12,15 % (± 3,63 %).</w:t>
      </w:r>
    </w:p>
    <w:p w14:paraId="5D35F72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4AB294D" w14:textId="08CC27B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IBLP buvo vertinamas keliuose atitinkamuose pogrupiuose: lytis, rasė, ECOG (angl. </w:t>
      </w:r>
      <w:hyperlink r:id="rId11">
        <w:r w:rsidRPr="00A552D9">
          <w:rPr>
            <w:rFonts w:ascii="Times New Roman" w:eastAsia="Times New Roman" w:hAnsi="Times New Roman" w:cs="Times New Roman"/>
            <w:i/>
            <w:kern w:val="0"/>
            <w:lang w:val="lt-LT"/>
            <w14:ligatures w14:val="none"/>
          </w:rPr>
          <w:t>Eastern</w:t>
        </w:r>
      </w:hyperlink>
      <w:r w:rsidRPr="00A552D9">
        <w:rPr>
          <w:rFonts w:ascii="Times New Roman" w:eastAsia="Times New Roman" w:hAnsi="Times New Roman" w:cs="Times New Roman"/>
          <w:i/>
          <w:kern w:val="0"/>
          <w:lang w:val="lt-LT"/>
          <w14:ligatures w14:val="none"/>
        </w:rPr>
        <w:t xml:space="preserve"> </w:t>
      </w:r>
      <w:hyperlink r:id="rId12">
        <w:r w:rsidRPr="00A552D9">
          <w:rPr>
            <w:rFonts w:ascii="Times New Roman" w:eastAsia="Times New Roman" w:hAnsi="Times New Roman" w:cs="Times New Roman"/>
            <w:i/>
            <w:kern w:val="0"/>
            <w:lang w:val="lt-LT"/>
            <w14:ligatures w14:val="none"/>
          </w:rPr>
          <w:t>Cooperative Oncology Group</w:t>
        </w:r>
      </w:hyperlink>
      <w:r w:rsidRPr="00A552D9">
        <w:rPr>
          <w:rFonts w:ascii="Times New Roman" w:eastAsia="Times New Roman" w:hAnsi="Times New Roman" w:cs="Times New Roman"/>
          <w:kern w:val="0"/>
          <w:lang w:val="lt-LT"/>
          <w14:ligatures w14:val="none"/>
        </w:rPr>
        <w:t xml:space="preserve">) bendra </w:t>
      </w:r>
      <w:r w:rsidR="00B7128C">
        <w:rPr>
          <w:rFonts w:ascii="Times New Roman" w:eastAsia="Times New Roman" w:hAnsi="Times New Roman" w:cs="Times New Roman"/>
          <w:kern w:val="0"/>
          <w:lang w:val="lt-LT"/>
          <w14:ligatures w14:val="none"/>
        </w:rPr>
        <w:t>būklė</w:t>
      </w:r>
      <w:r w:rsidRPr="00A552D9">
        <w:rPr>
          <w:rFonts w:ascii="Times New Roman" w:eastAsia="Times New Roman" w:hAnsi="Times New Roman" w:cs="Times New Roman"/>
          <w:kern w:val="0"/>
          <w:lang w:val="lt-LT"/>
          <w14:ligatures w14:val="none"/>
        </w:rPr>
        <w:t xml:space="preserve">, stratifikacijos faktoriai (amžius, ligos populiacija, ankstesnių mielomos gydymo kursų skaičius [2, &gt; 2]), pasirinkti prognozinės reikšmės parametrai (pradinis beta-2 mikroglobulino lygis, pradinis albumino lygis, pradinis inkstų </w:t>
      </w:r>
      <w:r w:rsidR="00265E6C">
        <w:rPr>
          <w:rFonts w:ascii="Times New Roman" w:eastAsia="Times New Roman" w:hAnsi="Times New Roman" w:cs="Times New Roman"/>
          <w:kern w:val="0"/>
          <w:lang w:val="lt-LT"/>
          <w14:ligatures w14:val="none"/>
        </w:rPr>
        <w:t xml:space="preserve">funkcijos </w:t>
      </w:r>
      <w:r w:rsidRPr="00A552D9">
        <w:rPr>
          <w:rFonts w:ascii="Times New Roman" w:eastAsia="Times New Roman" w:hAnsi="Times New Roman" w:cs="Times New Roman"/>
          <w:kern w:val="0"/>
          <w:lang w:val="lt-LT"/>
          <w14:ligatures w14:val="none"/>
        </w:rPr>
        <w:t>sutrikimas ir citogenetinė rizika), bei ekspozicija ir refrakteriškumas ankstesnių mielomos gydymo kursų metu. Nepriklausomai nuo vertinto pogrupio, IBLP paprastai atitiko IBLP ITT populiacijoje abiejose gydytose grupėse.</w:t>
      </w:r>
    </w:p>
    <w:p w14:paraId="255C48D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ITT populiacijos IBLP apibendrintas 9 lentelėje. ITT populiacijos IBLP Kaplano-Mejerio kreivė pateikta 2 pav.</w:t>
      </w:r>
    </w:p>
    <w:p w14:paraId="6062253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03B4830" w14:textId="77777777" w:rsidR="00992F19" w:rsidRPr="00A552D9" w:rsidRDefault="00992F19" w:rsidP="00992F19">
      <w:pPr>
        <w:widowControl w:val="0"/>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9 lentelė. Išgyvenamumo be ligos progresavimo laikas pagal IRAC vertinimą remiantis IMWG kriterijais (stratifikuotas „log rank“ testas) (ITT populiacija)</w:t>
      </w:r>
    </w:p>
    <w:p w14:paraId="6D4D27A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tbl>
      <w:tblPr>
        <w:tblW w:w="907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336"/>
        <w:gridCol w:w="1894"/>
        <w:gridCol w:w="1842"/>
      </w:tblGrid>
      <w:tr w:rsidR="00992F19" w:rsidRPr="00A552D9" w14:paraId="0B40C05D" w14:textId="77777777" w:rsidTr="005B5BF2">
        <w:trPr>
          <w:trHeight w:val="20"/>
        </w:trPr>
        <w:tc>
          <w:tcPr>
            <w:tcW w:w="5336" w:type="dxa"/>
            <w:tcBorders>
              <w:bottom w:val="single" w:sz="6" w:space="0" w:color="000000"/>
              <w:right w:val="single" w:sz="2" w:space="0" w:color="000000"/>
            </w:tcBorders>
          </w:tcPr>
          <w:p w14:paraId="43F7708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c>
        <w:tc>
          <w:tcPr>
            <w:tcW w:w="1894" w:type="dxa"/>
            <w:tcBorders>
              <w:left w:val="single" w:sz="2" w:space="0" w:color="000000"/>
              <w:bottom w:val="single" w:sz="6" w:space="0" w:color="000000"/>
              <w:right w:val="single" w:sz="2" w:space="0" w:color="000000"/>
            </w:tcBorders>
          </w:tcPr>
          <w:p w14:paraId="06A41DA5" w14:textId="3C15BEFC"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POM + </w:t>
            </w:r>
            <w:r w:rsidR="0089553E" w:rsidRPr="00A552D9">
              <w:rPr>
                <w:rFonts w:ascii="Times New Roman" w:eastAsia="Times New Roman" w:hAnsi="Times New Roman" w:cs="Times New Roman"/>
                <w:b/>
                <w:kern w:val="0"/>
                <w:lang w:val="lt-LT"/>
                <w14:ligatures w14:val="none"/>
              </w:rPr>
              <w:t>M-Deks</w:t>
            </w:r>
            <w:r w:rsidRPr="00A552D9">
              <w:rPr>
                <w:rFonts w:ascii="Times New Roman" w:eastAsia="Times New Roman" w:hAnsi="Times New Roman" w:cs="Times New Roman"/>
                <w:b/>
                <w:kern w:val="0"/>
                <w:lang w:val="lt-LT"/>
                <w14:ligatures w14:val="none"/>
              </w:rPr>
              <w:t xml:space="preserve"> (N = 302)</w:t>
            </w:r>
          </w:p>
        </w:tc>
        <w:tc>
          <w:tcPr>
            <w:tcW w:w="1842" w:type="dxa"/>
            <w:tcBorders>
              <w:left w:val="single" w:sz="2" w:space="0" w:color="000000"/>
              <w:bottom w:val="single" w:sz="6" w:space="0" w:color="000000"/>
            </w:tcBorders>
          </w:tcPr>
          <w:p w14:paraId="6112046D" w14:textId="4A45E360" w:rsidR="00992F19" w:rsidRPr="00A552D9" w:rsidRDefault="00D4663F" w:rsidP="00F7762B">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D-Deks</w:t>
            </w:r>
            <w:r w:rsidR="00992F19" w:rsidRPr="00A552D9">
              <w:rPr>
                <w:rFonts w:ascii="Times New Roman" w:eastAsia="Times New Roman" w:hAnsi="Times New Roman" w:cs="Times New Roman"/>
                <w:b/>
                <w:kern w:val="0"/>
                <w:lang w:val="lt-LT"/>
                <w14:ligatures w14:val="none"/>
              </w:rPr>
              <w:t xml:space="preserve"> (N = 153)</w:t>
            </w:r>
          </w:p>
        </w:tc>
      </w:tr>
      <w:tr w:rsidR="00992F19" w:rsidRPr="00A552D9" w14:paraId="76608991" w14:textId="77777777" w:rsidTr="005B5BF2">
        <w:trPr>
          <w:trHeight w:val="20"/>
        </w:trPr>
        <w:tc>
          <w:tcPr>
            <w:tcW w:w="5336" w:type="dxa"/>
            <w:tcBorders>
              <w:top w:val="single" w:sz="6" w:space="0" w:color="000000"/>
              <w:bottom w:val="single" w:sz="2" w:space="0" w:color="000000"/>
              <w:right w:val="single" w:sz="2" w:space="0" w:color="000000"/>
            </w:tcBorders>
          </w:tcPr>
          <w:p w14:paraId="4E205F7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Išgyvenamumas be ligos progresavimo (IBLP), N</w:t>
            </w:r>
          </w:p>
        </w:tc>
        <w:tc>
          <w:tcPr>
            <w:tcW w:w="1894" w:type="dxa"/>
            <w:tcBorders>
              <w:top w:val="single" w:sz="6" w:space="0" w:color="000000"/>
              <w:left w:val="single" w:sz="2" w:space="0" w:color="000000"/>
              <w:bottom w:val="single" w:sz="2" w:space="0" w:color="000000"/>
              <w:right w:val="single" w:sz="2" w:space="0" w:color="000000"/>
            </w:tcBorders>
          </w:tcPr>
          <w:p w14:paraId="4AFA399B"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302 (100,0)</w:t>
            </w:r>
          </w:p>
        </w:tc>
        <w:tc>
          <w:tcPr>
            <w:tcW w:w="1842" w:type="dxa"/>
            <w:tcBorders>
              <w:top w:val="single" w:sz="6" w:space="0" w:color="000000"/>
              <w:left w:val="single" w:sz="2" w:space="0" w:color="000000"/>
              <w:bottom w:val="single" w:sz="2" w:space="0" w:color="000000"/>
            </w:tcBorders>
          </w:tcPr>
          <w:p w14:paraId="7C80DB0D"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153 (100,0)</w:t>
            </w:r>
          </w:p>
        </w:tc>
      </w:tr>
      <w:tr w:rsidR="00992F19" w:rsidRPr="00A552D9" w14:paraId="1B3025CA" w14:textId="77777777" w:rsidTr="005B5BF2">
        <w:trPr>
          <w:trHeight w:val="20"/>
        </w:trPr>
        <w:tc>
          <w:tcPr>
            <w:tcW w:w="5336" w:type="dxa"/>
            <w:tcBorders>
              <w:top w:val="single" w:sz="2" w:space="0" w:color="000000"/>
              <w:bottom w:val="single" w:sz="2" w:space="0" w:color="000000"/>
              <w:right w:val="single" w:sz="2" w:space="0" w:color="000000"/>
            </w:tcBorders>
          </w:tcPr>
          <w:p w14:paraId="708A65A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Cenzūruota, n (%)</w:t>
            </w:r>
          </w:p>
        </w:tc>
        <w:tc>
          <w:tcPr>
            <w:tcW w:w="1894" w:type="dxa"/>
            <w:tcBorders>
              <w:top w:val="single" w:sz="2" w:space="0" w:color="000000"/>
              <w:left w:val="single" w:sz="2" w:space="0" w:color="000000"/>
              <w:bottom w:val="single" w:sz="2" w:space="0" w:color="000000"/>
              <w:right w:val="single" w:sz="2" w:space="0" w:color="000000"/>
            </w:tcBorders>
          </w:tcPr>
          <w:p w14:paraId="086A99C1"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138 (45,7)</w:t>
            </w:r>
          </w:p>
        </w:tc>
        <w:tc>
          <w:tcPr>
            <w:tcW w:w="1842" w:type="dxa"/>
            <w:tcBorders>
              <w:top w:val="single" w:sz="2" w:space="0" w:color="000000"/>
              <w:left w:val="single" w:sz="2" w:space="0" w:color="000000"/>
              <w:bottom w:val="single" w:sz="2" w:space="0" w:color="000000"/>
            </w:tcBorders>
          </w:tcPr>
          <w:p w14:paraId="7C992BBE"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50 (32,7)</w:t>
            </w:r>
          </w:p>
        </w:tc>
      </w:tr>
      <w:tr w:rsidR="00992F19" w:rsidRPr="00A552D9" w14:paraId="704FB1D6" w14:textId="77777777" w:rsidTr="005B5BF2">
        <w:trPr>
          <w:trHeight w:val="20"/>
        </w:trPr>
        <w:tc>
          <w:tcPr>
            <w:tcW w:w="5336" w:type="dxa"/>
            <w:tcBorders>
              <w:top w:val="single" w:sz="2" w:space="0" w:color="000000"/>
              <w:right w:val="single" w:sz="2" w:space="0" w:color="000000"/>
            </w:tcBorders>
          </w:tcPr>
          <w:p w14:paraId="212683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Liga progresavo / mirė, n (%)</w:t>
            </w:r>
          </w:p>
        </w:tc>
        <w:tc>
          <w:tcPr>
            <w:tcW w:w="1894" w:type="dxa"/>
            <w:tcBorders>
              <w:top w:val="single" w:sz="2" w:space="0" w:color="000000"/>
              <w:left w:val="single" w:sz="2" w:space="0" w:color="000000"/>
              <w:right w:val="single" w:sz="2" w:space="0" w:color="000000"/>
            </w:tcBorders>
          </w:tcPr>
          <w:p w14:paraId="5D89429F"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164 (54,3)</w:t>
            </w:r>
          </w:p>
        </w:tc>
        <w:tc>
          <w:tcPr>
            <w:tcW w:w="1842" w:type="dxa"/>
            <w:tcBorders>
              <w:top w:val="single" w:sz="2" w:space="0" w:color="000000"/>
              <w:left w:val="single" w:sz="2" w:space="0" w:color="000000"/>
            </w:tcBorders>
          </w:tcPr>
          <w:p w14:paraId="75CDB96E"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103 (67,3)</w:t>
            </w:r>
          </w:p>
        </w:tc>
      </w:tr>
      <w:tr w:rsidR="00992F19" w:rsidRPr="00A552D9" w14:paraId="3B0261F1" w14:textId="77777777" w:rsidTr="005B5BF2">
        <w:trPr>
          <w:trHeight w:val="20"/>
        </w:trPr>
        <w:tc>
          <w:tcPr>
            <w:tcW w:w="9072" w:type="dxa"/>
            <w:gridSpan w:val="3"/>
            <w:tcBorders>
              <w:bottom w:val="single" w:sz="2" w:space="0" w:color="000000"/>
            </w:tcBorders>
          </w:tcPr>
          <w:p w14:paraId="3C6648C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Išgyvenamumo be ligos progresavimo laikas (savaitės)</w:t>
            </w:r>
          </w:p>
        </w:tc>
      </w:tr>
      <w:tr w:rsidR="00992F19" w:rsidRPr="00A552D9" w14:paraId="40BB0E1B" w14:textId="77777777" w:rsidTr="005B5BF2">
        <w:trPr>
          <w:trHeight w:val="20"/>
        </w:trPr>
        <w:tc>
          <w:tcPr>
            <w:tcW w:w="5336" w:type="dxa"/>
            <w:tcBorders>
              <w:top w:val="single" w:sz="2" w:space="0" w:color="000000"/>
              <w:bottom w:val="single" w:sz="2" w:space="0" w:color="000000"/>
              <w:right w:val="single" w:sz="2" w:space="0" w:color="000000"/>
            </w:tcBorders>
          </w:tcPr>
          <w:p w14:paraId="6574331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Mediana</w:t>
            </w:r>
            <w:r w:rsidRPr="00A552D9">
              <w:rPr>
                <w:rFonts w:ascii="Times New Roman" w:eastAsia="Times New Roman" w:hAnsi="Times New Roman" w:cs="Times New Roman"/>
                <w:kern w:val="0"/>
                <w:vertAlign w:val="superscript"/>
                <w:lang w:val="lt-LT"/>
                <w14:ligatures w14:val="none"/>
              </w:rPr>
              <w:t>a</w:t>
            </w:r>
          </w:p>
        </w:tc>
        <w:tc>
          <w:tcPr>
            <w:tcW w:w="1894" w:type="dxa"/>
            <w:tcBorders>
              <w:top w:val="single" w:sz="2" w:space="0" w:color="000000"/>
              <w:left w:val="single" w:sz="2" w:space="0" w:color="000000"/>
              <w:bottom w:val="single" w:sz="2" w:space="0" w:color="000000"/>
              <w:right w:val="single" w:sz="2" w:space="0" w:color="000000"/>
            </w:tcBorders>
          </w:tcPr>
          <w:p w14:paraId="35D9D433"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15,7</w:t>
            </w:r>
          </w:p>
        </w:tc>
        <w:tc>
          <w:tcPr>
            <w:tcW w:w="1842" w:type="dxa"/>
            <w:tcBorders>
              <w:top w:val="single" w:sz="2" w:space="0" w:color="000000"/>
              <w:left w:val="single" w:sz="2" w:space="0" w:color="000000"/>
              <w:bottom w:val="single" w:sz="2" w:space="0" w:color="000000"/>
            </w:tcBorders>
          </w:tcPr>
          <w:p w14:paraId="00AE7B41"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8,0</w:t>
            </w:r>
          </w:p>
        </w:tc>
      </w:tr>
      <w:tr w:rsidR="00992F19" w:rsidRPr="00A552D9" w14:paraId="2AAE2330" w14:textId="77777777" w:rsidTr="005B5BF2">
        <w:trPr>
          <w:trHeight w:val="20"/>
        </w:trPr>
        <w:tc>
          <w:tcPr>
            <w:tcW w:w="5336" w:type="dxa"/>
            <w:tcBorders>
              <w:top w:val="single" w:sz="2" w:space="0" w:color="000000"/>
              <w:bottom w:val="single" w:sz="2" w:space="0" w:color="000000"/>
              <w:right w:val="single" w:sz="2" w:space="0" w:color="000000"/>
            </w:tcBorders>
          </w:tcPr>
          <w:p w14:paraId="6319031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Dvipusis 95 % PI</w:t>
            </w:r>
            <w:r w:rsidRPr="00A552D9">
              <w:rPr>
                <w:rFonts w:ascii="Times New Roman" w:eastAsia="Times New Roman" w:hAnsi="Times New Roman" w:cs="Times New Roman"/>
                <w:kern w:val="0"/>
                <w:vertAlign w:val="superscript"/>
                <w:lang w:val="lt-LT"/>
                <w14:ligatures w14:val="none"/>
              </w:rPr>
              <w:t>b</w:t>
            </w:r>
          </w:p>
        </w:tc>
        <w:tc>
          <w:tcPr>
            <w:tcW w:w="1894" w:type="dxa"/>
            <w:tcBorders>
              <w:top w:val="single" w:sz="2" w:space="0" w:color="000000"/>
              <w:left w:val="single" w:sz="2" w:space="0" w:color="000000"/>
              <w:bottom w:val="single" w:sz="2" w:space="0" w:color="000000"/>
              <w:right w:val="single" w:sz="2" w:space="0" w:color="000000"/>
            </w:tcBorders>
          </w:tcPr>
          <w:p w14:paraId="51977FA3"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[13,0; 20,1]</w:t>
            </w:r>
          </w:p>
        </w:tc>
        <w:tc>
          <w:tcPr>
            <w:tcW w:w="1842" w:type="dxa"/>
            <w:tcBorders>
              <w:top w:val="single" w:sz="2" w:space="0" w:color="000000"/>
              <w:left w:val="single" w:sz="2" w:space="0" w:color="000000"/>
              <w:bottom w:val="single" w:sz="2" w:space="0" w:color="000000"/>
            </w:tcBorders>
          </w:tcPr>
          <w:p w14:paraId="3C086F99"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[7,0; 9,0]</w:t>
            </w:r>
          </w:p>
        </w:tc>
      </w:tr>
      <w:tr w:rsidR="00992F19" w:rsidRPr="00A552D9" w14:paraId="091CC796" w14:textId="77777777" w:rsidTr="005B5BF2">
        <w:trPr>
          <w:trHeight w:val="20"/>
        </w:trPr>
        <w:tc>
          <w:tcPr>
            <w:tcW w:w="5336" w:type="dxa"/>
            <w:tcBorders>
              <w:top w:val="single" w:sz="2" w:space="0" w:color="000000"/>
              <w:right w:val="single" w:sz="2" w:space="0" w:color="000000"/>
            </w:tcBorders>
          </w:tcPr>
          <w:p w14:paraId="7588C3C6" w14:textId="16DE2F2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Rizikos santykis (Pom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w:t>
            </w:r>
            <w:r w:rsidR="00D4663F" w:rsidRPr="00A552D9">
              <w:rPr>
                <w:rFonts w:ascii="Times New Roman" w:eastAsia="Times New Roman" w:hAnsi="Times New Roman" w:cs="Times New Roman"/>
                <w:kern w:val="0"/>
                <w:lang w:val="lt-LT"/>
                <w14:ligatures w14:val="none"/>
              </w:rPr>
              <w:t>D-Deks</w:t>
            </w:r>
            <w:r w:rsidRPr="00A552D9">
              <w:rPr>
                <w:rFonts w:ascii="Times New Roman" w:eastAsia="Times New Roman" w:hAnsi="Times New Roman" w:cs="Times New Roman"/>
                <w:kern w:val="0"/>
                <w:lang w:val="lt-LT"/>
                <w14:ligatures w14:val="none"/>
              </w:rPr>
              <w:t xml:space="preserve">) dvipusis 95 % PI </w:t>
            </w:r>
            <w:r w:rsidRPr="00A552D9">
              <w:rPr>
                <w:rFonts w:ascii="Times New Roman" w:eastAsia="Times New Roman" w:hAnsi="Times New Roman" w:cs="Times New Roman"/>
                <w:kern w:val="0"/>
                <w:vertAlign w:val="superscript"/>
                <w:lang w:val="lt-LT"/>
                <w14:ligatures w14:val="none"/>
              </w:rPr>
              <w:t>c</w:t>
            </w:r>
          </w:p>
        </w:tc>
        <w:tc>
          <w:tcPr>
            <w:tcW w:w="3736" w:type="dxa"/>
            <w:gridSpan w:val="2"/>
            <w:tcBorders>
              <w:top w:val="single" w:sz="2" w:space="0" w:color="000000"/>
              <w:left w:val="single" w:sz="2" w:space="0" w:color="000000"/>
            </w:tcBorders>
          </w:tcPr>
          <w:p w14:paraId="1ACB6CE2"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0,45 [0,35; 0,59]</w:t>
            </w:r>
          </w:p>
        </w:tc>
      </w:tr>
      <w:tr w:rsidR="00992F19" w:rsidRPr="00A552D9" w14:paraId="5D7BCF45" w14:textId="77777777" w:rsidTr="005B5BF2">
        <w:trPr>
          <w:trHeight w:val="20"/>
        </w:trPr>
        <w:tc>
          <w:tcPr>
            <w:tcW w:w="5336" w:type="dxa"/>
            <w:tcBorders>
              <w:right w:val="single" w:sz="2" w:space="0" w:color="000000"/>
            </w:tcBorders>
          </w:tcPr>
          <w:p w14:paraId="302182C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Dvipusis „log rank“ testas, p vertė </w:t>
            </w:r>
            <w:r w:rsidRPr="00A552D9">
              <w:rPr>
                <w:rFonts w:ascii="Times New Roman" w:eastAsia="Times New Roman" w:hAnsi="Times New Roman" w:cs="Times New Roman"/>
                <w:kern w:val="0"/>
                <w:vertAlign w:val="superscript"/>
                <w:lang w:val="lt-LT"/>
                <w14:ligatures w14:val="none"/>
              </w:rPr>
              <w:t>d</w:t>
            </w:r>
          </w:p>
        </w:tc>
        <w:tc>
          <w:tcPr>
            <w:tcW w:w="3736" w:type="dxa"/>
            <w:gridSpan w:val="2"/>
            <w:tcBorders>
              <w:left w:val="single" w:sz="2" w:space="0" w:color="000000"/>
            </w:tcBorders>
          </w:tcPr>
          <w:p w14:paraId="10A322D4"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&lt; 0,001</w:t>
            </w:r>
          </w:p>
        </w:tc>
      </w:tr>
    </w:tbl>
    <w:p w14:paraId="71CB6301" w14:textId="733634E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Pastaba: PI = pasikliautin</w:t>
      </w:r>
      <w:r w:rsidR="00A613A6">
        <w:rPr>
          <w:rFonts w:ascii="Times New Roman" w:eastAsia="Times New Roman" w:hAnsi="Times New Roman" w:cs="Times New Roman"/>
          <w:kern w:val="0"/>
          <w:lang w:val="lt-LT"/>
          <w14:ligatures w14:val="none"/>
        </w:rPr>
        <w:t>as</w:t>
      </w:r>
      <w:r w:rsidRPr="00A552D9">
        <w:rPr>
          <w:rFonts w:ascii="Times New Roman" w:eastAsia="Times New Roman" w:hAnsi="Times New Roman" w:cs="Times New Roman"/>
          <w:kern w:val="0"/>
          <w:lang w:val="lt-LT"/>
          <w14:ligatures w14:val="none"/>
        </w:rPr>
        <w:t>is intervalas; IRAC = Nepriklausomas vertinimo komitetas; NĮ = negalima įvertinti.</w:t>
      </w:r>
    </w:p>
    <w:p w14:paraId="22A20E8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a</w:t>
      </w:r>
      <w:r w:rsidRPr="00A552D9">
        <w:rPr>
          <w:rFonts w:ascii="Times New Roman" w:eastAsia="Times New Roman" w:hAnsi="Times New Roman" w:cs="Times New Roman"/>
          <w:kern w:val="0"/>
          <w:lang w:val="lt-LT"/>
          <w14:ligatures w14:val="none"/>
        </w:rPr>
        <w:t xml:space="preserve"> Mediana paremta Kaplano-Mejerio įverčiu.</w:t>
      </w:r>
    </w:p>
    <w:p w14:paraId="3E134F7E" w14:textId="1DCD9A7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b</w:t>
      </w:r>
      <w:r w:rsidRPr="00A552D9">
        <w:rPr>
          <w:rFonts w:ascii="Times New Roman" w:eastAsia="Times New Roman" w:hAnsi="Times New Roman" w:cs="Times New Roman"/>
          <w:kern w:val="0"/>
          <w:lang w:val="lt-LT"/>
          <w14:ligatures w14:val="none"/>
        </w:rPr>
        <w:t xml:space="preserve"> Išgyvenamumo be ligos progresavimo laiko medianos 95 % pasikliautin</w:t>
      </w:r>
      <w:r w:rsidR="00A613A6">
        <w:rPr>
          <w:rFonts w:ascii="Times New Roman" w:eastAsia="Times New Roman" w:hAnsi="Times New Roman" w:cs="Times New Roman"/>
          <w:kern w:val="0"/>
          <w:lang w:val="lt-LT"/>
          <w14:ligatures w14:val="none"/>
        </w:rPr>
        <w:t>asis</w:t>
      </w:r>
      <w:r w:rsidRPr="00A552D9">
        <w:rPr>
          <w:rFonts w:ascii="Times New Roman" w:eastAsia="Times New Roman" w:hAnsi="Times New Roman" w:cs="Times New Roman"/>
          <w:kern w:val="0"/>
          <w:lang w:val="lt-LT"/>
          <w14:ligatures w14:val="none"/>
        </w:rPr>
        <w:t xml:space="preserve"> intervalas.</w:t>
      </w:r>
    </w:p>
    <w:p w14:paraId="05DD6C72" w14:textId="77777777" w:rsidR="00992F19" w:rsidRPr="00A552D9" w:rsidRDefault="00992F19" w:rsidP="00111C46">
      <w:pPr>
        <w:widowControl w:val="0"/>
        <w:autoSpaceDE w:val="0"/>
        <w:autoSpaceDN w:val="0"/>
        <w:spacing w:before="0" w:after="0" w:line="240" w:lineRule="auto"/>
        <w:ind w:left="142" w:right="2" w:hanging="14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c</w:t>
      </w:r>
      <w:r w:rsidRPr="00A552D9">
        <w:rPr>
          <w:rFonts w:ascii="Times New Roman" w:eastAsia="Times New Roman" w:hAnsi="Times New Roman" w:cs="Times New Roman"/>
          <w:kern w:val="0"/>
          <w:lang w:val="lt-LT"/>
          <w14:ligatures w14:val="none"/>
        </w:rPr>
        <w:t xml:space="preserve"> Remiantis Kokso proporcingos rizikos modeliu, lyginančiu rizikos funkcijas, susijusias su pacientų </w:t>
      </w:r>
      <w:r w:rsidRPr="00A552D9">
        <w:rPr>
          <w:rFonts w:ascii="Times New Roman" w:eastAsia="Times New Roman" w:hAnsi="Times New Roman" w:cs="Times New Roman"/>
          <w:kern w:val="0"/>
          <w:lang w:val="lt-LT"/>
          <w14:ligatures w14:val="none"/>
        </w:rPr>
        <w:lastRenderedPageBreak/>
        <w:t>grupėmis, stratifikuotas pagal amžių (≤ 75 plg. &gt; 75), ligų populiacija (sunkiai pasiduodanti gydymui lenalidomidu ir bortezomibu, palyginti su nesunkiai pasiduodančia gydymui abiem veikliosiomis medžiagomis) ir ankstesnis mielomos gydymo kursų skaičius (= 2 plg. &gt; 2).</w:t>
      </w:r>
    </w:p>
    <w:p w14:paraId="33D4042A" w14:textId="77777777" w:rsidR="00EC43FE" w:rsidRPr="00A552D9" w:rsidRDefault="00992F19" w:rsidP="00111C46">
      <w:pPr>
        <w:widowControl w:val="0"/>
        <w:autoSpaceDE w:val="0"/>
        <w:autoSpaceDN w:val="0"/>
        <w:spacing w:before="0" w:after="0" w:line="240" w:lineRule="auto"/>
        <w:ind w:left="142" w:right="2" w:hanging="14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d</w:t>
      </w:r>
      <w:r w:rsidRPr="00A552D9">
        <w:rPr>
          <w:rFonts w:ascii="Times New Roman" w:eastAsia="Times New Roman" w:hAnsi="Times New Roman" w:cs="Times New Roman"/>
          <w:kern w:val="0"/>
          <w:lang w:val="lt-LT"/>
          <w14:ligatures w14:val="none"/>
        </w:rPr>
        <w:t xml:space="preserve"> P vertė paremta stratifikuotu </w:t>
      </w:r>
      <w:r w:rsidRPr="00A552D9">
        <w:rPr>
          <w:rFonts w:ascii="Times New Roman" w:eastAsia="Times New Roman" w:hAnsi="Times New Roman" w:cs="Times New Roman"/>
          <w:i/>
          <w:kern w:val="0"/>
          <w:lang w:val="lt-LT"/>
          <w14:ligatures w14:val="none"/>
        </w:rPr>
        <w:t xml:space="preserve">log-rank </w:t>
      </w:r>
      <w:r w:rsidRPr="00A552D9">
        <w:rPr>
          <w:rFonts w:ascii="Times New Roman" w:eastAsia="Times New Roman" w:hAnsi="Times New Roman" w:cs="Times New Roman"/>
          <w:kern w:val="0"/>
          <w:lang w:val="lt-LT"/>
          <w14:ligatures w14:val="none"/>
        </w:rPr>
        <w:t>testu su tais pačiais stratifikavimo faktoriais kaip pirmiau minėtas Kokso modelis.</w:t>
      </w:r>
    </w:p>
    <w:p w14:paraId="1A95F276" w14:textId="39816387" w:rsidR="00992F19" w:rsidRPr="00A552D9" w:rsidRDefault="00992F19" w:rsidP="00111C46">
      <w:pPr>
        <w:widowControl w:val="0"/>
        <w:autoSpaceDE w:val="0"/>
        <w:autoSpaceDN w:val="0"/>
        <w:spacing w:before="0" w:after="0" w:line="240" w:lineRule="auto"/>
        <w:ind w:left="142" w:right="2" w:hanging="14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Remiantis duomenimis surinktais iki 2012 m. rugsėjo 7 d.</w:t>
      </w:r>
    </w:p>
    <w:p w14:paraId="19ACF6C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B84622D" w14:textId="77777777" w:rsidR="00992F19" w:rsidRPr="00A552D9" w:rsidRDefault="00992F19" w:rsidP="00992F19">
      <w:pPr>
        <w:widowControl w:val="0"/>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2 pav. Išgyvenamumas be ligos progresavimo pagal IRAC atsako vertinimą remiantis IMWG kriterijais (stratifikuotas </w:t>
      </w:r>
      <w:r w:rsidRPr="00A552D9">
        <w:rPr>
          <w:rFonts w:ascii="Times New Roman" w:eastAsia="Times New Roman" w:hAnsi="Times New Roman" w:cs="Times New Roman"/>
          <w:b/>
          <w:bCs/>
          <w:i/>
          <w:kern w:val="0"/>
          <w:lang w:val="lt-LT"/>
          <w14:ligatures w14:val="none"/>
        </w:rPr>
        <w:t xml:space="preserve">log-rank </w:t>
      </w:r>
      <w:r w:rsidRPr="00A552D9">
        <w:rPr>
          <w:rFonts w:ascii="Times New Roman" w:eastAsia="Times New Roman" w:hAnsi="Times New Roman" w:cs="Times New Roman"/>
          <w:b/>
          <w:bCs/>
          <w:kern w:val="0"/>
          <w:lang w:val="lt-LT"/>
          <w14:ligatures w14:val="none"/>
        </w:rPr>
        <w:t>testas) (ITT populiacija)</w:t>
      </w:r>
    </w:p>
    <w:p w14:paraId="40B7141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A89A11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noProof/>
          <w:kern w:val="0"/>
          <w:lang w:val="lt-LT" w:eastAsia="lt-LT"/>
          <w14:ligatures w14:val="none"/>
        </w:rPr>
        <w:drawing>
          <wp:inline distT="0" distB="0" distL="0" distR="0" wp14:anchorId="400ACA38" wp14:editId="78FCA713">
            <wp:extent cx="5761990" cy="3890010"/>
            <wp:effectExtent l="0" t="0" r="0" b="0"/>
            <wp:docPr id="147191577" name="Picture 1"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1577" name="Picture 1" descr="A graph of a number of patients&#10;&#10;Description automatically generated"/>
                    <pic:cNvPicPr/>
                  </pic:nvPicPr>
                  <pic:blipFill>
                    <a:blip r:embed="rId13"/>
                    <a:stretch>
                      <a:fillRect/>
                    </a:stretch>
                  </pic:blipFill>
                  <pic:spPr>
                    <a:xfrm>
                      <a:off x="0" y="0"/>
                      <a:ext cx="5761990" cy="3890010"/>
                    </a:xfrm>
                    <a:prstGeom prst="rect">
                      <a:avLst/>
                    </a:prstGeom>
                  </pic:spPr>
                </pic:pic>
              </a:graphicData>
            </a:graphic>
          </wp:inline>
        </w:drawing>
      </w:r>
    </w:p>
    <w:p w14:paraId="1CF61C8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8B0C507" w14:textId="0FBC8F9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Esminė tyrimo antrinė veiksmingumo vertinamoji baigtis buvo bendras išgyvenamumas. Duomenų atnaujinimo datą (2012 m. rugsėjo 7 d.) gyvi buvo iš viso 226 (74,8 %) Pom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pacientai ir 95 (62,1 %) </w:t>
      </w:r>
      <w:r w:rsidR="00D4663F" w:rsidRPr="00A552D9">
        <w:rPr>
          <w:rFonts w:ascii="Times New Roman" w:eastAsia="Times New Roman" w:hAnsi="Times New Roman" w:cs="Times New Roman"/>
          <w:kern w:val="0"/>
          <w:lang w:val="lt-LT"/>
          <w14:ligatures w14:val="none"/>
        </w:rPr>
        <w:t>D-Deks</w:t>
      </w:r>
      <w:r w:rsidRPr="00A552D9">
        <w:rPr>
          <w:rFonts w:ascii="Times New Roman" w:eastAsia="Times New Roman" w:hAnsi="Times New Roman" w:cs="Times New Roman"/>
          <w:kern w:val="0"/>
          <w:lang w:val="lt-LT"/>
          <w14:ligatures w14:val="none"/>
        </w:rPr>
        <w:t xml:space="preserve"> pacientai. Bendro išgyvenamumo (BI) laiko mediana pagal Kaplano-Mejerio įverčius Pom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grupėje nebuvo pasiekta, tačiau tikėtina, kad ji būtų mažiausiai 48 savaitės, tai yra apatinė 95 % PI riba. </w:t>
      </w:r>
      <w:r w:rsidR="00D4663F" w:rsidRPr="00A552D9">
        <w:rPr>
          <w:rFonts w:ascii="Times New Roman" w:eastAsia="Times New Roman" w:hAnsi="Times New Roman" w:cs="Times New Roman"/>
          <w:kern w:val="0"/>
          <w:lang w:val="lt-LT"/>
          <w14:ligatures w14:val="none"/>
        </w:rPr>
        <w:t>D-Deks</w:t>
      </w:r>
      <w:r w:rsidRPr="00A552D9">
        <w:rPr>
          <w:rFonts w:ascii="Times New Roman" w:eastAsia="Times New Roman" w:hAnsi="Times New Roman" w:cs="Times New Roman"/>
          <w:kern w:val="0"/>
          <w:lang w:val="lt-LT"/>
          <w14:ligatures w14:val="none"/>
        </w:rPr>
        <w:t xml:space="preserve"> grupėje BI laiko mediana buvo 34 savaitės (95 % PI: 23,4; 39,9). 1 metų išgyvenamumo be nepageidaujamų reiškinių dažnis buvo 52,6 % (± 5,72 %) Pom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grupėje ir 28,4 % (± 7,51 %) </w:t>
      </w:r>
      <w:r w:rsidR="00D4663F" w:rsidRPr="00A552D9">
        <w:rPr>
          <w:rFonts w:ascii="Times New Roman" w:eastAsia="Times New Roman" w:hAnsi="Times New Roman" w:cs="Times New Roman"/>
          <w:kern w:val="0"/>
          <w:lang w:val="lt-LT"/>
          <w14:ligatures w14:val="none"/>
        </w:rPr>
        <w:t>D-Deks</w:t>
      </w:r>
      <w:r w:rsidRPr="00A552D9">
        <w:rPr>
          <w:rFonts w:ascii="Times New Roman" w:eastAsia="Times New Roman" w:hAnsi="Times New Roman" w:cs="Times New Roman"/>
          <w:kern w:val="0"/>
          <w:lang w:val="lt-LT"/>
          <w14:ligatures w14:val="none"/>
        </w:rPr>
        <w:t xml:space="preserve"> grupėje. BI skirtumas tarp dviejų pacientų grupių buvo statistiškai reikšmingas (p &lt; 0,001).</w:t>
      </w:r>
    </w:p>
    <w:p w14:paraId="2083658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BDB9B0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Bendras ITT populiacijos išgyvenamumas apibendrintas 10 lentelėje. ITT populiacijos BI Kaplano- Mejerio kreivė pateikta 3 pav.</w:t>
      </w:r>
    </w:p>
    <w:p w14:paraId="62D830D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AD69055" w14:textId="532376E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Remiantis IBLP ir BI veiksmingumo įvertinimais, šiam tyrimui sukurtas Duomenų stebėjimo komitetas rekomendavo užbaigti tyrimą ir </w:t>
      </w:r>
      <w:r w:rsidR="00D4663F" w:rsidRPr="00A552D9">
        <w:rPr>
          <w:rFonts w:ascii="Times New Roman" w:eastAsia="Times New Roman" w:hAnsi="Times New Roman" w:cs="Times New Roman"/>
          <w:kern w:val="0"/>
          <w:lang w:val="lt-LT"/>
          <w14:ligatures w14:val="none"/>
        </w:rPr>
        <w:t>D-Deks</w:t>
      </w:r>
      <w:r w:rsidRPr="00A552D9">
        <w:rPr>
          <w:rFonts w:ascii="Times New Roman" w:eastAsia="Times New Roman" w:hAnsi="Times New Roman" w:cs="Times New Roman"/>
          <w:kern w:val="0"/>
          <w:lang w:val="lt-LT"/>
          <w14:ligatures w14:val="none"/>
        </w:rPr>
        <w:t xml:space="preserve"> grupės pacientus perkelti į Pom + </w:t>
      </w:r>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 xml:space="preserve"> grupę.</w:t>
      </w:r>
    </w:p>
    <w:p w14:paraId="5BA919F5" w14:textId="77777777" w:rsidR="00111C46" w:rsidRPr="00A552D9" w:rsidRDefault="00111C46"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46BD9C2" w14:textId="77777777" w:rsidR="00992F19" w:rsidRPr="00A552D9" w:rsidRDefault="00992F19" w:rsidP="00992F19">
      <w:pPr>
        <w:widowControl w:val="0"/>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10 lentelė. Bendras išgyvenamumas: ITT populiacija</w:t>
      </w:r>
    </w:p>
    <w:p w14:paraId="288DA8E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2320"/>
        <w:gridCol w:w="1985"/>
        <w:gridCol w:w="2641"/>
        <w:gridCol w:w="2126"/>
      </w:tblGrid>
      <w:tr w:rsidR="00992F19" w:rsidRPr="00A552D9" w14:paraId="77C2D31E" w14:textId="77777777" w:rsidTr="00B53434">
        <w:trPr>
          <w:trHeight w:val="20"/>
        </w:trPr>
        <w:tc>
          <w:tcPr>
            <w:tcW w:w="2320" w:type="dxa"/>
            <w:tcBorders>
              <w:bottom w:val="single" w:sz="2" w:space="0" w:color="000000"/>
              <w:right w:val="single" w:sz="2" w:space="0" w:color="000000"/>
            </w:tcBorders>
            <w:vAlign w:val="center"/>
          </w:tcPr>
          <w:p w14:paraId="5D94FC4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c>
        <w:tc>
          <w:tcPr>
            <w:tcW w:w="1985" w:type="dxa"/>
            <w:tcBorders>
              <w:left w:val="single" w:sz="2" w:space="0" w:color="000000"/>
              <w:bottom w:val="single" w:sz="2" w:space="0" w:color="000000"/>
              <w:right w:val="single" w:sz="2" w:space="0" w:color="000000"/>
            </w:tcBorders>
            <w:vAlign w:val="center"/>
          </w:tcPr>
          <w:p w14:paraId="379E4A1E"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Statistika</w:t>
            </w:r>
          </w:p>
        </w:tc>
        <w:tc>
          <w:tcPr>
            <w:tcW w:w="2641" w:type="dxa"/>
            <w:tcBorders>
              <w:left w:val="single" w:sz="2" w:space="0" w:color="000000"/>
              <w:bottom w:val="single" w:sz="2" w:space="0" w:color="000000"/>
              <w:right w:val="single" w:sz="2" w:space="0" w:color="000000"/>
            </w:tcBorders>
            <w:vAlign w:val="center"/>
          </w:tcPr>
          <w:p w14:paraId="3EA47689" w14:textId="664357D2" w:rsidR="00992F19" w:rsidRPr="00A552D9" w:rsidRDefault="00992F19" w:rsidP="00111C46">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Pom + </w:t>
            </w:r>
            <w:r w:rsidR="0089553E" w:rsidRPr="00A552D9">
              <w:rPr>
                <w:rFonts w:ascii="Times New Roman" w:eastAsia="Times New Roman" w:hAnsi="Times New Roman" w:cs="Times New Roman"/>
                <w:b/>
                <w:kern w:val="0"/>
                <w:lang w:val="lt-LT"/>
                <w14:ligatures w14:val="none"/>
              </w:rPr>
              <w:t>M-Deks</w:t>
            </w:r>
            <w:r w:rsidR="00111C46" w:rsidRPr="00A552D9">
              <w:rPr>
                <w:rFonts w:ascii="Times New Roman" w:eastAsia="Times New Roman" w:hAnsi="Times New Roman" w:cs="Times New Roman"/>
                <w:b/>
                <w:kern w:val="0"/>
                <w:lang w:val="lt-LT"/>
                <w14:ligatures w14:val="none"/>
              </w:rPr>
              <w:t xml:space="preserve"> </w:t>
            </w:r>
            <w:r w:rsidRPr="00A552D9">
              <w:rPr>
                <w:rFonts w:ascii="Times New Roman" w:eastAsia="Times New Roman" w:hAnsi="Times New Roman" w:cs="Times New Roman"/>
                <w:b/>
                <w:kern w:val="0"/>
                <w:lang w:val="lt-LT"/>
                <w14:ligatures w14:val="none"/>
              </w:rPr>
              <w:t>(N = 302)</w:t>
            </w:r>
          </w:p>
        </w:tc>
        <w:tc>
          <w:tcPr>
            <w:tcW w:w="2126" w:type="dxa"/>
            <w:tcBorders>
              <w:left w:val="single" w:sz="2" w:space="0" w:color="000000"/>
              <w:bottom w:val="single" w:sz="2" w:space="0" w:color="000000"/>
            </w:tcBorders>
            <w:vAlign w:val="center"/>
          </w:tcPr>
          <w:p w14:paraId="0D6506CE" w14:textId="2B7F740D" w:rsidR="00992F19" w:rsidRPr="00A552D9" w:rsidRDefault="00D4663F" w:rsidP="00111C46">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D-Deks</w:t>
            </w:r>
            <w:r w:rsidR="00111C46" w:rsidRPr="00A552D9">
              <w:rPr>
                <w:rFonts w:ascii="Times New Roman" w:eastAsia="Times New Roman" w:hAnsi="Times New Roman" w:cs="Times New Roman"/>
                <w:b/>
                <w:kern w:val="0"/>
                <w:lang w:val="lt-LT"/>
                <w14:ligatures w14:val="none"/>
              </w:rPr>
              <w:t xml:space="preserve"> </w:t>
            </w:r>
            <w:r w:rsidR="00992F19" w:rsidRPr="00A552D9">
              <w:rPr>
                <w:rFonts w:ascii="Times New Roman" w:eastAsia="Times New Roman" w:hAnsi="Times New Roman" w:cs="Times New Roman"/>
                <w:b/>
                <w:kern w:val="0"/>
                <w:lang w:val="lt-LT"/>
                <w14:ligatures w14:val="none"/>
              </w:rPr>
              <w:t>(N = 153)</w:t>
            </w:r>
          </w:p>
        </w:tc>
      </w:tr>
      <w:tr w:rsidR="00992F19" w:rsidRPr="00A552D9" w14:paraId="47D2A8C9" w14:textId="77777777" w:rsidTr="00B53434">
        <w:trPr>
          <w:trHeight w:val="20"/>
        </w:trPr>
        <w:tc>
          <w:tcPr>
            <w:tcW w:w="2320" w:type="dxa"/>
            <w:tcBorders>
              <w:top w:val="single" w:sz="2" w:space="0" w:color="000000"/>
              <w:bottom w:val="single" w:sz="2" w:space="0" w:color="000000"/>
              <w:right w:val="single" w:sz="2" w:space="0" w:color="000000"/>
            </w:tcBorders>
            <w:vAlign w:val="center"/>
          </w:tcPr>
          <w:p w14:paraId="082A0E4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c>
        <w:tc>
          <w:tcPr>
            <w:tcW w:w="1985" w:type="dxa"/>
            <w:tcBorders>
              <w:top w:val="single" w:sz="2" w:space="0" w:color="000000"/>
              <w:left w:val="single" w:sz="2" w:space="0" w:color="000000"/>
              <w:bottom w:val="single" w:sz="2" w:space="0" w:color="000000"/>
              <w:right w:val="single" w:sz="2" w:space="0" w:color="000000"/>
            </w:tcBorders>
            <w:vAlign w:val="center"/>
          </w:tcPr>
          <w:p w14:paraId="50726E51"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w:t>
            </w:r>
          </w:p>
        </w:tc>
        <w:tc>
          <w:tcPr>
            <w:tcW w:w="2641" w:type="dxa"/>
            <w:tcBorders>
              <w:top w:val="single" w:sz="2" w:space="0" w:color="000000"/>
              <w:left w:val="single" w:sz="2" w:space="0" w:color="000000"/>
              <w:bottom w:val="single" w:sz="2" w:space="0" w:color="000000"/>
              <w:right w:val="single" w:sz="2" w:space="0" w:color="000000"/>
            </w:tcBorders>
            <w:vAlign w:val="center"/>
          </w:tcPr>
          <w:p w14:paraId="50FEFFED"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302 (100,0)</w:t>
            </w:r>
          </w:p>
        </w:tc>
        <w:tc>
          <w:tcPr>
            <w:tcW w:w="2126" w:type="dxa"/>
            <w:tcBorders>
              <w:top w:val="single" w:sz="2" w:space="0" w:color="000000"/>
              <w:left w:val="single" w:sz="2" w:space="0" w:color="000000"/>
              <w:bottom w:val="single" w:sz="2" w:space="0" w:color="000000"/>
            </w:tcBorders>
            <w:vAlign w:val="center"/>
          </w:tcPr>
          <w:p w14:paraId="61AD1384"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153 (100,0)</w:t>
            </w:r>
          </w:p>
        </w:tc>
      </w:tr>
      <w:tr w:rsidR="00992F19" w:rsidRPr="00A552D9" w14:paraId="3F454623" w14:textId="77777777" w:rsidTr="00B53434">
        <w:trPr>
          <w:trHeight w:val="20"/>
        </w:trPr>
        <w:tc>
          <w:tcPr>
            <w:tcW w:w="2320" w:type="dxa"/>
            <w:tcBorders>
              <w:top w:val="single" w:sz="2" w:space="0" w:color="000000"/>
              <w:bottom w:val="single" w:sz="2" w:space="0" w:color="000000"/>
              <w:right w:val="single" w:sz="2" w:space="0" w:color="000000"/>
            </w:tcBorders>
            <w:vAlign w:val="center"/>
          </w:tcPr>
          <w:p w14:paraId="77A20E3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Cenzūruota</w:t>
            </w:r>
          </w:p>
        </w:tc>
        <w:tc>
          <w:tcPr>
            <w:tcW w:w="1985" w:type="dxa"/>
            <w:tcBorders>
              <w:top w:val="single" w:sz="2" w:space="0" w:color="000000"/>
              <w:left w:val="single" w:sz="2" w:space="0" w:color="000000"/>
              <w:bottom w:val="single" w:sz="2" w:space="0" w:color="000000"/>
              <w:right w:val="single" w:sz="2" w:space="0" w:color="000000"/>
            </w:tcBorders>
            <w:vAlign w:val="center"/>
          </w:tcPr>
          <w:p w14:paraId="1F077293"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 (%)</w:t>
            </w:r>
          </w:p>
        </w:tc>
        <w:tc>
          <w:tcPr>
            <w:tcW w:w="2641" w:type="dxa"/>
            <w:tcBorders>
              <w:top w:val="single" w:sz="2" w:space="0" w:color="000000"/>
              <w:left w:val="single" w:sz="2" w:space="0" w:color="000000"/>
              <w:bottom w:val="single" w:sz="2" w:space="0" w:color="000000"/>
              <w:right w:val="single" w:sz="2" w:space="0" w:color="000000"/>
            </w:tcBorders>
            <w:vAlign w:val="center"/>
          </w:tcPr>
          <w:p w14:paraId="7BC34625"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226 (74,8)</w:t>
            </w:r>
          </w:p>
        </w:tc>
        <w:tc>
          <w:tcPr>
            <w:tcW w:w="2126" w:type="dxa"/>
            <w:tcBorders>
              <w:top w:val="single" w:sz="2" w:space="0" w:color="000000"/>
              <w:left w:val="single" w:sz="2" w:space="0" w:color="000000"/>
              <w:bottom w:val="single" w:sz="2" w:space="0" w:color="000000"/>
            </w:tcBorders>
            <w:vAlign w:val="center"/>
          </w:tcPr>
          <w:p w14:paraId="0D66E3FE"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95 (62,1)</w:t>
            </w:r>
          </w:p>
        </w:tc>
      </w:tr>
      <w:tr w:rsidR="00992F19" w:rsidRPr="00A552D9" w14:paraId="72D01288" w14:textId="77777777" w:rsidTr="00B53434">
        <w:trPr>
          <w:trHeight w:val="20"/>
        </w:trPr>
        <w:tc>
          <w:tcPr>
            <w:tcW w:w="2320" w:type="dxa"/>
            <w:tcBorders>
              <w:top w:val="single" w:sz="2" w:space="0" w:color="000000"/>
              <w:right w:val="single" w:sz="2" w:space="0" w:color="000000"/>
            </w:tcBorders>
            <w:vAlign w:val="center"/>
          </w:tcPr>
          <w:p w14:paraId="5FA095C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Mirė</w:t>
            </w:r>
          </w:p>
        </w:tc>
        <w:tc>
          <w:tcPr>
            <w:tcW w:w="1985" w:type="dxa"/>
            <w:tcBorders>
              <w:top w:val="single" w:sz="2" w:space="0" w:color="000000"/>
              <w:left w:val="single" w:sz="2" w:space="0" w:color="000000"/>
              <w:right w:val="single" w:sz="2" w:space="0" w:color="000000"/>
            </w:tcBorders>
            <w:vAlign w:val="center"/>
          </w:tcPr>
          <w:p w14:paraId="2E9E4D02"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 (%)</w:t>
            </w:r>
          </w:p>
        </w:tc>
        <w:tc>
          <w:tcPr>
            <w:tcW w:w="2641" w:type="dxa"/>
            <w:tcBorders>
              <w:top w:val="single" w:sz="2" w:space="0" w:color="000000"/>
              <w:left w:val="single" w:sz="2" w:space="0" w:color="000000"/>
              <w:right w:val="single" w:sz="2" w:space="0" w:color="000000"/>
            </w:tcBorders>
            <w:vAlign w:val="center"/>
          </w:tcPr>
          <w:p w14:paraId="09FD002D"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76 (25,2)</w:t>
            </w:r>
          </w:p>
        </w:tc>
        <w:tc>
          <w:tcPr>
            <w:tcW w:w="2126" w:type="dxa"/>
            <w:tcBorders>
              <w:top w:val="single" w:sz="2" w:space="0" w:color="000000"/>
              <w:left w:val="single" w:sz="2" w:space="0" w:color="000000"/>
            </w:tcBorders>
            <w:vAlign w:val="center"/>
          </w:tcPr>
          <w:p w14:paraId="49FC6589"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58 (37,9)</w:t>
            </w:r>
          </w:p>
        </w:tc>
      </w:tr>
      <w:tr w:rsidR="00992F19" w:rsidRPr="00A552D9" w14:paraId="7295CCB8" w14:textId="77777777" w:rsidTr="00B53434">
        <w:trPr>
          <w:trHeight w:val="20"/>
        </w:trPr>
        <w:tc>
          <w:tcPr>
            <w:tcW w:w="2320" w:type="dxa"/>
            <w:tcBorders>
              <w:right w:val="single" w:sz="2" w:space="0" w:color="000000"/>
            </w:tcBorders>
            <w:vAlign w:val="center"/>
          </w:tcPr>
          <w:p w14:paraId="3363DC7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Išgyvenamumo laikas </w:t>
            </w:r>
            <w:r w:rsidRPr="00A552D9">
              <w:rPr>
                <w:rFonts w:ascii="Times New Roman" w:eastAsia="Times New Roman" w:hAnsi="Times New Roman" w:cs="Times New Roman"/>
                <w:kern w:val="0"/>
                <w:lang w:val="lt-LT"/>
                <w14:ligatures w14:val="none"/>
              </w:rPr>
              <w:lastRenderedPageBreak/>
              <w:t>(savaitės)</w:t>
            </w:r>
          </w:p>
        </w:tc>
        <w:tc>
          <w:tcPr>
            <w:tcW w:w="1985" w:type="dxa"/>
            <w:tcBorders>
              <w:left w:val="single" w:sz="2" w:space="0" w:color="000000"/>
              <w:right w:val="single" w:sz="2" w:space="0" w:color="000000"/>
            </w:tcBorders>
            <w:vAlign w:val="center"/>
          </w:tcPr>
          <w:p w14:paraId="190DEB8C"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Mediana</w:t>
            </w:r>
            <w:r w:rsidRPr="00A552D9">
              <w:rPr>
                <w:rFonts w:ascii="Times New Roman" w:eastAsia="Times New Roman" w:hAnsi="Times New Roman" w:cs="Times New Roman"/>
                <w:kern w:val="0"/>
                <w:vertAlign w:val="superscript"/>
                <w:lang w:val="lt-LT"/>
                <w14:ligatures w14:val="none"/>
              </w:rPr>
              <w:t>a</w:t>
            </w:r>
          </w:p>
        </w:tc>
        <w:tc>
          <w:tcPr>
            <w:tcW w:w="2641" w:type="dxa"/>
            <w:tcBorders>
              <w:left w:val="single" w:sz="2" w:space="0" w:color="000000"/>
              <w:right w:val="single" w:sz="2" w:space="0" w:color="000000"/>
            </w:tcBorders>
            <w:vAlign w:val="center"/>
          </w:tcPr>
          <w:p w14:paraId="46120851"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NĮ</w:t>
            </w:r>
          </w:p>
        </w:tc>
        <w:tc>
          <w:tcPr>
            <w:tcW w:w="2126" w:type="dxa"/>
            <w:tcBorders>
              <w:left w:val="single" w:sz="2" w:space="0" w:color="000000"/>
            </w:tcBorders>
            <w:vAlign w:val="center"/>
          </w:tcPr>
          <w:p w14:paraId="3CD5D694"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34,0</w:t>
            </w:r>
          </w:p>
        </w:tc>
      </w:tr>
      <w:tr w:rsidR="00992F19" w:rsidRPr="00A552D9" w14:paraId="690147B4" w14:textId="77777777" w:rsidTr="00B53434">
        <w:trPr>
          <w:trHeight w:val="20"/>
        </w:trPr>
        <w:tc>
          <w:tcPr>
            <w:tcW w:w="2320" w:type="dxa"/>
            <w:tcBorders>
              <w:right w:val="single" w:sz="2" w:space="0" w:color="000000"/>
            </w:tcBorders>
            <w:vAlign w:val="center"/>
          </w:tcPr>
          <w:p w14:paraId="77DBB0B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c>
        <w:tc>
          <w:tcPr>
            <w:tcW w:w="1985" w:type="dxa"/>
            <w:tcBorders>
              <w:left w:val="single" w:sz="2" w:space="0" w:color="000000"/>
              <w:right w:val="single" w:sz="2" w:space="0" w:color="000000"/>
            </w:tcBorders>
            <w:vAlign w:val="center"/>
          </w:tcPr>
          <w:p w14:paraId="42166E43"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Dvipusis 95 % PI</w:t>
            </w:r>
            <w:r w:rsidRPr="00A552D9">
              <w:rPr>
                <w:rFonts w:ascii="Times New Roman" w:eastAsia="Times New Roman" w:hAnsi="Times New Roman" w:cs="Times New Roman"/>
                <w:kern w:val="0"/>
                <w:vertAlign w:val="superscript"/>
                <w:lang w:val="lt-LT"/>
                <w14:ligatures w14:val="none"/>
              </w:rPr>
              <w:t>b</w:t>
            </w:r>
          </w:p>
        </w:tc>
        <w:tc>
          <w:tcPr>
            <w:tcW w:w="2641" w:type="dxa"/>
            <w:tcBorders>
              <w:left w:val="single" w:sz="2" w:space="0" w:color="000000"/>
              <w:right w:val="single" w:sz="2" w:space="0" w:color="000000"/>
            </w:tcBorders>
            <w:vAlign w:val="center"/>
          </w:tcPr>
          <w:p w14:paraId="7190D2D5"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[48,1, NĮ]</w:t>
            </w:r>
          </w:p>
        </w:tc>
        <w:tc>
          <w:tcPr>
            <w:tcW w:w="2126" w:type="dxa"/>
            <w:tcBorders>
              <w:left w:val="single" w:sz="2" w:space="0" w:color="000000"/>
            </w:tcBorders>
            <w:vAlign w:val="center"/>
          </w:tcPr>
          <w:p w14:paraId="5BF5350E"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[23,4; 39,9]</w:t>
            </w:r>
          </w:p>
        </w:tc>
      </w:tr>
      <w:tr w:rsidR="007A1636" w:rsidRPr="00A552D9" w14:paraId="7BA3A490" w14:textId="77777777" w:rsidTr="00B53434">
        <w:trPr>
          <w:trHeight w:val="20"/>
        </w:trPr>
        <w:tc>
          <w:tcPr>
            <w:tcW w:w="6946" w:type="dxa"/>
            <w:gridSpan w:val="3"/>
            <w:tcBorders>
              <w:bottom w:val="single" w:sz="4" w:space="0" w:color="000000"/>
              <w:right w:val="single" w:sz="2" w:space="0" w:color="000000"/>
            </w:tcBorders>
            <w:vAlign w:val="center"/>
          </w:tcPr>
          <w:p w14:paraId="24882D69" w14:textId="5404E7EB" w:rsidR="007A1636" w:rsidRPr="00A552D9" w:rsidRDefault="007A1636" w:rsidP="007A1636">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Rizikos santykis (Pom + M-Deks : D-Deks) [dvipusis 95 % PI</w:t>
            </w:r>
            <w:r w:rsidRPr="00A552D9">
              <w:rPr>
                <w:rFonts w:ascii="Times New Roman" w:eastAsia="Times New Roman" w:hAnsi="Times New Roman" w:cs="Times New Roman"/>
                <w:kern w:val="0"/>
                <w:vertAlign w:val="superscript"/>
                <w:lang w:val="lt-LT"/>
                <w14:ligatures w14:val="none"/>
              </w:rPr>
              <w:t>c</w:t>
            </w:r>
            <w:r w:rsidRPr="00A552D9">
              <w:rPr>
                <w:rFonts w:ascii="Times New Roman" w:eastAsia="Times New Roman" w:hAnsi="Times New Roman" w:cs="Times New Roman"/>
                <w:kern w:val="0"/>
                <w:lang w:val="lt-LT"/>
                <w14:ligatures w14:val="none"/>
              </w:rPr>
              <w:t>]</w:t>
            </w:r>
          </w:p>
        </w:tc>
        <w:tc>
          <w:tcPr>
            <w:tcW w:w="2126" w:type="dxa"/>
            <w:tcBorders>
              <w:left w:val="single" w:sz="2" w:space="0" w:color="000000"/>
              <w:bottom w:val="single" w:sz="4" w:space="0" w:color="000000"/>
            </w:tcBorders>
            <w:vAlign w:val="center"/>
          </w:tcPr>
          <w:p w14:paraId="1742E04D" w14:textId="40C41304" w:rsidR="007A1636" w:rsidRPr="00A552D9" w:rsidRDefault="007A1636"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0,53 [0,37; 0,74]</w:t>
            </w:r>
          </w:p>
        </w:tc>
      </w:tr>
      <w:tr w:rsidR="00B53434" w:rsidRPr="00A552D9" w14:paraId="19F7FBCF" w14:textId="77777777" w:rsidTr="005B5BF2">
        <w:trPr>
          <w:trHeight w:val="20"/>
        </w:trPr>
        <w:tc>
          <w:tcPr>
            <w:tcW w:w="6946" w:type="dxa"/>
            <w:gridSpan w:val="3"/>
            <w:tcBorders>
              <w:bottom w:val="single" w:sz="4" w:space="0" w:color="000000"/>
            </w:tcBorders>
            <w:vAlign w:val="center"/>
          </w:tcPr>
          <w:p w14:paraId="3D0D42F2" w14:textId="43A59FFF" w:rsidR="00B53434" w:rsidRPr="00A552D9" w:rsidRDefault="00B53434" w:rsidP="00B53434">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Dvipusis „log rank“ testas, p vertė</w:t>
            </w:r>
            <w:r w:rsidRPr="00A552D9">
              <w:rPr>
                <w:rFonts w:ascii="Times New Roman" w:eastAsia="Times New Roman" w:hAnsi="Times New Roman" w:cs="Times New Roman"/>
                <w:kern w:val="0"/>
                <w:vertAlign w:val="superscript"/>
                <w:lang w:val="lt-LT"/>
                <w14:ligatures w14:val="none"/>
              </w:rPr>
              <w:t>d</w:t>
            </w:r>
          </w:p>
        </w:tc>
        <w:tc>
          <w:tcPr>
            <w:tcW w:w="2126" w:type="dxa"/>
            <w:tcBorders>
              <w:bottom w:val="single" w:sz="4" w:space="0" w:color="000000"/>
            </w:tcBorders>
            <w:vAlign w:val="center"/>
          </w:tcPr>
          <w:p w14:paraId="79F07CFD" w14:textId="2F8FDA67" w:rsidR="00B53434" w:rsidRPr="00A552D9" w:rsidRDefault="00B53434"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&lt; 0,001</w:t>
            </w:r>
          </w:p>
        </w:tc>
      </w:tr>
    </w:tbl>
    <w:p w14:paraId="305ABDEB" w14:textId="73AB495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Pastaba: PI = </w:t>
      </w:r>
      <w:r w:rsidR="00A613A6" w:rsidRPr="00A552D9">
        <w:rPr>
          <w:rFonts w:ascii="Times New Roman" w:eastAsia="Times New Roman" w:hAnsi="Times New Roman" w:cs="Times New Roman"/>
          <w:kern w:val="0"/>
          <w:lang w:val="lt-LT"/>
          <w14:ligatures w14:val="none"/>
        </w:rPr>
        <w:t>pasikliautin</w:t>
      </w:r>
      <w:r w:rsidR="00A613A6">
        <w:rPr>
          <w:rFonts w:ascii="Times New Roman" w:eastAsia="Times New Roman" w:hAnsi="Times New Roman" w:cs="Times New Roman"/>
          <w:kern w:val="0"/>
          <w:lang w:val="lt-LT"/>
          <w14:ligatures w14:val="none"/>
        </w:rPr>
        <w:t>asis</w:t>
      </w:r>
      <w:r w:rsidR="00A613A6"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intervalas. NĮ = negalima įvertinti.</w:t>
      </w:r>
    </w:p>
    <w:p w14:paraId="2434A20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a</w:t>
      </w:r>
      <w:r w:rsidRPr="00A552D9">
        <w:rPr>
          <w:rFonts w:ascii="Times New Roman" w:eastAsia="Times New Roman" w:hAnsi="Times New Roman" w:cs="Times New Roman"/>
          <w:kern w:val="0"/>
          <w:lang w:val="lt-LT"/>
          <w14:ligatures w14:val="none"/>
        </w:rPr>
        <w:t xml:space="preserve"> Mediana paremta Kaplano-Mejerio įverčiu.</w:t>
      </w:r>
    </w:p>
    <w:p w14:paraId="12380510" w14:textId="16C7498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b</w:t>
      </w:r>
      <w:r w:rsidRPr="00A552D9">
        <w:rPr>
          <w:rFonts w:ascii="Times New Roman" w:eastAsia="Times New Roman" w:hAnsi="Times New Roman" w:cs="Times New Roman"/>
          <w:kern w:val="0"/>
          <w:lang w:val="lt-LT"/>
          <w14:ligatures w14:val="none"/>
        </w:rPr>
        <w:t xml:space="preserve"> Bendro išgyvenamumo laiko medianos 95 % pasikliautin</w:t>
      </w:r>
      <w:r w:rsidR="00A613A6">
        <w:rPr>
          <w:rFonts w:ascii="Times New Roman" w:eastAsia="Times New Roman" w:hAnsi="Times New Roman" w:cs="Times New Roman"/>
          <w:kern w:val="0"/>
          <w:lang w:val="lt-LT"/>
          <w14:ligatures w14:val="none"/>
        </w:rPr>
        <w:t>asis</w:t>
      </w:r>
      <w:r w:rsidRPr="00A552D9">
        <w:rPr>
          <w:rFonts w:ascii="Times New Roman" w:eastAsia="Times New Roman" w:hAnsi="Times New Roman" w:cs="Times New Roman"/>
          <w:kern w:val="0"/>
          <w:lang w:val="lt-LT"/>
          <w14:ligatures w14:val="none"/>
        </w:rPr>
        <w:t xml:space="preserve"> intervalas.</w:t>
      </w:r>
    </w:p>
    <w:p w14:paraId="0A270497" w14:textId="49EB9986" w:rsidR="00992F19" w:rsidRPr="00A552D9" w:rsidRDefault="00992F19" w:rsidP="00AC0341">
      <w:pPr>
        <w:widowControl w:val="0"/>
        <w:autoSpaceDE w:val="0"/>
        <w:autoSpaceDN w:val="0"/>
        <w:spacing w:before="0" w:after="0" w:line="240" w:lineRule="auto"/>
        <w:ind w:left="142" w:right="2" w:hanging="14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c</w:t>
      </w:r>
      <w:r w:rsidRPr="00A552D9">
        <w:rPr>
          <w:rFonts w:ascii="Times New Roman" w:eastAsia="Times New Roman" w:hAnsi="Times New Roman" w:cs="Times New Roman"/>
          <w:kern w:val="0"/>
          <w:lang w:val="lt-LT"/>
          <w14:ligatures w14:val="none"/>
        </w:rPr>
        <w:t xml:space="preserve"> Remiantis Kokso proporcingos rizikos modeliu, lyginančiu rizikos funkcijas, susijusias su pacientų grupėmis.</w:t>
      </w:r>
    </w:p>
    <w:p w14:paraId="066FC83F" w14:textId="4A463793" w:rsidR="007A1FFD" w:rsidRPr="00A552D9" w:rsidRDefault="00992F19" w:rsidP="00AC0341">
      <w:pPr>
        <w:widowControl w:val="0"/>
        <w:autoSpaceDE w:val="0"/>
        <w:autoSpaceDN w:val="0"/>
        <w:spacing w:before="0" w:after="0" w:line="240" w:lineRule="auto"/>
        <w:ind w:left="142" w:right="2" w:hanging="14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d</w:t>
      </w:r>
      <w:r w:rsidRPr="00A552D9">
        <w:rPr>
          <w:rFonts w:ascii="Times New Roman" w:eastAsia="Times New Roman" w:hAnsi="Times New Roman" w:cs="Times New Roman"/>
          <w:kern w:val="0"/>
          <w:lang w:val="lt-LT"/>
          <w14:ligatures w14:val="none"/>
        </w:rPr>
        <w:t xml:space="preserve"> P vertė paremta nestratifikuotu </w:t>
      </w:r>
      <w:r w:rsidRPr="00A552D9">
        <w:rPr>
          <w:rFonts w:ascii="Times New Roman" w:eastAsia="Times New Roman" w:hAnsi="Times New Roman" w:cs="Times New Roman"/>
          <w:i/>
          <w:kern w:val="0"/>
          <w:lang w:val="lt-LT"/>
          <w14:ligatures w14:val="none"/>
        </w:rPr>
        <w:t xml:space="preserve">log-rank </w:t>
      </w:r>
      <w:r w:rsidRPr="00A552D9">
        <w:rPr>
          <w:rFonts w:ascii="Times New Roman" w:eastAsia="Times New Roman" w:hAnsi="Times New Roman" w:cs="Times New Roman"/>
          <w:kern w:val="0"/>
          <w:lang w:val="lt-LT"/>
          <w14:ligatures w14:val="none"/>
        </w:rPr>
        <w:t>testu.</w:t>
      </w:r>
    </w:p>
    <w:p w14:paraId="15E7DD2A" w14:textId="5AD45E44" w:rsidR="00992F19" w:rsidRPr="00A552D9" w:rsidRDefault="00992F19" w:rsidP="00AC0341">
      <w:pPr>
        <w:widowControl w:val="0"/>
        <w:autoSpaceDE w:val="0"/>
        <w:autoSpaceDN w:val="0"/>
        <w:spacing w:before="0" w:after="0" w:line="240" w:lineRule="auto"/>
        <w:ind w:left="142" w:right="2" w:hanging="14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Remiantis duomenimis surinktais iki 2012 m. rugsėjo 7 d.</w:t>
      </w:r>
    </w:p>
    <w:p w14:paraId="7B1C529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8999638" w14:textId="686B1CA0" w:rsidR="00992F19" w:rsidRPr="00A552D9" w:rsidRDefault="00992F19" w:rsidP="00992F19">
      <w:pPr>
        <w:widowControl w:val="0"/>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3 pav. Bendro išgyvenamumo Kaplano-Mejerio kreivė (ITT populiacija)</w:t>
      </w:r>
    </w:p>
    <w:p w14:paraId="0724A5B5" w14:textId="609FB49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3F5CF8C" w14:textId="02CED26E" w:rsidR="00992F19" w:rsidRPr="00A552D9" w:rsidRDefault="00B534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noProof/>
          <w:kern w:val="0"/>
          <w:vertAlign w:val="superscript"/>
          <w:lang w:val="lt-LT" w:eastAsia="lt-LT"/>
          <w14:ligatures w14:val="none"/>
        </w:rPr>
        <mc:AlternateContent>
          <mc:Choice Requires="wps">
            <w:drawing>
              <wp:anchor distT="45720" distB="45720" distL="114300" distR="114300" simplePos="0" relativeHeight="251657216" behindDoc="0" locked="0" layoutInCell="1" allowOverlap="1" wp14:anchorId="2520D622" wp14:editId="17B9F3EA">
                <wp:simplePos x="0" y="0"/>
                <wp:positionH relativeFrom="column">
                  <wp:posOffset>-3284</wp:posOffset>
                </wp:positionH>
                <wp:positionV relativeFrom="paragraph">
                  <wp:posOffset>3023475</wp:posOffset>
                </wp:positionV>
                <wp:extent cx="1768415" cy="189781"/>
                <wp:effectExtent l="0" t="0" r="381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15" cy="189781"/>
                        </a:xfrm>
                        <a:prstGeom prst="rect">
                          <a:avLst/>
                        </a:prstGeom>
                        <a:solidFill>
                          <a:srgbClr val="FFFFFF"/>
                        </a:solidFill>
                        <a:ln w="9525">
                          <a:noFill/>
                          <a:miter lim="800000"/>
                          <a:headEnd/>
                          <a:tailEnd/>
                        </a:ln>
                      </wps:spPr>
                      <wps:txbx>
                        <w:txbxContent>
                          <w:p w14:paraId="6E8478A4" w14:textId="02DC2219" w:rsidR="005B5BF2" w:rsidRDefault="005B5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0D622" id="_x0000_t202" coordsize="21600,21600" o:spt="202" path="m,l,21600r21600,l21600,xe">
                <v:stroke joinstyle="miter"/>
                <v:path gradientshapeok="t" o:connecttype="rect"/>
              </v:shapetype>
              <v:shape id="Text Box 2" o:spid="_x0000_s1026" type="#_x0000_t202" style="position:absolute;margin-left:-.25pt;margin-top:238.05pt;width:139.25pt;height:14.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6DAIAAPYDAAAOAAAAZHJzL2Uyb0RvYy54bWysU9tu2zAMfR+wfxD0vjgOkiYx4hRdugwD&#10;ugvQ7QNkWY6FyaJGKbG7rx8lp2nQvQ3zg0Ca1CF5eLS5HTrDTgq9BlvyfDLlTFkJtbaHkv/4vn+3&#10;4swHYWthwKqSPynPb7dv32x6V6gZtGBqhYxArC96V/I2BFdkmZet6oSfgFOWgg1gJwK5eMhqFD2h&#10;dyabTac3WQ9YOwSpvKe/92OQbxN+0ygZvjaNV4GZklNvIZ2Yziqe2XYjigMK12p5bkP8Qxed0JaK&#10;XqDuRRDsiPovqE5LBA9NmEjoMmgaLVWagabJp6+meWyFU2kWIse7C03+/8HKL6dH9w1ZGN7DQAtM&#10;Q3j3APKnZxZ2rbAHdYcIfatETYXzSFnWO1+cr0aqfeEjSNV/hpqWLI4BEtDQYBdZoTkZodMCni6k&#10;qyEwGUsub1bzfMGZpFi+Wi9XYwlRPN926MNHBR2LRsmRlprQxenBh9iNKJ5TYjEPRtd7bUxy8FDt&#10;DLKTIAHs05cGeJVmLOtLvl7MFgnZQryftNHpQAI1uiv5ahq/UTKRjQ+2TilBaDPa1ImxZ3oiIyM3&#10;YagGSow0VVA/EVEIoxDp4ZDRAv7mrCcRltz/OgpUnJlPlshe5/N5VG1y5ovljBy8jlTXEWElQZU8&#10;cDaau5CUHnmwcEdLaXTi66WTc68krkTj+SFE9V77KevluW7/AAAA//8DAFBLAwQUAAYACAAAACEA&#10;go/I6t4AAAAJAQAADwAAAGRycy9kb3ducmV2LnhtbEyPzU7DMBCE70i8g7VIXFBrt2qSEuJUgATi&#10;2p8H2MTbJCK2o9ht0rdnOcFxNKOZb4rdbHtxpTF03mlYLRUIcrU3nWs0nI4fiy2IENEZ7L0jDTcK&#10;sCvv7wrMjZ/cnq6H2AgucSFHDW2MQy5lqFuyGJZ+IMfe2Y8WI8uxkWbEicttL9dKpdJi53ihxYHe&#10;W6q/Dxer4fw1PSXPU/UZT9l+k75hl1X+pvXjw/z6AiLSHP/C8IvP6FAyU+UvzgTRa1gkHNSwydIV&#10;CPbX2Za/VRoSlSqQZSH/Pyh/AAAA//8DAFBLAQItABQABgAIAAAAIQC2gziS/gAAAOEBAAATAAAA&#10;AAAAAAAAAAAAAAAAAABbQ29udGVudF9UeXBlc10ueG1sUEsBAi0AFAAGAAgAAAAhADj9If/WAAAA&#10;lAEAAAsAAAAAAAAAAAAAAAAALwEAAF9yZWxzLy5yZWxzUEsBAi0AFAAGAAgAAAAhAAcv+roMAgAA&#10;9gMAAA4AAAAAAAAAAAAAAAAALgIAAGRycy9lMm9Eb2MueG1sUEsBAi0AFAAGAAgAAAAhAIKPyOre&#10;AAAACQEAAA8AAAAAAAAAAAAAAAAAZgQAAGRycy9kb3ducmV2LnhtbFBLBQYAAAAABAAEAPMAAABx&#10;BQAAAAA=&#10;" stroked="f">
                <v:textbox>
                  <w:txbxContent>
                    <w:p w14:paraId="6E8478A4" w14:textId="02DC2219" w:rsidR="005B5BF2" w:rsidRDefault="005B5BF2"/>
                  </w:txbxContent>
                </v:textbox>
              </v:shape>
            </w:pict>
          </mc:Fallback>
        </mc:AlternateContent>
      </w:r>
      <w:r w:rsidR="00992F19" w:rsidRPr="00A552D9">
        <w:rPr>
          <w:rFonts w:ascii="Times New Roman" w:eastAsia="Times New Roman" w:hAnsi="Times New Roman" w:cs="Times New Roman"/>
          <w:noProof/>
          <w:kern w:val="0"/>
          <w:lang w:val="lt-LT" w:eastAsia="lt-LT"/>
          <w14:ligatures w14:val="none"/>
        </w:rPr>
        <w:drawing>
          <wp:inline distT="0" distB="0" distL="0" distR="0" wp14:anchorId="0FA270DA" wp14:editId="65D012DD">
            <wp:extent cx="5761990" cy="3481070"/>
            <wp:effectExtent l="0" t="0" r="0" b="5080"/>
            <wp:docPr id="389534599"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34599" name="Picture 1" descr="A graph with numbers and a line&#10;&#10;Description automatically generated"/>
                    <pic:cNvPicPr/>
                  </pic:nvPicPr>
                  <pic:blipFill>
                    <a:blip r:embed="rId14"/>
                    <a:stretch>
                      <a:fillRect/>
                    </a:stretch>
                  </pic:blipFill>
                  <pic:spPr>
                    <a:xfrm>
                      <a:off x="0" y="0"/>
                      <a:ext cx="5761990" cy="3481070"/>
                    </a:xfrm>
                    <a:prstGeom prst="rect">
                      <a:avLst/>
                    </a:prstGeom>
                  </pic:spPr>
                </pic:pic>
              </a:graphicData>
            </a:graphic>
          </wp:inline>
        </w:drawing>
      </w:r>
    </w:p>
    <w:p w14:paraId="2827E99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E38A3B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Vaikų populiacija</w:t>
      </w:r>
    </w:p>
    <w:p w14:paraId="7DEC775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3AC4895" w14:textId="121C7DA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Vykdant 1 fazės, vienos grupės, atvirą dozės didinimo tyrimą, didžiausia toleruojama dozė (</w:t>
      </w:r>
      <w:r w:rsidR="00F26182">
        <w:rPr>
          <w:rFonts w:ascii="Times New Roman" w:eastAsia="Times New Roman" w:hAnsi="Times New Roman" w:cs="Times New Roman"/>
          <w:kern w:val="0"/>
          <w:lang w:val="lt-LT"/>
          <w14:ligatures w14:val="none"/>
        </w:rPr>
        <w:t>D</w:t>
      </w:r>
      <w:r w:rsidRPr="00A552D9">
        <w:rPr>
          <w:rFonts w:ascii="Times New Roman" w:eastAsia="Times New Roman" w:hAnsi="Times New Roman" w:cs="Times New Roman"/>
          <w:kern w:val="0"/>
          <w:lang w:val="lt-LT"/>
          <w14:ligatures w14:val="none"/>
        </w:rPr>
        <w:t>TD) ir (arba) rekomenduojama 2 fazės pomalidomido dozė (RP2D) vaikams buvo 2,6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xml:space="preserve"> dozė per parą (vartojant per burną) nuo 1-os iki 21-os besikartojančio 28 dienų ciklo dienos.</w:t>
      </w:r>
    </w:p>
    <w:p w14:paraId="33696AA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Nebuvo nustatytas vaistinio preparato veiksmingumas vykdant 2 fazės, daugiacentrį, atvirą, paralelinių grupių tyrimą. Tyrimas buvo atliktas 52 pomalidomidu gydytiems vaikams, kurių amžius buvo nuo 4- erių iki 18-os metų. Minėti pacientai sirgo besikartojančia arba progresuojančia aukšto laipsnio glioma, meduloblastoma, ependimoma arba difuzine smegenų tilto glioma (angl. </w:t>
      </w:r>
      <w:r w:rsidRPr="00A552D9">
        <w:rPr>
          <w:rFonts w:ascii="Times New Roman" w:eastAsia="Times New Roman" w:hAnsi="Times New Roman" w:cs="Times New Roman"/>
          <w:i/>
          <w:kern w:val="0"/>
          <w:lang w:val="lt-LT"/>
          <w14:ligatures w14:val="none"/>
        </w:rPr>
        <w:t>diffuse intrinsic pontine glioma</w:t>
      </w:r>
      <w:r w:rsidRPr="00A552D9">
        <w:rPr>
          <w:rFonts w:ascii="Times New Roman" w:eastAsia="Times New Roman" w:hAnsi="Times New Roman" w:cs="Times New Roman"/>
          <w:kern w:val="0"/>
          <w:lang w:val="lt-LT"/>
          <w14:ligatures w14:val="none"/>
        </w:rPr>
        <w:t>, DIPG), kurios pirminis židinys buvo centrinėje nervų sistemoje (CNS).</w:t>
      </w:r>
    </w:p>
    <w:p w14:paraId="6E2D3925" w14:textId="50C3B7D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Vykdant 2 fazės tyrimą du pacientai iš aukšto laipsnio gliomos grupės (N = 19) pasiekė pagal protokolą nurodytą atsaką; vienas iš šių pacientų pasiekė dalinį atsaką į gydymą (angl. </w:t>
      </w:r>
      <w:r w:rsidRPr="00A552D9">
        <w:rPr>
          <w:rFonts w:ascii="Times New Roman" w:eastAsia="Times New Roman" w:hAnsi="Times New Roman" w:cs="Times New Roman"/>
          <w:i/>
          <w:kern w:val="0"/>
          <w:lang w:val="lt-LT"/>
          <w14:ligatures w14:val="none"/>
        </w:rPr>
        <w:t>partial response</w:t>
      </w:r>
      <w:r w:rsidRPr="00A552D9">
        <w:rPr>
          <w:rFonts w:ascii="Times New Roman" w:eastAsia="Times New Roman" w:hAnsi="Times New Roman" w:cs="Times New Roman"/>
          <w:kern w:val="0"/>
          <w:lang w:val="lt-LT"/>
          <w14:ligatures w14:val="none"/>
        </w:rPr>
        <w:t xml:space="preserve">, PR), o kitam pacientui stebėtas ilgalaikis ligos stabilizavimasis (angl. </w:t>
      </w:r>
      <w:r w:rsidRPr="00A552D9">
        <w:rPr>
          <w:rFonts w:ascii="Times New Roman" w:eastAsia="Times New Roman" w:hAnsi="Times New Roman" w:cs="Times New Roman"/>
          <w:i/>
          <w:kern w:val="0"/>
          <w:lang w:val="lt-LT"/>
          <w14:ligatures w14:val="none"/>
        </w:rPr>
        <w:t>stable disease</w:t>
      </w:r>
      <w:r w:rsidRPr="00A552D9">
        <w:rPr>
          <w:rFonts w:ascii="Times New Roman" w:eastAsia="Times New Roman" w:hAnsi="Times New Roman" w:cs="Times New Roman"/>
          <w:kern w:val="0"/>
          <w:lang w:val="lt-LT"/>
          <w14:ligatures w14:val="none"/>
        </w:rPr>
        <w:t xml:space="preserve">, SD), dėl kurio objektyvaus atsako (angl. </w:t>
      </w:r>
      <w:r w:rsidRPr="00A552D9">
        <w:rPr>
          <w:rFonts w:ascii="Times New Roman" w:eastAsia="Times New Roman" w:hAnsi="Times New Roman" w:cs="Times New Roman"/>
          <w:i/>
          <w:kern w:val="0"/>
          <w:lang w:val="lt-LT"/>
          <w14:ligatures w14:val="none"/>
        </w:rPr>
        <w:t>objective response</w:t>
      </w:r>
      <w:r w:rsidRPr="00A552D9">
        <w:rPr>
          <w:rFonts w:ascii="Times New Roman" w:eastAsia="Times New Roman" w:hAnsi="Times New Roman" w:cs="Times New Roman"/>
          <w:kern w:val="0"/>
          <w:lang w:val="lt-LT"/>
          <w14:ligatures w14:val="none"/>
        </w:rPr>
        <w:t xml:space="preserve">, OR) ir ilgalaikio ligos stabilizavimo (SD) rodiklis siekė 10,5 % (95 % </w:t>
      </w:r>
      <w:r w:rsidR="002C1AB0">
        <w:rPr>
          <w:rFonts w:ascii="Times New Roman" w:eastAsia="Times New Roman" w:hAnsi="Times New Roman" w:cs="Times New Roman"/>
          <w:kern w:val="0"/>
          <w:lang w:val="lt-LT"/>
          <w14:ligatures w14:val="none"/>
        </w:rPr>
        <w:t>PI</w:t>
      </w:r>
      <w:r w:rsidRPr="00A552D9">
        <w:rPr>
          <w:rFonts w:ascii="Times New Roman" w:eastAsia="Times New Roman" w:hAnsi="Times New Roman" w:cs="Times New Roman"/>
          <w:kern w:val="0"/>
          <w:lang w:val="lt-LT"/>
          <w14:ligatures w14:val="none"/>
        </w:rPr>
        <w:t xml:space="preserve">: 1,3, 33,1). Vienam pacientui iš ependimomos grupės (N= 9) stebėtas ilgalaikis ligos stabilizavimasis (SD), dėl kurio OR ir ilgalaikio ligos stabilizavimosi (SD) rodiklis siekė 11,1 % (95 % PI: 0,3, 48,2). Objektyvus atsakas į gydymą (OR) ar ilgalaikis ligos stabilizavimasis (SD) nebuvo patvirtintas nė vienam vertinamam pacientui iš difuzinės smegenų tilto gliomos (DIPG) grupės (N=9) ar meduloblastomos (N=9) grupės pacientui. Nė viena iš 4-ų 2 fazės tyrime vertinamų paralelinių grupių neatitiko pagrindinio objektyvaus atsako arba ilgalaikio ligos </w:t>
      </w:r>
      <w:r w:rsidRPr="00A552D9">
        <w:rPr>
          <w:rFonts w:ascii="Times New Roman" w:eastAsia="Times New Roman" w:hAnsi="Times New Roman" w:cs="Times New Roman"/>
          <w:kern w:val="0"/>
          <w:lang w:val="lt-LT"/>
          <w14:ligatures w14:val="none"/>
        </w:rPr>
        <w:lastRenderedPageBreak/>
        <w:t>stabilizavimosi baigties vertinimo kriterijaus.</w:t>
      </w:r>
    </w:p>
    <w:p w14:paraId="57F62E4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Bendra pomalidomido saugumo santrauka vaikams atitinka žinomą saugumo santrauką suaugusiesiems. Farmakokinetikos (angl. </w:t>
      </w:r>
      <w:r w:rsidRPr="00A552D9">
        <w:rPr>
          <w:rFonts w:ascii="Times New Roman" w:eastAsia="Times New Roman" w:hAnsi="Times New Roman" w:cs="Times New Roman"/>
          <w:i/>
          <w:kern w:val="0"/>
          <w:lang w:val="lt-LT"/>
          <w14:ligatures w14:val="none"/>
        </w:rPr>
        <w:t xml:space="preserve">pharmacokinetic, </w:t>
      </w:r>
      <w:r w:rsidRPr="00A552D9">
        <w:rPr>
          <w:rFonts w:ascii="Times New Roman" w:eastAsia="Times New Roman" w:hAnsi="Times New Roman" w:cs="Times New Roman"/>
          <w:kern w:val="0"/>
          <w:lang w:val="lt-LT"/>
          <w14:ligatures w14:val="none"/>
        </w:rPr>
        <w:t>PK) rodmenys buvo įvertinti atlikus 1 ir 2 fazių tyrimų integruotą PK analizę. Buvo nustatyta, kad jie iš esmės nesiskyrė nuo tų, kurie buvo stebimi tiriant suaugusius pacientus (žr. 5.2 skyrių).</w:t>
      </w:r>
    </w:p>
    <w:p w14:paraId="1A5A8B7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EA487F5"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Farmakokinetinės savybės</w:t>
      </w:r>
    </w:p>
    <w:p w14:paraId="290078E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122BFB6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Absorbcija</w:t>
      </w:r>
    </w:p>
    <w:p w14:paraId="2F0F085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Absorbuojant pomalidomidą, maksimali koncentracija plazmoje (C</w:t>
      </w:r>
      <w:r w:rsidRPr="00A552D9">
        <w:rPr>
          <w:rFonts w:ascii="Times New Roman" w:eastAsia="Times New Roman" w:hAnsi="Times New Roman" w:cs="Times New Roman"/>
          <w:kern w:val="0"/>
          <w:vertAlign w:val="subscript"/>
          <w:lang w:val="lt-LT"/>
          <w14:ligatures w14:val="none"/>
        </w:rPr>
        <w:t>max</w:t>
      </w:r>
      <w:r w:rsidRPr="00A552D9">
        <w:rPr>
          <w:rFonts w:ascii="Times New Roman" w:eastAsia="Times New Roman" w:hAnsi="Times New Roman" w:cs="Times New Roman"/>
          <w:kern w:val="0"/>
          <w:lang w:val="lt-LT"/>
          <w14:ligatures w14:val="none"/>
        </w:rPr>
        <w:t>) pasiekiama praėjus 2</w:t>
      </w:r>
      <w:r w:rsidRPr="00A552D9">
        <w:rPr>
          <w:rFonts w:ascii="Times New Roman" w:eastAsia="Times New Roman" w:hAnsi="Times New Roman" w:cs="Times New Roman"/>
          <w:kern w:val="0"/>
          <w:lang w:val="lt-LT"/>
          <w14:ligatures w14:val="none"/>
        </w:rPr>
        <w:noBreakHyphen/>
        <w:t>3 valandoms, išgėrus vienkartinę dozę, absorbuojama mažiausiai 73 %. Pomalidomido sisteminė ekspozicija (AUC) didėja maždaug tiesiškai ir proporcingai dozei. Po kelių dozių vartojimo pomalidomido akumuliacija sudarė 27-31 % AUC.</w:t>
      </w:r>
    </w:p>
    <w:p w14:paraId="6EBF681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0091193" w14:textId="4AF24F0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Vartojant vaistinį preparatą kartu su riebiu ir kaloringu maistu, sulėtėjo absorbcija, todėl maždaug 27 % sumažėjo vidutinė C</w:t>
      </w:r>
      <w:r w:rsidRPr="00A552D9">
        <w:rPr>
          <w:rFonts w:ascii="Times New Roman" w:eastAsia="Times New Roman" w:hAnsi="Times New Roman" w:cs="Times New Roman"/>
          <w:kern w:val="0"/>
          <w:vertAlign w:val="subscript"/>
          <w:lang w:val="lt-LT"/>
          <w14:ligatures w14:val="none"/>
        </w:rPr>
        <w:t>max</w:t>
      </w:r>
      <w:r w:rsidRPr="00A552D9">
        <w:rPr>
          <w:rFonts w:ascii="Times New Roman" w:eastAsia="Times New Roman" w:hAnsi="Times New Roman" w:cs="Times New Roman"/>
          <w:kern w:val="0"/>
          <w:lang w:val="lt-LT"/>
          <w14:ligatures w14:val="none"/>
        </w:rPr>
        <w:t xml:space="preserve"> plazmoje, tačiau bendr</w:t>
      </w:r>
      <w:r w:rsidR="00553913">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xml:space="preserve"> absorbcij</w:t>
      </w:r>
      <w:r w:rsidR="00553913">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xml:space="preserve"> </w:t>
      </w:r>
      <w:r w:rsidR="00553913">
        <w:rPr>
          <w:rFonts w:ascii="Times New Roman" w:eastAsia="Times New Roman" w:hAnsi="Times New Roman" w:cs="Times New Roman"/>
          <w:kern w:val="0"/>
          <w:lang w:val="lt-LT"/>
          <w14:ligatures w14:val="none"/>
        </w:rPr>
        <w:t>pakito</w:t>
      </w:r>
      <w:r w:rsidR="00553913"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mažai, vidutinė AUC sumažėjo 8 %. Todėl pomalidomid</w:t>
      </w:r>
      <w:r w:rsidR="00553913">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galima skirti neatsižvelgiant į maisto vartojimą.</w:t>
      </w:r>
    </w:p>
    <w:p w14:paraId="36F3F85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88BD7F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Pasiskirstymas</w:t>
      </w:r>
    </w:p>
    <w:p w14:paraId="7620779A" w14:textId="7025AE6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Pomalidomido vidutinis tariamasis pasiskirstymo tūris (Vd/F) yra 62-138 l, </w:t>
      </w:r>
      <w:r w:rsidR="008447D2">
        <w:rPr>
          <w:rFonts w:ascii="Times New Roman" w:eastAsia="Times New Roman" w:hAnsi="Times New Roman" w:cs="Times New Roman"/>
          <w:kern w:val="0"/>
          <w:lang w:val="lt-LT"/>
          <w14:ligatures w14:val="none"/>
        </w:rPr>
        <w:t>nusistovėjus</w:t>
      </w:r>
      <w:r w:rsidR="008447D2"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pusiausvyrinei koncentracijai. Praėjus 4 dienoms po 2 mg dozės vartojimo vieną kartą per parą, pomalidomidas pasiskirsto sveikų tiriamųjų sėkloje koncentracija, maždaug atitinkančia 67 % </w:t>
      </w:r>
      <w:r w:rsidR="00BC3881">
        <w:rPr>
          <w:rFonts w:ascii="Times New Roman" w:eastAsia="Times New Roman" w:hAnsi="Times New Roman" w:cs="Times New Roman"/>
          <w:kern w:val="0"/>
          <w:lang w:val="lt-LT"/>
          <w14:ligatures w14:val="none"/>
        </w:rPr>
        <w:t>koncentracijos</w:t>
      </w:r>
      <w:r w:rsidR="00BC3881"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plazmoje praėjus 4 valandoms po dozės vartojimo (maždaug T</w:t>
      </w:r>
      <w:r w:rsidRPr="00A552D9">
        <w:rPr>
          <w:rFonts w:ascii="Times New Roman" w:eastAsia="Times New Roman" w:hAnsi="Times New Roman" w:cs="Times New Roman"/>
          <w:kern w:val="0"/>
          <w:vertAlign w:val="subscript"/>
          <w:lang w:val="lt-LT"/>
          <w14:ligatures w14:val="none"/>
        </w:rPr>
        <w:t>max</w:t>
      </w:r>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i/>
          <w:kern w:val="0"/>
          <w:lang w:val="lt-LT"/>
          <w14:ligatures w14:val="none"/>
        </w:rPr>
        <w:t xml:space="preserve">In vitro </w:t>
      </w:r>
      <w:r w:rsidRPr="00A552D9">
        <w:rPr>
          <w:rFonts w:ascii="Times New Roman" w:eastAsia="Times New Roman" w:hAnsi="Times New Roman" w:cs="Times New Roman"/>
          <w:kern w:val="0"/>
          <w:lang w:val="lt-LT"/>
          <w14:ligatures w14:val="none"/>
        </w:rPr>
        <w:t>pomalidomido enantiomerų jungimasis su žmogaus plazmos baltymais sudarė 12-44 % ir nepriklausė nuo koncentracijos.</w:t>
      </w:r>
    </w:p>
    <w:p w14:paraId="5699399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F425BC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Biotransformacija</w:t>
      </w:r>
    </w:p>
    <w:p w14:paraId="09BFA6D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Sveikiems tiriamiesiems, kurie vartojo vienkartinę geriamąją [</w:t>
      </w:r>
      <w:r w:rsidRPr="00A552D9">
        <w:rPr>
          <w:rFonts w:ascii="Times New Roman" w:eastAsia="Times New Roman" w:hAnsi="Times New Roman" w:cs="Times New Roman"/>
          <w:kern w:val="0"/>
          <w:vertAlign w:val="superscript"/>
          <w:lang w:val="lt-LT"/>
          <w14:ligatures w14:val="none"/>
        </w:rPr>
        <w:t>14</w:t>
      </w:r>
      <w:r w:rsidRPr="00A552D9">
        <w:rPr>
          <w:rFonts w:ascii="Times New Roman" w:eastAsia="Times New Roman" w:hAnsi="Times New Roman" w:cs="Times New Roman"/>
          <w:kern w:val="0"/>
          <w:lang w:val="lt-LT"/>
          <w14:ligatures w14:val="none"/>
        </w:rPr>
        <w:t xml:space="preserve">C]-pomalidomido (2 mg) dozę, </w:t>
      </w:r>
      <w:r w:rsidRPr="00A552D9">
        <w:rPr>
          <w:rFonts w:ascii="Times New Roman" w:eastAsia="Times New Roman" w:hAnsi="Times New Roman" w:cs="Times New Roman"/>
          <w:i/>
          <w:kern w:val="0"/>
          <w:lang w:val="lt-LT"/>
          <w14:ligatures w14:val="none"/>
        </w:rPr>
        <w:t xml:space="preserve">in vivo </w:t>
      </w:r>
      <w:r w:rsidRPr="00A552D9">
        <w:rPr>
          <w:rFonts w:ascii="Times New Roman" w:eastAsia="Times New Roman" w:hAnsi="Times New Roman" w:cs="Times New Roman"/>
          <w:kern w:val="0"/>
          <w:lang w:val="lt-LT"/>
          <w14:ligatures w14:val="none"/>
        </w:rPr>
        <w:t>pomalidomidas buvo pagrindinis cirkuliuojantis komponentas (maždaug 70 % radioaktyvumo plazmoje). Metabolitų, kurie sudarytų &gt; 10 % pirminio junginio arba bendro radioaktyvumo plazmoje, nebuvo.</w:t>
      </w:r>
    </w:p>
    <w:p w14:paraId="18703CA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4D3B580" w14:textId="15937546"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Pašalinama radioaktyvi dozė daugiausiai metabolizuojama vykstant hidroksilinimui ir tolesniam gliukuronidinimui arba hidrolizei. </w:t>
      </w:r>
      <w:r w:rsidRPr="00A552D9">
        <w:rPr>
          <w:rFonts w:ascii="Times New Roman" w:eastAsia="Times New Roman" w:hAnsi="Times New Roman" w:cs="Times New Roman"/>
          <w:i/>
          <w:kern w:val="0"/>
          <w:lang w:val="lt-LT"/>
          <w14:ligatures w14:val="none"/>
        </w:rPr>
        <w:t xml:space="preserve">In vitro </w:t>
      </w:r>
      <w:r w:rsidRPr="00A552D9">
        <w:rPr>
          <w:rFonts w:ascii="Times New Roman" w:eastAsia="Times New Roman" w:hAnsi="Times New Roman" w:cs="Times New Roman"/>
          <w:kern w:val="0"/>
          <w:lang w:val="lt-LT"/>
          <w14:ligatures w14:val="none"/>
        </w:rPr>
        <w:t xml:space="preserve">nustatyta, kad pagrindiniai fermentai, dalyvaujantys CYP sąlygojamame pomalidomido hidroksilinime, yra CYP1A2 ir CYP3A4, šiek tiek prisidedant CYP2C19 ir CYP2D6. Pomalidomidas taip pat yra P-glikoproteino substratas </w:t>
      </w:r>
      <w:r w:rsidRPr="00A552D9">
        <w:rPr>
          <w:rFonts w:ascii="Times New Roman" w:eastAsia="Times New Roman" w:hAnsi="Times New Roman" w:cs="Times New Roman"/>
          <w:i/>
          <w:kern w:val="0"/>
          <w:lang w:val="lt-LT"/>
          <w14:ligatures w14:val="none"/>
        </w:rPr>
        <w:t>in vitro</w:t>
      </w:r>
      <w:r w:rsidRPr="00A552D9">
        <w:rPr>
          <w:rFonts w:ascii="Times New Roman" w:eastAsia="Times New Roman" w:hAnsi="Times New Roman" w:cs="Times New Roman"/>
          <w:kern w:val="0"/>
          <w:lang w:val="lt-LT"/>
          <w14:ligatures w14:val="none"/>
        </w:rPr>
        <w:t>. Vartojant pomalidomid</w:t>
      </w:r>
      <w:r w:rsidR="00F6709B">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kartu su stipriu CYP3A4/5 ir P-gp inhibitoriumi ketokonazolu arba stipriu CYP3A4/5 induktoriumi karbamazepinu, kliniškai reikšmingo poveikio pomalidomido ekspozicijai nenustatyta. Kartu vartojant stiprų CYP1A2 inhibitorių fluvoksamin</w:t>
      </w:r>
      <w:r w:rsidR="00111A40">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su pomalidomidu ir ketokonazolu, vidutinė pomalidomido ekspozicija padidėjo 107 % su 90 % pasikliautiniu intervalu [nuo 91 % iki 124 %], palyginti su pomalidomido vartojimu kartu su ketokonazolu. Atliekant antrąjį tyrimą, skirtą įvertinti CYP1A2 inhibitoriaus įtaką metabolizmo pokyčiams, nustatyta, kad vartojant fluvoksamino ir pomalidomido derinį, vidutinė pomalidomido ekspozicija padidėjo 125 % su 90 % pasikliautin</w:t>
      </w:r>
      <w:r w:rsidR="002F6DED">
        <w:rPr>
          <w:rFonts w:ascii="Times New Roman" w:eastAsia="Times New Roman" w:hAnsi="Times New Roman" w:cs="Times New Roman"/>
          <w:kern w:val="0"/>
          <w:lang w:val="lt-LT"/>
          <w14:ligatures w14:val="none"/>
        </w:rPr>
        <w:t>uoju</w:t>
      </w:r>
      <w:r w:rsidRPr="00A552D9">
        <w:rPr>
          <w:rFonts w:ascii="Times New Roman" w:eastAsia="Times New Roman" w:hAnsi="Times New Roman" w:cs="Times New Roman"/>
          <w:kern w:val="0"/>
          <w:lang w:val="lt-LT"/>
          <w14:ligatures w14:val="none"/>
        </w:rPr>
        <w:t xml:space="preserve"> intervalu [nuo 98 % iki 157 %], palyginti su vien pomalidomido vartojimu. Jei stiprūs CYP1A2 inhibitoriai (pvz., ciprofloksacinas, enoksacinas ir fluvoksaminas) vartojami kartu su pomalidomidu, pomalidomido dozę reikia sumažinti 50 %. Vartojant pomalidomid</w:t>
      </w:r>
      <w:r w:rsidR="00E239C4">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rūkantiems žmonėms, rūkant tabaką, kuris yra CYP1A2 izoformos induktorius, kliniškai reikšmingo poveikio pomalidomido ekspozicijai nenustatyta, lyginant su pomalidomido ekspozicija nerūkantiems žmonėms.</w:t>
      </w:r>
    </w:p>
    <w:p w14:paraId="68E6B96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6629BD2" w14:textId="5506B06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Remiantis </w:t>
      </w:r>
      <w:r w:rsidRPr="00A552D9">
        <w:rPr>
          <w:rFonts w:ascii="Times New Roman" w:eastAsia="Times New Roman" w:hAnsi="Times New Roman" w:cs="Times New Roman"/>
          <w:i/>
          <w:kern w:val="0"/>
          <w:lang w:val="lt-LT"/>
          <w14:ligatures w14:val="none"/>
        </w:rPr>
        <w:t xml:space="preserve">in vitro </w:t>
      </w:r>
      <w:r w:rsidRPr="00A552D9">
        <w:rPr>
          <w:rFonts w:ascii="Times New Roman" w:eastAsia="Times New Roman" w:hAnsi="Times New Roman" w:cs="Times New Roman"/>
          <w:kern w:val="0"/>
          <w:lang w:val="lt-LT"/>
          <w14:ligatures w14:val="none"/>
        </w:rPr>
        <w:t>duomenimis, pomalidomidas nėra P-450 izofermentų inhibitorius arba induktorius ir tirtų vaistinių preparatų nešiklių neslopina. Vartojant pomalidomid</w:t>
      </w:r>
      <w:r w:rsidR="0094511D">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kartu su taip metabolizuojamais substratais, kliniškai reikšminga sąveika nėra tikėtina.</w:t>
      </w:r>
    </w:p>
    <w:p w14:paraId="4000C27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831671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Eliminacija</w:t>
      </w:r>
    </w:p>
    <w:p w14:paraId="29EC93A1" w14:textId="5E1C8C8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Pomalidomidas pašalinamas pusinės eliminacijos laikui plazmoje esant maždaug 9,5 valandos sveikiems tiriamiesiems ir maždaug </w:t>
      </w:r>
      <w:r w:rsidRPr="004D4255">
        <w:rPr>
          <w:rFonts w:ascii="Times New Roman" w:hAnsi="Times New Roman" w:cs="Times New Roman"/>
          <w:lang w:val="lt-LT"/>
        </w:rPr>
        <w:t>7,5</w:t>
      </w:r>
      <w:r w:rsidR="007A6C03" w:rsidRPr="004D4255">
        <w:rPr>
          <w:rFonts w:ascii="Times New Roman" w:hAnsi="Times New Roman" w:cs="Times New Roman"/>
          <w:lang w:val="lt-LT"/>
        </w:rPr>
        <w:t> </w:t>
      </w:r>
      <w:r w:rsidRPr="004D4255">
        <w:rPr>
          <w:rFonts w:ascii="Times New Roman" w:hAnsi="Times New Roman" w:cs="Times New Roman"/>
          <w:lang w:val="lt-LT"/>
        </w:rPr>
        <w:t>valandos</w:t>
      </w:r>
      <w:r w:rsidRPr="00A552D9">
        <w:rPr>
          <w:rFonts w:ascii="Times New Roman" w:eastAsia="Times New Roman" w:hAnsi="Times New Roman" w:cs="Times New Roman"/>
          <w:kern w:val="0"/>
          <w:lang w:val="lt-LT"/>
          <w14:ligatures w14:val="none"/>
        </w:rPr>
        <w:t xml:space="preserve"> pacientams, sergantiems daugine mieloma. Pomalidomido vidutinis bendras klirensas organizme (CL/F) yra maždaug 7-10 l/val.</w:t>
      </w:r>
    </w:p>
    <w:p w14:paraId="73E8409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0027DB4" w14:textId="084918DA"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Sveikiems tiriamiesiems išgėrus vienkartinę [</w:t>
      </w:r>
      <w:r w:rsidRPr="00A552D9">
        <w:rPr>
          <w:rFonts w:ascii="Times New Roman" w:eastAsia="Times New Roman" w:hAnsi="Times New Roman" w:cs="Times New Roman"/>
          <w:kern w:val="0"/>
          <w:vertAlign w:val="superscript"/>
          <w:lang w:val="lt-LT"/>
          <w14:ligatures w14:val="none"/>
        </w:rPr>
        <w:t>14</w:t>
      </w:r>
      <w:r w:rsidRPr="00A552D9">
        <w:rPr>
          <w:rFonts w:ascii="Times New Roman" w:eastAsia="Times New Roman" w:hAnsi="Times New Roman" w:cs="Times New Roman"/>
          <w:kern w:val="0"/>
          <w:lang w:val="lt-LT"/>
          <w14:ligatures w14:val="none"/>
        </w:rPr>
        <w:t>C]-pomalidomido (2 mg) dozę, atitinkamai maždaug 73 % ir 15 % radioaktyvios dozės buvo pašalinta su šlapimu ir išmatomis, maždaug 2 % ir 8 % radioaktyviuoju anglies izotopu žymėtos dozės buvo pašalinta su šlapimu ir išmatomis.</w:t>
      </w:r>
    </w:p>
    <w:p w14:paraId="6A9D39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CBAB98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Pomalidomidas prieš pašalinant yra plačiai metabolizuojamas, didžioji dalis jo metabolitų pašalinama su šlapimu. 3 pagrindiniai metabolitai šlapime (susidarantys vykstant hidrolizei arba hidrokslinimui ir tolesniam gliukuronidinimui) sudaro atitinkamai maždaug 23 %, 17 % ir 12 % dozės šlapime.</w:t>
      </w:r>
    </w:p>
    <w:p w14:paraId="126B55E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ACBD9DC" w14:textId="238439F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Nuo CYP priklausantys metabolitai sudaro maždaug 43 % visos pašalinamos radioaktyvios dozės, o nuo CYP nepriklausantys hidroliziniai metabolitai sudaro 25 %, nepakitusio pomalidomido pašalin</w:t>
      </w:r>
      <w:r w:rsidR="003A7DC9" w:rsidRPr="00A552D9">
        <w:rPr>
          <w:rFonts w:ascii="Times New Roman" w:eastAsia="Times New Roman" w:hAnsi="Times New Roman" w:cs="Times New Roman"/>
          <w:kern w:val="0"/>
          <w:lang w:val="lt-LT"/>
          <w14:ligatures w14:val="none"/>
        </w:rPr>
        <w:t>ama</w:t>
      </w:r>
      <w:r w:rsidRPr="00A552D9">
        <w:rPr>
          <w:rFonts w:ascii="Times New Roman" w:eastAsia="Times New Roman" w:hAnsi="Times New Roman" w:cs="Times New Roman"/>
          <w:kern w:val="0"/>
          <w:lang w:val="lt-LT"/>
          <w14:ligatures w14:val="none"/>
        </w:rPr>
        <w:t xml:space="preserve"> 10 % (2 % su šlapimu ir 8 % su išmatomis).</w:t>
      </w:r>
    </w:p>
    <w:p w14:paraId="39719D5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6AD28C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Populiacijos farmakokinetika (FK)</w:t>
      </w:r>
    </w:p>
    <w:p w14:paraId="36D75BD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Remiantis populiacijos farmakokinetikos analize naudojant dviejų sekcijų modelį, sveikų tiriamųjų ir daugine mieloma sergančių pacientų tariamasis klirensas (CL/F) ir centrinis tariamasis pasiskirstymo tūris (V</w:t>
      </w:r>
      <w:r w:rsidRPr="00A552D9">
        <w:rPr>
          <w:rFonts w:ascii="Times New Roman" w:eastAsia="Times New Roman" w:hAnsi="Times New Roman" w:cs="Times New Roman"/>
          <w:kern w:val="0"/>
          <w:vertAlign w:val="subscript"/>
          <w:lang w:val="lt-LT"/>
          <w14:ligatures w14:val="none"/>
        </w:rPr>
        <w:t>2</w:t>
      </w:r>
      <w:r w:rsidRPr="00A552D9">
        <w:rPr>
          <w:rFonts w:ascii="Times New Roman" w:eastAsia="Times New Roman" w:hAnsi="Times New Roman" w:cs="Times New Roman"/>
          <w:kern w:val="0"/>
          <w:lang w:val="lt-LT"/>
          <w14:ligatures w14:val="none"/>
        </w:rPr>
        <w:t>/F) buvo panašus. Periferiniuose audiniuose pomalidomidas buvo daugiausiai įsisavinamas navikų, kurių periferinis tariamasis pasiskirstymo klirensas (Q/F) ir periferinis tariamasis pasiskirstymo tūris (V</w:t>
      </w:r>
      <w:r w:rsidRPr="00A552D9">
        <w:rPr>
          <w:rFonts w:ascii="Times New Roman" w:eastAsia="Times New Roman" w:hAnsi="Times New Roman" w:cs="Times New Roman"/>
          <w:kern w:val="0"/>
          <w:vertAlign w:val="subscript"/>
          <w:lang w:val="lt-LT"/>
          <w14:ligatures w14:val="none"/>
        </w:rPr>
        <w:t>3</w:t>
      </w:r>
      <w:r w:rsidRPr="00A552D9">
        <w:rPr>
          <w:rFonts w:ascii="Times New Roman" w:eastAsia="Times New Roman" w:hAnsi="Times New Roman" w:cs="Times New Roman"/>
          <w:kern w:val="0"/>
          <w:lang w:val="lt-LT"/>
          <w14:ligatures w14:val="none"/>
        </w:rPr>
        <w:t>/F) buvo atitinkamai 3,7 karto ir 8 kartus didesni nei sveikų tiriamųjų.</w:t>
      </w:r>
    </w:p>
    <w:p w14:paraId="7EEBE86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B3F9D5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Vaikų populiacija</w:t>
      </w:r>
    </w:p>
    <w:p w14:paraId="4D81EC17" w14:textId="6271D44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Besikartojančiu ar progresuojančiu pirminiu smegenų naviku sergantiems vaikams ir paaugliams išgėrus vieną </w:t>
      </w:r>
      <w:r w:rsidR="00A462C4">
        <w:rPr>
          <w:rFonts w:ascii="Times New Roman" w:eastAsia="Times New Roman" w:hAnsi="Times New Roman" w:cs="Times New Roman"/>
          <w:kern w:val="0"/>
          <w:lang w:val="lt-LT"/>
          <w14:ligatures w14:val="none"/>
        </w:rPr>
        <w:t>pomalidomido</w:t>
      </w:r>
      <w:r w:rsidR="00A462C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dozę, T</w:t>
      </w:r>
      <w:r w:rsidRPr="00A552D9">
        <w:rPr>
          <w:rFonts w:ascii="Times New Roman" w:eastAsia="Times New Roman" w:hAnsi="Times New Roman" w:cs="Times New Roman"/>
          <w:kern w:val="0"/>
          <w:vertAlign w:val="subscript"/>
          <w:lang w:val="lt-LT"/>
          <w14:ligatures w14:val="none"/>
        </w:rPr>
        <w:t>max</w:t>
      </w:r>
      <w:r w:rsidRPr="00A552D9">
        <w:rPr>
          <w:rFonts w:ascii="Times New Roman" w:eastAsia="Times New Roman" w:hAnsi="Times New Roman" w:cs="Times New Roman"/>
          <w:kern w:val="0"/>
          <w:lang w:val="lt-LT"/>
          <w14:ligatures w14:val="none"/>
        </w:rPr>
        <w:t xml:space="preserve"> </w:t>
      </w:r>
      <w:r w:rsidR="00004B34">
        <w:rPr>
          <w:rFonts w:ascii="Times New Roman" w:eastAsia="Times New Roman" w:hAnsi="Times New Roman" w:cs="Times New Roman"/>
          <w:kern w:val="0"/>
          <w:lang w:val="lt-LT"/>
          <w14:ligatures w14:val="none"/>
        </w:rPr>
        <w:t xml:space="preserve">mediana </w:t>
      </w:r>
      <w:r w:rsidRPr="00A552D9">
        <w:rPr>
          <w:rFonts w:ascii="Times New Roman" w:eastAsia="Times New Roman" w:hAnsi="Times New Roman" w:cs="Times New Roman"/>
          <w:kern w:val="0"/>
          <w:lang w:val="lt-LT"/>
          <w14:ligatures w14:val="none"/>
        </w:rPr>
        <w:t>buvo stebima po 2–4 valandų po dozės išgėrimo ir atitiko C</w:t>
      </w:r>
      <w:r w:rsidRPr="00A552D9">
        <w:rPr>
          <w:rFonts w:ascii="Times New Roman" w:eastAsia="Times New Roman" w:hAnsi="Times New Roman" w:cs="Times New Roman"/>
          <w:kern w:val="0"/>
          <w:vertAlign w:val="subscript"/>
          <w:lang w:val="lt-LT"/>
          <w14:ligatures w14:val="none"/>
        </w:rPr>
        <w:t>max</w:t>
      </w:r>
      <w:r w:rsidRPr="00A552D9">
        <w:rPr>
          <w:rFonts w:ascii="Times New Roman" w:eastAsia="Times New Roman" w:hAnsi="Times New Roman" w:cs="Times New Roman"/>
          <w:kern w:val="0"/>
          <w:lang w:val="lt-LT"/>
          <w14:ligatures w14:val="none"/>
        </w:rPr>
        <w:t xml:space="preserve"> (CV %) 74,8 (59,4 %), 79,2 (51,7 %), 104 (18,3 %) ng/ml verčių geometrinį vidurkį atitinkamai išgėrus 1,9, 2,6, 3,4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xml:space="preserve"> dydžio dozes. Įvertinus AUC</w:t>
      </w:r>
      <w:r w:rsidRPr="00A552D9">
        <w:rPr>
          <w:rFonts w:ascii="Times New Roman" w:eastAsia="Times New Roman" w:hAnsi="Times New Roman" w:cs="Times New Roman"/>
          <w:kern w:val="0"/>
          <w:vertAlign w:val="subscript"/>
          <w:lang w:val="lt-LT"/>
          <w14:ligatures w14:val="none"/>
        </w:rPr>
        <w:t>0-24</w:t>
      </w:r>
      <w:r w:rsidRPr="00A552D9">
        <w:rPr>
          <w:rFonts w:ascii="Times New Roman" w:eastAsia="Times New Roman" w:hAnsi="Times New Roman" w:cs="Times New Roman"/>
          <w:kern w:val="0"/>
          <w:lang w:val="lt-LT"/>
          <w14:ligatures w14:val="none"/>
        </w:rPr>
        <w:t xml:space="preserve"> ir AUC</w:t>
      </w:r>
      <w:r w:rsidRPr="00A552D9">
        <w:rPr>
          <w:rFonts w:ascii="Times New Roman" w:eastAsia="Times New Roman" w:hAnsi="Times New Roman" w:cs="Times New Roman"/>
          <w:kern w:val="0"/>
          <w:vertAlign w:val="subscript"/>
          <w:lang w:val="lt-LT"/>
          <w14:ligatures w14:val="none"/>
        </w:rPr>
        <w:t>0-inf</w:t>
      </w:r>
      <w:r w:rsidRPr="00A552D9">
        <w:rPr>
          <w:rFonts w:ascii="Times New Roman" w:eastAsia="Times New Roman" w:hAnsi="Times New Roman" w:cs="Times New Roman"/>
          <w:kern w:val="0"/>
          <w:lang w:val="lt-LT"/>
          <w14:ligatures w14:val="none"/>
        </w:rPr>
        <w:t xml:space="preserve"> rodiklius, stebimos panašios tendencijos: bendroji ekspozicija </w:t>
      </w:r>
      <w:r w:rsidR="00CF4E94">
        <w:rPr>
          <w:rFonts w:ascii="Times New Roman" w:eastAsia="Times New Roman" w:hAnsi="Times New Roman" w:cs="Times New Roman"/>
          <w:kern w:val="0"/>
          <w:lang w:val="lt-LT"/>
          <w14:ligatures w14:val="none"/>
        </w:rPr>
        <w:t>svyravo</w:t>
      </w:r>
      <w:r w:rsidRPr="00A552D9">
        <w:rPr>
          <w:rFonts w:ascii="Times New Roman" w:eastAsia="Times New Roman" w:hAnsi="Times New Roman" w:cs="Times New Roman"/>
          <w:kern w:val="0"/>
          <w:lang w:val="lt-LT"/>
          <w14:ligatures w14:val="none"/>
        </w:rPr>
        <w:t xml:space="preserve"> maždaug nuo 700 iki 800 val. </w:t>
      </w:r>
      <w:r w:rsidR="00550AFC" w:rsidRPr="00A552D9">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ng/ml išgėrus 2 </w:t>
      </w:r>
      <w:r w:rsidR="00E15060">
        <w:rPr>
          <w:rFonts w:ascii="Times New Roman" w:eastAsia="Times New Roman" w:hAnsi="Times New Roman" w:cs="Times New Roman"/>
          <w:kern w:val="0"/>
          <w:lang w:val="lt-LT"/>
          <w14:ligatures w14:val="none"/>
        </w:rPr>
        <w:t xml:space="preserve">mažesnes </w:t>
      </w:r>
      <w:r w:rsidRPr="00A552D9">
        <w:rPr>
          <w:rFonts w:ascii="Times New Roman" w:eastAsia="Times New Roman" w:hAnsi="Times New Roman" w:cs="Times New Roman"/>
          <w:kern w:val="0"/>
          <w:lang w:val="lt-LT"/>
          <w14:ligatures w14:val="none"/>
        </w:rPr>
        <w:t>dozes ir maždaug 1200 val. </w:t>
      </w:r>
      <w:r w:rsidR="00550AFC" w:rsidRPr="00A552D9">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ng/ml išgėrus </w:t>
      </w:r>
      <w:r w:rsidR="00010BFB">
        <w:rPr>
          <w:rFonts w:ascii="Times New Roman" w:eastAsia="Times New Roman" w:hAnsi="Times New Roman" w:cs="Times New Roman"/>
          <w:kern w:val="0"/>
          <w:lang w:val="lt-LT"/>
          <w14:ligatures w14:val="none"/>
        </w:rPr>
        <w:t>didelę</w:t>
      </w:r>
      <w:r w:rsidR="00010BFB"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dozę. Apskaičiuotas pusinės eliminacijos laikas buvo maždaug nuo 5 iki 7 valandų.</w:t>
      </w:r>
    </w:p>
    <w:p w14:paraId="0C4B128A" w14:textId="4CAD06B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Nebuvo jokių aiškių tendencijų, </w:t>
      </w:r>
      <w:r w:rsidR="003C47B1">
        <w:rPr>
          <w:rFonts w:ascii="Times New Roman" w:eastAsia="Times New Roman" w:hAnsi="Times New Roman" w:cs="Times New Roman"/>
          <w:kern w:val="0"/>
          <w:lang w:val="lt-LT"/>
          <w14:ligatures w14:val="none"/>
        </w:rPr>
        <w:t>susijusių su</w:t>
      </w:r>
      <w:r w:rsidR="003C47B1"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strafikacija pagal amžių ir steroidų vartojimu didžiausioje toleruojamoje dozėje (MTD).</w:t>
      </w:r>
    </w:p>
    <w:p w14:paraId="3712E5FD" w14:textId="33404FE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Apskritai </w:t>
      </w:r>
      <w:r w:rsidR="00E26E43">
        <w:rPr>
          <w:rFonts w:ascii="Times New Roman" w:eastAsia="Times New Roman" w:hAnsi="Times New Roman" w:cs="Times New Roman"/>
          <w:kern w:val="0"/>
          <w:lang w:val="lt-LT"/>
          <w14:ligatures w14:val="none"/>
        </w:rPr>
        <w:t xml:space="preserve">gauti </w:t>
      </w:r>
      <w:r w:rsidRPr="00A552D9">
        <w:rPr>
          <w:rFonts w:ascii="Times New Roman" w:eastAsia="Times New Roman" w:hAnsi="Times New Roman" w:cs="Times New Roman"/>
          <w:kern w:val="0"/>
          <w:lang w:val="lt-LT"/>
          <w14:ligatures w14:val="none"/>
        </w:rPr>
        <w:t xml:space="preserve">duomenys </w:t>
      </w:r>
      <w:r w:rsidR="00E26E43">
        <w:rPr>
          <w:rFonts w:ascii="Times New Roman" w:eastAsia="Times New Roman" w:hAnsi="Times New Roman" w:cs="Times New Roman"/>
          <w:kern w:val="0"/>
          <w:lang w:val="lt-LT"/>
          <w14:ligatures w14:val="none"/>
        </w:rPr>
        <w:t>rodo</w:t>
      </w:r>
      <w:r w:rsidRPr="00A552D9">
        <w:rPr>
          <w:rFonts w:ascii="Times New Roman" w:eastAsia="Times New Roman" w:hAnsi="Times New Roman" w:cs="Times New Roman"/>
          <w:kern w:val="0"/>
          <w:lang w:val="lt-LT"/>
          <w14:ligatures w14:val="none"/>
        </w:rPr>
        <w:t>, kad padidinus polimalidomido dozę AUC padidėjo beveik proporcingai, o C</w:t>
      </w:r>
      <w:r w:rsidRPr="00A552D9">
        <w:rPr>
          <w:rFonts w:ascii="Times New Roman" w:eastAsia="Times New Roman" w:hAnsi="Times New Roman" w:cs="Times New Roman"/>
          <w:kern w:val="0"/>
          <w:vertAlign w:val="subscript"/>
          <w:lang w:val="lt-LT"/>
          <w14:ligatures w14:val="none"/>
        </w:rPr>
        <w:t>max</w:t>
      </w:r>
      <w:r w:rsidRPr="00A552D9">
        <w:rPr>
          <w:rFonts w:ascii="Times New Roman" w:eastAsia="Times New Roman" w:hAnsi="Times New Roman" w:cs="Times New Roman"/>
          <w:kern w:val="0"/>
          <w:lang w:val="lt-LT"/>
          <w14:ligatures w14:val="none"/>
        </w:rPr>
        <w:t xml:space="preserve"> vertės padidėjimas įprastai buvo </w:t>
      </w:r>
      <w:r w:rsidR="00E053FB">
        <w:rPr>
          <w:rFonts w:ascii="Times New Roman" w:eastAsia="Times New Roman" w:hAnsi="Times New Roman" w:cs="Times New Roman"/>
          <w:kern w:val="0"/>
          <w:lang w:val="lt-LT"/>
          <w14:ligatures w14:val="none"/>
        </w:rPr>
        <w:t>mažiau nei</w:t>
      </w:r>
      <w:r w:rsidRPr="00A552D9">
        <w:rPr>
          <w:rFonts w:ascii="Times New Roman" w:eastAsia="Times New Roman" w:hAnsi="Times New Roman" w:cs="Times New Roman"/>
          <w:kern w:val="0"/>
          <w:lang w:val="lt-LT"/>
          <w14:ligatures w14:val="none"/>
        </w:rPr>
        <w:t xml:space="preserve"> proporcingas.</w:t>
      </w:r>
    </w:p>
    <w:p w14:paraId="6B0DFB0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264B090" w14:textId="48ECD07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Pomalidomido farmakokinetika išgėrus nuo 1,9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w:t>
      </w:r>
      <w:r w:rsidR="006D6AB5">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per</w:t>
      </w:r>
      <w:r w:rsidR="00011C58">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parą iki 3,4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w:t>
      </w:r>
      <w:r w:rsidR="00011C58">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per</w:t>
      </w:r>
      <w:r w:rsidR="00011C58">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parą siekiančią dozę buvo nustatyta 70 pacientų. Jie buvo nuo 4-erių iki 20-ies metų ir buvo įtraukti į integruotą 1 ir 2 fazių pasikartojančių ar progresuojančių vaikų smegenų navikų tyrimų analizę. Pomalidomido koncentracijos per tam tikrą laiką santraukos buvo tinkamai aprašyti vieno skyriaus farmakokinetikos (</w:t>
      </w:r>
      <w:r w:rsidR="003E4DD2" w:rsidRPr="00A552D9">
        <w:rPr>
          <w:rFonts w:ascii="Times New Roman" w:eastAsia="Times New Roman" w:hAnsi="Times New Roman" w:cs="Times New Roman"/>
          <w:kern w:val="0"/>
          <w:lang w:val="lt-LT"/>
          <w14:ligatures w14:val="none"/>
        </w:rPr>
        <w:t>F</w:t>
      </w:r>
      <w:r w:rsidRPr="00A552D9">
        <w:rPr>
          <w:rFonts w:ascii="Times New Roman" w:eastAsia="Times New Roman" w:hAnsi="Times New Roman" w:cs="Times New Roman"/>
          <w:kern w:val="0"/>
          <w:lang w:val="lt-LT"/>
          <w14:ligatures w14:val="none"/>
        </w:rPr>
        <w:t xml:space="preserve">K) modelyje su pirmojo laipsnio absorbcija ir eliminacija. Pomalidomidas </w:t>
      </w:r>
      <w:r w:rsidR="00B62840">
        <w:rPr>
          <w:rFonts w:ascii="Times New Roman" w:eastAsia="Times New Roman" w:hAnsi="Times New Roman" w:cs="Times New Roman"/>
          <w:kern w:val="0"/>
          <w:lang w:val="lt-LT"/>
          <w14:ligatures w14:val="none"/>
        </w:rPr>
        <w:t>pasižymėjo</w:t>
      </w:r>
      <w:r w:rsidR="00B62840"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linijin</w:t>
      </w:r>
      <w:r w:rsidR="00B62840">
        <w:rPr>
          <w:rFonts w:ascii="Times New Roman" w:eastAsia="Times New Roman" w:hAnsi="Times New Roman" w:cs="Times New Roman"/>
          <w:kern w:val="0"/>
          <w:lang w:val="lt-LT"/>
          <w14:ligatures w14:val="none"/>
        </w:rPr>
        <w:t>e</w:t>
      </w:r>
      <w:r w:rsidRPr="00A552D9">
        <w:rPr>
          <w:rFonts w:ascii="Times New Roman" w:eastAsia="Times New Roman" w:hAnsi="Times New Roman" w:cs="Times New Roman"/>
          <w:kern w:val="0"/>
          <w:lang w:val="lt-LT"/>
          <w14:ligatures w14:val="none"/>
        </w:rPr>
        <w:t xml:space="preserve"> ir laikui bėgant nekintanči</w:t>
      </w:r>
      <w:r w:rsidR="00B62840">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xml:space="preserve"> </w:t>
      </w:r>
      <w:r w:rsidR="003F7669" w:rsidRPr="00A552D9">
        <w:rPr>
          <w:rFonts w:ascii="Times New Roman" w:eastAsia="Times New Roman" w:hAnsi="Times New Roman" w:cs="Times New Roman"/>
          <w:kern w:val="0"/>
          <w:lang w:val="lt-LT"/>
          <w14:ligatures w14:val="none"/>
        </w:rPr>
        <w:t>F</w:t>
      </w:r>
      <w:r w:rsidRPr="00A552D9">
        <w:rPr>
          <w:rFonts w:ascii="Times New Roman" w:eastAsia="Times New Roman" w:hAnsi="Times New Roman" w:cs="Times New Roman"/>
          <w:kern w:val="0"/>
          <w:lang w:val="lt-LT"/>
          <w14:ligatures w14:val="none"/>
        </w:rPr>
        <w:t>K, kuri</w:t>
      </w:r>
      <w:r w:rsidR="00B62840">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w:t>
      </w:r>
      <w:r w:rsidR="00B62840">
        <w:rPr>
          <w:rFonts w:ascii="Times New Roman" w:eastAsia="Times New Roman" w:hAnsi="Times New Roman" w:cs="Times New Roman"/>
          <w:kern w:val="0"/>
          <w:lang w:val="lt-LT"/>
          <w14:ligatures w14:val="none"/>
        </w:rPr>
        <w:t>kintamumas nedidelis</w:t>
      </w:r>
      <w:r w:rsidRPr="00A552D9">
        <w:rPr>
          <w:rFonts w:ascii="Times New Roman" w:eastAsia="Times New Roman" w:hAnsi="Times New Roman" w:cs="Times New Roman"/>
          <w:kern w:val="0"/>
          <w:lang w:val="lt-LT"/>
          <w14:ligatures w14:val="none"/>
        </w:rPr>
        <w:t>. CL/F, Vc/F, Ka vertės buvo tipinės, pom</w:t>
      </w:r>
      <w:r w:rsidR="00881B0F">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lidomido vėlavimo</w:t>
      </w:r>
      <w:r w:rsidR="00C70D30">
        <w:rPr>
          <w:rFonts w:ascii="Times New Roman" w:eastAsia="Times New Roman" w:hAnsi="Times New Roman" w:cs="Times New Roman"/>
          <w:kern w:val="0"/>
          <w:lang w:val="lt-LT"/>
          <w14:ligatures w14:val="none"/>
        </w:rPr>
        <w:t xml:space="preserve"> laiko reikšmės</w:t>
      </w:r>
      <w:r w:rsidRPr="00A552D9">
        <w:rPr>
          <w:rFonts w:ascii="Times New Roman" w:eastAsia="Times New Roman" w:hAnsi="Times New Roman" w:cs="Times New Roman"/>
          <w:kern w:val="0"/>
          <w:lang w:val="lt-LT"/>
          <w14:ligatures w14:val="none"/>
        </w:rPr>
        <w:t xml:space="preserve"> buvo atitinkamai 3,94 l/val., 43,0 l, 1,45 val.</w:t>
      </w:r>
      <w:r w:rsidRPr="00A552D9">
        <w:rPr>
          <w:rFonts w:ascii="Times New Roman" w:eastAsia="Times New Roman" w:hAnsi="Times New Roman" w:cs="Times New Roman"/>
          <w:kern w:val="0"/>
          <w:vertAlign w:val="superscript"/>
          <w:lang w:val="lt-LT"/>
          <w14:ligatures w14:val="none"/>
        </w:rPr>
        <w:t>-1</w:t>
      </w:r>
      <w:r w:rsidRPr="00A552D9">
        <w:rPr>
          <w:rFonts w:ascii="Times New Roman" w:eastAsia="Times New Roman" w:hAnsi="Times New Roman" w:cs="Times New Roman"/>
          <w:kern w:val="0"/>
          <w:lang w:val="lt-LT"/>
          <w14:ligatures w14:val="none"/>
        </w:rPr>
        <w:t xml:space="preserve"> ir 0,454 val. Pomalidomido galutinis pusinės eliminacijos laikas buvo 7,33 val. Išskyrus kūno paviršiaus plotą (angl. </w:t>
      </w:r>
      <w:r w:rsidRPr="00A552D9">
        <w:rPr>
          <w:rFonts w:ascii="Times New Roman" w:eastAsia="Times New Roman" w:hAnsi="Times New Roman" w:cs="Times New Roman"/>
          <w:i/>
          <w:kern w:val="0"/>
          <w:lang w:val="lt-LT"/>
          <w14:ligatures w14:val="none"/>
        </w:rPr>
        <w:t xml:space="preserve">body surface area, </w:t>
      </w:r>
      <w:r w:rsidRPr="00A552D9">
        <w:rPr>
          <w:rFonts w:ascii="Times New Roman" w:eastAsia="Times New Roman" w:hAnsi="Times New Roman" w:cs="Times New Roman"/>
          <w:kern w:val="0"/>
          <w:lang w:val="lt-LT"/>
          <w14:ligatures w14:val="none"/>
        </w:rPr>
        <w:t xml:space="preserve">BSA), nė vienas iš tiriamų kintamųjų, įskaitant amžių ir lytį, neturėjo įtakos pomalidomido farmakokinetikai. Nors kūno paviršiaus plotas (BSA) buvo įvertintas kaip statistiškai </w:t>
      </w:r>
      <w:r w:rsidR="00C24669">
        <w:rPr>
          <w:rFonts w:ascii="Times New Roman" w:eastAsia="Times New Roman" w:hAnsi="Times New Roman" w:cs="Times New Roman"/>
          <w:kern w:val="0"/>
          <w:lang w:val="lt-LT"/>
          <w14:ligatures w14:val="none"/>
        </w:rPr>
        <w:t>reikšmingas</w:t>
      </w:r>
      <w:r w:rsidR="00C24669"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pomalidomido CL/F ir Vc/F kintamasis, BSA poveikis ekspozicijos rodikliams laikomas </w:t>
      </w:r>
      <w:r w:rsidR="009E5891">
        <w:rPr>
          <w:rFonts w:ascii="Times New Roman" w:eastAsia="Times New Roman" w:hAnsi="Times New Roman" w:cs="Times New Roman"/>
          <w:kern w:val="0"/>
          <w:lang w:val="lt-LT"/>
          <w14:ligatures w14:val="none"/>
        </w:rPr>
        <w:t>kliniškai</w:t>
      </w:r>
      <w:r w:rsidR="009E5891"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nereikšming</w:t>
      </w:r>
      <w:r w:rsidR="009E5891">
        <w:rPr>
          <w:rFonts w:ascii="Times New Roman" w:eastAsia="Times New Roman" w:hAnsi="Times New Roman" w:cs="Times New Roman"/>
          <w:kern w:val="0"/>
          <w:lang w:val="lt-LT"/>
          <w14:ligatures w14:val="none"/>
        </w:rPr>
        <w:t>u</w:t>
      </w:r>
      <w:r w:rsidRPr="00A552D9">
        <w:rPr>
          <w:rFonts w:ascii="Times New Roman" w:eastAsia="Times New Roman" w:hAnsi="Times New Roman" w:cs="Times New Roman"/>
          <w:kern w:val="0"/>
          <w:lang w:val="lt-LT"/>
          <w14:ligatures w14:val="none"/>
        </w:rPr>
        <w:t>.</w:t>
      </w:r>
    </w:p>
    <w:p w14:paraId="3BD6369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Apskritai nebuvo aptikta didelių skirtumų tarp pomalidomido farmakokinetikos (PK) vaikams ir suaugusiems pacientams.</w:t>
      </w:r>
    </w:p>
    <w:p w14:paraId="23F9142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585DE3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Senyvi pacientai</w:t>
      </w:r>
    </w:p>
    <w:p w14:paraId="0EDCAAB6" w14:textId="265C326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Remiantis sveikų tiriamųjų ir daugine mieloma sergančių pacientų populiacijos farmakokinetikos analizėmis, reikšmingos amžiaus (19-83 m.) įtakos išgerto pomalidomido klirensui nenustatyta. Klinikinių tyrimų metu pomalidomid</w:t>
      </w:r>
      <w:r w:rsidR="00246A22">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vartojusiems senyviems (&gt; 65 metų) pacientams dozės koreguoti nereikėjo (žr. 4.2 skyrių).</w:t>
      </w:r>
    </w:p>
    <w:p w14:paraId="428DC48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3B89880" w14:textId="3A0651D7" w:rsidR="00992F19" w:rsidRPr="00A552D9" w:rsidRDefault="00C5030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u w:val="single"/>
          <w:lang w:val="lt-LT"/>
          <w14:ligatures w14:val="none"/>
        </w:rPr>
        <w:t>Sutrikusi</w:t>
      </w:r>
      <w:r w:rsidR="009700F7">
        <w:rPr>
          <w:rFonts w:ascii="Times New Roman" w:eastAsia="Times New Roman" w:hAnsi="Times New Roman" w:cs="Times New Roman"/>
          <w:kern w:val="0"/>
          <w:u w:val="single"/>
          <w:lang w:val="lt-LT"/>
          <w14:ligatures w14:val="none"/>
        </w:rPr>
        <w:t xml:space="preserve"> inkstų funkcija</w:t>
      </w:r>
    </w:p>
    <w:p w14:paraId="1048BAC8" w14:textId="42821CE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Populiacijos farmakokinetikos analizės parodė, kad pacientams, kuriems yra inkstų funkcijos sutrikimas (apibrėžiamas pagal kreatinino klirensą arba apskaičiuotą glomerulų filtracijos greitį </w:t>
      </w:r>
      <w:r w:rsidRPr="00A552D9">
        <w:rPr>
          <w:rFonts w:ascii="Times New Roman" w:eastAsia="Times New Roman" w:hAnsi="Times New Roman" w:cs="Times New Roman"/>
          <w:kern w:val="0"/>
          <w:lang w:val="lt-LT"/>
          <w14:ligatures w14:val="none"/>
        </w:rPr>
        <w:lastRenderedPageBreak/>
        <w:t>[aGFG]), pomalidomido farmakokinetikos rodikliai reikšmingai nepakito, palyginti su pacientais, kurių inkstų funkcija yra normali (KrKl ≥ 60 ml/min.). Vidutinė normalizuota pomalidomido AUC ekspozicija buvo 98,2 % su 90 % pasikliautin</w:t>
      </w:r>
      <w:r w:rsidR="00A00AB0" w:rsidRPr="00A552D9">
        <w:rPr>
          <w:rFonts w:ascii="Times New Roman" w:eastAsia="Times New Roman" w:hAnsi="Times New Roman" w:cs="Times New Roman"/>
          <w:kern w:val="0"/>
          <w:lang w:val="lt-LT"/>
          <w14:ligatures w14:val="none"/>
        </w:rPr>
        <w:t>uoju</w:t>
      </w:r>
      <w:r w:rsidRPr="00A552D9">
        <w:rPr>
          <w:rFonts w:ascii="Times New Roman" w:eastAsia="Times New Roman" w:hAnsi="Times New Roman" w:cs="Times New Roman"/>
          <w:kern w:val="0"/>
          <w:lang w:val="lt-LT"/>
          <w14:ligatures w14:val="none"/>
        </w:rPr>
        <w:t xml:space="preserve"> intervalu [nuo 77,4 % iki 120,6 %] pacientams, kuriems yra vidutinio sunkumo inkstų funkcijos sutrikimas (aGFG nuo ≥ 30 iki ≤ 45 ml/min./1,73</w:t>
      </w:r>
      <w:r w:rsidR="003672D7">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palyginti su pacientais, kurių inkstų funkcija yra normali. Vidutinė normalizuota pomalidomido AUC ekspozicija buvo 100,2 % su 90 % pasikliautin</w:t>
      </w:r>
      <w:r w:rsidR="00836391" w:rsidRPr="00A552D9">
        <w:rPr>
          <w:rFonts w:ascii="Times New Roman" w:eastAsia="Times New Roman" w:hAnsi="Times New Roman" w:cs="Times New Roman"/>
          <w:kern w:val="0"/>
          <w:lang w:val="lt-LT"/>
          <w14:ligatures w14:val="none"/>
        </w:rPr>
        <w:t>uoju</w:t>
      </w:r>
      <w:r w:rsidRPr="00A552D9">
        <w:rPr>
          <w:rFonts w:ascii="Times New Roman" w:eastAsia="Times New Roman" w:hAnsi="Times New Roman" w:cs="Times New Roman"/>
          <w:kern w:val="0"/>
          <w:lang w:val="lt-LT"/>
          <w14:ligatures w14:val="none"/>
        </w:rPr>
        <w:t xml:space="preserve"> intervalu [nuo 79,7 % iki 127,0 %] pacientams, kuriems yra sunkus inkstų funkcijos sutrikimas ir dar nereikia dializės (KrKl &lt; 30 ml/min. arba aGFG &lt; 30 ml/min./1,73 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palyginti su pacientais, kurių inkstų funkcija yra normali. Vidutinė normalizuota pomalidomido AUC ekspozicija padidėjo 35,8 % su 90 % PI [nuo 7,5 % iki 70,0 %] pacientams, kuriems yra sunkus inkstų funkcijos sutrikimas ir reikia dializės (KrKl &lt; 30 ml/min. ir reikia dializės), palyginti su pacientais, kurių inkstų funkcija yra normali.</w:t>
      </w:r>
      <w:r w:rsidR="0085560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Vidutiniai pomalidomido ekspozicijos pokyčiai kiekvienoje iš šių pacientų su inkstų funkcijos sutrikimu grupių nėra tokie dideli, kad reikėtų koreguoti dozę.</w:t>
      </w:r>
    </w:p>
    <w:p w14:paraId="51323A7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EF9965D" w14:textId="149B62CC" w:rsidR="00992F19" w:rsidRPr="00A552D9" w:rsidRDefault="009700F7"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u w:val="single"/>
          <w:lang w:val="lt-LT"/>
          <w14:ligatures w14:val="none"/>
        </w:rPr>
        <w:t>Sutrikusi kepenų funkcija</w:t>
      </w:r>
    </w:p>
    <w:p w14:paraId="591DA854" w14:textId="1EC7F6E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Pacientams, kurių kepenų </w:t>
      </w:r>
      <w:r w:rsidR="00855605" w:rsidRPr="00A552D9">
        <w:rPr>
          <w:rFonts w:ascii="Times New Roman" w:eastAsia="Times New Roman" w:hAnsi="Times New Roman" w:cs="Times New Roman"/>
          <w:kern w:val="0"/>
          <w:lang w:val="lt-LT"/>
          <w14:ligatures w14:val="none"/>
        </w:rPr>
        <w:t>funkcija</w:t>
      </w:r>
      <w:r w:rsidRPr="00A552D9">
        <w:rPr>
          <w:rFonts w:ascii="Times New Roman" w:eastAsia="Times New Roman" w:hAnsi="Times New Roman" w:cs="Times New Roman"/>
          <w:kern w:val="0"/>
          <w:lang w:val="lt-LT"/>
          <w14:ligatures w14:val="none"/>
        </w:rPr>
        <w:t xml:space="preserve"> sutrikusi (vertinant pagal </w:t>
      </w:r>
      <w:r w:rsidRPr="00A552D9">
        <w:rPr>
          <w:rFonts w:ascii="Times New Roman" w:eastAsia="Times New Roman" w:hAnsi="Times New Roman" w:cs="Times New Roman"/>
          <w:i/>
          <w:kern w:val="0"/>
          <w:lang w:val="lt-LT"/>
          <w14:ligatures w14:val="none"/>
        </w:rPr>
        <w:t xml:space="preserve">Child-Pugh </w:t>
      </w:r>
      <w:r w:rsidRPr="00A552D9">
        <w:rPr>
          <w:rFonts w:ascii="Times New Roman" w:eastAsia="Times New Roman" w:hAnsi="Times New Roman" w:cs="Times New Roman"/>
          <w:kern w:val="0"/>
          <w:lang w:val="lt-LT"/>
          <w14:ligatures w14:val="none"/>
        </w:rPr>
        <w:t xml:space="preserve">kriterijus), farmakokinetikos duomenys pakito nedaug, palyginti su sveikais tiriamaisiais. Pacientams, kuriems yra lengvas kepenų </w:t>
      </w:r>
      <w:r w:rsidR="00741559" w:rsidRPr="00A552D9">
        <w:rPr>
          <w:rFonts w:ascii="Times New Roman" w:eastAsia="Times New Roman" w:hAnsi="Times New Roman" w:cs="Times New Roman"/>
          <w:kern w:val="0"/>
          <w:lang w:val="lt-LT"/>
          <w14:ligatures w14:val="none"/>
        </w:rPr>
        <w:t xml:space="preserve">funkcijos </w:t>
      </w:r>
      <w:r w:rsidRPr="00A552D9">
        <w:rPr>
          <w:rFonts w:ascii="Times New Roman" w:eastAsia="Times New Roman" w:hAnsi="Times New Roman" w:cs="Times New Roman"/>
          <w:kern w:val="0"/>
          <w:lang w:val="lt-LT"/>
          <w14:ligatures w14:val="none"/>
        </w:rPr>
        <w:t>sutrikimas, vidutinė pomalidomido ekspozicija padidėjo 51 % su 90 % pasikliaut</w:t>
      </w:r>
      <w:r w:rsidR="00741559" w:rsidRPr="00A552D9">
        <w:rPr>
          <w:rFonts w:ascii="Times New Roman" w:eastAsia="Times New Roman" w:hAnsi="Times New Roman" w:cs="Times New Roman"/>
          <w:kern w:val="0"/>
          <w:lang w:val="lt-LT"/>
          <w14:ligatures w14:val="none"/>
        </w:rPr>
        <w:t>inuoju</w:t>
      </w:r>
      <w:r w:rsidRPr="00A552D9">
        <w:rPr>
          <w:rFonts w:ascii="Times New Roman" w:eastAsia="Times New Roman" w:hAnsi="Times New Roman" w:cs="Times New Roman"/>
          <w:kern w:val="0"/>
          <w:lang w:val="lt-LT"/>
          <w14:ligatures w14:val="none"/>
        </w:rPr>
        <w:t xml:space="preserve"> intervalu [nuo 9 % iki 110 %], palyginti su sveikais tiriamaisiais. Pacientams, kuriems yra vidutinis kepenų </w:t>
      </w:r>
      <w:r w:rsidR="005F5749">
        <w:rPr>
          <w:rFonts w:ascii="Times New Roman" w:eastAsia="Times New Roman" w:hAnsi="Times New Roman" w:cs="Times New Roman"/>
          <w:kern w:val="0"/>
          <w:lang w:val="lt-LT"/>
          <w14:ligatures w14:val="none"/>
        </w:rPr>
        <w:t xml:space="preserve">funkcijos </w:t>
      </w:r>
      <w:r w:rsidRPr="00A552D9">
        <w:rPr>
          <w:rFonts w:ascii="Times New Roman" w:eastAsia="Times New Roman" w:hAnsi="Times New Roman" w:cs="Times New Roman"/>
          <w:kern w:val="0"/>
          <w:lang w:val="lt-LT"/>
          <w14:ligatures w14:val="none"/>
        </w:rPr>
        <w:t>sutrikimas, vidutinė pomalidomido ekspozicija padidėjo 58 % su 90 % pasikliauti</w:t>
      </w:r>
      <w:r w:rsidR="00741559" w:rsidRPr="00A552D9">
        <w:rPr>
          <w:rFonts w:ascii="Times New Roman" w:eastAsia="Times New Roman" w:hAnsi="Times New Roman" w:cs="Times New Roman"/>
          <w:kern w:val="0"/>
          <w:lang w:val="lt-LT"/>
          <w14:ligatures w14:val="none"/>
        </w:rPr>
        <w:t>nuoju</w:t>
      </w:r>
      <w:r w:rsidRPr="00A552D9">
        <w:rPr>
          <w:rFonts w:ascii="Times New Roman" w:eastAsia="Times New Roman" w:hAnsi="Times New Roman" w:cs="Times New Roman"/>
          <w:kern w:val="0"/>
          <w:lang w:val="lt-LT"/>
          <w14:ligatures w14:val="none"/>
        </w:rPr>
        <w:t xml:space="preserve"> intervalu [nuo 13 % iki 119 %], palyginti su sveikais tiriamaisiais. Pacientams, kuriems yra sunkus kepenų</w:t>
      </w:r>
      <w:r w:rsidR="00F12335">
        <w:rPr>
          <w:rFonts w:ascii="Times New Roman" w:eastAsia="Times New Roman" w:hAnsi="Times New Roman" w:cs="Times New Roman"/>
          <w:kern w:val="0"/>
          <w:lang w:val="lt-LT"/>
          <w14:ligatures w14:val="none"/>
        </w:rPr>
        <w:t xml:space="preserve"> funkcijos</w:t>
      </w:r>
      <w:r w:rsidRPr="00A552D9">
        <w:rPr>
          <w:rFonts w:ascii="Times New Roman" w:eastAsia="Times New Roman" w:hAnsi="Times New Roman" w:cs="Times New Roman"/>
          <w:kern w:val="0"/>
          <w:lang w:val="lt-LT"/>
          <w14:ligatures w14:val="none"/>
        </w:rPr>
        <w:t xml:space="preserve"> sutrikimas, vidutinė pomalidomido ekspozicija padidėjo 72 % su 90 % pasikliautin</w:t>
      </w:r>
      <w:r w:rsidR="00D41B59">
        <w:rPr>
          <w:rFonts w:ascii="Times New Roman" w:eastAsia="Times New Roman" w:hAnsi="Times New Roman" w:cs="Times New Roman"/>
          <w:kern w:val="0"/>
          <w:lang w:val="lt-LT"/>
          <w14:ligatures w14:val="none"/>
        </w:rPr>
        <w:t>uoju</w:t>
      </w:r>
      <w:r w:rsidRPr="00A552D9">
        <w:rPr>
          <w:rFonts w:ascii="Times New Roman" w:eastAsia="Times New Roman" w:hAnsi="Times New Roman" w:cs="Times New Roman"/>
          <w:kern w:val="0"/>
          <w:lang w:val="lt-LT"/>
          <w14:ligatures w14:val="none"/>
        </w:rPr>
        <w:t xml:space="preserve"> intervalu [nuo 24 % iki 138 %], palyginti su sveikais tiriamaisiais. Vidutinis ekspozicijos padidėjimas kiekvienoje iš šių kepenų </w:t>
      </w:r>
      <w:r w:rsidR="004074A1" w:rsidRPr="00A552D9">
        <w:rPr>
          <w:rFonts w:ascii="Times New Roman" w:eastAsia="Times New Roman" w:hAnsi="Times New Roman" w:cs="Times New Roman"/>
          <w:kern w:val="0"/>
          <w:lang w:val="lt-LT"/>
          <w14:ligatures w14:val="none"/>
        </w:rPr>
        <w:t xml:space="preserve">funkcijos </w:t>
      </w:r>
      <w:r w:rsidRPr="00A552D9">
        <w:rPr>
          <w:rFonts w:ascii="Times New Roman" w:eastAsia="Times New Roman" w:hAnsi="Times New Roman" w:cs="Times New Roman"/>
          <w:kern w:val="0"/>
          <w:lang w:val="lt-LT"/>
          <w14:ligatures w14:val="none"/>
        </w:rPr>
        <w:t>sutrikimo grupių nėra toks didelis, kad reikėtų koreguoti gydymo schemą arba dozę (žr. 4.2 skyrių).</w:t>
      </w:r>
    </w:p>
    <w:p w14:paraId="61CF7D6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009A410"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Ikiklinikinių saugumo tyrimų duomenys</w:t>
      </w:r>
    </w:p>
    <w:p w14:paraId="3CE7F1F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293BAAF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Kartotinių dozių toksiškumo tyrimai</w:t>
      </w:r>
    </w:p>
    <w:p w14:paraId="226EB7FC" w14:textId="067410C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Žiurkės nuolat 6 mėnesius 50, 250 ir 1000 mg/kg per parą dozėmis duodamą pomalidomid</w:t>
      </w:r>
      <w:r w:rsidR="004F1DEA">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toleravo gerai. Duodant iki 1000 mg/kg per parą dozes (175 kartus didesnis ekspozicijos santykis nei skiriant 4 mg klinikinę dozę), nepageidaujamų reiškinių nenustatyta.</w:t>
      </w:r>
    </w:p>
    <w:p w14:paraId="0C95038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BB64397" w14:textId="297C690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Beždžionėms pomalidomidas buvo vertinamas atliekant iki 9 mėnesių trukmės kartotinių dozių tyrimus. Šie tyrimai parodė didesnį beždžionių jautrumą pomalidomido poveikiui nei žiurkių. Beždžionėms nustatytas pirminis toksinis poveikis buvo susijęs su hemopoetinėmis / limforetikulinėmis sistemomis. 9 mėnesių trukmės tyrimo metu beždžionėms duodant 0,05, 0,1 ir 1 mg/kg paros dozes, 6 gyvūnams nustatytas sergamumas ir ankstyva eutanazija duodant 1 mg/kg paros dozę; tai buvo susiję su imunosupresiniu poveikiu (stafilokokinė infekcija, sumažėjęs limfocitų skaičius periferiniame kraujyje, lėtinis storosios žarnos uždegimas, histologiškai nustatytas limfoidinio audinio nykimas ir nepakankamas ląstelių kiekis kaulų čiulpuose) esant didelei pomalidomido ekspozicijai (15 kartų didesnis ekspozicijos santykis nei skiriant 4 mg klinikinę dozę). Šis imunosupresinis poveikis sąlygojo ankstyvą 4 beždžionių eutanaziją dėl prastos sveikatos būklės (vandeningos išmatos, apetito nebuvimas, sumažėjęs maisto suvartojimas ir svorio kritimas)</w:t>
      </w:r>
      <w:r w:rsidR="009813A6" w:rsidRPr="00A552D9">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histopatologinis šių gyvūnų įvertinimas parodė lėtinį storosios žarnos uždegimą ir plonosios žarnos gaurelių atrofiją. 4 beždžionėms nustatyta stafilokokinė infekcija, 3 iš šių gyvūnų reagavo į gydymą antibiotikais, 1 mirė negydant. Taip pat dėl nustatytų reiškinių, rodančių ūminę mielogeninę leukemiją, 1 beždžionei buvo atlikta eutanazija; šio gyvūno klinikiniai stebėjimai bei klinikinė patologija ir (arba) kaulų čiulpų pakitimai rodė imunosupresiją. Duodant 1 mg/kg per parą, nustatyta minimali ar lengva tulžies latakų proliferacija su susijusiu šarminės fosfatazės</w:t>
      </w:r>
      <w:r w:rsidR="008C5636">
        <w:rPr>
          <w:rFonts w:ascii="Times New Roman" w:eastAsia="Times New Roman" w:hAnsi="Times New Roman" w:cs="Times New Roman"/>
          <w:kern w:val="0"/>
          <w:lang w:val="lt-LT"/>
          <w14:ligatures w14:val="none"/>
        </w:rPr>
        <w:t xml:space="preserve"> (ALP)</w:t>
      </w:r>
      <w:r w:rsidRPr="00A552D9">
        <w:rPr>
          <w:rFonts w:ascii="Times New Roman" w:eastAsia="Times New Roman" w:hAnsi="Times New Roman" w:cs="Times New Roman"/>
          <w:kern w:val="0"/>
          <w:lang w:val="lt-LT"/>
          <w14:ligatures w14:val="none"/>
        </w:rPr>
        <w:t xml:space="preserve"> ir gama- glutamiltransferazės (GGT) aktyvumo padidėjimu. Sveikstančių gyvūnų įvertinimas parodė, kad praėjus 8 savaitėms po vaistinio preparato vartojimo nutraukimo išnyko visi su gydymu susiję nepageidaujami reiškiniai, išskyrus intrahepatinių tulžies latakų proliferaciją, nustatytą 1 gyvūnui grupėje, kuriai buvo duodama 1 mg/kg per parą. Maksimali nestebėto pašalinio poveikio dozė (MNPPD, </w:t>
      </w:r>
      <w:r w:rsidRPr="00A552D9">
        <w:rPr>
          <w:rFonts w:ascii="Times New Roman" w:eastAsia="Times New Roman" w:hAnsi="Times New Roman" w:cs="Times New Roman"/>
          <w:i/>
          <w:kern w:val="0"/>
          <w:lang w:val="lt-LT"/>
          <w14:ligatures w14:val="none"/>
        </w:rPr>
        <w:t>angl</w:t>
      </w:r>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i/>
          <w:kern w:val="0"/>
          <w:lang w:val="lt-LT"/>
          <w14:ligatures w14:val="none"/>
        </w:rPr>
        <w:t>NOAEL</w:t>
      </w:r>
      <w:r w:rsidRPr="00A552D9">
        <w:rPr>
          <w:rFonts w:ascii="Times New Roman" w:eastAsia="Times New Roman" w:hAnsi="Times New Roman" w:cs="Times New Roman"/>
          <w:kern w:val="0"/>
          <w:lang w:val="lt-LT"/>
          <w14:ligatures w14:val="none"/>
        </w:rPr>
        <w:t>) buvo 0,1 mg/kg per parą (0,5 karto didesnis ekspozicijos santykis nei skiriant 4 mg klinikinę dozę).</w:t>
      </w:r>
    </w:p>
    <w:p w14:paraId="2A4BCC0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8DDF52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lastRenderedPageBreak/>
        <w:t>Genotoksiškumas / kancerogeniškumas</w:t>
      </w:r>
    </w:p>
    <w:p w14:paraId="188994AB" w14:textId="6869652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Pomalidomido mutageninio poveikio bakterijų ir žinduolių mutacijų tyrima</w:t>
      </w:r>
      <w:r w:rsidR="00F820E5">
        <w:rPr>
          <w:rFonts w:ascii="Times New Roman" w:eastAsia="Times New Roman" w:hAnsi="Times New Roman" w:cs="Times New Roman"/>
          <w:kern w:val="0"/>
          <w:lang w:val="lt-LT"/>
          <w14:ligatures w14:val="none"/>
        </w:rPr>
        <w:t>uose</w:t>
      </w:r>
      <w:r w:rsidRPr="00A552D9">
        <w:rPr>
          <w:rFonts w:ascii="Times New Roman" w:eastAsia="Times New Roman" w:hAnsi="Times New Roman" w:cs="Times New Roman"/>
          <w:kern w:val="0"/>
          <w:lang w:val="lt-LT"/>
          <w14:ligatures w14:val="none"/>
        </w:rPr>
        <w:t xml:space="preserve"> nenustatyta, vaistinis preparatas taip pat nesukėlė chromosomų </w:t>
      </w:r>
      <w:r w:rsidR="00720A1E">
        <w:rPr>
          <w:rFonts w:ascii="Times New Roman" w:eastAsia="Times New Roman" w:hAnsi="Times New Roman" w:cs="Times New Roman"/>
          <w:kern w:val="0"/>
          <w:lang w:val="lt-LT"/>
          <w14:ligatures w14:val="none"/>
        </w:rPr>
        <w:t>aberacijų</w:t>
      </w:r>
      <w:r w:rsidRPr="00A552D9">
        <w:rPr>
          <w:rFonts w:ascii="Times New Roman" w:eastAsia="Times New Roman" w:hAnsi="Times New Roman" w:cs="Times New Roman"/>
          <w:kern w:val="0"/>
          <w:lang w:val="lt-LT"/>
          <w14:ligatures w14:val="none"/>
        </w:rPr>
        <w:t xml:space="preserve"> žmogaus periferinio kraujo limfocituose arba mikrobranduolių susidarymo kaulų čiulpų polichrominiuose eritrocituose, žiurkėms duodant 2</w:t>
      </w:r>
      <w:r w:rsidR="009E5023"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000 mg/kg paros dozes. Kancerogeniškumo tyrimai atlikti nebuvo.</w:t>
      </w:r>
    </w:p>
    <w:p w14:paraId="71192EF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E2BF1E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Vaisingumas ir ankstyvasis embriono vystymasis</w:t>
      </w:r>
    </w:p>
    <w:p w14:paraId="4A3CB8AB" w14:textId="380DA77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Atliekant žiurkių vaisingumo ir ankstyvojo embriono vystymosi tyrimą, pomalidomid</w:t>
      </w:r>
      <w:r w:rsidR="002D2B1E">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buvo </w:t>
      </w:r>
      <w:r w:rsidR="002D2B1E">
        <w:rPr>
          <w:rFonts w:ascii="Times New Roman" w:eastAsia="Times New Roman" w:hAnsi="Times New Roman" w:cs="Times New Roman"/>
          <w:kern w:val="0"/>
          <w:lang w:val="lt-LT"/>
          <w14:ligatures w14:val="none"/>
        </w:rPr>
        <w:t>skiriama</w:t>
      </w:r>
      <w:r w:rsidR="002D2B1E"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patinams ir patelėms 25, 250 ir 1 000 mg/kg paros dozėmis. 13 gestacijos dieną atliktas gimdos tyrimas parodė sumažėjusį vidutinį gyvybingų embrionų skaičių ir padažnėjusį poimplantacinį persileidimą duodant visų stiprumų dozes. Todėl MNPPD buvo &lt; 25 mg/kg per parą (AUC</w:t>
      </w:r>
      <w:r w:rsidRPr="00A552D9">
        <w:rPr>
          <w:rFonts w:ascii="Times New Roman" w:eastAsia="Times New Roman" w:hAnsi="Times New Roman" w:cs="Times New Roman"/>
          <w:kern w:val="0"/>
          <w:vertAlign w:val="subscript"/>
          <w:lang w:val="lt-LT"/>
          <w14:ligatures w14:val="none"/>
        </w:rPr>
        <w:t>24</w:t>
      </w:r>
      <w:r w:rsidR="00460E48">
        <w:rPr>
          <w:rFonts w:ascii="Times New Roman" w:eastAsia="Times New Roman" w:hAnsi="Times New Roman" w:cs="Times New Roman"/>
          <w:kern w:val="0"/>
          <w:vertAlign w:val="subscript"/>
          <w:lang w:val="lt-LT"/>
          <w14:ligatures w14:val="none"/>
        </w:rPr>
        <w:t> </w:t>
      </w:r>
      <w:r w:rsidRPr="00A552D9">
        <w:rPr>
          <w:rFonts w:ascii="Times New Roman" w:eastAsia="Times New Roman" w:hAnsi="Times New Roman" w:cs="Times New Roman"/>
          <w:kern w:val="0"/>
          <w:vertAlign w:val="subscript"/>
          <w:lang w:val="lt-LT"/>
          <w14:ligatures w14:val="none"/>
        </w:rPr>
        <w:t>val.</w:t>
      </w:r>
      <w:r w:rsidRPr="00A552D9">
        <w:rPr>
          <w:rFonts w:ascii="Times New Roman" w:eastAsia="Times New Roman" w:hAnsi="Times New Roman" w:cs="Times New Roman"/>
          <w:kern w:val="0"/>
          <w:lang w:val="lt-LT"/>
          <w14:ligatures w14:val="none"/>
        </w:rPr>
        <w:t xml:space="preserve"> buvo 39</w:t>
      </w:r>
      <w:r w:rsidR="00CE1072"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960 ng•val./ml (nanogramų•val./mililitre) skiriant šią mažiausią tirtą dozę, o ekspozicijos santykis buvo 99 kartus didesnis nei skiriant 4 mg klinikinę dozę). Šiame tyrime suporavus gydytus patinus su negydytomis patelėmis, visi gimdos parametrai buvo panašūs į kontrolinius. Remiantis šiais rezultatais, nustatytas poveikis priskiriamas patelių gydymui.</w:t>
      </w:r>
    </w:p>
    <w:p w14:paraId="1685506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369BE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Embriono ir vaisiaus vystymasis</w:t>
      </w:r>
    </w:p>
    <w:p w14:paraId="5AC7D551" w14:textId="7EDF6BA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Žiurkėms ir triušiams duodant pomalidomido pagrindinių organų formavimosi laikotarpiu, nustatytas teratogeninis pomalidomido poveikis. Atliekant toksinio poveikio embriono ir vaisiaus vystymuisi tyrimą, duodant įvairaus stiprumo dozes (25, 250 ir 1 000 mg/kg per parą), nustatytos tokios formavimosi ydos kaip šlapimo pūslės nebuvimas, skydliaukės nebuvimas ir juosmeninės bei krūtininės dalies stuburo slankstelių elementų (centrinių ir (arba) nervinių lankų) susijungimas ir </w:t>
      </w:r>
      <w:r w:rsidR="00467885">
        <w:rPr>
          <w:rFonts w:ascii="Times New Roman" w:eastAsia="Times New Roman" w:hAnsi="Times New Roman" w:cs="Times New Roman"/>
          <w:kern w:val="0"/>
          <w:lang w:val="lt-LT"/>
          <w14:ligatures w14:val="none"/>
        </w:rPr>
        <w:t>nesutapimas</w:t>
      </w:r>
      <w:r w:rsidRPr="00A552D9">
        <w:rPr>
          <w:rFonts w:ascii="Times New Roman" w:eastAsia="Times New Roman" w:hAnsi="Times New Roman" w:cs="Times New Roman"/>
          <w:kern w:val="0"/>
          <w:lang w:val="lt-LT"/>
          <w14:ligatures w14:val="none"/>
        </w:rPr>
        <w:t>.</w:t>
      </w:r>
    </w:p>
    <w:p w14:paraId="3F4F712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5B487C8" w14:textId="002DEA7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Šio tyrimo metu toksinio poveikio patelei nenustatyta. Todėl patelei MNPPD buvo 1</w:t>
      </w:r>
      <w:r w:rsidR="000C0ABE"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000 mg/kg per parą, toksinio poveikio vystymosi požiūriu MNPPD buvo &lt; 25 mg/kg per parą (skiriant šią mažiausią tirtą dozę, AUC</w:t>
      </w:r>
      <w:r w:rsidRPr="00A552D9">
        <w:rPr>
          <w:rFonts w:ascii="Times New Roman" w:eastAsia="Times New Roman" w:hAnsi="Times New Roman" w:cs="Times New Roman"/>
          <w:kern w:val="0"/>
          <w:vertAlign w:val="subscript"/>
          <w:lang w:val="lt-LT"/>
          <w14:ligatures w14:val="none"/>
        </w:rPr>
        <w:t>24h</w:t>
      </w:r>
      <w:r w:rsidRPr="00A552D9">
        <w:rPr>
          <w:rFonts w:ascii="Times New Roman" w:eastAsia="Times New Roman" w:hAnsi="Times New Roman" w:cs="Times New Roman"/>
          <w:kern w:val="0"/>
          <w:lang w:val="lt-LT"/>
          <w14:ligatures w14:val="none"/>
        </w:rPr>
        <w:t xml:space="preserve"> 17 gestacijos dieną buvo 34</w:t>
      </w:r>
      <w:r w:rsidR="000C0ABE"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340 ng•val./ml, ekspozicijos santykis buvo 85 kartus didesnis nei skiriant 4 mg klinikinę dozę). Triušiams 10-250 mg/kg dozėmis duodamas pomalidomidas sukėlė embriono ir vaisiaus vystymosi formavimosi ydų. Širdies anomalijos nustatytos duodant visų stiprumų dozes, jų skaičius reikšmingai padidėjo duodant 250 mg/kg per parą dozę. Duodant 100 ir 250 mg/kg per parą, šiek tiek padažnėjo poimplantacinis persileidimas ir šiek tiek sumažėjo vaisiaus kūno svoris. Duodant 250 mg/kg per parą, nustatytos tokios vaisiaus formavimosi ydos kaip galūnių anomalijos (sulenktos ir (arba) susuktos priekinės ir (arba) užpakalinės galūnės, neprisitvirtinęs pirštas arba jo nebuvimas) bei susijusios skeleto formavimosi ydos (nesukaulėj</w:t>
      </w:r>
      <w:r w:rsidR="00AC4FA4">
        <w:rPr>
          <w:rFonts w:ascii="Times New Roman" w:eastAsia="Times New Roman" w:hAnsi="Times New Roman" w:cs="Times New Roman"/>
          <w:kern w:val="0"/>
          <w:lang w:val="lt-LT"/>
          <w14:ligatures w14:val="none"/>
        </w:rPr>
        <w:t>usi</w:t>
      </w:r>
      <w:r w:rsidRPr="00A552D9">
        <w:rPr>
          <w:rFonts w:ascii="Times New Roman" w:eastAsia="Times New Roman" w:hAnsi="Times New Roman" w:cs="Times New Roman"/>
          <w:kern w:val="0"/>
          <w:lang w:val="lt-LT"/>
          <w14:ligatures w14:val="none"/>
        </w:rPr>
        <w:t xml:space="preserve"> </w:t>
      </w:r>
      <w:r w:rsidR="00AC4FA4">
        <w:rPr>
          <w:rFonts w:ascii="Times New Roman" w:eastAsia="Times New Roman" w:hAnsi="Times New Roman" w:cs="Times New Roman"/>
          <w:kern w:val="0"/>
          <w:lang w:val="lt-LT"/>
          <w14:ligatures w14:val="none"/>
        </w:rPr>
        <w:t>plaštaka</w:t>
      </w:r>
      <w:r w:rsidRPr="00A552D9">
        <w:rPr>
          <w:rFonts w:ascii="Times New Roman" w:eastAsia="Times New Roman" w:hAnsi="Times New Roman" w:cs="Times New Roman"/>
          <w:kern w:val="0"/>
          <w:lang w:val="lt-LT"/>
          <w14:ligatures w14:val="none"/>
        </w:rPr>
        <w:t xml:space="preserve">, </w:t>
      </w:r>
      <w:r w:rsidR="00047934">
        <w:rPr>
          <w:rFonts w:ascii="Times New Roman" w:eastAsia="Times New Roman" w:hAnsi="Times New Roman" w:cs="Times New Roman"/>
          <w:kern w:val="0"/>
          <w:lang w:val="lt-LT"/>
          <w14:ligatures w14:val="none"/>
        </w:rPr>
        <w:t>netinkamai išsidėstęs</w:t>
      </w:r>
      <w:r w:rsidR="0004793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pirštakaulis ir delnas, piršto nebuvimas, nesukaulėjęs pirštakaulis ir trumpas, nesukaulėjęs arba sulenktas blauzdikaulis); vidutinis lateralinio skilvelio smegenyse išsiplėtimas; nenormali dešinės poraktikaulinės arterijos padėtis; vidurinės plaučių skilties nebuvimas; žemai esantys inkstai; pakitusi kepenų morfologija, nevisiškai sukaulėjęs ar nesukaulėjęs dubuo; padidėjęs papildomo krūtininės dalies šonkaulio vidurkis ir sumažėjęs sukaulėjusių čiurn</w:t>
      </w:r>
      <w:r w:rsidR="007475C0">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kaulių vidurkis</w:t>
      </w:r>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 xml:space="preserve">Duodant 100 ir 250 mg/kg per parą, nustatytas šiek tiek sumažėjęs patelės kūno svorio prieaugis, reikšmingas trigliceridų </w:t>
      </w:r>
      <w:r w:rsidR="00FC098E">
        <w:rPr>
          <w:rFonts w:ascii="Times New Roman" w:eastAsia="Times New Roman" w:hAnsi="Times New Roman" w:cs="Times New Roman"/>
          <w:kern w:val="0"/>
          <w:lang w:val="lt-LT"/>
          <w14:ligatures w14:val="none"/>
        </w:rPr>
        <w:t>koncentracijos</w:t>
      </w:r>
      <w:r w:rsidR="00FC098E"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sumažėjimas ir reikšmingas absoliutaus ir santykinio blužnies svorio sumažėjimas. Patelei MNPPD buvo 10 mg/kg per parą, toksinio poveikio vystymosi požiūriu MNPPD buvo &lt; 10 mg/kg per parą (skiriant šią mažiausią tirtą dozę, AUC</w:t>
      </w:r>
      <w:r w:rsidRPr="00A552D9">
        <w:rPr>
          <w:rFonts w:ascii="Times New Roman" w:eastAsia="Times New Roman" w:hAnsi="Times New Roman" w:cs="Times New Roman"/>
          <w:kern w:val="0"/>
          <w:vertAlign w:val="subscript"/>
          <w:lang w:val="lt-LT"/>
          <w14:ligatures w14:val="none"/>
        </w:rPr>
        <w:t>24</w:t>
      </w:r>
      <w:r w:rsidR="00573B54">
        <w:rPr>
          <w:rFonts w:ascii="Times New Roman" w:eastAsia="Times New Roman" w:hAnsi="Times New Roman" w:cs="Times New Roman"/>
          <w:kern w:val="0"/>
          <w:vertAlign w:val="subscript"/>
          <w:lang w:val="lt-LT"/>
          <w14:ligatures w14:val="none"/>
        </w:rPr>
        <w:t> val</w:t>
      </w:r>
      <w:r w:rsidRPr="00A552D9">
        <w:rPr>
          <w:rFonts w:ascii="Times New Roman" w:eastAsia="Times New Roman" w:hAnsi="Times New Roman" w:cs="Times New Roman"/>
          <w:kern w:val="0"/>
          <w:lang w:val="lt-LT"/>
          <w14:ligatures w14:val="none"/>
        </w:rPr>
        <w:t xml:space="preserve"> 19 gestacijos dieną buvo 418 ng•val./ml, ši vertė buvo panaši kaip skiriant 4 mg klinikinę dozę).</w:t>
      </w:r>
    </w:p>
    <w:p w14:paraId="59CA00B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58A260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FE1A134"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FARMACINĖ INFORMACIJA</w:t>
      </w:r>
    </w:p>
    <w:p w14:paraId="5DF2066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28EBA3D0"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Pagalbinių medžiagų sąrašas</w:t>
      </w:r>
    </w:p>
    <w:p w14:paraId="72F81D9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3394A2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Kapsulės turinys</w:t>
      </w:r>
    </w:p>
    <w:p w14:paraId="5599FE25" w14:textId="6DB5AC46" w:rsidR="00992F19" w:rsidRPr="00A552D9" w:rsidRDefault="0041145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Mikrokristalinė celiuliozė</w:t>
      </w:r>
    </w:p>
    <w:p w14:paraId="0FB7B506" w14:textId="1AF35D5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Pregelifikuotas krakmolas </w:t>
      </w:r>
      <w:r w:rsidR="00411459" w:rsidRPr="00A552D9">
        <w:rPr>
          <w:rFonts w:ascii="Times New Roman" w:eastAsia="Times New Roman" w:hAnsi="Times New Roman" w:cs="Times New Roman"/>
          <w:kern w:val="0"/>
          <w:lang w:val="lt-LT"/>
          <w14:ligatures w14:val="none"/>
        </w:rPr>
        <w:t>(Krakmolas 1500</w:t>
      </w:r>
      <w:r w:rsidR="00AB6405" w:rsidRPr="00A552D9">
        <w:rPr>
          <w:rFonts w:ascii="Times New Roman" w:eastAsia="Times New Roman" w:hAnsi="Times New Roman" w:cs="Times New Roman"/>
          <w:kern w:val="0"/>
          <w:lang w:val="lt-LT"/>
          <w14:ligatures w14:val="none"/>
        </w:rPr>
        <w:t>), (Kukurūzų krakmolas 2001)</w:t>
      </w:r>
    </w:p>
    <w:p w14:paraId="15A86A05" w14:textId="68BEA85F" w:rsidR="00992F19" w:rsidRPr="00A552D9" w:rsidRDefault="00AB640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Sacharozė</w:t>
      </w:r>
    </w:p>
    <w:p w14:paraId="53731766" w14:textId="7C880ABA" w:rsidR="00AB6405" w:rsidRPr="00A552D9" w:rsidRDefault="00AB640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4D4255">
        <w:rPr>
          <w:rFonts w:ascii="Times New Roman" w:eastAsia="Times New Roman" w:hAnsi="Times New Roman" w:cs="Times New Roman"/>
          <w:kern w:val="0"/>
          <w:lang w:val="lt-LT"/>
          <w14:ligatures w14:val="none"/>
        </w:rPr>
        <w:t>Natrio stearilfumaratas</w:t>
      </w:r>
    </w:p>
    <w:p w14:paraId="78F7F63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BAC8E5D" w14:textId="69248BBD"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Kapsulės apvalkalas</w:t>
      </w:r>
      <w:r w:rsidR="00501BF1" w:rsidRPr="00A552D9">
        <w:rPr>
          <w:rFonts w:ascii="Times New Roman" w:eastAsia="Times New Roman" w:hAnsi="Times New Roman" w:cs="Times New Roman"/>
          <w:kern w:val="0"/>
          <w:u w:val="single"/>
          <w:lang w:val="lt-LT"/>
          <w14:ligatures w14:val="none"/>
        </w:rPr>
        <w:t xml:space="preserve"> (1 mg ir 4 mg kietosios kapsulės)</w:t>
      </w:r>
    </w:p>
    <w:p w14:paraId="6595729C" w14:textId="7F9F9879" w:rsidR="00501BF1" w:rsidRPr="00A552D9" w:rsidRDefault="00501BF1" w:rsidP="00501BF1">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Titano dioksidas (E171)</w:t>
      </w:r>
    </w:p>
    <w:p w14:paraId="296BAA24" w14:textId="34C6122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Želatina</w:t>
      </w:r>
    </w:p>
    <w:p w14:paraId="72C1519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48749C6" w14:textId="15E345E9" w:rsidR="00A90195" w:rsidRPr="00A552D9" w:rsidRDefault="00A90195" w:rsidP="00A9019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Kapsulės apvalkalas (2 mg kietosios kapsulės)</w:t>
      </w:r>
    </w:p>
    <w:p w14:paraId="19907B00" w14:textId="77777777" w:rsidR="00A90195" w:rsidRPr="00A552D9" w:rsidRDefault="00A90195" w:rsidP="00A9019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Titano dioksidas (E171) </w:t>
      </w:r>
    </w:p>
    <w:p w14:paraId="7C0A316D" w14:textId="45A78E3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Želatina</w:t>
      </w:r>
    </w:p>
    <w:p w14:paraId="3E516EA1" w14:textId="200CC2ED" w:rsidR="00A90195" w:rsidRPr="00A552D9" w:rsidRDefault="00A90195" w:rsidP="00A9019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Raudonasis geležies oksidas (E172) </w:t>
      </w:r>
    </w:p>
    <w:p w14:paraId="06FE861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Geltonasis geležies oksidas (E172) </w:t>
      </w:r>
    </w:p>
    <w:p w14:paraId="4050565C" w14:textId="679FF2F9" w:rsidR="00A90195" w:rsidRPr="00A552D9" w:rsidRDefault="00A90195" w:rsidP="00A9019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Juodasis geležies oksidas (E172) </w:t>
      </w:r>
    </w:p>
    <w:p w14:paraId="6EF216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213220A" w14:textId="0D1F91AB" w:rsidR="00A90195" w:rsidRPr="00A552D9" w:rsidRDefault="00A90195" w:rsidP="00A9019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Kapsulės apvalkalas (3 mg kietosios kapsulės)</w:t>
      </w:r>
    </w:p>
    <w:p w14:paraId="7B011A09" w14:textId="77777777" w:rsidR="00A90195" w:rsidRPr="00A552D9" w:rsidRDefault="00A90195" w:rsidP="00A9019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Titano dioksidas (E171) </w:t>
      </w:r>
    </w:p>
    <w:p w14:paraId="2170C7EC" w14:textId="37AEC36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Želatina</w:t>
      </w:r>
    </w:p>
    <w:p w14:paraId="7EE23428" w14:textId="45AA6461" w:rsidR="00992F19" w:rsidRPr="00A552D9" w:rsidRDefault="00A9019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Raudonasis</w:t>
      </w:r>
      <w:r w:rsidR="00992F19" w:rsidRPr="00A552D9">
        <w:rPr>
          <w:rFonts w:ascii="Times New Roman" w:eastAsia="Times New Roman" w:hAnsi="Times New Roman" w:cs="Times New Roman"/>
          <w:kern w:val="0"/>
          <w:lang w:val="lt-LT"/>
          <w14:ligatures w14:val="none"/>
        </w:rPr>
        <w:t xml:space="preserve"> geležies oksidas (E172) </w:t>
      </w:r>
    </w:p>
    <w:p w14:paraId="759DCDF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1F2D64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Užrašo rašalas</w:t>
      </w:r>
    </w:p>
    <w:p w14:paraId="4DD40B35" w14:textId="63BDFEF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Šelakas</w:t>
      </w:r>
      <w:r w:rsidR="00C777B9" w:rsidRPr="00A552D9">
        <w:rPr>
          <w:rFonts w:ascii="Times New Roman" w:eastAsia="Times New Roman" w:hAnsi="Times New Roman" w:cs="Times New Roman"/>
          <w:kern w:val="0"/>
          <w:lang w:val="lt-LT"/>
          <w14:ligatures w14:val="none"/>
        </w:rPr>
        <w:t xml:space="preserve"> (E904)</w:t>
      </w:r>
    </w:p>
    <w:p w14:paraId="59CC9F32" w14:textId="77777777" w:rsidR="000332FD" w:rsidRPr="00A552D9" w:rsidRDefault="000332FD" w:rsidP="000332FD">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Propilenglikolis (E1520)</w:t>
      </w:r>
    </w:p>
    <w:p w14:paraId="1A041BD4" w14:textId="77777777" w:rsidR="000332FD" w:rsidRPr="00A552D9" w:rsidRDefault="000332FD" w:rsidP="000332FD">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Juodasis geležies oksidas (E172)</w:t>
      </w:r>
    </w:p>
    <w:p w14:paraId="2AAC659D" w14:textId="77777777" w:rsidR="000332FD" w:rsidRPr="00A552D9" w:rsidRDefault="000332FD" w:rsidP="000332FD">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Kalio hidroksidas (E525)</w:t>
      </w:r>
    </w:p>
    <w:p w14:paraId="3B400CFD" w14:textId="049F8743" w:rsidR="000332FD" w:rsidRPr="00A552D9" w:rsidRDefault="001C00DF" w:rsidP="000332FD">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Koncentruotas</w:t>
      </w:r>
      <w:r w:rsidR="000332FD" w:rsidRPr="00A552D9">
        <w:rPr>
          <w:rFonts w:ascii="Times New Roman" w:eastAsia="Times New Roman" w:hAnsi="Times New Roman" w:cs="Times New Roman"/>
          <w:kern w:val="0"/>
          <w:lang w:val="lt-LT"/>
          <w14:ligatures w14:val="none"/>
        </w:rPr>
        <w:t xml:space="preserve"> amoniako tirpalas</w:t>
      </w:r>
    </w:p>
    <w:p w14:paraId="70DDFD6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F50270D"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Nesuderinamumas</w:t>
      </w:r>
    </w:p>
    <w:p w14:paraId="10F6D94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68FAD53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Duomenys nebūtini.</w:t>
      </w:r>
    </w:p>
    <w:p w14:paraId="79D3211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3A9FF7F" w14:textId="77777777" w:rsidR="00992F19" w:rsidRPr="00A552D9" w:rsidRDefault="00992F19" w:rsidP="000332FD">
      <w:pPr>
        <w:widowControl w:val="0"/>
        <w:numPr>
          <w:ilvl w:val="1"/>
          <w:numId w:val="12"/>
        </w:numPr>
        <w:tabs>
          <w:tab w:val="left" w:pos="1018"/>
          <w:tab w:val="left" w:pos="1019"/>
        </w:tabs>
        <w:autoSpaceDE w:val="0"/>
        <w:autoSpaceDN w:val="0"/>
        <w:spacing w:before="0" w:after="0" w:line="240" w:lineRule="auto"/>
        <w:ind w:left="567" w:right="2"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Tinkamumo laikas</w:t>
      </w:r>
    </w:p>
    <w:p w14:paraId="1BBB7A3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024B4F1F" w14:textId="1F26B950" w:rsidR="00992F19" w:rsidRPr="00A552D9" w:rsidRDefault="00A552D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3</w:t>
      </w:r>
      <w:r w:rsidR="000332FD" w:rsidRPr="00A552D9">
        <w:rPr>
          <w:rFonts w:ascii="Times New Roman" w:eastAsia="Times New Roman" w:hAnsi="Times New Roman" w:cs="Times New Roman"/>
          <w:kern w:val="0"/>
          <w:lang w:val="lt-LT"/>
          <w14:ligatures w14:val="none"/>
        </w:rPr>
        <w:t> </w:t>
      </w:r>
      <w:r w:rsidR="00992F19" w:rsidRPr="00A552D9">
        <w:rPr>
          <w:rFonts w:ascii="Times New Roman" w:eastAsia="Times New Roman" w:hAnsi="Times New Roman" w:cs="Times New Roman"/>
          <w:kern w:val="0"/>
          <w:lang w:val="lt-LT"/>
          <w14:ligatures w14:val="none"/>
        </w:rPr>
        <w:t>metai.</w:t>
      </w:r>
    </w:p>
    <w:p w14:paraId="1E26F6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7DB0749" w14:textId="77777777" w:rsidR="00992F19" w:rsidRPr="00A552D9" w:rsidRDefault="00992F19" w:rsidP="000332FD">
      <w:pPr>
        <w:widowControl w:val="0"/>
        <w:numPr>
          <w:ilvl w:val="1"/>
          <w:numId w:val="12"/>
        </w:numPr>
        <w:tabs>
          <w:tab w:val="left" w:pos="1007"/>
          <w:tab w:val="left" w:pos="1008"/>
        </w:tabs>
        <w:autoSpaceDE w:val="0"/>
        <w:autoSpaceDN w:val="0"/>
        <w:spacing w:before="0" w:after="0" w:line="240" w:lineRule="auto"/>
        <w:ind w:left="567" w:right="2"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Specialios laikymo sąlygos</w:t>
      </w:r>
    </w:p>
    <w:p w14:paraId="08B366A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65767E3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Šiam vaistiniam preparatui specialių laikymo sąlygų nereikia.</w:t>
      </w:r>
    </w:p>
    <w:p w14:paraId="0DD50AD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10E253C"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Talpyklės pobūdis ir jos turinys</w:t>
      </w:r>
    </w:p>
    <w:p w14:paraId="56B7590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482BC005" w14:textId="5CA2A738" w:rsidR="009224D5" w:rsidRPr="00A552D9" w:rsidRDefault="00753821"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PVC/aliuminio/OPA/aliuminio lizdinės plokštelės, kuriose yra 14 ir 21 kietoji kapsulė, ir perforuotos </w:t>
      </w:r>
      <w:r w:rsidR="00A11D3B">
        <w:rPr>
          <w:rFonts w:ascii="Times New Roman" w:eastAsia="Times New Roman" w:hAnsi="Times New Roman" w:cs="Times New Roman"/>
          <w:kern w:val="0"/>
          <w:lang w:val="lt-LT"/>
          <w14:ligatures w14:val="none"/>
        </w:rPr>
        <w:t>dalomosios</w:t>
      </w:r>
      <w:r w:rsidRPr="00A552D9">
        <w:rPr>
          <w:rFonts w:ascii="Times New Roman" w:eastAsia="Times New Roman" w:hAnsi="Times New Roman" w:cs="Times New Roman"/>
          <w:kern w:val="0"/>
          <w:lang w:val="lt-LT"/>
          <w14:ligatures w14:val="none"/>
        </w:rPr>
        <w:t xml:space="preserve"> lizdinės plokštelės, kuriose yra 14 x 1 ir 21 x 1 kieto</w:t>
      </w:r>
      <w:r w:rsidR="00375A4B" w:rsidRPr="00A552D9">
        <w:rPr>
          <w:rFonts w:ascii="Times New Roman" w:eastAsia="Times New Roman" w:hAnsi="Times New Roman" w:cs="Times New Roman"/>
          <w:kern w:val="0"/>
          <w:lang w:val="lt-LT"/>
          <w14:ligatures w14:val="none"/>
        </w:rPr>
        <w:t>ji</w:t>
      </w:r>
      <w:r w:rsidRPr="00A552D9">
        <w:rPr>
          <w:rFonts w:ascii="Times New Roman" w:eastAsia="Times New Roman" w:hAnsi="Times New Roman" w:cs="Times New Roman"/>
          <w:kern w:val="0"/>
          <w:lang w:val="lt-LT"/>
          <w14:ligatures w14:val="none"/>
        </w:rPr>
        <w:t xml:space="preserve"> kapsulė.</w:t>
      </w:r>
    </w:p>
    <w:p w14:paraId="100EF354" w14:textId="77777777" w:rsidR="00753821" w:rsidRPr="00A552D9" w:rsidRDefault="00753821"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D229B31" w14:textId="0B4DF13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Gali būti tiekiamos ne visų dydžių pakuotės.</w:t>
      </w:r>
    </w:p>
    <w:p w14:paraId="03A86EA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FAA0449"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Specialūs reikalavimai atliekoms tvarkyti ir vaistiniam preparatui ruošti</w:t>
      </w:r>
    </w:p>
    <w:p w14:paraId="68735BE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2C98AE37" w14:textId="578E5D1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Kapsulių negalima atidaryti arba traiškyti. Jei pomalidomido miltelių pateko ant odos, reikia nedelsiant gerai nuplauti odą vandeniu su muilu. Jei pomalidomido miltelių pateko ant gleivinių, j</w:t>
      </w:r>
      <w:r w:rsidR="00962ABE" w:rsidRPr="00A552D9">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s reikia gerai nuplauti vandeniu.</w:t>
      </w:r>
    </w:p>
    <w:p w14:paraId="3F333C4A" w14:textId="77777777" w:rsidR="00962ABE" w:rsidRPr="00A552D9" w:rsidRDefault="00962ABE"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86047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Ruošdami lizdinę plokštelę arba kapsulę, sveikatos priežiūros specialistai ir globėjai turi mūvėti vienkartines pirštines. Po to pirštines reikia nusiimti atsargiai, kad vaistinio preparato nepatektų ant odos, įdėti į hermetiškai uždaromą plastikinį polietileninį maišelį ir pašalinti laikantis vietinių reikalavimų. Tada reikia gerai nusiplauti rankas vandeniu su muilu. Moterims, kurios yra nėščios arba įtaria, kad galbūt yra nėščios, lizdinės plokštelės arba kapsulės ruošti negalima (žr. 4.4 skyrių).</w:t>
      </w:r>
    </w:p>
    <w:p w14:paraId="20B32D2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4D9037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Nesuvartotą vaistinį preparatą ar atliekas reikia tvarkyti laikantis vietinių reikalavimų. Nesuvartotas vaistinis preparatas pasibaigus gydymui turi būti grąžintas vaistininkui.</w:t>
      </w:r>
    </w:p>
    <w:p w14:paraId="6466F08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C2748E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A23E303"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lastRenderedPageBreak/>
        <w:t>REGISTRUOTOJAS</w:t>
      </w:r>
    </w:p>
    <w:p w14:paraId="7DC8CCE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Cs/>
          <w:kern w:val="0"/>
          <w:lang w:val="lt-LT"/>
          <w14:ligatures w14:val="none"/>
        </w:rPr>
      </w:pPr>
    </w:p>
    <w:p w14:paraId="1B6A439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Cs/>
          <w:kern w:val="0"/>
          <w:lang w:val="lt-LT"/>
          <w14:ligatures w14:val="none"/>
        </w:rPr>
      </w:pPr>
      <w:r w:rsidRPr="00A552D9">
        <w:rPr>
          <w:rFonts w:ascii="Times New Roman" w:eastAsia="Times New Roman" w:hAnsi="Times New Roman" w:cs="Times New Roman"/>
          <w:bCs/>
          <w:kern w:val="0"/>
          <w:lang w:val="lt-LT"/>
          <w14:ligatures w14:val="none"/>
        </w:rPr>
        <w:t>Olpha AS,</w:t>
      </w:r>
    </w:p>
    <w:p w14:paraId="56B0BBC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Cs/>
          <w:kern w:val="0"/>
          <w:lang w:val="lt-LT"/>
          <w14:ligatures w14:val="none"/>
        </w:rPr>
      </w:pPr>
      <w:r w:rsidRPr="00A552D9">
        <w:rPr>
          <w:rFonts w:ascii="Times New Roman" w:eastAsia="Times New Roman" w:hAnsi="Times New Roman" w:cs="Times New Roman"/>
          <w:bCs/>
          <w:kern w:val="0"/>
          <w:lang w:val="lt-LT"/>
          <w14:ligatures w14:val="none"/>
        </w:rPr>
        <w:t>Rupnicu iela 5,</w:t>
      </w:r>
    </w:p>
    <w:p w14:paraId="5520575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Cs/>
          <w:kern w:val="0"/>
          <w:lang w:val="lt-LT"/>
          <w14:ligatures w14:val="none"/>
        </w:rPr>
      </w:pPr>
      <w:r w:rsidRPr="00A552D9">
        <w:rPr>
          <w:rFonts w:ascii="Times New Roman" w:eastAsia="Times New Roman" w:hAnsi="Times New Roman" w:cs="Times New Roman"/>
          <w:bCs/>
          <w:kern w:val="0"/>
          <w:lang w:val="lt-LT"/>
          <w14:ligatures w14:val="none"/>
        </w:rPr>
        <w:t>Olaine, Olaines novads, LV-2114,</w:t>
      </w:r>
    </w:p>
    <w:p w14:paraId="54C2CE1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Cs/>
          <w:kern w:val="0"/>
          <w:lang w:val="lt-LT"/>
          <w14:ligatures w14:val="none"/>
        </w:rPr>
      </w:pPr>
      <w:r w:rsidRPr="00A552D9">
        <w:rPr>
          <w:rFonts w:ascii="Times New Roman" w:eastAsia="Times New Roman" w:hAnsi="Times New Roman" w:cs="Times New Roman"/>
          <w:bCs/>
          <w:kern w:val="0"/>
          <w:lang w:val="lt-LT"/>
          <w14:ligatures w14:val="none"/>
        </w:rPr>
        <w:t>Latvija</w:t>
      </w:r>
    </w:p>
    <w:p w14:paraId="50681D8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5414BC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5044683"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REGISTRACIJOS PAŽYMĖJIMO NUMERIS (IAI)</w:t>
      </w:r>
    </w:p>
    <w:p w14:paraId="3F1B9A9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4D4255" w14:paraId="299886C9" w14:textId="77777777" w:rsidTr="00E255F2">
        <w:tc>
          <w:tcPr>
            <w:tcW w:w="4527" w:type="dxa"/>
          </w:tcPr>
          <w:p w14:paraId="67475EE9" w14:textId="77777777" w:rsidR="004D4255" w:rsidRPr="00954E64" w:rsidRDefault="004D4255" w:rsidP="00E255F2">
            <w:pPr>
              <w:widowControl w:val="0"/>
              <w:autoSpaceDE w:val="0"/>
              <w:autoSpaceDN w:val="0"/>
              <w:spacing w:before="0" w:after="0"/>
              <w:ind w:right="2"/>
              <w:jc w:val="left"/>
              <w:rPr>
                <w:rFonts w:ascii="Times New Roman" w:eastAsia="Times New Roman" w:hAnsi="Times New Roman" w:cs="Times New Roman"/>
                <w:kern w:val="0"/>
                <w:u w:val="single"/>
                <w:lang w:val="lt-LT"/>
                <w14:ligatures w14:val="none"/>
              </w:rPr>
            </w:pPr>
            <w:r w:rsidRPr="00954E64">
              <w:rPr>
                <w:rFonts w:ascii="Times New Roman" w:eastAsia="Times New Roman" w:hAnsi="Times New Roman" w:cs="Times New Roman"/>
                <w:kern w:val="0"/>
                <w:u w:val="single"/>
                <w:lang w:val="lt-LT"/>
                <w14:ligatures w14:val="none"/>
              </w:rPr>
              <w:t>1 mg</w:t>
            </w:r>
          </w:p>
          <w:p w14:paraId="38110E26"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u w:val="single"/>
                <w:lang w:val="lt-LT"/>
                <w14:ligatures w14:val="none"/>
              </w:rPr>
              <w:t>l</w:t>
            </w:r>
            <w:r w:rsidRPr="00954E64">
              <w:rPr>
                <w:rFonts w:ascii="Times New Roman" w:eastAsia="Times New Roman" w:hAnsi="Times New Roman" w:cs="Times New Roman"/>
                <w:kern w:val="0"/>
                <w:u w:val="single"/>
                <w:lang w:val="lt-LT"/>
                <w14:ligatures w14:val="none"/>
              </w:rPr>
              <w:t>izdinė plokštelė</w:t>
            </w:r>
            <w:r w:rsidRPr="00B7435F">
              <w:rPr>
                <w:rFonts w:ascii="Times New Roman" w:eastAsia="Times New Roman" w:hAnsi="Times New Roman" w:cs="Times New Roman"/>
                <w:kern w:val="0"/>
                <w:lang w:val="lt-LT"/>
                <w14:ligatures w14:val="none"/>
              </w:rPr>
              <w:t>:</w:t>
            </w:r>
          </w:p>
          <w:p w14:paraId="0158AB2A"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LT/1/25/5786/001 – N14</w:t>
            </w:r>
          </w:p>
          <w:p w14:paraId="41AB1830"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LT/1/25/5786/002 – N21</w:t>
            </w:r>
          </w:p>
          <w:p w14:paraId="5BCBD08A"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u w:val="single"/>
                <w:lang w:val="lt-LT"/>
                <w14:ligatures w14:val="none"/>
              </w:rPr>
              <w:t>d</w:t>
            </w:r>
            <w:r w:rsidRPr="00954E64">
              <w:rPr>
                <w:rFonts w:ascii="Times New Roman" w:eastAsia="Times New Roman" w:hAnsi="Times New Roman" w:cs="Times New Roman"/>
                <w:kern w:val="0"/>
                <w:u w:val="single"/>
                <w:lang w:val="lt-LT"/>
                <w14:ligatures w14:val="none"/>
              </w:rPr>
              <w:t>alomoji lizdinė plokštelė</w:t>
            </w:r>
            <w:r w:rsidRPr="00B7435F">
              <w:rPr>
                <w:rFonts w:ascii="Times New Roman" w:eastAsia="Times New Roman" w:hAnsi="Times New Roman" w:cs="Times New Roman"/>
                <w:kern w:val="0"/>
                <w:lang w:val="lt-LT"/>
                <w14:ligatures w14:val="none"/>
              </w:rPr>
              <w:t>:</w:t>
            </w:r>
          </w:p>
          <w:p w14:paraId="350C210A"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LT/1/25/5786/003 – N14x1</w:t>
            </w:r>
          </w:p>
          <w:p w14:paraId="2D5C4D7B" w14:textId="77777777" w:rsidR="004D4255" w:rsidRDefault="004D4255" w:rsidP="00E255F2">
            <w:pPr>
              <w:widowControl w:val="0"/>
              <w:autoSpaceDE w:val="0"/>
              <w:autoSpaceDN w:val="0"/>
              <w:spacing w:before="0" w:after="120"/>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LT/1/25/5786/004 – N21x1</w:t>
            </w:r>
          </w:p>
        </w:tc>
        <w:tc>
          <w:tcPr>
            <w:tcW w:w="4527" w:type="dxa"/>
          </w:tcPr>
          <w:p w14:paraId="49154126" w14:textId="77777777" w:rsidR="004D4255" w:rsidRPr="00954E64" w:rsidRDefault="004D4255" w:rsidP="00E255F2">
            <w:pPr>
              <w:widowControl w:val="0"/>
              <w:autoSpaceDE w:val="0"/>
              <w:autoSpaceDN w:val="0"/>
              <w:spacing w:before="0" w:after="0"/>
              <w:ind w:right="2"/>
              <w:jc w:val="left"/>
              <w:rPr>
                <w:rFonts w:ascii="Times New Roman" w:eastAsia="Times New Roman" w:hAnsi="Times New Roman" w:cs="Times New Roman"/>
                <w:kern w:val="0"/>
                <w:u w:val="single"/>
                <w:lang w:val="lt-LT"/>
                <w14:ligatures w14:val="none"/>
              </w:rPr>
            </w:pPr>
            <w:r w:rsidRPr="00954E64">
              <w:rPr>
                <w:rFonts w:ascii="Times New Roman" w:eastAsia="Times New Roman" w:hAnsi="Times New Roman" w:cs="Times New Roman"/>
                <w:kern w:val="0"/>
                <w:u w:val="single"/>
                <w:lang w:val="lt-LT"/>
                <w14:ligatures w14:val="none"/>
              </w:rPr>
              <w:t>2 mg</w:t>
            </w:r>
          </w:p>
          <w:p w14:paraId="4F7123FF"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u w:val="single"/>
                <w:lang w:val="lt-LT"/>
                <w14:ligatures w14:val="none"/>
              </w:rPr>
              <w:t>l</w:t>
            </w:r>
            <w:r w:rsidRPr="00954E64">
              <w:rPr>
                <w:rFonts w:ascii="Times New Roman" w:eastAsia="Times New Roman" w:hAnsi="Times New Roman" w:cs="Times New Roman"/>
                <w:kern w:val="0"/>
                <w:u w:val="single"/>
                <w:lang w:val="lt-LT"/>
                <w14:ligatures w14:val="none"/>
              </w:rPr>
              <w:t>izdinė plokštelė</w:t>
            </w:r>
            <w:r w:rsidRPr="00B7435F">
              <w:rPr>
                <w:rFonts w:ascii="Times New Roman" w:eastAsia="Times New Roman" w:hAnsi="Times New Roman" w:cs="Times New Roman"/>
                <w:kern w:val="0"/>
                <w:lang w:val="lt-LT"/>
                <w14:ligatures w14:val="none"/>
              </w:rPr>
              <w:t>:</w:t>
            </w:r>
          </w:p>
          <w:p w14:paraId="427EDBA2"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LT/1/25/5787/001 – N14</w:t>
            </w:r>
          </w:p>
          <w:p w14:paraId="17BCA235"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LT/1/25/5787/002 – N21</w:t>
            </w:r>
          </w:p>
          <w:p w14:paraId="3AA78240"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u w:val="single"/>
                <w:lang w:val="lt-LT"/>
                <w14:ligatures w14:val="none"/>
              </w:rPr>
              <w:t>d</w:t>
            </w:r>
            <w:r w:rsidRPr="00954E64">
              <w:rPr>
                <w:rFonts w:ascii="Times New Roman" w:eastAsia="Times New Roman" w:hAnsi="Times New Roman" w:cs="Times New Roman"/>
                <w:kern w:val="0"/>
                <w:u w:val="single"/>
                <w:lang w:val="lt-LT"/>
                <w14:ligatures w14:val="none"/>
              </w:rPr>
              <w:t>alomoji lizdinė plokštelė</w:t>
            </w:r>
            <w:r w:rsidRPr="00B7435F">
              <w:rPr>
                <w:rFonts w:ascii="Times New Roman" w:eastAsia="Times New Roman" w:hAnsi="Times New Roman" w:cs="Times New Roman"/>
                <w:kern w:val="0"/>
                <w:lang w:val="lt-LT"/>
                <w14:ligatures w14:val="none"/>
              </w:rPr>
              <w:t>:</w:t>
            </w:r>
          </w:p>
          <w:p w14:paraId="473CB787"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LT/1/25/5787/003 – N14x1</w:t>
            </w:r>
          </w:p>
          <w:p w14:paraId="7F598D8E" w14:textId="77777777" w:rsidR="004D4255"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LT/1/25/5787/004 – N21x1</w:t>
            </w:r>
          </w:p>
        </w:tc>
      </w:tr>
      <w:tr w:rsidR="004D4255" w14:paraId="7EFD48D0" w14:textId="77777777" w:rsidTr="00E255F2">
        <w:tc>
          <w:tcPr>
            <w:tcW w:w="4527" w:type="dxa"/>
          </w:tcPr>
          <w:p w14:paraId="5B778CC8" w14:textId="77777777" w:rsidR="004D4255" w:rsidRDefault="004D4255" w:rsidP="00E255F2">
            <w:pPr>
              <w:widowControl w:val="0"/>
              <w:autoSpaceDE w:val="0"/>
              <w:autoSpaceDN w:val="0"/>
              <w:spacing w:before="0" w:after="0"/>
              <w:ind w:right="2"/>
              <w:jc w:val="left"/>
              <w:rPr>
                <w:rFonts w:ascii="Times New Roman" w:eastAsia="Times New Roman" w:hAnsi="Times New Roman" w:cs="Times New Roman"/>
                <w:kern w:val="0"/>
                <w:u w:val="single"/>
                <w:lang w:val="lt-LT"/>
                <w14:ligatures w14:val="none"/>
              </w:rPr>
            </w:pPr>
            <w:r>
              <w:rPr>
                <w:rFonts w:ascii="Times New Roman" w:eastAsia="Times New Roman" w:hAnsi="Times New Roman" w:cs="Times New Roman"/>
                <w:kern w:val="0"/>
                <w:u w:val="single"/>
                <w:lang w:val="lt-LT"/>
                <w14:ligatures w14:val="none"/>
              </w:rPr>
              <w:t>3 mg</w:t>
            </w:r>
          </w:p>
          <w:p w14:paraId="1460C49A" w14:textId="77777777" w:rsidR="004D4255" w:rsidRPr="003A59AE" w:rsidRDefault="004D4255" w:rsidP="00E255F2">
            <w:pPr>
              <w:widowControl w:val="0"/>
              <w:autoSpaceDE w:val="0"/>
              <w:autoSpaceDN w:val="0"/>
              <w:spacing w:before="0" w:after="0"/>
              <w:ind w:right="2"/>
              <w:jc w:val="left"/>
              <w:rPr>
                <w:rFonts w:ascii="Times New Roman" w:eastAsia="Times New Roman" w:hAnsi="Times New Roman" w:cs="Times New Roman"/>
                <w:kern w:val="0"/>
                <w:u w:val="single"/>
                <w:lang w:val="lt-LT"/>
                <w14:ligatures w14:val="none"/>
              </w:rPr>
            </w:pPr>
            <w:r>
              <w:rPr>
                <w:rFonts w:ascii="Times New Roman" w:eastAsia="Times New Roman" w:hAnsi="Times New Roman" w:cs="Times New Roman"/>
                <w:kern w:val="0"/>
                <w:u w:val="single"/>
                <w:lang w:val="lt-LT"/>
                <w14:ligatures w14:val="none"/>
              </w:rPr>
              <w:t>l</w:t>
            </w:r>
            <w:r w:rsidRPr="00954E64">
              <w:rPr>
                <w:rFonts w:ascii="Times New Roman" w:eastAsia="Times New Roman" w:hAnsi="Times New Roman" w:cs="Times New Roman"/>
                <w:kern w:val="0"/>
                <w:u w:val="single"/>
                <w:lang w:val="lt-LT"/>
                <w14:ligatures w14:val="none"/>
              </w:rPr>
              <w:t>izdinė plokštelė</w:t>
            </w:r>
            <w:r w:rsidRPr="00B7435F">
              <w:rPr>
                <w:rFonts w:ascii="Times New Roman" w:eastAsia="Times New Roman" w:hAnsi="Times New Roman" w:cs="Times New Roman"/>
                <w:kern w:val="0"/>
                <w:lang w:val="lt-LT"/>
                <w14:ligatures w14:val="none"/>
              </w:rPr>
              <w:t>:</w:t>
            </w:r>
          </w:p>
          <w:p w14:paraId="5F6309A8"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LT/1/25/5788/001 – N14</w:t>
            </w:r>
          </w:p>
          <w:p w14:paraId="75765755"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LT/1/25/5788/002 – N21</w:t>
            </w:r>
          </w:p>
          <w:p w14:paraId="580147E5"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u w:val="single"/>
                <w:lang w:val="lt-LT"/>
                <w14:ligatures w14:val="none"/>
              </w:rPr>
              <w:t>d</w:t>
            </w:r>
            <w:r w:rsidRPr="00954E64">
              <w:rPr>
                <w:rFonts w:ascii="Times New Roman" w:eastAsia="Times New Roman" w:hAnsi="Times New Roman" w:cs="Times New Roman"/>
                <w:kern w:val="0"/>
                <w:u w:val="single"/>
                <w:lang w:val="lt-LT"/>
                <w14:ligatures w14:val="none"/>
              </w:rPr>
              <w:t>alomoji lizdinė plokštelė</w:t>
            </w:r>
            <w:r w:rsidRPr="00B7435F">
              <w:rPr>
                <w:rFonts w:ascii="Times New Roman" w:eastAsia="Times New Roman" w:hAnsi="Times New Roman" w:cs="Times New Roman"/>
                <w:kern w:val="0"/>
                <w:lang w:val="lt-LT"/>
                <w14:ligatures w14:val="none"/>
              </w:rPr>
              <w:t>:</w:t>
            </w:r>
          </w:p>
          <w:p w14:paraId="44300B4F"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LT/1/25/5788/003 – N14x1</w:t>
            </w:r>
          </w:p>
          <w:p w14:paraId="022EBDDB" w14:textId="77777777" w:rsidR="004D4255"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LT/1/25/5788/004 – N21x1</w:t>
            </w:r>
          </w:p>
        </w:tc>
        <w:tc>
          <w:tcPr>
            <w:tcW w:w="4527" w:type="dxa"/>
          </w:tcPr>
          <w:p w14:paraId="56361A1A" w14:textId="77777777" w:rsidR="004D4255" w:rsidRPr="003A59AE" w:rsidRDefault="004D4255" w:rsidP="00E255F2">
            <w:pPr>
              <w:widowControl w:val="0"/>
              <w:autoSpaceDE w:val="0"/>
              <w:autoSpaceDN w:val="0"/>
              <w:spacing w:before="0" w:after="0"/>
              <w:ind w:right="2"/>
              <w:jc w:val="left"/>
              <w:rPr>
                <w:rFonts w:ascii="Times New Roman" w:eastAsia="Times New Roman" w:hAnsi="Times New Roman" w:cs="Times New Roman"/>
                <w:kern w:val="0"/>
                <w:u w:val="single"/>
                <w:lang w:val="lt-LT"/>
                <w14:ligatures w14:val="none"/>
              </w:rPr>
            </w:pPr>
            <w:r w:rsidRPr="003A59AE">
              <w:rPr>
                <w:rFonts w:ascii="Times New Roman" w:eastAsia="Times New Roman" w:hAnsi="Times New Roman" w:cs="Times New Roman"/>
                <w:kern w:val="0"/>
                <w:u w:val="single"/>
                <w:lang w:val="lt-LT"/>
                <w14:ligatures w14:val="none"/>
              </w:rPr>
              <w:t>4 mg</w:t>
            </w:r>
          </w:p>
          <w:p w14:paraId="74944357"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u w:val="single"/>
                <w:lang w:val="lt-LT"/>
                <w14:ligatures w14:val="none"/>
              </w:rPr>
              <w:t>l</w:t>
            </w:r>
            <w:r w:rsidRPr="003A59AE">
              <w:rPr>
                <w:rFonts w:ascii="Times New Roman" w:eastAsia="Times New Roman" w:hAnsi="Times New Roman" w:cs="Times New Roman"/>
                <w:kern w:val="0"/>
                <w:u w:val="single"/>
                <w:lang w:val="lt-LT"/>
                <w14:ligatures w14:val="none"/>
              </w:rPr>
              <w:t>izdinė plokštelė</w:t>
            </w:r>
            <w:r w:rsidRPr="00B7435F">
              <w:rPr>
                <w:rFonts w:ascii="Times New Roman" w:eastAsia="Times New Roman" w:hAnsi="Times New Roman" w:cs="Times New Roman"/>
                <w:kern w:val="0"/>
                <w:lang w:val="lt-LT"/>
                <w14:ligatures w14:val="none"/>
              </w:rPr>
              <w:t>:</w:t>
            </w:r>
          </w:p>
          <w:p w14:paraId="76E86706"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LT/1/25/5789/001 – N14</w:t>
            </w:r>
          </w:p>
          <w:p w14:paraId="4CC54C49"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LT/1/25/5789/002 – N21</w:t>
            </w:r>
          </w:p>
          <w:p w14:paraId="480C7724"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u w:val="single"/>
                <w:lang w:val="lt-LT"/>
                <w14:ligatures w14:val="none"/>
              </w:rPr>
              <w:t>d</w:t>
            </w:r>
            <w:r w:rsidRPr="00954E64">
              <w:rPr>
                <w:rFonts w:ascii="Times New Roman" w:eastAsia="Times New Roman" w:hAnsi="Times New Roman" w:cs="Times New Roman"/>
                <w:kern w:val="0"/>
                <w:u w:val="single"/>
                <w:lang w:val="lt-LT"/>
                <w14:ligatures w14:val="none"/>
              </w:rPr>
              <w:t>alomoji lizdinė plokštelė</w:t>
            </w:r>
            <w:r w:rsidRPr="00B7435F">
              <w:rPr>
                <w:rFonts w:ascii="Times New Roman" w:eastAsia="Times New Roman" w:hAnsi="Times New Roman" w:cs="Times New Roman"/>
                <w:kern w:val="0"/>
                <w:lang w:val="lt-LT"/>
                <w14:ligatures w14:val="none"/>
              </w:rPr>
              <w:t>:</w:t>
            </w:r>
          </w:p>
          <w:p w14:paraId="21438C20"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LT/1/25/5789/003 – N14x1</w:t>
            </w:r>
          </w:p>
          <w:p w14:paraId="37637E9E" w14:textId="77777777" w:rsidR="004D4255"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LT/1/25/5789/004 – N21x1</w:t>
            </w:r>
          </w:p>
        </w:tc>
      </w:tr>
    </w:tbl>
    <w:p w14:paraId="21075D5E" w14:textId="77777777" w:rsidR="00992F1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082E28E" w14:textId="77777777" w:rsidR="004D4255" w:rsidRPr="00A552D9" w:rsidRDefault="004D425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2959AF1"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REGISTRAVIMO / PERREGISTRAVIMO DATA</w:t>
      </w:r>
    </w:p>
    <w:p w14:paraId="3065E77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1B3DD282" w14:textId="77777777" w:rsidR="004D4255" w:rsidRPr="00A552D9" w:rsidRDefault="00992F19" w:rsidP="004D425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Registravimo data </w:t>
      </w:r>
      <w:r w:rsidR="004D4255">
        <w:rPr>
          <w:rFonts w:ascii="Times New Roman" w:eastAsia="Times New Roman" w:hAnsi="Times New Roman" w:cs="Times New Roman"/>
          <w:noProof/>
          <w:snapToGrid w:val="0"/>
          <w:kern w:val="0"/>
          <w:lang w:val="lt-LT"/>
          <w14:ligatures w14:val="none"/>
        </w:rPr>
        <w:t>2025 m. gegužės 19 d.</w:t>
      </w:r>
    </w:p>
    <w:p w14:paraId="759CDF3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E2CC54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69935E5"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TEKSTO PERŽIŪROS DATA</w:t>
      </w:r>
    </w:p>
    <w:p w14:paraId="2EB56A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17ABF3C6" w14:textId="77777777" w:rsidR="004D4255" w:rsidRPr="00A552D9" w:rsidRDefault="004D4255" w:rsidP="004D425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noProof/>
          <w:snapToGrid w:val="0"/>
          <w:kern w:val="0"/>
          <w:lang w:val="lt-LT"/>
          <w14:ligatures w14:val="none"/>
        </w:rPr>
        <w:t>2025 m. gegužės 19 d.</w:t>
      </w:r>
    </w:p>
    <w:p w14:paraId="62533F0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2EA5445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eastAsia="lt-LT"/>
          <w14:ligatures w14:val="none"/>
        </w:rPr>
        <w:t xml:space="preserve">Išsami informacija apie šį vaistinį preparatą pateikiama Valstybinės vaistų kontrolės tarnybos prie Lietuvos Respublikos sveikatos apsaugos ministerijos tinklalapyje </w:t>
      </w:r>
      <w:hyperlink r:id="rId15" w:history="1">
        <w:r w:rsidRPr="00A552D9">
          <w:rPr>
            <w:rFonts w:ascii="Times New Roman" w:eastAsia="Times New Roman" w:hAnsi="Times New Roman" w:cs="Times New Roman"/>
            <w:color w:val="0000FF"/>
            <w:kern w:val="0"/>
            <w:u w:val="single"/>
            <w:lang w:val="lt-LT" w:eastAsia="lt-LT"/>
            <w14:ligatures w14:val="none"/>
          </w:rPr>
          <w:t>https://vvkt.lrv.lt/lt/</w:t>
        </w:r>
      </w:hyperlink>
      <w:r w:rsidRPr="00A552D9">
        <w:rPr>
          <w:rFonts w:ascii="Times New Roman" w:eastAsia="Times New Roman" w:hAnsi="Times New Roman" w:cs="Times New Roman"/>
          <w:color w:val="0000FF"/>
          <w:kern w:val="0"/>
          <w:u w:val="single"/>
          <w:lang w:val="lt-LT" w:eastAsia="lt-LT"/>
          <w14:ligatures w14:val="none"/>
        </w:rPr>
        <w:t>.</w:t>
      </w:r>
    </w:p>
    <w:p w14:paraId="43125E45" w14:textId="77777777" w:rsidR="00351ABB" w:rsidRPr="00A1310F" w:rsidRDefault="00351ABB" w:rsidP="00214AAF">
      <w:pPr>
        <w:spacing w:before="0" w:after="0" w:line="240" w:lineRule="auto"/>
        <w:jc w:val="left"/>
        <w:rPr>
          <w:rFonts w:ascii="Times New Roman" w:hAnsi="Times New Roman" w:cs="Times New Roman"/>
          <w:color w:val="000000"/>
          <w:lang w:val="lt-LT"/>
        </w:rPr>
      </w:pPr>
    </w:p>
    <w:p w14:paraId="130410D5" w14:textId="1E067454" w:rsidR="00351ABB" w:rsidRPr="00A1310F" w:rsidRDefault="00351ABB">
      <w:pPr>
        <w:spacing w:before="0" w:after="160"/>
        <w:jc w:val="left"/>
        <w:rPr>
          <w:rFonts w:ascii="Times New Roman" w:hAnsi="Times New Roman" w:cs="Times New Roman"/>
          <w:color w:val="000000"/>
          <w:lang w:val="lt-LT"/>
        </w:rPr>
      </w:pPr>
      <w:r w:rsidRPr="00A1310F">
        <w:rPr>
          <w:rFonts w:ascii="Times New Roman" w:hAnsi="Times New Roman" w:cs="Times New Roman"/>
          <w:color w:val="000000"/>
          <w:lang w:val="lt-LT"/>
        </w:rPr>
        <w:br w:type="page"/>
      </w:r>
    </w:p>
    <w:p w14:paraId="78A96FC9" w14:textId="77777777" w:rsidR="00351ABB" w:rsidRPr="00A1310F" w:rsidRDefault="00351ABB" w:rsidP="00214AAF">
      <w:pPr>
        <w:spacing w:before="0" w:after="0" w:line="240" w:lineRule="auto"/>
        <w:jc w:val="left"/>
        <w:rPr>
          <w:rFonts w:ascii="Times New Roman" w:hAnsi="Times New Roman" w:cs="Times New Roman"/>
          <w:color w:val="000000"/>
          <w:lang w:val="lt-LT"/>
        </w:rPr>
      </w:pPr>
    </w:p>
    <w:p w14:paraId="5868697E"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03E0E235"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3420C9F3"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633DAC12"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09D995E9"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1464340F"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748EE63E"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6040DDAD"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159A6360"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49B48E26"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4F59E5E6"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066E6016"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779FC3CA"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43B40A7A"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1D5A5402"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49861978"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6BFAE6FE"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2C20DF5E"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3A1C3CCE"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7681EEC6" w14:textId="153E5308" w:rsidR="00593585" w:rsidRPr="00A552D9" w:rsidRDefault="003F09FD" w:rsidP="002A6845">
      <w:pPr>
        <w:spacing w:before="0" w:after="0" w:line="240" w:lineRule="auto"/>
        <w:jc w:val="center"/>
        <w:rPr>
          <w:rFonts w:ascii="Times New Roman" w:hAnsi="Times New Roman" w:cs="Times New Roman"/>
          <w:b/>
          <w:color w:val="000000"/>
        </w:rPr>
      </w:pPr>
      <w:r w:rsidRPr="00A552D9">
        <w:rPr>
          <w:rFonts w:ascii="Times New Roman" w:hAnsi="Times New Roman" w:cs="Times New Roman"/>
          <w:b/>
          <w:color w:val="000000"/>
        </w:rPr>
        <w:t>II PRIEDAS</w:t>
      </w:r>
    </w:p>
    <w:p w14:paraId="3DB301EF" w14:textId="77777777" w:rsidR="002A6845" w:rsidRPr="00A552D9" w:rsidRDefault="002A6845" w:rsidP="002A6845">
      <w:pPr>
        <w:spacing w:before="0" w:after="0" w:line="240" w:lineRule="auto"/>
        <w:jc w:val="left"/>
        <w:rPr>
          <w:rFonts w:ascii="Times New Roman" w:hAnsi="Times New Roman" w:cs="Times New Roman"/>
          <w:color w:val="000000"/>
        </w:rPr>
      </w:pPr>
    </w:p>
    <w:p w14:paraId="6B19F08B" w14:textId="77777777" w:rsidR="002A6845" w:rsidRPr="00A552D9" w:rsidRDefault="003F09FD" w:rsidP="001E4AC5">
      <w:pPr>
        <w:pStyle w:val="ListParagraph"/>
        <w:numPr>
          <w:ilvl w:val="0"/>
          <w:numId w:val="1"/>
        </w:numPr>
        <w:spacing w:before="0" w:after="0" w:line="240" w:lineRule="auto"/>
        <w:ind w:left="1701" w:hanging="567"/>
        <w:jc w:val="left"/>
        <w:rPr>
          <w:rFonts w:ascii="Times New Roman" w:hAnsi="Times New Roman" w:cs="Times New Roman"/>
          <w:b/>
          <w:color w:val="000000"/>
        </w:rPr>
      </w:pPr>
      <w:r w:rsidRPr="00A552D9">
        <w:rPr>
          <w:rFonts w:ascii="Times New Roman" w:hAnsi="Times New Roman" w:cs="Times New Roman"/>
          <w:b/>
          <w:color w:val="000000"/>
        </w:rPr>
        <w:t>GAMINTOJAI, ATSAKINGI</w:t>
      </w:r>
      <w:r w:rsidRPr="00A552D9">
        <w:rPr>
          <w:rFonts w:ascii="Times New Roman" w:hAnsi="Times New Roman" w:cs="Times New Roman"/>
          <w:b/>
          <w:color w:val="000000"/>
          <w:spacing w:val="1"/>
        </w:rPr>
        <w:t xml:space="preserve"> </w:t>
      </w:r>
      <w:r w:rsidRPr="00A552D9">
        <w:rPr>
          <w:rFonts w:ascii="Times New Roman" w:hAnsi="Times New Roman" w:cs="Times New Roman"/>
          <w:b/>
          <w:color w:val="000000"/>
        </w:rPr>
        <w:t>UŽ SERIJŲ IŠLEIDIMĄ</w:t>
      </w:r>
    </w:p>
    <w:p w14:paraId="471E53E1" w14:textId="77777777" w:rsidR="002A6845" w:rsidRPr="00A552D9" w:rsidRDefault="002A6845" w:rsidP="002A6845">
      <w:pPr>
        <w:spacing w:before="0" w:after="0" w:line="240" w:lineRule="auto"/>
        <w:jc w:val="left"/>
        <w:rPr>
          <w:rFonts w:ascii="Times New Roman" w:hAnsi="Times New Roman" w:cs="Times New Roman"/>
          <w:b/>
          <w:color w:val="000000"/>
        </w:rPr>
      </w:pPr>
    </w:p>
    <w:p w14:paraId="7681EECF" w14:textId="3B2A9185" w:rsidR="00593585" w:rsidRPr="004D4255" w:rsidRDefault="003F09FD" w:rsidP="001E4AC5">
      <w:pPr>
        <w:pStyle w:val="ListParagraph"/>
        <w:numPr>
          <w:ilvl w:val="0"/>
          <w:numId w:val="1"/>
        </w:numPr>
        <w:spacing w:before="0" w:after="0" w:line="240" w:lineRule="auto"/>
        <w:ind w:left="1701" w:hanging="567"/>
        <w:jc w:val="left"/>
        <w:rPr>
          <w:rFonts w:ascii="Times New Roman" w:hAnsi="Times New Roman" w:cs="Times New Roman"/>
          <w:b/>
          <w:color w:val="000000"/>
          <w:lang w:val="it-CH"/>
        </w:rPr>
      </w:pPr>
      <w:r w:rsidRPr="004D4255">
        <w:rPr>
          <w:rFonts w:ascii="Times New Roman" w:hAnsi="Times New Roman" w:cs="Times New Roman"/>
          <w:b/>
          <w:color w:val="000000"/>
          <w:lang w:val="it-CH"/>
        </w:rPr>
        <w:t>TIEKIMO</w:t>
      </w:r>
      <w:r w:rsidRPr="004D4255">
        <w:rPr>
          <w:rFonts w:ascii="Times New Roman" w:hAnsi="Times New Roman" w:cs="Times New Roman"/>
          <w:b/>
          <w:color w:val="000000"/>
          <w:spacing w:val="1"/>
          <w:lang w:val="it-CH"/>
        </w:rPr>
        <w:t xml:space="preserve"> </w:t>
      </w:r>
      <w:r w:rsidRPr="004D4255">
        <w:rPr>
          <w:rFonts w:ascii="Times New Roman" w:hAnsi="Times New Roman" w:cs="Times New Roman"/>
          <w:b/>
          <w:color w:val="000000"/>
          <w:lang w:val="it-CH"/>
        </w:rPr>
        <w:t>IR</w:t>
      </w:r>
      <w:r w:rsidRPr="004D4255">
        <w:rPr>
          <w:rFonts w:ascii="Times New Roman" w:hAnsi="Times New Roman" w:cs="Times New Roman"/>
          <w:b/>
          <w:color w:val="000000"/>
          <w:spacing w:val="-1"/>
          <w:lang w:val="it-CH"/>
        </w:rPr>
        <w:t xml:space="preserve"> </w:t>
      </w:r>
      <w:r w:rsidRPr="004D4255">
        <w:rPr>
          <w:rFonts w:ascii="Times New Roman" w:hAnsi="Times New Roman" w:cs="Times New Roman"/>
          <w:b/>
          <w:color w:val="000000"/>
          <w:lang w:val="it-CH"/>
        </w:rPr>
        <w:t>VARTOJIMO SĄLYGOS AR APRIBOJIMAI</w:t>
      </w:r>
    </w:p>
    <w:p w14:paraId="3E79EB9C" w14:textId="77777777" w:rsidR="002A6845" w:rsidRPr="004D4255" w:rsidRDefault="002A6845" w:rsidP="00214AAF">
      <w:pPr>
        <w:spacing w:before="0" w:after="0" w:line="240" w:lineRule="auto"/>
        <w:jc w:val="left"/>
        <w:rPr>
          <w:rFonts w:ascii="Times New Roman" w:hAnsi="Times New Roman" w:cs="Times New Roman"/>
          <w:color w:val="000000"/>
          <w:lang w:val="it-CH"/>
        </w:rPr>
      </w:pPr>
    </w:p>
    <w:p w14:paraId="3E519A6D" w14:textId="5B9E0E07" w:rsidR="002A6845" w:rsidRPr="004D4255" w:rsidRDefault="002A6845">
      <w:pPr>
        <w:spacing w:before="0" w:after="160"/>
        <w:jc w:val="left"/>
        <w:rPr>
          <w:rFonts w:ascii="Times New Roman" w:hAnsi="Times New Roman" w:cs="Times New Roman"/>
          <w:color w:val="000000"/>
          <w:lang w:val="it-CH"/>
        </w:rPr>
      </w:pPr>
      <w:r w:rsidRPr="004D4255">
        <w:rPr>
          <w:rFonts w:ascii="Times New Roman" w:hAnsi="Times New Roman" w:cs="Times New Roman"/>
          <w:color w:val="000000"/>
          <w:lang w:val="it-CH"/>
        </w:rPr>
        <w:br w:type="page"/>
      </w:r>
    </w:p>
    <w:p w14:paraId="598D18DA" w14:textId="77777777" w:rsidR="002A6845" w:rsidRPr="004D4255" w:rsidRDefault="002A6845" w:rsidP="00214AAF">
      <w:pPr>
        <w:spacing w:before="0" w:after="0" w:line="240" w:lineRule="auto"/>
        <w:jc w:val="left"/>
        <w:rPr>
          <w:rFonts w:ascii="Times New Roman" w:hAnsi="Times New Roman" w:cs="Times New Roman"/>
          <w:color w:val="000000"/>
          <w:lang w:val="it-CH"/>
        </w:rPr>
      </w:pPr>
    </w:p>
    <w:p w14:paraId="7681EED0" w14:textId="4C481243" w:rsidR="00593585" w:rsidRPr="00A552D9" w:rsidRDefault="00037F18" w:rsidP="001E4AC5">
      <w:pPr>
        <w:pStyle w:val="ListParagraph"/>
        <w:numPr>
          <w:ilvl w:val="0"/>
          <w:numId w:val="2"/>
        </w:numPr>
        <w:spacing w:before="0" w:after="0" w:line="240" w:lineRule="auto"/>
        <w:ind w:left="567" w:hanging="567"/>
        <w:jc w:val="left"/>
        <w:rPr>
          <w:rFonts w:ascii="Times New Roman" w:hAnsi="Times New Roman" w:cs="Times New Roman"/>
          <w:b/>
          <w:color w:val="000000"/>
        </w:rPr>
      </w:pPr>
      <w:bookmarkStart w:id="2" w:name="br33"/>
      <w:bookmarkEnd w:id="2"/>
      <w:r>
        <w:rPr>
          <w:rFonts w:ascii="Times New Roman" w:hAnsi="Times New Roman" w:cs="Times New Roman"/>
          <w:noProof/>
        </w:rPr>
        <w:drawing>
          <wp:anchor distT="0" distB="0" distL="114300" distR="114300" simplePos="0" relativeHeight="251658240" behindDoc="1" locked="0" layoutInCell="1" allowOverlap="1" wp14:anchorId="7681F385" wp14:editId="2DB9CF07">
            <wp:simplePos x="0" y="0"/>
            <wp:positionH relativeFrom="page">
              <wp:posOffset>-12700</wp:posOffset>
            </wp:positionH>
            <wp:positionV relativeFrom="page">
              <wp:posOffset>-12700</wp:posOffset>
            </wp:positionV>
            <wp:extent cx="38100" cy="38100"/>
            <wp:effectExtent l="0" t="0" r="0" b="0"/>
            <wp:wrapNone/>
            <wp:docPr id="213" name="_x0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F09FD" w:rsidRPr="00A552D9">
        <w:rPr>
          <w:rFonts w:ascii="Times New Roman" w:hAnsi="Times New Roman" w:cs="Times New Roman"/>
          <w:b/>
          <w:color w:val="000000"/>
        </w:rPr>
        <w:t>GAMINTOJAI, ATSAKINGI</w:t>
      </w:r>
      <w:r w:rsidR="003F09FD" w:rsidRPr="00A552D9">
        <w:rPr>
          <w:rFonts w:ascii="Times New Roman" w:hAnsi="Times New Roman" w:cs="Times New Roman"/>
          <w:b/>
          <w:color w:val="000000"/>
          <w:spacing w:val="1"/>
        </w:rPr>
        <w:t xml:space="preserve"> </w:t>
      </w:r>
      <w:r w:rsidR="003F09FD" w:rsidRPr="00A552D9">
        <w:rPr>
          <w:rFonts w:ascii="Times New Roman" w:hAnsi="Times New Roman" w:cs="Times New Roman"/>
          <w:b/>
          <w:color w:val="000000"/>
        </w:rPr>
        <w:t>UŽ SERIJŲ IŠLEIDIMĄ</w:t>
      </w:r>
    </w:p>
    <w:p w14:paraId="48B53EF2" w14:textId="77777777" w:rsidR="002A6845" w:rsidRPr="00A552D9" w:rsidRDefault="002A6845" w:rsidP="002A6845">
      <w:pPr>
        <w:spacing w:before="0" w:after="0" w:line="240" w:lineRule="auto"/>
        <w:jc w:val="left"/>
        <w:rPr>
          <w:rFonts w:ascii="Times New Roman" w:hAnsi="Times New Roman" w:cs="Times New Roman"/>
          <w:b/>
          <w:color w:val="000000"/>
        </w:rPr>
      </w:pPr>
    </w:p>
    <w:p w14:paraId="7681EED1" w14:textId="77777777" w:rsidR="00593585" w:rsidRPr="00A552D9" w:rsidRDefault="003F09FD" w:rsidP="00214AAF">
      <w:pPr>
        <w:spacing w:before="0" w:after="0" w:line="240" w:lineRule="auto"/>
        <w:jc w:val="left"/>
        <w:rPr>
          <w:rFonts w:ascii="Times New Roman" w:hAnsi="Times New Roman" w:cs="Times New Roman"/>
          <w:color w:val="000000"/>
          <w:u w:val="single"/>
        </w:rPr>
      </w:pPr>
      <w:r w:rsidRPr="00A552D9">
        <w:rPr>
          <w:rFonts w:ascii="Times New Roman" w:hAnsi="Times New Roman" w:cs="Times New Roman"/>
          <w:color w:val="000000"/>
          <w:u w:val="single"/>
        </w:rPr>
        <w:t>Gamintojų, atsakingų</w:t>
      </w:r>
      <w:r w:rsidRPr="00A552D9">
        <w:rPr>
          <w:rFonts w:ascii="Times New Roman" w:hAnsi="Times New Roman" w:cs="Times New Roman"/>
          <w:color w:val="000000"/>
          <w:spacing w:val="2"/>
          <w:u w:val="single"/>
        </w:rPr>
        <w:t xml:space="preserve"> </w:t>
      </w:r>
      <w:r w:rsidRPr="00A552D9">
        <w:rPr>
          <w:rFonts w:ascii="Times New Roman" w:hAnsi="Times New Roman" w:cs="Times New Roman"/>
          <w:color w:val="000000"/>
          <w:u w:val="single"/>
        </w:rPr>
        <w:t>už serijų</w:t>
      </w:r>
      <w:r w:rsidRPr="00A552D9">
        <w:rPr>
          <w:rFonts w:ascii="Times New Roman" w:hAnsi="Times New Roman" w:cs="Times New Roman"/>
          <w:color w:val="000000"/>
          <w:spacing w:val="1"/>
          <w:u w:val="single"/>
        </w:rPr>
        <w:t xml:space="preserve"> </w:t>
      </w:r>
      <w:r w:rsidRPr="00A552D9">
        <w:rPr>
          <w:rFonts w:ascii="Times New Roman" w:hAnsi="Times New Roman" w:cs="Times New Roman"/>
          <w:color w:val="000000"/>
          <w:u w:val="single"/>
        </w:rPr>
        <w:t>išleidimą, pavadinimai ir adresai</w:t>
      </w:r>
    </w:p>
    <w:p w14:paraId="71E285F6" w14:textId="77777777" w:rsidR="002A6845" w:rsidRPr="00A552D9" w:rsidRDefault="002A6845" w:rsidP="00214AAF">
      <w:pPr>
        <w:spacing w:before="0" w:after="0" w:line="240" w:lineRule="auto"/>
        <w:jc w:val="left"/>
        <w:rPr>
          <w:rFonts w:ascii="Times New Roman" w:hAnsi="Times New Roman" w:cs="Times New Roman"/>
          <w:color w:val="000000"/>
          <w:u w:val="single"/>
        </w:rPr>
      </w:pPr>
    </w:p>
    <w:p w14:paraId="45541072" w14:textId="77777777" w:rsidR="00B35ABC" w:rsidRPr="00A552D9" w:rsidRDefault="00B35ABC" w:rsidP="00B35ABC">
      <w:pPr>
        <w:spacing w:before="0" w:after="0" w:line="240" w:lineRule="auto"/>
        <w:jc w:val="left"/>
        <w:rPr>
          <w:rFonts w:ascii="Times New Roman" w:hAnsi="Times New Roman" w:cs="Times New Roman"/>
          <w:iCs/>
          <w:color w:val="000000"/>
          <w:lang w:val="lv-LV"/>
        </w:rPr>
      </w:pPr>
      <w:bookmarkStart w:id="3" w:name="br34"/>
      <w:bookmarkEnd w:id="3"/>
      <w:r w:rsidRPr="00A552D9">
        <w:rPr>
          <w:rFonts w:ascii="Times New Roman" w:hAnsi="Times New Roman" w:cs="Times New Roman"/>
          <w:iCs/>
          <w:color w:val="000000"/>
          <w:lang w:val="lv-LV"/>
        </w:rPr>
        <w:t>Pharmadox Healthcare Ltd.</w:t>
      </w:r>
    </w:p>
    <w:p w14:paraId="4507B7AF" w14:textId="77777777" w:rsidR="00B35ABC" w:rsidRPr="00A552D9" w:rsidRDefault="00B35ABC" w:rsidP="00B35ABC">
      <w:pPr>
        <w:spacing w:before="0" w:after="0" w:line="240" w:lineRule="auto"/>
        <w:jc w:val="left"/>
        <w:rPr>
          <w:rFonts w:ascii="Times New Roman" w:hAnsi="Times New Roman" w:cs="Times New Roman"/>
          <w:iCs/>
          <w:color w:val="000000"/>
          <w:lang w:val="lv-LV"/>
        </w:rPr>
      </w:pPr>
      <w:r w:rsidRPr="00A552D9">
        <w:rPr>
          <w:rFonts w:ascii="Times New Roman" w:hAnsi="Times New Roman" w:cs="Times New Roman"/>
          <w:iCs/>
          <w:color w:val="000000"/>
          <w:lang w:val="lv-LV"/>
        </w:rPr>
        <w:t>KW20A Kordin Industrial Park, Paola,</w:t>
      </w:r>
    </w:p>
    <w:p w14:paraId="213B3ABA" w14:textId="77777777" w:rsidR="00B35ABC" w:rsidRPr="00A552D9" w:rsidRDefault="00B35ABC" w:rsidP="00B35ABC">
      <w:pPr>
        <w:spacing w:before="0" w:after="0" w:line="240" w:lineRule="auto"/>
        <w:jc w:val="left"/>
        <w:rPr>
          <w:rFonts w:ascii="Times New Roman" w:hAnsi="Times New Roman" w:cs="Times New Roman"/>
          <w:iCs/>
          <w:color w:val="000000"/>
          <w:lang w:val="lv-LV"/>
        </w:rPr>
      </w:pPr>
      <w:r w:rsidRPr="00A552D9">
        <w:rPr>
          <w:rFonts w:ascii="Times New Roman" w:hAnsi="Times New Roman" w:cs="Times New Roman"/>
          <w:iCs/>
          <w:color w:val="000000"/>
          <w:lang w:val="lv-LV"/>
        </w:rPr>
        <w:t>PLA 3000,</w:t>
      </w:r>
    </w:p>
    <w:p w14:paraId="7681EEE1" w14:textId="53E8B381" w:rsidR="00593585" w:rsidRPr="00A552D9" w:rsidRDefault="00B35ABC" w:rsidP="00B35ABC">
      <w:pPr>
        <w:spacing w:before="0" w:after="0" w:line="240" w:lineRule="auto"/>
        <w:jc w:val="left"/>
        <w:rPr>
          <w:rFonts w:ascii="Times New Roman" w:hAnsi="Times New Roman" w:cs="Times New Roman"/>
          <w:i/>
          <w:color w:val="000000"/>
          <w:u w:val="single"/>
        </w:rPr>
      </w:pPr>
      <w:r w:rsidRPr="00A552D9">
        <w:rPr>
          <w:rFonts w:ascii="Times New Roman" w:hAnsi="Times New Roman" w:cs="Times New Roman"/>
          <w:iCs/>
          <w:color w:val="000000"/>
          <w:lang w:val="lv-LV"/>
        </w:rPr>
        <w:t>Malta</w:t>
      </w:r>
    </w:p>
    <w:p w14:paraId="5A11EB5C" w14:textId="77777777" w:rsidR="000F541E" w:rsidRPr="00A552D9" w:rsidRDefault="000F541E" w:rsidP="00214AAF">
      <w:pPr>
        <w:spacing w:before="0" w:after="0" w:line="240" w:lineRule="auto"/>
        <w:jc w:val="left"/>
        <w:rPr>
          <w:rFonts w:ascii="Times New Roman" w:hAnsi="Times New Roman" w:cs="Times New Roman"/>
          <w:color w:val="000000"/>
        </w:rPr>
      </w:pPr>
    </w:p>
    <w:p w14:paraId="7D8D48A2" w14:textId="77777777" w:rsidR="00722F6E" w:rsidRPr="00A552D9" w:rsidRDefault="00722F6E" w:rsidP="00214AAF">
      <w:pPr>
        <w:spacing w:before="0" w:after="0" w:line="240" w:lineRule="auto"/>
        <w:jc w:val="left"/>
        <w:rPr>
          <w:rFonts w:ascii="Times New Roman" w:hAnsi="Times New Roman" w:cs="Times New Roman"/>
          <w:color w:val="000000"/>
        </w:rPr>
      </w:pPr>
    </w:p>
    <w:p w14:paraId="7681EEE2" w14:textId="1E1539A0" w:rsidR="00593585" w:rsidRPr="004D4255" w:rsidRDefault="003F09FD" w:rsidP="001E4AC5">
      <w:pPr>
        <w:pStyle w:val="ListParagraph"/>
        <w:numPr>
          <w:ilvl w:val="0"/>
          <w:numId w:val="2"/>
        </w:numPr>
        <w:spacing w:before="0" w:after="0" w:line="240" w:lineRule="auto"/>
        <w:ind w:left="567" w:hanging="567"/>
        <w:jc w:val="left"/>
        <w:rPr>
          <w:rFonts w:ascii="Times New Roman" w:hAnsi="Times New Roman" w:cs="Times New Roman"/>
          <w:b/>
          <w:color w:val="000000"/>
          <w:lang w:val="it-CH"/>
        </w:rPr>
      </w:pPr>
      <w:r w:rsidRPr="004D4255">
        <w:rPr>
          <w:rFonts w:ascii="Times New Roman" w:hAnsi="Times New Roman" w:cs="Times New Roman"/>
          <w:b/>
          <w:color w:val="000000"/>
          <w:lang w:val="it-CH"/>
        </w:rPr>
        <w:t>TIEKIMO</w:t>
      </w:r>
      <w:r w:rsidRPr="004D4255">
        <w:rPr>
          <w:rFonts w:ascii="Times New Roman" w:hAnsi="Times New Roman" w:cs="Times New Roman"/>
          <w:b/>
          <w:color w:val="000000"/>
          <w:spacing w:val="1"/>
          <w:lang w:val="it-CH"/>
        </w:rPr>
        <w:t xml:space="preserve"> </w:t>
      </w:r>
      <w:r w:rsidRPr="004D4255">
        <w:rPr>
          <w:rFonts w:ascii="Times New Roman" w:hAnsi="Times New Roman" w:cs="Times New Roman"/>
          <w:b/>
          <w:color w:val="000000"/>
          <w:lang w:val="it-CH"/>
        </w:rPr>
        <w:t>IR</w:t>
      </w:r>
      <w:r w:rsidRPr="004D4255">
        <w:rPr>
          <w:rFonts w:ascii="Times New Roman" w:hAnsi="Times New Roman" w:cs="Times New Roman"/>
          <w:b/>
          <w:color w:val="000000"/>
          <w:spacing w:val="-1"/>
          <w:lang w:val="it-CH"/>
        </w:rPr>
        <w:t xml:space="preserve"> </w:t>
      </w:r>
      <w:r w:rsidRPr="004D4255">
        <w:rPr>
          <w:rFonts w:ascii="Times New Roman" w:hAnsi="Times New Roman" w:cs="Times New Roman"/>
          <w:b/>
          <w:color w:val="000000"/>
          <w:lang w:val="it-CH"/>
        </w:rPr>
        <w:t>VARTOJIMO SĄLYGOS AR APRIBOJIMAI</w:t>
      </w:r>
    </w:p>
    <w:p w14:paraId="75C2BB68" w14:textId="77777777" w:rsidR="002A6845" w:rsidRPr="004D4255" w:rsidRDefault="002A6845" w:rsidP="002A6845">
      <w:pPr>
        <w:spacing w:before="0" w:after="0" w:line="240" w:lineRule="auto"/>
        <w:jc w:val="left"/>
        <w:rPr>
          <w:rFonts w:ascii="Times New Roman" w:hAnsi="Times New Roman" w:cs="Times New Roman"/>
          <w:b/>
          <w:color w:val="000000"/>
          <w:lang w:val="it-CH"/>
        </w:rPr>
      </w:pPr>
    </w:p>
    <w:p w14:paraId="7681EEE3" w14:textId="71593846" w:rsidR="00593585" w:rsidRPr="00A552D9" w:rsidRDefault="00ED4855" w:rsidP="00214AAF">
      <w:pPr>
        <w:spacing w:before="0" w:after="0" w:line="240" w:lineRule="auto"/>
        <w:jc w:val="left"/>
        <w:rPr>
          <w:rFonts w:ascii="Times New Roman" w:hAnsi="Times New Roman" w:cs="Times New Roman"/>
          <w:color w:val="000000"/>
        </w:rPr>
      </w:pPr>
      <w:r w:rsidRPr="00A552D9">
        <w:rPr>
          <w:rFonts w:ascii="Times New Roman" w:hAnsi="Times New Roman" w:cs="Times New Roman"/>
          <w:color w:val="000000"/>
        </w:rPr>
        <w:t>Receptinis vaistinis preparatas.</w:t>
      </w:r>
    </w:p>
    <w:p w14:paraId="121F765E" w14:textId="5C0CA573" w:rsidR="00ED4855" w:rsidRPr="00A552D9" w:rsidRDefault="00ED4855">
      <w:pPr>
        <w:spacing w:before="0" w:after="160"/>
        <w:jc w:val="left"/>
        <w:rPr>
          <w:rFonts w:ascii="Times New Roman" w:hAnsi="Times New Roman" w:cs="Times New Roman"/>
          <w:color w:val="000000"/>
        </w:rPr>
      </w:pPr>
      <w:r w:rsidRPr="00A552D9">
        <w:rPr>
          <w:rFonts w:ascii="Times New Roman" w:hAnsi="Times New Roman" w:cs="Times New Roman"/>
          <w:color w:val="000000"/>
        </w:rPr>
        <w:br w:type="page"/>
      </w:r>
    </w:p>
    <w:p w14:paraId="6C341A8B" w14:textId="77777777" w:rsidR="00ED4855" w:rsidRPr="00A552D9" w:rsidRDefault="00ED4855" w:rsidP="00214AAF">
      <w:pPr>
        <w:spacing w:before="0" w:after="0" w:line="240" w:lineRule="auto"/>
        <w:jc w:val="left"/>
        <w:rPr>
          <w:rFonts w:ascii="Times New Roman" w:hAnsi="Times New Roman" w:cs="Times New Roman"/>
          <w:color w:val="000000"/>
        </w:rPr>
      </w:pPr>
    </w:p>
    <w:p w14:paraId="0A5C17B8" w14:textId="77777777" w:rsidR="002A6845" w:rsidRPr="00A552D9" w:rsidRDefault="002A6845" w:rsidP="00214AAF">
      <w:pPr>
        <w:spacing w:before="0" w:after="0" w:line="240" w:lineRule="auto"/>
        <w:jc w:val="left"/>
        <w:rPr>
          <w:rFonts w:ascii="Times New Roman" w:hAnsi="Times New Roman" w:cs="Times New Roman"/>
          <w:color w:val="000000"/>
        </w:rPr>
      </w:pPr>
    </w:p>
    <w:p w14:paraId="3378BAE0" w14:textId="77777777" w:rsidR="003C1D0A" w:rsidRPr="00A552D9" w:rsidRDefault="003C1D0A" w:rsidP="00214AAF">
      <w:pPr>
        <w:spacing w:before="0" w:after="0" w:line="240" w:lineRule="auto"/>
        <w:jc w:val="left"/>
        <w:rPr>
          <w:rFonts w:ascii="Times New Roman" w:hAnsi="Times New Roman" w:cs="Times New Roman"/>
          <w:color w:val="000000"/>
        </w:rPr>
      </w:pPr>
    </w:p>
    <w:p w14:paraId="20A23A95" w14:textId="77777777" w:rsidR="006C00A9" w:rsidRPr="00A552D9" w:rsidRDefault="006C00A9" w:rsidP="00214AAF">
      <w:pPr>
        <w:spacing w:before="0" w:after="0" w:line="240" w:lineRule="auto"/>
        <w:jc w:val="left"/>
        <w:rPr>
          <w:rFonts w:ascii="Times New Roman" w:hAnsi="Times New Roman" w:cs="Times New Roman"/>
          <w:color w:val="000000"/>
        </w:rPr>
      </w:pPr>
    </w:p>
    <w:p w14:paraId="56130A38" w14:textId="77777777" w:rsidR="006C00A9" w:rsidRPr="00A552D9" w:rsidRDefault="006C00A9" w:rsidP="00214AAF">
      <w:pPr>
        <w:spacing w:before="0" w:after="0" w:line="240" w:lineRule="auto"/>
        <w:jc w:val="left"/>
        <w:rPr>
          <w:rFonts w:ascii="Times New Roman" w:hAnsi="Times New Roman" w:cs="Times New Roman"/>
          <w:color w:val="000000"/>
        </w:rPr>
      </w:pPr>
    </w:p>
    <w:p w14:paraId="32CCF751" w14:textId="77777777" w:rsidR="006C00A9" w:rsidRPr="00A552D9" w:rsidRDefault="006C00A9" w:rsidP="00214AAF">
      <w:pPr>
        <w:spacing w:before="0" w:after="0" w:line="240" w:lineRule="auto"/>
        <w:jc w:val="left"/>
        <w:rPr>
          <w:rFonts w:ascii="Times New Roman" w:hAnsi="Times New Roman" w:cs="Times New Roman"/>
          <w:color w:val="000000"/>
        </w:rPr>
      </w:pPr>
    </w:p>
    <w:p w14:paraId="23FF7D09" w14:textId="77777777" w:rsidR="006C00A9" w:rsidRPr="00A552D9" w:rsidRDefault="006C00A9" w:rsidP="00214AAF">
      <w:pPr>
        <w:spacing w:before="0" w:after="0" w:line="240" w:lineRule="auto"/>
        <w:jc w:val="left"/>
        <w:rPr>
          <w:rFonts w:ascii="Times New Roman" w:hAnsi="Times New Roman" w:cs="Times New Roman"/>
          <w:color w:val="000000"/>
        </w:rPr>
      </w:pPr>
    </w:p>
    <w:p w14:paraId="2F6BBE54" w14:textId="77777777" w:rsidR="006C00A9" w:rsidRPr="00A552D9" w:rsidRDefault="006C00A9" w:rsidP="00214AAF">
      <w:pPr>
        <w:spacing w:before="0" w:after="0" w:line="240" w:lineRule="auto"/>
        <w:jc w:val="left"/>
        <w:rPr>
          <w:rFonts w:ascii="Times New Roman" w:hAnsi="Times New Roman" w:cs="Times New Roman"/>
          <w:color w:val="000000"/>
        </w:rPr>
      </w:pPr>
    </w:p>
    <w:p w14:paraId="42F31170" w14:textId="77777777" w:rsidR="006C00A9" w:rsidRPr="00A552D9" w:rsidRDefault="006C00A9" w:rsidP="00214AAF">
      <w:pPr>
        <w:spacing w:before="0" w:after="0" w:line="240" w:lineRule="auto"/>
        <w:jc w:val="left"/>
        <w:rPr>
          <w:rFonts w:ascii="Times New Roman" w:hAnsi="Times New Roman" w:cs="Times New Roman"/>
          <w:color w:val="000000"/>
        </w:rPr>
      </w:pPr>
    </w:p>
    <w:p w14:paraId="0DD7C569" w14:textId="77777777" w:rsidR="006C00A9" w:rsidRPr="00A552D9" w:rsidRDefault="006C00A9" w:rsidP="00214AAF">
      <w:pPr>
        <w:spacing w:before="0" w:after="0" w:line="240" w:lineRule="auto"/>
        <w:jc w:val="left"/>
        <w:rPr>
          <w:rFonts w:ascii="Times New Roman" w:hAnsi="Times New Roman" w:cs="Times New Roman"/>
          <w:color w:val="000000"/>
        </w:rPr>
      </w:pPr>
    </w:p>
    <w:p w14:paraId="512A0F51" w14:textId="77777777" w:rsidR="006C00A9" w:rsidRPr="00A552D9" w:rsidRDefault="006C00A9" w:rsidP="00214AAF">
      <w:pPr>
        <w:spacing w:before="0" w:after="0" w:line="240" w:lineRule="auto"/>
        <w:jc w:val="left"/>
        <w:rPr>
          <w:rFonts w:ascii="Times New Roman" w:hAnsi="Times New Roman" w:cs="Times New Roman"/>
          <w:color w:val="000000"/>
        </w:rPr>
      </w:pPr>
    </w:p>
    <w:p w14:paraId="2352B58A" w14:textId="77777777" w:rsidR="006C00A9" w:rsidRPr="00A552D9" w:rsidRDefault="006C00A9" w:rsidP="00214AAF">
      <w:pPr>
        <w:spacing w:before="0" w:after="0" w:line="240" w:lineRule="auto"/>
        <w:jc w:val="left"/>
        <w:rPr>
          <w:rFonts w:ascii="Times New Roman" w:hAnsi="Times New Roman" w:cs="Times New Roman"/>
          <w:color w:val="000000"/>
        </w:rPr>
      </w:pPr>
    </w:p>
    <w:p w14:paraId="416C6A25" w14:textId="77777777" w:rsidR="006C00A9" w:rsidRPr="00A552D9" w:rsidRDefault="006C00A9" w:rsidP="00214AAF">
      <w:pPr>
        <w:spacing w:before="0" w:after="0" w:line="240" w:lineRule="auto"/>
        <w:jc w:val="left"/>
        <w:rPr>
          <w:rFonts w:ascii="Times New Roman" w:hAnsi="Times New Roman" w:cs="Times New Roman"/>
          <w:color w:val="000000"/>
        </w:rPr>
      </w:pPr>
    </w:p>
    <w:p w14:paraId="2B141C18" w14:textId="77777777" w:rsidR="006C00A9" w:rsidRPr="00A552D9" w:rsidRDefault="006C00A9" w:rsidP="00214AAF">
      <w:pPr>
        <w:spacing w:before="0" w:after="0" w:line="240" w:lineRule="auto"/>
        <w:jc w:val="left"/>
        <w:rPr>
          <w:rFonts w:ascii="Times New Roman" w:hAnsi="Times New Roman" w:cs="Times New Roman"/>
          <w:color w:val="000000"/>
        </w:rPr>
      </w:pPr>
    </w:p>
    <w:p w14:paraId="70EAE0B4" w14:textId="77777777" w:rsidR="006C00A9" w:rsidRPr="00A552D9" w:rsidRDefault="006C00A9" w:rsidP="00214AAF">
      <w:pPr>
        <w:spacing w:before="0" w:after="0" w:line="240" w:lineRule="auto"/>
        <w:jc w:val="left"/>
        <w:rPr>
          <w:rFonts w:ascii="Times New Roman" w:hAnsi="Times New Roman" w:cs="Times New Roman"/>
          <w:color w:val="000000"/>
        </w:rPr>
      </w:pPr>
    </w:p>
    <w:p w14:paraId="16DEF42D" w14:textId="77777777" w:rsidR="006C00A9" w:rsidRPr="00A552D9" w:rsidRDefault="006C00A9" w:rsidP="00214AAF">
      <w:pPr>
        <w:spacing w:before="0" w:after="0" w:line="240" w:lineRule="auto"/>
        <w:jc w:val="left"/>
        <w:rPr>
          <w:rFonts w:ascii="Times New Roman" w:hAnsi="Times New Roman" w:cs="Times New Roman"/>
          <w:color w:val="000000"/>
        </w:rPr>
      </w:pPr>
    </w:p>
    <w:p w14:paraId="7116FB98" w14:textId="77777777" w:rsidR="006C00A9" w:rsidRPr="00A552D9" w:rsidRDefault="006C00A9" w:rsidP="00214AAF">
      <w:pPr>
        <w:spacing w:before="0" w:after="0" w:line="240" w:lineRule="auto"/>
        <w:jc w:val="left"/>
        <w:rPr>
          <w:rFonts w:ascii="Times New Roman" w:hAnsi="Times New Roman" w:cs="Times New Roman"/>
          <w:color w:val="000000"/>
        </w:rPr>
      </w:pPr>
    </w:p>
    <w:p w14:paraId="4DAA39CA" w14:textId="77777777" w:rsidR="006C00A9" w:rsidRPr="00A552D9" w:rsidRDefault="006C00A9" w:rsidP="00214AAF">
      <w:pPr>
        <w:spacing w:before="0" w:after="0" w:line="240" w:lineRule="auto"/>
        <w:jc w:val="left"/>
        <w:rPr>
          <w:rFonts w:ascii="Times New Roman" w:hAnsi="Times New Roman" w:cs="Times New Roman"/>
          <w:color w:val="000000"/>
        </w:rPr>
      </w:pPr>
    </w:p>
    <w:p w14:paraId="0DF00210" w14:textId="77777777" w:rsidR="006C00A9" w:rsidRPr="00A552D9" w:rsidRDefault="006C00A9" w:rsidP="00214AAF">
      <w:pPr>
        <w:spacing w:before="0" w:after="0" w:line="240" w:lineRule="auto"/>
        <w:jc w:val="left"/>
        <w:rPr>
          <w:rFonts w:ascii="Times New Roman" w:hAnsi="Times New Roman" w:cs="Times New Roman"/>
          <w:color w:val="000000"/>
        </w:rPr>
      </w:pPr>
    </w:p>
    <w:p w14:paraId="506BD614" w14:textId="77777777" w:rsidR="006C00A9" w:rsidRPr="00A552D9" w:rsidRDefault="006C00A9" w:rsidP="00214AAF">
      <w:pPr>
        <w:spacing w:before="0" w:after="0" w:line="240" w:lineRule="auto"/>
        <w:jc w:val="left"/>
        <w:rPr>
          <w:rFonts w:ascii="Times New Roman" w:hAnsi="Times New Roman" w:cs="Times New Roman"/>
          <w:color w:val="000000"/>
        </w:rPr>
      </w:pPr>
    </w:p>
    <w:p w14:paraId="34B1E3FE" w14:textId="77777777" w:rsidR="006C00A9" w:rsidRPr="00A552D9" w:rsidRDefault="006C00A9" w:rsidP="00214AAF">
      <w:pPr>
        <w:spacing w:before="0" w:after="0" w:line="240" w:lineRule="auto"/>
        <w:jc w:val="left"/>
        <w:rPr>
          <w:rFonts w:ascii="Times New Roman" w:hAnsi="Times New Roman" w:cs="Times New Roman"/>
          <w:color w:val="000000"/>
        </w:rPr>
      </w:pPr>
    </w:p>
    <w:p w14:paraId="19F66515" w14:textId="77777777" w:rsidR="006C00A9" w:rsidRPr="00A552D9" w:rsidRDefault="006C00A9" w:rsidP="00214AAF">
      <w:pPr>
        <w:spacing w:before="0" w:after="0" w:line="240" w:lineRule="auto"/>
        <w:jc w:val="left"/>
        <w:rPr>
          <w:rFonts w:ascii="Times New Roman" w:hAnsi="Times New Roman" w:cs="Times New Roman"/>
          <w:color w:val="000000"/>
        </w:rPr>
      </w:pPr>
    </w:p>
    <w:p w14:paraId="74AC6A53" w14:textId="77777777" w:rsidR="006C00A9" w:rsidRPr="00A552D9" w:rsidRDefault="006C00A9" w:rsidP="00214AAF">
      <w:pPr>
        <w:spacing w:before="0" w:after="0" w:line="240" w:lineRule="auto"/>
        <w:jc w:val="left"/>
        <w:rPr>
          <w:rFonts w:ascii="Times New Roman" w:hAnsi="Times New Roman" w:cs="Times New Roman"/>
          <w:color w:val="000000"/>
        </w:rPr>
      </w:pPr>
    </w:p>
    <w:p w14:paraId="34AAC977" w14:textId="77777777" w:rsidR="006C00A9" w:rsidRPr="00A552D9" w:rsidRDefault="006C00A9" w:rsidP="00214AAF">
      <w:pPr>
        <w:spacing w:before="0" w:after="0" w:line="240" w:lineRule="auto"/>
        <w:jc w:val="left"/>
        <w:rPr>
          <w:rFonts w:ascii="Times New Roman" w:hAnsi="Times New Roman" w:cs="Times New Roman"/>
          <w:color w:val="000000"/>
        </w:rPr>
      </w:pPr>
    </w:p>
    <w:p w14:paraId="7681EFF5" w14:textId="77777777" w:rsidR="00593585" w:rsidRPr="00A552D9" w:rsidRDefault="003F09FD" w:rsidP="006C00A9">
      <w:pPr>
        <w:spacing w:before="0" w:after="0" w:line="240" w:lineRule="auto"/>
        <w:jc w:val="center"/>
        <w:rPr>
          <w:rFonts w:ascii="Times New Roman" w:hAnsi="Times New Roman" w:cs="Times New Roman"/>
          <w:b/>
          <w:color w:val="000000"/>
        </w:rPr>
      </w:pPr>
      <w:bookmarkStart w:id="4" w:name="br42"/>
      <w:bookmarkEnd w:id="4"/>
      <w:r w:rsidRPr="00A552D9">
        <w:rPr>
          <w:rFonts w:ascii="Times New Roman" w:hAnsi="Times New Roman" w:cs="Times New Roman"/>
          <w:b/>
          <w:color w:val="000000"/>
        </w:rPr>
        <w:t>III</w:t>
      </w:r>
      <w:r w:rsidRPr="00A552D9">
        <w:rPr>
          <w:rFonts w:ascii="Times New Roman" w:hAnsi="Times New Roman" w:cs="Times New Roman"/>
          <w:b/>
          <w:color w:val="000000"/>
          <w:spacing w:val="-1"/>
        </w:rPr>
        <w:t xml:space="preserve"> </w:t>
      </w:r>
      <w:r w:rsidRPr="00A552D9">
        <w:rPr>
          <w:rFonts w:ascii="Times New Roman" w:hAnsi="Times New Roman" w:cs="Times New Roman"/>
          <w:b/>
          <w:color w:val="000000"/>
        </w:rPr>
        <w:t>PRIEDAS</w:t>
      </w:r>
    </w:p>
    <w:p w14:paraId="257233AF" w14:textId="77777777" w:rsidR="006C00A9" w:rsidRPr="00A552D9" w:rsidRDefault="006C00A9" w:rsidP="006C00A9">
      <w:pPr>
        <w:spacing w:before="0" w:after="0" w:line="240" w:lineRule="auto"/>
        <w:jc w:val="center"/>
        <w:rPr>
          <w:rFonts w:ascii="Times New Roman" w:hAnsi="Times New Roman" w:cs="Times New Roman"/>
          <w:b/>
          <w:color w:val="000000"/>
        </w:rPr>
      </w:pPr>
    </w:p>
    <w:p w14:paraId="7681EFF6" w14:textId="77777777" w:rsidR="00593585" w:rsidRPr="00A552D9" w:rsidRDefault="003F09FD" w:rsidP="006C00A9">
      <w:pPr>
        <w:spacing w:before="0" w:after="0" w:line="240" w:lineRule="auto"/>
        <w:jc w:val="center"/>
        <w:rPr>
          <w:rFonts w:ascii="Times New Roman" w:hAnsi="Times New Roman" w:cs="Times New Roman"/>
          <w:b/>
          <w:color w:val="000000"/>
        </w:rPr>
      </w:pPr>
      <w:r w:rsidRPr="00A552D9">
        <w:rPr>
          <w:rFonts w:ascii="Times New Roman" w:hAnsi="Times New Roman" w:cs="Times New Roman"/>
          <w:b/>
          <w:color w:val="000000"/>
        </w:rPr>
        <w:t>ŽENKLINIMAS IR PAKUOTĖS LAPELIS</w:t>
      </w:r>
    </w:p>
    <w:p w14:paraId="7681EFFB" w14:textId="27792F1D" w:rsidR="00593585" w:rsidRPr="00A552D9" w:rsidRDefault="00593585" w:rsidP="00214AAF">
      <w:pPr>
        <w:spacing w:before="0" w:after="0" w:line="240" w:lineRule="auto"/>
        <w:jc w:val="left"/>
        <w:rPr>
          <w:rFonts w:ascii="Times New Roman" w:hAnsi="Times New Roman" w:cs="Times New Roman"/>
          <w:color w:val="000000"/>
        </w:rPr>
      </w:pPr>
    </w:p>
    <w:p w14:paraId="00C2720A" w14:textId="3E9D9B03" w:rsidR="006C00A9" w:rsidRPr="00A552D9" w:rsidRDefault="006C00A9">
      <w:pPr>
        <w:spacing w:before="0" w:after="160"/>
        <w:jc w:val="left"/>
        <w:rPr>
          <w:rFonts w:ascii="Times New Roman" w:hAnsi="Times New Roman" w:cs="Times New Roman"/>
          <w:color w:val="000000"/>
        </w:rPr>
      </w:pPr>
      <w:r w:rsidRPr="00A552D9">
        <w:rPr>
          <w:rFonts w:ascii="Times New Roman" w:hAnsi="Times New Roman" w:cs="Times New Roman"/>
          <w:color w:val="000000"/>
        </w:rPr>
        <w:br w:type="page"/>
      </w:r>
    </w:p>
    <w:p w14:paraId="3F509077" w14:textId="77777777" w:rsidR="006C00A9" w:rsidRPr="00A552D9" w:rsidRDefault="006C00A9" w:rsidP="00214AAF">
      <w:pPr>
        <w:spacing w:before="0" w:after="0" w:line="240" w:lineRule="auto"/>
        <w:jc w:val="left"/>
        <w:rPr>
          <w:rFonts w:ascii="Times New Roman" w:hAnsi="Times New Roman" w:cs="Times New Roman"/>
          <w:color w:val="000000"/>
        </w:rPr>
      </w:pPr>
    </w:p>
    <w:p w14:paraId="2829E3AC" w14:textId="77777777" w:rsidR="006C00A9" w:rsidRPr="00A552D9" w:rsidRDefault="006C00A9" w:rsidP="00214AAF">
      <w:pPr>
        <w:spacing w:before="0" w:after="0" w:line="240" w:lineRule="auto"/>
        <w:jc w:val="left"/>
        <w:rPr>
          <w:rFonts w:ascii="Times New Roman" w:hAnsi="Times New Roman" w:cs="Times New Roman"/>
          <w:color w:val="000000"/>
        </w:rPr>
      </w:pPr>
    </w:p>
    <w:p w14:paraId="01201918" w14:textId="77777777" w:rsidR="006C00A9" w:rsidRPr="00A552D9" w:rsidRDefault="006C00A9" w:rsidP="00214AAF">
      <w:pPr>
        <w:spacing w:before="0" w:after="0" w:line="240" w:lineRule="auto"/>
        <w:jc w:val="left"/>
        <w:rPr>
          <w:rFonts w:ascii="Times New Roman" w:hAnsi="Times New Roman" w:cs="Times New Roman"/>
          <w:color w:val="000000"/>
        </w:rPr>
      </w:pPr>
    </w:p>
    <w:p w14:paraId="173589BC" w14:textId="77777777" w:rsidR="006C00A9" w:rsidRPr="00A552D9" w:rsidRDefault="006C00A9" w:rsidP="00214AAF">
      <w:pPr>
        <w:spacing w:before="0" w:after="0" w:line="240" w:lineRule="auto"/>
        <w:jc w:val="left"/>
        <w:rPr>
          <w:rFonts w:ascii="Times New Roman" w:hAnsi="Times New Roman" w:cs="Times New Roman"/>
          <w:color w:val="000000"/>
        </w:rPr>
      </w:pPr>
    </w:p>
    <w:p w14:paraId="045E82A9" w14:textId="77777777" w:rsidR="006C00A9" w:rsidRPr="00A552D9" w:rsidRDefault="006C00A9" w:rsidP="00214AAF">
      <w:pPr>
        <w:spacing w:before="0" w:after="0" w:line="240" w:lineRule="auto"/>
        <w:jc w:val="left"/>
        <w:rPr>
          <w:rFonts w:ascii="Times New Roman" w:hAnsi="Times New Roman" w:cs="Times New Roman"/>
          <w:color w:val="000000"/>
        </w:rPr>
      </w:pPr>
    </w:p>
    <w:p w14:paraId="4F0ABCF1" w14:textId="77777777" w:rsidR="006C00A9" w:rsidRPr="00A552D9" w:rsidRDefault="006C00A9" w:rsidP="00214AAF">
      <w:pPr>
        <w:spacing w:before="0" w:after="0" w:line="240" w:lineRule="auto"/>
        <w:jc w:val="left"/>
        <w:rPr>
          <w:rFonts w:ascii="Times New Roman" w:hAnsi="Times New Roman" w:cs="Times New Roman"/>
          <w:color w:val="000000"/>
        </w:rPr>
      </w:pPr>
    </w:p>
    <w:p w14:paraId="01F4178E" w14:textId="77777777" w:rsidR="006C00A9" w:rsidRPr="00A552D9" w:rsidRDefault="006C00A9" w:rsidP="00214AAF">
      <w:pPr>
        <w:spacing w:before="0" w:after="0" w:line="240" w:lineRule="auto"/>
        <w:jc w:val="left"/>
        <w:rPr>
          <w:rFonts w:ascii="Times New Roman" w:hAnsi="Times New Roman" w:cs="Times New Roman"/>
          <w:color w:val="000000"/>
        </w:rPr>
      </w:pPr>
    </w:p>
    <w:p w14:paraId="673C41A4" w14:textId="77777777" w:rsidR="006C00A9" w:rsidRPr="00A552D9" w:rsidRDefault="006C00A9" w:rsidP="00214AAF">
      <w:pPr>
        <w:spacing w:before="0" w:after="0" w:line="240" w:lineRule="auto"/>
        <w:jc w:val="left"/>
        <w:rPr>
          <w:rFonts w:ascii="Times New Roman" w:hAnsi="Times New Roman" w:cs="Times New Roman"/>
          <w:color w:val="000000"/>
        </w:rPr>
      </w:pPr>
    </w:p>
    <w:p w14:paraId="13201324" w14:textId="77777777" w:rsidR="006C00A9" w:rsidRPr="00A552D9" w:rsidRDefault="006C00A9" w:rsidP="00214AAF">
      <w:pPr>
        <w:spacing w:before="0" w:after="0" w:line="240" w:lineRule="auto"/>
        <w:jc w:val="left"/>
        <w:rPr>
          <w:rFonts w:ascii="Times New Roman" w:hAnsi="Times New Roman" w:cs="Times New Roman"/>
          <w:color w:val="000000"/>
        </w:rPr>
      </w:pPr>
    </w:p>
    <w:p w14:paraId="00CB0D21" w14:textId="77777777" w:rsidR="006C00A9" w:rsidRPr="00A552D9" w:rsidRDefault="006C00A9" w:rsidP="00214AAF">
      <w:pPr>
        <w:spacing w:before="0" w:after="0" w:line="240" w:lineRule="auto"/>
        <w:jc w:val="left"/>
        <w:rPr>
          <w:rFonts w:ascii="Times New Roman" w:hAnsi="Times New Roman" w:cs="Times New Roman"/>
          <w:color w:val="000000"/>
        </w:rPr>
      </w:pPr>
    </w:p>
    <w:p w14:paraId="4C75D119" w14:textId="77777777" w:rsidR="006C00A9" w:rsidRPr="00A552D9" w:rsidRDefault="006C00A9" w:rsidP="00214AAF">
      <w:pPr>
        <w:spacing w:before="0" w:after="0" w:line="240" w:lineRule="auto"/>
        <w:jc w:val="left"/>
        <w:rPr>
          <w:rFonts w:ascii="Times New Roman" w:hAnsi="Times New Roman" w:cs="Times New Roman"/>
          <w:color w:val="000000"/>
        </w:rPr>
      </w:pPr>
    </w:p>
    <w:p w14:paraId="5AB0A3A1" w14:textId="77777777" w:rsidR="006C00A9" w:rsidRPr="00A552D9" w:rsidRDefault="006C00A9" w:rsidP="00214AAF">
      <w:pPr>
        <w:spacing w:before="0" w:after="0" w:line="240" w:lineRule="auto"/>
        <w:jc w:val="left"/>
        <w:rPr>
          <w:rFonts w:ascii="Times New Roman" w:hAnsi="Times New Roman" w:cs="Times New Roman"/>
          <w:color w:val="000000"/>
        </w:rPr>
      </w:pPr>
    </w:p>
    <w:p w14:paraId="307CE03D" w14:textId="77777777" w:rsidR="006C00A9" w:rsidRPr="00A552D9" w:rsidRDefault="006C00A9" w:rsidP="00214AAF">
      <w:pPr>
        <w:spacing w:before="0" w:after="0" w:line="240" w:lineRule="auto"/>
        <w:jc w:val="left"/>
        <w:rPr>
          <w:rFonts w:ascii="Times New Roman" w:hAnsi="Times New Roman" w:cs="Times New Roman"/>
          <w:color w:val="000000"/>
        </w:rPr>
      </w:pPr>
    </w:p>
    <w:p w14:paraId="16C89317" w14:textId="77777777" w:rsidR="006C00A9" w:rsidRPr="00A552D9" w:rsidRDefault="006C00A9" w:rsidP="00214AAF">
      <w:pPr>
        <w:spacing w:before="0" w:after="0" w:line="240" w:lineRule="auto"/>
        <w:jc w:val="left"/>
        <w:rPr>
          <w:rFonts w:ascii="Times New Roman" w:hAnsi="Times New Roman" w:cs="Times New Roman"/>
          <w:color w:val="000000"/>
        </w:rPr>
      </w:pPr>
    </w:p>
    <w:p w14:paraId="7EEBA69C" w14:textId="77777777" w:rsidR="006C00A9" w:rsidRPr="00A552D9" w:rsidRDefault="006C00A9" w:rsidP="00214AAF">
      <w:pPr>
        <w:spacing w:before="0" w:after="0" w:line="240" w:lineRule="auto"/>
        <w:jc w:val="left"/>
        <w:rPr>
          <w:rFonts w:ascii="Times New Roman" w:hAnsi="Times New Roman" w:cs="Times New Roman"/>
          <w:color w:val="000000"/>
        </w:rPr>
      </w:pPr>
    </w:p>
    <w:p w14:paraId="58C292EA" w14:textId="77777777" w:rsidR="006C00A9" w:rsidRPr="00A552D9" w:rsidRDefault="006C00A9" w:rsidP="00214AAF">
      <w:pPr>
        <w:spacing w:before="0" w:after="0" w:line="240" w:lineRule="auto"/>
        <w:jc w:val="left"/>
        <w:rPr>
          <w:rFonts w:ascii="Times New Roman" w:hAnsi="Times New Roman" w:cs="Times New Roman"/>
          <w:color w:val="000000"/>
        </w:rPr>
      </w:pPr>
    </w:p>
    <w:p w14:paraId="5CF41999" w14:textId="77777777" w:rsidR="006C00A9" w:rsidRPr="00A552D9" w:rsidRDefault="006C00A9" w:rsidP="00214AAF">
      <w:pPr>
        <w:spacing w:before="0" w:after="0" w:line="240" w:lineRule="auto"/>
        <w:jc w:val="left"/>
        <w:rPr>
          <w:rFonts w:ascii="Times New Roman" w:hAnsi="Times New Roman" w:cs="Times New Roman"/>
          <w:color w:val="000000"/>
        </w:rPr>
      </w:pPr>
    </w:p>
    <w:p w14:paraId="211EBD43" w14:textId="77777777" w:rsidR="006C00A9" w:rsidRPr="00A552D9" w:rsidRDefault="006C00A9" w:rsidP="00214AAF">
      <w:pPr>
        <w:spacing w:before="0" w:after="0" w:line="240" w:lineRule="auto"/>
        <w:jc w:val="left"/>
        <w:rPr>
          <w:rFonts w:ascii="Times New Roman" w:hAnsi="Times New Roman" w:cs="Times New Roman"/>
          <w:color w:val="000000"/>
        </w:rPr>
      </w:pPr>
    </w:p>
    <w:p w14:paraId="0819D23F" w14:textId="77777777" w:rsidR="006C00A9" w:rsidRPr="00A552D9" w:rsidRDefault="006C00A9" w:rsidP="00214AAF">
      <w:pPr>
        <w:spacing w:before="0" w:after="0" w:line="240" w:lineRule="auto"/>
        <w:jc w:val="left"/>
        <w:rPr>
          <w:rFonts w:ascii="Times New Roman" w:hAnsi="Times New Roman" w:cs="Times New Roman"/>
          <w:color w:val="000000"/>
        </w:rPr>
      </w:pPr>
    </w:p>
    <w:p w14:paraId="58D2F4AB" w14:textId="77777777" w:rsidR="006C00A9" w:rsidRPr="00A552D9" w:rsidRDefault="006C00A9" w:rsidP="00214AAF">
      <w:pPr>
        <w:spacing w:before="0" w:after="0" w:line="240" w:lineRule="auto"/>
        <w:jc w:val="left"/>
        <w:rPr>
          <w:rFonts w:ascii="Times New Roman" w:hAnsi="Times New Roman" w:cs="Times New Roman"/>
          <w:color w:val="000000"/>
        </w:rPr>
      </w:pPr>
    </w:p>
    <w:p w14:paraId="366E51F6" w14:textId="77777777" w:rsidR="006C00A9" w:rsidRPr="00A552D9" w:rsidRDefault="006C00A9" w:rsidP="00214AAF">
      <w:pPr>
        <w:spacing w:before="0" w:after="0" w:line="240" w:lineRule="auto"/>
        <w:jc w:val="left"/>
        <w:rPr>
          <w:rFonts w:ascii="Times New Roman" w:hAnsi="Times New Roman" w:cs="Times New Roman"/>
          <w:color w:val="000000"/>
        </w:rPr>
      </w:pPr>
    </w:p>
    <w:p w14:paraId="7A5FBAEE" w14:textId="77777777" w:rsidR="006C00A9" w:rsidRPr="00A552D9" w:rsidRDefault="006C00A9" w:rsidP="00214AAF">
      <w:pPr>
        <w:spacing w:before="0" w:after="0" w:line="240" w:lineRule="auto"/>
        <w:jc w:val="left"/>
        <w:rPr>
          <w:rFonts w:ascii="Times New Roman" w:hAnsi="Times New Roman" w:cs="Times New Roman"/>
          <w:color w:val="000000"/>
        </w:rPr>
      </w:pPr>
    </w:p>
    <w:p w14:paraId="7681EFFC" w14:textId="799997C8" w:rsidR="00593585" w:rsidRPr="00A552D9" w:rsidRDefault="003F09FD" w:rsidP="006C00A9">
      <w:pPr>
        <w:spacing w:before="0" w:after="0" w:line="240" w:lineRule="auto"/>
        <w:jc w:val="center"/>
        <w:rPr>
          <w:rFonts w:ascii="Times New Roman" w:hAnsi="Times New Roman" w:cs="Times New Roman"/>
          <w:b/>
          <w:color w:val="000000"/>
        </w:rPr>
      </w:pPr>
      <w:bookmarkStart w:id="5" w:name="br43"/>
      <w:bookmarkEnd w:id="5"/>
      <w:r w:rsidRPr="00A552D9">
        <w:rPr>
          <w:rFonts w:ascii="Times New Roman" w:hAnsi="Times New Roman" w:cs="Times New Roman"/>
          <w:b/>
          <w:color w:val="000000"/>
        </w:rPr>
        <w:t>A. ŽENKLINIMAS</w:t>
      </w:r>
    </w:p>
    <w:p w14:paraId="7681F001" w14:textId="52423202" w:rsidR="00593585" w:rsidRPr="00A552D9" w:rsidRDefault="00593585" w:rsidP="00214AAF">
      <w:pPr>
        <w:spacing w:before="0" w:after="0" w:line="240" w:lineRule="auto"/>
        <w:jc w:val="left"/>
        <w:rPr>
          <w:rFonts w:ascii="Times New Roman" w:hAnsi="Times New Roman" w:cs="Times New Roman"/>
          <w:color w:val="000000"/>
        </w:rPr>
      </w:pPr>
    </w:p>
    <w:p w14:paraId="2844FBC2" w14:textId="797B182A" w:rsidR="006C00A9" w:rsidRPr="00A552D9" w:rsidRDefault="006C00A9">
      <w:pPr>
        <w:spacing w:before="0" w:after="160"/>
        <w:jc w:val="left"/>
        <w:rPr>
          <w:rFonts w:ascii="Times New Roman" w:hAnsi="Times New Roman" w:cs="Times New Roman"/>
          <w:color w:val="000000"/>
        </w:rPr>
      </w:pPr>
      <w:r w:rsidRPr="00A552D9">
        <w:rPr>
          <w:rFonts w:ascii="Times New Roman" w:hAnsi="Times New Roman" w:cs="Times New Roman"/>
          <w:color w:val="000000"/>
        </w:rPr>
        <w:br w:type="page"/>
      </w:r>
    </w:p>
    <w:p w14:paraId="7681F19C" w14:textId="77777777" w:rsidR="00593585" w:rsidRPr="00A552D9" w:rsidRDefault="00593585" w:rsidP="00214AAF">
      <w:pPr>
        <w:spacing w:before="0" w:after="0" w:line="240" w:lineRule="auto"/>
        <w:jc w:val="left"/>
        <w:rPr>
          <w:rFonts w:ascii="Times New Roman" w:hAnsi="Times New Roman" w:cs="Times New Roman"/>
        </w:rPr>
      </w:pPr>
    </w:p>
    <w:p w14:paraId="43959196"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INFORMACIJA ANT IŠORINĖS PAKUOTĖS</w:t>
      </w:r>
    </w:p>
    <w:p w14:paraId="5BFEF544"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5F14205F" w14:textId="39D17B7C"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r w:rsidRPr="004D4255">
        <w:rPr>
          <w:rFonts w:ascii="Times New Roman" w:eastAsia="Times New Roman" w:hAnsi="Times New Roman" w:cs="Times New Roman"/>
          <w:b/>
          <w:kern w:val="0"/>
          <w:lang w:val="it-CH"/>
          <w14:ligatures w14:val="none"/>
        </w:rPr>
        <w:t>KARTONO DĖŽUTĖ</w:t>
      </w:r>
    </w:p>
    <w:p w14:paraId="222AC138"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D43399D"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1.</w:t>
      </w:r>
      <w:r w:rsidRPr="00A552D9">
        <w:rPr>
          <w:rFonts w:ascii="Times New Roman" w:eastAsia="Times New Roman" w:hAnsi="Times New Roman" w:cs="Times New Roman"/>
          <w:b/>
          <w:kern w:val="0"/>
          <w:lang w:val="lt-LT"/>
          <w14:ligatures w14:val="none"/>
        </w:rPr>
        <w:tab/>
      </w:r>
      <w:r w:rsidRPr="00A552D9">
        <w:rPr>
          <w:rFonts w:ascii="Times New Roman" w:eastAsia="Times New Roman" w:hAnsi="Times New Roman" w:cs="Times New Roman"/>
          <w:b/>
          <w:caps/>
          <w:kern w:val="0"/>
          <w:lang w:val="lt-LT"/>
          <w14:ligatures w14:val="none"/>
        </w:rPr>
        <w:t>VAISTINIO</w:t>
      </w:r>
      <w:r w:rsidRPr="00A552D9">
        <w:rPr>
          <w:rFonts w:ascii="Times New Roman" w:eastAsia="Times New Roman" w:hAnsi="Times New Roman" w:cs="Times New Roman"/>
          <w:b/>
          <w:kern w:val="0"/>
          <w:lang w:val="lt-LT"/>
          <w14:ligatures w14:val="none"/>
        </w:rPr>
        <w:t xml:space="preserve"> PREPARATO PAVADINIMAS</w:t>
      </w:r>
    </w:p>
    <w:p w14:paraId="770625AE"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B366691" w14:textId="77777777" w:rsidR="0086455D" w:rsidRPr="004D4255" w:rsidRDefault="0086455D" w:rsidP="0086455D">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r w:rsidRPr="004D4255">
        <w:rPr>
          <w:rFonts w:ascii="Times New Roman" w:eastAsia="Times New Roman" w:hAnsi="Times New Roman" w:cs="Times New Roman"/>
          <w:kern w:val="0"/>
          <w:lang w:val="it-CH"/>
          <w14:ligatures w14:val="none"/>
        </w:rPr>
        <w:t>Pomalidomide Olpha 1 mg kietosios kapsulės</w:t>
      </w:r>
    </w:p>
    <w:p w14:paraId="4109830C" w14:textId="77777777" w:rsidR="0086455D" w:rsidRPr="004D4255" w:rsidRDefault="0086455D" w:rsidP="0086455D">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2 mg kietosios kapsulės</w:t>
      </w:r>
    </w:p>
    <w:p w14:paraId="24F529F2" w14:textId="77777777" w:rsidR="0086455D" w:rsidRPr="004D4255" w:rsidRDefault="0086455D" w:rsidP="0086455D">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3 mg kietosios kapsulės</w:t>
      </w:r>
    </w:p>
    <w:p w14:paraId="4FF13752" w14:textId="6C56E06F" w:rsidR="006C00A9" w:rsidRPr="004D4255" w:rsidRDefault="0086455D" w:rsidP="0086455D">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r w:rsidRPr="004D4255">
        <w:rPr>
          <w:rFonts w:ascii="Times New Roman" w:eastAsia="Times New Roman" w:hAnsi="Times New Roman" w:cs="Times New Roman"/>
          <w:kern w:val="0"/>
          <w:highlight w:val="lightGray"/>
          <w:lang w:val="it-CH"/>
          <w14:ligatures w14:val="none"/>
        </w:rPr>
        <w:t>Pomalidomide Olpha 4 mg kietosios kapsulės</w:t>
      </w:r>
    </w:p>
    <w:p w14:paraId="38FC388C" w14:textId="77777777" w:rsidR="0086455D" w:rsidRPr="004D4255" w:rsidRDefault="0086455D" w:rsidP="0086455D">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p>
    <w:p w14:paraId="383835F7" w14:textId="7CC3182E" w:rsidR="0086455D" w:rsidRPr="004D4255" w:rsidRDefault="0086455D" w:rsidP="0086455D">
      <w:pPr>
        <w:widowControl w:val="0"/>
        <w:tabs>
          <w:tab w:val="left" w:pos="567"/>
        </w:tabs>
        <w:autoSpaceDE w:val="0"/>
        <w:autoSpaceDN w:val="0"/>
        <w:spacing w:before="0" w:after="0" w:line="240" w:lineRule="auto"/>
        <w:jc w:val="left"/>
        <w:rPr>
          <w:rFonts w:ascii="Times New Roman" w:eastAsia="Times New Roman" w:hAnsi="Times New Roman" w:cs="Times New Roman"/>
          <w:i/>
          <w:iCs/>
          <w:kern w:val="0"/>
          <w:lang w:val="it-CH"/>
          <w14:ligatures w14:val="none"/>
        </w:rPr>
      </w:pPr>
      <w:r w:rsidRPr="004D4255">
        <w:rPr>
          <w:rFonts w:ascii="Times New Roman" w:eastAsia="Times New Roman" w:hAnsi="Times New Roman" w:cs="Times New Roman"/>
          <w:i/>
          <w:iCs/>
          <w:kern w:val="0"/>
          <w:lang w:val="it-CH"/>
          <w14:ligatures w14:val="none"/>
        </w:rPr>
        <w:t>pomalidomidum</w:t>
      </w:r>
    </w:p>
    <w:p w14:paraId="348DEAE0" w14:textId="77777777" w:rsidR="0086455D" w:rsidRPr="00A552D9" w:rsidRDefault="0086455D" w:rsidP="0086455D">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F8EA1B8"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3E42AD7"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2.</w:t>
      </w:r>
      <w:r w:rsidRPr="00A552D9">
        <w:rPr>
          <w:rFonts w:ascii="Times New Roman" w:eastAsia="Times New Roman" w:hAnsi="Times New Roman" w:cs="Times New Roman"/>
          <w:b/>
          <w:kern w:val="0"/>
          <w:lang w:val="lt-LT"/>
          <w14:ligatures w14:val="none"/>
        </w:rPr>
        <w:tab/>
        <w:t>VEIKLIOJI (-IOS) MEDŽIAGA (-OS) IR JOS (-Ų) KIEKIS (-IAI)</w:t>
      </w:r>
    </w:p>
    <w:p w14:paraId="134C6315"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E6E5AE2" w14:textId="08B2416D" w:rsidR="006C00A9" w:rsidRPr="00A1310F" w:rsidRDefault="003A2C8C"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1310F">
        <w:rPr>
          <w:rFonts w:ascii="Times New Roman" w:eastAsia="Times New Roman" w:hAnsi="Times New Roman" w:cs="Times New Roman"/>
          <w:kern w:val="0"/>
          <w:lang w:val="lt-LT"/>
          <w14:ligatures w14:val="none"/>
        </w:rPr>
        <w:t>Kiekvienoje kietoje kapsulėje yra 1 mg pomalidomido.</w:t>
      </w:r>
    </w:p>
    <w:p w14:paraId="3196308F" w14:textId="6886183E" w:rsidR="003A2C8C" w:rsidRPr="00A552D9" w:rsidRDefault="003A2C8C"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A552D9">
        <w:rPr>
          <w:rFonts w:ascii="Times New Roman" w:eastAsia="Times New Roman" w:hAnsi="Times New Roman" w:cs="Times New Roman"/>
          <w:kern w:val="0"/>
          <w:highlight w:val="lightGray"/>
          <w:lang w:val="lt-LT"/>
          <w14:ligatures w14:val="none"/>
        </w:rPr>
        <w:t>Kiekvienoje kietoje kapsulėje yra 2 mg pomalidomido.</w:t>
      </w:r>
    </w:p>
    <w:p w14:paraId="4B9C39AD" w14:textId="373EEDC6" w:rsidR="003A2C8C" w:rsidRPr="00A552D9" w:rsidRDefault="003A2C8C"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A552D9">
        <w:rPr>
          <w:rFonts w:ascii="Times New Roman" w:eastAsia="Times New Roman" w:hAnsi="Times New Roman" w:cs="Times New Roman"/>
          <w:kern w:val="0"/>
          <w:highlight w:val="lightGray"/>
          <w:lang w:val="lt-LT"/>
          <w14:ligatures w14:val="none"/>
        </w:rPr>
        <w:t>Kiekvienoje kietoje kapsulėje yra 3 mg pomalidomido.</w:t>
      </w:r>
    </w:p>
    <w:p w14:paraId="66783EC4" w14:textId="6FD8D2F6" w:rsidR="003A2C8C" w:rsidRPr="00A552D9" w:rsidRDefault="003A2C8C"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Kiekvienoje kietoje kapsulėje yra 4 mg pomalidomido.</w:t>
      </w:r>
    </w:p>
    <w:p w14:paraId="577E902C" w14:textId="77777777" w:rsidR="003A2C8C" w:rsidRPr="00A552D9" w:rsidRDefault="003A2C8C"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933A22D"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CE17601"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3.</w:t>
      </w:r>
      <w:r w:rsidRPr="00A552D9">
        <w:rPr>
          <w:rFonts w:ascii="Times New Roman" w:eastAsia="Times New Roman" w:hAnsi="Times New Roman" w:cs="Times New Roman"/>
          <w:b/>
          <w:kern w:val="0"/>
          <w:lang w:val="lt-LT"/>
          <w14:ligatures w14:val="none"/>
        </w:rPr>
        <w:tab/>
        <w:t>PAGALBINIŲ MEDŽIAGŲ SĄRAŠAS</w:t>
      </w:r>
    </w:p>
    <w:p w14:paraId="70790683"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D90D0D2" w14:textId="02D46A62" w:rsidR="006C00A9" w:rsidRPr="00A552D9" w:rsidRDefault="00E35CF8"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Sudėtyje yra sacharozės.</w:t>
      </w:r>
    </w:p>
    <w:p w14:paraId="266A7A2F" w14:textId="77777777" w:rsidR="00E35CF8" w:rsidRPr="00A552D9" w:rsidRDefault="00E35CF8"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BFF9975" w14:textId="77777777" w:rsidR="00E35CF8" w:rsidRPr="00A552D9" w:rsidRDefault="00E35CF8"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7A8098A"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4.</w:t>
      </w:r>
      <w:r w:rsidRPr="00A552D9">
        <w:rPr>
          <w:rFonts w:ascii="Times New Roman" w:eastAsia="Times New Roman" w:hAnsi="Times New Roman" w:cs="Times New Roman"/>
          <w:b/>
          <w:kern w:val="0"/>
          <w:lang w:val="lt-LT"/>
          <w14:ligatures w14:val="none"/>
        </w:rPr>
        <w:tab/>
        <w:t>FARMACINĖ FORMA IR KIEKIS PAKUOTĖJE</w:t>
      </w:r>
    </w:p>
    <w:p w14:paraId="3482D9B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08CE50D" w14:textId="5E5E0FA3" w:rsidR="005009C8" w:rsidRPr="00A552D9" w:rsidRDefault="00D661BD"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k</w:t>
      </w:r>
      <w:r w:rsidR="00E35CF8" w:rsidRPr="00A552D9">
        <w:rPr>
          <w:rFonts w:ascii="Times New Roman" w:eastAsia="Times New Roman" w:hAnsi="Times New Roman" w:cs="Times New Roman"/>
          <w:kern w:val="0"/>
          <w:highlight w:val="lightGray"/>
          <w:lang w:val="lt-LT"/>
          <w14:ligatures w14:val="none"/>
        </w:rPr>
        <w:t>ietosios kapsulės</w:t>
      </w:r>
    </w:p>
    <w:p w14:paraId="62A14F60" w14:textId="77777777" w:rsidR="005009C8" w:rsidRPr="00A552D9" w:rsidRDefault="005009C8"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033C93C" w14:textId="3D660371" w:rsidR="006C00A9" w:rsidRPr="00A1310F" w:rsidRDefault="005009C8"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1310F">
        <w:rPr>
          <w:rFonts w:ascii="Times New Roman" w:eastAsia="Times New Roman" w:hAnsi="Times New Roman" w:cs="Times New Roman"/>
          <w:kern w:val="0"/>
          <w:lang w:val="lt-LT"/>
          <w14:ligatures w14:val="none"/>
        </w:rPr>
        <w:t>14</w:t>
      </w:r>
      <w:r w:rsidR="006C00A9" w:rsidRPr="00A1310F">
        <w:rPr>
          <w:rFonts w:ascii="Times New Roman" w:eastAsia="Times New Roman" w:hAnsi="Times New Roman" w:cs="Times New Roman"/>
          <w:kern w:val="0"/>
          <w:lang w:val="lt-LT"/>
          <w14:ligatures w14:val="none"/>
        </w:rPr>
        <w:t xml:space="preserve"> kiet</w:t>
      </w:r>
      <w:r w:rsidR="002647A5" w:rsidRPr="00A1310F">
        <w:rPr>
          <w:rFonts w:ascii="Times New Roman" w:eastAsia="Times New Roman" w:hAnsi="Times New Roman" w:cs="Times New Roman"/>
          <w:kern w:val="0"/>
          <w:lang w:val="lt-LT"/>
          <w14:ligatures w14:val="none"/>
        </w:rPr>
        <w:t>ųjų</w:t>
      </w:r>
      <w:r w:rsidR="006C00A9" w:rsidRPr="00A1310F">
        <w:rPr>
          <w:rFonts w:ascii="Times New Roman" w:eastAsia="Times New Roman" w:hAnsi="Times New Roman" w:cs="Times New Roman"/>
          <w:kern w:val="0"/>
          <w:lang w:val="lt-LT"/>
          <w14:ligatures w14:val="none"/>
        </w:rPr>
        <w:t xml:space="preserve"> kapsul</w:t>
      </w:r>
      <w:r w:rsidR="002647A5" w:rsidRPr="00A1310F">
        <w:rPr>
          <w:rFonts w:ascii="Times New Roman" w:eastAsia="Times New Roman" w:hAnsi="Times New Roman" w:cs="Times New Roman"/>
          <w:kern w:val="0"/>
          <w:lang w:val="lt-LT"/>
          <w14:ligatures w14:val="none"/>
        </w:rPr>
        <w:t>ių</w:t>
      </w:r>
    </w:p>
    <w:p w14:paraId="4B281922" w14:textId="41C6AD22" w:rsidR="005009C8" w:rsidRPr="00A1310F" w:rsidRDefault="00E35CF8"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A1310F">
        <w:rPr>
          <w:rFonts w:ascii="Times New Roman" w:eastAsia="Times New Roman" w:hAnsi="Times New Roman" w:cs="Times New Roman"/>
          <w:kern w:val="0"/>
          <w:highlight w:val="lightGray"/>
          <w:lang w:val="lt-LT"/>
          <w14:ligatures w14:val="none"/>
        </w:rPr>
        <w:t xml:space="preserve">14 x 1 </w:t>
      </w:r>
      <w:r w:rsidR="00F634FA" w:rsidRPr="00A1310F">
        <w:rPr>
          <w:rFonts w:ascii="Times New Roman" w:eastAsia="Times New Roman" w:hAnsi="Times New Roman" w:cs="Times New Roman"/>
          <w:kern w:val="0"/>
          <w:highlight w:val="lightGray"/>
          <w:lang w:val="lt-LT"/>
          <w14:ligatures w14:val="none"/>
        </w:rPr>
        <w:t>kietųjų kapsulių</w:t>
      </w:r>
    </w:p>
    <w:p w14:paraId="7D6D48CD" w14:textId="77777777" w:rsidR="00F634FA" w:rsidRPr="00A1310F" w:rsidRDefault="00F634FA"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p>
    <w:p w14:paraId="576828F0" w14:textId="3783C22E" w:rsidR="00F634FA" w:rsidRPr="00A1310F" w:rsidRDefault="00F634FA"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A1310F">
        <w:rPr>
          <w:rFonts w:ascii="Times New Roman" w:eastAsia="Times New Roman" w:hAnsi="Times New Roman" w:cs="Times New Roman"/>
          <w:kern w:val="0"/>
          <w:highlight w:val="lightGray"/>
          <w:lang w:val="lt-LT"/>
          <w14:ligatures w14:val="none"/>
        </w:rPr>
        <w:t>21 kietoji kapsulė</w:t>
      </w:r>
    </w:p>
    <w:p w14:paraId="77BCA716" w14:textId="27CF5D0A" w:rsidR="00F634FA" w:rsidRPr="004D4255" w:rsidRDefault="00F634FA"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4D4255">
        <w:rPr>
          <w:rFonts w:ascii="Times New Roman" w:eastAsia="Times New Roman" w:hAnsi="Times New Roman" w:cs="Times New Roman"/>
          <w:kern w:val="0"/>
          <w:highlight w:val="lightGray"/>
          <w:lang w:val="lt-LT"/>
          <w14:ligatures w14:val="none"/>
        </w:rPr>
        <w:t>21 x 1 kietoji kapsulė</w:t>
      </w:r>
    </w:p>
    <w:p w14:paraId="494438D3" w14:textId="77777777" w:rsidR="00F634FA" w:rsidRPr="004D4255" w:rsidRDefault="00F634FA"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04D9B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721019F"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5.</w:t>
      </w:r>
      <w:r w:rsidRPr="00A552D9">
        <w:rPr>
          <w:rFonts w:ascii="Times New Roman" w:eastAsia="Times New Roman" w:hAnsi="Times New Roman" w:cs="Times New Roman"/>
          <w:b/>
          <w:kern w:val="0"/>
          <w:lang w:val="lt-LT"/>
          <w14:ligatures w14:val="none"/>
        </w:rPr>
        <w:tab/>
        <w:t>VARTOJIMO METODAS IR BŪDAS (-AI)</w:t>
      </w:r>
    </w:p>
    <w:p w14:paraId="6E8046B1" w14:textId="77777777" w:rsidR="005D19E7" w:rsidRPr="004D4255" w:rsidRDefault="005D19E7" w:rsidP="005D19E7">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4842C1F" w14:textId="642B5C49" w:rsidR="005D19E7" w:rsidRPr="004D4255" w:rsidRDefault="005D19E7" w:rsidP="005D19E7">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4D4255">
        <w:rPr>
          <w:rFonts w:ascii="Times New Roman" w:eastAsia="Times New Roman" w:hAnsi="Times New Roman" w:cs="Times New Roman"/>
          <w:kern w:val="0"/>
          <w:lang w:val="lt-LT"/>
          <w14:ligatures w14:val="none"/>
        </w:rPr>
        <w:t>Vartoti per burną.</w:t>
      </w:r>
    </w:p>
    <w:p w14:paraId="2718419B" w14:textId="77777777" w:rsidR="006C00A9" w:rsidRPr="004D4255"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4D4255">
        <w:rPr>
          <w:rFonts w:ascii="Times New Roman" w:eastAsia="Times New Roman" w:hAnsi="Times New Roman" w:cs="Times New Roman"/>
          <w:kern w:val="0"/>
          <w:lang w:val="lt-LT"/>
          <w14:ligatures w14:val="none"/>
        </w:rPr>
        <w:t>Prieš vartojimą perskaitykite pakuotės lapelį.</w:t>
      </w:r>
    </w:p>
    <w:p w14:paraId="1AFF686C"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9CAD302"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50DDE47"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6.</w:t>
      </w:r>
      <w:r w:rsidRPr="00A552D9">
        <w:rPr>
          <w:rFonts w:ascii="Times New Roman" w:eastAsia="Times New Roman" w:hAnsi="Times New Roman" w:cs="Times New Roman"/>
          <w:b/>
          <w:kern w:val="0"/>
          <w:lang w:val="lt-LT"/>
          <w14:ligatures w14:val="none"/>
        </w:rPr>
        <w:tab/>
        <w:t>SPECIALUS ĮSPĖJIMAS, KAD VAISTINĮ PREPARATĄ BŪTINA LAIKYTI VAIKAMS NEPASTEBIMOJE IR NEPASIEKIAMOJE VIETOJE</w:t>
      </w:r>
    </w:p>
    <w:p w14:paraId="00150883"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1F43E57"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Laikyti vaikams nepastebimoje ir nepasiekiamoje vietoje.</w:t>
      </w:r>
    </w:p>
    <w:p w14:paraId="520864A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70A2200"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AC730D7"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7.</w:t>
      </w:r>
      <w:r w:rsidRPr="00A552D9">
        <w:rPr>
          <w:rFonts w:ascii="Times New Roman" w:eastAsia="Times New Roman" w:hAnsi="Times New Roman" w:cs="Times New Roman"/>
          <w:b/>
          <w:kern w:val="0"/>
          <w:lang w:val="lt-LT"/>
          <w14:ligatures w14:val="none"/>
        </w:rPr>
        <w:tab/>
        <w:t>KITAS (-I) SPECIALUS (-ŪS) ĮSPĖJIMAS (-AI) (JEI REIKIA)</w:t>
      </w:r>
    </w:p>
    <w:p w14:paraId="56A995F3"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2EA700E" w14:textId="5E10A142" w:rsidR="006C00A9" w:rsidRPr="00A552D9" w:rsidRDefault="003814E4"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ĮSPĖJIMAS: Sunkių įgimtų</w:t>
      </w:r>
      <w:r w:rsidR="00715A48">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ydų </w:t>
      </w:r>
      <w:r w:rsidR="00715A48">
        <w:rPr>
          <w:rFonts w:ascii="Times New Roman" w:eastAsia="Times New Roman" w:hAnsi="Times New Roman" w:cs="Times New Roman"/>
          <w:kern w:val="0"/>
          <w:lang w:val="lt-LT"/>
          <w14:ligatures w14:val="none"/>
        </w:rPr>
        <w:t xml:space="preserve">formavimosi </w:t>
      </w:r>
      <w:r w:rsidRPr="00A552D9">
        <w:rPr>
          <w:rFonts w:ascii="Times New Roman" w:eastAsia="Times New Roman" w:hAnsi="Times New Roman" w:cs="Times New Roman"/>
          <w:kern w:val="0"/>
          <w:lang w:val="lt-LT"/>
          <w14:ligatures w14:val="none"/>
        </w:rPr>
        <w:t xml:space="preserve">rizika. Nevartokite nėštumo ar žindymo laikotarpiu. Turite laikytis </w:t>
      </w:r>
      <w:r w:rsidR="00653ECD">
        <w:rPr>
          <w:rFonts w:ascii="Times New Roman" w:eastAsia="Times New Roman" w:hAnsi="Times New Roman" w:cs="Times New Roman"/>
          <w:kern w:val="0"/>
          <w:lang w:val="lt-LT"/>
          <w14:ligatures w14:val="none"/>
        </w:rPr>
        <w:t>P</w:t>
      </w:r>
      <w:r w:rsidR="0020577F" w:rsidRPr="00A552D9">
        <w:rPr>
          <w:rFonts w:ascii="Times New Roman" w:eastAsia="Times New Roman" w:hAnsi="Times New Roman" w:cs="Times New Roman"/>
          <w:kern w:val="0"/>
          <w:lang w:val="lt-LT"/>
          <w14:ligatures w14:val="none"/>
        </w:rPr>
        <w:t>omalidomid</w:t>
      </w:r>
      <w:r w:rsidR="00653ECD">
        <w:rPr>
          <w:rFonts w:ascii="Times New Roman" w:eastAsia="Times New Roman" w:hAnsi="Times New Roman" w:cs="Times New Roman"/>
          <w:kern w:val="0"/>
          <w:lang w:val="lt-LT"/>
          <w14:ligatures w14:val="none"/>
        </w:rPr>
        <w:t>e Olpha</w:t>
      </w:r>
      <w:r w:rsidRPr="00A552D9">
        <w:rPr>
          <w:rFonts w:ascii="Times New Roman" w:eastAsia="Times New Roman" w:hAnsi="Times New Roman" w:cs="Times New Roman"/>
          <w:kern w:val="0"/>
          <w:lang w:val="lt-LT"/>
          <w14:ligatures w14:val="none"/>
        </w:rPr>
        <w:t xml:space="preserve"> </w:t>
      </w:r>
      <w:r w:rsidR="00EB4ACE">
        <w:rPr>
          <w:rFonts w:ascii="Times New Roman" w:eastAsia="Times New Roman" w:hAnsi="Times New Roman" w:cs="Times New Roman"/>
          <w:kern w:val="0"/>
          <w:lang w:val="lt-LT"/>
          <w14:ligatures w14:val="none"/>
        </w:rPr>
        <w:t>n</w:t>
      </w:r>
      <w:r w:rsidRPr="00A552D9">
        <w:rPr>
          <w:rFonts w:ascii="Times New Roman" w:eastAsia="Times New Roman" w:hAnsi="Times New Roman" w:cs="Times New Roman"/>
          <w:kern w:val="0"/>
          <w:lang w:val="lt-LT"/>
          <w14:ligatures w14:val="none"/>
        </w:rPr>
        <w:t>ėštumo prevencijos programos.</w:t>
      </w:r>
    </w:p>
    <w:p w14:paraId="6D0D481C" w14:textId="77777777" w:rsidR="0020577F" w:rsidRPr="00A552D9" w:rsidRDefault="0020577F"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FC6EFCE" w14:textId="77777777" w:rsidR="0020577F" w:rsidRPr="00A552D9" w:rsidRDefault="0020577F"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6D9AEB1"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8.</w:t>
      </w:r>
      <w:r w:rsidRPr="00A552D9">
        <w:rPr>
          <w:rFonts w:ascii="Times New Roman" w:eastAsia="Times New Roman" w:hAnsi="Times New Roman" w:cs="Times New Roman"/>
          <w:b/>
          <w:kern w:val="0"/>
          <w:lang w:val="lt-LT"/>
          <w14:ligatures w14:val="none"/>
        </w:rPr>
        <w:tab/>
        <w:t>TINKAMUMO LAIKAS</w:t>
      </w:r>
    </w:p>
    <w:p w14:paraId="580F7B77"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EEEC6A4" w14:textId="77777777" w:rsidR="006C00A9" w:rsidRPr="00A552D9" w:rsidRDefault="006C00A9" w:rsidP="006C00A9">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EXP: {mm/MMMM}</w:t>
      </w:r>
    </w:p>
    <w:p w14:paraId="234875A6" w14:textId="77777777" w:rsidR="006C00A9" w:rsidRPr="00A552D9" w:rsidRDefault="006C00A9" w:rsidP="006C00A9">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CEFFFE7" w14:textId="77777777" w:rsidR="006C00A9" w:rsidRPr="00A552D9" w:rsidRDefault="006C00A9" w:rsidP="006C00A9">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94ADEBA" w14:textId="2DD62FAE" w:rsidR="006C00A9" w:rsidRPr="00A552D9" w:rsidRDefault="006C00A9" w:rsidP="006C00A9">
      <w:pPr>
        <w:widowControl w:val="0"/>
        <w:pBdr>
          <w:top w:val="single" w:sz="4" w:space="1" w:color="auto"/>
          <w:left w:val="single" w:sz="4" w:space="4" w:color="auto"/>
          <w:bottom w:val="single" w:sz="4" w:space="1" w:color="auto"/>
          <w:right w:val="single" w:sz="4" w:space="4" w:color="auto"/>
        </w:pBdr>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9.</w:t>
      </w:r>
      <w:r w:rsidRPr="00A552D9">
        <w:rPr>
          <w:rFonts w:ascii="Times New Roman" w:eastAsia="Times New Roman" w:hAnsi="Times New Roman" w:cs="Times New Roman"/>
          <w:b/>
          <w:kern w:val="0"/>
          <w:lang w:val="lt-LT"/>
          <w14:ligatures w14:val="none"/>
        </w:rPr>
        <w:tab/>
        <w:t>SPECIALIOS LAIKYMO SĄLYGOS</w:t>
      </w:r>
    </w:p>
    <w:p w14:paraId="7ACB3D60" w14:textId="77777777" w:rsidR="00995260" w:rsidRPr="004D4255" w:rsidRDefault="00995260"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E83D093"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6C021BC"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10.</w:t>
      </w:r>
      <w:r w:rsidRPr="00A552D9">
        <w:rPr>
          <w:rFonts w:ascii="Times New Roman" w:eastAsia="Times New Roman" w:hAnsi="Times New Roman" w:cs="Times New Roman"/>
          <w:b/>
          <w:kern w:val="0"/>
          <w:lang w:val="lt-LT"/>
          <w14:ligatures w14:val="none"/>
        </w:rPr>
        <w:tab/>
        <w:t>SPECIALIOS ATSARGUMO PRIEMONĖS DĖL NESUVARTOTO VAISTINIO PREPARATO AR JO ATLIEKŲ TVARKYMO (JEI REIKIA)</w:t>
      </w:r>
    </w:p>
    <w:p w14:paraId="23DB010A"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3C3AB03" w14:textId="0A9AAC40" w:rsidR="006C00A9" w:rsidRPr="00A552D9" w:rsidRDefault="00E2582F"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Nesuvartotą vaistą reikia grąžinti vaistininkui.</w:t>
      </w:r>
    </w:p>
    <w:p w14:paraId="08AD0572" w14:textId="77777777" w:rsidR="00A63384" w:rsidRPr="00A552D9" w:rsidRDefault="00A63384"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8FB28D6" w14:textId="77777777" w:rsidR="00A63384" w:rsidRPr="00A552D9" w:rsidRDefault="00A63384"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484456B"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11.</w:t>
      </w:r>
      <w:r w:rsidRPr="00A552D9">
        <w:rPr>
          <w:rFonts w:ascii="Times New Roman" w:eastAsia="Times New Roman" w:hAnsi="Times New Roman" w:cs="Times New Roman"/>
          <w:b/>
          <w:kern w:val="0"/>
          <w:lang w:val="lt-LT"/>
          <w14:ligatures w14:val="none"/>
        </w:rPr>
        <w:tab/>
      </w:r>
      <w:r w:rsidRPr="00A552D9">
        <w:rPr>
          <w:rFonts w:ascii="Times New Roman" w:eastAsia="Times New Roman" w:hAnsi="Times New Roman" w:cs="Times New Roman"/>
          <w:b/>
          <w:caps/>
          <w:kern w:val="0"/>
          <w:lang w:val="lt-LT"/>
          <w14:ligatures w14:val="none"/>
        </w:rPr>
        <w:t>REGISTRUOTOJO PAVADINIMAS IR ADRESAS</w:t>
      </w:r>
    </w:p>
    <w:p w14:paraId="0167DD9C"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8AD64F2"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Olpha AS,</w:t>
      </w:r>
    </w:p>
    <w:p w14:paraId="7F063F0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Rupnicu iela 5,</w:t>
      </w:r>
    </w:p>
    <w:p w14:paraId="782FB1E4" w14:textId="52039C64" w:rsidR="00995260"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Olaine, Olaines novads, LV-2114,</w:t>
      </w:r>
    </w:p>
    <w:p w14:paraId="59618EB1" w14:textId="79B036B5"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Latvija</w:t>
      </w:r>
    </w:p>
    <w:p w14:paraId="0EABF11F"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54DFD69" w14:textId="1686367F" w:rsidR="006C00A9" w:rsidRPr="00A552D9" w:rsidRDefault="00995260"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[Logotipas]</w:t>
      </w:r>
    </w:p>
    <w:p w14:paraId="3B834402" w14:textId="77777777" w:rsidR="00995260" w:rsidRPr="00A552D9" w:rsidRDefault="00995260"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16D22E0" w14:textId="77777777" w:rsidR="00995260" w:rsidRPr="00A552D9" w:rsidRDefault="00995260"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BFFAC77"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12.</w:t>
      </w:r>
      <w:r w:rsidRPr="00A552D9">
        <w:rPr>
          <w:rFonts w:ascii="Times New Roman" w:eastAsia="Times New Roman" w:hAnsi="Times New Roman" w:cs="Times New Roman"/>
          <w:b/>
          <w:kern w:val="0"/>
          <w:lang w:val="lt-LT"/>
          <w14:ligatures w14:val="none"/>
        </w:rPr>
        <w:tab/>
        <w:t xml:space="preserve">REGISTRACIJOS PAŽYMĖJIMO NUMERIS (-IAI) </w:t>
      </w:r>
    </w:p>
    <w:p w14:paraId="2A882CDF"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22E3CF8" w14:textId="77777777" w:rsidR="004D4255" w:rsidRPr="003A59AE"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8451C7">
        <w:rPr>
          <w:rFonts w:ascii="Times New Roman" w:eastAsia="Times New Roman" w:hAnsi="Times New Roman" w:cs="Times New Roman"/>
          <w:kern w:val="0"/>
          <w:highlight w:val="lightGray"/>
          <w:lang w:val="lt-LT"/>
          <w14:ligatures w14:val="none"/>
        </w:rPr>
        <w:t>&lt;1 mg&gt;</w:t>
      </w:r>
    </w:p>
    <w:p w14:paraId="22E5E4FD"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3A59AE">
        <w:rPr>
          <w:rFonts w:ascii="Times New Roman" w:eastAsia="Times New Roman" w:hAnsi="Times New Roman" w:cs="Times New Roman"/>
          <w:kern w:val="0"/>
          <w:lang w:val="lt-LT"/>
          <w14:ligatures w14:val="none"/>
        </w:rPr>
        <w:t xml:space="preserve">LT/1/25/5786/001 </w:t>
      </w:r>
      <w:r w:rsidRPr="008451C7">
        <w:rPr>
          <w:rFonts w:ascii="Times New Roman" w:eastAsia="Times New Roman" w:hAnsi="Times New Roman" w:cs="Times New Roman"/>
          <w:kern w:val="0"/>
          <w:highlight w:val="lightGray"/>
          <w:lang w:val="lt-LT"/>
          <w14:ligatures w14:val="none"/>
        </w:rPr>
        <w:t>– N14</w:t>
      </w:r>
    </w:p>
    <w:p w14:paraId="688E9127"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LT/1/25/5786/002 – N21</w:t>
      </w:r>
    </w:p>
    <w:p w14:paraId="40637DCE"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LT/1/25/5786/003 – N14x1</w:t>
      </w:r>
    </w:p>
    <w:p w14:paraId="43DE0C3F"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LT/1/25/5786/004 – N21x1</w:t>
      </w:r>
    </w:p>
    <w:p w14:paraId="3888A082"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p>
    <w:p w14:paraId="6C8269F9"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&lt;2 mg&gt;</w:t>
      </w:r>
    </w:p>
    <w:p w14:paraId="622871FC"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LT/1/25/5787/001 – N14</w:t>
      </w:r>
    </w:p>
    <w:p w14:paraId="44A9CC8E"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LT/1/25/5787/002 – N21</w:t>
      </w:r>
    </w:p>
    <w:p w14:paraId="41192EAA"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LT/1/25/5787/003 – N14x1</w:t>
      </w:r>
    </w:p>
    <w:p w14:paraId="7E2009BE"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LT/1/25/5787/004 – N21x1</w:t>
      </w:r>
    </w:p>
    <w:p w14:paraId="2E22C3FF"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p>
    <w:p w14:paraId="06C5DECA"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&lt;3 mg&gt;</w:t>
      </w:r>
    </w:p>
    <w:p w14:paraId="700093FE"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LT/1/25/5788/001 – N14</w:t>
      </w:r>
    </w:p>
    <w:p w14:paraId="613A6258"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LT/1/25/5788/002 – N21</w:t>
      </w:r>
    </w:p>
    <w:p w14:paraId="17DBB98A"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LT/1/25/5788/003 – N14x1</w:t>
      </w:r>
    </w:p>
    <w:p w14:paraId="6369A85D"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LT/1/25/5788/004 – N21x1</w:t>
      </w:r>
    </w:p>
    <w:p w14:paraId="676CF1B1"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p>
    <w:p w14:paraId="59810172"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&lt;4 mg&gt;</w:t>
      </w:r>
    </w:p>
    <w:p w14:paraId="45214CB4"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LT/1/25/5789/001 – N14</w:t>
      </w:r>
    </w:p>
    <w:p w14:paraId="29886A83"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LT/1/25/5789/002 – N21</w:t>
      </w:r>
    </w:p>
    <w:p w14:paraId="716AE440"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LT/1/25/5789/003 – N14x1</w:t>
      </w:r>
    </w:p>
    <w:p w14:paraId="2CC36216" w14:textId="77777777" w:rsidR="004D4255"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8451C7">
        <w:rPr>
          <w:rFonts w:ascii="Times New Roman" w:eastAsia="Times New Roman" w:hAnsi="Times New Roman" w:cs="Times New Roman"/>
          <w:kern w:val="0"/>
          <w:highlight w:val="lightGray"/>
          <w:lang w:val="lt-LT"/>
          <w14:ligatures w14:val="none"/>
        </w:rPr>
        <w:t>LT/1/25/5789/004 – N21x1</w:t>
      </w:r>
    </w:p>
    <w:p w14:paraId="5E96C320" w14:textId="77777777" w:rsidR="004D4255"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CD6A396" w14:textId="77777777" w:rsidR="004D4255" w:rsidRPr="00A552D9" w:rsidRDefault="004D4255"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379A7D2"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13.</w:t>
      </w:r>
      <w:r w:rsidRPr="00A552D9">
        <w:rPr>
          <w:rFonts w:ascii="Times New Roman" w:eastAsia="Times New Roman" w:hAnsi="Times New Roman" w:cs="Times New Roman"/>
          <w:b/>
          <w:kern w:val="0"/>
          <w:lang w:val="lt-LT"/>
          <w14:ligatures w14:val="none"/>
        </w:rPr>
        <w:tab/>
        <w:t xml:space="preserve">SERIJOS NUMERIS </w:t>
      </w:r>
    </w:p>
    <w:p w14:paraId="5D27E73F"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EDF526C"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Lot</w:t>
      </w:r>
    </w:p>
    <w:p w14:paraId="3869E0B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0DE7A09"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FC95E6"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14.</w:t>
      </w:r>
      <w:r w:rsidRPr="00A552D9">
        <w:rPr>
          <w:rFonts w:ascii="Times New Roman" w:eastAsia="Times New Roman" w:hAnsi="Times New Roman" w:cs="Times New Roman"/>
          <w:b/>
          <w:kern w:val="0"/>
          <w:lang w:val="lt-LT"/>
          <w14:ligatures w14:val="none"/>
        </w:rPr>
        <w:tab/>
        <w:t>PARDAVIMO (IŠDAVIMO) TVARKA</w:t>
      </w:r>
    </w:p>
    <w:p w14:paraId="520F37E0"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CDF635F" w14:textId="01ADA42A"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Receptinis vaistas</w:t>
      </w:r>
      <w:r w:rsidR="00995260" w:rsidRPr="00A552D9">
        <w:rPr>
          <w:rFonts w:ascii="Times New Roman" w:eastAsia="Times New Roman" w:hAnsi="Times New Roman" w:cs="Times New Roman"/>
          <w:kern w:val="0"/>
          <w:lang w:val="lt-LT"/>
          <w14:ligatures w14:val="none"/>
        </w:rPr>
        <w:t>.</w:t>
      </w:r>
    </w:p>
    <w:p w14:paraId="10F3F993"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BA2982"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2D74767" w14:textId="77777777" w:rsidR="006C00A9" w:rsidRPr="00A552D9" w:rsidRDefault="006C00A9" w:rsidP="006C00A9">
      <w:pPr>
        <w:widowControl w:val="0"/>
        <w:pBdr>
          <w:top w:val="single" w:sz="4" w:space="2"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15.</w:t>
      </w:r>
      <w:r w:rsidRPr="00A552D9">
        <w:rPr>
          <w:rFonts w:ascii="Times New Roman" w:eastAsia="Times New Roman" w:hAnsi="Times New Roman" w:cs="Times New Roman"/>
          <w:b/>
          <w:kern w:val="0"/>
          <w:lang w:val="lt-LT"/>
          <w14:ligatures w14:val="none"/>
        </w:rPr>
        <w:tab/>
        <w:t>VARTOJIMO INSTRUKCIJA</w:t>
      </w:r>
    </w:p>
    <w:p w14:paraId="27DB18E8"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B5731A2"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B17D3E9" w14:textId="77777777" w:rsidR="006C00A9" w:rsidRPr="00A552D9" w:rsidRDefault="006C00A9" w:rsidP="006C00A9">
      <w:pPr>
        <w:widowControl w:val="0"/>
        <w:pBdr>
          <w:top w:val="single" w:sz="4" w:space="1" w:color="auto"/>
          <w:left w:val="single" w:sz="4" w:space="4" w:color="auto"/>
          <w:bottom w:val="single" w:sz="4" w:space="0"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color w:val="008000"/>
          <w:kern w:val="0"/>
          <w:lang w:val="lt-LT"/>
          <w14:ligatures w14:val="none"/>
        </w:rPr>
      </w:pPr>
      <w:r w:rsidRPr="00A552D9">
        <w:rPr>
          <w:rFonts w:ascii="Times New Roman" w:eastAsia="Times New Roman" w:hAnsi="Times New Roman" w:cs="Times New Roman"/>
          <w:b/>
          <w:kern w:val="0"/>
          <w:lang w:val="lt-LT"/>
          <w14:ligatures w14:val="none"/>
        </w:rPr>
        <w:t>16.</w:t>
      </w:r>
      <w:r w:rsidRPr="00A552D9">
        <w:rPr>
          <w:rFonts w:ascii="Times New Roman" w:eastAsia="Times New Roman" w:hAnsi="Times New Roman" w:cs="Times New Roman"/>
          <w:b/>
          <w:kern w:val="0"/>
          <w:lang w:val="lt-LT"/>
          <w14:ligatures w14:val="none"/>
        </w:rPr>
        <w:tab/>
        <w:t>INFORMACIJA BRAILIO RAŠTU</w:t>
      </w:r>
    </w:p>
    <w:p w14:paraId="5C299D7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6478211" w14:textId="15669154"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r w:rsidRPr="004D4255">
        <w:rPr>
          <w:rFonts w:ascii="Times New Roman" w:eastAsia="Times New Roman" w:hAnsi="Times New Roman" w:cs="Times New Roman"/>
          <w:kern w:val="0"/>
          <w:lang w:val="it-CH"/>
          <w14:ligatures w14:val="none"/>
        </w:rPr>
        <w:t>pomalidomide olpha 1 mg</w:t>
      </w:r>
    </w:p>
    <w:p w14:paraId="1055AF9A" w14:textId="490E568A"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2 mg</w:t>
      </w:r>
    </w:p>
    <w:p w14:paraId="423E703A" w14:textId="0D8B433A"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3 mg</w:t>
      </w:r>
    </w:p>
    <w:p w14:paraId="70642D45" w14:textId="0D432A68" w:rsidR="00A63384" w:rsidRPr="00A552D9"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14:ligatures w14:val="none"/>
        </w:rPr>
      </w:pPr>
      <w:r w:rsidRPr="00A552D9">
        <w:rPr>
          <w:rFonts w:ascii="Times New Roman" w:eastAsia="Times New Roman" w:hAnsi="Times New Roman" w:cs="Times New Roman"/>
          <w:kern w:val="0"/>
          <w:highlight w:val="lightGray"/>
          <w14:ligatures w14:val="none"/>
        </w:rPr>
        <w:t>pomalidomide olpha 4 mg</w:t>
      </w:r>
    </w:p>
    <w:p w14:paraId="35B4220C"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shd w:val="clear" w:color="auto" w:fill="CCCCCC"/>
          <w:lang w:val="lt-LT"/>
          <w14:ligatures w14:val="none"/>
        </w:rPr>
      </w:pPr>
    </w:p>
    <w:p w14:paraId="5A8B000C"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shd w:val="clear" w:color="auto" w:fill="CCCCCC"/>
          <w:lang w:val="lt-LT"/>
          <w14:ligatures w14:val="none"/>
        </w:rPr>
      </w:pPr>
    </w:p>
    <w:p w14:paraId="218DB676" w14:textId="77777777" w:rsidR="006C00A9" w:rsidRPr="00A552D9" w:rsidRDefault="006C00A9" w:rsidP="006C00A9">
      <w:pPr>
        <w:keepNext/>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b/>
          <w:kern w:val="0"/>
          <w:lang w:val="lt-LT"/>
          <w14:ligatures w14:val="none"/>
        </w:rPr>
        <w:t>17.</w:t>
      </w:r>
      <w:r w:rsidRPr="00A552D9">
        <w:rPr>
          <w:rFonts w:ascii="Times New Roman" w:eastAsia="Times New Roman" w:hAnsi="Times New Roman" w:cs="Times New Roman"/>
          <w:b/>
          <w:kern w:val="0"/>
          <w:lang w:val="lt-LT"/>
          <w14:ligatures w14:val="none"/>
        </w:rPr>
        <w:tab/>
        <w:t>UNIKALUS IDENTIFIKATORIUS – 2D BRŪKŠNINIS KODAS</w:t>
      </w:r>
    </w:p>
    <w:p w14:paraId="549D8822"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A7C7431"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shd w:val="clear" w:color="auto" w:fill="CCCCCC"/>
          <w:lang w:val="lt-LT"/>
          <w14:ligatures w14:val="none"/>
        </w:rPr>
      </w:pPr>
      <w:r w:rsidRPr="00A552D9">
        <w:rPr>
          <w:rFonts w:ascii="Times New Roman" w:eastAsia="Times New Roman" w:hAnsi="Times New Roman" w:cs="Times New Roman"/>
          <w:kern w:val="0"/>
          <w:highlight w:val="lightGray"/>
          <w:lang w:val="lt-LT"/>
          <w14:ligatures w14:val="none"/>
        </w:rPr>
        <w:t>2D brūkšninis kodas su nurodytu unikaliu identifikatoriumi.</w:t>
      </w:r>
    </w:p>
    <w:p w14:paraId="53824E98"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90E1268"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BE4FCEB" w14:textId="77777777" w:rsidR="006C00A9" w:rsidRPr="00A552D9" w:rsidRDefault="006C00A9" w:rsidP="006C00A9">
      <w:pPr>
        <w:keepNext/>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b/>
          <w:kern w:val="0"/>
          <w:lang w:val="lt-LT"/>
          <w14:ligatures w14:val="none"/>
        </w:rPr>
        <w:t>18.</w:t>
      </w:r>
      <w:r w:rsidRPr="00A552D9">
        <w:rPr>
          <w:rFonts w:ascii="Times New Roman" w:eastAsia="Times New Roman" w:hAnsi="Times New Roman" w:cs="Times New Roman"/>
          <w:b/>
          <w:kern w:val="0"/>
          <w:lang w:val="lt-LT"/>
          <w14:ligatures w14:val="none"/>
        </w:rPr>
        <w:tab/>
        <w:t>UNIKALUS IDENTIFIKATORIUS – ŽMONĖMS SUPRANTAMI DUOMENYS</w:t>
      </w:r>
    </w:p>
    <w:p w14:paraId="5AC794BE"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5A220E7"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color w:val="008000"/>
          <w:kern w:val="0"/>
          <w:lang w:val="lt-LT"/>
          <w14:ligatures w14:val="none"/>
        </w:rPr>
      </w:pPr>
      <w:r w:rsidRPr="00A552D9">
        <w:rPr>
          <w:rFonts w:ascii="Times New Roman" w:eastAsia="Times New Roman" w:hAnsi="Times New Roman" w:cs="Times New Roman"/>
          <w:kern w:val="0"/>
          <w:lang w:val="lt-LT"/>
          <w14:ligatures w14:val="none"/>
        </w:rPr>
        <w:t>PC {numeris}</w:t>
      </w:r>
    </w:p>
    <w:p w14:paraId="27D51CA1"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SN {numeris} </w:t>
      </w:r>
    </w:p>
    <w:p w14:paraId="35B816BE"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NN {numeris}</w:t>
      </w:r>
      <w:r w:rsidRPr="00A552D9">
        <w:rPr>
          <w:rFonts w:ascii="Times New Roman" w:eastAsia="Times New Roman" w:hAnsi="Times New Roman" w:cs="Times New Roman"/>
          <w:kern w:val="0"/>
          <w:lang w:val="lt-LT"/>
          <w14:ligatures w14:val="none"/>
        </w:rPr>
        <w:t xml:space="preserve"> </w:t>
      </w:r>
    </w:p>
    <w:p w14:paraId="724D511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B2C9F92" w14:textId="77777777" w:rsidR="006C00A9" w:rsidRPr="00A552D9" w:rsidRDefault="006C00A9" w:rsidP="006C00A9">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br w:type="page"/>
      </w:r>
    </w:p>
    <w:p w14:paraId="19F27125"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lastRenderedPageBreak/>
        <w:t>MINIMALI INFORMACIJA ANT LIZDINIŲ PLOKŠTELIŲ ARBA DVISLUOKSNIŲ JUOSTELIŲ</w:t>
      </w:r>
    </w:p>
    <w:p w14:paraId="04EB4866"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51452E1F" w14:textId="2CB0EEF2"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r w:rsidRPr="004D4255">
        <w:rPr>
          <w:rFonts w:ascii="Times New Roman" w:eastAsia="Times New Roman" w:hAnsi="Times New Roman" w:cs="Times New Roman"/>
          <w:b/>
          <w:kern w:val="0"/>
          <w:lang w:val="it-CH"/>
          <w14:ligatures w14:val="none"/>
        </w:rPr>
        <w:t>LIZDINĖ PLOKŠTELĖ</w:t>
      </w:r>
    </w:p>
    <w:p w14:paraId="6607368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DC395A9"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1.</w:t>
      </w:r>
      <w:r w:rsidRPr="00A552D9">
        <w:rPr>
          <w:rFonts w:ascii="Times New Roman" w:eastAsia="Times New Roman" w:hAnsi="Times New Roman" w:cs="Times New Roman"/>
          <w:b/>
          <w:kern w:val="0"/>
          <w:lang w:val="lt-LT"/>
          <w14:ligatures w14:val="none"/>
        </w:rPr>
        <w:tab/>
      </w:r>
      <w:r w:rsidRPr="00A552D9">
        <w:rPr>
          <w:rFonts w:ascii="Times New Roman" w:eastAsia="Times New Roman" w:hAnsi="Times New Roman" w:cs="Times New Roman"/>
          <w:b/>
          <w:caps/>
          <w:kern w:val="0"/>
          <w:lang w:val="lt-LT"/>
          <w14:ligatures w14:val="none"/>
        </w:rPr>
        <w:t>VAISTINIO</w:t>
      </w:r>
      <w:r w:rsidRPr="00A552D9">
        <w:rPr>
          <w:rFonts w:ascii="Times New Roman" w:eastAsia="Times New Roman" w:hAnsi="Times New Roman" w:cs="Times New Roman"/>
          <w:b/>
          <w:kern w:val="0"/>
          <w:lang w:val="lt-LT"/>
          <w14:ligatures w14:val="none"/>
        </w:rPr>
        <w:t xml:space="preserve"> PREPARATO PAVADINIMAS</w:t>
      </w:r>
    </w:p>
    <w:p w14:paraId="13514C37"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634FEDF" w14:textId="77777777"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r w:rsidRPr="004D4255">
        <w:rPr>
          <w:rFonts w:ascii="Times New Roman" w:eastAsia="Times New Roman" w:hAnsi="Times New Roman" w:cs="Times New Roman"/>
          <w:kern w:val="0"/>
          <w:lang w:val="it-CH"/>
          <w14:ligatures w14:val="none"/>
        </w:rPr>
        <w:t>Pomalidomide Olpha 1 mg kietosios kapsulės</w:t>
      </w:r>
    </w:p>
    <w:p w14:paraId="5A226B28" w14:textId="77777777"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2 mg kietosios kapsulės</w:t>
      </w:r>
    </w:p>
    <w:p w14:paraId="7575B592" w14:textId="77777777"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3 mg kietosios kapsulės</w:t>
      </w:r>
    </w:p>
    <w:p w14:paraId="3FC38C4A" w14:textId="77777777"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r w:rsidRPr="004D4255">
        <w:rPr>
          <w:rFonts w:ascii="Times New Roman" w:eastAsia="Times New Roman" w:hAnsi="Times New Roman" w:cs="Times New Roman"/>
          <w:kern w:val="0"/>
          <w:highlight w:val="lightGray"/>
          <w:lang w:val="it-CH"/>
          <w14:ligatures w14:val="none"/>
        </w:rPr>
        <w:t>Pomalidomide Olpha 4 mg kietosios kapsulės</w:t>
      </w:r>
    </w:p>
    <w:p w14:paraId="4BE9BC3D" w14:textId="77777777"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p>
    <w:p w14:paraId="0179FF4B" w14:textId="60E74354" w:rsidR="006C00A9" w:rsidRPr="00A552D9"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i/>
          <w:iCs/>
          <w:kern w:val="0"/>
          <w:lang w:val="lt-LT"/>
          <w14:ligatures w14:val="none"/>
        </w:rPr>
      </w:pPr>
      <w:r w:rsidRPr="004D4255">
        <w:rPr>
          <w:rFonts w:ascii="Times New Roman" w:eastAsia="Times New Roman" w:hAnsi="Times New Roman" w:cs="Times New Roman"/>
          <w:i/>
          <w:iCs/>
          <w:kern w:val="0"/>
          <w:lang w:val="it-CH"/>
          <w14:ligatures w14:val="none"/>
        </w:rPr>
        <w:t>pomalidomidum</w:t>
      </w:r>
    </w:p>
    <w:p w14:paraId="6EB89ACB"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5E4B349" w14:textId="77777777" w:rsidR="00A63384" w:rsidRPr="00A552D9" w:rsidRDefault="00A63384"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B1743F3"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2.</w:t>
      </w:r>
      <w:r w:rsidRPr="00A552D9">
        <w:rPr>
          <w:rFonts w:ascii="Times New Roman" w:eastAsia="Times New Roman" w:hAnsi="Times New Roman" w:cs="Times New Roman"/>
          <w:b/>
          <w:kern w:val="0"/>
          <w:lang w:val="lt-LT"/>
          <w14:ligatures w14:val="none"/>
        </w:rPr>
        <w:tab/>
        <w:t>REGISTRUOTOJO PAVADINIMAS</w:t>
      </w:r>
    </w:p>
    <w:p w14:paraId="069691D4" w14:textId="77777777" w:rsidR="006C00A9" w:rsidRPr="00A552D9" w:rsidRDefault="006C00A9" w:rsidP="006C00A9">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9652F9B" w14:textId="14499A2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Olpha </w:t>
      </w:r>
      <w:r w:rsidR="00995260" w:rsidRPr="00A552D9">
        <w:rPr>
          <w:rFonts w:ascii="Times New Roman" w:eastAsia="Times New Roman" w:hAnsi="Times New Roman" w:cs="Times New Roman"/>
          <w:kern w:val="0"/>
          <w:highlight w:val="lightGray"/>
          <w:lang w:val="lt-LT"/>
          <w14:ligatures w14:val="none"/>
        </w:rPr>
        <w:t>[Logotipas]</w:t>
      </w:r>
    </w:p>
    <w:p w14:paraId="19E032FD"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910DA0B"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689B270"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3.</w:t>
      </w:r>
      <w:r w:rsidRPr="00A552D9">
        <w:rPr>
          <w:rFonts w:ascii="Times New Roman" w:eastAsia="Times New Roman" w:hAnsi="Times New Roman" w:cs="Times New Roman"/>
          <w:b/>
          <w:kern w:val="0"/>
          <w:lang w:val="lt-LT"/>
          <w14:ligatures w14:val="none"/>
        </w:rPr>
        <w:tab/>
        <w:t>TINKAMUMO LAIKAS</w:t>
      </w:r>
    </w:p>
    <w:p w14:paraId="0B8F2F62"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F197B07" w14:textId="77777777" w:rsidR="006C00A9" w:rsidRPr="00A552D9" w:rsidRDefault="006C00A9" w:rsidP="006C00A9">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EXP</w:t>
      </w:r>
    </w:p>
    <w:p w14:paraId="5F91666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812535C"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214D760"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4.</w:t>
      </w:r>
      <w:r w:rsidRPr="00A552D9">
        <w:rPr>
          <w:rFonts w:ascii="Times New Roman" w:eastAsia="Times New Roman" w:hAnsi="Times New Roman" w:cs="Times New Roman"/>
          <w:b/>
          <w:kern w:val="0"/>
          <w:lang w:val="lt-LT"/>
          <w14:ligatures w14:val="none"/>
        </w:rPr>
        <w:tab/>
        <w:t>SERIJOS NUMERIS</w:t>
      </w:r>
    </w:p>
    <w:p w14:paraId="14974762"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A9A3559"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Lot</w:t>
      </w:r>
    </w:p>
    <w:p w14:paraId="58FD5A64" w14:textId="77777777" w:rsidR="006C00A9" w:rsidRPr="00A552D9" w:rsidRDefault="006C00A9" w:rsidP="006C00A9">
      <w:pPr>
        <w:widowControl w:val="0"/>
        <w:autoSpaceDE w:val="0"/>
        <w:autoSpaceDN w:val="0"/>
        <w:spacing w:before="0" w:after="0" w:line="240" w:lineRule="auto"/>
        <w:jc w:val="left"/>
        <w:rPr>
          <w:rFonts w:ascii="Times New Roman" w:eastAsia="Times New Roman" w:hAnsi="Times New Roman" w:cs="Times New Roman"/>
          <w:spacing w:val="53"/>
          <w:kern w:val="0"/>
          <w:lang w:val="lt-LT"/>
          <w14:ligatures w14:val="none"/>
        </w:rPr>
      </w:pPr>
    </w:p>
    <w:p w14:paraId="0A819DFA"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99625A9"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5.</w:t>
      </w:r>
      <w:r w:rsidRPr="00A552D9">
        <w:rPr>
          <w:rFonts w:ascii="Times New Roman" w:eastAsia="Times New Roman" w:hAnsi="Times New Roman" w:cs="Times New Roman"/>
          <w:b/>
          <w:kern w:val="0"/>
          <w:lang w:val="lt-LT"/>
          <w14:ligatures w14:val="none"/>
        </w:rPr>
        <w:tab/>
        <w:t>KITA</w:t>
      </w:r>
    </w:p>
    <w:p w14:paraId="002F93D3"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A32D9A0" w14:textId="77777777" w:rsidR="00B1102B" w:rsidRPr="00A552D9" w:rsidRDefault="00D932C1"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kern w:val="0"/>
          <w:lang w:val="lt-LT"/>
          <w14:ligatures w14:val="none"/>
        </w:rPr>
        <w:br w:type="page"/>
      </w:r>
      <w:r w:rsidR="00B1102B" w:rsidRPr="00A552D9">
        <w:rPr>
          <w:rFonts w:ascii="Times New Roman" w:eastAsia="Times New Roman" w:hAnsi="Times New Roman" w:cs="Times New Roman"/>
          <w:b/>
          <w:kern w:val="0"/>
          <w:lang w:val="lt-LT"/>
          <w14:ligatures w14:val="none"/>
        </w:rPr>
        <w:lastRenderedPageBreak/>
        <w:t>MINIMALI INFORMACIJA ANT LIZDINIŲ PLOKŠTELIŲ ARBA DVISLUOKSNIŲ JUOSTELIŲ</w:t>
      </w:r>
    </w:p>
    <w:p w14:paraId="7BD38838" w14:textId="77777777" w:rsidR="00B1102B" w:rsidRPr="00A552D9" w:rsidRDefault="00B1102B"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7D1DB5EA" w14:textId="4AA01F9A" w:rsidR="00B1102B" w:rsidRPr="00A552D9" w:rsidRDefault="009535F0"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r>
        <w:rPr>
          <w:rFonts w:ascii="Times New Roman" w:eastAsia="Times New Roman" w:hAnsi="Times New Roman" w:cs="Times New Roman"/>
          <w:b/>
          <w:kern w:val="0"/>
          <w:lang w:val="lt-LT"/>
          <w14:ligatures w14:val="none"/>
        </w:rPr>
        <w:t>DALOMOJI</w:t>
      </w:r>
      <w:r w:rsidR="00567735" w:rsidRPr="00A1310F">
        <w:rPr>
          <w:rFonts w:ascii="Times New Roman" w:eastAsia="Times New Roman" w:hAnsi="Times New Roman" w:cs="Times New Roman"/>
          <w:b/>
          <w:kern w:val="0"/>
          <w:lang w:val="lt-LT"/>
          <w14:ligatures w14:val="none"/>
        </w:rPr>
        <w:t xml:space="preserve"> LIZDINĖ PLOKŠTELĖ [visa informacija nurodyta prie kiekvienos dozės]</w:t>
      </w:r>
    </w:p>
    <w:p w14:paraId="77D8CFA9"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3A377C3" w14:textId="77777777" w:rsidR="00B1102B" w:rsidRPr="00A552D9" w:rsidRDefault="00B1102B"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1.</w:t>
      </w:r>
      <w:r w:rsidRPr="00A552D9">
        <w:rPr>
          <w:rFonts w:ascii="Times New Roman" w:eastAsia="Times New Roman" w:hAnsi="Times New Roman" w:cs="Times New Roman"/>
          <w:b/>
          <w:kern w:val="0"/>
          <w:lang w:val="lt-LT"/>
          <w14:ligatures w14:val="none"/>
        </w:rPr>
        <w:tab/>
      </w:r>
      <w:r w:rsidRPr="00A552D9">
        <w:rPr>
          <w:rFonts w:ascii="Times New Roman" w:eastAsia="Times New Roman" w:hAnsi="Times New Roman" w:cs="Times New Roman"/>
          <w:b/>
          <w:caps/>
          <w:kern w:val="0"/>
          <w:lang w:val="lt-LT"/>
          <w14:ligatures w14:val="none"/>
        </w:rPr>
        <w:t>VAISTINIO</w:t>
      </w:r>
      <w:r w:rsidRPr="00A552D9">
        <w:rPr>
          <w:rFonts w:ascii="Times New Roman" w:eastAsia="Times New Roman" w:hAnsi="Times New Roman" w:cs="Times New Roman"/>
          <w:b/>
          <w:kern w:val="0"/>
          <w:lang w:val="lt-LT"/>
          <w14:ligatures w14:val="none"/>
        </w:rPr>
        <w:t xml:space="preserve"> PREPARATO PAVADINIMAS</w:t>
      </w:r>
    </w:p>
    <w:p w14:paraId="413646F0"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A4C2985" w14:textId="58723CC9" w:rsidR="00B1102B" w:rsidRPr="004D4255"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r w:rsidRPr="004D4255">
        <w:rPr>
          <w:rFonts w:ascii="Times New Roman" w:eastAsia="Times New Roman" w:hAnsi="Times New Roman" w:cs="Times New Roman"/>
          <w:kern w:val="0"/>
          <w:lang w:val="it-CH"/>
          <w14:ligatures w14:val="none"/>
        </w:rPr>
        <w:t>Pomalidomide Olpha 1 mg kapsulės</w:t>
      </w:r>
    </w:p>
    <w:p w14:paraId="36E1C655" w14:textId="3192CBFA" w:rsidR="00B1102B" w:rsidRPr="004D4255"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2 mg kapsulės</w:t>
      </w:r>
    </w:p>
    <w:p w14:paraId="0E827DC1" w14:textId="67A8114E" w:rsidR="00B1102B" w:rsidRPr="004D4255"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3 mg kapsulės</w:t>
      </w:r>
    </w:p>
    <w:p w14:paraId="3F1F048B" w14:textId="35ACD539" w:rsidR="00B1102B" w:rsidRPr="004D4255"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r w:rsidRPr="004D4255">
        <w:rPr>
          <w:rFonts w:ascii="Times New Roman" w:eastAsia="Times New Roman" w:hAnsi="Times New Roman" w:cs="Times New Roman"/>
          <w:kern w:val="0"/>
          <w:highlight w:val="lightGray"/>
          <w:lang w:val="it-CH"/>
          <w14:ligatures w14:val="none"/>
        </w:rPr>
        <w:t>Pomalidomide Olpha 4 mg kapsulės</w:t>
      </w:r>
    </w:p>
    <w:p w14:paraId="23FE2183" w14:textId="77777777" w:rsidR="00B1102B" w:rsidRPr="004D4255"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p>
    <w:p w14:paraId="67587056"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i/>
          <w:iCs/>
          <w:kern w:val="0"/>
          <w:lang w:val="lt-LT"/>
          <w14:ligatures w14:val="none"/>
        </w:rPr>
      </w:pPr>
      <w:r w:rsidRPr="004D4255">
        <w:rPr>
          <w:rFonts w:ascii="Times New Roman" w:eastAsia="Times New Roman" w:hAnsi="Times New Roman" w:cs="Times New Roman"/>
          <w:i/>
          <w:iCs/>
          <w:kern w:val="0"/>
          <w:lang w:val="it-CH"/>
          <w14:ligatures w14:val="none"/>
        </w:rPr>
        <w:t>pomalidomidum</w:t>
      </w:r>
    </w:p>
    <w:p w14:paraId="46DA739A"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591A50D"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F75AFD9" w14:textId="77777777" w:rsidR="00B1102B" w:rsidRPr="00A552D9" w:rsidRDefault="00B1102B"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2.</w:t>
      </w:r>
      <w:r w:rsidRPr="00A552D9">
        <w:rPr>
          <w:rFonts w:ascii="Times New Roman" w:eastAsia="Times New Roman" w:hAnsi="Times New Roman" w:cs="Times New Roman"/>
          <w:b/>
          <w:kern w:val="0"/>
          <w:lang w:val="lt-LT"/>
          <w14:ligatures w14:val="none"/>
        </w:rPr>
        <w:tab/>
        <w:t>REGISTRUOTOJO PAVADINIMAS</w:t>
      </w:r>
    </w:p>
    <w:p w14:paraId="60E806A6" w14:textId="77777777" w:rsidR="00B1102B" w:rsidRPr="00A552D9" w:rsidRDefault="00B1102B" w:rsidP="00B1102B">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0540105"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Olpha </w:t>
      </w:r>
      <w:r w:rsidRPr="00A552D9">
        <w:rPr>
          <w:rFonts w:ascii="Times New Roman" w:eastAsia="Times New Roman" w:hAnsi="Times New Roman" w:cs="Times New Roman"/>
          <w:kern w:val="0"/>
          <w:highlight w:val="lightGray"/>
          <w:lang w:val="lt-LT"/>
          <w14:ligatures w14:val="none"/>
        </w:rPr>
        <w:t>[Logotipas]</w:t>
      </w:r>
    </w:p>
    <w:p w14:paraId="71B7FA2D"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A0576A0"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EA4AFB6" w14:textId="77777777" w:rsidR="00B1102B" w:rsidRPr="00A552D9" w:rsidRDefault="00B1102B"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3.</w:t>
      </w:r>
      <w:r w:rsidRPr="00A552D9">
        <w:rPr>
          <w:rFonts w:ascii="Times New Roman" w:eastAsia="Times New Roman" w:hAnsi="Times New Roman" w:cs="Times New Roman"/>
          <w:b/>
          <w:kern w:val="0"/>
          <w:lang w:val="lt-LT"/>
          <w14:ligatures w14:val="none"/>
        </w:rPr>
        <w:tab/>
        <w:t>TINKAMUMO LAIKAS</w:t>
      </w:r>
    </w:p>
    <w:p w14:paraId="0EF5E649"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A903A17" w14:textId="77777777" w:rsidR="00B1102B" w:rsidRPr="00A552D9" w:rsidRDefault="00B1102B" w:rsidP="00B1102B">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EXP</w:t>
      </w:r>
    </w:p>
    <w:p w14:paraId="5A114757"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3EABD47"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F6C437B" w14:textId="77777777" w:rsidR="00B1102B" w:rsidRPr="00A552D9" w:rsidRDefault="00B1102B"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4.</w:t>
      </w:r>
      <w:r w:rsidRPr="00A552D9">
        <w:rPr>
          <w:rFonts w:ascii="Times New Roman" w:eastAsia="Times New Roman" w:hAnsi="Times New Roman" w:cs="Times New Roman"/>
          <w:b/>
          <w:kern w:val="0"/>
          <w:lang w:val="lt-LT"/>
          <w14:ligatures w14:val="none"/>
        </w:rPr>
        <w:tab/>
        <w:t>SERIJOS NUMERIS</w:t>
      </w:r>
    </w:p>
    <w:p w14:paraId="376594BC"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F07BBF9"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Lot</w:t>
      </w:r>
    </w:p>
    <w:p w14:paraId="76C32AD4" w14:textId="77777777" w:rsidR="00B1102B" w:rsidRPr="00A552D9" w:rsidRDefault="00B1102B" w:rsidP="00B1102B">
      <w:pPr>
        <w:widowControl w:val="0"/>
        <w:autoSpaceDE w:val="0"/>
        <w:autoSpaceDN w:val="0"/>
        <w:spacing w:before="0" w:after="0" w:line="240" w:lineRule="auto"/>
        <w:jc w:val="left"/>
        <w:rPr>
          <w:rFonts w:ascii="Times New Roman" w:eastAsia="Times New Roman" w:hAnsi="Times New Roman" w:cs="Times New Roman"/>
          <w:spacing w:val="53"/>
          <w:kern w:val="0"/>
          <w:lang w:val="lt-LT"/>
          <w14:ligatures w14:val="none"/>
        </w:rPr>
      </w:pPr>
    </w:p>
    <w:p w14:paraId="384EEC05"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6C14FF6" w14:textId="77777777" w:rsidR="00B1102B" w:rsidRPr="00A552D9" w:rsidRDefault="00B1102B"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5.</w:t>
      </w:r>
      <w:r w:rsidRPr="00A552D9">
        <w:rPr>
          <w:rFonts w:ascii="Times New Roman" w:eastAsia="Times New Roman" w:hAnsi="Times New Roman" w:cs="Times New Roman"/>
          <w:b/>
          <w:kern w:val="0"/>
          <w:lang w:val="lt-LT"/>
          <w14:ligatures w14:val="none"/>
        </w:rPr>
        <w:tab/>
        <w:t>KITA</w:t>
      </w:r>
    </w:p>
    <w:p w14:paraId="01256989"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34E6618" w14:textId="77777777" w:rsidR="00B1102B" w:rsidRPr="00A552D9" w:rsidRDefault="00B1102B" w:rsidP="00B1102B">
      <w:pPr>
        <w:spacing w:before="0" w:after="0" w:line="240" w:lineRule="auto"/>
        <w:jc w:val="left"/>
        <w:rPr>
          <w:rFonts w:ascii="Times New Roman" w:hAnsi="Times New Roman" w:cs="Times New Roman"/>
        </w:rPr>
      </w:pPr>
      <w:r w:rsidRPr="00A552D9">
        <w:rPr>
          <w:rFonts w:ascii="Times New Roman" w:eastAsia="Times New Roman" w:hAnsi="Times New Roman" w:cs="Times New Roman"/>
          <w:kern w:val="0"/>
          <w:lang w:val="lt-LT"/>
          <w14:ligatures w14:val="none"/>
        </w:rPr>
        <w:br w:type="page"/>
      </w:r>
    </w:p>
    <w:p w14:paraId="7A28A492" w14:textId="41AF5879" w:rsidR="00D932C1" w:rsidRPr="00A552D9" w:rsidRDefault="00D932C1" w:rsidP="00D932C1">
      <w:pPr>
        <w:spacing w:before="0" w:after="0" w:line="240" w:lineRule="auto"/>
        <w:jc w:val="left"/>
        <w:rPr>
          <w:rFonts w:ascii="Times New Roman" w:hAnsi="Times New Roman" w:cs="Times New Roman"/>
        </w:rPr>
      </w:pPr>
    </w:p>
    <w:p w14:paraId="14BB5B4E" w14:textId="043E7C97" w:rsidR="006C00A9" w:rsidRPr="00A552D9" w:rsidRDefault="006C00A9" w:rsidP="00D932C1">
      <w:pPr>
        <w:spacing w:before="0" w:after="0" w:line="240" w:lineRule="auto"/>
        <w:jc w:val="left"/>
        <w:rPr>
          <w:rFonts w:ascii="Times New Roman" w:hAnsi="Times New Roman" w:cs="Times New Roman"/>
        </w:rPr>
      </w:pPr>
    </w:p>
    <w:p w14:paraId="3E0C2EC7" w14:textId="72AA7E20" w:rsidR="006C00A9" w:rsidRPr="00A552D9" w:rsidRDefault="006C00A9" w:rsidP="00D932C1">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90E7BDB" w14:textId="2D295F88" w:rsidR="006C00A9" w:rsidRPr="00A552D9" w:rsidRDefault="006C00A9" w:rsidP="00D932C1">
      <w:pPr>
        <w:spacing w:before="0" w:after="0" w:line="240" w:lineRule="auto"/>
        <w:jc w:val="left"/>
        <w:rPr>
          <w:rFonts w:ascii="Times New Roman" w:hAnsi="Times New Roman" w:cs="Times New Roman"/>
          <w:bCs/>
          <w:color w:val="000000"/>
        </w:rPr>
      </w:pPr>
    </w:p>
    <w:p w14:paraId="71F7424B" w14:textId="77777777" w:rsidR="00D932C1" w:rsidRPr="00A552D9" w:rsidRDefault="00D932C1" w:rsidP="00D932C1">
      <w:pPr>
        <w:spacing w:before="0" w:after="0" w:line="240" w:lineRule="auto"/>
        <w:jc w:val="left"/>
        <w:rPr>
          <w:rFonts w:ascii="Times New Roman" w:hAnsi="Times New Roman" w:cs="Times New Roman"/>
          <w:bCs/>
          <w:color w:val="000000"/>
        </w:rPr>
      </w:pPr>
    </w:p>
    <w:p w14:paraId="4F5B9998" w14:textId="77777777" w:rsidR="00D932C1" w:rsidRPr="00A552D9" w:rsidRDefault="00D932C1" w:rsidP="00D932C1">
      <w:pPr>
        <w:spacing w:before="0" w:after="0" w:line="240" w:lineRule="auto"/>
        <w:jc w:val="left"/>
        <w:rPr>
          <w:rFonts w:ascii="Times New Roman" w:hAnsi="Times New Roman" w:cs="Times New Roman"/>
          <w:bCs/>
          <w:color w:val="000000"/>
        </w:rPr>
      </w:pPr>
    </w:p>
    <w:p w14:paraId="58C937F8" w14:textId="77777777" w:rsidR="00D932C1" w:rsidRPr="00A552D9" w:rsidRDefault="00D932C1" w:rsidP="00D932C1">
      <w:pPr>
        <w:spacing w:before="0" w:after="0" w:line="240" w:lineRule="auto"/>
        <w:jc w:val="left"/>
        <w:rPr>
          <w:rFonts w:ascii="Times New Roman" w:hAnsi="Times New Roman" w:cs="Times New Roman"/>
          <w:bCs/>
          <w:color w:val="000000"/>
        </w:rPr>
      </w:pPr>
    </w:p>
    <w:p w14:paraId="39C31630" w14:textId="77777777" w:rsidR="00D932C1" w:rsidRPr="00A552D9" w:rsidRDefault="00D932C1" w:rsidP="00D932C1">
      <w:pPr>
        <w:spacing w:before="0" w:after="0" w:line="240" w:lineRule="auto"/>
        <w:jc w:val="left"/>
        <w:rPr>
          <w:rFonts w:ascii="Times New Roman" w:hAnsi="Times New Roman" w:cs="Times New Roman"/>
          <w:bCs/>
          <w:color w:val="000000"/>
        </w:rPr>
      </w:pPr>
    </w:p>
    <w:p w14:paraId="3793CD25" w14:textId="77777777" w:rsidR="00D932C1" w:rsidRPr="00A552D9" w:rsidRDefault="00D932C1" w:rsidP="00D932C1">
      <w:pPr>
        <w:spacing w:before="0" w:after="0" w:line="240" w:lineRule="auto"/>
        <w:jc w:val="left"/>
        <w:rPr>
          <w:rFonts w:ascii="Times New Roman" w:hAnsi="Times New Roman" w:cs="Times New Roman"/>
          <w:bCs/>
          <w:color w:val="000000"/>
        </w:rPr>
      </w:pPr>
    </w:p>
    <w:p w14:paraId="79A1C3AD" w14:textId="77777777" w:rsidR="00D932C1" w:rsidRPr="00A552D9" w:rsidRDefault="00D932C1" w:rsidP="00D932C1">
      <w:pPr>
        <w:spacing w:before="0" w:after="0" w:line="240" w:lineRule="auto"/>
        <w:jc w:val="left"/>
        <w:rPr>
          <w:rFonts w:ascii="Times New Roman" w:hAnsi="Times New Roman" w:cs="Times New Roman"/>
          <w:bCs/>
          <w:color w:val="000000"/>
        </w:rPr>
      </w:pPr>
    </w:p>
    <w:p w14:paraId="269C9807" w14:textId="77777777" w:rsidR="00D932C1" w:rsidRPr="00A552D9" w:rsidRDefault="00D932C1" w:rsidP="00D932C1">
      <w:pPr>
        <w:spacing w:before="0" w:after="0" w:line="240" w:lineRule="auto"/>
        <w:jc w:val="left"/>
        <w:rPr>
          <w:rFonts w:ascii="Times New Roman" w:hAnsi="Times New Roman" w:cs="Times New Roman"/>
          <w:bCs/>
          <w:color w:val="000000"/>
        </w:rPr>
      </w:pPr>
    </w:p>
    <w:p w14:paraId="50E83045" w14:textId="77777777" w:rsidR="00D932C1" w:rsidRPr="00A552D9" w:rsidRDefault="00D932C1" w:rsidP="00D932C1">
      <w:pPr>
        <w:spacing w:before="0" w:after="0" w:line="240" w:lineRule="auto"/>
        <w:jc w:val="left"/>
        <w:rPr>
          <w:rFonts w:ascii="Times New Roman" w:hAnsi="Times New Roman" w:cs="Times New Roman"/>
          <w:bCs/>
          <w:color w:val="000000"/>
        </w:rPr>
      </w:pPr>
    </w:p>
    <w:p w14:paraId="25B6133D" w14:textId="77777777" w:rsidR="00D932C1" w:rsidRPr="00A552D9" w:rsidRDefault="00D932C1" w:rsidP="00D932C1">
      <w:pPr>
        <w:spacing w:before="0" w:after="0" w:line="240" w:lineRule="auto"/>
        <w:jc w:val="left"/>
        <w:rPr>
          <w:rFonts w:ascii="Times New Roman" w:hAnsi="Times New Roman" w:cs="Times New Roman"/>
          <w:bCs/>
          <w:color w:val="000000"/>
        </w:rPr>
      </w:pPr>
    </w:p>
    <w:p w14:paraId="69331442" w14:textId="77777777" w:rsidR="00D932C1" w:rsidRPr="00A552D9" w:rsidRDefault="00D932C1" w:rsidP="00D932C1">
      <w:pPr>
        <w:spacing w:before="0" w:after="0" w:line="240" w:lineRule="auto"/>
        <w:jc w:val="left"/>
        <w:rPr>
          <w:rFonts w:ascii="Times New Roman" w:hAnsi="Times New Roman" w:cs="Times New Roman"/>
          <w:bCs/>
          <w:color w:val="000000"/>
        </w:rPr>
      </w:pPr>
    </w:p>
    <w:p w14:paraId="10CB1907" w14:textId="77777777" w:rsidR="00D932C1" w:rsidRPr="00A552D9" w:rsidRDefault="00D932C1" w:rsidP="00D932C1">
      <w:pPr>
        <w:spacing w:before="0" w:after="0" w:line="240" w:lineRule="auto"/>
        <w:jc w:val="left"/>
        <w:rPr>
          <w:rFonts w:ascii="Times New Roman" w:hAnsi="Times New Roman" w:cs="Times New Roman"/>
          <w:bCs/>
          <w:color w:val="000000"/>
        </w:rPr>
      </w:pPr>
    </w:p>
    <w:p w14:paraId="42246ABB" w14:textId="77777777" w:rsidR="00D932C1" w:rsidRPr="00A552D9" w:rsidRDefault="00D932C1" w:rsidP="00D932C1">
      <w:pPr>
        <w:spacing w:before="0" w:after="0" w:line="240" w:lineRule="auto"/>
        <w:jc w:val="left"/>
        <w:rPr>
          <w:rFonts w:ascii="Times New Roman" w:hAnsi="Times New Roman" w:cs="Times New Roman"/>
          <w:bCs/>
          <w:color w:val="000000"/>
        </w:rPr>
      </w:pPr>
    </w:p>
    <w:p w14:paraId="6E5618DC" w14:textId="77777777" w:rsidR="00D932C1" w:rsidRPr="00A552D9" w:rsidRDefault="00D932C1" w:rsidP="00D932C1">
      <w:pPr>
        <w:spacing w:before="0" w:after="0" w:line="240" w:lineRule="auto"/>
        <w:jc w:val="left"/>
        <w:rPr>
          <w:rFonts w:ascii="Times New Roman" w:hAnsi="Times New Roman" w:cs="Times New Roman"/>
          <w:bCs/>
          <w:color w:val="000000"/>
        </w:rPr>
      </w:pPr>
    </w:p>
    <w:p w14:paraId="679D8518" w14:textId="77777777" w:rsidR="00D932C1" w:rsidRPr="00A552D9" w:rsidRDefault="00D932C1" w:rsidP="00D932C1">
      <w:pPr>
        <w:spacing w:before="0" w:after="0" w:line="240" w:lineRule="auto"/>
        <w:jc w:val="left"/>
        <w:rPr>
          <w:rFonts w:ascii="Times New Roman" w:hAnsi="Times New Roman" w:cs="Times New Roman"/>
          <w:bCs/>
          <w:color w:val="000000"/>
        </w:rPr>
      </w:pPr>
    </w:p>
    <w:p w14:paraId="439B02F7" w14:textId="77777777" w:rsidR="00D932C1" w:rsidRPr="00A552D9" w:rsidRDefault="00D932C1" w:rsidP="00D932C1">
      <w:pPr>
        <w:spacing w:before="0" w:after="0" w:line="240" w:lineRule="auto"/>
        <w:jc w:val="left"/>
        <w:rPr>
          <w:rFonts w:ascii="Times New Roman" w:hAnsi="Times New Roman" w:cs="Times New Roman"/>
          <w:bCs/>
          <w:color w:val="000000"/>
        </w:rPr>
      </w:pPr>
    </w:p>
    <w:p w14:paraId="64486436" w14:textId="77777777" w:rsidR="00D932C1" w:rsidRPr="00A552D9" w:rsidRDefault="00D932C1" w:rsidP="00D932C1">
      <w:pPr>
        <w:spacing w:before="0" w:after="0" w:line="240" w:lineRule="auto"/>
        <w:jc w:val="left"/>
        <w:rPr>
          <w:rFonts w:ascii="Times New Roman" w:hAnsi="Times New Roman" w:cs="Times New Roman"/>
          <w:bCs/>
          <w:color w:val="000000"/>
        </w:rPr>
      </w:pPr>
    </w:p>
    <w:p w14:paraId="5C12BE2B" w14:textId="77777777" w:rsidR="00D932C1" w:rsidRPr="00A552D9" w:rsidRDefault="00D932C1" w:rsidP="00D932C1">
      <w:pPr>
        <w:spacing w:before="0" w:after="0" w:line="240" w:lineRule="auto"/>
        <w:jc w:val="left"/>
        <w:rPr>
          <w:rFonts w:ascii="Times New Roman" w:hAnsi="Times New Roman" w:cs="Times New Roman"/>
          <w:bCs/>
          <w:color w:val="000000"/>
        </w:rPr>
      </w:pPr>
    </w:p>
    <w:p w14:paraId="34BB0573" w14:textId="77777777" w:rsidR="00D932C1" w:rsidRPr="00A552D9" w:rsidRDefault="00D932C1" w:rsidP="00D932C1">
      <w:pPr>
        <w:spacing w:before="0" w:after="0" w:line="240" w:lineRule="auto"/>
        <w:jc w:val="left"/>
        <w:rPr>
          <w:rFonts w:ascii="Times New Roman" w:hAnsi="Times New Roman" w:cs="Times New Roman"/>
          <w:bCs/>
          <w:color w:val="000000"/>
        </w:rPr>
      </w:pPr>
    </w:p>
    <w:p w14:paraId="1EEC21C4" w14:textId="77777777" w:rsidR="00D932C1" w:rsidRPr="00A552D9" w:rsidRDefault="00D932C1" w:rsidP="00D932C1">
      <w:pPr>
        <w:spacing w:before="0" w:after="0" w:line="240" w:lineRule="auto"/>
        <w:jc w:val="left"/>
        <w:rPr>
          <w:rFonts w:ascii="Times New Roman" w:hAnsi="Times New Roman" w:cs="Times New Roman"/>
          <w:bCs/>
          <w:color w:val="000000"/>
        </w:rPr>
      </w:pPr>
    </w:p>
    <w:p w14:paraId="7681F19D" w14:textId="1C566286" w:rsidR="00593585" w:rsidRPr="00A552D9" w:rsidRDefault="003F09FD" w:rsidP="00D932C1">
      <w:pPr>
        <w:spacing w:before="0" w:after="0" w:line="240" w:lineRule="auto"/>
        <w:jc w:val="center"/>
        <w:rPr>
          <w:rFonts w:ascii="Times New Roman" w:hAnsi="Times New Roman" w:cs="Times New Roman"/>
          <w:b/>
          <w:color w:val="000000"/>
        </w:rPr>
      </w:pPr>
      <w:r w:rsidRPr="00A552D9">
        <w:rPr>
          <w:rFonts w:ascii="Times New Roman" w:hAnsi="Times New Roman" w:cs="Times New Roman"/>
          <w:b/>
          <w:color w:val="000000"/>
        </w:rPr>
        <w:t>B. PAKUOTĖS LAPELIS</w:t>
      </w:r>
    </w:p>
    <w:p w14:paraId="7681F1A2" w14:textId="7AA37383" w:rsidR="00593585" w:rsidRPr="00A552D9" w:rsidRDefault="00593585" w:rsidP="00214AAF">
      <w:pPr>
        <w:spacing w:before="0" w:after="0" w:line="240" w:lineRule="auto"/>
        <w:jc w:val="left"/>
        <w:rPr>
          <w:rFonts w:ascii="Times New Roman" w:hAnsi="Times New Roman" w:cs="Times New Roman"/>
          <w:color w:val="000000"/>
        </w:rPr>
      </w:pPr>
    </w:p>
    <w:p w14:paraId="36CAB1F1" w14:textId="6312CAF2" w:rsidR="00D932C1" w:rsidRPr="00A552D9" w:rsidRDefault="00D932C1">
      <w:pPr>
        <w:spacing w:before="0" w:after="160"/>
        <w:jc w:val="left"/>
        <w:rPr>
          <w:rFonts w:ascii="Times New Roman" w:hAnsi="Times New Roman" w:cs="Times New Roman"/>
          <w:color w:val="000000"/>
        </w:rPr>
      </w:pPr>
      <w:r w:rsidRPr="00A552D9">
        <w:rPr>
          <w:rFonts w:ascii="Times New Roman" w:hAnsi="Times New Roman" w:cs="Times New Roman"/>
          <w:color w:val="000000"/>
        </w:rPr>
        <w:br w:type="page"/>
      </w:r>
    </w:p>
    <w:p w14:paraId="630091CF" w14:textId="77777777" w:rsidR="00D932C1" w:rsidRPr="00A552D9" w:rsidRDefault="00D932C1" w:rsidP="00214AAF">
      <w:pPr>
        <w:spacing w:before="0" w:after="0" w:line="240" w:lineRule="auto"/>
        <w:jc w:val="left"/>
        <w:rPr>
          <w:rFonts w:ascii="Times New Roman" w:hAnsi="Times New Roman" w:cs="Times New Roman"/>
          <w:color w:val="000000"/>
        </w:rPr>
      </w:pPr>
    </w:p>
    <w:p w14:paraId="273B61F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bookmarkStart w:id="6" w:name="br65"/>
      <w:bookmarkEnd w:id="6"/>
      <w:r w:rsidRPr="00A552D9">
        <w:rPr>
          <w:rFonts w:ascii="Times New Roman" w:eastAsia="Times New Roman" w:hAnsi="Times New Roman" w:cs="Times New Roman"/>
          <w:b/>
          <w:kern w:val="0"/>
          <w:lang w:val="lt-LT"/>
          <w14:ligatures w14:val="none"/>
        </w:rPr>
        <w:t>Pakuotės lapelis: informacija pacientui</w:t>
      </w:r>
    </w:p>
    <w:p w14:paraId="2C2ABD64"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p>
    <w:p w14:paraId="7EB06BAF" w14:textId="00B05ED3"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1 mg kietosios kapsulės </w:t>
      </w:r>
    </w:p>
    <w:p w14:paraId="512007EB" w14:textId="6D68BBFE"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2 mg kietosios kapsulės </w:t>
      </w:r>
    </w:p>
    <w:p w14:paraId="54DC9936" w14:textId="4A6945D0"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3 mg kietosios kapsulės </w:t>
      </w:r>
    </w:p>
    <w:p w14:paraId="2DEE9A77" w14:textId="2489C6E8"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4 mg kietosios kapsulės </w:t>
      </w:r>
    </w:p>
    <w:p w14:paraId="35A885A6" w14:textId="3AC64F65" w:rsidR="00861275" w:rsidRPr="00A552D9" w:rsidRDefault="00EE7852" w:rsidP="00861275">
      <w:pPr>
        <w:widowControl w:val="0"/>
        <w:autoSpaceDE w:val="0"/>
        <w:autoSpaceDN w:val="0"/>
        <w:spacing w:before="0" w:after="0" w:line="240" w:lineRule="auto"/>
        <w:jc w:val="center"/>
        <w:outlineLvl w:val="0"/>
        <w:rPr>
          <w:rFonts w:ascii="Times New Roman" w:eastAsia="Times New Roman" w:hAnsi="Times New Roman" w:cs="Times New Roman"/>
          <w:bCs/>
          <w:kern w:val="0"/>
          <w:lang w:val="lt-LT"/>
          <w14:ligatures w14:val="none"/>
        </w:rPr>
      </w:pPr>
      <w:r w:rsidRPr="00A552D9">
        <w:rPr>
          <w:rFonts w:ascii="Times New Roman" w:eastAsia="Times New Roman" w:hAnsi="Times New Roman" w:cs="Times New Roman"/>
          <w:bCs/>
          <w:kern w:val="0"/>
          <w:lang w:val="lt-LT"/>
          <w14:ligatures w14:val="none"/>
        </w:rPr>
        <w:t>p</w:t>
      </w:r>
      <w:r w:rsidR="00861275" w:rsidRPr="00A552D9">
        <w:rPr>
          <w:rFonts w:ascii="Times New Roman" w:eastAsia="Times New Roman" w:hAnsi="Times New Roman" w:cs="Times New Roman"/>
          <w:bCs/>
          <w:kern w:val="0"/>
          <w:lang w:val="lt-LT"/>
          <w14:ligatures w14:val="none"/>
        </w:rPr>
        <w:t>omalidomidas</w:t>
      </w:r>
      <w:r w:rsidRPr="00A552D9">
        <w:rPr>
          <w:rFonts w:ascii="Times New Roman" w:eastAsia="Times New Roman" w:hAnsi="Times New Roman" w:cs="Times New Roman"/>
          <w:bCs/>
          <w:kern w:val="0"/>
          <w:lang w:val="lt-LT"/>
          <w14:ligatures w14:val="none"/>
        </w:rPr>
        <w:t xml:space="preserve"> (</w:t>
      </w:r>
      <w:r w:rsidRPr="00A552D9">
        <w:rPr>
          <w:rFonts w:ascii="Times New Roman" w:eastAsia="Times New Roman" w:hAnsi="Times New Roman" w:cs="Times New Roman"/>
          <w:bCs/>
          <w:i/>
          <w:iCs/>
          <w:kern w:val="0"/>
          <w:lang w:val="lt-LT"/>
          <w14:ligatures w14:val="none"/>
        </w:rPr>
        <w:t>pomalidomidum</w:t>
      </w:r>
      <w:r w:rsidRPr="00A552D9">
        <w:rPr>
          <w:rFonts w:ascii="Times New Roman" w:eastAsia="Times New Roman" w:hAnsi="Times New Roman" w:cs="Times New Roman"/>
          <w:bCs/>
          <w:kern w:val="0"/>
          <w:lang w:val="lt-LT"/>
          <w14:ligatures w14:val="none"/>
        </w:rPr>
        <w:t>)</w:t>
      </w:r>
    </w:p>
    <w:p w14:paraId="1D1BF08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309C6B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91A2358" w14:textId="250D868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noProof/>
          <w:kern w:val="0"/>
          <w:lang w:val="lt-LT" w:eastAsia="lt-LT"/>
          <w14:ligatures w14:val="none"/>
        </w:rPr>
        <mc:AlternateContent>
          <mc:Choice Requires="wps">
            <w:drawing>
              <wp:inline distT="0" distB="0" distL="0" distR="0" wp14:anchorId="2033602B" wp14:editId="01CE381C">
                <wp:extent cx="5905500" cy="731520"/>
                <wp:effectExtent l="0" t="0" r="19050" b="11430"/>
                <wp:docPr id="10026260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315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CADA40" w14:textId="26F9C2F5" w:rsidR="005B5BF2" w:rsidRPr="003A36AD" w:rsidRDefault="005B5BF2" w:rsidP="00CE2152">
                            <w:pPr>
                              <w:spacing w:before="0" w:after="0" w:line="240" w:lineRule="auto"/>
                              <w:rPr>
                                <w:rFonts w:ascii="Times New Roman" w:hAnsi="Times New Roman" w:cs="Times New Roman"/>
                                <w:b/>
                              </w:rPr>
                            </w:pPr>
                            <w:r w:rsidRPr="003A36AD">
                              <w:rPr>
                                <w:rFonts w:ascii="Times New Roman" w:hAnsi="Times New Roman" w:cs="Times New Roman"/>
                                <w:b/>
                              </w:rPr>
                              <w:t>Pomalidomide Olpha</w:t>
                            </w:r>
                            <w:r w:rsidRPr="003A36AD">
                              <w:rPr>
                                <w:rFonts w:ascii="Times New Roman" w:hAnsi="Times New Roman" w:cs="Times New Roman"/>
                                <w:b/>
                                <w:spacing w:val="-5"/>
                              </w:rPr>
                              <w:t xml:space="preserve"> </w:t>
                            </w:r>
                            <w:r w:rsidRPr="003A36AD">
                              <w:rPr>
                                <w:rFonts w:ascii="Times New Roman" w:hAnsi="Times New Roman" w:cs="Times New Roman"/>
                                <w:b/>
                              </w:rPr>
                              <w:t>gali</w:t>
                            </w:r>
                            <w:r w:rsidRPr="003A36AD">
                              <w:rPr>
                                <w:rFonts w:ascii="Times New Roman" w:hAnsi="Times New Roman" w:cs="Times New Roman"/>
                                <w:b/>
                                <w:spacing w:val="-6"/>
                              </w:rPr>
                              <w:t xml:space="preserve"> </w:t>
                            </w:r>
                            <w:r w:rsidRPr="003A36AD">
                              <w:rPr>
                                <w:rFonts w:ascii="Times New Roman" w:hAnsi="Times New Roman" w:cs="Times New Roman"/>
                                <w:b/>
                              </w:rPr>
                              <w:t>sukelti</w:t>
                            </w:r>
                            <w:r w:rsidRPr="003A36AD">
                              <w:rPr>
                                <w:rFonts w:ascii="Times New Roman" w:hAnsi="Times New Roman" w:cs="Times New Roman"/>
                                <w:b/>
                                <w:spacing w:val="-5"/>
                              </w:rPr>
                              <w:t xml:space="preserve"> </w:t>
                            </w:r>
                            <w:r w:rsidRPr="003A36AD">
                              <w:rPr>
                                <w:rFonts w:ascii="Times New Roman" w:hAnsi="Times New Roman" w:cs="Times New Roman"/>
                                <w:b/>
                              </w:rPr>
                              <w:t>sunkias įgimtas formavimosi ydas,</w:t>
                            </w:r>
                            <w:r w:rsidRPr="003A36AD">
                              <w:rPr>
                                <w:rFonts w:ascii="Times New Roman" w:hAnsi="Times New Roman" w:cs="Times New Roman"/>
                                <w:b/>
                                <w:spacing w:val="-4"/>
                              </w:rPr>
                              <w:t xml:space="preserve"> </w:t>
                            </w:r>
                            <w:r w:rsidRPr="003A36AD">
                              <w:rPr>
                                <w:rFonts w:ascii="Times New Roman" w:hAnsi="Times New Roman" w:cs="Times New Roman"/>
                                <w:b/>
                              </w:rPr>
                              <w:t>dėl</w:t>
                            </w:r>
                            <w:r w:rsidRPr="003A36AD">
                              <w:rPr>
                                <w:rFonts w:ascii="Times New Roman" w:hAnsi="Times New Roman" w:cs="Times New Roman"/>
                                <w:b/>
                                <w:spacing w:val="-4"/>
                              </w:rPr>
                              <w:t xml:space="preserve"> </w:t>
                            </w:r>
                            <w:r w:rsidRPr="003A36AD">
                              <w:rPr>
                                <w:rFonts w:ascii="Times New Roman" w:hAnsi="Times New Roman" w:cs="Times New Roman"/>
                                <w:b/>
                              </w:rPr>
                              <w:t>kurių</w:t>
                            </w:r>
                            <w:r w:rsidRPr="003A36AD">
                              <w:rPr>
                                <w:rFonts w:ascii="Times New Roman" w:hAnsi="Times New Roman" w:cs="Times New Roman"/>
                                <w:b/>
                                <w:spacing w:val="-4"/>
                              </w:rPr>
                              <w:t xml:space="preserve"> </w:t>
                            </w:r>
                            <w:r w:rsidRPr="003A36AD">
                              <w:rPr>
                                <w:rFonts w:ascii="Times New Roman" w:hAnsi="Times New Roman" w:cs="Times New Roman"/>
                                <w:b/>
                              </w:rPr>
                              <w:t>negimęs</w:t>
                            </w:r>
                            <w:r w:rsidRPr="003A36AD">
                              <w:rPr>
                                <w:rFonts w:ascii="Times New Roman" w:hAnsi="Times New Roman" w:cs="Times New Roman"/>
                                <w:b/>
                                <w:spacing w:val="-5"/>
                              </w:rPr>
                              <w:t xml:space="preserve"> </w:t>
                            </w:r>
                            <w:r w:rsidRPr="003A36AD">
                              <w:rPr>
                                <w:rFonts w:ascii="Times New Roman" w:hAnsi="Times New Roman" w:cs="Times New Roman"/>
                                <w:b/>
                              </w:rPr>
                              <w:t>kūdikis</w:t>
                            </w:r>
                            <w:r w:rsidRPr="003A36AD">
                              <w:rPr>
                                <w:rFonts w:ascii="Times New Roman" w:hAnsi="Times New Roman" w:cs="Times New Roman"/>
                                <w:b/>
                                <w:spacing w:val="-5"/>
                              </w:rPr>
                              <w:t xml:space="preserve"> </w:t>
                            </w:r>
                            <w:r w:rsidRPr="003A36AD">
                              <w:rPr>
                                <w:rFonts w:ascii="Times New Roman" w:hAnsi="Times New Roman" w:cs="Times New Roman"/>
                                <w:b/>
                              </w:rPr>
                              <w:t>gali</w:t>
                            </w:r>
                            <w:r w:rsidRPr="003A36AD">
                              <w:rPr>
                                <w:rFonts w:ascii="Times New Roman" w:hAnsi="Times New Roman" w:cs="Times New Roman"/>
                                <w:b/>
                                <w:spacing w:val="-5"/>
                              </w:rPr>
                              <w:t xml:space="preserve"> </w:t>
                            </w:r>
                            <w:r w:rsidRPr="003A36AD">
                              <w:rPr>
                                <w:rFonts w:ascii="Times New Roman" w:hAnsi="Times New Roman" w:cs="Times New Roman"/>
                                <w:b/>
                              </w:rPr>
                              <w:t>žūti.</w:t>
                            </w:r>
                          </w:p>
                          <w:p w14:paraId="0523B440" w14:textId="77777777" w:rsidR="005B5BF2" w:rsidRPr="003A36AD" w:rsidRDefault="005B5BF2" w:rsidP="00CE2152">
                            <w:pPr>
                              <w:pStyle w:val="BodyText"/>
                              <w:numPr>
                                <w:ilvl w:val="0"/>
                                <w:numId w:val="8"/>
                              </w:numPr>
                              <w:tabs>
                                <w:tab w:val="left" w:pos="567"/>
                              </w:tabs>
                              <w:ind w:left="0" w:firstLine="0"/>
                            </w:pPr>
                            <w:r w:rsidRPr="003A36AD">
                              <w:t>Jeigu</w:t>
                            </w:r>
                            <w:r w:rsidRPr="003A36AD">
                              <w:rPr>
                                <w:spacing w:val="-3"/>
                              </w:rPr>
                              <w:t xml:space="preserve"> </w:t>
                            </w:r>
                            <w:r w:rsidRPr="003A36AD">
                              <w:t>esate</w:t>
                            </w:r>
                            <w:r w:rsidRPr="003A36AD">
                              <w:rPr>
                                <w:spacing w:val="-3"/>
                              </w:rPr>
                              <w:t xml:space="preserve"> </w:t>
                            </w:r>
                            <w:r w:rsidRPr="003A36AD">
                              <w:t>nėščia</w:t>
                            </w:r>
                            <w:r w:rsidRPr="003A36AD">
                              <w:rPr>
                                <w:spacing w:val="-2"/>
                              </w:rPr>
                              <w:t xml:space="preserve"> </w:t>
                            </w:r>
                            <w:r w:rsidRPr="003A36AD">
                              <w:t>arba</w:t>
                            </w:r>
                            <w:r w:rsidRPr="003A36AD">
                              <w:rPr>
                                <w:spacing w:val="-3"/>
                              </w:rPr>
                              <w:t xml:space="preserve"> </w:t>
                            </w:r>
                            <w:r w:rsidRPr="003A36AD">
                              <w:t>galėjote</w:t>
                            </w:r>
                            <w:r w:rsidRPr="003A36AD">
                              <w:rPr>
                                <w:spacing w:val="-3"/>
                              </w:rPr>
                              <w:t xml:space="preserve"> </w:t>
                            </w:r>
                            <w:r w:rsidRPr="003A36AD">
                              <w:t>pastoti,</w:t>
                            </w:r>
                            <w:r w:rsidRPr="003A36AD">
                              <w:rPr>
                                <w:spacing w:val="-2"/>
                              </w:rPr>
                              <w:t xml:space="preserve"> </w:t>
                            </w:r>
                            <w:r w:rsidRPr="003A36AD">
                              <w:t>šio</w:t>
                            </w:r>
                            <w:r w:rsidRPr="003A36AD">
                              <w:rPr>
                                <w:spacing w:val="-3"/>
                              </w:rPr>
                              <w:t xml:space="preserve"> </w:t>
                            </w:r>
                            <w:r w:rsidRPr="003A36AD">
                              <w:t>vaisto</w:t>
                            </w:r>
                            <w:r w:rsidRPr="003A36AD">
                              <w:rPr>
                                <w:spacing w:val="-2"/>
                              </w:rPr>
                              <w:t xml:space="preserve"> </w:t>
                            </w:r>
                            <w:r w:rsidRPr="003A36AD">
                              <w:t>nevartokite.</w:t>
                            </w:r>
                          </w:p>
                          <w:p w14:paraId="45C6BD69" w14:textId="77777777" w:rsidR="005B5BF2" w:rsidRPr="003A36AD" w:rsidRDefault="005B5BF2" w:rsidP="00CE2152">
                            <w:pPr>
                              <w:pStyle w:val="BodyText"/>
                              <w:numPr>
                                <w:ilvl w:val="0"/>
                                <w:numId w:val="8"/>
                              </w:numPr>
                              <w:tabs>
                                <w:tab w:val="left" w:pos="567"/>
                              </w:tabs>
                              <w:ind w:left="0" w:firstLine="0"/>
                            </w:pPr>
                            <w:r w:rsidRPr="003A36AD">
                              <w:t>Laikykitės</w:t>
                            </w:r>
                            <w:r w:rsidRPr="003A36AD">
                              <w:rPr>
                                <w:spacing w:val="-4"/>
                              </w:rPr>
                              <w:t xml:space="preserve"> </w:t>
                            </w:r>
                            <w:r w:rsidRPr="003A36AD">
                              <w:t>šiame</w:t>
                            </w:r>
                            <w:r w:rsidRPr="003A36AD">
                              <w:rPr>
                                <w:spacing w:val="-3"/>
                              </w:rPr>
                              <w:t xml:space="preserve"> </w:t>
                            </w:r>
                            <w:r w:rsidRPr="003A36AD">
                              <w:t>lapelyje</w:t>
                            </w:r>
                            <w:r w:rsidRPr="003A36AD">
                              <w:rPr>
                                <w:spacing w:val="-3"/>
                              </w:rPr>
                              <w:t xml:space="preserve"> </w:t>
                            </w:r>
                            <w:r w:rsidRPr="003A36AD">
                              <w:t>pateiktų</w:t>
                            </w:r>
                            <w:r w:rsidRPr="003A36AD">
                              <w:rPr>
                                <w:spacing w:val="-2"/>
                              </w:rPr>
                              <w:t xml:space="preserve"> </w:t>
                            </w:r>
                            <w:r w:rsidRPr="003A36AD">
                              <w:t>patarimų</w:t>
                            </w:r>
                            <w:r w:rsidRPr="003A36AD">
                              <w:rPr>
                                <w:spacing w:val="-2"/>
                              </w:rPr>
                              <w:t xml:space="preserve"> </w:t>
                            </w:r>
                            <w:r w:rsidRPr="003A36AD">
                              <w:t>dėl</w:t>
                            </w:r>
                            <w:r w:rsidRPr="003A36AD">
                              <w:rPr>
                                <w:spacing w:val="-2"/>
                              </w:rPr>
                              <w:t xml:space="preserve"> </w:t>
                            </w:r>
                            <w:r w:rsidRPr="003A36AD">
                              <w:t>kontracepcijos.</w:t>
                            </w:r>
                          </w:p>
                        </w:txbxContent>
                      </wps:txbx>
                      <wps:bodyPr rot="0" vert="horz" wrap="square" lIns="0" tIns="0" rIns="0" bIns="0" anchor="t" anchorCtr="0" upright="1">
                        <a:noAutofit/>
                      </wps:bodyPr>
                    </wps:wsp>
                  </a:graphicData>
                </a:graphic>
              </wp:inline>
            </w:drawing>
          </mc:Choice>
          <mc:Fallback>
            <w:pict>
              <v:shape w14:anchorId="2033602B" id="Text Box 4" o:spid="_x0000_s1027" type="#_x0000_t202" style="width:465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hRkDAIAAPkDAAAOAAAAZHJzL2Uyb0RvYy54bWysU8GO0zAQvSPxD5bvNGlRy27UdLV0WYS0&#10;LEgLH+A4TmLheMzYbVK+nrGTdldwQ+RgjTPj53lvnrc3Y2/YUaHXYEu+XOScKSuh1rYt+fdv92+u&#10;OPNB2FoYsKrkJ+X5ze71q+3gCrWCDkytkBGI9cXgSt6F4Ios87JTvfALcMpSsgHsRaAttlmNYiD0&#10;3mSrPN9kA2DtEKTynv7eTUm+S/hNo2T40jReBWZKTr2FtGJaq7hmu60oWhSu03JuQ/xDF73Qli69&#10;QN2JINgB9V9QvZYIHpqwkNBn0DRaqsSB2CzzP9g8dcKpxIXE8e4ik/9/sPLx+OS+IgvjexhpgImE&#10;dw8gf3hmYd8J26pbRBg6JWq6eBklywbni/lolNoXPoJUw2eoacjiECABjQ32URXiyQidBnC6iK7G&#10;wCT9XF/n63VOKUm5d2+X61WaSiaK82mHPnxU0LMYlBxpqAldHB98iN2I4lwSL7Nwr41JgzWWDSXf&#10;5NebiRcYXcdkLPPYVnuD7CiiNdKXqFHmZVmvAxnU6L7kV5ciUUQ1Ptg63RKENlNMnRg7yxMVmbQJ&#10;YzUyXc/aRbUqqE+kF8LkR3o/FHSAvzgbyIsl9z8PAhVn5pMlzaNxzwGeg+ocCCvpaMkDZ1O4D5PB&#10;Dw512xHyNFULtzSXRifJnruY2yV/JSXntxAN/HKfqp5f7O43AAAA//8DAFBLAwQUAAYACAAAACEA&#10;YBGMNNoAAAAFAQAADwAAAGRycy9kb3ducmV2LnhtbEyPwU7DMBBE70j9B2uRuFGnRUFtiFNVqL1w&#10;QErbD9jG2yQQr6PYbcLfs3CBy0qjGc2+yTeT69SNhtB6NrCYJ6CIK29brg2cjvvHFagQkS12nsnA&#10;FwXYFLO7HDPrRy7pdoi1khIOGRpoYuwzrUPVkMMw9z2xeBc/OIwih1rbAUcpd51eJsmzdtiyfGiw&#10;p9eGqs/D1Rmg8qP1fr8ayz7Wp7ewS9Pde2rMw/20fQEVaYp/YfjBF3QohOnsr2yD6gzIkPh7xVs/&#10;JSLPElqkS9BFrv/TF98AAAD//wMAUEsBAi0AFAAGAAgAAAAhALaDOJL+AAAA4QEAABMAAAAAAAAA&#10;AAAAAAAAAAAAAFtDb250ZW50X1R5cGVzXS54bWxQSwECLQAUAAYACAAAACEAOP0h/9YAAACUAQAA&#10;CwAAAAAAAAAAAAAAAAAvAQAAX3JlbHMvLnJlbHNQSwECLQAUAAYACAAAACEAO2IUZAwCAAD5AwAA&#10;DgAAAAAAAAAAAAAAAAAuAgAAZHJzL2Uyb0RvYy54bWxQSwECLQAUAAYACAAAACEAYBGMNNoAAAAF&#10;AQAADwAAAAAAAAAAAAAAAABmBAAAZHJzL2Rvd25yZXYueG1sUEsFBgAAAAAEAAQA8wAAAG0FAAAA&#10;AA==&#10;" filled="f" strokeweight=".48pt">
                <v:textbox inset="0,0,0,0">
                  <w:txbxContent>
                    <w:p w14:paraId="54CADA40" w14:textId="26F9C2F5" w:rsidR="005B5BF2" w:rsidRPr="003A36AD" w:rsidRDefault="005B5BF2" w:rsidP="00CE2152">
                      <w:pPr>
                        <w:spacing w:before="0" w:after="0" w:line="240" w:lineRule="auto"/>
                        <w:rPr>
                          <w:rFonts w:ascii="Times New Roman" w:hAnsi="Times New Roman" w:cs="Times New Roman"/>
                          <w:b/>
                        </w:rPr>
                      </w:pPr>
                      <w:r w:rsidRPr="003A36AD">
                        <w:rPr>
                          <w:rFonts w:ascii="Times New Roman" w:hAnsi="Times New Roman" w:cs="Times New Roman"/>
                          <w:b/>
                        </w:rPr>
                        <w:t>Pomalidomide Olpha</w:t>
                      </w:r>
                      <w:r w:rsidRPr="003A36AD">
                        <w:rPr>
                          <w:rFonts w:ascii="Times New Roman" w:hAnsi="Times New Roman" w:cs="Times New Roman"/>
                          <w:b/>
                          <w:spacing w:val="-5"/>
                        </w:rPr>
                        <w:t xml:space="preserve"> </w:t>
                      </w:r>
                      <w:proofErr w:type="spellStart"/>
                      <w:r w:rsidRPr="003A36AD">
                        <w:rPr>
                          <w:rFonts w:ascii="Times New Roman" w:hAnsi="Times New Roman" w:cs="Times New Roman"/>
                          <w:b/>
                        </w:rPr>
                        <w:t>gali</w:t>
                      </w:r>
                      <w:proofErr w:type="spellEnd"/>
                      <w:r w:rsidRPr="003A36AD">
                        <w:rPr>
                          <w:rFonts w:ascii="Times New Roman" w:hAnsi="Times New Roman" w:cs="Times New Roman"/>
                          <w:b/>
                          <w:spacing w:val="-6"/>
                        </w:rPr>
                        <w:t xml:space="preserve"> </w:t>
                      </w:r>
                      <w:proofErr w:type="spellStart"/>
                      <w:r w:rsidRPr="003A36AD">
                        <w:rPr>
                          <w:rFonts w:ascii="Times New Roman" w:hAnsi="Times New Roman" w:cs="Times New Roman"/>
                          <w:b/>
                        </w:rPr>
                        <w:t>sukelti</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sunkias</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įgimtas</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formavimosi</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ydas</w:t>
                      </w:r>
                      <w:proofErr w:type="spellEnd"/>
                      <w:r w:rsidRPr="003A36AD">
                        <w:rPr>
                          <w:rFonts w:ascii="Times New Roman" w:hAnsi="Times New Roman" w:cs="Times New Roman"/>
                          <w:b/>
                        </w:rPr>
                        <w:t>,</w:t>
                      </w:r>
                      <w:r w:rsidRPr="003A36AD">
                        <w:rPr>
                          <w:rFonts w:ascii="Times New Roman" w:hAnsi="Times New Roman" w:cs="Times New Roman"/>
                          <w:b/>
                          <w:spacing w:val="-4"/>
                        </w:rPr>
                        <w:t xml:space="preserve"> </w:t>
                      </w:r>
                      <w:proofErr w:type="spellStart"/>
                      <w:r w:rsidRPr="003A36AD">
                        <w:rPr>
                          <w:rFonts w:ascii="Times New Roman" w:hAnsi="Times New Roman" w:cs="Times New Roman"/>
                          <w:b/>
                        </w:rPr>
                        <w:t>dėl</w:t>
                      </w:r>
                      <w:proofErr w:type="spellEnd"/>
                      <w:r w:rsidRPr="003A36AD">
                        <w:rPr>
                          <w:rFonts w:ascii="Times New Roman" w:hAnsi="Times New Roman" w:cs="Times New Roman"/>
                          <w:b/>
                          <w:spacing w:val="-4"/>
                        </w:rPr>
                        <w:t xml:space="preserve"> </w:t>
                      </w:r>
                      <w:proofErr w:type="spellStart"/>
                      <w:r w:rsidRPr="003A36AD">
                        <w:rPr>
                          <w:rFonts w:ascii="Times New Roman" w:hAnsi="Times New Roman" w:cs="Times New Roman"/>
                          <w:b/>
                        </w:rPr>
                        <w:t>kurių</w:t>
                      </w:r>
                      <w:proofErr w:type="spellEnd"/>
                      <w:r w:rsidRPr="003A36AD">
                        <w:rPr>
                          <w:rFonts w:ascii="Times New Roman" w:hAnsi="Times New Roman" w:cs="Times New Roman"/>
                          <w:b/>
                          <w:spacing w:val="-4"/>
                        </w:rPr>
                        <w:t xml:space="preserve"> </w:t>
                      </w:r>
                      <w:proofErr w:type="spellStart"/>
                      <w:r w:rsidRPr="003A36AD">
                        <w:rPr>
                          <w:rFonts w:ascii="Times New Roman" w:hAnsi="Times New Roman" w:cs="Times New Roman"/>
                          <w:b/>
                        </w:rPr>
                        <w:t>negimęs</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kūdikis</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gali</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žūti</w:t>
                      </w:r>
                      <w:proofErr w:type="spellEnd"/>
                      <w:r w:rsidRPr="003A36AD">
                        <w:rPr>
                          <w:rFonts w:ascii="Times New Roman" w:hAnsi="Times New Roman" w:cs="Times New Roman"/>
                          <w:b/>
                        </w:rPr>
                        <w:t>.</w:t>
                      </w:r>
                    </w:p>
                    <w:p w14:paraId="0523B440" w14:textId="77777777" w:rsidR="005B5BF2" w:rsidRPr="003A36AD" w:rsidRDefault="005B5BF2" w:rsidP="00CE2152">
                      <w:pPr>
                        <w:pStyle w:val="Pagrindinistekstas"/>
                        <w:numPr>
                          <w:ilvl w:val="0"/>
                          <w:numId w:val="8"/>
                        </w:numPr>
                        <w:tabs>
                          <w:tab w:val="left" w:pos="567"/>
                        </w:tabs>
                        <w:ind w:left="0" w:firstLine="0"/>
                      </w:pPr>
                      <w:r w:rsidRPr="003A36AD">
                        <w:t>Jeigu</w:t>
                      </w:r>
                      <w:r w:rsidRPr="003A36AD">
                        <w:rPr>
                          <w:spacing w:val="-3"/>
                        </w:rPr>
                        <w:t xml:space="preserve"> </w:t>
                      </w:r>
                      <w:r w:rsidRPr="003A36AD">
                        <w:t>esate</w:t>
                      </w:r>
                      <w:r w:rsidRPr="003A36AD">
                        <w:rPr>
                          <w:spacing w:val="-3"/>
                        </w:rPr>
                        <w:t xml:space="preserve"> </w:t>
                      </w:r>
                      <w:r w:rsidRPr="003A36AD">
                        <w:t>nėščia</w:t>
                      </w:r>
                      <w:r w:rsidRPr="003A36AD">
                        <w:rPr>
                          <w:spacing w:val="-2"/>
                        </w:rPr>
                        <w:t xml:space="preserve"> </w:t>
                      </w:r>
                      <w:r w:rsidRPr="003A36AD">
                        <w:t>arba</w:t>
                      </w:r>
                      <w:r w:rsidRPr="003A36AD">
                        <w:rPr>
                          <w:spacing w:val="-3"/>
                        </w:rPr>
                        <w:t xml:space="preserve"> </w:t>
                      </w:r>
                      <w:r w:rsidRPr="003A36AD">
                        <w:t>galėjote</w:t>
                      </w:r>
                      <w:r w:rsidRPr="003A36AD">
                        <w:rPr>
                          <w:spacing w:val="-3"/>
                        </w:rPr>
                        <w:t xml:space="preserve"> </w:t>
                      </w:r>
                      <w:r w:rsidRPr="003A36AD">
                        <w:t>pastoti,</w:t>
                      </w:r>
                      <w:r w:rsidRPr="003A36AD">
                        <w:rPr>
                          <w:spacing w:val="-2"/>
                        </w:rPr>
                        <w:t xml:space="preserve"> </w:t>
                      </w:r>
                      <w:r w:rsidRPr="003A36AD">
                        <w:t>šio</w:t>
                      </w:r>
                      <w:r w:rsidRPr="003A36AD">
                        <w:rPr>
                          <w:spacing w:val="-3"/>
                        </w:rPr>
                        <w:t xml:space="preserve"> </w:t>
                      </w:r>
                      <w:r w:rsidRPr="003A36AD">
                        <w:t>vaisto</w:t>
                      </w:r>
                      <w:r w:rsidRPr="003A36AD">
                        <w:rPr>
                          <w:spacing w:val="-2"/>
                        </w:rPr>
                        <w:t xml:space="preserve"> </w:t>
                      </w:r>
                      <w:r w:rsidRPr="003A36AD">
                        <w:t>nevartokite.</w:t>
                      </w:r>
                    </w:p>
                    <w:p w14:paraId="45C6BD69" w14:textId="77777777" w:rsidR="005B5BF2" w:rsidRPr="003A36AD" w:rsidRDefault="005B5BF2" w:rsidP="00CE2152">
                      <w:pPr>
                        <w:pStyle w:val="Pagrindinistekstas"/>
                        <w:numPr>
                          <w:ilvl w:val="0"/>
                          <w:numId w:val="8"/>
                        </w:numPr>
                        <w:tabs>
                          <w:tab w:val="left" w:pos="567"/>
                        </w:tabs>
                        <w:ind w:left="0" w:firstLine="0"/>
                      </w:pPr>
                      <w:r w:rsidRPr="003A36AD">
                        <w:t>Laikykitės</w:t>
                      </w:r>
                      <w:r w:rsidRPr="003A36AD">
                        <w:rPr>
                          <w:spacing w:val="-4"/>
                        </w:rPr>
                        <w:t xml:space="preserve"> </w:t>
                      </w:r>
                      <w:r w:rsidRPr="003A36AD">
                        <w:t>šiame</w:t>
                      </w:r>
                      <w:r w:rsidRPr="003A36AD">
                        <w:rPr>
                          <w:spacing w:val="-3"/>
                        </w:rPr>
                        <w:t xml:space="preserve"> </w:t>
                      </w:r>
                      <w:r w:rsidRPr="003A36AD">
                        <w:t>lapelyje</w:t>
                      </w:r>
                      <w:r w:rsidRPr="003A36AD">
                        <w:rPr>
                          <w:spacing w:val="-3"/>
                        </w:rPr>
                        <w:t xml:space="preserve"> </w:t>
                      </w:r>
                      <w:r w:rsidRPr="003A36AD">
                        <w:t>pateiktų</w:t>
                      </w:r>
                      <w:r w:rsidRPr="003A36AD">
                        <w:rPr>
                          <w:spacing w:val="-2"/>
                        </w:rPr>
                        <w:t xml:space="preserve"> </w:t>
                      </w:r>
                      <w:r w:rsidRPr="003A36AD">
                        <w:t>patarimų</w:t>
                      </w:r>
                      <w:r w:rsidRPr="003A36AD">
                        <w:rPr>
                          <w:spacing w:val="-2"/>
                        </w:rPr>
                        <w:t xml:space="preserve"> </w:t>
                      </w:r>
                      <w:r w:rsidRPr="003A36AD">
                        <w:t>dėl</w:t>
                      </w:r>
                      <w:r w:rsidRPr="003A36AD">
                        <w:rPr>
                          <w:spacing w:val="-2"/>
                        </w:rPr>
                        <w:t xml:space="preserve"> </w:t>
                      </w:r>
                      <w:r w:rsidRPr="003A36AD">
                        <w:t>kontracepcijos.</w:t>
                      </w:r>
                    </w:p>
                  </w:txbxContent>
                </v:textbox>
                <w10:anchorlock/>
              </v:shape>
            </w:pict>
          </mc:Fallback>
        </mc:AlternateContent>
      </w:r>
    </w:p>
    <w:p w14:paraId="6ACAA2E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D8C179"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Atidžiai perskaitykite visą šį lapelį, prieš pradėdami vartoti vaistą, nes jame pateikiama Jums svarbi informacija.</w:t>
      </w:r>
    </w:p>
    <w:p w14:paraId="68833079"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Neišmeskite šio lapelio, nes vėl gali prireikti jį perskaityti.</w:t>
      </w:r>
    </w:p>
    <w:p w14:paraId="0BE772FE"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kiltų daugiau klausimų, kreipkitės į gydytoją, vaistininką arba slaugytoją.</w:t>
      </w:r>
    </w:p>
    <w:p w14:paraId="4933365E"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Šis vaistas skirtas tik Jums, todėl kitiems žmonėms jo duoti negalima. Vaistas gali jiems pakenkti (net tiems, kurių ligos požymiai yra tokie patys kaip Jūsų).</w:t>
      </w:r>
    </w:p>
    <w:p w14:paraId="4CB9818D"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pasireiškė šalutinis poveikis (net jeigu jis šiame lapelyje nenurodytas), kreipkitės į gydytoją, vaistininką arba slaugytoją. Žr. 4 skyrių.</w:t>
      </w:r>
    </w:p>
    <w:p w14:paraId="03ABCA0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07327AA"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Apie ką rašoma šiame lapelyje?</w:t>
      </w:r>
    </w:p>
    <w:p w14:paraId="0CC5A7E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15C65E26" w14:textId="7D6F5BC9" w:rsidR="00861275" w:rsidRPr="00A128DF" w:rsidRDefault="00861275" w:rsidP="00A128DF">
      <w:pPr>
        <w:pStyle w:val="ListParagraph"/>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Kas yra </w:t>
      </w:r>
      <w:r w:rsidR="00561534" w:rsidRPr="00A128DF">
        <w:rPr>
          <w:rFonts w:ascii="Times New Roman" w:eastAsia="Times New Roman" w:hAnsi="Times New Roman" w:cs="Times New Roman"/>
          <w:kern w:val="0"/>
          <w:lang w:val="lt-LT"/>
          <w14:ligatures w14:val="none"/>
        </w:rPr>
        <w:t>Pomalidomide Olpha</w:t>
      </w:r>
      <w:r w:rsidRPr="00A128DF">
        <w:rPr>
          <w:rFonts w:ascii="Times New Roman" w:eastAsia="Times New Roman" w:hAnsi="Times New Roman" w:cs="Times New Roman"/>
          <w:kern w:val="0"/>
          <w:lang w:val="lt-LT"/>
          <w14:ligatures w14:val="none"/>
        </w:rPr>
        <w:t xml:space="preserve"> ir kam jis vartojamas</w:t>
      </w:r>
    </w:p>
    <w:p w14:paraId="7616917F" w14:textId="791C4542" w:rsidR="00861275" w:rsidRPr="00A128DF" w:rsidRDefault="00861275" w:rsidP="00A128DF">
      <w:pPr>
        <w:pStyle w:val="ListParagraph"/>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Kas žinotina prieš vartojant </w:t>
      </w:r>
      <w:r w:rsidR="00561534" w:rsidRPr="00A128DF">
        <w:rPr>
          <w:rFonts w:ascii="Times New Roman" w:eastAsia="Times New Roman" w:hAnsi="Times New Roman" w:cs="Times New Roman"/>
          <w:kern w:val="0"/>
          <w:lang w:val="lt-LT"/>
          <w14:ligatures w14:val="none"/>
        </w:rPr>
        <w:t>Pomalidomide Olpha</w:t>
      </w:r>
    </w:p>
    <w:p w14:paraId="5AD8B018" w14:textId="4A990949" w:rsidR="00861275" w:rsidRPr="00A128DF" w:rsidRDefault="00861275" w:rsidP="00A128DF">
      <w:pPr>
        <w:pStyle w:val="ListParagraph"/>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Kaip vartoti </w:t>
      </w:r>
      <w:r w:rsidR="00561534" w:rsidRPr="00A128DF">
        <w:rPr>
          <w:rFonts w:ascii="Times New Roman" w:eastAsia="Times New Roman" w:hAnsi="Times New Roman" w:cs="Times New Roman"/>
          <w:kern w:val="0"/>
          <w:lang w:val="lt-LT"/>
          <w14:ligatures w14:val="none"/>
        </w:rPr>
        <w:t>Pomalidomide Olpha</w:t>
      </w:r>
    </w:p>
    <w:p w14:paraId="45E86568" w14:textId="77777777" w:rsidR="00861275" w:rsidRPr="00A128DF" w:rsidRDefault="00861275" w:rsidP="00A128DF">
      <w:pPr>
        <w:pStyle w:val="ListParagraph"/>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Galimas šalutinis poveikis</w:t>
      </w:r>
    </w:p>
    <w:p w14:paraId="7F8714B4" w14:textId="41231B9A" w:rsidR="00861275" w:rsidRPr="00A128DF" w:rsidRDefault="00861275" w:rsidP="00A128DF">
      <w:pPr>
        <w:pStyle w:val="ListParagraph"/>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Kaip laikyti </w:t>
      </w:r>
      <w:r w:rsidR="00561534" w:rsidRPr="00A128DF">
        <w:rPr>
          <w:rFonts w:ascii="Times New Roman" w:eastAsia="Times New Roman" w:hAnsi="Times New Roman" w:cs="Times New Roman"/>
          <w:kern w:val="0"/>
          <w:lang w:val="lt-LT"/>
          <w14:ligatures w14:val="none"/>
        </w:rPr>
        <w:t>Pomalidomide Olpha</w:t>
      </w:r>
    </w:p>
    <w:p w14:paraId="7C3239FE" w14:textId="77777777" w:rsidR="00861275" w:rsidRPr="00A128DF" w:rsidRDefault="00861275" w:rsidP="00A128DF">
      <w:pPr>
        <w:pStyle w:val="ListParagraph"/>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Pakuotės turinys ir kita informacija</w:t>
      </w:r>
    </w:p>
    <w:p w14:paraId="2DE7C82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FF7266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7896F99" w14:textId="7EC31543" w:rsidR="00861275" w:rsidRPr="00A552D9" w:rsidRDefault="00861275" w:rsidP="001E4AC5">
      <w:pPr>
        <w:widowControl w:val="0"/>
        <w:numPr>
          <w:ilvl w:val="0"/>
          <w:numId w:val="5"/>
        </w:numPr>
        <w:tabs>
          <w:tab w:val="left" w:pos="865"/>
          <w:tab w:val="left" w:pos="866"/>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Kas yra </w:t>
      </w:r>
      <w:r w:rsidR="00561534" w:rsidRPr="00A552D9">
        <w:rPr>
          <w:rFonts w:ascii="Times New Roman" w:eastAsia="Times New Roman" w:hAnsi="Times New Roman" w:cs="Times New Roman"/>
          <w:b/>
          <w:bCs/>
          <w:kern w:val="0"/>
          <w:lang w:val="lt-LT"/>
          <w14:ligatures w14:val="none"/>
        </w:rPr>
        <w:t>Pomalidomide Olpha</w:t>
      </w:r>
      <w:r w:rsidRPr="00A552D9">
        <w:rPr>
          <w:rFonts w:ascii="Times New Roman" w:eastAsia="Times New Roman" w:hAnsi="Times New Roman" w:cs="Times New Roman"/>
          <w:b/>
          <w:bCs/>
          <w:kern w:val="0"/>
          <w:lang w:val="lt-LT"/>
          <w14:ligatures w14:val="none"/>
        </w:rPr>
        <w:t xml:space="preserve"> ir kam jis vartojamas </w:t>
      </w:r>
    </w:p>
    <w:p w14:paraId="2E8B182D" w14:textId="77777777"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292B36CA" w14:textId="13336D14"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Kas yra </w:t>
      </w:r>
      <w:r w:rsidR="00561534" w:rsidRPr="00A552D9">
        <w:rPr>
          <w:rFonts w:ascii="Times New Roman" w:eastAsia="Times New Roman" w:hAnsi="Times New Roman" w:cs="Times New Roman"/>
          <w:b/>
          <w:bCs/>
          <w:kern w:val="0"/>
          <w:lang w:val="lt-LT"/>
          <w14:ligatures w14:val="none"/>
        </w:rPr>
        <w:t>Pomalidomide Olpha</w:t>
      </w:r>
    </w:p>
    <w:p w14:paraId="79E19EF3" w14:textId="239B18C1"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sudėtyje yra veikliosios medžiagos pomalidomido. Šis vaistas yra susijęs su talidomidu ir priklauso vaistų, kurie veikia imuninės sistemos darbą (natūralią organizmo apsaugą), grupei.</w:t>
      </w:r>
    </w:p>
    <w:p w14:paraId="5F9BB9A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42D17F2" w14:textId="099E30E1"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Kam </w:t>
      </w:r>
      <w:r w:rsidR="00561534" w:rsidRPr="00A552D9">
        <w:rPr>
          <w:rFonts w:ascii="Times New Roman" w:eastAsia="Times New Roman" w:hAnsi="Times New Roman" w:cs="Times New Roman"/>
          <w:b/>
          <w:bCs/>
          <w:kern w:val="0"/>
          <w:lang w:val="lt-LT"/>
          <w14:ligatures w14:val="none"/>
        </w:rPr>
        <w:t>Pomalidomide Olpha</w:t>
      </w:r>
      <w:r w:rsidRPr="00A552D9">
        <w:rPr>
          <w:rFonts w:ascii="Times New Roman" w:eastAsia="Times New Roman" w:hAnsi="Times New Roman" w:cs="Times New Roman"/>
          <w:b/>
          <w:bCs/>
          <w:kern w:val="0"/>
          <w:lang w:val="lt-LT"/>
          <w14:ligatures w14:val="none"/>
        </w:rPr>
        <w:t xml:space="preserve"> vartojamas</w:t>
      </w:r>
    </w:p>
    <w:p w14:paraId="00FCA38B" w14:textId="2B27E7DD"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vartojamas suaugusiųjų, sergančių tam tikro tipo vėžiu,</w:t>
      </w:r>
      <w:r w:rsidR="00E93A55" w:rsidRPr="00A552D9">
        <w:rPr>
          <w:rFonts w:ascii="Times New Roman" w:eastAsia="Times New Roman" w:hAnsi="Times New Roman" w:cs="Times New Roman"/>
          <w:kern w:val="0"/>
          <w:lang w:val="lt-LT"/>
          <w14:ligatures w14:val="none"/>
        </w:rPr>
        <w:t xml:space="preserve"> </w:t>
      </w:r>
      <w:r w:rsidR="00286FB0">
        <w:rPr>
          <w:rFonts w:ascii="Times New Roman" w:eastAsia="Times New Roman" w:hAnsi="Times New Roman" w:cs="Times New Roman"/>
          <w:kern w:val="0"/>
          <w:lang w:val="lt-LT"/>
          <w14:ligatures w14:val="none"/>
        </w:rPr>
        <w:t xml:space="preserve">vadinamu </w:t>
      </w:r>
      <w:r w:rsidR="00861275" w:rsidRPr="00A552D9">
        <w:rPr>
          <w:rFonts w:ascii="Times New Roman" w:eastAsia="Times New Roman" w:hAnsi="Times New Roman" w:cs="Times New Roman"/>
          <w:kern w:val="0"/>
          <w:lang w:val="lt-LT"/>
          <w14:ligatures w14:val="none"/>
        </w:rPr>
        <w:t>daugine mieloma, gydymui.</w:t>
      </w:r>
    </w:p>
    <w:p w14:paraId="771AAC1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548C8B8" w14:textId="7CB782EB"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vartojamas kartu su:</w:t>
      </w:r>
    </w:p>
    <w:p w14:paraId="64BC3773" w14:textId="3D0991A8" w:rsidR="00861275" w:rsidRPr="00A552D9" w:rsidRDefault="00861275" w:rsidP="00861275">
      <w:pPr>
        <w:widowControl w:val="0"/>
        <w:numPr>
          <w:ilvl w:val="0"/>
          <w:numId w:val="11"/>
        </w:numPr>
        <w:tabs>
          <w:tab w:val="left" w:pos="658"/>
          <w:tab w:val="left" w:pos="65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dviem kitais vaistais</w:t>
      </w:r>
      <w:r w:rsidRPr="00A552D9">
        <w:rPr>
          <w:rFonts w:ascii="Times New Roman" w:eastAsia="Times New Roman" w:hAnsi="Times New Roman" w:cs="Times New Roman"/>
          <w:kern w:val="0"/>
          <w:lang w:val="lt-LT"/>
          <w14:ligatures w14:val="none"/>
        </w:rPr>
        <w:t>, vadinamais bortezomibu (chemoterapiniu vaistu) ir deksametazonu (vaistu nuo uždegimo) žmonėms, kurie prieš tai yra gavę mažiausiai vieną kito gydymo kursą (įskaitant gydymą lenalidomidu)</w:t>
      </w:r>
      <w:r w:rsidR="003268B6" w:rsidRPr="00A552D9">
        <w:rPr>
          <w:rFonts w:ascii="Times New Roman" w:eastAsia="Times New Roman" w:hAnsi="Times New Roman" w:cs="Times New Roman"/>
          <w:kern w:val="0"/>
          <w:lang w:val="lt-LT"/>
          <w14:ligatures w14:val="none"/>
        </w:rPr>
        <w:t>.</w:t>
      </w:r>
    </w:p>
    <w:p w14:paraId="23A81929" w14:textId="489D61BE" w:rsidR="00861275" w:rsidRPr="00A552D9" w:rsidRDefault="003268B6"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A</w:t>
      </w:r>
      <w:r w:rsidR="00861275" w:rsidRPr="00A552D9">
        <w:rPr>
          <w:rFonts w:ascii="Times New Roman" w:eastAsia="Times New Roman" w:hAnsi="Times New Roman" w:cs="Times New Roman"/>
          <w:b/>
          <w:bCs/>
          <w:kern w:val="0"/>
          <w:lang w:val="lt-LT"/>
          <w14:ligatures w14:val="none"/>
        </w:rPr>
        <w:t>rba</w:t>
      </w:r>
    </w:p>
    <w:p w14:paraId="004B6678" w14:textId="77777777" w:rsidR="00861275" w:rsidRPr="00A552D9" w:rsidRDefault="00861275" w:rsidP="001E4AC5">
      <w:pPr>
        <w:widowControl w:val="0"/>
        <w:numPr>
          <w:ilvl w:val="0"/>
          <w:numId w:val="11"/>
        </w:numPr>
        <w:tabs>
          <w:tab w:val="left" w:pos="658"/>
          <w:tab w:val="left" w:pos="65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vienu kitu vaistu</w:t>
      </w:r>
      <w:r w:rsidRPr="00A552D9">
        <w:rPr>
          <w:rFonts w:ascii="Times New Roman" w:eastAsia="Times New Roman" w:hAnsi="Times New Roman" w:cs="Times New Roman"/>
          <w:kern w:val="0"/>
          <w:lang w:val="lt-LT"/>
          <w14:ligatures w14:val="none"/>
        </w:rPr>
        <w:t>, vadinamu deksametazonu, žmonėms, kurių būklė pablogėjo, nors prieš tai jie yra gavę mažiausiai du kito gydymo kursus, įskaitant gydymą lenalidomidu ir bortezomibu.</w:t>
      </w:r>
    </w:p>
    <w:p w14:paraId="67A6B5CD" w14:textId="77777777" w:rsidR="00861275" w:rsidRPr="00A552D9" w:rsidRDefault="00861275" w:rsidP="00861275">
      <w:pPr>
        <w:widowControl w:val="0"/>
        <w:tabs>
          <w:tab w:val="left" w:pos="658"/>
          <w:tab w:val="left" w:pos="659"/>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9970C2"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Kas yra dauginė mieloma</w:t>
      </w:r>
    </w:p>
    <w:p w14:paraId="76876C49" w14:textId="5BF94C5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Dauginė mieloma yra tam tikro tipo vėžys, veikiantis tam tikro</w:t>
      </w:r>
      <w:r w:rsidR="00025044">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w:t>
      </w:r>
      <w:r w:rsidR="00025044">
        <w:rPr>
          <w:rFonts w:ascii="Times New Roman" w:eastAsia="Times New Roman" w:hAnsi="Times New Roman" w:cs="Times New Roman"/>
          <w:kern w:val="0"/>
          <w:lang w:val="lt-LT"/>
          <w14:ligatures w14:val="none"/>
        </w:rPr>
        <w:t>rūšies</w:t>
      </w:r>
      <w:r w:rsidR="0002504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baltąsias kraujo ląsteles (vadinamas plazmos ląstelėmis). Šios ląstelės nekontroliuojamai </w:t>
      </w:r>
      <w:r w:rsidR="00301558">
        <w:rPr>
          <w:rFonts w:ascii="Times New Roman" w:eastAsia="Times New Roman" w:hAnsi="Times New Roman" w:cs="Times New Roman"/>
          <w:kern w:val="0"/>
          <w:lang w:val="lt-LT"/>
          <w14:ligatures w14:val="none"/>
        </w:rPr>
        <w:t>auga</w:t>
      </w:r>
      <w:r w:rsidR="00301558"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ir kaupiasi kaulų čiulpuose. Tai </w:t>
      </w:r>
      <w:r w:rsidRPr="00A552D9">
        <w:rPr>
          <w:rFonts w:ascii="Times New Roman" w:eastAsia="Times New Roman" w:hAnsi="Times New Roman" w:cs="Times New Roman"/>
          <w:kern w:val="0"/>
          <w:lang w:val="lt-LT"/>
          <w14:ligatures w14:val="none"/>
        </w:rPr>
        <w:lastRenderedPageBreak/>
        <w:t>pažeidžia kaulus ir inkstus.</w:t>
      </w:r>
    </w:p>
    <w:p w14:paraId="445213F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BD5FD2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Paprastai dauginės mielomos išgydyti negalima. Tačiau gydymas gali labai susilpninti arba kuriam laikui pašalinti ligos požymius ir simptomus. Tai vadinama „atsaku“.</w:t>
      </w:r>
    </w:p>
    <w:p w14:paraId="7B5E4B2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B765D5A" w14:textId="070E3B1B"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Kaip veikia </w:t>
      </w:r>
      <w:r w:rsidR="00561534" w:rsidRPr="00A552D9">
        <w:rPr>
          <w:rFonts w:ascii="Times New Roman" w:eastAsia="Times New Roman" w:hAnsi="Times New Roman" w:cs="Times New Roman"/>
          <w:b/>
          <w:bCs/>
          <w:kern w:val="0"/>
          <w:lang w:val="lt-LT"/>
          <w14:ligatures w14:val="none"/>
        </w:rPr>
        <w:t>Pomalidomide Olpha</w:t>
      </w:r>
    </w:p>
    <w:p w14:paraId="36E83078" w14:textId="7ACCF483"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veikia įvairiai:</w:t>
      </w:r>
    </w:p>
    <w:p w14:paraId="04983F4B"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slopindamas mielomos ląstelių vystymąsi;</w:t>
      </w:r>
    </w:p>
    <w:p w14:paraId="5FC0CF99"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skatindamas imuninės sistemos ląsteles kovoti su vėžio ląstelėmis;</w:t>
      </w:r>
    </w:p>
    <w:p w14:paraId="02E918FF"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stabdydamas kraujagyslių, aprūpinančių vėžio ląsteles, susidarymą.</w:t>
      </w:r>
    </w:p>
    <w:p w14:paraId="43709E2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26FAB10" w14:textId="122F8EC6"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861275" w:rsidRPr="00A552D9">
        <w:rPr>
          <w:rFonts w:ascii="Times New Roman" w:eastAsia="Times New Roman" w:hAnsi="Times New Roman" w:cs="Times New Roman"/>
          <w:kern w:val="0"/>
          <w:u w:val="single"/>
          <w:lang w:val="lt-LT"/>
          <w14:ligatures w14:val="none"/>
        </w:rPr>
        <w:t xml:space="preserve"> vartojimo kartu su bortezomibu ir deksametazonu nauda</w:t>
      </w:r>
    </w:p>
    <w:p w14:paraId="21026972" w14:textId="44E36837"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vartojant kartu su bortezomibu ir deksametazonu žmonėms, kurie prieš tai yra gavę mažiausiai vieną kito gydymo kursą, gali pristabdyti dauginės mielomos sunkėjimą:</w:t>
      </w:r>
    </w:p>
    <w:p w14:paraId="7493EBB7" w14:textId="72C8E2A3" w:rsidR="00861275" w:rsidRPr="00A552D9" w:rsidRDefault="00561534" w:rsidP="001E4AC5">
      <w:pPr>
        <w:widowControl w:val="0"/>
        <w:numPr>
          <w:ilvl w:val="0"/>
          <w:numId w:val="4"/>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kartu su bortezomibu ir deksametazonu vartojusiems pacientams laikas be dauginės mielomos paūmėjimo vidutiniškai pailgėjo iki 11 mėnesių, o vien bortezomib</w:t>
      </w:r>
      <w:r w:rsidR="0092553A">
        <w:rPr>
          <w:rFonts w:ascii="Times New Roman" w:eastAsia="Times New Roman" w:hAnsi="Times New Roman" w:cs="Times New Roman"/>
          <w:kern w:val="0"/>
          <w:lang w:val="lt-LT"/>
          <w14:ligatures w14:val="none"/>
        </w:rPr>
        <w:t>o</w:t>
      </w:r>
      <w:r w:rsidR="00861275" w:rsidRPr="00A552D9">
        <w:rPr>
          <w:rFonts w:ascii="Times New Roman" w:eastAsia="Times New Roman" w:hAnsi="Times New Roman" w:cs="Times New Roman"/>
          <w:kern w:val="0"/>
          <w:lang w:val="lt-LT"/>
          <w14:ligatures w14:val="none"/>
        </w:rPr>
        <w:t xml:space="preserve"> ir deksametazon</w:t>
      </w:r>
      <w:r w:rsidR="0092553A">
        <w:rPr>
          <w:rFonts w:ascii="Times New Roman" w:eastAsia="Times New Roman" w:hAnsi="Times New Roman" w:cs="Times New Roman"/>
          <w:kern w:val="0"/>
          <w:lang w:val="lt-LT"/>
          <w14:ligatures w14:val="none"/>
        </w:rPr>
        <w:t>o</w:t>
      </w:r>
      <w:r w:rsidR="00861275" w:rsidRPr="00A552D9">
        <w:rPr>
          <w:rFonts w:ascii="Times New Roman" w:eastAsia="Times New Roman" w:hAnsi="Times New Roman" w:cs="Times New Roman"/>
          <w:kern w:val="0"/>
          <w:lang w:val="lt-LT"/>
          <w14:ligatures w14:val="none"/>
        </w:rPr>
        <w:t xml:space="preserve"> vartojusiems pacientams šio laiko trukmė – 7 mėnesiai.</w:t>
      </w:r>
    </w:p>
    <w:p w14:paraId="69C6B94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7BDAA24" w14:textId="7EBADA83"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861275" w:rsidRPr="00A552D9">
        <w:rPr>
          <w:rFonts w:ascii="Times New Roman" w:eastAsia="Times New Roman" w:hAnsi="Times New Roman" w:cs="Times New Roman"/>
          <w:kern w:val="0"/>
          <w:u w:val="single"/>
          <w:lang w:val="lt-LT"/>
          <w14:ligatures w14:val="none"/>
        </w:rPr>
        <w:t xml:space="preserve"> vartojimo kartu su deksametazonu nauda</w:t>
      </w:r>
    </w:p>
    <w:p w14:paraId="1234CB0C" w14:textId="1FAB8506"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vartojant kartu su deksametazonu žmonėms, kurie prieš tai yra gavę mažiausiai du kito gydymo kursus, gali pristabdyti dauginės mielomos sunkėjimą:</w:t>
      </w:r>
    </w:p>
    <w:p w14:paraId="0E5E4608" w14:textId="536B70CC" w:rsidR="00861275" w:rsidRPr="00A552D9" w:rsidRDefault="00561534"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kartu su deksametazonu vartojusiems pacientams laikas be dauginės mielomos paūmėjimo vidutiniškai pailgėjo iki 4 mėnesių, o vien deksametazon</w:t>
      </w:r>
      <w:r w:rsidR="0046230D">
        <w:rPr>
          <w:rFonts w:ascii="Times New Roman" w:eastAsia="Times New Roman" w:hAnsi="Times New Roman" w:cs="Times New Roman"/>
          <w:kern w:val="0"/>
          <w:lang w:val="lt-LT"/>
          <w14:ligatures w14:val="none"/>
        </w:rPr>
        <w:t>o</w:t>
      </w:r>
      <w:r w:rsidR="00861275" w:rsidRPr="00A552D9">
        <w:rPr>
          <w:rFonts w:ascii="Times New Roman" w:eastAsia="Times New Roman" w:hAnsi="Times New Roman" w:cs="Times New Roman"/>
          <w:kern w:val="0"/>
          <w:lang w:val="lt-LT"/>
          <w14:ligatures w14:val="none"/>
        </w:rPr>
        <w:t xml:space="preserve"> vartojusiems pacientams šio laiko trukmė – 2 mėnesiai.</w:t>
      </w:r>
    </w:p>
    <w:p w14:paraId="51B15CF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C49966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E1BB93F" w14:textId="2D067690" w:rsidR="00861275" w:rsidRPr="00A552D9" w:rsidRDefault="00861275" w:rsidP="001E4AC5">
      <w:pPr>
        <w:widowControl w:val="0"/>
        <w:numPr>
          <w:ilvl w:val="0"/>
          <w:numId w:val="5"/>
        </w:numPr>
        <w:tabs>
          <w:tab w:val="left" w:pos="865"/>
          <w:tab w:val="left" w:pos="866"/>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Kas žinotina prieš vartojant </w:t>
      </w:r>
      <w:r w:rsidR="00561534" w:rsidRPr="00A552D9">
        <w:rPr>
          <w:rFonts w:ascii="Times New Roman" w:eastAsia="Times New Roman" w:hAnsi="Times New Roman" w:cs="Times New Roman"/>
          <w:b/>
          <w:bCs/>
          <w:kern w:val="0"/>
          <w:lang w:val="lt-LT"/>
          <w14:ligatures w14:val="none"/>
        </w:rPr>
        <w:t>Pomalidomide Olpha</w:t>
      </w:r>
      <w:r w:rsidRPr="00A552D9">
        <w:rPr>
          <w:rFonts w:ascii="Times New Roman" w:eastAsia="Times New Roman" w:hAnsi="Times New Roman" w:cs="Times New Roman"/>
          <w:b/>
          <w:bCs/>
          <w:kern w:val="0"/>
          <w:lang w:val="lt-LT"/>
          <w14:ligatures w14:val="none"/>
        </w:rPr>
        <w:t xml:space="preserve"> </w:t>
      </w:r>
    </w:p>
    <w:p w14:paraId="189E78D6" w14:textId="77777777"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128E6025" w14:textId="3C4743C5" w:rsidR="00861275" w:rsidRPr="00A552D9" w:rsidRDefault="00561534"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vartoti draudžiama:</w:t>
      </w:r>
    </w:p>
    <w:p w14:paraId="7B0B19F8" w14:textId="3297F359"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esate nėščia arba manote, kad galbūt esate nėščia arba planuojate pastoti, nes </w:t>
      </w:r>
      <w:r w:rsidR="00561534" w:rsidRPr="00A552D9">
        <w:rPr>
          <w:rFonts w:ascii="Times New Roman" w:eastAsia="Times New Roman" w:hAnsi="Times New Roman" w:cs="Times New Roman"/>
          <w:b/>
          <w:kern w:val="0"/>
          <w:lang w:val="lt-LT"/>
          <w14:ligatures w14:val="none"/>
        </w:rPr>
        <w:t>Pomalidomide Olpha</w:t>
      </w:r>
      <w:r w:rsidRPr="00A552D9">
        <w:rPr>
          <w:rFonts w:ascii="Times New Roman" w:eastAsia="Times New Roman" w:hAnsi="Times New Roman" w:cs="Times New Roman"/>
          <w:b/>
          <w:kern w:val="0"/>
          <w:lang w:val="lt-LT"/>
          <w14:ligatures w14:val="none"/>
        </w:rPr>
        <w:t xml:space="preserve"> gali sukelti kenksmingą poveikį vaisiui</w:t>
      </w:r>
      <w:r w:rsidRPr="00A552D9">
        <w:rPr>
          <w:rFonts w:ascii="Times New Roman" w:eastAsia="Times New Roman" w:hAnsi="Times New Roman" w:cs="Times New Roman"/>
          <w:kern w:val="0"/>
          <w:lang w:val="lt-LT"/>
          <w14:ligatures w14:val="none"/>
        </w:rPr>
        <w:t>. (Šį vaistą vartojantys vyrai ir moterys turi perskaityti toliau esantį skyrių „Nėštumas, kontracepcija ir žindymo laikotarpis – informacija moterims ir vyrams“);</w:t>
      </w:r>
    </w:p>
    <w:p w14:paraId="73F03793" w14:textId="5BD32A1C"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galite pastoti, nebent Jūs imsitės visų būtinų apsaugos nuo nėštumo priemonių (žr. „Nėštumas, kontracepcija ir žindymo laikotarpis – informacija moterims ir vyrams“). Jei galite pastoti, Jūsų gydytojas kiekvieną kartą, išrašydamas vaistą, įrašys, kad laikomasi visų būtinų priemonių ir Jums bus pateikiamas šis patvirtinimas;</w:t>
      </w:r>
    </w:p>
    <w:p w14:paraId="6191059A"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yra alergija pomalidomidui arba bet kuriai pagalbinei šio vaisto medžiagai (jos išvardytos 6 skyriuje). Jei manote, kad Jums yra alergija, pasitarkite su gydytoju.</w:t>
      </w:r>
    </w:p>
    <w:p w14:paraId="1390C0E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3447312" w14:textId="0B20E806"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 nesate tikri, ar kurios nors iš pirmiau pateiktų sąlygų tinka Jums, pasitarkite su gydytoju, vaistininku arba slaugytoju, prieš pradėdami vartoti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w:t>
      </w:r>
    </w:p>
    <w:p w14:paraId="63FF52A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511C334"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Įspėjimai ir atsargumo priemonės</w:t>
      </w:r>
    </w:p>
    <w:p w14:paraId="257A7E21" w14:textId="12A8CA3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Pasitarkite su gydytoju, vaistininku arba slaugytoju, prieš pradėdami vartoti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jeigu:</w:t>
      </w:r>
    </w:p>
    <w:p w14:paraId="67458277" w14:textId="2BF3F804"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praeityje buvo susidarę kraujo krešulių. Gydymo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metu Jums bus padidėjęs kraujo krešulių susidarymo venose ir arterijose pavojus. Gydytojas gali rekomenduoti vartoti papildomų vaistų (pvz, varfariną) arba sumažinti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dozę, kad sumažėtų krešulių susidarymo tikimybė;</w:t>
      </w:r>
    </w:p>
    <w:p w14:paraId="70AAFE32" w14:textId="77777777"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Jums buvo pasireiškusi alerginė reakcija, pvz., išbėrimas, niežėjimas, patinimas, svaigulys ar pasunkėjęs kvėpavimas, vartojant susijusius vaistus, vadinamus talidomidu arba lenalidomidu;</w:t>
      </w:r>
    </w:p>
    <w:p w14:paraId="6AE6C4BD" w14:textId="51F193D1"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Jums </w:t>
      </w:r>
      <w:r w:rsidR="00E424C6">
        <w:rPr>
          <w:rFonts w:ascii="Times New Roman" w:eastAsia="Times New Roman" w:hAnsi="Times New Roman" w:cs="Times New Roman"/>
          <w:kern w:val="0"/>
          <w:lang w:val="lt-LT"/>
          <w14:ligatures w14:val="none"/>
        </w:rPr>
        <w:t xml:space="preserve">buvo </w:t>
      </w:r>
      <w:r w:rsidRPr="00A552D9">
        <w:rPr>
          <w:rFonts w:ascii="Times New Roman" w:eastAsia="Times New Roman" w:hAnsi="Times New Roman" w:cs="Times New Roman"/>
          <w:kern w:val="0"/>
          <w:lang w:val="lt-LT"/>
          <w14:ligatures w14:val="none"/>
        </w:rPr>
        <w:t>pasireišk</w:t>
      </w:r>
      <w:r w:rsidR="00E424C6">
        <w:rPr>
          <w:rFonts w:ascii="Times New Roman" w:eastAsia="Times New Roman" w:hAnsi="Times New Roman" w:cs="Times New Roman"/>
          <w:kern w:val="0"/>
          <w:lang w:val="lt-LT"/>
          <w14:ligatures w14:val="none"/>
        </w:rPr>
        <w:t>ęs</w:t>
      </w:r>
      <w:r w:rsidRPr="00A552D9">
        <w:rPr>
          <w:rFonts w:ascii="Times New Roman" w:eastAsia="Times New Roman" w:hAnsi="Times New Roman" w:cs="Times New Roman"/>
          <w:kern w:val="0"/>
          <w:lang w:val="lt-LT"/>
          <w14:ligatures w14:val="none"/>
        </w:rPr>
        <w:t xml:space="preserve"> širdies smūgis, </w:t>
      </w:r>
      <w:r w:rsidR="00E424C6">
        <w:rPr>
          <w:rFonts w:ascii="Times New Roman" w:eastAsia="Times New Roman" w:hAnsi="Times New Roman" w:cs="Times New Roman"/>
          <w:kern w:val="0"/>
          <w:lang w:val="lt-LT"/>
          <w14:ligatures w14:val="none"/>
        </w:rPr>
        <w:t xml:space="preserve">sergate </w:t>
      </w:r>
      <w:r w:rsidRPr="00A552D9">
        <w:rPr>
          <w:rFonts w:ascii="Times New Roman" w:eastAsia="Times New Roman" w:hAnsi="Times New Roman" w:cs="Times New Roman"/>
          <w:kern w:val="0"/>
          <w:lang w:val="lt-LT"/>
          <w14:ligatures w14:val="none"/>
        </w:rPr>
        <w:t>širdies nepakankamum</w:t>
      </w:r>
      <w:r w:rsidR="00E424C6">
        <w:rPr>
          <w:rFonts w:ascii="Times New Roman" w:eastAsia="Times New Roman" w:hAnsi="Times New Roman" w:cs="Times New Roman"/>
          <w:kern w:val="0"/>
          <w:lang w:val="lt-LT"/>
          <w14:ligatures w14:val="none"/>
        </w:rPr>
        <w:t>u</w:t>
      </w:r>
      <w:r w:rsidRPr="00A552D9">
        <w:rPr>
          <w:rFonts w:ascii="Times New Roman" w:eastAsia="Times New Roman" w:hAnsi="Times New Roman" w:cs="Times New Roman"/>
          <w:kern w:val="0"/>
          <w:lang w:val="lt-LT"/>
          <w14:ligatures w14:val="none"/>
        </w:rPr>
        <w:t>, pasunkėjo kvėpavimas</w:t>
      </w:r>
      <w:r w:rsidR="00E424C6">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jeigu rūkote</w:t>
      </w:r>
      <w:r w:rsidR="00E424C6">
        <w:rPr>
          <w:rFonts w:ascii="Times New Roman" w:eastAsia="Times New Roman" w:hAnsi="Times New Roman" w:cs="Times New Roman"/>
          <w:kern w:val="0"/>
          <w:lang w:val="lt-LT"/>
          <w14:ligatures w14:val="none"/>
        </w:rPr>
        <w:t xml:space="preserve"> arba</w:t>
      </w:r>
      <w:r w:rsidRPr="00A552D9">
        <w:rPr>
          <w:rFonts w:ascii="Times New Roman" w:eastAsia="Times New Roman" w:hAnsi="Times New Roman" w:cs="Times New Roman"/>
          <w:kern w:val="0"/>
          <w:lang w:val="lt-LT"/>
          <w14:ligatures w14:val="none"/>
        </w:rPr>
        <w:t xml:space="preserve"> padidėjęs Jūsų kraujospūdis ar cholesterolio kiekis;</w:t>
      </w:r>
    </w:p>
    <w:p w14:paraId="32167B2D" w14:textId="77777777"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yra didelis bendras naviko kiekis visame Jūsų organizme, įskaitant kaulų čiulpus. Tai gali sukelti būklę, kai navikas suyra ir kraujyje atsiranda neįprastas cheminių medžiagų kiekis, </w:t>
      </w:r>
      <w:r w:rsidRPr="00A552D9">
        <w:rPr>
          <w:rFonts w:ascii="Times New Roman" w:eastAsia="Times New Roman" w:hAnsi="Times New Roman" w:cs="Times New Roman"/>
          <w:kern w:val="0"/>
          <w:lang w:val="lt-LT"/>
          <w14:ligatures w14:val="none"/>
        </w:rPr>
        <w:lastRenderedPageBreak/>
        <w:t>galintis sukelti inkstų nepakankamumą. Jums taip pat gali pasireikšti netolygus širdies plakimas. Ši būklė vadinama naviko suirimo sindromu;</w:t>
      </w:r>
    </w:p>
    <w:p w14:paraId="23803235" w14:textId="3BC0ABCB"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dabar sergate arba anksčiau sirgote neuropatija (nervų pažeidimu, dėl kurio </w:t>
      </w:r>
      <w:r w:rsidR="00E05FF6">
        <w:rPr>
          <w:rFonts w:ascii="Times New Roman" w:eastAsia="Times New Roman" w:hAnsi="Times New Roman" w:cs="Times New Roman"/>
          <w:kern w:val="0"/>
          <w:lang w:val="lt-LT"/>
          <w14:ligatures w14:val="none"/>
        </w:rPr>
        <w:t>dilgčioja</w:t>
      </w:r>
      <w:r w:rsidR="00E05FF6"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ar skauda plaštakas ar pėdas);</w:t>
      </w:r>
    </w:p>
    <w:p w14:paraId="0812F253" w14:textId="150EE0CD"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sergate arba esate sirgę hepatito B infekcija. Gydymas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gali sukelti pakartotinį hepatito B viruso suaktyvėjimą virusą nešiojantiems pacientams, dėl to gali atsinaujinti infekcija. Gydytojas turi patikrinti, ar esate sirgę hepatito B infekcija.</w:t>
      </w:r>
    </w:p>
    <w:p w14:paraId="59E7102D" w14:textId="77777777" w:rsidR="00861275" w:rsidRPr="00A552D9" w:rsidRDefault="00861275" w:rsidP="001E4AC5">
      <w:pPr>
        <w:widowControl w:val="0"/>
        <w:numPr>
          <w:ilvl w:val="0"/>
          <w:numId w:val="11"/>
        </w:numPr>
        <w:tabs>
          <w:tab w:val="left" w:pos="838"/>
          <w:tab w:val="left" w:pos="83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Jums pasireiškia arba praeityje pasireiškė bet kuris iš šių simptomų: veido išbėrimas arba išplitęs išbėrimas, odos paraudimas, didelis karščiavimas, į gripą panašūs simptomai, limfmazgių padidėjimas (požymis sunkios odos reakcijos, vadinamos vaisto reakcija su eozinofilija ir sisteminiais simptomais (VRESS) arba padidėjusio jautrumo vaistui sindromu, toksinė epidermio nekrolizė (TEN) arba Stivenso-Džonsono sindromas (SDS), taip pat žr, 4 skyrių „Galimas šalutinis poveikis“).</w:t>
      </w:r>
    </w:p>
    <w:p w14:paraId="106466C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6C72D9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Svarbu paminėti, kad pomalidomidu gydomiems pacientams, sergantiems daugine mieloma, gali pasireikšti kitų tipų vėžys, todėl skirdamas Jums šį vaistą gydytojas turi atidžiai įvertinti naudą ir riziką.</w:t>
      </w:r>
    </w:p>
    <w:p w14:paraId="522BEEA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6ED0D5" w14:textId="627A4FCC"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Nedelsdami kreipkitės į gydytoją arba slaugytoją, jeigu kuriuo nors gydymo laikotarpiu arba užbaigus gydymą pradėtumėte neaiškiai matyti, apaktumėte arba Jums pradėtų dvejintis akyse, būtų sunku kalbėti, pasireikštų rankų ar kojų silpnumas, pasikeistų eisena arba sutriktų pusiausvyra, pasireikštų nuolatinis tirpulys, sumažėtų </w:t>
      </w:r>
      <w:r w:rsidR="009D7E87" w:rsidRPr="00A552D9">
        <w:rPr>
          <w:rFonts w:ascii="Times New Roman" w:eastAsia="Times New Roman" w:hAnsi="Times New Roman" w:cs="Times New Roman"/>
          <w:kern w:val="0"/>
          <w:lang w:val="lt-LT"/>
          <w14:ligatures w14:val="none"/>
        </w:rPr>
        <w:t>jutimas</w:t>
      </w:r>
      <w:r w:rsidRPr="00A552D9">
        <w:rPr>
          <w:rFonts w:ascii="Times New Roman" w:eastAsia="Times New Roman" w:hAnsi="Times New Roman" w:cs="Times New Roman"/>
          <w:kern w:val="0"/>
          <w:lang w:val="lt-LT"/>
          <w14:ligatures w14:val="none"/>
        </w:rPr>
        <w:t xml:space="preserve"> arba kuri nors kūno dalis pasidarytų visiškai nejautri, prarastumėte atmintį arba pasireikštų sumišimo būsena. Visi šie reiškiniai gali būti sunkaus galvos smegenų sutrikimo, kuris gali būti mirtinas, vadinamo progresuojančia daugiažidi</w:t>
      </w:r>
      <w:r w:rsidR="005B34F5">
        <w:rPr>
          <w:rFonts w:ascii="Times New Roman" w:eastAsia="Times New Roman" w:hAnsi="Times New Roman" w:cs="Times New Roman"/>
          <w:kern w:val="0"/>
          <w:lang w:val="lt-LT"/>
          <w14:ligatures w14:val="none"/>
        </w:rPr>
        <w:t>ni</w:t>
      </w:r>
      <w:r w:rsidRPr="00A552D9">
        <w:rPr>
          <w:rFonts w:ascii="Times New Roman" w:eastAsia="Times New Roman" w:hAnsi="Times New Roman" w:cs="Times New Roman"/>
          <w:kern w:val="0"/>
          <w:lang w:val="lt-LT"/>
          <w14:ligatures w14:val="none"/>
        </w:rPr>
        <w:t xml:space="preserve">ne leukoencefalopatija (PDL), simptomai. Jeigu jautėte šiuos simptomus dar prieš pradedant gydymą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pasakykite gydytojui, jeigu jie kaip nors pasikeistų.</w:t>
      </w:r>
    </w:p>
    <w:p w14:paraId="084E719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469862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Gydymo pabaigoje visos nesuvartotos kapsulės turi būti grąžintos vaistininkui.</w:t>
      </w:r>
    </w:p>
    <w:p w14:paraId="1F4C522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DF8365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Nėštumas, kontracepcija ir žindymo laikotarpis – informacija moterims ir vyrams</w:t>
      </w:r>
    </w:p>
    <w:p w14:paraId="4648E2AC" w14:textId="4002A27F"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Reikia laikytis toliau išvardytų sąlygų, išdėstytų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nėštumo prevencijos programoje.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vartojančioms moterims negalima pastoti, vyrams – pradėti vaiko</w:t>
      </w:r>
      <w:r w:rsidR="00C27CFF" w:rsidRPr="00A552D9">
        <w:rPr>
          <w:rFonts w:ascii="Times New Roman" w:eastAsia="Times New Roman" w:hAnsi="Times New Roman" w:cs="Times New Roman"/>
          <w:kern w:val="0"/>
          <w:lang w:val="lt-LT"/>
          <w14:ligatures w14:val="none"/>
        </w:rPr>
        <w:t>. T</w:t>
      </w:r>
      <w:r w:rsidRPr="00A552D9">
        <w:rPr>
          <w:rFonts w:ascii="Times New Roman" w:eastAsia="Times New Roman" w:hAnsi="Times New Roman" w:cs="Times New Roman"/>
          <w:kern w:val="0"/>
          <w:lang w:val="lt-LT"/>
          <w14:ligatures w14:val="none"/>
        </w:rPr>
        <w:t xml:space="preserve">ikėtina, kad pomalidomidas </w:t>
      </w:r>
      <w:r w:rsidR="00894823" w:rsidRPr="00A552D9">
        <w:rPr>
          <w:rFonts w:ascii="Times New Roman" w:eastAsia="Times New Roman" w:hAnsi="Times New Roman" w:cs="Times New Roman"/>
          <w:kern w:val="0"/>
          <w:lang w:val="lt-LT"/>
          <w14:ligatures w14:val="none"/>
        </w:rPr>
        <w:t>gali pakenkti</w:t>
      </w:r>
      <w:r w:rsidRPr="00A552D9">
        <w:rPr>
          <w:rFonts w:ascii="Times New Roman" w:eastAsia="Times New Roman" w:hAnsi="Times New Roman" w:cs="Times New Roman"/>
          <w:kern w:val="0"/>
          <w:lang w:val="lt-LT"/>
          <w14:ligatures w14:val="none"/>
        </w:rPr>
        <w:t xml:space="preserve"> </w:t>
      </w:r>
      <w:r w:rsidR="00894823" w:rsidRPr="00A552D9">
        <w:rPr>
          <w:rFonts w:ascii="Times New Roman" w:eastAsia="Times New Roman" w:hAnsi="Times New Roman" w:cs="Times New Roman"/>
          <w:kern w:val="0"/>
          <w:lang w:val="lt-LT"/>
          <w14:ligatures w14:val="none"/>
        </w:rPr>
        <w:t>negimusiam kūdikiui</w:t>
      </w:r>
      <w:r w:rsidRPr="00A552D9">
        <w:rPr>
          <w:rFonts w:ascii="Times New Roman" w:eastAsia="Times New Roman" w:hAnsi="Times New Roman" w:cs="Times New Roman"/>
          <w:kern w:val="0"/>
          <w:lang w:val="lt-LT"/>
          <w14:ligatures w14:val="none"/>
        </w:rPr>
        <w:t>. Kol vartojate šį vaistą, Jūs ir Jūsų partnerė (-is) turi naudoti veiksmingą kontracepcijos metodą.</w:t>
      </w:r>
    </w:p>
    <w:p w14:paraId="752CB62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F53DB1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Moterys</w:t>
      </w:r>
    </w:p>
    <w:p w14:paraId="5F07F550" w14:textId="0954425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esate nėščia, žindote kūdikį, manote, kad galbūt esate nėščia arba planuojate pastoti,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nevartokite</w:t>
      </w:r>
      <w:r w:rsidR="00F11511" w:rsidRPr="00A552D9">
        <w:rPr>
          <w:rFonts w:ascii="Times New Roman" w:eastAsia="Times New Roman" w:hAnsi="Times New Roman" w:cs="Times New Roman"/>
          <w:kern w:val="0"/>
          <w:lang w:val="lt-LT"/>
          <w14:ligatures w14:val="none"/>
        </w:rPr>
        <w:t>. T</w:t>
      </w:r>
      <w:r w:rsidRPr="00A552D9">
        <w:rPr>
          <w:rFonts w:ascii="Times New Roman" w:eastAsia="Times New Roman" w:hAnsi="Times New Roman" w:cs="Times New Roman"/>
          <w:kern w:val="0"/>
          <w:lang w:val="lt-LT"/>
          <w14:ligatures w14:val="none"/>
        </w:rPr>
        <w:t xml:space="preserve">ikėtina, kad vaistas pakenks negimusiam kūdikiui. Prieš pradėdama gydymą Jūs privalote pasakyti savo gydytojui, </w:t>
      </w:r>
      <w:r w:rsidR="00EF1EEC">
        <w:rPr>
          <w:rFonts w:ascii="Times New Roman" w:eastAsia="Times New Roman" w:hAnsi="Times New Roman" w:cs="Times New Roman"/>
          <w:kern w:val="0"/>
          <w:lang w:val="lt-LT"/>
          <w14:ligatures w14:val="none"/>
        </w:rPr>
        <w:t>ar</w:t>
      </w:r>
      <w:r w:rsidRPr="00A552D9">
        <w:rPr>
          <w:rFonts w:ascii="Times New Roman" w:eastAsia="Times New Roman" w:hAnsi="Times New Roman" w:cs="Times New Roman"/>
          <w:kern w:val="0"/>
          <w:lang w:val="lt-LT"/>
          <w14:ligatures w14:val="none"/>
        </w:rPr>
        <w:t xml:space="preserve"> galite pastoti, net jei Jūs galvojate, kad tai yra neįmanoma.</w:t>
      </w:r>
    </w:p>
    <w:p w14:paraId="4F5AEB9B"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E0D889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 Jūs galite pastoti:</w:t>
      </w:r>
    </w:p>
    <w:p w14:paraId="183D657E"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turite naudoti veiksmingus kontracepcijos metodus mažiausiai 4 savaites prieš gydymą, viso gydymo metu ir mažiausiai 4 savaites po gydymo pabaigos. Pasitarkite su gydytoju dėl Jums labiausiai tinkamo kontracepcijos metodo;</w:t>
      </w:r>
    </w:p>
    <w:p w14:paraId="066B507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kiekvieną kartą išrašydamas Jums receptą, gydytojas užtikrins, kad suprastumėte priemones, kurių reikia imtis nėštumui išvengti;</w:t>
      </w:r>
    </w:p>
    <w:p w14:paraId="5DF9C555"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gydytojas atliks nėštumo testus prieš gydymą, mažiausiai kas 4 savaites gydymo metu ir mažiausiai 4 savaites po gydymo pabaigos.</w:t>
      </w:r>
    </w:p>
    <w:p w14:paraId="5214364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C72366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 Jūs pastojote, nors ėmėtės prevencijos priemonių:</w:t>
      </w:r>
    </w:p>
    <w:p w14:paraId="749ED32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turite nedelsdama nutraukti vaisto vartojimą ir pasikalbėti su gydytoju.</w:t>
      </w:r>
    </w:p>
    <w:p w14:paraId="0C16899C" w14:textId="77777777" w:rsidR="00861275" w:rsidRPr="00A552D9" w:rsidRDefault="00861275" w:rsidP="00861275">
      <w:pPr>
        <w:widowControl w:val="0"/>
        <w:tabs>
          <w:tab w:val="left" w:pos="865"/>
          <w:tab w:val="left" w:pos="866"/>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7A9D97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Žindymo laikotarpis</w:t>
      </w:r>
    </w:p>
    <w:p w14:paraId="2A07D7F6" w14:textId="65842AE5"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Nežinoma, ar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išsiskiria į moterų pieną. Pasakykite gydytojui, jeigu žindote arba planuojate žindyti. Gydytojas patars, ar reikia nutraukti žindymą</w:t>
      </w:r>
      <w:r w:rsidR="00CE05FA">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ar galite toliau žindyti.</w:t>
      </w:r>
    </w:p>
    <w:p w14:paraId="09F4C14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DA76A2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lastRenderedPageBreak/>
        <w:t>Vyrai</w:t>
      </w:r>
    </w:p>
    <w:p w14:paraId="6AA03E32" w14:textId="45056E74"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išsiskiria į vyrų spermą.</w:t>
      </w:r>
    </w:p>
    <w:p w14:paraId="40E91D93" w14:textId="58B2C745"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Jūsų partnerė </w:t>
      </w:r>
      <w:r w:rsidR="00273B27">
        <w:rPr>
          <w:rFonts w:ascii="Times New Roman" w:eastAsia="Times New Roman" w:hAnsi="Times New Roman" w:cs="Times New Roman"/>
          <w:kern w:val="0"/>
          <w:lang w:val="lt-LT"/>
          <w14:ligatures w14:val="none"/>
        </w:rPr>
        <w:t>laukiasi</w:t>
      </w:r>
      <w:r w:rsidR="00273B2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arba gali pastoti, turite naudotis prezervatyvais</w:t>
      </w:r>
      <w:r w:rsidR="0033320B" w:rsidRPr="00A552D9">
        <w:rPr>
          <w:rFonts w:ascii="Times New Roman" w:eastAsia="Times New Roman" w:hAnsi="Times New Roman" w:cs="Times New Roman"/>
          <w:kern w:val="0"/>
          <w:lang w:val="lt-LT"/>
          <w14:ligatures w14:val="none"/>
        </w:rPr>
        <w:t>, t</w:t>
      </w:r>
      <w:r w:rsidRPr="00A552D9">
        <w:rPr>
          <w:rFonts w:ascii="Times New Roman" w:eastAsia="Times New Roman" w:hAnsi="Times New Roman" w:cs="Times New Roman"/>
          <w:kern w:val="0"/>
          <w:lang w:val="lt-LT"/>
          <w14:ligatures w14:val="none"/>
        </w:rPr>
        <w:t>ai būtina taikyti viso gydymo metu ir 7 dienas po gydymo pabaigos.</w:t>
      </w:r>
    </w:p>
    <w:p w14:paraId="4A206B37" w14:textId="3812D43A"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Jums vartojant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Jūsų partnerė pastojo, nedelsdamas pasakykite gydytojui. Jūsų partnerė taip pat turi nedelsdama apie tai pasakyti gydytojui.</w:t>
      </w:r>
    </w:p>
    <w:p w14:paraId="58BDFC8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B8D1E2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Gydymo metu ir 7 dienas po gydymo pabaigos Jūs negalite būti sėklos arba spermos donoru.</w:t>
      </w:r>
    </w:p>
    <w:p w14:paraId="3FC9D17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C74ED1D" w14:textId="1B4B10DD"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Kraujo </w:t>
      </w:r>
      <w:r w:rsidR="00AB21A6">
        <w:rPr>
          <w:rFonts w:ascii="Times New Roman" w:eastAsia="Times New Roman" w:hAnsi="Times New Roman" w:cs="Times New Roman"/>
          <w:b/>
          <w:bCs/>
          <w:kern w:val="0"/>
          <w:lang w:val="lt-LT"/>
          <w14:ligatures w14:val="none"/>
        </w:rPr>
        <w:t>donorystė</w:t>
      </w:r>
      <w:r w:rsidR="00AB21A6" w:rsidRPr="00A552D9">
        <w:rPr>
          <w:rFonts w:ascii="Times New Roman" w:eastAsia="Times New Roman" w:hAnsi="Times New Roman" w:cs="Times New Roman"/>
          <w:b/>
          <w:bCs/>
          <w:kern w:val="0"/>
          <w:lang w:val="lt-LT"/>
          <w14:ligatures w14:val="none"/>
        </w:rPr>
        <w:t xml:space="preserve"> </w:t>
      </w:r>
      <w:r w:rsidRPr="00A552D9">
        <w:rPr>
          <w:rFonts w:ascii="Times New Roman" w:eastAsia="Times New Roman" w:hAnsi="Times New Roman" w:cs="Times New Roman"/>
          <w:b/>
          <w:bCs/>
          <w:kern w:val="0"/>
          <w:lang w:val="lt-LT"/>
          <w14:ligatures w14:val="none"/>
        </w:rPr>
        <w:t>ir kraujo tyrimai</w:t>
      </w:r>
    </w:p>
    <w:p w14:paraId="6CB93E2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Gydymo metu ir 7 dienas po gydymo pabaigos Jūs negalite būti kraujo donoru.</w:t>
      </w:r>
    </w:p>
    <w:p w14:paraId="19938A50" w14:textId="2D74C51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Prieš gydymą ir gydymo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metu Jums reguliariai bus atliekami kraujo tyrimai, nes vaistas gali sukelti kraujo ląstelių, padedančių kovoti su infekcija (baltųjų ląstelių) ir </w:t>
      </w:r>
      <w:r w:rsidR="003D4883" w:rsidRPr="00A552D9">
        <w:rPr>
          <w:rFonts w:ascii="Times New Roman" w:eastAsia="Times New Roman" w:hAnsi="Times New Roman" w:cs="Times New Roman"/>
          <w:kern w:val="0"/>
          <w:lang w:val="lt-LT"/>
          <w14:ligatures w14:val="none"/>
        </w:rPr>
        <w:t>ląstelių</w:t>
      </w:r>
      <w:r w:rsidRPr="00A552D9">
        <w:rPr>
          <w:rFonts w:ascii="Times New Roman" w:eastAsia="Times New Roman" w:hAnsi="Times New Roman" w:cs="Times New Roman"/>
          <w:kern w:val="0"/>
          <w:lang w:val="lt-LT"/>
          <w14:ligatures w14:val="none"/>
        </w:rPr>
        <w:t>, padedančių sustabdyti kraujavimą (trombocitų), skaičiaus sumažėjimą.</w:t>
      </w:r>
    </w:p>
    <w:p w14:paraId="4C2DCEA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45D508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Jūsų gydytojas paprašys atlikti kraujo tyrimą:</w:t>
      </w:r>
    </w:p>
    <w:p w14:paraId="5AE73AE9"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prieš gydymą,</w:t>
      </w:r>
    </w:p>
    <w:p w14:paraId="73CBDDC0"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vieną kartą per savaitę (pirmąsias 8 gydymo savaites),</w:t>
      </w:r>
    </w:p>
    <w:p w14:paraId="6F06F82C" w14:textId="2BC54A0F"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po to – vieną kartą per mėnesį, kol vartosite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w:t>
      </w:r>
    </w:p>
    <w:p w14:paraId="796B9FB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0DA8FA3" w14:textId="68AAD95D"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Remdamasis šių tyrimų rezultatais, Jūsų gydytojas gali keisti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dozę arba nutraukti gydymą. Gydytojas taip pat gali keisti dozę arba nutraukti vaisto vartojimą dėl bendros Jūsų sveikatos būklės.</w:t>
      </w:r>
    </w:p>
    <w:p w14:paraId="4BC5329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73189B0"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Vaikams ir paaugliams</w:t>
      </w:r>
    </w:p>
    <w:p w14:paraId="727C1ACC" w14:textId="27E39135"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nerekomenduojama vartoti vaikams ir paaugliams iki 18 metų.</w:t>
      </w:r>
    </w:p>
    <w:p w14:paraId="1E1CF99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8A0353A" w14:textId="0A070791"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Kiti vaistai ir </w:t>
      </w:r>
      <w:r w:rsidR="00561534" w:rsidRPr="00A552D9">
        <w:rPr>
          <w:rFonts w:ascii="Times New Roman" w:eastAsia="Times New Roman" w:hAnsi="Times New Roman" w:cs="Times New Roman"/>
          <w:b/>
          <w:bCs/>
          <w:kern w:val="0"/>
          <w:lang w:val="lt-LT"/>
          <w14:ligatures w14:val="none"/>
        </w:rPr>
        <w:t>Pomalidomide Olpha</w:t>
      </w:r>
    </w:p>
    <w:p w14:paraId="1526D953" w14:textId="27204EF8"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vartojate ar neseniai vartojote kitų vaistų arba dėl to nesate tikri, apie tai pasakykite gydytojui, vaistininkui arba slaugytojui. Taip yra dėl to, kad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gali turėti įtakos kai kurių kitų vaistų veikimui. Taip pat kai kurie kiti vaistai gali turėti įtakos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veikimui.</w:t>
      </w:r>
    </w:p>
    <w:p w14:paraId="1F1EA461" w14:textId="77777777" w:rsidR="00F11511" w:rsidRPr="00A552D9" w:rsidRDefault="00F11511"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E6C042C" w14:textId="28546A74"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Prieš pradedant vartoti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ypač svarbu pasakyti gydytojui, vaistininkui arba slaugytojui, jeigu vartojate bet kurį iš šių vaistų:</w:t>
      </w:r>
    </w:p>
    <w:p w14:paraId="60E8B63E"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kai kurių priešgrybelinių vaistų, pvz., ketokonazolą;</w:t>
      </w:r>
    </w:p>
    <w:p w14:paraId="5AA45372"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kai kurių antibiotikų (pvz., ciprofloksaciną, enoksaciną);</w:t>
      </w:r>
    </w:p>
    <w:p w14:paraId="6D221DF8"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tam tikrų antidepresantų, pvz., fluvoksaminą.</w:t>
      </w:r>
    </w:p>
    <w:p w14:paraId="50E49FF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DD99DB8"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Vairavimas ir mechanizmų valdymas</w:t>
      </w:r>
    </w:p>
    <w:p w14:paraId="508497A0" w14:textId="0085456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Kai kurie žmonės vartodami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jaučia nuovargį, svaigulį, alpulį, sumišimą arba budrumo sumažėjimą. Jeigu Jums tai pasireiškia, nevairuokite ir nevaldykite prietaisų ar mechanizmų.</w:t>
      </w:r>
    </w:p>
    <w:p w14:paraId="09B9B1A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F72B7CD" w14:textId="19FDC5BB" w:rsidR="0014704C" w:rsidRPr="00A552D9" w:rsidRDefault="0014704C" w:rsidP="00861275">
      <w:pPr>
        <w:widowControl w:val="0"/>
        <w:autoSpaceDE w:val="0"/>
        <w:autoSpaceDN w:val="0"/>
        <w:spacing w:before="0" w:after="0" w:line="240" w:lineRule="auto"/>
        <w:jc w:val="left"/>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 sudėtyje yra sacharozės</w:t>
      </w:r>
    </w:p>
    <w:p w14:paraId="45BA6587" w14:textId="5606A27D" w:rsidR="0014704C" w:rsidRPr="00A552D9" w:rsidRDefault="00E9238E"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1310F">
        <w:rPr>
          <w:rFonts w:ascii="Times New Roman" w:eastAsia="Times New Roman" w:hAnsi="Times New Roman" w:cs="Times New Roman"/>
          <w:kern w:val="0"/>
          <w:lang w:val="lt-LT"/>
          <w14:ligatures w14:val="none"/>
        </w:rPr>
        <w:t>Jeigu gydytojas Jums yra sakęs, kad netoleruojate kokių nors angliavandenių, kreipkitės į jį prieš pradėdami vartoti šį vaistą.</w:t>
      </w:r>
    </w:p>
    <w:p w14:paraId="7C6F79DC" w14:textId="77777777" w:rsidR="0014704C" w:rsidRPr="00A552D9" w:rsidRDefault="0014704C"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3E186BF" w14:textId="4B23C221" w:rsidR="00861275" w:rsidRPr="00A552D9" w:rsidRDefault="00561534"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sudėtyje yra natrio</w:t>
      </w:r>
    </w:p>
    <w:p w14:paraId="6DFB2BDE" w14:textId="3F0024C9"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Šio vaisto vienoje </w:t>
      </w:r>
      <w:r w:rsidR="0023490E">
        <w:rPr>
          <w:rFonts w:ascii="Times New Roman" w:eastAsia="Times New Roman" w:hAnsi="Times New Roman" w:cs="Times New Roman"/>
          <w:kern w:val="0"/>
          <w:lang w:val="lt-LT"/>
          <w14:ligatures w14:val="none"/>
        </w:rPr>
        <w:t xml:space="preserve">kiekvienoje </w:t>
      </w:r>
      <w:r w:rsidRPr="00A552D9">
        <w:rPr>
          <w:rFonts w:ascii="Times New Roman" w:eastAsia="Times New Roman" w:hAnsi="Times New Roman" w:cs="Times New Roman"/>
          <w:kern w:val="0"/>
          <w:lang w:val="lt-LT"/>
          <w14:ligatures w14:val="none"/>
        </w:rPr>
        <w:t>kapsulėje yra mažiau kaip 1</w:t>
      </w:r>
      <w:r w:rsidR="00E9238E"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mmol (23 mg) natrio, t.y. jis beveik neuri reikšmės.</w:t>
      </w:r>
    </w:p>
    <w:p w14:paraId="57CEE5B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74FD0A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C03BC4F" w14:textId="397B677F"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Kaip vartoti </w:t>
      </w:r>
      <w:r w:rsidR="00561534" w:rsidRPr="00A552D9">
        <w:rPr>
          <w:rFonts w:ascii="Times New Roman" w:eastAsia="Times New Roman" w:hAnsi="Times New Roman" w:cs="Times New Roman"/>
          <w:b/>
          <w:bCs/>
          <w:kern w:val="0"/>
          <w:lang w:val="lt-LT"/>
          <w14:ligatures w14:val="none"/>
        </w:rPr>
        <w:t>Pomalidomide Olpha</w:t>
      </w:r>
    </w:p>
    <w:p w14:paraId="065BD3E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0BDE11E7" w14:textId="44CBBF22"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Jums turi skirti gydytojas, turintis dauginės mielomos gydymo patirties.</w:t>
      </w:r>
    </w:p>
    <w:p w14:paraId="6161867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5712C65" w14:textId="365F6154"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Visada vartokite </w:t>
      </w:r>
      <w:r w:rsidR="009C6F99">
        <w:rPr>
          <w:rFonts w:ascii="Times New Roman" w:eastAsia="Times New Roman" w:hAnsi="Times New Roman" w:cs="Times New Roman"/>
          <w:kern w:val="0"/>
          <w:lang w:val="lt-LT"/>
          <w14:ligatures w14:val="none"/>
        </w:rPr>
        <w:t>š</w:t>
      </w:r>
      <w:r w:rsidR="0013178C">
        <w:rPr>
          <w:rFonts w:ascii="Times New Roman" w:eastAsia="Times New Roman" w:hAnsi="Times New Roman" w:cs="Times New Roman"/>
          <w:kern w:val="0"/>
          <w:lang w:val="lt-LT"/>
          <w14:ligatures w14:val="none"/>
        </w:rPr>
        <w:t>į vaistą</w:t>
      </w:r>
      <w:r w:rsidRPr="00A552D9">
        <w:rPr>
          <w:rFonts w:ascii="Times New Roman" w:eastAsia="Times New Roman" w:hAnsi="Times New Roman" w:cs="Times New Roman"/>
          <w:kern w:val="0"/>
          <w:lang w:val="lt-LT"/>
          <w14:ligatures w14:val="none"/>
        </w:rPr>
        <w:t xml:space="preserve"> tiksliai kaip nurodė gydytojas. Jeigu abejojate, kreipkitės į gydytoją, vaistininką arba slaugytoją.</w:t>
      </w:r>
    </w:p>
    <w:p w14:paraId="11C1075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544718C" w14:textId="0C2D82B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Kada vartoti </w:t>
      </w:r>
      <w:r w:rsidR="00561534" w:rsidRPr="00A552D9">
        <w:rPr>
          <w:rFonts w:ascii="Times New Roman" w:eastAsia="Times New Roman" w:hAnsi="Times New Roman" w:cs="Times New Roman"/>
          <w:b/>
          <w:bCs/>
          <w:kern w:val="0"/>
          <w:lang w:val="lt-LT"/>
          <w14:ligatures w14:val="none"/>
        </w:rPr>
        <w:t>Pomalidomide Olpha</w:t>
      </w:r>
      <w:r w:rsidRPr="00A552D9">
        <w:rPr>
          <w:rFonts w:ascii="Times New Roman" w:eastAsia="Times New Roman" w:hAnsi="Times New Roman" w:cs="Times New Roman"/>
          <w:b/>
          <w:bCs/>
          <w:kern w:val="0"/>
          <w:lang w:val="lt-LT"/>
          <w14:ligatures w14:val="none"/>
        </w:rPr>
        <w:t xml:space="preserve"> kartu su kitais vaistais</w:t>
      </w:r>
    </w:p>
    <w:p w14:paraId="2480C84C" w14:textId="1732F9BA"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vartojimas kartu su bortezomibu ir deksametazonu</w:t>
      </w:r>
    </w:p>
    <w:p w14:paraId="7B90D0FD"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Daugiau informacijos apie bortezomibo ir deksametazono vartojimą ir poveikį pateikta šių vaistų pakuotės lapeliuose.</w:t>
      </w:r>
    </w:p>
    <w:p w14:paraId="7DAE81C0" w14:textId="28104635" w:rsidR="00861275" w:rsidRPr="00A552D9" w:rsidRDefault="00561534"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bortezomibas ir deksametazonas vartojami </w:t>
      </w:r>
      <w:r w:rsidR="00F626E5">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gydymo ciklais</w:t>
      </w:r>
      <w:r w:rsidR="00363696">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Kiekvienas ciklas trunka 21 dieną (3 savaites).</w:t>
      </w:r>
    </w:p>
    <w:p w14:paraId="2AB4AF18" w14:textId="79E1844E"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Toliau pateiktoje </w:t>
      </w:r>
      <w:r w:rsidR="00F626E5">
        <w:rPr>
          <w:rFonts w:ascii="Times New Roman" w:eastAsia="Times New Roman" w:hAnsi="Times New Roman" w:cs="Times New Roman"/>
          <w:kern w:val="0"/>
          <w:lang w:val="lt-LT"/>
          <w14:ligatures w14:val="none"/>
        </w:rPr>
        <w:t>lentelėje</w:t>
      </w:r>
      <w:r w:rsidR="00F626E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matysite, ką vartoti kiekvieną 3 savaičių ciklo dieną:</w:t>
      </w:r>
    </w:p>
    <w:p w14:paraId="70ADE76F" w14:textId="0C39CB84" w:rsidR="00861275" w:rsidRPr="00A552D9" w:rsidRDefault="00861275" w:rsidP="001E4AC5">
      <w:pPr>
        <w:widowControl w:val="0"/>
        <w:numPr>
          <w:ilvl w:val="1"/>
          <w:numId w:val="11"/>
        </w:numPr>
        <w:tabs>
          <w:tab w:val="left" w:pos="1432"/>
          <w:tab w:val="left" w:pos="1433"/>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Kasdien pažiūrėkite į </w:t>
      </w:r>
      <w:r w:rsidR="00F626E5">
        <w:rPr>
          <w:rFonts w:ascii="Times New Roman" w:eastAsia="Times New Roman" w:hAnsi="Times New Roman" w:cs="Times New Roman"/>
          <w:kern w:val="0"/>
          <w:lang w:val="lt-LT"/>
          <w14:ligatures w14:val="none"/>
        </w:rPr>
        <w:t>lentelę</w:t>
      </w:r>
      <w:r w:rsidR="00F626E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ir suraskite tinkamą dieną, kad žinotumėte, kuriuos vaistus reikia vartoti.</w:t>
      </w:r>
    </w:p>
    <w:p w14:paraId="5A94849C" w14:textId="77777777" w:rsidR="00861275" w:rsidRPr="00A552D9" w:rsidRDefault="00861275" w:rsidP="001E4AC5">
      <w:pPr>
        <w:widowControl w:val="0"/>
        <w:numPr>
          <w:ilvl w:val="1"/>
          <w:numId w:val="11"/>
        </w:numPr>
        <w:tabs>
          <w:tab w:val="left" w:pos="1432"/>
          <w:tab w:val="left" w:pos="1433"/>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Kai kuriomis dienomis vartosite visus 3 vaistus, kai kuriomis dienomis tik 2 arba 1 vaistą, o kai kuriomis dienomis nevartosite nė vieno.</w:t>
      </w:r>
    </w:p>
    <w:p w14:paraId="18F21DE2" w14:textId="597C38CC" w:rsidR="00861275" w:rsidRPr="00A552D9" w:rsidRDefault="00861275" w:rsidP="00E9238E">
      <w:pPr>
        <w:widowControl w:val="0"/>
        <w:tabs>
          <w:tab w:val="left" w:pos="1018"/>
          <w:tab w:val="left" w:pos="1019"/>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IMN</w:t>
      </w:r>
      <w:r w:rsidRPr="00A552D9">
        <w:rPr>
          <w:rFonts w:ascii="Times New Roman" w:eastAsia="Times New Roman" w:hAnsi="Times New Roman" w:cs="Times New Roman"/>
          <w:kern w:val="0"/>
          <w:lang w:val="lt-LT"/>
          <w14:ligatures w14:val="none"/>
        </w:rPr>
        <w:t xml:space="preserve">: </w:t>
      </w:r>
      <w:r w:rsidR="00561534" w:rsidRPr="00A552D9">
        <w:rPr>
          <w:rFonts w:ascii="Times New Roman" w:eastAsia="Times New Roman" w:hAnsi="Times New Roman" w:cs="Times New Roman"/>
          <w:kern w:val="0"/>
          <w:lang w:val="lt-LT"/>
          <w14:ligatures w14:val="none"/>
        </w:rPr>
        <w:t>Pomalidomid</w:t>
      </w:r>
      <w:r w:rsidR="00ED4F72" w:rsidRPr="00A552D9">
        <w:rPr>
          <w:rFonts w:ascii="Times New Roman" w:eastAsia="Times New Roman" w:hAnsi="Times New Roman" w:cs="Times New Roman"/>
          <w:kern w:val="0"/>
          <w:lang w:val="lt-LT"/>
          <w14:ligatures w14:val="none"/>
        </w:rPr>
        <w:t>as</w:t>
      </w:r>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b/>
          <w:kern w:val="0"/>
          <w:lang w:val="lt-LT"/>
          <w14:ligatures w14:val="none"/>
        </w:rPr>
        <w:t>BOR</w:t>
      </w:r>
      <w:r w:rsidRPr="00A552D9">
        <w:rPr>
          <w:rFonts w:ascii="Times New Roman" w:eastAsia="Times New Roman" w:hAnsi="Times New Roman" w:cs="Times New Roman"/>
          <w:kern w:val="0"/>
          <w:lang w:val="lt-LT"/>
          <w14:ligatures w14:val="none"/>
        </w:rPr>
        <w:t xml:space="preserve">: </w:t>
      </w:r>
      <w:r w:rsidR="00ED4F72" w:rsidRPr="00A552D9">
        <w:rPr>
          <w:rFonts w:ascii="Times New Roman" w:eastAsia="Times New Roman" w:hAnsi="Times New Roman" w:cs="Times New Roman"/>
          <w:kern w:val="0"/>
          <w:lang w:val="lt-LT"/>
          <w14:ligatures w14:val="none"/>
        </w:rPr>
        <w:t>B</w:t>
      </w:r>
      <w:r w:rsidRPr="00A552D9">
        <w:rPr>
          <w:rFonts w:ascii="Times New Roman" w:eastAsia="Times New Roman" w:hAnsi="Times New Roman" w:cs="Times New Roman"/>
          <w:kern w:val="0"/>
          <w:lang w:val="lt-LT"/>
          <w14:ligatures w14:val="none"/>
        </w:rPr>
        <w:t xml:space="preserve">ortezomibas, </w:t>
      </w:r>
      <w:r w:rsidRPr="00A552D9">
        <w:rPr>
          <w:rFonts w:ascii="Times New Roman" w:eastAsia="Times New Roman" w:hAnsi="Times New Roman" w:cs="Times New Roman"/>
          <w:b/>
          <w:kern w:val="0"/>
          <w:lang w:val="lt-LT"/>
          <w14:ligatures w14:val="none"/>
        </w:rPr>
        <w:t>DEKS</w:t>
      </w:r>
      <w:r w:rsidRPr="00A552D9">
        <w:rPr>
          <w:rFonts w:ascii="Times New Roman" w:eastAsia="Times New Roman" w:hAnsi="Times New Roman" w:cs="Times New Roman"/>
          <w:kern w:val="0"/>
          <w:lang w:val="lt-LT"/>
          <w14:ligatures w14:val="none"/>
        </w:rPr>
        <w:t xml:space="preserve">: </w:t>
      </w:r>
      <w:r w:rsidR="00ED4F72" w:rsidRPr="00A552D9">
        <w:rPr>
          <w:rFonts w:ascii="Times New Roman" w:eastAsia="Times New Roman" w:hAnsi="Times New Roman" w:cs="Times New Roman"/>
          <w:kern w:val="0"/>
          <w:lang w:val="lt-LT"/>
          <w14:ligatures w14:val="none"/>
        </w:rPr>
        <w:t>D</w:t>
      </w:r>
      <w:r w:rsidRPr="00A552D9">
        <w:rPr>
          <w:rFonts w:ascii="Times New Roman" w:eastAsia="Times New Roman" w:hAnsi="Times New Roman" w:cs="Times New Roman"/>
          <w:kern w:val="0"/>
          <w:lang w:val="lt-LT"/>
          <w14:ligatures w14:val="none"/>
        </w:rPr>
        <w:t>eksametazonas</w:t>
      </w:r>
    </w:p>
    <w:tbl>
      <w:tblPr>
        <w:tblStyle w:val="TableGrid"/>
        <w:tblW w:w="0" w:type="auto"/>
        <w:tblLook w:val="04A0" w:firstRow="1" w:lastRow="0" w:firstColumn="1" w:lastColumn="0" w:noHBand="0" w:noVBand="1"/>
      </w:tblPr>
      <w:tblGrid>
        <w:gridCol w:w="4447"/>
        <w:gridCol w:w="4607"/>
      </w:tblGrid>
      <w:tr w:rsidR="00715046" w:rsidRPr="00A552D9" w14:paraId="771BF32E" w14:textId="77777777" w:rsidTr="00715046">
        <w:tc>
          <w:tcPr>
            <w:tcW w:w="4640" w:type="dxa"/>
          </w:tcPr>
          <w:p w14:paraId="6632A8B8" w14:textId="0D541681" w:rsidR="00715046" w:rsidRPr="00A552D9" w:rsidRDefault="00715046" w:rsidP="00715046">
            <w:pPr>
              <w:widowControl w:val="0"/>
              <w:autoSpaceDE w:val="0"/>
              <w:autoSpaceDN w:val="0"/>
              <w:spacing w:before="0" w:after="0"/>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bCs/>
                <w:kern w:val="0"/>
                <w:lang w:val="lt-LT"/>
                <w14:ligatures w14:val="none"/>
              </w:rPr>
              <w:t>Nuo 1 iki 8 ciklo</w:t>
            </w:r>
          </w:p>
        </w:tc>
        <w:tc>
          <w:tcPr>
            <w:tcW w:w="4640" w:type="dxa"/>
          </w:tcPr>
          <w:p w14:paraId="407F84F1" w14:textId="03C335AA" w:rsidR="00715046" w:rsidRPr="00A552D9" w:rsidRDefault="00715046" w:rsidP="00715046">
            <w:pPr>
              <w:widowControl w:val="0"/>
              <w:autoSpaceDE w:val="0"/>
              <w:autoSpaceDN w:val="0"/>
              <w:spacing w:before="0" w:after="0"/>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bCs/>
                <w:kern w:val="0"/>
                <w:lang w:val="lt-LT"/>
                <w14:ligatures w14:val="none"/>
              </w:rPr>
              <w:t>Nuo 9 ciklo</w:t>
            </w:r>
          </w:p>
        </w:tc>
      </w:tr>
      <w:tr w:rsidR="00715046" w:rsidRPr="00A552D9" w14:paraId="04114963" w14:textId="77777777" w:rsidTr="00715046">
        <w:tc>
          <w:tcPr>
            <w:tcW w:w="4640" w:type="dxa"/>
          </w:tcPr>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6"/>
              <w:gridCol w:w="850"/>
              <w:gridCol w:w="1133"/>
              <w:gridCol w:w="990"/>
            </w:tblGrid>
            <w:tr w:rsidR="00443419" w:rsidRPr="00A552D9" w14:paraId="2A46B4A7" w14:textId="77777777" w:rsidTr="005B5BF2">
              <w:trPr>
                <w:trHeight w:val="20"/>
              </w:trPr>
              <w:tc>
                <w:tcPr>
                  <w:tcW w:w="816" w:type="dxa"/>
                  <w:vAlign w:val="center"/>
                </w:tcPr>
                <w:p w14:paraId="6E1E9574" w14:textId="77777777" w:rsidR="00443419" w:rsidRPr="00A552D9" w:rsidRDefault="00443419" w:rsidP="00443419">
                  <w:pPr>
                    <w:pStyle w:val="TableParagraph"/>
                    <w:ind w:left="0"/>
                    <w:jc w:val="center"/>
                  </w:pPr>
                </w:p>
              </w:tc>
              <w:tc>
                <w:tcPr>
                  <w:tcW w:w="2973" w:type="dxa"/>
                  <w:gridSpan w:val="3"/>
                  <w:vAlign w:val="center"/>
                </w:tcPr>
                <w:p w14:paraId="26587329" w14:textId="77777777" w:rsidR="00443419" w:rsidRPr="00A552D9" w:rsidRDefault="00443419" w:rsidP="00443419">
                  <w:pPr>
                    <w:pStyle w:val="TableParagraph"/>
                    <w:spacing w:line="233" w:lineRule="exact"/>
                    <w:ind w:left="632"/>
                    <w:jc w:val="center"/>
                    <w:rPr>
                      <w:b/>
                    </w:rPr>
                  </w:pPr>
                  <w:r w:rsidRPr="00A552D9">
                    <w:rPr>
                      <w:b/>
                    </w:rPr>
                    <w:t>Vaisto</w:t>
                  </w:r>
                  <w:r w:rsidRPr="00A552D9">
                    <w:rPr>
                      <w:b/>
                      <w:spacing w:val="-4"/>
                    </w:rPr>
                    <w:t xml:space="preserve"> </w:t>
                  </w:r>
                  <w:r w:rsidRPr="00A552D9">
                    <w:rPr>
                      <w:b/>
                    </w:rPr>
                    <w:t>pavadinimas</w:t>
                  </w:r>
                </w:p>
              </w:tc>
            </w:tr>
            <w:tr w:rsidR="00443419" w:rsidRPr="00A552D9" w14:paraId="0F11E747" w14:textId="77777777" w:rsidTr="005B5BF2">
              <w:trPr>
                <w:trHeight w:val="20"/>
              </w:trPr>
              <w:tc>
                <w:tcPr>
                  <w:tcW w:w="816" w:type="dxa"/>
                  <w:vAlign w:val="center"/>
                </w:tcPr>
                <w:p w14:paraId="758D2C74" w14:textId="77777777" w:rsidR="00443419" w:rsidRPr="00A552D9" w:rsidRDefault="00443419" w:rsidP="00443419">
                  <w:pPr>
                    <w:pStyle w:val="TableParagraph"/>
                    <w:spacing w:line="252" w:lineRule="exact"/>
                    <w:ind w:right="115"/>
                    <w:jc w:val="center"/>
                    <w:rPr>
                      <w:b/>
                    </w:rPr>
                  </w:pPr>
                  <w:r w:rsidRPr="00A552D9">
                    <w:rPr>
                      <w:b/>
                    </w:rPr>
                    <w:t>Diena</w:t>
                  </w:r>
                </w:p>
              </w:tc>
              <w:tc>
                <w:tcPr>
                  <w:tcW w:w="850" w:type="dxa"/>
                  <w:vAlign w:val="center"/>
                </w:tcPr>
                <w:p w14:paraId="43EF4A69" w14:textId="77777777" w:rsidR="00443419" w:rsidRPr="00A552D9" w:rsidRDefault="00443419" w:rsidP="00443419">
                  <w:pPr>
                    <w:pStyle w:val="TableParagraph"/>
                    <w:spacing w:before="1"/>
                    <w:ind w:left="176" w:right="27"/>
                    <w:jc w:val="center"/>
                    <w:rPr>
                      <w:b/>
                    </w:rPr>
                  </w:pPr>
                  <w:r w:rsidRPr="00A552D9">
                    <w:rPr>
                      <w:b/>
                    </w:rPr>
                    <w:t>IMN</w:t>
                  </w:r>
                </w:p>
              </w:tc>
              <w:tc>
                <w:tcPr>
                  <w:tcW w:w="1133" w:type="dxa"/>
                  <w:vAlign w:val="center"/>
                </w:tcPr>
                <w:p w14:paraId="4E068A1E" w14:textId="77777777" w:rsidR="00443419" w:rsidRPr="00A552D9" w:rsidRDefault="00443419" w:rsidP="00443419">
                  <w:pPr>
                    <w:pStyle w:val="TableParagraph"/>
                    <w:spacing w:before="1"/>
                    <w:ind w:left="378" w:right="227"/>
                    <w:jc w:val="center"/>
                    <w:rPr>
                      <w:b/>
                    </w:rPr>
                  </w:pPr>
                  <w:r w:rsidRPr="00A552D9">
                    <w:rPr>
                      <w:b/>
                    </w:rPr>
                    <w:t>BOR</w:t>
                  </w:r>
                </w:p>
              </w:tc>
              <w:tc>
                <w:tcPr>
                  <w:tcW w:w="990" w:type="dxa"/>
                  <w:vAlign w:val="center"/>
                </w:tcPr>
                <w:p w14:paraId="6BED70EB" w14:textId="77777777" w:rsidR="00443419" w:rsidRPr="00A552D9" w:rsidRDefault="00443419" w:rsidP="00443419">
                  <w:pPr>
                    <w:pStyle w:val="TableParagraph"/>
                    <w:spacing w:before="1"/>
                    <w:ind w:left="247" w:right="93"/>
                    <w:jc w:val="center"/>
                    <w:rPr>
                      <w:b/>
                    </w:rPr>
                  </w:pPr>
                  <w:r w:rsidRPr="00A552D9">
                    <w:rPr>
                      <w:b/>
                    </w:rPr>
                    <w:t>DEKS</w:t>
                  </w:r>
                </w:p>
              </w:tc>
            </w:tr>
            <w:tr w:rsidR="008C53CA" w:rsidRPr="00A552D9" w14:paraId="14F117D7" w14:textId="77777777" w:rsidTr="005B5BF2">
              <w:trPr>
                <w:trHeight w:val="20"/>
              </w:trPr>
              <w:tc>
                <w:tcPr>
                  <w:tcW w:w="816" w:type="dxa"/>
                  <w:vAlign w:val="center"/>
                </w:tcPr>
                <w:p w14:paraId="3CE244AB" w14:textId="77777777" w:rsidR="008C53CA" w:rsidRPr="00A552D9" w:rsidRDefault="008C53CA" w:rsidP="008C53CA">
                  <w:pPr>
                    <w:pStyle w:val="TableParagraph"/>
                    <w:spacing w:before="1" w:line="233" w:lineRule="exact"/>
                    <w:ind w:left="148"/>
                    <w:jc w:val="center"/>
                  </w:pPr>
                  <w:r w:rsidRPr="00A552D9">
                    <w:rPr>
                      <w:w w:val="99"/>
                    </w:rPr>
                    <w:t>1</w:t>
                  </w:r>
                </w:p>
              </w:tc>
              <w:tc>
                <w:tcPr>
                  <w:tcW w:w="850" w:type="dxa"/>
                  <w:vAlign w:val="center"/>
                </w:tcPr>
                <w:p w14:paraId="4F711E99" w14:textId="30C82417" w:rsidR="008C53CA" w:rsidRPr="00A552D9" w:rsidRDefault="008C53CA" w:rsidP="008C53CA">
                  <w:pPr>
                    <w:pStyle w:val="TableParagraph"/>
                    <w:spacing w:before="1"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tcPr>
                <w:p w14:paraId="41AFC28D" w14:textId="6DC444DD" w:rsidR="008C53CA" w:rsidRPr="00A552D9" w:rsidRDefault="008C53CA" w:rsidP="008C53CA">
                  <w:pPr>
                    <w:pStyle w:val="TableParagraph"/>
                    <w:spacing w:before="1" w:line="233" w:lineRule="exact"/>
                    <w:ind w:left="151"/>
                    <w:jc w:val="center"/>
                  </w:pPr>
                  <m:oMathPara>
                    <m:oMath>
                      <m:r>
                        <w:rPr>
                          <w:rFonts w:ascii="Cambria Math" w:eastAsia="TimesNewRoman" w:hAnsi="Cambria Math"/>
                        </w:rPr>
                        <m:t>√</m:t>
                      </m:r>
                    </m:oMath>
                  </m:oMathPara>
                </w:p>
              </w:tc>
              <w:tc>
                <w:tcPr>
                  <w:tcW w:w="990" w:type="dxa"/>
                </w:tcPr>
                <w:p w14:paraId="0EC77571" w14:textId="21ED1667" w:rsidR="008C53CA" w:rsidRPr="00A552D9" w:rsidRDefault="008C53CA" w:rsidP="008C53CA">
                  <w:pPr>
                    <w:pStyle w:val="TableParagraph"/>
                    <w:spacing w:before="1"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274A1EC0" w14:textId="77777777" w:rsidTr="005B5BF2">
              <w:trPr>
                <w:trHeight w:val="20"/>
              </w:trPr>
              <w:tc>
                <w:tcPr>
                  <w:tcW w:w="816" w:type="dxa"/>
                  <w:vAlign w:val="center"/>
                </w:tcPr>
                <w:p w14:paraId="002C57E5" w14:textId="77777777" w:rsidR="008C53CA" w:rsidRPr="00A552D9" w:rsidRDefault="008C53CA" w:rsidP="008C53CA">
                  <w:pPr>
                    <w:pStyle w:val="TableParagraph"/>
                    <w:spacing w:line="233" w:lineRule="exact"/>
                    <w:ind w:left="148"/>
                    <w:jc w:val="center"/>
                  </w:pPr>
                  <w:r w:rsidRPr="00A552D9">
                    <w:rPr>
                      <w:w w:val="99"/>
                    </w:rPr>
                    <w:t>2</w:t>
                  </w:r>
                </w:p>
              </w:tc>
              <w:tc>
                <w:tcPr>
                  <w:tcW w:w="850" w:type="dxa"/>
                </w:tcPr>
                <w:p w14:paraId="403495ED" w14:textId="3BD5CF87"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3C68859B" w14:textId="77777777" w:rsidR="008C53CA" w:rsidRPr="00A552D9" w:rsidRDefault="008C53CA" w:rsidP="008C53CA">
                  <w:pPr>
                    <w:pStyle w:val="TableParagraph"/>
                    <w:ind w:left="0"/>
                    <w:jc w:val="center"/>
                  </w:pPr>
                </w:p>
              </w:tc>
              <w:tc>
                <w:tcPr>
                  <w:tcW w:w="990" w:type="dxa"/>
                  <w:vAlign w:val="center"/>
                </w:tcPr>
                <w:p w14:paraId="10DA71BD" w14:textId="1D741D6A"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5DB1E2E7" w14:textId="77777777" w:rsidTr="005B5BF2">
              <w:trPr>
                <w:trHeight w:val="20"/>
              </w:trPr>
              <w:tc>
                <w:tcPr>
                  <w:tcW w:w="816" w:type="dxa"/>
                  <w:vAlign w:val="center"/>
                </w:tcPr>
                <w:p w14:paraId="618A8357" w14:textId="77777777" w:rsidR="008C53CA" w:rsidRPr="00A552D9" w:rsidRDefault="008C53CA" w:rsidP="008C53CA">
                  <w:pPr>
                    <w:pStyle w:val="TableParagraph"/>
                    <w:spacing w:line="233" w:lineRule="exact"/>
                    <w:ind w:left="148"/>
                    <w:jc w:val="center"/>
                  </w:pPr>
                  <w:r w:rsidRPr="00A552D9">
                    <w:rPr>
                      <w:w w:val="99"/>
                    </w:rPr>
                    <w:t>3</w:t>
                  </w:r>
                </w:p>
              </w:tc>
              <w:tc>
                <w:tcPr>
                  <w:tcW w:w="850" w:type="dxa"/>
                </w:tcPr>
                <w:p w14:paraId="19DD8769" w14:textId="2392E9A6"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62A082B6" w14:textId="77777777" w:rsidR="008C53CA" w:rsidRPr="00A552D9" w:rsidRDefault="008C53CA" w:rsidP="008C53CA">
                  <w:pPr>
                    <w:pStyle w:val="TableParagraph"/>
                    <w:ind w:left="0"/>
                    <w:jc w:val="center"/>
                  </w:pPr>
                </w:p>
              </w:tc>
              <w:tc>
                <w:tcPr>
                  <w:tcW w:w="990" w:type="dxa"/>
                  <w:vAlign w:val="center"/>
                </w:tcPr>
                <w:p w14:paraId="42C36977" w14:textId="77777777" w:rsidR="008C53CA" w:rsidRPr="00A552D9" w:rsidRDefault="008C53CA" w:rsidP="008C53CA">
                  <w:pPr>
                    <w:pStyle w:val="TableParagraph"/>
                    <w:ind w:left="0"/>
                    <w:jc w:val="center"/>
                  </w:pPr>
                </w:p>
              </w:tc>
            </w:tr>
            <w:tr w:rsidR="008C53CA" w:rsidRPr="00A552D9" w14:paraId="680E4124" w14:textId="77777777" w:rsidTr="005B5BF2">
              <w:trPr>
                <w:trHeight w:val="20"/>
              </w:trPr>
              <w:tc>
                <w:tcPr>
                  <w:tcW w:w="816" w:type="dxa"/>
                  <w:vAlign w:val="center"/>
                </w:tcPr>
                <w:p w14:paraId="0C5AAE9C" w14:textId="77777777" w:rsidR="008C53CA" w:rsidRPr="00A552D9" w:rsidRDefault="008C53CA" w:rsidP="008C53CA">
                  <w:pPr>
                    <w:pStyle w:val="TableParagraph"/>
                    <w:spacing w:line="233" w:lineRule="exact"/>
                    <w:ind w:left="148"/>
                    <w:jc w:val="center"/>
                  </w:pPr>
                  <w:r w:rsidRPr="00A552D9">
                    <w:rPr>
                      <w:w w:val="99"/>
                    </w:rPr>
                    <w:t>4</w:t>
                  </w:r>
                </w:p>
              </w:tc>
              <w:tc>
                <w:tcPr>
                  <w:tcW w:w="850" w:type="dxa"/>
                </w:tcPr>
                <w:p w14:paraId="0DE93F5C" w14:textId="48F82BB2"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tcPr>
                <w:p w14:paraId="48307819" w14:textId="017F4E20" w:rsidR="008C53CA" w:rsidRPr="00A552D9" w:rsidRDefault="008C53CA" w:rsidP="008C53CA">
                  <w:pPr>
                    <w:pStyle w:val="TableParagraph"/>
                    <w:spacing w:line="233" w:lineRule="exact"/>
                    <w:ind w:left="151"/>
                    <w:jc w:val="center"/>
                  </w:pPr>
                  <m:oMathPara>
                    <m:oMath>
                      <m:r>
                        <w:rPr>
                          <w:rFonts w:ascii="Cambria Math" w:eastAsia="TimesNewRoman" w:hAnsi="Cambria Math"/>
                        </w:rPr>
                        <m:t>√</m:t>
                      </m:r>
                    </m:oMath>
                  </m:oMathPara>
                </w:p>
              </w:tc>
              <w:tc>
                <w:tcPr>
                  <w:tcW w:w="990" w:type="dxa"/>
                </w:tcPr>
                <w:p w14:paraId="067C4275" w14:textId="66290899"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31473370" w14:textId="77777777" w:rsidTr="005B5BF2">
              <w:trPr>
                <w:trHeight w:val="20"/>
              </w:trPr>
              <w:tc>
                <w:tcPr>
                  <w:tcW w:w="816" w:type="dxa"/>
                  <w:vAlign w:val="center"/>
                </w:tcPr>
                <w:p w14:paraId="05E5FC97" w14:textId="77777777" w:rsidR="008C53CA" w:rsidRPr="00A552D9" w:rsidRDefault="008C53CA" w:rsidP="008C53CA">
                  <w:pPr>
                    <w:pStyle w:val="TableParagraph"/>
                    <w:spacing w:line="233" w:lineRule="exact"/>
                    <w:ind w:left="148"/>
                    <w:jc w:val="center"/>
                  </w:pPr>
                  <w:r w:rsidRPr="00A552D9">
                    <w:rPr>
                      <w:w w:val="99"/>
                    </w:rPr>
                    <w:t>5</w:t>
                  </w:r>
                </w:p>
              </w:tc>
              <w:tc>
                <w:tcPr>
                  <w:tcW w:w="850" w:type="dxa"/>
                </w:tcPr>
                <w:p w14:paraId="6317DFA8" w14:textId="6F0F6AFD"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25EC0FB7" w14:textId="77777777" w:rsidR="008C53CA" w:rsidRPr="00A552D9" w:rsidRDefault="008C53CA" w:rsidP="008C53CA">
                  <w:pPr>
                    <w:pStyle w:val="TableParagraph"/>
                    <w:ind w:left="0"/>
                    <w:jc w:val="center"/>
                  </w:pPr>
                </w:p>
              </w:tc>
              <w:tc>
                <w:tcPr>
                  <w:tcW w:w="990" w:type="dxa"/>
                  <w:vAlign w:val="center"/>
                </w:tcPr>
                <w:p w14:paraId="6C23B798" w14:textId="3B456C4A"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59405512" w14:textId="77777777" w:rsidTr="005B5BF2">
              <w:trPr>
                <w:trHeight w:val="20"/>
              </w:trPr>
              <w:tc>
                <w:tcPr>
                  <w:tcW w:w="816" w:type="dxa"/>
                  <w:vAlign w:val="center"/>
                </w:tcPr>
                <w:p w14:paraId="138D14D9" w14:textId="77777777" w:rsidR="008C53CA" w:rsidRPr="00A552D9" w:rsidRDefault="008C53CA" w:rsidP="008C53CA">
                  <w:pPr>
                    <w:pStyle w:val="TableParagraph"/>
                    <w:spacing w:line="233" w:lineRule="exact"/>
                    <w:ind w:left="148"/>
                    <w:jc w:val="center"/>
                  </w:pPr>
                  <w:r w:rsidRPr="00A552D9">
                    <w:rPr>
                      <w:w w:val="99"/>
                    </w:rPr>
                    <w:t>6</w:t>
                  </w:r>
                </w:p>
              </w:tc>
              <w:tc>
                <w:tcPr>
                  <w:tcW w:w="850" w:type="dxa"/>
                </w:tcPr>
                <w:p w14:paraId="26659569" w14:textId="333002BC"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2221A90D" w14:textId="77777777" w:rsidR="008C53CA" w:rsidRPr="00A552D9" w:rsidRDefault="008C53CA" w:rsidP="008C53CA">
                  <w:pPr>
                    <w:pStyle w:val="TableParagraph"/>
                    <w:ind w:left="0"/>
                    <w:jc w:val="center"/>
                  </w:pPr>
                </w:p>
              </w:tc>
              <w:tc>
                <w:tcPr>
                  <w:tcW w:w="990" w:type="dxa"/>
                  <w:vAlign w:val="center"/>
                </w:tcPr>
                <w:p w14:paraId="005F0B47" w14:textId="77777777" w:rsidR="008C53CA" w:rsidRPr="00A552D9" w:rsidRDefault="008C53CA" w:rsidP="008C53CA">
                  <w:pPr>
                    <w:pStyle w:val="TableParagraph"/>
                    <w:ind w:left="0"/>
                    <w:jc w:val="center"/>
                  </w:pPr>
                </w:p>
              </w:tc>
            </w:tr>
            <w:tr w:rsidR="008C53CA" w:rsidRPr="00A552D9" w14:paraId="58047763" w14:textId="77777777" w:rsidTr="005B5BF2">
              <w:trPr>
                <w:trHeight w:val="20"/>
              </w:trPr>
              <w:tc>
                <w:tcPr>
                  <w:tcW w:w="816" w:type="dxa"/>
                  <w:vAlign w:val="center"/>
                </w:tcPr>
                <w:p w14:paraId="140C68D0" w14:textId="77777777" w:rsidR="008C53CA" w:rsidRPr="00A552D9" w:rsidRDefault="008C53CA" w:rsidP="008C53CA">
                  <w:pPr>
                    <w:pStyle w:val="TableParagraph"/>
                    <w:spacing w:line="233" w:lineRule="exact"/>
                    <w:ind w:left="148"/>
                    <w:jc w:val="center"/>
                  </w:pPr>
                  <w:r w:rsidRPr="00A552D9">
                    <w:rPr>
                      <w:w w:val="99"/>
                    </w:rPr>
                    <w:t>7</w:t>
                  </w:r>
                </w:p>
              </w:tc>
              <w:tc>
                <w:tcPr>
                  <w:tcW w:w="850" w:type="dxa"/>
                </w:tcPr>
                <w:p w14:paraId="3B1DAA30" w14:textId="2EE67D73"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7C16B6DF" w14:textId="77777777" w:rsidR="008C53CA" w:rsidRPr="00A552D9" w:rsidRDefault="008C53CA" w:rsidP="008C53CA">
                  <w:pPr>
                    <w:pStyle w:val="TableParagraph"/>
                    <w:ind w:left="0"/>
                    <w:jc w:val="center"/>
                  </w:pPr>
                </w:p>
              </w:tc>
              <w:tc>
                <w:tcPr>
                  <w:tcW w:w="990" w:type="dxa"/>
                  <w:vAlign w:val="center"/>
                </w:tcPr>
                <w:p w14:paraId="0E727523" w14:textId="77777777" w:rsidR="008C53CA" w:rsidRPr="00A552D9" w:rsidRDefault="008C53CA" w:rsidP="008C53CA">
                  <w:pPr>
                    <w:pStyle w:val="TableParagraph"/>
                    <w:ind w:left="0"/>
                    <w:jc w:val="center"/>
                  </w:pPr>
                </w:p>
              </w:tc>
            </w:tr>
            <w:tr w:rsidR="008C53CA" w:rsidRPr="00A552D9" w14:paraId="30BF3834" w14:textId="77777777" w:rsidTr="005B5BF2">
              <w:trPr>
                <w:trHeight w:val="20"/>
              </w:trPr>
              <w:tc>
                <w:tcPr>
                  <w:tcW w:w="816" w:type="dxa"/>
                  <w:vAlign w:val="center"/>
                </w:tcPr>
                <w:p w14:paraId="3E64E93B" w14:textId="77777777" w:rsidR="008C53CA" w:rsidRPr="00A552D9" w:rsidRDefault="008C53CA" w:rsidP="008C53CA">
                  <w:pPr>
                    <w:pStyle w:val="TableParagraph"/>
                    <w:spacing w:before="1" w:line="233" w:lineRule="exact"/>
                    <w:ind w:left="148"/>
                    <w:jc w:val="center"/>
                  </w:pPr>
                  <w:r w:rsidRPr="00A552D9">
                    <w:rPr>
                      <w:w w:val="99"/>
                    </w:rPr>
                    <w:t>8</w:t>
                  </w:r>
                </w:p>
              </w:tc>
              <w:tc>
                <w:tcPr>
                  <w:tcW w:w="850" w:type="dxa"/>
                </w:tcPr>
                <w:p w14:paraId="40545539" w14:textId="2B82AFCE" w:rsidR="008C53CA" w:rsidRPr="00A552D9" w:rsidRDefault="008C53CA" w:rsidP="008C53CA">
                  <w:pPr>
                    <w:pStyle w:val="TableParagraph"/>
                    <w:spacing w:before="1"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7E564EE9" w14:textId="7A3195B0" w:rsidR="008C53CA" w:rsidRPr="00A552D9" w:rsidRDefault="008C53CA" w:rsidP="008C53CA">
                  <w:pPr>
                    <w:pStyle w:val="TableParagraph"/>
                    <w:spacing w:before="1" w:line="233" w:lineRule="exact"/>
                    <w:ind w:left="151"/>
                    <w:jc w:val="center"/>
                  </w:pPr>
                  <m:oMathPara>
                    <m:oMath>
                      <m:r>
                        <w:rPr>
                          <w:rFonts w:ascii="Cambria Math" w:eastAsia="TimesNewRoman" w:hAnsi="Cambria Math"/>
                        </w:rPr>
                        <m:t>√</m:t>
                      </m:r>
                    </m:oMath>
                  </m:oMathPara>
                </w:p>
              </w:tc>
              <w:tc>
                <w:tcPr>
                  <w:tcW w:w="990" w:type="dxa"/>
                </w:tcPr>
                <w:p w14:paraId="501E2D5D" w14:textId="1BF42687" w:rsidR="008C53CA" w:rsidRPr="00A552D9" w:rsidRDefault="008C53CA" w:rsidP="008C53CA">
                  <w:pPr>
                    <w:pStyle w:val="TableParagraph"/>
                    <w:spacing w:before="1"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7787C82E" w14:textId="77777777" w:rsidTr="005B5BF2">
              <w:trPr>
                <w:trHeight w:val="20"/>
              </w:trPr>
              <w:tc>
                <w:tcPr>
                  <w:tcW w:w="816" w:type="dxa"/>
                  <w:vAlign w:val="center"/>
                </w:tcPr>
                <w:p w14:paraId="32DC008D" w14:textId="77777777" w:rsidR="008C53CA" w:rsidRPr="00A552D9" w:rsidRDefault="008C53CA" w:rsidP="008C53CA">
                  <w:pPr>
                    <w:pStyle w:val="TableParagraph"/>
                    <w:spacing w:line="233" w:lineRule="exact"/>
                    <w:ind w:left="148"/>
                    <w:jc w:val="center"/>
                  </w:pPr>
                  <w:r w:rsidRPr="00A552D9">
                    <w:rPr>
                      <w:w w:val="99"/>
                    </w:rPr>
                    <w:t>9</w:t>
                  </w:r>
                </w:p>
              </w:tc>
              <w:tc>
                <w:tcPr>
                  <w:tcW w:w="850" w:type="dxa"/>
                </w:tcPr>
                <w:p w14:paraId="3D0DFD03" w14:textId="2C9A23DC"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5CB0231F" w14:textId="77777777" w:rsidR="008C53CA" w:rsidRPr="00A552D9" w:rsidRDefault="008C53CA" w:rsidP="008C53CA">
                  <w:pPr>
                    <w:pStyle w:val="TableParagraph"/>
                    <w:ind w:left="0"/>
                    <w:jc w:val="center"/>
                  </w:pPr>
                </w:p>
              </w:tc>
              <w:tc>
                <w:tcPr>
                  <w:tcW w:w="990" w:type="dxa"/>
                </w:tcPr>
                <w:p w14:paraId="6C403D97" w14:textId="69B7631E"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62387F2B" w14:textId="77777777" w:rsidTr="005B5BF2">
              <w:trPr>
                <w:trHeight w:val="20"/>
              </w:trPr>
              <w:tc>
                <w:tcPr>
                  <w:tcW w:w="816" w:type="dxa"/>
                  <w:vAlign w:val="center"/>
                </w:tcPr>
                <w:p w14:paraId="2F179681" w14:textId="77777777" w:rsidR="008C53CA" w:rsidRPr="00A552D9" w:rsidRDefault="008C53CA" w:rsidP="008C53CA">
                  <w:pPr>
                    <w:pStyle w:val="TableParagraph"/>
                    <w:spacing w:line="233" w:lineRule="exact"/>
                    <w:ind w:left="348" w:right="197"/>
                    <w:jc w:val="center"/>
                  </w:pPr>
                  <w:r w:rsidRPr="00A552D9">
                    <w:t>10</w:t>
                  </w:r>
                </w:p>
              </w:tc>
              <w:tc>
                <w:tcPr>
                  <w:tcW w:w="850" w:type="dxa"/>
                </w:tcPr>
                <w:p w14:paraId="36F5AE34" w14:textId="3164840B"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0A28C47B" w14:textId="77777777" w:rsidR="008C53CA" w:rsidRPr="00A552D9" w:rsidRDefault="008C53CA" w:rsidP="008C53CA">
                  <w:pPr>
                    <w:pStyle w:val="TableParagraph"/>
                    <w:ind w:left="0"/>
                    <w:jc w:val="center"/>
                  </w:pPr>
                </w:p>
              </w:tc>
              <w:tc>
                <w:tcPr>
                  <w:tcW w:w="990" w:type="dxa"/>
                  <w:vAlign w:val="center"/>
                </w:tcPr>
                <w:p w14:paraId="59065004" w14:textId="77777777" w:rsidR="008C53CA" w:rsidRPr="00A552D9" w:rsidRDefault="008C53CA" w:rsidP="008C53CA">
                  <w:pPr>
                    <w:pStyle w:val="TableParagraph"/>
                    <w:ind w:left="0"/>
                    <w:jc w:val="center"/>
                  </w:pPr>
                </w:p>
              </w:tc>
            </w:tr>
            <w:tr w:rsidR="008C53CA" w:rsidRPr="00A552D9" w14:paraId="061A3596" w14:textId="77777777" w:rsidTr="005B5BF2">
              <w:trPr>
                <w:trHeight w:val="20"/>
              </w:trPr>
              <w:tc>
                <w:tcPr>
                  <w:tcW w:w="816" w:type="dxa"/>
                  <w:vAlign w:val="center"/>
                </w:tcPr>
                <w:p w14:paraId="2C738D08" w14:textId="77777777" w:rsidR="008C53CA" w:rsidRPr="00A552D9" w:rsidRDefault="008C53CA" w:rsidP="008C53CA">
                  <w:pPr>
                    <w:pStyle w:val="TableParagraph"/>
                    <w:spacing w:line="233" w:lineRule="exact"/>
                    <w:ind w:left="348" w:right="197"/>
                    <w:jc w:val="center"/>
                  </w:pPr>
                  <w:r w:rsidRPr="00A552D9">
                    <w:t>11</w:t>
                  </w:r>
                </w:p>
              </w:tc>
              <w:tc>
                <w:tcPr>
                  <w:tcW w:w="850" w:type="dxa"/>
                </w:tcPr>
                <w:p w14:paraId="67F641C6" w14:textId="106B41C1"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6D4628E9" w14:textId="6F86E09D" w:rsidR="008C53CA" w:rsidRPr="00A552D9" w:rsidRDefault="008C53CA" w:rsidP="008C53CA">
                  <w:pPr>
                    <w:pStyle w:val="TableParagraph"/>
                    <w:spacing w:line="233" w:lineRule="exact"/>
                    <w:ind w:left="151"/>
                    <w:jc w:val="center"/>
                  </w:pPr>
                  <m:oMathPara>
                    <m:oMath>
                      <m:r>
                        <w:rPr>
                          <w:rFonts w:ascii="Cambria Math" w:eastAsia="TimesNewRoman" w:hAnsi="Cambria Math"/>
                        </w:rPr>
                        <m:t>√</m:t>
                      </m:r>
                    </m:oMath>
                  </m:oMathPara>
                </w:p>
              </w:tc>
              <w:tc>
                <w:tcPr>
                  <w:tcW w:w="990" w:type="dxa"/>
                </w:tcPr>
                <w:p w14:paraId="379C66A2" w14:textId="7FE457D6"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6FF13642" w14:textId="77777777" w:rsidTr="005B5BF2">
              <w:trPr>
                <w:trHeight w:val="20"/>
              </w:trPr>
              <w:tc>
                <w:tcPr>
                  <w:tcW w:w="816" w:type="dxa"/>
                  <w:vAlign w:val="center"/>
                </w:tcPr>
                <w:p w14:paraId="36868213" w14:textId="77777777" w:rsidR="008C53CA" w:rsidRPr="00A552D9" w:rsidRDefault="008C53CA" w:rsidP="008C53CA">
                  <w:pPr>
                    <w:pStyle w:val="TableParagraph"/>
                    <w:spacing w:line="233" w:lineRule="exact"/>
                    <w:ind w:left="348" w:right="197"/>
                    <w:jc w:val="center"/>
                  </w:pPr>
                  <w:r w:rsidRPr="00A552D9">
                    <w:t>12</w:t>
                  </w:r>
                </w:p>
              </w:tc>
              <w:tc>
                <w:tcPr>
                  <w:tcW w:w="850" w:type="dxa"/>
                </w:tcPr>
                <w:p w14:paraId="6138F0C9" w14:textId="37DE8C3D"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607A3FB6" w14:textId="77777777" w:rsidR="008C53CA" w:rsidRPr="00A552D9" w:rsidRDefault="008C53CA" w:rsidP="008C53CA">
                  <w:pPr>
                    <w:pStyle w:val="TableParagraph"/>
                    <w:ind w:left="0"/>
                    <w:jc w:val="center"/>
                  </w:pPr>
                </w:p>
              </w:tc>
              <w:tc>
                <w:tcPr>
                  <w:tcW w:w="990" w:type="dxa"/>
                </w:tcPr>
                <w:p w14:paraId="4CEB0A26" w14:textId="133D6A38"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118AC135" w14:textId="77777777" w:rsidTr="005B5BF2">
              <w:trPr>
                <w:trHeight w:val="20"/>
              </w:trPr>
              <w:tc>
                <w:tcPr>
                  <w:tcW w:w="816" w:type="dxa"/>
                  <w:vAlign w:val="center"/>
                </w:tcPr>
                <w:p w14:paraId="13BB75BE" w14:textId="77777777" w:rsidR="008C53CA" w:rsidRPr="00A552D9" w:rsidRDefault="008C53CA" w:rsidP="008C53CA">
                  <w:pPr>
                    <w:pStyle w:val="TableParagraph"/>
                    <w:spacing w:line="233" w:lineRule="exact"/>
                    <w:ind w:left="348" w:right="197"/>
                    <w:jc w:val="center"/>
                  </w:pPr>
                  <w:r w:rsidRPr="00A552D9">
                    <w:t>13</w:t>
                  </w:r>
                </w:p>
              </w:tc>
              <w:tc>
                <w:tcPr>
                  <w:tcW w:w="850" w:type="dxa"/>
                </w:tcPr>
                <w:p w14:paraId="19A0C5EE" w14:textId="513E2D0E"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47D5EF03" w14:textId="77777777" w:rsidR="008C53CA" w:rsidRPr="00A552D9" w:rsidRDefault="008C53CA" w:rsidP="008C53CA">
                  <w:pPr>
                    <w:pStyle w:val="TableParagraph"/>
                    <w:ind w:left="0"/>
                    <w:jc w:val="center"/>
                  </w:pPr>
                </w:p>
              </w:tc>
              <w:tc>
                <w:tcPr>
                  <w:tcW w:w="990" w:type="dxa"/>
                  <w:vAlign w:val="center"/>
                </w:tcPr>
                <w:p w14:paraId="753F1EBA" w14:textId="77777777" w:rsidR="008C53CA" w:rsidRPr="00A552D9" w:rsidRDefault="008C53CA" w:rsidP="008C53CA">
                  <w:pPr>
                    <w:pStyle w:val="TableParagraph"/>
                    <w:ind w:left="0"/>
                    <w:jc w:val="center"/>
                  </w:pPr>
                </w:p>
              </w:tc>
            </w:tr>
            <w:tr w:rsidR="008C53CA" w:rsidRPr="00A552D9" w14:paraId="038A32C2" w14:textId="77777777" w:rsidTr="005B5BF2">
              <w:trPr>
                <w:trHeight w:val="20"/>
              </w:trPr>
              <w:tc>
                <w:tcPr>
                  <w:tcW w:w="816" w:type="dxa"/>
                  <w:vAlign w:val="center"/>
                </w:tcPr>
                <w:p w14:paraId="1322B6A5" w14:textId="77777777" w:rsidR="008C53CA" w:rsidRPr="00A552D9" w:rsidRDefault="008C53CA" w:rsidP="008C53CA">
                  <w:pPr>
                    <w:pStyle w:val="TableParagraph"/>
                    <w:spacing w:before="1" w:line="233" w:lineRule="exact"/>
                    <w:ind w:left="348" w:right="197"/>
                    <w:jc w:val="center"/>
                  </w:pPr>
                  <w:r w:rsidRPr="00A552D9">
                    <w:t>14</w:t>
                  </w:r>
                </w:p>
              </w:tc>
              <w:tc>
                <w:tcPr>
                  <w:tcW w:w="850" w:type="dxa"/>
                </w:tcPr>
                <w:p w14:paraId="35C587BF" w14:textId="6DB0FC74" w:rsidR="008C53CA" w:rsidRPr="00A552D9" w:rsidRDefault="008C53CA" w:rsidP="008C53CA">
                  <w:pPr>
                    <w:pStyle w:val="TableParagraph"/>
                    <w:spacing w:before="1"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75F57FE0" w14:textId="77777777" w:rsidR="008C53CA" w:rsidRPr="00A552D9" w:rsidRDefault="008C53CA" w:rsidP="008C53CA">
                  <w:pPr>
                    <w:pStyle w:val="TableParagraph"/>
                    <w:ind w:left="0"/>
                    <w:jc w:val="center"/>
                  </w:pPr>
                </w:p>
              </w:tc>
              <w:tc>
                <w:tcPr>
                  <w:tcW w:w="990" w:type="dxa"/>
                  <w:vAlign w:val="center"/>
                </w:tcPr>
                <w:p w14:paraId="6637BE3E" w14:textId="77777777" w:rsidR="008C53CA" w:rsidRPr="00A552D9" w:rsidRDefault="008C53CA" w:rsidP="008C53CA">
                  <w:pPr>
                    <w:pStyle w:val="TableParagraph"/>
                    <w:ind w:left="0"/>
                    <w:jc w:val="center"/>
                  </w:pPr>
                </w:p>
              </w:tc>
            </w:tr>
            <w:tr w:rsidR="00443419" w:rsidRPr="00A552D9" w14:paraId="3054BEA0" w14:textId="77777777" w:rsidTr="005B5BF2">
              <w:trPr>
                <w:trHeight w:val="20"/>
              </w:trPr>
              <w:tc>
                <w:tcPr>
                  <w:tcW w:w="816" w:type="dxa"/>
                  <w:vAlign w:val="center"/>
                </w:tcPr>
                <w:p w14:paraId="67C9F4F8" w14:textId="77777777" w:rsidR="00443419" w:rsidRPr="00A552D9" w:rsidRDefault="00443419" w:rsidP="00443419">
                  <w:pPr>
                    <w:pStyle w:val="TableParagraph"/>
                    <w:spacing w:line="233" w:lineRule="exact"/>
                    <w:ind w:left="348" w:right="197"/>
                    <w:jc w:val="center"/>
                  </w:pPr>
                  <w:r w:rsidRPr="00A552D9">
                    <w:t>15</w:t>
                  </w:r>
                </w:p>
              </w:tc>
              <w:tc>
                <w:tcPr>
                  <w:tcW w:w="850" w:type="dxa"/>
                  <w:vAlign w:val="center"/>
                </w:tcPr>
                <w:p w14:paraId="49C7CCA6" w14:textId="77777777" w:rsidR="00443419" w:rsidRPr="00A552D9" w:rsidRDefault="00443419" w:rsidP="00443419">
                  <w:pPr>
                    <w:pStyle w:val="TableParagraph"/>
                    <w:ind w:left="0"/>
                    <w:jc w:val="center"/>
                  </w:pPr>
                </w:p>
              </w:tc>
              <w:tc>
                <w:tcPr>
                  <w:tcW w:w="1133" w:type="dxa"/>
                  <w:vAlign w:val="center"/>
                </w:tcPr>
                <w:p w14:paraId="1102CE21" w14:textId="77777777" w:rsidR="00443419" w:rsidRPr="00A552D9" w:rsidRDefault="00443419" w:rsidP="00443419">
                  <w:pPr>
                    <w:pStyle w:val="TableParagraph"/>
                    <w:ind w:left="0"/>
                    <w:jc w:val="center"/>
                  </w:pPr>
                </w:p>
              </w:tc>
              <w:tc>
                <w:tcPr>
                  <w:tcW w:w="990" w:type="dxa"/>
                  <w:vAlign w:val="center"/>
                </w:tcPr>
                <w:p w14:paraId="33AA88F4" w14:textId="77777777" w:rsidR="00443419" w:rsidRPr="00A552D9" w:rsidRDefault="00443419" w:rsidP="00443419">
                  <w:pPr>
                    <w:pStyle w:val="TableParagraph"/>
                    <w:ind w:left="0"/>
                    <w:jc w:val="center"/>
                  </w:pPr>
                </w:p>
              </w:tc>
            </w:tr>
            <w:tr w:rsidR="00443419" w:rsidRPr="00A552D9" w14:paraId="3F33E2AB" w14:textId="77777777" w:rsidTr="005B5BF2">
              <w:trPr>
                <w:trHeight w:val="20"/>
              </w:trPr>
              <w:tc>
                <w:tcPr>
                  <w:tcW w:w="816" w:type="dxa"/>
                  <w:vAlign w:val="center"/>
                </w:tcPr>
                <w:p w14:paraId="3E21CCA1" w14:textId="77777777" w:rsidR="00443419" w:rsidRPr="00A552D9" w:rsidRDefault="00443419" w:rsidP="00443419">
                  <w:pPr>
                    <w:pStyle w:val="TableParagraph"/>
                    <w:spacing w:line="233" w:lineRule="exact"/>
                    <w:ind w:left="348" w:right="197"/>
                    <w:jc w:val="center"/>
                  </w:pPr>
                  <w:r w:rsidRPr="00A552D9">
                    <w:t>16</w:t>
                  </w:r>
                </w:p>
              </w:tc>
              <w:tc>
                <w:tcPr>
                  <w:tcW w:w="850" w:type="dxa"/>
                  <w:vAlign w:val="center"/>
                </w:tcPr>
                <w:p w14:paraId="31B4016C" w14:textId="77777777" w:rsidR="00443419" w:rsidRPr="00A552D9" w:rsidRDefault="00443419" w:rsidP="00443419">
                  <w:pPr>
                    <w:pStyle w:val="TableParagraph"/>
                    <w:ind w:left="0"/>
                    <w:jc w:val="center"/>
                  </w:pPr>
                </w:p>
              </w:tc>
              <w:tc>
                <w:tcPr>
                  <w:tcW w:w="1133" w:type="dxa"/>
                  <w:vAlign w:val="center"/>
                </w:tcPr>
                <w:p w14:paraId="61A76A45" w14:textId="77777777" w:rsidR="00443419" w:rsidRPr="00A552D9" w:rsidRDefault="00443419" w:rsidP="00443419">
                  <w:pPr>
                    <w:pStyle w:val="TableParagraph"/>
                    <w:ind w:left="0"/>
                    <w:jc w:val="center"/>
                  </w:pPr>
                </w:p>
              </w:tc>
              <w:tc>
                <w:tcPr>
                  <w:tcW w:w="990" w:type="dxa"/>
                  <w:vAlign w:val="center"/>
                </w:tcPr>
                <w:p w14:paraId="6EA4B154" w14:textId="77777777" w:rsidR="00443419" w:rsidRPr="00A552D9" w:rsidRDefault="00443419" w:rsidP="00443419">
                  <w:pPr>
                    <w:pStyle w:val="TableParagraph"/>
                    <w:ind w:left="0"/>
                    <w:jc w:val="center"/>
                  </w:pPr>
                </w:p>
              </w:tc>
            </w:tr>
            <w:tr w:rsidR="00443419" w:rsidRPr="00A552D9" w14:paraId="0BBA1508" w14:textId="77777777" w:rsidTr="005B5BF2">
              <w:trPr>
                <w:trHeight w:val="20"/>
              </w:trPr>
              <w:tc>
                <w:tcPr>
                  <w:tcW w:w="816" w:type="dxa"/>
                  <w:vAlign w:val="center"/>
                </w:tcPr>
                <w:p w14:paraId="448B9D67" w14:textId="77777777" w:rsidR="00443419" w:rsidRPr="00A552D9" w:rsidRDefault="00443419" w:rsidP="00443419">
                  <w:pPr>
                    <w:pStyle w:val="TableParagraph"/>
                    <w:spacing w:line="233" w:lineRule="exact"/>
                    <w:ind w:left="348" w:right="197"/>
                    <w:jc w:val="center"/>
                  </w:pPr>
                  <w:r w:rsidRPr="00A552D9">
                    <w:t>17</w:t>
                  </w:r>
                </w:p>
              </w:tc>
              <w:tc>
                <w:tcPr>
                  <w:tcW w:w="850" w:type="dxa"/>
                  <w:vAlign w:val="center"/>
                </w:tcPr>
                <w:p w14:paraId="3B2245BF" w14:textId="77777777" w:rsidR="00443419" w:rsidRPr="00A552D9" w:rsidRDefault="00443419" w:rsidP="00443419">
                  <w:pPr>
                    <w:pStyle w:val="TableParagraph"/>
                    <w:ind w:left="0"/>
                    <w:jc w:val="center"/>
                  </w:pPr>
                </w:p>
              </w:tc>
              <w:tc>
                <w:tcPr>
                  <w:tcW w:w="1133" w:type="dxa"/>
                  <w:vAlign w:val="center"/>
                </w:tcPr>
                <w:p w14:paraId="2CDA753F" w14:textId="77777777" w:rsidR="00443419" w:rsidRPr="00A552D9" w:rsidRDefault="00443419" w:rsidP="00443419">
                  <w:pPr>
                    <w:pStyle w:val="TableParagraph"/>
                    <w:ind w:left="0"/>
                    <w:jc w:val="center"/>
                  </w:pPr>
                </w:p>
              </w:tc>
              <w:tc>
                <w:tcPr>
                  <w:tcW w:w="990" w:type="dxa"/>
                  <w:vAlign w:val="center"/>
                </w:tcPr>
                <w:p w14:paraId="53D0C8F4" w14:textId="77777777" w:rsidR="00443419" w:rsidRPr="00A552D9" w:rsidRDefault="00443419" w:rsidP="00443419">
                  <w:pPr>
                    <w:pStyle w:val="TableParagraph"/>
                    <w:ind w:left="0"/>
                    <w:jc w:val="center"/>
                  </w:pPr>
                </w:p>
              </w:tc>
            </w:tr>
            <w:tr w:rsidR="00443419" w:rsidRPr="00A552D9" w14:paraId="34A6B196" w14:textId="77777777" w:rsidTr="005B5BF2">
              <w:trPr>
                <w:trHeight w:val="20"/>
              </w:trPr>
              <w:tc>
                <w:tcPr>
                  <w:tcW w:w="816" w:type="dxa"/>
                  <w:vAlign w:val="center"/>
                </w:tcPr>
                <w:p w14:paraId="7CC585F4" w14:textId="77777777" w:rsidR="00443419" w:rsidRPr="00A552D9" w:rsidRDefault="00443419" w:rsidP="00443419">
                  <w:pPr>
                    <w:pStyle w:val="TableParagraph"/>
                    <w:spacing w:line="233" w:lineRule="exact"/>
                    <w:ind w:left="348" w:right="197"/>
                    <w:jc w:val="center"/>
                  </w:pPr>
                  <w:r w:rsidRPr="00A552D9">
                    <w:t>18</w:t>
                  </w:r>
                </w:p>
              </w:tc>
              <w:tc>
                <w:tcPr>
                  <w:tcW w:w="850" w:type="dxa"/>
                  <w:vAlign w:val="center"/>
                </w:tcPr>
                <w:p w14:paraId="40B0EEBB" w14:textId="77777777" w:rsidR="00443419" w:rsidRPr="00A552D9" w:rsidRDefault="00443419" w:rsidP="00443419">
                  <w:pPr>
                    <w:pStyle w:val="TableParagraph"/>
                    <w:ind w:left="0"/>
                    <w:jc w:val="center"/>
                  </w:pPr>
                </w:p>
              </w:tc>
              <w:tc>
                <w:tcPr>
                  <w:tcW w:w="1133" w:type="dxa"/>
                  <w:vAlign w:val="center"/>
                </w:tcPr>
                <w:p w14:paraId="5EC356F8" w14:textId="77777777" w:rsidR="00443419" w:rsidRPr="00A552D9" w:rsidRDefault="00443419" w:rsidP="00443419">
                  <w:pPr>
                    <w:pStyle w:val="TableParagraph"/>
                    <w:ind w:left="0"/>
                    <w:jc w:val="center"/>
                  </w:pPr>
                </w:p>
              </w:tc>
              <w:tc>
                <w:tcPr>
                  <w:tcW w:w="990" w:type="dxa"/>
                  <w:vAlign w:val="center"/>
                </w:tcPr>
                <w:p w14:paraId="06EC5C89" w14:textId="77777777" w:rsidR="00443419" w:rsidRPr="00A552D9" w:rsidRDefault="00443419" w:rsidP="00443419">
                  <w:pPr>
                    <w:pStyle w:val="TableParagraph"/>
                    <w:ind w:left="0"/>
                    <w:jc w:val="center"/>
                  </w:pPr>
                </w:p>
              </w:tc>
            </w:tr>
            <w:tr w:rsidR="00443419" w:rsidRPr="00A552D9" w14:paraId="1FAF8950" w14:textId="77777777" w:rsidTr="005B5BF2">
              <w:trPr>
                <w:trHeight w:val="20"/>
              </w:trPr>
              <w:tc>
                <w:tcPr>
                  <w:tcW w:w="816" w:type="dxa"/>
                  <w:vAlign w:val="center"/>
                </w:tcPr>
                <w:p w14:paraId="79F79BB5" w14:textId="77777777" w:rsidR="00443419" w:rsidRPr="00A552D9" w:rsidRDefault="00443419" w:rsidP="00443419">
                  <w:pPr>
                    <w:pStyle w:val="TableParagraph"/>
                    <w:spacing w:line="233" w:lineRule="exact"/>
                    <w:ind w:left="348" w:right="197"/>
                    <w:jc w:val="center"/>
                  </w:pPr>
                  <w:r w:rsidRPr="00A552D9">
                    <w:t>19</w:t>
                  </w:r>
                </w:p>
              </w:tc>
              <w:tc>
                <w:tcPr>
                  <w:tcW w:w="850" w:type="dxa"/>
                  <w:vAlign w:val="center"/>
                </w:tcPr>
                <w:p w14:paraId="2B1D7540" w14:textId="77777777" w:rsidR="00443419" w:rsidRPr="00A552D9" w:rsidRDefault="00443419" w:rsidP="00443419">
                  <w:pPr>
                    <w:pStyle w:val="TableParagraph"/>
                    <w:ind w:left="0"/>
                    <w:jc w:val="center"/>
                  </w:pPr>
                </w:p>
              </w:tc>
              <w:tc>
                <w:tcPr>
                  <w:tcW w:w="1133" w:type="dxa"/>
                  <w:vAlign w:val="center"/>
                </w:tcPr>
                <w:p w14:paraId="2427F3E4" w14:textId="77777777" w:rsidR="00443419" w:rsidRPr="00A552D9" w:rsidRDefault="00443419" w:rsidP="00443419">
                  <w:pPr>
                    <w:pStyle w:val="TableParagraph"/>
                    <w:ind w:left="0"/>
                    <w:jc w:val="center"/>
                  </w:pPr>
                </w:p>
              </w:tc>
              <w:tc>
                <w:tcPr>
                  <w:tcW w:w="990" w:type="dxa"/>
                  <w:vAlign w:val="center"/>
                </w:tcPr>
                <w:p w14:paraId="2BC42AED" w14:textId="77777777" w:rsidR="00443419" w:rsidRPr="00A552D9" w:rsidRDefault="00443419" w:rsidP="00443419">
                  <w:pPr>
                    <w:pStyle w:val="TableParagraph"/>
                    <w:ind w:left="0"/>
                    <w:jc w:val="center"/>
                  </w:pPr>
                </w:p>
              </w:tc>
            </w:tr>
            <w:tr w:rsidR="00443419" w:rsidRPr="00A552D9" w14:paraId="68E45872" w14:textId="77777777" w:rsidTr="005B5BF2">
              <w:trPr>
                <w:trHeight w:val="20"/>
              </w:trPr>
              <w:tc>
                <w:tcPr>
                  <w:tcW w:w="816" w:type="dxa"/>
                  <w:vAlign w:val="center"/>
                </w:tcPr>
                <w:p w14:paraId="2C3372EB" w14:textId="77777777" w:rsidR="00443419" w:rsidRPr="00A552D9" w:rsidRDefault="00443419" w:rsidP="00443419">
                  <w:pPr>
                    <w:pStyle w:val="TableParagraph"/>
                    <w:spacing w:line="233" w:lineRule="exact"/>
                    <w:ind w:left="348" w:right="197"/>
                    <w:jc w:val="center"/>
                  </w:pPr>
                  <w:r w:rsidRPr="00A552D9">
                    <w:t>20</w:t>
                  </w:r>
                </w:p>
              </w:tc>
              <w:tc>
                <w:tcPr>
                  <w:tcW w:w="850" w:type="dxa"/>
                  <w:vAlign w:val="center"/>
                </w:tcPr>
                <w:p w14:paraId="4CCC6555" w14:textId="77777777" w:rsidR="00443419" w:rsidRPr="00A552D9" w:rsidRDefault="00443419" w:rsidP="00443419">
                  <w:pPr>
                    <w:pStyle w:val="TableParagraph"/>
                    <w:ind w:left="0"/>
                    <w:jc w:val="center"/>
                  </w:pPr>
                </w:p>
              </w:tc>
              <w:tc>
                <w:tcPr>
                  <w:tcW w:w="1133" w:type="dxa"/>
                  <w:vAlign w:val="center"/>
                </w:tcPr>
                <w:p w14:paraId="58583E0D" w14:textId="77777777" w:rsidR="00443419" w:rsidRPr="00A552D9" w:rsidRDefault="00443419" w:rsidP="00443419">
                  <w:pPr>
                    <w:pStyle w:val="TableParagraph"/>
                    <w:ind w:left="0"/>
                    <w:jc w:val="center"/>
                  </w:pPr>
                </w:p>
              </w:tc>
              <w:tc>
                <w:tcPr>
                  <w:tcW w:w="990" w:type="dxa"/>
                  <w:vAlign w:val="center"/>
                </w:tcPr>
                <w:p w14:paraId="4C516033" w14:textId="77777777" w:rsidR="00443419" w:rsidRPr="00A552D9" w:rsidRDefault="00443419" w:rsidP="00443419">
                  <w:pPr>
                    <w:pStyle w:val="TableParagraph"/>
                    <w:ind w:left="0"/>
                    <w:jc w:val="center"/>
                  </w:pPr>
                </w:p>
              </w:tc>
            </w:tr>
            <w:tr w:rsidR="00443419" w:rsidRPr="00A552D9" w14:paraId="5869BFF5" w14:textId="77777777" w:rsidTr="005B5BF2">
              <w:trPr>
                <w:trHeight w:val="20"/>
              </w:trPr>
              <w:tc>
                <w:tcPr>
                  <w:tcW w:w="816" w:type="dxa"/>
                  <w:vAlign w:val="center"/>
                </w:tcPr>
                <w:p w14:paraId="1B21F80A" w14:textId="77777777" w:rsidR="00443419" w:rsidRPr="00A552D9" w:rsidRDefault="00443419" w:rsidP="00443419">
                  <w:pPr>
                    <w:pStyle w:val="TableParagraph"/>
                    <w:spacing w:before="1" w:line="233" w:lineRule="exact"/>
                    <w:ind w:left="348" w:right="197"/>
                    <w:jc w:val="center"/>
                  </w:pPr>
                  <w:r w:rsidRPr="00A552D9">
                    <w:t>21</w:t>
                  </w:r>
                </w:p>
              </w:tc>
              <w:tc>
                <w:tcPr>
                  <w:tcW w:w="850" w:type="dxa"/>
                  <w:vAlign w:val="center"/>
                </w:tcPr>
                <w:p w14:paraId="01355D52" w14:textId="77777777" w:rsidR="00443419" w:rsidRPr="00A552D9" w:rsidRDefault="00443419" w:rsidP="00443419">
                  <w:pPr>
                    <w:pStyle w:val="TableParagraph"/>
                    <w:ind w:left="0"/>
                    <w:jc w:val="center"/>
                  </w:pPr>
                </w:p>
              </w:tc>
              <w:tc>
                <w:tcPr>
                  <w:tcW w:w="1133" w:type="dxa"/>
                  <w:vAlign w:val="center"/>
                </w:tcPr>
                <w:p w14:paraId="7749C36A" w14:textId="77777777" w:rsidR="00443419" w:rsidRPr="00A552D9" w:rsidRDefault="00443419" w:rsidP="00443419">
                  <w:pPr>
                    <w:pStyle w:val="TableParagraph"/>
                    <w:ind w:left="0"/>
                    <w:jc w:val="center"/>
                  </w:pPr>
                </w:p>
              </w:tc>
              <w:tc>
                <w:tcPr>
                  <w:tcW w:w="990" w:type="dxa"/>
                  <w:vAlign w:val="center"/>
                </w:tcPr>
                <w:p w14:paraId="63DAB54A" w14:textId="77777777" w:rsidR="00443419" w:rsidRPr="00A552D9" w:rsidRDefault="00443419" w:rsidP="00443419">
                  <w:pPr>
                    <w:pStyle w:val="TableParagraph"/>
                    <w:ind w:left="0"/>
                    <w:jc w:val="center"/>
                  </w:pPr>
                </w:p>
              </w:tc>
            </w:tr>
          </w:tbl>
          <w:p w14:paraId="064D1F8E" w14:textId="77777777" w:rsidR="00715046" w:rsidRPr="00A552D9" w:rsidRDefault="00715046" w:rsidP="00861275">
            <w:pPr>
              <w:widowControl w:val="0"/>
              <w:autoSpaceDE w:val="0"/>
              <w:autoSpaceDN w:val="0"/>
              <w:spacing w:before="0" w:after="0"/>
              <w:jc w:val="left"/>
              <w:rPr>
                <w:rFonts w:ascii="Times New Roman" w:eastAsia="Times New Roman" w:hAnsi="Times New Roman" w:cs="Times New Roman"/>
                <w:kern w:val="0"/>
                <w:lang w:val="lt-LT"/>
                <w14:ligatures w14:val="none"/>
              </w:rPr>
            </w:pPr>
          </w:p>
        </w:tc>
        <w:tc>
          <w:tcPr>
            <w:tcW w:w="4640" w:type="dxa"/>
          </w:tcPr>
          <w:tbl>
            <w:tblPr>
              <w:tblW w:w="396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50"/>
              <w:gridCol w:w="993"/>
              <w:gridCol w:w="838"/>
              <w:gridCol w:w="1288"/>
            </w:tblGrid>
            <w:tr w:rsidR="00146F34" w:rsidRPr="00A552D9" w14:paraId="6987EDB1" w14:textId="77777777" w:rsidTr="005B5BF2">
              <w:trPr>
                <w:trHeight w:val="20"/>
              </w:trPr>
              <w:tc>
                <w:tcPr>
                  <w:tcW w:w="850" w:type="dxa"/>
                  <w:vAlign w:val="center"/>
                </w:tcPr>
                <w:p w14:paraId="09B39E58" w14:textId="77777777" w:rsidR="00146F34" w:rsidRPr="00A552D9" w:rsidRDefault="00146F34" w:rsidP="00146F34">
                  <w:pPr>
                    <w:pStyle w:val="TableParagraph"/>
                    <w:ind w:left="0"/>
                    <w:jc w:val="center"/>
                  </w:pPr>
                </w:p>
              </w:tc>
              <w:tc>
                <w:tcPr>
                  <w:tcW w:w="3119" w:type="dxa"/>
                  <w:gridSpan w:val="3"/>
                  <w:vAlign w:val="center"/>
                </w:tcPr>
                <w:p w14:paraId="4ACE5B0D" w14:textId="77777777" w:rsidR="00146F34" w:rsidRPr="00A552D9" w:rsidRDefault="00146F34" w:rsidP="00146F34">
                  <w:pPr>
                    <w:pStyle w:val="TableParagraph"/>
                    <w:spacing w:line="233" w:lineRule="exact"/>
                    <w:ind w:left="774"/>
                    <w:jc w:val="center"/>
                    <w:rPr>
                      <w:b/>
                    </w:rPr>
                  </w:pPr>
                  <w:r w:rsidRPr="00A552D9">
                    <w:rPr>
                      <w:b/>
                    </w:rPr>
                    <w:t>Vaisto</w:t>
                  </w:r>
                  <w:r w:rsidRPr="00A552D9">
                    <w:rPr>
                      <w:b/>
                      <w:spacing w:val="-4"/>
                    </w:rPr>
                    <w:t xml:space="preserve"> </w:t>
                  </w:r>
                  <w:r w:rsidRPr="00A552D9">
                    <w:rPr>
                      <w:b/>
                    </w:rPr>
                    <w:t>pavadinimas</w:t>
                  </w:r>
                </w:p>
              </w:tc>
            </w:tr>
            <w:tr w:rsidR="00146F34" w:rsidRPr="00A552D9" w14:paraId="11EB38AE" w14:textId="77777777" w:rsidTr="005B5BF2">
              <w:trPr>
                <w:trHeight w:val="20"/>
              </w:trPr>
              <w:tc>
                <w:tcPr>
                  <w:tcW w:w="850" w:type="dxa"/>
                  <w:vAlign w:val="center"/>
                </w:tcPr>
                <w:p w14:paraId="1EB695B1" w14:textId="77777777" w:rsidR="00146F34" w:rsidRPr="00A552D9" w:rsidRDefault="00146F34" w:rsidP="00146F34">
                  <w:pPr>
                    <w:pStyle w:val="TableParagraph"/>
                    <w:spacing w:before="1"/>
                    <w:ind w:left="0" w:right="114"/>
                    <w:jc w:val="center"/>
                    <w:rPr>
                      <w:b/>
                    </w:rPr>
                  </w:pPr>
                  <w:r w:rsidRPr="00A552D9">
                    <w:rPr>
                      <w:b/>
                    </w:rPr>
                    <w:t>Diena</w:t>
                  </w:r>
                </w:p>
              </w:tc>
              <w:tc>
                <w:tcPr>
                  <w:tcW w:w="993" w:type="dxa"/>
                  <w:vAlign w:val="center"/>
                </w:tcPr>
                <w:p w14:paraId="5D995A7A" w14:textId="77777777" w:rsidR="00146F34" w:rsidRPr="00A552D9" w:rsidRDefault="00146F34" w:rsidP="00146F34">
                  <w:pPr>
                    <w:pStyle w:val="TableParagraph"/>
                    <w:spacing w:before="1"/>
                    <w:ind w:left="174" w:right="26"/>
                    <w:jc w:val="center"/>
                    <w:rPr>
                      <w:b/>
                    </w:rPr>
                  </w:pPr>
                  <w:r w:rsidRPr="00A552D9">
                    <w:rPr>
                      <w:b/>
                    </w:rPr>
                    <w:t>IMN</w:t>
                  </w:r>
                </w:p>
              </w:tc>
              <w:tc>
                <w:tcPr>
                  <w:tcW w:w="838" w:type="dxa"/>
                  <w:vAlign w:val="center"/>
                </w:tcPr>
                <w:p w14:paraId="5F30D67B" w14:textId="77777777" w:rsidR="00146F34" w:rsidRPr="00A552D9" w:rsidRDefault="00146F34" w:rsidP="00146F34">
                  <w:pPr>
                    <w:pStyle w:val="TableParagraph"/>
                    <w:spacing w:before="1"/>
                    <w:ind w:left="174" w:right="24"/>
                    <w:jc w:val="center"/>
                    <w:rPr>
                      <w:b/>
                    </w:rPr>
                  </w:pPr>
                  <w:r w:rsidRPr="00A552D9">
                    <w:rPr>
                      <w:b/>
                    </w:rPr>
                    <w:t>BOR</w:t>
                  </w:r>
                </w:p>
              </w:tc>
              <w:tc>
                <w:tcPr>
                  <w:tcW w:w="1288" w:type="dxa"/>
                  <w:vAlign w:val="center"/>
                </w:tcPr>
                <w:p w14:paraId="6FA1168E" w14:textId="77777777" w:rsidR="00146F34" w:rsidRPr="00A552D9" w:rsidRDefault="00146F34" w:rsidP="00146F34">
                  <w:pPr>
                    <w:pStyle w:val="TableParagraph"/>
                    <w:spacing w:before="1"/>
                    <w:ind w:left="387" w:right="225"/>
                    <w:jc w:val="center"/>
                    <w:rPr>
                      <w:b/>
                    </w:rPr>
                  </w:pPr>
                  <w:r w:rsidRPr="00A552D9">
                    <w:rPr>
                      <w:b/>
                    </w:rPr>
                    <w:t>DEKS</w:t>
                  </w:r>
                </w:p>
              </w:tc>
            </w:tr>
            <w:tr w:rsidR="008C53CA" w:rsidRPr="00A552D9" w14:paraId="76D02C62" w14:textId="77777777" w:rsidTr="005B5BF2">
              <w:trPr>
                <w:trHeight w:val="20"/>
              </w:trPr>
              <w:tc>
                <w:tcPr>
                  <w:tcW w:w="850" w:type="dxa"/>
                  <w:vAlign w:val="center"/>
                </w:tcPr>
                <w:p w14:paraId="07EA1EB1" w14:textId="77777777" w:rsidR="008C53CA" w:rsidRPr="00A552D9" w:rsidRDefault="008C53CA" w:rsidP="008C53CA">
                  <w:pPr>
                    <w:pStyle w:val="TableParagraph"/>
                    <w:spacing w:before="1" w:line="233" w:lineRule="exact"/>
                    <w:ind w:left="150"/>
                    <w:jc w:val="center"/>
                  </w:pPr>
                  <w:r w:rsidRPr="00A552D9">
                    <w:rPr>
                      <w:w w:val="99"/>
                    </w:rPr>
                    <w:t>1</w:t>
                  </w:r>
                </w:p>
              </w:tc>
              <w:tc>
                <w:tcPr>
                  <w:tcW w:w="993" w:type="dxa"/>
                </w:tcPr>
                <w:p w14:paraId="3BA8179C" w14:textId="2C14E8DB"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3A9E9510" w14:textId="61250B76" w:rsidR="008C53CA" w:rsidRPr="00A552D9" w:rsidRDefault="008C53CA" w:rsidP="008C53CA">
                  <w:pPr>
                    <w:pStyle w:val="TableParagraph"/>
                    <w:spacing w:before="1" w:line="233" w:lineRule="exact"/>
                    <w:ind w:left="149"/>
                    <w:jc w:val="center"/>
                  </w:pPr>
                  <m:oMathPara>
                    <m:oMath>
                      <m:r>
                        <w:rPr>
                          <w:rFonts w:ascii="Cambria Math" w:eastAsia="TimesNewRoman" w:hAnsi="Cambria Math"/>
                        </w:rPr>
                        <m:t>√</m:t>
                      </m:r>
                    </m:oMath>
                  </m:oMathPara>
                </w:p>
              </w:tc>
              <w:tc>
                <w:tcPr>
                  <w:tcW w:w="1288" w:type="dxa"/>
                </w:tcPr>
                <w:p w14:paraId="70C95509" w14:textId="1E1A6920"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1D24F830" w14:textId="77777777" w:rsidTr="005B5BF2">
              <w:trPr>
                <w:trHeight w:val="20"/>
              </w:trPr>
              <w:tc>
                <w:tcPr>
                  <w:tcW w:w="850" w:type="dxa"/>
                  <w:vAlign w:val="center"/>
                </w:tcPr>
                <w:p w14:paraId="2B439E05" w14:textId="77777777" w:rsidR="008C53CA" w:rsidRPr="00A552D9" w:rsidRDefault="008C53CA" w:rsidP="008C53CA">
                  <w:pPr>
                    <w:pStyle w:val="TableParagraph"/>
                    <w:spacing w:line="233" w:lineRule="exact"/>
                    <w:ind w:left="150"/>
                    <w:jc w:val="center"/>
                  </w:pPr>
                  <w:r w:rsidRPr="00A552D9">
                    <w:rPr>
                      <w:w w:val="99"/>
                    </w:rPr>
                    <w:t>2</w:t>
                  </w:r>
                </w:p>
              </w:tc>
              <w:tc>
                <w:tcPr>
                  <w:tcW w:w="993" w:type="dxa"/>
                </w:tcPr>
                <w:p w14:paraId="5C11E761" w14:textId="62A565CF"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35E64B9B" w14:textId="77777777" w:rsidR="008C53CA" w:rsidRPr="00A552D9" w:rsidRDefault="008C53CA" w:rsidP="008C53CA">
                  <w:pPr>
                    <w:pStyle w:val="TableParagraph"/>
                    <w:ind w:left="0"/>
                    <w:jc w:val="center"/>
                  </w:pPr>
                </w:p>
              </w:tc>
              <w:tc>
                <w:tcPr>
                  <w:tcW w:w="1288" w:type="dxa"/>
                </w:tcPr>
                <w:p w14:paraId="5EEF4B34" w14:textId="078C3150"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68E77695" w14:textId="77777777" w:rsidTr="005B5BF2">
              <w:trPr>
                <w:trHeight w:val="20"/>
              </w:trPr>
              <w:tc>
                <w:tcPr>
                  <w:tcW w:w="850" w:type="dxa"/>
                  <w:vAlign w:val="center"/>
                </w:tcPr>
                <w:p w14:paraId="2E520B4D" w14:textId="77777777" w:rsidR="008C53CA" w:rsidRPr="00A552D9" w:rsidRDefault="008C53CA" w:rsidP="008C53CA">
                  <w:pPr>
                    <w:pStyle w:val="TableParagraph"/>
                    <w:spacing w:line="233" w:lineRule="exact"/>
                    <w:ind w:left="150"/>
                    <w:jc w:val="center"/>
                  </w:pPr>
                  <w:r w:rsidRPr="00A552D9">
                    <w:rPr>
                      <w:w w:val="99"/>
                    </w:rPr>
                    <w:t>3</w:t>
                  </w:r>
                </w:p>
              </w:tc>
              <w:tc>
                <w:tcPr>
                  <w:tcW w:w="993" w:type="dxa"/>
                </w:tcPr>
                <w:p w14:paraId="1C8855DA" w14:textId="67494405"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35524D9C" w14:textId="77777777" w:rsidR="008C53CA" w:rsidRPr="00A552D9" w:rsidRDefault="008C53CA" w:rsidP="008C53CA">
                  <w:pPr>
                    <w:pStyle w:val="TableParagraph"/>
                    <w:ind w:left="0"/>
                    <w:jc w:val="center"/>
                  </w:pPr>
                </w:p>
              </w:tc>
              <w:tc>
                <w:tcPr>
                  <w:tcW w:w="1288" w:type="dxa"/>
                  <w:vAlign w:val="center"/>
                </w:tcPr>
                <w:p w14:paraId="3178231A" w14:textId="77777777" w:rsidR="008C53CA" w:rsidRPr="00A552D9" w:rsidRDefault="008C53CA" w:rsidP="008C53CA">
                  <w:pPr>
                    <w:pStyle w:val="TableParagraph"/>
                    <w:ind w:left="0"/>
                    <w:jc w:val="center"/>
                  </w:pPr>
                </w:p>
              </w:tc>
            </w:tr>
            <w:tr w:rsidR="008C53CA" w:rsidRPr="00A552D9" w14:paraId="06B91E37" w14:textId="77777777" w:rsidTr="005B5BF2">
              <w:trPr>
                <w:trHeight w:val="20"/>
              </w:trPr>
              <w:tc>
                <w:tcPr>
                  <w:tcW w:w="850" w:type="dxa"/>
                  <w:vAlign w:val="center"/>
                </w:tcPr>
                <w:p w14:paraId="12BD1FAD" w14:textId="77777777" w:rsidR="008C53CA" w:rsidRPr="00A552D9" w:rsidRDefault="008C53CA" w:rsidP="008C53CA">
                  <w:pPr>
                    <w:pStyle w:val="TableParagraph"/>
                    <w:spacing w:line="233" w:lineRule="exact"/>
                    <w:ind w:left="150"/>
                    <w:jc w:val="center"/>
                  </w:pPr>
                  <w:r w:rsidRPr="00A552D9">
                    <w:rPr>
                      <w:w w:val="99"/>
                    </w:rPr>
                    <w:t>4</w:t>
                  </w:r>
                </w:p>
              </w:tc>
              <w:tc>
                <w:tcPr>
                  <w:tcW w:w="993" w:type="dxa"/>
                </w:tcPr>
                <w:p w14:paraId="7C74F8C0" w14:textId="60F12768"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2E77D3D7" w14:textId="77777777" w:rsidR="008C53CA" w:rsidRPr="00A552D9" w:rsidRDefault="008C53CA" w:rsidP="008C53CA">
                  <w:pPr>
                    <w:pStyle w:val="TableParagraph"/>
                    <w:ind w:left="0"/>
                    <w:jc w:val="center"/>
                  </w:pPr>
                </w:p>
              </w:tc>
              <w:tc>
                <w:tcPr>
                  <w:tcW w:w="1288" w:type="dxa"/>
                  <w:vAlign w:val="center"/>
                </w:tcPr>
                <w:p w14:paraId="46069CC5" w14:textId="77777777" w:rsidR="008C53CA" w:rsidRPr="00A552D9" w:rsidRDefault="008C53CA" w:rsidP="008C53CA">
                  <w:pPr>
                    <w:pStyle w:val="TableParagraph"/>
                    <w:ind w:left="0"/>
                    <w:jc w:val="center"/>
                  </w:pPr>
                </w:p>
              </w:tc>
            </w:tr>
            <w:tr w:rsidR="008C53CA" w:rsidRPr="00A552D9" w14:paraId="1FFF7DCE" w14:textId="77777777" w:rsidTr="005B5BF2">
              <w:trPr>
                <w:trHeight w:val="20"/>
              </w:trPr>
              <w:tc>
                <w:tcPr>
                  <w:tcW w:w="850" w:type="dxa"/>
                  <w:vAlign w:val="center"/>
                </w:tcPr>
                <w:p w14:paraId="06C8E5FF" w14:textId="77777777" w:rsidR="008C53CA" w:rsidRPr="00A552D9" w:rsidRDefault="008C53CA" w:rsidP="008C53CA">
                  <w:pPr>
                    <w:pStyle w:val="TableParagraph"/>
                    <w:spacing w:line="233" w:lineRule="exact"/>
                    <w:ind w:left="150"/>
                    <w:jc w:val="center"/>
                  </w:pPr>
                  <w:r w:rsidRPr="00A552D9">
                    <w:rPr>
                      <w:w w:val="99"/>
                    </w:rPr>
                    <w:t>5</w:t>
                  </w:r>
                </w:p>
              </w:tc>
              <w:tc>
                <w:tcPr>
                  <w:tcW w:w="993" w:type="dxa"/>
                </w:tcPr>
                <w:p w14:paraId="642C1C16" w14:textId="6FB084E4"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0B3E5788" w14:textId="77777777" w:rsidR="008C53CA" w:rsidRPr="00A552D9" w:rsidRDefault="008C53CA" w:rsidP="008C53CA">
                  <w:pPr>
                    <w:pStyle w:val="TableParagraph"/>
                    <w:ind w:left="0"/>
                    <w:jc w:val="center"/>
                  </w:pPr>
                </w:p>
              </w:tc>
              <w:tc>
                <w:tcPr>
                  <w:tcW w:w="1288" w:type="dxa"/>
                  <w:vAlign w:val="center"/>
                </w:tcPr>
                <w:p w14:paraId="71B0A038" w14:textId="77777777" w:rsidR="008C53CA" w:rsidRPr="00A552D9" w:rsidRDefault="008C53CA" w:rsidP="008C53CA">
                  <w:pPr>
                    <w:pStyle w:val="TableParagraph"/>
                    <w:ind w:left="0"/>
                    <w:jc w:val="center"/>
                  </w:pPr>
                </w:p>
              </w:tc>
            </w:tr>
            <w:tr w:rsidR="008C53CA" w:rsidRPr="00A552D9" w14:paraId="5818AC46" w14:textId="77777777" w:rsidTr="005B5BF2">
              <w:trPr>
                <w:trHeight w:val="20"/>
              </w:trPr>
              <w:tc>
                <w:tcPr>
                  <w:tcW w:w="850" w:type="dxa"/>
                  <w:vAlign w:val="center"/>
                </w:tcPr>
                <w:p w14:paraId="278A0C3F" w14:textId="77777777" w:rsidR="008C53CA" w:rsidRPr="00A552D9" w:rsidRDefault="008C53CA" w:rsidP="008C53CA">
                  <w:pPr>
                    <w:pStyle w:val="TableParagraph"/>
                    <w:spacing w:line="233" w:lineRule="exact"/>
                    <w:ind w:left="150"/>
                    <w:jc w:val="center"/>
                  </w:pPr>
                  <w:r w:rsidRPr="00A552D9">
                    <w:rPr>
                      <w:w w:val="99"/>
                    </w:rPr>
                    <w:t>6</w:t>
                  </w:r>
                </w:p>
              </w:tc>
              <w:tc>
                <w:tcPr>
                  <w:tcW w:w="993" w:type="dxa"/>
                </w:tcPr>
                <w:p w14:paraId="7604A081" w14:textId="79CC712A"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2A8E69FA" w14:textId="77777777" w:rsidR="008C53CA" w:rsidRPr="00A552D9" w:rsidRDefault="008C53CA" w:rsidP="008C53CA">
                  <w:pPr>
                    <w:pStyle w:val="TableParagraph"/>
                    <w:ind w:left="0"/>
                    <w:jc w:val="center"/>
                  </w:pPr>
                </w:p>
              </w:tc>
              <w:tc>
                <w:tcPr>
                  <w:tcW w:w="1288" w:type="dxa"/>
                  <w:vAlign w:val="center"/>
                </w:tcPr>
                <w:p w14:paraId="34847210" w14:textId="77777777" w:rsidR="008C53CA" w:rsidRPr="00A552D9" w:rsidRDefault="008C53CA" w:rsidP="008C53CA">
                  <w:pPr>
                    <w:pStyle w:val="TableParagraph"/>
                    <w:ind w:left="0"/>
                    <w:jc w:val="center"/>
                  </w:pPr>
                </w:p>
              </w:tc>
            </w:tr>
            <w:tr w:rsidR="008C53CA" w:rsidRPr="00A552D9" w14:paraId="2544CE7D" w14:textId="77777777" w:rsidTr="005B5BF2">
              <w:trPr>
                <w:trHeight w:val="20"/>
              </w:trPr>
              <w:tc>
                <w:tcPr>
                  <w:tcW w:w="850" w:type="dxa"/>
                  <w:vAlign w:val="center"/>
                </w:tcPr>
                <w:p w14:paraId="4595D8D0" w14:textId="77777777" w:rsidR="008C53CA" w:rsidRPr="00A552D9" w:rsidRDefault="008C53CA" w:rsidP="008C53CA">
                  <w:pPr>
                    <w:pStyle w:val="TableParagraph"/>
                    <w:spacing w:line="233" w:lineRule="exact"/>
                    <w:ind w:left="150"/>
                    <w:jc w:val="center"/>
                  </w:pPr>
                  <w:r w:rsidRPr="00A552D9">
                    <w:rPr>
                      <w:w w:val="99"/>
                    </w:rPr>
                    <w:t>7</w:t>
                  </w:r>
                </w:p>
              </w:tc>
              <w:tc>
                <w:tcPr>
                  <w:tcW w:w="993" w:type="dxa"/>
                </w:tcPr>
                <w:p w14:paraId="20AB862C" w14:textId="2F510BE3"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6F46FAF5" w14:textId="77777777" w:rsidR="008C53CA" w:rsidRPr="00A552D9" w:rsidRDefault="008C53CA" w:rsidP="008C53CA">
                  <w:pPr>
                    <w:pStyle w:val="TableParagraph"/>
                    <w:ind w:left="0"/>
                    <w:jc w:val="center"/>
                  </w:pPr>
                </w:p>
              </w:tc>
              <w:tc>
                <w:tcPr>
                  <w:tcW w:w="1288" w:type="dxa"/>
                  <w:vAlign w:val="center"/>
                </w:tcPr>
                <w:p w14:paraId="111672F5" w14:textId="77777777" w:rsidR="008C53CA" w:rsidRPr="00A552D9" w:rsidRDefault="008C53CA" w:rsidP="008C53CA">
                  <w:pPr>
                    <w:pStyle w:val="TableParagraph"/>
                    <w:ind w:left="0"/>
                    <w:jc w:val="center"/>
                  </w:pPr>
                </w:p>
              </w:tc>
            </w:tr>
            <w:tr w:rsidR="008C53CA" w:rsidRPr="00A552D9" w14:paraId="70C4165C" w14:textId="77777777" w:rsidTr="005B5BF2">
              <w:trPr>
                <w:trHeight w:val="20"/>
              </w:trPr>
              <w:tc>
                <w:tcPr>
                  <w:tcW w:w="850" w:type="dxa"/>
                  <w:vAlign w:val="center"/>
                </w:tcPr>
                <w:p w14:paraId="5BB24EB3" w14:textId="77777777" w:rsidR="008C53CA" w:rsidRPr="00A552D9" w:rsidRDefault="008C53CA" w:rsidP="008C53CA">
                  <w:pPr>
                    <w:pStyle w:val="TableParagraph"/>
                    <w:spacing w:before="1" w:line="233" w:lineRule="exact"/>
                    <w:ind w:left="150"/>
                    <w:jc w:val="center"/>
                  </w:pPr>
                  <w:r w:rsidRPr="00A552D9">
                    <w:rPr>
                      <w:w w:val="99"/>
                    </w:rPr>
                    <w:t>8</w:t>
                  </w:r>
                </w:p>
              </w:tc>
              <w:tc>
                <w:tcPr>
                  <w:tcW w:w="993" w:type="dxa"/>
                </w:tcPr>
                <w:p w14:paraId="62821931" w14:textId="1F32FDC3"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tcPr>
                <w:p w14:paraId="340D69C8" w14:textId="3F222F98" w:rsidR="008C53CA" w:rsidRPr="00A552D9" w:rsidRDefault="008C53CA" w:rsidP="008C53CA">
                  <w:pPr>
                    <w:pStyle w:val="TableParagraph"/>
                    <w:spacing w:before="1" w:line="233" w:lineRule="exact"/>
                    <w:ind w:left="149"/>
                    <w:jc w:val="center"/>
                  </w:pPr>
                  <m:oMathPara>
                    <m:oMath>
                      <m:r>
                        <w:rPr>
                          <w:rFonts w:ascii="Cambria Math" w:eastAsia="TimesNewRoman" w:hAnsi="Cambria Math"/>
                        </w:rPr>
                        <m:t>√</m:t>
                      </m:r>
                    </m:oMath>
                  </m:oMathPara>
                </w:p>
              </w:tc>
              <w:tc>
                <w:tcPr>
                  <w:tcW w:w="1288" w:type="dxa"/>
                </w:tcPr>
                <w:p w14:paraId="019FF69A" w14:textId="228CDCCF"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50BFF139" w14:textId="77777777" w:rsidTr="005B5BF2">
              <w:trPr>
                <w:trHeight w:val="20"/>
              </w:trPr>
              <w:tc>
                <w:tcPr>
                  <w:tcW w:w="850" w:type="dxa"/>
                  <w:vAlign w:val="center"/>
                </w:tcPr>
                <w:p w14:paraId="2D9AABE7" w14:textId="77777777" w:rsidR="008C53CA" w:rsidRPr="00A552D9" w:rsidRDefault="008C53CA" w:rsidP="008C53CA">
                  <w:pPr>
                    <w:pStyle w:val="TableParagraph"/>
                    <w:spacing w:line="233" w:lineRule="exact"/>
                    <w:ind w:left="150"/>
                    <w:jc w:val="center"/>
                  </w:pPr>
                  <w:r w:rsidRPr="00A552D9">
                    <w:rPr>
                      <w:w w:val="99"/>
                    </w:rPr>
                    <w:t>9</w:t>
                  </w:r>
                </w:p>
              </w:tc>
              <w:tc>
                <w:tcPr>
                  <w:tcW w:w="993" w:type="dxa"/>
                </w:tcPr>
                <w:p w14:paraId="21C19243" w14:textId="1C6C10BA"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1A14E9E9" w14:textId="77777777" w:rsidR="008C53CA" w:rsidRPr="00A552D9" w:rsidRDefault="008C53CA" w:rsidP="008C53CA">
                  <w:pPr>
                    <w:pStyle w:val="TableParagraph"/>
                    <w:ind w:left="0"/>
                    <w:jc w:val="center"/>
                  </w:pPr>
                </w:p>
              </w:tc>
              <w:tc>
                <w:tcPr>
                  <w:tcW w:w="1288" w:type="dxa"/>
                  <w:vAlign w:val="center"/>
                </w:tcPr>
                <w:p w14:paraId="2F5E53C1" w14:textId="241EDE52"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0E373C59" w14:textId="77777777" w:rsidTr="005B5BF2">
              <w:trPr>
                <w:trHeight w:val="20"/>
              </w:trPr>
              <w:tc>
                <w:tcPr>
                  <w:tcW w:w="850" w:type="dxa"/>
                  <w:vAlign w:val="center"/>
                </w:tcPr>
                <w:p w14:paraId="6E95F6F0" w14:textId="77777777" w:rsidR="008C53CA" w:rsidRPr="00A552D9" w:rsidRDefault="008C53CA" w:rsidP="008C53CA">
                  <w:pPr>
                    <w:pStyle w:val="TableParagraph"/>
                    <w:spacing w:line="233" w:lineRule="exact"/>
                    <w:ind w:left="264" w:right="113"/>
                    <w:jc w:val="center"/>
                  </w:pPr>
                  <w:r w:rsidRPr="00A552D9">
                    <w:t>10</w:t>
                  </w:r>
                </w:p>
              </w:tc>
              <w:tc>
                <w:tcPr>
                  <w:tcW w:w="993" w:type="dxa"/>
                </w:tcPr>
                <w:p w14:paraId="0A2F5039" w14:textId="06F34FCA"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54255813" w14:textId="77777777" w:rsidR="008C53CA" w:rsidRPr="00A552D9" w:rsidRDefault="008C53CA" w:rsidP="008C53CA">
                  <w:pPr>
                    <w:pStyle w:val="TableParagraph"/>
                    <w:ind w:left="0"/>
                    <w:jc w:val="center"/>
                  </w:pPr>
                </w:p>
              </w:tc>
              <w:tc>
                <w:tcPr>
                  <w:tcW w:w="1288" w:type="dxa"/>
                  <w:vAlign w:val="center"/>
                </w:tcPr>
                <w:p w14:paraId="37B0A1AD" w14:textId="77777777" w:rsidR="008C53CA" w:rsidRPr="00A552D9" w:rsidRDefault="008C53CA" w:rsidP="008C53CA">
                  <w:pPr>
                    <w:pStyle w:val="TableParagraph"/>
                    <w:ind w:left="0"/>
                    <w:jc w:val="center"/>
                  </w:pPr>
                </w:p>
              </w:tc>
            </w:tr>
            <w:tr w:rsidR="008C53CA" w:rsidRPr="00A552D9" w14:paraId="04FBAC01" w14:textId="77777777" w:rsidTr="005B5BF2">
              <w:trPr>
                <w:trHeight w:val="20"/>
              </w:trPr>
              <w:tc>
                <w:tcPr>
                  <w:tcW w:w="850" w:type="dxa"/>
                  <w:vAlign w:val="center"/>
                </w:tcPr>
                <w:p w14:paraId="7812D548" w14:textId="77777777" w:rsidR="008C53CA" w:rsidRPr="00A552D9" w:rsidRDefault="008C53CA" w:rsidP="008C53CA">
                  <w:pPr>
                    <w:pStyle w:val="TableParagraph"/>
                    <w:spacing w:line="233" w:lineRule="exact"/>
                    <w:ind w:left="264" w:right="113"/>
                    <w:jc w:val="center"/>
                  </w:pPr>
                  <w:r w:rsidRPr="00A552D9">
                    <w:t>11</w:t>
                  </w:r>
                </w:p>
              </w:tc>
              <w:tc>
                <w:tcPr>
                  <w:tcW w:w="993" w:type="dxa"/>
                </w:tcPr>
                <w:p w14:paraId="058D18C8" w14:textId="61327163"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10FC5A3F" w14:textId="77777777" w:rsidR="008C53CA" w:rsidRPr="00A552D9" w:rsidRDefault="008C53CA" w:rsidP="008C53CA">
                  <w:pPr>
                    <w:pStyle w:val="TableParagraph"/>
                    <w:ind w:left="0"/>
                    <w:jc w:val="center"/>
                  </w:pPr>
                </w:p>
              </w:tc>
              <w:tc>
                <w:tcPr>
                  <w:tcW w:w="1288" w:type="dxa"/>
                  <w:vAlign w:val="center"/>
                </w:tcPr>
                <w:p w14:paraId="3C1ECF18" w14:textId="77777777" w:rsidR="008C53CA" w:rsidRPr="00A552D9" w:rsidRDefault="008C53CA" w:rsidP="008C53CA">
                  <w:pPr>
                    <w:pStyle w:val="TableParagraph"/>
                    <w:ind w:left="0"/>
                    <w:jc w:val="center"/>
                  </w:pPr>
                </w:p>
              </w:tc>
            </w:tr>
            <w:tr w:rsidR="008C53CA" w:rsidRPr="00A552D9" w14:paraId="7075B858" w14:textId="77777777" w:rsidTr="005B5BF2">
              <w:trPr>
                <w:trHeight w:val="20"/>
              </w:trPr>
              <w:tc>
                <w:tcPr>
                  <w:tcW w:w="850" w:type="dxa"/>
                  <w:vAlign w:val="center"/>
                </w:tcPr>
                <w:p w14:paraId="46026580" w14:textId="77777777" w:rsidR="008C53CA" w:rsidRPr="00A552D9" w:rsidRDefault="008C53CA" w:rsidP="008C53CA">
                  <w:pPr>
                    <w:pStyle w:val="TableParagraph"/>
                    <w:spacing w:line="233" w:lineRule="exact"/>
                    <w:ind w:left="264" w:right="113"/>
                    <w:jc w:val="center"/>
                  </w:pPr>
                  <w:r w:rsidRPr="00A552D9">
                    <w:t>12</w:t>
                  </w:r>
                </w:p>
              </w:tc>
              <w:tc>
                <w:tcPr>
                  <w:tcW w:w="993" w:type="dxa"/>
                </w:tcPr>
                <w:p w14:paraId="64FCAFBF" w14:textId="6EEB291B"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4CEF20D5" w14:textId="77777777" w:rsidR="008C53CA" w:rsidRPr="00A552D9" w:rsidRDefault="008C53CA" w:rsidP="008C53CA">
                  <w:pPr>
                    <w:pStyle w:val="TableParagraph"/>
                    <w:ind w:left="0"/>
                    <w:jc w:val="center"/>
                  </w:pPr>
                </w:p>
              </w:tc>
              <w:tc>
                <w:tcPr>
                  <w:tcW w:w="1288" w:type="dxa"/>
                  <w:vAlign w:val="center"/>
                </w:tcPr>
                <w:p w14:paraId="0CCB5B2E" w14:textId="77777777" w:rsidR="008C53CA" w:rsidRPr="00A552D9" w:rsidRDefault="008C53CA" w:rsidP="008C53CA">
                  <w:pPr>
                    <w:pStyle w:val="TableParagraph"/>
                    <w:ind w:left="0"/>
                    <w:jc w:val="center"/>
                  </w:pPr>
                </w:p>
              </w:tc>
            </w:tr>
            <w:tr w:rsidR="008C53CA" w:rsidRPr="00A552D9" w14:paraId="68BB9042" w14:textId="77777777" w:rsidTr="005B5BF2">
              <w:trPr>
                <w:trHeight w:val="20"/>
              </w:trPr>
              <w:tc>
                <w:tcPr>
                  <w:tcW w:w="850" w:type="dxa"/>
                  <w:vAlign w:val="center"/>
                </w:tcPr>
                <w:p w14:paraId="6F2DF07E" w14:textId="77777777" w:rsidR="008C53CA" w:rsidRPr="00A552D9" w:rsidRDefault="008C53CA" w:rsidP="008C53CA">
                  <w:pPr>
                    <w:pStyle w:val="TableParagraph"/>
                    <w:spacing w:line="233" w:lineRule="exact"/>
                    <w:ind w:left="264" w:right="113"/>
                    <w:jc w:val="center"/>
                  </w:pPr>
                  <w:r w:rsidRPr="00A552D9">
                    <w:t>13</w:t>
                  </w:r>
                </w:p>
              </w:tc>
              <w:tc>
                <w:tcPr>
                  <w:tcW w:w="993" w:type="dxa"/>
                </w:tcPr>
                <w:p w14:paraId="506FFA99" w14:textId="4236DA1D"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72ED9DEA" w14:textId="77777777" w:rsidR="008C53CA" w:rsidRPr="00A552D9" w:rsidRDefault="008C53CA" w:rsidP="008C53CA">
                  <w:pPr>
                    <w:pStyle w:val="TableParagraph"/>
                    <w:ind w:left="0"/>
                    <w:jc w:val="center"/>
                  </w:pPr>
                </w:p>
              </w:tc>
              <w:tc>
                <w:tcPr>
                  <w:tcW w:w="1288" w:type="dxa"/>
                  <w:vAlign w:val="center"/>
                </w:tcPr>
                <w:p w14:paraId="20D00E26" w14:textId="77777777" w:rsidR="008C53CA" w:rsidRPr="00A552D9" w:rsidRDefault="008C53CA" w:rsidP="008C53CA">
                  <w:pPr>
                    <w:pStyle w:val="TableParagraph"/>
                    <w:ind w:left="0"/>
                    <w:jc w:val="center"/>
                  </w:pPr>
                </w:p>
              </w:tc>
            </w:tr>
            <w:tr w:rsidR="008C53CA" w:rsidRPr="00A552D9" w14:paraId="32886E4D" w14:textId="77777777" w:rsidTr="005B5BF2">
              <w:trPr>
                <w:trHeight w:val="20"/>
              </w:trPr>
              <w:tc>
                <w:tcPr>
                  <w:tcW w:w="850" w:type="dxa"/>
                  <w:vAlign w:val="center"/>
                </w:tcPr>
                <w:p w14:paraId="7E9A269D" w14:textId="77777777" w:rsidR="008C53CA" w:rsidRPr="00A552D9" w:rsidRDefault="008C53CA" w:rsidP="008C53CA">
                  <w:pPr>
                    <w:pStyle w:val="TableParagraph"/>
                    <w:spacing w:before="1" w:line="233" w:lineRule="exact"/>
                    <w:ind w:left="264" w:right="113"/>
                    <w:jc w:val="center"/>
                  </w:pPr>
                  <w:r w:rsidRPr="00A552D9">
                    <w:t>14</w:t>
                  </w:r>
                </w:p>
              </w:tc>
              <w:tc>
                <w:tcPr>
                  <w:tcW w:w="993" w:type="dxa"/>
                </w:tcPr>
                <w:p w14:paraId="7AC851CA" w14:textId="200BA593"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71F69CDA" w14:textId="77777777" w:rsidR="008C53CA" w:rsidRPr="00A552D9" w:rsidRDefault="008C53CA" w:rsidP="008C53CA">
                  <w:pPr>
                    <w:pStyle w:val="TableParagraph"/>
                    <w:ind w:left="0"/>
                    <w:jc w:val="center"/>
                  </w:pPr>
                </w:p>
              </w:tc>
              <w:tc>
                <w:tcPr>
                  <w:tcW w:w="1288" w:type="dxa"/>
                  <w:vAlign w:val="center"/>
                </w:tcPr>
                <w:p w14:paraId="1CEC5BBF" w14:textId="77777777" w:rsidR="008C53CA" w:rsidRPr="00A552D9" w:rsidRDefault="008C53CA" w:rsidP="008C53CA">
                  <w:pPr>
                    <w:pStyle w:val="TableParagraph"/>
                    <w:ind w:left="0"/>
                    <w:jc w:val="center"/>
                  </w:pPr>
                </w:p>
              </w:tc>
            </w:tr>
            <w:tr w:rsidR="00146F34" w:rsidRPr="00A552D9" w14:paraId="61023D12" w14:textId="77777777" w:rsidTr="005B5BF2">
              <w:trPr>
                <w:trHeight w:val="20"/>
              </w:trPr>
              <w:tc>
                <w:tcPr>
                  <w:tcW w:w="850" w:type="dxa"/>
                  <w:vAlign w:val="center"/>
                </w:tcPr>
                <w:p w14:paraId="36FC577D" w14:textId="77777777" w:rsidR="00146F34" w:rsidRPr="00A552D9" w:rsidRDefault="00146F34" w:rsidP="00146F34">
                  <w:pPr>
                    <w:pStyle w:val="TableParagraph"/>
                    <w:spacing w:line="233" w:lineRule="exact"/>
                    <w:ind w:left="264" w:right="113"/>
                    <w:jc w:val="center"/>
                  </w:pPr>
                  <w:r w:rsidRPr="00A552D9">
                    <w:t>15</w:t>
                  </w:r>
                </w:p>
              </w:tc>
              <w:tc>
                <w:tcPr>
                  <w:tcW w:w="993" w:type="dxa"/>
                  <w:vAlign w:val="center"/>
                </w:tcPr>
                <w:p w14:paraId="09B5363F" w14:textId="77777777" w:rsidR="00146F34" w:rsidRPr="00A552D9" w:rsidRDefault="00146F34" w:rsidP="00146F34">
                  <w:pPr>
                    <w:pStyle w:val="TableParagraph"/>
                    <w:ind w:left="0"/>
                    <w:jc w:val="center"/>
                  </w:pPr>
                </w:p>
              </w:tc>
              <w:tc>
                <w:tcPr>
                  <w:tcW w:w="838" w:type="dxa"/>
                  <w:vAlign w:val="center"/>
                </w:tcPr>
                <w:p w14:paraId="07EECE94" w14:textId="77777777" w:rsidR="00146F34" w:rsidRPr="00A552D9" w:rsidRDefault="00146F34" w:rsidP="00146F34">
                  <w:pPr>
                    <w:pStyle w:val="TableParagraph"/>
                    <w:ind w:left="0"/>
                    <w:jc w:val="center"/>
                  </w:pPr>
                </w:p>
              </w:tc>
              <w:tc>
                <w:tcPr>
                  <w:tcW w:w="1288" w:type="dxa"/>
                  <w:vAlign w:val="center"/>
                </w:tcPr>
                <w:p w14:paraId="6F77C660" w14:textId="77777777" w:rsidR="00146F34" w:rsidRPr="00A552D9" w:rsidRDefault="00146F34" w:rsidP="00146F34">
                  <w:pPr>
                    <w:pStyle w:val="TableParagraph"/>
                    <w:ind w:left="0"/>
                    <w:jc w:val="center"/>
                  </w:pPr>
                </w:p>
              </w:tc>
            </w:tr>
            <w:tr w:rsidR="00146F34" w:rsidRPr="00A552D9" w14:paraId="0CFBEC81" w14:textId="77777777" w:rsidTr="005B5BF2">
              <w:trPr>
                <w:trHeight w:val="20"/>
              </w:trPr>
              <w:tc>
                <w:tcPr>
                  <w:tcW w:w="850" w:type="dxa"/>
                  <w:vAlign w:val="center"/>
                </w:tcPr>
                <w:p w14:paraId="2DEDC078" w14:textId="77777777" w:rsidR="00146F34" w:rsidRPr="00A552D9" w:rsidRDefault="00146F34" w:rsidP="00146F34">
                  <w:pPr>
                    <w:pStyle w:val="TableParagraph"/>
                    <w:spacing w:line="233" w:lineRule="exact"/>
                    <w:ind w:left="264" w:right="113"/>
                    <w:jc w:val="center"/>
                  </w:pPr>
                  <w:r w:rsidRPr="00A552D9">
                    <w:t>16</w:t>
                  </w:r>
                </w:p>
              </w:tc>
              <w:tc>
                <w:tcPr>
                  <w:tcW w:w="993" w:type="dxa"/>
                  <w:vAlign w:val="center"/>
                </w:tcPr>
                <w:p w14:paraId="14FD88C6" w14:textId="77777777" w:rsidR="00146F34" w:rsidRPr="00A552D9" w:rsidRDefault="00146F34" w:rsidP="00146F34">
                  <w:pPr>
                    <w:pStyle w:val="TableParagraph"/>
                    <w:ind w:left="0"/>
                    <w:jc w:val="center"/>
                  </w:pPr>
                </w:p>
              </w:tc>
              <w:tc>
                <w:tcPr>
                  <w:tcW w:w="838" w:type="dxa"/>
                  <w:vAlign w:val="center"/>
                </w:tcPr>
                <w:p w14:paraId="5D74CADA" w14:textId="77777777" w:rsidR="00146F34" w:rsidRPr="00A552D9" w:rsidRDefault="00146F34" w:rsidP="00146F34">
                  <w:pPr>
                    <w:pStyle w:val="TableParagraph"/>
                    <w:ind w:left="0"/>
                    <w:jc w:val="center"/>
                  </w:pPr>
                </w:p>
              </w:tc>
              <w:tc>
                <w:tcPr>
                  <w:tcW w:w="1288" w:type="dxa"/>
                  <w:vAlign w:val="center"/>
                </w:tcPr>
                <w:p w14:paraId="6496EC81" w14:textId="77777777" w:rsidR="00146F34" w:rsidRPr="00A552D9" w:rsidRDefault="00146F34" w:rsidP="00146F34">
                  <w:pPr>
                    <w:pStyle w:val="TableParagraph"/>
                    <w:ind w:left="0"/>
                    <w:jc w:val="center"/>
                  </w:pPr>
                </w:p>
              </w:tc>
            </w:tr>
            <w:tr w:rsidR="00146F34" w:rsidRPr="00A552D9" w14:paraId="66DEB366" w14:textId="77777777" w:rsidTr="005B5BF2">
              <w:trPr>
                <w:trHeight w:val="20"/>
              </w:trPr>
              <w:tc>
                <w:tcPr>
                  <w:tcW w:w="850" w:type="dxa"/>
                  <w:vAlign w:val="center"/>
                </w:tcPr>
                <w:p w14:paraId="37ACC9F6" w14:textId="77777777" w:rsidR="00146F34" w:rsidRPr="00A552D9" w:rsidRDefault="00146F34" w:rsidP="00146F34">
                  <w:pPr>
                    <w:pStyle w:val="TableParagraph"/>
                    <w:spacing w:line="233" w:lineRule="exact"/>
                    <w:ind w:left="264" w:right="113"/>
                    <w:jc w:val="center"/>
                  </w:pPr>
                  <w:r w:rsidRPr="00A552D9">
                    <w:t>17</w:t>
                  </w:r>
                </w:p>
              </w:tc>
              <w:tc>
                <w:tcPr>
                  <w:tcW w:w="993" w:type="dxa"/>
                  <w:vAlign w:val="center"/>
                </w:tcPr>
                <w:p w14:paraId="7ACCA593" w14:textId="77777777" w:rsidR="00146F34" w:rsidRPr="00A552D9" w:rsidRDefault="00146F34" w:rsidP="00146F34">
                  <w:pPr>
                    <w:pStyle w:val="TableParagraph"/>
                    <w:ind w:left="0"/>
                    <w:jc w:val="center"/>
                  </w:pPr>
                </w:p>
              </w:tc>
              <w:tc>
                <w:tcPr>
                  <w:tcW w:w="838" w:type="dxa"/>
                  <w:vAlign w:val="center"/>
                </w:tcPr>
                <w:p w14:paraId="17F8F5FC" w14:textId="77777777" w:rsidR="00146F34" w:rsidRPr="00A552D9" w:rsidRDefault="00146F34" w:rsidP="00146F34">
                  <w:pPr>
                    <w:pStyle w:val="TableParagraph"/>
                    <w:ind w:left="0"/>
                    <w:jc w:val="center"/>
                  </w:pPr>
                </w:p>
              </w:tc>
              <w:tc>
                <w:tcPr>
                  <w:tcW w:w="1288" w:type="dxa"/>
                  <w:vAlign w:val="center"/>
                </w:tcPr>
                <w:p w14:paraId="45018882" w14:textId="77777777" w:rsidR="00146F34" w:rsidRPr="00A552D9" w:rsidRDefault="00146F34" w:rsidP="00146F34">
                  <w:pPr>
                    <w:pStyle w:val="TableParagraph"/>
                    <w:ind w:left="0"/>
                    <w:jc w:val="center"/>
                  </w:pPr>
                </w:p>
              </w:tc>
            </w:tr>
            <w:tr w:rsidR="00146F34" w:rsidRPr="00A552D9" w14:paraId="036FC2D1" w14:textId="77777777" w:rsidTr="005B5BF2">
              <w:trPr>
                <w:trHeight w:val="20"/>
              </w:trPr>
              <w:tc>
                <w:tcPr>
                  <w:tcW w:w="850" w:type="dxa"/>
                  <w:vAlign w:val="center"/>
                </w:tcPr>
                <w:p w14:paraId="08953789" w14:textId="77777777" w:rsidR="00146F34" w:rsidRPr="00A552D9" w:rsidRDefault="00146F34" w:rsidP="00146F34">
                  <w:pPr>
                    <w:pStyle w:val="TableParagraph"/>
                    <w:spacing w:line="233" w:lineRule="exact"/>
                    <w:ind w:left="264" w:right="113"/>
                    <w:jc w:val="center"/>
                  </w:pPr>
                  <w:r w:rsidRPr="00A552D9">
                    <w:t>18</w:t>
                  </w:r>
                </w:p>
              </w:tc>
              <w:tc>
                <w:tcPr>
                  <w:tcW w:w="993" w:type="dxa"/>
                  <w:vAlign w:val="center"/>
                </w:tcPr>
                <w:p w14:paraId="5F803053" w14:textId="77777777" w:rsidR="00146F34" w:rsidRPr="00A552D9" w:rsidRDefault="00146F34" w:rsidP="00146F34">
                  <w:pPr>
                    <w:pStyle w:val="TableParagraph"/>
                    <w:ind w:left="0"/>
                    <w:jc w:val="center"/>
                  </w:pPr>
                </w:p>
              </w:tc>
              <w:tc>
                <w:tcPr>
                  <w:tcW w:w="838" w:type="dxa"/>
                  <w:vAlign w:val="center"/>
                </w:tcPr>
                <w:p w14:paraId="53CACAC6" w14:textId="77777777" w:rsidR="00146F34" w:rsidRPr="00A552D9" w:rsidRDefault="00146F34" w:rsidP="00146F34">
                  <w:pPr>
                    <w:pStyle w:val="TableParagraph"/>
                    <w:ind w:left="0"/>
                    <w:jc w:val="center"/>
                  </w:pPr>
                </w:p>
              </w:tc>
              <w:tc>
                <w:tcPr>
                  <w:tcW w:w="1288" w:type="dxa"/>
                  <w:vAlign w:val="center"/>
                </w:tcPr>
                <w:p w14:paraId="25D1F9FA" w14:textId="77777777" w:rsidR="00146F34" w:rsidRPr="00A552D9" w:rsidRDefault="00146F34" w:rsidP="00146F34">
                  <w:pPr>
                    <w:pStyle w:val="TableParagraph"/>
                    <w:ind w:left="0"/>
                    <w:jc w:val="center"/>
                  </w:pPr>
                </w:p>
              </w:tc>
            </w:tr>
            <w:tr w:rsidR="00146F34" w:rsidRPr="00A552D9" w14:paraId="11F769C8" w14:textId="77777777" w:rsidTr="005B5BF2">
              <w:trPr>
                <w:trHeight w:val="20"/>
              </w:trPr>
              <w:tc>
                <w:tcPr>
                  <w:tcW w:w="850" w:type="dxa"/>
                  <w:vAlign w:val="center"/>
                </w:tcPr>
                <w:p w14:paraId="71917AFA" w14:textId="77777777" w:rsidR="00146F34" w:rsidRPr="00A552D9" w:rsidRDefault="00146F34" w:rsidP="00146F34">
                  <w:pPr>
                    <w:pStyle w:val="TableParagraph"/>
                    <w:spacing w:line="233" w:lineRule="exact"/>
                    <w:ind w:left="264" w:right="113"/>
                    <w:jc w:val="center"/>
                  </w:pPr>
                  <w:r w:rsidRPr="00A552D9">
                    <w:t>19</w:t>
                  </w:r>
                </w:p>
              </w:tc>
              <w:tc>
                <w:tcPr>
                  <w:tcW w:w="993" w:type="dxa"/>
                  <w:vAlign w:val="center"/>
                </w:tcPr>
                <w:p w14:paraId="7527CBB8" w14:textId="77777777" w:rsidR="00146F34" w:rsidRPr="00A552D9" w:rsidRDefault="00146F34" w:rsidP="00146F34">
                  <w:pPr>
                    <w:pStyle w:val="TableParagraph"/>
                    <w:ind w:left="0"/>
                    <w:jc w:val="center"/>
                  </w:pPr>
                </w:p>
              </w:tc>
              <w:tc>
                <w:tcPr>
                  <w:tcW w:w="838" w:type="dxa"/>
                  <w:vAlign w:val="center"/>
                </w:tcPr>
                <w:p w14:paraId="12BF3846" w14:textId="77777777" w:rsidR="00146F34" w:rsidRPr="00A552D9" w:rsidRDefault="00146F34" w:rsidP="00146F34">
                  <w:pPr>
                    <w:pStyle w:val="TableParagraph"/>
                    <w:ind w:left="0"/>
                    <w:jc w:val="center"/>
                  </w:pPr>
                </w:p>
              </w:tc>
              <w:tc>
                <w:tcPr>
                  <w:tcW w:w="1288" w:type="dxa"/>
                  <w:vAlign w:val="center"/>
                </w:tcPr>
                <w:p w14:paraId="4CDE9498" w14:textId="77777777" w:rsidR="00146F34" w:rsidRPr="00A552D9" w:rsidRDefault="00146F34" w:rsidP="00146F34">
                  <w:pPr>
                    <w:pStyle w:val="TableParagraph"/>
                    <w:ind w:left="0"/>
                    <w:jc w:val="center"/>
                  </w:pPr>
                </w:p>
              </w:tc>
            </w:tr>
            <w:tr w:rsidR="00146F34" w:rsidRPr="00A552D9" w14:paraId="7DFADEDD" w14:textId="77777777" w:rsidTr="005B5BF2">
              <w:trPr>
                <w:trHeight w:val="20"/>
              </w:trPr>
              <w:tc>
                <w:tcPr>
                  <w:tcW w:w="850" w:type="dxa"/>
                  <w:vAlign w:val="center"/>
                </w:tcPr>
                <w:p w14:paraId="5BA1D9F9" w14:textId="77777777" w:rsidR="00146F34" w:rsidRPr="00A552D9" w:rsidRDefault="00146F34" w:rsidP="00146F34">
                  <w:pPr>
                    <w:pStyle w:val="TableParagraph"/>
                    <w:spacing w:line="233" w:lineRule="exact"/>
                    <w:ind w:left="264" w:right="113"/>
                    <w:jc w:val="center"/>
                  </w:pPr>
                  <w:r w:rsidRPr="00A552D9">
                    <w:t>20</w:t>
                  </w:r>
                </w:p>
              </w:tc>
              <w:tc>
                <w:tcPr>
                  <w:tcW w:w="993" w:type="dxa"/>
                  <w:vAlign w:val="center"/>
                </w:tcPr>
                <w:p w14:paraId="6B3407C3" w14:textId="77777777" w:rsidR="00146F34" w:rsidRPr="00A552D9" w:rsidRDefault="00146F34" w:rsidP="00146F34">
                  <w:pPr>
                    <w:pStyle w:val="TableParagraph"/>
                    <w:ind w:left="0"/>
                    <w:jc w:val="center"/>
                  </w:pPr>
                </w:p>
              </w:tc>
              <w:tc>
                <w:tcPr>
                  <w:tcW w:w="838" w:type="dxa"/>
                  <w:vAlign w:val="center"/>
                </w:tcPr>
                <w:p w14:paraId="461AA9AB" w14:textId="77777777" w:rsidR="00146F34" w:rsidRPr="00A552D9" w:rsidRDefault="00146F34" w:rsidP="00146F34">
                  <w:pPr>
                    <w:pStyle w:val="TableParagraph"/>
                    <w:ind w:left="0"/>
                    <w:jc w:val="center"/>
                  </w:pPr>
                </w:p>
              </w:tc>
              <w:tc>
                <w:tcPr>
                  <w:tcW w:w="1288" w:type="dxa"/>
                  <w:vAlign w:val="center"/>
                </w:tcPr>
                <w:p w14:paraId="07EBD945" w14:textId="77777777" w:rsidR="00146F34" w:rsidRPr="00A552D9" w:rsidRDefault="00146F34" w:rsidP="00146F34">
                  <w:pPr>
                    <w:pStyle w:val="TableParagraph"/>
                    <w:ind w:left="0"/>
                    <w:jc w:val="center"/>
                  </w:pPr>
                </w:p>
              </w:tc>
            </w:tr>
            <w:tr w:rsidR="00146F34" w:rsidRPr="00A552D9" w14:paraId="6DF4F2CE" w14:textId="77777777" w:rsidTr="005B5BF2">
              <w:trPr>
                <w:trHeight w:val="20"/>
              </w:trPr>
              <w:tc>
                <w:tcPr>
                  <w:tcW w:w="850" w:type="dxa"/>
                  <w:vAlign w:val="center"/>
                </w:tcPr>
                <w:p w14:paraId="1C44CA56" w14:textId="77777777" w:rsidR="00146F34" w:rsidRPr="00A552D9" w:rsidRDefault="00146F34" w:rsidP="00146F34">
                  <w:pPr>
                    <w:pStyle w:val="TableParagraph"/>
                    <w:spacing w:before="1" w:line="233" w:lineRule="exact"/>
                    <w:ind w:left="264" w:right="113"/>
                    <w:jc w:val="center"/>
                  </w:pPr>
                  <w:r w:rsidRPr="00A552D9">
                    <w:t>21</w:t>
                  </w:r>
                </w:p>
              </w:tc>
              <w:tc>
                <w:tcPr>
                  <w:tcW w:w="993" w:type="dxa"/>
                  <w:vAlign w:val="center"/>
                </w:tcPr>
                <w:p w14:paraId="1612F713" w14:textId="77777777" w:rsidR="00146F34" w:rsidRPr="00A552D9" w:rsidRDefault="00146F34" w:rsidP="00146F34">
                  <w:pPr>
                    <w:pStyle w:val="TableParagraph"/>
                    <w:ind w:left="0"/>
                    <w:jc w:val="center"/>
                  </w:pPr>
                </w:p>
              </w:tc>
              <w:tc>
                <w:tcPr>
                  <w:tcW w:w="838" w:type="dxa"/>
                  <w:vAlign w:val="center"/>
                </w:tcPr>
                <w:p w14:paraId="709D3F5C" w14:textId="77777777" w:rsidR="00146F34" w:rsidRPr="00A552D9" w:rsidRDefault="00146F34" w:rsidP="00146F34">
                  <w:pPr>
                    <w:pStyle w:val="TableParagraph"/>
                    <w:ind w:left="0"/>
                    <w:jc w:val="center"/>
                  </w:pPr>
                </w:p>
              </w:tc>
              <w:tc>
                <w:tcPr>
                  <w:tcW w:w="1288" w:type="dxa"/>
                  <w:vAlign w:val="center"/>
                </w:tcPr>
                <w:p w14:paraId="5B9493BF" w14:textId="77777777" w:rsidR="00146F34" w:rsidRPr="00A552D9" w:rsidRDefault="00146F34" w:rsidP="00146F34">
                  <w:pPr>
                    <w:pStyle w:val="TableParagraph"/>
                    <w:ind w:left="0"/>
                    <w:jc w:val="center"/>
                  </w:pPr>
                </w:p>
              </w:tc>
            </w:tr>
          </w:tbl>
          <w:p w14:paraId="57C0372B" w14:textId="77777777" w:rsidR="00715046" w:rsidRPr="00A552D9" w:rsidRDefault="00715046" w:rsidP="00861275">
            <w:pPr>
              <w:widowControl w:val="0"/>
              <w:autoSpaceDE w:val="0"/>
              <w:autoSpaceDN w:val="0"/>
              <w:spacing w:before="0" w:after="0"/>
              <w:jc w:val="left"/>
              <w:rPr>
                <w:rFonts w:ascii="Times New Roman" w:eastAsia="Times New Roman" w:hAnsi="Times New Roman" w:cs="Times New Roman"/>
                <w:kern w:val="0"/>
                <w:lang w:val="lt-LT"/>
                <w14:ligatures w14:val="none"/>
              </w:rPr>
            </w:pPr>
          </w:p>
        </w:tc>
      </w:tr>
    </w:tbl>
    <w:p w14:paraId="6AAA3EFC" w14:textId="77777777" w:rsidR="007B5D36" w:rsidRPr="00A552D9" w:rsidRDefault="007B5D36"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E0310A2"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Užbaigę kiekvieną 3 savaičių ciklą, pradėkite naują.</w:t>
      </w:r>
    </w:p>
    <w:p w14:paraId="76A1DC6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A908B05" w14:textId="70EBF220"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vartojimas tik kartu su deksametazonu</w:t>
      </w:r>
    </w:p>
    <w:p w14:paraId="43DB35FC" w14:textId="2749F1FF" w:rsidR="00722EB1" w:rsidRPr="00A552D9" w:rsidRDefault="00861275" w:rsidP="00722EB1">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Daugiau informacijos apie jo vartojimą ir poveikį </w:t>
      </w:r>
      <w:r w:rsidR="007B3D1F" w:rsidRPr="00A552D9">
        <w:rPr>
          <w:rFonts w:ascii="Times New Roman" w:eastAsia="Times New Roman" w:hAnsi="Times New Roman" w:cs="Times New Roman"/>
          <w:kern w:val="0"/>
          <w:lang w:val="lt-LT"/>
          <w14:ligatures w14:val="none"/>
        </w:rPr>
        <w:t>rasite</w:t>
      </w:r>
      <w:r w:rsidRPr="00A552D9">
        <w:rPr>
          <w:rFonts w:ascii="Times New Roman" w:eastAsia="Times New Roman" w:hAnsi="Times New Roman" w:cs="Times New Roman"/>
          <w:kern w:val="0"/>
          <w:lang w:val="lt-LT"/>
          <w14:ligatures w14:val="none"/>
        </w:rPr>
        <w:t xml:space="preserve"> deksametazono pakuotės lapelyje.</w:t>
      </w:r>
    </w:p>
    <w:p w14:paraId="5B7E2FFA" w14:textId="68C68E6B" w:rsidR="00861275" w:rsidRPr="00A552D9" w:rsidRDefault="00561534" w:rsidP="00722EB1">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ir deksametazonas yra vartojami </w:t>
      </w:r>
      <w:r w:rsidR="00594DBD">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gydymo ciklais</w:t>
      </w:r>
      <w:r w:rsidR="00594DBD">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Kiekvienas ciklas trunka 28 dienas (4 savaites).</w:t>
      </w:r>
    </w:p>
    <w:p w14:paraId="13037319" w14:textId="0B635BC2" w:rsidR="00861275" w:rsidRPr="00A552D9" w:rsidRDefault="00861275" w:rsidP="001E4AC5">
      <w:pPr>
        <w:widowControl w:val="0"/>
        <w:numPr>
          <w:ilvl w:val="0"/>
          <w:numId w:val="11"/>
        </w:numPr>
        <w:tabs>
          <w:tab w:val="left" w:pos="567"/>
          <w:tab w:val="left" w:pos="658"/>
          <w:tab w:val="left" w:pos="65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Toliau pateiktoje </w:t>
      </w:r>
      <w:r w:rsidR="00594DBD">
        <w:rPr>
          <w:rFonts w:ascii="Times New Roman" w:eastAsia="Times New Roman" w:hAnsi="Times New Roman" w:cs="Times New Roman"/>
          <w:kern w:val="0"/>
          <w:lang w:val="lt-LT"/>
          <w14:ligatures w14:val="none"/>
        </w:rPr>
        <w:t>lentelėje</w:t>
      </w:r>
      <w:r w:rsidR="00594DBD"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matysite, ką vartoti kiekvieną 4 savaičių ciklo dieną:</w:t>
      </w:r>
    </w:p>
    <w:p w14:paraId="0663416E" w14:textId="1141A0BD" w:rsidR="00861275" w:rsidRPr="00A552D9" w:rsidRDefault="00861275" w:rsidP="001E4AC5">
      <w:pPr>
        <w:widowControl w:val="0"/>
        <w:numPr>
          <w:ilvl w:val="1"/>
          <w:numId w:val="11"/>
        </w:numPr>
        <w:tabs>
          <w:tab w:val="left" w:pos="1739"/>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Kasdien pažiūrėkite į </w:t>
      </w:r>
      <w:r w:rsidR="00594DBD">
        <w:rPr>
          <w:rFonts w:ascii="Times New Roman" w:eastAsia="Times New Roman" w:hAnsi="Times New Roman" w:cs="Times New Roman"/>
          <w:kern w:val="0"/>
          <w:lang w:val="lt-LT"/>
          <w14:ligatures w14:val="none"/>
        </w:rPr>
        <w:t>lentelę</w:t>
      </w:r>
      <w:r w:rsidR="00594DBD"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ir suraskite tinkamą dieną, kad žinotumėte, kuriuos vaistus reikia vartoti.</w:t>
      </w:r>
    </w:p>
    <w:p w14:paraId="28D1C70B" w14:textId="77777777" w:rsidR="00861275" w:rsidRPr="00A552D9" w:rsidRDefault="00861275" w:rsidP="001E4AC5">
      <w:pPr>
        <w:widowControl w:val="0"/>
        <w:numPr>
          <w:ilvl w:val="1"/>
          <w:numId w:val="11"/>
        </w:numPr>
        <w:tabs>
          <w:tab w:val="left" w:pos="1739"/>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Kai kuriomis dienomis vartosite abu vaistus, kai kuriomis dienomis tik 1 vaistą, o kai kuriomis dienomis nevartosite nė vieno.</w:t>
      </w:r>
    </w:p>
    <w:p w14:paraId="12CDBFAD" w14:textId="77777777" w:rsidR="00861275" w:rsidRPr="00A552D9" w:rsidRDefault="00861275" w:rsidP="00861275">
      <w:pPr>
        <w:widowControl w:val="0"/>
        <w:tabs>
          <w:tab w:val="left" w:pos="1739"/>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3EF8AE" w14:textId="2F736804"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IMN</w:t>
      </w:r>
      <w:r w:rsidRPr="00A552D9">
        <w:rPr>
          <w:rFonts w:ascii="Times New Roman" w:eastAsia="Times New Roman" w:hAnsi="Times New Roman" w:cs="Times New Roman"/>
          <w:kern w:val="0"/>
          <w:lang w:val="lt-LT"/>
          <w14:ligatures w14:val="none"/>
        </w:rPr>
        <w:t xml:space="preserve">: </w:t>
      </w:r>
      <w:r w:rsidR="00561534" w:rsidRPr="00A552D9">
        <w:rPr>
          <w:rFonts w:ascii="Times New Roman" w:eastAsia="Times New Roman" w:hAnsi="Times New Roman" w:cs="Times New Roman"/>
          <w:kern w:val="0"/>
          <w:lang w:val="lt-LT"/>
          <w14:ligatures w14:val="none"/>
        </w:rPr>
        <w:t>Pomalidomid</w:t>
      </w:r>
      <w:r w:rsidR="00ED4F72" w:rsidRPr="00A552D9">
        <w:rPr>
          <w:rFonts w:ascii="Times New Roman" w:eastAsia="Times New Roman" w:hAnsi="Times New Roman" w:cs="Times New Roman"/>
          <w:kern w:val="0"/>
          <w:lang w:val="lt-LT"/>
          <w14:ligatures w14:val="none"/>
        </w:rPr>
        <w:t>as</w:t>
      </w:r>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b/>
          <w:kern w:val="0"/>
          <w:lang w:val="lt-LT"/>
          <w14:ligatures w14:val="none"/>
        </w:rPr>
        <w:t>DEKS</w:t>
      </w:r>
      <w:r w:rsidRPr="00A552D9">
        <w:rPr>
          <w:rFonts w:ascii="Times New Roman" w:eastAsia="Times New Roman" w:hAnsi="Times New Roman" w:cs="Times New Roman"/>
          <w:kern w:val="0"/>
          <w:lang w:val="lt-LT"/>
          <w14:ligatures w14:val="none"/>
        </w:rPr>
        <w:t xml:space="preserve">: </w:t>
      </w:r>
      <w:r w:rsidR="00ED4F72" w:rsidRPr="00A552D9">
        <w:rPr>
          <w:rFonts w:ascii="Times New Roman" w:eastAsia="Times New Roman" w:hAnsi="Times New Roman" w:cs="Times New Roman"/>
          <w:kern w:val="0"/>
          <w:lang w:val="lt-LT"/>
          <w14:ligatures w14:val="none"/>
        </w:rPr>
        <w:t>D</w:t>
      </w:r>
      <w:r w:rsidRPr="00A552D9">
        <w:rPr>
          <w:rFonts w:ascii="Times New Roman" w:eastAsia="Times New Roman" w:hAnsi="Times New Roman" w:cs="Times New Roman"/>
          <w:kern w:val="0"/>
          <w:lang w:val="lt-LT"/>
          <w14:ligatures w14:val="none"/>
        </w:rPr>
        <w:t>eksametazonas</w:t>
      </w:r>
    </w:p>
    <w:p w14:paraId="5CD72B3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850"/>
        <w:gridCol w:w="993"/>
      </w:tblGrid>
      <w:tr w:rsidR="00861275" w:rsidRPr="00A552D9" w14:paraId="76C4F40F" w14:textId="77777777" w:rsidTr="00ED4F72">
        <w:trPr>
          <w:trHeight w:val="20"/>
        </w:trPr>
        <w:tc>
          <w:tcPr>
            <w:tcW w:w="818" w:type="dxa"/>
            <w:vAlign w:val="center"/>
          </w:tcPr>
          <w:p w14:paraId="45A0B391"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1843" w:type="dxa"/>
            <w:gridSpan w:val="2"/>
            <w:vAlign w:val="center"/>
          </w:tcPr>
          <w:p w14:paraId="4115A76E"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Vaisto pavadinimas</w:t>
            </w:r>
          </w:p>
        </w:tc>
      </w:tr>
      <w:tr w:rsidR="00861275" w:rsidRPr="00A552D9" w14:paraId="2BD04C34" w14:textId="77777777" w:rsidTr="00956906">
        <w:trPr>
          <w:trHeight w:val="20"/>
        </w:trPr>
        <w:tc>
          <w:tcPr>
            <w:tcW w:w="818" w:type="dxa"/>
            <w:vAlign w:val="center"/>
          </w:tcPr>
          <w:p w14:paraId="7CD3E02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Diena</w:t>
            </w:r>
          </w:p>
        </w:tc>
        <w:tc>
          <w:tcPr>
            <w:tcW w:w="850" w:type="dxa"/>
            <w:vAlign w:val="center"/>
          </w:tcPr>
          <w:p w14:paraId="674A356B"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IMN</w:t>
            </w:r>
          </w:p>
        </w:tc>
        <w:tc>
          <w:tcPr>
            <w:tcW w:w="993" w:type="dxa"/>
            <w:vAlign w:val="center"/>
          </w:tcPr>
          <w:p w14:paraId="24F02536"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DEKS</w:t>
            </w:r>
          </w:p>
        </w:tc>
      </w:tr>
      <w:tr w:rsidR="00620985" w:rsidRPr="00A552D9" w14:paraId="0D97E6A1" w14:textId="77777777" w:rsidTr="005B5BF2">
        <w:trPr>
          <w:trHeight w:val="20"/>
        </w:trPr>
        <w:tc>
          <w:tcPr>
            <w:tcW w:w="818" w:type="dxa"/>
            <w:vAlign w:val="center"/>
          </w:tcPr>
          <w:p w14:paraId="71083A9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1</w:t>
            </w:r>
          </w:p>
        </w:tc>
        <w:tc>
          <w:tcPr>
            <w:tcW w:w="850" w:type="dxa"/>
          </w:tcPr>
          <w:p w14:paraId="63BC6235" w14:textId="515398A9"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D1083AA" w14:textId="3A43BAC3"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620985" w:rsidRPr="00A552D9" w14:paraId="7111CE0C" w14:textId="77777777" w:rsidTr="005B5BF2">
        <w:trPr>
          <w:trHeight w:val="20"/>
        </w:trPr>
        <w:tc>
          <w:tcPr>
            <w:tcW w:w="818" w:type="dxa"/>
            <w:vAlign w:val="center"/>
          </w:tcPr>
          <w:p w14:paraId="1777681C"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w:t>
            </w:r>
          </w:p>
        </w:tc>
        <w:tc>
          <w:tcPr>
            <w:tcW w:w="850" w:type="dxa"/>
          </w:tcPr>
          <w:p w14:paraId="5AE1C7CC" w14:textId="1F98BCA6"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22BABDD8"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21C23D41" w14:textId="77777777" w:rsidTr="005B5BF2">
        <w:trPr>
          <w:trHeight w:val="20"/>
        </w:trPr>
        <w:tc>
          <w:tcPr>
            <w:tcW w:w="818" w:type="dxa"/>
            <w:vAlign w:val="center"/>
          </w:tcPr>
          <w:p w14:paraId="531AA69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w:t>
            </w:r>
          </w:p>
        </w:tc>
        <w:tc>
          <w:tcPr>
            <w:tcW w:w="850" w:type="dxa"/>
          </w:tcPr>
          <w:p w14:paraId="40767913" w14:textId="62B0DDF0"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1C0FB5E8"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0BAD2D39" w14:textId="77777777" w:rsidTr="005B5BF2">
        <w:trPr>
          <w:trHeight w:val="20"/>
        </w:trPr>
        <w:tc>
          <w:tcPr>
            <w:tcW w:w="818" w:type="dxa"/>
            <w:vAlign w:val="center"/>
          </w:tcPr>
          <w:p w14:paraId="33B4B464"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w:t>
            </w:r>
          </w:p>
        </w:tc>
        <w:tc>
          <w:tcPr>
            <w:tcW w:w="850" w:type="dxa"/>
          </w:tcPr>
          <w:p w14:paraId="367928A3" w14:textId="2F0422A3"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6118B38E"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84C024C" w14:textId="77777777" w:rsidTr="005B5BF2">
        <w:trPr>
          <w:trHeight w:val="20"/>
        </w:trPr>
        <w:tc>
          <w:tcPr>
            <w:tcW w:w="818" w:type="dxa"/>
            <w:vAlign w:val="center"/>
          </w:tcPr>
          <w:p w14:paraId="0DACA6FF"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w:t>
            </w:r>
          </w:p>
        </w:tc>
        <w:tc>
          <w:tcPr>
            <w:tcW w:w="850" w:type="dxa"/>
          </w:tcPr>
          <w:p w14:paraId="338F3C76" w14:textId="53D01B0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190F3AB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14B86FD2" w14:textId="77777777" w:rsidTr="005B5BF2">
        <w:trPr>
          <w:trHeight w:val="20"/>
        </w:trPr>
        <w:tc>
          <w:tcPr>
            <w:tcW w:w="818" w:type="dxa"/>
            <w:vAlign w:val="center"/>
          </w:tcPr>
          <w:p w14:paraId="170127EE"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6</w:t>
            </w:r>
          </w:p>
        </w:tc>
        <w:tc>
          <w:tcPr>
            <w:tcW w:w="850" w:type="dxa"/>
          </w:tcPr>
          <w:p w14:paraId="226594ED" w14:textId="1697A2A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2E0F1C2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58A89766" w14:textId="77777777" w:rsidTr="005B5BF2">
        <w:trPr>
          <w:trHeight w:val="20"/>
        </w:trPr>
        <w:tc>
          <w:tcPr>
            <w:tcW w:w="818" w:type="dxa"/>
            <w:vAlign w:val="center"/>
          </w:tcPr>
          <w:p w14:paraId="02A688BC"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7</w:t>
            </w:r>
          </w:p>
        </w:tc>
        <w:tc>
          <w:tcPr>
            <w:tcW w:w="850" w:type="dxa"/>
          </w:tcPr>
          <w:p w14:paraId="49D845AD" w14:textId="321645C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08F5CC3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2ABE2C8A" w14:textId="77777777" w:rsidTr="005B5BF2">
        <w:trPr>
          <w:trHeight w:val="20"/>
        </w:trPr>
        <w:tc>
          <w:tcPr>
            <w:tcW w:w="818" w:type="dxa"/>
            <w:vAlign w:val="center"/>
          </w:tcPr>
          <w:p w14:paraId="56C50516"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w:t>
            </w:r>
          </w:p>
        </w:tc>
        <w:tc>
          <w:tcPr>
            <w:tcW w:w="850" w:type="dxa"/>
          </w:tcPr>
          <w:p w14:paraId="5F60FF72" w14:textId="0D626038"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2734AC2E" w14:textId="17238E13"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620985" w:rsidRPr="00A552D9" w14:paraId="07D384D0" w14:textId="77777777" w:rsidTr="005B5BF2">
        <w:trPr>
          <w:trHeight w:val="20"/>
        </w:trPr>
        <w:tc>
          <w:tcPr>
            <w:tcW w:w="818" w:type="dxa"/>
            <w:vAlign w:val="center"/>
          </w:tcPr>
          <w:p w14:paraId="5CBF7D14"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9</w:t>
            </w:r>
          </w:p>
        </w:tc>
        <w:tc>
          <w:tcPr>
            <w:tcW w:w="850" w:type="dxa"/>
          </w:tcPr>
          <w:p w14:paraId="392E4507" w14:textId="560C8895"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3F1AF270"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33DB2E7" w14:textId="77777777" w:rsidTr="005B5BF2">
        <w:trPr>
          <w:trHeight w:val="20"/>
        </w:trPr>
        <w:tc>
          <w:tcPr>
            <w:tcW w:w="818" w:type="dxa"/>
            <w:vAlign w:val="center"/>
          </w:tcPr>
          <w:p w14:paraId="589AD609"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w:t>
            </w:r>
          </w:p>
        </w:tc>
        <w:tc>
          <w:tcPr>
            <w:tcW w:w="850" w:type="dxa"/>
          </w:tcPr>
          <w:p w14:paraId="4711F322" w14:textId="77E05D05"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16A92D5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2D7D020B" w14:textId="77777777" w:rsidTr="005B5BF2">
        <w:trPr>
          <w:trHeight w:val="20"/>
        </w:trPr>
        <w:tc>
          <w:tcPr>
            <w:tcW w:w="818" w:type="dxa"/>
            <w:vAlign w:val="center"/>
          </w:tcPr>
          <w:p w14:paraId="210546A0"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11</w:t>
            </w:r>
          </w:p>
        </w:tc>
        <w:tc>
          <w:tcPr>
            <w:tcW w:w="850" w:type="dxa"/>
          </w:tcPr>
          <w:p w14:paraId="62732198" w14:textId="2189491E"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5DCAA4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584836D8" w14:textId="77777777" w:rsidTr="005B5BF2">
        <w:trPr>
          <w:trHeight w:val="20"/>
        </w:trPr>
        <w:tc>
          <w:tcPr>
            <w:tcW w:w="818" w:type="dxa"/>
            <w:vAlign w:val="center"/>
          </w:tcPr>
          <w:p w14:paraId="2FC425E8"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12</w:t>
            </w:r>
          </w:p>
        </w:tc>
        <w:tc>
          <w:tcPr>
            <w:tcW w:w="850" w:type="dxa"/>
          </w:tcPr>
          <w:p w14:paraId="12EEFAD1" w14:textId="2475AF8D"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518ECFA"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0C30E8D3" w14:textId="77777777" w:rsidTr="005B5BF2">
        <w:trPr>
          <w:trHeight w:val="20"/>
        </w:trPr>
        <w:tc>
          <w:tcPr>
            <w:tcW w:w="818" w:type="dxa"/>
            <w:vAlign w:val="center"/>
          </w:tcPr>
          <w:p w14:paraId="656CD86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13</w:t>
            </w:r>
          </w:p>
        </w:tc>
        <w:tc>
          <w:tcPr>
            <w:tcW w:w="850" w:type="dxa"/>
          </w:tcPr>
          <w:p w14:paraId="1BB6E2C1" w14:textId="0F71D07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5225B8D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46370CBC" w14:textId="77777777" w:rsidTr="005B5BF2">
        <w:trPr>
          <w:trHeight w:val="20"/>
        </w:trPr>
        <w:tc>
          <w:tcPr>
            <w:tcW w:w="818" w:type="dxa"/>
            <w:vAlign w:val="center"/>
          </w:tcPr>
          <w:p w14:paraId="4B609C8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14</w:t>
            </w:r>
          </w:p>
        </w:tc>
        <w:tc>
          <w:tcPr>
            <w:tcW w:w="850" w:type="dxa"/>
          </w:tcPr>
          <w:p w14:paraId="5461B185" w14:textId="693E38E1"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2E42A49"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13E29EA8" w14:textId="77777777" w:rsidTr="005B5BF2">
        <w:trPr>
          <w:trHeight w:val="20"/>
        </w:trPr>
        <w:tc>
          <w:tcPr>
            <w:tcW w:w="818" w:type="dxa"/>
            <w:vAlign w:val="center"/>
          </w:tcPr>
          <w:p w14:paraId="48F05672"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15</w:t>
            </w:r>
          </w:p>
        </w:tc>
        <w:tc>
          <w:tcPr>
            <w:tcW w:w="850" w:type="dxa"/>
          </w:tcPr>
          <w:p w14:paraId="47313E90" w14:textId="3ED3D848"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739EA69" w14:textId="31C912E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620985" w:rsidRPr="00A552D9" w14:paraId="72E96703" w14:textId="77777777" w:rsidTr="005B5BF2">
        <w:trPr>
          <w:trHeight w:val="20"/>
        </w:trPr>
        <w:tc>
          <w:tcPr>
            <w:tcW w:w="818" w:type="dxa"/>
            <w:vAlign w:val="center"/>
          </w:tcPr>
          <w:p w14:paraId="77ED44B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16</w:t>
            </w:r>
          </w:p>
        </w:tc>
        <w:tc>
          <w:tcPr>
            <w:tcW w:w="850" w:type="dxa"/>
          </w:tcPr>
          <w:p w14:paraId="6471BE00" w14:textId="5726DE8D"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A92F5B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85F4DE4" w14:textId="77777777" w:rsidTr="005B5BF2">
        <w:trPr>
          <w:trHeight w:val="20"/>
        </w:trPr>
        <w:tc>
          <w:tcPr>
            <w:tcW w:w="818" w:type="dxa"/>
            <w:vAlign w:val="center"/>
          </w:tcPr>
          <w:p w14:paraId="7F21CFE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17</w:t>
            </w:r>
          </w:p>
        </w:tc>
        <w:tc>
          <w:tcPr>
            <w:tcW w:w="850" w:type="dxa"/>
          </w:tcPr>
          <w:p w14:paraId="4F31CDD3" w14:textId="4319743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4B1E9B3"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49D32A25" w14:textId="77777777" w:rsidTr="005B5BF2">
        <w:trPr>
          <w:trHeight w:val="20"/>
        </w:trPr>
        <w:tc>
          <w:tcPr>
            <w:tcW w:w="818" w:type="dxa"/>
            <w:vAlign w:val="center"/>
          </w:tcPr>
          <w:p w14:paraId="7B3C2A2C"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18</w:t>
            </w:r>
          </w:p>
        </w:tc>
        <w:tc>
          <w:tcPr>
            <w:tcW w:w="850" w:type="dxa"/>
          </w:tcPr>
          <w:p w14:paraId="4E2ACE0C" w14:textId="28D18152"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5B2F8A22"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1F7E00D2" w14:textId="77777777" w:rsidTr="005B5BF2">
        <w:trPr>
          <w:trHeight w:val="20"/>
        </w:trPr>
        <w:tc>
          <w:tcPr>
            <w:tcW w:w="818" w:type="dxa"/>
            <w:vAlign w:val="center"/>
          </w:tcPr>
          <w:p w14:paraId="4504A79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19</w:t>
            </w:r>
          </w:p>
        </w:tc>
        <w:tc>
          <w:tcPr>
            <w:tcW w:w="850" w:type="dxa"/>
          </w:tcPr>
          <w:p w14:paraId="5E9DC64F" w14:textId="230956A2"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65CDB3F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4B2FD201" w14:textId="77777777" w:rsidTr="005B5BF2">
        <w:trPr>
          <w:trHeight w:val="20"/>
        </w:trPr>
        <w:tc>
          <w:tcPr>
            <w:tcW w:w="818" w:type="dxa"/>
            <w:vAlign w:val="center"/>
          </w:tcPr>
          <w:p w14:paraId="3FF235F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w:t>
            </w:r>
          </w:p>
        </w:tc>
        <w:tc>
          <w:tcPr>
            <w:tcW w:w="850" w:type="dxa"/>
          </w:tcPr>
          <w:p w14:paraId="4A0CBE49" w14:textId="0714AD91"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65ECDEE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AA31E06" w14:textId="77777777" w:rsidTr="005B5BF2">
        <w:trPr>
          <w:trHeight w:val="20"/>
        </w:trPr>
        <w:tc>
          <w:tcPr>
            <w:tcW w:w="818" w:type="dxa"/>
            <w:vAlign w:val="center"/>
          </w:tcPr>
          <w:p w14:paraId="04984FE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21</w:t>
            </w:r>
          </w:p>
        </w:tc>
        <w:tc>
          <w:tcPr>
            <w:tcW w:w="850" w:type="dxa"/>
          </w:tcPr>
          <w:p w14:paraId="623DF4BB" w14:textId="7BDA1270"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DE2A364"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5E420FB7" w14:textId="77777777" w:rsidTr="00956906">
        <w:trPr>
          <w:trHeight w:val="20"/>
        </w:trPr>
        <w:tc>
          <w:tcPr>
            <w:tcW w:w="818" w:type="dxa"/>
            <w:vAlign w:val="center"/>
          </w:tcPr>
          <w:p w14:paraId="5EC3BF31"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22</w:t>
            </w:r>
          </w:p>
        </w:tc>
        <w:tc>
          <w:tcPr>
            <w:tcW w:w="850" w:type="dxa"/>
            <w:vAlign w:val="center"/>
          </w:tcPr>
          <w:p w14:paraId="168AB41D"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622C72EE" w14:textId="54789BA2" w:rsidR="00861275" w:rsidRPr="00A552D9" w:rsidRDefault="0062098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861275" w:rsidRPr="00A552D9" w14:paraId="4F600D48" w14:textId="77777777" w:rsidTr="00956906">
        <w:trPr>
          <w:trHeight w:val="20"/>
        </w:trPr>
        <w:tc>
          <w:tcPr>
            <w:tcW w:w="818" w:type="dxa"/>
            <w:vAlign w:val="center"/>
          </w:tcPr>
          <w:p w14:paraId="2761D7F8"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23</w:t>
            </w:r>
          </w:p>
        </w:tc>
        <w:tc>
          <w:tcPr>
            <w:tcW w:w="850" w:type="dxa"/>
            <w:vAlign w:val="center"/>
          </w:tcPr>
          <w:p w14:paraId="6FA6FB9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740DC589"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04BDF3A0" w14:textId="77777777" w:rsidTr="00956906">
        <w:trPr>
          <w:trHeight w:val="20"/>
        </w:trPr>
        <w:tc>
          <w:tcPr>
            <w:tcW w:w="818" w:type="dxa"/>
            <w:vAlign w:val="center"/>
          </w:tcPr>
          <w:p w14:paraId="32EA6E61"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24</w:t>
            </w:r>
          </w:p>
        </w:tc>
        <w:tc>
          <w:tcPr>
            <w:tcW w:w="850" w:type="dxa"/>
            <w:vAlign w:val="center"/>
          </w:tcPr>
          <w:p w14:paraId="6699564E"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2390CAB9"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3691357C" w14:textId="77777777" w:rsidTr="00956906">
        <w:trPr>
          <w:trHeight w:val="20"/>
        </w:trPr>
        <w:tc>
          <w:tcPr>
            <w:tcW w:w="818" w:type="dxa"/>
            <w:vAlign w:val="center"/>
          </w:tcPr>
          <w:p w14:paraId="0638017E"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25</w:t>
            </w:r>
          </w:p>
        </w:tc>
        <w:tc>
          <w:tcPr>
            <w:tcW w:w="850" w:type="dxa"/>
            <w:vAlign w:val="center"/>
          </w:tcPr>
          <w:p w14:paraId="2D9DF36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1F8E70F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0690B28F" w14:textId="77777777" w:rsidTr="00956906">
        <w:trPr>
          <w:trHeight w:val="20"/>
        </w:trPr>
        <w:tc>
          <w:tcPr>
            <w:tcW w:w="818" w:type="dxa"/>
            <w:vAlign w:val="center"/>
          </w:tcPr>
          <w:p w14:paraId="7BBDA9E3"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26</w:t>
            </w:r>
          </w:p>
        </w:tc>
        <w:tc>
          <w:tcPr>
            <w:tcW w:w="850" w:type="dxa"/>
            <w:vAlign w:val="center"/>
          </w:tcPr>
          <w:p w14:paraId="362B737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3BFA260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722D23FD" w14:textId="77777777" w:rsidTr="00956906">
        <w:trPr>
          <w:trHeight w:val="20"/>
        </w:trPr>
        <w:tc>
          <w:tcPr>
            <w:tcW w:w="818" w:type="dxa"/>
            <w:vAlign w:val="center"/>
          </w:tcPr>
          <w:p w14:paraId="781EC248"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27</w:t>
            </w:r>
          </w:p>
        </w:tc>
        <w:tc>
          <w:tcPr>
            <w:tcW w:w="850" w:type="dxa"/>
            <w:vAlign w:val="center"/>
          </w:tcPr>
          <w:p w14:paraId="4F10360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3BF647C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098B819F" w14:textId="77777777" w:rsidTr="00956906">
        <w:trPr>
          <w:trHeight w:val="20"/>
        </w:trPr>
        <w:tc>
          <w:tcPr>
            <w:tcW w:w="818" w:type="dxa"/>
            <w:vAlign w:val="center"/>
          </w:tcPr>
          <w:p w14:paraId="48CA9AAB"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28</w:t>
            </w:r>
          </w:p>
        </w:tc>
        <w:tc>
          <w:tcPr>
            <w:tcW w:w="850" w:type="dxa"/>
            <w:vAlign w:val="center"/>
          </w:tcPr>
          <w:p w14:paraId="1F9C7268"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4FDDC2EB"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bl>
    <w:p w14:paraId="47F878D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240C645" w14:textId="77777777" w:rsidR="00861275" w:rsidRPr="00A552D9" w:rsidRDefault="00861275" w:rsidP="00956906">
      <w:pPr>
        <w:pStyle w:val="ListParagraph"/>
        <w:widowControl w:val="0"/>
        <w:numPr>
          <w:ilvl w:val="0"/>
          <w:numId w:val="13"/>
        </w:numPr>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Užbaigę kiekvieną 4 savaičių ciklą, pradėkite naują.</w:t>
      </w:r>
    </w:p>
    <w:p w14:paraId="2A0309B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198008D" w14:textId="28D9A681"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Kiek </w:t>
      </w:r>
      <w:r w:rsidR="00561534" w:rsidRPr="00A552D9">
        <w:rPr>
          <w:rFonts w:ascii="Times New Roman" w:eastAsia="Times New Roman" w:hAnsi="Times New Roman" w:cs="Times New Roman"/>
          <w:b/>
          <w:bCs/>
          <w:kern w:val="0"/>
          <w:lang w:val="lt-LT"/>
          <w14:ligatures w14:val="none"/>
        </w:rPr>
        <w:t>Pomalidomide Olpha</w:t>
      </w:r>
      <w:r w:rsidRPr="00A552D9">
        <w:rPr>
          <w:rFonts w:ascii="Times New Roman" w:eastAsia="Times New Roman" w:hAnsi="Times New Roman" w:cs="Times New Roman"/>
          <w:b/>
          <w:bCs/>
          <w:kern w:val="0"/>
          <w:lang w:val="lt-LT"/>
          <w14:ligatures w14:val="none"/>
        </w:rPr>
        <w:t xml:space="preserve"> vartoti kartu su kitais vaistais</w:t>
      </w:r>
    </w:p>
    <w:p w14:paraId="4F5A09F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4C3D6CC0" w14:textId="58350189"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861275" w:rsidRPr="00A552D9">
        <w:rPr>
          <w:rFonts w:ascii="Times New Roman" w:eastAsia="Times New Roman" w:hAnsi="Times New Roman" w:cs="Times New Roman"/>
          <w:kern w:val="0"/>
          <w:u w:val="single"/>
          <w:lang w:val="lt-LT"/>
          <w14:ligatures w14:val="none"/>
        </w:rPr>
        <w:t xml:space="preserve"> vartojimas kartu su bortezomibu ir deksametazonu</w:t>
      </w:r>
    </w:p>
    <w:p w14:paraId="6B81CCAD" w14:textId="10FBEAB2"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pradinė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dozė yra 4 mg per parą.</w:t>
      </w:r>
    </w:p>
    <w:p w14:paraId="6D95FB43"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Rekomenduojamą pradinę bortezomibo dozę Jums parinks gydytojas, atsižvelgdamas į Jūsų amžių ir svorį (1,3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xml:space="preserve"> kūno paviršiaus ploto).</w:t>
      </w:r>
    </w:p>
    <w:p w14:paraId="2DD52144" w14:textId="3521C54B"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Rekomenduojama pradinė deksametazono dozė yra 20 mg per parą. Tačiau jeigu Jums yra daugiau kaip 75 met</w:t>
      </w:r>
      <w:r w:rsidR="00097AAC">
        <w:rPr>
          <w:rFonts w:ascii="Times New Roman" w:eastAsia="Times New Roman" w:hAnsi="Times New Roman" w:cs="Times New Roman"/>
          <w:kern w:val="0"/>
          <w:lang w:val="lt-LT"/>
          <w14:ligatures w14:val="none"/>
        </w:rPr>
        <w:t>ai</w:t>
      </w:r>
      <w:r w:rsidRPr="00A552D9">
        <w:rPr>
          <w:rFonts w:ascii="Times New Roman" w:eastAsia="Times New Roman" w:hAnsi="Times New Roman" w:cs="Times New Roman"/>
          <w:kern w:val="0"/>
          <w:lang w:val="lt-LT"/>
          <w14:ligatures w14:val="none"/>
        </w:rPr>
        <w:t>, rekomenduojama pradinė dozė yra 10 mg per parą.</w:t>
      </w:r>
    </w:p>
    <w:p w14:paraId="646A052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254354E" w14:textId="38916C39"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861275" w:rsidRPr="00A552D9">
        <w:rPr>
          <w:rFonts w:ascii="Times New Roman" w:eastAsia="Times New Roman" w:hAnsi="Times New Roman" w:cs="Times New Roman"/>
          <w:kern w:val="0"/>
          <w:u w:val="single"/>
          <w:lang w:val="lt-LT"/>
          <w14:ligatures w14:val="none"/>
        </w:rPr>
        <w:t xml:space="preserve"> vartojimas tik su deksametazonu</w:t>
      </w:r>
    </w:p>
    <w:p w14:paraId="038DDB83" w14:textId="7AF93D66"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dozė yra 4 mg per parą.</w:t>
      </w:r>
    </w:p>
    <w:p w14:paraId="742AF2D3" w14:textId="3258B9BA"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Rekomenduojama pradinė deksametazono dozė yra 40 mg per parą. Tačiau jeigu Jums yra daugiau kaip 75 met</w:t>
      </w:r>
      <w:r w:rsidR="00202A75">
        <w:rPr>
          <w:rFonts w:ascii="Times New Roman" w:eastAsia="Times New Roman" w:hAnsi="Times New Roman" w:cs="Times New Roman"/>
          <w:kern w:val="0"/>
          <w:lang w:val="lt-LT"/>
          <w14:ligatures w14:val="none"/>
        </w:rPr>
        <w:t>ai</w:t>
      </w:r>
      <w:r w:rsidRPr="00A552D9">
        <w:rPr>
          <w:rFonts w:ascii="Times New Roman" w:eastAsia="Times New Roman" w:hAnsi="Times New Roman" w:cs="Times New Roman"/>
          <w:kern w:val="0"/>
          <w:lang w:val="lt-LT"/>
          <w14:ligatures w14:val="none"/>
        </w:rPr>
        <w:t>, rekomenduojama pradinė dozė yra 20 mg per parą.</w:t>
      </w:r>
    </w:p>
    <w:p w14:paraId="2EB2785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FC0A7C3" w14:textId="10D9F11C"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Remiantis Jūsų kraujo tyrimų rezultatais, bendra Jūsų būkle, </w:t>
      </w:r>
      <w:r w:rsidR="00202A75">
        <w:rPr>
          <w:rFonts w:ascii="Times New Roman" w:eastAsia="Times New Roman" w:hAnsi="Times New Roman" w:cs="Times New Roman"/>
          <w:kern w:val="0"/>
          <w:lang w:val="lt-LT"/>
          <w14:ligatures w14:val="none"/>
        </w:rPr>
        <w:t>tam tikrų kitų vaistų vartojimą</w:t>
      </w:r>
      <w:r w:rsidRPr="00A552D9">
        <w:rPr>
          <w:rFonts w:ascii="Times New Roman" w:eastAsia="Times New Roman" w:hAnsi="Times New Roman" w:cs="Times New Roman"/>
          <w:kern w:val="0"/>
          <w:lang w:val="lt-LT"/>
          <w14:ligatures w14:val="none"/>
        </w:rPr>
        <w:t xml:space="preserve"> (pvz., ciprofloksaciną, enoksaciną ir fluvoksaminą) ir pasireiškus šalutiniam gydymo poveikiui (ypač išbėrimui ar tinimui), gydytojui gali reikėti sumažinti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bortezomibo ar deksametazono dozę arba nutraukti gydymą vienu ar keliais iš šių vaistų.</w:t>
      </w:r>
    </w:p>
    <w:p w14:paraId="6CF08FB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3C77D28" w14:textId="0F6CE20C"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sutrikusi Jūsų kepenų ar inkstų </w:t>
      </w:r>
      <w:r w:rsidR="005C7857" w:rsidRPr="00A552D9">
        <w:rPr>
          <w:rFonts w:ascii="Times New Roman" w:eastAsia="Times New Roman" w:hAnsi="Times New Roman" w:cs="Times New Roman"/>
          <w:kern w:val="0"/>
          <w:lang w:val="lt-LT"/>
          <w14:ligatures w14:val="none"/>
        </w:rPr>
        <w:t>funkcija</w:t>
      </w:r>
      <w:r w:rsidRPr="00A552D9">
        <w:rPr>
          <w:rFonts w:ascii="Times New Roman" w:eastAsia="Times New Roman" w:hAnsi="Times New Roman" w:cs="Times New Roman"/>
          <w:kern w:val="0"/>
          <w:lang w:val="lt-LT"/>
          <w14:ligatures w14:val="none"/>
        </w:rPr>
        <w:t>, gydytojas labai atidžiai tikrins Jūsų būklę, kol vartosite šį vaistą.</w:t>
      </w:r>
    </w:p>
    <w:p w14:paraId="7719619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3C1B393" w14:textId="4665CE73"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lastRenderedPageBreak/>
        <w:t xml:space="preserve">Kaip vartoti </w:t>
      </w:r>
      <w:r w:rsidR="00561534" w:rsidRPr="00A552D9">
        <w:rPr>
          <w:rFonts w:ascii="Times New Roman" w:eastAsia="Times New Roman" w:hAnsi="Times New Roman" w:cs="Times New Roman"/>
          <w:b/>
          <w:bCs/>
          <w:kern w:val="0"/>
          <w:lang w:val="lt-LT"/>
          <w14:ligatures w14:val="none"/>
        </w:rPr>
        <w:t>Pomalidomide Olpha</w:t>
      </w:r>
    </w:p>
    <w:p w14:paraId="5912E073"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Kapsulių negalima laužyti, atidaryti ar kramtyti. Jei perlaužtos kapsulės miltelių pateko ant odos, nedelsdami gerai nuplaukite odą vandeniu su muilu.</w:t>
      </w:r>
    </w:p>
    <w:p w14:paraId="443971A5" w14:textId="10177441"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Ruošdami lizdinę plokštelę arba kapsulę, sveikatos priežiūros specialistai, globėjai ir šeimos nariai turi mūvėti vienkartines pirštines. Po to pirštines reikia nusiimti atsargiai, kad vaisto nepatektų ant odos, įdėti į </w:t>
      </w:r>
      <w:r w:rsidR="003A026F">
        <w:rPr>
          <w:rFonts w:ascii="Times New Roman" w:eastAsia="Times New Roman" w:hAnsi="Times New Roman" w:cs="Times New Roman"/>
          <w:kern w:val="0"/>
          <w:lang w:val="lt-LT"/>
          <w14:ligatures w14:val="none"/>
        </w:rPr>
        <w:t>sandar</w:t>
      </w:r>
      <w:r w:rsidR="005778A4">
        <w:rPr>
          <w:rFonts w:ascii="Times New Roman" w:eastAsia="Times New Roman" w:hAnsi="Times New Roman" w:cs="Times New Roman"/>
          <w:kern w:val="0"/>
          <w:lang w:val="lt-LT"/>
          <w14:ligatures w14:val="none"/>
        </w:rPr>
        <w:t>iai</w:t>
      </w:r>
      <w:r w:rsidR="003A026F"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uždaromą plastikinį polietileninį maišelį ir pašalinti laikantis vietinių reikalavimų. Tada reikia gerai nusiplauti rankas vandeniu su muilu. Moterims, kurios yra nėščios arba įtaria, kad galbūt yra nėščios, lizdinės plokštelės arba kapsulės ruošti negalima.</w:t>
      </w:r>
    </w:p>
    <w:p w14:paraId="6AC9A6EC"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Prarykite kapsules nepažeistas, geriausia užsigeriant vandeniu.</w:t>
      </w:r>
    </w:p>
    <w:p w14:paraId="55159FB9"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Kapsulės gali būti vartojamos su maistu ar be jo.</w:t>
      </w:r>
    </w:p>
    <w:p w14:paraId="399D5CF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Kapsules vartokite kasdien apytikriai tuo pačiu laiku.</w:t>
      </w:r>
    </w:p>
    <w:p w14:paraId="6503502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B26063D" w14:textId="2A9506E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Norėdami išimti kapsulę iš lizdinės plokštelės, spauskite tik vieną kapsulės galą, kad išstumtumėte ją </w:t>
      </w:r>
      <w:r w:rsidR="00862897">
        <w:rPr>
          <w:rFonts w:ascii="Times New Roman" w:eastAsia="Times New Roman" w:hAnsi="Times New Roman" w:cs="Times New Roman"/>
          <w:kern w:val="0"/>
          <w:lang w:val="lt-LT"/>
          <w14:ligatures w14:val="none"/>
        </w:rPr>
        <w:t>per</w:t>
      </w:r>
      <w:r w:rsidR="0086289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foliją. Nespauskite kapsulės per vidurį, nes kapsulė gali lūžti.</w:t>
      </w:r>
    </w:p>
    <w:p w14:paraId="45C2E576" w14:textId="77777777" w:rsidR="002917B7" w:rsidRPr="00A552D9" w:rsidRDefault="002917B7"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CCA1C7E" w14:textId="757E444A" w:rsidR="00861275" w:rsidRPr="00A552D9" w:rsidRDefault="001A3D27"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hAnsi="Times New Roman" w:cs="Times New Roman"/>
          <w:noProof/>
          <w:lang w:val="lt-LT" w:eastAsia="lt-LT"/>
        </w:rPr>
        <w:drawing>
          <wp:inline distT="0" distB="0" distL="0" distR="0" wp14:anchorId="080EB0CA" wp14:editId="36A0EA0F">
            <wp:extent cx="2962910" cy="1769110"/>
            <wp:effectExtent l="0" t="0" r="8890" b="2540"/>
            <wp:docPr id="339820532" name="Picture 33982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910" cy="1769110"/>
                    </a:xfrm>
                    <a:prstGeom prst="rect">
                      <a:avLst/>
                    </a:prstGeom>
                    <a:noFill/>
                    <a:ln>
                      <a:noFill/>
                    </a:ln>
                  </pic:spPr>
                </pic:pic>
              </a:graphicData>
            </a:graphic>
          </wp:inline>
        </w:drawing>
      </w:r>
    </w:p>
    <w:p w14:paraId="229A1F36" w14:textId="77777777" w:rsidR="001A3D27" w:rsidRPr="00A552D9" w:rsidRDefault="001A3D27"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0B3C871" w14:textId="0CB943A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Jums yra inkstų funkcijos sutrikimų ir taikomas gydymas dialize, gydytojas Jums patars, kaip ir kada vartoti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w:t>
      </w:r>
    </w:p>
    <w:p w14:paraId="4C1D798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1CB3DA1" w14:textId="390ECCF8"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Gydymo </w:t>
      </w:r>
      <w:r w:rsidR="00561534" w:rsidRPr="00A552D9">
        <w:rPr>
          <w:rFonts w:ascii="Times New Roman" w:eastAsia="Times New Roman" w:hAnsi="Times New Roman" w:cs="Times New Roman"/>
          <w:b/>
          <w:bCs/>
          <w:kern w:val="0"/>
          <w:lang w:val="lt-LT"/>
          <w14:ligatures w14:val="none"/>
        </w:rPr>
        <w:t>Pomalidomide Olpha</w:t>
      </w:r>
      <w:r w:rsidRPr="00A552D9">
        <w:rPr>
          <w:rFonts w:ascii="Times New Roman" w:eastAsia="Times New Roman" w:hAnsi="Times New Roman" w:cs="Times New Roman"/>
          <w:b/>
          <w:bCs/>
          <w:kern w:val="0"/>
          <w:lang w:val="lt-LT"/>
          <w14:ligatures w14:val="none"/>
        </w:rPr>
        <w:t xml:space="preserve"> trukmė</w:t>
      </w:r>
    </w:p>
    <w:p w14:paraId="0D08155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Turite tęsti gydymo ciklus, kol gydytojas nurodys nutraukti gydymą.</w:t>
      </w:r>
    </w:p>
    <w:p w14:paraId="0A26976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589F447" w14:textId="25EA05F8"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Ką daryti pavartojus per didelę </w:t>
      </w:r>
      <w:r w:rsidR="00561534" w:rsidRPr="00A552D9">
        <w:rPr>
          <w:rFonts w:ascii="Times New Roman" w:eastAsia="Times New Roman" w:hAnsi="Times New Roman" w:cs="Times New Roman"/>
          <w:b/>
          <w:bCs/>
          <w:kern w:val="0"/>
          <w:lang w:val="lt-LT"/>
          <w14:ligatures w14:val="none"/>
        </w:rPr>
        <w:t>Pomalidomide Olpha</w:t>
      </w:r>
      <w:r w:rsidRPr="00A552D9">
        <w:rPr>
          <w:rFonts w:ascii="Times New Roman" w:eastAsia="Times New Roman" w:hAnsi="Times New Roman" w:cs="Times New Roman"/>
          <w:b/>
          <w:bCs/>
          <w:kern w:val="0"/>
          <w:lang w:val="lt-LT"/>
          <w14:ligatures w14:val="none"/>
        </w:rPr>
        <w:t xml:space="preserve"> dozę</w:t>
      </w:r>
    </w:p>
    <w:p w14:paraId="186CF654" w14:textId="274837AD"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Pavartojus per didelę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dozę, reikia nedelsiant kreiptis į gydytoją arba vykti į ligoninę. Pasiimkite vaisto pakuotę.</w:t>
      </w:r>
    </w:p>
    <w:p w14:paraId="2732A04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C3B7A44" w14:textId="6751B840"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Pamiršus pavartoti </w:t>
      </w:r>
      <w:r w:rsidR="00561534" w:rsidRPr="00A552D9">
        <w:rPr>
          <w:rFonts w:ascii="Times New Roman" w:eastAsia="Times New Roman" w:hAnsi="Times New Roman" w:cs="Times New Roman"/>
          <w:b/>
          <w:bCs/>
          <w:kern w:val="0"/>
          <w:lang w:val="lt-LT"/>
          <w14:ligatures w14:val="none"/>
        </w:rPr>
        <w:t>Pomalidomide Olpha</w:t>
      </w:r>
    </w:p>
    <w:p w14:paraId="70CE5E90" w14:textId="3AE85D1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Pamiršę pavartoti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numatytą dieną, kitą dieną kaip įprastai išgerkite kitą kapsulę. Negalima didinti vartojamo kapsulių skaičiaus norint kompensuoti ankstesnę dieną praleistą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dozę.</w:t>
      </w:r>
    </w:p>
    <w:p w14:paraId="380EAEA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650002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kiltų daugiau klausimų dėl šio vaisto vartojimo, kreipkitės į gydytoją arba vaistininką.</w:t>
      </w:r>
    </w:p>
    <w:p w14:paraId="6621F7A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026EA0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FED145E" w14:textId="77777777"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Galimas šalutinis poveikis</w:t>
      </w:r>
    </w:p>
    <w:p w14:paraId="35331D5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04FA29A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Šis vaistas, kaip ir visi kiti, gali sukelti šalutinį poveikį, nors jis pasireiškia ne visiems žmonėms.</w:t>
      </w:r>
    </w:p>
    <w:p w14:paraId="0C1C3C8B"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24B4A4F"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Sunkus šalutinis poveikis</w:t>
      </w:r>
    </w:p>
    <w:p w14:paraId="0D6E79D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6243F47B" w14:textId="6B89DF9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 xml:space="preserve">Pastebėję bet kokį toliau nurodytą šalutinį poveikį, nutraukite </w:t>
      </w:r>
      <w:r w:rsidR="00561534" w:rsidRPr="00A552D9">
        <w:rPr>
          <w:rFonts w:ascii="Times New Roman" w:eastAsia="Times New Roman" w:hAnsi="Times New Roman" w:cs="Times New Roman"/>
          <w:b/>
          <w:kern w:val="0"/>
          <w:lang w:val="lt-LT"/>
          <w14:ligatures w14:val="none"/>
        </w:rPr>
        <w:t>Pomalidomide Olpha</w:t>
      </w:r>
      <w:r w:rsidRPr="00A552D9">
        <w:rPr>
          <w:rFonts w:ascii="Times New Roman" w:eastAsia="Times New Roman" w:hAnsi="Times New Roman" w:cs="Times New Roman"/>
          <w:b/>
          <w:kern w:val="0"/>
          <w:lang w:val="lt-LT"/>
          <w14:ligatures w14:val="none"/>
        </w:rPr>
        <w:t xml:space="preserve"> vartojimą ir nedelsdami kreipkitės į gydytoją, nes Jums gali reikėti skubaus medicininio gydymo:</w:t>
      </w:r>
    </w:p>
    <w:p w14:paraId="7B308561" w14:textId="134DBB6D"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Karščiavimas, drebulys, gerklės </w:t>
      </w:r>
      <w:r w:rsidR="001314F6" w:rsidRPr="00A552D9">
        <w:rPr>
          <w:rFonts w:ascii="Times New Roman" w:eastAsia="Times New Roman" w:hAnsi="Times New Roman" w:cs="Times New Roman"/>
          <w:kern w:val="0"/>
          <w:lang w:val="lt-LT"/>
          <w14:ligatures w14:val="none"/>
        </w:rPr>
        <w:t>skausmas</w:t>
      </w:r>
      <w:r w:rsidRPr="00A552D9">
        <w:rPr>
          <w:rFonts w:ascii="Times New Roman" w:eastAsia="Times New Roman" w:hAnsi="Times New Roman" w:cs="Times New Roman"/>
          <w:kern w:val="0"/>
          <w:lang w:val="lt-LT"/>
          <w14:ligatures w14:val="none"/>
        </w:rPr>
        <w:t>, kosulys, burnos opos ar bet kokie kiti infekcijos požymiai (dėl mažesnio su infekcija kovojančių baltųjų kraujo ląstelių skaičiaus).</w:t>
      </w:r>
    </w:p>
    <w:p w14:paraId="0F79D799" w14:textId="658C0AE5"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Kraujavimas ar </w:t>
      </w:r>
      <w:r w:rsidR="00F835E7">
        <w:rPr>
          <w:rFonts w:ascii="Times New Roman" w:eastAsia="Times New Roman" w:hAnsi="Times New Roman" w:cs="Times New Roman"/>
          <w:kern w:val="0"/>
          <w:lang w:val="lt-LT"/>
          <w14:ligatures w14:val="none"/>
        </w:rPr>
        <w:t>mėlynės</w:t>
      </w:r>
      <w:r w:rsidR="00F835E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be priežasties, įskaitant kraujavimą iš nosies ir kraujavimą iš </w:t>
      </w:r>
      <w:r w:rsidR="00F835E7">
        <w:rPr>
          <w:rFonts w:ascii="Times New Roman" w:eastAsia="Times New Roman" w:hAnsi="Times New Roman" w:cs="Times New Roman"/>
          <w:kern w:val="0"/>
          <w:lang w:val="lt-LT"/>
          <w14:ligatures w14:val="none"/>
        </w:rPr>
        <w:t>žarnyno</w:t>
      </w:r>
      <w:r w:rsidR="00F835E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lastRenderedPageBreak/>
        <w:t xml:space="preserve">arba skrandžio (dėl poveikio </w:t>
      </w:r>
      <w:r w:rsidR="001A7F2F" w:rsidRPr="00A552D9">
        <w:rPr>
          <w:rFonts w:ascii="Times New Roman" w:eastAsia="Times New Roman" w:hAnsi="Times New Roman" w:cs="Times New Roman"/>
          <w:kern w:val="0"/>
          <w:lang w:val="lt-LT"/>
          <w14:ligatures w14:val="none"/>
        </w:rPr>
        <w:t xml:space="preserve">kraujo ląstelėms, vadinamoms </w:t>
      </w:r>
      <w:r w:rsidRPr="00A552D9">
        <w:rPr>
          <w:rFonts w:ascii="Times New Roman" w:eastAsia="Times New Roman" w:hAnsi="Times New Roman" w:cs="Times New Roman"/>
          <w:kern w:val="0"/>
          <w:lang w:val="lt-LT"/>
          <w14:ligatures w14:val="none"/>
        </w:rPr>
        <w:t>trombocitais).</w:t>
      </w:r>
    </w:p>
    <w:p w14:paraId="5050B7B6" w14:textId="5A8896BF"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Greitas kvėpavimas, </w:t>
      </w:r>
      <w:r w:rsidR="00093A94">
        <w:rPr>
          <w:rFonts w:ascii="Times New Roman" w:eastAsia="Times New Roman" w:hAnsi="Times New Roman" w:cs="Times New Roman"/>
          <w:kern w:val="0"/>
          <w:lang w:val="lt-LT"/>
          <w14:ligatures w14:val="none"/>
        </w:rPr>
        <w:t>dažnas</w:t>
      </w:r>
      <w:r w:rsidR="00093A9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pulsas, karščiavimas ir drebulys, labai negausus šlapinimasis arba nesišlapinimas, pykinimas ir vėmimas, sumišimas, sąmonės praradimas (dėl kraujo infekcijos, vadinamos sepsiu arba septiniu šoku).</w:t>
      </w:r>
    </w:p>
    <w:p w14:paraId="43A4A49F"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i/>
          <w:kern w:val="0"/>
          <w:lang w:val="lt-LT"/>
          <w14:ligatures w14:val="none"/>
        </w:rPr>
        <w:t xml:space="preserve">Clostridium difficile </w:t>
      </w:r>
      <w:r w:rsidRPr="00A552D9">
        <w:rPr>
          <w:rFonts w:ascii="Times New Roman" w:eastAsia="Times New Roman" w:hAnsi="Times New Roman" w:cs="Times New Roman"/>
          <w:kern w:val="0"/>
          <w:lang w:val="lt-LT"/>
          <w14:ligatures w14:val="none"/>
        </w:rPr>
        <w:t>bakterijos sukeltas sunkus, nepraeinantis viduriavimas arba viduriavimas su kraujo priemaiša (gali būti su pilvo skausmu ar karščiavimu).</w:t>
      </w:r>
    </w:p>
    <w:p w14:paraId="1E4C49FF" w14:textId="128D8083"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Skausmas krūtinėje arba </w:t>
      </w:r>
      <w:r w:rsidR="00707A7A" w:rsidRPr="00A552D9">
        <w:rPr>
          <w:rFonts w:ascii="Times New Roman" w:eastAsia="Times New Roman" w:hAnsi="Times New Roman" w:cs="Times New Roman"/>
          <w:kern w:val="0"/>
          <w:lang w:val="lt-LT"/>
          <w14:ligatures w14:val="none"/>
        </w:rPr>
        <w:t>kojų skausmas ir patinimas</w:t>
      </w:r>
      <w:r w:rsidRPr="00A552D9">
        <w:rPr>
          <w:rFonts w:ascii="Times New Roman" w:eastAsia="Times New Roman" w:hAnsi="Times New Roman" w:cs="Times New Roman"/>
          <w:kern w:val="0"/>
          <w:lang w:val="lt-LT"/>
          <w14:ligatures w14:val="none"/>
        </w:rPr>
        <w:t>, ypač apatinės dalies ar blauzdų (sukeliamas kraujo krešulių).</w:t>
      </w:r>
    </w:p>
    <w:p w14:paraId="6FBF742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Dusulys (dėl sunkios krūtinės infekcijos, plaučių uždegimo, širdies nepakankamumo ar kraujo krešulio).</w:t>
      </w:r>
    </w:p>
    <w:p w14:paraId="1ED7148B"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Veido, lūpų, liežuvio ir gerklės patinimas, dėl kurio gali pasunkėti kvėpavimas (dėl sunkių tipų alerginių reakcijų, vadinamų angioneurozine edema ir anafilaksine reakcija).</w:t>
      </w:r>
    </w:p>
    <w:p w14:paraId="3C3BEA65" w14:textId="69F7F658"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Tam tikrų tipų odos vėžys (plokščialąstelinė karcinoma ir bazalinių ląstelių karcinoma), galintis sukelti odos išvaizdos pokyčius arba darinių atsiradimą ant odos. Jeigu vartodami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pastebėjote bet kokių odos pokyčių, kiek galima greičiau apie tai pasakykite savo gydytojui.</w:t>
      </w:r>
    </w:p>
    <w:p w14:paraId="619BEC9F"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Hepatito B infekcijos atsinaujinimas, galintis sukelti odos ir akių pageltimą, tamsiai rudą šlapimo spalvą, dešinės pusės pilvo skausmą, karščiavimą ir pykinimo pojūtį ar šleikštulį. Nedelsdami pasakykite gydytojui, jeigu pastebėjote bent vieną iš šių simptomų.</w:t>
      </w:r>
    </w:p>
    <w:p w14:paraId="35D177FD" w14:textId="572F2719"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Išplitęs bėrimas, aukšta kūno temperatūra, padidėję limfmazgiai ir kitų kūno organų </w:t>
      </w:r>
      <w:r w:rsidR="008F1AC5">
        <w:rPr>
          <w:rFonts w:ascii="Times New Roman" w:eastAsia="Times New Roman" w:hAnsi="Times New Roman" w:cs="Times New Roman"/>
          <w:kern w:val="0"/>
          <w:lang w:val="lt-LT"/>
          <w14:ligatures w14:val="none"/>
        </w:rPr>
        <w:t>sutrikimai</w:t>
      </w:r>
      <w:r w:rsidR="008F1AC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(reakcija į vaistą su eozinofilija ir sisteminiais simptomais, dar vadinama VRESS arba padidėjusio jautrumo vaistui sindromu, toksinė epidermio nekrolizė arba Stivenso</w:t>
      </w:r>
      <w:r w:rsidRPr="00A552D9">
        <w:rPr>
          <w:rFonts w:ascii="Times New Roman" w:eastAsia="Times New Roman" w:hAnsi="Times New Roman" w:cs="Times New Roman"/>
          <w:kern w:val="0"/>
          <w:lang w:val="lt-LT"/>
          <w14:ligatures w14:val="none"/>
        </w:rPr>
        <w:noBreakHyphen/>
        <w:t>Džonsono sindromas). Jei pasireiškia šie simptomai, pomalidomido vartojimą reikia nutraukti ir nedelsiant kreiptis į gydytoją arba medicininės pagalbos. Taip pat žr. 2 skyrių.</w:t>
      </w:r>
    </w:p>
    <w:p w14:paraId="3FF4F1C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2EC93CC" w14:textId="24A623ED"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Pastebėję bet kokį pirmiau nurodytą sunkų šalutinį poveikį, </w:t>
      </w:r>
      <w:r w:rsidRPr="00A552D9">
        <w:rPr>
          <w:rFonts w:ascii="Times New Roman" w:eastAsia="Times New Roman" w:hAnsi="Times New Roman" w:cs="Times New Roman"/>
          <w:b/>
          <w:kern w:val="0"/>
          <w:lang w:val="lt-LT"/>
          <w14:ligatures w14:val="none"/>
        </w:rPr>
        <w:t xml:space="preserve">nutraukite </w:t>
      </w:r>
      <w:r w:rsidR="00561534" w:rsidRPr="00A552D9">
        <w:rPr>
          <w:rFonts w:ascii="Times New Roman" w:eastAsia="Times New Roman" w:hAnsi="Times New Roman" w:cs="Times New Roman"/>
          <w:b/>
          <w:kern w:val="0"/>
          <w:lang w:val="lt-LT"/>
          <w14:ligatures w14:val="none"/>
        </w:rPr>
        <w:t>Pomalidomide Olpha</w:t>
      </w:r>
      <w:r w:rsidRPr="00A552D9">
        <w:rPr>
          <w:rFonts w:ascii="Times New Roman" w:eastAsia="Times New Roman" w:hAnsi="Times New Roman" w:cs="Times New Roman"/>
          <w:b/>
          <w:kern w:val="0"/>
          <w:lang w:val="lt-LT"/>
          <w14:ligatures w14:val="none"/>
        </w:rPr>
        <w:t xml:space="preserve"> vartojimą ir nedelsdami kreipkitės į gydytoją</w:t>
      </w:r>
      <w:r w:rsidRPr="00A552D9">
        <w:rPr>
          <w:rFonts w:ascii="Times New Roman" w:eastAsia="Times New Roman" w:hAnsi="Times New Roman" w:cs="Times New Roman"/>
          <w:kern w:val="0"/>
          <w:lang w:val="lt-LT"/>
          <w14:ligatures w14:val="none"/>
        </w:rPr>
        <w:t>, nes Jums gali reikėti skubaus medicininio gydymo.</w:t>
      </w:r>
    </w:p>
    <w:p w14:paraId="38EEC28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AAA0246"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Kitas šalutinis poveikis</w:t>
      </w:r>
    </w:p>
    <w:p w14:paraId="2725FE9D" w14:textId="710FF8E8"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Labai dažnas </w:t>
      </w:r>
      <w:r w:rsidRPr="00A552D9">
        <w:rPr>
          <w:rFonts w:ascii="Times New Roman" w:eastAsia="Times New Roman" w:hAnsi="Times New Roman" w:cs="Times New Roman"/>
          <w:kern w:val="0"/>
          <w:lang w:val="lt-LT"/>
          <w14:ligatures w14:val="none"/>
        </w:rPr>
        <w:t>(gali pasireikšti ne rečiau kaip 1 iš 10 asmenų)</w:t>
      </w:r>
      <w:r w:rsidR="006D16E8" w:rsidRPr="00A552D9">
        <w:rPr>
          <w:rFonts w:ascii="Times New Roman" w:eastAsia="Times New Roman" w:hAnsi="Times New Roman" w:cs="Times New Roman"/>
          <w:kern w:val="0"/>
          <w:lang w:val="lt-LT"/>
          <w14:ligatures w14:val="none"/>
        </w:rPr>
        <w:t>:</w:t>
      </w:r>
    </w:p>
    <w:p w14:paraId="77A595F0" w14:textId="634F5814"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usulys (dispnėja)</w:t>
      </w:r>
      <w:r w:rsidR="0081786F">
        <w:rPr>
          <w:rFonts w:ascii="Times New Roman" w:eastAsia="Times New Roman" w:hAnsi="Times New Roman" w:cs="Times New Roman"/>
          <w:kern w:val="0"/>
          <w:lang w:val="lt-LT"/>
          <w14:ligatures w14:val="none"/>
        </w:rPr>
        <w:t>;</w:t>
      </w:r>
    </w:p>
    <w:p w14:paraId="26760E47" w14:textId="61663069"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laučių infekcijos (plaučių uždegimas ir bronchitas)</w:t>
      </w:r>
      <w:r w:rsidR="0081786F">
        <w:rPr>
          <w:rFonts w:ascii="Times New Roman" w:eastAsia="Times New Roman" w:hAnsi="Times New Roman" w:cs="Times New Roman"/>
          <w:kern w:val="0"/>
          <w:lang w:val="lt-LT"/>
          <w14:ligatures w14:val="none"/>
        </w:rPr>
        <w:t>;</w:t>
      </w:r>
    </w:p>
    <w:p w14:paraId="1A0E7776" w14:textId="43964E3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b</w:t>
      </w:r>
      <w:r w:rsidR="00861275" w:rsidRPr="00A552D9">
        <w:rPr>
          <w:rFonts w:ascii="Times New Roman" w:eastAsia="Times New Roman" w:hAnsi="Times New Roman" w:cs="Times New Roman"/>
          <w:kern w:val="0"/>
          <w:lang w:val="lt-LT"/>
          <w14:ligatures w14:val="none"/>
        </w:rPr>
        <w:t>akterijų ar virusų sukeliamos nosies, sinusų (ančių) ir gerklės infekcijos</w:t>
      </w:r>
      <w:r w:rsidR="0081786F">
        <w:rPr>
          <w:rFonts w:ascii="Times New Roman" w:eastAsia="Times New Roman" w:hAnsi="Times New Roman" w:cs="Times New Roman"/>
          <w:kern w:val="0"/>
          <w:lang w:val="lt-LT"/>
          <w14:ligatures w14:val="none"/>
        </w:rPr>
        <w:t>;</w:t>
      </w:r>
    </w:p>
    <w:p w14:paraId="3809B027" w14:textId="30119E27"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į</w:t>
      </w:r>
      <w:r w:rsidR="00861275" w:rsidRPr="00A552D9">
        <w:rPr>
          <w:rFonts w:ascii="Times New Roman" w:eastAsia="Times New Roman" w:hAnsi="Times New Roman" w:cs="Times New Roman"/>
          <w:kern w:val="0"/>
          <w:lang w:val="lt-LT"/>
          <w14:ligatures w14:val="none"/>
        </w:rPr>
        <w:t xml:space="preserve"> gripą panašūs simptomai (gripas)</w:t>
      </w:r>
      <w:r w:rsidR="0081786F">
        <w:rPr>
          <w:rFonts w:ascii="Times New Roman" w:eastAsia="Times New Roman" w:hAnsi="Times New Roman" w:cs="Times New Roman"/>
          <w:kern w:val="0"/>
          <w:lang w:val="lt-LT"/>
          <w14:ligatures w14:val="none"/>
        </w:rPr>
        <w:t>;</w:t>
      </w:r>
    </w:p>
    <w:p w14:paraId="66B78A2E" w14:textId="5C233C3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ažas raudonųjų kraujo ląstelių skaičius, dėl ko gali pasireikšti anemija, sukelianti nuovargį ir silpnumą</w:t>
      </w:r>
      <w:r w:rsidR="0081786F">
        <w:rPr>
          <w:rFonts w:ascii="Times New Roman" w:eastAsia="Times New Roman" w:hAnsi="Times New Roman" w:cs="Times New Roman"/>
          <w:kern w:val="0"/>
          <w:lang w:val="lt-LT"/>
          <w14:ligatures w14:val="none"/>
        </w:rPr>
        <w:t>;</w:t>
      </w:r>
    </w:p>
    <w:p w14:paraId="2A3CE187" w14:textId="6CAD3BF0"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 xml:space="preserve">aža kalio koncentracija kraujyje (hipokalemija), kuri gali sukelti silpnumą, raumenų mėšlungį, raumenų skausmus, </w:t>
      </w:r>
      <w:r w:rsidR="00F46EC1">
        <w:rPr>
          <w:rFonts w:ascii="Times New Roman" w:eastAsia="Times New Roman" w:hAnsi="Times New Roman" w:cs="Times New Roman"/>
          <w:kern w:val="0"/>
          <w:lang w:val="lt-LT"/>
          <w14:ligatures w14:val="none"/>
        </w:rPr>
        <w:t>širdies plakimo, perplakimo jausmą (</w:t>
      </w:r>
      <w:r w:rsidR="00861275" w:rsidRPr="00A552D9">
        <w:rPr>
          <w:rFonts w:ascii="Times New Roman" w:eastAsia="Times New Roman" w:hAnsi="Times New Roman" w:cs="Times New Roman"/>
          <w:kern w:val="0"/>
          <w:lang w:val="lt-LT"/>
          <w14:ligatures w14:val="none"/>
        </w:rPr>
        <w:t>palpitacijas</w:t>
      </w:r>
      <w:r w:rsidR="00F46EC1">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dilgčiojimą ar tirpimą, dusulį, nuotaikos pokyčius</w:t>
      </w:r>
      <w:r w:rsidR="0081786F">
        <w:rPr>
          <w:rFonts w:ascii="Times New Roman" w:eastAsia="Times New Roman" w:hAnsi="Times New Roman" w:cs="Times New Roman"/>
          <w:kern w:val="0"/>
          <w:lang w:val="lt-LT"/>
          <w14:ligatures w14:val="none"/>
        </w:rPr>
        <w:t>;</w:t>
      </w:r>
    </w:p>
    <w:p w14:paraId="7CA4B136" w14:textId="33B1F40E"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cukraus kiekis kraujyje</w:t>
      </w:r>
      <w:r w:rsidR="0081786F">
        <w:rPr>
          <w:rFonts w:ascii="Times New Roman" w:eastAsia="Times New Roman" w:hAnsi="Times New Roman" w:cs="Times New Roman"/>
          <w:kern w:val="0"/>
          <w:lang w:val="lt-LT"/>
          <w14:ligatures w14:val="none"/>
        </w:rPr>
        <w:t>;</w:t>
      </w:r>
    </w:p>
    <w:p w14:paraId="552F5529" w14:textId="5B4B62E7"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g</w:t>
      </w:r>
      <w:r w:rsidR="00861275" w:rsidRPr="00A552D9">
        <w:rPr>
          <w:rFonts w:ascii="Times New Roman" w:eastAsia="Times New Roman" w:hAnsi="Times New Roman" w:cs="Times New Roman"/>
          <w:kern w:val="0"/>
          <w:lang w:val="lt-LT"/>
          <w14:ligatures w14:val="none"/>
        </w:rPr>
        <w:t>reitas ir nereguliarus širdies plakimas (prieširdžių virpėjimas)</w:t>
      </w:r>
      <w:r w:rsidR="0081786F">
        <w:rPr>
          <w:rFonts w:ascii="Times New Roman" w:eastAsia="Times New Roman" w:hAnsi="Times New Roman" w:cs="Times New Roman"/>
          <w:kern w:val="0"/>
          <w:lang w:val="lt-LT"/>
          <w14:ligatures w14:val="none"/>
        </w:rPr>
        <w:t>;</w:t>
      </w:r>
    </w:p>
    <w:p w14:paraId="13E2D925" w14:textId="7FE1BB68"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a</w:t>
      </w:r>
      <w:r w:rsidR="00861275" w:rsidRPr="00A552D9">
        <w:rPr>
          <w:rFonts w:ascii="Times New Roman" w:eastAsia="Times New Roman" w:hAnsi="Times New Roman" w:cs="Times New Roman"/>
          <w:kern w:val="0"/>
          <w:lang w:val="lt-LT"/>
          <w14:ligatures w14:val="none"/>
        </w:rPr>
        <w:t>petito praradimas</w:t>
      </w:r>
      <w:r w:rsidR="0081786F">
        <w:rPr>
          <w:rFonts w:ascii="Times New Roman" w:eastAsia="Times New Roman" w:hAnsi="Times New Roman" w:cs="Times New Roman"/>
          <w:kern w:val="0"/>
          <w:lang w:val="lt-LT"/>
          <w14:ligatures w14:val="none"/>
        </w:rPr>
        <w:t>;</w:t>
      </w:r>
    </w:p>
    <w:p w14:paraId="00B10C5B" w14:textId="4CADB87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v</w:t>
      </w:r>
      <w:r w:rsidR="00861275" w:rsidRPr="00A552D9">
        <w:rPr>
          <w:rFonts w:ascii="Times New Roman" w:eastAsia="Times New Roman" w:hAnsi="Times New Roman" w:cs="Times New Roman"/>
          <w:kern w:val="0"/>
          <w:lang w:val="lt-LT"/>
          <w14:ligatures w14:val="none"/>
        </w:rPr>
        <w:t>idurių užkietėjimas, viduriavimas ar pykinimas</w:t>
      </w:r>
      <w:r w:rsidR="0081786F">
        <w:rPr>
          <w:rFonts w:ascii="Times New Roman" w:eastAsia="Times New Roman" w:hAnsi="Times New Roman" w:cs="Times New Roman"/>
          <w:kern w:val="0"/>
          <w:lang w:val="lt-LT"/>
          <w14:ligatures w14:val="none"/>
        </w:rPr>
        <w:t>;</w:t>
      </w:r>
    </w:p>
    <w:p w14:paraId="23339D1B" w14:textId="161AE34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135E6D" w:rsidRPr="00A552D9">
        <w:rPr>
          <w:rFonts w:ascii="Times New Roman" w:eastAsia="Times New Roman" w:hAnsi="Times New Roman" w:cs="Times New Roman"/>
          <w:kern w:val="0"/>
          <w:lang w:val="lt-LT"/>
          <w14:ligatures w14:val="none"/>
        </w:rPr>
        <w:t>ykinimas (v</w:t>
      </w:r>
      <w:r w:rsidR="00861275" w:rsidRPr="00A552D9">
        <w:rPr>
          <w:rFonts w:ascii="Times New Roman" w:eastAsia="Times New Roman" w:hAnsi="Times New Roman" w:cs="Times New Roman"/>
          <w:kern w:val="0"/>
          <w:lang w:val="lt-LT"/>
          <w14:ligatures w14:val="none"/>
        </w:rPr>
        <w:t>ėmimas</w:t>
      </w:r>
      <w:r w:rsidR="00135E6D" w:rsidRPr="00A552D9">
        <w:rPr>
          <w:rFonts w:ascii="Times New Roman" w:eastAsia="Times New Roman" w:hAnsi="Times New Roman" w:cs="Times New Roman"/>
          <w:kern w:val="0"/>
          <w:lang w:val="lt-LT"/>
          <w14:ligatures w14:val="none"/>
        </w:rPr>
        <w:t>)</w:t>
      </w:r>
      <w:r w:rsidR="0081786F">
        <w:rPr>
          <w:rFonts w:ascii="Times New Roman" w:eastAsia="Times New Roman" w:hAnsi="Times New Roman" w:cs="Times New Roman"/>
          <w:kern w:val="0"/>
          <w:lang w:val="lt-LT"/>
          <w14:ligatures w14:val="none"/>
        </w:rPr>
        <w:t>;</w:t>
      </w:r>
    </w:p>
    <w:p w14:paraId="0E1EE86F" w14:textId="1915138B"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ilvo skausmas</w:t>
      </w:r>
      <w:r w:rsidR="0081786F">
        <w:rPr>
          <w:rFonts w:ascii="Times New Roman" w:eastAsia="Times New Roman" w:hAnsi="Times New Roman" w:cs="Times New Roman"/>
          <w:kern w:val="0"/>
          <w:lang w:val="lt-LT"/>
          <w14:ligatures w14:val="none"/>
        </w:rPr>
        <w:t>;</w:t>
      </w:r>
    </w:p>
    <w:p w14:paraId="52C79E36" w14:textId="1F066DCB"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e</w:t>
      </w:r>
      <w:r w:rsidR="00861275" w:rsidRPr="00A552D9">
        <w:rPr>
          <w:rFonts w:ascii="Times New Roman" w:eastAsia="Times New Roman" w:hAnsi="Times New Roman" w:cs="Times New Roman"/>
          <w:kern w:val="0"/>
          <w:lang w:val="lt-LT"/>
          <w14:ligatures w14:val="none"/>
        </w:rPr>
        <w:t>nergijos stoka</w:t>
      </w:r>
      <w:r w:rsidR="0081786F">
        <w:rPr>
          <w:rFonts w:ascii="Times New Roman" w:eastAsia="Times New Roman" w:hAnsi="Times New Roman" w:cs="Times New Roman"/>
          <w:kern w:val="0"/>
          <w:lang w:val="lt-LT"/>
          <w14:ligatures w14:val="none"/>
        </w:rPr>
        <w:t>;</w:t>
      </w:r>
    </w:p>
    <w:p w14:paraId="4F0D626F" w14:textId="2ABBCE47"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asunkėjęs užmigimas ar sutrikęs miegas</w:t>
      </w:r>
      <w:r w:rsidR="0081786F">
        <w:rPr>
          <w:rFonts w:ascii="Times New Roman" w:eastAsia="Times New Roman" w:hAnsi="Times New Roman" w:cs="Times New Roman"/>
          <w:kern w:val="0"/>
          <w:lang w:val="lt-LT"/>
          <w14:ligatures w14:val="none"/>
        </w:rPr>
        <w:t>;</w:t>
      </w:r>
    </w:p>
    <w:p w14:paraId="4F861231" w14:textId="3446B9D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vaigulys, tremoras</w:t>
      </w:r>
      <w:r w:rsidR="0081786F">
        <w:rPr>
          <w:rFonts w:ascii="Times New Roman" w:eastAsia="Times New Roman" w:hAnsi="Times New Roman" w:cs="Times New Roman"/>
          <w:kern w:val="0"/>
          <w:lang w:val="lt-LT"/>
          <w14:ligatures w14:val="none"/>
        </w:rPr>
        <w:t>;</w:t>
      </w:r>
    </w:p>
    <w:p w14:paraId="6574C1C8" w14:textId="1E1BDC3B"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r</w:t>
      </w:r>
      <w:r w:rsidR="00861275" w:rsidRPr="00A552D9">
        <w:rPr>
          <w:rFonts w:ascii="Times New Roman" w:eastAsia="Times New Roman" w:hAnsi="Times New Roman" w:cs="Times New Roman"/>
          <w:kern w:val="0"/>
          <w:lang w:val="lt-LT"/>
          <w14:ligatures w14:val="none"/>
        </w:rPr>
        <w:t>aumenų spazmai, raumenų silpnumas</w:t>
      </w:r>
      <w:r w:rsidR="0081786F">
        <w:rPr>
          <w:rFonts w:ascii="Times New Roman" w:eastAsia="Times New Roman" w:hAnsi="Times New Roman" w:cs="Times New Roman"/>
          <w:kern w:val="0"/>
          <w:lang w:val="lt-LT"/>
          <w14:ligatures w14:val="none"/>
        </w:rPr>
        <w:t>;</w:t>
      </w:r>
    </w:p>
    <w:p w14:paraId="4B3B09A5" w14:textId="6D20F39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aulų skausmas, nugaros skausmas</w:t>
      </w:r>
      <w:r w:rsidR="0081786F">
        <w:rPr>
          <w:rFonts w:ascii="Times New Roman" w:eastAsia="Times New Roman" w:hAnsi="Times New Roman" w:cs="Times New Roman"/>
          <w:kern w:val="0"/>
          <w:lang w:val="lt-LT"/>
          <w14:ligatures w14:val="none"/>
        </w:rPr>
        <w:t>;</w:t>
      </w:r>
    </w:p>
    <w:p w14:paraId="32EDDFAD" w14:textId="646B36B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 xml:space="preserve">utirpimas, dilgsėjimas ar deginimo pojūtis odoje, skausmas </w:t>
      </w:r>
      <w:r w:rsidR="001A6C6E">
        <w:rPr>
          <w:rFonts w:ascii="Times New Roman" w:eastAsia="Times New Roman" w:hAnsi="Times New Roman" w:cs="Times New Roman"/>
          <w:kern w:val="0"/>
          <w:lang w:val="lt-LT"/>
          <w14:ligatures w14:val="none"/>
        </w:rPr>
        <w:t>rankose</w:t>
      </w:r>
      <w:r w:rsidR="001A6C6E"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ir pėdose (periferinė sensorinė neuropatija)</w:t>
      </w:r>
      <w:r w:rsidR="0081786F">
        <w:rPr>
          <w:rFonts w:ascii="Times New Roman" w:eastAsia="Times New Roman" w:hAnsi="Times New Roman" w:cs="Times New Roman"/>
          <w:kern w:val="0"/>
          <w:lang w:val="lt-LT"/>
          <w14:ligatures w14:val="none"/>
        </w:rPr>
        <w:t>;</w:t>
      </w:r>
    </w:p>
    <w:p w14:paraId="6AAAB66E" w14:textId="1E9651B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ūno tinimas, įskaitant rankų ar kojų tinimą</w:t>
      </w:r>
      <w:r w:rsidR="0081786F">
        <w:rPr>
          <w:rFonts w:ascii="Times New Roman" w:eastAsia="Times New Roman" w:hAnsi="Times New Roman" w:cs="Times New Roman"/>
          <w:kern w:val="0"/>
          <w:lang w:val="lt-LT"/>
          <w14:ligatures w14:val="none"/>
        </w:rPr>
        <w:t>;</w:t>
      </w:r>
    </w:p>
    <w:p w14:paraId="322577D9" w14:textId="3C24E282"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bėrima</w:t>
      </w:r>
      <w:r w:rsidR="00D15F34" w:rsidRPr="00A552D9">
        <w:rPr>
          <w:rFonts w:ascii="Times New Roman" w:eastAsia="Times New Roman" w:hAnsi="Times New Roman" w:cs="Times New Roman"/>
          <w:kern w:val="0"/>
          <w:lang w:val="lt-LT"/>
          <w14:ligatures w14:val="none"/>
        </w:rPr>
        <w:t>i</w:t>
      </w:r>
      <w:r w:rsidR="0081786F">
        <w:rPr>
          <w:rFonts w:ascii="Times New Roman" w:eastAsia="Times New Roman" w:hAnsi="Times New Roman" w:cs="Times New Roman"/>
          <w:kern w:val="0"/>
          <w:lang w:val="lt-LT"/>
          <w14:ligatures w14:val="none"/>
        </w:rPr>
        <w:t>;</w:t>
      </w:r>
    </w:p>
    <w:p w14:paraId="62738A29" w14:textId="2EAD1079" w:rsidR="00861275" w:rsidRPr="00A552D9" w:rsidRDefault="0081786F"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š</w:t>
      </w:r>
      <w:r w:rsidR="00861275" w:rsidRPr="00A552D9">
        <w:rPr>
          <w:rFonts w:ascii="Times New Roman" w:eastAsia="Times New Roman" w:hAnsi="Times New Roman" w:cs="Times New Roman"/>
          <w:kern w:val="0"/>
          <w:lang w:val="lt-LT"/>
          <w14:ligatures w14:val="none"/>
        </w:rPr>
        <w:t xml:space="preserve">lapimo takų infekcija, kuri gali sukelti deginimo pojūtį šlapinantis arba poreikį dažniau </w:t>
      </w:r>
      <w:r w:rsidR="00861275" w:rsidRPr="00A552D9">
        <w:rPr>
          <w:rFonts w:ascii="Times New Roman" w:eastAsia="Times New Roman" w:hAnsi="Times New Roman" w:cs="Times New Roman"/>
          <w:kern w:val="0"/>
          <w:lang w:val="lt-LT"/>
          <w14:ligatures w14:val="none"/>
        </w:rPr>
        <w:lastRenderedPageBreak/>
        <w:t>šlapintis.</w:t>
      </w:r>
    </w:p>
    <w:p w14:paraId="058827E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370918D" w14:textId="0CCCC88E"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Dažnas </w:t>
      </w:r>
      <w:r w:rsidRPr="00A552D9">
        <w:rPr>
          <w:rFonts w:ascii="Times New Roman" w:eastAsia="Times New Roman" w:hAnsi="Times New Roman" w:cs="Times New Roman"/>
          <w:kern w:val="0"/>
          <w:lang w:val="lt-LT"/>
          <w14:ligatures w14:val="none"/>
        </w:rPr>
        <w:t>(gali pasireikšti rečiau kaip 1 iš 10 asmenų)</w:t>
      </w:r>
      <w:r w:rsidR="006D16E8" w:rsidRPr="00A552D9">
        <w:rPr>
          <w:rFonts w:ascii="Times New Roman" w:eastAsia="Times New Roman" w:hAnsi="Times New Roman" w:cs="Times New Roman"/>
          <w:kern w:val="0"/>
          <w:lang w:val="lt-LT"/>
          <w14:ligatures w14:val="none"/>
        </w:rPr>
        <w:t>:</w:t>
      </w:r>
    </w:p>
    <w:p w14:paraId="208CC1FD" w14:textId="429CB69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g</w:t>
      </w:r>
      <w:r w:rsidR="00B83075">
        <w:rPr>
          <w:rFonts w:ascii="Times New Roman" w:eastAsia="Times New Roman" w:hAnsi="Times New Roman" w:cs="Times New Roman"/>
          <w:kern w:val="0"/>
          <w:lang w:val="lt-LT"/>
          <w14:ligatures w14:val="none"/>
        </w:rPr>
        <w:t>riuvimas</w:t>
      </w:r>
      <w:r>
        <w:rPr>
          <w:rFonts w:ascii="Times New Roman" w:eastAsia="Times New Roman" w:hAnsi="Times New Roman" w:cs="Times New Roman"/>
          <w:kern w:val="0"/>
          <w:lang w:val="lt-LT"/>
          <w14:ligatures w14:val="none"/>
        </w:rPr>
        <w:t>;</w:t>
      </w:r>
    </w:p>
    <w:p w14:paraId="52FAD2BD" w14:textId="20BCCF5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raujavimas kaukolės viduje</w:t>
      </w:r>
      <w:r>
        <w:rPr>
          <w:rFonts w:ascii="Times New Roman" w:eastAsia="Times New Roman" w:hAnsi="Times New Roman" w:cs="Times New Roman"/>
          <w:kern w:val="0"/>
          <w:lang w:val="lt-LT"/>
          <w14:ligatures w14:val="none"/>
        </w:rPr>
        <w:t>;</w:t>
      </w:r>
    </w:p>
    <w:p w14:paraId="7B736F9A" w14:textId="5A3B1D8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umažėjęs gebėjimas judėti ar jausti (jutimas) plaštakose, rankose, kojose ir pėdose dėl nervų pažeidimo (periferinė sensorinė motorinė neuropatija)</w:t>
      </w:r>
      <w:r>
        <w:rPr>
          <w:rFonts w:ascii="Times New Roman" w:eastAsia="Times New Roman" w:hAnsi="Times New Roman" w:cs="Times New Roman"/>
          <w:kern w:val="0"/>
          <w:lang w:val="lt-LT"/>
          <w14:ligatures w14:val="none"/>
        </w:rPr>
        <w:t>;</w:t>
      </w:r>
    </w:p>
    <w:p w14:paraId="168D6A13" w14:textId="60D63AC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o</w:t>
      </w:r>
      <w:r w:rsidR="00861275" w:rsidRPr="00A552D9">
        <w:rPr>
          <w:rFonts w:ascii="Times New Roman" w:eastAsia="Times New Roman" w:hAnsi="Times New Roman" w:cs="Times New Roman"/>
          <w:kern w:val="0"/>
          <w:lang w:val="lt-LT"/>
          <w14:ligatures w14:val="none"/>
        </w:rPr>
        <w:t xml:space="preserve">dos nutirpimas, </w:t>
      </w:r>
      <w:r w:rsidR="00D033D4">
        <w:rPr>
          <w:rFonts w:ascii="Times New Roman" w:eastAsia="Times New Roman" w:hAnsi="Times New Roman" w:cs="Times New Roman"/>
          <w:kern w:val="0"/>
          <w:lang w:val="lt-LT"/>
          <w14:ligatures w14:val="none"/>
        </w:rPr>
        <w:t>niežulys</w:t>
      </w:r>
      <w:r w:rsidR="00D033D4"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 xml:space="preserve">ir </w:t>
      </w:r>
      <w:r w:rsidR="005B4314">
        <w:rPr>
          <w:rFonts w:ascii="Times New Roman" w:eastAsia="Times New Roman" w:hAnsi="Times New Roman" w:cs="Times New Roman"/>
          <w:kern w:val="0"/>
          <w:lang w:val="lt-LT"/>
          <w14:ligatures w14:val="none"/>
        </w:rPr>
        <w:t>dilgčiojimas</w:t>
      </w:r>
      <w:r w:rsidR="005B4314"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(parestezija)</w:t>
      </w:r>
      <w:r>
        <w:rPr>
          <w:rFonts w:ascii="Times New Roman" w:eastAsia="Times New Roman" w:hAnsi="Times New Roman" w:cs="Times New Roman"/>
          <w:kern w:val="0"/>
          <w:lang w:val="lt-LT"/>
          <w14:ligatures w14:val="none"/>
        </w:rPr>
        <w:t>;</w:t>
      </w:r>
    </w:p>
    <w:p w14:paraId="4A2B0995" w14:textId="1B0F680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g</w:t>
      </w:r>
      <w:r w:rsidR="00861275" w:rsidRPr="00A552D9">
        <w:rPr>
          <w:rFonts w:ascii="Times New Roman" w:eastAsia="Times New Roman" w:hAnsi="Times New Roman" w:cs="Times New Roman"/>
          <w:kern w:val="0"/>
          <w:lang w:val="lt-LT"/>
          <w14:ligatures w14:val="none"/>
        </w:rPr>
        <w:t>alvos sukimosi pojūtis, dėl kurio sunku atsistoti ir normaliai judėti</w:t>
      </w:r>
      <w:r>
        <w:rPr>
          <w:rFonts w:ascii="Times New Roman" w:eastAsia="Times New Roman" w:hAnsi="Times New Roman" w:cs="Times New Roman"/>
          <w:kern w:val="0"/>
          <w:lang w:val="lt-LT"/>
          <w14:ligatures w14:val="none"/>
        </w:rPr>
        <w:t>;</w:t>
      </w:r>
    </w:p>
    <w:p w14:paraId="701B792F" w14:textId="4B506DD9"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atinimas, sukeltas skysči</w:t>
      </w:r>
      <w:r w:rsidR="00371576">
        <w:rPr>
          <w:rFonts w:ascii="Times New Roman" w:eastAsia="Times New Roman" w:hAnsi="Times New Roman" w:cs="Times New Roman"/>
          <w:kern w:val="0"/>
          <w:lang w:val="lt-LT"/>
          <w14:ligatures w14:val="none"/>
        </w:rPr>
        <w:t>ų</w:t>
      </w:r>
      <w:r>
        <w:rPr>
          <w:rFonts w:ascii="Times New Roman" w:eastAsia="Times New Roman" w:hAnsi="Times New Roman" w:cs="Times New Roman"/>
          <w:kern w:val="0"/>
          <w:lang w:val="lt-LT"/>
          <w14:ligatures w14:val="none"/>
        </w:rPr>
        <w:t>;</w:t>
      </w:r>
    </w:p>
    <w:p w14:paraId="6904FB08" w14:textId="12E40C16"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ilgėlinė (urtikarija)</w:t>
      </w:r>
      <w:r>
        <w:rPr>
          <w:rFonts w:ascii="Times New Roman" w:eastAsia="Times New Roman" w:hAnsi="Times New Roman" w:cs="Times New Roman"/>
          <w:kern w:val="0"/>
          <w:lang w:val="lt-LT"/>
          <w14:ligatures w14:val="none"/>
        </w:rPr>
        <w:t>;</w:t>
      </w:r>
    </w:p>
    <w:p w14:paraId="7F1F3E97" w14:textId="4AAC7882"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iežtinti oda</w:t>
      </w:r>
      <w:r>
        <w:rPr>
          <w:rFonts w:ascii="Times New Roman" w:eastAsia="Times New Roman" w:hAnsi="Times New Roman" w:cs="Times New Roman"/>
          <w:kern w:val="0"/>
          <w:lang w:val="lt-LT"/>
          <w14:ligatures w14:val="none"/>
        </w:rPr>
        <w:t>;</w:t>
      </w:r>
    </w:p>
    <w:p w14:paraId="6CB11B24" w14:textId="12BF57E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861275" w:rsidRPr="00A552D9">
        <w:rPr>
          <w:rFonts w:ascii="Times New Roman" w:eastAsia="Times New Roman" w:hAnsi="Times New Roman" w:cs="Times New Roman"/>
          <w:kern w:val="0"/>
          <w:lang w:val="lt-LT"/>
          <w14:ligatures w14:val="none"/>
        </w:rPr>
        <w:t>uostinė pūslelinė</w:t>
      </w:r>
      <w:r>
        <w:rPr>
          <w:rFonts w:ascii="Times New Roman" w:eastAsia="Times New Roman" w:hAnsi="Times New Roman" w:cs="Times New Roman"/>
          <w:kern w:val="0"/>
          <w:lang w:val="lt-LT"/>
          <w14:ligatures w14:val="none"/>
        </w:rPr>
        <w:t>;</w:t>
      </w:r>
    </w:p>
    <w:p w14:paraId="616B30AF" w14:textId="55BBC0E8"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š</w:t>
      </w:r>
      <w:r w:rsidR="00861275" w:rsidRPr="00A552D9">
        <w:rPr>
          <w:rFonts w:ascii="Times New Roman" w:eastAsia="Times New Roman" w:hAnsi="Times New Roman" w:cs="Times New Roman"/>
          <w:kern w:val="0"/>
          <w:lang w:val="lt-LT"/>
          <w14:ligatures w14:val="none"/>
        </w:rPr>
        <w:t>irdies smūgis (krūtinės skausmas, plintantis į rankas, kaklą, žandikaulį, prakaitavimas ir dusulys, pykinimas ar vėmimas)</w:t>
      </w:r>
      <w:r>
        <w:rPr>
          <w:rFonts w:ascii="Times New Roman" w:eastAsia="Times New Roman" w:hAnsi="Times New Roman" w:cs="Times New Roman"/>
          <w:kern w:val="0"/>
          <w:lang w:val="lt-LT"/>
          <w14:ligatures w14:val="none"/>
        </w:rPr>
        <w:t>;</w:t>
      </w:r>
    </w:p>
    <w:p w14:paraId="6837861C" w14:textId="5A69237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rūtinės skausmas, krūtinės infekcija</w:t>
      </w:r>
      <w:r>
        <w:rPr>
          <w:rFonts w:ascii="Times New Roman" w:eastAsia="Times New Roman" w:hAnsi="Times New Roman" w:cs="Times New Roman"/>
          <w:kern w:val="0"/>
          <w:lang w:val="lt-LT"/>
          <w14:ligatures w14:val="none"/>
        </w:rPr>
        <w:t>;</w:t>
      </w:r>
    </w:p>
    <w:p w14:paraId="3520C686" w14:textId="46055EB1"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adidėjęs kraujospūdis</w:t>
      </w:r>
      <w:r>
        <w:rPr>
          <w:rFonts w:ascii="Times New Roman" w:eastAsia="Times New Roman" w:hAnsi="Times New Roman" w:cs="Times New Roman"/>
          <w:kern w:val="0"/>
          <w:lang w:val="lt-LT"/>
          <w14:ligatures w14:val="none"/>
        </w:rPr>
        <w:t>;</w:t>
      </w:r>
    </w:p>
    <w:p w14:paraId="456CE12A" w14:textId="3D748F2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r</w:t>
      </w:r>
      <w:r w:rsidR="00861275" w:rsidRPr="00A552D9">
        <w:rPr>
          <w:rFonts w:ascii="Times New Roman" w:eastAsia="Times New Roman" w:hAnsi="Times New Roman" w:cs="Times New Roman"/>
          <w:kern w:val="0"/>
          <w:lang w:val="lt-LT"/>
          <w14:ligatures w14:val="none"/>
        </w:rPr>
        <w:t xml:space="preserve">audonųjų ir baltųjų kraujo ląstelių bei trombocitų skaičiaus sumažėjimas tuo pačiu metu (pancitopenija), dėl kurio </w:t>
      </w:r>
      <w:r w:rsidR="00AA486B">
        <w:rPr>
          <w:rFonts w:ascii="Times New Roman" w:eastAsia="Times New Roman" w:hAnsi="Times New Roman" w:cs="Times New Roman"/>
          <w:kern w:val="0"/>
          <w:lang w:val="lt-LT"/>
          <w14:ligatures w14:val="none"/>
        </w:rPr>
        <w:t>gali atsirasti</w:t>
      </w:r>
      <w:r w:rsidR="00861275" w:rsidRPr="00A552D9">
        <w:rPr>
          <w:rFonts w:ascii="Times New Roman" w:eastAsia="Times New Roman" w:hAnsi="Times New Roman" w:cs="Times New Roman"/>
          <w:kern w:val="0"/>
          <w:lang w:val="lt-LT"/>
          <w14:ligatures w14:val="none"/>
        </w:rPr>
        <w:t xml:space="preserve"> kraujavim</w:t>
      </w:r>
      <w:r w:rsidR="00AA486B">
        <w:rPr>
          <w:rFonts w:ascii="Times New Roman" w:eastAsia="Times New Roman" w:hAnsi="Times New Roman" w:cs="Times New Roman"/>
          <w:kern w:val="0"/>
          <w:lang w:val="lt-LT"/>
          <w14:ligatures w14:val="none"/>
        </w:rPr>
        <w:t>as</w:t>
      </w:r>
      <w:r w:rsidR="00861275" w:rsidRPr="00A552D9">
        <w:rPr>
          <w:rFonts w:ascii="Times New Roman" w:eastAsia="Times New Roman" w:hAnsi="Times New Roman" w:cs="Times New Roman"/>
          <w:kern w:val="0"/>
          <w:lang w:val="lt-LT"/>
          <w14:ligatures w14:val="none"/>
        </w:rPr>
        <w:t xml:space="preserve"> ir kraujosruv</w:t>
      </w:r>
      <w:r w:rsidR="00AA486B">
        <w:rPr>
          <w:rFonts w:ascii="Times New Roman" w:eastAsia="Times New Roman" w:hAnsi="Times New Roman" w:cs="Times New Roman"/>
          <w:kern w:val="0"/>
          <w:lang w:val="lt-LT"/>
          <w14:ligatures w14:val="none"/>
        </w:rPr>
        <w:t>o</w:t>
      </w:r>
      <w:r w:rsidR="00861275" w:rsidRPr="00A552D9">
        <w:rPr>
          <w:rFonts w:ascii="Times New Roman" w:eastAsia="Times New Roman" w:hAnsi="Times New Roman" w:cs="Times New Roman"/>
          <w:kern w:val="0"/>
          <w:lang w:val="lt-LT"/>
          <w14:ligatures w14:val="none"/>
        </w:rPr>
        <w:t>s</w:t>
      </w:r>
      <w:r>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xml:space="preserve"> Galite jausti nuovargį, silpnumą ir dusulį, taip pat Jums yra didesnė užsikrėtimo infekcija tikimybė</w:t>
      </w:r>
      <w:r>
        <w:rPr>
          <w:rFonts w:ascii="Times New Roman" w:eastAsia="Times New Roman" w:hAnsi="Times New Roman" w:cs="Times New Roman"/>
          <w:kern w:val="0"/>
          <w:lang w:val="lt-LT"/>
          <w14:ligatures w14:val="none"/>
        </w:rPr>
        <w:t>;</w:t>
      </w:r>
    </w:p>
    <w:p w14:paraId="7D06E3F7" w14:textId="0BD15D1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umažėjęs limfocitų (tam tikro tipo baltųjų kraujo kūnelių) skaičius (limfopenija), dažnai sukeltas infekcijos</w:t>
      </w:r>
      <w:r>
        <w:rPr>
          <w:rFonts w:ascii="Times New Roman" w:eastAsia="Times New Roman" w:hAnsi="Times New Roman" w:cs="Times New Roman"/>
          <w:kern w:val="0"/>
          <w:lang w:val="lt-LT"/>
          <w14:ligatures w14:val="none"/>
        </w:rPr>
        <w:t>;</w:t>
      </w:r>
    </w:p>
    <w:p w14:paraId="0C648786" w14:textId="3AA9B7E5"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 xml:space="preserve">ažas magnio kiekis kraujyje (hipomagnezemija), dėl kurio gali pasireikšti nuovargis, bendras silpnumas, raumenų mėšlungis, dirglumas ir gali sukelti kalcio kiekio kraujyje sumažėjimą (hipokalcemija), dėl ko gali atsirasti tirpimas ir (arba) rankų, kojų ar lūpų dilgčiojimas. raumenų mėšlungis, raumenų silpnumas, </w:t>
      </w:r>
      <w:r w:rsidR="001F6B3E">
        <w:rPr>
          <w:rFonts w:ascii="Times New Roman" w:eastAsia="Times New Roman" w:hAnsi="Times New Roman" w:cs="Times New Roman"/>
          <w:kern w:val="0"/>
          <w:lang w:val="lt-LT"/>
          <w14:ligatures w14:val="none"/>
        </w:rPr>
        <w:t>fc</w:t>
      </w:r>
      <w:r w:rsidR="00861275" w:rsidRPr="00A552D9">
        <w:rPr>
          <w:rFonts w:ascii="Times New Roman" w:eastAsia="Times New Roman" w:hAnsi="Times New Roman" w:cs="Times New Roman"/>
          <w:kern w:val="0"/>
          <w:lang w:val="lt-LT"/>
          <w14:ligatures w14:val="none"/>
        </w:rPr>
        <w:t>apsvaigimas, sumišimas</w:t>
      </w:r>
      <w:r>
        <w:rPr>
          <w:rFonts w:ascii="Times New Roman" w:eastAsia="Times New Roman" w:hAnsi="Times New Roman" w:cs="Times New Roman"/>
          <w:kern w:val="0"/>
          <w:lang w:val="lt-LT"/>
          <w14:ligatures w14:val="none"/>
        </w:rPr>
        <w:t>;</w:t>
      </w:r>
    </w:p>
    <w:p w14:paraId="07AFDED9" w14:textId="463210F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 xml:space="preserve">ažas </w:t>
      </w:r>
      <w:r w:rsidR="0003449D">
        <w:rPr>
          <w:rFonts w:ascii="Times New Roman" w:eastAsia="Times New Roman" w:hAnsi="Times New Roman" w:cs="Times New Roman"/>
          <w:kern w:val="0"/>
          <w:lang w:val="lt-LT"/>
          <w14:ligatures w14:val="none"/>
        </w:rPr>
        <w:t>fo</w:t>
      </w:r>
      <w:r w:rsidR="00803AFB">
        <w:rPr>
          <w:rFonts w:ascii="Times New Roman" w:eastAsia="Times New Roman" w:hAnsi="Times New Roman" w:cs="Times New Roman"/>
          <w:kern w:val="0"/>
          <w:lang w:val="lt-LT"/>
          <w14:ligatures w14:val="none"/>
        </w:rPr>
        <w:t>stafų</w:t>
      </w:r>
      <w:r w:rsidR="0003449D"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kiekis kraujyje (hipofosfatemija), kuris gali sukelti raumenų silpnumą ir dirglumą arba sumišimą</w:t>
      </w:r>
      <w:r>
        <w:rPr>
          <w:rFonts w:ascii="Times New Roman" w:eastAsia="Times New Roman" w:hAnsi="Times New Roman" w:cs="Times New Roman"/>
          <w:kern w:val="0"/>
          <w:lang w:val="lt-LT"/>
          <w14:ligatures w14:val="none"/>
        </w:rPr>
        <w:t>;</w:t>
      </w:r>
    </w:p>
    <w:p w14:paraId="0104E308" w14:textId="6BC370A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kalcio kiekis kraujyje (hiperkalcemija), galintis sukelti refleksų sulėtėjimą ir skeleto raumenų silpnumą</w:t>
      </w:r>
      <w:r>
        <w:rPr>
          <w:rFonts w:ascii="Times New Roman" w:eastAsia="Times New Roman" w:hAnsi="Times New Roman" w:cs="Times New Roman"/>
          <w:kern w:val="0"/>
          <w:lang w:val="lt-LT"/>
          <w14:ligatures w14:val="none"/>
        </w:rPr>
        <w:t>;</w:t>
      </w:r>
    </w:p>
    <w:p w14:paraId="3386663A" w14:textId="4EC7C59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kalio kiekis kraujyje, galintis sutrikdyti širdies ritmą</w:t>
      </w:r>
      <w:r>
        <w:rPr>
          <w:rFonts w:ascii="Times New Roman" w:eastAsia="Times New Roman" w:hAnsi="Times New Roman" w:cs="Times New Roman"/>
          <w:kern w:val="0"/>
          <w:lang w:val="lt-LT"/>
          <w14:ligatures w14:val="none"/>
        </w:rPr>
        <w:t>;</w:t>
      </w:r>
    </w:p>
    <w:p w14:paraId="460C7B04" w14:textId="4EFC077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 xml:space="preserve">ažas natrio kiekis kraujyje, galintis sukelti nuovargį ir sumišimą, raumenų trūkčiojimą, </w:t>
      </w:r>
      <w:r w:rsidR="00803AFB">
        <w:rPr>
          <w:rFonts w:ascii="Times New Roman" w:eastAsia="Times New Roman" w:hAnsi="Times New Roman" w:cs="Times New Roman"/>
          <w:kern w:val="0"/>
          <w:lang w:val="lt-LT"/>
          <w14:ligatures w14:val="none"/>
        </w:rPr>
        <w:t>traukulius</w:t>
      </w:r>
      <w:r w:rsidR="00803AFB"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(epilepsijos priepuolius) arba komą</w:t>
      </w:r>
      <w:r>
        <w:rPr>
          <w:rFonts w:ascii="Times New Roman" w:eastAsia="Times New Roman" w:hAnsi="Times New Roman" w:cs="Times New Roman"/>
          <w:kern w:val="0"/>
          <w:lang w:val="lt-LT"/>
          <w14:ligatures w14:val="none"/>
        </w:rPr>
        <w:t>;</w:t>
      </w:r>
    </w:p>
    <w:p w14:paraId="67D8136B" w14:textId="6B476AC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šlapimo rūgšties kiekis kraujyje, galintis sukelti tam tikrą artrito formą – podagrą</w:t>
      </w:r>
      <w:r>
        <w:rPr>
          <w:rFonts w:ascii="Times New Roman" w:eastAsia="Times New Roman" w:hAnsi="Times New Roman" w:cs="Times New Roman"/>
          <w:kern w:val="0"/>
          <w:lang w:val="lt-LT"/>
          <w14:ligatures w14:val="none"/>
        </w:rPr>
        <w:t>;</w:t>
      </w:r>
    </w:p>
    <w:p w14:paraId="676DD2A0" w14:textId="1D27BBB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ž</w:t>
      </w:r>
      <w:r w:rsidR="00861275" w:rsidRPr="00A552D9">
        <w:rPr>
          <w:rFonts w:ascii="Times New Roman" w:eastAsia="Times New Roman" w:hAnsi="Times New Roman" w:cs="Times New Roman"/>
          <w:kern w:val="0"/>
          <w:lang w:val="lt-LT"/>
          <w14:ligatures w14:val="none"/>
        </w:rPr>
        <w:t>emas kraujospūdis, galintis sukelti galvos svaigimą ar alpimą</w:t>
      </w:r>
      <w:r>
        <w:rPr>
          <w:rFonts w:ascii="Times New Roman" w:eastAsia="Times New Roman" w:hAnsi="Times New Roman" w:cs="Times New Roman"/>
          <w:kern w:val="0"/>
          <w:lang w:val="lt-LT"/>
          <w14:ligatures w14:val="none"/>
        </w:rPr>
        <w:t>;</w:t>
      </w:r>
    </w:p>
    <w:p w14:paraId="7B362D65" w14:textId="50B08D6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b</w:t>
      </w:r>
      <w:r w:rsidR="00861275" w:rsidRPr="00A552D9">
        <w:rPr>
          <w:rFonts w:ascii="Times New Roman" w:eastAsia="Times New Roman" w:hAnsi="Times New Roman" w:cs="Times New Roman"/>
          <w:kern w:val="0"/>
          <w:lang w:val="lt-LT"/>
          <w14:ligatures w14:val="none"/>
        </w:rPr>
        <w:t>urnos perštėjimas ar džiūvimas</w:t>
      </w:r>
      <w:r>
        <w:rPr>
          <w:rFonts w:ascii="Times New Roman" w:eastAsia="Times New Roman" w:hAnsi="Times New Roman" w:cs="Times New Roman"/>
          <w:kern w:val="0"/>
          <w:lang w:val="lt-LT"/>
          <w14:ligatures w14:val="none"/>
        </w:rPr>
        <w:t>;</w:t>
      </w:r>
    </w:p>
    <w:p w14:paraId="687883C2" w14:textId="54995DB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akitęs skonis</w:t>
      </w:r>
      <w:r>
        <w:rPr>
          <w:rFonts w:ascii="Times New Roman" w:eastAsia="Times New Roman" w:hAnsi="Times New Roman" w:cs="Times New Roman"/>
          <w:kern w:val="0"/>
          <w:lang w:val="lt-LT"/>
          <w14:ligatures w14:val="none"/>
        </w:rPr>
        <w:t>;</w:t>
      </w:r>
    </w:p>
    <w:p w14:paraId="7263A448" w14:textId="2E0A6C47"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ilvo patinimas</w:t>
      </w:r>
      <w:r>
        <w:rPr>
          <w:rFonts w:ascii="Times New Roman" w:eastAsia="Times New Roman" w:hAnsi="Times New Roman" w:cs="Times New Roman"/>
          <w:kern w:val="0"/>
          <w:lang w:val="lt-LT"/>
          <w14:ligatures w14:val="none"/>
        </w:rPr>
        <w:t>;</w:t>
      </w:r>
    </w:p>
    <w:p w14:paraId="73A25331" w14:textId="4D02B550"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umišimas</w:t>
      </w:r>
      <w:r>
        <w:rPr>
          <w:rFonts w:ascii="Times New Roman" w:eastAsia="Times New Roman" w:hAnsi="Times New Roman" w:cs="Times New Roman"/>
          <w:kern w:val="0"/>
          <w:lang w:val="lt-LT"/>
          <w14:ligatures w14:val="none"/>
        </w:rPr>
        <w:t>;</w:t>
      </w:r>
    </w:p>
    <w:p w14:paraId="355E7484" w14:textId="5B6CB352"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l</w:t>
      </w:r>
      <w:r w:rsidR="00861275" w:rsidRPr="00A552D9">
        <w:rPr>
          <w:rFonts w:ascii="Times New Roman" w:eastAsia="Times New Roman" w:hAnsi="Times New Roman" w:cs="Times New Roman"/>
          <w:kern w:val="0"/>
          <w:lang w:val="lt-LT"/>
          <w14:ligatures w14:val="none"/>
        </w:rPr>
        <w:t>iūdesys (prislėgta nuotaika)</w:t>
      </w:r>
      <w:r>
        <w:rPr>
          <w:rFonts w:ascii="Times New Roman" w:eastAsia="Times New Roman" w:hAnsi="Times New Roman" w:cs="Times New Roman"/>
          <w:kern w:val="0"/>
          <w:lang w:val="lt-LT"/>
          <w14:ligatures w14:val="none"/>
        </w:rPr>
        <w:t>;</w:t>
      </w:r>
    </w:p>
    <w:p w14:paraId="03A8AD38" w14:textId="523D01B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ąmonės praradimas, alpimas</w:t>
      </w:r>
      <w:r>
        <w:rPr>
          <w:rFonts w:ascii="Times New Roman" w:eastAsia="Times New Roman" w:hAnsi="Times New Roman" w:cs="Times New Roman"/>
          <w:kern w:val="0"/>
          <w:lang w:val="lt-LT"/>
          <w14:ligatures w14:val="none"/>
        </w:rPr>
        <w:t>;</w:t>
      </w:r>
    </w:p>
    <w:p w14:paraId="7909F8D5" w14:textId="0F640A12"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a</w:t>
      </w:r>
      <w:r w:rsidR="00861275" w:rsidRPr="00A552D9">
        <w:rPr>
          <w:rFonts w:ascii="Times New Roman" w:eastAsia="Times New Roman" w:hAnsi="Times New Roman" w:cs="Times New Roman"/>
          <w:kern w:val="0"/>
          <w:lang w:val="lt-LT"/>
          <w14:ligatures w14:val="none"/>
        </w:rPr>
        <w:t xml:space="preserve">kies </w:t>
      </w:r>
      <w:r w:rsidR="00486D19">
        <w:rPr>
          <w:rFonts w:ascii="Times New Roman" w:eastAsia="Times New Roman" w:hAnsi="Times New Roman" w:cs="Times New Roman"/>
          <w:kern w:val="0"/>
          <w:lang w:val="lt-LT"/>
          <w14:ligatures w14:val="none"/>
        </w:rPr>
        <w:t>sudrumstėjimas</w:t>
      </w:r>
      <w:r w:rsidR="00E01376"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(katarakta)</w:t>
      </w:r>
      <w:r>
        <w:rPr>
          <w:rFonts w:ascii="Times New Roman" w:eastAsia="Times New Roman" w:hAnsi="Times New Roman" w:cs="Times New Roman"/>
          <w:kern w:val="0"/>
          <w:lang w:val="lt-LT"/>
          <w14:ligatures w14:val="none"/>
        </w:rPr>
        <w:t>;</w:t>
      </w:r>
    </w:p>
    <w:p w14:paraId="0E9C0C20" w14:textId="72F5448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i</w:t>
      </w:r>
      <w:r w:rsidR="00861275" w:rsidRPr="00A552D9">
        <w:rPr>
          <w:rFonts w:ascii="Times New Roman" w:eastAsia="Times New Roman" w:hAnsi="Times New Roman" w:cs="Times New Roman"/>
          <w:kern w:val="0"/>
          <w:lang w:val="lt-LT"/>
          <w14:ligatures w14:val="none"/>
        </w:rPr>
        <w:t>nkstų pažeidimas</w:t>
      </w:r>
      <w:r>
        <w:rPr>
          <w:rFonts w:ascii="Times New Roman" w:eastAsia="Times New Roman" w:hAnsi="Times New Roman" w:cs="Times New Roman"/>
          <w:kern w:val="0"/>
          <w:lang w:val="lt-LT"/>
          <w14:ligatures w14:val="none"/>
        </w:rPr>
        <w:t>;</w:t>
      </w:r>
    </w:p>
    <w:p w14:paraId="1389EE23" w14:textId="16405075"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egebėjimas šlapintis</w:t>
      </w:r>
      <w:r>
        <w:rPr>
          <w:rFonts w:ascii="Times New Roman" w:eastAsia="Times New Roman" w:hAnsi="Times New Roman" w:cs="Times New Roman"/>
          <w:kern w:val="0"/>
          <w:lang w:val="lt-LT"/>
          <w14:ligatures w14:val="none"/>
        </w:rPr>
        <w:t>;</w:t>
      </w:r>
    </w:p>
    <w:p w14:paraId="2D816545" w14:textId="3740C30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 xml:space="preserve">enormalūs kepenų </w:t>
      </w:r>
      <w:r w:rsidR="00486D19">
        <w:rPr>
          <w:rFonts w:ascii="Times New Roman" w:eastAsia="Times New Roman" w:hAnsi="Times New Roman" w:cs="Times New Roman"/>
          <w:kern w:val="0"/>
          <w:lang w:val="lt-LT"/>
          <w14:ligatures w14:val="none"/>
        </w:rPr>
        <w:t xml:space="preserve">funkcijos </w:t>
      </w:r>
      <w:r w:rsidR="00861275" w:rsidRPr="00A552D9">
        <w:rPr>
          <w:rFonts w:ascii="Times New Roman" w:eastAsia="Times New Roman" w:hAnsi="Times New Roman" w:cs="Times New Roman"/>
          <w:kern w:val="0"/>
          <w:lang w:val="lt-LT"/>
          <w14:ligatures w14:val="none"/>
        </w:rPr>
        <w:t>tyrimų rezultatai</w:t>
      </w:r>
      <w:r>
        <w:rPr>
          <w:rFonts w:ascii="Times New Roman" w:eastAsia="Times New Roman" w:hAnsi="Times New Roman" w:cs="Times New Roman"/>
          <w:kern w:val="0"/>
          <w:lang w:val="lt-LT"/>
          <w14:ligatures w14:val="none"/>
        </w:rPr>
        <w:t>;</w:t>
      </w:r>
    </w:p>
    <w:p w14:paraId="5816D684" w14:textId="099CDA9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210A38" w:rsidRPr="00A552D9">
        <w:rPr>
          <w:rFonts w:ascii="Times New Roman" w:eastAsia="Times New Roman" w:hAnsi="Times New Roman" w:cs="Times New Roman"/>
          <w:kern w:val="0"/>
          <w:lang w:val="lt-LT"/>
          <w14:ligatures w14:val="none"/>
        </w:rPr>
        <w:t>kausmas dubens srityje</w:t>
      </w:r>
      <w:r>
        <w:rPr>
          <w:rFonts w:ascii="Times New Roman" w:eastAsia="Times New Roman" w:hAnsi="Times New Roman" w:cs="Times New Roman"/>
          <w:kern w:val="0"/>
          <w:lang w:val="lt-LT"/>
          <w14:ligatures w14:val="none"/>
        </w:rPr>
        <w:t>;</w:t>
      </w:r>
    </w:p>
    <w:p w14:paraId="7F30669B" w14:textId="45A659E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vorio sumažėjimas</w:t>
      </w:r>
      <w:r>
        <w:rPr>
          <w:rFonts w:ascii="Times New Roman" w:eastAsia="Times New Roman" w:hAnsi="Times New Roman" w:cs="Times New Roman"/>
          <w:kern w:val="0"/>
          <w:lang w:val="lt-LT"/>
          <w14:ligatures w14:val="none"/>
        </w:rPr>
        <w:t>;</w:t>
      </w:r>
    </w:p>
    <w:p w14:paraId="7EDD54A5" w14:textId="77777777" w:rsidR="00861275" w:rsidRPr="00A552D9" w:rsidRDefault="00861275" w:rsidP="00861275">
      <w:pPr>
        <w:widowControl w:val="0"/>
        <w:tabs>
          <w:tab w:val="left" w:pos="865"/>
          <w:tab w:val="left" w:pos="866"/>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C054664" w14:textId="2736B53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Nedažnas </w:t>
      </w:r>
      <w:r w:rsidRPr="00A552D9">
        <w:rPr>
          <w:rFonts w:ascii="Times New Roman" w:eastAsia="Times New Roman" w:hAnsi="Times New Roman" w:cs="Times New Roman"/>
          <w:kern w:val="0"/>
          <w:lang w:val="lt-LT"/>
          <w14:ligatures w14:val="none"/>
        </w:rPr>
        <w:t>(gali pasireikšti rečiau kaip 1 iš 100 asmenų)</w:t>
      </w:r>
      <w:r w:rsidR="006D16E8" w:rsidRPr="00A552D9">
        <w:rPr>
          <w:rFonts w:ascii="Times New Roman" w:eastAsia="Times New Roman" w:hAnsi="Times New Roman" w:cs="Times New Roman"/>
          <w:kern w:val="0"/>
          <w:lang w:val="lt-LT"/>
          <w14:ligatures w14:val="none"/>
        </w:rPr>
        <w:t>:</w:t>
      </w:r>
    </w:p>
    <w:p w14:paraId="416A14F6" w14:textId="4A06A33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i</w:t>
      </w:r>
      <w:r w:rsidR="00861275" w:rsidRPr="00A552D9">
        <w:rPr>
          <w:rFonts w:ascii="Times New Roman" w:eastAsia="Times New Roman" w:hAnsi="Times New Roman" w:cs="Times New Roman"/>
          <w:kern w:val="0"/>
          <w:lang w:val="lt-LT"/>
          <w14:ligatures w14:val="none"/>
        </w:rPr>
        <w:t>nsultas</w:t>
      </w:r>
      <w:r>
        <w:rPr>
          <w:rFonts w:ascii="Times New Roman" w:eastAsia="Times New Roman" w:hAnsi="Times New Roman" w:cs="Times New Roman"/>
          <w:kern w:val="0"/>
          <w:lang w:val="lt-LT"/>
          <w14:ligatures w14:val="none"/>
        </w:rPr>
        <w:t>;</w:t>
      </w:r>
    </w:p>
    <w:p w14:paraId="1DB308C5" w14:textId="34C9E46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epenų uždegimas (hepatitas), galintis sukelti odos niežulį, odos ir akių baltymų pageltimą (gelta), blyškios spalvos išmatas, tamsios spalvos šlapimą ir pilvo skausmą</w:t>
      </w:r>
      <w:r>
        <w:rPr>
          <w:rFonts w:ascii="Times New Roman" w:eastAsia="Times New Roman" w:hAnsi="Times New Roman" w:cs="Times New Roman"/>
          <w:kern w:val="0"/>
          <w:lang w:val="lt-LT"/>
          <w14:ligatures w14:val="none"/>
        </w:rPr>
        <w:t>;</w:t>
      </w:r>
    </w:p>
    <w:p w14:paraId="78643A84" w14:textId="6A683360"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v</w:t>
      </w:r>
      <w:r w:rsidR="00861275" w:rsidRPr="00A552D9">
        <w:rPr>
          <w:rFonts w:ascii="Times New Roman" w:eastAsia="Times New Roman" w:hAnsi="Times New Roman" w:cs="Times New Roman"/>
          <w:kern w:val="0"/>
          <w:lang w:val="lt-LT"/>
          <w14:ligatures w14:val="none"/>
        </w:rPr>
        <w:t xml:space="preserve">ėžinių ląstelių irimas, sukeliantis toksinių junginių išskyrimą į kraujotaką (naviko lizės sindromas). Tai gali sukelti inkstų </w:t>
      </w:r>
      <w:r w:rsidR="00BB26AC">
        <w:rPr>
          <w:rFonts w:ascii="Times New Roman" w:eastAsia="Times New Roman" w:hAnsi="Times New Roman" w:cs="Times New Roman"/>
          <w:kern w:val="0"/>
          <w:lang w:val="lt-LT"/>
          <w14:ligatures w14:val="none"/>
        </w:rPr>
        <w:t xml:space="preserve">funkcijos </w:t>
      </w:r>
      <w:r w:rsidR="00861275" w:rsidRPr="00A552D9">
        <w:rPr>
          <w:rFonts w:ascii="Times New Roman" w:eastAsia="Times New Roman" w:hAnsi="Times New Roman" w:cs="Times New Roman"/>
          <w:kern w:val="0"/>
          <w:lang w:val="lt-LT"/>
          <w14:ligatures w14:val="none"/>
        </w:rPr>
        <w:t>sutrikimų</w:t>
      </w:r>
      <w:r>
        <w:rPr>
          <w:rFonts w:ascii="Times New Roman" w:eastAsia="Times New Roman" w:hAnsi="Times New Roman" w:cs="Times New Roman"/>
          <w:kern w:val="0"/>
          <w:lang w:val="lt-LT"/>
          <w14:ligatures w14:val="none"/>
        </w:rPr>
        <w:t>;</w:t>
      </w:r>
    </w:p>
    <w:p w14:paraId="3825C8B3" w14:textId="19B62F94"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 xml:space="preserve">usilpnėjusi skydliaukės funkcija, kuri gali sukelti tokius simptomus, kaip nuovargis, </w:t>
      </w:r>
      <w:r w:rsidR="00BB26AC">
        <w:rPr>
          <w:rFonts w:ascii="Times New Roman" w:eastAsia="Times New Roman" w:hAnsi="Times New Roman" w:cs="Times New Roman"/>
          <w:kern w:val="0"/>
          <w:lang w:val="lt-LT"/>
          <w14:ligatures w14:val="none"/>
        </w:rPr>
        <w:t xml:space="preserve">vangumas </w:t>
      </w:r>
      <w:r w:rsidR="00BB26AC">
        <w:rPr>
          <w:rFonts w:ascii="Times New Roman" w:eastAsia="Times New Roman" w:hAnsi="Times New Roman" w:cs="Times New Roman"/>
          <w:kern w:val="0"/>
          <w:lang w:val="lt-LT"/>
          <w14:ligatures w14:val="none"/>
        </w:rPr>
        <w:lastRenderedPageBreak/>
        <w:t>(</w:t>
      </w:r>
      <w:r w:rsidR="00861275" w:rsidRPr="00A552D9">
        <w:rPr>
          <w:rFonts w:ascii="Times New Roman" w:eastAsia="Times New Roman" w:hAnsi="Times New Roman" w:cs="Times New Roman"/>
          <w:kern w:val="0"/>
          <w:lang w:val="lt-LT"/>
          <w14:ligatures w14:val="none"/>
        </w:rPr>
        <w:t>letargija</w:t>
      </w:r>
      <w:r w:rsidR="00BB26AC">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raumenų silpnumas, lėtas širdies plakimas, svorio augimas</w:t>
      </w:r>
      <w:r>
        <w:rPr>
          <w:rFonts w:ascii="Times New Roman" w:eastAsia="Times New Roman" w:hAnsi="Times New Roman" w:cs="Times New Roman"/>
          <w:kern w:val="0"/>
          <w:lang w:val="lt-LT"/>
          <w14:ligatures w14:val="none"/>
        </w:rPr>
        <w:t>;</w:t>
      </w:r>
    </w:p>
    <w:p w14:paraId="1C91407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B63BD8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Dažnis nežinomas </w:t>
      </w:r>
      <w:r w:rsidRPr="00A552D9">
        <w:rPr>
          <w:rFonts w:ascii="Times New Roman" w:eastAsia="Times New Roman" w:hAnsi="Times New Roman" w:cs="Times New Roman"/>
          <w:kern w:val="0"/>
          <w:lang w:val="lt-LT"/>
          <w14:ligatures w14:val="none"/>
        </w:rPr>
        <w:t>(negali būti apskaičiuotas pagal turimus duomenis):</w:t>
      </w:r>
    </w:p>
    <w:p w14:paraId="0C6992EC" w14:textId="5B1B8DEA" w:rsidR="00861275" w:rsidRPr="00A552D9" w:rsidRDefault="00E12B5F"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Persodinto s</w:t>
      </w:r>
      <w:r w:rsidR="00861275" w:rsidRPr="00A552D9">
        <w:rPr>
          <w:rFonts w:ascii="Times New Roman" w:eastAsia="Times New Roman" w:hAnsi="Times New Roman" w:cs="Times New Roman"/>
          <w:kern w:val="0"/>
          <w:lang w:val="lt-LT"/>
          <w14:ligatures w14:val="none"/>
        </w:rPr>
        <w:t>olidinio organo (pvz., širdies ar kepenų) atmetimas.</w:t>
      </w:r>
    </w:p>
    <w:p w14:paraId="49361CC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BFB1593"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Pranešimas apie šalutinį poveikį</w:t>
      </w:r>
    </w:p>
    <w:p w14:paraId="2A7777FA" w14:textId="7D4C0C7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pasireiškė šalutinis poveikis, įskaitant šiame lapelyje nenurodytą, pasakykite gydytojui, vaistininkui arba slaugytojui. </w:t>
      </w:r>
      <w:r w:rsidRPr="00A552D9">
        <w:rPr>
          <w:rFonts w:ascii="Times New Roman" w:eastAsia="Times New Roman" w:hAnsi="Times New Roman" w:cs="Times New Roman"/>
          <w:kern w:val="0"/>
          <w:lang w:val="lt-LT" w:eastAsia="lt-LT"/>
          <w14:ligatures w14:val="none"/>
        </w:rPr>
        <w:t xml:space="preserve">Pranešimą apie šalutinį poveikį galite užpildyti ir pateikti Valstybinės vaistų kontrolės tarnybos prie Lietuvos Respublikos sveikatos apsaugos ministerijos tinklalapyje </w:t>
      </w:r>
      <w:hyperlink r:id="rId18" w:history="1">
        <w:r w:rsidRPr="00A552D9">
          <w:rPr>
            <w:rFonts w:ascii="Times New Roman" w:eastAsia="Times New Roman" w:hAnsi="Times New Roman" w:cs="Times New Roman"/>
            <w:color w:val="0000FF"/>
            <w:kern w:val="0"/>
            <w:u w:val="single"/>
            <w:lang w:val="lt-LT" w:eastAsia="lt-LT"/>
            <w14:ligatures w14:val="none"/>
          </w:rPr>
          <w:t>https://vvkt.lrv.lt/lt/</w:t>
        </w:r>
      </w:hyperlink>
      <w:r w:rsidRPr="00A552D9">
        <w:rPr>
          <w:rFonts w:ascii="Times New Roman" w:eastAsia="Times New Roman" w:hAnsi="Times New Roman" w:cs="Times New Roman"/>
          <w:kern w:val="0"/>
          <w:lang w:val="lt-LT" w:eastAsia="lt-LT"/>
          <w14:ligatures w14:val="none"/>
        </w:rPr>
        <w:t xml:space="preserve"> nurodytais būdais arba paskambinti nemokamu telefonu </w:t>
      </w:r>
      <w:r w:rsidR="0020404F">
        <w:rPr>
          <w:rFonts w:ascii="Times New Roman" w:eastAsia="Times New Roman" w:hAnsi="Times New Roman" w:cs="Times New Roman"/>
          <w:kern w:val="0"/>
          <w:lang w:val="lt-LT" w:eastAsia="lt-LT"/>
          <w14:ligatures w14:val="none"/>
        </w:rPr>
        <w:t>+370</w:t>
      </w:r>
      <w:r w:rsidR="0020404F" w:rsidRPr="00A552D9">
        <w:rPr>
          <w:rFonts w:ascii="Times New Roman" w:eastAsia="Times New Roman" w:hAnsi="Times New Roman" w:cs="Times New Roman"/>
          <w:kern w:val="0"/>
          <w:lang w:val="lt-LT" w:eastAsia="lt-LT"/>
          <w14:ligatures w14:val="none"/>
        </w:rPr>
        <w:t xml:space="preserve"> </w:t>
      </w:r>
      <w:r w:rsidRPr="00A552D9">
        <w:rPr>
          <w:rFonts w:ascii="Times New Roman" w:eastAsia="Times New Roman" w:hAnsi="Times New Roman" w:cs="Times New Roman"/>
          <w:kern w:val="0"/>
          <w:lang w:val="lt-LT" w:eastAsia="lt-LT"/>
          <w14:ligatures w14:val="none"/>
        </w:rPr>
        <w:t>800 73 568. Pranešdami apie šalutinį poveikį galite mums padėti gauti daugiau informacijos apie šio vaisto saugumą</w:t>
      </w:r>
      <w:r w:rsidRPr="00A552D9">
        <w:rPr>
          <w:rFonts w:ascii="Times New Roman" w:eastAsia="Times New Roman" w:hAnsi="Times New Roman" w:cs="Times New Roman"/>
          <w:kern w:val="0"/>
          <w:lang w:val="lt-LT"/>
          <w14:ligatures w14:val="none"/>
        </w:rPr>
        <w:t>.</w:t>
      </w:r>
    </w:p>
    <w:p w14:paraId="444287E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764EA8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5864B09" w14:textId="322A0BC5"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Kaip laikyti </w:t>
      </w:r>
      <w:r w:rsidR="00561534" w:rsidRPr="00A552D9">
        <w:rPr>
          <w:rFonts w:ascii="Times New Roman" w:eastAsia="Times New Roman" w:hAnsi="Times New Roman" w:cs="Times New Roman"/>
          <w:b/>
          <w:bCs/>
          <w:kern w:val="0"/>
          <w:lang w:val="lt-LT"/>
          <w14:ligatures w14:val="none"/>
        </w:rPr>
        <w:t>Pomalidomide Olpha</w:t>
      </w:r>
    </w:p>
    <w:p w14:paraId="0BF953C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770F423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Šį vaistą laikykite vaikams nepastebimoje ir nepasiekiamoje vietoje.</w:t>
      </w:r>
    </w:p>
    <w:p w14:paraId="1F6C4B2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88B7408" w14:textId="7808B078"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Ant dėžutės po „EXP“ </w:t>
      </w:r>
      <w:r w:rsidR="005B5BF2">
        <w:rPr>
          <w:rFonts w:ascii="Times New Roman" w:eastAsia="Times New Roman" w:hAnsi="Times New Roman" w:cs="Times New Roman"/>
          <w:kern w:val="0"/>
          <w:lang w:val="lt-LT"/>
          <w14:ligatures w14:val="none"/>
        </w:rPr>
        <w:t xml:space="preserve">ir </w:t>
      </w:r>
      <w:r w:rsidR="005B5BF2" w:rsidRPr="00A552D9">
        <w:rPr>
          <w:rFonts w:ascii="Times New Roman" w:eastAsia="Times New Roman" w:hAnsi="Times New Roman" w:cs="Times New Roman"/>
          <w:kern w:val="0"/>
          <w:lang w:val="lt-LT"/>
          <w14:ligatures w14:val="none"/>
        </w:rPr>
        <w:t xml:space="preserve">lizdinės plokštelės </w:t>
      </w:r>
      <w:r w:rsidRPr="00A552D9">
        <w:rPr>
          <w:rFonts w:ascii="Times New Roman" w:eastAsia="Times New Roman" w:hAnsi="Times New Roman" w:cs="Times New Roman"/>
          <w:kern w:val="0"/>
          <w:lang w:val="lt-LT"/>
          <w14:ligatures w14:val="none"/>
        </w:rPr>
        <w:t>nurodytam tinkamumo laikui pasibaigus, šio vaisto vartoti negalima. Vaistas tinkamas vartoti iki paskutinės nurodyto mėnesio dienos.</w:t>
      </w:r>
    </w:p>
    <w:p w14:paraId="38EF031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4574FD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Šiam vaistui specialių laikymo sąlygų nereikia.</w:t>
      </w:r>
    </w:p>
    <w:p w14:paraId="72F79BE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0252FC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Vaistų negalima išmesti į kanalizaciją arba su buitinėmis atliekomis. Pasibaigus gydymui, nesuvartotas vaistas turi būti grąžintas vaistininkui. Šios priemonės padės apsaugoti aplinką.</w:t>
      </w:r>
    </w:p>
    <w:p w14:paraId="4DA7DCE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BD29FC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A485390" w14:textId="77777777"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Pakuotės turinys ir kita informacija </w:t>
      </w:r>
    </w:p>
    <w:p w14:paraId="63BA6C9D" w14:textId="77777777"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01E5B0CF" w14:textId="7F70208D" w:rsidR="00861275" w:rsidRPr="00A552D9" w:rsidRDefault="00561534"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sudėtis</w:t>
      </w:r>
    </w:p>
    <w:p w14:paraId="63BCACA5" w14:textId="77777777"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Veiklioji medžiaga yra pomalidomidas.</w:t>
      </w:r>
    </w:p>
    <w:p w14:paraId="58381FAB" w14:textId="0066E8CE" w:rsidR="00861275" w:rsidRPr="00A552D9" w:rsidRDefault="0086180D"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Pagalbinės medžiagos yra mikrokristalinė celiuliozė, </w:t>
      </w:r>
      <w:r w:rsidR="005D1E87" w:rsidRPr="00A552D9">
        <w:rPr>
          <w:rFonts w:ascii="Times New Roman" w:eastAsia="Times New Roman" w:hAnsi="Times New Roman" w:cs="Times New Roman"/>
          <w:kern w:val="0"/>
          <w:lang w:val="lt-LT"/>
          <w14:ligatures w14:val="none"/>
        </w:rPr>
        <w:t xml:space="preserve">pregelifikuotas </w:t>
      </w:r>
      <w:r w:rsidRPr="00A552D9">
        <w:rPr>
          <w:rFonts w:ascii="Times New Roman" w:eastAsia="Times New Roman" w:hAnsi="Times New Roman" w:cs="Times New Roman"/>
          <w:kern w:val="0"/>
          <w:lang w:val="lt-LT"/>
          <w14:ligatures w14:val="none"/>
        </w:rPr>
        <w:t xml:space="preserve">krakmolas, sacharozė ir natrio stearilfumaratas. </w:t>
      </w:r>
      <w:r w:rsidR="001857D2" w:rsidRPr="00A552D9">
        <w:rPr>
          <w:rFonts w:ascii="Times New Roman" w:eastAsia="Times New Roman" w:hAnsi="Times New Roman" w:cs="Times New Roman"/>
          <w:kern w:val="0"/>
          <w:lang w:val="lt-LT"/>
          <w14:ligatures w14:val="none"/>
        </w:rPr>
        <w:t>Užrašo</w:t>
      </w:r>
      <w:r w:rsidRPr="00A552D9">
        <w:rPr>
          <w:rFonts w:ascii="Times New Roman" w:eastAsia="Times New Roman" w:hAnsi="Times New Roman" w:cs="Times New Roman"/>
          <w:kern w:val="0"/>
          <w:lang w:val="lt-LT"/>
          <w14:ligatures w14:val="none"/>
        </w:rPr>
        <w:t xml:space="preserve"> rašalas (</w:t>
      </w:r>
      <w:r w:rsidR="001857D2" w:rsidRPr="00A552D9">
        <w:rPr>
          <w:rFonts w:ascii="Times New Roman" w:eastAsia="Times New Roman" w:hAnsi="Times New Roman" w:cs="Times New Roman"/>
          <w:kern w:val="0"/>
          <w:lang w:val="lt-LT"/>
          <w14:ligatures w14:val="none"/>
        </w:rPr>
        <w:t>Juodasis rašalas</w:t>
      </w:r>
      <w:r w:rsidRPr="00A552D9">
        <w:rPr>
          <w:rFonts w:ascii="Times New Roman" w:eastAsia="Times New Roman" w:hAnsi="Times New Roman" w:cs="Times New Roman"/>
          <w:kern w:val="0"/>
          <w:lang w:val="lt-LT"/>
          <w14:ligatures w14:val="none"/>
        </w:rPr>
        <w:t xml:space="preserve">): šelakas (E904), propilenglikolis (E1520), juodasis geležies oksidas (E172), kalio hidroksidas (E525) ir </w:t>
      </w:r>
      <w:r w:rsidR="001C00DF" w:rsidRPr="00A552D9">
        <w:rPr>
          <w:rFonts w:ascii="Times New Roman" w:eastAsia="Times New Roman" w:hAnsi="Times New Roman" w:cs="Times New Roman"/>
          <w:kern w:val="0"/>
          <w:lang w:val="lt-LT"/>
          <w14:ligatures w14:val="none"/>
        </w:rPr>
        <w:t>koncentruotas</w:t>
      </w:r>
      <w:r w:rsidRPr="00A552D9">
        <w:rPr>
          <w:rFonts w:ascii="Times New Roman" w:eastAsia="Times New Roman" w:hAnsi="Times New Roman" w:cs="Times New Roman"/>
          <w:kern w:val="0"/>
          <w:lang w:val="lt-LT"/>
          <w14:ligatures w14:val="none"/>
        </w:rPr>
        <w:t xml:space="preserve"> amoniako tirpalas.</w:t>
      </w:r>
    </w:p>
    <w:p w14:paraId="7C23B8E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79C207" w14:textId="7CA4DC80"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1 mg kieto</w:t>
      </w:r>
      <w:r w:rsidR="00D97646"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D97646" w:rsidRPr="00A552D9">
        <w:rPr>
          <w:rFonts w:ascii="Times New Roman" w:eastAsia="Times New Roman" w:hAnsi="Times New Roman" w:cs="Times New Roman"/>
          <w:kern w:val="0"/>
          <w:lang w:val="lt-LT"/>
          <w14:ligatures w14:val="none"/>
        </w:rPr>
        <w:t>s (kapsulės)</w:t>
      </w:r>
    </w:p>
    <w:p w14:paraId="371531ED" w14:textId="5DEFE167"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E4788D"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kapsulėje yra 1 mg pomalidomido.</w:t>
      </w:r>
    </w:p>
    <w:p w14:paraId="2A903C04" w14:textId="541CB7DF" w:rsidR="00861275" w:rsidRPr="00A552D9" w:rsidRDefault="00861275" w:rsidP="004D608C">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Kapsulės apvalkalo sudėtis: titano dioksidas (E171)</w:t>
      </w:r>
      <w:r w:rsidR="004D608C" w:rsidRPr="00A552D9">
        <w:rPr>
          <w:rFonts w:ascii="Times New Roman" w:eastAsia="Times New Roman" w:hAnsi="Times New Roman" w:cs="Times New Roman"/>
          <w:kern w:val="0"/>
          <w:lang w:val="lt-LT"/>
          <w14:ligatures w14:val="none"/>
        </w:rPr>
        <w:t xml:space="preserve"> ir želatina.</w:t>
      </w:r>
    </w:p>
    <w:p w14:paraId="2B3D7D90" w14:textId="77777777" w:rsidR="004D608C" w:rsidRPr="00A552D9" w:rsidRDefault="004D608C" w:rsidP="004D608C">
      <w:pPr>
        <w:widowControl w:val="0"/>
        <w:tabs>
          <w:tab w:val="left" w:pos="851"/>
        </w:tabs>
        <w:autoSpaceDE w:val="0"/>
        <w:autoSpaceDN w:val="0"/>
        <w:spacing w:before="0" w:after="0" w:line="240" w:lineRule="auto"/>
        <w:ind w:left="284"/>
        <w:jc w:val="left"/>
        <w:rPr>
          <w:rFonts w:ascii="Times New Roman" w:eastAsia="Times New Roman" w:hAnsi="Times New Roman" w:cs="Times New Roman"/>
          <w:kern w:val="0"/>
          <w:lang w:val="lt-LT"/>
          <w14:ligatures w14:val="none"/>
        </w:rPr>
      </w:pPr>
    </w:p>
    <w:p w14:paraId="7A5B1D32" w14:textId="5BAC0472"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2 mg kieto</w:t>
      </w:r>
      <w:r w:rsidR="00683C02"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683C02" w:rsidRPr="00A552D9">
        <w:rPr>
          <w:rFonts w:ascii="Times New Roman" w:eastAsia="Times New Roman" w:hAnsi="Times New Roman" w:cs="Times New Roman"/>
          <w:kern w:val="0"/>
          <w:lang w:val="lt-LT"/>
          <w14:ligatures w14:val="none"/>
        </w:rPr>
        <w:t>s</w:t>
      </w:r>
      <w:r w:rsidR="00486150" w:rsidRPr="00A552D9">
        <w:rPr>
          <w:rFonts w:ascii="Times New Roman" w:eastAsia="Times New Roman" w:hAnsi="Times New Roman" w:cs="Times New Roman"/>
          <w:kern w:val="0"/>
          <w:lang w:val="lt-LT"/>
          <w14:ligatures w14:val="none"/>
        </w:rPr>
        <w:t xml:space="preserve"> (kapsulės)</w:t>
      </w:r>
    </w:p>
    <w:p w14:paraId="147C0CC4" w14:textId="662F2ADB"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683C02"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kapsulėje yra 2 mg pomalidomido.</w:t>
      </w:r>
    </w:p>
    <w:p w14:paraId="76026995" w14:textId="783A0F73"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Kapsulės apvalkalo sudėtis: </w:t>
      </w:r>
      <w:r w:rsidR="00D15B46" w:rsidRPr="00A552D9">
        <w:rPr>
          <w:rFonts w:ascii="Times New Roman" w:eastAsia="Times New Roman" w:hAnsi="Times New Roman" w:cs="Times New Roman"/>
          <w:kern w:val="0"/>
          <w:lang w:val="lt-LT"/>
          <w14:ligatures w14:val="none"/>
        </w:rPr>
        <w:t>titano dioksidas (E171), želatina, raudonasis geležies oksidas (E172), geltonasis geležies oksidas (E172), juodasis geležies oksidas (E172)</w:t>
      </w:r>
      <w:r w:rsidRPr="00A552D9">
        <w:rPr>
          <w:rFonts w:ascii="Times New Roman" w:eastAsia="Times New Roman" w:hAnsi="Times New Roman" w:cs="Times New Roman"/>
          <w:kern w:val="0"/>
          <w:lang w:val="lt-LT"/>
          <w14:ligatures w14:val="none"/>
        </w:rPr>
        <w:t>.</w:t>
      </w:r>
    </w:p>
    <w:p w14:paraId="7891C913" w14:textId="77777777" w:rsidR="00861275" w:rsidRPr="00A552D9" w:rsidRDefault="00861275" w:rsidP="00861275">
      <w:pPr>
        <w:widowControl w:val="0"/>
        <w:tabs>
          <w:tab w:val="left" w:pos="865"/>
          <w:tab w:val="left" w:pos="866"/>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BDBC6F5" w14:textId="7133839F"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3 mg kieto</w:t>
      </w:r>
      <w:r w:rsidR="00486150"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486150" w:rsidRPr="00A552D9">
        <w:rPr>
          <w:rFonts w:ascii="Times New Roman" w:eastAsia="Times New Roman" w:hAnsi="Times New Roman" w:cs="Times New Roman"/>
          <w:kern w:val="0"/>
          <w:lang w:val="lt-LT"/>
          <w14:ligatures w14:val="none"/>
        </w:rPr>
        <w:t>s (kapsulės)</w:t>
      </w:r>
    </w:p>
    <w:p w14:paraId="096C4B98" w14:textId="2F95EFF2"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486150"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kapsulėje yra 3 mg pomalidomido.</w:t>
      </w:r>
    </w:p>
    <w:p w14:paraId="1A9CCE9A" w14:textId="73A4C357"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Kapsulės apvalkalo sudėtis: </w:t>
      </w:r>
      <w:r w:rsidR="0083016E" w:rsidRPr="00A552D9">
        <w:rPr>
          <w:rFonts w:ascii="Times New Roman" w:eastAsia="Times New Roman" w:hAnsi="Times New Roman" w:cs="Times New Roman"/>
          <w:kern w:val="0"/>
          <w:lang w:val="lt-LT"/>
          <w14:ligatures w14:val="none"/>
        </w:rPr>
        <w:t>titano dioksidas (E171), želatina, raudonasis geležies oksidas (E172)</w:t>
      </w:r>
      <w:r w:rsidRPr="00A552D9">
        <w:rPr>
          <w:rFonts w:ascii="Times New Roman" w:eastAsia="Times New Roman" w:hAnsi="Times New Roman" w:cs="Times New Roman"/>
          <w:kern w:val="0"/>
          <w:lang w:val="lt-LT"/>
          <w14:ligatures w14:val="none"/>
        </w:rPr>
        <w:t>.</w:t>
      </w:r>
    </w:p>
    <w:p w14:paraId="6204CB3C" w14:textId="77777777" w:rsidR="0083016E" w:rsidRPr="00A552D9" w:rsidRDefault="0083016E"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A3154A6" w14:textId="604D4E6A"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4 mg kieto</w:t>
      </w:r>
      <w:r w:rsidR="0083016E"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83016E" w:rsidRPr="00A552D9">
        <w:rPr>
          <w:rFonts w:ascii="Times New Roman" w:eastAsia="Times New Roman" w:hAnsi="Times New Roman" w:cs="Times New Roman"/>
          <w:kern w:val="0"/>
          <w:lang w:val="lt-LT"/>
          <w14:ligatures w14:val="none"/>
        </w:rPr>
        <w:t>s (kapsulės)</w:t>
      </w:r>
    </w:p>
    <w:p w14:paraId="61893EF7" w14:textId="12A13EC1"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83016E"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kapsulėje yra 4 mg pomalidomido.</w:t>
      </w:r>
    </w:p>
    <w:p w14:paraId="0F2ECC8E" w14:textId="5C2D729C" w:rsidR="00861275" w:rsidRPr="00A552D9" w:rsidRDefault="00861275" w:rsidP="005B5BF2">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Kapsulės apvalkalo sudėtis:</w:t>
      </w:r>
      <w:r w:rsidR="00D049E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titano dioksidas (E171)</w:t>
      </w:r>
      <w:r w:rsidR="00D049E4" w:rsidRPr="00A552D9">
        <w:rPr>
          <w:rFonts w:ascii="Times New Roman" w:eastAsia="Times New Roman" w:hAnsi="Times New Roman" w:cs="Times New Roman"/>
          <w:kern w:val="0"/>
          <w:lang w:val="lt-LT"/>
          <w14:ligatures w14:val="none"/>
        </w:rPr>
        <w:t xml:space="preserve"> ir želatina.</w:t>
      </w:r>
    </w:p>
    <w:p w14:paraId="25D35D97" w14:textId="77777777" w:rsidR="00D049E4" w:rsidRPr="00A552D9" w:rsidRDefault="00D049E4" w:rsidP="00D049E4">
      <w:pPr>
        <w:widowControl w:val="0"/>
        <w:tabs>
          <w:tab w:val="left" w:pos="851"/>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16A2EF8" w14:textId="7B5D681D" w:rsidR="00861275" w:rsidRPr="00A552D9" w:rsidRDefault="00561534"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išvaizda ir kiekis pakuotėje</w:t>
      </w:r>
    </w:p>
    <w:p w14:paraId="69A60C8F" w14:textId="4B74ECAC"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Pomalidomide Olpha 1 mg kietosios kapsulės</w:t>
      </w:r>
    </w:p>
    <w:p w14:paraId="223CBD57" w14:textId="08F5B179"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„5“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baltos spalvos korpusu, kurių ilgis 10,7–11,5 mm, su įspaudu „H“ ant dangtelio ir „P6“ ant korpuso, užpildytos šviesiai geltonos arba gelsvos spalvos milteliais, be fizinių defektų.</w:t>
      </w:r>
    </w:p>
    <w:p w14:paraId="0F3881F5" w14:textId="77777777"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5DE5532" w14:textId="4E8DD309"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Pomalidomide Olpha 2 mg kietosios kapsulės</w:t>
      </w:r>
    </w:p>
    <w:p w14:paraId="3D7713B0" w14:textId="2CEC86A2"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rudos spalvos korpusu, kurių ilgis 13,9–14,7 mm, su įspaudu „H“ ant dangtelio ir „P7“ ant korpuso, užpildytos šviesiai geltonos arba gelsvos spalvos milteliais, be fizinių defektų.</w:t>
      </w:r>
    </w:p>
    <w:p w14:paraId="1C3B2D71" w14:textId="77777777"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54B0E1C" w14:textId="61E532B8"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Pomalidomide Olpha 3 mg kietosios kapsulės</w:t>
      </w:r>
    </w:p>
    <w:p w14:paraId="4B691BA4" w14:textId="499D26F6"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rausvos spalvos korpusu, kurių ilgis 15,3–16,1 mm, su įspaudu „H“ ant dangtelio ir „P8“ ant korpuso, užpildytos šviesiai geltonos arba gelsvos spalvos milteliais, be fizinių defektų.</w:t>
      </w:r>
    </w:p>
    <w:p w14:paraId="1A5649C2" w14:textId="77777777"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B584F85" w14:textId="51297BFB"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Pomalidomide Olpha 4 mg kietosios kapsulės</w:t>
      </w:r>
    </w:p>
    <w:p w14:paraId="2C1D79D3" w14:textId="0CE50929" w:rsidR="00861275"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baltos spalvos korpusu, kurių ilgis 17,2–18,0</w:t>
      </w:r>
      <w:r w:rsidR="00186878"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mm, su įspaudu „H“ ant dangtelio ir „P9“ ant korpuso, užpildytos šviesiai geltonos arba gelsvos spalvos milteliais, be fizinių defektų.</w:t>
      </w:r>
    </w:p>
    <w:p w14:paraId="12290A15" w14:textId="77777777" w:rsidR="00395FF3" w:rsidRPr="00A552D9" w:rsidRDefault="00395FF3"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E8726E2" w14:textId="1E580239" w:rsidR="00395FF3" w:rsidRPr="00A552D9" w:rsidRDefault="00395FF3"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PVC/aliuminio/OPA/aliuminio lizdinės plokštelės, kuriose yra 14 ir 21 kietoji kapsulė, ir perforuotos </w:t>
      </w:r>
      <w:r w:rsidR="00B6103E">
        <w:rPr>
          <w:rFonts w:ascii="Times New Roman" w:eastAsia="Times New Roman" w:hAnsi="Times New Roman" w:cs="Times New Roman"/>
          <w:kern w:val="0"/>
          <w:lang w:val="lt-LT"/>
          <w14:ligatures w14:val="none"/>
        </w:rPr>
        <w:t>dalomosios</w:t>
      </w:r>
      <w:r w:rsidRPr="00A552D9">
        <w:rPr>
          <w:rFonts w:ascii="Times New Roman" w:eastAsia="Times New Roman" w:hAnsi="Times New Roman" w:cs="Times New Roman"/>
          <w:kern w:val="0"/>
          <w:lang w:val="lt-LT"/>
          <w14:ligatures w14:val="none"/>
        </w:rPr>
        <w:t xml:space="preserve"> lizdinės plokštelės, kuriose yra 14 x 1 ir 21 x 1 kietoji kapsulė.</w:t>
      </w:r>
    </w:p>
    <w:p w14:paraId="42CE3F69" w14:textId="77777777" w:rsidR="00395FF3" w:rsidRPr="00A552D9" w:rsidRDefault="00395FF3"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D74FF9" w14:textId="50C4874B"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Gali būti tiekiamos ne visų dydžių pakuotės.</w:t>
      </w:r>
    </w:p>
    <w:p w14:paraId="3C23BF6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27291E2"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Registruotojas</w:t>
      </w:r>
    </w:p>
    <w:p w14:paraId="4053762D"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r w:rsidRPr="004D4255">
        <w:rPr>
          <w:rFonts w:ascii="Times New Roman" w:eastAsia="Times New Roman" w:hAnsi="Times New Roman" w:cs="Times New Roman"/>
          <w:bCs/>
          <w:kern w:val="0"/>
          <w14:ligatures w14:val="none"/>
        </w:rPr>
        <w:t>Olpha AS,</w:t>
      </w:r>
    </w:p>
    <w:p w14:paraId="5CE9657A"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r w:rsidRPr="004D4255">
        <w:rPr>
          <w:rFonts w:ascii="Times New Roman" w:eastAsia="Times New Roman" w:hAnsi="Times New Roman" w:cs="Times New Roman"/>
          <w:bCs/>
          <w:kern w:val="0"/>
          <w14:ligatures w14:val="none"/>
        </w:rPr>
        <w:t>Rupnicu iela 5,</w:t>
      </w:r>
    </w:p>
    <w:p w14:paraId="00E6DDF4"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r w:rsidRPr="004D4255">
        <w:rPr>
          <w:rFonts w:ascii="Times New Roman" w:eastAsia="Times New Roman" w:hAnsi="Times New Roman" w:cs="Times New Roman"/>
          <w:bCs/>
          <w:kern w:val="0"/>
          <w14:ligatures w14:val="none"/>
        </w:rPr>
        <w:t>Olaine, Olaines novads, LV-2114,</w:t>
      </w:r>
    </w:p>
    <w:p w14:paraId="33DD8AF2"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r w:rsidRPr="004D4255">
        <w:rPr>
          <w:rFonts w:ascii="Times New Roman" w:eastAsia="Times New Roman" w:hAnsi="Times New Roman" w:cs="Times New Roman"/>
          <w:bCs/>
          <w:kern w:val="0"/>
          <w14:ligatures w14:val="none"/>
        </w:rPr>
        <w:t>Latvija</w:t>
      </w:r>
    </w:p>
    <w:p w14:paraId="55282D5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5F8C1B"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Gamintojas</w:t>
      </w:r>
    </w:p>
    <w:p w14:paraId="498E936B" w14:textId="434F82C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Pharmadox Healthcare Ltd.</w:t>
      </w:r>
      <w:r w:rsidR="006C767B" w:rsidRPr="00A552D9">
        <w:rPr>
          <w:rFonts w:ascii="Times New Roman" w:eastAsia="Times New Roman" w:hAnsi="Times New Roman" w:cs="Times New Roman"/>
          <w:kern w:val="0"/>
          <w:lang w:val="lt-LT"/>
          <w14:ligatures w14:val="none"/>
        </w:rPr>
        <w:t>,</w:t>
      </w:r>
    </w:p>
    <w:p w14:paraId="7DBA3EC5"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KW20A Kordin Industrial Park, Paola,</w:t>
      </w:r>
    </w:p>
    <w:p w14:paraId="6D06FB2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PLA 3000,</w:t>
      </w:r>
    </w:p>
    <w:p w14:paraId="3FDD330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Malta</w:t>
      </w:r>
    </w:p>
    <w:p w14:paraId="23FB47C5"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2462E94" w14:textId="6963B810" w:rsidR="00326C45" w:rsidRPr="00A1310F" w:rsidRDefault="00326C45" w:rsidP="00326C45">
      <w:pPr>
        <w:spacing w:before="0" w:after="0" w:line="240" w:lineRule="auto"/>
        <w:jc w:val="left"/>
        <w:rPr>
          <w:rFonts w:ascii="Times New Roman" w:hAnsi="Times New Roman" w:cs="Times New Roman"/>
          <w:b/>
          <w:bCs/>
          <w:lang w:val="lt-LT"/>
        </w:rPr>
      </w:pPr>
      <w:r w:rsidRPr="00A1310F">
        <w:rPr>
          <w:rFonts w:ascii="Times New Roman" w:hAnsi="Times New Roman" w:cs="Times New Roman"/>
          <w:b/>
          <w:bCs/>
          <w:lang w:val="lt-LT"/>
        </w:rPr>
        <w:t xml:space="preserve">Šis pakuotės lapelis paskutinį kartą peržiūrėtas </w:t>
      </w:r>
      <w:r w:rsidR="004D4255">
        <w:rPr>
          <w:rFonts w:ascii="Times New Roman" w:hAnsi="Times New Roman" w:cs="Times New Roman"/>
          <w:b/>
          <w:bCs/>
          <w:lang w:val="lt-LT"/>
        </w:rPr>
        <w:t>2025-05-19</w:t>
      </w:r>
      <w:r w:rsidRPr="00A1310F">
        <w:rPr>
          <w:rFonts w:ascii="Times New Roman" w:hAnsi="Times New Roman" w:cs="Times New Roman"/>
          <w:b/>
          <w:bCs/>
          <w:lang w:val="lt-LT"/>
        </w:rPr>
        <w:t>.</w:t>
      </w:r>
    </w:p>
    <w:p w14:paraId="1974C6E4" w14:textId="77777777" w:rsidR="00326C45" w:rsidRPr="00A552D9" w:rsidRDefault="00326C4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7A111776" w14:textId="168B80F5" w:rsidR="002F1799" w:rsidRPr="00A552D9" w:rsidRDefault="002F1799"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Šis vaistas Europos ekonominės erdvės valstybėse narės</w:t>
      </w:r>
      <w:r w:rsidR="004A5854" w:rsidRPr="00A552D9">
        <w:rPr>
          <w:rFonts w:ascii="Times New Roman" w:eastAsia="Times New Roman" w:hAnsi="Times New Roman" w:cs="Times New Roman"/>
          <w:b/>
          <w:bCs/>
          <w:kern w:val="0"/>
          <w:lang w:val="lt-LT"/>
          <w14:ligatures w14:val="none"/>
        </w:rPr>
        <w:t>e</w:t>
      </w:r>
      <w:r w:rsidRPr="00A552D9">
        <w:rPr>
          <w:rFonts w:ascii="Times New Roman" w:eastAsia="Times New Roman" w:hAnsi="Times New Roman" w:cs="Times New Roman"/>
          <w:b/>
          <w:bCs/>
          <w:kern w:val="0"/>
          <w:lang w:val="lt-LT"/>
          <w14:ligatures w14:val="none"/>
        </w:rPr>
        <w:t xml:space="preserve"> registruotas tokiais pavadinimais:</w:t>
      </w:r>
    </w:p>
    <w:p w14:paraId="264FD047" w14:textId="2BA0041C" w:rsidR="002F1799" w:rsidRDefault="004A5854"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Suomija</w:t>
      </w:r>
      <w:r w:rsidR="005A7EA9" w:rsidRPr="00A552D9">
        <w:rPr>
          <w:rFonts w:ascii="Times New Roman" w:eastAsia="Times New Roman" w:hAnsi="Times New Roman" w:cs="Times New Roman"/>
          <w:kern w:val="0"/>
          <w:lang w:val="lt-LT"/>
          <w14:ligatures w14:val="none"/>
        </w:rPr>
        <w:t>, Vokietija, Italija, Lenkija, Estija, Čekija: Pomalidomide Olpha</w:t>
      </w:r>
    </w:p>
    <w:p w14:paraId="3B3DD4EC" w14:textId="7CA518FA" w:rsidR="00C32BC1" w:rsidRPr="00A552D9" w:rsidRDefault="00C32BC1"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I</w:t>
      </w:r>
      <w:r w:rsidR="00027CDC">
        <w:rPr>
          <w:rFonts w:ascii="Times New Roman" w:eastAsia="Times New Roman" w:hAnsi="Times New Roman" w:cs="Times New Roman"/>
          <w:kern w:val="0"/>
          <w:lang w:val="lt-LT"/>
          <w14:ligatures w14:val="none"/>
        </w:rPr>
        <w:t>s</w:t>
      </w:r>
      <w:r>
        <w:rPr>
          <w:rFonts w:ascii="Times New Roman" w:eastAsia="Times New Roman" w:hAnsi="Times New Roman" w:cs="Times New Roman"/>
          <w:kern w:val="0"/>
          <w:lang w:val="lt-LT"/>
          <w14:ligatures w14:val="none"/>
        </w:rPr>
        <w:t xml:space="preserve">panija: </w:t>
      </w:r>
      <w:r w:rsidRPr="004D4255">
        <w:rPr>
          <w:rFonts w:ascii="Times New Roman" w:eastAsia="Times New Roman" w:hAnsi="Times New Roman" w:cs="Times New Roman"/>
          <w:kern w:val="0"/>
          <w:lang w:val="lt-LT"/>
          <w14:ligatures w14:val="none"/>
        </w:rPr>
        <w:t>Pomalidomida Olpha</w:t>
      </w:r>
      <w:r w:rsidR="00A1310F" w:rsidRPr="004D4255">
        <w:rPr>
          <w:rFonts w:ascii="Times New Roman" w:eastAsia="Times New Roman" w:hAnsi="Times New Roman" w:cs="Times New Roman"/>
          <w:kern w:val="0"/>
          <w:lang w:val="lt-LT"/>
          <w14:ligatures w14:val="none"/>
        </w:rPr>
        <w:t xml:space="preserve"> </w:t>
      </w:r>
      <w:r w:rsidR="00A1310F" w:rsidRPr="00A1310F">
        <w:rPr>
          <w:rFonts w:ascii="Times New Roman" w:eastAsia="Times New Roman" w:hAnsi="Times New Roman" w:cs="Times New Roman"/>
          <w:kern w:val="0"/>
          <w:lang w:val="lt-LT"/>
          <w14:ligatures w14:val="none"/>
        </w:rPr>
        <w:t>1 mg, 2 mg, 3 mg, 4 mg</w:t>
      </w:r>
      <w:r w:rsidR="00A1310F" w:rsidRPr="004D4255">
        <w:rPr>
          <w:lang w:val="lt-LT"/>
        </w:rPr>
        <w:t xml:space="preserve"> </w:t>
      </w:r>
      <w:r w:rsidR="00A1310F" w:rsidRPr="004D4255">
        <w:rPr>
          <w:rFonts w:ascii="Times New Roman" w:eastAsia="Times New Roman" w:hAnsi="Times New Roman" w:cs="Times New Roman"/>
          <w:kern w:val="0"/>
          <w:lang w:val="lt-LT"/>
          <w14:ligatures w14:val="none"/>
        </w:rPr>
        <w:t>cápsulas duras EFG</w:t>
      </w:r>
    </w:p>
    <w:p w14:paraId="6D510390" w14:textId="37113447" w:rsidR="005A7EA9" w:rsidRPr="00A1310F" w:rsidRDefault="005A7EA9"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Pran</w:t>
      </w:r>
      <w:r w:rsidR="00027CDC">
        <w:rPr>
          <w:rFonts w:ascii="Times New Roman" w:eastAsia="Times New Roman" w:hAnsi="Times New Roman" w:cs="Times New Roman"/>
          <w:kern w:val="0"/>
          <w:lang w:val="lt-LT"/>
          <w14:ligatures w14:val="none"/>
        </w:rPr>
        <w:t>c</w:t>
      </w:r>
      <w:r w:rsidRPr="00A552D9">
        <w:rPr>
          <w:rFonts w:ascii="Times New Roman" w:eastAsia="Times New Roman" w:hAnsi="Times New Roman" w:cs="Times New Roman"/>
          <w:kern w:val="0"/>
          <w:lang w:val="lt-LT"/>
          <w14:ligatures w14:val="none"/>
        </w:rPr>
        <w:t xml:space="preserve">ūzija: </w:t>
      </w:r>
      <w:r w:rsidR="00C32BC1" w:rsidRPr="004D4255">
        <w:rPr>
          <w:rFonts w:ascii="Times New Roman" w:eastAsia="Times New Roman" w:hAnsi="Times New Roman" w:cs="Times New Roman"/>
          <w:kern w:val="0"/>
          <w:lang w:val="lt-LT"/>
          <w14:ligatures w14:val="none"/>
        </w:rPr>
        <w:t xml:space="preserve">POMALIDOMIDE OLPHA </w:t>
      </w:r>
      <w:r w:rsidR="00DF6DA7" w:rsidRPr="00A1310F">
        <w:rPr>
          <w:rFonts w:ascii="Times New Roman" w:eastAsia="Times New Roman" w:hAnsi="Times New Roman" w:cs="Times New Roman"/>
          <w:kern w:val="0"/>
          <w:lang w:val="lt-LT"/>
          <w14:ligatures w14:val="none"/>
        </w:rPr>
        <w:t>1 mg, 2</w:t>
      </w:r>
      <w:r w:rsidR="00C32BC1" w:rsidRPr="00A1310F">
        <w:rPr>
          <w:rFonts w:ascii="Times New Roman" w:eastAsia="Times New Roman" w:hAnsi="Times New Roman" w:cs="Times New Roman"/>
          <w:kern w:val="0"/>
          <w:lang w:val="lt-LT"/>
          <w14:ligatures w14:val="none"/>
        </w:rPr>
        <w:t xml:space="preserve"> </w:t>
      </w:r>
      <w:r w:rsidR="00DF6DA7" w:rsidRPr="00A1310F">
        <w:rPr>
          <w:rFonts w:ascii="Times New Roman" w:eastAsia="Times New Roman" w:hAnsi="Times New Roman" w:cs="Times New Roman"/>
          <w:kern w:val="0"/>
          <w:lang w:val="lt-LT"/>
          <w14:ligatures w14:val="none"/>
        </w:rPr>
        <w:t>mg, 3 mg, 4 mg gélule</w:t>
      </w:r>
    </w:p>
    <w:p w14:paraId="58752237" w14:textId="1F7015A0" w:rsidR="00DF6DA7" w:rsidRPr="00A1310F" w:rsidRDefault="00DF6DA7"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A1310F">
        <w:rPr>
          <w:rFonts w:ascii="Times New Roman" w:eastAsia="Times New Roman" w:hAnsi="Times New Roman" w:cs="Times New Roman"/>
          <w:kern w:val="0"/>
          <w:lang w:val="lt-LT"/>
          <w14:ligatures w14:val="none"/>
        </w:rPr>
        <w:t>Latvija: Pomalidomide Olpha 1 mg, 2</w:t>
      </w:r>
      <w:r w:rsidR="00C32BC1" w:rsidRPr="00A1310F">
        <w:rPr>
          <w:rFonts w:ascii="Times New Roman" w:eastAsia="Times New Roman" w:hAnsi="Times New Roman" w:cs="Times New Roman"/>
          <w:kern w:val="0"/>
          <w:lang w:val="lt-LT"/>
          <w14:ligatures w14:val="none"/>
        </w:rPr>
        <w:t xml:space="preserve"> </w:t>
      </w:r>
      <w:r w:rsidRPr="00A1310F">
        <w:rPr>
          <w:rFonts w:ascii="Times New Roman" w:eastAsia="Times New Roman" w:hAnsi="Times New Roman" w:cs="Times New Roman"/>
          <w:kern w:val="0"/>
          <w:lang w:val="lt-LT"/>
          <w14:ligatures w14:val="none"/>
        </w:rPr>
        <w:t>mg, 3 mg, 4 mg cietās kapsulas</w:t>
      </w:r>
    </w:p>
    <w:p w14:paraId="565CEF72" w14:textId="27CC1409" w:rsidR="00DF6DA7" w:rsidRPr="004D4255" w:rsidRDefault="00DF6DA7"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4D4255">
        <w:rPr>
          <w:rFonts w:ascii="Times New Roman" w:eastAsia="Times New Roman" w:hAnsi="Times New Roman" w:cs="Times New Roman"/>
          <w:kern w:val="0"/>
          <w:lang w:val="lt-LT"/>
          <w14:ligatures w14:val="none"/>
        </w:rPr>
        <w:t xml:space="preserve">Lietuva: </w:t>
      </w:r>
      <w:r w:rsidR="00342A9C" w:rsidRPr="004D4255">
        <w:rPr>
          <w:rFonts w:ascii="Times New Roman" w:eastAsia="Times New Roman" w:hAnsi="Times New Roman" w:cs="Times New Roman"/>
          <w:kern w:val="0"/>
          <w:lang w:val="lt-LT"/>
          <w14:ligatures w14:val="none"/>
        </w:rPr>
        <w:t>Pomalidomide Olpha 1 mg, 2</w:t>
      </w:r>
      <w:r w:rsidR="00C32BC1" w:rsidRPr="004D4255">
        <w:rPr>
          <w:rFonts w:ascii="Times New Roman" w:eastAsia="Times New Roman" w:hAnsi="Times New Roman" w:cs="Times New Roman"/>
          <w:kern w:val="0"/>
          <w:lang w:val="lt-LT"/>
          <w14:ligatures w14:val="none"/>
        </w:rPr>
        <w:t xml:space="preserve"> </w:t>
      </w:r>
      <w:r w:rsidR="00342A9C" w:rsidRPr="004D4255">
        <w:rPr>
          <w:rFonts w:ascii="Times New Roman" w:eastAsia="Times New Roman" w:hAnsi="Times New Roman" w:cs="Times New Roman"/>
          <w:kern w:val="0"/>
          <w:lang w:val="lt-LT"/>
          <w14:ligatures w14:val="none"/>
        </w:rPr>
        <w:t>mg, 3 mg, 4 mg kietosios kapsulės</w:t>
      </w:r>
    </w:p>
    <w:p w14:paraId="17FB59C4" w14:textId="3524A80C" w:rsidR="00342A9C" w:rsidRPr="004D4255" w:rsidRDefault="00342A9C"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4D4255">
        <w:rPr>
          <w:rFonts w:ascii="Times New Roman" w:eastAsia="Times New Roman" w:hAnsi="Times New Roman" w:cs="Times New Roman"/>
          <w:kern w:val="0"/>
          <w:lang w:val="lt-LT"/>
          <w14:ligatures w14:val="none"/>
        </w:rPr>
        <w:t>Slovakija: Pomalidomide Olpha 1 mg, 2</w:t>
      </w:r>
      <w:r w:rsidR="00C32BC1" w:rsidRPr="004D4255">
        <w:rPr>
          <w:rFonts w:ascii="Times New Roman" w:eastAsia="Times New Roman" w:hAnsi="Times New Roman" w:cs="Times New Roman"/>
          <w:kern w:val="0"/>
          <w:lang w:val="lt-LT"/>
          <w14:ligatures w14:val="none"/>
        </w:rPr>
        <w:t xml:space="preserve"> </w:t>
      </w:r>
      <w:r w:rsidRPr="004D4255">
        <w:rPr>
          <w:rFonts w:ascii="Times New Roman" w:eastAsia="Times New Roman" w:hAnsi="Times New Roman" w:cs="Times New Roman"/>
          <w:kern w:val="0"/>
          <w:lang w:val="lt-LT"/>
          <w14:ligatures w14:val="none"/>
        </w:rPr>
        <w:t>mg, 3 mg, 4 mg tvrdé kapsuly</w:t>
      </w:r>
    </w:p>
    <w:p w14:paraId="6010EB31" w14:textId="77777777" w:rsidR="00DF6DA7" w:rsidRPr="00A552D9" w:rsidRDefault="00DF6DA7"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79FD1B31" w14:textId="209F4708"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Kiti informacijos šaltiniai</w:t>
      </w:r>
    </w:p>
    <w:p w14:paraId="7E0923B4"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3FABA8CD" w14:textId="77777777" w:rsidR="00861275" w:rsidRPr="00A552D9" w:rsidRDefault="00861275" w:rsidP="00861275">
      <w:pPr>
        <w:widowControl w:val="0"/>
        <w:autoSpaceDE w:val="0"/>
        <w:autoSpaceDN w:val="0"/>
        <w:spacing w:before="0" w:after="0" w:line="240" w:lineRule="auto"/>
        <w:rPr>
          <w:rFonts w:ascii="Times New Roman" w:eastAsia="Times New Roman" w:hAnsi="Times New Roman" w:cs="Times New Roman"/>
          <w:kern w:val="0"/>
          <w:lang w:val="lt-LT" w:eastAsia="lt-LT"/>
          <w14:ligatures w14:val="none"/>
        </w:rPr>
      </w:pPr>
      <w:r w:rsidRPr="00A552D9">
        <w:rPr>
          <w:rFonts w:ascii="Times New Roman" w:eastAsia="Times New Roman" w:hAnsi="Times New Roman" w:cs="Times New Roman"/>
          <w:kern w:val="0"/>
          <w:lang w:val="lt-LT" w:eastAsia="lt-LT"/>
          <w14:ligatures w14:val="none"/>
        </w:rPr>
        <w:t xml:space="preserve">Išsami informacija apie šį vaistą pateikiama Valstybinės vaistų kontrolės tarnybos prie Lietuvos Respublikos sveikatos apsaugos ministerijos tinklalapyje </w:t>
      </w:r>
      <w:hyperlink r:id="rId19" w:history="1">
        <w:r w:rsidRPr="00A552D9">
          <w:rPr>
            <w:rFonts w:ascii="Times New Roman" w:eastAsia="Times New Roman" w:hAnsi="Times New Roman" w:cs="Times New Roman"/>
            <w:color w:val="0000FF"/>
            <w:kern w:val="0"/>
            <w:u w:val="single"/>
            <w:lang w:val="lt-LT" w:eastAsia="lt-LT"/>
            <w14:ligatures w14:val="none"/>
          </w:rPr>
          <w:t>https://vvkt.lrv.lt/lt/</w:t>
        </w:r>
      </w:hyperlink>
      <w:r w:rsidRPr="00A552D9">
        <w:rPr>
          <w:rFonts w:ascii="Times New Roman" w:eastAsia="Times New Roman" w:hAnsi="Times New Roman" w:cs="Times New Roman"/>
          <w:kern w:val="0"/>
          <w:lang w:val="lt-LT" w:eastAsia="lt-LT"/>
          <w14:ligatures w14:val="none"/>
        </w:rPr>
        <w:t>.</w:t>
      </w:r>
    </w:p>
    <w:p w14:paraId="3777966B"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01D2477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90C7D2" w14:textId="77777777" w:rsidR="00EA5875" w:rsidRPr="00A1310F" w:rsidRDefault="00EA5875" w:rsidP="008C7CF5">
      <w:pPr>
        <w:spacing w:before="0" w:after="0" w:line="240" w:lineRule="auto"/>
        <w:jc w:val="left"/>
        <w:rPr>
          <w:rFonts w:ascii="Times New Roman" w:hAnsi="Times New Roman" w:cs="Times New Roman"/>
          <w:b/>
          <w:bCs/>
          <w:lang w:val="lt-LT"/>
        </w:rPr>
      </w:pPr>
    </w:p>
    <w:sectPr w:rsidR="00EA5875" w:rsidRPr="00A1310F" w:rsidSect="00214AAF">
      <w:pgSz w:w="11900" w:h="16820"/>
      <w:pgMar w:top="1134" w:right="1418" w:bottom="1134" w:left="1418" w:header="737" w:footer="737"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6AB69B9C-2803-4FD4-8DDC-E2C72F5EAFE8}"/>
  </w:font>
  <w:font w:name="Times New Roman">
    <w:panose1 w:val="02020603050405020304"/>
    <w:charset w:val="BA"/>
    <w:family w:val="roman"/>
    <w:pitch w:val="variable"/>
    <w:sig w:usb0="E0002EFF" w:usb1="C000785B" w:usb2="00000009" w:usb3="00000000" w:csb0="000001FF" w:csb1="00000000"/>
    <w:embedRegular r:id="rId2" w:fontKey="{23370FA3-54E3-4C34-83C1-87DE72B2FDE4}"/>
    <w:embedBold r:id="rId3" w:fontKey="{7840DE9B-F6FF-4F91-A6FA-C03CB28C7F1B}"/>
    <w:embedItalic r:id="rId4" w:fontKey="{BD803C45-22B3-4663-B2F3-8C8372DC9F39}"/>
    <w:embedBoldItalic r:id="rId5" w:fontKey="{406A1EB1-97A3-417A-939F-6EC7CB7B9054}"/>
  </w:font>
  <w:font w:name="Courier New">
    <w:panose1 w:val="02070309020205020404"/>
    <w:charset w:val="BA"/>
    <w:family w:val="modern"/>
    <w:pitch w:val="fixed"/>
    <w:sig w:usb0="E0002EFF" w:usb1="C0007843" w:usb2="00000009" w:usb3="00000000" w:csb0="000001FF" w:csb1="00000000"/>
    <w:embedRegular r:id="rId6" w:fontKey="{ECEFC12E-1DCC-42FE-8621-E14F4BEA3214}"/>
  </w:font>
  <w:font w:name="Wingdings">
    <w:panose1 w:val="05000000000000000000"/>
    <w:charset w:val="02"/>
    <w:family w:val="auto"/>
    <w:pitch w:val="variable"/>
    <w:sig w:usb0="00000000" w:usb1="10000000" w:usb2="00000000" w:usb3="00000000" w:csb0="80000000" w:csb1="00000000"/>
    <w:embedRegular r:id="rId7" w:fontKey="{C45F6DB0-6C8A-44F9-8968-E0F3D6F679F7}"/>
  </w:font>
  <w:font w:name="Calibri">
    <w:panose1 w:val="020F0502020204030204"/>
    <w:charset w:val="BA"/>
    <w:family w:val="swiss"/>
    <w:pitch w:val="variable"/>
    <w:sig w:usb0="E4002EFF" w:usb1="C200247B" w:usb2="00000009" w:usb3="00000000" w:csb0="000001FF" w:csb1="00000000"/>
    <w:embedRegular r:id="rId8" w:fontKey="{DE9E07DE-9C4F-4BBA-9ECC-56C954DB93AF}"/>
  </w:font>
  <w:font w:name="Aptos">
    <w:charset w:val="00"/>
    <w:family w:val="swiss"/>
    <w:pitch w:val="variable"/>
    <w:sig w:usb0="20000287" w:usb1="00000003" w:usb2="00000000" w:usb3="00000000" w:csb0="0000019F" w:csb1="00000000"/>
    <w:embedRegular r:id="rId9" w:fontKey="{6FA9BF30-B535-448B-92B4-28245D9F94D2}"/>
  </w:font>
  <w:font w:name="Cambria Math">
    <w:panose1 w:val="02040503050406030204"/>
    <w:charset w:val="BA"/>
    <w:family w:val="roman"/>
    <w:pitch w:val="variable"/>
    <w:sig w:usb0="E00006FF" w:usb1="420024FF" w:usb2="02000000" w:usb3="00000000" w:csb0="0000019F" w:csb1="00000000"/>
    <w:embedItalic r:id="rId10" w:fontKey="{3CAF71B0-8959-4D10-8825-D167C2630BC5}"/>
  </w:font>
  <w:font w:name="TimesNewRoman">
    <w:altName w:val="Yu Gothic"/>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11" w:fontKey="{04A61CEF-E0D0-438C-9424-9212164B8C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D4718"/>
    <w:multiLevelType w:val="hybridMultilevel"/>
    <w:tmpl w:val="5A20D7C2"/>
    <w:lvl w:ilvl="0" w:tplc="CF7EB5E0">
      <w:numFmt w:val="bullet"/>
      <w:lvlText w:val=""/>
      <w:lvlJc w:val="left"/>
      <w:pPr>
        <w:ind w:left="1007" w:hanging="306"/>
      </w:pPr>
      <w:rPr>
        <w:rFonts w:ascii="Symbol" w:eastAsia="Symbol" w:hAnsi="Symbol" w:cs="Symbol" w:hint="default"/>
        <w:w w:val="99"/>
        <w:sz w:val="22"/>
        <w:szCs w:val="22"/>
        <w:lang w:val="lt-LT" w:eastAsia="en-US" w:bidi="ar-SA"/>
      </w:rPr>
    </w:lvl>
    <w:lvl w:ilvl="1" w:tplc="E1505A3A">
      <w:numFmt w:val="bullet"/>
      <w:lvlText w:val="•"/>
      <w:lvlJc w:val="left"/>
      <w:pPr>
        <w:ind w:left="1952" w:hanging="306"/>
      </w:pPr>
      <w:rPr>
        <w:rFonts w:hint="default"/>
        <w:lang w:val="lt-LT" w:eastAsia="en-US" w:bidi="ar-SA"/>
      </w:rPr>
    </w:lvl>
    <w:lvl w:ilvl="2" w:tplc="C410328E">
      <w:numFmt w:val="bullet"/>
      <w:lvlText w:val="•"/>
      <w:lvlJc w:val="left"/>
      <w:pPr>
        <w:ind w:left="2905" w:hanging="306"/>
      </w:pPr>
      <w:rPr>
        <w:rFonts w:hint="default"/>
        <w:lang w:val="lt-LT" w:eastAsia="en-US" w:bidi="ar-SA"/>
      </w:rPr>
    </w:lvl>
    <w:lvl w:ilvl="3" w:tplc="EEFE2CE8">
      <w:numFmt w:val="bullet"/>
      <w:lvlText w:val="•"/>
      <w:lvlJc w:val="left"/>
      <w:pPr>
        <w:ind w:left="3858" w:hanging="306"/>
      </w:pPr>
      <w:rPr>
        <w:rFonts w:hint="default"/>
        <w:lang w:val="lt-LT" w:eastAsia="en-US" w:bidi="ar-SA"/>
      </w:rPr>
    </w:lvl>
    <w:lvl w:ilvl="4" w:tplc="3D204A38">
      <w:numFmt w:val="bullet"/>
      <w:lvlText w:val="•"/>
      <w:lvlJc w:val="left"/>
      <w:pPr>
        <w:ind w:left="4811" w:hanging="306"/>
      </w:pPr>
      <w:rPr>
        <w:rFonts w:hint="default"/>
        <w:lang w:val="lt-LT" w:eastAsia="en-US" w:bidi="ar-SA"/>
      </w:rPr>
    </w:lvl>
    <w:lvl w:ilvl="5" w:tplc="A4167E58">
      <w:numFmt w:val="bullet"/>
      <w:lvlText w:val="•"/>
      <w:lvlJc w:val="left"/>
      <w:pPr>
        <w:ind w:left="5763" w:hanging="306"/>
      </w:pPr>
      <w:rPr>
        <w:rFonts w:hint="default"/>
        <w:lang w:val="lt-LT" w:eastAsia="en-US" w:bidi="ar-SA"/>
      </w:rPr>
    </w:lvl>
    <w:lvl w:ilvl="6" w:tplc="6AC6CF1A">
      <w:numFmt w:val="bullet"/>
      <w:lvlText w:val="•"/>
      <w:lvlJc w:val="left"/>
      <w:pPr>
        <w:ind w:left="6716" w:hanging="306"/>
      </w:pPr>
      <w:rPr>
        <w:rFonts w:hint="default"/>
        <w:lang w:val="lt-LT" w:eastAsia="en-US" w:bidi="ar-SA"/>
      </w:rPr>
    </w:lvl>
    <w:lvl w:ilvl="7" w:tplc="B752506E">
      <w:numFmt w:val="bullet"/>
      <w:lvlText w:val="•"/>
      <w:lvlJc w:val="left"/>
      <w:pPr>
        <w:ind w:left="7669" w:hanging="306"/>
      </w:pPr>
      <w:rPr>
        <w:rFonts w:hint="default"/>
        <w:lang w:val="lt-LT" w:eastAsia="en-US" w:bidi="ar-SA"/>
      </w:rPr>
    </w:lvl>
    <w:lvl w:ilvl="8" w:tplc="17A2E2B4">
      <w:numFmt w:val="bullet"/>
      <w:lvlText w:val="•"/>
      <w:lvlJc w:val="left"/>
      <w:pPr>
        <w:ind w:left="8622" w:hanging="306"/>
      </w:pPr>
      <w:rPr>
        <w:rFonts w:hint="default"/>
        <w:lang w:val="lt-LT" w:eastAsia="en-US" w:bidi="ar-SA"/>
      </w:rPr>
    </w:lvl>
  </w:abstractNum>
  <w:abstractNum w:abstractNumId="1" w15:restartNumberingAfterBreak="0">
    <w:nsid w:val="201F6B8D"/>
    <w:multiLevelType w:val="hybridMultilevel"/>
    <w:tmpl w:val="7B10B502"/>
    <w:lvl w:ilvl="0" w:tplc="86CA56C0">
      <w:numFmt w:val="bullet"/>
      <w:lvlText w:val=""/>
      <w:lvlJc w:val="left"/>
      <w:pPr>
        <w:ind w:left="866" w:hanging="568"/>
      </w:pPr>
      <w:rPr>
        <w:rFonts w:ascii="Symbol" w:eastAsia="Symbol" w:hAnsi="Symbol" w:cs="Symbol" w:hint="default"/>
        <w:w w:val="99"/>
        <w:sz w:val="22"/>
        <w:szCs w:val="22"/>
        <w:lang w:val="lt-LT" w:eastAsia="en-US" w:bidi="ar-SA"/>
      </w:rPr>
    </w:lvl>
    <w:lvl w:ilvl="1" w:tplc="96F4AC6C">
      <w:numFmt w:val="bullet"/>
      <w:lvlText w:val="o"/>
      <w:lvlJc w:val="left"/>
      <w:pPr>
        <w:ind w:left="1738" w:hanging="360"/>
      </w:pPr>
      <w:rPr>
        <w:rFonts w:ascii="Courier New" w:eastAsia="Courier New" w:hAnsi="Courier New" w:cs="Courier New" w:hint="default"/>
        <w:w w:val="99"/>
        <w:sz w:val="22"/>
        <w:szCs w:val="22"/>
        <w:lang w:val="lt-LT" w:eastAsia="en-US" w:bidi="ar-SA"/>
      </w:rPr>
    </w:lvl>
    <w:lvl w:ilvl="2" w:tplc="520E375C">
      <w:numFmt w:val="bullet"/>
      <w:lvlText w:val=""/>
      <w:lvlJc w:val="left"/>
      <w:pPr>
        <w:ind w:left="2000" w:hanging="284"/>
      </w:pPr>
      <w:rPr>
        <w:rFonts w:ascii="Wingdings" w:eastAsia="Wingdings" w:hAnsi="Wingdings" w:cs="Wingdings" w:hint="default"/>
        <w:w w:val="99"/>
        <w:sz w:val="22"/>
        <w:szCs w:val="22"/>
        <w:lang w:val="lt-LT" w:eastAsia="en-US" w:bidi="ar-SA"/>
      </w:rPr>
    </w:lvl>
    <w:lvl w:ilvl="3" w:tplc="3F761612">
      <w:numFmt w:val="bullet"/>
      <w:lvlText w:val="•"/>
      <w:lvlJc w:val="left"/>
      <w:pPr>
        <w:ind w:left="2000" w:hanging="284"/>
      </w:pPr>
      <w:rPr>
        <w:rFonts w:hint="default"/>
        <w:lang w:val="lt-LT" w:eastAsia="en-US" w:bidi="ar-SA"/>
      </w:rPr>
    </w:lvl>
    <w:lvl w:ilvl="4" w:tplc="370E72BE">
      <w:numFmt w:val="bullet"/>
      <w:lvlText w:val="•"/>
      <w:lvlJc w:val="left"/>
      <w:pPr>
        <w:ind w:left="3218" w:hanging="284"/>
      </w:pPr>
      <w:rPr>
        <w:rFonts w:hint="default"/>
        <w:lang w:val="lt-LT" w:eastAsia="en-US" w:bidi="ar-SA"/>
      </w:rPr>
    </w:lvl>
    <w:lvl w:ilvl="5" w:tplc="71C899DE">
      <w:numFmt w:val="bullet"/>
      <w:lvlText w:val="•"/>
      <w:lvlJc w:val="left"/>
      <w:pPr>
        <w:ind w:left="4436" w:hanging="284"/>
      </w:pPr>
      <w:rPr>
        <w:rFonts w:hint="default"/>
        <w:lang w:val="lt-LT" w:eastAsia="en-US" w:bidi="ar-SA"/>
      </w:rPr>
    </w:lvl>
    <w:lvl w:ilvl="6" w:tplc="4B463A34">
      <w:numFmt w:val="bullet"/>
      <w:lvlText w:val="•"/>
      <w:lvlJc w:val="left"/>
      <w:pPr>
        <w:ind w:left="5654" w:hanging="284"/>
      </w:pPr>
      <w:rPr>
        <w:rFonts w:hint="default"/>
        <w:lang w:val="lt-LT" w:eastAsia="en-US" w:bidi="ar-SA"/>
      </w:rPr>
    </w:lvl>
    <w:lvl w:ilvl="7" w:tplc="277E727C">
      <w:numFmt w:val="bullet"/>
      <w:lvlText w:val="•"/>
      <w:lvlJc w:val="left"/>
      <w:pPr>
        <w:ind w:left="6872" w:hanging="284"/>
      </w:pPr>
      <w:rPr>
        <w:rFonts w:hint="default"/>
        <w:lang w:val="lt-LT" w:eastAsia="en-US" w:bidi="ar-SA"/>
      </w:rPr>
    </w:lvl>
    <w:lvl w:ilvl="8" w:tplc="7A941C52">
      <w:numFmt w:val="bullet"/>
      <w:lvlText w:val="•"/>
      <w:lvlJc w:val="left"/>
      <w:pPr>
        <w:ind w:left="8091" w:hanging="284"/>
      </w:pPr>
      <w:rPr>
        <w:rFonts w:hint="default"/>
        <w:lang w:val="lt-LT" w:eastAsia="en-US" w:bidi="ar-SA"/>
      </w:rPr>
    </w:lvl>
  </w:abstractNum>
  <w:abstractNum w:abstractNumId="2" w15:restartNumberingAfterBreak="0">
    <w:nsid w:val="25061E73"/>
    <w:multiLevelType w:val="hybridMultilevel"/>
    <w:tmpl w:val="B4C680CA"/>
    <w:lvl w:ilvl="0" w:tplc="4CC236F4">
      <w:numFmt w:val="bullet"/>
      <w:lvlText w:val=""/>
      <w:lvlJc w:val="left"/>
      <w:pPr>
        <w:ind w:left="1018" w:hanging="360"/>
      </w:pPr>
      <w:rPr>
        <w:rFonts w:ascii="Symbol" w:eastAsia="Symbol" w:hAnsi="Symbol" w:cs="Symbol" w:hint="default"/>
        <w:w w:val="99"/>
        <w:sz w:val="22"/>
        <w:szCs w:val="22"/>
        <w:lang w:val="lt-LT" w:eastAsia="en-US" w:bidi="ar-SA"/>
      </w:rPr>
    </w:lvl>
    <w:lvl w:ilvl="1" w:tplc="80026AC4">
      <w:numFmt w:val="bullet"/>
      <w:lvlText w:val="•"/>
      <w:lvlJc w:val="left"/>
      <w:pPr>
        <w:ind w:left="1970" w:hanging="360"/>
      </w:pPr>
      <w:rPr>
        <w:rFonts w:hint="default"/>
        <w:lang w:val="lt-LT" w:eastAsia="en-US" w:bidi="ar-SA"/>
      </w:rPr>
    </w:lvl>
    <w:lvl w:ilvl="2" w:tplc="37FE5376">
      <w:numFmt w:val="bullet"/>
      <w:lvlText w:val="•"/>
      <w:lvlJc w:val="left"/>
      <w:pPr>
        <w:ind w:left="2921" w:hanging="360"/>
      </w:pPr>
      <w:rPr>
        <w:rFonts w:hint="default"/>
        <w:lang w:val="lt-LT" w:eastAsia="en-US" w:bidi="ar-SA"/>
      </w:rPr>
    </w:lvl>
    <w:lvl w:ilvl="3" w:tplc="6D220DA6">
      <w:numFmt w:val="bullet"/>
      <w:lvlText w:val="•"/>
      <w:lvlJc w:val="left"/>
      <w:pPr>
        <w:ind w:left="3872" w:hanging="360"/>
      </w:pPr>
      <w:rPr>
        <w:rFonts w:hint="default"/>
        <w:lang w:val="lt-LT" w:eastAsia="en-US" w:bidi="ar-SA"/>
      </w:rPr>
    </w:lvl>
    <w:lvl w:ilvl="4" w:tplc="165C072A">
      <w:numFmt w:val="bullet"/>
      <w:lvlText w:val="•"/>
      <w:lvlJc w:val="left"/>
      <w:pPr>
        <w:ind w:left="4823" w:hanging="360"/>
      </w:pPr>
      <w:rPr>
        <w:rFonts w:hint="default"/>
        <w:lang w:val="lt-LT" w:eastAsia="en-US" w:bidi="ar-SA"/>
      </w:rPr>
    </w:lvl>
    <w:lvl w:ilvl="5" w:tplc="0EC63F66">
      <w:numFmt w:val="bullet"/>
      <w:lvlText w:val="•"/>
      <w:lvlJc w:val="left"/>
      <w:pPr>
        <w:ind w:left="5773" w:hanging="360"/>
      </w:pPr>
      <w:rPr>
        <w:rFonts w:hint="default"/>
        <w:lang w:val="lt-LT" w:eastAsia="en-US" w:bidi="ar-SA"/>
      </w:rPr>
    </w:lvl>
    <w:lvl w:ilvl="6" w:tplc="8C562ACC">
      <w:numFmt w:val="bullet"/>
      <w:lvlText w:val="•"/>
      <w:lvlJc w:val="left"/>
      <w:pPr>
        <w:ind w:left="6724" w:hanging="360"/>
      </w:pPr>
      <w:rPr>
        <w:rFonts w:hint="default"/>
        <w:lang w:val="lt-LT" w:eastAsia="en-US" w:bidi="ar-SA"/>
      </w:rPr>
    </w:lvl>
    <w:lvl w:ilvl="7" w:tplc="27E013E4">
      <w:numFmt w:val="bullet"/>
      <w:lvlText w:val="•"/>
      <w:lvlJc w:val="left"/>
      <w:pPr>
        <w:ind w:left="7675" w:hanging="360"/>
      </w:pPr>
      <w:rPr>
        <w:rFonts w:hint="default"/>
        <w:lang w:val="lt-LT" w:eastAsia="en-US" w:bidi="ar-SA"/>
      </w:rPr>
    </w:lvl>
    <w:lvl w:ilvl="8" w:tplc="7868AC04">
      <w:numFmt w:val="bullet"/>
      <w:lvlText w:val="•"/>
      <w:lvlJc w:val="left"/>
      <w:pPr>
        <w:ind w:left="8626" w:hanging="360"/>
      </w:pPr>
      <w:rPr>
        <w:rFonts w:hint="default"/>
        <w:lang w:val="lt-LT" w:eastAsia="en-US" w:bidi="ar-SA"/>
      </w:rPr>
    </w:lvl>
  </w:abstractNum>
  <w:abstractNum w:abstractNumId="3" w15:restartNumberingAfterBreak="0">
    <w:nsid w:val="41FD4721"/>
    <w:multiLevelType w:val="hybridMultilevel"/>
    <w:tmpl w:val="E3A85F02"/>
    <w:lvl w:ilvl="0" w:tplc="473E61B6">
      <w:numFmt w:val="bullet"/>
      <w:lvlText w:val="-"/>
      <w:lvlJc w:val="left"/>
      <w:pPr>
        <w:ind w:left="866" w:hanging="568"/>
      </w:pPr>
      <w:rPr>
        <w:rFonts w:ascii="Calibri" w:eastAsia="Calibri" w:hAnsi="Calibri" w:cs="Calibri" w:hint="default"/>
        <w:w w:val="99"/>
        <w:sz w:val="22"/>
        <w:szCs w:val="22"/>
        <w:lang w:val="lt-LT" w:eastAsia="en-US" w:bidi="ar-SA"/>
      </w:rPr>
    </w:lvl>
    <w:lvl w:ilvl="1" w:tplc="21563D3A">
      <w:numFmt w:val="bullet"/>
      <w:lvlText w:val="•"/>
      <w:lvlJc w:val="left"/>
      <w:pPr>
        <w:ind w:left="1826" w:hanging="568"/>
      </w:pPr>
      <w:rPr>
        <w:rFonts w:hint="default"/>
        <w:lang w:val="lt-LT" w:eastAsia="en-US" w:bidi="ar-SA"/>
      </w:rPr>
    </w:lvl>
    <w:lvl w:ilvl="2" w:tplc="6848000A">
      <w:numFmt w:val="bullet"/>
      <w:lvlText w:val="•"/>
      <w:lvlJc w:val="left"/>
      <w:pPr>
        <w:ind w:left="2793" w:hanging="568"/>
      </w:pPr>
      <w:rPr>
        <w:rFonts w:hint="default"/>
        <w:lang w:val="lt-LT" w:eastAsia="en-US" w:bidi="ar-SA"/>
      </w:rPr>
    </w:lvl>
    <w:lvl w:ilvl="3" w:tplc="BC1619EA">
      <w:numFmt w:val="bullet"/>
      <w:lvlText w:val="•"/>
      <w:lvlJc w:val="left"/>
      <w:pPr>
        <w:ind w:left="3760" w:hanging="568"/>
      </w:pPr>
      <w:rPr>
        <w:rFonts w:hint="default"/>
        <w:lang w:val="lt-LT" w:eastAsia="en-US" w:bidi="ar-SA"/>
      </w:rPr>
    </w:lvl>
    <w:lvl w:ilvl="4" w:tplc="A2EA7A74">
      <w:numFmt w:val="bullet"/>
      <w:lvlText w:val="•"/>
      <w:lvlJc w:val="left"/>
      <w:pPr>
        <w:ind w:left="4727" w:hanging="568"/>
      </w:pPr>
      <w:rPr>
        <w:rFonts w:hint="default"/>
        <w:lang w:val="lt-LT" w:eastAsia="en-US" w:bidi="ar-SA"/>
      </w:rPr>
    </w:lvl>
    <w:lvl w:ilvl="5" w:tplc="264470A6">
      <w:numFmt w:val="bullet"/>
      <w:lvlText w:val="•"/>
      <w:lvlJc w:val="left"/>
      <w:pPr>
        <w:ind w:left="5693" w:hanging="568"/>
      </w:pPr>
      <w:rPr>
        <w:rFonts w:hint="default"/>
        <w:lang w:val="lt-LT" w:eastAsia="en-US" w:bidi="ar-SA"/>
      </w:rPr>
    </w:lvl>
    <w:lvl w:ilvl="6" w:tplc="1876BB1A">
      <w:numFmt w:val="bullet"/>
      <w:lvlText w:val="•"/>
      <w:lvlJc w:val="left"/>
      <w:pPr>
        <w:ind w:left="6660" w:hanging="568"/>
      </w:pPr>
      <w:rPr>
        <w:rFonts w:hint="default"/>
        <w:lang w:val="lt-LT" w:eastAsia="en-US" w:bidi="ar-SA"/>
      </w:rPr>
    </w:lvl>
    <w:lvl w:ilvl="7" w:tplc="65282B7C">
      <w:numFmt w:val="bullet"/>
      <w:lvlText w:val="•"/>
      <w:lvlJc w:val="left"/>
      <w:pPr>
        <w:ind w:left="7627" w:hanging="568"/>
      </w:pPr>
      <w:rPr>
        <w:rFonts w:hint="default"/>
        <w:lang w:val="lt-LT" w:eastAsia="en-US" w:bidi="ar-SA"/>
      </w:rPr>
    </w:lvl>
    <w:lvl w:ilvl="8" w:tplc="BC72DB96">
      <w:numFmt w:val="bullet"/>
      <w:lvlText w:val="•"/>
      <w:lvlJc w:val="left"/>
      <w:pPr>
        <w:ind w:left="8594" w:hanging="568"/>
      </w:pPr>
      <w:rPr>
        <w:rFonts w:hint="default"/>
        <w:lang w:val="lt-LT" w:eastAsia="en-US" w:bidi="ar-SA"/>
      </w:rPr>
    </w:lvl>
  </w:abstractNum>
  <w:abstractNum w:abstractNumId="4" w15:restartNumberingAfterBreak="0">
    <w:nsid w:val="4FC3322D"/>
    <w:multiLevelType w:val="multilevel"/>
    <w:tmpl w:val="2F94ABE6"/>
    <w:lvl w:ilvl="0">
      <w:start w:val="4"/>
      <w:numFmt w:val="decimal"/>
      <w:lvlText w:val="%1"/>
      <w:lvlJc w:val="left"/>
      <w:pPr>
        <w:ind w:left="866" w:hanging="568"/>
      </w:pPr>
      <w:rPr>
        <w:rFonts w:hint="default"/>
        <w:lang w:val="lt-LT" w:eastAsia="en-US" w:bidi="ar-SA"/>
      </w:rPr>
    </w:lvl>
    <w:lvl w:ilvl="1">
      <w:start w:val="7"/>
      <w:numFmt w:val="decimal"/>
      <w:lvlText w:val="%1.%2"/>
      <w:lvlJc w:val="left"/>
      <w:pPr>
        <w:ind w:left="866" w:hanging="568"/>
      </w:pPr>
      <w:rPr>
        <w:rFonts w:ascii="Times New Roman" w:eastAsia="Times New Roman" w:hAnsi="Times New Roman" w:cs="Times New Roman" w:hint="default"/>
        <w:b/>
        <w:bCs/>
        <w:w w:val="99"/>
        <w:sz w:val="22"/>
        <w:szCs w:val="22"/>
        <w:lang w:val="lt-LT" w:eastAsia="en-US" w:bidi="ar-SA"/>
      </w:rPr>
    </w:lvl>
    <w:lvl w:ilvl="2">
      <w:numFmt w:val="bullet"/>
      <w:lvlText w:val="•"/>
      <w:lvlJc w:val="left"/>
      <w:pPr>
        <w:ind w:left="2793" w:hanging="568"/>
      </w:pPr>
      <w:rPr>
        <w:rFonts w:hint="default"/>
        <w:lang w:val="lt-LT" w:eastAsia="en-US" w:bidi="ar-SA"/>
      </w:rPr>
    </w:lvl>
    <w:lvl w:ilvl="3">
      <w:numFmt w:val="bullet"/>
      <w:lvlText w:val="•"/>
      <w:lvlJc w:val="left"/>
      <w:pPr>
        <w:ind w:left="3760" w:hanging="568"/>
      </w:pPr>
      <w:rPr>
        <w:rFonts w:hint="default"/>
        <w:lang w:val="lt-LT" w:eastAsia="en-US" w:bidi="ar-SA"/>
      </w:rPr>
    </w:lvl>
    <w:lvl w:ilvl="4">
      <w:numFmt w:val="bullet"/>
      <w:lvlText w:val="•"/>
      <w:lvlJc w:val="left"/>
      <w:pPr>
        <w:ind w:left="4727" w:hanging="568"/>
      </w:pPr>
      <w:rPr>
        <w:rFonts w:hint="default"/>
        <w:lang w:val="lt-LT" w:eastAsia="en-US" w:bidi="ar-SA"/>
      </w:rPr>
    </w:lvl>
    <w:lvl w:ilvl="5">
      <w:numFmt w:val="bullet"/>
      <w:lvlText w:val="•"/>
      <w:lvlJc w:val="left"/>
      <w:pPr>
        <w:ind w:left="5693" w:hanging="568"/>
      </w:pPr>
      <w:rPr>
        <w:rFonts w:hint="default"/>
        <w:lang w:val="lt-LT" w:eastAsia="en-US" w:bidi="ar-SA"/>
      </w:rPr>
    </w:lvl>
    <w:lvl w:ilvl="6">
      <w:numFmt w:val="bullet"/>
      <w:lvlText w:val="•"/>
      <w:lvlJc w:val="left"/>
      <w:pPr>
        <w:ind w:left="6660" w:hanging="568"/>
      </w:pPr>
      <w:rPr>
        <w:rFonts w:hint="default"/>
        <w:lang w:val="lt-LT" w:eastAsia="en-US" w:bidi="ar-SA"/>
      </w:rPr>
    </w:lvl>
    <w:lvl w:ilvl="7">
      <w:numFmt w:val="bullet"/>
      <w:lvlText w:val="•"/>
      <w:lvlJc w:val="left"/>
      <w:pPr>
        <w:ind w:left="7627" w:hanging="568"/>
      </w:pPr>
      <w:rPr>
        <w:rFonts w:hint="default"/>
        <w:lang w:val="lt-LT" w:eastAsia="en-US" w:bidi="ar-SA"/>
      </w:rPr>
    </w:lvl>
    <w:lvl w:ilvl="8">
      <w:numFmt w:val="bullet"/>
      <w:lvlText w:val="•"/>
      <w:lvlJc w:val="left"/>
      <w:pPr>
        <w:ind w:left="8594" w:hanging="568"/>
      </w:pPr>
      <w:rPr>
        <w:rFonts w:hint="default"/>
        <w:lang w:val="lt-LT" w:eastAsia="en-US" w:bidi="ar-SA"/>
      </w:rPr>
    </w:lvl>
  </w:abstractNum>
  <w:abstractNum w:abstractNumId="5" w15:restartNumberingAfterBreak="0">
    <w:nsid w:val="536473ED"/>
    <w:multiLevelType w:val="hybridMultilevel"/>
    <w:tmpl w:val="1AA6A796"/>
    <w:lvl w:ilvl="0" w:tplc="AA9A768A">
      <w:start w:val="1"/>
      <w:numFmt w:val="decimal"/>
      <w:lvlText w:val="%1."/>
      <w:lvlJc w:val="left"/>
      <w:pPr>
        <w:ind w:left="298" w:hanging="568"/>
      </w:pPr>
      <w:rPr>
        <w:rFonts w:ascii="Times New Roman" w:eastAsia="Times New Roman" w:hAnsi="Times New Roman" w:cs="Times New Roman" w:hint="default"/>
        <w:b/>
        <w:bCs/>
        <w:w w:val="99"/>
        <w:sz w:val="22"/>
        <w:szCs w:val="22"/>
        <w:lang w:val="lt-LT" w:eastAsia="en-US" w:bidi="ar-SA"/>
      </w:rPr>
    </w:lvl>
    <w:lvl w:ilvl="1" w:tplc="039022B4">
      <w:numFmt w:val="bullet"/>
      <w:lvlText w:val="•"/>
      <w:lvlJc w:val="left"/>
      <w:pPr>
        <w:ind w:left="1322" w:hanging="568"/>
      </w:pPr>
      <w:rPr>
        <w:rFonts w:hint="default"/>
        <w:lang w:val="lt-LT" w:eastAsia="en-US" w:bidi="ar-SA"/>
      </w:rPr>
    </w:lvl>
    <w:lvl w:ilvl="2" w:tplc="C2BC5D74">
      <w:numFmt w:val="bullet"/>
      <w:lvlText w:val="•"/>
      <w:lvlJc w:val="left"/>
      <w:pPr>
        <w:ind w:left="2345" w:hanging="568"/>
      </w:pPr>
      <w:rPr>
        <w:rFonts w:hint="default"/>
        <w:lang w:val="lt-LT" w:eastAsia="en-US" w:bidi="ar-SA"/>
      </w:rPr>
    </w:lvl>
    <w:lvl w:ilvl="3" w:tplc="8BF6D09E">
      <w:numFmt w:val="bullet"/>
      <w:lvlText w:val="•"/>
      <w:lvlJc w:val="left"/>
      <w:pPr>
        <w:ind w:left="3368" w:hanging="568"/>
      </w:pPr>
      <w:rPr>
        <w:rFonts w:hint="default"/>
        <w:lang w:val="lt-LT" w:eastAsia="en-US" w:bidi="ar-SA"/>
      </w:rPr>
    </w:lvl>
    <w:lvl w:ilvl="4" w:tplc="E4728B3E">
      <w:numFmt w:val="bullet"/>
      <w:lvlText w:val="•"/>
      <w:lvlJc w:val="left"/>
      <w:pPr>
        <w:ind w:left="4391" w:hanging="568"/>
      </w:pPr>
      <w:rPr>
        <w:rFonts w:hint="default"/>
        <w:lang w:val="lt-LT" w:eastAsia="en-US" w:bidi="ar-SA"/>
      </w:rPr>
    </w:lvl>
    <w:lvl w:ilvl="5" w:tplc="5D9CB602">
      <w:numFmt w:val="bullet"/>
      <w:lvlText w:val="•"/>
      <w:lvlJc w:val="left"/>
      <w:pPr>
        <w:ind w:left="5413" w:hanging="568"/>
      </w:pPr>
      <w:rPr>
        <w:rFonts w:hint="default"/>
        <w:lang w:val="lt-LT" w:eastAsia="en-US" w:bidi="ar-SA"/>
      </w:rPr>
    </w:lvl>
    <w:lvl w:ilvl="6" w:tplc="10028890">
      <w:numFmt w:val="bullet"/>
      <w:lvlText w:val="•"/>
      <w:lvlJc w:val="left"/>
      <w:pPr>
        <w:ind w:left="6436" w:hanging="568"/>
      </w:pPr>
      <w:rPr>
        <w:rFonts w:hint="default"/>
        <w:lang w:val="lt-LT" w:eastAsia="en-US" w:bidi="ar-SA"/>
      </w:rPr>
    </w:lvl>
    <w:lvl w:ilvl="7" w:tplc="8040B43A">
      <w:numFmt w:val="bullet"/>
      <w:lvlText w:val="•"/>
      <w:lvlJc w:val="left"/>
      <w:pPr>
        <w:ind w:left="7459" w:hanging="568"/>
      </w:pPr>
      <w:rPr>
        <w:rFonts w:hint="default"/>
        <w:lang w:val="lt-LT" w:eastAsia="en-US" w:bidi="ar-SA"/>
      </w:rPr>
    </w:lvl>
    <w:lvl w:ilvl="8" w:tplc="A7C83984">
      <w:numFmt w:val="bullet"/>
      <w:lvlText w:val="•"/>
      <w:lvlJc w:val="left"/>
      <w:pPr>
        <w:ind w:left="8482" w:hanging="568"/>
      </w:pPr>
      <w:rPr>
        <w:rFonts w:hint="default"/>
        <w:lang w:val="lt-LT" w:eastAsia="en-US" w:bidi="ar-SA"/>
      </w:rPr>
    </w:lvl>
  </w:abstractNum>
  <w:abstractNum w:abstractNumId="6" w15:restartNumberingAfterBreak="0">
    <w:nsid w:val="5A121F68"/>
    <w:multiLevelType w:val="hybridMultilevel"/>
    <w:tmpl w:val="F82A2D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187703"/>
    <w:multiLevelType w:val="hybridMultilevel"/>
    <w:tmpl w:val="E4728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081798"/>
    <w:multiLevelType w:val="multilevel"/>
    <w:tmpl w:val="C8F4CB0E"/>
    <w:lvl w:ilvl="0">
      <w:start w:val="1"/>
      <w:numFmt w:val="decimal"/>
      <w:lvlText w:val="%1."/>
      <w:lvlJc w:val="left"/>
      <w:pPr>
        <w:ind w:left="866" w:hanging="568"/>
      </w:pPr>
      <w:rPr>
        <w:rFonts w:ascii="Times New Roman" w:eastAsia="Times New Roman" w:hAnsi="Times New Roman" w:cs="Times New Roman" w:hint="default"/>
        <w:b/>
        <w:bCs/>
        <w:w w:val="99"/>
        <w:sz w:val="22"/>
        <w:szCs w:val="22"/>
        <w:lang w:val="lt-LT" w:eastAsia="en-US" w:bidi="ar-SA"/>
      </w:rPr>
    </w:lvl>
    <w:lvl w:ilvl="1">
      <w:start w:val="1"/>
      <w:numFmt w:val="decimal"/>
      <w:lvlText w:val="%1.%2"/>
      <w:lvlJc w:val="left"/>
      <w:pPr>
        <w:ind w:left="866" w:hanging="568"/>
      </w:pPr>
      <w:rPr>
        <w:rFonts w:ascii="Times New Roman" w:eastAsia="Times New Roman" w:hAnsi="Times New Roman" w:cs="Times New Roman" w:hint="default"/>
        <w:b/>
        <w:bCs/>
        <w:w w:val="99"/>
        <w:sz w:val="22"/>
        <w:szCs w:val="22"/>
        <w:lang w:val="lt-LT" w:eastAsia="en-US" w:bidi="ar-SA"/>
      </w:rPr>
    </w:lvl>
    <w:lvl w:ilvl="2">
      <w:numFmt w:val="bullet"/>
      <w:lvlText w:val="•"/>
      <w:lvlJc w:val="left"/>
      <w:pPr>
        <w:ind w:left="2793" w:hanging="568"/>
      </w:pPr>
      <w:rPr>
        <w:rFonts w:hint="default"/>
        <w:lang w:val="lt-LT" w:eastAsia="en-US" w:bidi="ar-SA"/>
      </w:rPr>
    </w:lvl>
    <w:lvl w:ilvl="3">
      <w:numFmt w:val="bullet"/>
      <w:lvlText w:val="•"/>
      <w:lvlJc w:val="left"/>
      <w:pPr>
        <w:ind w:left="3760" w:hanging="568"/>
      </w:pPr>
      <w:rPr>
        <w:rFonts w:hint="default"/>
        <w:lang w:val="lt-LT" w:eastAsia="en-US" w:bidi="ar-SA"/>
      </w:rPr>
    </w:lvl>
    <w:lvl w:ilvl="4">
      <w:numFmt w:val="bullet"/>
      <w:lvlText w:val="•"/>
      <w:lvlJc w:val="left"/>
      <w:pPr>
        <w:ind w:left="4727" w:hanging="568"/>
      </w:pPr>
      <w:rPr>
        <w:rFonts w:hint="default"/>
        <w:lang w:val="lt-LT" w:eastAsia="en-US" w:bidi="ar-SA"/>
      </w:rPr>
    </w:lvl>
    <w:lvl w:ilvl="5">
      <w:numFmt w:val="bullet"/>
      <w:lvlText w:val="•"/>
      <w:lvlJc w:val="left"/>
      <w:pPr>
        <w:ind w:left="5693" w:hanging="568"/>
      </w:pPr>
      <w:rPr>
        <w:rFonts w:hint="default"/>
        <w:lang w:val="lt-LT" w:eastAsia="en-US" w:bidi="ar-SA"/>
      </w:rPr>
    </w:lvl>
    <w:lvl w:ilvl="6">
      <w:numFmt w:val="bullet"/>
      <w:lvlText w:val="•"/>
      <w:lvlJc w:val="left"/>
      <w:pPr>
        <w:ind w:left="6660" w:hanging="568"/>
      </w:pPr>
      <w:rPr>
        <w:rFonts w:hint="default"/>
        <w:lang w:val="lt-LT" w:eastAsia="en-US" w:bidi="ar-SA"/>
      </w:rPr>
    </w:lvl>
    <w:lvl w:ilvl="7">
      <w:numFmt w:val="bullet"/>
      <w:lvlText w:val="•"/>
      <w:lvlJc w:val="left"/>
      <w:pPr>
        <w:ind w:left="7627" w:hanging="568"/>
      </w:pPr>
      <w:rPr>
        <w:rFonts w:hint="default"/>
        <w:lang w:val="lt-LT" w:eastAsia="en-US" w:bidi="ar-SA"/>
      </w:rPr>
    </w:lvl>
    <w:lvl w:ilvl="8">
      <w:numFmt w:val="bullet"/>
      <w:lvlText w:val="•"/>
      <w:lvlJc w:val="left"/>
      <w:pPr>
        <w:ind w:left="8594" w:hanging="568"/>
      </w:pPr>
      <w:rPr>
        <w:rFonts w:hint="default"/>
        <w:lang w:val="lt-LT" w:eastAsia="en-US" w:bidi="ar-SA"/>
      </w:rPr>
    </w:lvl>
  </w:abstractNum>
  <w:abstractNum w:abstractNumId="9" w15:restartNumberingAfterBreak="0">
    <w:nsid w:val="6A91028B"/>
    <w:multiLevelType w:val="hybridMultilevel"/>
    <w:tmpl w:val="60E2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1B1C2E"/>
    <w:multiLevelType w:val="hybridMultilevel"/>
    <w:tmpl w:val="D19E391C"/>
    <w:lvl w:ilvl="0" w:tplc="CE820006">
      <w:start w:val="1"/>
      <w:numFmt w:val="upp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CF08A9"/>
    <w:multiLevelType w:val="hybridMultilevel"/>
    <w:tmpl w:val="D66C7F34"/>
    <w:lvl w:ilvl="0" w:tplc="7C9AB72C">
      <w:start w:val="1"/>
      <w:numFmt w:val="decimal"/>
      <w:lvlText w:val="%1."/>
      <w:lvlJc w:val="left"/>
      <w:pPr>
        <w:ind w:left="866" w:hanging="568"/>
      </w:pPr>
      <w:rPr>
        <w:rFonts w:ascii="Times New Roman" w:eastAsia="Times New Roman" w:hAnsi="Times New Roman" w:cs="Times New Roman" w:hint="default"/>
        <w:w w:val="99"/>
        <w:sz w:val="22"/>
        <w:szCs w:val="22"/>
        <w:lang w:val="lt-LT" w:eastAsia="en-US" w:bidi="ar-SA"/>
      </w:rPr>
    </w:lvl>
    <w:lvl w:ilvl="1" w:tplc="CAA824F8">
      <w:numFmt w:val="bullet"/>
      <w:lvlText w:val="•"/>
      <w:lvlJc w:val="left"/>
      <w:pPr>
        <w:ind w:left="1826" w:hanging="568"/>
      </w:pPr>
      <w:rPr>
        <w:rFonts w:hint="default"/>
        <w:lang w:val="lt-LT" w:eastAsia="en-US" w:bidi="ar-SA"/>
      </w:rPr>
    </w:lvl>
    <w:lvl w:ilvl="2" w:tplc="C6A2AC10">
      <w:numFmt w:val="bullet"/>
      <w:lvlText w:val="•"/>
      <w:lvlJc w:val="left"/>
      <w:pPr>
        <w:ind w:left="2793" w:hanging="568"/>
      </w:pPr>
      <w:rPr>
        <w:rFonts w:hint="default"/>
        <w:lang w:val="lt-LT" w:eastAsia="en-US" w:bidi="ar-SA"/>
      </w:rPr>
    </w:lvl>
    <w:lvl w:ilvl="3" w:tplc="86CE268A">
      <w:numFmt w:val="bullet"/>
      <w:lvlText w:val="•"/>
      <w:lvlJc w:val="left"/>
      <w:pPr>
        <w:ind w:left="3760" w:hanging="568"/>
      </w:pPr>
      <w:rPr>
        <w:rFonts w:hint="default"/>
        <w:lang w:val="lt-LT" w:eastAsia="en-US" w:bidi="ar-SA"/>
      </w:rPr>
    </w:lvl>
    <w:lvl w:ilvl="4" w:tplc="CCAC995E">
      <w:numFmt w:val="bullet"/>
      <w:lvlText w:val="•"/>
      <w:lvlJc w:val="left"/>
      <w:pPr>
        <w:ind w:left="4727" w:hanging="568"/>
      </w:pPr>
      <w:rPr>
        <w:rFonts w:hint="default"/>
        <w:lang w:val="lt-LT" w:eastAsia="en-US" w:bidi="ar-SA"/>
      </w:rPr>
    </w:lvl>
    <w:lvl w:ilvl="5" w:tplc="504E3DFE">
      <w:numFmt w:val="bullet"/>
      <w:lvlText w:val="•"/>
      <w:lvlJc w:val="left"/>
      <w:pPr>
        <w:ind w:left="5693" w:hanging="568"/>
      </w:pPr>
      <w:rPr>
        <w:rFonts w:hint="default"/>
        <w:lang w:val="lt-LT" w:eastAsia="en-US" w:bidi="ar-SA"/>
      </w:rPr>
    </w:lvl>
    <w:lvl w:ilvl="6" w:tplc="CDB63FFC">
      <w:numFmt w:val="bullet"/>
      <w:lvlText w:val="•"/>
      <w:lvlJc w:val="left"/>
      <w:pPr>
        <w:ind w:left="6660" w:hanging="568"/>
      </w:pPr>
      <w:rPr>
        <w:rFonts w:hint="default"/>
        <w:lang w:val="lt-LT" w:eastAsia="en-US" w:bidi="ar-SA"/>
      </w:rPr>
    </w:lvl>
    <w:lvl w:ilvl="7" w:tplc="05E20E40">
      <w:numFmt w:val="bullet"/>
      <w:lvlText w:val="•"/>
      <w:lvlJc w:val="left"/>
      <w:pPr>
        <w:ind w:left="7627" w:hanging="568"/>
      </w:pPr>
      <w:rPr>
        <w:rFonts w:hint="default"/>
        <w:lang w:val="lt-LT" w:eastAsia="en-US" w:bidi="ar-SA"/>
      </w:rPr>
    </w:lvl>
    <w:lvl w:ilvl="8" w:tplc="14289FCC">
      <w:numFmt w:val="bullet"/>
      <w:lvlText w:val="•"/>
      <w:lvlJc w:val="left"/>
      <w:pPr>
        <w:ind w:left="8594" w:hanging="568"/>
      </w:pPr>
      <w:rPr>
        <w:rFonts w:hint="default"/>
        <w:lang w:val="lt-LT" w:eastAsia="en-US" w:bidi="ar-SA"/>
      </w:rPr>
    </w:lvl>
  </w:abstractNum>
  <w:abstractNum w:abstractNumId="12" w15:restartNumberingAfterBreak="0">
    <w:nsid w:val="7B6515EA"/>
    <w:multiLevelType w:val="multilevel"/>
    <w:tmpl w:val="D81C51A6"/>
    <w:lvl w:ilvl="0">
      <w:start w:val="4"/>
      <w:numFmt w:val="decimal"/>
      <w:lvlText w:val="%1"/>
      <w:lvlJc w:val="left"/>
      <w:pPr>
        <w:ind w:left="866" w:hanging="568"/>
      </w:pPr>
      <w:rPr>
        <w:rFonts w:hint="default"/>
        <w:lang w:val="lt-LT" w:eastAsia="en-US" w:bidi="ar-SA"/>
      </w:rPr>
    </w:lvl>
    <w:lvl w:ilvl="1">
      <w:start w:val="3"/>
      <w:numFmt w:val="decimal"/>
      <w:lvlText w:val="%1.%2"/>
      <w:lvlJc w:val="left"/>
      <w:pPr>
        <w:ind w:left="866" w:hanging="568"/>
      </w:pPr>
      <w:rPr>
        <w:rFonts w:ascii="Times New Roman" w:eastAsia="Times New Roman" w:hAnsi="Times New Roman" w:cs="Times New Roman" w:hint="default"/>
        <w:b/>
        <w:bCs/>
        <w:w w:val="99"/>
        <w:sz w:val="22"/>
        <w:szCs w:val="22"/>
        <w:lang w:val="lt-LT" w:eastAsia="en-US" w:bidi="ar-SA"/>
      </w:rPr>
    </w:lvl>
    <w:lvl w:ilvl="2">
      <w:numFmt w:val="bullet"/>
      <w:lvlText w:val="•"/>
      <w:lvlJc w:val="left"/>
      <w:pPr>
        <w:ind w:left="2793" w:hanging="568"/>
      </w:pPr>
      <w:rPr>
        <w:rFonts w:hint="default"/>
        <w:lang w:val="lt-LT" w:eastAsia="en-US" w:bidi="ar-SA"/>
      </w:rPr>
    </w:lvl>
    <w:lvl w:ilvl="3">
      <w:numFmt w:val="bullet"/>
      <w:lvlText w:val="•"/>
      <w:lvlJc w:val="left"/>
      <w:pPr>
        <w:ind w:left="3760" w:hanging="568"/>
      </w:pPr>
      <w:rPr>
        <w:rFonts w:hint="default"/>
        <w:lang w:val="lt-LT" w:eastAsia="en-US" w:bidi="ar-SA"/>
      </w:rPr>
    </w:lvl>
    <w:lvl w:ilvl="4">
      <w:numFmt w:val="bullet"/>
      <w:lvlText w:val="•"/>
      <w:lvlJc w:val="left"/>
      <w:pPr>
        <w:ind w:left="4727" w:hanging="568"/>
      </w:pPr>
      <w:rPr>
        <w:rFonts w:hint="default"/>
        <w:lang w:val="lt-LT" w:eastAsia="en-US" w:bidi="ar-SA"/>
      </w:rPr>
    </w:lvl>
    <w:lvl w:ilvl="5">
      <w:numFmt w:val="bullet"/>
      <w:lvlText w:val="•"/>
      <w:lvlJc w:val="left"/>
      <w:pPr>
        <w:ind w:left="5693" w:hanging="568"/>
      </w:pPr>
      <w:rPr>
        <w:rFonts w:hint="default"/>
        <w:lang w:val="lt-LT" w:eastAsia="en-US" w:bidi="ar-SA"/>
      </w:rPr>
    </w:lvl>
    <w:lvl w:ilvl="6">
      <w:numFmt w:val="bullet"/>
      <w:lvlText w:val="•"/>
      <w:lvlJc w:val="left"/>
      <w:pPr>
        <w:ind w:left="6660" w:hanging="568"/>
      </w:pPr>
      <w:rPr>
        <w:rFonts w:hint="default"/>
        <w:lang w:val="lt-LT" w:eastAsia="en-US" w:bidi="ar-SA"/>
      </w:rPr>
    </w:lvl>
    <w:lvl w:ilvl="7">
      <w:numFmt w:val="bullet"/>
      <w:lvlText w:val="•"/>
      <w:lvlJc w:val="left"/>
      <w:pPr>
        <w:ind w:left="7627" w:hanging="568"/>
      </w:pPr>
      <w:rPr>
        <w:rFonts w:hint="default"/>
        <w:lang w:val="lt-LT" w:eastAsia="en-US" w:bidi="ar-SA"/>
      </w:rPr>
    </w:lvl>
    <w:lvl w:ilvl="8">
      <w:numFmt w:val="bullet"/>
      <w:lvlText w:val="•"/>
      <w:lvlJc w:val="left"/>
      <w:pPr>
        <w:ind w:left="8594" w:hanging="568"/>
      </w:pPr>
      <w:rPr>
        <w:rFonts w:hint="default"/>
        <w:lang w:val="lt-LT" w:eastAsia="en-US" w:bidi="ar-SA"/>
      </w:rPr>
    </w:lvl>
  </w:abstractNum>
  <w:abstractNum w:abstractNumId="13" w15:restartNumberingAfterBreak="0">
    <w:nsid w:val="7C6B611E"/>
    <w:multiLevelType w:val="hybridMultilevel"/>
    <w:tmpl w:val="EBDE3C42"/>
    <w:lvl w:ilvl="0" w:tplc="106C7F02">
      <w:numFmt w:val="bullet"/>
      <w:lvlText w:val=""/>
      <w:lvlJc w:val="left"/>
      <w:pPr>
        <w:ind w:left="397" w:hanging="288"/>
      </w:pPr>
      <w:rPr>
        <w:rFonts w:ascii="Symbol" w:eastAsia="Symbol" w:hAnsi="Symbol" w:cs="Symbol" w:hint="default"/>
        <w:w w:val="99"/>
        <w:sz w:val="22"/>
        <w:szCs w:val="22"/>
        <w:lang w:val="lt-LT" w:eastAsia="en-US" w:bidi="ar-SA"/>
      </w:rPr>
    </w:lvl>
    <w:lvl w:ilvl="1" w:tplc="D0DAEEA8">
      <w:numFmt w:val="bullet"/>
      <w:lvlText w:val="•"/>
      <w:lvlJc w:val="left"/>
      <w:pPr>
        <w:ind w:left="1289" w:hanging="288"/>
      </w:pPr>
      <w:rPr>
        <w:rFonts w:hint="default"/>
        <w:lang w:val="lt-LT" w:eastAsia="en-US" w:bidi="ar-SA"/>
      </w:rPr>
    </w:lvl>
    <w:lvl w:ilvl="2" w:tplc="24D2E602">
      <w:numFmt w:val="bullet"/>
      <w:lvlText w:val="•"/>
      <w:lvlJc w:val="left"/>
      <w:pPr>
        <w:ind w:left="2178" w:hanging="288"/>
      </w:pPr>
      <w:rPr>
        <w:rFonts w:hint="default"/>
        <w:lang w:val="lt-LT" w:eastAsia="en-US" w:bidi="ar-SA"/>
      </w:rPr>
    </w:lvl>
    <w:lvl w:ilvl="3" w:tplc="79DEB7A6">
      <w:numFmt w:val="bullet"/>
      <w:lvlText w:val="•"/>
      <w:lvlJc w:val="left"/>
      <w:pPr>
        <w:ind w:left="3067" w:hanging="288"/>
      </w:pPr>
      <w:rPr>
        <w:rFonts w:hint="default"/>
        <w:lang w:val="lt-LT" w:eastAsia="en-US" w:bidi="ar-SA"/>
      </w:rPr>
    </w:lvl>
    <w:lvl w:ilvl="4" w:tplc="E6DC2404">
      <w:numFmt w:val="bullet"/>
      <w:lvlText w:val="•"/>
      <w:lvlJc w:val="left"/>
      <w:pPr>
        <w:ind w:left="3956" w:hanging="288"/>
      </w:pPr>
      <w:rPr>
        <w:rFonts w:hint="default"/>
        <w:lang w:val="lt-LT" w:eastAsia="en-US" w:bidi="ar-SA"/>
      </w:rPr>
    </w:lvl>
    <w:lvl w:ilvl="5" w:tplc="2D5470CA">
      <w:numFmt w:val="bullet"/>
      <w:lvlText w:val="•"/>
      <w:lvlJc w:val="left"/>
      <w:pPr>
        <w:ind w:left="4845" w:hanging="288"/>
      </w:pPr>
      <w:rPr>
        <w:rFonts w:hint="default"/>
        <w:lang w:val="lt-LT" w:eastAsia="en-US" w:bidi="ar-SA"/>
      </w:rPr>
    </w:lvl>
    <w:lvl w:ilvl="6" w:tplc="595C9BC8">
      <w:numFmt w:val="bullet"/>
      <w:lvlText w:val="•"/>
      <w:lvlJc w:val="left"/>
      <w:pPr>
        <w:ind w:left="5734" w:hanging="288"/>
      </w:pPr>
      <w:rPr>
        <w:rFonts w:hint="default"/>
        <w:lang w:val="lt-LT" w:eastAsia="en-US" w:bidi="ar-SA"/>
      </w:rPr>
    </w:lvl>
    <w:lvl w:ilvl="7" w:tplc="C7CEE7A0">
      <w:numFmt w:val="bullet"/>
      <w:lvlText w:val="•"/>
      <w:lvlJc w:val="left"/>
      <w:pPr>
        <w:ind w:left="6623" w:hanging="288"/>
      </w:pPr>
      <w:rPr>
        <w:rFonts w:hint="default"/>
        <w:lang w:val="lt-LT" w:eastAsia="en-US" w:bidi="ar-SA"/>
      </w:rPr>
    </w:lvl>
    <w:lvl w:ilvl="8" w:tplc="8104DB74">
      <w:numFmt w:val="bullet"/>
      <w:lvlText w:val="•"/>
      <w:lvlJc w:val="left"/>
      <w:pPr>
        <w:ind w:left="7512" w:hanging="288"/>
      </w:pPr>
      <w:rPr>
        <w:rFonts w:hint="default"/>
        <w:lang w:val="lt-LT" w:eastAsia="en-US" w:bidi="ar-SA"/>
      </w:rPr>
    </w:lvl>
  </w:abstractNum>
  <w:num w:numId="1" w16cid:durableId="266350670">
    <w:abstractNumId w:val="6"/>
  </w:num>
  <w:num w:numId="2" w16cid:durableId="683022717">
    <w:abstractNumId w:val="10"/>
  </w:num>
  <w:num w:numId="3" w16cid:durableId="713042142">
    <w:abstractNumId w:val="2"/>
  </w:num>
  <w:num w:numId="4" w16cid:durableId="1545756549">
    <w:abstractNumId w:val="0"/>
  </w:num>
  <w:num w:numId="5" w16cid:durableId="923877892">
    <w:abstractNumId w:val="5"/>
  </w:num>
  <w:num w:numId="6" w16cid:durableId="699741093">
    <w:abstractNumId w:val="11"/>
  </w:num>
  <w:num w:numId="7" w16cid:durableId="1124422175">
    <w:abstractNumId w:val="3"/>
  </w:num>
  <w:num w:numId="8" w16cid:durableId="2018531668">
    <w:abstractNumId w:val="13"/>
  </w:num>
  <w:num w:numId="9" w16cid:durableId="547761706">
    <w:abstractNumId w:val="4"/>
  </w:num>
  <w:num w:numId="10" w16cid:durableId="1835027405">
    <w:abstractNumId w:val="12"/>
  </w:num>
  <w:num w:numId="11" w16cid:durableId="1937250922">
    <w:abstractNumId w:val="1"/>
  </w:num>
  <w:num w:numId="12" w16cid:durableId="696664501">
    <w:abstractNumId w:val="8"/>
  </w:num>
  <w:num w:numId="13" w16cid:durableId="1867058178">
    <w:abstractNumId w:val="9"/>
  </w:num>
  <w:num w:numId="14" w16cid:durableId="52791642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defaultTabStop w:val="708"/>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00096"/>
    <w:rsid w:val="0000405C"/>
    <w:rsid w:val="00004B34"/>
    <w:rsid w:val="00006619"/>
    <w:rsid w:val="00010BFB"/>
    <w:rsid w:val="00011C58"/>
    <w:rsid w:val="0001414D"/>
    <w:rsid w:val="0001581A"/>
    <w:rsid w:val="000158F0"/>
    <w:rsid w:val="000204B2"/>
    <w:rsid w:val="000207D6"/>
    <w:rsid w:val="0002277A"/>
    <w:rsid w:val="00025044"/>
    <w:rsid w:val="0002517A"/>
    <w:rsid w:val="00025644"/>
    <w:rsid w:val="00025E16"/>
    <w:rsid w:val="00027CDC"/>
    <w:rsid w:val="000306B5"/>
    <w:rsid w:val="000332FD"/>
    <w:rsid w:val="000341D8"/>
    <w:rsid w:val="0003449D"/>
    <w:rsid w:val="000349D8"/>
    <w:rsid w:val="00037F18"/>
    <w:rsid w:val="00043127"/>
    <w:rsid w:val="00043756"/>
    <w:rsid w:val="00043933"/>
    <w:rsid w:val="0004431C"/>
    <w:rsid w:val="00044763"/>
    <w:rsid w:val="00044C74"/>
    <w:rsid w:val="0004549C"/>
    <w:rsid w:val="00047934"/>
    <w:rsid w:val="00050815"/>
    <w:rsid w:val="000522E2"/>
    <w:rsid w:val="00053D62"/>
    <w:rsid w:val="00057184"/>
    <w:rsid w:val="00061B32"/>
    <w:rsid w:val="00062D2F"/>
    <w:rsid w:val="00062D61"/>
    <w:rsid w:val="00066E8F"/>
    <w:rsid w:val="000731C5"/>
    <w:rsid w:val="00073C1C"/>
    <w:rsid w:val="0007432E"/>
    <w:rsid w:val="00076A5E"/>
    <w:rsid w:val="00082801"/>
    <w:rsid w:val="00087153"/>
    <w:rsid w:val="000907BF"/>
    <w:rsid w:val="00093A94"/>
    <w:rsid w:val="0009752B"/>
    <w:rsid w:val="00097AAC"/>
    <w:rsid w:val="00097F8C"/>
    <w:rsid w:val="000A0A6C"/>
    <w:rsid w:val="000A4AEC"/>
    <w:rsid w:val="000B16D7"/>
    <w:rsid w:val="000B1CF4"/>
    <w:rsid w:val="000B41F0"/>
    <w:rsid w:val="000B5522"/>
    <w:rsid w:val="000B6768"/>
    <w:rsid w:val="000C0ABE"/>
    <w:rsid w:val="000C3934"/>
    <w:rsid w:val="000D319D"/>
    <w:rsid w:val="000D36ED"/>
    <w:rsid w:val="000D42FA"/>
    <w:rsid w:val="000D4699"/>
    <w:rsid w:val="000D49B4"/>
    <w:rsid w:val="000D59B3"/>
    <w:rsid w:val="000D774F"/>
    <w:rsid w:val="000E118C"/>
    <w:rsid w:val="000E7AD5"/>
    <w:rsid w:val="000E7E00"/>
    <w:rsid w:val="000E7EB9"/>
    <w:rsid w:val="000F2B0E"/>
    <w:rsid w:val="000F541E"/>
    <w:rsid w:val="001001BF"/>
    <w:rsid w:val="001069A1"/>
    <w:rsid w:val="0011147A"/>
    <w:rsid w:val="00111A40"/>
    <w:rsid w:val="00111C46"/>
    <w:rsid w:val="0011756C"/>
    <w:rsid w:val="00117C2F"/>
    <w:rsid w:val="00120A94"/>
    <w:rsid w:val="001226C5"/>
    <w:rsid w:val="001314F6"/>
    <w:rsid w:val="0013178C"/>
    <w:rsid w:val="00133F45"/>
    <w:rsid w:val="00135D9E"/>
    <w:rsid w:val="00135E6D"/>
    <w:rsid w:val="00137F2E"/>
    <w:rsid w:val="00141F83"/>
    <w:rsid w:val="00142032"/>
    <w:rsid w:val="00145243"/>
    <w:rsid w:val="00145E72"/>
    <w:rsid w:val="00146F34"/>
    <w:rsid w:val="0014704C"/>
    <w:rsid w:val="00150BDF"/>
    <w:rsid w:val="001510D8"/>
    <w:rsid w:val="00153A62"/>
    <w:rsid w:val="00163936"/>
    <w:rsid w:val="00165FF4"/>
    <w:rsid w:val="001711E2"/>
    <w:rsid w:val="001750CA"/>
    <w:rsid w:val="00177247"/>
    <w:rsid w:val="00184A6C"/>
    <w:rsid w:val="001857D2"/>
    <w:rsid w:val="00186878"/>
    <w:rsid w:val="00191095"/>
    <w:rsid w:val="001A1D6A"/>
    <w:rsid w:val="001A3D27"/>
    <w:rsid w:val="001A6C6E"/>
    <w:rsid w:val="001A7F2F"/>
    <w:rsid w:val="001B00A6"/>
    <w:rsid w:val="001B28FB"/>
    <w:rsid w:val="001B6BAA"/>
    <w:rsid w:val="001C00DF"/>
    <w:rsid w:val="001C06B2"/>
    <w:rsid w:val="001C21C5"/>
    <w:rsid w:val="001C361B"/>
    <w:rsid w:val="001C3A4A"/>
    <w:rsid w:val="001C5194"/>
    <w:rsid w:val="001C7A31"/>
    <w:rsid w:val="001D0C74"/>
    <w:rsid w:val="001D441B"/>
    <w:rsid w:val="001E0076"/>
    <w:rsid w:val="001E07A9"/>
    <w:rsid w:val="001E4AC5"/>
    <w:rsid w:val="001E612E"/>
    <w:rsid w:val="001E6B6A"/>
    <w:rsid w:val="001F525B"/>
    <w:rsid w:val="001F6B3E"/>
    <w:rsid w:val="00202A75"/>
    <w:rsid w:val="00203BAF"/>
    <w:rsid w:val="0020404F"/>
    <w:rsid w:val="002048FA"/>
    <w:rsid w:val="0020577F"/>
    <w:rsid w:val="00206BB4"/>
    <w:rsid w:val="0020759E"/>
    <w:rsid w:val="00210A38"/>
    <w:rsid w:val="002132DA"/>
    <w:rsid w:val="00213FD0"/>
    <w:rsid w:val="00214A08"/>
    <w:rsid w:val="00214AAF"/>
    <w:rsid w:val="00215B90"/>
    <w:rsid w:val="00215C8C"/>
    <w:rsid w:val="002225C3"/>
    <w:rsid w:val="00225A8E"/>
    <w:rsid w:val="00227D5D"/>
    <w:rsid w:val="00232843"/>
    <w:rsid w:val="00233992"/>
    <w:rsid w:val="0023490E"/>
    <w:rsid w:val="00234C5F"/>
    <w:rsid w:val="002361DB"/>
    <w:rsid w:val="00236952"/>
    <w:rsid w:val="002422BC"/>
    <w:rsid w:val="00242E10"/>
    <w:rsid w:val="0024305C"/>
    <w:rsid w:val="0024483D"/>
    <w:rsid w:val="00246A22"/>
    <w:rsid w:val="0024701F"/>
    <w:rsid w:val="002479F5"/>
    <w:rsid w:val="00251364"/>
    <w:rsid w:val="00256AF8"/>
    <w:rsid w:val="00257BC9"/>
    <w:rsid w:val="002637CE"/>
    <w:rsid w:val="0026421D"/>
    <w:rsid w:val="002647A5"/>
    <w:rsid w:val="00265E6C"/>
    <w:rsid w:val="002669BD"/>
    <w:rsid w:val="00267FAD"/>
    <w:rsid w:val="00270B0E"/>
    <w:rsid w:val="00271996"/>
    <w:rsid w:val="00272EE2"/>
    <w:rsid w:val="00272EE7"/>
    <w:rsid w:val="0027324A"/>
    <w:rsid w:val="002733D0"/>
    <w:rsid w:val="00273B27"/>
    <w:rsid w:val="00275FA2"/>
    <w:rsid w:val="00286FB0"/>
    <w:rsid w:val="00287FAA"/>
    <w:rsid w:val="00291200"/>
    <w:rsid w:val="002917B7"/>
    <w:rsid w:val="00292DAB"/>
    <w:rsid w:val="00296680"/>
    <w:rsid w:val="002979A1"/>
    <w:rsid w:val="002A00CC"/>
    <w:rsid w:val="002A0A3C"/>
    <w:rsid w:val="002A1FDD"/>
    <w:rsid w:val="002A4E58"/>
    <w:rsid w:val="002A5E45"/>
    <w:rsid w:val="002A6845"/>
    <w:rsid w:val="002A7575"/>
    <w:rsid w:val="002A77B4"/>
    <w:rsid w:val="002A7B3D"/>
    <w:rsid w:val="002B1D34"/>
    <w:rsid w:val="002B42E2"/>
    <w:rsid w:val="002B7D6D"/>
    <w:rsid w:val="002C1AB0"/>
    <w:rsid w:val="002C403E"/>
    <w:rsid w:val="002C50E4"/>
    <w:rsid w:val="002D0F90"/>
    <w:rsid w:val="002D1B27"/>
    <w:rsid w:val="002D2A08"/>
    <w:rsid w:val="002D2B1E"/>
    <w:rsid w:val="002E0AC6"/>
    <w:rsid w:val="002E23AF"/>
    <w:rsid w:val="002E24DC"/>
    <w:rsid w:val="002E4B02"/>
    <w:rsid w:val="002F1799"/>
    <w:rsid w:val="002F6DED"/>
    <w:rsid w:val="00301558"/>
    <w:rsid w:val="00306ED2"/>
    <w:rsid w:val="00307F68"/>
    <w:rsid w:val="00312111"/>
    <w:rsid w:val="00317031"/>
    <w:rsid w:val="003227CF"/>
    <w:rsid w:val="003268B6"/>
    <w:rsid w:val="00326C45"/>
    <w:rsid w:val="0033320B"/>
    <w:rsid w:val="00335914"/>
    <w:rsid w:val="003414F3"/>
    <w:rsid w:val="00342A9C"/>
    <w:rsid w:val="00343E21"/>
    <w:rsid w:val="00346F68"/>
    <w:rsid w:val="00351ABB"/>
    <w:rsid w:val="00352C1A"/>
    <w:rsid w:val="00353205"/>
    <w:rsid w:val="00354E6D"/>
    <w:rsid w:val="0036009C"/>
    <w:rsid w:val="00363696"/>
    <w:rsid w:val="003672D7"/>
    <w:rsid w:val="00371576"/>
    <w:rsid w:val="00375A4B"/>
    <w:rsid w:val="003764F2"/>
    <w:rsid w:val="003778B5"/>
    <w:rsid w:val="00380CB2"/>
    <w:rsid w:val="003814E4"/>
    <w:rsid w:val="003832A2"/>
    <w:rsid w:val="003841C8"/>
    <w:rsid w:val="00385B93"/>
    <w:rsid w:val="00385C3C"/>
    <w:rsid w:val="0038610E"/>
    <w:rsid w:val="0038617F"/>
    <w:rsid w:val="00387858"/>
    <w:rsid w:val="003924AB"/>
    <w:rsid w:val="00394142"/>
    <w:rsid w:val="00395FF3"/>
    <w:rsid w:val="00396979"/>
    <w:rsid w:val="0039728F"/>
    <w:rsid w:val="003A026F"/>
    <w:rsid w:val="003A2C8C"/>
    <w:rsid w:val="003A36AD"/>
    <w:rsid w:val="003A4922"/>
    <w:rsid w:val="003A7DC9"/>
    <w:rsid w:val="003B2198"/>
    <w:rsid w:val="003C1D0A"/>
    <w:rsid w:val="003C47B1"/>
    <w:rsid w:val="003C577B"/>
    <w:rsid w:val="003C79DE"/>
    <w:rsid w:val="003C7B55"/>
    <w:rsid w:val="003D265F"/>
    <w:rsid w:val="003D4883"/>
    <w:rsid w:val="003D7733"/>
    <w:rsid w:val="003E017C"/>
    <w:rsid w:val="003E1E45"/>
    <w:rsid w:val="003E3790"/>
    <w:rsid w:val="003E4DD2"/>
    <w:rsid w:val="003E5334"/>
    <w:rsid w:val="003E65CA"/>
    <w:rsid w:val="003F09FD"/>
    <w:rsid w:val="003F517D"/>
    <w:rsid w:val="003F7669"/>
    <w:rsid w:val="003F7940"/>
    <w:rsid w:val="003F7BEC"/>
    <w:rsid w:val="0040201D"/>
    <w:rsid w:val="004074A1"/>
    <w:rsid w:val="00411459"/>
    <w:rsid w:val="004124A7"/>
    <w:rsid w:val="004128D9"/>
    <w:rsid w:val="0041371D"/>
    <w:rsid w:val="00414636"/>
    <w:rsid w:val="00414F3E"/>
    <w:rsid w:val="0041634F"/>
    <w:rsid w:val="00422F80"/>
    <w:rsid w:val="00434D89"/>
    <w:rsid w:val="00437B1C"/>
    <w:rsid w:val="00441BAA"/>
    <w:rsid w:val="00443419"/>
    <w:rsid w:val="0044369C"/>
    <w:rsid w:val="00445288"/>
    <w:rsid w:val="0044544F"/>
    <w:rsid w:val="00447B7B"/>
    <w:rsid w:val="00447DE6"/>
    <w:rsid w:val="00450888"/>
    <w:rsid w:val="00460E48"/>
    <w:rsid w:val="0046230D"/>
    <w:rsid w:val="00465B3A"/>
    <w:rsid w:val="00467885"/>
    <w:rsid w:val="00476A39"/>
    <w:rsid w:val="00480037"/>
    <w:rsid w:val="004822A8"/>
    <w:rsid w:val="004839DD"/>
    <w:rsid w:val="00485787"/>
    <w:rsid w:val="00486150"/>
    <w:rsid w:val="00486D19"/>
    <w:rsid w:val="00487F52"/>
    <w:rsid w:val="00492B34"/>
    <w:rsid w:val="00493B5E"/>
    <w:rsid w:val="0049569F"/>
    <w:rsid w:val="004A024D"/>
    <w:rsid w:val="004A0758"/>
    <w:rsid w:val="004A46DB"/>
    <w:rsid w:val="004A495E"/>
    <w:rsid w:val="004A4BB8"/>
    <w:rsid w:val="004A5854"/>
    <w:rsid w:val="004A5A54"/>
    <w:rsid w:val="004A654F"/>
    <w:rsid w:val="004B2FB1"/>
    <w:rsid w:val="004B7434"/>
    <w:rsid w:val="004B7CCF"/>
    <w:rsid w:val="004C1458"/>
    <w:rsid w:val="004C18F0"/>
    <w:rsid w:val="004D2206"/>
    <w:rsid w:val="004D3A3E"/>
    <w:rsid w:val="004D4255"/>
    <w:rsid w:val="004D4F3F"/>
    <w:rsid w:val="004D608C"/>
    <w:rsid w:val="004E7B9E"/>
    <w:rsid w:val="004F08FA"/>
    <w:rsid w:val="004F1036"/>
    <w:rsid w:val="004F1DEA"/>
    <w:rsid w:val="004F6833"/>
    <w:rsid w:val="005008BA"/>
    <w:rsid w:val="005009C8"/>
    <w:rsid w:val="00501BF1"/>
    <w:rsid w:val="00507090"/>
    <w:rsid w:val="005076AD"/>
    <w:rsid w:val="005143AC"/>
    <w:rsid w:val="0051490B"/>
    <w:rsid w:val="00523E93"/>
    <w:rsid w:val="00527C9F"/>
    <w:rsid w:val="00530508"/>
    <w:rsid w:val="00530973"/>
    <w:rsid w:val="00533B7D"/>
    <w:rsid w:val="0053513C"/>
    <w:rsid w:val="00540ACD"/>
    <w:rsid w:val="00540C4F"/>
    <w:rsid w:val="00543447"/>
    <w:rsid w:val="00545DD7"/>
    <w:rsid w:val="00547F4A"/>
    <w:rsid w:val="00550AFC"/>
    <w:rsid w:val="00552446"/>
    <w:rsid w:val="00552D1F"/>
    <w:rsid w:val="00553913"/>
    <w:rsid w:val="00553D81"/>
    <w:rsid w:val="00554A76"/>
    <w:rsid w:val="00556F11"/>
    <w:rsid w:val="00561534"/>
    <w:rsid w:val="00563867"/>
    <w:rsid w:val="0056663F"/>
    <w:rsid w:val="00566989"/>
    <w:rsid w:val="00566BA0"/>
    <w:rsid w:val="00567735"/>
    <w:rsid w:val="00567F29"/>
    <w:rsid w:val="00571986"/>
    <w:rsid w:val="00573685"/>
    <w:rsid w:val="00573B54"/>
    <w:rsid w:val="00575B97"/>
    <w:rsid w:val="00575C54"/>
    <w:rsid w:val="005767B1"/>
    <w:rsid w:val="005778A4"/>
    <w:rsid w:val="0058237C"/>
    <w:rsid w:val="00583A15"/>
    <w:rsid w:val="00584F8F"/>
    <w:rsid w:val="00586D19"/>
    <w:rsid w:val="005871BF"/>
    <w:rsid w:val="00592228"/>
    <w:rsid w:val="00593585"/>
    <w:rsid w:val="00594DBD"/>
    <w:rsid w:val="00595C13"/>
    <w:rsid w:val="00597895"/>
    <w:rsid w:val="005A7EA9"/>
    <w:rsid w:val="005B34F5"/>
    <w:rsid w:val="005B4314"/>
    <w:rsid w:val="005B5BF2"/>
    <w:rsid w:val="005B6EFF"/>
    <w:rsid w:val="005C511F"/>
    <w:rsid w:val="005C535F"/>
    <w:rsid w:val="005C62C9"/>
    <w:rsid w:val="005C7857"/>
    <w:rsid w:val="005D19E7"/>
    <w:rsid w:val="005D1AAB"/>
    <w:rsid w:val="005D1E87"/>
    <w:rsid w:val="005D3FB4"/>
    <w:rsid w:val="005D5042"/>
    <w:rsid w:val="005E0A70"/>
    <w:rsid w:val="005E409E"/>
    <w:rsid w:val="005E66F6"/>
    <w:rsid w:val="005F5749"/>
    <w:rsid w:val="005F59E8"/>
    <w:rsid w:val="00602C4B"/>
    <w:rsid w:val="00603806"/>
    <w:rsid w:val="00606247"/>
    <w:rsid w:val="00613787"/>
    <w:rsid w:val="006147F4"/>
    <w:rsid w:val="00620985"/>
    <w:rsid w:val="006231C8"/>
    <w:rsid w:val="0062356F"/>
    <w:rsid w:val="00623949"/>
    <w:rsid w:val="006250BC"/>
    <w:rsid w:val="00625DD4"/>
    <w:rsid w:val="00626622"/>
    <w:rsid w:val="0063337D"/>
    <w:rsid w:val="006363BF"/>
    <w:rsid w:val="00636718"/>
    <w:rsid w:val="00637395"/>
    <w:rsid w:val="006402E6"/>
    <w:rsid w:val="00640540"/>
    <w:rsid w:val="0064154F"/>
    <w:rsid w:val="00646153"/>
    <w:rsid w:val="00646AD5"/>
    <w:rsid w:val="00646C21"/>
    <w:rsid w:val="00647282"/>
    <w:rsid w:val="00653ECD"/>
    <w:rsid w:val="00654A4F"/>
    <w:rsid w:val="006628EF"/>
    <w:rsid w:val="00665371"/>
    <w:rsid w:val="0067246B"/>
    <w:rsid w:val="006758FF"/>
    <w:rsid w:val="006767C2"/>
    <w:rsid w:val="00683C02"/>
    <w:rsid w:val="00692A14"/>
    <w:rsid w:val="00696124"/>
    <w:rsid w:val="00696982"/>
    <w:rsid w:val="00697457"/>
    <w:rsid w:val="006A26B4"/>
    <w:rsid w:val="006A5C27"/>
    <w:rsid w:val="006B0614"/>
    <w:rsid w:val="006B193A"/>
    <w:rsid w:val="006B1F51"/>
    <w:rsid w:val="006B4096"/>
    <w:rsid w:val="006B484C"/>
    <w:rsid w:val="006B724D"/>
    <w:rsid w:val="006C00A9"/>
    <w:rsid w:val="006C0EDF"/>
    <w:rsid w:val="006C20E4"/>
    <w:rsid w:val="006C3E17"/>
    <w:rsid w:val="006C4E1A"/>
    <w:rsid w:val="006C6230"/>
    <w:rsid w:val="006C71E8"/>
    <w:rsid w:val="006C767B"/>
    <w:rsid w:val="006C7729"/>
    <w:rsid w:val="006D041A"/>
    <w:rsid w:val="006D16E8"/>
    <w:rsid w:val="006D3A02"/>
    <w:rsid w:val="006D6AB5"/>
    <w:rsid w:val="006D757F"/>
    <w:rsid w:val="006E02BD"/>
    <w:rsid w:val="006E2712"/>
    <w:rsid w:val="006E29C0"/>
    <w:rsid w:val="006E2B4F"/>
    <w:rsid w:val="006E67DE"/>
    <w:rsid w:val="006F2A10"/>
    <w:rsid w:val="006F5D4B"/>
    <w:rsid w:val="006F706D"/>
    <w:rsid w:val="007002EF"/>
    <w:rsid w:val="0070113A"/>
    <w:rsid w:val="00701AF7"/>
    <w:rsid w:val="00707A7A"/>
    <w:rsid w:val="00710903"/>
    <w:rsid w:val="00711543"/>
    <w:rsid w:val="00715046"/>
    <w:rsid w:val="00715A48"/>
    <w:rsid w:val="00720A1E"/>
    <w:rsid w:val="00722616"/>
    <w:rsid w:val="00722EB1"/>
    <w:rsid w:val="00722F6E"/>
    <w:rsid w:val="007239A2"/>
    <w:rsid w:val="00731B7B"/>
    <w:rsid w:val="00733DDB"/>
    <w:rsid w:val="00735A50"/>
    <w:rsid w:val="00741559"/>
    <w:rsid w:val="00741BD3"/>
    <w:rsid w:val="00745903"/>
    <w:rsid w:val="007475A9"/>
    <w:rsid w:val="007475C0"/>
    <w:rsid w:val="007504E3"/>
    <w:rsid w:val="00753821"/>
    <w:rsid w:val="00756B0B"/>
    <w:rsid w:val="00756CB1"/>
    <w:rsid w:val="00757531"/>
    <w:rsid w:val="00757AC8"/>
    <w:rsid w:val="00757BFD"/>
    <w:rsid w:val="00763ECA"/>
    <w:rsid w:val="00765456"/>
    <w:rsid w:val="00766BA9"/>
    <w:rsid w:val="0076740D"/>
    <w:rsid w:val="00784FC2"/>
    <w:rsid w:val="00785747"/>
    <w:rsid w:val="007A1636"/>
    <w:rsid w:val="007A1FFD"/>
    <w:rsid w:val="007A2D5B"/>
    <w:rsid w:val="007A6C03"/>
    <w:rsid w:val="007B3D1F"/>
    <w:rsid w:val="007B3E39"/>
    <w:rsid w:val="007B5D36"/>
    <w:rsid w:val="007C0E2F"/>
    <w:rsid w:val="007D1FE4"/>
    <w:rsid w:val="007D38FD"/>
    <w:rsid w:val="007E008D"/>
    <w:rsid w:val="007E1CBB"/>
    <w:rsid w:val="007E4EFA"/>
    <w:rsid w:val="007E71D1"/>
    <w:rsid w:val="007F033E"/>
    <w:rsid w:val="007F5C29"/>
    <w:rsid w:val="007F7D4C"/>
    <w:rsid w:val="0080022F"/>
    <w:rsid w:val="008017B0"/>
    <w:rsid w:val="008028B1"/>
    <w:rsid w:val="00803AFB"/>
    <w:rsid w:val="00804A5A"/>
    <w:rsid w:val="00805674"/>
    <w:rsid w:val="008059BC"/>
    <w:rsid w:val="00812B7F"/>
    <w:rsid w:val="0081786F"/>
    <w:rsid w:val="00824006"/>
    <w:rsid w:val="0083016E"/>
    <w:rsid w:val="00830E93"/>
    <w:rsid w:val="0083460D"/>
    <w:rsid w:val="00834A25"/>
    <w:rsid w:val="00836391"/>
    <w:rsid w:val="00836729"/>
    <w:rsid w:val="00840771"/>
    <w:rsid w:val="008447D2"/>
    <w:rsid w:val="00844DB8"/>
    <w:rsid w:val="00845CD9"/>
    <w:rsid w:val="00846615"/>
    <w:rsid w:val="00846E9F"/>
    <w:rsid w:val="00851523"/>
    <w:rsid w:val="00852803"/>
    <w:rsid w:val="00855605"/>
    <w:rsid w:val="0086108C"/>
    <w:rsid w:val="00861275"/>
    <w:rsid w:val="0086162A"/>
    <w:rsid w:val="0086180D"/>
    <w:rsid w:val="00862897"/>
    <w:rsid w:val="0086455D"/>
    <w:rsid w:val="00864742"/>
    <w:rsid w:val="00866D78"/>
    <w:rsid w:val="00867E05"/>
    <w:rsid w:val="008700BA"/>
    <w:rsid w:val="00870D45"/>
    <w:rsid w:val="0087161B"/>
    <w:rsid w:val="00873F54"/>
    <w:rsid w:val="00875C20"/>
    <w:rsid w:val="008768C5"/>
    <w:rsid w:val="0087700C"/>
    <w:rsid w:val="0088166F"/>
    <w:rsid w:val="00881B0F"/>
    <w:rsid w:val="00884E5E"/>
    <w:rsid w:val="008875A3"/>
    <w:rsid w:val="0089121A"/>
    <w:rsid w:val="008920C0"/>
    <w:rsid w:val="00892EE1"/>
    <w:rsid w:val="00894823"/>
    <w:rsid w:val="0089553E"/>
    <w:rsid w:val="008A07A4"/>
    <w:rsid w:val="008A0854"/>
    <w:rsid w:val="008A1861"/>
    <w:rsid w:val="008A1E95"/>
    <w:rsid w:val="008A340E"/>
    <w:rsid w:val="008A39C1"/>
    <w:rsid w:val="008A4A90"/>
    <w:rsid w:val="008B4EC7"/>
    <w:rsid w:val="008B6880"/>
    <w:rsid w:val="008C1AF1"/>
    <w:rsid w:val="008C21DD"/>
    <w:rsid w:val="008C4755"/>
    <w:rsid w:val="008C53CA"/>
    <w:rsid w:val="008C5636"/>
    <w:rsid w:val="008C56B2"/>
    <w:rsid w:val="008C67FA"/>
    <w:rsid w:val="008C7CF5"/>
    <w:rsid w:val="008C7FD4"/>
    <w:rsid w:val="008D2E40"/>
    <w:rsid w:val="008D7A0A"/>
    <w:rsid w:val="008E3E08"/>
    <w:rsid w:val="008F04CF"/>
    <w:rsid w:val="008F1AC5"/>
    <w:rsid w:val="008F20E9"/>
    <w:rsid w:val="008F2630"/>
    <w:rsid w:val="008F52E0"/>
    <w:rsid w:val="008F6E93"/>
    <w:rsid w:val="00900359"/>
    <w:rsid w:val="009048C5"/>
    <w:rsid w:val="0090514C"/>
    <w:rsid w:val="00916758"/>
    <w:rsid w:val="009224D5"/>
    <w:rsid w:val="00924290"/>
    <w:rsid w:val="00924F65"/>
    <w:rsid w:val="0092553A"/>
    <w:rsid w:val="00927609"/>
    <w:rsid w:val="00931B1C"/>
    <w:rsid w:val="00935062"/>
    <w:rsid w:val="009359B5"/>
    <w:rsid w:val="0093652A"/>
    <w:rsid w:val="009407F9"/>
    <w:rsid w:val="00941623"/>
    <w:rsid w:val="0094511D"/>
    <w:rsid w:val="009470D1"/>
    <w:rsid w:val="009535F0"/>
    <w:rsid w:val="009538B5"/>
    <w:rsid w:val="00953AD5"/>
    <w:rsid w:val="00954E1C"/>
    <w:rsid w:val="0095504C"/>
    <w:rsid w:val="00956906"/>
    <w:rsid w:val="00957B9D"/>
    <w:rsid w:val="00961944"/>
    <w:rsid w:val="00962ABE"/>
    <w:rsid w:val="00966FBC"/>
    <w:rsid w:val="009700F7"/>
    <w:rsid w:val="0097278B"/>
    <w:rsid w:val="00973143"/>
    <w:rsid w:val="00980381"/>
    <w:rsid w:val="009813A6"/>
    <w:rsid w:val="00981426"/>
    <w:rsid w:val="00982934"/>
    <w:rsid w:val="00982E1F"/>
    <w:rsid w:val="00986BB1"/>
    <w:rsid w:val="0098706A"/>
    <w:rsid w:val="0098777B"/>
    <w:rsid w:val="0099185C"/>
    <w:rsid w:val="009919B6"/>
    <w:rsid w:val="00992F19"/>
    <w:rsid w:val="00993B37"/>
    <w:rsid w:val="00995260"/>
    <w:rsid w:val="009A4B65"/>
    <w:rsid w:val="009A523A"/>
    <w:rsid w:val="009A5F86"/>
    <w:rsid w:val="009B1C5A"/>
    <w:rsid w:val="009B20E5"/>
    <w:rsid w:val="009B3CD0"/>
    <w:rsid w:val="009B6B28"/>
    <w:rsid w:val="009C6F99"/>
    <w:rsid w:val="009D2D7E"/>
    <w:rsid w:val="009D42CC"/>
    <w:rsid w:val="009D7E87"/>
    <w:rsid w:val="009E5023"/>
    <w:rsid w:val="009E5891"/>
    <w:rsid w:val="009E6037"/>
    <w:rsid w:val="009E64C7"/>
    <w:rsid w:val="009E6AFA"/>
    <w:rsid w:val="009F06C6"/>
    <w:rsid w:val="009F1A1A"/>
    <w:rsid w:val="009F2302"/>
    <w:rsid w:val="009F6B44"/>
    <w:rsid w:val="00A00AB0"/>
    <w:rsid w:val="00A10EEB"/>
    <w:rsid w:val="00A11D3B"/>
    <w:rsid w:val="00A1231F"/>
    <w:rsid w:val="00A128DF"/>
    <w:rsid w:val="00A1310F"/>
    <w:rsid w:val="00A149BB"/>
    <w:rsid w:val="00A15763"/>
    <w:rsid w:val="00A15BC5"/>
    <w:rsid w:val="00A205EC"/>
    <w:rsid w:val="00A30BB9"/>
    <w:rsid w:val="00A34915"/>
    <w:rsid w:val="00A427EB"/>
    <w:rsid w:val="00A432EF"/>
    <w:rsid w:val="00A462C4"/>
    <w:rsid w:val="00A46AF1"/>
    <w:rsid w:val="00A51EDB"/>
    <w:rsid w:val="00A552D9"/>
    <w:rsid w:val="00A55A18"/>
    <w:rsid w:val="00A613A6"/>
    <w:rsid w:val="00A62D16"/>
    <w:rsid w:val="00A62E26"/>
    <w:rsid w:val="00A63384"/>
    <w:rsid w:val="00A64780"/>
    <w:rsid w:val="00A651CB"/>
    <w:rsid w:val="00A66D77"/>
    <w:rsid w:val="00A70964"/>
    <w:rsid w:val="00A80769"/>
    <w:rsid w:val="00A855B2"/>
    <w:rsid w:val="00A86590"/>
    <w:rsid w:val="00A90195"/>
    <w:rsid w:val="00A92B09"/>
    <w:rsid w:val="00AA0583"/>
    <w:rsid w:val="00AA1BD5"/>
    <w:rsid w:val="00AA41D1"/>
    <w:rsid w:val="00AA486B"/>
    <w:rsid w:val="00AA5D17"/>
    <w:rsid w:val="00AA7444"/>
    <w:rsid w:val="00AB195A"/>
    <w:rsid w:val="00AB21A6"/>
    <w:rsid w:val="00AB3EA1"/>
    <w:rsid w:val="00AB5091"/>
    <w:rsid w:val="00AB6405"/>
    <w:rsid w:val="00AB6F04"/>
    <w:rsid w:val="00AB7AD6"/>
    <w:rsid w:val="00AC0086"/>
    <w:rsid w:val="00AC0341"/>
    <w:rsid w:val="00AC0CE9"/>
    <w:rsid w:val="00AC31F8"/>
    <w:rsid w:val="00AC3337"/>
    <w:rsid w:val="00AC3793"/>
    <w:rsid w:val="00AC46ED"/>
    <w:rsid w:val="00AC4B26"/>
    <w:rsid w:val="00AC4FA4"/>
    <w:rsid w:val="00AD073F"/>
    <w:rsid w:val="00AD560B"/>
    <w:rsid w:val="00AE742A"/>
    <w:rsid w:val="00AF0E73"/>
    <w:rsid w:val="00AF288C"/>
    <w:rsid w:val="00AF3406"/>
    <w:rsid w:val="00AF6289"/>
    <w:rsid w:val="00AF6404"/>
    <w:rsid w:val="00B01A5C"/>
    <w:rsid w:val="00B05E82"/>
    <w:rsid w:val="00B06B85"/>
    <w:rsid w:val="00B06EEA"/>
    <w:rsid w:val="00B1102B"/>
    <w:rsid w:val="00B21922"/>
    <w:rsid w:val="00B22F99"/>
    <w:rsid w:val="00B24871"/>
    <w:rsid w:val="00B26F6D"/>
    <w:rsid w:val="00B3048B"/>
    <w:rsid w:val="00B304B8"/>
    <w:rsid w:val="00B31849"/>
    <w:rsid w:val="00B320B3"/>
    <w:rsid w:val="00B35340"/>
    <w:rsid w:val="00B35ABC"/>
    <w:rsid w:val="00B40635"/>
    <w:rsid w:val="00B4235D"/>
    <w:rsid w:val="00B53434"/>
    <w:rsid w:val="00B54041"/>
    <w:rsid w:val="00B572F9"/>
    <w:rsid w:val="00B6103E"/>
    <w:rsid w:val="00B62840"/>
    <w:rsid w:val="00B6546F"/>
    <w:rsid w:val="00B65B94"/>
    <w:rsid w:val="00B669F7"/>
    <w:rsid w:val="00B7128C"/>
    <w:rsid w:val="00B800D4"/>
    <w:rsid w:val="00B83075"/>
    <w:rsid w:val="00B832F1"/>
    <w:rsid w:val="00B8490E"/>
    <w:rsid w:val="00B853C3"/>
    <w:rsid w:val="00B92FA4"/>
    <w:rsid w:val="00B9592D"/>
    <w:rsid w:val="00B95A71"/>
    <w:rsid w:val="00B96644"/>
    <w:rsid w:val="00B97A6B"/>
    <w:rsid w:val="00BA5B2D"/>
    <w:rsid w:val="00BB08AB"/>
    <w:rsid w:val="00BB26AC"/>
    <w:rsid w:val="00BB4D27"/>
    <w:rsid w:val="00BC0BCF"/>
    <w:rsid w:val="00BC3881"/>
    <w:rsid w:val="00BD66C5"/>
    <w:rsid w:val="00BE2055"/>
    <w:rsid w:val="00BE6E4B"/>
    <w:rsid w:val="00BE79D6"/>
    <w:rsid w:val="00BF19CE"/>
    <w:rsid w:val="00BF7A17"/>
    <w:rsid w:val="00C01331"/>
    <w:rsid w:val="00C01C8E"/>
    <w:rsid w:val="00C064C8"/>
    <w:rsid w:val="00C10DEE"/>
    <w:rsid w:val="00C11318"/>
    <w:rsid w:val="00C121DE"/>
    <w:rsid w:val="00C12863"/>
    <w:rsid w:val="00C1291F"/>
    <w:rsid w:val="00C14B35"/>
    <w:rsid w:val="00C16ABC"/>
    <w:rsid w:val="00C22BA0"/>
    <w:rsid w:val="00C24669"/>
    <w:rsid w:val="00C250F9"/>
    <w:rsid w:val="00C279D1"/>
    <w:rsid w:val="00C27CFF"/>
    <w:rsid w:val="00C27E00"/>
    <w:rsid w:val="00C27E23"/>
    <w:rsid w:val="00C320DE"/>
    <w:rsid w:val="00C32BC1"/>
    <w:rsid w:val="00C350E2"/>
    <w:rsid w:val="00C365C3"/>
    <w:rsid w:val="00C36E10"/>
    <w:rsid w:val="00C465C7"/>
    <w:rsid w:val="00C47908"/>
    <w:rsid w:val="00C50309"/>
    <w:rsid w:val="00C53ABB"/>
    <w:rsid w:val="00C603D9"/>
    <w:rsid w:val="00C627E8"/>
    <w:rsid w:val="00C65F83"/>
    <w:rsid w:val="00C66855"/>
    <w:rsid w:val="00C70D30"/>
    <w:rsid w:val="00C777B9"/>
    <w:rsid w:val="00C77B65"/>
    <w:rsid w:val="00C80988"/>
    <w:rsid w:val="00C81385"/>
    <w:rsid w:val="00C830E4"/>
    <w:rsid w:val="00C8754D"/>
    <w:rsid w:val="00CA5884"/>
    <w:rsid w:val="00CC2E27"/>
    <w:rsid w:val="00CC4465"/>
    <w:rsid w:val="00CC4A22"/>
    <w:rsid w:val="00CC56FB"/>
    <w:rsid w:val="00CD40EC"/>
    <w:rsid w:val="00CD6B2D"/>
    <w:rsid w:val="00CD7C10"/>
    <w:rsid w:val="00CE05FA"/>
    <w:rsid w:val="00CE1072"/>
    <w:rsid w:val="00CE2152"/>
    <w:rsid w:val="00CE24A8"/>
    <w:rsid w:val="00CE6090"/>
    <w:rsid w:val="00CF180C"/>
    <w:rsid w:val="00CF3E59"/>
    <w:rsid w:val="00CF46BA"/>
    <w:rsid w:val="00CF4E94"/>
    <w:rsid w:val="00D012F3"/>
    <w:rsid w:val="00D033D4"/>
    <w:rsid w:val="00D049E4"/>
    <w:rsid w:val="00D15B46"/>
    <w:rsid w:val="00D15F34"/>
    <w:rsid w:val="00D257FD"/>
    <w:rsid w:val="00D267C5"/>
    <w:rsid w:val="00D31D1B"/>
    <w:rsid w:val="00D3271A"/>
    <w:rsid w:val="00D32BA5"/>
    <w:rsid w:val="00D34907"/>
    <w:rsid w:val="00D34DD8"/>
    <w:rsid w:val="00D3706D"/>
    <w:rsid w:val="00D41B59"/>
    <w:rsid w:val="00D42276"/>
    <w:rsid w:val="00D4663F"/>
    <w:rsid w:val="00D46D9D"/>
    <w:rsid w:val="00D5091E"/>
    <w:rsid w:val="00D5614B"/>
    <w:rsid w:val="00D60397"/>
    <w:rsid w:val="00D661BD"/>
    <w:rsid w:val="00D662F3"/>
    <w:rsid w:val="00D705A8"/>
    <w:rsid w:val="00D71553"/>
    <w:rsid w:val="00D72885"/>
    <w:rsid w:val="00D75E9D"/>
    <w:rsid w:val="00D77514"/>
    <w:rsid w:val="00D84C7A"/>
    <w:rsid w:val="00D905DC"/>
    <w:rsid w:val="00D90F30"/>
    <w:rsid w:val="00D932C1"/>
    <w:rsid w:val="00D93D7E"/>
    <w:rsid w:val="00D95469"/>
    <w:rsid w:val="00D973D4"/>
    <w:rsid w:val="00D97646"/>
    <w:rsid w:val="00DA745B"/>
    <w:rsid w:val="00DB292C"/>
    <w:rsid w:val="00DC0DF7"/>
    <w:rsid w:val="00DC1E0F"/>
    <w:rsid w:val="00DC33DC"/>
    <w:rsid w:val="00DE4019"/>
    <w:rsid w:val="00DE4E5C"/>
    <w:rsid w:val="00DE6750"/>
    <w:rsid w:val="00DE6DB3"/>
    <w:rsid w:val="00DE70F5"/>
    <w:rsid w:val="00DF5D2A"/>
    <w:rsid w:val="00DF6DA7"/>
    <w:rsid w:val="00DF739E"/>
    <w:rsid w:val="00E00B81"/>
    <w:rsid w:val="00E01376"/>
    <w:rsid w:val="00E03285"/>
    <w:rsid w:val="00E053FB"/>
    <w:rsid w:val="00E05FF6"/>
    <w:rsid w:val="00E10F9F"/>
    <w:rsid w:val="00E12B5F"/>
    <w:rsid w:val="00E1309C"/>
    <w:rsid w:val="00E139A9"/>
    <w:rsid w:val="00E15060"/>
    <w:rsid w:val="00E203C1"/>
    <w:rsid w:val="00E20CAC"/>
    <w:rsid w:val="00E215EB"/>
    <w:rsid w:val="00E220F5"/>
    <w:rsid w:val="00E239C4"/>
    <w:rsid w:val="00E249BB"/>
    <w:rsid w:val="00E2582F"/>
    <w:rsid w:val="00E26E43"/>
    <w:rsid w:val="00E3153D"/>
    <w:rsid w:val="00E316D3"/>
    <w:rsid w:val="00E35CF8"/>
    <w:rsid w:val="00E36A52"/>
    <w:rsid w:val="00E37626"/>
    <w:rsid w:val="00E424C6"/>
    <w:rsid w:val="00E44E29"/>
    <w:rsid w:val="00E4788D"/>
    <w:rsid w:val="00E47B33"/>
    <w:rsid w:val="00E60D86"/>
    <w:rsid w:val="00E61655"/>
    <w:rsid w:val="00E6577C"/>
    <w:rsid w:val="00E65A11"/>
    <w:rsid w:val="00E67352"/>
    <w:rsid w:val="00E67656"/>
    <w:rsid w:val="00E70685"/>
    <w:rsid w:val="00E70A06"/>
    <w:rsid w:val="00E717F8"/>
    <w:rsid w:val="00E71AD4"/>
    <w:rsid w:val="00E73163"/>
    <w:rsid w:val="00E733BA"/>
    <w:rsid w:val="00E75049"/>
    <w:rsid w:val="00E76EB1"/>
    <w:rsid w:val="00E76F50"/>
    <w:rsid w:val="00E81EA4"/>
    <w:rsid w:val="00E84237"/>
    <w:rsid w:val="00E855C6"/>
    <w:rsid w:val="00E86403"/>
    <w:rsid w:val="00E86B7E"/>
    <w:rsid w:val="00E878C4"/>
    <w:rsid w:val="00E87CBA"/>
    <w:rsid w:val="00E9238E"/>
    <w:rsid w:val="00E9339D"/>
    <w:rsid w:val="00E93A55"/>
    <w:rsid w:val="00EA1D13"/>
    <w:rsid w:val="00EA5875"/>
    <w:rsid w:val="00EB055D"/>
    <w:rsid w:val="00EB1ABF"/>
    <w:rsid w:val="00EB2F7B"/>
    <w:rsid w:val="00EB4ACE"/>
    <w:rsid w:val="00EB50CE"/>
    <w:rsid w:val="00EB6113"/>
    <w:rsid w:val="00EB7886"/>
    <w:rsid w:val="00EC301C"/>
    <w:rsid w:val="00EC43FE"/>
    <w:rsid w:val="00EC4DEE"/>
    <w:rsid w:val="00ED18B6"/>
    <w:rsid w:val="00ED2373"/>
    <w:rsid w:val="00ED4855"/>
    <w:rsid w:val="00ED4C25"/>
    <w:rsid w:val="00ED4F72"/>
    <w:rsid w:val="00ED5D6D"/>
    <w:rsid w:val="00ED6A32"/>
    <w:rsid w:val="00EE335B"/>
    <w:rsid w:val="00EE7852"/>
    <w:rsid w:val="00EF1EEC"/>
    <w:rsid w:val="00EF2041"/>
    <w:rsid w:val="00EF20BD"/>
    <w:rsid w:val="00F012CA"/>
    <w:rsid w:val="00F023AE"/>
    <w:rsid w:val="00F04BEA"/>
    <w:rsid w:val="00F05BDE"/>
    <w:rsid w:val="00F11511"/>
    <w:rsid w:val="00F12335"/>
    <w:rsid w:val="00F13447"/>
    <w:rsid w:val="00F13969"/>
    <w:rsid w:val="00F1774B"/>
    <w:rsid w:val="00F20242"/>
    <w:rsid w:val="00F224CB"/>
    <w:rsid w:val="00F23331"/>
    <w:rsid w:val="00F24D7B"/>
    <w:rsid w:val="00F26182"/>
    <w:rsid w:val="00F30C44"/>
    <w:rsid w:val="00F30DBB"/>
    <w:rsid w:val="00F310E4"/>
    <w:rsid w:val="00F420E6"/>
    <w:rsid w:val="00F42709"/>
    <w:rsid w:val="00F42A79"/>
    <w:rsid w:val="00F43CA7"/>
    <w:rsid w:val="00F45136"/>
    <w:rsid w:val="00F46EC1"/>
    <w:rsid w:val="00F55794"/>
    <w:rsid w:val="00F626E5"/>
    <w:rsid w:val="00F634FA"/>
    <w:rsid w:val="00F637B1"/>
    <w:rsid w:val="00F64F82"/>
    <w:rsid w:val="00F6709B"/>
    <w:rsid w:val="00F72693"/>
    <w:rsid w:val="00F7762B"/>
    <w:rsid w:val="00F804C2"/>
    <w:rsid w:val="00F820E5"/>
    <w:rsid w:val="00F835E7"/>
    <w:rsid w:val="00F84585"/>
    <w:rsid w:val="00F85B95"/>
    <w:rsid w:val="00F94B0F"/>
    <w:rsid w:val="00F9573B"/>
    <w:rsid w:val="00FA0D16"/>
    <w:rsid w:val="00FA10E8"/>
    <w:rsid w:val="00FA2A5E"/>
    <w:rsid w:val="00FA68CA"/>
    <w:rsid w:val="00FB1666"/>
    <w:rsid w:val="00FB77B9"/>
    <w:rsid w:val="00FC07D0"/>
    <w:rsid w:val="00FC098E"/>
    <w:rsid w:val="00FC1511"/>
    <w:rsid w:val="00FC57D9"/>
    <w:rsid w:val="00FC6987"/>
    <w:rsid w:val="00FC76BC"/>
    <w:rsid w:val="00FD1D95"/>
    <w:rsid w:val="00FD24C5"/>
    <w:rsid w:val="00FD284B"/>
    <w:rsid w:val="00FD2B51"/>
    <w:rsid w:val="00FD2CC7"/>
    <w:rsid w:val="00FE0075"/>
    <w:rsid w:val="00FE3682"/>
    <w:rsid w:val="00FE4010"/>
    <w:rsid w:val="00FE73EE"/>
    <w:rsid w:val="00FF02B4"/>
    <w:rsid w:val="00FF558C"/>
    <w:rsid w:val="00FF5819"/>
    <w:rsid w:val="00FF6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1EC7D"/>
  <w15:docId w15:val="{DACD36F3-A2BB-4FA8-BE5C-8DFD3F62A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heading 1" w:uiPriority="9" w:qFormat="1"/>
    <w:lsdException w:name="heading 2" w:uiPriority="9" w:qFormat="1"/>
    <w:lsdException w:name="annotation text" w:uiPriority="99"/>
    <w:lsdException w:name="header" w:uiPriority="99"/>
    <w:lsdException w:name="footer" w:uiPriority="99"/>
    <w:lsdException w:name="annotation reference" w:uiPriority="99"/>
    <w:lsdException w:name="Body Text" w:uiPriority="1"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sz w:val="22"/>
      <w:szCs w:val="22"/>
    </w:rPr>
  </w:style>
  <w:style w:type="paragraph" w:styleId="Heading1">
    <w:name w:val="heading 1"/>
    <w:basedOn w:val="Normal"/>
    <w:link w:val="Heading1Char"/>
    <w:uiPriority w:val="9"/>
    <w:qFormat/>
    <w:rsid w:val="00992F19"/>
    <w:pPr>
      <w:widowControl w:val="0"/>
      <w:autoSpaceDE w:val="0"/>
      <w:autoSpaceDN w:val="0"/>
      <w:spacing w:before="19" w:after="0" w:line="240" w:lineRule="auto"/>
      <w:ind w:left="109"/>
      <w:jc w:val="left"/>
      <w:outlineLvl w:val="0"/>
    </w:pPr>
    <w:rPr>
      <w:rFonts w:ascii="Times New Roman" w:eastAsia="Times New Roman" w:hAnsi="Times New Roman" w:cs="Times New Roman"/>
      <w:b/>
      <w:bCs/>
      <w:kern w:val="0"/>
      <w:lang w:val="lt-LT"/>
      <w14:ligatures w14:val="none"/>
    </w:rPr>
  </w:style>
  <w:style w:type="paragraph" w:styleId="Heading2">
    <w:name w:val="heading 2"/>
    <w:basedOn w:val="Normal"/>
    <w:link w:val="Heading2Char"/>
    <w:uiPriority w:val="9"/>
    <w:unhideWhenUsed/>
    <w:qFormat/>
    <w:rsid w:val="00992F19"/>
    <w:pPr>
      <w:widowControl w:val="0"/>
      <w:autoSpaceDE w:val="0"/>
      <w:autoSpaceDN w:val="0"/>
      <w:spacing w:before="0" w:after="0" w:line="240" w:lineRule="auto"/>
      <w:ind w:left="298"/>
      <w:jc w:val="left"/>
      <w:outlineLvl w:val="1"/>
    </w:pPr>
    <w:rPr>
      <w:rFonts w:ascii="Times New Roman" w:eastAsia="Times New Roman" w:hAnsi="Times New Roman" w:cs="Times New Roman"/>
      <w:b/>
      <w:bCs/>
      <w:i/>
      <w:iCs/>
      <w:kern w:val="0"/>
      <w:u w:val="single" w:color="000000"/>
      <w:lang w:val="lt-LT"/>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styleId="ListParagraph">
    <w:name w:val="List Paragraph"/>
    <w:basedOn w:val="Normal"/>
    <w:uiPriority w:val="1"/>
    <w:qFormat/>
    <w:rsid w:val="00214AAF"/>
    <w:pPr>
      <w:ind w:left="720"/>
      <w:contextualSpacing/>
    </w:pPr>
  </w:style>
  <w:style w:type="table" w:styleId="TableGrid">
    <w:name w:val="Table Grid"/>
    <w:basedOn w:val="TableNormal"/>
    <w:uiPriority w:val="39"/>
    <w:rsid w:val="00487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98706A"/>
    <w:pPr>
      <w:spacing w:after="0" w:line="240" w:lineRule="auto"/>
    </w:pPr>
    <w:rPr>
      <w:sz w:val="22"/>
      <w:szCs w:val="22"/>
    </w:rPr>
  </w:style>
  <w:style w:type="character" w:customStyle="1" w:styleId="Heading1Char">
    <w:name w:val="Heading 1 Char"/>
    <w:basedOn w:val="DefaultParagraphFont"/>
    <w:link w:val="Heading1"/>
    <w:uiPriority w:val="9"/>
    <w:rsid w:val="00992F19"/>
    <w:rPr>
      <w:rFonts w:ascii="Times New Roman" w:eastAsia="Times New Roman" w:hAnsi="Times New Roman" w:cs="Times New Roman"/>
      <w:b/>
      <w:bCs/>
      <w:kern w:val="0"/>
      <w:sz w:val="22"/>
      <w:szCs w:val="22"/>
      <w:lang w:val="lt-LT"/>
      <w14:ligatures w14:val="none"/>
    </w:rPr>
  </w:style>
  <w:style w:type="character" w:customStyle="1" w:styleId="Heading2Char">
    <w:name w:val="Heading 2 Char"/>
    <w:basedOn w:val="DefaultParagraphFont"/>
    <w:link w:val="Heading2"/>
    <w:uiPriority w:val="9"/>
    <w:rsid w:val="00992F19"/>
    <w:rPr>
      <w:rFonts w:ascii="Times New Roman" w:eastAsia="Times New Roman" w:hAnsi="Times New Roman" w:cs="Times New Roman"/>
      <w:b/>
      <w:bCs/>
      <w:i/>
      <w:iCs/>
      <w:kern w:val="0"/>
      <w:sz w:val="22"/>
      <w:szCs w:val="22"/>
      <w:u w:val="single" w:color="000000"/>
      <w:lang w:val="lt-LT"/>
      <w14:ligatures w14:val="none"/>
    </w:rPr>
  </w:style>
  <w:style w:type="numbering" w:customStyle="1" w:styleId="NoList2">
    <w:name w:val="No List2"/>
    <w:next w:val="NoList"/>
    <w:uiPriority w:val="99"/>
    <w:semiHidden/>
    <w:unhideWhenUsed/>
    <w:rsid w:val="00992F19"/>
  </w:style>
  <w:style w:type="paragraph" w:styleId="BodyText">
    <w:name w:val="Body Text"/>
    <w:basedOn w:val="Normal"/>
    <w:link w:val="BodyTextChar"/>
    <w:uiPriority w:val="1"/>
    <w:qFormat/>
    <w:rsid w:val="00992F19"/>
    <w:pPr>
      <w:widowControl w:val="0"/>
      <w:autoSpaceDE w:val="0"/>
      <w:autoSpaceDN w:val="0"/>
      <w:spacing w:before="0" w:after="0" w:line="240" w:lineRule="auto"/>
      <w:jc w:val="left"/>
    </w:pPr>
    <w:rPr>
      <w:rFonts w:ascii="Times New Roman" w:eastAsia="Times New Roman" w:hAnsi="Times New Roman" w:cs="Times New Roman"/>
      <w:kern w:val="0"/>
      <w:lang w:val="lt-LT"/>
      <w14:ligatures w14:val="none"/>
    </w:rPr>
  </w:style>
  <w:style w:type="character" w:customStyle="1" w:styleId="BodyTextChar">
    <w:name w:val="Body Text Char"/>
    <w:basedOn w:val="DefaultParagraphFont"/>
    <w:link w:val="BodyText"/>
    <w:uiPriority w:val="1"/>
    <w:rsid w:val="00992F19"/>
    <w:rPr>
      <w:rFonts w:ascii="Times New Roman" w:eastAsia="Times New Roman" w:hAnsi="Times New Roman" w:cs="Times New Roman"/>
      <w:kern w:val="0"/>
      <w:sz w:val="22"/>
      <w:szCs w:val="22"/>
      <w:lang w:val="lt-LT"/>
      <w14:ligatures w14:val="none"/>
    </w:rPr>
  </w:style>
  <w:style w:type="paragraph" w:customStyle="1" w:styleId="TableParagraph">
    <w:name w:val="Table Paragraph"/>
    <w:basedOn w:val="Normal"/>
    <w:uiPriority w:val="1"/>
    <w:qFormat/>
    <w:rsid w:val="00992F19"/>
    <w:pPr>
      <w:widowControl w:val="0"/>
      <w:autoSpaceDE w:val="0"/>
      <w:autoSpaceDN w:val="0"/>
      <w:spacing w:before="0" w:after="0" w:line="240" w:lineRule="auto"/>
      <w:ind w:left="106"/>
      <w:jc w:val="left"/>
    </w:pPr>
    <w:rPr>
      <w:rFonts w:ascii="Times New Roman" w:eastAsia="Times New Roman" w:hAnsi="Times New Roman" w:cs="Times New Roman"/>
      <w:kern w:val="0"/>
      <w:lang w:val="lt-LT"/>
      <w14:ligatures w14:val="none"/>
    </w:rPr>
  </w:style>
  <w:style w:type="character" w:customStyle="1" w:styleId="Hyperlink1">
    <w:name w:val="Hyperlink1"/>
    <w:basedOn w:val="DefaultParagraphFont"/>
    <w:uiPriority w:val="99"/>
    <w:unhideWhenUsed/>
    <w:rsid w:val="00992F19"/>
    <w:rPr>
      <w:color w:val="0000FF"/>
      <w:u w:val="single"/>
    </w:rPr>
  </w:style>
  <w:style w:type="character" w:customStyle="1" w:styleId="Neapdorotaspaminjimas1">
    <w:name w:val="Neapdorotas paminėjimas1"/>
    <w:basedOn w:val="DefaultParagraphFont"/>
    <w:uiPriority w:val="99"/>
    <w:semiHidden/>
    <w:unhideWhenUsed/>
    <w:rsid w:val="00992F19"/>
    <w:rPr>
      <w:color w:val="605E5C"/>
      <w:shd w:val="clear" w:color="auto" w:fill="E1DFDD"/>
    </w:rPr>
  </w:style>
  <w:style w:type="paragraph" w:styleId="Header">
    <w:name w:val="header"/>
    <w:basedOn w:val="Normal"/>
    <w:link w:val="HeaderChar"/>
    <w:uiPriority w:val="99"/>
    <w:unhideWhenUsed/>
    <w:rsid w:val="00992F19"/>
    <w:pPr>
      <w:widowControl w:val="0"/>
      <w:tabs>
        <w:tab w:val="center" w:pos="4680"/>
        <w:tab w:val="right" w:pos="9360"/>
      </w:tabs>
      <w:autoSpaceDE w:val="0"/>
      <w:autoSpaceDN w:val="0"/>
      <w:spacing w:before="0" w:after="0" w:line="240" w:lineRule="auto"/>
      <w:jc w:val="left"/>
    </w:pPr>
    <w:rPr>
      <w:rFonts w:ascii="Times New Roman" w:eastAsia="Times New Roman" w:hAnsi="Times New Roman" w:cs="Times New Roman"/>
      <w:kern w:val="0"/>
      <w:lang w:val="lt-LT"/>
      <w14:ligatures w14:val="none"/>
    </w:rPr>
  </w:style>
  <w:style w:type="character" w:customStyle="1" w:styleId="HeaderChar">
    <w:name w:val="Header Char"/>
    <w:basedOn w:val="DefaultParagraphFont"/>
    <w:link w:val="Header"/>
    <w:uiPriority w:val="99"/>
    <w:rsid w:val="00992F19"/>
    <w:rPr>
      <w:rFonts w:ascii="Times New Roman" w:eastAsia="Times New Roman" w:hAnsi="Times New Roman" w:cs="Times New Roman"/>
      <w:kern w:val="0"/>
      <w:sz w:val="22"/>
      <w:szCs w:val="22"/>
      <w:lang w:val="lt-LT"/>
      <w14:ligatures w14:val="none"/>
    </w:rPr>
  </w:style>
  <w:style w:type="paragraph" w:styleId="Footer">
    <w:name w:val="footer"/>
    <w:basedOn w:val="Normal"/>
    <w:link w:val="FooterChar"/>
    <w:uiPriority w:val="99"/>
    <w:unhideWhenUsed/>
    <w:rsid w:val="00992F19"/>
    <w:pPr>
      <w:widowControl w:val="0"/>
      <w:tabs>
        <w:tab w:val="center" w:pos="4680"/>
        <w:tab w:val="right" w:pos="9360"/>
      </w:tabs>
      <w:autoSpaceDE w:val="0"/>
      <w:autoSpaceDN w:val="0"/>
      <w:spacing w:before="0" w:after="0" w:line="240" w:lineRule="auto"/>
      <w:jc w:val="left"/>
    </w:pPr>
    <w:rPr>
      <w:rFonts w:ascii="Times New Roman" w:eastAsia="Times New Roman" w:hAnsi="Times New Roman" w:cs="Times New Roman"/>
      <w:kern w:val="0"/>
      <w:lang w:val="lt-LT"/>
      <w14:ligatures w14:val="none"/>
    </w:rPr>
  </w:style>
  <w:style w:type="character" w:customStyle="1" w:styleId="FooterChar">
    <w:name w:val="Footer Char"/>
    <w:basedOn w:val="DefaultParagraphFont"/>
    <w:link w:val="Footer"/>
    <w:uiPriority w:val="99"/>
    <w:rsid w:val="00992F19"/>
    <w:rPr>
      <w:rFonts w:ascii="Times New Roman" w:eastAsia="Times New Roman" w:hAnsi="Times New Roman" w:cs="Times New Roman"/>
      <w:kern w:val="0"/>
      <w:sz w:val="22"/>
      <w:szCs w:val="22"/>
      <w:lang w:val="lt-LT"/>
      <w14:ligatures w14:val="none"/>
    </w:rPr>
  </w:style>
  <w:style w:type="character" w:styleId="CommentReference">
    <w:name w:val="annotation reference"/>
    <w:basedOn w:val="DefaultParagraphFont"/>
    <w:uiPriority w:val="99"/>
    <w:unhideWhenUsed/>
    <w:rsid w:val="00992F19"/>
    <w:rPr>
      <w:sz w:val="16"/>
      <w:szCs w:val="16"/>
    </w:rPr>
  </w:style>
  <w:style w:type="paragraph" w:styleId="CommentText">
    <w:name w:val="annotation text"/>
    <w:basedOn w:val="Normal"/>
    <w:link w:val="CommentTextChar"/>
    <w:uiPriority w:val="99"/>
    <w:unhideWhenUsed/>
    <w:rsid w:val="00992F19"/>
    <w:pPr>
      <w:widowControl w:val="0"/>
      <w:autoSpaceDE w:val="0"/>
      <w:autoSpaceDN w:val="0"/>
      <w:spacing w:before="0" w:after="0" w:line="240" w:lineRule="auto"/>
      <w:jc w:val="left"/>
    </w:pPr>
    <w:rPr>
      <w:rFonts w:ascii="Times New Roman" w:eastAsia="Times New Roman" w:hAnsi="Times New Roman" w:cs="Times New Roman"/>
      <w:kern w:val="0"/>
      <w:sz w:val="20"/>
      <w:szCs w:val="20"/>
      <w:lang w:val="lt-LT"/>
      <w14:ligatures w14:val="none"/>
    </w:rPr>
  </w:style>
  <w:style w:type="character" w:customStyle="1" w:styleId="CommentTextChar">
    <w:name w:val="Comment Text Char"/>
    <w:basedOn w:val="DefaultParagraphFont"/>
    <w:link w:val="CommentText"/>
    <w:uiPriority w:val="99"/>
    <w:rsid w:val="00992F19"/>
    <w:rPr>
      <w:rFonts w:ascii="Times New Roman" w:eastAsia="Times New Roman" w:hAnsi="Times New Roman" w:cs="Times New Roman"/>
      <w:kern w:val="0"/>
      <w:sz w:val="20"/>
      <w:szCs w:val="20"/>
      <w:lang w:val="lt-LT"/>
      <w14:ligatures w14:val="none"/>
    </w:rPr>
  </w:style>
  <w:style w:type="paragraph" w:styleId="CommentSubject">
    <w:name w:val="annotation subject"/>
    <w:basedOn w:val="CommentText"/>
    <w:next w:val="CommentText"/>
    <w:link w:val="CommentSubjectChar"/>
    <w:uiPriority w:val="99"/>
    <w:unhideWhenUsed/>
    <w:rsid w:val="00992F19"/>
    <w:rPr>
      <w:b/>
      <w:bCs/>
    </w:rPr>
  </w:style>
  <w:style w:type="character" w:customStyle="1" w:styleId="CommentSubjectChar">
    <w:name w:val="Comment Subject Char"/>
    <w:basedOn w:val="CommentTextChar"/>
    <w:link w:val="CommentSubject"/>
    <w:uiPriority w:val="99"/>
    <w:rsid w:val="00992F19"/>
    <w:rPr>
      <w:rFonts w:ascii="Times New Roman" w:eastAsia="Times New Roman" w:hAnsi="Times New Roman" w:cs="Times New Roman"/>
      <w:b/>
      <w:bCs/>
      <w:kern w:val="0"/>
      <w:sz w:val="20"/>
      <w:szCs w:val="20"/>
      <w:lang w:val="lt-LT"/>
      <w14:ligatures w14:val="none"/>
    </w:rPr>
  </w:style>
  <w:style w:type="character" w:styleId="Hyperlink">
    <w:name w:val="Hyperlink"/>
    <w:basedOn w:val="DefaultParagraphFont"/>
    <w:rsid w:val="00992F19"/>
    <w:rPr>
      <w:color w:val="467886" w:themeColor="hyperlink"/>
      <w:u w:val="single"/>
    </w:rPr>
  </w:style>
  <w:style w:type="character" w:styleId="UnresolvedMention">
    <w:name w:val="Unresolved Mention"/>
    <w:basedOn w:val="DefaultParagraphFont"/>
    <w:uiPriority w:val="99"/>
    <w:semiHidden/>
    <w:unhideWhenUsed/>
    <w:rsid w:val="001E0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402714">
      <w:bodyDiv w:val="1"/>
      <w:marLeft w:val="0"/>
      <w:marRight w:val="0"/>
      <w:marTop w:val="0"/>
      <w:marBottom w:val="0"/>
      <w:divBdr>
        <w:top w:val="none" w:sz="0" w:space="0" w:color="auto"/>
        <w:left w:val="none" w:sz="0" w:space="0" w:color="auto"/>
        <w:bottom w:val="none" w:sz="0" w:space="0" w:color="auto"/>
        <w:right w:val="none" w:sz="0" w:space="0" w:color="auto"/>
      </w:divBdr>
    </w:div>
    <w:div w:id="598414140">
      <w:bodyDiv w:val="1"/>
      <w:marLeft w:val="0"/>
      <w:marRight w:val="0"/>
      <w:marTop w:val="0"/>
      <w:marBottom w:val="0"/>
      <w:divBdr>
        <w:top w:val="none" w:sz="0" w:space="0" w:color="auto"/>
        <w:left w:val="none" w:sz="0" w:space="0" w:color="auto"/>
        <w:bottom w:val="none" w:sz="0" w:space="0" w:color="auto"/>
        <w:right w:val="none" w:sz="0" w:space="0" w:color="auto"/>
      </w:divBdr>
    </w:div>
    <w:div w:id="852962350">
      <w:bodyDiv w:val="1"/>
      <w:marLeft w:val="0"/>
      <w:marRight w:val="0"/>
      <w:marTop w:val="0"/>
      <w:marBottom w:val="0"/>
      <w:divBdr>
        <w:top w:val="none" w:sz="0" w:space="0" w:color="auto"/>
        <w:left w:val="none" w:sz="0" w:space="0" w:color="auto"/>
        <w:bottom w:val="none" w:sz="0" w:space="0" w:color="auto"/>
        <w:right w:val="none" w:sz="0" w:space="0" w:color="auto"/>
      </w:divBdr>
    </w:div>
    <w:div w:id="924726068">
      <w:bodyDiv w:val="1"/>
      <w:marLeft w:val="0"/>
      <w:marRight w:val="0"/>
      <w:marTop w:val="0"/>
      <w:marBottom w:val="0"/>
      <w:divBdr>
        <w:top w:val="none" w:sz="0" w:space="0" w:color="auto"/>
        <w:left w:val="none" w:sz="0" w:space="0" w:color="auto"/>
        <w:bottom w:val="none" w:sz="0" w:space="0" w:color="auto"/>
        <w:right w:val="none" w:sz="0" w:space="0" w:color="auto"/>
      </w:divBdr>
      <w:divsChild>
        <w:div w:id="1193954897">
          <w:marLeft w:val="0"/>
          <w:marRight w:val="0"/>
          <w:marTop w:val="0"/>
          <w:marBottom w:val="0"/>
          <w:divBdr>
            <w:top w:val="none" w:sz="0" w:space="0" w:color="auto"/>
            <w:left w:val="none" w:sz="0" w:space="0" w:color="auto"/>
            <w:bottom w:val="none" w:sz="0" w:space="0" w:color="auto"/>
            <w:right w:val="none" w:sz="0" w:space="0" w:color="auto"/>
          </w:divBdr>
        </w:div>
      </w:divsChild>
    </w:div>
    <w:div w:id="1008220143">
      <w:bodyDiv w:val="1"/>
      <w:marLeft w:val="0"/>
      <w:marRight w:val="0"/>
      <w:marTop w:val="0"/>
      <w:marBottom w:val="0"/>
      <w:divBdr>
        <w:top w:val="none" w:sz="0" w:space="0" w:color="auto"/>
        <w:left w:val="none" w:sz="0" w:space="0" w:color="auto"/>
        <w:bottom w:val="none" w:sz="0" w:space="0" w:color="auto"/>
        <w:right w:val="none" w:sz="0" w:space="0" w:color="auto"/>
      </w:divBdr>
      <w:divsChild>
        <w:div w:id="969435877">
          <w:marLeft w:val="0"/>
          <w:marRight w:val="0"/>
          <w:marTop w:val="0"/>
          <w:marBottom w:val="0"/>
          <w:divBdr>
            <w:top w:val="none" w:sz="0" w:space="0" w:color="auto"/>
            <w:left w:val="none" w:sz="0" w:space="0" w:color="auto"/>
            <w:bottom w:val="none" w:sz="0" w:space="0" w:color="auto"/>
            <w:right w:val="none" w:sz="0" w:space="0" w:color="auto"/>
          </w:divBdr>
        </w:div>
      </w:divsChild>
    </w:div>
    <w:div w:id="1104689745">
      <w:bodyDiv w:val="1"/>
      <w:marLeft w:val="0"/>
      <w:marRight w:val="0"/>
      <w:marTop w:val="0"/>
      <w:marBottom w:val="0"/>
      <w:divBdr>
        <w:top w:val="none" w:sz="0" w:space="0" w:color="auto"/>
        <w:left w:val="none" w:sz="0" w:space="0" w:color="auto"/>
        <w:bottom w:val="none" w:sz="0" w:space="0" w:color="auto"/>
        <w:right w:val="none" w:sz="0" w:space="0" w:color="auto"/>
      </w:divBdr>
    </w:div>
    <w:div w:id="1539853924">
      <w:bodyDiv w:val="1"/>
      <w:marLeft w:val="0"/>
      <w:marRight w:val="0"/>
      <w:marTop w:val="0"/>
      <w:marBottom w:val="0"/>
      <w:divBdr>
        <w:top w:val="none" w:sz="0" w:space="0" w:color="auto"/>
        <w:left w:val="none" w:sz="0" w:space="0" w:color="auto"/>
        <w:bottom w:val="none" w:sz="0" w:space="0" w:color="auto"/>
        <w:right w:val="none" w:sz="0" w:space="0" w:color="auto"/>
      </w:divBdr>
    </w:div>
    <w:div w:id="19854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vvkt.lrv.lt/l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ultitran.ru/c/m.exe?t=4392593_2_1"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ooxWord://word/media/image36.jpe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ultitran.ru/c/m.exe?t=4392593_2_1" TargetMode="External"/><Relationship Id="rId5" Type="http://schemas.openxmlformats.org/officeDocument/2006/relationships/numbering" Target="numbering.xml"/><Relationship Id="rId15" Type="http://schemas.openxmlformats.org/officeDocument/2006/relationships/hyperlink" Target="https://vvkt.lrv.lt/lt/" TargetMode="External"/><Relationship Id="rId10" Type="http://schemas.openxmlformats.org/officeDocument/2006/relationships/image" Target="media/image1.png"/><Relationship Id="rId19" Type="http://schemas.openxmlformats.org/officeDocument/2006/relationships/hyperlink" Target="https://vvkt.lrv.lt/lt/" TargetMode="External"/><Relationship Id="rId4" Type="http://schemas.openxmlformats.org/officeDocument/2006/relationships/customXml" Target="../customXml/item4.xml"/><Relationship Id="rId9" Type="http://schemas.openxmlformats.org/officeDocument/2006/relationships/hyperlink" Target="https://vvkt.lrv.lt/lt/"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AA28F1D48C544479D4018E052664351" ma:contentTypeVersion="14" ma:contentTypeDescription="Create a new document." ma:contentTypeScope="" ma:versionID="fc9c9e9d0903f329ea67dfb5b7a3b3b1">
  <xsd:schema xmlns:xsd="http://www.w3.org/2001/XMLSchema" xmlns:xs="http://www.w3.org/2001/XMLSchema" xmlns:p="http://schemas.microsoft.com/office/2006/metadata/properties" xmlns:ns2="e608380a-33a8-4f44-9421-4b684550f93f" xmlns:ns3="274e3761-e78e-443b-b00b-2097563ba523" targetNamespace="http://schemas.microsoft.com/office/2006/metadata/properties" ma:root="true" ma:fieldsID="1f85e9d78dedb779fcbb2d2db96cc9ce" ns2:_="" ns3:_="">
    <xsd:import namespace="e608380a-33a8-4f44-9421-4b684550f93f"/>
    <xsd:import namespace="274e3761-e78e-443b-b00b-2097563ba5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MediaServiceSearchPropertie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8380a-33a8-4f44-9421-4b684550f9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f5bacb4-7f9b-4ef3-8443-4c57c2400c6b}" ma:internalName="TaxCatchAll" ma:showField="CatchAllData" ma:web="e608380a-33a8-4f44-9421-4b684550f9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4e3761-e78e-443b-b00b-2097563ba5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b0ff28-7ba5-4733-b4f4-7f1967af681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608380a-33a8-4f44-9421-4b684550f93f" xsi:nil="true"/>
    <lcf76f155ced4ddcb4097134ff3c332f xmlns="274e3761-e78e-443b-b00b-2097563ba52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BED094-1924-41F0-9A00-94AAC486F6EF}">
  <ds:schemaRefs>
    <ds:schemaRef ds:uri="http://schemas.openxmlformats.org/officeDocument/2006/bibliography"/>
  </ds:schemaRefs>
</ds:datastoreItem>
</file>

<file path=customXml/itemProps2.xml><?xml version="1.0" encoding="utf-8"?>
<ds:datastoreItem xmlns:ds="http://schemas.openxmlformats.org/officeDocument/2006/customXml" ds:itemID="{EC993A5B-7DC7-428F-966D-4F6BF4114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8380a-33a8-4f44-9421-4b684550f93f"/>
    <ds:schemaRef ds:uri="274e3761-e78e-443b-b00b-2097563ba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B0709-9B81-475C-B933-403FE2056F69}">
  <ds:schemaRefs>
    <ds:schemaRef ds:uri="http://schemas.microsoft.com/office/2006/metadata/properties"/>
    <ds:schemaRef ds:uri="http://schemas.microsoft.com/office/infopath/2007/PartnerControls"/>
    <ds:schemaRef ds:uri="e608380a-33a8-4f44-9421-4b684550f93f"/>
    <ds:schemaRef ds:uri="274e3761-e78e-443b-b00b-2097563ba523"/>
  </ds:schemaRefs>
</ds:datastoreItem>
</file>

<file path=customXml/itemProps4.xml><?xml version="1.0" encoding="utf-8"?>
<ds:datastoreItem xmlns:ds="http://schemas.openxmlformats.org/officeDocument/2006/customXml" ds:itemID="{59CCD56B-4A38-44A6-8D74-CDAD2695DE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76405</Words>
  <Characters>43552</Characters>
  <Application>Microsoft Office Word</Application>
  <DocSecurity>0</DocSecurity>
  <Lines>362</Lines>
  <Paragraphs>239</Paragraphs>
  <ScaleCrop>false</ScaleCrop>
  <HeadingPairs>
    <vt:vector size="6" baseType="variant">
      <vt:variant>
        <vt:lpstr>Pavadinimas</vt:lpstr>
      </vt:variant>
      <vt:variant>
        <vt:i4>1</vt:i4>
      </vt:variant>
      <vt:variant>
        <vt:lpstr>Title</vt:lpstr>
      </vt:variant>
      <vt:variant>
        <vt:i4>1</vt:i4>
      </vt:variant>
      <vt:variant>
        <vt:lpstr>Caption</vt:lpstr>
      </vt:variant>
      <vt:variant>
        <vt:i4>1</vt:i4>
      </vt:variant>
    </vt:vector>
  </HeadingPairs>
  <TitlesOfParts>
    <vt:vector size="3" baseType="lpstr">
      <vt:lpstr/>
      <vt:lpstr/>
      <vt:lpstr/>
    </vt:vector>
  </TitlesOfParts>
  <Company>Aspose</Company>
  <LinksUpToDate>false</LinksUpToDate>
  <CharactersWithSpaces>119718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KornelijaMiseviciute</dc:creator>
  <cp:lastModifiedBy>Lina Masionienė</cp:lastModifiedBy>
  <cp:revision>2</cp:revision>
  <dcterms:created xsi:type="dcterms:W3CDTF">2025-10-06T08:52:00Z</dcterms:created>
  <dcterms:modified xsi:type="dcterms:W3CDTF">2025-10-06T08:52:00Z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0x010100EAA28F1D48C544479D4018E052664351</vt:lpwstr>
  </property>
  <property fmtid="{D5CDD505-2E9C-101B-9397-08002B2CF9AE}" pid="3" name="MediaServiceImageTags">
    <vt:lpwstr/>
  </property>
</Properties>
</file>