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3D5D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5A6F45A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0F8D2D3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24BCAFFC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5B82D63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5B21CD0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D081622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A45BD2B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076D18B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5951A0CE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2B92DA7A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BD4336B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56C55315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B1123D8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B98FFCC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799DF00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50CA4B8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117F6A5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F5DDC93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5EE3DBED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678FBD8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A628B20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180158E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9C7B4A3" w14:textId="77777777" w:rsidR="00776FBE" w:rsidRPr="0032192D" w:rsidRDefault="00776FBE" w:rsidP="00AB3C1A">
      <w:pPr>
        <w:widowControl w:val="0"/>
        <w:spacing w:line="240" w:lineRule="auto"/>
        <w:ind w:left="567" w:hanging="567"/>
        <w:jc w:val="center"/>
        <w:outlineLvl w:val="0"/>
        <w:rPr>
          <w:b/>
          <w:snapToGrid/>
          <w:szCs w:val="22"/>
          <w:lang w:val="lt-LT"/>
        </w:rPr>
      </w:pPr>
      <w:r w:rsidRPr="0032192D">
        <w:rPr>
          <w:b/>
          <w:caps/>
          <w:snapToGrid/>
          <w:szCs w:val="22"/>
          <w:lang w:val="lt-LT"/>
        </w:rPr>
        <w:t>I</w:t>
      </w:r>
      <w:r w:rsidRPr="0032192D">
        <w:rPr>
          <w:b/>
          <w:snapToGrid/>
          <w:szCs w:val="22"/>
          <w:lang w:val="lt-LT"/>
        </w:rPr>
        <w:t> PRIEDAS</w:t>
      </w:r>
    </w:p>
    <w:p w14:paraId="2D69B911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napToGrid/>
          <w:szCs w:val="22"/>
          <w:lang w:val="lt-LT"/>
        </w:rPr>
      </w:pPr>
    </w:p>
    <w:p w14:paraId="4BED9193" w14:textId="77777777" w:rsidR="00776FBE" w:rsidRPr="0032192D" w:rsidRDefault="00776FBE" w:rsidP="00AB3C1A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r w:rsidRPr="0032192D">
        <w:rPr>
          <w:b/>
          <w:caps/>
          <w:snapToGrid/>
          <w:szCs w:val="22"/>
          <w:lang w:val="lt-LT"/>
        </w:rPr>
        <w:t>PREPARATO CHARAKTERISTIKŲ SANTRAUKA</w:t>
      </w:r>
    </w:p>
    <w:p w14:paraId="73F68A6B" w14:textId="77777777" w:rsidR="00776FBE" w:rsidRPr="0032192D" w:rsidRDefault="00776FBE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br w:type="page"/>
      </w:r>
      <w:r w:rsidRPr="0032192D">
        <w:rPr>
          <w:b/>
          <w:snapToGrid/>
          <w:szCs w:val="22"/>
          <w:lang w:val="lt-LT"/>
        </w:rPr>
        <w:lastRenderedPageBreak/>
        <w:t>1.</w:t>
      </w:r>
      <w:r w:rsidRPr="0032192D">
        <w:rPr>
          <w:b/>
          <w:snapToGrid/>
          <w:szCs w:val="22"/>
          <w:lang w:val="lt-LT"/>
        </w:rPr>
        <w:tab/>
        <w:t>VAISTINIO PREPARATO PAVADINIMAS</w:t>
      </w:r>
    </w:p>
    <w:p w14:paraId="542918CA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7A8E934" w14:textId="38421531" w:rsidR="00776FBE" w:rsidRPr="0032192D" w:rsidRDefault="00FB1F51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  <w:proofErr w:type="spellStart"/>
      <w:r>
        <w:rPr>
          <w:snapToGrid/>
          <w:color w:val="000000"/>
          <w:szCs w:val="22"/>
          <w:lang w:val="lt-LT"/>
        </w:rPr>
        <w:t>Solitombo</w:t>
      </w:r>
      <w:proofErr w:type="spellEnd"/>
      <w:r w:rsidR="008E703F" w:rsidRPr="0032192D">
        <w:rPr>
          <w:snapToGrid/>
          <w:color w:val="000000"/>
          <w:szCs w:val="22"/>
          <w:lang w:val="lt-LT"/>
        </w:rPr>
        <w:t xml:space="preserve"> 6 mg/0,4 mg</w:t>
      </w:r>
      <w:r w:rsidR="00776FBE" w:rsidRPr="0032192D">
        <w:rPr>
          <w:snapToGrid/>
          <w:color w:val="000000"/>
          <w:szCs w:val="22"/>
          <w:lang w:val="lt-LT"/>
        </w:rPr>
        <w:t xml:space="preserve"> </w:t>
      </w:r>
      <w:r w:rsidR="00F072AD" w:rsidRPr="0032192D">
        <w:rPr>
          <w:snapToGrid/>
          <w:color w:val="000000"/>
          <w:szCs w:val="22"/>
          <w:lang w:val="lt-LT"/>
        </w:rPr>
        <w:t>modifikuoto atpalaidavimo</w:t>
      </w:r>
      <w:r w:rsidR="00776FBE" w:rsidRPr="0032192D">
        <w:rPr>
          <w:snapToGrid/>
          <w:color w:val="000000"/>
          <w:szCs w:val="22"/>
          <w:lang w:val="lt-LT"/>
        </w:rPr>
        <w:t xml:space="preserve"> tabletės</w:t>
      </w:r>
    </w:p>
    <w:p w14:paraId="36075857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52D4E363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C242860" w14:textId="77777777" w:rsidR="00776FBE" w:rsidRPr="0032192D" w:rsidRDefault="00D44DEE" w:rsidP="00AB3C1A">
      <w:pPr>
        <w:widowControl w:val="0"/>
        <w:spacing w:line="240" w:lineRule="auto"/>
        <w:ind w:left="567" w:hanging="567"/>
        <w:outlineLvl w:val="1"/>
        <w:rPr>
          <w:b/>
          <w:caps/>
          <w:snapToGrid/>
          <w:szCs w:val="22"/>
          <w:lang w:val="lt-LT"/>
        </w:rPr>
      </w:pPr>
      <w:r w:rsidRPr="0032192D">
        <w:rPr>
          <w:b/>
          <w:snapToGrid/>
          <w:szCs w:val="22"/>
          <w:lang w:val="lt-LT"/>
        </w:rPr>
        <w:t>2.</w:t>
      </w:r>
      <w:r w:rsidRPr="0032192D">
        <w:rPr>
          <w:b/>
          <w:snapToGrid/>
          <w:szCs w:val="22"/>
          <w:lang w:val="lt-LT"/>
        </w:rPr>
        <w:tab/>
        <w:t>KOKYBINĖ IR KIEKYBINĖ SUDĖTIS</w:t>
      </w:r>
    </w:p>
    <w:p w14:paraId="222DDBCB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455CA52" w14:textId="2CE60822" w:rsidR="00F072AD" w:rsidRPr="0032192D" w:rsidRDefault="00776FBE" w:rsidP="00F072A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Kiekvienoje</w:t>
      </w:r>
      <w:r w:rsidR="00204D41" w:rsidRPr="0032192D">
        <w:rPr>
          <w:rFonts w:eastAsia="TimesNewRoman"/>
          <w:snapToGrid/>
          <w:szCs w:val="22"/>
          <w:lang w:val="lt-LT"/>
        </w:rPr>
        <w:t xml:space="preserve"> </w:t>
      </w:r>
      <w:r w:rsidR="00B3297D">
        <w:rPr>
          <w:rFonts w:eastAsia="TimesNewRoman"/>
          <w:snapToGrid/>
          <w:szCs w:val="22"/>
          <w:lang w:val="lt-LT"/>
        </w:rPr>
        <w:t xml:space="preserve">modifikuoto atpalaidavimo </w:t>
      </w:r>
      <w:r w:rsidRPr="0032192D">
        <w:rPr>
          <w:rFonts w:eastAsia="TimesNewRoman"/>
          <w:snapToGrid/>
          <w:szCs w:val="22"/>
          <w:lang w:val="lt-LT"/>
        </w:rPr>
        <w:t xml:space="preserve">tabletėje yra </w:t>
      </w:r>
      <w:r w:rsidR="00F072AD" w:rsidRPr="0032192D">
        <w:rPr>
          <w:rFonts w:eastAsia="TimesNewRoman"/>
          <w:snapToGrid/>
          <w:szCs w:val="22"/>
          <w:lang w:val="lt-LT"/>
        </w:rPr>
        <w:t xml:space="preserve">6 mg </w:t>
      </w:r>
      <w:proofErr w:type="spellStart"/>
      <w:r w:rsidR="00EB7804" w:rsidRPr="0032192D">
        <w:rPr>
          <w:rFonts w:eastAsia="TimesNewRoman"/>
          <w:snapToGrid/>
          <w:szCs w:val="22"/>
          <w:lang w:val="lt-LT"/>
        </w:rPr>
        <w:t>solifenacin</w:t>
      </w:r>
      <w:r w:rsidR="00F072AD" w:rsidRPr="0032192D">
        <w:rPr>
          <w:rFonts w:eastAsia="TimesNewRoman"/>
          <w:snapToGrid/>
          <w:szCs w:val="22"/>
          <w:lang w:val="lt-LT"/>
        </w:rPr>
        <w:t>o</w:t>
      </w:r>
      <w:proofErr w:type="spellEnd"/>
      <w:r w:rsidR="00F072AD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F072AD"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="00F072AD" w:rsidRPr="0032192D">
        <w:rPr>
          <w:rFonts w:eastAsia="TimesNewRoman"/>
          <w:snapToGrid/>
          <w:szCs w:val="22"/>
          <w:lang w:val="lt-LT"/>
        </w:rPr>
        <w:t xml:space="preserve">, atitinkančio 4,5 mg </w:t>
      </w:r>
      <w:proofErr w:type="spellStart"/>
      <w:r w:rsidR="00EB7804" w:rsidRPr="0032192D">
        <w:rPr>
          <w:rFonts w:eastAsia="TimesNewRoman"/>
          <w:snapToGrid/>
          <w:szCs w:val="22"/>
          <w:lang w:val="lt-LT"/>
        </w:rPr>
        <w:t>solifenacin</w:t>
      </w:r>
      <w:r w:rsidR="00F072AD" w:rsidRPr="0032192D">
        <w:rPr>
          <w:rFonts w:eastAsia="TimesNewRoman"/>
          <w:snapToGrid/>
          <w:szCs w:val="22"/>
          <w:lang w:val="lt-LT"/>
        </w:rPr>
        <w:t>o</w:t>
      </w:r>
      <w:proofErr w:type="spellEnd"/>
      <w:r w:rsidR="00F65D90">
        <w:rPr>
          <w:rFonts w:eastAsia="TimesNewRoman"/>
          <w:snapToGrid/>
          <w:szCs w:val="22"/>
          <w:lang w:val="lt-LT"/>
        </w:rPr>
        <w:t xml:space="preserve"> </w:t>
      </w:r>
      <w:r w:rsidR="00F072AD" w:rsidRPr="0032192D">
        <w:rPr>
          <w:rFonts w:eastAsia="TimesNewRoman"/>
          <w:snapToGrid/>
          <w:szCs w:val="22"/>
          <w:lang w:val="lt-LT"/>
        </w:rPr>
        <w:t xml:space="preserve">ir 0,4 mg </w:t>
      </w:r>
      <w:proofErr w:type="spellStart"/>
      <w:r w:rsidR="00F072AD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F072AD" w:rsidRPr="0032192D">
        <w:rPr>
          <w:rFonts w:eastAsia="TimesNewRoman"/>
          <w:snapToGrid/>
          <w:szCs w:val="22"/>
          <w:lang w:val="lt-LT"/>
        </w:rPr>
        <w:t xml:space="preserve"> hidrochlorido, atitinkančio 0,37 mg </w:t>
      </w:r>
      <w:proofErr w:type="spellStart"/>
      <w:r w:rsidR="00F072AD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F072AD" w:rsidRPr="0032192D">
        <w:rPr>
          <w:rFonts w:eastAsia="TimesNewRoman"/>
          <w:snapToGrid/>
          <w:szCs w:val="22"/>
          <w:lang w:val="lt-LT"/>
        </w:rPr>
        <w:t>.</w:t>
      </w:r>
    </w:p>
    <w:p w14:paraId="7A3F81E1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716689A0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Visos pagalbinės medžiagos išvardytos 6.1</w:t>
      </w:r>
      <w:r w:rsidRPr="0032192D">
        <w:rPr>
          <w:snapToGrid/>
          <w:szCs w:val="24"/>
          <w:lang w:val="lt-LT"/>
        </w:rPr>
        <w:t> </w:t>
      </w:r>
      <w:r w:rsidRPr="0032192D">
        <w:rPr>
          <w:snapToGrid/>
          <w:szCs w:val="22"/>
          <w:lang w:val="lt-LT"/>
        </w:rPr>
        <w:t>skyriuje.</w:t>
      </w:r>
    </w:p>
    <w:p w14:paraId="05BAA6C1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49BF5AE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E2CFD8F" w14:textId="77777777" w:rsidR="00776FBE" w:rsidRPr="0032192D" w:rsidRDefault="00776FBE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32192D">
        <w:rPr>
          <w:b/>
          <w:snapToGrid/>
          <w:szCs w:val="22"/>
          <w:lang w:val="lt-LT"/>
        </w:rPr>
        <w:t>3.</w:t>
      </w:r>
      <w:r w:rsidRPr="0032192D">
        <w:rPr>
          <w:b/>
          <w:snapToGrid/>
          <w:szCs w:val="22"/>
          <w:lang w:val="lt-LT"/>
        </w:rPr>
        <w:tab/>
        <w:t xml:space="preserve">FARMACINĖ </w:t>
      </w:r>
      <w:r w:rsidR="00D44DEE" w:rsidRPr="0032192D">
        <w:rPr>
          <w:b/>
          <w:snapToGrid/>
          <w:szCs w:val="22"/>
          <w:lang w:val="lt-LT"/>
        </w:rPr>
        <w:t>FORMA</w:t>
      </w:r>
    </w:p>
    <w:p w14:paraId="2F083FA0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highlight w:val="yellow"/>
          <w:lang w:val="lt-LT"/>
        </w:rPr>
      </w:pPr>
    </w:p>
    <w:p w14:paraId="6A7DAD72" w14:textId="77777777" w:rsidR="00F072AD" w:rsidRPr="0032192D" w:rsidRDefault="00F072AD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Modifikuoto atpalaidavimo</w:t>
      </w:r>
      <w:r w:rsidR="00776FBE" w:rsidRPr="0032192D">
        <w:rPr>
          <w:snapToGrid/>
          <w:szCs w:val="22"/>
          <w:lang w:val="lt-LT"/>
        </w:rPr>
        <w:t xml:space="preserve"> tabletė</w:t>
      </w:r>
    </w:p>
    <w:p w14:paraId="7273E3D3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2F807B1" w14:textId="0D32FBA2" w:rsidR="00F072AD" w:rsidRPr="0032192D" w:rsidRDefault="00B3297D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Modifikuoto atpalaidavimo t</w:t>
      </w:r>
      <w:r w:rsidR="00F072AD" w:rsidRPr="0032192D">
        <w:rPr>
          <w:snapToGrid/>
          <w:szCs w:val="22"/>
          <w:lang w:val="lt-LT"/>
        </w:rPr>
        <w:t>abletė yra raudona, dengta plėvele, apvali, 9 mm skersmens, abipus išgaubta, vienoje pusėje įspausta „6 04“.</w:t>
      </w:r>
    </w:p>
    <w:p w14:paraId="604BFCD2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5E2EF73A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ACF5E56" w14:textId="77777777" w:rsidR="00776FBE" w:rsidRPr="0032192D" w:rsidRDefault="00D44DEE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32192D">
        <w:rPr>
          <w:b/>
          <w:snapToGrid/>
          <w:szCs w:val="22"/>
          <w:lang w:val="lt-LT"/>
        </w:rPr>
        <w:t>4.</w:t>
      </w:r>
      <w:r w:rsidRPr="0032192D">
        <w:rPr>
          <w:b/>
          <w:snapToGrid/>
          <w:szCs w:val="22"/>
          <w:lang w:val="lt-LT"/>
        </w:rPr>
        <w:tab/>
        <w:t>KLINIKINĖ INFORMACIJA</w:t>
      </w:r>
    </w:p>
    <w:p w14:paraId="1062E329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CB14E2C" w14:textId="77777777" w:rsidR="00776FBE" w:rsidRPr="0032192D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32192D">
        <w:rPr>
          <w:b/>
          <w:snapToGrid/>
          <w:kern w:val="28"/>
          <w:szCs w:val="22"/>
          <w:lang w:val="lt-LT"/>
        </w:rPr>
        <w:t>4.1</w:t>
      </w:r>
      <w:r w:rsidRPr="0032192D">
        <w:rPr>
          <w:b/>
          <w:snapToGrid/>
          <w:kern w:val="28"/>
          <w:szCs w:val="22"/>
          <w:lang w:val="lt-LT"/>
        </w:rPr>
        <w:tab/>
        <w:t>Terapinės indikacijos</w:t>
      </w:r>
    </w:p>
    <w:p w14:paraId="7910C340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31F6337" w14:textId="65C9F459" w:rsidR="005E24B9" w:rsidRPr="0032192D" w:rsidRDefault="005E24B9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bookmarkStart w:id="0" w:name="_Hlk124696001"/>
      <w:r w:rsidRPr="0032192D">
        <w:rPr>
          <w:rFonts w:eastAsia="TimesNewRoman"/>
          <w:snapToGrid/>
          <w:szCs w:val="22"/>
          <w:lang w:val="lt-LT"/>
        </w:rPr>
        <w:t xml:space="preserve">Su gerybine prostatos hiperplazija (GPH) susijusių </w:t>
      </w:r>
      <w:r w:rsidR="00AF6C5F" w:rsidRPr="0032192D">
        <w:rPr>
          <w:rFonts w:eastAsia="TimesNewRoman"/>
          <w:snapToGrid/>
          <w:szCs w:val="22"/>
          <w:lang w:val="lt-LT"/>
        </w:rPr>
        <w:t>vidutinio sunkumo ir sunkių šlapimo laikymo simptomų</w:t>
      </w:r>
      <w:r w:rsidRPr="0032192D">
        <w:rPr>
          <w:rFonts w:eastAsia="TimesNewRoman"/>
          <w:snapToGrid/>
          <w:szCs w:val="22"/>
          <w:lang w:val="lt-LT"/>
        </w:rPr>
        <w:t xml:space="preserve"> (</w:t>
      </w:r>
      <w:r w:rsidR="00AF6C5F" w:rsidRPr="0032192D">
        <w:rPr>
          <w:rFonts w:eastAsia="TimesNewRoman"/>
          <w:snapToGrid/>
          <w:szCs w:val="22"/>
          <w:lang w:val="lt-LT"/>
        </w:rPr>
        <w:t>staiga atsirandančio noro šlapintis</w:t>
      </w:r>
      <w:r w:rsidRPr="0032192D">
        <w:rPr>
          <w:rFonts w:eastAsia="TimesNewRoman"/>
          <w:snapToGrid/>
          <w:szCs w:val="22"/>
          <w:lang w:val="lt-LT"/>
        </w:rPr>
        <w:t xml:space="preserve">, </w:t>
      </w:r>
      <w:r w:rsidR="00AF6C5F" w:rsidRPr="0032192D">
        <w:rPr>
          <w:rFonts w:eastAsia="TimesNewRoman"/>
          <w:snapToGrid/>
          <w:szCs w:val="22"/>
          <w:lang w:val="lt-LT"/>
        </w:rPr>
        <w:t>padidėjusio šlapinimosi dažnio</w:t>
      </w:r>
      <w:r w:rsidRPr="0032192D">
        <w:rPr>
          <w:rFonts w:eastAsia="TimesNewRoman"/>
          <w:snapToGrid/>
          <w:szCs w:val="22"/>
          <w:lang w:val="lt-LT"/>
        </w:rPr>
        <w:t xml:space="preserve">) </w:t>
      </w:r>
      <w:r w:rsidR="00AF6C5F" w:rsidRPr="0032192D">
        <w:rPr>
          <w:rFonts w:eastAsia="TimesNewRoman"/>
          <w:snapToGrid/>
          <w:szCs w:val="22"/>
          <w:lang w:val="lt-LT"/>
        </w:rPr>
        <w:t>ir šlapinimosi simptomų gydym</w:t>
      </w:r>
      <w:r w:rsidR="00227FF8">
        <w:rPr>
          <w:rFonts w:eastAsia="TimesNewRoman"/>
          <w:snapToGrid/>
          <w:szCs w:val="22"/>
          <w:lang w:val="lt-LT"/>
        </w:rPr>
        <w:t>ui</w:t>
      </w:r>
      <w:r w:rsidR="00AF6C5F" w:rsidRPr="0032192D">
        <w:rPr>
          <w:rFonts w:eastAsia="TimesNewRoman"/>
          <w:snapToGrid/>
          <w:szCs w:val="22"/>
          <w:lang w:val="lt-LT"/>
        </w:rPr>
        <w:t xml:space="preserve"> </w:t>
      </w:r>
      <w:bookmarkEnd w:id="0"/>
      <w:r w:rsidR="00AF6C5F" w:rsidRPr="0032192D">
        <w:rPr>
          <w:rFonts w:eastAsia="TimesNewRoman"/>
          <w:snapToGrid/>
          <w:szCs w:val="22"/>
          <w:lang w:val="lt-LT"/>
        </w:rPr>
        <w:t xml:space="preserve">vyrams, </w:t>
      </w:r>
      <w:r w:rsidRPr="0032192D">
        <w:rPr>
          <w:rFonts w:eastAsia="TimesNewRoman"/>
          <w:snapToGrid/>
          <w:szCs w:val="22"/>
          <w:lang w:val="lt-LT"/>
        </w:rPr>
        <w:t xml:space="preserve">kurių atsakas į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monoterapiją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nėra pakankamas.</w:t>
      </w:r>
    </w:p>
    <w:p w14:paraId="362DFD4A" w14:textId="77777777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1D5ABE3A" w14:textId="77777777" w:rsidR="00776FBE" w:rsidRPr="0032192D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szCs w:val="22"/>
          <w:lang w:val="lt-LT"/>
        </w:rPr>
      </w:pPr>
      <w:r w:rsidRPr="0032192D">
        <w:rPr>
          <w:b/>
          <w:snapToGrid/>
          <w:kern w:val="28"/>
          <w:szCs w:val="22"/>
          <w:lang w:val="lt-LT"/>
        </w:rPr>
        <w:t>4.2</w:t>
      </w:r>
      <w:r w:rsidRPr="0032192D">
        <w:rPr>
          <w:b/>
          <w:snapToGrid/>
          <w:kern w:val="28"/>
          <w:szCs w:val="22"/>
          <w:lang w:val="lt-LT"/>
        </w:rPr>
        <w:tab/>
        <w:t>Dozavimas ir vartojimo metodas</w:t>
      </w:r>
    </w:p>
    <w:p w14:paraId="3D406F58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6BFC4641" w14:textId="77777777" w:rsidR="00AF6C5F" w:rsidRPr="0032192D" w:rsidRDefault="00AF6C5F" w:rsidP="00AF6C5F">
      <w:pPr>
        <w:widowControl w:val="0"/>
        <w:tabs>
          <w:tab w:val="clear" w:pos="567"/>
        </w:tabs>
        <w:spacing w:line="240" w:lineRule="auto"/>
        <w:rPr>
          <w:rFonts w:eastAsia="TimesNewRoman"/>
          <w:i/>
          <w:iCs/>
          <w:snapToGrid/>
          <w:szCs w:val="22"/>
          <w:lang w:val="lt-LT"/>
        </w:rPr>
      </w:pPr>
      <w:r w:rsidRPr="0032192D">
        <w:rPr>
          <w:rFonts w:eastAsia="TimesNewRoman"/>
          <w:i/>
          <w:iCs/>
          <w:snapToGrid/>
          <w:szCs w:val="22"/>
          <w:lang w:val="lt-LT"/>
        </w:rPr>
        <w:t>Suaugusiems vyrams, įskaitant senyvus</w:t>
      </w:r>
    </w:p>
    <w:p w14:paraId="482009CC" w14:textId="6D24C0D0" w:rsidR="009B4D09" w:rsidRPr="0032192D" w:rsidRDefault="008E703F" w:rsidP="00AF6C5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Viena</w:t>
      </w:r>
      <w:r w:rsidR="00AF6C5F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FB1F51">
        <w:rPr>
          <w:snapToGrid/>
          <w:color w:val="000000"/>
          <w:szCs w:val="22"/>
          <w:lang w:val="lt-LT"/>
        </w:rPr>
        <w:t>Solitombo</w:t>
      </w:r>
      <w:proofErr w:type="spellEnd"/>
      <w:r w:rsidRPr="0032192D">
        <w:rPr>
          <w:snapToGrid/>
          <w:color w:val="000000"/>
          <w:szCs w:val="22"/>
          <w:lang w:val="lt-LT"/>
        </w:rPr>
        <w:t xml:space="preserve"> tablet</w:t>
      </w:r>
      <w:r w:rsidR="00E47CA8" w:rsidRPr="0032192D">
        <w:rPr>
          <w:snapToGrid/>
          <w:color w:val="000000"/>
          <w:szCs w:val="22"/>
          <w:lang w:val="lt-LT"/>
        </w:rPr>
        <w:t>ė</w:t>
      </w:r>
      <w:r w:rsidRPr="0032192D">
        <w:rPr>
          <w:snapToGrid/>
          <w:color w:val="000000"/>
          <w:szCs w:val="22"/>
          <w:lang w:val="lt-LT"/>
        </w:rPr>
        <w:t xml:space="preserve"> vartojama per burną kartą per parą neatsižvelgiant į valgio laiką</w:t>
      </w:r>
      <w:r w:rsidR="00AF6C5F" w:rsidRPr="0032192D">
        <w:rPr>
          <w:rFonts w:eastAsia="TimesNewRoman"/>
          <w:snapToGrid/>
          <w:szCs w:val="22"/>
          <w:lang w:val="lt-LT"/>
        </w:rPr>
        <w:t xml:space="preserve">. </w:t>
      </w:r>
      <w:r w:rsidRPr="0032192D">
        <w:rPr>
          <w:rFonts w:eastAsia="TimesNewRoman"/>
          <w:snapToGrid/>
          <w:szCs w:val="22"/>
          <w:lang w:val="lt-LT"/>
        </w:rPr>
        <w:t xml:space="preserve">Didžiausia paros dozė yra viena </w:t>
      </w:r>
      <w:proofErr w:type="spellStart"/>
      <w:r w:rsidR="00FB1F51">
        <w:rPr>
          <w:snapToGrid/>
          <w:color w:val="000000"/>
          <w:szCs w:val="22"/>
          <w:lang w:val="lt-LT"/>
        </w:rPr>
        <w:t>Solitombo</w:t>
      </w:r>
      <w:proofErr w:type="spellEnd"/>
      <w:r w:rsidRPr="0032192D">
        <w:rPr>
          <w:snapToGrid/>
          <w:color w:val="000000"/>
          <w:szCs w:val="22"/>
          <w:lang w:val="lt-LT"/>
        </w:rPr>
        <w:t xml:space="preserve"> tabletė</w:t>
      </w:r>
      <w:r w:rsidR="00AF6C5F" w:rsidRPr="0032192D">
        <w:rPr>
          <w:rFonts w:eastAsia="TimesNewRoman"/>
          <w:snapToGrid/>
          <w:szCs w:val="22"/>
          <w:lang w:val="lt-LT"/>
        </w:rPr>
        <w:t>.</w:t>
      </w:r>
    </w:p>
    <w:p w14:paraId="1024BD64" w14:textId="77777777" w:rsidR="008E703F" w:rsidRPr="0032192D" w:rsidRDefault="008E703F" w:rsidP="00AF6C5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Tabletę reikia nuryti visą, jos negalima kąsti arba kramtyti. Tabletės smulkinti negalima.</w:t>
      </w:r>
    </w:p>
    <w:p w14:paraId="6C82567B" w14:textId="77777777" w:rsidR="00AF6C5F" w:rsidRPr="0032192D" w:rsidRDefault="00AF6C5F" w:rsidP="00AF6C5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5F3C8C84" w14:textId="77777777" w:rsidR="00AF6C5F" w:rsidRPr="0032192D" w:rsidRDefault="00A63024" w:rsidP="00AF6C5F">
      <w:pPr>
        <w:widowControl w:val="0"/>
        <w:tabs>
          <w:tab w:val="clear" w:pos="567"/>
        </w:tabs>
        <w:spacing w:line="240" w:lineRule="auto"/>
        <w:rPr>
          <w:rFonts w:eastAsia="TimesNewRoman"/>
          <w:i/>
          <w:iCs/>
          <w:snapToGrid/>
          <w:szCs w:val="22"/>
          <w:lang w:val="lt-LT"/>
        </w:rPr>
      </w:pPr>
      <w:r w:rsidRPr="0032192D">
        <w:rPr>
          <w:rFonts w:eastAsia="TimesNewRoman"/>
          <w:i/>
          <w:iCs/>
          <w:snapToGrid/>
          <w:szCs w:val="22"/>
          <w:lang w:val="lt-LT"/>
        </w:rPr>
        <w:t>Pacientams, kurių inkstų funkcija sutrikusi</w:t>
      </w:r>
    </w:p>
    <w:p w14:paraId="30E78A15" w14:textId="0A05F96F" w:rsidR="00AF6C5F" w:rsidRPr="0032192D" w:rsidRDefault="004442B6" w:rsidP="00AF6C5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Inkstų funkcijos sutrikimo poveikis </w:t>
      </w:r>
      <w:proofErr w:type="spellStart"/>
      <w:r w:rsidR="00AF6C5F" w:rsidRPr="0032192D">
        <w:rPr>
          <w:rFonts w:eastAsia="TimesNewRoman"/>
          <w:snapToGrid/>
          <w:szCs w:val="22"/>
          <w:lang w:val="lt-LT"/>
        </w:rPr>
        <w:t>soli</w:t>
      </w:r>
      <w:r w:rsidRPr="0032192D">
        <w:rPr>
          <w:rFonts w:eastAsia="TimesNewRoman"/>
          <w:snapToGrid/>
          <w:szCs w:val="22"/>
          <w:lang w:val="lt-LT"/>
        </w:rPr>
        <w:t>fenacino</w:t>
      </w:r>
      <w:proofErr w:type="spellEnd"/>
      <w:r w:rsidR="00AF6C5F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="00AF6C5F"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="00AF6C5F" w:rsidRPr="0032192D">
        <w:rPr>
          <w:rFonts w:eastAsia="TimesNewRoman"/>
          <w:snapToGrid/>
          <w:szCs w:val="22"/>
          <w:lang w:val="lt-LT"/>
        </w:rPr>
        <w:t>tamsulo</w:t>
      </w:r>
      <w:r w:rsidRPr="0032192D">
        <w:rPr>
          <w:rFonts w:eastAsia="TimesNewRoman"/>
          <w:snapToGrid/>
          <w:szCs w:val="22"/>
          <w:lang w:val="lt-LT"/>
        </w:rPr>
        <w:t>z</w:t>
      </w:r>
      <w:r w:rsidR="00AF6C5F" w:rsidRPr="0032192D">
        <w:rPr>
          <w:rFonts w:eastAsia="TimesNewRoman"/>
          <w:snapToGrid/>
          <w:szCs w:val="22"/>
          <w:lang w:val="lt-LT"/>
        </w:rPr>
        <w:t>in</w:t>
      </w:r>
      <w:r w:rsidRPr="0032192D">
        <w:rPr>
          <w:rFonts w:eastAsia="TimesNewRoman"/>
          <w:snapToGrid/>
          <w:szCs w:val="22"/>
          <w:lang w:val="lt-LT"/>
        </w:rPr>
        <w:t>o</w:t>
      </w:r>
      <w:proofErr w:type="spellEnd"/>
      <w:r w:rsidR="00AF6C5F" w:rsidRPr="0032192D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>hidrochlorido</w:t>
      </w:r>
      <w:r w:rsidR="00AF6C5F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farmakokinetikai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nebuvo tirtas</w:t>
      </w:r>
      <w:r w:rsidR="00AF6C5F" w:rsidRPr="0032192D">
        <w:rPr>
          <w:rFonts w:eastAsia="TimesNewRoman"/>
          <w:snapToGrid/>
          <w:szCs w:val="22"/>
          <w:lang w:val="lt-LT"/>
        </w:rPr>
        <w:t xml:space="preserve">. </w:t>
      </w:r>
      <w:r w:rsidR="00EB7804" w:rsidRPr="0032192D">
        <w:rPr>
          <w:rFonts w:eastAsia="TimesNewRoman"/>
          <w:snapToGrid/>
          <w:szCs w:val="22"/>
          <w:lang w:val="lt-LT"/>
        </w:rPr>
        <w:t>Vis dėlto poveikis atskirų veikliųjų medžiagų farmakokinetikai yra gerai žinomas</w:t>
      </w:r>
      <w:r w:rsidR="00AF6C5F" w:rsidRPr="0032192D">
        <w:rPr>
          <w:rFonts w:eastAsia="TimesNewRoman"/>
          <w:snapToGrid/>
          <w:szCs w:val="22"/>
          <w:lang w:val="lt-LT"/>
        </w:rPr>
        <w:t xml:space="preserve"> (</w:t>
      </w:r>
      <w:r w:rsidRPr="0032192D">
        <w:rPr>
          <w:rFonts w:eastAsia="TimesNewRoman"/>
          <w:snapToGrid/>
          <w:szCs w:val="22"/>
          <w:lang w:val="lt-LT"/>
        </w:rPr>
        <w:t>žr.</w:t>
      </w:r>
      <w:r w:rsidR="00AF6C5F" w:rsidRPr="0032192D">
        <w:rPr>
          <w:rFonts w:eastAsia="TimesNewRoman"/>
          <w:snapToGrid/>
          <w:szCs w:val="22"/>
          <w:lang w:val="lt-LT"/>
        </w:rPr>
        <w:t xml:space="preserve"> 5.2</w:t>
      </w:r>
      <w:r w:rsidRPr="0032192D">
        <w:rPr>
          <w:rFonts w:eastAsia="TimesNewRoman"/>
          <w:snapToGrid/>
          <w:szCs w:val="22"/>
          <w:lang w:val="lt-LT"/>
        </w:rPr>
        <w:t> skyrių</w:t>
      </w:r>
      <w:r w:rsidR="00AF6C5F" w:rsidRPr="0032192D">
        <w:rPr>
          <w:rFonts w:eastAsia="TimesNewRoman"/>
          <w:snapToGrid/>
          <w:szCs w:val="22"/>
          <w:lang w:val="lt-LT"/>
        </w:rPr>
        <w:t xml:space="preserve">). </w:t>
      </w:r>
      <w:r w:rsidR="00EB7804" w:rsidRPr="0032192D">
        <w:rPr>
          <w:rFonts w:eastAsia="TimesNewRoman"/>
          <w:snapToGrid/>
          <w:szCs w:val="22"/>
          <w:lang w:val="lt-LT"/>
        </w:rPr>
        <w:t xml:space="preserve">Pacientams, kuriems yra lengvas arba vidutinio sunkumo inkstų funkcijos sutrikimas (kreatinino klirensas &gt; 30 ml/min.), </w:t>
      </w:r>
      <w:proofErr w:type="spellStart"/>
      <w:r w:rsidR="00EB7804"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="00EB7804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EB7804" w:rsidRPr="0032192D">
        <w:rPr>
          <w:rFonts w:eastAsia="TimesNewRoman"/>
          <w:snapToGrid/>
          <w:szCs w:val="22"/>
          <w:lang w:val="lt-LT"/>
        </w:rPr>
        <w:t>sukcinatą</w:t>
      </w:r>
      <w:proofErr w:type="spellEnd"/>
      <w:r w:rsidR="00EB7804"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="00EB7804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EB7804" w:rsidRPr="0032192D">
        <w:rPr>
          <w:rFonts w:eastAsia="TimesNewRoman"/>
          <w:snapToGrid/>
          <w:szCs w:val="22"/>
          <w:lang w:val="lt-LT"/>
        </w:rPr>
        <w:t xml:space="preserve"> hidrochloridą vartoti galima. Pacientus, kuriems yra sunkus inkstų funkcijos sutrikimas (kreatinino klirensas ≤ 30 ml/min.), reikia gydyti atsargiai ir didžiausia paros dozė tokiems pacientams yra</w:t>
      </w:r>
      <w:r w:rsidR="00AF6C5F" w:rsidRPr="0032192D">
        <w:rPr>
          <w:rFonts w:eastAsia="TimesNewRoman"/>
          <w:snapToGrid/>
          <w:szCs w:val="22"/>
          <w:lang w:val="lt-LT"/>
        </w:rPr>
        <w:t xml:space="preserve"> </w:t>
      </w:r>
      <w:r w:rsidR="00EB7804" w:rsidRPr="0032192D">
        <w:rPr>
          <w:rFonts w:eastAsia="TimesNewRoman"/>
          <w:snapToGrid/>
          <w:szCs w:val="22"/>
          <w:lang w:val="lt-LT"/>
        </w:rPr>
        <w:t xml:space="preserve">viena </w:t>
      </w:r>
      <w:proofErr w:type="spellStart"/>
      <w:r w:rsidR="00FB1F51">
        <w:rPr>
          <w:snapToGrid/>
          <w:color w:val="000000"/>
          <w:szCs w:val="22"/>
          <w:lang w:val="lt-LT"/>
        </w:rPr>
        <w:t>Solitombo</w:t>
      </w:r>
      <w:proofErr w:type="spellEnd"/>
      <w:r w:rsidR="00EB7804" w:rsidRPr="0032192D">
        <w:rPr>
          <w:snapToGrid/>
          <w:color w:val="000000"/>
          <w:szCs w:val="22"/>
          <w:lang w:val="lt-LT"/>
        </w:rPr>
        <w:t xml:space="preserve"> tabletė</w:t>
      </w:r>
      <w:r w:rsidR="00EB7804" w:rsidRPr="0032192D">
        <w:rPr>
          <w:rFonts w:eastAsia="TimesNewRoman"/>
          <w:snapToGrid/>
          <w:szCs w:val="22"/>
          <w:lang w:val="lt-LT"/>
        </w:rPr>
        <w:t xml:space="preserve"> </w:t>
      </w:r>
      <w:r w:rsidR="00AF6C5F" w:rsidRPr="0032192D">
        <w:rPr>
          <w:rFonts w:eastAsia="TimesNewRoman"/>
          <w:snapToGrid/>
          <w:szCs w:val="22"/>
          <w:lang w:val="lt-LT"/>
        </w:rPr>
        <w:t>(</w:t>
      </w:r>
      <w:r w:rsidRPr="0032192D">
        <w:rPr>
          <w:rFonts w:eastAsia="TimesNewRoman"/>
          <w:snapToGrid/>
          <w:szCs w:val="22"/>
          <w:lang w:val="lt-LT"/>
        </w:rPr>
        <w:t>žr.</w:t>
      </w:r>
      <w:r w:rsidR="00AF6C5F" w:rsidRPr="0032192D">
        <w:rPr>
          <w:rFonts w:eastAsia="TimesNewRoman"/>
          <w:snapToGrid/>
          <w:szCs w:val="22"/>
          <w:lang w:val="lt-LT"/>
        </w:rPr>
        <w:t xml:space="preserve"> 4.4</w:t>
      </w:r>
      <w:r w:rsidRPr="0032192D">
        <w:rPr>
          <w:rFonts w:eastAsia="TimesNewRoman"/>
          <w:snapToGrid/>
          <w:szCs w:val="22"/>
          <w:lang w:val="lt-LT"/>
        </w:rPr>
        <w:t> skyrių</w:t>
      </w:r>
      <w:r w:rsidR="00AF6C5F" w:rsidRPr="0032192D">
        <w:rPr>
          <w:rFonts w:eastAsia="TimesNewRoman"/>
          <w:snapToGrid/>
          <w:szCs w:val="22"/>
          <w:lang w:val="lt-LT"/>
        </w:rPr>
        <w:t>).</w:t>
      </w:r>
    </w:p>
    <w:p w14:paraId="3DA91135" w14:textId="77777777" w:rsidR="00AF6C5F" w:rsidRPr="0032192D" w:rsidRDefault="00AF6C5F" w:rsidP="00AF6C5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1A060655" w14:textId="77777777" w:rsidR="00A63024" w:rsidRPr="0032192D" w:rsidRDefault="00A63024" w:rsidP="00A63024">
      <w:pPr>
        <w:widowControl w:val="0"/>
        <w:tabs>
          <w:tab w:val="clear" w:pos="567"/>
        </w:tabs>
        <w:spacing w:line="240" w:lineRule="auto"/>
        <w:rPr>
          <w:rFonts w:eastAsia="TimesNewRoman"/>
          <w:i/>
          <w:iCs/>
          <w:snapToGrid/>
          <w:szCs w:val="22"/>
          <w:lang w:val="lt-LT"/>
        </w:rPr>
      </w:pPr>
      <w:r w:rsidRPr="0032192D">
        <w:rPr>
          <w:rFonts w:eastAsia="TimesNewRoman"/>
          <w:i/>
          <w:iCs/>
          <w:snapToGrid/>
          <w:szCs w:val="22"/>
          <w:lang w:val="lt-LT"/>
        </w:rPr>
        <w:t>Pacientams, kurių kepenų funkcija sutrikusi</w:t>
      </w:r>
    </w:p>
    <w:p w14:paraId="742DA9D1" w14:textId="2A0BCF6B" w:rsidR="00AF6C5F" w:rsidRPr="0032192D" w:rsidRDefault="00895EA0" w:rsidP="00AF6C5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Kepenų funkcijos sutrikimo poveikis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hidrochlorido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farmakokinetikai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nebuvo tirtas. Vis dėlto poveikis atskirų veikliųjų medžiagų farmakokinetikai yra gerai žinomas (žr. 5.2 skyrių). Pacientams, kuriems yra lengvas kepenų funkcijos sutrikimas (</w:t>
      </w:r>
      <w:proofErr w:type="spellStart"/>
      <w:r w:rsidRPr="0032192D">
        <w:rPr>
          <w:rFonts w:eastAsia="TimesNewRoman"/>
          <w:i/>
          <w:iCs/>
          <w:snapToGrid/>
          <w:szCs w:val="22"/>
          <w:lang w:val="lt-LT"/>
        </w:rPr>
        <w:t>Child-Pugh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skalės įvertis ≤</w:t>
      </w:r>
      <w:r w:rsidR="009B4D09" w:rsidRPr="0032192D">
        <w:rPr>
          <w:rFonts w:eastAsia="TimesNewRoman"/>
          <w:snapToGrid/>
          <w:szCs w:val="22"/>
          <w:lang w:val="lt-LT"/>
        </w:rPr>
        <w:t> </w:t>
      </w:r>
      <w:r w:rsidRPr="0032192D">
        <w:rPr>
          <w:rFonts w:eastAsia="TimesNewRoman"/>
          <w:snapToGrid/>
          <w:szCs w:val="22"/>
          <w:lang w:val="lt-LT"/>
        </w:rPr>
        <w:t xml:space="preserve">7),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sukcinatą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hidrochloridą vartoti galima</w:t>
      </w:r>
      <w:r w:rsidR="00AF6C5F" w:rsidRPr="0032192D">
        <w:rPr>
          <w:rFonts w:eastAsia="TimesNewRoman"/>
          <w:snapToGrid/>
          <w:szCs w:val="22"/>
          <w:lang w:val="lt-LT"/>
        </w:rPr>
        <w:t xml:space="preserve">. </w:t>
      </w:r>
      <w:r w:rsidRPr="0032192D">
        <w:rPr>
          <w:rFonts w:eastAsia="TimesNewRoman"/>
          <w:snapToGrid/>
          <w:szCs w:val="22"/>
          <w:lang w:val="lt-LT"/>
        </w:rPr>
        <w:t>Pacientus, kuriems yra vidutinio sunkumo kepenų funkcijos sutrikimas (</w:t>
      </w:r>
      <w:proofErr w:type="spellStart"/>
      <w:r w:rsidRPr="0032192D">
        <w:rPr>
          <w:rFonts w:eastAsia="TimesNewRoman"/>
          <w:i/>
          <w:iCs/>
          <w:snapToGrid/>
          <w:szCs w:val="22"/>
          <w:lang w:val="lt-LT"/>
        </w:rPr>
        <w:t>Child-Pugh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skalės įvertis 7</w:t>
      </w:r>
      <w:r w:rsidRPr="0032192D">
        <w:rPr>
          <w:rFonts w:eastAsia="TimesNewRoman"/>
          <w:snapToGrid/>
          <w:szCs w:val="22"/>
          <w:lang w:val="lt-LT"/>
        </w:rPr>
        <w:noBreakHyphen/>
        <w:t xml:space="preserve">9), reikia gydyti atsargiai ir didžiausia paros dozė tokiems pacientams yra viena </w:t>
      </w:r>
      <w:proofErr w:type="spellStart"/>
      <w:r w:rsidR="00FB1F51">
        <w:rPr>
          <w:snapToGrid/>
          <w:color w:val="000000"/>
          <w:szCs w:val="22"/>
          <w:lang w:val="lt-LT"/>
        </w:rPr>
        <w:t>Solitombo</w:t>
      </w:r>
      <w:proofErr w:type="spellEnd"/>
      <w:r w:rsidRPr="0032192D">
        <w:rPr>
          <w:snapToGrid/>
          <w:color w:val="000000"/>
          <w:szCs w:val="22"/>
          <w:lang w:val="lt-LT"/>
        </w:rPr>
        <w:t xml:space="preserve"> tabletė</w:t>
      </w:r>
      <w:r w:rsidR="00AF6C5F" w:rsidRPr="0032192D">
        <w:rPr>
          <w:rFonts w:eastAsia="TimesNewRoman"/>
          <w:snapToGrid/>
          <w:szCs w:val="22"/>
          <w:lang w:val="lt-LT"/>
        </w:rPr>
        <w:t xml:space="preserve">. </w:t>
      </w:r>
      <w:r w:rsidRPr="0032192D">
        <w:rPr>
          <w:rFonts w:eastAsia="TimesNewRoman"/>
          <w:snapToGrid/>
          <w:szCs w:val="22"/>
          <w:lang w:val="lt-LT"/>
        </w:rPr>
        <w:t>Pacientams, kuriems yra sunkus kepenų funkcijos sutrikimas (</w:t>
      </w:r>
      <w:proofErr w:type="spellStart"/>
      <w:r w:rsidRPr="0032192D">
        <w:rPr>
          <w:rFonts w:eastAsia="TimesNewRoman"/>
          <w:i/>
          <w:iCs/>
          <w:snapToGrid/>
          <w:szCs w:val="22"/>
          <w:lang w:val="lt-LT"/>
        </w:rPr>
        <w:t>Child-Pugh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skalės įvertis </w:t>
      </w:r>
      <w:r w:rsidR="00AF6C5F" w:rsidRPr="0032192D">
        <w:rPr>
          <w:rFonts w:eastAsia="TimesNewRoman"/>
          <w:snapToGrid/>
          <w:szCs w:val="22"/>
          <w:lang w:val="lt-LT"/>
        </w:rPr>
        <w:t>&gt;</w:t>
      </w:r>
      <w:r w:rsidR="009B4D09" w:rsidRPr="0032192D">
        <w:rPr>
          <w:rFonts w:eastAsia="TimesNewRoman"/>
          <w:snapToGrid/>
          <w:szCs w:val="22"/>
          <w:lang w:val="lt-LT"/>
        </w:rPr>
        <w:t> </w:t>
      </w:r>
      <w:r w:rsidR="00AF6C5F" w:rsidRPr="0032192D">
        <w:rPr>
          <w:rFonts w:eastAsia="TimesNewRoman"/>
          <w:snapToGrid/>
          <w:szCs w:val="22"/>
          <w:lang w:val="lt-LT"/>
        </w:rPr>
        <w:t xml:space="preserve">9),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hidrochlorido vartoti draudžiama </w:t>
      </w:r>
      <w:r w:rsidR="00AF6C5F" w:rsidRPr="0032192D">
        <w:rPr>
          <w:rFonts w:eastAsia="TimesNewRoman"/>
          <w:snapToGrid/>
          <w:szCs w:val="22"/>
          <w:lang w:val="lt-LT"/>
        </w:rPr>
        <w:t>(</w:t>
      </w:r>
      <w:r w:rsidR="00214E2C" w:rsidRPr="0032192D">
        <w:rPr>
          <w:rFonts w:eastAsia="TimesNewRoman"/>
          <w:snapToGrid/>
          <w:szCs w:val="22"/>
          <w:lang w:val="lt-LT"/>
        </w:rPr>
        <w:t>žr.</w:t>
      </w:r>
      <w:r w:rsidR="00AF6C5F" w:rsidRPr="0032192D">
        <w:rPr>
          <w:rFonts w:eastAsia="TimesNewRoman"/>
          <w:snapToGrid/>
          <w:szCs w:val="22"/>
          <w:lang w:val="lt-LT"/>
        </w:rPr>
        <w:t xml:space="preserve"> 4.3</w:t>
      </w:r>
      <w:r w:rsidR="00214E2C" w:rsidRPr="0032192D">
        <w:rPr>
          <w:rFonts w:eastAsia="TimesNewRoman"/>
          <w:snapToGrid/>
          <w:szCs w:val="22"/>
          <w:lang w:val="lt-LT"/>
        </w:rPr>
        <w:t> skyrių</w:t>
      </w:r>
      <w:r w:rsidR="00AF6C5F" w:rsidRPr="0032192D">
        <w:rPr>
          <w:rFonts w:eastAsia="TimesNewRoman"/>
          <w:snapToGrid/>
          <w:szCs w:val="22"/>
          <w:lang w:val="lt-LT"/>
        </w:rPr>
        <w:t>).</w:t>
      </w:r>
    </w:p>
    <w:p w14:paraId="16D8A6F2" w14:textId="77777777" w:rsidR="00AF6C5F" w:rsidRPr="0032192D" w:rsidRDefault="00AF6C5F" w:rsidP="00AF6C5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10895AAC" w14:textId="77777777" w:rsidR="00AF6C5F" w:rsidRPr="0032192D" w:rsidRDefault="00120D88" w:rsidP="00AF6C5F">
      <w:pPr>
        <w:widowControl w:val="0"/>
        <w:tabs>
          <w:tab w:val="clear" w:pos="567"/>
        </w:tabs>
        <w:spacing w:line="240" w:lineRule="auto"/>
        <w:rPr>
          <w:rFonts w:eastAsia="TimesNewRoman"/>
          <w:i/>
          <w:iCs/>
          <w:snapToGrid/>
          <w:szCs w:val="22"/>
          <w:lang w:val="lt-LT"/>
        </w:rPr>
      </w:pPr>
      <w:r w:rsidRPr="0032192D">
        <w:rPr>
          <w:rFonts w:eastAsia="TimesNewRoman"/>
          <w:i/>
          <w:iCs/>
          <w:snapToGrid/>
          <w:szCs w:val="22"/>
          <w:lang w:val="lt-LT"/>
        </w:rPr>
        <w:t>Vidutinio stiprumo ir stiprūs</w:t>
      </w:r>
      <w:r w:rsidR="00AF6C5F" w:rsidRPr="0032192D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i/>
          <w:iCs/>
          <w:snapToGrid/>
          <w:szCs w:val="22"/>
          <w:lang w:val="lt-LT"/>
        </w:rPr>
        <w:t>citochromo</w:t>
      </w:r>
      <w:proofErr w:type="spellEnd"/>
      <w:r w:rsidR="00AF6C5F" w:rsidRPr="0032192D">
        <w:rPr>
          <w:rFonts w:eastAsia="TimesNewRoman"/>
          <w:i/>
          <w:iCs/>
          <w:snapToGrid/>
          <w:szCs w:val="22"/>
          <w:lang w:val="lt-LT"/>
        </w:rPr>
        <w:t xml:space="preserve"> P450</w:t>
      </w:r>
      <w:r w:rsidRPr="0032192D">
        <w:rPr>
          <w:rFonts w:eastAsia="TimesNewRoman"/>
          <w:i/>
          <w:iCs/>
          <w:snapToGrid/>
          <w:szCs w:val="22"/>
          <w:lang w:val="lt-LT"/>
        </w:rPr>
        <w:t> </w:t>
      </w:r>
      <w:r w:rsidR="00AF6C5F" w:rsidRPr="0032192D">
        <w:rPr>
          <w:rFonts w:eastAsia="TimesNewRoman"/>
          <w:i/>
          <w:iCs/>
          <w:snapToGrid/>
          <w:szCs w:val="22"/>
          <w:lang w:val="lt-LT"/>
        </w:rPr>
        <w:t>3A4</w:t>
      </w:r>
      <w:r w:rsidRPr="0032192D">
        <w:rPr>
          <w:rFonts w:eastAsia="TimesNewRoman"/>
          <w:i/>
          <w:iCs/>
          <w:snapToGrid/>
          <w:szCs w:val="22"/>
          <w:lang w:val="lt-LT"/>
        </w:rPr>
        <w:t> inhibitoriai</w:t>
      </w:r>
    </w:p>
    <w:p w14:paraId="00683A47" w14:textId="7ED9D2B1" w:rsidR="00AF6C5F" w:rsidRPr="0032192D" w:rsidRDefault="00120D88" w:rsidP="00AF6C5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Didžiausia </w:t>
      </w:r>
      <w:proofErr w:type="spellStart"/>
      <w:r w:rsidR="00FB1F51">
        <w:rPr>
          <w:snapToGrid/>
          <w:color w:val="000000"/>
          <w:szCs w:val="22"/>
          <w:lang w:val="lt-LT"/>
        </w:rPr>
        <w:t>Solitombo</w:t>
      </w:r>
      <w:proofErr w:type="spellEnd"/>
      <w:r w:rsidRPr="0032192D">
        <w:rPr>
          <w:snapToGrid/>
          <w:color w:val="000000"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 xml:space="preserve">paros dozė yra viena </w:t>
      </w:r>
      <w:r w:rsidRPr="0032192D">
        <w:rPr>
          <w:snapToGrid/>
          <w:color w:val="000000"/>
          <w:szCs w:val="22"/>
          <w:lang w:val="lt-LT"/>
        </w:rPr>
        <w:t>tabletė</w:t>
      </w:r>
      <w:r w:rsidRPr="0032192D">
        <w:rPr>
          <w:rFonts w:eastAsia="TimesNewRoman"/>
          <w:snapToGrid/>
          <w:szCs w:val="22"/>
          <w:lang w:val="lt-LT"/>
        </w:rPr>
        <w:t xml:space="preserve">.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</w:t>
      </w:r>
      <w:r w:rsidR="00EB7804" w:rsidRPr="0032192D">
        <w:rPr>
          <w:rFonts w:eastAsia="TimesNewRoman"/>
          <w:snapToGrid/>
          <w:szCs w:val="22"/>
          <w:lang w:val="lt-LT"/>
        </w:rPr>
        <w:t>olifenacin</w:t>
      </w:r>
      <w:r w:rsidRPr="0032192D">
        <w:rPr>
          <w:rFonts w:eastAsia="TimesNewRoman"/>
          <w:snapToGrid/>
          <w:szCs w:val="22"/>
          <w:lang w:val="lt-LT"/>
        </w:rPr>
        <w:t>o</w:t>
      </w:r>
      <w:proofErr w:type="spellEnd"/>
      <w:r w:rsidR="00AF6C5F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AF6C5F" w:rsidRPr="0032192D">
        <w:rPr>
          <w:rFonts w:eastAsia="TimesNewRoman"/>
          <w:snapToGrid/>
          <w:szCs w:val="22"/>
          <w:lang w:val="lt-LT"/>
        </w:rPr>
        <w:t>su</w:t>
      </w:r>
      <w:r w:rsidRPr="0032192D">
        <w:rPr>
          <w:rFonts w:eastAsia="TimesNewRoman"/>
          <w:snapToGrid/>
          <w:szCs w:val="22"/>
          <w:lang w:val="lt-LT"/>
        </w:rPr>
        <w:t>k</w:t>
      </w:r>
      <w:r w:rsidR="00AF6C5F" w:rsidRPr="0032192D">
        <w:rPr>
          <w:rFonts w:eastAsia="TimesNewRoman"/>
          <w:snapToGrid/>
          <w:szCs w:val="22"/>
          <w:lang w:val="lt-LT"/>
        </w:rPr>
        <w:t>cinat</w:t>
      </w:r>
      <w:r w:rsidRPr="0032192D">
        <w:rPr>
          <w:rFonts w:eastAsia="TimesNewRoman"/>
          <w:snapToGrid/>
          <w:szCs w:val="22"/>
          <w:lang w:val="lt-LT"/>
        </w:rPr>
        <w:t>o</w:t>
      </w:r>
      <w:proofErr w:type="spellEnd"/>
      <w:r w:rsidR="00AF6C5F"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="00AF6C5F" w:rsidRPr="0032192D">
        <w:rPr>
          <w:rFonts w:eastAsia="TimesNewRoman"/>
          <w:snapToGrid/>
          <w:szCs w:val="22"/>
          <w:lang w:val="lt-LT"/>
        </w:rPr>
        <w:t>tamsulo</w:t>
      </w:r>
      <w:r w:rsidRPr="0032192D">
        <w:rPr>
          <w:rFonts w:eastAsia="TimesNewRoman"/>
          <w:snapToGrid/>
          <w:szCs w:val="22"/>
          <w:lang w:val="lt-LT"/>
        </w:rPr>
        <w:t>z</w:t>
      </w:r>
      <w:r w:rsidR="00AF6C5F" w:rsidRPr="0032192D">
        <w:rPr>
          <w:rFonts w:eastAsia="TimesNewRoman"/>
          <w:snapToGrid/>
          <w:szCs w:val="22"/>
          <w:lang w:val="lt-LT"/>
        </w:rPr>
        <w:t>in</w:t>
      </w:r>
      <w:r w:rsidRPr="0032192D">
        <w:rPr>
          <w:rFonts w:eastAsia="TimesNewRoman"/>
          <w:snapToGrid/>
          <w:szCs w:val="22"/>
          <w:lang w:val="lt-LT"/>
        </w:rPr>
        <w:t>o</w:t>
      </w:r>
      <w:proofErr w:type="spellEnd"/>
      <w:r w:rsidR="00AF6C5F" w:rsidRPr="0032192D">
        <w:rPr>
          <w:rFonts w:eastAsia="TimesNewRoman"/>
          <w:snapToGrid/>
          <w:szCs w:val="22"/>
          <w:lang w:val="lt-LT"/>
        </w:rPr>
        <w:t xml:space="preserve"> </w:t>
      </w:r>
      <w:r w:rsidR="009C31D6" w:rsidRPr="0032192D">
        <w:rPr>
          <w:rFonts w:eastAsia="TimesNewRoman"/>
          <w:snapToGrid/>
          <w:szCs w:val="22"/>
          <w:lang w:val="lt-LT"/>
        </w:rPr>
        <w:t>hidrochlorido</w:t>
      </w:r>
      <w:r w:rsidR="00AF6C5F" w:rsidRPr="0032192D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lastRenderedPageBreak/>
        <w:t xml:space="preserve">būtina atsargai vartoti pacientams, kurie </w:t>
      </w:r>
      <w:r w:rsidR="009B4D09" w:rsidRPr="0032192D">
        <w:rPr>
          <w:rFonts w:eastAsia="TimesNewRoman"/>
          <w:snapToGrid/>
          <w:szCs w:val="22"/>
          <w:lang w:val="lt-LT"/>
        </w:rPr>
        <w:t xml:space="preserve">tuo pat metu </w:t>
      </w:r>
      <w:r w:rsidRPr="0032192D">
        <w:rPr>
          <w:rFonts w:eastAsia="TimesNewRoman"/>
          <w:snapToGrid/>
          <w:szCs w:val="22"/>
          <w:lang w:val="lt-LT"/>
        </w:rPr>
        <w:t>yra gydomi</w:t>
      </w:r>
      <w:r w:rsidR="00AF6C5F" w:rsidRPr="0032192D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 xml:space="preserve">vidutinio stiprumo ar stipriais </w:t>
      </w:r>
      <w:r w:rsidR="00AF6C5F" w:rsidRPr="0032192D">
        <w:rPr>
          <w:rFonts w:eastAsia="TimesNewRoman"/>
          <w:snapToGrid/>
          <w:szCs w:val="22"/>
          <w:lang w:val="lt-LT"/>
        </w:rPr>
        <w:t>CYP3A4 inhibitor</w:t>
      </w:r>
      <w:r w:rsidRPr="0032192D">
        <w:rPr>
          <w:rFonts w:eastAsia="TimesNewRoman"/>
          <w:snapToGrid/>
          <w:szCs w:val="22"/>
          <w:lang w:val="lt-LT"/>
        </w:rPr>
        <w:t>iai</w:t>
      </w:r>
      <w:r w:rsidR="00AF6C5F" w:rsidRPr="0032192D">
        <w:rPr>
          <w:rFonts w:eastAsia="TimesNewRoman"/>
          <w:snapToGrid/>
          <w:szCs w:val="22"/>
          <w:lang w:val="lt-LT"/>
        </w:rPr>
        <w:t xml:space="preserve">s, </w:t>
      </w:r>
      <w:r w:rsidRPr="0032192D">
        <w:rPr>
          <w:rFonts w:eastAsia="TimesNewRoman"/>
          <w:snapToGrid/>
          <w:szCs w:val="22"/>
          <w:lang w:val="lt-LT"/>
        </w:rPr>
        <w:t>pvz</w:t>
      </w:r>
      <w:r w:rsidR="00AF6C5F" w:rsidRPr="0032192D">
        <w:rPr>
          <w:rFonts w:eastAsia="TimesNewRoman"/>
          <w:snapToGrid/>
          <w:szCs w:val="22"/>
          <w:lang w:val="lt-LT"/>
        </w:rPr>
        <w:t>.</w:t>
      </w:r>
      <w:r w:rsidRPr="0032192D">
        <w:rPr>
          <w:rFonts w:eastAsia="TimesNewRoman"/>
          <w:snapToGrid/>
          <w:szCs w:val="22"/>
          <w:lang w:val="lt-LT"/>
        </w:rPr>
        <w:t>,</w:t>
      </w:r>
      <w:r w:rsidR="00AF6C5F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AF6C5F" w:rsidRPr="0032192D">
        <w:rPr>
          <w:rFonts w:eastAsia="TimesNewRoman"/>
          <w:snapToGrid/>
          <w:szCs w:val="22"/>
          <w:lang w:val="lt-LT"/>
        </w:rPr>
        <w:t>verapamil</w:t>
      </w:r>
      <w:r w:rsidRPr="0032192D">
        <w:rPr>
          <w:rFonts w:eastAsia="TimesNewRoman"/>
          <w:snapToGrid/>
          <w:szCs w:val="22"/>
          <w:lang w:val="lt-LT"/>
        </w:rPr>
        <w:t>iu</w:t>
      </w:r>
      <w:proofErr w:type="spellEnd"/>
      <w:r w:rsidR="00AF6C5F"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="00AF6C5F" w:rsidRPr="0032192D">
        <w:rPr>
          <w:rFonts w:eastAsia="TimesNewRoman"/>
          <w:snapToGrid/>
          <w:szCs w:val="22"/>
          <w:lang w:val="lt-LT"/>
        </w:rPr>
        <w:t>keto</w:t>
      </w:r>
      <w:r w:rsidRPr="0032192D">
        <w:rPr>
          <w:rFonts w:eastAsia="TimesNewRoman"/>
          <w:snapToGrid/>
          <w:szCs w:val="22"/>
          <w:lang w:val="lt-LT"/>
        </w:rPr>
        <w:t>k</w:t>
      </w:r>
      <w:r w:rsidR="00AF6C5F" w:rsidRPr="0032192D">
        <w:rPr>
          <w:rFonts w:eastAsia="TimesNewRoman"/>
          <w:snapToGrid/>
          <w:szCs w:val="22"/>
          <w:lang w:val="lt-LT"/>
        </w:rPr>
        <w:t>onazol</w:t>
      </w:r>
      <w:r w:rsidRPr="0032192D">
        <w:rPr>
          <w:rFonts w:eastAsia="TimesNewRoman"/>
          <w:snapToGrid/>
          <w:szCs w:val="22"/>
          <w:lang w:val="lt-LT"/>
        </w:rPr>
        <w:t>u</w:t>
      </w:r>
      <w:proofErr w:type="spellEnd"/>
      <w:r w:rsidR="00AF6C5F"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="00AF6C5F" w:rsidRPr="0032192D">
        <w:rPr>
          <w:rFonts w:eastAsia="TimesNewRoman"/>
          <w:snapToGrid/>
          <w:szCs w:val="22"/>
          <w:lang w:val="lt-LT"/>
        </w:rPr>
        <w:t>ritonavir</w:t>
      </w:r>
      <w:r w:rsidRPr="0032192D">
        <w:rPr>
          <w:rFonts w:eastAsia="TimesNewRoman"/>
          <w:snapToGrid/>
          <w:szCs w:val="22"/>
          <w:lang w:val="lt-LT"/>
        </w:rPr>
        <w:t>u</w:t>
      </w:r>
      <w:proofErr w:type="spellEnd"/>
      <w:r w:rsidR="00AF6C5F"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="00AF6C5F" w:rsidRPr="0032192D">
        <w:rPr>
          <w:rFonts w:eastAsia="TimesNewRoman"/>
          <w:snapToGrid/>
          <w:szCs w:val="22"/>
          <w:lang w:val="lt-LT"/>
        </w:rPr>
        <w:t>nelfinavir</w:t>
      </w:r>
      <w:r w:rsidRPr="0032192D">
        <w:rPr>
          <w:rFonts w:eastAsia="TimesNewRoman"/>
          <w:snapToGrid/>
          <w:szCs w:val="22"/>
          <w:lang w:val="lt-LT"/>
        </w:rPr>
        <w:t>u</w:t>
      </w:r>
      <w:proofErr w:type="spellEnd"/>
      <w:r w:rsidR="00AF6C5F"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="00AF6C5F" w:rsidRPr="0032192D">
        <w:rPr>
          <w:rFonts w:eastAsia="TimesNewRoman"/>
          <w:snapToGrid/>
          <w:szCs w:val="22"/>
          <w:lang w:val="lt-LT"/>
        </w:rPr>
        <w:t>itra</w:t>
      </w:r>
      <w:r w:rsidRPr="0032192D">
        <w:rPr>
          <w:rFonts w:eastAsia="TimesNewRoman"/>
          <w:snapToGrid/>
          <w:szCs w:val="22"/>
          <w:lang w:val="lt-LT"/>
        </w:rPr>
        <w:t>k</w:t>
      </w:r>
      <w:r w:rsidR="00AF6C5F" w:rsidRPr="0032192D">
        <w:rPr>
          <w:rFonts w:eastAsia="TimesNewRoman"/>
          <w:snapToGrid/>
          <w:szCs w:val="22"/>
          <w:lang w:val="lt-LT"/>
        </w:rPr>
        <w:t>onazol</w:t>
      </w:r>
      <w:r w:rsidRPr="0032192D">
        <w:rPr>
          <w:rFonts w:eastAsia="TimesNewRoman"/>
          <w:snapToGrid/>
          <w:szCs w:val="22"/>
          <w:lang w:val="lt-LT"/>
        </w:rPr>
        <w:t>u</w:t>
      </w:r>
      <w:proofErr w:type="spellEnd"/>
      <w:r w:rsidR="00AF6C5F" w:rsidRPr="0032192D">
        <w:rPr>
          <w:rFonts w:eastAsia="TimesNewRoman"/>
          <w:snapToGrid/>
          <w:szCs w:val="22"/>
          <w:lang w:val="lt-LT"/>
        </w:rPr>
        <w:t xml:space="preserve"> (</w:t>
      </w:r>
      <w:r w:rsidRPr="0032192D">
        <w:rPr>
          <w:rFonts w:eastAsia="TimesNewRoman"/>
          <w:snapToGrid/>
          <w:szCs w:val="22"/>
          <w:lang w:val="lt-LT"/>
        </w:rPr>
        <w:t>žr.</w:t>
      </w:r>
      <w:r w:rsidR="00AF6C5F" w:rsidRPr="0032192D">
        <w:rPr>
          <w:rFonts w:eastAsia="TimesNewRoman"/>
          <w:snapToGrid/>
          <w:szCs w:val="22"/>
          <w:lang w:val="lt-LT"/>
        </w:rPr>
        <w:t xml:space="preserve"> 4.5</w:t>
      </w:r>
      <w:r w:rsidRPr="0032192D">
        <w:rPr>
          <w:rFonts w:eastAsia="TimesNewRoman"/>
          <w:snapToGrid/>
          <w:szCs w:val="22"/>
          <w:lang w:val="lt-LT"/>
        </w:rPr>
        <w:t> skyrių</w:t>
      </w:r>
      <w:r w:rsidR="00AF6C5F" w:rsidRPr="0032192D">
        <w:rPr>
          <w:rFonts w:eastAsia="TimesNewRoman"/>
          <w:snapToGrid/>
          <w:szCs w:val="22"/>
          <w:lang w:val="lt-LT"/>
        </w:rPr>
        <w:t>).</w:t>
      </w:r>
    </w:p>
    <w:p w14:paraId="39905557" w14:textId="77777777" w:rsidR="00AF6C5F" w:rsidRPr="0032192D" w:rsidRDefault="00AF6C5F" w:rsidP="00AF6C5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7126B023" w14:textId="77777777" w:rsidR="00AF6C5F" w:rsidRPr="0032192D" w:rsidRDefault="00120D88" w:rsidP="00AF6C5F">
      <w:pPr>
        <w:widowControl w:val="0"/>
        <w:tabs>
          <w:tab w:val="clear" w:pos="567"/>
        </w:tabs>
        <w:spacing w:line="240" w:lineRule="auto"/>
        <w:rPr>
          <w:rFonts w:eastAsia="TimesNewRoman"/>
          <w:i/>
          <w:iCs/>
          <w:snapToGrid/>
          <w:szCs w:val="22"/>
          <w:lang w:val="lt-LT"/>
        </w:rPr>
      </w:pPr>
      <w:r w:rsidRPr="0032192D">
        <w:rPr>
          <w:rFonts w:eastAsia="TimesNewRoman"/>
          <w:i/>
          <w:iCs/>
          <w:snapToGrid/>
          <w:szCs w:val="22"/>
          <w:lang w:val="lt-LT"/>
        </w:rPr>
        <w:t>Vaikų populiacija</w:t>
      </w:r>
    </w:p>
    <w:p w14:paraId="74402C84" w14:textId="77777777" w:rsidR="00776FBE" w:rsidRDefault="009C31D6" w:rsidP="00AF6C5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sukcinatas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hidrochloridas nėra skirtas vartoti vaikams ir paaugliams</w:t>
      </w:r>
      <w:r w:rsidR="00AF6C5F" w:rsidRPr="0032192D">
        <w:rPr>
          <w:rFonts w:eastAsia="TimesNewRoman"/>
          <w:snapToGrid/>
          <w:szCs w:val="22"/>
          <w:lang w:val="lt-LT"/>
        </w:rPr>
        <w:t>.</w:t>
      </w:r>
    </w:p>
    <w:p w14:paraId="34FF9077" w14:textId="77777777" w:rsidR="00B3297D" w:rsidRDefault="00B3297D" w:rsidP="00AF6C5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39383CFC" w14:textId="4BBBDD11" w:rsidR="00B3297D" w:rsidRPr="007C5BDB" w:rsidRDefault="00B3297D" w:rsidP="00AF6C5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r w:rsidRPr="007C5BDB">
        <w:rPr>
          <w:rFonts w:eastAsia="TimesNewRoman"/>
          <w:snapToGrid/>
          <w:szCs w:val="22"/>
          <w:u w:val="single"/>
          <w:lang w:val="lt-LT"/>
        </w:rPr>
        <w:t>Vartojimo metodas</w:t>
      </w:r>
    </w:p>
    <w:p w14:paraId="776F57E2" w14:textId="787AE33E" w:rsidR="00B3297D" w:rsidRPr="0032192D" w:rsidRDefault="00FC4B7F" w:rsidP="00AF6C5F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Vartoti per burną</w:t>
      </w:r>
      <w:r w:rsidR="00EC48AA">
        <w:rPr>
          <w:snapToGrid/>
          <w:szCs w:val="22"/>
          <w:lang w:val="lt-LT"/>
        </w:rPr>
        <w:t>.</w:t>
      </w:r>
    </w:p>
    <w:p w14:paraId="5CF8C341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E6785D4" w14:textId="77777777" w:rsidR="00776FBE" w:rsidRPr="0032192D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32192D">
        <w:rPr>
          <w:b/>
          <w:snapToGrid/>
          <w:kern w:val="28"/>
          <w:szCs w:val="22"/>
          <w:lang w:val="lt-LT"/>
        </w:rPr>
        <w:t>4.3</w:t>
      </w:r>
      <w:r w:rsidRPr="0032192D">
        <w:rPr>
          <w:b/>
          <w:snapToGrid/>
          <w:kern w:val="28"/>
          <w:szCs w:val="22"/>
          <w:lang w:val="lt-LT"/>
        </w:rPr>
        <w:tab/>
        <w:t>Kontraindikacijos</w:t>
      </w:r>
    </w:p>
    <w:p w14:paraId="74860176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53F2F7D7" w14:textId="34128FDF" w:rsidR="004C35FF" w:rsidRPr="0032192D" w:rsidRDefault="004C35FF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hidrochlorido </w:t>
      </w:r>
      <w:r w:rsidR="00C759CB">
        <w:rPr>
          <w:rFonts w:eastAsia="TimesNewRoman"/>
          <w:snapToGrid/>
          <w:szCs w:val="22"/>
          <w:lang w:val="lt-LT"/>
        </w:rPr>
        <w:t>draudžiama</w:t>
      </w:r>
      <w:r w:rsidR="00C759CB" w:rsidRPr="0032192D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>vartoti, jeigu yra:</w:t>
      </w:r>
    </w:p>
    <w:p w14:paraId="2B1AC335" w14:textId="77777777" w:rsidR="00776FBE" w:rsidRPr="0032192D" w:rsidRDefault="004C35FF" w:rsidP="004C35F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p</w:t>
      </w:r>
      <w:r w:rsidR="00776FBE" w:rsidRPr="0032192D">
        <w:rPr>
          <w:rFonts w:eastAsia="TimesNewRoman"/>
          <w:snapToGrid/>
          <w:szCs w:val="22"/>
          <w:lang w:val="lt-LT"/>
        </w:rPr>
        <w:t xml:space="preserve">adidėjęs jautrumas veikliajai </w:t>
      </w:r>
      <w:r w:rsidRPr="0032192D">
        <w:rPr>
          <w:rFonts w:eastAsia="TimesNewRoman"/>
          <w:snapToGrid/>
          <w:szCs w:val="22"/>
          <w:lang w:val="lt-LT"/>
        </w:rPr>
        <w:t>(-</w:t>
      </w:r>
      <w:proofErr w:type="spellStart"/>
      <w:r w:rsidRPr="0032192D">
        <w:rPr>
          <w:rFonts w:eastAsia="TimesNewRoman"/>
          <w:snapToGrid/>
          <w:szCs w:val="22"/>
          <w:lang w:val="lt-LT"/>
        </w:rPr>
        <w:t>osioms</w:t>
      </w:r>
      <w:proofErr w:type="spellEnd"/>
      <w:r w:rsidRPr="0032192D">
        <w:rPr>
          <w:rFonts w:eastAsia="TimesNewRoman"/>
          <w:snapToGrid/>
          <w:szCs w:val="22"/>
          <w:lang w:val="lt-LT"/>
        </w:rPr>
        <w:t>) medžiagai (-</w:t>
      </w:r>
      <w:proofErr w:type="spellStart"/>
      <w:r w:rsidRPr="0032192D">
        <w:rPr>
          <w:rFonts w:eastAsia="TimesNewRoman"/>
          <w:snapToGrid/>
          <w:szCs w:val="22"/>
          <w:lang w:val="lt-LT"/>
        </w:rPr>
        <w:t>oms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) </w:t>
      </w:r>
      <w:r w:rsidR="00776FBE" w:rsidRPr="0032192D">
        <w:rPr>
          <w:rFonts w:eastAsia="TimesNewRoman"/>
          <w:snapToGrid/>
          <w:szCs w:val="22"/>
          <w:lang w:val="lt-LT"/>
        </w:rPr>
        <w:t>arba bet kuriai 6.1 skyriuje nurodytai pagalbinei medžiagai</w:t>
      </w:r>
      <w:r w:rsidRPr="0032192D">
        <w:rPr>
          <w:rFonts w:eastAsia="TimesNewRoman"/>
          <w:snapToGrid/>
          <w:szCs w:val="22"/>
          <w:lang w:val="lt-LT"/>
        </w:rPr>
        <w:t>;</w:t>
      </w:r>
    </w:p>
    <w:p w14:paraId="3CBF8266" w14:textId="77777777" w:rsidR="004C35FF" w:rsidRPr="0032192D" w:rsidRDefault="004C35FF" w:rsidP="004C35F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taikomos hemodializės (žr. 5.2 skyrių);</w:t>
      </w:r>
    </w:p>
    <w:p w14:paraId="19FA5B19" w14:textId="77777777" w:rsidR="004C35FF" w:rsidRPr="0032192D" w:rsidRDefault="004C35FF" w:rsidP="004C35F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sunkus kepenų funkcijos sutrikimas (žr. 5.2 skyrių);</w:t>
      </w:r>
    </w:p>
    <w:p w14:paraId="348591F8" w14:textId="77777777" w:rsidR="004C35FF" w:rsidRPr="0032192D" w:rsidRDefault="004C35FF" w:rsidP="004C35F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sunkus inkstų funkcijos sutrikimas ir vartojama stiprių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citochromo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P450 (CYP)</w:t>
      </w:r>
      <w:r w:rsidR="009B4D09" w:rsidRPr="0032192D">
        <w:rPr>
          <w:rFonts w:eastAsia="TimesNewRoman"/>
          <w:snapToGrid/>
          <w:szCs w:val="22"/>
          <w:lang w:val="lt-LT"/>
        </w:rPr>
        <w:t> </w:t>
      </w:r>
      <w:r w:rsidRPr="0032192D">
        <w:rPr>
          <w:rFonts w:eastAsia="TimesNewRoman"/>
          <w:snapToGrid/>
          <w:szCs w:val="22"/>
          <w:lang w:val="lt-LT"/>
        </w:rPr>
        <w:t xml:space="preserve">3A4 inhibitorių, pvz.,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ketokonazolo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(žr. 4.5 skyrių);</w:t>
      </w:r>
    </w:p>
    <w:p w14:paraId="033DA04D" w14:textId="77777777" w:rsidR="004C35FF" w:rsidRPr="0032192D" w:rsidRDefault="004C35FF" w:rsidP="004C35F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vidutinio sunkumo kepenų funkcijos sutrikimas ir vartojama stiprių CYP3A4 inhibitorių, pvz.,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ketokonazolo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(žr. 4.5 skyrių);</w:t>
      </w:r>
    </w:p>
    <w:p w14:paraId="6E3B6F34" w14:textId="77777777" w:rsidR="004C35FF" w:rsidRPr="0032192D" w:rsidRDefault="004C35FF" w:rsidP="00671D8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sunkus virškinimo trakto sutrikimas (įskaitant toksinę didelę gaubtinę žarną), </w:t>
      </w:r>
      <w:proofErr w:type="spellStart"/>
      <w:r w:rsidR="007D7ABF" w:rsidRPr="0032192D">
        <w:rPr>
          <w:rFonts w:eastAsia="TimesNewRoman"/>
          <w:snapToGrid/>
          <w:szCs w:val="22"/>
          <w:lang w:val="lt-LT"/>
        </w:rPr>
        <w:t>generalizuota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miastenija</w:t>
      </w:r>
      <w:proofErr w:type="spellEnd"/>
      <w:r w:rsidR="007D7ABF" w:rsidRPr="0032192D">
        <w:rPr>
          <w:lang w:val="lt-LT"/>
        </w:rPr>
        <w:t xml:space="preserve"> </w:t>
      </w:r>
      <w:r w:rsidR="007D7ABF" w:rsidRPr="0032192D">
        <w:rPr>
          <w:rFonts w:eastAsia="TimesNewRoman"/>
          <w:snapToGrid/>
          <w:szCs w:val="22"/>
          <w:lang w:val="lt-LT"/>
        </w:rPr>
        <w:t>(</w:t>
      </w:r>
      <w:proofErr w:type="spellStart"/>
      <w:r w:rsidR="007D7ABF" w:rsidRPr="0032192D">
        <w:rPr>
          <w:rFonts w:eastAsia="TimesNewRoman"/>
          <w:i/>
          <w:iCs/>
          <w:snapToGrid/>
          <w:szCs w:val="22"/>
          <w:lang w:val="lt-LT"/>
        </w:rPr>
        <w:t>myasthenia</w:t>
      </w:r>
      <w:proofErr w:type="spellEnd"/>
      <w:r w:rsidR="007D7ABF" w:rsidRPr="0032192D">
        <w:rPr>
          <w:rFonts w:eastAsia="TimesNewRoman"/>
          <w:i/>
          <w:iCs/>
          <w:snapToGrid/>
          <w:szCs w:val="22"/>
          <w:lang w:val="lt-LT"/>
        </w:rPr>
        <w:t xml:space="preserve"> gravis</w:t>
      </w:r>
      <w:r w:rsidR="007D7ABF" w:rsidRPr="0032192D">
        <w:rPr>
          <w:rFonts w:eastAsia="TimesNewRoman"/>
          <w:snapToGrid/>
          <w:szCs w:val="22"/>
          <w:lang w:val="lt-LT"/>
        </w:rPr>
        <w:t>)</w:t>
      </w:r>
      <w:r w:rsidRPr="0032192D">
        <w:rPr>
          <w:rFonts w:eastAsia="TimesNewRoman"/>
          <w:snapToGrid/>
          <w:szCs w:val="22"/>
          <w:lang w:val="lt-LT"/>
        </w:rPr>
        <w:t>, uždaro kampo glaukoma arba šių sutrikimų rizika;</w:t>
      </w:r>
    </w:p>
    <w:p w14:paraId="792617CC" w14:textId="77777777" w:rsidR="004C35FF" w:rsidRPr="0032192D" w:rsidRDefault="004C35FF" w:rsidP="004C35F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buvusi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ortostatinė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hipotenzija</w:t>
      </w:r>
      <w:proofErr w:type="spellEnd"/>
      <w:r w:rsidRPr="0032192D">
        <w:rPr>
          <w:rFonts w:eastAsia="TimesNewRoman"/>
          <w:snapToGrid/>
          <w:szCs w:val="22"/>
          <w:lang w:val="lt-LT"/>
        </w:rPr>
        <w:t>.</w:t>
      </w:r>
    </w:p>
    <w:p w14:paraId="456BF242" w14:textId="77777777" w:rsidR="004C35FF" w:rsidRPr="0032192D" w:rsidRDefault="004C35FF" w:rsidP="004C35F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59399F46" w14:textId="77777777" w:rsidR="00776FBE" w:rsidRPr="0032192D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szCs w:val="22"/>
          <w:lang w:val="lt-LT"/>
        </w:rPr>
      </w:pPr>
      <w:r w:rsidRPr="0032192D">
        <w:rPr>
          <w:b/>
          <w:snapToGrid/>
          <w:kern w:val="28"/>
          <w:szCs w:val="22"/>
          <w:lang w:val="lt-LT"/>
        </w:rPr>
        <w:t>4.4</w:t>
      </w:r>
      <w:r w:rsidRPr="0032192D">
        <w:rPr>
          <w:b/>
          <w:snapToGrid/>
          <w:kern w:val="28"/>
          <w:szCs w:val="22"/>
          <w:lang w:val="lt-LT"/>
        </w:rPr>
        <w:tab/>
        <w:t>Specialūs įspėjimai ir atsargumo priemonės</w:t>
      </w:r>
    </w:p>
    <w:p w14:paraId="12A01D58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23927570" w14:textId="77777777" w:rsidR="00EC3E9C" w:rsidRPr="0032192D" w:rsidRDefault="00EC3E9C" w:rsidP="00EC3E9C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hidrochlorido būtina atsargiai vartoti pacientams, kuriems yra:</w:t>
      </w:r>
    </w:p>
    <w:p w14:paraId="44B01391" w14:textId="77777777" w:rsidR="00EC3E9C" w:rsidRPr="0032192D" w:rsidRDefault="00EC3E9C" w:rsidP="00EC3E9C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sunkus inkstų funkcijos sutrikimas;</w:t>
      </w:r>
    </w:p>
    <w:p w14:paraId="31EB7F43" w14:textId="77777777" w:rsidR="00EC3E9C" w:rsidRPr="0032192D" w:rsidRDefault="00EC3E9C" w:rsidP="00EC3E9C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šlapimo susilaikymo rizika;</w:t>
      </w:r>
    </w:p>
    <w:p w14:paraId="327E0229" w14:textId="77777777" w:rsidR="00EC3E9C" w:rsidRPr="0032192D" w:rsidRDefault="00EC3E9C" w:rsidP="00EC3E9C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virškinimo trakto obstrukcijos sutrikimai;</w:t>
      </w:r>
    </w:p>
    <w:p w14:paraId="2725AA0D" w14:textId="77777777" w:rsidR="00EC3E9C" w:rsidRPr="0032192D" w:rsidRDefault="00EC3E9C" w:rsidP="00EC3E9C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virškinimo trakto motorikos sulėtėjimo rizika;</w:t>
      </w:r>
    </w:p>
    <w:p w14:paraId="6AF96F50" w14:textId="1B00FBBE" w:rsidR="00EC3E9C" w:rsidRPr="0032192D" w:rsidRDefault="00EC3E9C" w:rsidP="00EC3E9C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diafragm</w:t>
      </w:r>
      <w:r w:rsidR="00C759CB">
        <w:rPr>
          <w:rFonts w:eastAsia="TimesNewRoman"/>
          <w:snapToGrid/>
          <w:szCs w:val="22"/>
          <w:lang w:val="lt-LT"/>
        </w:rPr>
        <w:t>os</w:t>
      </w:r>
      <w:r w:rsidRPr="0032192D">
        <w:rPr>
          <w:rFonts w:eastAsia="TimesNewRoman"/>
          <w:snapToGrid/>
          <w:szCs w:val="22"/>
          <w:lang w:val="lt-LT"/>
        </w:rPr>
        <w:t xml:space="preserve"> išvarža/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gastroezofagini</w:t>
      </w:r>
      <w:r w:rsidR="005C49E2">
        <w:rPr>
          <w:rFonts w:eastAsia="TimesNewRoman"/>
          <w:snapToGrid/>
          <w:szCs w:val="22"/>
          <w:lang w:val="lt-LT"/>
        </w:rPr>
        <w:t>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refliuks</w:t>
      </w:r>
      <w:r w:rsidR="005C49E2">
        <w:rPr>
          <w:rFonts w:eastAsia="TimesNewRoman"/>
          <w:snapToGrid/>
          <w:szCs w:val="22"/>
          <w:lang w:val="lt-LT"/>
        </w:rPr>
        <w:t>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r w:rsidR="005C49E2">
        <w:rPr>
          <w:rFonts w:eastAsia="TimesNewRoman"/>
          <w:snapToGrid/>
          <w:szCs w:val="22"/>
          <w:lang w:val="lt-LT"/>
        </w:rPr>
        <w:t xml:space="preserve">liga </w:t>
      </w:r>
      <w:r w:rsidRPr="0032192D">
        <w:rPr>
          <w:rFonts w:eastAsia="TimesNewRoman"/>
          <w:snapToGrid/>
          <w:szCs w:val="22"/>
          <w:lang w:val="lt-LT"/>
        </w:rPr>
        <w:t xml:space="preserve">ir (arba) kartu vartojama vaistinių preparatų (pvz.,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bisfosfonatų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), galinčių sukelti arba pasunkinti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ezofagitą</w:t>
      </w:r>
      <w:proofErr w:type="spellEnd"/>
      <w:r w:rsidRPr="0032192D">
        <w:rPr>
          <w:rFonts w:eastAsia="TimesNewRoman"/>
          <w:snapToGrid/>
          <w:szCs w:val="22"/>
          <w:lang w:val="lt-LT"/>
        </w:rPr>
        <w:t>;</w:t>
      </w:r>
    </w:p>
    <w:p w14:paraId="7E3051E9" w14:textId="77777777" w:rsidR="00EC3E9C" w:rsidRPr="0032192D" w:rsidRDefault="00EC3E9C" w:rsidP="00EC3E9C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autonominė neuropatija.</w:t>
      </w:r>
    </w:p>
    <w:p w14:paraId="1EC34F9B" w14:textId="77777777" w:rsidR="00EC3E9C" w:rsidRPr="0032192D" w:rsidRDefault="00EC3E9C" w:rsidP="00EC3E9C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45D1BFCE" w14:textId="77777777" w:rsidR="00EC3E9C" w:rsidRPr="0032192D" w:rsidRDefault="00EC3E9C" w:rsidP="00EC3E9C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Pacientą būtina ištirti, kad būtų paneigtos kitos būklės, galinčios sukelti panašių simptomų kaip ir gerybinė prostatos hiperplazija.</w:t>
      </w:r>
    </w:p>
    <w:p w14:paraId="1AB81B27" w14:textId="77777777" w:rsidR="00671D8F" w:rsidRPr="0032192D" w:rsidRDefault="00671D8F" w:rsidP="00EC3E9C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Prieš pradedant gydymą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sukcinatu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hidrochloridu, būtina ištirti, ar nėra kitų </w:t>
      </w:r>
      <w:r w:rsidR="006715E7" w:rsidRPr="0032192D">
        <w:rPr>
          <w:rFonts w:eastAsia="TimesNewRoman"/>
          <w:snapToGrid/>
          <w:szCs w:val="22"/>
          <w:lang w:val="lt-LT"/>
        </w:rPr>
        <w:t>šlapinimosi padažnėjimo priežasčių</w:t>
      </w:r>
      <w:r w:rsidRPr="0032192D">
        <w:rPr>
          <w:rFonts w:eastAsia="TimesNewRoman"/>
          <w:snapToGrid/>
          <w:szCs w:val="22"/>
          <w:lang w:val="lt-LT"/>
        </w:rPr>
        <w:t xml:space="preserve"> </w:t>
      </w:r>
      <w:r w:rsidR="00EC3E9C" w:rsidRPr="0032192D">
        <w:rPr>
          <w:rFonts w:eastAsia="TimesNewRoman"/>
          <w:snapToGrid/>
          <w:szCs w:val="22"/>
          <w:lang w:val="lt-LT"/>
        </w:rPr>
        <w:t>(</w:t>
      </w:r>
      <w:r w:rsidR="006715E7" w:rsidRPr="0032192D">
        <w:rPr>
          <w:rFonts w:eastAsia="TimesNewRoman"/>
          <w:snapToGrid/>
          <w:szCs w:val="22"/>
          <w:lang w:val="lt-LT"/>
        </w:rPr>
        <w:t>širdies nepakankamumo ar inkstų ligos</w:t>
      </w:r>
      <w:r w:rsidR="00EC3E9C" w:rsidRPr="0032192D">
        <w:rPr>
          <w:rFonts w:eastAsia="TimesNewRoman"/>
          <w:snapToGrid/>
          <w:szCs w:val="22"/>
          <w:lang w:val="lt-LT"/>
        </w:rPr>
        <w:t xml:space="preserve">). </w:t>
      </w:r>
      <w:r w:rsidRPr="0032192D">
        <w:rPr>
          <w:rFonts w:eastAsia="TimesNewRoman"/>
          <w:snapToGrid/>
          <w:szCs w:val="22"/>
          <w:lang w:val="lt-LT"/>
        </w:rPr>
        <w:t>Jei yra šlapimo takų infekcija, būtina pradėti tinkamą antibakterinį gydymą.</w:t>
      </w:r>
    </w:p>
    <w:p w14:paraId="23F66E6D" w14:textId="77777777" w:rsidR="00EC3E9C" w:rsidRPr="0032192D" w:rsidRDefault="00671D8F" w:rsidP="00EC3E9C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QT intervalo pailgėjimas ir </w:t>
      </w:r>
      <w:proofErr w:type="spellStart"/>
      <w:r w:rsidR="009F79CA" w:rsidRPr="0032192D">
        <w:rPr>
          <w:rFonts w:eastAsia="TimesNewRoman"/>
          <w:snapToGrid/>
          <w:szCs w:val="22"/>
          <w:lang w:val="lt-LT"/>
        </w:rPr>
        <w:t>paroksizminė</w:t>
      </w:r>
      <w:proofErr w:type="spellEnd"/>
      <w:r w:rsidR="009F79CA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polimorfinė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skilvelinė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tachikardija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(</w:t>
      </w:r>
      <w:proofErr w:type="spellStart"/>
      <w:r w:rsidRPr="0032192D">
        <w:rPr>
          <w:rFonts w:eastAsia="TimesNewRoman"/>
          <w:i/>
          <w:iCs/>
          <w:snapToGrid/>
          <w:szCs w:val="22"/>
          <w:lang w:val="lt-LT"/>
        </w:rPr>
        <w:t>Torsade</w:t>
      </w:r>
      <w:proofErr w:type="spellEnd"/>
      <w:r w:rsidRPr="0032192D">
        <w:rPr>
          <w:rFonts w:eastAsia="TimesNewRoman"/>
          <w:i/>
          <w:iCs/>
          <w:snapToGrid/>
          <w:szCs w:val="22"/>
          <w:lang w:val="lt-LT"/>
        </w:rPr>
        <w:t xml:space="preserve"> de </w:t>
      </w:r>
      <w:proofErr w:type="spellStart"/>
      <w:r w:rsidRPr="0032192D">
        <w:rPr>
          <w:rFonts w:eastAsia="TimesNewRoman"/>
          <w:i/>
          <w:iCs/>
          <w:snapToGrid/>
          <w:szCs w:val="22"/>
          <w:lang w:val="lt-LT"/>
        </w:rPr>
        <w:t>Pointes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) buvo stebėta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sukcinatu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gydomiems pacientams, kurie turėjo rizikos veiksnių, tokių kaip jau esantis pailgėjusio QT intervalo sindromas ir hipokalemija</w:t>
      </w:r>
      <w:r w:rsidR="009F79CA" w:rsidRPr="0032192D">
        <w:rPr>
          <w:rFonts w:eastAsia="TimesNewRoman"/>
          <w:snapToGrid/>
          <w:szCs w:val="22"/>
          <w:lang w:val="lt-LT"/>
        </w:rPr>
        <w:t>.</w:t>
      </w:r>
    </w:p>
    <w:p w14:paraId="3FF71B79" w14:textId="77777777" w:rsidR="00671D8F" w:rsidRPr="0032192D" w:rsidRDefault="00671D8F" w:rsidP="00EC3E9C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05E5BC90" w14:textId="77777777" w:rsidR="00EC3E9C" w:rsidRPr="0032192D" w:rsidRDefault="00671D8F" w:rsidP="00EC3E9C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Kai kuriems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vartojusiems pacientams buvo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angioneurozinės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edemos </w:t>
      </w:r>
      <w:r w:rsidR="009F79CA" w:rsidRPr="0032192D">
        <w:rPr>
          <w:rFonts w:eastAsia="TimesNewRoman"/>
          <w:snapToGrid/>
          <w:szCs w:val="22"/>
          <w:lang w:val="lt-LT"/>
        </w:rPr>
        <w:t xml:space="preserve">su kvėpavimo takų obstrukcija </w:t>
      </w:r>
      <w:r w:rsidRPr="0032192D">
        <w:rPr>
          <w:rFonts w:eastAsia="TimesNewRoman"/>
          <w:snapToGrid/>
          <w:szCs w:val="22"/>
          <w:lang w:val="lt-LT"/>
        </w:rPr>
        <w:t>atvejų</w:t>
      </w:r>
      <w:r w:rsidR="00EC3E9C" w:rsidRPr="0032192D">
        <w:rPr>
          <w:rFonts w:eastAsia="TimesNewRoman"/>
          <w:snapToGrid/>
          <w:szCs w:val="22"/>
          <w:lang w:val="lt-LT"/>
        </w:rPr>
        <w:t xml:space="preserve">. </w:t>
      </w:r>
      <w:r w:rsidRPr="0032192D">
        <w:rPr>
          <w:rFonts w:eastAsia="TimesNewRoman"/>
          <w:snapToGrid/>
          <w:szCs w:val="22"/>
          <w:lang w:val="lt-LT"/>
        </w:rPr>
        <w:t>Jei pasireiškia</w:t>
      </w:r>
      <w:r w:rsidR="00EC3E9C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EC3E9C" w:rsidRPr="0032192D">
        <w:rPr>
          <w:rFonts w:eastAsia="TimesNewRoman"/>
          <w:snapToGrid/>
          <w:szCs w:val="22"/>
          <w:lang w:val="lt-LT"/>
        </w:rPr>
        <w:t>angio</w:t>
      </w:r>
      <w:r w:rsidRPr="0032192D">
        <w:rPr>
          <w:rFonts w:eastAsia="TimesNewRoman"/>
          <w:snapToGrid/>
          <w:szCs w:val="22"/>
          <w:lang w:val="lt-LT"/>
        </w:rPr>
        <w:t>neurozinė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r w:rsidR="00EC3E9C" w:rsidRPr="0032192D">
        <w:rPr>
          <w:rFonts w:eastAsia="TimesNewRoman"/>
          <w:snapToGrid/>
          <w:szCs w:val="22"/>
          <w:lang w:val="lt-LT"/>
        </w:rPr>
        <w:t xml:space="preserve">edema, </w:t>
      </w:r>
      <w:proofErr w:type="spellStart"/>
      <w:r w:rsidR="00EC3E9C"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="00EC3E9C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EC3E9C"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="00EC3E9C"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="00EC3E9C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EC3E9C" w:rsidRPr="0032192D">
        <w:rPr>
          <w:rFonts w:eastAsia="TimesNewRoman"/>
          <w:snapToGrid/>
          <w:szCs w:val="22"/>
          <w:lang w:val="lt-LT"/>
        </w:rPr>
        <w:t xml:space="preserve"> hidrochlorido</w:t>
      </w:r>
      <w:r w:rsidRPr="0032192D">
        <w:rPr>
          <w:rFonts w:eastAsia="TimesNewRoman"/>
          <w:snapToGrid/>
          <w:szCs w:val="22"/>
          <w:lang w:val="lt-LT"/>
        </w:rPr>
        <w:t xml:space="preserve"> vartojimą būtina nutraukti ir jo atnaujinti negalima. </w:t>
      </w:r>
      <w:r w:rsidR="00EC3E9C" w:rsidRPr="0032192D">
        <w:rPr>
          <w:rFonts w:eastAsia="TimesNewRoman"/>
          <w:snapToGrid/>
          <w:szCs w:val="22"/>
          <w:lang w:val="lt-LT"/>
        </w:rPr>
        <w:t>Būtina skirti tinkamą gydymą ir (arba) imtis reikiamų priemonių.</w:t>
      </w:r>
    </w:p>
    <w:p w14:paraId="597F9E5A" w14:textId="77777777" w:rsidR="00EC3E9C" w:rsidRPr="0032192D" w:rsidRDefault="00EC3E9C" w:rsidP="00EC3E9C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0FEACBD3" w14:textId="77777777" w:rsidR="00EC3E9C" w:rsidRPr="0032192D" w:rsidRDefault="006715E7" w:rsidP="00EC3E9C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Gauta pranešimų apie keliems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vartojusiems pacientams pasireiškusi</w:t>
      </w:r>
      <w:r w:rsidR="002F6E84" w:rsidRPr="0032192D">
        <w:rPr>
          <w:rFonts w:eastAsia="TimesNewRoman"/>
          <w:snapToGrid/>
          <w:szCs w:val="22"/>
          <w:lang w:val="lt-LT"/>
        </w:rPr>
        <w:t>ą</w:t>
      </w:r>
      <w:r w:rsidRPr="0032192D">
        <w:rPr>
          <w:rFonts w:eastAsia="TimesNewRoman"/>
          <w:snapToGrid/>
          <w:szCs w:val="22"/>
          <w:lang w:val="lt-LT"/>
        </w:rPr>
        <w:t xml:space="preserve"> anafilaksin</w:t>
      </w:r>
      <w:r w:rsidR="002F6E84" w:rsidRPr="0032192D">
        <w:rPr>
          <w:rFonts w:eastAsia="TimesNewRoman"/>
          <w:snapToGrid/>
          <w:szCs w:val="22"/>
          <w:lang w:val="lt-LT"/>
        </w:rPr>
        <w:t>ę</w:t>
      </w:r>
      <w:r w:rsidRPr="0032192D">
        <w:rPr>
          <w:rFonts w:eastAsia="TimesNewRoman"/>
          <w:snapToGrid/>
          <w:szCs w:val="22"/>
          <w:lang w:val="lt-LT"/>
        </w:rPr>
        <w:t xml:space="preserve"> reakcij</w:t>
      </w:r>
      <w:r w:rsidR="002F6E84" w:rsidRPr="0032192D">
        <w:rPr>
          <w:rFonts w:eastAsia="TimesNewRoman"/>
          <w:snapToGrid/>
          <w:szCs w:val="22"/>
          <w:lang w:val="lt-LT"/>
        </w:rPr>
        <w:t>ą</w:t>
      </w:r>
      <w:r w:rsidRPr="0032192D">
        <w:rPr>
          <w:rFonts w:eastAsia="TimesNewRoman"/>
          <w:snapToGrid/>
          <w:szCs w:val="22"/>
          <w:lang w:val="lt-LT"/>
        </w:rPr>
        <w:t xml:space="preserve">. Jeigu pasireiškia anafilaksinių reakcijų, būtina nutraukti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hidrochlorido vartojimą bei skirti tinkamą gydymą ir (arba) imtis reikiamų priemonių.</w:t>
      </w:r>
    </w:p>
    <w:p w14:paraId="3D9A0B0F" w14:textId="77777777" w:rsidR="006715E7" w:rsidRPr="0032192D" w:rsidRDefault="006715E7" w:rsidP="00EC3E9C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59A71B22" w14:textId="77777777" w:rsidR="00EC3E9C" w:rsidRPr="0032192D" w:rsidRDefault="008121FA" w:rsidP="00EC3E9C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Vartojant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tamsuloziną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, kaip ir kitokius alfa1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adrenoreceptorių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antagonistus, kai kuriems pacientams gali sumažėti kraujospūdis ir dėl to retais atvejais pasireikšti apalpimas. Pacientams, kurie pradedami </w:t>
      </w:r>
      <w:r w:rsidRPr="0032192D">
        <w:rPr>
          <w:rFonts w:eastAsia="TimesNewRoman"/>
          <w:snapToGrid/>
          <w:szCs w:val="22"/>
          <w:lang w:val="lt-LT"/>
        </w:rPr>
        <w:lastRenderedPageBreak/>
        <w:t xml:space="preserve">gydyti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sukcinatu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hidrochloridu, reikia įspėti, kad pasireiškus pirmiesiems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ortostatinės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hipotenzijos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požymiams (svaiguliui, silpnumu</w:t>
      </w:r>
      <w:r w:rsidR="00E47CA8" w:rsidRPr="0032192D">
        <w:rPr>
          <w:rFonts w:eastAsia="TimesNewRoman"/>
          <w:snapToGrid/>
          <w:szCs w:val="22"/>
          <w:lang w:val="lt-LT"/>
        </w:rPr>
        <w:t>i</w:t>
      </w:r>
      <w:r w:rsidRPr="0032192D">
        <w:rPr>
          <w:rFonts w:eastAsia="TimesNewRoman"/>
          <w:snapToGrid/>
          <w:szCs w:val="22"/>
          <w:lang w:val="lt-LT"/>
        </w:rPr>
        <w:t>), pasėdėtų arba pagulėtų, kol simptomai išnyks</w:t>
      </w:r>
      <w:r w:rsidR="00EC3E9C" w:rsidRPr="0032192D">
        <w:rPr>
          <w:rFonts w:eastAsia="TimesNewRoman"/>
          <w:snapToGrid/>
          <w:szCs w:val="22"/>
          <w:lang w:val="lt-LT"/>
        </w:rPr>
        <w:t>.</w:t>
      </w:r>
    </w:p>
    <w:p w14:paraId="7AC8DBA3" w14:textId="77777777" w:rsidR="00EC3E9C" w:rsidRPr="0032192D" w:rsidRDefault="00EC3E9C" w:rsidP="00EC3E9C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069EF8D3" w14:textId="42C6DFBD" w:rsidR="00EC3E9C" w:rsidRPr="0032192D" w:rsidRDefault="00EC3E9C" w:rsidP="00EC3E9C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Kataraktos </w:t>
      </w:r>
      <w:r w:rsidR="008121FA" w:rsidRPr="0032192D">
        <w:rPr>
          <w:rFonts w:eastAsia="TimesNewRoman"/>
          <w:snapToGrid/>
          <w:szCs w:val="22"/>
          <w:lang w:val="lt-LT"/>
        </w:rPr>
        <w:t xml:space="preserve">ir glaukomos </w:t>
      </w:r>
      <w:r w:rsidRPr="0032192D">
        <w:rPr>
          <w:rFonts w:eastAsia="TimesNewRoman"/>
          <w:snapToGrid/>
          <w:szCs w:val="22"/>
          <w:lang w:val="lt-LT"/>
        </w:rPr>
        <w:t xml:space="preserve">chirurginės operacijos metu kai kuriems pacientams, kurie </w:t>
      </w:r>
      <w:r w:rsidR="008121FA" w:rsidRPr="0032192D">
        <w:rPr>
          <w:rFonts w:eastAsia="TimesNewRoman"/>
          <w:snapToGrid/>
          <w:szCs w:val="22"/>
          <w:lang w:val="lt-LT"/>
        </w:rPr>
        <w:t xml:space="preserve">buvo </w:t>
      </w:r>
      <w:r w:rsidRPr="0032192D">
        <w:rPr>
          <w:rFonts w:eastAsia="TimesNewRoman"/>
          <w:snapToGrid/>
          <w:szCs w:val="22"/>
          <w:lang w:val="lt-LT"/>
        </w:rPr>
        <w:t xml:space="preserve">gydomi arba anksčiau gydyti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tamsulozinu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, pasireiškė operacinis suglebusios rainelės sindromas (angl. </w:t>
      </w:r>
      <w:proofErr w:type="spellStart"/>
      <w:r w:rsidRPr="0032192D">
        <w:rPr>
          <w:rFonts w:eastAsia="TimesNewRoman"/>
          <w:i/>
          <w:iCs/>
          <w:snapToGrid/>
          <w:szCs w:val="22"/>
          <w:lang w:val="lt-LT"/>
        </w:rPr>
        <w:t>Intraoperative</w:t>
      </w:r>
      <w:proofErr w:type="spellEnd"/>
      <w:r w:rsidRPr="0032192D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i/>
          <w:iCs/>
          <w:snapToGrid/>
          <w:szCs w:val="22"/>
          <w:lang w:val="lt-LT"/>
        </w:rPr>
        <w:t>Floppy</w:t>
      </w:r>
      <w:proofErr w:type="spellEnd"/>
      <w:r w:rsidRPr="0032192D">
        <w:rPr>
          <w:rFonts w:eastAsia="TimesNewRoman"/>
          <w:i/>
          <w:iCs/>
          <w:snapToGrid/>
          <w:szCs w:val="22"/>
          <w:lang w:val="lt-LT"/>
        </w:rPr>
        <w:t xml:space="preserve"> Iris </w:t>
      </w:r>
      <w:proofErr w:type="spellStart"/>
      <w:r w:rsidR="008121FA" w:rsidRPr="0032192D">
        <w:rPr>
          <w:rFonts w:eastAsia="TimesNewRoman"/>
          <w:i/>
          <w:iCs/>
          <w:snapToGrid/>
          <w:szCs w:val="22"/>
          <w:lang w:val="lt-LT"/>
        </w:rPr>
        <w:t>Sy</w:t>
      </w:r>
      <w:r w:rsidRPr="0032192D">
        <w:rPr>
          <w:rFonts w:eastAsia="TimesNewRoman"/>
          <w:i/>
          <w:iCs/>
          <w:snapToGrid/>
          <w:szCs w:val="22"/>
          <w:lang w:val="lt-LT"/>
        </w:rPr>
        <w:t>ndrome</w:t>
      </w:r>
      <w:proofErr w:type="spellEnd"/>
      <w:r w:rsidR="008121FA" w:rsidRPr="0032192D">
        <w:rPr>
          <w:rFonts w:eastAsia="TimesNewRoman"/>
          <w:snapToGrid/>
          <w:szCs w:val="22"/>
          <w:lang w:val="lt-LT"/>
        </w:rPr>
        <w:t xml:space="preserve">, </w:t>
      </w:r>
      <w:r w:rsidRPr="0032192D">
        <w:rPr>
          <w:rFonts w:eastAsia="TimesNewRoman"/>
          <w:snapToGrid/>
          <w:szCs w:val="22"/>
          <w:lang w:val="lt-LT"/>
        </w:rPr>
        <w:t>IFIS</w:t>
      </w:r>
      <w:r w:rsidR="00ED2B6C" w:rsidRPr="0032192D">
        <w:rPr>
          <w:rFonts w:eastAsia="TimesNewRoman"/>
          <w:snapToGrid/>
          <w:szCs w:val="22"/>
          <w:lang w:val="lt-LT"/>
        </w:rPr>
        <w:t xml:space="preserve">), t. y. </w:t>
      </w:r>
      <w:r w:rsidRPr="0032192D">
        <w:rPr>
          <w:rFonts w:eastAsia="TimesNewRoman"/>
          <w:snapToGrid/>
          <w:szCs w:val="22"/>
          <w:lang w:val="lt-LT"/>
        </w:rPr>
        <w:t xml:space="preserve">vienas iš mažo vyzdžio sindromo variantų. IFIS gali didinti akių komplikacijų riziką operacijos metu ir po </w:t>
      </w:r>
      <w:r w:rsidR="00ED2B6C" w:rsidRPr="0032192D">
        <w:rPr>
          <w:rFonts w:eastAsia="TimesNewRoman"/>
          <w:snapToGrid/>
          <w:szCs w:val="22"/>
          <w:lang w:val="lt-LT"/>
        </w:rPr>
        <w:t>jos</w:t>
      </w:r>
      <w:r w:rsidRPr="0032192D">
        <w:rPr>
          <w:rFonts w:eastAsia="TimesNewRoman"/>
          <w:snapToGrid/>
          <w:szCs w:val="22"/>
          <w:lang w:val="lt-LT"/>
        </w:rPr>
        <w:t xml:space="preserve">. </w:t>
      </w:r>
      <w:r w:rsidR="00ED2B6C" w:rsidRPr="0032192D">
        <w:rPr>
          <w:rFonts w:eastAsia="TimesNewRoman"/>
          <w:snapToGrid/>
          <w:szCs w:val="22"/>
          <w:lang w:val="lt-LT"/>
        </w:rPr>
        <w:t>Dėl to</w:t>
      </w:r>
      <w:r w:rsidRPr="0032192D">
        <w:rPr>
          <w:rFonts w:eastAsia="TimesNewRoman"/>
          <w:snapToGrid/>
          <w:szCs w:val="22"/>
          <w:lang w:val="lt-LT"/>
        </w:rPr>
        <w:t xml:space="preserve"> pacientams, kuriems numatyta kataraktos </w:t>
      </w:r>
      <w:r w:rsidR="00ED2B6C" w:rsidRPr="0032192D">
        <w:rPr>
          <w:rFonts w:eastAsia="TimesNewRoman"/>
          <w:snapToGrid/>
          <w:szCs w:val="22"/>
          <w:lang w:val="lt-LT"/>
        </w:rPr>
        <w:t xml:space="preserve">arba glaukomos </w:t>
      </w:r>
      <w:r w:rsidRPr="0032192D">
        <w:rPr>
          <w:rFonts w:eastAsia="TimesNewRoman"/>
          <w:snapToGrid/>
          <w:szCs w:val="22"/>
          <w:lang w:val="lt-LT"/>
        </w:rPr>
        <w:t>chirurgin</w:t>
      </w:r>
      <w:r w:rsidR="00ED2B6C" w:rsidRPr="0032192D">
        <w:rPr>
          <w:rFonts w:eastAsia="TimesNewRoman"/>
          <w:snapToGrid/>
          <w:szCs w:val="22"/>
          <w:lang w:val="lt-LT"/>
        </w:rPr>
        <w:t>ė</w:t>
      </w:r>
      <w:r w:rsidRPr="0032192D">
        <w:rPr>
          <w:rFonts w:eastAsia="TimesNewRoman"/>
          <w:snapToGrid/>
          <w:szCs w:val="22"/>
          <w:lang w:val="lt-LT"/>
        </w:rPr>
        <w:t xml:space="preserve"> </w:t>
      </w:r>
      <w:r w:rsidR="00ED2B6C" w:rsidRPr="0032192D">
        <w:rPr>
          <w:rFonts w:eastAsia="TimesNewRoman"/>
          <w:snapToGrid/>
          <w:szCs w:val="22"/>
          <w:lang w:val="lt-LT"/>
        </w:rPr>
        <w:t>operacija</w:t>
      </w:r>
      <w:r w:rsidRPr="0032192D">
        <w:rPr>
          <w:rFonts w:eastAsia="TimesNewRoman"/>
          <w:snapToGrid/>
          <w:szCs w:val="22"/>
          <w:lang w:val="lt-LT"/>
        </w:rPr>
        <w:t xml:space="preserve">, pradėti gydymo </w:t>
      </w:r>
      <w:proofErr w:type="spellStart"/>
      <w:r w:rsidR="00ED2B6C"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="00ED2B6C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ED2B6C" w:rsidRPr="0032192D">
        <w:rPr>
          <w:rFonts w:eastAsia="TimesNewRoman"/>
          <w:snapToGrid/>
          <w:szCs w:val="22"/>
          <w:lang w:val="lt-LT"/>
        </w:rPr>
        <w:t>sukcinatu</w:t>
      </w:r>
      <w:proofErr w:type="spellEnd"/>
      <w:r w:rsidR="00ED2B6C"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="00ED2B6C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ED2B6C" w:rsidRPr="0032192D">
        <w:rPr>
          <w:rFonts w:eastAsia="TimesNewRoman"/>
          <w:snapToGrid/>
          <w:szCs w:val="22"/>
          <w:lang w:val="lt-LT"/>
        </w:rPr>
        <w:t xml:space="preserve"> hidrochloridu </w:t>
      </w:r>
      <w:r w:rsidRPr="0032192D">
        <w:rPr>
          <w:rFonts w:eastAsia="TimesNewRoman"/>
          <w:snapToGrid/>
          <w:szCs w:val="22"/>
          <w:lang w:val="lt-LT"/>
        </w:rPr>
        <w:t>nerekomenduojama.</w:t>
      </w:r>
      <w:r w:rsidR="00ED2B6C" w:rsidRPr="0032192D">
        <w:rPr>
          <w:lang w:val="lt-LT"/>
        </w:rPr>
        <w:t xml:space="preserve"> </w:t>
      </w:r>
      <w:r w:rsidR="00ED2B6C" w:rsidRPr="0032192D">
        <w:rPr>
          <w:rFonts w:eastAsia="TimesNewRoman"/>
          <w:snapToGrid/>
          <w:szCs w:val="22"/>
          <w:lang w:val="lt-LT"/>
        </w:rPr>
        <w:t xml:space="preserve">Nors laikoma, kad gydymą </w:t>
      </w:r>
      <w:proofErr w:type="spellStart"/>
      <w:r w:rsidR="00ED2B6C"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="00ED2B6C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ED2B6C" w:rsidRPr="0032192D">
        <w:rPr>
          <w:rFonts w:eastAsia="TimesNewRoman"/>
          <w:snapToGrid/>
          <w:szCs w:val="22"/>
          <w:lang w:val="lt-LT"/>
        </w:rPr>
        <w:t>sukcinatu</w:t>
      </w:r>
      <w:proofErr w:type="spellEnd"/>
      <w:r w:rsidR="00ED2B6C"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="00ED2B6C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ED2B6C" w:rsidRPr="0032192D">
        <w:rPr>
          <w:rFonts w:eastAsia="TimesNewRoman"/>
          <w:snapToGrid/>
          <w:szCs w:val="22"/>
          <w:lang w:val="lt-LT"/>
        </w:rPr>
        <w:t xml:space="preserve"> hidrochloridu naudinga nutraukti likus 1</w:t>
      </w:r>
      <w:r w:rsidR="00C95BA8">
        <w:rPr>
          <w:rFonts w:eastAsia="TimesNewRoman"/>
          <w:snapToGrid/>
          <w:szCs w:val="22"/>
          <w:lang w:val="lt-LT"/>
        </w:rPr>
        <w:t>–</w:t>
      </w:r>
      <w:r w:rsidR="00ED2B6C" w:rsidRPr="0032192D">
        <w:rPr>
          <w:rFonts w:eastAsia="TimesNewRoman"/>
          <w:snapToGrid/>
          <w:szCs w:val="22"/>
          <w:lang w:val="lt-LT"/>
        </w:rPr>
        <w:t xml:space="preserve">2 savaitėms iki kataraktos ar glaukomos operacijos, gydymo nutraukimo nauda nėra nustatyta. </w:t>
      </w:r>
      <w:r w:rsidRPr="0032192D">
        <w:rPr>
          <w:rFonts w:eastAsia="TimesNewRoman"/>
          <w:snapToGrid/>
          <w:szCs w:val="22"/>
          <w:lang w:val="lt-LT"/>
        </w:rPr>
        <w:t>Tiriant prieš operaciją, chirurga</w:t>
      </w:r>
      <w:r w:rsidR="00C07741" w:rsidRPr="0032192D">
        <w:rPr>
          <w:rFonts w:eastAsia="TimesNewRoman"/>
          <w:snapToGrid/>
          <w:szCs w:val="22"/>
          <w:lang w:val="lt-LT"/>
        </w:rPr>
        <w:t>i</w:t>
      </w:r>
      <w:r w:rsidRPr="0032192D">
        <w:rPr>
          <w:rFonts w:eastAsia="TimesNewRoman"/>
          <w:snapToGrid/>
          <w:szCs w:val="22"/>
          <w:lang w:val="lt-LT"/>
        </w:rPr>
        <w:t xml:space="preserve"> ir akių </w:t>
      </w:r>
      <w:r w:rsidR="00C07741" w:rsidRPr="0032192D">
        <w:rPr>
          <w:rFonts w:eastAsia="TimesNewRoman"/>
          <w:snapToGrid/>
          <w:szCs w:val="22"/>
          <w:lang w:val="lt-LT"/>
        </w:rPr>
        <w:t>specialistų</w:t>
      </w:r>
      <w:r w:rsidRPr="0032192D">
        <w:rPr>
          <w:rFonts w:eastAsia="TimesNewRoman"/>
          <w:snapToGrid/>
          <w:szCs w:val="22"/>
          <w:lang w:val="lt-LT"/>
        </w:rPr>
        <w:t xml:space="preserve"> komanda turi įvertinti, ar pacientai, kuriems numatyta </w:t>
      </w:r>
      <w:r w:rsidR="00ED2B6C" w:rsidRPr="0032192D">
        <w:rPr>
          <w:rFonts w:eastAsia="TimesNewRoman"/>
          <w:snapToGrid/>
          <w:szCs w:val="22"/>
          <w:lang w:val="lt-LT"/>
        </w:rPr>
        <w:t>kataraktos arba glaukomos chirurginė operacija</w:t>
      </w:r>
      <w:r w:rsidRPr="0032192D">
        <w:rPr>
          <w:rFonts w:eastAsia="TimesNewRoman"/>
          <w:snapToGrid/>
          <w:szCs w:val="22"/>
          <w:lang w:val="lt-LT"/>
        </w:rPr>
        <w:t xml:space="preserve">, anksčiau buvo gydyti arba šiuo metu vartoja </w:t>
      </w:r>
      <w:proofErr w:type="spellStart"/>
      <w:r w:rsidR="00ED2B6C"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="00ED2B6C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ED2B6C" w:rsidRPr="0032192D">
        <w:rPr>
          <w:rFonts w:eastAsia="TimesNewRoman"/>
          <w:snapToGrid/>
          <w:szCs w:val="22"/>
          <w:lang w:val="lt-LT"/>
        </w:rPr>
        <w:t>sukcinatą</w:t>
      </w:r>
      <w:proofErr w:type="spellEnd"/>
      <w:r w:rsidR="00ED2B6C"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="00ED2B6C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ED2B6C" w:rsidRPr="0032192D">
        <w:rPr>
          <w:rFonts w:eastAsia="TimesNewRoman"/>
          <w:snapToGrid/>
          <w:szCs w:val="22"/>
          <w:lang w:val="lt-LT"/>
        </w:rPr>
        <w:t xml:space="preserve"> hidrochloridą, </w:t>
      </w:r>
      <w:r w:rsidRPr="0032192D">
        <w:rPr>
          <w:rFonts w:eastAsia="TimesNewRoman"/>
          <w:snapToGrid/>
          <w:szCs w:val="22"/>
          <w:lang w:val="lt-LT"/>
        </w:rPr>
        <w:t xml:space="preserve">ir užtikrinti, </w:t>
      </w:r>
      <w:r w:rsidR="00ED2B6C" w:rsidRPr="0032192D">
        <w:rPr>
          <w:lang w:val="lt-LT"/>
        </w:rPr>
        <w:t>kad būtų paruoštos atitinkamos priemonės operacijos metu pasireiškusiam IFIS gydyti</w:t>
      </w:r>
      <w:r w:rsidRPr="0032192D">
        <w:rPr>
          <w:rFonts w:eastAsia="TimesNewRoman"/>
          <w:snapToGrid/>
          <w:szCs w:val="22"/>
          <w:lang w:val="lt-LT"/>
        </w:rPr>
        <w:t>.</w:t>
      </w:r>
    </w:p>
    <w:p w14:paraId="1BBC6CD4" w14:textId="77777777" w:rsidR="00EC3E9C" w:rsidRPr="0032192D" w:rsidRDefault="00EC3E9C" w:rsidP="00EC3E9C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26A7C102" w14:textId="311E0A3D" w:rsidR="00776FBE" w:rsidRPr="0032192D" w:rsidRDefault="006E2FE3" w:rsidP="00EC3E9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sukcinatą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hidrochloridą būtina atsargiai vartoti kartu su vidutinio stiprumo </w:t>
      </w:r>
      <w:r w:rsidR="00C07741" w:rsidRPr="0032192D">
        <w:rPr>
          <w:rFonts w:eastAsia="TimesNewRoman"/>
          <w:snapToGrid/>
          <w:szCs w:val="22"/>
          <w:lang w:val="lt-LT"/>
        </w:rPr>
        <w:t>bei</w:t>
      </w:r>
      <w:r w:rsidRPr="0032192D">
        <w:rPr>
          <w:rFonts w:eastAsia="TimesNewRoman"/>
          <w:snapToGrid/>
          <w:szCs w:val="22"/>
          <w:lang w:val="lt-LT"/>
        </w:rPr>
        <w:t xml:space="preserve"> stipriais </w:t>
      </w:r>
      <w:r w:rsidR="00EC3E9C" w:rsidRPr="0032192D">
        <w:rPr>
          <w:rFonts w:eastAsia="TimesNewRoman"/>
          <w:snapToGrid/>
          <w:szCs w:val="22"/>
          <w:lang w:val="lt-LT"/>
        </w:rPr>
        <w:t xml:space="preserve">CYP3A4 </w:t>
      </w:r>
      <w:r w:rsidRPr="0032192D">
        <w:rPr>
          <w:rFonts w:eastAsia="TimesNewRoman"/>
          <w:snapToGrid/>
          <w:szCs w:val="22"/>
          <w:lang w:val="lt-LT"/>
        </w:rPr>
        <w:t xml:space="preserve">inhibitoriais </w:t>
      </w:r>
      <w:r w:rsidR="00EC3E9C" w:rsidRPr="0032192D">
        <w:rPr>
          <w:rFonts w:eastAsia="TimesNewRoman"/>
          <w:snapToGrid/>
          <w:szCs w:val="22"/>
          <w:lang w:val="lt-LT"/>
        </w:rPr>
        <w:t>(</w:t>
      </w:r>
      <w:r w:rsidRPr="0032192D">
        <w:rPr>
          <w:rFonts w:eastAsia="TimesNewRoman"/>
          <w:snapToGrid/>
          <w:szCs w:val="22"/>
          <w:lang w:val="lt-LT"/>
        </w:rPr>
        <w:t>žr.</w:t>
      </w:r>
      <w:r w:rsidR="00EC3E9C" w:rsidRPr="0032192D">
        <w:rPr>
          <w:rFonts w:eastAsia="TimesNewRoman"/>
          <w:snapToGrid/>
          <w:szCs w:val="22"/>
          <w:lang w:val="lt-LT"/>
        </w:rPr>
        <w:t xml:space="preserve"> 4.5</w:t>
      </w:r>
      <w:r w:rsidRPr="0032192D">
        <w:rPr>
          <w:rFonts w:eastAsia="TimesNewRoman"/>
          <w:snapToGrid/>
          <w:szCs w:val="22"/>
          <w:lang w:val="lt-LT"/>
        </w:rPr>
        <w:t> skyrių</w:t>
      </w:r>
      <w:r w:rsidR="00EC3E9C" w:rsidRPr="0032192D">
        <w:rPr>
          <w:rFonts w:eastAsia="TimesNewRoman"/>
          <w:snapToGrid/>
          <w:szCs w:val="22"/>
          <w:lang w:val="lt-LT"/>
        </w:rPr>
        <w:t>)</w:t>
      </w:r>
      <w:r w:rsidRPr="0032192D">
        <w:rPr>
          <w:rFonts w:eastAsia="TimesNewRoman"/>
          <w:snapToGrid/>
          <w:szCs w:val="22"/>
          <w:lang w:val="lt-LT"/>
        </w:rPr>
        <w:t xml:space="preserve"> ir j</w:t>
      </w:r>
      <w:r w:rsidR="00450775">
        <w:rPr>
          <w:rFonts w:eastAsia="TimesNewRoman"/>
          <w:snapToGrid/>
          <w:szCs w:val="22"/>
          <w:lang w:val="lt-LT"/>
        </w:rPr>
        <w:t>ų</w:t>
      </w:r>
      <w:r w:rsidRPr="0032192D">
        <w:rPr>
          <w:rFonts w:eastAsia="TimesNewRoman"/>
          <w:snapToGrid/>
          <w:szCs w:val="22"/>
          <w:lang w:val="lt-LT"/>
        </w:rPr>
        <w:t xml:space="preserve"> negalima vartoti kartu su stipriais </w:t>
      </w:r>
      <w:r w:rsidR="00EC3E9C" w:rsidRPr="0032192D">
        <w:rPr>
          <w:rFonts w:eastAsia="TimesNewRoman"/>
          <w:snapToGrid/>
          <w:szCs w:val="22"/>
          <w:lang w:val="lt-LT"/>
        </w:rPr>
        <w:t>CYP3A4</w:t>
      </w:r>
      <w:r w:rsidRPr="0032192D">
        <w:rPr>
          <w:rFonts w:eastAsia="TimesNewRoman"/>
          <w:snapToGrid/>
          <w:szCs w:val="22"/>
          <w:lang w:val="lt-LT"/>
        </w:rPr>
        <w:t xml:space="preserve"> inhibitoriais</w:t>
      </w:r>
      <w:r w:rsidR="00EC3E9C" w:rsidRPr="0032192D">
        <w:rPr>
          <w:rFonts w:eastAsia="TimesNewRoman"/>
          <w:snapToGrid/>
          <w:szCs w:val="22"/>
          <w:lang w:val="lt-LT"/>
        </w:rPr>
        <w:t xml:space="preserve">, </w:t>
      </w:r>
      <w:r w:rsidRPr="0032192D">
        <w:rPr>
          <w:rFonts w:eastAsia="TimesNewRoman"/>
          <w:snapToGrid/>
          <w:szCs w:val="22"/>
          <w:lang w:val="lt-LT"/>
        </w:rPr>
        <w:t>pvz</w:t>
      </w:r>
      <w:r w:rsidR="00EC3E9C" w:rsidRPr="0032192D">
        <w:rPr>
          <w:rFonts w:eastAsia="TimesNewRoman"/>
          <w:snapToGrid/>
          <w:szCs w:val="22"/>
          <w:lang w:val="lt-LT"/>
        </w:rPr>
        <w:t xml:space="preserve">., </w:t>
      </w:r>
      <w:proofErr w:type="spellStart"/>
      <w:r w:rsidR="00EC3E9C" w:rsidRPr="0032192D">
        <w:rPr>
          <w:rFonts w:eastAsia="TimesNewRoman"/>
          <w:snapToGrid/>
          <w:szCs w:val="22"/>
          <w:lang w:val="lt-LT"/>
        </w:rPr>
        <w:t>keto</w:t>
      </w:r>
      <w:r w:rsidRPr="0032192D">
        <w:rPr>
          <w:rFonts w:eastAsia="TimesNewRoman"/>
          <w:snapToGrid/>
          <w:szCs w:val="22"/>
          <w:lang w:val="lt-LT"/>
        </w:rPr>
        <w:t>k</w:t>
      </w:r>
      <w:r w:rsidR="00EC3E9C" w:rsidRPr="0032192D">
        <w:rPr>
          <w:rFonts w:eastAsia="TimesNewRoman"/>
          <w:snapToGrid/>
          <w:szCs w:val="22"/>
          <w:lang w:val="lt-LT"/>
        </w:rPr>
        <w:t>onazol</w:t>
      </w:r>
      <w:r w:rsidRPr="0032192D">
        <w:rPr>
          <w:rFonts w:eastAsia="TimesNewRoman"/>
          <w:snapToGrid/>
          <w:szCs w:val="22"/>
          <w:lang w:val="lt-LT"/>
        </w:rPr>
        <w:t>u</w:t>
      </w:r>
      <w:proofErr w:type="spellEnd"/>
      <w:r w:rsidR="00EC3E9C" w:rsidRPr="0032192D">
        <w:rPr>
          <w:rFonts w:eastAsia="TimesNewRoman"/>
          <w:snapToGrid/>
          <w:szCs w:val="22"/>
          <w:lang w:val="lt-LT"/>
        </w:rPr>
        <w:t xml:space="preserve">, </w:t>
      </w:r>
      <w:r w:rsidRPr="0032192D">
        <w:rPr>
          <w:rFonts w:eastAsia="TimesNewRoman"/>
          <w:snapToGrid/>
          <w:szCs w:val="22"/>
          <w:lang w:val="lt-LT"/>
        </w:rPr>
        <w:t xml:space="preserve">pacientams, kurie yra silpno </w:t>
      </w:r>
      <w:r w:rsidR="00EC3E9C" w:rsidRPr="0032192D">
        <w:rPr>
          <w:rFonts w:eastAsia="TimesNewRoman"/>
          <w:snapToGrid/>
          <w:szCs w:val="22"/>
          <w:lang w:val="lt-LT"/>
        </w:rPr>
        <w:t xml:space="preserve">CYP2D6 </w:t>
      </w:r>
      <w:r w:rsidRPr="0032192D">
        <w:rPr>
          <w:rFonts w:eastAsia="TimesNewRoman"/>
          <w:snapToGrid/>
          <w:szCs w:val="22"/>
          <w:lang w:val="lt-LT"/>
        </w:rPr>
        <w:t>metabolizmo fenotipo arba kurie vartoja stiprių</w:t>
      </w:r>
      <w:r w:rsidR="00EC3E9C" w:rsidRPr="0032192D">
        <w:rPr>
          <w:rFonts w:eastAsia="TimesNewRoman"/>
          <w:snapToGrid/>
          <w:szCs w:val="22"/>
          <w:lang w:val="lt-LT"/>
        </w:rPr>
        <w:t xml:space="preserve"> CYP2D6</w:t>
      </w:r>
      <w:r w:rsidRPr="0032192D">
        <w:rPr>
          <w:rFonts w:eastAsia="TimesNewRoman"/>
          <w:snapToGrid/>
          <w:szCs w:val="22"/>
          <w:lang w:val="lt-LT"/>
        </w:rPr>
        <w:t xml:space="preserve"> inhibitorių</w:t>
      </w:r>
      <w:r w:rsidR="00EC3E9C" w:rsidRPr="0032192D">
        <w:rPr>
          <w:rFonts w:eastAsia="TimesNewRoman"/>
          <w:snapToGrid/>
          <w:szCs w:val="22"/>
          <w:lang w:val="lt-LT"/>
        </w:rPr>
        <w:t xml:space="preserve">, </w:t>
      </w:r>
      <w:r w:rsidRPr="0032192D">
        <w:rPr>
          <w:rFonts w:eastAsia="TimesNewRoman"/>
          <w:snapToGrid/>
          <w:szCs w:val="22"/>
          <w:lang w:val="lt-LT"/>
        </w:rPr>
        <w:t>pvz</w:t>
      </w:r>
      <w:r w:rsidR="00EC3E9C" w:rsidRPr="0032192D">
        <w:rPr>
          <w:rFonts w:eastAsia="TimesNewRoman"/>
          <w:snapToGrid/>
          <w:szCs w:val="22"/>
          <w:lang w:val="lt-LT"/>
        </w:rPr>
        <w:t xml:space="preserve">., </w:t>
      </w:r>
      <w:proofErr w:type="spellStart"/>
      <w:r w:rsidR="00EC3E9C" w:rsidRPr="0032192D">
        <w:rPr>
          <w:rFonts w:eastAsia="TimesNewRoman"/>
          <w:snapToGrid/>
          <w:szCs w:val="22"/>
          <w:lang w:val="lt-LT"/>
        </w:rPr>
        <w:t>paro</w:t>
      </w:r>
      <w:r w:rsidRPr="0032192D">
        <w:rPr>
          <w:rFonts w:eastAsia="TimesNewRoman"/>
          <w:snapToGrid/>
          <w:szCs w:val="22"/>
          <w:lang w:val="lt-LT"/>
        </w:rPr>
        <w:t>ks</w:t>
      </w:r>
      <w:r w:rsidR="00EC3E9C" w:rsidRPr="0032192D">
        <w:rPr>
          <w:rFonts w:eastAsia="TimesNewRoman"/>
          <w:snapToGrid/>
          <w:szCs w:val="22"/>
          <w:lang w:val="lt-LT"/>
        </w:rPr>
        <w:t>etin</w:t>
      </w:r>
      <w:r w:rsidRPr="0032192D">
        <w:rPr>
          <w:rFonts w:eastAsia="TimesNewRoman"/>
          <w:snapToGrid/>
          <w:szCs w:val="22"/>
          <w:lang w:val="lt-LT"/>
        </w:rPr>
        <w:t>o</w:t>
      </w:r>
      <w:proofErr w:type="spellEnd"/>
      <w:r w:rsidR="00EC3E9C" w:rsidRPr="0032192D">
        <w:rPr>
          <w:rFonts w:eastAsia="TimesNewRoman"/>
          <w:snapToGrid/>
          <w:szCs w:val="22"/>
          <w:lang w:val="lt-LT"/>
        </w:rPr>
        <w:t>.</w:t>
      </w:r>
    </w:p>
    <w:p w14:paraId="0CA421DA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FB35D8C" w14:textId="77777777" w:rsidR="00776FBE" w:rsidRPr="0032192D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32192D">
        <w:rPr>
          <w:b/>
          <w:snapToGrid/>
          <w:kern w:val="28"/>
          <w:szCs w:val="22"/>
          <w:lang w:val="lt-LT"/>
        </w:rPr>
        <w:t>4.5</w:t>
      </w:r>
      <w:r w:rsidRPr="0032192D">
        <w:rPr>
          <w:b/>
          <w:snapToGrid/>
          <w:kern w:val="28"/>
          <w:szCs w:val="22"/>
          <w:lang w:val="lt-LT"/>
        </w:rPr>
        <w:tab/>
        <w:t>Sąveika su kitais vaistiniais preparatais ir kitokia sąveika</w:t>
      </w:r>
    </w:p>
    <w:p w14:paraId="6F1883EC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1A89DA31" w14:textId="193C8D98" w:rsidR="004742A2" w:rsidRPr="0032192D" w:rsidRDefault="00FB1F51" w:rsidP="004742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>
        <w:rPr>
          <w:rFonts w:eastAsia="TimesNewRoman"/>
          <w:snapToGrid/>
          <w:szCs w:val="22"/>
          <w:lang w:val="lt-LT"/>
        </w:rPr>
        <w:t>Solitombo</w:t>
      </w:r>
      <w:proofErr w:type="spellEnd"/>
      <w:r w:rsidR="004742A2" w:rsidRPr="0032192D">
        <w:rPr>
          <w:rFonts w:eastAsia="TimesNewRoman"/>
          <w:snapToGrid/>
          <w:szCs w:val="22"/>
          <w:lang w:val="lt-LT"/>
        </w:rPr>
        <w:t xml:space="preserve"> vartojant kartu su bet kokiais kitais vaistiniais preparatais, kuriems būdingos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anticholinerginės</w:t>
      </w:r>
      <w:proofErr w:type="spellEnd"/>
      <w:r w:rsidR="004742A2" w:rsidRPr="0032192D">
        <w:rPr>
          <w:rFonts w:eastAsia="TimesNewRoman"/>
          <w:snapToGrid/>
          <w:szCs w:val="22"/>
          <w:lang w:val="lt-LT"/>
        </w:rPr>
        <w:t xml:space="preserve"> savybės, gali sustiprėti terapinis ir nepageidaujamas poveikis. Nutraukus gydymą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sukcinatu</w:t>
      </w:r>
      <w:proofErr w:type="spellEnd"/>
      <w:r w:rsidR="004742A2"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4742A2" w:rsidRPr="0032192D">
        <w:rPr>
          <w:rFonts w:eastAsia="TimesNewRoman"/>
          <w:snapToGrid/>
          <w:szCs w:val="22"/>
          <w:lang w:val="lt-LT"/>
        </w:rPr>
        <w:t xml:space="preserve"> hidrochloridu, gydymą bet kokiu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anticholinerginiu</w:t>
      </w:r>
      <w:proofErr w:type="spellEnd"/>
      <w:r w:rsidR="004742A2" w:rsidRPr="0032192D">
        <w:rPr>
          <w:rFonts w:eastAsia="TimesNewRoman"/>
          <w:snapToGrid/>
          <w:szCs w:val="22"/>
          <w:lang w:val="lt-LT"/>
        </w:rPr>
        <w:t xml:space="preserve"> vaistiniu preparatu galima pradėti maždaug po </w:t>
      </w:r>
      <w:r w:rsidR="00CB5324" w:rsidRPr="0032192D">
        <w:rPr>
          <w:rFonts w:eastAsia="TimesNewRoman"/>
          <w:snapToGrid/>
          <w:szCs w:val="22"/>
          <w:lang w:val="lt-LT"/>
        </w:rPr>
        <w:t xml:space="preserve">vienos </w:t>
      </w:r>
      <w:r w:rsidR="004742A2" w:rsidRPr="0032192D">
        <w:rPr>
          <w:rFonts w:eastAsia="TimesNewRoman"/>
          <w:snapToGrid/>
          <w:szCs w:val="22"/>
          <w:lang w:val="lt-LT"/>
        </w:rPr>
        <w:t xml:space="preserve">savaitės. Terapinį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="004742A2" w:rsidRPr="0032192D">
        <w:rPr>
          <w:rFonts w:eastAsia="TimesNewRoman"/>
          <w:snapToGrid/>
          <w:szCs w:val="22"/>
          <w:lang w:val="lt-LT"/>
        </w:rPr>
        <w:t xml:space="preserve"> poveikį gali silpninti kartu vartojami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cholinerginių</w:t>
      </w:r>
      <w:proofErr w:type="spellEnd"/>
      <w:r w:rsidR="004742A2" w:rsidRPr="0032192D">
        <w:rPr>
          <w:rFonts w:eastAsia="TimesNewRoman"/>
          <w:snapToGrid/>
          <w:szCs w:val="22"/>
          <w:lang w:val="lt-LT"/>
        </w:rPr>
        <w:t xml:space="preserve"> receptorių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agonistai</w:t>
      </w:r>
      <w:proofErr w:type="spellEnd"/>
      <w:r w:rsidR="004742A2" w:rsidRPr="0032192D">
        <w:rPr>
          <w:rFonts w:eastAsia="TimesNewRoman"/>
          <w:snapToGrid/>
          <w:szCs w:val="22"/>
          <w:lang w:val="lt-LT"/>
        </w:rPr>
        <w:t>.</w:t>
      </w:r>
    </w:p>
    <w:p w14:paraId="35843B2E" w14:textId="77777777" w:rsidR="004742A2" w:rsidRPr="0032192D" w:rsidRDefault="004742A2" w:rsidP="004742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2CDF2216" w14:textId="77777777" w:rsidR="004742A2" w:rsidRPr="0032192D" w:rsidRDefault="00CB5324" w:rsidP="004742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/>
          <w:iCs/>
          <w:snapToGrid/>
          <w:szCs w:val="22"/>
          <w:lang w:val="lt-LT"/>
        </w:rPr>
      </w:pPr>
      <w:r w:rsidRPr="0032192D">
        <w:rPr>
          <w:rFonts w:eastAsia="TimesNewRoman"/>
          <w:i/>
          <w:iCs/>
          <w:snapToGrid/>
          <w:szCs w:val="22"/>
          <w:lang w:val="lt-LT"/>
        </w:rPr>
        <w:t>Sąveika</w:t>
      </w:r>
      <w:r w:rsidR="004742A2" w:rsidRPr="0032192D">
        <w:rPr>
          <w:rFonts w:eastAsia="TimesNewRoman"/>
          <w:i/>
          <w:iCs/>
          <w:snapToGrid/>
          <w:szCs w:val="22"/>
          <w:lang w:val="lt-LT"/>
        </w:rPr>
        <w:t xml:space="preserve"> su CYP3A4 ir CYP2D6 inhibitoriais</w:t>
      </w:r>
    </w:p>
    <w:p w14:paraId="072B7FAF" w14:textId="77777777" w:rsidR="007C7002" w:rsidRPr="0032192D" w:rsidRDefault="007C7002" w:rsidP="004742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Kartu su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solifenacin</w:t>
      </w:r>
      <w:r w:rsidRPr="0032192D">
        <w:rPr>
          <w:rFonts w:eastAsia="TimesNewRoman"/>
          <w:snapToGrid/>
          <w:szCs w:val="22"/>
          <w:lang w:val="lt-LT"/>
        </w:rPr>
        <w:t>u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vartojant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keto</w:t>
      </w:r>
      <w:r w:rsidRPr="0032192D">
        <w:rPr>
          <w:rFonts w:eastAsia="TimesNewRoman"/>
          <w:snapToGrid/>
          <w:szCs w:val="22"/>
          <w:lang w:val="lt-LT"/>
        </w:rPr>
        <w:t>k</w:t>
      </w:r>
      <w:r w:rsidR="004742A2" w:rsidRPr="0032192D">
        <w:rPr>
          <w:rFonts w:eastAsia="TimesNewRoman"/>
          <w:snapToGrid/>
          <w:szCs w:val="22"/>
          <w:lang w:val="lt-LT"/>
        </w:rPr>
        <w:t>onazol</w:t>
      </w:r>
      <w:r w:rsidRPr="0032192D">
        <w:rPr>
          <w:rFonts w:eastAsia="TimesNewRoman"/>
          <w:snapToGrid/>
          <w:szCs w:val="22"/>
          <w:lang w:val="lt-LT"/>
        </w:rPr>
        <w:t>o</w:t>
      </w:r>
      <w:proofErr w:type="spellEnd"/>
      <w:r w:rsidR="004742A2" w:rsidRPr="0032192D">
        <w:rPr>
          <w:rFonts w:eastAsia="TimesNewRoman"/>
          <w:snapToGrid/>
          <w:szCs w:val="22"/>
          <w:lang w:val="lt-LT"/>
        </w:rPr>
        <w:t xml:space="preserve"> (</w:t>
      </w:r>
      <w:r w:rsidRPr="0032192D">
        <w:rPr>
          <w:rFonts w:eastAsia="TimesNewRoman"/>
          <w:snapToGrid/>
          <w:szCs w:val="22"/>
          <w:lang w:val="lt-LT"/>
        </w:rPr>
        <w:t>stipraus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CYP3A4</w:t>
      </w:r>
      <w:r w:rsidRPr="0032192D">
        <w:rPr>
          <w:rFonts w:eastAsia="TimesNewRoman"/>
          <w:snapToGrid/>
          <w:szCs w:val="22"/>
          <w:lang w:val="lt-LT"/>
        </w:rPr>
        <w:t xml:space="preserve"> inhibitoriaus</w:t>
      </w:r>
      <w:r w:rsidR="004742A2" w:rsidRPr="0032192D">
        <w:rPr>
          <w:rFonts w:eastAsia="TimesNewRoman"/>
          <w:snapToGrid/>
          <w:szCs w:val="22"/>
          <w:lang w:val="lt-LT"/>
        </w:rPr>
        <w:t>) (200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4742A2" w:rsidRPr="0032192D">
        <w:rPr>
          <w:rFonts w:eastAsia="TimesNewRoman"/>
          <w:snapToGrid/>
          <w:szCs w:val="22"/>
          <w:lang w:val="lt-LT"/>
        </w:rPr>
        <w:t>mg</w:t>
      </w:r>
      <w:r w:rsidRPr="0032192D">
        <w:rPr>
          <w:rFonts w:eastAsia="TimesNewRoman"/>
          <w:snapToGrid/>
          <w:szCs w:val="22"/>
          <w:lang w:val="lt-LT"/>
        </w:rPr>
        <w:t xml:space="preserve"> per parą</w:t>
      </w:r>
      <w:r w:rsidR="004742A2" w:rsidRPr="0032192D">
        <w:rPr>
          <w:rFonts w:eastAsia="TimesNewRoman"/>
          <w:snapToGrid/>
          <w:szCs w:val="22"/>
          <w:lang w:val="lt-LT"/>
        </w:rPr>
        <w:t>)</w:t>
      </w:r>
      <w:r w:rsidRPr="0032192D">
        <w:rPr>
          <w:rFonts w:eastAsia="TimesNewRoman"/>
          <w:snapToGrid/>
          <w:szCs w:val="22"/>
          <w:lang w:val="lt-LT"/>
        </w:rPr>
        <w:t>,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1</w:t>
      </w:r>
      <w:r w:rsidRPr="0032192D">
        <w:rPr>
          <w:rFonts w:eastAsia="TimesNewRoman"/>
          <w:snapToGrid/>
          <w:szCs w:val="22"/>
          <w:lang w:val="lt-LT"/>
        </w:rPr>
        <w:t>,</w:t>
      </w:r>
      <w:r w:rsidR="004742A2" w:rsidRPr="0032192D">
        <w:rPr>
          <w:rFonts w:eastAsia="TimesNewRoman"/>
          <w:snapToGrid/>
          <w:szCs w:val="22"/>
          <w:lang w:val="lt-LT"/>
        </w:rPr>
        <w:t>4</w:t>
      </w:r>
      <w:r w:rsidRPr="0032192D">
        <w:rPr>
          <w:rFonts w:eastAsia="TimesNewRoman"/>
          <w:snapToGrid/>
          <w:szCs w:val="22"/>
          <w:lang w:val="lt-LT"/>
        </w:rPr>
        <w:t xml:space="preserve"> karto ir </w:t>
      </w:r>
      <w:r w:rsidR="004742A2" w:rsidRPr="0032192D">
        <w:rPr>
          <w:rFonts w:eastAsia="TimesNewRoman"/>
          <w:snapToGrid/>
          <w:szCs w:val="22"/>
          <w:lang w:val="lt-LT"/>
        </w:rPr>
        <w:t>2</w:t>
      </w:r>
      <w:r w:rsidRPr="0032192D">
        <w:rPr>
          <w:rFonts w:eastAsia="TimesNewRoman"/>
          <w:snapToGrid/>
          <w:szCs w:val="22"/>
          <w:lang w:val="lt-LT"/>
        </w:rPr>
        <w:t>,</w:t>
      </w:r>
      <w:r w:rsidR="004742A2" w:rsidRPr="0032192D">
        <w:rPr>
          <w:rFonts w:eastAsia="TimesNewRoman"/>
          <w:snapToGrid/>
          <w:szCs w:val="22"/>
          <w:lang w:val="lt-LT"/>
        </w:rPr>
        <w:t>0</w:t>
      </w:r>
      <w:r w:rsidRPr="0032192D">
        <w:rPr>
          <w:rFonts w:eastAsia="TimesNewRoman"/>
          <w:snapToGrid/>
          <w:szCs w:val="22"/>
          <w:lang w:val="lt-LT"/>
        </w:rPr>
        <w:t> karto padidėjo atitinkamai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C</w:t>
      </w:r>
      <w:r w:rsidR="004742A2" w:rsidRPr="0032192D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>ir plotas po kreive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(AUC), </w:t>
      </w:r>
      <w:r w:rsidRPr="0032192D">
        <w:rPr>
          <w:rFonts w:eastAsia="TimesNewRoman"/>
          <w:snapToGrid/>
          <w:szCs w:val="22"/>
          <w:lang w:val="lt-LT"/>
        </w:rPr>
        <w:t xml:space="preserve">o </w:t>
      </w:r>
      <w:r w:rsidR="004742A2" w:rsidRPr="0032192D">
        <w:rPr>
          <w:rFonts w:eastAsia="TimesNewRoman"/>
          <w:snapToGrid/>
          <w:szCs w:val="22"/>
          <w:lang w:val="lt-LT"/>
        </w:rPr>
        <w:t>400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4742A2" w:rsidRPr="0032192D">
        <w:rPr>
          <w:rFonts w:eastAsia="TimesNewRoman"/>
          <w:snapToGrid/>
          <w:szCs w:val="22"/>
          <w:lang w:val="lt-LT"/>
        </w:rPr>
        <w:t>mg</w:t>
      </w:r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ketokonazolo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paros dozė sukėlė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C</w:t>
      </w:r>
      <w:r w:rsidRPr="0032192D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ir AUC padidėjimą atitinkamai </w:t>
      </w:r>
      <w:r w:rsidR="004742A2" w:rsidRPr="0032192D">
        <w:rPr>
          <w:rFonts w:eastAsia="TimesNewRoman"/>
          <w:snapToGrid/>
          <w:szCs w:val="22"/>
          <w:lang w:val="lt-LT"/>
        </w:rPr>
        <w:t>1</w:t>
      </w:r>
      <w:r w:rsidRPr="0032192D">
        <w:rPr>
          <w:rFonts w:eastAsia="TimesNewRoman"/>
          <w:snapToGrid/>
          <w:szCs w:val="22"/>
          <w:lang w:val="lt-LT"/>
        </w:rPr>
        <w:t>,</w:t>
      </w:r>
      <w:r w:rsidR="004742A2" w:rsidRPr="0032192D">
        <w:rPr>
          <w:rFonts w:eastAsia="TimesNewRoman"/>
          <w:snapToGrid/>
          <w:szCs w:val="22"/>
          <w:lang w:val="lt-LT"/>
        </w:rPr>
        <w:t>5</w:t>
      </w:r>
      <w:r w:rsidRPr="0032192D">
        <w:rPr>
          <w:rFonts w:eastAsia="TimesNewRoman"/>
          <w:snapToGrid/>
          <w:szCs w:val="22"/>
          <w:lang w:val="lt-LT"/>
        </w:rPr>
        <w:t> karto ir 2,8 karto.</w:t>
      </w:r>
    </w:p>
    <w:p w14:paraId="2ACE2050" w14:textId="77777777" w:rsidR="004742A2" w:rsidRPr="0032192D" w:rsidRDefault="004742A2" w:rsidP="004742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40BA5855" w14:textId="77777777" w:rsidR="004742A2" w:rsidRPr="0032192D" w:rsidRDefault="007C7002" w:rsidP="004742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vartojant kartu su 400 mg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ketokonazolo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paros doze,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C</w:t>
      </w:r>
      <w:r w:rsidRPr="0032192D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ir AUC padidėjo atitinkamai 2,2 karto ir 2,8 karto.</w:t>
      </w:r>
    </w:p>
    <w:p w14:paraId="47DB825B" w14:textId="77777777" w:rsidR="004742A2" w:rsidRPr="0032192D" w:rsidRDefault="004742A2" w:rsidP="004742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4B24AFDB" w14:textId="77777777" w:rsidR="004742A2" w:rsidRPr="0032192D" w:rsidRDefault="00775573" w:rsidP="004742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Kartu vartojant stiprių </w:t>
      </w:r>
      <w:r w:rsidR="004742A2" w:rsidRPr="0032192D">
        <w:rPr>
          <w:rFonts w:eastAsia="TimesNewRoman"/>
          <w:snapToGrid/>
          <w:szCs w:val="22"/>
          <w:lang w:val="lt-LT"/>
        </w:rPr>
        <w:t>CYP3A4</w:t>
      </w:r>
      <w:r w:rsidRPr="0032192D">
        <w:rPr>
          <w:rFonts w:eastAsia="TimesNewRoman"/>
          <w:snapToGrid/>
          <w:szCs w:val="22"/>
          <w:lang w:val="lt-LT"/>
        </w:rPr>
        <w:t xml:space="preserve"> inhibitorių, tokių kaip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keto</w:t>
      </w:r>
      <w:r w:rsidRPr="0032192D">
        <w:rPr>
          <w:rFonts w:eastAsia="TimesNewRoman"/>
          <w:snapToGrid/>
          <w:szCs w:val="22"/>
          <w:lang w:val="lt-LT"/>
        </w:rPr>
        <w:t>k</w:t>
      </w:r>
      <w:r w:rsidR="004742A2" w:rsidRPr="0032192D">
        <w:rPr>
          <w:rFonts w:eastAsia="TimesNewRoman"/>
          <w:snapToGrid/>
          <w:szCs w:val="22"/>
          <w:lang w:val="lt-LT"/>
        </w:rPr>
        <w:t>onazol</w:t>
      </w:r>
      <w:r w:rsidRPr="0032192D">
        <w:rPr>
          <w:rFonts w:eastAsia="TimesNewRoman"/>
          <w:snapToGrid/>
          <w:szCs w:val="22"/>
          <w:lang w:val="lt-LT"/>
        </w:rPr>
        <w:t>as</w:t>
      </w:r>
      <w:proofErr w:type="spellEnd"/>
      <w:r w:rsidR="004742A2"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ritonavir</w:t>
      </w:r>
      <w:r w:rsidRPr="0032192D">
        <w:rPr>
          <w:rFonts w:eastAsia="TimesNewRoman"/>
          <w:snapToGrid/>
          <w:szCs w:val="22"/>
          <w:lang w:val="lt-LT"/>
        </w:rPr>
        <w:t>as</w:t>
      </w:r>
      <w:proofErr w:type="spellEnd"/>
      <w:r w:rsidR="004742A2"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nelfinavir</w:t>
      </w:r>
      <w:r w:rsidRPr="0032192D">
        <w:rPr>
          <w:rFonts w:eastAsia="TimesNewRoman"/>
          <w:snapToGrid/>
          <w:szCs w:val="22"/>
          <w:lang w:val="lt-LT"/>
        </w:rPr>
        <w:t>as</w:t>
      </w:r>
      <w:proofErr w:type="spellEnd"/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>ir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itra</w:t>
      </w:r>
      <w:r w:rsidRPr="0032192D">
        <w:rPr>
          <w:rFonts w:eastAsia="TimesNewRoman"/>
          <w:snapToGrid/>
          <w:szCs w:val="22"/>
          <w:lang w:val="lt-LT"/>
        </w:rPr>
        <w:t>k</w:t>
      </w:r>
      <w:r w:rsidR="004742A2" w:rsidRPr="0032192D">
        <w:rPr>
          <w:rFonts w:eastAsia="TimesNewRoman"/>
          <w:snapToGrid/>
          <w:szCs w:val="22"/>
          <w:lang w:val="lt-LT"/>
        </w:rPr>
        <w:t>onazol</w:t>
      </w:r>
      <w:r w:rsidRPr="0032192D">
        <w:rPr>
          <w:rFonts w:eastAsia="TimesNewRoman"/>
          <w:snapToGrid/>
          <w:szCs w:val="22"/>
          <w:lang w:val="lt-LT"/>
        </w:rPr>
        <w:t>as, gali padidėti tiek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solifenacin</w:t>
      </w:r>
      <w:r w:rsidRPr="0032192D">
        <w:rPr>
          <w:rFonts w:eastAsia="TimesNewRoman"/>
          <w:snapToGrid/>
          <w:szCs w:val="22"/>
          <w:lang w:val="lt-LT"/>
        </w:rPr>
        <w:t>o</w:t>
      </w:r>
      <w:proofErr w:type="spellEnd"/>
      <w:r w:rsidRPr="0032192D">
        <w:rPr>
          <w:rFonts w:eastAsia="TimesNewRoman"/>
          <w:snapToGrid/>
          <w:szCs w:val="22"/>
          <w:lang w:val="lt-LT"/>
        </w:rPr>
        <w:t>, tiek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tamsulo</w:t>
      </w:r>
      <w:r w:rsidR="00C37371" w:rsidRPr="0032192D">
        <w:rPr>
          <w:rFonts w:eastAsia="TimesNewRoman"/>
          <w:snapToGrid/>
          <w:szCs w:val="22"/>
          <w:lang w:val="lt-LT"/>
        </w:rPr>
        <w:t>z</w:t>
      </w:r>
      <w:r w:rsidR="004742A2" w:rsidRPr="0032192D">
        <w:rPr>
          <w:rFonts w:eastAsia="TimesNewRoman"/>
          <w:snapToGrid/>
          <w:szCs w:val="22"/>
          <w:lang w:val="lt-LT"/>
        </w:rPr>
        <w:t>in</w:t>
      </w:r>
      <w:r w:rsidRPr="0032192D">
        <w:rPr>
          <w:rFonts w:eastAsia="TimesNewRoman"/>
          <w:snapToGrid/>
          <w:szCs w:val="22"/>
          <w:lang w:val="lt-LT"/>
        </w:rPr>
        <w:t>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ekspozcija</w:t>
      </w:r>
      <w:proofErr w:type="spellEnd"/>
      <w:r w:rsidR="004742A2" w:rsidRPr="0032192D">
        <w:rPr>
          <w:rFonts w:eastAsia="TimesNewRoman"/>
          <w:snapToGrid/>
          <w:szCs w:val="22"/>
          <w:lang w:val="lt-LT"/>
        </w:rPr>
        <w:t xml:space="preserve">, </w:t>
      </w:r>
      <w:r w:rsidRPr="0032192D">
        <w:rPr>
          <w:rFonts w:eastAsia="TimesNewRoman"/>
          <w:snapToGrid/>
          <w:szCs w:val="22"/>
          <w:lang w:val="lt-LT"/>
        </w:rPr>
        <w:t xml:space="preserve">todėl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hidrochlorido vartoti kartu su stipriais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CYP3A4 inhibitor</w:t>
      </w:r>
      <w:r w:rsidRPr="0032192D">
        <w:rPr>
          <w:rFonts w:eastAsia="TimesNewRoman"/>
          <w:snapToGrid/>
          <w:szCs w:val="22"/>
          <w:lang w:val="lt-LT"/>
        </w:rPr>
        <w:t>iai</w:t>
      </w:r>
      <w:r w:rsidR="004742A2" w:rsidRPr="0032192D">
        <w:rPr>
          <w:rFonts w:eastAsia="TimesNewRoman"/>
          <w:snapToGrid/>
          <w:szCs w:val="22"/>
          <w:lang w:val="lt-LT"/>
        </w:rPr>
        <w:t>s</w:t>
      </w:r>
      <w:r w:rsidRPr="0032192D">
        <w:rPr>
          <w:rFonts w:eastAsia="TimesNewRoman"/>
          <w:snapToGrid/>
          <w:szCs w:val="22"/>
          <w:lang w:val="lt-LT"/>
        </w:rPr>
        <w:t xml:space="preserve"> būtina atsargiai</w:t>
      </w:r>
      <w:r w:rsidR="004742A2" w:rsidRPr="0032192D">
        <w:rPr>
          <w:rFonts w:eastAsia="TimesNewRoman"/>
          <w:snapToGrid/>
          <w:szCs w:val="22"/>
          <w:lang w:val="lt-LT"/>
        </w:rPr>
        <w:t>.</w:t>
      </w:r>
    </w:p>
    <w:p w14:paraId="597B3362" w14:textId="77777777" w:rsidR="004742A2" w:rsidRPr="0032192D" w:rsidRDefault="00775573" w:rsidP="004742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hidrochlorido negalima vartoti kartu su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>stipriais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CYP3A4 inhibitor</w:t>
      </w:r>
      <w:r w:rsidRPr="0032192D">
        <w:rPr>
          <w:rFonts w:eastAsia="TimesNewRoman"/>
          <w:snapToGrid/>
          <w:szCs w:val="22"/>
          <w:lang w:val="lt-LT"/>
        </w:rPr>
        <w:t>iai</w:t>
      </w:r>
      <w:r w:rsidR="004742A2" w:rsidRPr="0032192D">
        <w:rPr>
          <w:rFonts w:eastAsia="TimesNewRoman"/>
          <w:snapToGrid/>
          <w:szCs w:val="22"/>
          <w:lang w:val="lt-LT"/>
        </w:rPr>
        <w:t>s</w:t>
      </w:r>
      <w:r w:rsidRPr="0032192D">
        <w:rPr>
          <w:rFonts w:eastAsia="TimesNewRoman"/>
          <w:snapToGrid/>
          <w:szCs w:val="22"/>
          <w:lang w:val="lt-LT"/>
        </w:rPr>
        <w:t xml:space="preserve"> pacientams, kurie yra silpno CYP2D6 metabolizmo fenotipo arba jau vartoja stiprių CYP2D6 inhibitorių</w:t>
      </w:r>
      <w:r w:rsidR="004742A2" w:rsidRPr="0032192D">
        <w:rPr>
          <w:rFonts w:eastAsia="TimesNewRoman"/>
          <w:snapToGrid/>
          <w:szCs w:val="22"/>
          <w:lang w:val="lt-LT"/>
        </w:rPr>
        <w:t>.</w:t>
      </w:r>
    </w:p>
    <w:p w14:paraId="666F13BC" w14:textId="77777777" w:rsidR="004742A2" w:rsidRPr="0032192D" w:rsidRDefault="004742A2" w:rsidP="004742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4E550B08" w14:textId="77777777" w:rsidR="004742A2" w:rsidRPr="0032192D" w:rsidRDefault="0081364A" w:rsidP="004742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hidrochlorido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>vartojant kartu su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verapamil</w:t>
      </w:r>
      <w:r w:rsidRPr="0032192D">
        <w:rPr>
          <w:rFonts w:eastAsia="TimesNewRoman"/>
          <w:snapToGrid/>
          <w:szCs w:val="22"/>
          <w:lang w:val="lt-LT"/>
        </w:rPr>
        <w:t>iu</w:t>
      </w:r>
      <w:proofErr w:type="spellEnd"/>
      <w:r w:rsidR="004742A2" w:rsidRPr="0032192D">
        <w:rPr>
          <w:rFonts w:eastAsia="TimesNewRoman"/>
          <w:snapToGrid/>
          <w:szCs w:val="22"/>
          <w:lang w:val="lt-LT"/>
        </w:rPr>
        <w:t xml:space="preserve"> (</w:t>
      </w:r>
      <w:r w:rsidRPr="0032192D">
        <w:rPr>
          <w:rFonts w:eastAsia="TimesNewRoman"/>
          <w:snapToGrid/>
          <w:szCs w:val="22"/>
          <w:lang w:val="lt-LT"/>
        </w:rPr>
        <w:t>vidutinio stiprumo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CYP3A4 inhibitor</w:t>
      </w:r>
      <w:r w:rsidRPr="0032192D">
        <w:rPr>
          <w:rFonts w:eastAsia="TimesNewRoman"/>
          <w:snapToGrid/>
          <w:szCs w:val="22"/>
          <w:lang w:val="lt-LT"/>
        </w:rPr>
        <w:t>iumi</w:t>
      </w:r>
      <w:r w:rsidR="004742A2" w:rsidRPr="0032192D">
        <w:rPr>
          <w:rFonts w:eastAsia="TimesNewRoman"/>
          <w:snapToGrid/>
          <w:szCs w:val="22"/>
          <w:lang w:val="lt-LT"/>
        </w:rPr>
        <w:t>)</w:t>
      </w:r>
      <w:r w:rsidRPr="0032192D">
        <w:rPr>
          <w:rFonts w:eastAsia="TimesNewRoman"/>
          <w:snapToGrid/>
          <w:szCs w:val="22"/>
          <w:lang w:val="lt-LT"/>
        </w:rPr>
        <w:t>,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00809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400809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00809" w:rsidRPr="0032192D">
        <w:rPr>
          <w:rFonts w:eastAsia="TimesNewRoman"/>
          <w:snapToGrid/>
          <w:szCs w:val="22"/>
          <w:lang w:val="lt-LT"/>
        </w:rPr>
        <w:t>C</w:t>
      </w:r>
      <w:r w:rsidR="00400809" w:rsidRPr="0032192D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="00400809" w:rsidRPr="0032192D">
        <w:rPr>
          <w:rFonts w:eastAsia="TimesNewRoman"/>
          <w:snapToGrid/>
          <w:szCs w:val="22"/>
          <w:lang w:val="lt-LT"/>
        </w:rPr>
        <w:t xml:space="preserve"> ir AUC padidėjo maždaug 2,2 karto, o </w:t>
      </w:r>
      <w:proofErr w:type="spellStart"/>
      <w:r w:rsidR="00400809"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="00400809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00809" w:rsidRPr="0032192D">
        <w:rPr>
          <w:rFonts w:eastAsia="TimesNewRoman"/>
          <w:snapToGrid/>
          <w:szCs w:val="22"/>
          <w:lang w:val="lt-LT"/>
        </w:rPr>
        <w:t>C</w:t>
      </w:r>
      <w:r w:rsidR="00400809" w:rsidRPr="0032192D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="00400809" w:rsidRPr="0032192D">
        <w:rPr>
          <w:rFonts w:eastAsia="TimesNewRoman"/>
          <w:snapToGrid/>
          <w:szCs w:val="22"/>
          <w:lang w:val="lt-LT"/>
        </w:rPr>
        <w:t xml:space="preserve"> ir AUC padidėjo maždaug 1,6 karto</w:t>
      </w:r>
      <w:r w:rsidR="004742A2" w:rsidRPr="0032192D">
        <w:rPr>
          <w:rFonts w:eastAsia="TimesNewRoman"/>
          <w:snapToGrid/>
          <w:szCs w:val="22"/>
          <w:lang w:val="lt-LT"/>
        </w:rPr>
        <w:t xml:space="preserve">.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hidrochlorido kartu su vidutinio stiprumo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CYP3A4</w:t>
      </w:r>
      <w:r w:rsidRPr="0032192D">
        <w:rPr>
          <w:rFonts w:eastAsia="TimesNewRoman"/>
          <w:snapToGrid/>
          <w:szCs w:val="22"/>
          <w:lang w:val="lt-LT"/>
        </w:rPr>
        <w:t xml:space="preserve"> inhibitoriais būtina vartoti atsargiai</w:t>
      </w:r>
      <w:r w:rsidR="004742A2" w:rsidRPr="0032192D">
        <w:rPr>
          <w:rFonts w:eastAsia="TimesNewRoman"/>
          <w:snapToGrid/>
          <w:szCs w:val="22"/>
          <w:lang w:val="lt-LT"/>
        </w:rPr>
        <w:t>.</w:t>
      </w:r>
    </w:p>
    <w:p w14:paraId="2F9515C9" w14:textId="77777777" w:rsidR="004742A2" w:rsidRPr="0032192D" w:rsidRDefault="004742A2" w:rsidP="004742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05719EBC" w14:textId="77777777" w:rsidR="004742A2" w:rsidRPr="0032192D" w:rsidRDefault="007A35F7" w:rsidP="004742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Kartu su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tamsulo</w:t>
      </w:r>
      <w:r w:rsidRPr="0032192D">
        <w:rPr>
          <w:rFonts w:eastAsia="TimesNewRoman"/>
          <w:snapToGrid/>
          <w:szCs w:val="22"/>
          <w:lang w:val="lt-LT"/>
        </w:rPr>
        <w:t>z</w:t>
      </w:r>
      <w:r w:rsidR="004742A2" w:rsidRPr="0032192D">
        <w:rPr>
          <w:rFonts w:eastAsia="TimesNewRoman"/>
          <w:snapToGrid/>
          <w:szCs w:val="22"/>
          <w:lang w:val="lt-LT"/>
        </w:rPr>
        <w:t>in</w:t>
      </w:r>
      <w:r w:rsidRPr="0032192D">
        <w:rPr>
          <w:rFonts w:eastAsia="TimesNewRoman"/>
          <w:snapToGrid/>
          <w:szCs w:val="22"/>
          <w:lang w:val="lt-LT"/>
        </w:rPr>
        <w:t>u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vartojant silpno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CYP3A4 inhibitor</w:t>
      </w:r>
      <w:r w:rsidRPr="0032192D">
        <w:rPr>
          <w:rFonts w:eastAsia="TimesNewRoman"/>
          <w:snapToGrid/>
          <w:szCs w:val="22"/>
          <w:lang w:val="lt-LT"/>
        </w:rPr>
        <w:t>iaus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cimetidin</w:t>
      </w:r>
      <w:r w:rsidRPr="0032192D">
        <w:rPr>
          <w:rFonts w:eastAsia="TimesNewRoman"/>
          <w:snapToGrid/>
          <w:szCs w:val="22"/>
          <w:lang w:val="lt-LT"/>
        </w:rPr>
        <w:t>o</w:t>
      </w:r>
      <w:proofErr w:type="spellEnd"/>
      <w:r w:rsidR="004742A2" w:rsidRPr="0032192D">
        <w:rPr>
          <w:rFonts w:eastAsia="TimesNewRoman"/>
          <w:snapToGrid/>
          <w:szCs w:val="22"/>
          <w:lang w:val="lt-LT"/>
        </w:rPr>
        <w:t xml:space="preserve"> (</w:t>
      </w:r>
      <w:r w:rsidRPr="0032192D">
        <w:rPr>
          <w:rFonts w:eastAsia="TimesNewRoman"/>
          <w:snapToGrid/>
          <w:szCs w:val="22"/>
          <w:lang w:val="lt-LT"/>
        </w:rPr>
        <w:t xml:space="preserve">po </w:t>
      </w:r>
      <w:r w:rsidR="004742A2" w:rsidRPr="0032192D">
        <w:rPr>
          <w:rFonts w:eastAsia="TimesNewRoman"/>
          <w:snapToGrid/>
          <w:szCs w:val="22"/>
          <w:lang w:val="lt-LT"/>
        </w:rPr>
        <w:t>400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4742A2" w:rsidRPr="0032192D">
        <w:rPr>
          <w:rFonts w:eastAsia="TimesNewRoman"/>
          <w:snapToGrid/>
          <w:szCs w:val="22"/>
          <w:lang w:val="lt-LT"/>
        </w:rPr>
        <w:t xml:space="preserve">mg </w:t>
      </w:r>
      <w:r w:rsidRPr="0032192D">
        <w:rPr>
          <w:rFonts w:eastAsia="TimesNewRoman"/>
          <w:snapToGrid/>
          <w:szCs w:val="22"/>
          <w:lang w:val="lt-LT"/>
        </w:rPr>
        <w:t>kas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6</w:t>
      </w:r>
      <w:r w:rsidRPr="0032192D">
        <w:rPr>
          <w:rFonts w:eastAsia="TimesNewRoman"/>
          <w:snapToGrid/>
          <w:szCs w:val="22"/>
          <w:lang w:val="lt-LT"/>
        </w:rPr>
        <w:t> valandas</w:t>
      </w:r>
      <w:r w:rsidR="004742A2" w:rsidRPr="0032192D">
        <w:rPr>
          <w:rFonts w:eastAsia="TimesNewRoman"/>
          <w:snapToGrid/>
          <w:szCs w:val="22"/>
          <w:lang w:val="lt-LT"/>
        </w:rPr>
        <w:t>)</w:t>
      </w:r>
      <w:r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AUC padidėjo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1</w:t>
      </w:r>
      <w:r w:rsidRPr="0032192D">
        <w:rPr>
          <w:rFonts w:eastAsia="TimesNewRoman"/>
          <w:snapToGrid/>
          <w:szCs w:val="22"/>
          <w:lang w:val="lt-LT"/>
        </w:rPr>
        <w:t>,</w:t>
      </w:r>
      <w:r w:rsidR="004742A2" w:rsidRPr="0032192D">
        <w:rPr>
          <w:rFonts w:eastAsia="TimesNewRoman"/>
          <w:snapToGrid/>
          <w:szCs w:val="22"/>
          <w:lang w:val="lt-LT"/>
        </w:rPr>
        <w:t>44</w:t>
      </w:r>
      <w:r w:rsidRPr="0032192D">
        <w:rPr>
          <w:rFonts w:eastAsia="TimesNewRoman"/>
          <w:snapToGrid/>
          <w:szCs w:val="22"/>
          <w:lang w:val="lt-LT"/>
        </w:rPr>
        <w:t xml:space="preserve"> karto, o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C</w:t>
      </w:r>
      <w:r w:rsidR="004742A2" w:rsidRPr="0032192D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>reikšmingai nepakito</w:t>
      </w:r>
      <w:r w:rsidR="004742A2" w:rsidRPr="0032192D">
        <w:rPr>
          <w:rFonts w:eastAsia="TimesNewRoman"/>
          <w:snapToGrid/>
          <w:szCs w:val="22"/>
          <w:lang w:val="lt-LT"/>
        </w:rPr>
        <w:t xml:space="preserve">.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</w:t>
      </w:r>
      <w:r w:rsidR="0081364A" w:rsidRPr="0032192D">
        <w:rPr>
          <w:rFonts w:eastAsia="TimesNewRoman"/>
          <w:snapToGrid/>
          <w:szCs w:val="22"/>
          <w:lang w:val="lt-LT"/>
        </w:rPr>
        <w:t>olifenacino</w:t>
      </w:r>
      <w:proofErr w:type="spellEnd"/>
      <w:r w:rsidR="0081364A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81364A"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="0081364A"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="0081364A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81364A" w:rsidRPr="0032192D">
        <w:rPr>
          <w:rFonts w:eastAsia="TimesNewRoman"/>
          <w:snapToGrid/>
          <w:szCs w:val="22"/>
          <w:lang w:val="lt-LT"/>
        </w:rPr>
        <w:t xml:space="preserve"> hidrochlorido</w:t>
      </w:r>
      <w:r w:rsidRPr="0032192D">
        <w:rPr>
          <w:rFonts w:eastAsia="TimesNewRoman"/>
          <w:snapToGrid/>
          <w:szCs w:val="22"/>
          <w:lang w:val="lt-LT"/>
        </w:rPr>
        <w:t xml:space="preserve"> kartu su silpnais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CYP3A4 inhibitor</w:t>
      </w:r>
      <w:r w:rsidRPr="0032192D">
        <w:rPr>
          <w:rFonts w:eastAsia="TimesNewRoman"/>
          <w:snapToGrid/>
          <w:szCs w:val="22"/>
          <w:lang w:val="lt-LT"/>
        </w:rPr>
        <w:t>iais vartoti galima</w:t>
      </w:r>
      <w:r w:rsidR="004742A2" w:rsidRPr="0032192D">
        <w:rPr>
          <w:rFonts w:eastAsia="TimesNewRoman"/>
          <w:snapToGrid/>
          <w:szCs w:val="22"/>
          <w:lang w:val="lt-LT"/>
        </w:rPr>
        <w:t>.</w:t>
      </w:r>
    </w:p>
    <w:p w14:paraId="72E3362F" w14:textId="77777777" w:rsidR="004742A2" w:rsidRPr="0032192D" w:rsidRDefault="004742A2" w:rsidP="004742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11A2A981" w14:textId="77777777" w:rsidR="004742A2" w:rsidRPr="0032192D" w:rsidRDefault="00AC6198" w:rsidP="004742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Kartu su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tamsulozinu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vartojant stipraus </w:t>
      </w:r>
      <w:r w:rsidR="004742A2" w:rsidRPr="0032192D">
        <w:rPr>
          <w:rFonts w:eastAsia="TimesNewRoman"/>
          <w:snapToGrid/>
          <w:szCs w:val="22"/>
          <w:lang w:val="lt-LT"/>
        </w:rPr>
        <w:t>CYP2D6 inhibitor</w:t>
      </w:r>
      <w:r w:rsidRPr="0032192D">
        <w:rPr>
          <w:rFonts w:eastAsia="TimesNewRoman"/>
          <w:snapToGrid/>
          <w:szCs w:val="22"/>
          <w:lang w:val="lt-LT"/>
        </w:rPr>
        <w:t>iaus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paro</w:t>
      </w:r>
      <w:r w:rsidRPr="0032192D">
        <w:rPr>
          <w:rFonts w:eastAsia="TimesNewRoman"/>
          <w:snapToGrid/>
          <w:szCs w:val="22"/>
          <w:lang w:val="lt-LT"/>
        </w:rPr>
        <w:t>ks</w:t>
      </w:r>
      <w:r w:rsidR="004742A2" w:rsidRPr="0032192D">
        <w:rPr>
          <w:rFonts w:eastAsia="TimesNewRoman"/>
          <w:snapToGrid/>
          <w:szCs w:val="22"/>
          <w:lang w:val="lt-LT"/>
        </w:rPr>
        <w:t>etin</w:t>
      </w:r>
      <w:r w:rsidRPr="0032192D">
        <w:rPr>
          <w:rFonts w:eastAsia="TimesNewRoman"/>
          <w:snapToGrid/>
          <w:szCs w:val="22"/>
          <w:lang w:val="lt-LT"/>
        </w:rPr>
        <w:t>o</w:t>
      </w:r>
      <w:proofErr w:type="spellEnd"/>
      <w:r w:rsidR="004742A2" w:rsidRPr="0032192D">
        <w:rPr>
          <w:rFonts w:eastAsia="TimesNewRoman"/>
          <w:snapToGrid/>
          <w:szCs w:val="22"/>
          <w:lang w:val="lt-LT"/>
        </w:rPr>
        <w:t xml:space="preserve"> (20</w:t>
      </w:r>
      <w:r w:rsidRPr="0032192D">
        <w:rPr>
          <w:rFonts w:eastAsia="TimesNewRoman"/>
          <w:snapToGrid/>
          <w:szCs w:val="22"/>
          <w:lang w:val="lt-LT"/>
        </w:rPr>
        <w:t> mg per parą</w:t>
      </w:r>
      <w:r w:rsidR="004742A2" w:rsidRPr="0032192D">
        <w:rPr>
          <w:rFonts w:eastAsia="TimesNewRoman"/>
          <w:snapToGrid/>
          <w:szCs w:val="22"/>
          <w:lang w:val="lt-LT"/>
        </w:rPr>
        <w:t>)</w:t>
      </w:r>
      <w:r w:rsidRPr="0032192D">
        <w:rPr>
          <w:rFonts w:eastAsia="TimesNewRoman"/>
          <w:snapToGrid/>
          <w:szCs w:val="22"/>
          <w:lang w:val="lt-LT"/>
        </w:rPr>
        <w:t>,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C</w:t>
      </w:r>
      <w:r w:rsidRPr="0032192D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ir AUC padidėjo atitinkamai 1,3 karto ir 1,6 karto</w:t>
      </w:r>
      <w:r w:rsidR="004742A2" w:rsidRPr="0032192D">
        <w:rPr>
          <w:rFonts w:eastAsia="TimesNewRoman"/>
          <w:snapToGrid/>
          <w:szCs w:val="22"/>
          <w:lang w:val="lt-LT"/>
        </w:rPr>
        <w:t xml:space="preserve">.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hidrochlorido kartu su CYP2D6 inhibitoriais vartoti galima</w:t>
      </w:r>
      <w:r w:rsidR="004742A2" w:rsidRPr="0032192D">
        <w:rPr>
          <w:rFonts w:eastAsia="TimesNewRoman"/>
          <w:snapToGrid/>
          <w:szCs w:val="22"/>
          <w:lang w:val="lt-LT"/>
        </w:rPr>
        <w:t>.</w:t>
      </w:r>
    </w:p>
    <w:p w14:paraId="284D7A3A" w14:textId="77777777" w:rsidR="004742A2" w:rsidRPr="0032192D" w:rsidRDefault="004742A2" w:rsidP="004742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3F56DE09" w14:textId="77777777" w:rsidR="004742A2" w:rsidRPr="0032192D" w:rsidRDefault="00836FA4" w:rsidP="004742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Fermentų sužadinimo poveikis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solifenacin</w:t>
      </w:r>
      <w:r w:rsidRPr="0032192D">
        <w:rPr>
          <w:rFonts w:eastAsia="TimesNewRoman"/>
          <w:snapToGrid/>
          <w:szCs w:val="22"/>
          <w:lang w:val="lt-LT"/>
        </w:rPr>
        <w:t>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ir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tamsulo</w:t>
      </w:r>
      <w:r w:rsidRPr="0032192D">
        <w:rPr>
          <w:rFonts w:eastAsia="TimesNewRoman"/>
          <w:snapToGrid/>
          <w:szCs w:val="22"/>
          <w:lang w:val="lt-LT"/>
        </w:rPr>
        <w:t>z</w:t>
      </w:r>
      <w:r w:rsidR="004742A2" w:rsidRPr="0032192D">
        <w:rPr>
          <w:rFonts w:eastAsia="TimesNewRoman"/>
          <w:snapToGrid/>
          <w:szCs w:val="22"/>
          <w:lang w:val="lt-LT"/>
        </w:rPr>
        <w:t>in</w:t>
      </w:r>
      <w:r w:rsidRPr="0032192D">
        <w:rPr>
          <w:rFonts w:eastAsia="TimesNewRoman"/>
          <w:snapToGrid/>
          <w:szCs w:val="22"/>
          <w:lang w:val="lt-LT"/>
        </w:rPr>
        <w:t>o</w:t>
      </w:r>
      <w:proofErr w:type="spellEnd"/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farmakokinetikai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nebuvo tirtas</w:t>
      </w:r>
      <w:r w:rsidR="004742A2" w:rsidRPr="0032192D">
        <w:rPr>
          <w:rFonts w:eastAsia="TimesNewRoman"/>
          <w:snapToGrid/>
          <w:szCs w:val="22"/>
          <w:lang w:val="lt-LT"/>
        </w:rPr>
        <w:t xml:space="preserve">.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</w:t>
      </w:r>
      <w:r w:rsidR="004742A2" w:rsidRPr="0032192D">
        <w:rPr>
          <w:rFonts w:eastAsia="TimesNewRoman"/>
          <w:snapToGrid/>
          <w:szCs w:val="22"/>
          <w:lang w:val="lt-LT"/>
        </w:rPr>
        <w:t>olifenacin</w:t>
      </w:r>
      <w:r w:rsidRPr="0032192D">
        <w:rPr>
          <w:rFonts w:eastAsia="TimesNewRoman"/>
          <w:snapToGrid/>
          <w:szCs w:val="22"/>
          <w:lang w:val="lt-LT"/>
        </w:rPr>
        <w:t>ą</w:t>
      </w:r>
      <w:proofErr w:type="spellEnd"/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>ir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tamsulo</w:t>
      </w:r>
      <w:r w:rsidRPr="0032192D">
        <w:rPr>
          <w:rFonts w:eastAsia="TimesNewRoman"/>
          <w:snapToGrid/>
          <w:szCs w:val="22"/>
          <w:lang w:val="lt-LT"/>
        </w:rPr>
        <w:t>z</w:t>
      </w:r>
      <w:r w:rsidR="004742A2" w:rsidRPr="0032192D">
        <w:rPr>
          <w:rFonts w:eastAsia="TimesNewRoman"/>
          <w:snapToGrid/>
          <w:szCs w:val="22"/>
          <w:lang w:val="lt-LT"/>
        </w:rPr>
        <w:t>in</w:t>
      </w:r>
      <w:r w:rsidRPr="0032192D">
        <w:rPr>
          <w:rFonts w:eastAsia="TimesNewRoman"/>
          <w:snapToGrid/>
          <w:szCs w:val="22"/>
          <w:lang w:val="lt-LT"/>
        </w:rPr>
        <w:t>ą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metabolizuoja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r w:rsidR="004742A2" w:rsidRPr="0032192D">
        <w:rPr>
          <w:rFonts w:eastAsia="TimesNewRoman"/>
          <w:snapToGrid/>
          <w:szCs w:val="22"/>
          <w:lang w:val="lt-LT"/>
        </w:rPr>
        <w:t xml:space="preserve">CYP3A4, </w:t>
      </w:r>
      <w:r w:rsidRPr="0032192D">
        <w:rPr>
          <w:rFonts w:eastAsia="TimesNewRoman"/>
          <w:snapToGrid/>
          <w:szCs w:val="22"/>
          <w:lang w:val="lt-LT"/>
        </w:rPr>
        <w:t xml:space="preserve">todėl galima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farmakokinetinė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sąveika su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CYP3A4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indu</w:t>
      </w:r>
      <w:r w:rsidRPr="0032192D">
        <w:rPr>
          <w:rFonts w:eastAsia="TimesNewRoman"/>
          <w:snapToGrid/>
          <w:szCs w:val="22"/>
          <w:lang w:val="lt-LT"/>
        </w:rPr>
        <w:t>ktoriais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r w:rsidR="004742A2" w:rsidRPr="0032192D">
        <w:rPr>
          <w:rFonts w:eastAsia="TimesNewRoman"/>
          <w:snapToGrid/>
          <w:szCs w:val="22"/>
          <w:lang w:val="lt-LT"/>
        </w:rPr>
        <w:t>(</w:t>
      </w:r>
      <w:r w:rsidRPr="0032192D">
        <w:rPr>
          <w:rFonts w:eastAsia="TimesNewRoman"/>
          <w:snapToGrid/>
          <w:szCs w:val="22"/>
          <w:lang w:val="lt-LT"/>
        </w:rPr>
        <w:t xml:space="preserve">pvz.,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rifampicin</w:t>
      </w:r>
      <w:r w:rsidRPr="0032192D">
        <w:rPr>
          <w:rFonts w:eastAsia="TimesNewRoman"/>
          <w:snapToGrid/>
          <w:szCs w:val="22"/>
          <w:lang w:val="lt-LT"/>
        </w:rPr>
        <w:t>u</w:t>
      </w:r>
      <w:proofErr w:type="spellEnd"/>
      <w:r w:rsidR="004742A2" w:rsidRPr="0032192D">
        <w:rPr>
          <w:rFonts w:eastAsia="TimesNewRoman"/>
          <w:snapToGrid/>
          <w:szCs w:val="22"/>
          <w:lang w:val="lt-LT"/>
        </w:rPr>
        <w:t>)</w:t>
      </w:r>
      <w:r w:rsidRPr="0032192D">
        <w:rPr>
          <w:rFonts w:eastAsia="TimesNewRoman"/>
          <w:snapToGrid/>
          <w:szCs w:val="22"/>
          <w:lang w:val="lt-LT"/>
        </w:rPr>
        <w:t>, dėl kurios gali sumažėti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solifenacin</w:t>
      </w:r>
      <w:r w:rsidRPr="0032192D">
        <w:rPr>
          <w:rFonts w:eastAsia="TimesNewRoman"/>
          <w:snapToGrid/>
          <w:szCs w:val="22"/>
          <w:lang w:val="lt-LT"/>
        </w:rPr>
        <w:t>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ir</w:t>
      </w:r>
      <w:r w:rsidR="004742A2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742A2" w:rsidRPr="0032192D">
        <w:rPr>
          <w:rFonts w:eastAsia="TimesNewRoman"/>
          <w:snapToGrid/>
          <w:szCs w:val="22"/>
          <w:lang w:val="lt-LT"/>
        </w:rPr>
        <w:t>tamsulo</w:t>
      </w:r>
      <w:r w:rsidRPr="0032192D">
        <w:rPr>
          <w:rFonts w:eastAsia="TimesNewRoman"/>
          <w:snapToGrid/>
          <w:szCs w:val="22"/>
          <w:lang w:val="lt-LT"/>
        </w:rPr>
        <w:t>z</w:t>
      </w:r>
      <w:r w:rsidR="004742A2" w:rsidRPr="0032192D">
        <w:rPr>
          <w:rFonts w:eastAsia="TimesNewRoman"/>
          <w:snapToGrid/>
          <w:szCs w:val="22"/>
          <w:lang w:val="lt-LT"/>
        </w:rPr>
        <w:t>in</w:t>
      </w:r>
      <w:r w:rsidRPr="0032192D">
        <w:rPr>
          <w:rFonts w:eastAsia="TimesNewRoman"/>
          <w:snapToGrid/>
          <w:szCs w:val="22"/>
          <w:lang w:val="lt-LT"/>
        </w:rPr>
        <w:t>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koncentracija kraujo plazmoje</w:t>
      </w:r>
      <w:r w:rsidR="004742A2" w:rsidRPr="0032192D">
        <w:rPr>
          <w:rFonts w:eastAsia="TimesNewRoman"/>
          <w:snapToGrid/>
          <w:szCs w:val="22"/>
          <w:lang w:val="lt-LT"/>
        </w:rPr>
        <w:t>.</w:t>
      </w:r>
    </w:p>
    <w:p w14:paraId="0290C661" w14:textId="77777777" w:rsidR="004742A2" w:rsidRPr="0032192D" w:rsidRDefault="004742A2" w:rsidP="004742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0717392E" w14:textId="77777777" w:rsidR="004742A2" w:rsidRPr="0032192D" w:rsidRDefault="00DF1744" w:rsidP="004742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/>
          <w:iCs/>
          <w:snapToGrid/>
          <w:szCs w:val="22"/>
          <w:lang w:val="lt-LT"/>
        </w:rPr>
      </w:pPr>
      <w:r w:rsidRPr="0032192D">
        <w:rPr>
          <w:rFonts w:eastAsia="TimesNewRoman"/>
          <w:i/>
          <w:iCs/>
          <w:snapToGrid/>
          <w:szCs w:val="22"/>
          <w:lang w:val="lt-LT"/>
        </w:rPr>
        <w:t>Kitokia sąveika</w:t>
      </w:r>
    </w:p>
    <w:p w14:paraId="20F94732" w14:textId="77777777" w:rsidR="004742A2" w:rsidRPr="0032192D" w:rsidRDefault="00DF1744" w:rsidP="004742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Toliau pateikiami teiginiai atspindi turimą informaciją apie atskiras veikliąsias medžiagas.</w:t>
      </w:r>
    </w:p>
    <w:p w14:paraId="162D1D74" w14:textId="77777777" w:rsidR="00DF1744" w:rsidRPr="0032192D" w:rsidRDefault="00DF1744" w:rsidP="004742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5BCF9CA1" w14:textId="77777777" w:rsidR="004742A2" w:rsidRPr="0032192D" w:rsidRDefault="004742A2" w:rsidP="004742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proofErr w:type="spellStart"/>
      <w:r w:rsidRPr="0032192D">
        <w:rPr>
          <w:rFonts w:eastAsia="TimesNewRoman"/>
          <w:snapToGrid/>
          <w:szCs w:val="22"/>
          <w:u w:val="single"/>
          <w:lang w:val="lt-LT"/>
        </w:rPr>
        <w:t>Solifenacin</w:t>
      </w:r>
      <w:r w:rsidR="00DF1744" w:rsidRPr="0032192D">
        <w:rPr>
          <w:rFonts w:eastAsia="TimesNewRoman"/>
          <w:snapToGrid/>
          <w:szCs w:val="22"/>
          <w:u w:val="single"/>
          <w:lang w:val="lt-LT"/>
        </w:rPr>
        <w:t>as</w:t>
      </w:r>
      <w:proofErr w:type="spellEnd"/>
    </w:p>
    <w:p w14:paraId="46B8B87F" w14:textId="77777777" w:rsidR="00CA4F92" w:rsidRPr="0032192D" w:rsidRDefault="00CA4F92" w:rsidP="00CA4F92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proofErr w:type="spellStart"/>
      <w:r w:rsidRPr="0032192D">
        <w:rPr>
          <w:rFonts w:eastAsia="TimesNewRoman"/>
          <w:snapToGrid/>
          <w:szCs w:val="22"/>
          <w:lang w:val="lt-LT"/>
        </w:rPr>
        <w:t>Solifenacinas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gali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susilpninti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virškinimo trakto motoriką stimuliuojančių vaistinių preparatų, tokių kaip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metoklopramidas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cisapridas</w:t>
      </w:r>
      <w:proofErr w:type="spellEnd"/>
      <w:r w:rsidRPr="0032192D">
        <w:rPr>
          <w:rFonts w:eastAsia="TimesNewRoman"/>
          <w:snapToGrid/>
          <w:szCs w:val="22"/>
          <w:lang w:val="lt-LT"/>
        </w:rPr>
        <w:t>, poveikį.</w:t>
      </w:r>
    </w:p>
    <w:p w14:paraId="378AC6CA" w14:textId="77777777" w:rsidR="00CA4F92" w:rsidRPr="0032192D" w:rsidRDefault="00CA4F92" w:rsidP="00CA4F92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tyrimai </w:t>
      </w:r>
      <w:proofErr w:type="spellStart"/>
      <w:r w:rsidRPr="0032192D">
        <w:rPr>
          <w:rFonts w:eastAsia="TimesNewRoman"/>
          <w:i/>
          <w:iCs/>
          <w:snapToGrid/>
          <w:szCs w:val="22"/>
          <w:lang w:val="lt-LT"/>
        </w:rPr>
        <w:t>in</w:t>
      </w:r>
      <w:proofErr w:type="spellEnd"/>
      <w:r w:rsidRPr="0032192D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i/>
          <w:iCs/>
          <w:snapToGrid/>
          <w:szCs w:val="22"/>
          <w:lang w:val="lt-LT"/>
        </w:rPr>
        <w:t>vitro</w:t>
      </w:r>
      <w:proofErr w:type="spellEnd"/>
      <w:r w:rsidRPr="0032192D">
        <w:rPr>
          <w:rFonts w:eastAsia="TimesNewRoman"/>
          <w:i/>
          <w:iCs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 xml:space="preserve">parodė, kad, esant terapinei koncentracijai,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solifenacinas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neslopina CYP1A1/2, 2B6, 2C8, 2C9, 2C19, 2D6, 2E1 ar 3A4. </w:t>
      </w:r>
      <w:r w:rsidR="0052506A" w:rsidRPr="0032192D">
        <w:rPr>
          <w:rFonts w:eastAsia="TimesNewRoman"/>
          <w:snapToGrid/>
          <w:szCs w:val="22"/>
          <w:lang w:val="lt-LT"/>
        </w:rPr>
        <w:t>Dėl to</w:t>
      </w:r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ir </w:t>
      </w:r>
      <w:r w:rsidR="0052506A" w:rsidRPr="0032192D">
        <w:rPr>
          <w:rFonts w:eastAsia="TimesNewRoman"/>
          <w:snapToGrid/>
          <w:szCs w:val="22"/>
          <w:lang w:val="lt-LT"/>
        </w:rPr>
        <w:t>vaistinių preparatų</w:t>
      </w:r>
      <w:r w:rsidRPr="0032192D">
        <w:rPr>
          <w:rFonts w:eastAsia="TimesNewRoman"/>
          <w:snapToGrid/>
          <w:szCs w:val="22"/>
          <w:lang w:val="lt-LT"/>
        </w:rPr>
        <w:t xml:space="preserve">, kuriuos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metabolizuoja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šie CYP fermentai, sąveik</w:t>
      </w:r>
      <w:r w:rsidR="0052506A" w:rsidRPr="0032192D">
        <w:rPr>
          <w:rFonts w:eastAsia="TimesNewRoman"/>
          <w:snapToGrid/>
          <w:szCs w:val="22"/>
          <w:lang w:val="lt-LT"/>
        </w:rPr>
        <w:t>a</w:t>
      </w:r>
      <w:r w:rsidRPr="0032192D">
        <w:rPr>
          <w:rFonts w:eastAsia="TimesNewRoman"/>
          <w:snapToGrid/>
          <w:szCs w:val="22"/>
          <w:lang w:val="lt-LT"/>
        </w:rPr>
        <w:t xml:space="preserve"> </w:t>
      </w:r>
      <w:r w:rsidR="0052506A" w:rsidRPr="0032192D">
        <w:rPr>
          <w:rFonts w:eastAsia="TimesNewRoman"/>
          <w:snapToGrid/>
          <w:szCs w:val="22"/>
          <w:lang w:val="lt-LT"/>
        </w:rPr>
        <w:t>nėra tikėtina</w:t>
      </w:r>
      <w:r w:rsidRPr="0032192D">
        <w:rPr>
          <w:rFonts w:eastAsia="TimesNewRoman"/>
          <w:snapToGrid/>
          <w:szCs w:val="22"/>
          <w:lang w:val="lt-LT"/>
        </w:rPr>
        <w:t>.</w:t>
      </w:r>
    </w:p>
    <w:p w14:paraId="61F90760" w14:textId="77777777" w:rsidR="00CA4F92" w:rsidRPr="0032192D" w:rsidRDefault="00CA4F92" w:rsidP="00CA4F92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Vartojant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>, R</w:t>
      </w:r>
      <w:r w:rsidR="0052506A" w:rsidRPr="0032192D">
        <w:rPr>
          <w:rFonts w:eastAsia="TimesNewRoman"/>
          <w:snapToGrid/>
          <w:szCs w:val="22"/>
          <w:lang w:val="lt-LT"/>
        </w:rPr>
        <w:t> </w:t>
      </w:r>
      <w:proofErr w:type="spellStart"/>
      <w:r w:rsidRPr="0032192D">
        <w:rPr>
          <w:rFonts w:eastAsia="TimesNewRoman"/>
          <w:snapToGrid/>
          <w:szCs w:val="22"/>
          <w:lang w:val="lt-LT"/>
        </w:rPr>
        <w:t>varfarino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ar S</w:t>
      </w:r>
      <w:r w:rsidR="0052506A" w:rsidRPr="0032192D">
        <w:rPr>
          <w:rFonts w:eastAsia="TimesNewRoman"/>
          <w:snapToGrid/>
          <w:szCs w:val="22"/>
          <w:lang w:val="lt-LT"/>
        </w:rPr>
        <w:t> </w:t>
      </w:r>
      <w:proofErr w:type="spellStart"/>
      <w:r w:rsidRPr="0032192D">
        <w:rPr>
          <w:rFonts w:eastAsia="TimesNewRoman"/>
          <w:snapToGrid/>
          <w:szCs w:val="22"/>
          <w:lang w:val="lt-LT"/>
        </w:rPr>
        <w:t>varfarino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farmakokinetika </w:t>
      </w:r>
      <w:r w:rsidR="0052506A" w:rsidRPr="0032192D">
        <w:rPr>
          <w:rFonts w:eastAsia="TimesNewRoman"/>
          <w:snapToGrid/>
          <w:szCs w:val="22"/>
          <w:lang w:val="lt-LT"/>
        </w:rPr>
        <w:t>a</w:t>
      </w:r>
      <w:r w:rsidRPr="0032192D">
        <w:rPr>
          <w:rFonts w:eastAsia="TimesNewRoman"/>
          <w:snapToGrid/>
          <w:szCs w:val="22"/>
          <w:lang w:val="lt-LT"/>
        </w:rPr>
        <w:t xml:space="preserve">r jų poveikis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protrombino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laikui nepakito.</w:t>
      </w:r>
    </w:p>
    <w:p w14:paraId="299CDF78" w14:textId="77777777" w:rsidR="004742A2" w:rsidRPr="0032192D" w:rsidRDefault="00CA4F92" w:rsidP="00CA4F92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vartojimas </w:t>
      </w:r>
      <w:r w:rsidR="0052506A" w:rsidRPr="0032192D">
        <w:rPr>
          <w:rFonts w:eastAsia="TimesNewRoman"/>
          <w:snapToGrid/>
          <w:szCs w:val="22"/>
          <w:lang w:val="lt-LT"/>
        </w:rPr>
        <w:t>poveikio</w:t>
      </w:r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digoksino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farmakokinetikai</w:t>
      </w:r>
      <w:r w:rsidR="0052506A" w:rsidRPr="0032192D">
        <w:rPr>
          <w:rFonts w:eastAsia="TimesNewRoman"/>
          <w:snapToGrid/>
          <w:szCs w:val="22"/>
          <w:lang w:val="lt-LT"/>
        </w:rPr>
        <w:t xml:space="preserve"> nesukėlė</w:t>
      </w:r>
      <w:r w:rsidRPr="0032192D">
        <w:rPr>
          <w:rFonts w:eastAsia="TimesNewRoman"/>
          <w:snapToGrid/>
          <w:szCs w:val="22"/>
          <w:lang w:val="lt-LT"/>
        </w:rPr>
        <w:t>.</w:t>
      </w:r>
    </w:p>
    <w:p w14:paraId="0235C029" w14:textId="77777777" w:rsidR="00CA4F92" w:rsidRPr="0032192D" w:rsidRDefault="00CA4F92" w:rsidP="00CA4F9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631995E5" w14:textId="77777777" w:rsidR="004742A2" w:rsidRPr="0032192D" w:rsidRDefault="004742A2" w:rsidP="004742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proofErr w:type="spellStart"/>
      <w:r w:rsidRPr="0032192D">
        <w:rPr>
          <w:rFonts w:eastAsia="TimesNewRoman"/>
          <w:snapToGrid/>
          <w:szCs w:val="22"/>
          <w:u w:val="single"/>
          <w:lang w:val="lt-LT"/>
        </w:rPr>
        <w:t>Tamsulo</w:t>
      </w:r>
      <w:r w:rsidR="00DF1744" w:rsidRPr="0032192D">
        <w:rPr>
          <w:rFonts w:eastAsia="TimesNewRoman"/>
          <w:snapToGrid/>
          <w:szCs w:val="22"/>
          <w:u w:val="single"/>
          <w:lang w:val="lt-LT"/>
        </w:rPr>
        <w:t>z</w:t>
      </w:r>
      <w:r w:rsidRPr="0032192D">
        <w:rPr>
          <w:rFonts w:eastAsia="TimesNewRoman"/>
          <w:snapToGrid/>
          <w:szCs w:val="22"/>
          <w:u w:val="single"/>
          <w:lang w:val="lt-LT"/>
        </w:rPr>
        <w:t>in</w:t>
      </w:r>
      <w:r w:rsidR="00DF1744" w:rsidRPr="0032192D">
        <w:rPr>
          <w:rFonts w:eastAsia="TimesNewRoman"/>
          <w:snapToGrid/>
          <w:szCs w:val="22"/>
          <w:u w:val="single"/>
          <w:lang w:val="lt-LT"/>
        </w:rPr>
        <w:t>as</w:t>
      </w:r>
      <w:proofErr w:type="spellEnd"/>
    </w:p>
    <w:p w14:paraId="67986A74" w14:textId="77777777" w:rsidR="00236476" w:rsidRPr="0032192D" w:rsidRDefault="00236476" w:rsidP="00236476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Kartu vartojant kitų alfa1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adrenoreceptorių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antagonistų, gali pasireikšti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hipotenzinis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poveikis.</w:t>
      </w:r>
    </w:p>
    <w:p w14:paraId="5D38C313" w14:textId="77777777" w:rsidR="00236476" w:rsidRPr="0032192D" w:rsidRDefault="00236476" w:rsidP="00236476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proofErr w:type="spellStart"/>
      <w:r w:rsidRPr="0032192D">
        <w:rPr>
          <w:rFonts w:eastAsia="TimesNewRoman"/>
          <w:i/>
          <w:iCs/>
          <w:snapToGrid/>
          <w:szCs w:val="22"/>
          <w:lang w:val="lt-LT"/>
        </w:rPr>
        <w:t>In</w:t>
      </w:r>
      <w:proofErr w:type="spellEnd"/>
      <w:r w:rsidRPr="0032192D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i/>
          <w:iCs/>
          <w:snapToGrid/>
          <w:szCs w:val="22"/>
          <w:lang w:val="lt-LT"/>
        </w:rPr>
        <w:t>vitro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diazepamas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propranololis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trichlormetiazidas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chlormadinonas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amitriptilinas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diklofenakas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glibenklamidas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simvastatinas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ar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varfarinas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laisvosios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frakcijos žmogaus </w:t>
      </w:r>
      <w:r w:rsidR="00F33947" w:rsidRPr="0032192D">
        <w:rPr>
          <w:rFonts w:eastAsia="TimesNewRoman"/>
          <w:snapToGrid/>
          <w:szCs w:val="22"/>
          <w:lang w:val="lt-LT"/>
        </w:rPr>
        <w:t xml:space="preserve">kraujo </w:t>
      </w:r>
      <w:r w:rsidRPr="0032192D">
        <w:rPr>
          <w:rFonts w:eastAsia="TimesNewRoman"/>
          <w:snapToGrid/>
          <w:szCs w:val="22"/>
          <w:lang w:val="lt-LT"/>
        </w:rPr>
        <w:t xml:space="preserve">plazmoje nekeitė.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Tamsulozinas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nekeičia laisvosios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diazepamo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propranololio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trichlormetiazido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ar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chlormadinono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frakcijos. </w:t>
      </w:r>
      <w:r w:rsidR="00F33947" w:rsidRPr="0032192D">
        <w:rPr>
          <w:rFonts w:eastAsia="TimesNewRoman"/>
          <w:snapToGrid/>
          <w:szCs w:val="22"/>
          <w:lang w:val="lt-LT"/>
        </w:rPr>
        <w:t>Vis dėlto</w:t>
      </w:r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diklofenakas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varfarinas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gali padidinti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eliminacijos greitį.</w:t>
      </w:r>
    </w:p>
    <w:p w14:paraId="65A08F0F" w14:textId="77777777" w:rsidR="00236476" w:rsidRPr="0032192D" w:rsidRDefault="00A84D15" w:rsidP="00236476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K</w:t>
      </w:r>
      <w:r w:rsidR="00236476" w:rsidRPr="0032192D">
        <w:rPr>
          <w:rFonts w:eastAsia="TimesNewRoman"/>
          <w:snapToGrid/>
          <w:szCs w:val="22"/>
          <w:lang w:val="lt-LT"/>
        </w:rPr>
        <w:t xml:space="preserve">artu su </w:t>
      </w:r>
      <w:proofErr w:type="spellStart"/>
      <w:r w:rsidR="00236476" w:rsidRPr="0032192D">
        <w:rPr>
          <w:rFonts w:eastAsia="TimesNewRoman"/>
          <w:snapToGrid/>
          <w:szCs w:val="22"/>
          <w:lang w:val="lt-LT"/>
        </w:rPr>
        <w:t>furo</w:t>
      </w:r>
      <w:r w:rsidR="00F33947" w:rsidRPr="0032192D">
        <w:rPr>
          <w:rFonts w:eastAsia="TimesNewRoman"/>
          <w:snapToGrid/>
          <w:szCs w:val="22"/>
          <w:lang w:val="lt-LT"/>
        </w:rPr>
        <w:t>z</w:t>
      </w:r>
      <w:r w:rsidR="00236476" w:rsidRPr="0032192D">
        <w:rPr>
          <w:rFonts w:eastAsia="TimesNewRoman"/>
          <w:snapToGrid/>
          <w:szCs w:val="22"/>
          <w:lang w:val="lt-LT"/>
        </w:rPr>
        <w:t>emidu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vartojamo</w:t>
      </w:r>
      <w:r w:rsidR="00236476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236476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236476" w:rsidRPr="0032192D">
        <w:rPr>
          <w:rFonts w:eastAsia="TimesNewRoman"/>
          <w:snapToGrid/>
          <w:szCs w:val="22"/>
          <w:lang w:val="lt-LT"/>
        </w:rPr>
        <w:t xml:space="preserve"> koncentracija </w:t>
      </w:r>
      <w:r w:rsidRPr="0032192D">
        <w:rPr>
          <w:rFonts w:eastAsia="TimesNewRoman"/>
          <w:snapToGrid/>
          <w:szCs w:val="22"/>
          <w:lang w:val="lt-LT"/>
        </w:rPr>
        <w:t xml:space="preserve">kraujo </w:t>
      </w:r>
      <w:r w:rsidR="00236476" w:rsidRPr="0032192D">
        <w:rPr>
          <w:rFonts w:eastAsia="TimesNewRoman"/>
          <w:snapToGrid/>
          <w:szCs w:val="22"/>
          <w:lang w:val="lt-LT"/>
        </w:rPr>
        <w:t xml:space="preserve">plazmoje sumažėja, tačiau </w:t>
      </w:r>
      <w:r w:rsidRPr="0032192D">
        <w:rPr>
          <w:rFonts w:eastAsia="TimesNewRoman"/>
          <w:snapToGrid/>
          <w:szCs w:val="22"/>
          <w:lang w:val="lt-LT"/>
        </w:rPr>
        <w:t>ji</w:t>
      </w:r>
      <w:r w:rsidR="00236476" w:rsidRPr="0032192D">
        <w:rPr>
          <w:rFonts w:eastAsia="TimesNewRoman"/>
          <w:snapToGrid/>
          <w:szCs w:val="22"/>
          <w:lang w:val="lt-LT"/>
        </w:rPr>
        <w:t xml:space="preserve"> išlieka normos ribose, </w:t>
      </w:r>
      <w:r w:rsidRPr="0032192D">
        <w:rPr>
          <w:rFonts w:eastAsia="TimesNewRoman"/>
          <w:snapToGrid/>
          <w:szCs w:val="22"/>
          <w:lang w:val="lt-LT"/>
        </w:rPr>
        <w:t xml:space="preserve">todėl šių vaistinių preparatų </w:t>
      </w:r>
      <w:r w:rsidR="00A463C3" w:rsidRPr="0032192D">
        <w:rPr>
          <w:rFonts w:eastAsia="TimesNewRoman"/>
          <w:snapToGrid/>
          <w:szCs w:val="22"/>
          <w:lang w:val="lt-LT"/>
        </w:rPr>
        <w:t xml:space="preserve">kartu </w:t>
      </w:r>
      <w:r w:rsidR="00236476" w:rsidRPr="0032192D">
        <w:rPr>
          <w:rFonts w:eastAsia="TimesNewRoman"/>
          <w:snapToGrid/>
          <w:szCs w:val="22"/>
          <w:lang w:val="lt-LT"/>
        </w:rPr>
        <w:t>vartoti galima.</w:t>
      </w:r>
    </w:p>
    <w:p w14:paraId="5B9D2683" w14:textId="77777777" w:rsidR="00236476" w:rsidRPr="0032192D" w:rsidRDefault="00236476" w:rsidP="00236476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proofErr w:type="spellStart"/>
      <w:r w:rsidRPr="0032192D">
        <w:rPr>
          <w:rFonts w:eastAsia="TimesNewRoman"/>
          <w:i/>
          <w:iCs/>
          <w:snapToGrid/>
          <w:szCs w:val="22"/>
          <w:lang w:val="lt-LT"/>
        </w:rPr>
        <w:t>In</w:t>
      </w:r>
      <w:proofErr w:type="spellEnd"/>
      <w:r w:rsidRPr="0032192D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i/>
          <w:iCs/>
          <w:snapToGrid/>
          <w:szCs w:val="22"/>
          <w:lang w:val="lt-LT"/>
        </w:rPr>
        <w:t>vitro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tyrimai su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tamsulozinu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parodė, kad</w:t>
      </w:r>
      <w:r w:rsidR="001A18B4" w:rsidRPr="0032192D">
        <w:rPr>
          <w:rFonts w:eastAsia="TimesNewRoman"/>
          <w:snapToGrid/>
          <w:szCs w:val="22"/>
          <w:lang w:val="lt-LT"/>
        </w:rPr>
        <w:t>,</w:t>
      </w:r>
      <w:r w:rsidRPr="0032192D">
        <w:rPr>
          <w:rFonts w:eastAsia="TimesNewRoman"/>
          <w:snapToGrid/>
          <w:szCs w:val="22"/>
          <w:lang w:val="lt-LT"/>
        </w:rPr>
        <w:t xml:space="preserve"> esant terapinei koncentracijai,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tamsulozinas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neslopina CYP1A2, 2C9, 2C19, 2D6, 2E1 ar 3A4. </w:t>
      </w:r>
      <w:r w:rsidR="001A18B4" w:rsidRPr="0032192D">
        <w:rPr>
          <w:rFonts w:eastAsia="TimesNewRoman"/>
          <w:snapToGrid/>
          <w:szCs w:val="22"/>
          <w:lang w:val="lt-LT"/>
        </w:rPr>
        <w:t>Todėl</w:t>
      </w:r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r w:rsidR="001A18B4" w:rsidRPr="0032192D">
        <w:rPr>
          <w:rFonts w:eastAsia="TimesNewRoman"/>
          <w:snapToGrid/>
          <w:szCs w:val="22"/>
          <w:lang w:val="lt-LT"/>
        </w:rPr>
        <w:t xml:space="preserve">ir vaistinių preparatų, kuriuos </w:t>
      </w:r>
      <w:proofErr w:type="spellStart"/>
      <w:r w:rsidR="001A18B4" w:rsidRPr="0032192D">
        <w:rPr>
          <w:rFonts w:eastAsia="TimesNewRoman"/>
          <w:snapToGrid/>
          <w:szCs w:val="22"/>
          <w:lang w:val="lt-LT"/>
        </w:rPr>
        <w:t>metabolizuoja</w:t>
      </w:r>
      <w:proofErr w:type="spellEnd"/>
      <w:r w:rsidR="001A18B4" w:rsidRPr="0032192D">
        <w:rPr>
          <w:rFonts w:eastAsia="TimesNewRoman"/>
          <w:snapToGrid/>
          <w:szCs w:val="22"/>
          <w:lang w:val="lt-LT"/>
        </w:rPr>
        <w:t xml:space="preserve"> šie CYP fermentai, sąveika nėra tikėtina</w:t>
      </w:r>
      <w:r w:rsidRPr="0032192D">
        <w:rPr>
          <w:rFonts w:eastAsia="TimesNewRoman"/>
          <w:snapToGrid/>
          <w:szCs w:val="22"/>
          <w:lang w:val="lt-LT"/>
        </w:rPr>
        <w:t>.</w:t>
      </w:r>
    </w:p>
    <w:p w14:paraId="36DB574B" w14:textId="77777777" w:rsidR="00776FBE" w:rsidRPr="0032192D" w:rsidRDefault="00237457" w:rsidP="00236476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proofErr w:type="spellStart"/>
      <w:r w:rsidRPr="0032192D">
        <w:rPr>
          <w:rFonts w:eastAsia="TimesNewRoman"/>
          <w:snapToGrid/>
          <w:szCs w:val="22"/>
          <w:lang w:val="lt-LT"/>
        </w:rPr>
        <w:t>T</w:t>
      </w:r>
      <w:r w:rsidR="00236476" w:rsidRPr="0032192D">
        <w:rPr>
          <w:rFonts w:eastAsia="TimesNewRoman"/>
          <w:snapToGrid/>
          <w:szCs w:val="22"/>
          <w:lang w:val="lt-LT"/>
        </w:rPr>
        <w:t>amsulozin</w:t>
      </w:r>
      <w:r w:rsidRPr="0032192D">
        <w:rPr>
          <w:rFonts w:eastAsia="TimesNewRoman"/>
          <w:snapToGrid/>
          <w:szCs w:val="22"/>
          <w:lang w:val="lt-LT"/>
        </w:rPr>
        <w:t>o</w:t>
      </w:r>
      <w:proofErr w:type="spellEnd"/>
      <w:r w:rsidR="00236476" w:rsidRPr="0032192D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>vartojant</w:t>
      </w:r>
      <w:r w:rsidR="00236476" w:rsidRPr="0032192D">
        <w:rPr>
          <w:rFonts w:eastAsia="TimesNewRoman"/>
          <w:snapToGrid/>
          <w:szCs w:val="22"/>
          <w:lang w:val="lt-LT"/>
        </w:rPr>
        <w:t xml:space="preserve"> kartu su </w:t>
      </w:r>
      <w:proofErr w:type="spellStart"/>
      <w:r w:rsidR="00236476" w:rsidRPr="0032192D">
        <w:rPr>
          <w:rFonts w:eastAsia="TimesNewRoman"/>
          <w:snapToGrid/>
          <w:szCs w:val="22"/>
          <w:lang w:val="lt-LT"/>
        </w:rPr>
        <w:t>atenololiu</w:t>
      </w:r>
      <w:proofErr w:type="spellEnd"/>
      <w:r w:rsidR="00236476"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="00236476" w:rsidRPr="0032192D">
        <w:rPr>
          <w:rFonts w:eastAsia="TimesNewRoman"/>
          <w:snapToGrid/>
          <w:szCs w:val="22"/>
          <w:lang w:val="lt-LT"/>
        </w:rPr>
        <w:t>enalapriliu</w:t>
      </w:r>
      <w:proofErr w:type="spellEnd"/>
      <w:r w:rsidR="00236476" w:rsidRPr="0032192D">
        <w:rPr>
          <w:rFonts w:eastAsia="TimesNewRoman"/>
          <w:snapToGrid/>
          <w:szCs w:val="22"/>
          <w:lang w:val="lt-LT"/>
        </w:rPr>
        <w:t xml:space="preserve"> ar </w:t>
      </w:r>
      <w:proofErr w:type="spellStart"/>
      <w:r w:rsidR="00236476" w:rsidRPr="0032192D">
        <w:rPr>
          <w:rFonts w:eastAsia="TimesNewRoman"/>
          <w:snapToGrid/>
          <w:szCs w:val="22"/>
          <w:lang w:val="lt-LT"/>
        </w:rPr>
        <w:t>teofilinu</w:t>
      </w:r>
      <w:proofErr w:type="spellEnd"/>
      <w:r w:rsidRPr="0032192D">
        <w:rPr>
          <w:rFonts w:eastAsia="TimesNewRoman"/>
          <w:snapToGrid/>
          <w:szCs w:val="22"/>
          <w:lang w:val="lt-LT"/>
        </w:rPr>
        <w:t>, sąveikos nenustatyta</w:t>
      </w:r>
      <w:r w:rsidR="00236476" w:rsidRPr="0032192D">
        <w:rPr>
          <w:rFonts w:eastAsia="TimesNewRoman"/>
          <w:snapToGrid/>
          <w:szCs w:val="22"/>
          <w:lang w:val="lt-LT"/>
        </w:rPr>
        <w:t>.</w:t>
      </w:r>
    </w:p>
    <w:p w14:paraId="17B09AB6" w14:textId="77777777" w:rsidR="00236476" w:rsidRPr="0032192D" w:rsidRDefault="00236476" w:rsidP="0023647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6D2BF003" w14:textId="77777777" w:rsidR="00776FBE" w:rsidRPr="0032192D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szCs w:val="22"/>
          <w:lang w:val="lt-LT"/>
        </w:rPr>
      </w:pPr>
      <w:r w:rsidRPr="0032192D">
        <w:rPr>
          <w:b/>
          <w:snapToGrid/>
          <w:kern w:val="28"/>
          <w:szCs w:val="22"/>
          <w:lang w:val="lt-LT"/>
        </w:rPr>
        <w:t>4.6</w:t>
      </w:r>
      <w:r w:rsidRPr="0032192D">
        <w:rPr>
          <w:b/>
          <w:snapToGrid/>
          <w:kern w:val="28"/>
          <w:szCs w:val="22"/>
          <w:lang w:val="lt-LT"/>
        </w:rPr>
        <w:tab/>
        <w:t>Vaisingumas, nėštumo ir žindymo laikotarpis</w:t>
      </w:r>
    </w:p>
    <w:p w14:paraId="49A39043" w14:textId="77777777" w:rsidR="000C7894" w:rsidRPr="0032192D" w:rsidRDefault="000C7894" w:rsidP="000C789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22E226D8" w14:textId="77777777" w:rsidR="000C7894" w:rsidRPr="00EC48AA" w:rsidRDefault="000C7894" w:rsidP="000C789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Cs/>
          <w:snapToGrid/>
          <w:szCs w:val="22"/>
          <w:u w:val="single"/>
          <w:lang w:val="lt-LT"/>
        </w:rPr>
      </w:pPr>
      <w:r w:rsidRPr="00EC48AA">
        <w:rPr>
          <w:rFonts w:eastAsia="TimesNewRoman"/>
          <w:iCs/>
          <w:snapToGrid/>
          <w:szCs w:val="22"/>
          <w:u w:val="single"/>
          <w:lang w:val="lt-LT"/>
        </w:rPr>
        <w:t>Vaisingumas</w:t>
      </w:r>
    </w:p>
    <w:p w14:paraId="58F8F167" w14:textId="77777777" w:rsidR="000C7894" w:rsidRPr="0032192D" w:rsidRDefault="000C7894" w:rsidP="000C789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hidrochlorido poveikis vaisingumui nenustatytas. Su gyvūnais atlikti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ar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tyrimai žalingo poveikio vaisingumui ir ankstyvam embriono vystymuisi nerodo (žr. 5.3 skyrių).</w:t>
      </w:r>
    </w:p>
    <w:p w14:paraId="6151DA74" w14:textId="77777777" w:rsidR="000C7894" w:rsidRPr="0032192D" w:rsidRDefault="000C7894" w:rsidP="000C789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Trumpalaikių ir ilgalaikių klinikinių </w:t>
      </w:r>
      <w:proofErr w:type="spellStart"/>
      <w:r w:rsidR="00A463C3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A463C3" w:rsidRPr="0032192D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 xml:space="preserve">tyrimų metu pastebėta ejakuliacijos sutrikimų. </w:t>
      </w:r>
      <w:r w:rsidR="004B3018" w:rsidRPr="0032192D">
        <w:rPr>
          <w:rFonts w:eastAsia="TimesNewRoman"/>
          <w:snapToGrid/>
          <w:szCs w:val="22"/>
          <w:lang w:val="lt-LT"/>
        </w:rPr>
        <w:t xml:space="preserve">Po vaistinio preparato registracijos pranešta apie </w:t>
      </w:r>
      <w:r w:rsidRPr="0032192D">
        <w:rPr>
          <w:rFonts w:eastAsia="TimesNewRoman"/>
          <w:snapToGrid/>
          <w:szCs w:val="22"/>
          <w:lang w:val="lt-LT"/>
        </w:rPr>
        <w:t xml:space="preserve">ejakuliacijos sutrikimo,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retrogradin</w:t>
      </w:r>
      <w:r w:rsidR="004B3018" w:rsidRPr="0032192D">
        <w:rPr>
          <w:rFonts w:eastAsia="TimesNewRoman"/>
          <w:snapToGrid/>
          <w:szCs w:val="22"/>
          <w:lang w:val="lt-LT"/>
        </w:rPr>
        <w:t>ės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ejakuliacij</w:t>
      </w:r>
      <w:r w:rsidR="004B3018" w:rsidRPr="0032192D">
        <w:rPr>
          <w:rFonts w:eastAsia="TimesNewRoman"/>
          <w:snapToGrid/>
          <w:szCs w:val="22"/>
          <w:lang w:val="lt-LT"/>
        </w:rPr>
        <w:t>os</w:t>
      </w:r>
      <w:r w:rsidRPr="0032192D">
        <w:rPr>
          <w:rFonts w:eastAsia="TimesNewRoman"/>
          <w:snapToGrid/>
          <w:szCs w:val="22"/>
          <w:lang w:val="lt-LT"/>
        </w:rPr>
        <w:t xml:space="preserve"> ir ejakuliacijos </w:t>
      </w:r>
      <w:r w:rsidR="00B10320" w:rsidRPr="0032192D">
        <w:rPr>
          <w:rFonts w:eastAsia="TimesNewRoman"/>
          <w:snapToGrid/>
          <w:szCs w:val="22"/>
          <w:lang w:val="lt-LT"/>
        </w:rPr>
        <w:t>nepakankamumo</w:t>
      </w:r>
      <w:r w:rsidRPr="0032192D">
        <w:rPr>
          <w:rFonts w:eastAsia="TimesNewRoman"/>
          <w:snapToGrid/>
          <w:szCs w:val="22"/>
          <w:lang w:val="lt-LT"/>
        </w:rPr>
        <w:t xml:space="preserve"> </w:t>
      </w:r>
      <w:r w:rsidR="004B3018" w:rsidRPr="0032192D">
        <w:rPr>
          <w:rFonts w:eastAsia="TimesNewRoman"/>
          <w:snapToGrid/>
          <w:szCs w:val="22"/>
          <w:lang w:val="lt-LT"/>
        </w:rPr>
        <w:t>atvejus</w:t>
      </w:r>
      <w:r w:rsidRPr="0032192D">
        <w:rPr>
          <w:rFonts w:eastAsia="TimesNewRoman"/>
          <w:snapToGrid/>
          <w:szCs w:val="22"/>
          <w:lang w:val="lt-LT"/>
        </w:rPr>
        <w:t>.</w:t>
      </w:r>
    </w:p>
    <w:p w14:paraId="1C366C69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6EE9AA92" w14:textId="77777777" w:rsidR="00776FBE" w:rsidRPr="00EC48AA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Cs/>
          <w:snapToGrid/>
          <w:szCs w:val="22"/>
          <w:u w:val="single"/>
          <w:lang w:val="lt-LT"/>
        </w:rPr>
      </w:pPr>
      <w:r w:rsidRPr="00EC48AA">
        <w:rPr>
          <w:rFonts w:eastAsia="TimesNewRoman"/>
          <w:iCs/>
          <w:snapToGrid/>
          <w:szCs w:val="22"/>
          <w:u w:val="single"/>
          <w:lang w:val="lt-LT"/>
        </w:rPr>
        <w:t>Nėštumas</w:t>
      </w:r>
      <w:r w:rsidR="000C7894" w:rsidRPr="00EC48AA">
        <w:rPr>
          <w:rFonts w:eastAsia="TimesNewRoman"/>
          <w:iCs/>
          <w:snapToGrid/>
          <w:szCs w:val="22"/>
          <w:u w:val="single"/>
          <w:lang w:val="lt-LT"/>
        </w:rPr>
        <w:t xml:space="preserve"> ir žindymas</w:t>
      </w:r>
    </w:p>
    <w:p w14:paraId="1541863F" w14:textId="77777777" w:rsidR="00776FBE" w:rsidRPr="0032192D" w:rsidRDefault="000C7894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sukcinatas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hidrochloridas nėra skirtas vartoti moterims</w:t>
      </w:r>
      <w:r w:rsidR="00776FBE" w:rsidRPr="0032192D">
        <w:rPr>
          <w:rFonts w:eastAsia="TimesNewRoman"/>
          <w:snapToGrid/>
          <w:szCs w:val="22"/>
          <w:lang w:val="lt-LT"/>
        </w:rPr>
        <w:t>.</w:t>
      </w:r>
    </w:p>
    <w:p w14:paraId="0DC7E53F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8B26ADE" w14:textId="77777777" w:rsidR="00776FBE" w:rsidRPr="0032192D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32192D">
        <w:rPr>
          <w:b/>
          <w:snapToGrid/>
          <w:kern w:val="28"/>
          <w:szCs w:val="22"/>
          <w:lang w:val="lt-LT"/>
        </w:rPr>
        <w:t>4.7</w:t>
      </w:r>
      <w:r w:rsidRPr="0032192D">
        <w:rPr>
          <w:b/>
          <w:snapToGrid/>
          <w:kern w:val="28"/>
          <w:szCs w:val="22"/>
          <w:lang w:val="lt-LT"/>
        </w:rPr>
        <w:tab/>
        <w:t>Poveikis gebėjimui vairuoti ir valdyti mechanizmus</w:t>
      </w:r>
    </w:p>
    <w:p w14:paraId="7FBA9D56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532F284" w14:textId="77777777" w:rsidR="00776FBE" w:rsidRPr="0032192D" w:rsidRDefault="00931EA1" w:rsidP="0052600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hidrochlorido poveikio </w:t>
      </w:r>
      <w:r w:rsidR="00776FBE" w:rsidRPr="0032192D">
        <w:rPr>
          <w:rFonts w:eastAsia="TimesNewRoman"/>
          <w:snapToGrid/>
          <w:szCs w:val="22"/>
          <w:lang w:val="lt-LT"/>
        </w:rPr>
        <w:t>gebėjim</w:t>
      </w:r>
      <w:r w:rsidR="0052600A" w:rsidRPr="0032192D">
        <w:rPr>
          <w:rFonts w:eastAsia="TimesNewRoman"/>
          <w:snapToGrid/>
          <w:szCs w:val="22"/>
          <w:lang w:val="lt-LT"/>
        </w:rPr>
        <w:t>ui</w:t>
      </w:r>
      <w:r w:rsidR="00776FBE" w:rsidRPr="0032192D">
        <w:rPr>
          <w:rFonts w:eastAsia="TimesNewRoman"/>
          <w:snapToGrid/>
          <w:szCs w:val="22"/>
          <w:lang w:val="lt-LT"/>
        </w:rPr>
        <w:t xml:space="preserve"> vairuoti ir valdyti mechanizmus </w:t>
      </w:r>
      <w:r w:rsidR="00A463C3" w:rsidRPr="0032192D">
        <w:rPr>
          <w:rFonts w:eastAsia="TimesNewRoman"/>
          <w:snapToGrid/>
          <w:szCs w:val="22"/>
          <w:lang w:val="lt-LT"/>
        </w:rPr>
        <w:t xml:space="preserve">tyrimų </w:t>
      </w:r>
      <w:r w:rsidR="0052600A" w:rsidRPr="0032192D">
        <w:rPr>
          <w:rFonts w:eastAsia="TimesNewRoman"/>
          <w:snapToGrid/>
          <w:szCs w:val="22"/>
          <w:lang w:val="lt-LT"/>
        </w:rPr>
        <w:t>neatlikta</w:t>
      </w:r>
      <w:r w:rsidR="00776FBE" w:rsidRPr="0032192D">
        <w:rPr>
          <w:rFonts w:eastAsia="TimesNewRoman"/>
          <w:snapToGrid/>
          <w:szCs w:val="22"/>
          <w:lang w:val="lt-LT"/>
        </w:rPr>
        <w:t>.</w:t>
      </w:r>
      <w:r w:rsidR="00A36C8C" w:rsidRPr="0032192D">
        <w:rPr>
          <w:lang w:val="lt-LT"/>
        </w:rPr>
        <w:t xml:space="preserve"> </w:t>
      </w:r>
      <w:r w:rsidR="00A36C8C" w:rsidRPr="0032192D">
        <w:rPr>
          <w:rFonts w:eastAsia="TimesNewRoman"/>
          <w:snapToGrid/>
          <w:szCs w:val="22"/>
          <w:lang w:val="lt-LT"/>
        </w:rPr>
        <w:t xml:space="preserve">Vis dėlto pacientus būtina informuoti apie galimą svaigulį, matomo vaizdo </w:t>
      </w:r>
      <w:proofErr w:type="spellStart"/>
      <w:r w:rsidR="00A36C8C" w:rsidRPr="0032192D">
        <w:rPr>
          <w:rFonts w:eastAsia="TimesNewRoman"/>
          <w:snapToGrid/>
          <w:szCs w:val="22"/>
          <w:lang w:val="lt-LT"/>
        </w:rPr>
        <w:t>neryškumą</w:t>
      </w:r>
      <w:proofErr w:type="spellEnd"/>
      <w:r w:rsidR="00A36C8C" w:rsidRPr="0032192D">
        <w:rPr>
          <w:rFonts w:eastAsia="TimesNewRoman"/>
          <w:snapToGrid/>
          <w:szCs w:val="22"/>
          <w:lang w:val="lt-LT"/>
        </w:rPr>
        <w:t>, nuovargį ir (nedažnai) somnolenciją, nes toks poveikis gali turėti neigiamos įtakos gebėjimui vairuoti ar valdyti mechanizmus (žr. 4.8 skyrių).</w:t>
      </w:r>
    </w:p>
    <w:p w14:paraId="7E8E789B" w14:textId="77777777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3AB5DD87" w14:textId="77777777" w:rsidR="00776FBE" w:rsidRPr="0032192D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32192D">
        <w:rPr>
          <w:b/>
          <w:snapToGrid/>
          <w:kern w:val="28"/>
          <w:szCs w:val="22"/>
          <w:lang w:val="lt-LT"/>
        </w:rPr>
        <w:t>4.8</w:t>
      </w:r>
      <w:r w:rsidRPr="0032192D">
        <w:rPr>
          <w:b/>
          <w:snapToGrid/>
          <w:kern w:val="28"/>
          <w:szCs w:val="22"/>
          <w:lang w:val="lt-LT"/>
        </w:rPr>
        <w:tab/>
        <w:t>Nepageidaujamas poveikis</w:t>
      </w:r>
    </w:p>
    <w:p w14:paraId="6E004A66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1C331A67" w14:textId="77777777" w:rsidR="00776FBE" w:rsidRPr="00EC48AA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Cs/>
          <w:snapToGrid/>
          <w:szCs w:val="22"/>
          <w:u w:val="single"/>
          <w:lang w:val="lt-LT"/>
        </w:rPr>
      </w:pPr>
      <w:r w:rsidRPr="00EC48AA">
        <w:rPr>
          <w:rFonts w:eastAsia="TimesNewRoman"/>
          <w:iCs/>
          <w:snapToGrid/>
          <w:szCs w:val="22"/>
          <w:u w:val="single"/>
          <w:lang w:val="lt-LT"/>
        </w:rPr>
        <w:t>Saugumo duomenų santrauka</w:t>
      </w:r>
    </w:p>
    <w:p w14:paraId="6F8891E5" w14:textId="77777777" w:rsidR="00776FBE" w:rsidRPr="0032192D" w:rsidRDefault="007A5BB8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sukcinatas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hidrochloridas gali sukelti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anticholinerginį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nepageidaujamą </w:t>
      </w:r>
      <w:r w:rsidRPr="0032192D">
        <w:rPr>
          <w:rFonts w:eastAsia="TimesNewRoman"/>
          <w:snapToGrid/>
          <w:szCs w:val="22"/>
          <w:lang w:val="lt-LT"/>
        </w:rPr>
        <w:lastRenderedPageBreak/>
        <w:t xml:space="preserve">poveikį, kuris paprastai būna lengvas arba vidutinio sunkumo. Klinikinių tyrimų, atliktų kuriant 6 mg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/0,4 mg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hidrochlorido derinį, metu dažniausiai </w:t>
      </w:r>
      <w:r w:rsidR="00690A30" w:rsidRPr="0032192D">
        <w:rPr>
          <w:rFonts w:eastAsia="TimesNewRoman"/>
          <w:snapToGrid/>
          <w:szCs w:val="22"/>
          <w:lang w:val="lt-LT"/>
        </w:rPr>
        <w:t>praneštos</w:t>
      </w:r>
      <w:r w:rsidRPr="0032192D">
        <w:rPr>
          <w:rFonts w:eastAsia="TimesNewRoman"/>
          <w:snapToGrid/>
          <w:szCs w:val="22"/>
          <w:lang w:val="lt-LT"/>
        </w:rPr>
        <w:t xml:space="preserve"> nepageidaujamos reakcijos buvo burnos džiūvimas (9,5</w:t>
      </w:r>
      <w:r w:rsidR="00690A30" w:rsidRPr="0032192D">
        <w:rPr>
          <w:rFonts w:eastAsia="TimesNewRoman"/>
          <w:snapToGrid/>
          <w:szCs w:val="22"/>
          <w:lang w:val="lt-LT"/>
        </w:rPr>
        <w:t> </w:t>
      </w:r>
      <w:r w:rsidRPr="0032192D">
        <w:rPr>
          <w:rFonts w:eastAsia="TimesNewRoman"/>
          <w:snapToGrid/>
          <w:szCs w:val="22"/>
          <w:lang w:val="lt-LT"/>
        </w:rPr>
        <w:t xml:space="preserve">%), po to </w:t>
      </w:r>
      <w:r w:rsidR="00690A30" w:rsidRPr="0032192D">
        <w:rPr>
          <w:rFonts w:eastAsia="TimesNewRoman"/>
          <w:snapToGrid/>
          <w:szCs w:val="22"/>
          <w:lang w:val="lt-LT"/>
        </w:rPr>
        <w:t xml:space="preserve">− </w:t>
      </w:r>
      <w:r w:rsidRPr="0032192D">
        <w:rPr>
          <w:rFonts w:eastAsia="TimesNewRoman"/>
          <w:snapToGrid/>
          <w:szCs w:val="22"/>
          <w:lang w:val="lt-LT"/>
        </w:rPr>
        <w:t>vidurių užkietėjimas (3,2</w:t>
      </w:r>
      <w:r w:rsidR="00690A30" w:rsidRPr="0032192D">
        <w:rPr>
          <w:rFonts w:eastAsia="TimesNewRoman"/>
          <w:snapToGrid/>
          <w:szCs w:val="22"/>
          <w:lang w:val="lt-LT"/>
        </w:rPr>
        <w:t> </w:t>
      </w:r>
      <w:r w:rsidRPr="0032192D">
        <w:rPr>
          <w:rFonts w:eastAsia="TimesNewRoman"/>
          <w:snapToGrid/>
          <w:szCs w:val="22"/>
          <w:lang w:val="lt-LT"/>
        </w:rPr>
        <w:t>%) ir dispepsija (įskaitant pilvo skausmą; 2,4</w:t>
      </w:r>
      <w:r w:rsidR="00690A30" w:rsidRPr="0032192D">
        <w:rPr>
          <w:rFonts w:eastAsia="TimesNewRoman"/>
          <w:snapToGrid/>
          <w:szCs w:val="22"/>
          <w:lang w:val="lt-LT"/>
        </w:rPr>
        <w:t> </w:t>
      </w:r>
      <w:r w:rsidRPr="0032192D">
        <w:rPr>
          <w:rFonts w:eastAsia="TimesNewRoman"/>
          <w:snapToGrid/>
          <w:szCs w:val="22"/>
          <w:lang w:val="lt-LT"/>
        </w:rPr>
        <w:t xml:space="preserve">%). Kitas dažnas nepageidaujamas poveikis yra </w:t>
      </w:r>
      <w:r w:rsidR="00690A30" w:rsidRPr="0032192D">
        <w:rPr>
          <w:rFonts w:eastAsia="TimesNewRoman"/>
          <w:snapToGrid/>
          <w:szCs w:val="22"/>
          <w:lang w:val="lt-LT"/>
        </w:rPr>
        <w:t>svaigulys</w:t>
      </w:r>
      <w:r w:rsidRPr="0032192D">
        <w:rPr>
          <w:rFonts w:eastAsia="TimesNewRoman"/>
          <w:snapToGrid/>
          <w:szCs w:val="22"/>
          <w:lang w:val="lt-LT"/>
        </w:rPr>
        <w:t xml:space="preserve"> (įskaitant </w:t>
      </w:r>
      <w:r w:rsidR="00690A30" w:rsidRPr="0032192D">
        <w:rPr>
          <w:rFonts w:eastAsia="TimesNewRoman"/>
          <w:snapToGrid/>
          <w:szCs w:val="22"/>
          <w:lang w:val="lt-LT"/>
        </w:rPr>
        <w:t>galvos sukimąsi (</w:t>
      </w:r>
      <w:proofErr w:type="spellStart"/>
      <w:r w:rsidR="00690A30" w:rsidRPr="0032192D">
        <w:rPr>
          <w:rFonts w:eastAsia="TimesNewRoman"/>
          <w:i/>
          <w:iCs/>
          <w:snapToGrid/>
          <w:szCs w:val="22"/>
          <w:lang w:val="lt-LT"/>
        </w:rPr>
        <w:t>vertigo</w:t>
      </w:r>
      <w:proofErr w:type="spellEnd"/>
      <w:r w:rsidR="00690A30" w:rsidRPr="0032192D">
        <w:rPr>
          <w:rFonts w:eastAsia="TimesNewRoman"/>
          <w:snapToGrid/>
          <w:szCs w:val="22"/>
          <w:lang w:val="lt-LT"/>
        </w:rPr>
        <w:t>)</w:t>
      </w:r>
      <w:r w:rsidRPr="0032192D">
        <w:rPr>
          <w:rFonts w:eastAsia="TimesNewRoman"/>
          <w:snapToGrid/>
          <w:szCs w:val="22"/>
          <w:lang w:val="lt-LT"/>
        </w:rPr>
        <w:t>; 1,4</w:t>
      </w:r>
      <w:r w:rsidR="00690A30" w:rsidRPr="0032192D">
        <w:rPr>
          <w:rFonts w:eastAsia="TimesNewRoman"/>
          <w:snapToGrid/>
          <w:szCs w:val="22"/>
          <w:lang w:val="lt-LT"/>
        </w:rPr>
        <w:t> </w:t>
      </w:r>
      <w:r w:rsidRPr="0032192D">
        <w:rPr>
          <w:rFonts w:eastAsia="TimesNewRoman"/>
          <w:snapToGrid/>
          <w:szCs w:val="22"/>
          <w:lang w:val="lt-LT"/>
        </w:rPr>
        <w:t xml:space="preserve">%), </w:t>
      </w:r>
      <w:r w:rsidR="00690A30" w:rsidRPr="0032192D">
        <w:rPr>
          <w:rFonts w:eastAsia="TimesNewRoman"/>
          <w:snapToGrid/>
          <w:szCs w:val="22"/>
          <w:lang w:val="lt-LT"/>
        </w:rPr>
        <w:t xml:space="preserve">matomo vaizdo </w:t>
      </w:r>
      <w:proofErr w:type="spellStart"/>
      <w:r w:rsidR="00690A30" w:rsidRPr="0032192D">
        <w:rPr>
          <w:rFonts w:eastAsia="TimesNewRoman"/>
          <w:snapToGrid/>
          <w:szCs w:val="22"/>
          <w:lang w:val="lt-LT"/>
        </w:rPr>
        <w:t>neryškumas</w:t>
      </w:r>
      <w:proofErr w:type="spellEnd"/>
      <w:r w:rsidR="00690A30" w:rsidRPr="0032192D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>(1,2</w:t>
      </w:r>
      <w:r w:rsidR="00690A30" w:rsidRPr="0032192D">
        <w:rPr>
          <w:rFonts w:eastAsia="TimesNewRoman"/>
          <w:snapToGrid/>
          <w:szCs w:val="22"/>
          <w:lang w:val="lt-LT"/>
        </w:rPr>
        <w:t> </w:t>
      </w:r>
      <w:r w:rsidRPr="0032192D">
        <w:rPr>
          <w:rFonts w:eastAsia="TimesNewRoman"/>
          <w:snapToGrid/>
          <w:szCs w:val="22"/>
          <w:lang w:val="lt-LT"/>
        </w:rPr>
        <w:t>%), nuovargis (1,2</w:t>
      </w:r>
      <w:r w:rsidR="00690A30" w:rsidRPr="0032192D">
        <w:rPr>
          <w:rFonts w:eastAsia="TimesNewRoman"/>
          <w:snapToGrid/>
          <w:szCs w:val="22"/>
          <w:lang w:val="lt-LT"/>
        </w:rPr>
        <w:t> </w:t>
      </w:r>
      <w:r w:rsidRPr="0032192D">
        <w:rPr>
          <w:rFonts w:eastAsia="TimesNewRoman"/>
          <w:snapToGrid/>
          <w:szCs w:val="22"/>
          <w:lang w:val="lt-LT"/>
        </w:rPr>
        <w:t xml:space="preserve">%) ir ejakuliacijos sutrikimas (įskaitant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retrogradinę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ejakuliaciją; 1,5</w:t>
      </w:r>
      <w:r w:rsidR="00690A30" w:rsidRPr="0032192D">
        <w:rPr>
          <w:rFonts w:eastAsia="TimesNewRoman"/>
          <w:snapToGrid/>
          <w:szCs w:val="22"/>
          <w:lang w:val="lt-LT"/>
        </w:rPr>
        <w:t> </w:t>
      </w:r>
      <w:r w:rsidRPr="0032192D">
        <w:rPr>
          <w:rFonts w:eastAsia="TimesNewRoman"/>
          <w:snapToGrid/>
          <w:szCs w:val="22"/>
          <w:lang w:val="lt-LT"/>
        </w:rPr>
        <w:t>%). Ūminis šlapimo susilaikymas (0,3</w:t>
      </w:r>
      <w:r w:rsidR="00690A30" w:rsidRPr="0032192D">
        <w:rPr>
          <w:rFonts w:eastAsia="TimesNewRoman"/>
          <w:snapToGrid/>
          <w:szCs w:val="22"/>
          <w:lang w:val="lt-LT"/>
        </w:rPr>
        <w:t> </w:t>
      </w:r>
      <w:r w:rsidRPr="0032192D">
        <w:rPr>
          <w:rFonts w:eastAsia="TimesNewRoman"/>
          <w:snapToGrid/>
          <w:szCs w:val="22"/>
          <w:lang w:val="lt-LT"/>
        </w:rPr>
        <w:t xml:space="preserve">%, nedažnas) yra sunkiausia nepageidaujama reakcija, pastebėta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</w:t>
      </w:r>
      <w:r w:rsidR="00A463C3" w:rsidRPr="0032192D">
        <w:rPr>
          <w:rFonts w:eastAsia="TimesNewRoman"/>
          <w:snapToGrid/>
          <w:szCs w:val="22"/>
          <w:lang w:val="lt-LT"/>
        </w:rPr>
        <w:t>o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</w:t>
      </w:r>
      <w:r w:rsidR="00690A30" w:rsidRPr="0032192D">
        <w:rPr>
          <w:rFonts w:eastAsia="TimesNewRoman"/>
          <w:snapToGrid/>
          <w:szCs w:val="22"/>
          <w:lang w:val="lt-LT"/>
        </w:rPr>
        <w:t>o vartojant</w:t>
      </w:r>
      <w:r w:rsidRPr="0032192D">
        <w:rPr>
          <w:rFonts w:eastAsia="TimesNewRoman"/>
          <w:snapToGrid/>
          <w:szCs w:val="22"/>
          <w:lang w:val="lt-LT"/>
        </w:rPr>
        <w:t xml:space="preserve"> klinikinių tyrimų metu.</w:t>
      </w:r>
    </w:p>
    <w:p w14:paraId="6551EC09" w14:textId="77777777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</w:p>
    <w:p w14:paraId="12D8FA33" w14:textId="760E6299" w:rsidR="00776FBE" w:rsidRPr="00EC48AA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Cs/>
          <w:snapToGrid/>
          <w:szCs w:val="24"/>
          <w:u w:val="single"/>
          <w:lang w:val="lt-LT"/>
        </w:rPr>
      </w:pPr>
      <w:r w:rsidRPr="00EC48AA">
        <w:rPr>
          <w:rFonts w:eastAsia="TimesNewRoman"/>
          <w:iCs/>
          <w:snapToGrid/>
          <w:szCs w:val="24"/>
          <w:u w:val="single"/>
          <w:lang w:val="lt-LT"/>
        </w:rPr>
        <w:t>Nepageidaujamų reakcijų santrauka lentelėje</w:t>
      </w:r>
    </w:p>
    <w:p w14:paraId="290343B5" w14:textId="4F5596F3" w:rsidR="00E818FA" w:rsidRPr="0032192D" w:rsidRDefault="00E818FA" w:rsidP="00E818F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  <w:r w:rsidRPr="0032192D">
        <w:rPr>
          <w:rFonts w:eastAsia="TimesNewRoman"/>
          <w:snapToGrid/>
          <w:szCs w:val="24"/>
          <w:lang w:val="lt-LT"/>
        </w:rPr>
        <w:t>Toliau pateikt</w:t>
      </w:r>
      <w:r w:rsidR="002147E2" w:rsidRPr="0032192D">
        <w:rPr>
          <w:rFonts w:eastAsia="TimesNewRoman"/>
          <w:snapToGrid/>
          <w:szCs w:val="24"/>
          <w:lang w:val="lt-LT"/>
        </w:rPr>
        <w:t>os</w:t>
      </w:r>
      <w:r w:rsidRPr="0032192D">
        <w:rPr>
          <w:rFonts w:eastAsia="TimesNewRoman"/>
          <w:snapToGrid/>
          <w:szCs w:val="24"/>
          <w:lang w:val="lt-LT"/>
        </w:rPr>
        <w:t xml:space="preserve"> lentelė</w:t>
      </w:r>
      <w:r w:rsidR="002147E2" w:rsidRPr="0032192D">
        <w:rPr>
          <w:rFonts w:eastAsia="TimesNewRoman"/>
          <w:snapToGrid/>
          <w:szCs w:val="24"/>
          <w:lang w:val="lt-LT"/>
        </w:rPr>
        <w:t xml:space="preserve">s dažnio vartojant </w:t>
      </w:r>
      <w:proofErr w:type="spellStart"/>
      <w:r w:rsidRPr="0032192D">
        <w:rPr>
          <w:rFonts w:eastAsia="TimesNewRoman"/>
          <w:snapToGrid/>
          <w:szCs w:val="24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4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4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4"/>
          <w:lang w:val="lt-LT"/>
        </w:rPr>
        <w:t>/</w:t>
      </w:r>
      <w:proofErr w:type="spellStart"/>
      <w:r w:rsidRPr="0032192D">
        <w:rPr>
          <w:rFonts w:eastAsia="TimesNewRoman"/>
          <w:snapToGrid/>
          <w:szCs w:val="24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4"/>
          <w:lang w:val="lt-LT"/>
        </w:rPr>
        <w:t xml:space="preserve"> hidrochlorido </w:t>
      </w:r>
      <w:r w:rsidR="002147E2" w:rsidRPr="0032192D">
        <w:rPr>
          <w:rFonts w:eastAsia="TimesNewRoman"/>
          <w:snapToGrid/>
          <w:szCs w:val="24"/>
          <w:lang w:val="lt-LT"/>
        </w:rPr>
        <w:t>stulpelyje išvardytos</w:t>
      </w:r>
      <w:r w:rsidRPr="0032192D">
        <w:rPr>
          <w:rFonts w:eastAsia="TimesNewRoman"/>
          <w:snapToGrid/>
          <w:szCs w:val="24"/>
          <w:lang w:val="lt-LT"/>
        </w:rPr>
        <w:t xml:space="preserve"> nepageidaujamos reakcijos</w:t>
      </w:r>
      <w:r w:rsidR="007B316B">
        <w:rPr>
          <w:rFonts w:eastAsia="TimesNewRoman"/>
          <w:snapToGrid/>
          <w:szCs w:val="24"/>
          <w:lang w:val="lt-LT"/>
        </w:rPr>
        <w:t xml:space="preserve"> (NR)</w:t>
      </w:r>
      <w:r w:rsidRPr="0032192D">
        <w:rPr>
          <w:rFonts w:eastAsia="TimesNewRoman"/>
          <w:snapToGrid/>
          <w:szCs w:val="24"/>
          <w:lang w:val="lt-LT"/>
        </w:rPr>
        <w:t xml:space="preserve"> buvo pastebėtos dvigubai </w:t>
      </w:r>
      <w:r w:rsidR="002147E2" w:rsidRPr="0032192D">
        <w:rPr>
          <w:rFonts w:eastAsia="TimesNewRoman"/>
          <w:snapToGrid/>
          <w:szCs w:val="24"/>
          <w:lang w:val="lt-LT"/>
        </w:rPr>
        <w:t>koduotų</w:t>
      </w:r>
      <w:r w:rsidRPr="0032192D">
        <w:rPr>
          <w:rFonts w:eastAsia="TimesNewRoman"/>
          <w:snapToGrid/>
          <w:szCs w:val="24"/>
          <w:lang w:val="lt-LT"/>
        </w:rPr>
        <w:t xml:space="preserve"> klinikinių tyrimų, atliktų kuriant </w:t>
      </w:r>
      <w:proofErr w:type="spellStart"/>
      <w:r w:rsidRPr="0032192D">
        <w:rPr>
          <w:rFonts w:eastAsia="TimesNewRoman"/>
          <w:snapToGrid/>
          <w:szCs w:val="24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4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4"/>
          <w:lang w:val="lt-LT"/>
        </w:rPr>
        <w:t>sukcinat</w:t>
      </w:r>
      <w:r w:rsidR="002147E2" w:rsidRPr="0032192D">
        <w:rPr>
          <w:rFonts w:eastAsia="TimesNewRoman"/>
          <w:snapToGrid/>
          <w:szCs w:val="24"/>
          <w:lang w:val="lt-LT"/>
        </w:rPr>
        <w:t>o</w:t>
      </w:r>
      <w:proofErr w:type="spellEnd"/>
      <w:r w:rsidRPr="0032192D">
        <w:rPr>
          <w:rFonts w:eastAsia="TimesNewRoman"/>
          <w:snapToGrid/>
          <w:szCs w:val="24"/>
          <w:lang w:val="lt-LT"/>
        </w:rPr>
        <w:t>/</w:t>
      </w:r>
      <w:proofErr w:type="spellStart"/>
      <w:r w:rsidRPr="0032192D">
        <w:rPr>
          <w:rFonts w:eastAsia="TimesNewRoman"/>
          <w:snapToGrid/>
          <w:szCs w:val="24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4"/>
          <w:lang w:val="lt-LT"/>
        </w:rPr>
        <w:t xml:space="preserve"> hidrochlorid</w:t>
      </w:r>
      <w:r w:rsidR="002147E2" w:rsidRPr="0032192D">
        <w:rPr>
          <w:rFonts w:eastAsia="TimesNewRoman"/>
          <w:snapToGrid/>
          <w:szCs w:val="24"/>
          <w:lang w:val="lt-LT"/>
        </w:rPr>
        <w:t>o vaistinį preparatą</w:t>
      </w:r>
      <w:r w:rsidRPr="0032192D">
        <w:rPr>
          <w:rFonts w:eastAsia="TimesNewRoman"/>
          <w:snapToGrid/>
          <w:szCs w:val="24"/>
          <w:lang w:val="lt-LT"/>
        </w:rPr>
        <w:t xml:space="preserve">, metu (remiantis pranešimais apie su gydymu susijusius nepageidaujamus reiškinius, apie kuriuos pranešė bent du pacientai ir kurie dvigubai </w:t>
      </w:r>
      <w:r w:rsidR="002147E2" w:rsidRPr="0032192D">
        <w:rPr>
          <w:rFonts w:eastAsia="TimesNewRoman"/>
          <w:snapToGrid/>
          <w:szCs w:val="24"/>
          <w:lang w:val="lt-LT"/>
        </w:rPr>
        <w:t>koduotų</w:t>
      </w:r>
      <w:r w:rsidRPr="0032192D">
        <w:rPr>
          <w:rFonts w:eastAsia="TimesNewRoman"/>
          <w:snapToGrid/>
          <w:szCs w:val="24"/>
          <w:lang w:val="lt-LT"/>
        </w:rPr>
        <w:t xml:space="preserve"> tyrimų metu pasireiškė dažniau nei </w:t>
      </w:r>
      <w:r w:rsidR="002147E2" w:rsidRPr="0032192D">
        <w:rPr>
          <w:rFonts w:eastAsia="TimesNewRoman"/>
          <w:snapToGrid/>
          <w:szCs w:val="24"/>
          <w:lang w:val="lt-LT"/>
        </w:rPr>
        <w:t xml:space="preserve">vartojant </w:t>
      </w:r>
      <w:r w:rsidRPr="0032192D">
        <w:rPr>
          <w:rFonts w:eastAsia="TimesNewRoman"/>
          <w:snapToGrid/>
          <w:szCs w:val="24"/>
          <w:lang w:val="lt-LT"/>
        </w:rPr>
        <w:t>placebo).</w:t>
      </w:r>
    </w:p>
    <w:p w14:paraId="7D492DAC" w14:textId="77777777" w:rsidR="00E818FA" w:rsidRPr="0032192D" w:rsidRDefault="00E818FA" w:rsidP="00E818F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</w:p>
    <w:p w14:paraId="7B6A2527" w14:textId="77777777" w:rsidR="00E818FA" w:rsidRPr="0032192D" w:rsidRDefault="002147E2" w:rsidP="00E818F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  <w:r w:rsidRPr="0032192D">
        <w:rPr>
          <w:rFonts w:eastAsia="TimesNewRoman"/>
          <w:snapToGrid/>
          <w:szCs w:val="24"/>
          <w:lang w:val="lt-LT"/>
        </w:rPr>
        <w:t xml:space="preserve">Dažnio vartojant </w:t>
      </w:r>
      <w:proofErr w:type="spellStart"/>
      <w:r w:rsidRPr="0032192D">
        <w:rPr>
          <w:rFonts w:eastAsia="TimesNewRoman"/>
          <w:snapToGrid/>
          <w:szCs w:val="24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4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4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4"/>
          <w:lang w:val="lt-LT"/>
        </w:rPr>
        <w:t xml:space="preserve"> ir dažnio vartojant </w:t>
      </w:r>
      <w:proofErr w:type="spellStart"/>
      <w:r w:rsidRPr="0032192D">
        <w:rPr>
          <w:rFonts w:eastAsia="TimesNewRoman"/>
          <w:snapToGrid/>
          <w:szCs w:val="24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4"/>
          <w:lang w:val="lt-LT"/>
        </w:rPr>
        <w:t xml:space="preserve"> hidrochlorido stulpeliuose išvardytos nepageidaujamos reakcijos</w:t>
      </w:r>
      <w:r w:rsidR="00E818FA" w:rsidRPr="0032192D">
        <w:rPr>
          <w:rFonts w:eastAsia="TimesNewRoman"/>
          <w:snapToGrid/>
          <w:szCs w:val="24"/>
          <w:lang w:val="lt-LT"/>
        </w:rPr>
        <w:t xml:space="preserve">, apie kurias anksčiau buvo pranešta vartojant vieną iš atskirų </w:t>
      </w:r>
      <w:r w:rsidRPr="0032192D">
        <w:rPr>
          <w:rFonts w:eastAsia="TimesNewRoman"/>
          <w:snapToGrid/>
          <w:szCs w:val="24"/>
          <w:lang w:val="lt-LT"/>
        </w:rPr>
        <w:t>veikliųjų medžiagų</w:t>
      </w:r>
      <w:r w:rsidR="00E818FA" w:rsidRPr="0032192D">
        <w:rPr>
          <w:rFonts w:eastAsia="TimesNewRoman"/>
          <w:snapToGrid/>
          <w:szCs w:val="24"/>
          <w:lang w:val="lt-LT"/>
        </w:rPr>
        <w:t xml:space="preserve"> ir kuri</w:t>
      </w:r>
      <w:r w:rsidRPr="0032192D">
        <w:rPr>
          <w:rFonts w:eastAsia="TimesNewRoman"/>
          <w:snapToGrid/>
          <w:szCs w:val="24"/>
          <w:lang w:val="lt-LT"/>
        </w:rPr>
        <w:t>ų</w:t>
      </w:r>
      <w:r w:rsidR="00E818FA" w:rsidRPr="0032192D">
        <w:rPr>
          <w:rFonts w:eastAsia="TimesNewRoman"/>
          <w:snapToGrid/>
          <w:szCs w:val="24"/>
          <w:lang w:val="lt-LT"/>
        </w:rPr>
        <w:t xml:space="preserve"> taip pat gali pasireikšti vartojant </w:t>
      </w:r>
      <w:proofErr w:type="spellStart"/>
      <w:r w:rsidR="00E818FA" w:rsidRPr="0032192D">
        <w:rPr>
          <w:rFonts w:eastAsia="TimesNewRoman"/>
          <w:snapToGrid/>
          <w:szCs w:val="24"/>
          <w:lang w:val="lt-LT"/>
        </w:rPr>
        <w:t>solifenacino</w:t>
      </w:r>
      <w:proofErr w:type="spellEnd"/>
      <w:r w:rsidR="00E818FA" w:rsidRPr="0032192D">
        <w:rPr>
          <w:rFonts w:eastAsia="TimesNewRoman"/>
          <w:snapToGrid/>
          <w:szCs w:val="24"/>
          <w:lang w:val="lt-LT"/>
        </w:rPr>
        <w:t xml:space="preserve"> </w:t>
      </w:r>
      <w:proofErr w:type="spellStart"/>
      <w:r w:rsidR="00E818FA" w:rsidRPr="0032192D">
        <w:rPr>
          <w:rFonts w:eastAsia="TimesNewRoman"/>
          <w:snapToGrid/>
          <w:szCs w:val="24"/>
          <w:lang w:val="lt-LT"/>
        </w:rPr>
        <w:t>sukcinato</w:t>
      </w:r>
      <w:proofErr w:type="spellEnd"/>
      <w:r w:rsidR="00E818FA" w:rsidRPr="0032192D">
        <w:rPr>
          <w:rFonts w:eastAsia="TimesNewRoman"/>
          <w:snapToGrid/>
          <w:szCs w:val="24"/>
          <w:lang w:val="lt-LT"/>
        </w:rPr>
        <w:t>/</w:t>
      </w:r>
      <w:proofErr w:type="spellStart"/>
      <w:r w:rsidR="00E818FA" w:rsidRPr="0032192D">
        <w:rPr>
          <w:rFonts w:eastAsia="TimesNewRoman"/>
          <w:snapToGrid/>
          <w:szCs w:val="24"/>
          <w:lang w:val="lt-LT"/>
        </w:rPr>
        <w:t>tamsulozino</w:t>
      </w:r>
      <w:proofErr w:type="spellEnd"/>
      <w:r w:rsidR="00E818FA" w:rsidRPr="0032192D">
        <w:rPr>
          <w:rFonts w:eastAsia="TimesNewRoman"/>
          <w:snapToGrid/>
          <w:szCs w:val="24"/>
          <w:lang w:val="lt-LT"/>
        </w:rPr>
        <w:t xml:space="preserve"> hidrochlorido (kai kurios iš jų nebuvo pastebėtos </w:t>
      </w:r>
      <w:proofErr w:type="spellStart"/>
      <w:r w:rsidR="00E818FA" w:rsidRPr="0032192D">
        <w:rPr>
          <w:rFonts w:eastAsia="TimesNewRoman"/>
          <w:snapToGrid/>
          <w:szCs w:val="24"/>
          <w:lang w:val="lt-LT"/>
        </w:rPr>
        <w:t>solifenacino</w:t>
      </w:r>
      <w:proofErr w:type="spellEnd"/>
      <w:r w:rsidR="00E818FA" w:rsidRPr="0032192D">
        <w:rPr>
          <w:rFonts w:eastAsia="TimesNewRoman"/>
          <w:snapToGrid/>
          <w:szCs w:val="24"/>
          <w:lang w:val="lt-LT"/>
        </w:rPr>
        <w:t xml:space="preserve"> </w:t>
      </w:r>
      <w:proofErr w:type="spellStart"/>
      <w:r w:rsidR="00E818FA" w:rsidRPr="0032192D">
        <w:rPr>
          <w:rFonts w:eastAsia="TimesNewRoman"/>
          <w:snapToGrid/>
          <w:szCs w:val="24"/>
          <w:lang w:val="lt-LT"/>
        </w:rPr>
        <w:t>sukcinato</w:t>
      </w:r>
      <w:proofErr w:type="spellEnd"/>
      <w:r w:rsidR="00E818FA" w:rsidRPr="0032192D">
        <w:rPr>
          <w:rFonts w:eastAsia="TimesNewRoman"/>
          <w:snapToGrid/>
          <w:szCs w:val="24"/>
          <w:lang w:val="lt-LT"/>
        </w:rPr>
        <w:t>/</w:t>
      </w:r>
      <w:proofErr w:type="spellStart"/>
      <w:r w:rsidR="00E818FA" w:rsidRPr="0032192D">
        <w:rPr>
          <w:rFonts w:eastAsia="TimesNewRoman"/>
          <w:snapToGrid/>
          <w:szCs w:val="24"/>
          <w:lang w:val="lt-LT"/>
        </w:rPr>
        <w:t>tamsulozino</w:t>
      </w:r>
      <w:proofErr w:type="spellEnd"/>
      <w:r w:rsidR="00E818FA" w:rsidRPr="0032192D">
        <w:rPr>
          <w:rFonts w:eastAsia="TimesNewRoman"/>
          <w:snapToGrid/>
          <w:szCs w:val="24"/>
          <w:lang w:val="lt-LT"/>
        </w:rPr>
        <w:t xml:space="preserve"> hidrochlorido </w:t>
      </w:r>
      <w:r w:rsidR="00662560" w:rsidRPr="0032192D">
        <w:rPr>
          <w:rFonts w:eastAsia="TimesNewRoman"/>
          <w:snapToGrid/>
          <w:szCs w:val="24"/>
          <w:lang w:val="lt-LT"/>
        </w:rPr>
        <w:t>vaistinio</w:t>
      </w:r>
      <w:r w:rsidRPr="0032192D">
        <w:rPr>
          <w:rFonts w:eastAsia="TimesNewRoman"/>
          <w:snapToGrid/>
          <w:szCs w:val="24"/>
          <w:lang w:val="lt-LT"/>
        </w:rPr>
        <w:t xml:space="preserve"> preparato </w:t>
      </w:r>
      <w:r w:rsidR="00E818FA" w:rsidRPr="0032192D">
        <w:rPr>
          <w:rFonts w:eastAsia="TimesNewRoman"/>
          <w:snapToGrid/>
          <w:szCs w:val="24"/>
          <w:lang w:val="lt-LT"/>
        </w:rPr>
        <w:t>klinikin</w:t>
      </w:r>
      <w:r w:rsidRPr="0032192D">
        <w:rPr>
          <w:rFonts w:eastAsia="TimesNewRoman"/>
          <w:snapToGrid/>
          <w:szCs w:val="24"/>
          <w:lang w:val="lt-LT"/>
        </w:rPr>
        <w:t>io vystymo</w:t>
      </w:r>
      <w:r w:rsidR="00E818FA" w:rsidRPr="0032192D">
        <w:rPr>
          <w:rFonts w:eastAsia="TimesNewRoman"/>
          <w:snapToGrid/>
          <w:szCs w:val="24"/>
          <w:lang w:val="lt-LT"/>
        </w:rPr>
        <w:t xml:space="preserve"> programos metu).</w:t>
      </w:r>
    </w:p>
    <w:p w14:paraId="32204B2B" w14:textId="77777777" w:rsidR="00E818FA" w:rsidRPr="0032192D" w:rsidRDefault="00E818FA" w:rsidP="00E818F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</w:p>
    <w:p w14:paraId="1BF09028" w14:textId="77777777" w:rsidR="00776FBE" w:rsidRPr="0032192D" w:rsidRDefault="00776FBE" w:rsidP="00E818F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  <w:r w:rsidRPr="0032192D">
        <w:rPr>
          <w:rFonts w:eastAsia="TimesNewRoman"/>
          <w:snapToGrid/>
          <w:szCs w:val="24"/>
          <w:lang w:val="lt-LT"/>
        </w:rPr>
        <w:t>Nepageidaujam</w:t>
      </w:r>
      <w:r w:rsidR="00C04B7A" w:rsidRPr="0032192D">
        <w:rPr>
          <w:rFonts w:eastAsia="TimesNewRoman"/>
          <w:snapToGrid/>
          <w:szCs w:val="24"/>
          <w:lang w:val="lt-LT"/>
        </w:rPr>
        <w:t>ų</w:t>
      </w:r>
      <w:r w:rsidRPr="0032192D">
        <w:rPr>
          <w:rFonts w:eastAsia="TimesNewRoman"/>
          <w:snapToGrid/>
          <w:szCs w:val="24"/>
          <w:lang w:val="lt-LT"/>
        </w:rPr>
        <w:t xml:space="preserve"> reakcij</w:t>
      </w:r>
      <w:r w:rsidR="00C04B7A" w:rsidRPr="0032192D">
        <w:rPr>
          <w:rFonts w:eastAsia="TimesNewRoman"/>
          <w:snapToGrid/>
          <w:szCs w:val="24"/>
          <w:lang w:val="lt-LT"/>
        </w:rPr>
        <w:t>ų</w:t>
      </w:r>
      <w:r w:rsidRPr="0032192D">
        <w:rPr>
          <w:rFonts w:eastAsia="TimesNewRoman"/>
          <w:snapToGrid/>
          <w:szCs w:val="24"/>
          <w:lang w:val="lt-LT"/>
        </w:rPr>
        <w:t xml:space="preserve"> dažnis apibūdinamas taip: labai dažnas (≥ 1/10), dažnas (nuo ≥ 1/100 iki &lt; 1/10), nedažnas (nuo ≥ 1/1 000 iki &lt; 1/100), retas (nuo ≥ 1/10 000 iki &lt; 1/1 000), labai retas (&lt; 1/10 000) ir nežinomas (negali būti apskaičiuotas pagal turimus duomenis).</w:t>
      </w:r>
    </w:p>
    <w:p w14:paraId="76D718B5" w14:textId="77777777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4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67"/>
        <w:gridCol w:w="2173"/>
        <w:gridCol w:w="2029"/>
        <w:gridCol w:w="1591"/>
      </w:tblGrid>
      <w:tr w:rsidR="00C04B7A" w:rsidRPr="00F15572" w14:paraId="5F911306" w14:textId="77777777" w:rsidTr="006B32C7">
        <w:trPr>
          <w:trHeight w:val="284"/>
          <w:tblHeader/>
        </w:trPr>
        <w:tc>
          <w:tcPr>
            <w:tcW w:w="1803" w:type="pct"/>
            <w:vMerge w:val="restart"/>
            <w:shd w:val="clear" w:color="auto" w:fill="auto"/>
          </w:tcPr>
          <w:p w14:paraId="34DBD137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b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b/>
                <w:snapToGrid/>
                <w:szCs w:val="22"/>
                <w:lang w:val="lt-LT"/>
              </w:rPr>
              <w:t>Organų sistemų klasė (OSK)/ rekomenduojamas terminas (RT)</w:t>
            </w:r>
          </w:p>
        </w:tc>
        <w:tc>
          <w:tcPr>
            <w:tcW w:w="1199" w:type="pct"/>
            <w:vMerge w:val="restart"/>
            <w:shd w:val="clear" w:color="auto" w:fill="auto"/>
          </w:tcPr>
          <w:p w14:paraId="6FF5EF63" w14:textId="77777777" w:rsidR="00C04B7A" w:rsidRPr="0032192D" w:rsidRDefault="00F26CF0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b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b/>
                <w:snapToGrid/>
                <w:szCs w:val="22"/>
                <w:lang w:val="lt-LT"/>
              </w:rPr>
              <w:t>Nepageidaujamų reakcijų</w:t>
            </w:r>
            <w:r w:rsidR="00C04B7A" w:rsidRPr="0032192D">
              <w:rPr>
                <w:rFonts w:eastAsia="Arial"/>
                <w:b/>
                <w:snapToGrid/>
                <w:szCs w:val="22"/>
                <w:lang w:val="lt-LT"/>
              </w:rPr>
              <w:t xml:space="preserve"> dažnis, nustatytas kuriant </w:t>
            </w:r>
            <w:proofErr w:type="spellStart"/>
            <w:r w:rsidR="00C04B7A" w:rsidRPr="0032192D">
              <w:rPr>
                <w:rFonts w:eastAsia="Arial"/>
                <w:b/>
                <w:snapToGrid/>
                <w:szCs w:val="22"/>
                <w:lang w:val="lt-LT"/>
              </w:rPr>
              <w:t>solifenacino</w:t>
            </w:r>
            <w:proofErr w:type="spellEnd"/>
            <w:r w:rsidR="00C04B7A" w:rsidRPr="0032192D">
              <w:rPr>
                <w:rFonts w:eastAsia="Arial"/>
                <w:b/>
                <w:snapToGrid/>
                <w:szCs w:val="22"/>
                <w:lang w:val="lt-LT"/>
              </w:rPr>
              <w:t xml:space="preserve"> </w:t>
            </w:r>
            <w:proofErr w:type="spellStart"/>
            <w:r w:rsidR="00C04B7A" w:rsidRPr="0032192D">
              <w:rPr>
                <w:rFonts w:eastAsia="Arial"/>
                <w:b/>
                <w:snapToGrid/>
                <w:szCs w:val="22"/>
                <w:lang w:val="lt-LT"/>
              </w:rPr>
              <w:t>sukcinato</w:t>
            </w:r>
            <w:proofErr w:type="spellEnd"/>
            <w:r w:rsidR="00C04B7A" w:rsidRPr="0032192D">
              <w:rPr>
                <w:rFonts w:eastAsia="Arial"/>
                <w:b/>
                <w:snapToGrid/>
                <w:szCs w:val="22"/>
                <w:lang w:val="lt-LT"/>
              </w:rPr>
              <w:t>/</w:t>
            </w:r>
            <w:proofErr w:type="spellStart"/>
            <w:r w:rsidR="00C04B7A" w:rsidRPr="0032192D">
              <w:rPr>
                <w:rFonts w:eastAsia="Arial"/>
                <w:b/>
                <w:snapToGrid/>
                <w:szCs w:val="22"/>
                <w:lang w:val="lt-LT"/>
              </w:rPr>
              <w:t>tamsulozino</w:t>
            </w:r>
            <w:proofErr w:type="spellEnd"/>
            <w:r w:rsidR="00C04B7A" w:rsidRPr="0032192D">
              <w:rPr>
                <w:rFonts w:eastAsia="Arial"/>
                <w:b/>
                <w:snapToGrid/>
                <w:szCs w:val="22"/>
                <w:lang w:val="lt-LT"/>
              </w:rPr>
              <w:t xml:space="preserve"> hidrochlorido vaistinį preparatą</w:t>
            </w:r>
          </w:p>
        </w:tc>
        <w:tc>
          <w:tcPr>
            <w:tcW w:w="1999" w:type="pct"/>
            <w:gridSpan w:val="2"/>
            <w:shd w:val="clear" w:color="auto" w:fill="auto"/>
          </w:tcPr>
          <w:p w14:paraId="48EDA2F3" w14:textId="4184B947" w:rsidR="00C04B7A" w:rsidRPr="0032192D" w:rsidRDefault="007B316B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b/>
                <w:snapToGrid/>
                <w:szCs w:val="22"/>
                <w:lang w:val="lt-LT"/>
              </w:rPr>
            </w:pPr>
            <w:r>
              <w:rPr>
                <w:rFonts w:eastAsia="Arial"/>
                <w:b/>
                <w:snapToGrid/>
                <w:szCs w:val="22"/>
                <w:lang w:val="lt-LT"/>
              </w:rPr>
              <w:t>NR</w:t>
            </w:r>
            <w:r w:rsidR="00C04B7A" w:rsidRPr="0032192D">
              <w:rPr>
                <w:rFonts w:eastAsia="Arial"/>
                <w:b/>
                <w:snapToGrid/>
                <w:szCs w:val="22"/>
                <w:lang w:val="lt-LT"/>
              </w:rPr>
              <w:t xml:space="preserve"> dažnis, nustatytas vartojant atskirų veikliųjų medžiagų</w:t>
            </w:r>
          </w:p>
        </w:tc>
      </w:tr>
      <w:tr w:rsidR="00C04B7A" w:rsidRPr="0032192D" w14:paraId="241830A0" w14:textId="77777777" w:rsidTr="006B32C7">
        <w:trPr>
          <w:trHeight w:val="284"/>
          <w:tblHeader/>
        </w:trPr>
        <w:tc>
          <w:tcPr>
            <w:tcW w:w="1803" w:type="pct"/>
            <w:vMerge/>
            <w:shd w:val="clear" w:color="auto" w:fill="auto"/>
          </w:tcPr>
          <w:p w14:paraId="5B93C9B6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99" w:type="pct"/>
            <w:vMerge/>
            <w:shd w:val="clear" w:color="auto" w:fill="auto"/>
          </w:tcPr>
          <w:p w14:paraId="4FAE209C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6625E42D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b/>
                <w:snapToGrid/>
                <w:szCs w:val="22"/>
                <w:lang w:val="lt-LT"/>
              </w:rPr>
            </w:pPr>
            <w:proofErr w:type="spellStart"/>
            <w:r w:rsidRPr="0032192D">
              <w:rPr>
                <w:rFonts w:eastAsia="Arial"/>
                <w:b/>
                <w:snapToGrid/>
                <w:szCs w:val="22"/>
                <w:lang w:val="lt-LT"/>
              </w:rPr>
              <w:t>Solifenacinas</w:t>
            </w:r>
            <w:proofErr w:type="spellEnd"/>
            <w:r w:rsidRPr="0032192D">
              <w:rPr>
                <w:rFonts w:eastAsia="Arial"/>
                <w:b/>
                <w:snapToGrid/>
                <w:szCs w:val="22"/>
                <w:lang w:val="lt-LT"/>
              </w:rPr>
              <w:t xml:space="preserve"> 5 mg ir 10 mg#</w:t>
            </w:r>
          </w:p>
        </w:tc>
        <w:tc>
          <w:tcPr>
            <w:tcW w:w="879" w:type="pct"/>
            <w:shd w:val="clear" w:color="auto" w:fill="auto"/>
          </w:tcPr>
          <w:p w14:paraId="56AF7494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b/>
                <w:snapToGrid/>
                <w:szCs w:val="22"/>
                <w:lang w:val="lt-LT"/>
              </w:rPr>
            </w:pPr>
            <w:proofErr w:type="spellStart"/>
            <w:r w:rsidRPr="0032192D">
              <w:rPr>
                <w:rFonts w:eastAsia="Arial"/>
                <w:b/>
                <w:snapToGrid/>
                <w:szCs w:val="22"/>
                <w:lang w:val="lt-LT"/>
              </w:rPr>
              <w:t>Tamsulozinas</w:t>
            </w:r>
            <w:proofErr w:type="spellEnd"/>
            <w:r w:rsidRPr="0032192D">
              <w:rPr>
                <w:rFonts w:eastAsia="Arial"/>
                <w:b/>
                <w:snapToGrid/>
                <w:szCs w:val="22"/>
                <w:lang w:val="lt-LT"/>
              </w:rPr>
              <w:t xml:space="preserve"> 0,4 mg#</w:t>
            </w:r>
          </w:p>
        </w:tc>
      </w:tr>
      <w:tr w:rsidR="00C04B7A" w:rsidRPr="0032192D" w14:paraId="7112EF3F" w14:textId="77777777" w:rsidTr="006B32C7">
        <w:trPr>
          <w:trHeight w:val="284"/>
        </w:trPr>
        <w:tc>
          <w:tcPr>
            <w:tcW w:w="5000" w:type="pct"/>
            <w:gridSpan w:val="4"/>
            <w:shd w:val="clear" w:color="auto" w:fill="auto"/>
          </w:tcPr>
          <w:p w14:paraId="4F0E4251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b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b/>
                <w:snapToGrid/>
                <w:szCs w:val="22"/>
                <w:lang w:val="lt-LT"/>
              </w:rPr>
              <w:t xml:space="preserve">Infekcijos ir </w:t>
            </w:r>
            <w:proofErr w:type="spellStart"/>
            <w:r w:rsidRPr="0032192D">
              <w:rPr>
                <w:rFonts w:eastAsia="Arial"/>
                <w:b/>
                <w:snapToGrid/>
                <w:szCs w:val="22"/>
                <w:lang w:val="lt-LT"/>
              </w:rPr>
              <w:t>infestacijos</w:t>
            </w:r>
            <w:proofErr w:type="spellEnd"/>
          </w:p>
        </w:tc>
      </w:tr>
      <w:tr w:rsidR="00C04B7A" w:rsidRPr="0032192D" w14:paraId="7C8D9235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7E712B36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Šlapimo takų infekcija</w:t>
            </w:r>
          </w:p>
        </w:tc>
        <w:tc>
          <w:tcPr>
            <w:tcW w:w="1199" w:type="pct"/>
            <w:shd w:val="clear" w:color="auto" w:fill="auto"/>
          </w:tcPr>
          <w:p w14:paraId="5693A30A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78E28A2D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  <w:tc>
          <w:tcPr>
            <w:tcW w:w="879" w:type="pct"/>
            <w:shd w:val="clear" w:color="auto" w:fill="auto"/>
          </w:tcPr>
          <w:p w14:paraId="25DBCE7F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42DBC702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5E2F04AC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C</w:t>
            </w:r>
            <w:r w:rsidR="00754EA6" w:rsidRPr="0032192D">
              <w:rPr>
                <w:rFonts w:eastAsia="Arial"/>
                <w:snapToGrid/>
                <w:szCs w:val="22"/>
                <w:lang w:val="lt-LT"/>
              </w:rPr>
              <w:t>istitas</w:t>
            </w:r>
          </w:p>
        </w:tc>
        <w:tc>
          <w:tcPr>
            <w:tcW w:w="1199" w:type="pct"/>
            <w:shd w:val="clear" w:color="auto" w:fill="auto"/>
          </w:tcPr>
          <w:p w14:paraId="4CD3196B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5982FD07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  <w:tc>
          <w:tcPr>
            <w:tcW w:w="879" w:type="pct"/>
            <w:shd w:val="clear" w:color="auto" w:fill="auto"/>
          </w:tcPr>
          <w:p w14:paraId="1131E99C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1E467F7C" w14:textId="77777777" w:rsidTr="006B32C7">
        <w:trPr>
          <w:trHeight w:val="284"/>
        </w:trPr>
        <w:tc>
          <w:tcPr>
            <w:tcW w:w="5000" w:type="pct"/>
            <w:gridSpan w:val="4"/>
            <w:shd w:val="clear" w:color="auto" w:fill="auto"/>
          </w:tcPr>
          <w:p w14:paraId="046E808E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b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b/>
                <w:snapToGrid/>
                <w:szCs w:val="22"/>
                <w:lang w:val="lt-LT"/>
              </w:rPr>
              <w:t>Imuninės sistemos sutrikimai</w:t>
            </w:r>
          </w:p>
        </w:tc>
      </w:tr>
      <w:tr w:rsidR="00C04B7A" w:rsidRPr="0032192D" w14:paraId="0B6D0E73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11957EDB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Anafilaksinė reakcija</w:t>
            </w:r>
          </w:p>
        </w:tc>
        <w:tc>
          <w:tcPr>
            <w:tcW w:w="1199" w:type="pct"/>
            <w:shd w:val="clear" w:color="auto" w:fill="auto"/>
          </w:tcPr>
          <w:p w14:paraId="2F3063FD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6E789EE0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  <w:tc>
          <w:tcPr>
            <w:tcW w:w="879" w:type="pct"/>
            <w:shd w:val="clear" w:color="auto" w:fill="auto"/>
          </w:tcPr>
          <w:p w14:paraId="2473D988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46369A25" w14:textId="77777777" w:rsidTr="006B32C7">
        <w:trPr>
          <w:trHeight w:val="284"/>
        </w:trPr>
        <w:tc>
          <w:tcPr>
            <w:tcW w:w="3001" w:type="pct"/>
            <w:gridSpan w:val="2"/>
            <w:shd w:val="clear" w:color="auto" w:fill="auto"/>
          </w:tcPr>
          <w:p w14:paraId="71D015A9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b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b/>
                <w:snapToGrid/>
                <w:szCs w:val="22"/>
                <w:lang w:val="lt-LT"/>
              </w:rPr>
              <w:t>Metabolizmo ir mitybos sutrikimai</w:t>
            </w:r>
          </w:p>
        </w:tc>
        <w:tc>
          <w:tcPr>
            <w:tcW w:w="1120" w:type="pct"/>
            <w:shd w:val="clear" w:color="auto" w:fill="auto"/>
          </w:tcPr>
          <w:p w14:paraId="56DBE3F6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879" w:type="pct"/>
            <w:shd w:val="clear" w:color="auto" w:fill="auto"/>
          </w:tcPr>
          <w:p w14:paraId="4CC5400A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0B734030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37C46777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Sumažėjęs apetitas</w:t>
            </w:r>
          </w:p>
        </w:tc>
        <w:tc>
          <w:tcPr>
            <w:tcW w:w="1199" w:type="pct"/>
            <w:shd w:val="clear" w:color="auto" w:fill="auto"/>
          </w:tcPr>
          <w:p w14:paraId="04C21AE6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258E94CA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  <w:tc>
          <w:tcPr>
            <w:tcW w:w="879" w:type="pct"/>
            <w:shd w:val="clear" w:color="auto" w:fill="auto"/>
          </w:tcPr>
          <w:p w14:paraId="69EEDBCD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7C5C3984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5F721673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proofErr w:type="spellStart"/>
            <w:r w:rsidRPr="0032192D">
              <w:rPr>
                <w:rFonts w:eastAsia="Arial"/>
                <w:snapToGrid/>
                <w:szCs w:val="22"/>
                <w:lang w:val="lt-LT"/>
              </w:rPr>
              <w:t>H</w:t>
            </w:r>
            <w:r w:rsidR="00754EA6" w:rsidRPr="0032192D">
              <w:rPr>
                <w:rFonts w:eastAsia="Arial"/>
                <w:snapToGrid/>
                <w:szCs w:val="22"/>
                <w:lang w:val="lt-LT"/>
              </w:rPr>
              <w:t>i</w:t>
            </w:r>
            <w:r w:rsidRPr="0032192D">
              <w:rPr>
                <w:rFonts w:eastAsia="Arial"/>
                <w:snapToGrid/>
                <w:szCs w:val="22"/>
                <w:lang w:val="lt-LT"/>
              </w:rPr>
              <w:t>perkalemi</w:t>
            </w:r>
            <w:r w:rsidR="00754EA6" w:rsidRPr="0032192D">
              <w:rPr>
                <w:rFonts w:eastAsia="Arial"/>
                <w:snapToGrid/>
                <w:szCs w:val="22"/>
                <w:lang w:val="lt-LT"/>
              </w:rPr>
              <w:t>j</w:t>
            </w:r>
            <w:r w:rsidRPr="0032192D">
              <w:rPr>
                <w:rFonts w:eastAsia="Arial"/>
                <w:snapToGrid/>
                <w:szCs w:val="22"/>
                <w:lang w:val="lt-LT"/>
              </w:rPr>
              <w:t>a</w:t>
            </w:r>
            <w:proofErr w:type="spellEnd"/>
          </w:p>
        </w:tc>
        <w:tc>
          <w:tcPr>
            <w:tcW w:w="1199" w:type="pct"/>
            <w:shd w:val="clear" w:color="auto" w:fill="auto"/>
          </w:tcPr>
          <w:p w14:paraId="36D42FA4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053475B5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  <w:tc>
          <w:tcPr>
            <w:tcW w:w="879" w:type="pct"/>
            <w:shd w:val="clear" w:color="auto" w:fill="auto"/>
          </w:tcPr>
          <w:p w14:paraId="48944D09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16E3E55D" w14:textId="77777777" w:rsidTr="006B32C7">
        <w:trPr>
          <w:trHeight w:val="284"/>
        </w:trPr>
        <w:tc>
          <w:tcPr>
            <w:tcW w:w="5000" w:type="pct"/>
            <w:gridSpan w:val="4"/>
            <w:shd w:val="clear" w:color="auto" w:fill="auto"/>
          </w:tcPr>
          <w:p w14:paraId="791788B1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b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b/>
                <w:snapToGrid/>
                <w:szCs w:val="22"/>
                <w:lang w:val="lt-LT"/>
              </w:rPr>
              <w:t>Psichikos sutrikimai</w:t>
            </w:r>
          </w:p>
        </w:tc>
      </w:tr>
      <w:tr w:rsidR="00C04B7A" w:rsidRPr="0032192D" w14:paraId="541C5315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3FE2EC63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Haliucinacijos</w:t>
            </w:r>
          </w:p>
        </w:tc>
        <w:tc>
          <w:tcPr>
            <w:tcW w:w="1199" w:type="pct"/>
            <w:shd w:val="clear" w:color="auto" w:fill="auto"/>
          </w:tcPr>
          <w:p w14:paraId="7F93765D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5730DD46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Labai retas*</w:t>
            </w:r>
          </w:p>
        </w:tc>
        <w:tc>
          <w:tcPr>
            <w:tcW w:w="879" w:type="pct"/>
            <w:shd w:val="clear" w:color="auto" w:fill="auto"/>
          </w:tcPr>
          <w:p w14:paraId="08A59A47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5F94B2A0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5DAC3CCC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Sumišimu pasireiškianti būklė</w:t>
            </w:r>
          </w:p>
        </w:tc>
        <w:tc>
          <w:tcPr>
            <w:tcW w:w="1199" w:type="pct"/>
            <w:shd w:val="clear" w:color="auto" w:fill="auto"/>
          </w:tcPr>
          <w:p w14:paraId="33A534BA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63E49C82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Labai retas*</w:t>
            </w:r>
          </w:p>
        </w:tc>
        <w:tc>
          <w:tcPr>
            <w:tcW w:w="879" w:type="pct"/>
            <w:shd w:val="clear" w:color="auto" w:fill="auto"/>
          </w:tcPr>
          <w:p w14:paraId="5455185E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19086305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66959437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proofErr w:type="spellStart"/>
            <w:r w:rsidRPr="0032192D">
              <w:rPr>
                <w:rFonts w:eastAsia="Arial"/>
                <w:snapToGrid/>
                <w:szCs w:val="22"/>
                <w:lang w:val="lt-LT"/>
              </w:rPr>
              <w:t>Delyras</w:t>
            </w:r>
            <w:proofErr w:type="spellEnd"/>
          </w:p>
        </w:tc>
        <w:tc>
          <w:tcPr>
            <w:tcW w:w="1199" w:type="pct"/>
            <w:shd w:val="clear" w:color="auto" w:fill="auto"/>
          </w:tcPr>
          <w:p w14:paraId="1363F7FF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7D2DA855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  <w:tc>
          <w:tcPr>
            <w:tcW w:w="879" w:type="pct"/>
            <w:shd w:val="clear" w:color="auto" w:fill="auto"/>
          </w:tcPr>
          <w:p w14:paraId="5B9FB5A5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25715D22" w14:textId="77777777" w:rsidTr="006B32C7">
        <w:trPr>
          <w:trHeight w:val="284"/>
        </w:trPr>
        <w:tc>
          <w:tcPr>
            <w:tcW w:w="5000" w:type="pct"/>
            <w:gridSpan w:val="4"/>
            <w:shd w:val="clear" w:color="auto" w:fill="auto"/>
          </w:tcPr>
          <w:p w14:paraId="71CB75C1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b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b/>
                <w:snapToGrid/>
                <w:szCs w:val="22"/>
                <w:lang w:val="lt-LT"/>
              </w:rPr>
              <w:t>Nervų sistemos sutrikimai</w:t>
            </w:r>
          </w:p>
        </w:tc>
      </w:tr>
      <w:tr w:rsidR="00C04B7A" w:rsidRPr="0032192D" w14:paraId="220C0893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090EAA1C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Svaigulys</w:t>
            </w:r>
          </w:p>
        </w:tc>
        <w:tc>
          <w:tcPr>
            <w:tcW w:w="1199" w:type="pct"/>
            <w:shd w:val="clear" w:color="auto" w:fill="auto"/>
          </w:tcPr>
          <w:p w14:paraId="12A0B5F6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Dažnas</w:t>
            </w:r>
          </w:p>
        </w:tc>
        <w:tc>
          <w:tcPr>
            <w:tcW w:w="1120" w:type="pct"/>
            <w:shd w:val="clear" w:color="auto" w:fill="auto"/>
          </w:tcPr>
          <w:p w14:paraId="3A716447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Retas*</w:t>
            </w:r>
          </w:p>
        </w:tc>
        <w:tc>
          <w:tcPr>
            <w:tcW w:w="879" w:type="pct"/>
            <w:shd w:val="clear" w:color="auto" w:fill="auto"/>
          </w:tcPr>
          <w:p w14:paraId="2B20BD54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Dažnas</w:t>
            </w:r>
          </w:p>
        </w:tc>
      </w:tr>
      <w:tr w:rsidR="00C04B7A" w:rsidRPr="0032192D" w14:paraId="428DB735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42B1A6B3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Somnolenc</w:t>
            </w:r>
            <w:r w:rsidR="00754EA6" w:rsidRPr="0032192D">
              <w:rPr>
                <w:rFonts w:eastAsia="Arial"/>
                <w:snapToGrid/>
                <w:szCs w:val="22"/>
                <w:lang w:val="lt-LT"/>
              </w:rPr>
              <w:t>ija</w:t>
            </w:r>
          </w:p>
        </w:tc>
        <w:tc>
          <w:tcPr>
            <w:tcW w:w="1199" w:type="pct"/>
            <w:shd w:val="clear" w:color="auto" w:fill="auto"/>
          </w:tcPr>
          <w:p w14:paraId="3454FCD1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3B73A4F5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  <w:tc>
          <w:tcPr>
            <w:tcW w:w="879" w:type="pct"/>
            <w:shd w:val="clear" w:color="auto" w:fill="auto"/>
          </w:tcPr>
          <w:p w14:paraId="5E8C2C56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1DC810A8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51BA4F88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proofErr w:type="spellStart"/>
            <w:r w:rsidRPr="0032192D">
              <w:rPr>
                <w:rFonts w:eastAsia="Arial"/>
                <w:snapToGrid/>
                <w:szCs w:val="22"/>
                <w:lang w:val="lt-LT"/>
              </w:rPr>
              <w:t>Disgeuzija</w:t>
            </w:r>
            <w:proofErr w:type="spellEnd"/>
          </w:p>
        </w:tc>
        <w:tc>
          <w:tcPr>
            <w:tcW w:w="1199" w:type="pct"/>
            <w:shd w:val="clear" w:color="auto" w:fill="auto"/>
          </w:tcPr>
          <w:p w14:paraId="738A0818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11656BF2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  <w:tc>
          <w:tcPr>
            <w:tcW w:w="879" w:type="pct"/>
            <w:shd w:val="clear" w:color="auto" w:fill="auto"/>
          </w:tcPr>
          <w:p w14:paraId="7AEAD3B0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4B3DE130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1F33D17A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Galvos skausmas</w:t>
            </w:r>
          </w:p>
        </w:tc>
        <w:tc>
          <w:tcPr>
            <w:tcW w:w="1199" w:type="pct"/>
            <w:shd w:val="clear" w:color="auto" w:fill="auto"/>
          </w:tcPr>
          <w:p w14:paraId="21F803FF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42BE1CD6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Retas*</w:t>
            </w:r>
          </w:p>
        </w:tc>
        <w:tc>
          <w:tcPr>
            <w:tcW w:w="879" w:type="pct"/>
            <w:shd w:val="clear" w:color="auto" w:fill="auto"/>
          </w:tcPr>
          <w:p w14:paraId="1265175C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</w:tr>
      <w:tr w:rsidR="00C04B7A" w:rsidRPr="0032192D" w14:paraId="26062569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1FF4D431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Apalpimas</w:t>
            </w:r>
          </w:p>
        </w:tc>
        <w:tc>
          <w:tcPr>
            <w:tcW w:w="1199" w:type="pct"/>
            <w:shd w:val="clear" w:color="auto" w:fill="auto"/>
          </w:tcPr>
          <w:p w14:paraId="0E7D28E8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7296FC3C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879" w:type="pct"/>
            <w:shd w:val="clear" w:color="auto" w:fill="auto"/>
          </w:tcPr>
          <w:p w14:paraId="25576D3B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Retas</w:t>
            </w:r>
          </w:p>
        </w:tc>
      </w:tr>
      <w:tr w:rsidR="00C04B7A" w:rsidRPr="0032192D" w14:paraId="2E8109A1" w14:textId="77777777" w:rsidTr="006B32C7">
        <w:trPr>
          <w:trHeight w:val="284"/>
        </w:trPr>
        <w:tc>
          <w:tcPr>
            <w:tcW w:w="5000" w:type="pct"/>
            <w:gridSpan w:val="4"/>
            <w:shd w:val="clear" w:color="auto" w:fill="auto"/>
          </w:tcPr>
          <w:p w14:paraId="54D5F0BB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b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b/>
                <w:snapToGrid/>
                <w:szCs w:val="22"/>
                <w:lang w:val="lt-LT"/>
              </w:rPr>
              <w:t>Akių sutrikimai</w:t>
            </w:r>
          </w:p>
        </w:tc>
      </w:tr>
      <w:tr w:rsidR="00C04B7A" w:rsidRPr="0032192D" w14:paraId="004548BA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275B3B35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lastRenderedPageBreak/>
              <w:t xml:space="preserve">Matomo vaisto </w:t>
            </w:r>
            <w:proofErr w:type="spellStart"/>
            <w:r w:rsidRPr="0032192D">
              <w:rPr>
                <w:rFonts w:eastAsia="Arial"/>
                <w:snapToGrid/>
                <w:szCs w:val="22"/>
                <w:lang w:val="lt-LT"/>
              </w:rPr>
              <w:t>neryškumas</w:t>
            </w:r>
            <w:proofErr w:type="spellEnd"/>
          </w:p>
        </w:tc>
        <w:tc>
          <w:tcPr>
            <w:tcW w:w="1199" w:type="pct"/>
            <w:shd w:val="clear" w:color="auto" w:fill="auto"/>
          </w:tcPr>
          <w:p w14:paraId="71FB324C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Dažnas</w:t>
            </w:r>
          </w:p>
        </w:tc>
        <w:tc>
          <w:tcPr>
            <w:tcW w:w="1120" w:type="pct"/>
            <w:shd w:val="clear" w:color="auto" w:fill="auto"/>
          </w:tcPr>
          <w:p w14:paraId="4CC589D7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Dažnas</w:t>
            </w:r>
          </w:p>
        </w:tc>
        <w:tc>
          <w:tcPr>
            <w:tcW w:w="879" w:type="pct"/>
            <w:shd w:val="clear" w:color="auto" w:fill="auto"/>
          </w:tcPr>
          <w:p w14:paraId="5145DD3D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</w:tr>
      <w:tr w:rsidR="00C04B7A" w:rsidRPr="0032192D" w14:paraId="75A21DDB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7D03B9B2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TimesNewRoman"/>
                <w:snapToGrid/>
                <w:szCs w:val="22"/>
                <w:lang w:val="lt-LT"/>
              </w:rPr>
              <w:t xml:space="preserve">Operacinis suglebusios rainelės sindromas (angl. </w:t>
            </w:r>
            <w:proofErr w:type="spellStart"/>
            <w:r w:rsidRPr="0032192D">
              <w:rPr>
                <w:rFonts w:eastAsia="TimesNewRoman"/>
                <w:i/>
                <w:iCs/>
                <w:snapToGrid/>
                <w:szCs w:val="22"/>
                <w:lang w:val="lt-LT"/>
              </w:rPr>
              <w:t>Intraoperative</w:t>
            </w:r>
            <w:proofErr w:type="spellEnd"/>
            <w:r w:rsidRPr="0032192D">
              <w:rPr>
                <w:rFonts w:eastAsia="TimesNewRoman"/>
                <w:i/>
                <w:iCs/>
                <w:snapToGrid/>
                <w:szCs w:val="22"/>
                <w:lang w:val="lt-LT"/>
              </w:rPr>
              <w:t xml:space="preserve"> </w:t>
            </w:r>
            <w:proofErr w:type="spellStart"/>
            <w:r w:rsidRPr="0032192D">
              <w:rPr>
                <w:rFonts w:eastAsia="TimesNewRoman"/>
                <w:i/>
                <w:iCs/>
                <w:snapToGrid/>
                <w:szCs w:val="22"/>
                <w:lang w:val="lt-LT"/>
              </w:rPr>
              <w:t>Floppy</w:t>
            </w:r>
            <w:proofErr w:type="spellEnd"/>
            <w:r w:rsidRPr="0032192D">
              <w:rPr>
                <w:rFonts w:eastAsia="TimesNewRoman"/>
                <w:i/>
                <w:iCs/>
                <w:snapToGrid/>
                <w:szCs w:val="22"/>
                <w:lang w:val="lt-LT"/>
              </w:rPr>
              <w:t xml:space="preserve"> Iris </w:t>
            </w:r>
            <w:proofErr w:type="spellStart"/>
            <w:r w:rsidRPr="0032192D">
              <w:rPr>
                <w:rFonts w:eastAsia="TimesNewRoman"/>
                <w:i/>
                <w:iCs/>
                <w:snapToGrid/>
                <w:szCs w:val="22"/>
                <w:lang w:val="lt-LT"/>
              </w:rPr>
              <w:t>Syndrome</w:t>
            </w:r>
            <w:proofErr w:type="spellEnd"/>
            <w:r w:rsidRPr="0032192D">
              <w:rPr>
                <w:rFonts w:eastAsia="TimesNewRoman"/>
                <w:snapToGrid/>
                <w:szCs w:val="22"/>
                <w:lang w:val="lt-LT"/>
              </w:rPr>
              <w:t>, IFIS)</w:t>
            </w:r>
          </w:p>
        </w:tc>
        <w:tc>
          <w:tcPr>
            <w:tcW w:w="1199" w:type="pct"/>
            <w:shd w:val="clear" w:color="auto" w:fill="auto"/>
          </w:tcPr>
          <w:p w14:paraId="12F7CF5D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47DAE1A6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879" w:type="pct"/>
            <w:shd w:val="clear" w:color="auto" w:fill="auto"/>
          </w:tcPr>
          <w:p w14:paraId="330F865B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Nežinomas**</w:t>
            </w:r>
          </w:p>
        </w:tc>
      </w:tr>
      <w:tr w:rsidR="00C04B7A" w:rsidRPr="0032192D" w14:paraId="34D6D9F5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676061BA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Akių džiūvimas</w:t>
            </w:r>
          </w:p>
        </w:tc>
        <w:tc>
          <w:tcPr>
            <w:tcW w:w="1199" w:type="pct"/>
            <w:shd w:val="clear" w:color="auto" w:fill="auto"/>
          </w:tcPr>
          <w:p w14:paraId="7792107B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398F3ED0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  <w:tc>
          <w:tcPr>
            <w:tcW w:w="879" w:type="pct"/>
            <w:shd w:val="clear" w:color="auto" w:fill="auto"/>
          </w:tcPr>
          <w:p w14:paraId="47697C6A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3EB23690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3174519D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Glau</w:t>
            </w:r>
            <w:r w:rsidR="00754EA6" w:rsidRPr="0032192D">
              <w:rPr>
                <w:rFonts w:eastAsia="Arial"/>
                <w:snapToGrid/>
                <w:szCs w:val="22"/>
                <w:lang w:val="lt-LT"/>
              </w:rPr>
              <w:t>k</w:t>
            </w:r>
            <w:r w:rsidRPr="0032192D">
              <w:rPr>
                <w:rFonts w:eastAsia="Arial"/>
                <w:snapToGrid/>
                <w:szCs w:val="22"/>
                <w:lang w:val="lt-LT"/>
              </w:rPr>
              <w:t>oma</w:t>
            </w:r>
          </w:p>
        </w:tc>
        <w:tc>
          <w:tcPr>
            <w:tcW w:w="1199" w:type="pct"/>
            <w:shd w:val="clear" w:color="auto" w:fill="auto"/>
          </w:tcPr>
          <w:p w14:paraId="566BC40F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7F4D4CFC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  <w:tc>
          <w:tcPr>
            <w:tcW w:w="879" w:type="pct"/>
            <w:shd w:val="clear" w:color="auto" w:fill="auto"/>
          </w:tcPr>
          <w:p w14:paraId="538F6212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09AF2C9A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55E40CFA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Regos pablogėjimas</w:t>
            </w:r>
          </w:p>
        </w:tc>
        <w:tc>
          <w:tcPr>
            <w:tcW w:w="1199" w:type="pct"/>
            <w:shd w:val="clear" w:color="auto" w:fill="auto"/>
          </w:tcPr>
          <w:p w14:paraId="28D2A46B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33FA6F4B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879" w:type="pct"/>
            <w:shd w:val="clear" w:color="auto" w:fill="auto"/>
          </w:tcPr>
          <w:p w14:paraId="298C6298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</w:tr>
      <w:tr w:rsidR="00C04B7A" w:rsidRPr="0032192D" w14:paraId="071F29C2" w14:textId="77777777" w:rsidTr="006B32C7">
        <w:trPr>
          <w:trHeight w:val="284"/>
        </w:trPr>
        <w:tc>
          <w:tcPr>
            <w:tcW w:w="5000" w:type="pct"/>
            <w:gridSpan w:val="4"/>
            <w:shd w:val="clear" w:color="auto" w:fill="auto"/>
          </w:tcPr>
          <w:p w14:paraId="204EB915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b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b/>
                <w:snapToGrid/>
                <w:szCs w:val="22"/>
                <w:lang w:val="lt-LT"/>
              </w:rPr>
              <w:t>Širdies sutrikimai</w:t>
            </w:r>
          </w:p>
        </w:tc>
      </w:tr>
      <w:tr w:rsidR="00C04B7A" w:rsidRPr="0032192D" w14:paraId="1038487B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5191A3C2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Palpita</w:t>
            </w:r>
            <w:r w:rsidR="00754EA6" w:rsidRPr="0032192D">
              <w:rPr>
                <w:rFonts w:eastAsia="Arial"/>
                <w:snapToGrid/>
                <w:szCs w:val="22"/>
                <w:lang w:val="lt-LT"/>
              </w:rPr>
              <w:t>cijos</w:t>
            </w:r>
          </w:p>
        </w:tc>
        <w:tc>
          <w:tcPr>
            <w:tcW w:w="1199" w:type="pct"/>
            <w:shd w:val="clear" w:color="auto" w:fill="auto"/>
          </w:tcPr>
          <w:p w14:paraId="5B4430BA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620E34F2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  <w:tc>
          <w:tcPr>
            <w:tcW w:w="879" w:type="pct"/>
            <w:shd w:val="clear" w:color="auto" w:fill="auto"/>
          </w:tcPr>
          <w:p w14:paraId="56121EE6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</w:tr>
      <w:tr w:rsidR="00C04B7A" w:rsidRPr="0032192D" w14:paraId="70CF002D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5A4151E0" w14:textId="77777777" w:rsidR="00C04B7A" w:rsidRPr="0032192D" w:rsidRDefault="00F26CF0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proofErr w:type="spellStart"/>
            <w:r w:rsidRPr="0032192D">
              <w:rPr>
                <w:rFonts w:eastAsia="TimesNewRoman"/>
                <w:snapToGrid/>
                <w:szCs w:val="22"/>
                <w:lang w:val="lt-LT"/>
              </w:rPr>
              <w:t>Paroksizminė</w:t>
            </w:r>
            <w:proofErr w:type="spellEnd"/>
            <w:r w:rsidRPr="0032192D">
              <w:rPr>
                <w:rFonts w:eastAsia="TimesNewRoman"/>
                <w:snapToGrid/>
                <w:szCs w:val="22"/>
                <w:lang w:val="lt-LT"/>
              </w:rPr>
              <w:t xml:space="preserve"> </w:t>
            </w:r>
            <w:proofErr w:type="spellStart"/>
            <w:r w:rsidRPr="0032192D">
              <w:rPr>
                <w:rFonts w:eastAsia="TimesNewRoman"/>
                <w:snapToGrid/>
                <w:szCs w:val="22"/>
                <w:lang w:val="lt-LT"/>
              </w:rPr>
              <w:t>p</w:t>
            </w:r>
            <w:r w:rsidR="00754EA6" w:rsidRPr="0032192D">
              <w:rPr>
                <w:rFonts w:eastAsia="TimesNewRoman"/>
                <w:snapToGrid/>
                <w:szCs w:val="22"/>
                <w:lang w:val="lt-LT"/>
              </w:rPr>
              <w:t>olimorfinė</w:t>
            </w:r>
            <w:proofErr w:type="spellEnd"/>
            <w:r w:rsidR="00754EA6" w:rsidRPr="0032192D">
              <w:rPr>
                <w:rFonts w:eastAsia="TimesNewRoman"/>
                <w:snapToGrid/>
                <w:szCs w:val="22"/>
                <w:lang w:val="lt-LT"/>
              </w:rPr>
              <w:t xml:space="preserve"> </w:t>
            </w:r>
            <w:proofErr w:type="spellStart"/>
            <w:r w:rsidR="00754EA6" w:rsidRPr="0032192D">
              <w:rPr>
                <w:rFonts w:eastAsia="TimesNewRoman"/>
                <w:snapToGrid/>
                <w:szCs w:val="22"/>
                <w:lang w:val="lt-LT"/>
              </w:rPr>
              <w:t>skilvelinė</w:t>
            </w:r>
            <w:proofErr w:type="spellEnd"/>
            <w:r w:rsidR="00754EA6" w:rsidRPr="0032192D">
              <w:rPr>
                <w:rFonts w:eastAsia="TimesNewRoman"/>
                <w:snapToGrid/>
                <w:szCs w:val="22"/>
                <w:lang w:val="lt-LT"/>
              </w:rPr>
              <w:t xml:space="preserve"> </w:t>
            </w:r>
            <w:proofErr w:type="spellStart"/>
            <w:r w:rsidR="00754EA6" w:rsidRPr="0032192D">
              <w:rPr>
                <w:rFonts w:eastAsia="TimesNewRoman"/>
                <w:snapToGrid/>
                <w:szCs w:val="22"/>
                <w:lang w:val="lt-LT"/>
              </w:rPr>
              <w:t>tachikardija</w:t>
            </w:r>
            <w:proofErr w:type="spellEnd"/>
            <w:r w:rsidR="00754EA6" w:rsidRPr="0032192D">
              <w:rPr>
                <w:rFonts w:eastAsia="TimesNewRoman"/>
                <w:snapToGrid/>
                <w:szCs w:val="22"/>
                <w:lang w:val="lt-LT"/>
              </w:rPr>
              <w:t xml:space="preserve"> (</w:t>
            </w:r>
            <w:proofErr w:type="spellStart"/>
            <w:r w:rsidR="00754EA6" w:rsidRPr="0032192D">
              <w:rPr>
                <w:rFonts w:eastAsia="TimesNewRoman"/>
                <w:i/>
                <w:iCs/>
                <w:snapToGrid/>
                <w:szCs w:val="22"/>
                <w:lang w:val="lt-LT"/>
              </w:rPr>
              <w:t>Torsade</w:t>
            </w:r>
            <w:proofErr w:type="spellEnd"/>
            <w:r w:rsidR="00754EA6" w:rsidRPr="0032192D">
              <w:rPr>
                <w:rFonts w:eastAsia="TimesNewRoman"/>
                <w:i/>
                <w:iCs/>
                <w:snapToGrid/>
                <w:szCs w:val="22"/>
                <w:lang w:val="lt-LT"/>
              </w:rPr>
              <w:t xml:space="preserve"> de </w:t>
            </w:r>
            <w:proofErr w:type="spellStart"/>
            <w:r w:rsidR="00754EA6" w:rsidRPr="0032192D">
              <w:rPr>
                <w:rFonts w:eastAsia="TimesNewRoman"/>
                <w:i/>
                <w:iCs/>
                <w:snapToGrid/>
                <w:szCs w:val="22"/>
                <w:lang w:val="lt-LT"/>
              </w:rPr>
              <w:t>Pointes</w:t>
            </w:r>
            <w:proofErr w:type="spellEnd"/>
            <w:r w:rsidR="00754EA6" w:rsidRPr="0032192D">
              <w:rPr>
                <w:rFonts w:eastAsia="TimesNewRoman"/>
                <w:snapToGrid/>
                <w:szCs w:val="22"/>
                <w:lang w:val="lt-LT"/>
              </w:rPr>
              <w:t>)</w:t>
            </w:r>
          </w:p>
        </w:tc>
        <w:tc>
          <w:tcPr>
            <w:tcW w:w="1199" w:type="pct"/>
            <w:shd w:val="clear" w:color="auto" w:fill="auto"/>
          </w:tcPr>
          <w:p w14:paraId="16EEEB40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66C3A6CD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  <w:tc>
          <w:tcPr>
            <w:tcW w:w="879" w:type="pct"/>
            <w:shd w:val="clear" w:color="auto" w:fill="auto"/>
          </w:tcPr>
          <w:p w14:paraId="7AE2FB48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7188269A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5046A479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 xml:space="preserve">QT </w:t>
            </w:r>
            <w:r w:rsidR="00754EA6" w:rsidRPr="0032192D">
              <w:rPr>
                <w:rFonts w:eastAsia="Arial"/>
                <w:snapToGrid/>
                <w:szCs w:val="22"/>
                <w:lang w:val="lt-LT"/>
              </w:rPr>
              <w:t>intervalo pailgėjimas elektrokardiogramoje</w:t>
            </w:r>
          </w:p>
        </w:tc>
        <w:tc>
          <w:tcPr>
            <w:tcW w:w="1199" w:type="pct"/>
            <w:shd w:val="clear" w:color="auto" w:fill="auto"/>
          </w:tcPr>
          <w:p w14:paraId="4120A5FA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1C8C3081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  <w:tc>
          <w:tcPr>
            <w:tcW w:w="879" w:type="pct"/>
            <w:shd w:val="clear" w:color="auto" w:fill="auto"/>
          </w:tcPr>
          <w:p w14:paraId="492D7FAF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3D7B5815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0F3DCD79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Prieširdžių virpėjimas</w:t>
            </w:r>
          </w:p>
        </w:tc>
        <w:tc>
          <w:tcPr>
            <w:tcW w:w="1199" w:type="pct"/>
            <w:shd w:val="clear" w:color="auto" w:fill="auto"/>
          </w:tcPr>
          <w:p w14:paraId="5100413F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11D3E0C3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  <w:tc>
          <w:tcPr>
            <w:tcW w:w="879" w:type="pct"/>
            <w:shd w:val="clear" w:color="auto" w:fill="auto"/>
          </w:tcPr>
          <w:p w14:paraId="08624846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</w:tr>
      <w:tr w:rsidR="00C04B7A" w:rsidRPr="0032192D" w14:paraId="1722C3D1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3FEEEF60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Aritmija</w:t>
            </w:r>
          </w:p>
        </w:tc>
        <w:tc>
          <w:tcPr>
            <w:tcW w:w="1199" w:type="pct"/>
            <w:shd w:val="clear" w:color="auto" w:fill="auto"/>
          </w:tcPr>
          <w:p w14:paraId="4C62163B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69FBC5E6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879" w:type="pct"/>
            <w:shd w:val="clear" w:color="auto" w:fill="auto"/>
          </w:tcPr>
          <w:p w14:paraId="7AE3FB0B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</w:tr>
      <w:tr w:rsidR="00C04B7A" w:rsidRPr="0032192D" w14:paraId="22CAFE4C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2BBEF547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Tach</w:t>
            </w:r>
            <w:r w:rsidR="00754EA6" w:rsidRPr="0032192D">
              <w:rPr>
                <w:rFonts w:eastAsia="Arial"/>
                <w:snapToGrid/>
                <w:szCs w:val="22"/>
                <w:lang w:val="lt-LT"/>
              </w:rPr>
              <w:t>ik</w:t>
            </w:r>
            <w:r w:rsidRPr="0032192D">
              <w:rPr>
                <w:rFonts w:eastAsia="Arial"/>
                <w:snapToGrid/>
                <w:szCs w:val="22"/>
                <w:lang w:val="lt-LT"/>
              </w:rPr>
              <w:t>ardi</w:t>
            </w:r>
            <w:r w:rsidR="00754EA6" w:rsidRPr="0032192D">
              <w:rPr>
                <w:rFonts w:eastAsia="Arial"/>
                <w:snapToGrid/>
                <w:szCs w:val="22"/>
                <w:lang w:val="lt-LT"/>
              </w:rPr>
              <w:t>j</w:t>
            </w:r>
            <w:r w:rsidRPr="0032192D">
              <w:rPr>
                <w:rFonts w:eastAsia="Arial"/>
                <w:snapToGrid/>
                <w:szCs w:val="22"/>
                <w:lang w:val="lt-LT"/>
              </w:rPr>
              <w:t>a</w:t>
            </w:r>
          </w:p>
        </w:tc>
        <w:tc>
          <w:tcPr>
            <w:tcW w:w="1199" w:type="pct"/>
            <w:shd w:val="clear" w:color="auto" w:fill="auto"/>
          </w:tcPr>
          <w:p w14:paraId="57D48227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0E91F873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  <w:tc>
          <w:tcPr>
            <w:tcW w:w="879" w:type="pct"/>
            <w:shd w:val="clear" w:color="auto" w:fill="auto"/>
          </w:tcPr>
          <w:p w14:paraId="10F504EF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</w:tr>
      <w:tr w:rsidR="00C04B7A" w:rsidRPr="0032192D" w14:paraId="38F67196" w14:textId="77777777" w:rsidTr="006B32C7">
        <w:trPr>
          <w:trHeight w:val="284"/>
        </w:trPr>
        <w:tc>
          <w:tcPr>
            <w:tcW w:w="5000" w:type="pct"/>
            <w:gridSpan w:val="4"/>
            <w:shd w:val="clear" w:color="auto" w:fill="auto"/>
          </w:tcPr>
          <w:p w14:paraId="608A694C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b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b/>
                <w:snapToGrid/>
                <w:szCs w:val="22"/>
                <w:lang w:val="lt-LT"/>
              </w:rPr>
              <w:t>Kraujagyslių sutrikimai</w:t>
            </w:r>
          </w:p>
        </w:tc>
      </w:tr>
      <w:tr w:rsidR="00C04B7A" w:rsidRPr="0032192D" w14:paraId="479C5892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61704D53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proofErr w:type="spellStart"/>
            <w:r w:rsidRPr="0032192D">
              <w:rPr>
                <w:rFonts w:eastAsia="Arial"/>
                <w:snapToGrid/>
                <w:szCs w:val="22"/>
                <w:lang w:val="lt-LT"/>
              </w:rPr>
              <w:t>Ort</w:t>
            </w:r>
            <w:r w:rsidR="00754EA6" w:rsidRPr="0032192D">
              <w:rPr>
                <w:rFonts w:eastAsia="Arial"/>
                <w:snapToGrid/>
                <w:szCs w:val="22"/>
                <w:lang w:val="lt-LT"/>
              </w:rPr>
              <w:t>ostatinė</w:t>
            </w:r>
            <w:proofErr w:type="spellEnd"/>
            <w:r w:rsidR="00754EA6" w:rsidRPr="0032192D">
              <w:rPr>
                <w:rFonts w:eastAsia="Arial"/>
                <w:snapToGrid/>
                <w:szCs w:val="22"/>
                <w:lang w:val="lt-LT"/>
              </w:rPr>
              <w:t xml:space="preserve"> </w:t>
            </w:r>
            <w:proofErr w:type="spellStart"/>
            <w:r w:rsidR="00754EA6" w:rsidRPr="0032192D">
              <w:rPr>
                <w:rFonts w:eastAsia="Arial"/>
                <w:snapToGrid/>
                <w:szCs w:val="22"/>
                <w:lang w:val="lt-LT"/>
              </w:rPr>
              <w:t>hipotenzija</w:t>
            </w:r>
            <w:proofErr w:type="spellEnd"/>
          </w:p>
        </w:tc>
        <w:tc>
          <w:tcPr>
            <w:tcW w:w="1199" w:type="pct"/>
            <w:shd w:val="clear" w:color="auto" w:fill="auto"/>
          </w:tcPr>
          <w:p w14:paraId="2C534E15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12E748CF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879" w:type="pct"/>
            <w:shd w:val="clear" w:color="auto" w:fill="auto"/>
          </w:tcPr>
          <w:p w14:paraId="4DE0E41F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</w:tr>
      <w:tr w:rsidR="00C04B7A" w:rsidRPr="0032192D" w14:paraId="6D66304E" w14:textId="77777777" w:rsidTr="006B32C7">
        <w:trPr>
          <w:trHeight w:val="284"/>
        </w:trPr>
        <w:tc>
          <w:tcPr>
            <w:tcW w:w="5000" w:type="pct"/>
            <w:gridSpan w:val="4"/>
            <w:shd w:val="clear" w:color="auto" w:fill="auto"/>
          </w:tcPr>
          <w:p w14:paraId="53FEB4AD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b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b/>
                <w:snapToGrid/>
                <w:szCs w:val="22"/>
                <w:lang w:val="lt-LT"/>
              </w:rPr>
              <w:t>Kvėpavimo sistemos, krūtinės ląstos ir tarpuplaučio sutrikimai</w:t>
            </w:r>
          </w:p>
        </w:tc>
      </w:tr>
      <w:tr w:rsidR="00C04B7A" w:rsidRPr="0032192D" w14:paraId="192CA421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045809EA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Rinitas</w:t>
            </w:r>
          </w:p>
        </w:tc>
        <w:tc>
          <w:tcPr>
            <w:tcW w:w="1199" w:type="pct"/>
            <w:shd w:val="clear" w:color="auto" w:fill="auto"/>
          </w:tcPr>
          <w:p w14:paraId="408106F0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30F3F01E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879" w:type="pct"/>
            <w:shd w:val="clear" w:color="auto" w:fill="auto"/>
          </w:tcPr>
          <w:p w14:paraId="194F7AF4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</w:tr>
      <w:tr w:rsidR="00C04B7A" w:rsidRPr="0032192D" w14:paraId="72F7D648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60A15662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Nosies džiūvimas</w:t>
            </w:r>
          </w:p>
        </w:tc>
        <w:tc>
          <w:tcPr>
            <w:tcW w:w="1199" w:type="pct"/>
            <w:shd w:val="clear" w:color="auto" w:fill="auto"/>
          </w:tcPr>
          <w:p w14:paraId="287BE9FC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34CC301B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  <w:tc>
          <w:tcPr>
            <w:tcW w:w="879" w:type="pct"/>
            <w:shd w:val="clear" w:color="auto" w:fill="auto"/>
          </w:tcPr>
          <w:p w14:paraId="185E4132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38BD5B4B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28E46E0F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proofErr w:type="spellStart"/>
            <w:r w:rsidRPr="0032192D">
              <w:rPr>
                <w:rFonts w:eastAsia="Arial"/>
                <w:snapToGrid/>
                <w:szCs w:val="22"/>
                <w:lang w:val="lt-LT"/>
              </w:rPr>
              <w:t>Dispnėja</w:t>
            </w:r>
            <w:proofErr w:type="spellEnd"/>
          </w:p>
        </w:tc>
        <w:tc>
          <w:tcPr>
            <w:tcW w:w="1199" w:type="pct"/>
            <w:shd w:val="clear" w:color="auto" w:fill="auto"/>
          </w:tcPr>
          <w:p w14:paraId="5E5F107C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0008597D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879" w:type="pct"/>
            <w:shd w:val="clear" w:color="auto" w:fill="auto"/>
          </w:tcPr>
          <w:p w14:paraId="5B5DCE3A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</w:tr>
      <w:tr w:rsidR="00C04B7A" w:rsidRPr="0032192D" w14:paraId="7F9B4BE2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536413A7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proofErr w:type="spellStart"/>
            <w:r w:rsidRPr="0032192D">
              <w:rPr>
                <w:rFonts w:eastAsia="Arial"/>
                <w:snapToGrid/>
                <w:szCs w:val="22"/>
                <w:lang w:val="lt-LT"/>
              </w:rPr>
              <w:t>Disfonija</w:t>
            </w:r>
            <w:proofErr w:type="spellEnd"/>
          </w:p>
        </w:tc>
        <w:tc>
          <w:tcPr>
            <w:tcW w:w="1199" w:type="pct"/>
            <w:shd w:val="clear" w:color="auto" w:fill="auto"/>
          </w:tcPr>
          <w:p w14:paraId="4152CB7A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2054F10C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  <w:tc>
          <w:tcPr>
            <w:tcW w:w="879" w:type="pct"/>
            <w:shd w:val="clear" w:color="auto" w:fill="auto"/>
          </w:tcPr>
          <w:p w14:paraId="75B01825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0ACAA81E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03BB1477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Kraujavimas iš nosies</w:t>
            </w:r>
          </w:p>
        </w:tc>
        <w:tc>
          <w:tcPr>
            <w:tcW w:w="1199" w:type="pct"/>
            <w:shd w:val="clear" w:color="auto" w:fill="auto"/>
          </w:tcPr>
          <w:p w14:paraId="3B0CDA58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772135E3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879" w:type="pct"/>
            <w:shd w:val="clear" w:color="auto" w:fill="auto"/>
          </w:tcPr>
          <w:p w14:paraId="501D3016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</w:tr>
      <w:tr w:rsidR="00C04B7A" w:rsidRPr="0032192D" w14:paraId="6D8A5F6E" w14:textId="77777777" w:rsidTr="006B32C7">
        <w:trPr>
          <w:trHeight w:val="284"/>
        </w:trPr>
        <w:tc>
          <w:tcPr>
            <w:tcW w:w="5000" w:type="pct"/>
            <w:gridSpan w:val="4"/>
            <w:shd w:val="clear" w:color="auto" w:fill="auto"/>
          </w:tcPr>
          <w:p w14:paraId="1BA03E7F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b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b/>
                <w:snapToGrid/>
                <w:szCs w:val="22"/>
                <w:lang w:val="lt-LT"/>
              </w:rPr>
              <w:t>Virškinimo trakto sutrikimai</w:t>
            </w:r>
          </w:p>
        </w:tc>
      </w:tr>
      <w:tr w:rsidR="00C04B7A" w:rsidRPr="0032192D" w14:paraId="41826E02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707C023C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Burnos džiūvimas</w:t>
            </w:r>
          </w:p>
        </w:tc>
        <w:tc>
          <w:tcPr>
            <w:tcW w:w="1199" w:type="pct"/>
            <w:shd w:val="clear" w:color="auto" w:fill="auto"/>
          </w:tcPr>
          <w:p w14:paraId="606E9AA0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Dažnas</w:t>
            </w:r>
          </w:p>
        </w:tc>
        <w:tc>
          <w:tcPr>
            <w:tcW w:w="1120" w:type="pct"/>
            <w:shd w:val="clear" w:color="auto" w:fill="auto"/>
          </w:tcPr>
          <w:p w14:paraId="0E2EDC72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Labai dažnas</w:t>
            </w:r>
          </w:p>
        </w:tc>
        <w:tc>
          <w:tcPr>
            <w:tcW w:w="879" w:type="pct"/>
            <w:shd w:val="clear" w:color="auto" w:fill="auto"/>
          </w:tcPr>
          <w:p w14:paraId="36CBBF9B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73BC48AC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43C30E41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Dispepsija</w:t>
            </w:r>
          </w:p>
        </w:tc>
        <w:tc>
          <w:tcPr>
            <w:tcW w:w="1199" w:type="pct"/>
            <w:shd w:val="clear" w:color="auto" w:fill="auto"/>
          </w:tcPr>
          <w:p w14:paraId="2D06B10D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Dažnas</w:t>
            </w:r>
          </w:p>
        </w:tc>
        <w:tc>
          <w:tcPr>
            <w:tcW w:w="1120" w:type="pct"/>
            <w:shd w:val="clear" w:color="auto" w:fill="auto"/>
          </w:tcPr>
          <w:p w14:paraId="74C3069A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Dažnas</w:t>
            </w:r>
          </w:p>
        </w:tc>
        <w:tc>
          <w:tcPr>
            <w:tcW w:w="879" w:type="pct"/>
            <w:shd w:val="clear" w:color="auto" w:fill="auto"/>
          </w:tcPr>
          <w:p w14:paraId="78E13BB3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1EAA3B27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193CD810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Vidurių užkietėjimas</w:t>
            </w:r>
          </w:p>
        </w:tc>
        <w:tc>
          <w:tcPr>
            <w:tcW w:w="1199" w:type="pct"/>
            <w:shd w:val="clear" w:color="auto" w:fill="auto"/>
          </w:tcPr>
          <w:p w14:paraId="4E398EBD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Dažnas</w:t>
            </w:r>
          </w:p>
        </w:tc>
        <w:tc>
          <w:tcPr>
            <w:tcW w:w="1120" w:type="pct"/>
            <w:shd w:val="clear" w:color="auto" w:fill="auto"/>
          </w:tcPr>
          <w:p w14:paraId="1125D9F4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Dažnas</w:t>
            </w:r>
          </w:p>
        </w:tc>
        <w:tc>
          <w:tcPr>
            <w:tcW w:w="879" w:type="pct"/>
            <w:shd w:val="clear" w:color="auto" w:fill="auto"/>
          </w:tcPr>
          <w:p w14:paraId="742731B1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</w:tr>
      <w:tr w:rsidR="00C04B7A" w:rsidRPr="0032192D" w14:paraId="7C7D9D71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03AC17B8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Pykinimas</w:t>
            </w:r>
          </w:p>
        </w:tc>
        <w:tc>
          <w:tcPr>
            <w:tcW w:w="1199" w:type="pct"/>
            <w:shd w:val="clear" w:color="auto" w:fill="auto"/>
          </w:tcPr>
          <w:p w14:paraId="7C16AB6E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0CBBA701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Dažnas</w:t>
            </w:r>
          </w:p>
        </w:tc>
        <w:tc>
          <w:tcPr>
            <w:tcW w:w="879" w:type="pct"/>
            <w:shd w:val="clear" w:color="auto" w:fill="auto"/>
          </w:tcPr>
          <w:p w14:paraId="16029793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</w:tr>
      <w:tr w:rsidR="00C04B7A" w:rsidRPr="0032192D" w14:paraId="598A11F3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7A0DFD58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Pilvo skausmas</w:t>
            </w:r>
          </w:p>
        </w:tc>
        <w:tc>
          <w:tcPr>
            <w:tcW w:w="1199" w:type="pct"/>
            <w:shd w:val="clear" w:color="auto" w:fill="auto"/>
          </w:tcPr>
          <w:p w14:paraId="05BD1E92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434A756B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Dažnas</w:t>
            </w:r>
          </w:p>
        </w:tc>
        <w:tc>
          <w:tcPr>
            <w:tcW w:w="879" w:type="pct"/>
            <w:shd w:val="clear" w:color="auto" w:fill="auto"/>
          </w:tcPr>
          <w:p w14:paraId="1A87746C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50B10776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20DF7264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proofErr w:type="spellStart"/>
            <w:r w:rsidRPr="0032192D">
              <w:rPr>
                <w:rFonts w:eastAsia="Arial"/>
                <w:snapToGrid/>
                <w:szCs w:val="22"/>
                <w:lang w:val="lt-LT"/>
              </w:rPr>
              <w:t>Gastroezofaginio</w:t>
            </w:r>
            <w:proofErr w:type="spellEnd"/>
            <w:r w:rsidRPr="0032192D">
              <w:rPr>
                <w:rFonts w:eastAsia="Arial"/>
                <w:snapToGrid/>
                <w:szCs w:val="22"/>
                <w:lang w:val="lt-LT"/>
              </w:rPr>
              <w:t xml:space="preserve"> </w:t>
            </w:r>
            <w:proofErr w:type="spellStart"/>
            <w:r w:rsidRPr="0032192D">
              <w:rPr>
                <w:rFonts w:eastAsia="Arial"/>
                <w:snapToGrid/>
                <w:szCs w:val="22"/>
                <w:lang w:val="lt-LT"/>
              </w:rPr>
              <w:t>refliukso</w:t>
            </w:r>
            <w:proofErr w:type="spellEnd"/>
            <w:r w:rsidRPr="0032192D">
              <w:rPr>
                <w:rFonts w:eastAsia="Arial"/>
                <w:snapToGrid/>
                <w:szCs w:val="22"/>
                <w:lang w:val="lt-LT"/>
              </w:rPr>
              <w:t xml:space="preserve"> liga</w:t>
            </w:r>
          </w:p>
        </w:tc>
        <w:tc>
          <w:tcPr>
            <w:tcW w:w="1199" w:type="pct"/>
            <w:shd w:val="clear" w:color="auto" w:fill="auto"/>
          </w:tcPr>
          <w:p w14:paraId="37343B5F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69D68B91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  <w:tc>
          <w:tcPr>
            <w:tcW w:w="879" w:type="pct"/>
            <w:shd w:val="clear" w:color="auto" w:fill="auto"/>
          </w:tcPr>
          <w:p w14:paraId="66B534A2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28C4F468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32782730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Viduriavimas</w:t>
            </w:r>
          </w:p>
        </w:tc>
        <w:tc>
          <w:tcPr>
            <w:tcW w:w="1199" w:type="pct"/>
            <w:shd w:val="clear" w:color="auto" w:fill="auto"/>
          </w:tcPr>
          <w:p w14:paraId="468436CD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5937328F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879" w:type="pct"/>
            <w:shd w:val="clear" w:color="auto" w:fill="auto"/>
          </w:tcPr>
          <w:p w14:paraId="359B7ADB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</w:tr>
      <w:tr w:rsidR="00C04B7A" w:rsidRPr="0032192D" w14:paraId="773617A9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26E1133F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Gerklės džiūvimas</w:t>
            </w:r>
          </w:p>
        </w:tc>
        <w:tc>
          <w:tcPr>
            <w:tcW w:w="1199" w:type="pct"/>
            <w:shd w:val="clear" w:color="auto" w:fill="auto"/>
          </w:tcPr>
          <w:p w14:paraId="23AC2D15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1F4A4643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  <w:tc>
          <w:tcPr>
            <w:tcW w:w="879" w:type="pct"/>
            <w:shd w:val="clear" w:color="auto" w:fill="auto"/>
          </w:tcPr>
          <w:p w14:paraId="7F7644B0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0F49BBC5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713694D2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Vėmimas</w:t>
            </w:r>
          </w:p>
        </w:tc>
        <w:tc>
          <w:tcPr>
            <w:tcW w:w="1199" w:type="pct"/>
            <w:shd w:val="clear" w:color="auto" w:fill="auto"/>
          </w:tcPr>
          <w:p w14:paraId="55F821D1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2B362D90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Retas*</w:t>
            </w:r>
          </w:p>
        </w:tc>
        <w:tc>
          <w:tcPr>
            <w:tcW w:w="879" w:type="pct"/>
            <w:shd w:val="clear" w:color="auto" w:fill="auto"/>
          </w:tcPr>
          <w:p w14:paraId="587EB099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</w:tr>
      <w:tr w:rsidR="00C04B7A" w:rsidRPr="0032192D" w14:paraId="25E13C91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1AB53468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Gaubtinės žarnos obstrukcija</w:t>
            </w:r>
          </w:p>
        </w:tc>
        <w:tc>
          <w:tcPr>
            <w:tcW w:w="1199" w:type="pct"/>
            <w:shd w:val="clear" w:color="auto" w:fill="auto"/>
          </w:tcPr>
          <w:p w14:paraId="34A84A55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37385C79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Retas</w:t>
            </w:r>
          </w:p>
        </w:tc>
        <w:tc>
          <w:tcPr>
            <w:tcW w:w="879" w:type="pct"/>
            <w:shd w:val="clear" w:color="auto" w:fill="auto"/>
          </w:tcPr>
          <w:p w14:paraId="08404D46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18BD347E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4CDD3AC0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Išmatų įstrigimas</w:t>
            </w:r>
          </w:p>
        </w:tc>
        <w:tc>
          <w:tcPr>
            <w:tcW w:w="1199" w:type="pct"/>
            <w:shd w:val="clear" w:color="auto" w:fill="auto"/>
          </w:tcPr>
          <w:p w14:paraId="5E23BACE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1BC24F9F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Retas</w:t>
            </w:r>
          </w:p>
        </w:tc>
        <w:tc>
          <w:tcPr>
            <w:tcW w:w="879" w:type="pct"/>
            <w:shd w:val="clear" w:color="auto" w:fill="auto"/>
          </w:tcPr>
          <w:p w14:paraId="087557FD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7B764585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2D93865D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Žarnyno nepraeinamumas</w:t>
            </w:r>
          </w:p>
        </w:tc>
        <w:tc>
          <w:tcPr>
            <w:tcW w:w="1199" w:type="pct"/>
            <w:shd w:val="clear" w:color="auto" w:fill="auto"/>
          </w:tcPr>
          <w:p w14:paraId="0F96674B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180562FE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  <w:tc>
          <w:tcPr>
            <w:tcW w:w="879" w:type="pct"/>
            <w:shd w:val="clear" w:color="auto" w:fill="auto"/>
          </w:tcPr>
          <w:p w14:paraId="21B36D56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6B6BA053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0355F1E3" w14:textId="77777777" w:rsidR="00C04B7A" w:rsidRPr="0032192D" w:rsidRDefault="00754EA6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Nemalonus pojūtis pilve</w:t>
            </w:r>
          </w:p>
        </w:tc>
        <w:tc>
          <w:tcPr>
            <w:tcW w:w="1199" w:type="pct"/>
            <w:shd w:val="clear" w:color="auto" w:fill="auto"/>
          </w:tcPr>
          <w:p w14:paraId="132D3A9B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492DF512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  <w:tc>
          <w:tcPr>
            <w:tcW w:w="879" w:type="pct"/>
            <w:shd w:val="clear" w:color="auto" w:fill="auto"/>
          </w:tcPr>
          <w:p w14:paraId="031F8630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6293CA08" w14:textId="77777777" w:rsidTr="006B32C7">
        <w:trPr>
          <w:trHeight w:val="284"/>
        </w:trPr>
        <w:tc>
          <w:tcPr>
            <w:tcW w:w="5000" w:type="pct"/>
            <w:gridSpan w:val="4"/>
            <w:shd w:val="clear" w:color="auto" w:fill="auto"/>
          </w:tcPr>
          <w:p w14:paraId="1AF27589" w14:textId="77777777" w:rsidR="00C04B7A" w:rsidRPr="0032192D" w:rsidRDefault="007D7ABF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b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b/>
                <w:snapToGrid/>
                <w:szCs w:val="22"/>
                <w:lang w:val="lt-LT"/>
              </w:rPr>
              <w:t>Kepenų, tulžies pūslės ir latakų sutrikimai</w:t>
            </w:r>
          </w:p>
        </w:tc>
      </w:tr>
      <w:tr w:rsidR="00C04B7A" w:rsidRPr="0032192D" w14:paraId="19B1961E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5ABA76C3" w14:textId="77777777" w:rsidR="00C04B7A" w:rsidRPr="0032192D" w:rsidRDefault="007D7ABF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lastRenderedPageBreak/>
              <w:t>Kepenų sutrikimai</w:t>
            </w:r>
          </w:p>
        </w:tc>
        <w:tc>
          <w:tcPr>
            <w:tcW w:w="1199" w:type="pct"/>
            <w:shd w:val="clear" w:color="auto" w:fill="auto"/>
          </w:tcPr>
          <w:p w14:paraId="3E6AF939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28E7C624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  <w:tc>
          <w:tcPr>
            <w:tcW w:w="879" w:type="pct"/>
            <w:shd w:val="clear" w:color="auto" w:fill="auto"/>
          </w:tcPr>
          <w:p w14:paraId="5EA92306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023B46CF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4CD8B6D1" w14:textId="77777777" w:rsidR="00C04B7A" w:rsidRPr="0032192D" w:rsidRDefault="007D7ABF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Nenormalūs kepenų funkcijos tyrimų rodmenys</w:t>
            </w:r>
          </w:p>
        </w:tc>
        <w:tc>
          <w:tcPr>
            <w:tcW w:w="1199" w:type="pct"/>
            <w:shd w:val="clear" w:color="auto" w:fill="auto"/>
          </w:tcPr>
          <w:p w14:paraId="30EA596D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29757AD9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  <w:tc>
          <w:tcPr>
            <w:tcW w:w="879" w:type="pct"/>
            <w:shd w:val="clear" w:color="auto" w:fill="auto"/>
          </w:tcPr>
          <w:p w14:paraId="1AF69EEA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C517A5" w14:paraId="3722CEE8" w14:textId="77777777" w:rsidTr="006B32C7">
        <w:trPr>
          <w:trHeight w:val="284"/>
        </w:trPr>
        <w:tc>
          <w:tcPr>
            <w:tcW w:w="5000" w:type="pct"/>
            <w:gridSpan w:val="4"/>
            <w:shd w:val="clear" w:color="auto" w:fill="auto"/>
          </w:tcPr>
          <w:p w14:paraId="371837D6" w14:textId="77777777" w:rsidR="00C04B7A" w:rsidRPr="0032192D" w:rsidRDefault="007D7ABF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b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b/>
                <w:snapToGrid/>
                <w:szCs w:val="22"/>
                <w:lang w:val="lt-LT"/>
              </w:rPr>
              <w:t>Odos ir poodinio audinio sutrikimai</w:t>
            </w:r>
          </w:p>
        </w:tc>
      </w:tr>
      <w:tr w:rsidR="00C04B7A" w:rsidRPr="0032192D" w14:paraId="2CEE88CB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4D6873AC" w14:textId="77777777" w:rsidR="00C04B7A" w:rsidRPr="0032192D" w:rsidRDefault="007D7ABF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Niežėjimas</w:t>
            </w:r>
          </w:p>
        </w:tc>
        <w:tc>
          <w:tcPr>
            <w:tcW w:w="1199" w:type="pct"/>
            <w:shd w:val="clear" w:color="auto" w:fill="auto"/>
          </w:tcPr>
          <w:p w14:paraId="3B2A5BB6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  <w:tc>
          <w:tcPr>
            <w:tcW w:w="1120" w:type="pct"/>
            <w:shd w:val="clear" w:color="auto" w:fill="auto"/>
          </w:tcPr>
          <w:p w14:paraId="630D20DE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Retas*</w:t>
            </w:r>
          </w:p>
        </w:tc>
        <w:tc>
          <w:tcPr>
            <w:tcW w:w="879" w:type="pct"/>
            <w:shd w:val="clear" w:color="auto" w:fill="auto"/>
          </w:tcPr>
          <w:p w14:paraId="09B2D6FE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</w:tr>
      <w:tr w:rsidR="00C04B7A" w:rsidRPr="0032192D" w14:paraId="237FA4F6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5602A844" w14:textId="77777777" w:rsidR="00C04B7A" w:rsidRPr="0032192D" w:rsidRDefault="007D7ABF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Odos sausumas</w:t>
            </w:r>
          </w:p>
        </w:tc>
        <w:tc>
          <w:tcPr>
            <w:tcW w:w="1199" w:type="pct"/>
            <w:shd w:val="clear" w:color="auto" w:fill="auto"/>
          </w:tcPr>
          <w:p w14:paraId="3EFE0E59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33793769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  <w:tc>
          <w:tcPr>
            <w:tcW w:w="879" w:type="pct"/>
            <w:shd w:val="clear" w:color="auto" w:fill="auto"/>
          </w:tcPr>
          <w:p w14:paraId="4C4F9122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3B0744F2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72E84283" w14:textId="77777777" w:rsidR="00C04B7A" w:rsidRPr="0032192D" w:rsidRDefault="007D7ABF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Išbėrimas</w:t>
            </w:r>
          </w:p>
        </w:tc>
        <w:tc>
          <w:tcPr>
            <w:tcW w:w="1199" w:type="pct"/>
            <w:shd w:val="clear" w:color="auto" w:fill="auto"/>
          </w:tcPr>
          <w:p w14:paraId="534C90ED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3B60BF52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Retas*</w:t>
            </w:r>
          </w:p>
        </w:tc>
        <w:tc>
          <w:tcPr>
            <w:tcW w:w="879" w:type="pct"/>
            <w:shd w:val="clear" w:color="auto" w:fill="auto"/>
          </w:tcPr>
          <w:p w14:paraId="099883DC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</w:tr>
      <w:tr w:rsidR="00C04B7A" w:rsidRPr="0032192D" w14:paraId="7CC03840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20ECD055" w14:textId="77777777" w:rsidR="00C04B7A" w:rsidRPr="0032192D" w:rsidRDefault="007D7ABF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Dilgėlinė</w:t>
            </w:r>
          </w:p>
        </w:tc>
        <w:tc>
          <w:tcPr>
            <w:tcW w:w="1199" w:type="pct"/>
            <w:shd w:val="clear" w:color="auto" w:fill="auto"/>
          </w:tcPr>
          <w:p w14:paraId="38010D3E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1B65DE7D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Labai retas*</w:t>
            </w:r>
          </w:p>
        </w:tc>
        <w:tc>
          <w:tcPr>
            <w:tcW w:w="879" w:type="pct"/>
            <w:shd w:val="clear" w:color="auto" w:fill="auto"/>
          </w:tcPr>
          <w:p w14:paraId="2E152885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</w:tr>
      <w:tr w:rsidR="00C04B7A" w:rsidRPr="0032192D" w14:paraId="739BC4D8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753AE975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Angio</w:t>
            </w:r>
            <w:r w:rsidR="007D7ABF" w:rsidRPr="0032192D">
              <w:rPr>
                <w:rFonts w:eastAsia="Arial"/>
                <w:snapToGrid/>
                <w:szCs w:val="22"/>
                <w:lang w:val="lt-LT"/>
              </w:rPr>
              <w:t xml:space="preserve">neurozinė </w:t>
            </w:r>
            <w:r w:rsidRPr="0032192D">
              <w:rPr>
                <w:rFonts w:eastAsia="Arial"/>
                <w:snapToGrid/>
                <w:szCs w:val="22"/>
                <w:lang w:val="lt-LT"/>
              </w:rPr>
              <w:t>edema</w:t>
            </w:r>
          </w:p>
        </w:tc>
        <w:tc>
          <w:tcPr>
            <w:tcW w:w="1199" w:type="pct"/>
            <w:shd w:val="clear" w:color="auto" w:fill="auto"/>
          </w:tcPr>
          <w:p w14:paraId="701B113B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5970FBA5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Labai retas*</w:t>
            </w:r>
          </w:p>
        </w:tc>
        <w:tc>
          <w:tcPr>
            <w:tcW w:w="879" w:type="pct"/>
            <w:shd w:val="clear" w:color="auto" w:fill="auto"/>
          </w:tcPr>
          <w:p w14:paraId="5E72C27B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Retas</w:t>
            </w:r>
          </w:p>
        </w:tc>
      </w:tr>
      <w:tr w:rsidR="00C04B7A" w:rsidRPr="0032192D" w14:paraId="4C2BDD5D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39DB7C58" w14:textId="77777777" w:rsidR="00C04B7A" w:rsidRPr="0032192D" w:rsidRDefault="007D7ABF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proofErr w:type="spellStart"/>
            <w:r w:rsidRPr="0032192D">
              <w:rPr>
                <w:rFonts w:eastAsia="Arial"/>
                <w:snapToGrid/>
                <w:szCs w:val="22"/>
                <w:lang w:val="lt-LT"/>
              </w:rPr>
              <w:t>Stivenso</w:t>
            </w:r>
            <w:proofErr w:type="spellEnd"/>
            <w:r w:rsidRPr="0032192D">
              <w:rPr>
                <w:rFonts w:eastAsia="Arial"/>
                <w:snapToGrid/>
                <w:szCs w:val="22"/>
                <w:lang w:val="lt-LT"/>
              </w:rPr>
              <w:t>-Džonsono (</w:t>
            </w:r>
            <w:proofErr w:type="spellStart"/>
            <w:r w:rsidR="00C04B7A" w:rsidRPr="0032192D">
              <w:rPr>
                <w:rFonts w:eastAsia="Arial"/>
                <w:i/>
                <w:iCs/>
                <w:snapToGrid/>
                <w:szCs w:val="22"/>
                <w:lang w:val="lt-LT"/>
              </w:rPr>
              <w:t>Stevens-Johnson</w:t>
            </w:r>
            <w:proofErr w:type="spellEnd"/>
            <w:r w:rsidRPr="0032192D">
              <w:rPr>
                <w:rFonts w:eastAsia="Arial"/>
                <w:snapToGrid/>
                <w:szCs w:val="22"/>
                <w:lang w:val="lt-LT"/>
              </w:rPr>
              <w:t>)</w:t>
            </w:r>
            <w:r w:rsidR="00C04B7A" w:rsidRPr="0032192D">
              <w:rPr>
                <w:rFonts w:eastAsia="Arial"/>
                <w:snapToGrid/>
                <w:szCs w:val="22"/>
                <w:lang w:val="lt-LT"/>
              </w:rPr>
              <w:t xml:space="preserve"> </w:t>
            </w:r>
            <w:r w:rsidRPr="0032192D">
              <w:rPr>
                <w:rFonts w:eastAsia="Arial"/>
                <w:snapToGrid/>
                <w:szCs w:val="22"/>
                <w:lang w:val="lt-LT"/>
              </w:rPr>
              <w:t>sindromas</w:t>
            </w:r>
          </w:p>
        </w:tc>
        <w:tc>
          <w:tcPr>
            <w:tcW w:w="1199" w:type="pct"/>
            <w:shd w:val="clear" w:color="auto" w:fill="auto"/>
          </w:tcPr>
          <w:p w14:paraId="343E08C5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4AE34E60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879" w:type="pct"/>
            <w:shd w:val="clear" w:color="auto" w:fill="auto"/>
          </w:tcPr>
          <w:p w14:paraId="0D42866E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Labai retas</w:t>
            </w:r>
          </w:p>
        </w:tc>
      </w:tr>
      <w:tr w:rsidR="00C04B7A" w:rsidRPr="0032192D" w14:paraId="4252D2A8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49D8037D" w14:textId="77777777" w:rsidR="00C04B7A" w:rsidRPr="0032192D" w:rsidRDefault="007D7ABF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Daugiaform</w:t>
            </w:r>
            <w:r w:rsidR="00FD22E5" w:rsidRPr="0032192D">
              <w:rPr>
                <w:rFonts w:eastAsia="Arial"/>
                <w:snapToGrid/>
                <w:szCs w:val="22"/>
                <w:lang w:val="lt-LT"/>
              </w:rPr>
              <w:t>ė</w:t>
            </w:r>
            <w:r w:rsidRPr="0032192D">
              <w:rPr>
                <w:rFonts w:eastAsia="Arial"/>
                <w:snapToGrid/>
                <w:szCs w:val="22"/>
                <w:lang w:val="lt-LT"/>
              </w:rPr>
              <w:t xml:space="preserve"> eritema</w:t>
            </w:r>
          </w:p>
        </w:tc>
        <w:tc>
          <w:tcPr>
            <w:tcW w:w="1199" w:type="pct"/>
            <w:shd w:val="clear" w:color="auto" w:fill="auto"/>
          </w:tcPr>
          <w:p w14:paraId="7F0AAFEB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580BBE95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Labai retas*</w:t>
            </w:r>
          </w:p>
        </w:tc>
        <w:tc>
          <w:tcPr>
            <w:tcW w:w="879" w:type="pct"/>
            <w:shd w:val="clear" w:color="auto" w:fill="auto"/>
          </w:tcPr>
          <w:p w14:paraId="559B4FD7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</w:tr>
      <w:tr w:rsidR="00C04B7A" w:rsidRPr="0032192D" w14:paraId="1C33EBEE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7E6851EA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proofErr w:type="spellStart"/>
            <w:r w:rsidRPr="0032192D">
              <w:rPr>
                <w:rFonts w:eastAsia="Arial"/>
                <w:snapToGrid/>
                <w:szCs w:val="22"/>
                <w:lang w:val="lt-LT"/>
              </w:rPr>
              <w:t>E</w:t>
            </w:r>
            <w:r w:rsidR="007D7ABF" w:rsidRPr="0032192D">
              <w:rPr>
                <w:rFonts w:eastAsia="Arial"/>
                <w:snapToGrid/>
                <w:szCs w:val="22"/>
                <w:lang w:val="lt-LT"/>
              </w:rPr>
              <w:t>ksfoliacinis</w:t>
            </w:r>
            <w:proofErr w:type="spellEnd"/>
            <w:r w:rsidRPr="0032192D">
              <w:rPr>
                <w:rFonts w:eastAsia="Arial"/>
                <w:snapToGrid/>
                <w:szCs w:val="22"/>
                <w:lang w:val="lt-LT"/>
              </w:rPr>
              <w:t xml:space="preserve"> </w:t>
            </w:r>
            <w:r w:rsidR="007D7ABF" w:rsidRPr="0032192D">
              <w:rPr>
                <w:rFonts w:eastAsia="Arial"/>
                <w:snapToGrid/>
                <w:szCs w:val="22"/>
                <w:lang w:val="lt-LT"/>
              </w:rPr>
              <w:t>dermatitas</w:t>
            </w:r>
          </w:p>
        </w:tc>
        <w:tc>
          <w:tcPr>
            <w:tcW w:w="1199" w:type="pct"/>
            <w:shd w:val="clear" w:color="auto" w:fill="auto"/>
          </w:tcPr>
          <w:p w14:paraId="031B8AE1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52AB796F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  <w:tc>
          <w:tcPr>
            <w:tcW w:w="879" w:type="pct"/>
            <w:shd w:val="clear" w:color="auto" w:fill="auto"/>
          </w:tcPr>
          <w:p w14:paraId="175E6ACD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</w:tr>
      <w:tr w:rsidR="00C04B7A" w:rsidRPr="00C517A5" w14:paraId="77269C9E" w14:textId="77777777" w:rsidTr="006B32C7">
        <w:trPr>
          <w:trHeight w:val="284"/>
        </w:trPr>
        <w:tc>
          <w:tcPr>
            <w:tcW w:w="5000" w:type="pct"/>
            <w:gridSpan w:val="4"/>
            <w:shd w:val="clear" w:color="auto" w:fill="auto"/>
          </w:tcPr>
          <w:p w14:paraId="0EEEB872" w14:textId="77777777" w:rsidR="00C04B7A" w:rsidRPr="0032192D" w:rsidRDefault="00FE4A9D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b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b/>
                <w:snapToGrid/>
                <w:szCs w:val="22"/>
                <w:lang w:val="lt-LT"/>
              </w:rPr>
              <w:t>Skeleto, raumenų ir jungiamojo audinio sutrikimai</w:t>
            </w:r>
          </w:p>
        </w:tc>
      </w:tr>
      <w:tr w:rsidR="00C04B7A" w:rsidRPr="0032192D" w14:paraId="2DC5C29F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1F5343E0" w14:textId="77777777" w:rsidR="00C04B7A" w:rsidRPr="0032192D" w:rsidRDefault="007D7ABF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 xml:space="preserve">Raumenų </w:t>
            </w:r>
            <w:r w:rsidR="00FE4A9D" w:rsidRPr="0032192D">
              <w:rPr>
                <w:rFonts w:eastAsia="Arial"/>
                <w:snapToGrid/>
                <w:szCs w:val="22"/>
                <w:lang w:val="lt-LT"/>
              </w:rPr>
              <w:t>silpnumas</w:t>
            </w:r>
          </w:p>
        </w:tc>
        <w:tc>
          <w:tcPr>
            <w:tcW w:w="1199" w:type="pct"/>
            <w:shd w:val="clear" w:color="auto" w:fill="auto"/>
          </w:tcPr>
          <w:p w14:paraId="585FA032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6791845D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  <w:tc>
          <w:tcPr>
            <w:tcW w:w="879" w:type="pct"/>
            <w:shd w:val="clear" w:color="auto" w:fill="auto"/>
          </w:tcPr>
          <w:p w14:paraId="548FDAB2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13AA7E67" w14:textId="77777777" w:rsidTr="006B32C7">
        <w:trPr>
          <w:trHeight w:val="284"/>
        </w:trPr>
        <w:tc>
          <w:tcPr>
            <w:tcW w:w="5000" w:type="pct"/>
            <w:gridSpan w:val="4"/>
            <w:shd w:val="clear" w:color="auto" w:fill="auto"/>
          </w:tcPr>
          <w:p w14:paraId="16C80D14" w14:textId="77777777" w:rsidR="00C04B7A" w:rsidRPr="0032192D" w:rsidRDefault="00FE4A9D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b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b/>
                <w:snapToGrid/>
                <w:szCs w:val="22"/>
                <w:lang w:val="lt-LT"/>
              </w:rPr>
              <w:t>Inkstų ir šlapimo takų sutrikimai</w:t>
            </w:r>
          </w:p>
        </w:tc>
      </w:tr>
      <w:tr w:rsidR="00C04B7A" w:rsidRPr="0032192D" w14:paraId="1DDF2F7B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0EBFE97F" w14:textId="77777777" w:rsidR="00C04B7A" w:rsidRPr="0032192D" w:rsidRDefault="00FE4A9D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Šlapimo susilaikymas</w:t>
            </w:r>
            <w:r w:rsidR="00C04B7A" w:rsidRPr="0032192D">
              <w:rPr>
                <w:rFonts w:eastAsia="Arial"/>
                <w:snapToGrid/>
                <w:szCs w:val="22"/>
                <w:lang w:val="lt-LT"/>
              </w:rPr>
              <w:t>***</w:t>
            </w:r>
          </w:p>
        </w:tc>
        <w:tc>
          <w:tcPr>
            <w:tcW w:w="1199" w:type="pct"/>
            <w:shd w:val="clear" w:color="auto" w:fill="auto"/>
          </w:tcPr>
          <w:p w14:paraId="736D69D3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  <w:tc>
          <w:tcPr>
            <w:tcW w:w="1120" w:type="pct"/>
            <w:shd w:val="clear" w:color="auto" w:fill="auto"/>
          </w:tcPr>
          <w:p w14:paraId="4781C8CD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Retas</w:t>
            </w:r>
          </w:p>
        </w:tc>
        <w:tc>
          <w:tcPr>
            <w:tcW w:w="879" w:type="pct"/>
            <w:shd w:val="clear" w:color="auto" w:fill="auto"/>
          </w:tcPr>
          <w:p w14:paraId="590131C5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18A52874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162D3E27" w14:textId="77777777" w:rsidR="00C04B7A" w:rsidRPr="0032192D" w:rsidRDefault="00FE4A9D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Šlapinimosi pasunkėjimas</w:t>
            </w:r>
          </w:p>
        </w:tc>
        <w:tc>
          <w:tcPr>
            <w:tcW w:w="1199" w:type="pct"/>
            <w:shd w:val="clear" w:color="auto" w:fill="auto"/>
          </w:tcPr>
          <w:p w14:paraId="60B6280C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472B31F2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  <w:tc>
          <w:tcPr>
            <w:tcW w:w="879" w:type="pct"/>
            <w:shd w:val="clear" w:color="auto" w:fill="auto"/>
          </w:tcPr>
          <w:p w14:paraId="5F27E5BB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714C7AD1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130DA4BD" w14:textId="77777777" w:rsidR="00C04B7A" w:rsidRPr="0032192D" w:rsidRDefault="00FE4A9D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Inkstų funkcijos sutrikimas</w:t>
            </w:r>
          </w:p>
        </w:tc>
        <w:tc>
          <w:tcPr>
            <w:tcW w:w="1199" w:type="pct"/>
            <w:shd w:val="clear" w:color="auto" w:fill="auto"/>
          </w:tcPr>
          <w:p w14:paraId="0D759BCA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73E63F8A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Nežinomas*</w:t>
            </w:r>
          </w:p>
        </w:tc>
        <w:tc>
          <w:tcPr>
            <w:tcW w:w="879" w:type="pct"/>
            <w:shd w:val="clear" w:color="auto" w:fill="auto"/>
          </w:tcPr>
          <w:p w14:paraId="632082F2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7E478563" w14:textId="77777777" w:rsidTr="006B32C7">
        <w:trPr>
          <w:trHeight w:val="284"/>
        </w:trPr>
        <w:tc>
          <w:tcPr>
            <w:tcW w:w="5000" w:type="pct"/>
            <w:gridSpan w:val="4"/>
            <w:shd w:val="clear" w:color="auto" w:fill="auto"/>
          </w:tcPr>
          <w:p w14:paraId="1E109C43" w14:textId="77777777" w:rsidR="00C04B7A" w:rsidRPr="0032192D" w:rsidRDefault="00FE4A9D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b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b/>
                <w:snapToGrid/>
                <w:szCs w:val="22"/>
                <w:lang w:val="lt-LT"/>
              </w:rPr>
              <w:t>Lytinės sistemos ir krūties sutrikimai</w:t>
            </w:r>
          </w:p>
        </w:tc>
      </w:tr>
      <w:tr w:rsidR="00C04B7A" w:rsidRPr="0032192D" w14:paraId="4DD53578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18D51902" w14:textId="77777777" w:rsidR="00C04B7A" w:rsidRPr="0032192D" w:rsidRDefault="00FE4A9D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 xml:space="preserve">Ejakuliacijos sutrikimas, įskaitant </w:t>
            </w:r>
            <w:proofErr w:type="spellStart"/>
            <w:r w:rsidRPr="0032192D">
              <w:rPr>
                <w:rFonts w:eastAsia="Arial"/>
                <w:snapToGrid/>
                <w:szCs w:val="22"/>
                <w:lang w:val="lt-LT"/>
              </w:rPr>
              <w:t>retrogradinę</w:t>
            </w:r>
            <w:proofErr w:type="spellEnd"/>
            <w:r w:rsidRPr="0032192D">
              <w:rPr>
                <w:rFonts w:eastAsia="Arial"/>
                <w:snapToGrid/>
                <w:szCs w:val="22"/>
                <w:lang w:val="lt-LT"/>
              </w:rPr>
              <w:t xml:space="preserve"> ejakuliaciją ir ejakuliacijos </w:t>
            </w:r>
            <w:r w:rsidR="00B10320" w:rsidRPr="0032192D">
              <w:rPr>
                <w:rFonts w:eastAsia="Arial"/>
                <w:snapToGrid/>
                <w:szCs w:val="22"/>
                <w:lang w:val="lt-LT"/>
              </w:rPr>
              <w:t>nepakankamumą</w:t>
            </w:r>
          </w:p>
        </w:tc>
        <w:tc>
          <w:tcPr>
            <w:tcW w:w="1199" w:type="pct"/>
            <w:shd w:val="clear" w:color="auto" w:fill="auto"/>
          </w:tcPr>
          <w:p w14:paraId="422D26E3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Dažnas</w:t>
            </w:r>
          </w:p>
        </w:tc>
        <w:tc>
          <w:tcPr>
            <w:tcW w:w="1120" w:type="pct"/>
            <w:shd w:val="clear" w:color="auto" w:fill="auto"/>
          </w:tcPr>
          <w:p w14:paraId="59399F0A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879" w:type="pct"/>
            <w:shd w:val="clear" w:color="auto" w:fill="auto"/>
          </w:tcPr>
          <w:p w14:paraId="129734E7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Dažnas</w:t>
            </w:r>
          </w:p>
        </w:tc>
      </w:tr>
      <w:tr w:rsidR="00C04B7A" w:rsidRPr="0032192D" w14:paraId="3700D26A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0771153D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proofErr w:type="spellStart"/>
            <w:r w:rsidRPr="0032192D">
              <w:rPr>
                <w:rFonts w:eastAsia="Arial"/>
                <w:snapToGrid/>
                <w:szCs w:val="22"/>
                <w:lang w:val="lt-LT"/>
              </w:rPr>
              <w:t>Priapi</w:t>
            </w:r>
            <w:r w:rsidR="00FE4A9D" w:rsidRPr="0032192D">
              <w:rPr>
                <w:rFonts w:eastAsia="Arial"/>
                <w:snapToGrid/>
                <w:szCs w:val="22"/>
                <w:lang w:val="lt-LT"/>
              </w:rPr>
              <w:t>zmas</w:t>
            </w:r>
            <w:proofErr w:type="spellEnd"/>
          </w:p>
        </w:tc>
        <w:tc>
          <w:tcPr>
            <w:tcW w:w="1199" w:type="pct"/>
            <w:shd w:val="clear" w:color="auto" w:fill="auto"/>
          </w:tcPr>
          <w:p w14:paraId="18487411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2E997EC7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879" w:type="pct"/>
            <w:shd w:val="clear" w:color="auto" w:fill="auto"/>
          </w:tcPr>
          <w:p w14:paraId="51A16086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Labai retas</w:t>
            </w:r>
          </w:p>
        </w:tc>
      </w:tr>
      <w:tr w:rsidR="00C04B7A" w:rsidRPr="0032192D" w14:paraId="3277669E" w14:textId="77777777" w:rsidTr="006B32C7">
        <w:trPr>
          <w:trHeight w:val="284"/>
        </w:trPr>
        <w:tc>
          <w:tcPr>
            <w:tcW w:w="5000" w:type="pct"/>
            <w:gridSpan w:val="4"/>
            <w:shd w:val="clear" w:color="auto" w:fill="auto"/>
          </w:tcPr>
          <w:p w14:paraId="35950F44" w14:textId="77777777" w:rsidR="00C04B7A" w:rsidRPr="0032192D" w:rsidRDefault="00FE4A9D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rFonts w:eastAsia="Arial"/>
                <w:b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b/>
                <w:snapToGrid/>
                <w:szCs w:val="22"/>
                <w:lang w:val="lt-LT"/>
              </w:rPr>
              <w:t>Bendrieji sutrikimai ir vartojimo vietos pažeidimai</w:t>
            </w:r>
          </w:p>
        </w:tc>
      </w:tr>
      <w:tr w:rsidR="00C04B7A" w:rsidRPr="0032192D" w14:paraId="6B6B4951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29A876BE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Nuovargis</w:t>
            </w:r>
          </w:p>
        </w:tc>
        <w:tc>
          <w:tcPr>
            <w:tcW w:w="1199" w:type="pct"/>
            <w:shd w:val="clear" w:color="auto" w:fill="auto"/>
          </w:tcPr>
          <w:p w14:paraId="3EE02B78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Dažnas</w:t>
            </w:r>
          </w:p>
        </w:tc>
        <w:tc>
          <w:tcPr>
            <w:tcW w:w="1120" w:type="pct"/>
            <w:shd w:val="clear" w:color="auto" w:fill="auto"/>
          </w:tcPr>
          <w:p w14:paraId="38F06945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  <w:tc>
          <w:tcPr>
            <w:tcW w:w="879" w:type="pct"/>
            <w:shd w:val="clear" w:color="auto" w:fill="auto"/>
          </w:tcPr>
          <w:p w14:paraId="7A034B43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0B44A62D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0DE88B8F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Periferinė edema</w:t>
            </w:r>
          </w:p>
        </w:tc>
        <w:tc>
          <w:tcPr>
            <w:tcW w:w="1199" w:type="pct"/>
            <w:shd w:val="clear" w:color="auto" w:fill="auto"/>
          </w:tcPr>
          <w:p w14:paraId="2D3EAC6A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58693294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  <w:tc>
          <w:tcPr>
            <w:tcW w:w="879" w:type="pct"/>
            <w:shd w:val="clear" w:color="auto" w:fill="auto"/>
          </w:tcPr>
          <w:p w14:paraId="56C629F6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</w:tr>
      <w:tr w:rsidR="00C04B7A" w:rsidRPr="0032192D" w14:paraId="6CBE40A0" w14:textId="77777777" w:rsidTr="006B32C7">
        <w:trPr>
          <w:trHeight w:val="284"/>
        </w:trPr>
        <w:tc>
          <w:tcPr>
            <w:tcW w:w="1803" w:type="pct"/>
            <w:shd w:val="clear" w:color="auto" w:fill="auto"/>
          </w:tcPr>
          <w:p w14:paraId="63A7BDB9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left="284"/>
              <w:rPr>
                <w:rFonts w:eastAsia="Arial"/>
                <w:snapToGrid/>
                <w:szCs w:val="22"/>
                <w:lang w:val="lt-LT"/>
              </w:rPr>
            </w:pPr>
            <w:proofErr w:type="spellStart"/>
            <w:r w:rsidRPr="0032192D">
              <w:rPr>
                <w:rFonts w:eastAsia="Arial"/>
                <w:snapToGrid/>
                <w:szCs w:val="22"/>
                <w:lang w:val="lt-LT"/>
              </w:rPr>
              <w:t>Astenija</w:t>
            </w:r>
            <w:proofErr w:type="spellEnd"/>
          </w:p>
        </w:tc>
        <w:tc>
          <w:tcPr>
            <w:tcW w:w="1199" w:type="pct"/>
            <w:shd w:val="clear" w:color="auto" w:fill="auto"/>
          </w:tcPr>
          <w:p w14:paraId="352656F2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1120" w:type="pct"/>
            <w:shd w:val="clear" w:color="auto" w:fill="auto"/>
          </w:tcPr>
          <w:p w14:paraId="1AE25B9B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</w:p>
        </w:tc>
        <w:tc>
          <w:tcPr>
            <w:tcW w:w="879" w:type="pct"/>
            <w:shd w:val="clear" w:color="auto" w:fill="auto"/>
          </w:tcPr>
          <w:p w14:paraId="78E10D0A" w14:textId="77777777" w:rsidR="00C04B7A" w:rsidRPr="0032192D" w:rsidRDefault="00C04B7A" w:rsidP="006B32C7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jc w:val="center"/>
              <w:rPr>
                <w:rFonts w:eastAsia="Arial"/>
                <w:snapToGrid/>
                <w:szCs w:val="22"/>
                <w:lang w:val="lt-LT"/>
              </w:rPr>
            </w:pPr>
            <w:r w:rsidRPr="0032192D">
              <w:rPr>
                <w:rFonts w:eastAsia="Arial"/>
                <w:snapToGrid/>
                <w:szCs w:val="22"/>
                <w:lang w:val="lt-LT"/>
              </w:rPr>
              <w:t>Nedažnas</w:t>
            </w:r>
          </w:p>
        </w:tc>
      </w:tr>
    </w:tbl>
    <w:p w14:paraId="59C22E0A" w14:textId="77777777" w:rsidR="00C04B7A" w:rsidRPr="0032192D" w:rsidRDefault="00C04B7A" w:rsidP="00C04B7A">
      <w:pPr>
        <w:widowControl w:val="0"/>
        <w:tabs>
          <w:tab w:val="clear" w:pos="567"/>
        </w:tabs>
        <w:autoSpaceDE w:val="0"/>
        <w:autoSpaceDN w:val="0"/>
        <w:spacing w:line="240" w:lineRule="auto"/>
        <w:ind w:left="284" w:hanging="284"/>
        <w:rPr>
          <w:rFonts w:eastAsia="Arial"/>
          <w:snapToGrid/>
          <w:szCs w:val="22"/>
          <w:lang w:val="lt-LT"/>
        </w:rPr>
      </w:pPr>
      <w:r w:rsidRPr="0032192D">
        <w:rPr>
          <w:rFonts w:eastAsia="Arial"/>
          <w:snapToGrid/>
          <w:szCs w:val="22"/>
          <w:lang w:val="lt-LT"/>
        </w:rPr>
        <w:t xml:space="preserve">#: </w:t>
      </w:r>
      <w:r w:rsidR="00FE4A9D" w:rsidRPr="0032192D">
        <w:rPr>
          <w:rFonts w:eastAsia="Arial"/>
          <w:snapToGrid/>
          <w:szCs w:val="22"/>
          <w:lang w:val="lt-LT"/>
        </w:rPr>
        <w:t>į šią lentelę įtrauktos</w:t>
      </w:r>
      <w:r w:rsidRPr="0032192D">
        <w:rPr>
          <w:rFonts w:eastAsia="Arial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Arial"/>
          <w:snapToGrid/>
          <w:szCs w:val="22"/>
          <w:lang w:val="lt-LT"/>
        </w:rPr>
        <w:t>solifenacin</w:t>
      </w:r>
      <w:r w:rsidR="00FE4A9D" w:rsidRPr="0032192D">
        <w:rPr>
          <w:rFonts w:eastAsia="Arial"/>
          <w:snapToGrid/>
          <w:szCs w:val="22"/>
          <w:lang w:val="lt-LT"/>
        </w:rPr>
        <w:t>o</w:t>
      </w:r>
      <w:proofErr w:type="spellEnd"/>
      <w:r w:rsidR="00FE4A9D" w:rsidRPr="0032192D">
        <w:rPr>
          <w:rFonts w:eastAsia="Arial"/>
          <w:snapToGrid/>
          <w:szCs w:val="22"/>
          <w:lang w:val="lt-LT"/>
        </w:rPr>
        <w:t xml:space="preserve"> ir</w:t>
      </w:r>
      <w:r w:rsidRPr="0032192D">
        <w:rPr>
          <w:rFonts w:eastAsia="Arial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Arial"/>
          <w:snapToGrid/>
          <w:szCs w:val="22"/>
          <w:lang w:val="lt-LT"/>
        </w:rPr>
        <w:t>tamsulo</w:t>
      </w:r>
      <w:r w:rsidR="00FE4A9D" w:rsidRPr="0032192D">
        <w:rPr>
          <w:rFonts w:eastAsia="Arial"/>
          <w:snapToGrid/>
          <w:szCs w:val="22"/>
          <w:lang w:val="lt-LT"/>
        </w:rPr>
        <w:t>z</w:t>
      </w:r>
      <w:r w:rsidRPr="0032192D">
        <w:rPr>
          <w:rFonts w:eastAsia="Arial"/>
          <w:snapToGrid/>
          <w:szCs w:val="22"/>
          <w:lang w:val="lt-LT"/>
        </w:rPr>
        <w:t>in</w:t>
      </w:r>
      <w:r w:rsidR="00FE4A9D" w:rsidRPr="0032192D">
        <w:rPr>
          <w:rFonts w:eastAsia="Arial"/>
          <w:snapToGrid/>
          <w:szCs w:val="22"/>
          <w:lang w:val="lt-LT"/>
        </w:rPr>
        <w:t>o</w:t>
      </w:r>
      <w:proofErr w:type="spellEnd"/>
      <w:r w:rsidR="00FE4A9D" w:rsidRPr="0032192D">
        <w:rPr>
          <w:rFonts w:eastAsia="Arial"/>
          <w:snapToGrid/>
          <w:szCs w:val="22"/>
          <w:lang w:val="lt-LT"/>
        </w:rPr>
        <w:t xml:space="preserve"> nepageidaujamos reakcijos yra paminėtos abiejų vaistinių preparatų charakteristikų santraukose.</w:t>
      </w:r>
    </w:p>
    <w:p w14:paraId="096D0F7A" w14:textId="77777777" w:rsidR="00C04B7A" w:rsidRPr="0032192D" w:rsidRDefault="00C04B7A" w:rsidP="000F4744">
      <w:pPr>
        <w:widowControl w:val="0"/>
        <w:tabs>
          <w:tab w:val="clear" w:pos="567"/>
        </w:tabs>
        <w:autoSpaceDE w:val="0"/>
        <w:autoSpaceDN w:val="0"/>
        <w:spacing w:line="240" w:lineRule="auto"/>
        <w:ind w:left="284" w:hanging="284"/>
        <w:rPr>
          <w:rFonts w:eastAsia="Arial"/>
          <w:snapToGrid/>
          <w:szCs w:val="22"/>
          <w:lang w:val="lt-LT"/>
        </w:rPr>
      </w:pPr>
      <w:r w:rsidRPr="0032192D">
        <w:rPr>
          <w:rFonts w:eastAsia="Arial"/>
          <w:snapToGrid/>
          <w:szCs w:val="22"/>
          <w:lang w:val="lt-LT"/>
        </w:rPr>
        <w:t xml:space="preserve">*: </w:t>
      </w:r>
      <w:r w:rsidR="00FE4A9D" w:rsidRPr="0032192D">
        <w:rPr>
          <w:rFonts w:eastAsia="Arial"/>
          <w:snapToGrid/>
          <w:szCs w:val="22"/>
          <w:lang w:val="lt-LT"/>
        </w:rPr>
        <w:t>remiantis pranešimais po vaistinio preparato pateikimo į rinką</w:t>
      </w:r>
      <w:r w:rsidRPr="0032192D">
        <w:rPr>
          <w:rFonts w:eastAsia="Arial"/>
          <w:snapToGrid/>
          <w:szCs w:val="22"/>
          <w:lang w:val="lt-LT"/>
        </w:rPr>
        <w:t xml:space="preserve">. </w:t>
      </w:r>
      <w:r w:rsidR="000F4744" w:rsidRPr="0032192D">
        <w:rPr>
          <w:rFonts w:eastAsia="Arial"/>
          <w:snapToGrid/>
          <w:szCs w:val="22"/>
          <w:lang w:val="lt-LT"/>
        </w:rPr>
        <w:t xml:space="preserve">Apie šiuos reiškinius pranešta savanoriškai po vaistinio preparato patekimo į rinką vartojant jį visame pasaulyje, todėl tiksliai nustatyti šių reiškinių dažnį ir </w:t>
      </w:r>
      <w:proofErr w:type="spellStart"/>
      <w:r w:rsidR="000F4744" w:rsidRPr="0032192D">
        <w:rPr>
          <w:rFonts w:eastAsia="Arial"/>
          <w:snapToGrid/>
          <w:szCs w:val="22"/>
          <w:lang w:val="lt-LT"/>
        </w:rPr>
        <w:t>solifenacino</w:t>
      </w:r>
      <w:proofErr w:type="spellEnd"/>
      <w:r w:rsidR="000F4744" w:rsidRPr="0032192D">
        <w:rPr>
          <w:rFonts w:eastAsia="Arial"/>
          <w:snapToGrid/>
          <w:szCs w:val="22"/>
          <w:lang w:val="lt-LT"/>
        </w:rPr>
        <w:t xml:space="preserve"> ar </w:t>
      </w:r>
      <w:proofErr w:type="spellStart"/>
      <w:r w:rsidR="000F4744" w:rsidRPr="0032192D">
        <w:rPr>
          <w:rFonts w:eastAsia="Arial"/>
          <w:snapToGrid/>
          <w:szCs w:val="22"/>
          <w:lang w:val="lt-LT"/>
        </w:rPr>
        <w:t>tamsulozino</w:t>
      </w:r>
      <w:proofErr w:type="spellEnd"/>
      <w:r w:rsidR="000F4744" w:rsidRPr="0032192D">
        <w:rPr>
          <w:rFonts w:eastAsia="Arial"/>
          <w:snapToGrid/>
          <w:szCs w:val="22"/>
          <w:lang w:val="lt-LT"/>
        </w:rPr>
        <w:t xml:space="preserve"> reikšmę jų atsiradimui </w:t>
      </w:r>
      <w:r w:rsidR="00F26CF0" w:rsidRPr="0032192D">
        <w:rPr>
          <w:rFonts w:eastAsia="Arial"/>
          <w:snapToGrid/>
          <w:szCs w:val="22"/>
          <w:lang w:val="lt-LT"/>
        </w:rPr>
        <w:t>bei</w:t>
      </w:r>
      <w:r w:rsidR="000F4744" w:rsidRPr="0032192D">
        <w:rPr>
          <w:rFonts w:eastAsia="Arial"/>
          <w:snapToGrid/>
          <w:szCs w:val="22"/>
          <w:lang w:val="lt-LT"/>
        </w:rPr>
        <w:t xml:space="preserve"> priežastinį ryšį neįmanoma.</w:t>
      </w:r>
    </w:p>
    <w:p w14:paraId="37F766A1" w14:textId="77777777" w:rsidR="00C04B7A" w:rsidRPr="0032192D" w:rsidRDefault="00C04B7A" w:rsidP="00C04B7A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rFonts w:eastAsia="Arial"/>
          <w:snapToGrid/>
          <w:szCs w:val="22"/>
          <w:lang w:val="lt-LT"/>
        </w:rPr>
      </w:pPr>
      <w:r w:rsidRPr="0032192D">
        <w:rPr>
          <w:rFonts w:eastAsia="Arial"/>
          <w:snapToGrid/>
          <w:szCs w:val="22"/>
          <w:lang w:val="lt-LT"/>
        </w:rPr>
        <w:t xml:space="preserve">**: </w:t>
      </w:r>
      <w:r w:rsidR="00FE4A9D" w:rsidRPr="0032192D">
        <w:rPr>
          <w:rFonts w:eastAsia="Arial"/>
          <w:snapToGrid/>
          <w:szCs w:val="22"/>
          <w:lang w:val="lt-LT"/>
        </w:rPr>
        <w:t>remiantis pranešimais po vaistinio preparato pateikimo į rinką</w:t>
      </w:r>
      <w:r w:rsidRPr="0032192D">
        <w:rPr>
          <w:rFonts w:eastAsia="Arial"/>
          <w:snapToGrid/>
          <w:szCs w:val="22"/>
          <w:lang w:val="lt-LT"/>
        </w:rPr>
        <w:t xml:space="preserve">, </w:t>
      </w:r>
      <w:r w:rsidR="00FE4A9D" w:rsidRPr="0032192D">
        <w:rPr>
          <w:rFonts w:eastAsia="Arial"/>
          <w:snapToGrid/>
          <w:szCs w:val="22"/>
          <w:lang w:val="lt-LT"/>
        </w:rPr>
        <w:t>stebėta kataraktos ir glaukomos operacijų metu</w:t>
      </w:r>
      <w:r w:rsidRPr="0032192D">
        <w:rPr>
          <w:rFonts w:eastAsia="Arial"/>
          <w:snapToGrid/>
          <w:szCs w:val="22"/>
          <w:lang w:val="lt-LT"/>
        </w:rPr>
        <w:t>.</w:t>
      </w:r>
    </w:p>
    <w:p w14:paraId="292907E1" w14:textId="77777777" w:rsidR="00C04B7A" w:rsidRPr="0032192D" w:rsidRDefault="00C04B7A" w:rsidP="00C04B7A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rFonts w:eastAsia="Arial"/>
          <w:snapToGrid/>
          <w:szCs w:val="22"/>
          <w:lang w:val="lt-LT"/>
        </w:rPr>
      </w:pPr>
      <w:r w:rsidRPr="0032192D">
        <w:rPr>
          <w:rFonts w:eastAsia="Arial"/>
          <w:snapToGrid/>
          <w:szCs w:val="22"/>
          <w:lang w:val="lt-LT"/>
        </w:rPr>
        <w:t xml:space="preserve">***: </w:t>
      </w:r>
      <w:r w:rsidR="00FE4A9D" w:rsidRPr="0032192D">
        <w:rPr>
          <w:rFonts w:eastAsia="Arial"/>
          <w:snapToGrid/>
          <w:szCs w:val="22"/>
          <w:lang w:val="lt-LT"/>
        </w:rPr>
        <w:t>žr.</w:t>
      </w:r>
      <w:r w:rsidRPr="0032192D">
        <w:rPr>
          <w:rFonts w:eastAsia="Arial"/>
          <w:snapToGrid/>
          <w:szCs w:val="22"/>
          <w:lang w:val="lt-LT"/>
        </w:rPr>
        <w:t xml:space="preserve"> 4.4</w:t>
      </w:r>
      <w:r w:rsidR="00FE4A9D" w:rsidRPr="0032192D">
        <w:rPr>
          <w:rFonts w:eastAsia="Arial"/>
          <w:snapToGrid/>
          <w:szCs w:val="22"/>
          <w:lang w:val="lt-LT"/>
        </w:rPr>
        <w:t> skyrių</w:t>
      </w:r>
      <w:r w:rsidRPr="0032192D">
        <w:rPr>
          <w:rFonts w:eastAsia="Arial"/>
          <w:snapToGrid/>
          <w:szCs w:val="22"/>
          <w:lang w:val="lt-LT"/>
        </w:rPr>
        <w:t>.</w:t>
      </w:r>
    </w:p>
    <w:p w14:paraId="262010F7" w14:textId="77777777" w:rsidR="00C04B7A" w:rsidRPr="0032192D" w:rsidRDefault="00C04B7A" w:rsidP="00C04B7A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rFonts w:eastAsia="Arial"/>
          <w:i/>
          <w:snapToGrid/>
          <w:szCs w:val="22"/>
          <w:lang w:val="lt-LT"/>
        </w:rPr>
      </w:pPr>
    </w:p>
    <w:p w14:paraId="37379F7C" w14:textId="77777777" w:rsidR="00F51736" w:rsidRPr="0032192D" w:rsidRDefault="00F51736" w:rsidP="00F51736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rFonts w:eastAsia="Arial"/>
          <w:i/>
          <w:snapToGrid/>
          <w:szCs w:val="22"/>
          <w:lang w:val="lt-LT"/>
        </w:rPr>
      </w:pPr>
      <w:r w:rsidRPr="0032192D">
        <w:rPr>
          <w:rFonts w:eastAsia="Arial"/>
          <w:i/>
          <w:snapToGrid/>
          <w:szCs w:val="22"/>
          <w:lang w:val="lt-LT"/>
        </w:rPr>
        <w:t xml:space="preserve">Ilgalaikis </w:t>
      </w:r>
      <w:proofErr w:type="spellStart"/>
      <w:r w:rsidRPr="0032192D">
        <w:rPr>
          <w:rFonts w:eastAsia="Arial"/>
          <w:i/>
          <w:snapToGrid/>
          <w:szCs w:val="22"/>
          <w:lang w:val="lt-LT"/>
        </w:rPr>
        <w:t>solifenacino</w:t>
      </w:r>
      <w:proofErr w:type="spellEnd"/>
      <w:r w:rsidRPr="0032192D">
        <w:rPr>
          <w:rFonts w:eastAsia="Arial"/>
          <w:i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Arial"/>
          <w:i/>
          <w:snapToGrid/>
          <w:szCs w:val="22"/>
          <w:lang w:val="lt-LT"/>
        </w:rPr>
        <w:t>sukcinato</w:t>
      </w:r>
      <w:proofErr w:type="spellEnd"/>
      <w:r w:rsidRPr="0032192D">
        <w:rPr>
          <w:rFonts w:eastAsia="Arial"/>
          <w:i/>
          <w:snapToGrid/>
          <w:szCs w:val="22"/>
          <w:lang w:val="lt-LT"/>
        </w:rPr>
        <w:t>/</w:t>
      </w:r>
      <w:proofErr w:type="spellStart"/>
      <w:r w:rsidRPr="0032192D">
        <w:rPr>
          <w:rFonts w:eastAsia="Arial"/>
          <w:i/>
          <w:snapToGrid/>
          <w:szCs w:val="22"/>
          <w:lang w:val="lt-LT"/>
        </w:rPr>
        <w:t>tamsulozino</w:t>
      </w:r>
      <w:proofErr w:type="spellEnd"/>
      <w:r w:rsidRPr="0032192D">
        <w:rPr>
          <w:rFonts w:eastAsia="Arial"/>
          <w:i/>
          <w:snapToGrid/>
          <w:szCs w:val="22"/>
          <w:lang w:val="lt-LT"/>
        </w:rPr>
        <w:t xml:space="preserve"> hidrochlorido saugumas</w:t>
      </w:r>
    </w:p>
    <w:p w14:paraId="6BEE2406" w14:textId="77777777" w:rsidR="00C04B7A" w:rsidRPr="0032192D" w:rsidRDefault="00F51736" w:rsidP="00F51736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rFonts w:eastAsia="Arial"/>
          <w:iCs/>
          <w:snapToGrid/>
          <w:szCs w:val="22"/>
          <w:lang w:val="lt-LT"/>
        </w:rPr>
      </w:pPr>
      <w:r w:rsidRPr="0032192D">
        <w:rPr>
          <w:rFonts w:eastAsia="Arial"/>
          <w:iCs/>
          <w:snapToGrid/>
          <w:szCs w:val="22"/>
          <w:lang w:val="lt-LT"/>
        </w:rPr>
        <w:t>Nepageidaujamo poveikio, pastebėto gydant iki 1</w:t>
      </w:r>
      <w:r w:rsidR="007276E6" w:rsidRPr="0032192D">
        <w:rPr>
          <w:rFonts w:eastAsia="Arial"/>
          <w:iCs/>
          <w:snapToGrid/>
          <w:szCs w:val="22"/>
          <w:lang w:val="lt-LT"/>
        </w:rPr>
        <w:t> </w:t>
      </w:r>
      <w:r w:rsidRPr="0032192D">
        <w:rPr>
          <w:rFonts w:eastAsia="Arial"/>
          <w:iCs/>
          <w:snapToGrid/>
          <w:szCs w:val="22"/>
          <w:lang w:val="lt-LT"/>
        </w:rPr>
        <w:t xml:space="preserve">metų, </w:t>
      </w:r>
      <w:r w:rsidR="007276E6" w:rsidRPr="0032192D">
        <w:rPr>
          <w:rFonts w:eastAsia="Arial"/>
          <w:iCs/>
          <w:snapToGrid/>
          <w:szCs w:val="22"/>
          <w:lang w:val="lt-LT"/>
        </w:rPr>
        <w:t>pobūdis</w:t>
      </w:r>
      <w:r w:rsidRPr="0032192D">
        <w:rPr>
          <w:rFonts w:eastAsia="Arial"/>
          <w:iCs/>
          <w:snapToGrid/>
          <w:szCs w:val="22"/>
          <w:lang w:val="lt-LT"/>
        </w:rPr>
        <w:t xml:space="preserve"> buvo panašus į stebėtą 12</w:t>
      </w:r>
      <w:r w:rsidR="007276E6" w:rsidRPr="0032192D">
        <w:rPr>
          <w:rFonts w:eastAsia="Arial"/>
          <w:iCs/>
          <w:snapToGrid/>
          <w:szCs w:val="22"/>
          <w:lang w:val="lt-LT"/>
        </w:rPr>
        <w:t> </w:t>
      </w:r>
      <w:r w:rsidRPr="0032192D">
        <w:rPr>
          <w:rFonts w:eastAsia="Arial"/>
          <w:iCs/>
          <w:snapToGrid/>
          <w:szCs w:val="22"/>
          <w:lang w:val="lt-LT"/>
        </w:rPr>
        <w:t xml:space="preserve">savaičių trukmės tyrimų metu. </w:t>
      </w:r>
      <w:proofErr w:type="spellStart"/>
      <w:r w:rsidRPr="0032192D">
        <w:rPr>
          <w:rFonts w:eastAsia="Arial"/>
          <w:iCs/>
          <w:snapToGrid/>
          <w:szCs w:val="22"/>
          <w:lang w:val="lt-LT"/>
        </w:rPr>
        <w:t>Solifenacino</w:t>
      </w:r>
      <w:proofErr w:type="spellEnd"/>
      <w:r w:rsidRPr="0032192D">
        <w:rPr>
          <w:rFonts w:eastAsia="Arial"/>
          <w:iCs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Arial"/>
          <w:iCs/>
          <w:snapToGrid/>
          <w:szCs w:val="22"/>
          <w:lang w:val="lt-LT"/>
        </w:rPr>
        <w:t>sukcinato</w:t>
      </w:r>
      <w:proofErr w:type="spellEnd"/>
      <w:r w:rsidRPr="0032192D">
        <w:rPr>
          <w:rFonts w:eastAsia="Arial"/>
          <w:iCs/>
          <w:snapToGrid/>
          <w:szCs w:val="22"/>
          <w:lang w:val="lt-LT"/>
        </w:rPr>
        <w:t xml:space="preserve"> ir </w:t>
      </w:r>
      <w:proofErr w:type="spellStart"/>
      <w:r w:rsidRPr="0032192D">
        <w:rPr>
          <w:rFonts w:eastAsia="Arial"/>
          <w:iCs/>
          <w:snapToGrid/>
          <w:szCs w:val="22"/>
          <w:lang w:val="lt-LT"/>
        </w:rPr>
        <w:t>tamsulozino</w:t>
      </w:r>
      <w:proofErr w:type="spellEnd"/>
      <w:r w:rsidRPr="0032192D">
        <w:rPr>
          <w:rFonts w:eastAsia="Arial"/>
          <w:iCs/>
          <w:snapToGrid/>
          <w:szCs w:val="22"/>
          <w:lang w:val="lt-LT"/>
        </w:rPr>
        <w:t xml:space="preserve"> hidrochlorido derinys yra gerai toleruojamas, specifinių </w:t>
      </w:r>
      <w:r w:rsidR="007276E6" w:rsidRPr="0032192D">
        <w:rPr>
          <w:rFonts w:eastAsia="Arial"/>
          <w:iCs/>
          <w:snapToGrid/>
          <w:szCs w:val="22"/>
          <w:lang w:val="lt-LT"/>
        </w:rPr>
        <w:t xml:space="preserve">su ilgalaikiu vartojimu susijusių </w:t>
      </w:r>
      <w:r w:rsidRPr="0032192D">
        <w:rPr>
          <w:rFonts w:eastAsia="Arial"/>
          <w:iCs/>
          <w:snapToGrid/>
          <w:szCs w:val="22"/>
          <w:lang w:val="lt-LT"/>
        </w:rPr>
        <w:t>nepageidaujamų reakcijų nenustatyta.</w:t>
      </w:r>
    </w:p>
    <w:p w14:paraId="29E8DB10" w14:textId="77777777" w:rsidR="00F51736" w:rsidRPr="0032192D" w:rsidRDefault="00F51736" w:rsidP="00F51736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rFonts w:eastAsia="Arial"/>
          <w:i/>
          <w:snapToGrid/>
          <w:szCs w:val="22"/>
          <w:lang w:val="lt-LT"/>
        </w:rPr>
      </w:pPr>
    </w:p>
    <w:p w14:paraId="6528C968" w14:textId="77777777" w:rsidR="00C04B7A" w:rsidRPr="00EC48AA" w:rsidRDefault="00F51736" w:rsidP="00C04B7A">
      <w:pPr>
        <w:keepNext/>
        <w:widowControl w:val="0"/>
        <w:tabs>
          <w:tab w:val="clear" w:pos="567"/>
        </w:tabs>
        <w:autoSpaceDE w:val="0"/>
        <w:autoSpaceDN w:val="0"/>
        <w:spacing w:line="240" w:lineRule="auto"/>
        <w:rPr>
          <w:rFonts w:eastAsia="Arial"/>
          <w:snapToGrid/>
          <w:szCs w:val="22"/>
          <w:u w:val="single"/>
          <w:lang w:val="lt-LT"/>
        </w:rPr>
      </w:pPr>
      <w:r w:rsidRPr="00EC48AA">
        <w:rPr>
          <w:rFonts w:eastAsia="Arial"/>
          <w:snapToGrid/>
          <w:szCs w:val="22"/>
          <w:u w:val="single"/>
          <w:lang w:val="lt-LT"/>
        </w:rPr>
        <w:lastRenderedPageBreak/>
        <w:t>Atrinktų nepageidaujamų reakcijų apibūdinimas</w:t>
      </w:r>
    </w:p>
    <w:p w14:paraId="68C37764" w14:textId="77777777" w:rsidR="00C04B7A" w:rsidRPr="0032192D" w:rsidRDefault="00F51736" w:rsidP="00C04B7A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rFonts w:eastAsia="Arial"/>
          <w:snapToGrid/>
          <w:szCs w:val="22"/>
          <w:lang w:val="lt-LT"/>
        </w:rPr>
      </w:pPr>
      <w:r w:rsidRPr="0032192D">
        <w:rPr>
          <w:rFonts w:eastAsia="Arial"/>
          <w:snapToGrid/>
          <w:szCs w:val="22"/>
          <w:lang w:val="lt-LT"/>
        </w:rPr>
        <w:t>Informacijos apie šlapimo susilaikymą pateikiama</w:t>
      </w:r>
      <w:r w:rsidR="00C04B7A" w:rsidRPr="0032192D">
        <w:rPr>
          <w:rFonts w:eastAsia="Arial"/>
          <w:snapToGrid/>
          <w:szCs w:val="22"/>
          <w:lang w:val="lt-LT"/>
        </w:rPr>
        <w:t xml:space="preserve"> 4.4</w:t>
      </w:r>
      <w:r w:rsidRPr="0032192D">
        <w:rPr>
          <w:rFonts w:eastAsia="Arial"/>
          <w:snapToGrid/>
          <w:szCs w:val="22"/>
          <w:lang w:val="lt-LT"/>
        </w:rPr>
        <w:t> skyriuje</w:t>
      </w:r>
      <w:r w:rsidR="00C04B7A" w:rsidRPr="0032192D">
        <w:rPr>
          <w:rFonts w:eastAsia="Arial"/>
          <w:snapToGrid/>
          <w:szCs w:val="22"/>
          <w:lang w:val="lt-LT"/>
        </w:rPr>
        <w:t>.</w:t>
      </w:r>
    </w:p>
    <w:p w14:paraId="2DC824A6" w14:textId="77777777" w:rsidR="00C04B7A" w:rsidRPr="0032192D" w:rsidRDefault="00C04B7A" w:rsidP="00C04B7A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rFonts w:eastAsia="Arial"/>
          <w:i/>
          <w:snapToGrid/>
          <w:szCs w:val="22"/>
          <w:lang w:val="lt-LT"/>
        </w:rPr>
      </w:pPr>
    </w:p>
    <w:p w14:paraId="7232CEAA" w14:textId="0ED7A57E" w:rsidR="00C04B7A" w:rsidRPr="00EC48AA" w:rsidRDefault="00C04B7A" w:rsidP="00C04B7A">
      <w:pPr>
        <w:keepNext/>
        <w:widowControl w:val="0"/>
        <w:tabs>
          <w:tab w:val="clear" w:pos="567"/>
        </w:tabs>
        <w:autoSpaceDE w:val="0"/>
        <w:autoSpaceDN w:val="0"/>
        <w:spacing w:line="240" w:lineRule="auto"/>
        <w:rPr>
          <w:rFonts w:eastAsia="Arial"/>
          <w:snapToGrid/>
          <w:szCs w:val="22"/>
          <w:u w:val="single"/>
          <w:lang w:val="lt-LT"/>
        </w:rPr>
      </w:pPr>
      <w:r w:rsidRPr="00EC48AA">
        <w:rPr>
          <w:rFonts w:eastAsia="Arial"/>
          <w:snapToGrid/>
          <w:szCs w:val="22"/>
          <w:u w:val="single"/>
          <w:lang w:val="lt-LT"/>
        </w:rPr>
        <w:t xml:space="preserve">Senyvi </w:t>
      </w:r>
      <w:r w:rsidR="007B316B" w:rsidRPr="00EC48AA">
        <w:rPr>
          <w:rFonts w:eastAsia="Arial"/>
          <w:snapToGrid/>
          <w:szCs w:val="22"/>
          <w:u w:val="single"/>
          <w:lang w:val="lt-LT"/>
        </w:rPr>
        <w:t>pacientai</w:t>
      </w:r>
    </w:p>
    <w:p w14:paraId="222F5236" w14:textId="3C1FDD3D" w:rsidR="00776FBE" w:rsidRPr="0032192D" w:rsidRDefault="0053543A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Arial"/>
          <w:snapToGrid/>
          <w:szCs w:val="22"/>
          <w:lang w:val="lt-LT"/>
        </w:rPr>
      </w:pPr>
      <w:r w:rsidRPr="0032192D">
        <w:rPr>
          <w:rFonts w:eastAsia="Arial"/>
          <w:snapToGrid/>
          <w:szCs w:val="22"/>
          <w:lang w:val="lt-LT"/>
        </w:rPr>
        <w:t xml:space="preserve">Terapinė </w:t>
      </w:r>
      <w:proofErr w:type="spellStart"/>
      <w:r w:rsidRPr="0032192D">
        <w:rPr>
          <w:rFonts w:eastAsia="Arial"/>
          <w:snapToGrid/>
          <w:szCs w:val="22"/>
          <w:lang w:val="lt-LT"/>
        </w:rPr>
        <w:t>solifenacino</w:t>
      </w:r>
      <w:proofErr w:type="spellEnd"/>
      <w:r w:rsidRPr="0032192D">
        <w:rPr>
          <w:rFonts w:eastAsia="Arial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Arial"/>
          <w:snapToGrid/>
          <w:szCs w:val="22"/>
          <w:lang w:val="lt-LT"/>
        </w:rPr>
        <w:t>sukcinato</w:t>
      </w:r>
      <w:proofErr w:type="spellEnd"/>
      <w:r w:rsidRPr="0032192D">
        <w:rPr>
          <w:rFonts w:eastAsia="Arial"/>
          <w:snapToGrid/>
          <w:szCs w:val="22"/>
          <w:lang w:val="lt-LT"/>
        </w:rPr>
        <w:t>/</w:t>
      </w:r>
      <w:proofErr w:type="spellStart"/>
      <w:r w:rsidRPr="0032192D">
        <w:rPr>
          <w:rFonts w:eastAsia="Arial"/>
          <w:snapToGrid/>
          <w:szCs w:val="22"/>
          <w:lang w:val="lt-LT"/>
        </w:rPr>
        <w:t>tamsulozino</w:t>
      </w:r>
      <w:proofErr w:type="spellEnd"/>
      <w:r w:rsidRPr="0032192D">
        <w:rPr>
          <w:rFonts w:eastAsia="Arial"/>
          <w:snapToGrid/>
          <w:szCs w:val="22"/>
          <w:lang w:val="lt-LT"/>
        </w:rPr>
        <w:t xml:space="preserve"> hidrochlorido indikacija, t. y. su GPH susiję vidutinio sunkumo ir sunkūs šlapimo laikymo simptomai (staiga atsirandantis noras šlapintis, padidėjęs šlapinimosi dažni</w:t>
      </w:r>
      <w:r w:rsidR="001A7D51" w:rsidRPr="0032192D">
        <w:rPr>
          <w:rFonts w:eastAsia="Arial"/>
          <w:snapToGrid/>
          <w:szCs w:val="22"/>
          <w:lang w:val="lt-LT"/>
        </w:rPr>
        <w:t>s</w:t>
      </w:r>
      <w:r w:rsidRPr="0032192D">
        <w:rPr>
          <w:rFonts w:eastAsia="Arial"/>
          <w:snapToGrid/>
          <w:szCs w:val="22"/>
          <w:lang w:val="lt-LT"/>
        </w:rPr>
        <w:t xml:space="preserve">) ir šlapinimosi simptomai yra liga, kuria serga </w:t>
      </w:r>
      <w:r w:rsidR="00F26CF0" w:rsidRPr="0032192D">
        <w:rPr>
          <w:rFonts w:eastAsia="Arial"/>
          <w:snapToGrid/>
          <w:szCs w:val="22"/>
          <w:lang w:val="lt-LT"/>
        </w:rPr>
        <w:t>senyvi</w:t>
      </w:r>
      <w:r w:rsidRPr="0032192D">
        <w:rPr>
          <w:rFonts w:eastAsia="Arial"/>
          <w:snapToGrid/>
          <w:szCs w:val="22"/>
          <w:lang w:val="lt-LT"/>
        </w:rPr>
        <w:t xml:space="preserve"> vyrai. </w:t>
      </w:r>
      <w:proofErr w:type="spellStart"/>
      <w:r w:rsidRPr="0032192D">
        <w:rPr>
          <w:rFonts w:eastAsia="Arial"/>
          <w:snapToGrid/>
          <w:szCs w:val="22"/>
          <w:lang w:val="lt-LT"/>
        </w:rPr>
        <w:t>Solifenacino</w:t>
      </w:r>
      <w:proofErr w:type="spellEnd"/>
      <w:r w:rsidRPr="0032192D">
        <w:rPr>
          <w:rFonts w:eastAsia="Arial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Arial"/>
          <w:snapToGrid/>
          <w:szCs w:val="22"/>
          <w:lang w:val="lt-LT"/>
        </w:rPr>
        <w:t>sukcinato</w:t>
      </w:r>
      <w:proofErr w:type="spellEnd"/>
      <w:r w:rsidRPr="0032192D">
        <w:rPr>
          <w:rFonts w:eastAsia="Arial"/>
          <w:snapToGrid/>
          <w:szCs w:val="22"/>
          <w:lang w:val="lt-LT"/>
        </w:rPr>
        <w:t>/</w:t>
      </w:r>
      <w:proofErr w:type="spellStart"/>
      <w:r w:rsidRPr="0032192D">
        <w:rPr>
          <w:rFonts w:eastAsia="Arial"/>
          <w:snapToGrid/>
          <w:szCs w:val="22"/>
          <w:lang w:val="lt-LT"/>
        </w:rPr>
        <w:t>tamsulozino</w:t>
      </w:r>
      <w:proofErr w:type="spellEnd"/>
      <w:r w:rsidRPr="0032192D">
        <w:rPr>
          <w:rFonts w:eastAsia="Arial"/>
          <w:snapToGrid/>
          <w:szCs w:val="22"/>
          <w:lang w:val="lt-LT"/>
        </w:rPr>
        <w:t xml:space="preserve"> hidrochlorido derinio klinikinio vystymo programoje dalyvavo 45</w:t>
      </w:r>
      <w:r w:rsidRPr="0032192D">
        <w:rPr>
          <w:rFonts w:eastAsia="Arial"/>
          <w:snapToGrid/>
          <w:szCs w:val="22"/>
          <w:lang w:val="lt-LT"/>
        </w:rPr>
        <w:noBreakHyphen/>
        <w:t xml:space="preserve">91 metų pacientai, vidutinis amžius buvo 65 metai. Senyviems </w:t>
      </w:r>
      <w:r w:rsidR="007B316B">
        <w:rPr>
          <w:rFonts w:eastAsia="Arial"/>
          <w:snapToGrid/>
          <w:szCs w:val="22"/>
          <w:lang w:val="lt-LT"/>
        </w:rPr>
        <w:t>pacientams</w:t>
      </w:r>
      <w:r w:rsidR="007B316B" w:rsidRPr="0032192D">
        <w:rPr>
          <w:rFonts w:eastAsia="Arial"/>
          <w:snapToGrid/>
          <w:szCs w:val="22"/>
          <w:lang w:val="lt-LT"/>
        </w:rPr>
        <w:t xml:space="preserve"> </w:t>
      </w:r>
      <w:r w:rsidRPr="0032192D">
        <w:rPr>
          <w:rFonts w:eastAsia="Arial"/>
          <w:snapToGrid/>
          <w:szCs w:val="22"/>
          <w:lang w:val="lt-LT"/>
        </w:rPr>
        <w:t xml:space="preserve">pasireiškusios nepageidaujamos reakcijos buvo panašios į nustatytas jaunesniems </w:t>
      </w:r>
      <w:r w:rsidR="007B316B">
        <w:rPr>
          <w:rFonts w:eastAsia="Arial"/>
          <w:snapToGrid/>
          <w:szCs w:val="22"/>
          <w:lang w:val="lt-LT"/>
        </w:rPr>
        <w:t>pacientams</w:t>
      </w:r>
      <w:r w:rsidRPr="0032192D">
        <w:rPr>
          <w:rFonts w:eastAsia="Arial"/>
          <w:snapToGrid/>
          <w:szCs w:val="22"/>
          <w:lang w:val="lt-LT"/>
        </w:rPr>
        <w:t>.</w:t>
      </w:r>
    </w:p>
    <w:p w14:paraId="0C719E3D" w14:textId="77777777" w:rsidR="0053543A" w:rsidRPr="0032192D" w:rsidRDefault="0053543A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napToGrid/>
          <w:szCs w:val="22"/>
          <w:lang w:val="lt-LT"/>
        </w:rPr>
      </w:pPr>
    </w:p>
    <w:p w14:paraId="7DD03B9C" w14:textId="77777777" w:rsidR="00776FBE" w:rsidRPr="0032192D" w:rsidRDefault="00776FBE" w:rsidP="00AB3C1A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snapToGrid/>
          <w:szCs w:val="22"/>
          <w:u w:val="single"/>
          <w:lang w:val="lt-LT"/>
        </w:rPr>
      </w:pPr>
      <w:r w:rsidRPr="0032192D">
        <w:rPr>
          <w:rFonts w:eastAsia="Calibri"/>
          <w:snapToGrid/>
          <w:szCs w:val="22"/>
          <w:u w:val="single"/>
          <w:lang w:val="lt-LT"/>
        </w:rPr>
        <w:t>Pranešimas apie įtariamas nepageidaujamas reakcijas</w:t>
      </w:r>
    </w:p>
    <w:p w14:paraId="749901BA" w14:textId="440C8B7D" w:rsidR="00361AE8" w:rsidRPr="00FC4B7F" w:rsidRDefault="00776FBE" w:rsidP="00361AE8">
      <w:pPr>
        <w:jc w:val="both"/>
        <w:rPr>
          <w:szCs w:val="24"/>
          <w:lang w:val="lt-LT"/>
        </w:rPr>
      </w:pPr>
      <w:r w:rsidRPr="0032192D">
        <w:rPr>
          <w:rFonts w:eastAsia="Calibri"/>
          <w:snapToGrid/>
          <w:szCs w:val="22"/>
          <w:lang w:val="lt-LT"/>
        </w:rPr>
        <w:t xml:space="preserve">Svarbu pranešti apie įtariamas nepageidaujamas reakcijas, pastebėtas po vaistinio preparato registracijos, nes tai leidžia nuolat stebėti vaistinio preparato naudos ir rizikos santykį. </w:t>
      </w:r>
      <w:r w:rsidR="00361AE8" w:rsidRPr="00FC4B7F">
        <w:rPr>
          <w:szCs w:val="22"/>
          <w:lang w:val="lt-LT"/>
        </w:rPr>
        <w:t xml:space="preserve"> Sveikatos priežiūros ar farmacijos specialistai turi pranešti apie bet kokias įtariamas nepageidaujamas reakcijas, užpildę ir pateikę pranešimo formą Valstybinės vaistų kontrolės tarnybos prie Lietuvos Respublikos sveikatos apsaugos ministerijos tinklalapyje </w:t>
      </w:r>
      <w:r w:rsidR="00361AE8" w:rsidRPr="00FC4B7F">
        <w:rPr>
          <w:szCs w:val="22"/>
          <w:u w:val="single"/>
          <w:lang w:val="lt-LT"/>
        </w:rPr>
        <w:t>https://vvkt.lrv.lt/lt/</w:t>
      </w:r>
      <w:r w:rsidR="00361AE8" w:rsidRPr="00FC4B7F">
        <w:rPr>
          <w:szCs w:val="22"/>
          <w:lang w:val="lt-LT"/>
        </w:rPr>
        <w:t xml:space="preserve"> nurodytais būdais.</w:t>
      </w:r>
    </w:p>
    <w:p w14:paraId="66061DE1" w14:textId="77777777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napToGrid/>
          <w:szCs w:val="22"/>
          <w:u w:val="single"/>
          <w:lang w:val="lt-LT"/>
        </w:rPr>
      </w:pPr>
    </w:p>
    <w:p w14:paraId="13B5322F" w14:textId="77777777" w:rsidR="00776FBE" w:rsidRPr="0032192D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32192D">
        <w:rPr>
          <w:b/>
          <w:snapToGrid/>
          <w:kern w:val="28"/>
          <w:szCs w:val="22"/>
          <w:lang w:val="lt-LT"/>
        </w:rPr>
        <w:t>4.9</w:t>
      </w:r>
      <w:r w:rsidRPr="0032192D">
        <w:rPr>
          <w:b/>
          <w:snapToGrid/>
          <w:kern w:val="28"/>
          <w:szCs w:val="22"/>
          <w:lang w:val="lt-LT"/>
        </w:rPr>
        <w:tab/>
        <w:t>Perdozavimas</w:t>
      </w:r>
    </w:p>
    <w:p w14:paraId="2952E8B4" w14:textId="77777777" w:rsidR="003F4E62" w:rsidRPr="0032192D" w:rsidRDefault="003F4E62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napToGrid/>
          <w:szCs w:val="22"/>
          <w:u w:val="single"/>
          <w:lang w:val="lt-LT"/>
        </w:rPr>
      </w:pPr>
    </w:p>
    <w:p w14:paraId="6CB5FAA2" w14:textId="77777777" w:rsidR="00D332D4" w:rsidRPr="0032192D" w:rsidRDefault="00D332D4" w:rsidP="00D332D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napToGrid/>
          <w:szCs w:val="22"/>
          <w:lang w:val="lt-LT"/>
        </w:rPr>
      </w:pPr>
      <w:r w:rsidRPr="0032192D">
        <w:rPr>
          <w:i/>
          <w:iCs/>
          <w:snapToGrid/>
          <w:szCs w:val="22"/>
          <w:lang w:val="lt-LT"/>
        </w:rPr>
        <w:t>Simptomai</w:t>
      </w:r>
    </w:p>
    <w:p w14:paraId="1C5D105D" w14:textId="77777777" w:rsidR="00D332D4" w:rsidRPr="0032192D" w:rsidRDefault="00D332D4" w:rsidP="00D332D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Perdozavus </w:t>
      </w:r>
      <w:proofErr w:type="spellStart"/>
      <w:r w:rsidRPr="0032192D">
        <w:rPr>
          <w:snapToGrid/>
          <w:szCs w:val="22"/>
          <w:lang w:val="lt-LT"/>
        </w:rPr>
        <w:t>solifenacino</w:t>
      </w:r>
      <w:proofErr w:type="spellEnd"/>
      <w:r w:rsidRPr="0032192D">
        <w:rPr>
          <w:snapToGrid/>
          <w:szCs w:val="22"/>
          <w:lang w:val="lt-LT"/>
        </w:rPr>
        <w:t xml:space="preserve"> </w:t>
      </w:r>
      <w:proofErr w:type="spellStart"/>
      <w:r w:rsidRPr="0032192D">
        <w:rPr>
          <w:snapToGrid/>
          <w:szCs w:val="22"/>
          <w:lang w:val="lt-LT"/>
        </w:rPr>
        <w:t>sukcinato</w:t>
      </w:r>
      <w:proofErr w:type="spellEnd"/>
      <w:r w:rsidRPr="0032192D">
        <w:rPr>
          <w:snapToGrid/>
          <w:szCs w:val="22"/>
          <w:lang w:val="lt-LT"/>
        </w:rPr>
        <w:t>/</w:t>
      </w:r>
      <w:proofErr w:type="spellStart"/>
      <w:r w:rsidRPr="0032192D">
        <w:rPr>
          <w:snapToGrid/>
          <w:szCs w:val="22"/>
          <w:lang w:val="lt-LT"/>
        </w:rPr>
        <w:t>tamsulozino</w:t>
      </w:r>
      <w:proofErr w:type="spellEnd"/>
      <w:r w:rsidRPr="0032192D">
        <w:rPr>
          <w:snapToGrid/>
          <w:szCs w:val="22"/>
          <w:lang w:val="lt-LT"/>
        </w:rPr>
        <w:t xml:space="preserve"> hidrochlorido, gali pasireikšti sunkus </w:t>
      </w:r>
      <w:proofErr w:type="spellStart"/>
      <w:r w:rsidRPr="0032192D">
        <w:rPr>
          <w:snapToGrid/>
          <w:szCs w:val="22"/>
          <w:lang w:val="lt-LT"/>
        </w:rPr>
        <w:t>anticholinerginis</w:t>
      </w:r>
      <w:proofErr w:type="spellEnd"/>
      <w:r w:rsidRPr="0032192D">
        <w:rPr>
          <w:snapToGrid/>
          <w:szCs w:val="22"/>
          <w:lang w:val="lt-LT"/>
        </w:rPr>
        <w:t xml:space="preserve"> poveikis ir ūminė hipotenzija. Didžiausia </w:t>
      </w:r>
      <w:r w:rsidR="00D91F1E" w:rsidRPr="0032192D">
        <w:rPr>
          <w:snapToGrid/>
          <w:szCs w:val="22"/>
          <w:lang w:val="lt-LT"/>
        </w:rPr>
        <w:t xml:space="preserve">klinikinio tyrimo metu </w:t>
      </w:r>
      <w:r w:rsidRPr="0032192D">
        <w:rPr>
          <w:snapToGrid/>
          <w:szCs w:val="22"/>
          <w:lang w:val="lt-LT"/>
        </w:rPr>
        <w:t>atsitiktinai suvartota dozė atitiko 126</w:t>
      </w:r>
      <w:r w:rsidR="002527DB" w:rsidRPr="0032192D">
        <w:rPr>
          <w:snapToGrid/>
          <w:szCs w:val="22"/>
          <w:lang w:val="lt-LT"/>
        </w:rPr>
        <w:t> </w:t>
      </w:r>
      <w:r w:rsidRPr="0032192D">
        <w:rPr>
          <w:snapToGrid/>
          <w:szCs w:val="22"/>
          <w:lang w:val="lt-LT"/>
        </w:rPr>
        <w:t xml:space="preserve">mg </w:t>
      </w:r>
      <w:proofErr w:type="spellStart"/>
      <w:r w:rsidRPr="0032192D">
        <w:rPr>
          <w:snapToGrid/>
          <w:szCs w:val="22"/>
          <w:lang w:val="lt-LT"/>
        </w:rPr>
        <w:t>solifenacino</w:t>
      </w:r>
      <w:proofErr w:type="spellEnd"/>
      <w:r w:rsidRPr="0032192D">
        <w:rPr>
          <w:snapToGrid/>
          <w:szCs w:val="22"/>
          <w:lang w:val="lt-LT"/>
        </w:rPr>
        <w:t xml:space="preserve"> </w:t>
      </w:r>
      <w:proofErr w:type="spellStart"/>
      <w:r w:rsidRPr="0032192D">
        <w:rPr>
          <w:snapToGrid/>
          <w:szCs w:val="22"/>
          <w:lang w:val="lt-LT"/>
        </w:rPr>
        <w:t>sukcinato</w:t>
      </w:r>
      <w:proofErr w:type="spellEnd"/>
      <w:r w:rsidRPr="0032192D">
        <w:rPr>
          <w:snapToGrid/>
          <w:szCs w:val="22"/>
          <w:lang w:val="lt-LT"/>
        </w:rPr>
        <w:t xml:space="preserve"> ir 5,6</w:t>
      </w:r>
      <w:r w:rsidR="002527DB" w:rsidRPr="0032192D">
        <w:rPr>
          <w:snapToGrid/>
          <w:szCs w:val="22"/>
          <w:lang w:val="lt-LT"/>
        </w:rPr>
        <w:t> </w:t>
      </w:r>
      <w:r w:rsidRPr="0032192D">
        <w:rPr>
          <w:snapToGrid/>
          <w:szCs w:val="22"/>
          <w:lang w:val="lt-LT"/>
        </w:rPr>
        <w:t xml:space="preserve">mg </w:t>
      </w:r>
      <w:proofErr w:type="spellStart"/>
      <w:r w:rsidRPr="0032192D">
        <w:rPr>
          <w:snapToGrid/>
          <w:szCs w:val="22"/>
          <w:lang w:val="lt-LT"/>
        </w:rPr>
        <w:t>tamsulozino</w:t>
      </w:r>
      <w:proofErr w:type="spellEnd"/>
      <w:r w:rsidRPr="0032192D">
        <w:rPr>
          <w:snapToGrid/>
          <w:szCs w:val="22"/>
          <w:lang w:val="lt-LT"/>
        </w:rPr>
        <w:t xml:space="preserve"> hidrochlorido. Ši dozė buvo gerai toleruojama, vienintelis nepageidaujamas reiškinys, apie kurį pranešta, buvo lengvas burnos džiūvimas 16</w:t>
      </w:r>
      <w:r w:rsidR="00EB4CD6" w:rsidRPr="0032192D">
        <w:rPr>
          <w:snapToGrid/>
          <w:szCs w:val="22"/>
          <w:lang w:val="lt-LT"/>
        </w:rPr>
        <w:t> </w:t>
      </w:r>
      <w:r w:rsidRPr="0032192D">
        <w:rPr>
          <w:snapToGrid/>
          <w:szCs w:val="22"/>
          <w:lang w:val="lt-LT"/>
        </w:rPr>
        <w:t>dienų.</w:t>
      </w:r>
    </w:p>
    <w:p w14:paraId="39498ED6" w14:textId="77777777" w:rsidR="00D332D4" w:rsidRPr="0032192D" w:rsidRDefault="00D332D4" w:rsidP="00D332D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5F9736B" w14:textId="77777777" w:rsidR="00D332D4" w:rsidRPr="0032192D" w:rsidRDefault="00D332D4" w:rsidP="00D332D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napToGrid/>
          <w:szCs w:val="22"/>
          <w:lang w:val="lt-LT"/>
        </w:rPr>
      </w:pPr>
      <w:r w:rsidRPr="0032192D">
        <w:rPr>
          <w:i/>
          <w:iCs/>
          <w:snapToGrid/>
          <w:szCs w:val="22"/>
          <w:lang w:val="lt-LT"/>
        </w:rPr>
        <w:t>Gydymas</w:t>
      </w:r>
    </w:p>
    <w:p w14:paraId="5DCDBB3E" w14:textId="77777777" w:rsidR="00D332D4" w:rsidRPr="0032192D" w:rsidRDefault="00D332D4" w:rsidP="00D332D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Perdozavus </w:t>
      </w:r>
      <w:proofErr w:type="spellStart"/>
      <w:r w:rsidRPr="0032192D">
        <w:rPr>
          <w:snapToGrid/>
          <w:szCs w:val="22"/>
          <w:lang w:val="lt-LT"/>
        </w:rPr>
        <w:t>solifenacino</w:t>
      </w:r>
      <w:proofErr w:type="spellEnd"/>
      <w:r w:rsidRPr="0032192D">
        <w:rPr>
          <w:snapToGrid/>
          <w:szCs w:val="22"/>
          <w:lang w:val="lt-LT"/>
        </w:rPr>
        <w:t xml:space="preserve"> ir </w:t>
      </w:r>
      <w:proofErr w:type="spellStart"/>
      <w:r w:rsidRPr="0032192D">
        <w:rPr>
          <w:snapToGrid/>
          <w:szCs w:val="22"/>
          <w:lang w:val="lt-LT"/>
        </w:rPr>
        <w:t>tamsulozino</w:t>
      </w:r>
      <w:proofErr w:type="spellEnd"/>
      <w:r w:rsidRPr="0032192D">
        <w:rPr>
          <w:snapToGrid/>
          <w:szCs w:val="22"/>
          <w:lang w:val="lt-LT"/>
        </w:rPr>
        <w:t xml:space="preserve">, pacientą </w:t>
      </w:r>
      <w:r w:rsidR="00EB4CD6" w:rsidRPr="0032192D">
        <w:rPr>
          <w:snapToGrid/>
          <w:szCs w:val="22"/>
          <w:lang w:val="lt-LT"/>
        </w:rPr>
        <w:t>būtina</w:t>
      </w:r>
      <w:r w:rsidRPr="0032192D">
        <w:rPr>
          <w:snapToGrid/>
          <w:szCs w:val="22"/>
          <w:lang w:val="lt-LT"/>
        </w:rPr>
        <w:t xml:space="preserve"> gydyti aktyvintąja anglimi. Skrandžio plovimas yra naudingas, jei atliekamas per 1</w:t>
      </w:r>
      <w:r w:rsidR="00EB4CD6" w:rsidRPr="0032192D">
        <w:rPr>
          <w:snapToGrid/>
          <w:szCs w:val="22"/>
          <w:lang w:val="lt-LT"/>
        </w:rPr>
        <w:t> </w:t>
      </w:r>
      <w:r w:rsidRPr="0032192D">
        <w:rPr>
          <w:snapToGrid/>
          <w:szCs w:val="22"/>
          <w:lang w:val="lt-LT"/>
        </w:rPr>
        <w:t xml:space="preserve">valandą, tačiau vėmimo sukelti </w:t>
      </w:r>
      <w:r w:rsidR="00EB4CD6" w:rsidRPr="0032192D">
        <w:rPr>
          <w:snapToGrid/>
          <w:szCs w:val="22"/>
          <w:lang w:val="lt-LT"/>
        </w:rPr>
        <w:t>negalima</w:t>
      </w:r>
      <w:r w:rsidRPr="0032192D">
        <w:rPr>
          <w:snapToGrid/>
          <w:szCs w:val="22"/>
          <w:lang w:val="lt-LT"/>
        </w:rPr>
        <w:t>.</w:t>
      </w:r>
    </w:p>
    <w:p w14:paraId="38951E87" w14:textId="77777777" w:rsidR="00D332D4" w:rsidRPr="0032192D" w:rsidRDefault="00D332D4" w:rsidP="00D332D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4BC0F530" w14:textId="77777777" w:rsidR="00D332D4" w:rsidRPr="0032192D" w:rsidRDefault="00D332D4" w:rsidP="00D332D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Kaip ir kitų </w:t>
      </w:r>
      <w:proofErr w:type="spellStart"/>
      <w:r w:rsidRPr="0032192D">
        <w:rPr>
          <w:snapToGrid/>
          <w:szCs w:val="22"/>
          <w:lang w:val="lt-LT"/>
        </w:rPr>
        <w:t>anticholinerginių</w:t>
      </w:r>
      <w:proofErr w:type="spellEnd"/>
      <w:r w:rsidRPr="0032192D">
        <w:rPr>
          <w:snapToGrid/>
          <w:szCs w:val="22"/>
          <w:lang w:val="lt-LT"/>
        </w:rPr>
        <w:t xml:space="preserve"> vaist</w:t>
      </w:r>
      <w:r w:rsidR="00EB4CD6" w:rsidRPr="0032192D">
        <w:rPr>
          <w:snapToGrid/>
          <w:szCs w:val="22"/>
          <w:lang w:val="lt-LT"/>
        </w:rPr>
        <w:t>inių preparat</w:t>
      </w:r>
      <w:r w:rsidRPr="0032192D">
        <w:rPr>
          <w:snapToGrid/>
          <w:szCs w:val="22"/>
          <w:lang w:val="lt-LT"/>
        </w:rPr>
        <w:t xml:space="preserve">ų, </w:t>
      </w:r>
      <w:proofErr w:type="spellStart"/>
      <w:r w:rsidRPr="0032192D">
        <w:rPr>
          <w:snapToGrid/>
          <w:szCs w:val="22"/>
          <w:lang w:val="lt-LT"/>
        </w:rPr>
        <w:t>solifenacino</w:t>
      </w:r>
      <w:proofErr w:type="spellEnd"/>
      <w:r w:rsidRPr="0032192D">
        <w:rPr>
          <w:snapToGrid/>
          <w:szCs w:val="22"/>
          <w:lang w:val="lt-LT"/>
        </w:rPr>
        <w:t xml:space="preserve"> sudedamosios dalies perdozavimo simptomus galima gydyti taip</w:t>
      </w:r>
      <w:r w:rsidR="00EB4CD6" w:rsidRPr="0032192D">
        <w:rPr>
          <w:snapToGrid/>
          <w:szCs w:val="22"/>
          <w:lang w:val="lt-LT"/>
        </w:rPr>
        <w:t>, kaip nurodyta toliau.</w:t>
      </w:r>
    </w:p>
    <w:p w14:paraId="448B0B9A" w14:textId="77777777" w:rsidR="00D332D4" w:rsidRPr="0032192D" w:rsidRDefault="00D332D4" w:rsidP="00EB4CD6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Sunkus centrinis </w:t>
      </w:r>
      <w:proofErr w:type="spellStart"/>
      <w:r w:rsidRPr="0032192D">
        <w:rPr>
          <w:snapToGrid/>
          <w:szCs w:val="22"/>
          <w:lang w:val="lt-LT"/>
        </w:rPr>
        <w:t>anticholinerginis</w:t>
      </w:r>
      <w:proofErr w:type="spellEnd"/>
      <w:r w:rsidRPr="0032192D">
        <w:rPr>
          <w:snapToGrid/>
          <w:szCs w:val="22"/>
          <w:lang w:val="lt-LT"/>
        </w:rPr>
        <w:t xml:space="preserve"> poveikis, pavyzdžiui, haliucinacijos ar ryškus sujaudinimas: gydyti </w:t>
      </w:r>
      <w:proofErr w:type="spellStart"/>
      <w:r w:rsidRPr="0032192D">
        <w:rPr>
          <w:snapToGrid/>
          <w:szCs w:val="22"/>
          <w:lang w:val="lt-LT"/>
        </w:rPr>
        <w:t>fizostigminu</w:t>
      </w:r>
      <w:proofErr w:type="spellEnd"/>
      <w:r w:rsidRPr="0032192D">
        <w:rPr>
          <w:snapToGrid/>
          <w:szCs w:val="22"/>
          <w:lang w:val="lt-LT"/>
        </w:rPr>
        <w:t xml:space="preserve"> arba </w:t>
      </w:r>
      <w:proofErr w:type="spellStart"/>
      <w:r w:rsidRPr="0032192D">
        <w:rPr>
          <w:snapToGrid/>
          <w:szCs w:val="22"/>
          <w:lang w:val="lt-LT"/>
        </w:rPr>
        <w:t>karbacholiu</w:t>
      </w:r>
      <w:proofErr w:type="spellEnd"/>
      <w:r w:rsidRPr="0032192D">
        <w:rPr>
          <w:snapToGrid/>
          <w:szCs w:val="22"/>
          <w:lang w:val="lt-LT"/>
        </w:rPr>
        <w:t>.</w:t>
      </w:r>
    </w:p>
    <w:p w14:paraId="2548F2A1" w14:textId="77777777" w:rsidR="00D332D4" w:rsidRPr="0032192D" w:rsidRDefault="00D332D4" w:rsidP="00EB4CD6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Traukuliai arba ryškus sujaudinimas: gydyti benzodiazepinais.</w:t>
      </w:r>
    </w:p>
    <w:p w14:paraId="7A90E29A" w14:textId="77777777" w:rsidR="00D332D4" w:rsidRPr="0032192D" w:rsidRDefault="00D332D4" w:rsidP="00EB4CD6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Kvėpavimo nepakankamumas: gydyti dirbtin</w:t>
      </w:r>
      <w:r w:rsidR="00EB4CD6" w:rsidRPr="0032192D">
        <w:rPr>
          <w:snapToGrid/>
          <w:szCs w:val="22"/>
          <w:lang w:val="lt-LT"/>
        </w:rPr>
        <w:t>e</w:t>
      </w:r>
      <w:r w:rsidRPr="0032192D">
        <w:rPr>
          <w:snapToGrid/>
          <w:szCs w:val="22"/>
          <w:lang w:val="lt-LT"/>
        </w:rPr>
        <w:t xml:space="preserve"> </w:t>
      </w:r>
      <w:r w:rsidR="00EB4CD6" w:rsidRPr="0032192D">
        <w:rPr>
          <w:snapToGrid/>
          <w:szCs w:val="22"/>
          <w:lang w:val="lt-LT"/>
        </w:rPr>
        <w:t>plaučių ventiliacija</w:t>
      </w:r>
      <w:r w:rsidRPr="0032192D">
        <w:rPr>
          <w:snapToGrid/>
          <w:szCs w:val="22"/>
          <w:lang w:val="lt-LT"/>
        </w:rPr>
        <w:t>.</w:t>
      </w:r>
    </w:p>
    <w:p w14:paraId="23521F2A" w14:textId="77777777" w:rsidR="00D332D4" w:rsidRPr="0032192D" w:rsidRDefault="00D332D4" w:rsidP="00EB4CD6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Tachikardija: jei reikia, gydy</w:t>
      </w:r>
      <w:r w:rsidR="00EB4CD6" w:rsidRPr="0032192D">
        <w:rPr>
          <w:snapToGrid/>
          <w:szCs w:val="22"/>
          <w:lang w:val="lt-LT"/>
        </w:rPr>
        <w:t>ti</w:t>
      </w:r>
      <w:r w:rsidRPr="0032192D">
        <w:rPr>
          <w:snapToGrid/>
          <w:szCs w:val="22"/>
          <w:lang w:val="lt-LT"/>
        </w:rPr>
        <w:t xml:space="preserve"> simptomiškai. Beta </w:t>
      </w:r>
      <w:proofErr w:type="spellStart"/>
      <w:r w:rsidRPr="0032192D">
        <w:rPr>
          <w:snapToGrid/>
          <w:szCs w:val="22"/>
          <w:lang w:val="lt-LT"/>
        </w:rPr>
        <w:t>adrenoblokatorių</w:t>
      </w:r>
      <w:proofErr w:type="spellEnd"/>
      <w:r w:rsidRPr="0032192D">
        <w:rPr>
          <w:snapToGrid/>
          <w:szCs w:val="22"/>
          <w:lang w:val="lt-LT"/>
        </w:rPr>
        <w:t xml:space="preserve"> reikia vartoti atsargiai, nes kartu perdozavus </w:t>
      </w:r>
      <w:proofErr w:type="spellStart"/>
      <w:r w:rsidRPr="0032192D">
        <w:rPr>
          <w:snapToGrid/>
          <w:szCs w:val="22"/>
          <w:lang w:val="lt-LT"/>
        </w:rPr>
        <w:t>tamsulozino</w:t>
      </w:r>
      <w:proofErr w:type="spellEnd"/>
      <w:r w:rsidRPr="0032192D">
        <w:rPr>
          <w:snapToGrid/>
          <w:szCs w:val="22"/>
          <w:lang w:val="lt-LT"/>
        </w:rPr>
        <w:t>, gali pasireikšti sunki hipotenzija.</w:t>
      </w:r>
    </w:p>
    <w:p w14:paraId="2082536B" w14:textId="77777777" w:rsidR="00D332D4" w:rsidRPr="0032192D" w:rsidRDefault="00D332D4" w:rsidP="00EB4CD6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Šlapimo susilaikymas: gydyti </w:t>
      </w:r>
      <w:r w:rsidR="00EB4CD6" w:rsidRPr="0032192D">
        <w:rPr>
          <w:snapToGrid/>
          <w:szCs w:val="22"/>
          <w:lang w:val="lt-LT"/>
        </w:rPr>
        <w:t xml:space="preserve">šlapimo pūslės </w:t>
      </w:r>
      <w:proofErr w:type="spellStart"/>
      <w:r w:rsidRPr="0032192D">
        <w:rPr>
          <w:snapToGrid/>
          <w:szCs w:val="22"/>
          <w:lang w:val="lt-LT"/>
        </w:rPr>
        <w:t>kateteriz</w:t>
      </w:r>
      <w:r w:rsidR="00EB4CD6" w:rsidRPr="0032192D">
        <w:rPr>
          <w:snapToGrid/>
          <w:szCs w:val="22"/>
          <w:lang w:val="lt-LT"/>
        </w:rPr>
        <w:t>acija</w:t>
      </w:r>
      <w:proofErr w:type="spellEnd"/>
      <w:r w:rsidRPr="0032192D">
        <w:rPr>
          <w:snapToGrid/>
          <w:szCs w:val="22"/>
          <w:lang w:val="lt-LT"/>
        </w:rPr>
        <w:t>.</w:t>
      </w:r>
    </w:p>
    <w:p w14:paraId="42C6FC73" w14:textId="77777777" w:rsidR="00D332D4" w:rsidRPr="0032192D" w:rsidRDefault="00D332D4" w:rsidP="00D332D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6CF93AD" w14:textId="77777777" w:rsidR="00D332D4" w:rsidRPr="0032192D" w:rsidRDefault="00D332D4" w:rsidP="00D332D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Kaip ir </w:t>
      </w:r>
      <w:r w:rsidR="00EA4386" w:rsidRPr="0032192D">
        <w:rPr>
          <w:snapToGrid/>
          <w:szCs w:val="22"/>
          <w:lang w:val="lt-LT"/>
        </w:rPr>
        <w:t xml:space="preserve">vartojant </w:t>
      </w:r>
      <w:r w:rsidRPr="0032192D">
        <w:rPr>
          <w:snapToGrid/>
          <w:szCs w:val="22"/>
          <w:lang w:val="lt-LT"/>
        </w:rPr>
        <w:t xml:space="preserve">kitų </w:t>
      </w:r>
      <w:proofErr w:type="spellStart"/>
      <w:r w:rsidRPr="0032192D">
        <w:rPr>
          <w:snapToGrid/>
          <w:szCs w:val="22"/>
          <w:lang w:val="lt-LT"/>
        </w:rPr>
        <w:t>antimuskarininių</w:t>
      </w:r>
      <w:proofErr w:type="spellEnd"/>
      <w:r w:rsidRPr="0032192D">
        <w:rPr>
          <w:snapToGrid/>
          <w:szCs w:val="22"/>
          <w:lang w:val="lt-LT"/>
        </w:rPr>
        <w:t xml:space="preserve"> vaist</w:t>
      </w:r>
      <w:r w:rsidR="00EA4386" w:rsidRPr="0032192D">
        <w:rPr>
          <w:snapToGrid/>
          <w:szCs w:val="22"/>
          <w:lang w:val="lt-LT"/>
        </w:rPr>
        <w:t>inių preparat</w:t>
      </w:r>
      <w:r w:rsidRPr="0032192D">
        <w:rPr>
          <w:snapToGrid/>
          <w:szCs w:val="22"/>
          <w:lang w:val="lt-LT"/>
        </w:rPr>
        <w:t>ų, perdozavus ypatingą dėmesį reikia skirti pacientams, kuriems yra žinom</w:t>
      </w:r>
      <w:r w:rsidR="00EA4386" w:rsidRPr="0032192D">
        <w:rPr>
          <w:snapToGrid/>
          <w:szCs w:val="22"/>
          <w:lang w:val="lt-LT"/>
        </w:rPr>
        <w:t>ų</w:t>
      </w:r>
      <w:r w:rsidRPr="0032192D">
        <w:rPr>
          <w:snapToGrid/>
          <w:szCs w:val="22"/>
          <w:lang w:val="lt-LT"/>
        </w:rPr>
        <w:t xml:space="preserve"> QT intervalo pailgėjimo rizik</w:t>
      </w:r>
      <w:r w:rsidR="00EA4386" w:rsidRPr="0032192D">
        <w:rPr>
          <w:snapToGrid/>
          <w:szCs w:val="22"/>
          <w:lang w:val="lt-LT"/>
        </w:rPr>
        <w:t>os veiksnių</w:t>
      </w:r>
      <w:r w:rsidRPr="0032192D">
        <w:rPr>
          <w:snapToGrid/>
          <w:szCs w:val="22"/>
          <w:lang w:val="lt-LT"/>
        </w:rPr>
        <w:t xml:space="preserve"> (t. y. hipokalemija, bradikardija ir kartu vartojam</w:t>
      </w:r>
      <w:r w:rsidR="00EA4386" w:rsidRPr="0032192D">
        <w:rPr>
          <w:snapToGrid/>
          <w:szCs w:val="22"/>
          <w:lang w:val="lt-LT"/>
        </w:rPr>
        <w:t>a</w:t>
      </w:r>
      <w:r w:rsidRPr="0032192D">
        <w:rPr>
          <w:snapToGrid/>
          <w:szCs w:val="22"/>
          <w:lang w:val="lt-LT"/>
        </w:rPr>
        <w:t xml:space="preserve"> </w:t>
      </w:r>
      <w:r w:rsidR="00EA4386" w:rsidRPr="0032192D">
        <w:rPr>
          <w:snapToGrid/>
          <w:szCs w:val="22"/>
          <w:lang w:val="lt-LT"/>
        </w:rPr>
        <w:t>vaistinių preparatų</w:t>
      </w:r>
      <w:r w:rsidRPr="0032192D">
        <w:rPr>
          <w:snapToGrid/>
          <w:szCs w:val="22"/>
          <w:lang w:val="lt-LT"/>
        </w:rPr>
        <w:t xml:space="preserve">, </w:t>
      </w:r>
      <w:r w:rsidR="00EA4386" w:rsidRPr="0032192D">
        <w:rPr>
          <w:snapToGrid/>
          <w:szCs w:val="22"/>
          <w:lang w:val="lt-LT"/>
        </w:rPr>
        <w:t>kurie</w:t>
      </w:r>
      <w:r w:rsidRPr="0032192D">
        <w:rPr>
          <w:snapToGrid/>
          <w:szCs w:val="22"/>
          <w:lang w:val="lt-LT"/>
        </w:rPr>
        <w:t xml:space="preserve"> ilgina QT intervalą) </w:t>
      </w:r>
      <w:r w:rsidR="00EA4386" w:rsidRPr="0032192D">
        <w:rPr>
          <w:snapToGrid/>
          <w:szCs w:val="22"/>
          <w:lang w:val="lt-LT"/>
        </w:rPr>
        <w:t>ir yra diagnozuota reikšminga</w:t>
      </w:r>
      <w:r w:rsidRPr="0032192D">
        <w:rPr>
          <w:snapToGrid/>
          <w:szCs w:val="22"/>
          <w:lang w:val="lt-LT"/>
        </w:rPr>
        <w:t xml:space="preserve"> širdies lig</w:t>
      </w:r>
      <w:r w:rsidR="00EA4386" w:rsidRPr="0032192D">
        <w:rPr>
          <w:snapToGrid/>
          <w:szCs w:val="22"/>
          <w:lang w:val="lt-LT"/>
        </w:rPr>
        <w:t>a</w:t>
      </w:r>
      <w:r w:rsidRPr="0032192D">
        <w:rPr>
          <w:snapToGrid/>
          <w:szCs w:val="22"/>
          <w:lang w:val="lt-LT"/>
        </w:rPr>
        <w:t xml:space="preserve"> (t. y. miokardo išemija, aritmija, </w:t>
      </w:r>
      <w:proofErr w:type="spellStart"/>
      <w:r w:rsidRPr="0032192D">
        <w:rPr>
          <w:snapToGrid/>
          <w:szCs w:val="22"/>
          <w:lang w:val="lt-LT"/>
        </w:rPr>
        <w:t>stazinis</w:t>
      </w:r>
      <w:proofErr w:type="spellEnd"/>
      <w:r w:rsidRPr="0032192D">
        <w:rPr>
          <w:snapToGrid/>
          <w:szCs w:val="22"/>
          <w:lang w:val="lt-LT"/>
        </w:rPr>
        <w:t xml:space="preserve"> širdies nepakankamumas).</w:t>
      </w:r>
    </w:p>
    <w:p w14:paraId="44615420" w14:textId="77777777" w:rsidR="00D332D4" w:rsidRPr="0032192D" w:rsidRDefault="00D332D4" w:rsidP="00D332D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4E52843" w14:textId="77777777" w:rsidR="00776FBE" w:rsidRPr="0032192D" w:rsidRDefault="00D332D4" w:rsidP="00D332D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Ūminę </w:t>
      </w:r>
      <w:proofErr w:type="spellStart"/>
      <w:r w:rsidRPr="0032192D">
        <w:rPr>
          <w:snapToGrid/>
          <w:szCs w:val="22"/>
          <w:lang w:val="lt-LT"/>
        </w:rPr>
        <w:t>hipotenziją</w:t>
      </w:r>
      <w:proofErr w:type="spellEnd"/>
      <w:r w:rsidRPr="0032192D">
        <w:rPr>
          <w:snapToGrid/>
          <w:szCs w:val="22"/>
          <w:lang w:val="lt-LT"/>
        </w:rPr>
        <w:t xml:space="preserve">, kuri perdozavus </w:t>
      </w:r>
      <w:r w:rsidR="00EA4386" w:rsidRPr="0032192D">
        <w:rPr>
          <w:snapToGrid/>
          <w:szCs w:val="22"/>
          <w:lang w:val="lt-LT"/>
        </w:rPr>
        <w:t xml:space="preserve">gali pasireikšti </w:t>
      </w:r>
      <w:r w:rsidRPr="0032192D">
        <w:rPr>
          <w:snapToGrid/>
          <w:szCs w:val="22"/>
          <w:lang w:val="lt-LT"/>
        </w:rPr>
        <w:t xml:space="preserve">dėl </w:t>
      </w:r>
      <w:proofErr w:type="spellStart"/>
      <w:r w:rsidRPr="0032192D">
        <w:rPr>
          <w:snapToGrid/>
          <w:szCs w:val="22"/>
          <w:lang w:val="lt-LT"/>
        </w:rPr>
        <w:t>tamsulozino</w:t>
      </w:r>
      <w:proofErr w:type="spellEnd"/>
      <w:r w:rsidRPr="0032192D">
        <w:rPr>
          <w:snapToGrid/>
          <w:szCs w:val="22"/>
          <w:lang w:val="lt-LT"/>
        </w:rPr>
        <w:t xml:space="preserve"> sudedamosios dalies, reikia gydyti simptomiškai. </w:t>
      </w:r>
      <w:r w:rsidR="00EA4386" w:rsidRPr="0032192D">
        <w:rPr>
          <w:snapToGrid/>
          <w:szCs w:val="22"/>
          <w:lang w:val="lt-LT"/>
        </w:rPr>
        <w:t>Palankus h</w:t>
      </w:r>
      <w:r w:rsidRPr="0032192D">
        <w:rPr>
          <w:snapToGrid/>
          <w:szCs w:val="22"/>
          <w:lang w:val="lt-LT"/>
        </w:rPr>
        <w:t>emodializė</w:t>
      </w:r>
      <w:r w:rsidR="00EA4386" w:rsidRPr="0032192D">
        <w:rPr>
          <w:snapToGrid/>
          <w:szCs w:val="22"/>
          <w:lang w:val="lt-LT"/>
        </w:rPr>
        <w:t>s poveikis nėra tikėtinas</w:t>
      </w:r>
      <w:r w:rsidRPr="0032192D">
        <w:rPr>
          <w:snapToGrid/>
          <w:szCs w:val="22"/>
          <w:lang w:val="lt-LT"/>
        </w:rPr>
        <w:t xml:space="preserve">, nes </w:t>
      </w:r>
      <w:r w:rsidR="00EA4386" w:rsidRPr="0032192D">
        <w:rPr>
          <w:snapToGrid/>
          <w:szCs w:val="22"/>
          <w:lang w:val="lt-LT"/>
        </w:rPr>
        <w:t xml:space="preserve">labai didelė dalis </w:t>
      </w:r>
      <w:proofErr w:type="spellStart"/>
      <w:r w:rsidRPr="0032192D">
        <w:rPr>
          <w:snapToGrid/>
          <w:szCs w:val="22"/>
          <w:lang w:val="lt-LT"/>
        </w:rPr>
        <w:t>tamsulozin</w:t>
      </w:r>
      <w:r w:rsidR="00CD24BA" w:rsidRPr="0032192D">
        <w:rPr>
          <w:snapToGrid/>
          <w:szCs w:val="22"/>
          <w:lang w:val="lt-LT"/>
        </w:rPr>
        <w:t>o</w:t>
      </w:r>
      <w:proofErr w:type="spellEnd"/>
      <w:r w:rsidR="00EA4386" w:rsidRPr="0032192D">
        <w:rPr>
          <w:snapToGrid/>
          <w:szCs w:val="22"/>
          <w:lang w:val="lt-LT"/>
        </w:rPr>
        <w:t xml:space="preserve"> </w:t>
      </w:r>
      <w:r w:rsidRPr="0032192D">
        <w:rPr>
          <w:snapToGrid/>
          <w:szCs w:val="22"/>
          <w:lang w:val="lt-LT"/>
        </w:rPr>
        <w:t xml:space="preserve">jungiasi su </w:t>
      </w:r>
      <w:r w:rsidR="00EA4386" w:rsidRPr="0032192D">
        <w:rPr>
          <w:snapToGrid/>
          <w:szCs w:val="22"/>
          <w:lang w:val="lt-LT"/>
        </w:rPr>
        <w:t xml:space="preserve">kraujo </w:t>
      </w:r>
      <w:r w:rsidRPr="0032192D">
        <w:rPr>
          <w:snapToGrid/>
          <w:szCs w:val="22"/>
          <w:lang w:val="lt-LT"/>
        </w:rPr>
        <w:t>plazmos baltymais.</w:t>
      </w:r>
    </w:p>
    <w:p w14:paraId="46468DF9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BC1580F" w14:textId="77777777" w:rsidR="00447048" w:rsidRPr="0032192D" w:rsidRDefault="00447048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35BFFAE" w14:textId="77777777" w:rsidR="00776FBE" w:rsidRPr="0032192D" w:rsidRDefault="00447048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32192D">
        <w:rPr>
          <w:b/>
          <w:snapToGrid/>
          <w:szCs w:val="22"/>
          <w:lang w:val="lt-LT"/>
        </w:rPr>
        <w:t>5.</w:t>
      </w:r>
      <w:r w:rsidRPr="0032192D">
        <w:rPr>
          <w:b/>
          <w:snapToGrid/>
          <w:szCs w:val="22"/>
          <w:lang w:val="lt-LT"/>
        </w:rPr>
        <w:tab/>
        <w:t>FARMAKOLOGINĖS SAVYBĖS</w:t>
      </w:r>
    </w:p>
    <w:p w14:paraId="5B6C93F2" w14:textId="77777777" w:rsidR="001137C8" w:rsidRPr="0032192D" w:rsidRDefault="001137C8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F748DAB" w14:textId="77777777" w:rsidR="00776FBE" w:rsidRPr="0032192D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32192D">
        <w:rPr>
          <w:b/>
          <w:snapToGrid/>
          <w:kern w:val="28"/>
          <w:szCs w:val="22"/>
          <w:lang w:val="lt-LT"/>
        </w:rPr>
        <w:t>5.1</w:t>
      </w:r>
      <w:r w:rsidRPr="0032192D">
        <w:rPr>
          <w:b/>
          <w:snapToGrid/>
          <w:kern w:val="28"/>
          <w:szCs w:val="22"/>
          <w:lang w:val="lt-LT"/>
        </w:rPr>
        <w:tab/>
        <w:t>Farmakodinaminės savybės</w:t>
      </w:r>
    </w:p>
    <w:p w14:paraId="656BC265" w14:textId="77777777" w:rsidR="001137C8" w:rsidRPr="0032192D" w:rsidRDefault="001137C8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20D7E78" w14:textId="77777777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Farmakoterapinė grupė – </w:t>
      </w:r>
      <w:r w:rsidR="00132B11" w:rsidRPr="0032192D">
        <w:rPr>
          <w:snapToGrid/>
          <w:szCs w:val="22"/>
          <w:lang w:val="lt-LT"/>
        </w:rPr>
        <w:t xml:space="preserve">alfa </w:t>
      </w:r>
      <w:proofErr w:type="spellStart"/>
      <w:r w:rsidR="00132B11" w:rsidRPr="0032192D">
        <w:rPr>
          <w:snapToGrid/>
          <w:szCs w:val="22"/>
          <w:lang w:val="lt-LT"/>
        </w:rPr>
        <w:t>adrenoreceptorių</w:t>
      </w:r>
      <w:proofErr w:type="spellEnd"/>
      <w:r w:rsidR="00132B11" w:rsidRPr="0032192D">
        <w:rPr>
          <w:snapToGrid/>
          <w:szCs w:val="22"/>
          <w:lang w:val="lt-LT"/>
        </w:rPr>
        <w:t xml:space="preserve"> antagonistai</w:t>
      </w:r>
      <w:r w:rsidRPr="0032192D">
        <w:rPr>
          <w:snapToGrid/>
          <w:szCs w:val="22"/>
          <w:lang w:val="lt-LT"/>
        </w:rPr>
        <w:t xml:space="preserve">, ATC kodas – </w:t>
      </w:r>
      <w:r w:rsidR="00132B11" w:rsidRPr="0032192D">
        <w:rPr>
          <w:snapToGrid/>
          <w:szCs w:val="22"/>
          <w:lang w:val="lt-LT"/>
        </w:rPr>
        <w:t>G04CA53</w:t>
      </w:r>
      <w:r w:rsidRPr="0032192D">
        <w:rPr>
          <w:snapToGrid/>
          <w:szCs w:val="22"/>
          <w:lang w:val="lt-LT"/>
        </w:rPr>
        <w:t>.</w:t>
      </w:r>
    </w:p>
    <w:p w14:paraId="0AB9C360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388DE12" w14:textId="77777777" w:rsidR="00776FBE" w:rsidRPr="00DD7CAE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u w:val="single"/>
          <w:lang w:val="lt-LT"/>
        </w:rPr>
      </w:pPr>
      <w:r w:rsidRPr="00DD7CAE">
        <w:rPr>
          <w:snapToGrid/>
          <w:szCs w:val="22"/>
          <w:u w:val="single"/>
          <w:lang w:val="lt-LT"/>
        </w:rPr>
        <w:t>Veikimo mechanizmas</w:t>
      </w:r>
    </w:p>
    <w:p w14:paraId="04BC01C1" w14:textId="77777777" w:rsidR="00C8108A" w:rsidRPr="0032192D" w:rsidRDefault="00C8108A" w:rsidP="00C8108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32192D">
        <w:rPr>
          <w:snapToGrid/>
          <w:szCs w:val="22"/>
          <w:u w:val="single"/>
          <w:lang w:val="lt-LT"/>
        </w:rPr>
        <w:lastRenderedPageBreak/>
        <w:t>Solifenacino</w:t>
      </w:r>
      <w:proofErr w:type="spellEnd"/>
      <w:r w:rsidRPr="0032192D">
        <w:rPr>
          <w:snapToGrid/>
          <w:szCs w:val="22"/>
          <w:u w:val="single"/>
          <w:lang w:val="lt-LT"/>
        </w:rPr>
        <w:t xml:space="preserve"> </w:t>
      </w:r>
      <w:proofErr w:type="spellStart"/>
      <w:r w:rsidRPr="0032192D">
        <w:rPr>
          <w:snapToGrid/>
          <w:szCs w:val="22"/>
          <w:u w:val="single"/>
          <w:lang w:val="lt-LT"/>
        </w:rPr>
        <w:t>sukcinatas</w:t>
      </w:r>
      <w:proofErr w:type="spellEnd"/>
      <w:r w:rsidRPr="0032192D">
        <w:rPr>
          <w:snapToGrid/>
          <w:szCs w:val="22"/>
          <w:u w:val="single"/>
          <w:lang w:val="lt-LT"/>
        </w:rPr>
        <w:t>/</w:t>
      </w:r>
      <w:proofErr w:type="spellStart"/>
      <w:r w:rsidRPr="0032192D">
        <w:rPr>
          <w:snapToGrid/>
          <w:szCs w:val="22"/>
          <w:u w:val="single"/>
          <w:lang w:val="lt-LT"/>
        </w:rPr>
        <w:t>tamsulozino</w:t>
      </w:r>
      <w:proofErr w:type="spellEnd"/>
      <w:r w:rsidRPr="0032192D">
        <w:rPr>
          <w:snapToGrid/>
          <w:szCs w:val="22"/>
          <w:u w:val="single"/>
          <w:lang w:val="lt-LT"/>
        </w:rPr>
        <w:t xml:space="preserve"> hidrochloridas</w:t>
      </w:r>
      <w:r w:rsidRPr="0032192D">
        <w:rPr>
          <w:snapToGrid/>
          <w:szCs w:val="22"/>
          <w:lang w:val="lt-LT"/>
        </w:rPr>
        <w:t xml:space="preserve"> yra fiksuotos dozės sudėtinės tabletės, kurių sudėtyje yra dvi veikliosios medžiagos </w:t>
      </w:r>
      <w:r w:rsidR="00A029AB" w:rsidRPr="0032192D">
        <w:rPr>
          <w:snapToGrid/>
          <w:szCs w:val="22"/>
          <w:lang w:val="lt-LT"/>
        </w:rPr>
        <w:t>−</w:t>
      </w:r>
      <w:r w:rsidRPr="0032192D">
        <w:rPr>
          <w:snapToGrid/>
          <w:szCs w:val="22"/>
          <w:lang w:val="lt-LT"/>
        </w:rPr>
        <w:t xml:space="preserve"> </w:t>
      </w:r>
      <w:proofErr w:type="spellStart"/>
      <w:r w:rsidRPr="0032192D">
        <w:rPr>
          <w:snapToGrid/>
          <w:szCs w:val="22"/>
          <w:lang w:val="lt-LT"/>
        </w:rPr>
        <w:t>solifenacinas</w:t>
      </w:r>
      <w:proofErr w:type="spellEnd"/>
      <w:r w:rsidRPr="0032192D">
        <w:rPr>
          <w:snapToGrid/>
          <w:szCs w:val="22"/>
          <w:lang w:val="lt-LT"/>
        </w:rPr>
        <w:t xml:space="preserve"> ir </w:t>
      </w:r>
      <w:proofErr w:type="spellStart"/>
      <w:r w:rsidRPr="0032192D">
        <w:rPr>
          <w:snapToGrid/>
          <w:szCs w:val="22"/>
          <w:lang w:val="lt-LT"/>
        </w:rPr>
        <w:t>tamsulozinas</w:t>
      </w:r>
      <w:proofErr w:type="spellEnd"/>
      <w:r w:rsidRPr="0032192D">
        <w:rPr>
          <w:snapToGrid/>
          <w:szCs w:val="22"/>
          <w:lang w:val="lt-LT"/>
        </w:rPr>
        <w:t>. Šie</w:t>
      </w:r>
      <w:r w:rsidR="00A029AB" w:rsidRPr="0032192D">
        <w:rPr>
          <w:snapToGrid/>
          <w:szCs w:val="22"/>
          <w:lang w:val="lt-LT"/>
        </w:rPr>
        <w:t>ms</w:t>
      </w:r>
      <w:r w:rsidRPr="0032192D">
        <w:rPr>
          <w:snapToGrid/>
          <w:szCs w:val="22"/>
          <w:lang w:val="lt-LT"/>
        </w:rPr>
        <w:t xml:space="preserve"> vaist</w:t>
      </w:r>
      <w:r w:rsidR="00A029AB" w:rsidRPr="0032192D">
        <w:rPr>
          <w:snapToGrid/>
          <w:szCs w:val="22"/>
          <w:lang w:val="lt-LT"/>
        </w:rPr>
        <w:t>iniams preparat</w:t>
      </w:r>
      <w:r w:rsidRPr="0032192D">
        <w:rPr>
          <w:snapToGrid/>
          <w:szCs w:val="22"/>
          <w:lang w:val="lt-LT"/>
        </w:rPr>
        <w:t>a</w:t>
      </w:r>
      <w:r w:rsidR="00A029AB" w:rsidRPr="0032192D">
        <w:rPr>
          <w:snapToGrid/>
          <w:szCs w:val="22"/>
          <w:lang w:val="lt-LT"/>
        </w:rPr>
        <w:t>ms</w:t>
      </w:r>
      <w:r w:rsidRPr="0032192D">
        <w:rPr>
          <w:snapToGrid/>
          <w:szCs w:val="22"/>
          <w:lang w:val="lt-LT"/>
        </w:rPr>
        <w:t xml:space="preserve"> </w:t>
      </w:r>
      <w:r w:rsidR="00A029AB" w:rsidRPr="0032192D">
        <w:rPr>
          <w:snapToGrid/>
          <w:szCs w:val="22"/>
          <w:lang w:val="lt-LT"/>
        </w:rPr>
        <w:t>būdingi</w:t>
      </w:r>
      <w:r w:rsidRPr="0032192D">
        <w:rPr>
          <w:snapToGrid/>
          <w:szCs w:val="22"/>
          <w:lang w:val="lt-LT"/>
        </w:rPr>
        <w:t xml:space="preserve"> </w:t>
      </w:r>
      <w:r w:rsidR="00A029AB" w:rsidRPr="0032192D">
        <w:rPr>
          <w:snapToGrid/>
          <w:szCs w:val="22"/>
          <w:lang w:val="lt-LT"/>
        </w:rPr>
        <w:t>nesusiję</w:t>
      </w:r>
      <w:r w:rsidRPr="0032192D">
        <w:rPr>
          <w:snapToGrid/>
          <w:szCs w:val="22"/>
          <w:lang w:val="lt-LT"/>
        </w:rPr>
        <w:t xml:space="preserve"> ir vienas kitą papildan</w:t>
      </w:r>
      <w:r w:rsidR="00A029AB" w:rsidRPr="0032192D">
        <w:rPr>
          <w:snapToGrid/>
          <w:szCs w:val="22"/>
          <w:lang w:val="lt-LT"/>
        </w:rPr>
        <w:t>tys</w:t>
      </w:r>
      <w:r w:rsidRPr="0032192D">
        <w:rPr>
          <w:snapToGrid/>
          <w:szCs w:val="22"/>
          <w:lang w:val="lt-LT"/>
        </w:rPr>
        <w:t xml:space="preserve"> veikimo mechanizmai gydant su GPH susijusius apatinių šlapimo takų simptomus (</w:t>
      </w:r>
      <w:r w:rsidR="00A029AB" w:rsidRPr="0032192D">
        <w:rPr>
          <w:snapToGrid/>
          <w:szCs w:val="22"/>
          <w:lang w:val="lt-LT"/>
        </w:rPr>
        <w:t>AŠTS</w:t>
      </w:r>
      <w:r w:rsidRPr="0032192D">
        <w:rPr>
          <w:snapToGrid/>
          <w:szCs w:val="22"/>
          <w:lang w:val="lt-LT"/>
        </w:rPr>
        <w:t>)</w:t>
      </w:r>
      <w:r w:rsidR="00A029AB" w:rsidRPr="0032192D">
        <w:rPr>
          <w:snapToGrid/>
          <w:szCs w:val="22"/>
          <w:lang w:val="lt-LT"/>
        </w:rPr>
        <w:t xml:space="preserve">, </w:t>
      </w:r>
      <w:r w:rsidR="004E14FE" w:rsidRPr="0032192D">
        <w:rPr>
          <w:snapToGrid/>
          <w:szCs w:val="22"/>
          <w:lang w:val="lt-LT"/>
        </w:rPr>
        <w:t>kai yra</w:t>
      </w:r>
      <w:r w:rsidR="00A029AB" w:rsidRPr="0032192D">
        <w:rPr>
          <w:snapToGrid/>
          <w:szCs w:val="22"/>
          <w:lang w:val="lt-LT"/>
        </w:rPr>
        <w:t xml:space="preserve"> šlapimo laikym</w:t>
      </w:r>
      <w:r w:rsidR="004E14FE" w:rsidRPr="0032192D">
        <w:rPr>
          <w:snapToGrid/>
          <w:szCs w:val="22"/>
          <w:lang w:val="lt-LT"/>
        </w:rPr>
        <w:t>o sutrikimų</w:t>
      </w:r>
      <w:r w:rsidR="00A029AB" w:rsidRPr="0032192D">
        <w:rPr>
          <w:snapToGrid/>
          <w:szCs w:val="22"/>
          <w:lang w:val="lt-LT"/>
        </w:rPr>
        <w:t>.</w:t>
      </w:r>
    </w:p>
    <w:p w14:paraId="3B9BF8D8" w14:textId="77777777" w:rsidR="00C8108A" w:rsidRPr="0032192D" w:rsidRDefault="00C8108A" w:rsidP="00C8108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9A644FE" w14:textId="77777777" w:rsidR="00C8108A" w:rsidRPr="0032192D" w:rsidRDefault="00C8108A" w:rsidP="00C8108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32192D">
        <w:rPr>
          <w:snapToGrid/>
          <w:szCs w:val="22"/>
          <w:u w:val="single"/>
          <w:lang w:val="lt-LT"/>
        </w:rPr>
        <w:t>Solifenacinas</w:t>
      </w:r>
      <w:proofErr w:type="spellEnd"/>
      <w:r w:rsidRPr="0032192D">
        <w:rPr>
          <w:snapToGrid/>
          <w:szCs w:val="22"/>
          <w:lang w:val="lt-LT"/>
        </w:rPr>
        <w:t xml:space="preserve"> yra konkurencinis ir selektyvus </w:t>
      </w:r>
      <w:proofErr w:type="spellStart"/>
      <w:r w:rsidRPr="0032192D">
        <w:rPr>
          <w:snapToGrid/>
          <w:szCs w:val="22"/>
          <w:lang w:val="lt-LT"/>
        </w:rPr>
        <w:t>muskarino</w:t>
      </w:r>
      <w:proofErr w:type="spellEnd"/>
      <w:r w:rsidRPr="0032192D">
        <w:rPr>
          <w:snapToGrid/>
          <w:szCs w:val="22"/>
          <w:lang w:val="lt-LT"/>
        </w:rPr>
        <w:t xml:space="preserve"> receptorių antagonistas</w:t>
      </w:r>
      <w:r w:rsidR="00A265B2" w:rsidRPr="0032192D">
        <w:rPr>
          <w:snapToGrid/>
          <w:szCs w:val="22"/>
          <w:lang w:val="lt-LT"/>
        </w:rPr>
        <w:t xml:space="preserve">, kuriam nebūdingas reikšmingas </w:t>
      </w:r>
      <w:proofErr w:type="spellStart"/>
      <w:r w:rsidR="00A265B2" w:rsidRPr="0032192D">
        <w:rPr>
          <w:snapToGrid/>
          <w:szCs w:val="22"/>
          <w:lang w:val="lt-LT"/>
        </w:rPr>
        <w:t>afinitetas</w:t>
      </w:r>
      <w:proofErr w:type="spellEnd"/>
      <w:r w:rsidRPr="0032192D">
        <w:rPr>
          <w:snapToGrid/>
          <w:szCs w:val="22"/>
          <w:lang w:val="lt-LT"/>
        </w:rPr>
        <w:t xml:space="preserve"> įvairiems kitiems ištirtiems receptoriams, fermentams ir jonų kanalams. </w:t>
      </w:r>
      <w:r w:rsidR="00A265B2" w:rsidRPr="0032192D">
        <w:rPr>
          <w:snapToGrid/>
          <w:szCs w:val="22"/>
          <w:lang w:val="lt-LT"/>
        </w:rPr>
        <w:t xml:space="preserve">Didžiausias </w:t>
      </w:r>
      <w:proofErr w:type="spellStart"/>
      <w:r w:rsidR="00A265B2" w:rsidRPr="0032192D">
        <w:rPr>
          <w:snapToGrid/>
          <w:szCs w:val="22"/>
          <w:lang w:val="lt-LT"/>
        </w:rPr>
        <w:t>s</w:t>
      </w:r>
      <w:r w:rsidRPr="0032192D">
        <w:rPr>
          <w:snapToGrid/>
          <w:szCs w:val="22"/>
          <w:lang w:val="lt-LT"/>
        </w:rPr>
        <w:t>olifenacin</w:t>
      </w:r>
      <w:r w:rsidR="00A265B2" w:rsidRPr="0032192D">
        <w:rPr>
          <w:snapToGrid/>
          <w:szCs w:val="22"/>
          <w:lang w:val="lt-LT"/>
        </w:rPr>
        <w:t>o</w:t>
      </w:r>
      <w:proofErr w:type="spellEnd"/>
      <w:r w:rsidR="00A265B2" w:rsidRPr="0032192D">
        <w:rPr>
          <w:snapToGrid/>
          <w:szCs w:val="22"/>
          <w:lang w:val="lt-LT"/>
        </w:rPr>
        <w:t xml:space="preserve"> </w:t>
      </w:r>
      <w:proofErr w:type="spellStart"/>
      <w:r w:rsidR="00A265B2" w:rsidRPr="0032192D">
        <w:rPr>
          <w:snapToGrid/>
          <w:szCs w:val="22"/>
          <w:lang w:val="lt-LT"/>
        </w:rPr>
        <w:t>afinitetas</w:t>
      </w:r>
      <w:proofErr w:type="spellEnd"/>
      <w:r w:rsidR="00A265B2" w:rsidRPr="0032192D">
        <w:rPr>
          <w:snapToGrid/>
          <w:szCs w:val="22"/>
          <w:lang w:val="lt-LT"/>
        </w:rPr>
        <w:t xml:space="preserve"> yra </w:t>
      </w:r>
      <w:proofErr w:type="spellStart"/>
      <w:r w:rsidRPr="0032192D">
        <w:rPr>
          <w:snapToGrid/>
          <w:szCs w:val="22"/>
          <w:lang w:val="lt-LT"/>
        </w:rPr>
        <w:t>muskarino</w:t>
      </w:r>
      <w:proofErr w:type="spellEnd"/>
      <w:r w:rsidRPr="0032192D">
        <w:rPr>
          <w:snapToGrid/>
          <w:szCs w:val="22"/>
          <w:lang w:val="lt-LT"/>
        </w:rPr>
        <w:t xml:space="preserve"> M3 receptoriams, po to </w:t>
      </w:r>
      <w:proofErr w:type="spellStart"/>
      <w:r w:rsidRPr="0032192D">
        <w:rPr>
          <w:snapToGrid/>
          <w:szCs w:val="22"/>
          <w:lang w:val="lt-LT"/>
        </w:rPr>
        <w:t>muskarino</w:t>
      </w:r>
      <w:proofErr w:type="spellEnd"/>
      <w:r w:rsidRPr="0032192D">
        <w:rPr>
          <w:snapToGrid/>
          <w:szCs w:val="22"/>
          <w:lang w:val="lt-LT"/>
        </w:rPr>
        <w:t xml:space="preserve"> M1 ir M2 receptoriams.</w:t>
      </w:r>
    </w:p>
    <w:p w14:paraId="2AB1ABE7" w14:textId="77777777" w:rsidR="00C8108A" w:rsidRPr="0032192D" w:rsidRDefault="00C8108A" w:rsidP="00C8108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D1C7868" w14:textId="77777777" w:rsidR="00C8108A" w:rsidRPr="0032192D" w:rsidRDefault="00C8108A" w:rsidP="00C8108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32192D">
        <w:rPr>
          <w:snapToGrid/>
          <w:szCs w:val="22"/>
          <w:u w:val="single"/>
          <w:lang w:val="lt-LT"/>
        </w:rPr>
        <w:t>Tamsulozinas</w:t>
      </w:r>
      <w:proofErr w:type="spellEnd"/>
      <w:r w:rsidRPr="0032192D">
        <w:rPr>
          <w:snapToGrid/>
          <w:szCs w:val="22"/>
          <w:lang w:val="lt-LT"/>
        </w:rPr>
        <w:t xml:space="preserve"> yra alfa1 </w:t>
      </w:r>
      <w:proofErr w:type="spellStart"/>
      <w:r w:rsidRPr="0032192D">
        <w:rPr>
          <w:snapToGrid/>
          <w:szCs w:val="22"/>
          <w:lang w:val="lt-LT"/>
        </w:rPr>
        <w:t>adrenoreceptorių</w:t>
      </w:r>
      <w:proofErr w:type="spellEnd"/>
      <w:r w:rsidRPr="0032192D">
        <w:rPr>
          <w:snapToGrid/>
          <w:szCs w:val="22"/>
          <w:lang w:val="lt-LT"/>
        </w:rPr>
        <w:t xml:space="preserve"> (AR) antagonistas. Jis selektyviai ir konkurencin</w:t>
      </w:r>
      <w:r w:rsidR="00A265B2" w:rsidRPr="0032192D">
        <w:rPr>
          <w:snapToGrid/>
          <w:szCs w:val="22"/>
          <w:lang w:val="lt-LT"/>
        </w:rPr>
        <w:t>iu būdu</w:t>
      </w:r>
      <w:r w:rsidRPr="0032192D">
        <w:rPr>
          <w:snapToGrid/>
          <w:szCs w:val="22"/>
          <w:lang w:val="lt-LT"/>
        </w:rPr>
        <w:t xml:space="preserve"> jungiasi prie </w:t>
      </w:r>
      <w:proofErr w:type="spellStart"/>
      <w:r w:rsidRPr="0032192D">
        <w:rPr>
          <w:snapToGrid/>
          <w:szCs w:val="22"/>
          <w:lang w:val="lt-LT"/>
        </w:rPr>
        <w:t>postsinapsinių</w:t>
      </w:r>
      <w:proofErr w:type="spellEnd"/>
      <w:r w:rsidRPr="0032192D">
        <w:rPr>
          <w:snapToGrid/>
          <w:szCs w:val="22"/>
          <w:lang w:val="lt-LT"/>
        </w:rPr>
        <w:t xml:space="preserve"> alfa1</w:t>
      </w:r>
      <w:r w:rsidR="00436937" w:rsidRPr="0032192D">
        <w:rPr>
          <w:snapToGrid/>
          <w:szCs w:val="22"/>
          <w:lang w:val="lt-LT"/>
        </w:rPr>
        <w:noBreakHyphen/>
      </w:r>
      <w:r w:rsidRPr="0032192D">
        <w:rPr>
          <w:snapToGrid/>
          <w:szCs w:val="22"/>
          <w:lang w:val="lt-LT"/>
        </w:rPr>
        <w:t xml:space="preserve">AR, ypač prie alfa1A ir alfa1D potipių, </w:t>
      </w:r>
      <w:r w:rsidR="00A265B2" w:rsidRPr="0032192D">
        <w:rPr>
          <w:snapToGrid/>
          <w:szCs w:val="22"/>
          <w:lang w:val="lt-LT"/>
        </w:rPr>
        <w:t>bei</w:t>
      </w:r>
      <w:r w:rsidRPr="0032192D">
        <w:rPr>
          <w:snapToGrid/>
          <w:szCs w:val="22"/>
          <w:lang w:val="lt-LT"/>
        </w:rPr>
        <w:t xml:space="preserve"> </w:t>
      </w:r>
      <w:r w:rsidR="00A265B2" w:rsidRPr="0032192D">
        <w:rPr>
          <w:snapToGrid/>
          <w:szCs w:val="22"/>
          <w:lang w:val="lt-LT"/>
        </w:rPr>
        <w:t>sukelia</w:t>
      </w:r>
      <w:r w:rsidRPr="0032192D">
        <w:rPr>
          <w:snapToGrid/>
          <w:szCs w:val="22"/>
          <w:lang w:val="lt-LT"/>
        </w:rPr>
        <w:t xml:space="preserve"> stipr</w:t>
      </w:r>
      <w:r w:rsidR="00A265B2" w:rsidRPr="0032192D">
        <w:rPr>
          <w:snapToGrid/>
          <w:szCs w:val="22"/>
          <w:lang w:val="lt-LT"/>
        </w:rPr>
        <w:t>ų</w:t>
      </w:r>
      <w:r w:rsidRPr="0032192D">
        <w:rPr>
          <w:snapToGrid/>
          <w:szCs w:val="22"/>
          <w:lang w:val="lt-LT"/>
        </w:rPr>
        <w:t xml:space="preserve"> antagonist</w:t>
      </w:r>
      <w:r w:rsidR="00A265B2" w:rsidRPr="0032192D">
        <w:rPr>
          <w:snapToGrid/>
          <w:szCs w:val="22"/>
          <w:lang w:val="lt-LT"/>
        </w:rPr>
        <w:t xml:space="preserve">inį poveikį </w:t>
      </w:r>
      <w:r w:rsidRPr="0032192D">
        <w:rPr>
          <w:snapToGrid/>
          <w:szCs w:val="22"/>
          <w:lang w:val="lt-LT"/>
        </w:rPr>
        <w:t>apatinių šlapimo takų audiniuose.</w:t>
      </w:r>
    </w:p>
    <w:p w14:paraId="48443686" w14:textId="77777777" w:rsidR="00C8108A" w:rsidRPr="0032192D" w:rsidRDefault="00C8108A" w:rsidP="00C8108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BEC9F8C" w14:textId="77777777" w:rsidR="00C8108A" w:rsidRPr="0032192D" w:rsidRDefault="00C8108A" w:rsidP="00C8108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napToGrid/>
          <w:szCs w:val="22"/>
          <w:lang w:val="lt-LT"/>
        </w:rPr>
      </w:pPr>
      <w:r w:rsidRPr="0032192D">
        <w:rPr>
          <w:i/>
          <w:iCs/>
          <w:snapToGrid/>
          <w:szCs w:val="22"/>
          <w:lang w:val="lt-LT"/>
        </w:rPr>
        <w:t>Farmakodinaminis poveikis</w:t>
      </w:r>
    </w:p>
    <w:p w14:paraId="3FB1BB24" w14:textId="1783B532" w:rsidR="00C8108A" w:rsidRPr="0032192D" w:rsidRDefault="00FB1F51" w:rsidP="00C8108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Solitombo</w:t>
      </w:r>
      <w:proofErr w:type="spellEnd"/>
      <w:r w:rsidR="004E14FE" w:rsidRPr="0032192D">
        <w:rPr>
          <w:snapToGrid/>
          <w:szCs w:val="22"/>
          <w:lang w:val="lt-LT"/>
        </w:rPr>
        <w:t xml:space="preserve"> </w:t>
      </w:r>
      <w:r w:rsidR="00C8108A" w:rsidRPr="0032192D">
        <w:rPr>
          <w:snapToGrid/>
          <w:szCs w:val="22"/>
          <w:lang w:val="lt-LT"/>
        </w:rPr>
        <w:t xml:space="preserve">tabletės sudarytos iš dviejų veikliųjų medžiagų, </w:t>
      </w:r>
      <w:r w:rsidR="004E14FE" w:rsidRPr="0032192D">
        <w:rPr>
          <w:snapToGrid/>
          <w:szCs w:val="22"/>
          <w:lang w:val="lt-LT"/>
        </w:rPr>
        <w:t>kurioms būdingas nesusijęs ir vienas kitą papildantis poveikis su GPH susijusiems AŠTS, kai yra šlapimo laikymo sutrikimų</w:t>
      </w:r>
      <w:r w:rsidR="00436937" w:rsidRPr="0032192D">
        <w:rPr>
          <w:snapToGrid/>
          <w:szCs w:val="22"/>
          <w:lang w:val="lt-LT"/>
        </w:rPr>
        <w:t>.</w:t>
      </w:r>
    </w:p>
    <w:p w14:paraId="20652288" w14:textId="77777777" w:rsidR="00C8108A" w:rsidRPr="0032192D" w:rsidRDefault="00C8108A" w:rsidP="004E14FE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proofErr w:type="spellStart"/>
      <w:r w:rsidRPr="0032192D">
        <w:rPr>
          <w:snapToGrid/>
          <w:szCs w:val="22"/>
          <w:lang w:val="lt-LT"/>
        </w:rPr>
        <w:t>Solifenacinas</w:t>
      </w:r>
      <w:proofErr w:type="spellEnd"/>
      <w:r w:rsidRPr="0032192D">
        <w:rPr>
          <w:snapToGrid/>
          <w:szCs w:val="22"/>
          <w:lang w:val="lt-LT"/>
        </w:rPr>
        <w:t xml:space="preserve"> palengvina </w:t>
      </w:r>
      <w:r w:rsidR="00125416" w:rsidRPr="0032192D">
        <w:rPr>
          <w:snapToGrid/>
          <w:szCs w:val="22"/>
          <w:lang w:val="lt-LT"/>
        </w:rPr>
        <w:t xml:space="preserve">šlapimo </w:t>
      </w:r>
      <w:r w:rsidRPr="0032192D">
        <w:rPr>
          <w:snapToGrid/>
          <w:szCs w:val="22"/>
          <w:lang w:val="lt-LT"/>
        </w:rPr>
        <w:t xml:space="preserve">laikymo problemas, susijusias su šlapimo pūslėje ne neuroniniu būdu išsiskiriančiu </w:t>
      </w:r>
      <w:proofErr w:type="spellStart"/>
      <w:r w:rsidRPr="0032192D">
        <w:rPr>
          <w:snapToGrid/>
          <w:szCs w:val="22"/>
          <w:lang w:val="lt-LT"/>
        </w:rPr>
        <w:t>acetilcholinu</w:t>
      </w:r>
      <w:proofErr w:type="spellEnd"/>
      <w:r w:rsidRPr="0032192D">
        <w:rPr>
          <w:snapToGrid/>
          <w:szCs w:val="22"/>
          <w:lang w:val="lt-LT"/>
        </w:rPr>
        <w:t xml:space="preserve">, aktyvuojančiu M3 receptorius. Ne neuroniniu būdu išsiskiriantis </w:t>
      </w:r>
      <w:proofErr w:type="spellStart"/>
      <w:r w:rsidRPr="0032192D">
        <w:rPr>
          <w:snapToGrid/>
          <w:szCs w:val="22"/>
          <w:lang w:val="lt-LT"/>
        </w:rPr>
        <w:t>acetilcholinas</w:t>
      </w:r>
      <w:proofErr w:type="spellEnd"/>
      <w:r w:rsidRPr="0032192D">
        <w:rPr>
          <w:snapToGrid/>
          <w:szCs w:val="22"/>
          <w:lang w:val="lt-LT"/>
        </w:rPr>
        <w:t xml:space="preserve"> </w:t>
      </w:r>
      <w:r w:rsidR="00125416" w:rsidRPr="0032192D">
        <w:rPr>
          <w:snapToGrid/>
          <w:szCs w:val="22"/>
          <w:lang w:val="lt-LT"/>
        </w:rPr>
        <w:t>į</w:t>
      </w:r>
      <w:r w:rsidRPr="0032192D">
        <w:rPr>
          <w:snapToGrid/>
          <w:szCs w:val="22"/>
          <w:lang w:val="lt-LT"/>
        </w:rPr>
        <w:t xml:space="preserve">jautrina šlapimo pūslės </w:t>
      </w:r>
      <w:r w:rsidR="00125416" w:rsidRPr="0032192D">
        <w:rPr>
          <w:snapToGrid/>
          <w:szCs w:val="22"/>
          <w:lang w:val="lt-LT"/>
        </w:rPr>
        <w:t>sensorinę</w:t>
      </w:r>
      <w:r w:rsidRPr="0032192D">
        <w:rPr>
          <w:snapToGrid/>
          <w:szCs w:val="22"/>
          <w:lang w:val="lt-LT"/>
        </w:rPr>
        <w:t xml:space="preserve"> funkciją ir </w:t>
      </w:r>
      <w:r w:rsidR="00125416" w:rsidRPr="0032192D">
        <w:rPr>
          <w:snapToGrid/>
          <w:szCs w:val="22"/>
          <w:lang w:val="lt-LT"/>
        </w:rPr>
        <w:t xml:space="preserve">dėl to </w:t>
      </w:r>
      <w:r w:rsidRPr="0032192D">
        <w:rPr>
          <w:snapToGrid/>
          <w:szCs w:val="22"/>
          <w:lang w:val="lt-LT"/>
        </w:rPr>
        <w:t xml:space="preserve">pasireiškia </w:t>
      </w:r>
      <w:r w:rsidR="00125416" w:rsidRPr="0032192D">
        <w:rPr>
          <w:rFonts w:eastAsia="TimesNewRoman"/>
          <w:snapToGrid/>
          <w:szCs w:val="22"/>
          <w:lang w:val="lt-LT"/>
        </w:rPr>
        <w:t>staiga atsirandantis noras šlapintis bei padidėjęs šlapinimosi dažnis</w:t>
      </w:r>
      <w:r w:rsidRPr="0032192D">
        <w:rPr>
          <w:snapToGrid/>
          <w:szCs w:val="22"/>
          <w:lang w:val="lt-LT"/>
        </w:rPr>
        <w:t>.</w:t>
      </w:r>
    </w:p>
    <w:p w14:paraId="62EA75B3" w14:textId="77777777" w:rsidR="00C8108A" w:rsidRPr="0032192D" w:rsidRDefault="00C8108A" w:rsidP="004E14FE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proofErr w:type="spellStart"/>
      <w:r w:rsidRPr="0032192D">
        <w:rPr>
          <w:snapToGrid/>
          <w:szCs w:val="22"/>
          <w:lang w:val="lt-LT"/>
        </w:rPr>
        <w:t>Tamsulozinas</w:t>
      </w:r>
      <w:proofErr w:type="spellEnd"/>
      <w:r w:rsidRPr="0032192D">
        <w:rPr>
          <w:snapToGrid/>
          <w:szCs w:val="22"/>
          <w:lang w:val="lt-LT"/>
        </w:rPr>
        <w:t xml:space="preserve"> gerina </w:t>
      </w:r>
      <w:proofErr w:type="spellStart"/>
      <w:r w:rsidR="00125416" w:rsidRPr="0032192D">
        <w:rPr>
          <w:snapToGrid/>
          <w:szCs w:val="22"/>
          <w:lang w:val="lt-LT"/>
        </w:rPr>
        <w:t>šlapinimosi</w:t>
      </w:r>
      <w:proofErr w:type="spellEnd"/>
      <w:r w:rsidRPr="0032192D">
        <w:rPr>
          <w:snapToGrid/>
          <w:szCs w:val="22"/>
          <w:lang w:val="lt-LT"/>
        </w:rPr>
        <w:t xml:space="preserve"> simptomus (didina maksimalų šlapimo srovės greitį), </w:t>
      </w:r>
      <w:r w:rsidR="00125416" w:rsidRPr="0032192D">
        <w:rPr>
          <w:snapToGrid/>
          <w:szCs w:val="22"/>
          <w:lang w:val="lt-LT"/>
        </w:rPr>
        <w:t>dėl</w:t>
      </w:r>
      <w:r w:rsidRPr="0032192D">
        <w:rPr>
          <w:snapToGrid/>
          <w:szCs w:val="22"/>
          <w:lang w:val="lt-LT"/>
        </w:rPr>
        <w:t xml:space="preserve"> prostatos, šlapimo pūslės kaklelio ir šlaplės lygiųjų raumenų atsipalaidavim</w:t>
      </w:r>
      <w:r w:rsidR="00125416" w:rsidRPr="0032192D">
        <w:rPr>
          <w:snapToGrid/>
          <w:szCs w:val="22"/>
          <w:lang w:val="lt-LT"/>
        </w:rPr>
        <w:t>o mažindamas obstrukciją</w:t>
      </w:r>
      <w:r w:rsidRPr="0032192D">
        <w:rPr>
          <w:snapToGrid/>
          <w:szCs w:val="22"/>
          <w:lang w:val="lt-LT"/>
        </w:rPr>
        <w:t xml:space="preserve">. Jis taip pat gerina </w:t>
      </w:r>
      <w:r w:rsidR="00125416" w:rsidRPr="0032192D">
        <w:rPr>
          <w:snapToGrid/>
          <w:szCs w:val="22"/>
          <w:lang w:val="lt-LT"/>
        </w:rPr>
        <w:t xml:space="preserve">su </w:t>
      </w:r>
      <w:r w:rsidRPr="0032192D">
        <w:rPr>
          <w:snapToGrid/>
          <w:szCs w:val="22"/>
          <w:lang w:val="lt-LT"/>
        </w:rPr>
        <w:t>šlapimo laikym</w:t>
      </w:r>
      <w:r w:rsidR="00125416" w:rsidRPr="0032192D">
        <w:rPr>
          <w:snapToGrid/>
          <w:szCs w:val="22"/>
          <w:lang w:val="lt-LT"/>
        </w:rPr>
        <w:t>u susijusius</w:t>
      </w:r>
      <w:r w:rsidRPr="0032192D">
        <w:rPr>
          <w:snapToGrid/>
          <w:szCs w:val="22"/>
          <w:lang w:val="lt-LT"/>
        </w:rPr>
        <w:t xml:space="preserve"> simptomus.</w:t>
      </w:r>
    </w:p>
    <w:p w14:paraId="57B23A01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B681A5E" w14:textId="77777777" w:rsidR="00776FBE" w:rsidRPr="00DD7CAE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u w:val="single"/>
          <w:lang w:val="lt-LT"/>
        </w:rPr>
      </w:pPr>
      <w:r w:rsidRPr="00DD7CAE">
        <w:rPr>
          <w:snapToGrid/>
          <w:szCs w:val="22"/>
          <w:u w:val="single"/>
          <w:lang w:val="lt-LT"/>
        </w:rPr>
        <w:t>Klinikinis veiksmingumas ir saugumas</w:t>
      </w:r>
    </w:p>
    <w:p w14:paraId="13C87878" w14:textId="77777777" w:rsidR="00C8108A" w:rsidRPr="0032192D" w:rsidRDefault="00C8108A" w:rsidP="00C8108A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Efektyvumas buvo įrodytas pagrindini</w:t>
      </w:r>
      <w:r w:rsidR="00DC0D8E" w:rsidRPr="0032192D">
        <w:rPr>
          <w:rFonts w:eastAsia="TimesNewRoman"/>
          <w:snapToGrid/>
          <w:szCs w:val="22"/>
          <w:lang w:val="lt-LT"/>
        </w:rPr>
        <w:t>ame</w:t>
      </w:r>
      <w:r w:rsidRPr="0032192D">
        <w:rPr>
          <w:rFonts w:eastAsia="TimesNewRoman"/>
          <w:snapToGrid/>
          <w:szCs w:val="22"/>
          <w:lang w:val="lt-LT"/>
        </w:rPr>
        <w:t xml:space="preserve"> 3</w:t>
      </w:r>
      <w:r w:rsidR="00DC0D8E" w:rsidRPr="0032192D">
        <w:rPr>
          <w:rFonts w:eastAsia="TimesNewRoman"/>
          <w:snapToGrid/>
          <w:szCs w:val="22"/>
          <w:lang w:val="lt-LT"/>
        </w:rPr>
        <w:t> </w:t>
      </w:r>
      <w:r w:rsidRPr="0032192D">
        <w:rPr>
          <w:rFonts w:eastAsia="TimesNewRoman"/>
          <w:snapToGrid/>
          <w:szCs w:val="22"/>
          <w:lang w:val="lt-LT"/>
        </w:rPr>
        <w:t xml:space="preserve">fazės tyrime pacientams, </w:t>
      </w:r>
      <w:r w:rsidR="00DC0D8E" w:rsidRPr="0032192D">
        <w:rPr>
          <w:rFonts w:eastAsia="TimesNewRoman"/>
          <w:snapToGrid/>
          <w:szCs w:val="22"/>
          <w:lang w:val="lt-LT"/>
        </w:rPr>
        <w:t>kuriems buvo su GPH susijusių AŠTS</w:t>
      </w:r>
      <w:r w:rsidRPr="0032192D">
        <w:rPr>
          <w:rFonts w:eastAsia="TimesNewRoman"/>
          <w:snapToGrid/>
          <w:szCs w:val="22"/>
          <w:lang w:val="lt-LT"/>
        </w:rPr>
        <w:t xml:space="preserve">, </w:t>
      </w:r>
      <w:r w:rsidR="00DC0D8E" w:rsidRPr="0032192D">
        <w:rPr>
          <w:rFonts w:eastAsia="TimesNewRoman"/>
          <w:snapToGrid/>
          <w:szCs w:val="22"/>
          <w:lang w:val="lt-LT"/>
        </w:rPr>
        <w:t>pasireiškiančių šlapinimosi</w:t>
      </w:r>
      <w:r w:rsidRPr="0032192D">
        <w:rPr>
          <w:rFonts w:eastAsia="TimesNewRoman"/>
          <w:snapToGrid/>
          <w:szCs w:val="22"/>
          <w:lang w:val="lt-LT"/>
        </w:rPr>
        <w:t xml:space="preserve"> (obstrukci</w:t>
      </w:r>
      <w:r w:rsidR="00DC0D8E" w:rsidRPr="0032192D">
        <w:rPr>
          <w:rFonts w:eastAsia="TimesNewRoman"/>
          <w:snapToGrid/>
          <w:szCs w:val="22"/>
          <w:lang w:val="lt-LT"/>
        </w:rPr>
        <w:t>jo</w:t>
      </w:r>
      <w:r w:rsidRPr="0032192D">
        <w:rPr>
          <w:rFonts w:eastAsia="TimesNewRoman"/>
          <w:snapToGrid/>
          <w:szCs w:val="22"/>
          <w:lang w:val="lt-LT"/>
        </w:rPr>
        <w:t xml:space="preserve">s) simptomais ir bent tokio lygio </w:t>
      </w:r>
      <w:r w:rsidR="00DC0D8E" w:rsidRPr="0032192D">
        <w:rPr>
          <w:rFonts w:eastAsia="TimesNewRoman"/>
          <w:snapToGrid/>
          <w:szCs w:val="22"/>
          <w:lang w:val="lt-LT"/>
        </w:rPr>
        <w:t>šlapimo laikymo</w:t>
      </w:r>
      <w:r w:rsidRPr="0032192D">
        <w:rPr>
          <w:rFonts w:eastAsia="TimesNewRoman"/>
          <w:snapToGrid/>
          <w:szCs w:val="22"/>
          <w:lang w:val="lt-LT"/>
        </w:rPr>
        <w:t xml:space="preserve"> (dirgin</w:t>
      </w:r>
      <w:r w:rsidR="00DC0D8E" w:rsidRPr="0032192D">
        <w:rPr>
          <w:rFonts w:eastAsia="TimesNewRoman"/>
          <w:snapToGrid/>
          <w:szCs w:val="22"/>
          <w:lang w:val="lt-LT"/>
        </w:rPr>
        <w:t>imo</w:t>
      </w:r>
      <w:r w:rsidRPr="0032192D">
        <w:rPr>
          <w:rFonts w:eastAsia="TimesNewRoman"/>
          <w:snapToGrid/>
          <w:szCs w:val="22"/>
          <w:lang w:val="lt-LT"/>
        </w:rPr>
        <w:t>) simptomais: ≥8</w:t>
      </w:r>
      <w:r w:rsidR="00DC0D8E" w:rsidRPr="0032192D">
        <w:rPr>
          <w:rFonts w:eastAsia="TimesNewRoman"/>
          <w:snapToGrid/>
          <w:szCs w:val="22"/>
          <w:lang w:val="lt-LT"/>
        </w:rPr>
        <w:t> šlapinimosi epizodai</w:t>
      </w:r>
      <w:r w:rsidRPr="0032192D">
        <w:rPr>
          <w:rFonts w:eastAsia="TimesNewRoman"/>
          <w:snapToGrid/>
          <w:szCs w:val="22"/>
          <w:lang w:val="lt-LT"/>
        </w:rPr>
        <w:t>/24</w:t>
      </w:r>
      <w:r w:rsidR="00DC0D8E" w:rsidRPr="0032192D">
        <w:rPr>
          <w:rFonts w:eastAsia="TimesNewRoman"/>
          <w:snapToGrid/>
          <w:szCs w:val="22"/>
          <w:lang w:val="lt-LT"/>
        </w:rPr>
        <w:t> </w:t>
      </w:r>
      <w:r w:rsidRPr="0032192D">
        <w:rPr>
          <w:rFonts w:eastAsia="TimesNewRoman"/>
          <w:snapToGrid/>
          <w:szCs w:val="22"/>
          <w:lang w:val="lt-LT"/>
        </w:rPr>
        <w:t>val. ir ≥2</w:t>
      </w:r>
      <w:r w:rsidR="00DC0D8E" w:rsidRPr="0032192D">
        <w:rPr>
          <w:rFonts w:eastAsia="TimesNewRoman"/>
          <w:snapToGrid/>
          <w:szCs w:val="22"/>
          <w:lang w:val="lt-LT"/>
        </w:rPr>
        <w:t> staiga atsiradusio noro šlapintis</w:t>
      </w:r>
      <w:r w:rsidRPr="0032192D">
        <w:rPr>
          <w:rFonts w:eastAsia="TimesNewRoman"/>
          <w:snapToGrid/>
          <w:szCs w:val="22"/>
          <w:lang w:val="lt-LT"/>
        </w:rPr>
        <w:t xml:space="preserve"> epizodai/24</w:t>
      </w:r>
      <w:r w:rsidR="00DC0D8E" w:rsidRPr="0032192D">
        <w:rPr>
          <w:rFonts w:eastAsia="TimesNewRoman"/>
          <w:snapToGrid/>
          <w:szCs w:val="22"/>
          <w:lang w:val="lt-LT"/>
        </w:rPr>
        <w:t> </w:t>
      </w:r>
      <w:r w:rsidRPr="0032192D">
        <w:rPr>
          <w:rFonts w:eastAsia="TimesNewRoman"/>
          <w:snapToGrid/>
          <w:szCs w:val="22"/>
          <w:lang w:val="lt-LT"/>
        </w:rPr>
        <w:t>val.</w:t>
      </w:r>
    </w:p>
    <w:p w14:paraId="0CC251DD" w14:textId="77777777" w:rsidR="00C8108A" w:rsidRPr="0032192D" w:rsidRDefault="00C8108A" w:rsidP="00C8108A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</w:t>
      </w:r>
      <w:r w:rsidR="00F421BF" w:rsidRPr="0032192D">
        <w:rPr>
          <w:rFonts w:eastAsia="TimesNewRoman"/>
          <w:snapToGrid/>
          <w:szCs w:val="22"/>
          <w:lang w:val="lt-LT"/>
        </w:rPr>
        <w:t>as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</w:t>
      </w:r>
      <w:r w:rsidR="00F421BF" w:rsidRPr="0032192D">
        <w:rPr>
          <w:rFonts w:eastAsia="TimesNewRoman"/>
          <w:snapToGrid/>
          <w:szCs w:val="22"/>
          <w:lang w:val="lt-LT"/>
        </w:rPr>
        <w:t xml:space="preserve">as, palyginti su placebu, </w:t>
      </w:r>
      <w:r w:rsidR="00D53B35" w:rsidRPr="0032192D">
        <w:rPr>
          <w:rFonts w:eastAsia="TimesNewRoman"/>
          <w:snapToGrid/>
          <w:szCs w:val="22"/>
          <w:lang w:val="lt-LT"/>
        </w:rPr>
        <w:t xml:space="preserve">tyrimo pabaigoje </w:t>
      </w:r>
      <w:r w:rsidR="00F421BF" w:rsidRPr="0032192D">
        <w:rPr>
          <w:rFonts w:eastAsia="TimesNewRoman"/>
          <w:snapToGrid/>
          <w:szCs w:val="22"/>
          <w:lang w:val="lt-LT"/>
        </w:rPr>
        <w:t xml:space="preserve">sukėlė </w:t>
      </w:r>
      <w:r w:rsidRPr="0032192D">
        <w:rPr>
          <w:rFonts w:eastAsia="TimesNewRoman"/>
          <w:snapToGrid/>
          <w:szCs w:val="22"/>
          <w:lang w:val="lt-LT"/>
        </w:rPr>
        <w:t>statistiškai reikšming</w:t>
      </w:r>
      <w:r w:rsidR="00F421BF" w:rsidRPr="0032192D">
        <w:rPr>
          <w:rFonts w:eastAsia="TimesNewRoman"/>
          <w:snapToGrid/>
          <w:szCs w:val="22"/>
          <w:lang w:val="lt-LT"/>
        </w:rPr>
        <w:t>ą pagerėjimą (nuo pradinio rodmens) dviem pagrindinėms vertinamosio</w:t>
      </w:r>
      <w:r w:rsidR="007D4846" w:rsidRPr="0032192D">
        <w:rPr>
          <w:rFonts w:eastAsia="TimesNewRoman"/>
          <w:snapToGrid/>
          <w:szCs w:val="22"/>
          <w:lang w:val="lt-LT"/>
        </w:rPr>
        <w:t>m</w:t>
      </w:r>
      <w:r w:rsidR="00F421BF" w:rsidRPr="0032192D">
        <w:rPr>
          <w:rFonts w:eastAsia="TimesNewRoman"/>
          <w:snapToGrid/>
          <w:szCs w:val="22"/>
          <w:lang w:val="lt-LT"/>
        </w:rPr>
        <w:t xml:space="preserve">s baigtims, t. y. </w:t>
      </w:r>
      <w:r w:rsidR="00D53B35" w:rsidRPr="0032192D">
        <w:rPr>
          <w:rFonts w:eastAsia="TimesNewRoman"/>
          <w:snapToGrid/>
          <w:szCs w:val="22"/>
          <w:lang w:val="lt-LT"/>
        </w:rPr>
        <w:t xml:space="preserve">tarptautinės prostatos simptomų vertinimo skalės (angl. </w:t>
      </w:r>
      <w:r w:rsidR="00D53B35" w:rsidRPr="0032192D">
        <w:rPr>
          <w:rFonts w:eastAsia="TimesNewRoman"/>
          <w:i/>
          <w:iCs/>
          <w:snapToGrid/>
          <w:szCs w:val="22"/>
          <w:lang w:val="lt-LT"/>
        </w:rPr>
        <w:t xml:space="preserve">International </w:t>
      </w:r>
      <w:proofErr w:type="spellStart"/>
      <w:r w:rsidR="00D53B35" w:rsidRPr="0032192D">
        <w:rPr>
          <w:rFonts w:eastAsia="TimesNewRoman"/>
          <w:i/>
          <w:iCs/>
          <w:snapToGrid/>
          <w:szCs w:val="22"/>
          <w:lang w:val="lt-LT"/>
        </w:rPr>
        <w:t>Prostate</w:t>
      </w:r>
      <w:proofErr w:type="spellEnd"/>
      <w:r w:rsidR="00D53B35" w:rsidRPr="0032192D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="00D53B35" w:rsidRPr="0032192D">
        <w:rPr>
          <w:rFonts w:eastAsia="TimesNewRoman"/>
          <w:i/>
          <w:iCs/>
          <w:snapToGrid/>
          <w:szCs w:val="22"/>
          <w:lang w:val="lt-LT"/>
        </w:rPr>
        <w:t>Symptom</w:t>
      </w:r>
      <w:proofErr w:type="spellEnd"/>
      <w:r w:rsidR="00D53B35" w:rsidRPr="0032192D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="00D53B35" w:rsidRPr="0032192D">
        <w:rPr>
          <w:rFonts w:eastAsia="TimesNewRoman"/>
          <w:i/>
          <w:iCs/>
          <w:snapToGrid/>
          <w:szCs w:val="22"/>
          <w:lang w:val="lt-LT"/>
        </w:rPr>
        <w:t>Score</w:t>
      </w:r>
      <w:proofErr w:type="spellEnd"/>
      <w:r w:rsidR="00D53B35" w:rsidRPr="0032192D">
        <w:rPr>
          <w:rFonts w:eastAsia="TimesNewRoman"/>
          <w:snapToGrid/>
          <w:szCs w:val="22"/>
          <w:lang w:val="lt-LT"/>
        </w:rPr>
        <w:t>, IPSS)</w:t>
      </w:r>
      <w:r w:rsidRPr="0032192D">
        <w:rPr>
          <w:rFonts w:eastAsia="TimesNewRoman"/>
          <w:snapToGrid/>
          <w:szCs w:val="22"/>
          <w:lang w:val="lt-LT"/>
        </w:rPr>
        <w:t xml:space="preserve"> ir bendr</w:t>
      </w:r>
      <w:r w:rsidR="00D01C4B" w:rsidRPr="0032192D">
        <w:rPr>
          <w:rFonts w:eastAsia="TimesNewRoman"/>
          <w:snapToGrid/>
          <w:szCs w:val="22"/>
          <w:lang w:val="lt-LT"/>
        </w:rPr>
        <w:t xml:space="preserve">os staigaus noro šlapintis ir šlapinimosi dažnumo skalės (angl. </w:t>
      </w:r>
      <w:proofErr w:type="spellStart"/>
      <w:r w:rsidR="00D01C4B" w:rsidRPr="0032192D">
        <w:rPr>
          <w:rFonts w:eastAsia="TimesNewRoman"/>
          <w:i/>
          <w:iCs/>
          <w:snapToGrid/>
          <w:szCs w:val="22"/>
          <w:lang w:val="lt-LT"/>
        </w:rPr>
        <w:t>Total</w:t>
      </w:r>
      <w:proofErr w:type="spellEnd"/>
      <w:r w:rsidR="00D01C4B" w:rsidRPr="0032192D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="00D01C4B" w:rsidRPr="0032192D">
        <w:rPr>
          <w:rFonts w:eastAsia="TimesNewRoman"/>
          <w:i/>
          <w:iCs/>
          <w:snapToGrid/>
          <w:szCs w:val="22"/>
          <w:lang w:val="lt-LT"/>
        </w:rPr>
        <w:t>Urgency</w:t>
      </w:r>
      <w:proofErr w:type="spellEnd"/>
      <w:r w:rsidR="00D01C4B" w:rsidRPr="0032192D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="00D01C4B" w:rsidRPr="0032192D">
        <w:rPr>
          <w:rFonts w:eastAsia="TimesNewRoman"/>
          <w:i/>
          <w:iCs/>
          <w:snapToGrid/>
          <w:szCs w:val="22"/>
          <w:lang w:val="lt-LT"/>
        </w:rPr>
        <w:t>and</w:t>
      </w:r>
      <w:proofErr w:type="spellEnd"/>
      <w:r w:rsidR="00D01C4B" w:rsidRPr="0032192D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="00D01C4B" w:rsidRPr="0032192D">
        <w:rPr>
          <w:rFonts w:eastAsia="TimesNewRoman"/>
          <w:i/>
          <w:iCs/>
          <w:snapToGrid/>
          <w:szCs w:val="22"/>
          <w:lang w:val="lt-LT"/>
        </w:rPr>
        <w:t>Frequency</w:t>
      </w:r>
      <w:proofErr w:type="spellEnd"/>
      <w:r w:rsidR="00D01C4B" w:rsidRPr="0032192D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="00D01C4B" w:rsidRPr="0032192D">
        <w:rPr>
          <w:rFonts w:eastAsia="TimesNewRoman"/>
          <w:i/>
          <w:iCs/>
          <w:snapToGrid/>
          <w:szCs w:val="22"/>
          <w:lang w:val="lt-LT"/>
        </w:rPr>
        <w:t>Score</w:t>
      </w:r>
      <w:proofErr w:type="spellEnd"/>
      <w:r w:rsidR="00D01C4B" w:rsidRPr="0032192D">
        <w:rPr>
          <w:rFonts w:eastAsia="TimesNewRoman"/>
          <w:snapToGrid/>
          <w:szCs w:val="22"/>
          <w:lang w:val="lt-LT"/>
        </w:rPr>
        <w:t>) įvertinimui</w:t>
      </w:r>
      <w:r w:rsidR="0015544D" w:rsidRPr="0032192D">
        <w:rPr>
          <w:rFonts w:eastAsia="TimesNewRoman"/>
          <w:snapToGrid/>
          <w:szCs w:val="22"/>
          <w:lang w:val="lt-LT"/>
        </w:rPr>
        <w:t>,</w:t>
      </w:r>
      <w:r w:rsidR="00D01C4B" w:rsidRPr="0032192D">
        <w:rPr>
          <w:rFonts w:eastAsia="TimesNewRoman"/>
          <w:snapToGrid/>
          <w:szCs w:val="22"/>
          <w:lang w:val="lt-LT"/>
        </w:rPr>
        <w:t xml:space="preserve"> bei</w:t>
      </w:r>
      <w:r w:rsidRPr="0032192D">
        <w:rPr>
          <w:rFonts w:eastAsia="TimesNewRoman"/>
          <w:snapToGrid/>
          <w:szCs w:val="22"/>
          <w:lang w:val="lt-LT"/>
        </w:rPr>
        <w:t xml:space="preserve"> antrin</w:t>
      </w:r>
      <w:r w:rsidR="0015544D" w:rsidRPr="0032192D">
        <w:rPr>
          <w:rFonts w:eastAsia="TimesNewRoman"/>
          <w:snapToGrid/>
          <w:szCs w:val="22"/>
          <w:lang w:val="lt-LT"/>
        </w:rPr>
        <w:t xml:space="preserve">ėms vertinamosioms baigtims, t. y. staiga atsiradusio noro šlapintis epizodų skaičiui, šlapinimosi dažnumui, </w:t>
      </w:r>
      <w:r w:rsidRPr="0032192D">
        <w:rPr>
          <w:rFonts w:eastAsia="TimesNewRoman"/>
          <w:snapToGrid/>
          <w:szCs w:val="22"/>
          <w:lang w:val="lt-LT"/>
        </w:rPr>
        <w:t>vidutini</w:t>
      </w:r>
      <w:r w:rsidR="0015544D" w:rsidRPr="0032192D">
        <w:rPr>
          <w:rFonts w:eastAsia="TimesNewRoman"/>
          <w:snapToGrid/>
          <w:szCs w:val="22"/>
          <w:lang w:val="lt-LT"/>
        </w:rPr>
        <w:t>am išskirto šlapimo tūriui vieno pasišlapinimo metu</w:t>
      </w:r>
      <w:r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="0015544D" w:rsidRPr="0032192D">
        <w:rPr>
          <w:rFonts w:eastAsia="TimesNewRoman"/>
          <w:snapToGrid/>
          <w:szCs w:val="22"/>
          <w:lang w:val="lt-LT"/>
        </w:rPr>
        <w:t>nikturijos</w:t>
      </w:r>
      <w:proofErr w:type="spellEnd"/>
      <w:r w:rsidR="0015544D" w:rsidRPr="0032192D">
        <w:rPr>
          <w:rFonts w:eastAsia="TimesNewRoman"/>
          <w:snapToGrid/>
          <w:szCs w:val="22"/>
          <w:lang w:val="lt-LT"/>
        </w:rPr>
        <w:t xml:space="preserve"> dažniui</w:t>
      </w:r>
      <w:r w:rsidRPr="0032192D">
        <w:rPr>
          <w:rFonts w:eastAsia="TimesNewRoman"/>
          <w:snapToGrid/>
          <w:szCs w:val="22"/>
          <w:lang w:val="lt-LT"/>
        </w:rPr>
        <w:t xml:space="preserve">, IPSS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šlapinimosi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15544D" w:rsidRPr="0032192D">
        <w:rPr>
          <w:rFonts w:eastAsia="TimesNewRoman"/>
          <w:snapToGrid/>
          <w:szCs w:val="22"/>
          <w:lang w:val="lt-LT"/>
        </w:rPr>
        <w:t>subskalės</w:t>
      </w:r>
      <w:proofErr w:type="spellEnd"/>
      <w:r w:rsidR="0015544D" w:rsidRPr="0032192D">
        <w:rPr>
          <w:rFonts w:eastAsia="TimesNewRoman"/>
          <w:snapToGrid/>
          <w:szCs w:val="22"/>
          <w:lang w:val="lt-LT"/>
        </w:rPr>
        <w:t xml:space="preserve"> įvertinimui</w:t>
      </w:r>
      <w:r w:rsidRPr="0032192D">
        <w:rPr>
          <w:rFonts w:eastAsia="TimesNewRoman"/>
          <w:snapToGrid/>
          <w:szCs w:val="22"/>
          <w:lang w:val="lt-LT"/>
        </w:rPr>
        <w:t xml:space="preserve">, IPSS laikymo </w:t>
      </w:r>
      <w:proofErr w:type="spellStart"/>
      <w:r w:rsidR="0015544D" w:rsidRPr="0032192D">
        <w:rPr>
          <w:rFonts w:eastAsia="TimesNewRoman"/>
          <w:snapToGrid/>
          <w:szCs w:val="22"/>
          <w:lang w:val="lt-LT"/>
        </w:rPr>
        <w:t>subskalės</w:t>
      </w:r>
      <w:proofErr w:type="spellEnd"/>
      <w:r w:rsidR="0015544D" w:rsidRPr="0032192D">
        <w:rPr>
          <w:rFonts w:eastAsia="TimesNewRoman"/>
          <w:snapToGrid/>
          <w:szCs w:val="22"/>
          <w:lang w:val="lt-LT"/>
        </w:rPr>
        <w:t xml:space="preserve"> įvertinimui</w:t>
      </w:r>
      <w:r w:rsidRPr="0032192D">
        <w:rPr>
          <w:rFonts w:eastAsia="TimesNewRoman"/>
          <w:snapToGrid/>
          <w:szCs w:val="22"/>
          <w:lang w:val="lt-LT"/>
        </w:rPr>
        <w:t>, IPSS gyvenimo kokybė</w:t>
      </w:r>
      <w:r w:rsidR="0015544D" w:rsidRPr="0032192D">
        <w:rPr>
          <w:rFonts w:eastAsia="TimesNewRoman"/>
          <w:snapToGrid/>
          <w:szCs w:val="22"/>
          <w:lang w:val="lt-LT"/>
        </w:rPr>
        <w:t>s</w:t>
      </w:r>
      <w:r w:rsidRPr="0032192D">
        <w:rPr>
          <w:rFonts w:eastAsia="TimesNewRoman"/>
          <w:snapToGrid/>
          <w:szCs w:val="22"/>
          <w:lang w:val="lt-LT"/>
        </w:rPr>
        <w:t xml:space="preserve"> (</w:t>
      </w:r>
      <w:r w:rsidR="0015544D" w:rsidRPr="0032192D">
        <w:rPr>
          <w:rFonts w:eastAsia="TimesNewRoman"/>
          <w:snapToGrid/>
          <w:szCs w:val="22"/>
          <w:lang w:val="lt-LT"/>
        </w:rPr>
        <w:t xml:space="preserve">angl. </w:t>
      </w:r>
      <w:proofErr w:type="spellStart"/>
      <w:r w:rsidR="0015544D" w:rsidRPr="0032192D">
        <w:rPr>
          <w:rFonts w:eastAsia="TimesNewRoman"/>
          <w:i/>
          <w:iCs/>
          <w:snapToGrid/>
          <w:szCs w:val="22"/>
          <w:lang w:val="lt-LT"/>
        </w:rPr>
        <w:t>quality</w:t>
      </w:r>
      <w:proofErr w:type="spellEnd"/>
      <w:r w:rsidR="0015544D" w:rsidRPr="0032192D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="0015544D" w:rsidRPr="0032192D">
        <w:rPr>
          <w:rFonts w:eastAsia="TimesNewRoman"/>
          <w:i/>
          <w:iCs/>
          <w:snapToGrid/>
          <w:szCs w:val="22"/>
          <w:lang w:val="lt-LT"/>
        </w:rPr>
        <w:t>of</w:t>
      </w:r>
      <w:proofErr w:type="spellEnd"/>
      <w:r w:rsidR="0015544D" w:rsidRPr="0032192D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="0015544D" w:rsidRPr="0032192D">
        <w:rPr>
          <w:rFonts w:eastAsia="TimesNewRoman"/>
          <w:i/>
          <w:iCs/>
          <w:snapToGrid/>
          <w:szCs w:val="22"/>
          <w:lang w:val="lt-LT"/>
        </w:rPr>
        <w:t>life</w:t>
      </w:r>
      <w:proofErr w:type="spellEnd"/>
      <w:r w:rsidR="0015544D"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QoL</w:t>
      </w:r>
      <w:proofErr w:type="spellEnd"/>
      <w:r w:rsidRPr="0032192D">
        <w:rPr>
          <w:rFonts w:eastAsia="TimesNewRoman"/>
          <w:snapToGrid/>
          <w:szCs w:val="22"/>
          <w:lang w:val="lt-LT"/>
        </w:rPr>
        <w:t>)</w:t>
      </w:r>
      <w:r w:rsidR="0015544D" w:rsidRPr="0032192D">
        <w:rPr>
          <w:rFonts w:eastAsia="TimesNewRoman"/>
          <w:snapToGrid/>
          <w:szCs w:val="22"/>
          <w:lang w:val="lt-LT"/>
        </w:rPr>
        <w:t xml:space="preserve"> įvertinimui</w:t>
      </w:r>
      <w:r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hiperaktyvios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šlapimo pūslės klausimyno (</w:t>
      </w:r>
      <w:r w:rsidR="0015544D" w:rsidRPr="0032192D">
        <w:rPr>
          <w:rFonts w:eastAsia="TimesNewRoman"/>
          <w:snapToGrid/>
          <w:szCs w:val="22"/>
          <w:lang w:val="lt-LT"/>
        </w:rPr>
        <w:t xml:space="preserve">angl. </w:t>
      </w:r>
      <w:proofErr w:type="spellStart"/>
      <w:r w:rsidR="0015544D" w:rsidRPr="0032192D">
        <w:rPr>
          <w:rFonts w:eastAsia="TimesNewRoman"/>
          <w:i/>
          <w:iCs/>
          <w:snapToGrid/>
          <w:szCs w:val="22"/>
          <w:lang w:val="lt-LT"/>
        </w:rPr>
        <w:t>Overactive</w:t>
      </w:r>
      <w:proofErr w:type="spellEnd"/>
      <w:r w:rsidR="0015544D" w:rsidRPr="0032192D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="0015544D" w:rsidRPr="0032192D">
        <w:rPr>
          <w:rFonts w:eastAsia="TimesNewRoman"/>
          <w:i/>
          <w:iCs/>
          <w:snapToGrid/>
          <w:szCs w:val="22"/>
          <w:lang w:val="lt-LT"/>
        </w:rPr>
        <w:t>Bladder</w:t>
      </w:r>
      <w:proofErr w:type="spellEnd"/>
      <w:r w:rsidR="0015544D" w:rsidRPr="0032192D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="0015544D" w:rsidRPr="0032192D">
        <w:rPr>
          <w:rFonts w:eastAsia="TimesNewRoman"/>
          <w:i/>
          <w:iCs/>
          <w:snapToGrid/>
          <w:szCs w:val="22"/>
          <w:lang w:val="lt-LT"/>
        </w:rPr>
        <w:t>questionnaire</w:t>
      </w:r>
      <w:proofErr w:type="spellEnd"/>
      <w:r w:rsidR="0015544D" w:rsidRPr="0032192D">
        <w:rPr>
          <w:rFonts w:eastAsia="TimesNewRoman"/>
          <w:snapToGrid/>
          <w:szCs w:val="22"/>
          <w:lang w:val="lt-LT"/>
        </w:rPr>
        <w:t xml:space="preserve">, </w:t>
      </w:r>
      <w:r w:rsidRPr="0032192D">
        <w:rPr>
          <w:rFonts w:eastAsia="TimesNewRoman"/>
          <w:snapToGrid/>
          <w:szCs w:val="22"/>
          <w:lang w:val="lt-LT"/>
        </w:rPr>
        <w:t xml:space="preserve">OAB-q) varginimo </w:t>
      </w:r>
      <w:r w:rsidR="0015544D" w:rsidRPr="0032192D">
        <w:rPr>
          <w:rFonts w:eastAsia="TimesNewRoman"/>
          <w:snapToGrid/>
          <w:szCs w:val="22"/>
          <w:lang w:val="lt-LT"/>
        </w:rPr>
        <w:t>skalės įvertinimui</w:t>
      </w:r>
      <w:r w:rsidRPr="0032192D">
        <w:rPr>
          <w:rFonts w:eastAsia="TimesNewRoman"/>
          <w:snapToGrid/>
          <w:szCs w:val="22"/>
          <w:lang w:val="lt-LT"/>
        </w:rPr>
        <w:t xml:space="preserve"> ir OAB-q su sveikata susijusios gyvenimo kokybės (</w:t>
      </w:r>
      <w:r w:rsidR="0015544D" w:rsidRPr="0032192D">
        <w:rPr>
          <w:rFonts w:eastAsia="TimesNewRoman"/>
          <w:snapToGrid/>
          <w:szCs w:val="22"/>
          <w:lang w:val="lt-LT"/>
        </w:rPr>
        <w:t xml:space="preserve">angl. </w:t>
      </w:r>
      <w:proofErr w:type="spellStart"/>
      <w:r w:rsidR="0015544D" w:rsidRPr="0032192D">
        <w:rPr>
          <w:rFonts w:eastAsia="TimesNewRoman"/>
          <w:i/>
          <w:iCs/>
          <w:snapToGrid/>
          <w:szCs w:val="22"/>
          <w:lang w:val="lt-LT"/>
        </w:rPr>
        <w:t>Health</w:t>
      </w:r>
      <w:proofErr w:type="spellEnd"/>
      <w:r w:rsidR="0015544D" w:rsidRPr="0032192D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="0015544D" w:rsidRPr="0032192D">
        <w:rPr>
          <w:rFonts w:eastAsia="TimesNewRoman"/>
          <w:i/>
          <w:iCs/>
          <w:snapToGrid/>
          <w:szCs w:val="22"/>
          <w:lang w:val="lt-LT"/>
        </w:rPr>
        <w:t>Related</w:t>
      </w:r>
      <w:proofErr w:type="spellEnd"/>
      <w:r w:rsidR="0015544D" w:rsidRPr="0032192D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="0015544D" w:rsidRPr="0032192D">
        <w:rPr>
          <w:rFonts w:eastAsia="TimesNewRoman"/>
          <w:i/>
          <w:iCs/>
          <w:snapToGrid/>
          <w:szCs w:val="22"/>
          <w:lang w:val="lt-LT"/>
        </w:rPr>
        <w:t>Quality</w:t>
      </w:r>
      <w:proofErr w:type="spellEnd"/>
      <w:r w:rsidR="0015544D" w:rsidRPr="0032192D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="0015544D" w:rsidRPr="0032192D">
        <w:rPr>
          <w:rFonts w:eastAsia="TimesNewRoman"/>
          <w:i/>
          <w:iCs/>
          <w:snapToGrid/>
          <w:szCs w:val="22"/>
          <w:lang w:val="lt-LT"/>
        </w:rPr>
        <w:t>of</w:t>
      </w:r>
      <w:proofErr w:type="spellEnd"/>
      <w:r w:rsidR="0015544D" w:rsidRPr="0032192D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="0015544D" w:rsidRPr="0032192D">
        <w:rPr>
          <w:rFonts w:eastAsia="TimesNewRoman"/>
          <w:i/>
          <w:iCs/>
          <w:snapToGrid/>
          <w:szCs w:val="22"/>
          <w:lang w:val="lt-LT"/>
        </w:rPr>
        <w:t>Life</w:t>
      </w:r>
      <w:proofErr w:type="spellEnd"/>
      <w:r w:rsidR="0015544D"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HRQoL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) </w:t>
      </w:r>
      <w:r w:rsidR="009552AB" w:rsidRPr="0032192D">
        <w:rPr>
          <w:rFonts w:eastAsia="TimesNewRoman"/>
          <w:snapToGrid/>
          <w:szCs w:val="22"/>
          <w:lang w:val="lt-LT"/>
        </w:rPr>
        <w:t>įvertinimui</w:t>
      </w:r>
      <w:r w:rsidRPr="0032192D">
        <w:rPr>
          <w:rFonts w:eastAsia="TimesNewRoman"/>
          <w:snapToGrid/>
          <w:szCs w:val="22"/>
          <w:lang w:val="lt-LT"/>
        </w:rPr>
        <w:t>, įskaitant vis</w:t>
      </w:r>
      <w:r w:rsidR="009552AB" w:rsidRPr="0032192D">
        <w:rPr>
          <w:rFonts w:eastAsia="TimesNewRoman"/>
          <w:snapToGrid/>
          <w:szCs w:val="22"/>
          <w:lang w:val="lt-LT"/>
        </w:rPr>
        <w:t>a</w:t>
      </w:r>
      <w:r w:rsidRPr="0032192D">
        <w:rPr>
          <w:rFonts w:eastAsia="TimesNewRoman"/>
          <w:snapToGrid/>
          <w:szCs w:val="22"/>
          <w:lang w:val="lt-LT"/>
        </w:rPr>
        <w:t xml:space="preserve">s </w:t>
      </w:r>
      <w:proofErr w:type="spellStart"/>
      <w:r w:rsidR="009552AB" w:rsidRPr="0032192D">
        <w:rPr>
          <w:rFonts w:eastAsia="TimesNewRoman"/>
          <w:snapToGrid/>
          <w:szCs w:val="22"/>
          <w:lang w:val="lt-LT"/>
        </w:rPr>
        <w:t>subskales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(susidorojimo, rūpesčių, miego ir socialinio gyvenimo).</w:t>
      </w:r>
    </w:p>
    <w:p w14:paraId="15CB3C97" w14:textId="77777777" w:rsidR="00C8108A" w:rsidRPr="0032192D" w:rsidRDefault="00C8108A" w:rsidP="00C8108A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30E03443" w14:textId="77777777" w:rsidR="002928D4" w:rsidRPr="0032192D" w:rsidRDefault="00C8108A" w:rsidP="00C8108A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</w:t>
      </w:r>
      <w:r w:rsidR="009552AB" w:rsidRPr="0032192D">
        <w:rPr>
          <w:rFonts w:eastAsia="TimesNewRoman"/>
          <w:snapToGrid/>
          <w:szCs w:val="22"/>
          <w:lang w:val="lt-LT"/>
        </w:rPr>
        <w:t>as</w:t>
      </w:r>
      <w:proofErr w:type="spellEnd"/>
      <w:r w:rsidR="00436937"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</w:t>
      </w:r>
      <w:r w:rsidR="009552AB" w:rsidRPr="0032192D">
        <w:rPr>
          <w:rFonts w:eastAsia="TimesNewRoman"/>
          <w:snapToGrid/>
          <w:szCs w:val="22"/>
          <w:lang w:val="lt-LT"/>
        </w:rPr>
        <w:t xml:space="preserve">as, </w:t>
      </w:r>
      <w:r w:rsidR="002928D4" w:rsidRPr="0032192D">
        <w:rPr>
          <w:rFonts w:eastAsia="TimesNewRoman"/>
          <w:snapToGrid/>
          <w:szCs w:val="22"/>
          <w:lang w:val="lt-LT"/>
        </w:rPr>
        <w:t>pa</w:t>
      </w:r>
      <w:r w:rsidR="009552AB" w:rsidRPr="0032192D">
        <w:rPr>
          <w:rFonts w:eastAsia="TimesNewRoman"/>
          <w:snapToGrid/>
          <w:szCs w:val="22"/>
          <w:lang w:val="lt-LT"/>
        </w:rPr>
        <w:t>lyginti su</w:t>
      </w:r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OCAS, </w:t>
      </w:r>
      <w:r w:rsidR="009552AB" w:rsidRPr="0032192D">
        <w:rPr>
          <w:rFonts w:eastAsia="TimesNewRoman"/>
          <w:snapToGrid/>
          <w:szCs w:val="22"/>
          <w:lang w:val="lt-LT"/>
        </w:rPr>
        <w:t xml:space="preserve">sukėlė stipresnį pagerėjimą vertinant </w:t>
      </w:r>
      <w:r w:rsidR="002928D4" w:rsidRPr="0032192D">
        <w:rPr>
          <w:rFonts w:eastAsia="TimesNewRoman"/>
          <w:snapToGrid/>
          <w:szCs w:val="22"/>
          <w:lang w:val="lt-LT"/>
        </w:rPr>
        <w:t>bendros staigaus noro šlapintis ir šlapinimosi dažnumo skalės įvertinimą</w:t>
      </w:r>
      <w:r w:rsidRPr="0032192D">
        <w:rPr>
          <w:rFonts w:eastAsia="TimesNewRoman"/>
          <w:snapToGrid/>
          <w:szCs w:val="22"/>
          <w:lang w:val="lt-LT"/>
        </w:rPr>
        <w:t xml:space="preserve">, taip pat </w:t>
      </w:r>
      <w:r w:rsidR="002928D4" w:rsidRPr="0032192D">
        <w:rPr>
          <w:rFonts w:eastAsia="TimesNewRoman"/>
          <w:snapToGrid/>
          <w:szCs w:val="22"/>
          <w:lang w:val="lt-LT"/>
        </w:rPr>
        <w:t xml:space="preserve">šlapinimosi dažnumą, vidutinį išskirto šlapimo tūrį vieno pasišlapinimo metu ir IPSS laikymo </w:t>
      </w:r>
      <w:proofErr w:type="spellStart"/>
      <w:r w:rsidR="002928D4" w:rsidRPr="0032192D">
        <w:rPr>
          <w:rFonts w:eastAsia="TimesNewRoman"/>
          <w:snapToGrid/>
          <w:szCs w:val="22"/>
          <w:lang w:val="lt-LT"/>
        </w:rPr>
        <w:t>subskalės</w:t>
      </w:r>
      <w:proofErr w:type="spellEnd"/>
      <w:r w:rsidR="002928D4" w:rsidRPr="0032192D">
        <w:rPr>
          <w:rFonts w:eastAsia="TimesNewRoman"/>
          <w:snapToGrid/>
          <w:szCs w:val="22"/>
          <w:lang w:val="lt-LT"/>
        </w:rPr>
        <w:t xml:space="preserve"> įvertinimą. </w:t>
      </w:r>
      <w:r w:rsidRPr="0032192D">
        <w:rPr>
          <w:rFonts w:eastAsia="TimesNewRoman"/>
          <w:snapToGrid/>
          <w:szCs w:val="22"/>
          <w:lang w:val="lt-LT"/>
        </w:rPr>
        <w:t xml:space="preserve">Kartu reikšmingai pagerėjo IPSS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QoL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ir OAB-Q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HRQoL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bendras</w:t>
      </w:r>
      <w:r w:rsidR="002928D4" w:rsidRPr="0032192D">
        <w:rPr>
          <w:rFonts w:eastAsia="TimesNewRoman"/>
          <w:snapToGrid/>
          <w:szCs w:val="22"/>
          <w:lang w:val="lt-LT"/>
        </w:rPr>
        <w:t>is</w:t>
      </w:r>
      <w:r w:rsidRPr="0032192D">
        <w:rPr>
          <w:rFonts w:eastAsia="TimesNewRoman"/>
          <w:snapToGrid/>
          <w:szCs w:val="22"/>
          <w:lang w:val="lt-LT"/>
        </w:rPr>
        <w:t xml:space="preserve"> </w:t>
      </w:r>
      <w:r w:rsidR="002928D4" w:rsidRPr="0032192D">
        <w:rPr>
          <w:rFonts w:eastAsia="TimesNewRoman"/>
          <w:snapToGrid/>
          <w:szCs w:val="22"/>
          <w:lang w:val="lt-LT"/>
        </w:rPr>
        <w:t>įvertinimas (</w:t>
      </w:r>
      <w:r w:rsidRPr="0032192D">
        <w:rPr>
          <w:rFonts w:eastAsia="TimesNewRoman"/>
          <w:snapToGrid/>
          <w:szCs w:val="22"/>
          <w:lang w:val="lt-LT"/>
        </w:rPr>
        <w:t>įskaitant vis</w:t>
      </w:r>
      <w:r w:rsidR="002928D4" w:rsidRPr="0032192D">
        <w:rPr>
          <w:rFonts w:eastAsia="TimesNewRoman"/>
          <w:snapToGrid/>
          <w:szCs w:val="22"/>
          <w:lang w:val="lt-LT"/>
        </w:rPr>
        <w:t xml:space="preserve">ų </w:t>
      </w:r>
      <w:proofErr w:type="spellStart"/>
      <w:r w:rsidR="002928D4" w:rsidRPr="0032192D">
        <w:rPr>
          <w:rFonts w:eastAsia="TimesNewRoman"/>
          <w:snapToGrid/>
          <w:szCs w:val="22"/>
          <w:lang w:val="lt-LT"/>
        </w:rPr>
        <w:t>subskalių</w:t>
      </w:r>
      <w:proofErr w:type="spellEnd"/>
      <w:r w:rsidR="002928D4" w:rsidRPr="0032192D">
        <w:rPr>
          <w:rFonts w:eastAsia="TimesNewRoman"/>
          <w:snapToGrid/>
          <w:szCs w:val="22"/>
          <w:lang w:val="lt-LT"/>
        </w:rPr>
        <w:t xml:space="preserve"> įvertinimą).</w:t>
      </w:r>
    </w:p>
    <w:p w14:paraId="2441CC27" w14:textId="77777777" w:rsidR="00C8108A" w:rsidRPr="0032192D" w:rsidRDefault="00C8108A" w:rsidP="00C8108A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Be to,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hidrochlorido poveikis bendram IPSS </w:t>
      </w:r>
      <w:r w:rsidR="009552AB" w:rsidRPr="0032192D">
        <w:rPr>
          <w:rFonts w:eastAsia="TimesNewRoman"/>
          <w:snapToGrid/>
          <w:szCs w:val="22"/>
          <w:lang w:val="lt-LT"/>
        </w:rPr>
        <w:t>įvertinimui</w:t>
      </w:r>
      <w:r w:rsidRPr="0032192D">
        <w:rPr>
          <w:rFonts w:eastAsia="TimesNewRoman"/>
          <w:snapToGrid/>
          <w:szCs w:val="22"/>
          <w:lang w:val="lt-LT"/>
        </w:rPr>
        <w:t xml:space="preserve">, kaip ir tikėtasi, buvo ne prastesnis nei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OCAS (p &lt;0,001).</w:t>
      </w:r>
    </w:p>
    <w:p w14:paraId="0B41B788" w14:textId="77777777" w:rsidR="00C8108A" w:rsidRPr="0032192D" w:rsidRDefault="00C8108A" w:rsidP="00C8108A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u w:val="single"/>
          <w:lang w:val="lt-LT"/>
        </w:rPr>
      </w:pPr>
    </w:p>
    <w:p w14:paraId="732A9B32" w14:textId="77777777" w:rsidR="00776FBE" w:rsidRPr="0032192D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32192D">
        <w:rPr>
          <w:b/>
          <w:snapToGrid/>
          <w:kern w:val="28"/>
          <w:szCs w:val="22"/>
          <w:lang w:val="lt-LT"/>
        </w:rPr>
        <w:t>5.2</w:t>
      </w:r>
      <w:r w:rsidRPr="0032192D">
        <w:rPr>
          <w:b/>
          <w:snapToGrid/>
          <w:kern w:val="28"/>
          <w:szCs w:val="22"/>
          <w:lang w:val="lt-LT"/>
        </w:rPr>
        <w:tab/>
        <w:t>Farmakokinetinės savybės</w:t>
      </w:r>
    </w:p>
    <w:p w14:paraId="4490AF3F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7D9FD4E1" w14:textId="77777777" w:rsidR="00424070" w:rsidRPr="00DD7CAE" w:rsidRDefault="00424070" w:rsidP="004240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proofErr w:type="spellStart"/>
      <w:r w:rsidRPr="00DD7CAE">
        <w:rPr>
          <w:rFonts w:eastAsia="TimesNewRoman"/>
          <w:snapToGrid/>
          <w:szCs w:val="22"/>
          <w:u w:val="single"/>
          <w:lang w:val="lt-LT"/>
        </w:rPr>
        <w:t>Solifenacino</w:t>
      </w:r>
      <w:proofErr w:type="spellEnd"/>
      <w:r w:rsidRPr="00DD7CAE">
        <w:rPr>
          <w:rFonts w:eastAsia="TimesNewRoman"/>
          <w:snapToGrid/>
          <w:szCs w:val="22"/>
          <w:u w:val="single"/>
          <w:lang w:val="lt-LT"/>
        </w:rPr>
        <w:t xml:space="preserve"> </w:t>
      </w:r>
      <w:proofErr w:type="spellStart"/>
      <w:r w:rsidRPr="00DD7CAE">
        <w:rPr>
          <w:rFonts w:eastAsia="TimesNewRoman"/>
          <w:snapToGrid/>
          <w:szCs w:val="22"/>
          <w:u w:val="single"/>
          <w:lang w:val="lt-LT"/>
        </w:rPr>
        <w:t>sukcinatas</w:t>
      </w:r>
      <w:proofErr w:type="spellEnd"/>
      <w:r w:rsidRPr="00DD7CAE">
        <w:rPr>
          <w:rFonts w:eastAsia="TimesNewRoman"/>
          <w:snapToGrid/>
          <w:szCs w:val="22"/>
          <w:u w:val="single"/>
          <w:lang w:val="lt-LT"/>
        </w:rPr>
        <w:t>/</w:t>
      </w:r>
      <w:proofErr w:type="spellStart"/>
      <w:r w:rsidRPr="00DD7CAE">
        <w:rPr>
          <w:rFonts w:eastAsia="TimesNewRoman"/>
          <w:snapToGrid/>
          <w:szCs w:val="22"/>
          <w:u w:val="single"/>
          <w:lang w:val="lt-LT"/>
        </w:rPr>
        <w:t>tamsulozino</w:t>
      </w:r>
      <w:proofErr w:type="spellEnd"/>
      <w:r w:rsidRPr="00DD7CAE">
        <w:rPr>
          <w:rFonts w:eastAsia="TimesNewRoman"/>
          <w:snapToGrid/>
          <w:szCs w:val="22"/>
          <w:u w:val="single"/>
          <w:lang w:val="lt-LT"/>
        </w:rPr>
        <w:t xml:space="preserve"> hidrochloridas</w:t>
      </w:r>
    </w:p>
    <w:p w14:paraId="77B6C980" w14:textId="77777777" w:rsidR="00424070" w:rsidRPr="0032192D" w:rsidRDefault="00424070" w:rsidP="004240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Toliau pateikta informacija atspindi farmakokinetikos parametrus vartojant kartotines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hidrochlorido dozes.</w:t>
      </w:r>
    </w:p>
    <w:p w14:paraId="3A5D26D1" w14:textId="77777777" w:rsidR="00424070" w:rsidRPr="0032192D" w:rsidRDefault="00424070" w:rsidP="004240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22A6E862" w14:textId="77777777" w:rsidR="00424070" w:rsidRPr="0032192D" w:rsidRDefault="00ED2225" w:rsidP="004240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Kartotinių </w:t>
      </w:r>
      <w:r w:rsidR="00424070" w:rsidRPr="0032192D">
        <w:rPr>
          <w:rFonts w:eastAsia="TimesNewRoman"/>
          <w:snapToGrid/>
          <w:szCs w:val="22"/>
          <w:lang w:val="lt-LT"/>
        </w:rPr>
        <w:t>doz</w:t>
      </w:r>
      <w:r w:rsidRPr="0032192D">
        <w:rPr>
          <w:rFonts w:eastAsia="TimesNewRoman"/>
          <w:snapToGrid/>
          <w:szCs w:val="22"/>
          <w:lang w:val="lt-LT"/>
        </w:rPr>
        <w:t>ių</w:t>
      </w:r>
      <w:r w:rsidR="00424070" w:rsidRPr="0032192D">
        <w:rPr>
          <w:rFonts w:eastAsia="TimesNewRoman"/>
          <w:snapToGrid/>
          <w:szCs w:val="22"/>
          <w:lang w:val="lt-LT"/>
        </w:rPr>
        <w:t xml:space="preserve"> santykinio biologinio prieinamumo tyrimas parodė, kad</w:t>
      </w:r>
      <w:r w:rsidR="003235FC" w:rsidRPr="0032192D">
        <w:rPr>
          <w:rFonts w:eastAsia="TimesNewRoman"/>
          <w:snapToGrid/>
          <w:szCs w:val="22"/>
          <w:lang w:val="lt-LT"/>
        </w:rPr>
        <w:t>,</w:t>
      </w:r>
      <w:r w:rsidR="00424070" w:rsidRPr="0032192D">
        <w:rPr>
          <w:rFonts w:eastAsia="TimesNewRoman"/>
          <w:snapToGrid/>
          <w:szCs w:val="22"/>
          <w:lang w:val="lt-LT"/>
        </w:rPr>
        <w:t xml:space="preserve"> vartojant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lastRenderedPageBreak/>
        <w:t>sukcinato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hidrochlorido, </w:t>
      </w:r>
      <w:r w:rsidRPr="0032192D">
        <w:rPr>
          <w:rFonts w:eastAsia="TimesNewRoman"/>
          <w:snapToGrid/>
          <w:szCs w:val="22"/>
          <w:lang w:val="lt-LT"/>
        </w:rPr>
        <w:t>ekspozicija</w:t>
      </w:r>
      <w:r w:rsidR="00424070" w:rsidRPr="0032192D">
        <w:rPr>
          <w:rFonts w:eastAsia="TimesNewRoman"/>
          <w:snapToGrid/>
          <w:szCs w:val="22"/>
          <w:lang w:val="lt-LT"/>
        </w:rPr>
        <w:t xml:space="preserve"> yra panaš</w:t>
      </w:r>
      <w:r w:rsidRPr="0032192D">
        <w:rPr>
          <w:rFonts w:eastAsia="TimesNewRoman"/>
          <w:snapToGrid/>
          <w:szCs w:val="22"/>
          <w:lang w:val="lt-LT"/>
        </w:rPr>
        <w:t xml:space="preserve">i į nustatomą kartu </w:t>
      </w:r>
      <w:r w:rsidR="00424070" w:rsidRPr="0032192D">
        <w:rPr>
          <w:rFonts w:eastAsia="TimesNewRoman"/>
          <w:snapToGrid/>
          <w:szCs w:val="22"/>
          <w:lang w:val="lt-LT"/>
        </w:rPr>
        <w:t xml:space="preserve">vartojant atskiras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OCAS tabletes</w:t>
      </w:r>
      <w:r w:rsidRPr="0032192D">
        <w:rPr>
          <w:rFonts w:eastAsia="TimesNewRoman"/>
          <w:snapToGrid/>
          <w:szCs w:val="22"/>
          <w:lang w:val="lt-LT"/>
        </w:rPr>
        <w:t xml:space="preserve"> tokiomis pačiomis dozėmis</w:t>
      </w:r>
      <w:r w:rsidR="00424070" w:rsidRPr="0032192D">
        <w:rPr>
          <w:rFonts w:eastAsia="TimesNewRoman"/>
          <w:snapToGrid/>
          <w:szCs w:val="22"/>
          <w:lang w:val="lt-LT"/>
        </w:rPr>
        <w:t>.</w:t>
      </w:r>
    </w:p>
    <w:p w14:paraId="782DC3E0" w14:textId="77777777" w:rsidR="00424070" w:rsidRPr="0032192D" w:rsidRDefault="00424070" w:rsidP="004240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0EC06522" w14:textId="77777777" w:rsidR="00424070" w:rsidRPr="00DD7CAE" w:rsidRDefault="00424070" w:rsidP="004240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r w:rsidRPr="00DD7CAE">
        <w:rPr>
          <w:rFonts w:eastAsia="TimesNewRoman"/>
          <w:snapToGrid/>
          <w:szCs w:val="22"/>
          <w:u w:val="single"/>
          <w:lang w:val="lt-LT"/>
        </w:rPr>
        <w:t>Absorbcija</w:t>
      </w:r>
    </w:p>
    <w:p w14:paraId="05F48D77" w14:textId="77777777" w:rsidR="00424070" w:rsidRPr="0032192D" w:rsidRDefault="008570C6" w:rsidP="004240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Vartojant kartotines</w:t>
      </w:r>
      <w:r w:rsidR="00424070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hidrochlorido doz</w:t>
      </w:r>
      <w:r w:rsidRPr="0032192D">
        <w:rPr>
          <w:rFonts w:eastAsia="TimesNewRoman"/>
          <w:snapToGrid/>
          <w:szCs w:val="22"/>
          <w:lang w:val="lt-LT"/>
        </w:rPr>
        <w:t>es,</w:t>
      </w:r>
      <w:r w:rsidR="00424070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t</w:t>
      </w:r>
      <w:r w:rsidR="00424070" w:rsidRPr="0032192D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</w:t>
      </w:r>
      <w:r w:rsidR="003235FC" w:rsidRPr="0032192D">
        <w:rPr>
          <w:rFonts w:eastAsia="TimesNewRoman"/>
          <w:snapToGrid/>
          <w:szCs w:val="22"/>
          <w:lang w:val="lt-LT"/>
        </w:rPr>
        <w:t>skirtinguose</w:t>
      </w:r>
      <w:r w:rsidR="00424070" w:rsidRPr="0032192D">
        <w:rPr>
          <w:rFonts w:eastAsia="TimesNewRoman"/>
          <w:snapToGrid/>
          <w:szCs w:val="22"/>
          <w:lang w:val="lt-LT"/>
        </w:rPr>
        <w:t xml:space="preserve"> tyrimuose svyravo nuo 4,27</w:t>
      </w:r>
      <w:r w:rsidRPr="0032192D">
        <w:rPr>
          <w:rFonts w:eastAsia="TimesNewRoman"/>
          <w:snapToGrid/>
          <w:szCs w:val="22"/>
          <w:lang w:val="lt-LT"/>
        </w:rPr>
        <w:t> valandos</w:t>
      </w:r>
      <w:r w:rsidR="00424070" w:rsidRPr="0032192D">
        <w:rPr>
          <w:rFonts w:eastAsia="TimesNewRoman"/>
          <w:snapToGrid/>
          <w:szCs w:val="22"/>
          <w:lang w:val="lt-LT"/>
        </w:rPr>
        <w:t xml:space="preserve"> iki 4,76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424070" w:rsidRPr="0032192D">
        <w:rPr>
          <w:rFonts w:eastAsia="TimesNewRoman"/>
          <w:snapToGrid/>
          <w:szCs w:val="22"/>
          <w:lang w:val="lt-LT"/>
        </w:rPr>
        <w:t xml:space="preserve">valandos;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t</w:t>
      </w:r>
      <w:r w:rsidR="00424070" w:rsidRPr="0032192D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svyravo nuo 3,47</w:t>
      </w:r>
      <w:r w:rsidRPr="0032192D">
        <w:rPr>
          <w:rFonts w:eastAsia="TimesNewRoman"/>
          <w:snapToGrid/>
          <w:szCs w:val="22"/>
          <w:lang w:val="lt-LT"/>
        </w:rPr>
        <w:t> valandos</w:t>
      </w:r>
      <w:r w:rsidR="00424070" w:rsidRPr="0032192D">
        <w:rPr>
          <w:rFonts w:eastAsia="TimesNewRoman"/>
          <w:snapToGrid/>
          <w:szCs w:val="22"/>
          <w:lang w:val="lt-LT"/>
        </w:rPr>
        <w:t xml:space="preserve"> iki 5,65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424070" w:rsidRPr="0032192D">
        <w:rPr>
          <w:rFonts w:eastAsia="TimesNewRoman"/>
          <w:snapToGrid/>
          <w:szCs w:val="22"/>
          <w:lang w:val="lt-LT"/>
        </w:rPr>
        <w:t>valandos. Atitinkam</w:t>
      </w:r>
      <w:r w:rsidRPr="0032192D">
        <w:rPr>
          <w:rFonts w:eastAsia="TimesNewRoman"/>
          <w:snapToGrid/>
          <w:szCs w:val="22"/>
          <w:lang w:val="lt-LT"/>
        </w:rPr>
        <w:t>i</w:t>
      </w:r>
      <w:r w:rsidR="00424070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C</w:t>
      </w:r>
      <w:r w:rsidR="00424070" w:rsidRPr="0032192D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>rodmenys</w:t>
      </w:r>
      <w:r w:rsidR="00424070" w:rsidRPr="0032192D">
        <w:rPr>
          <w:rFonts w:eastAsia="TimesNewRoman"/>
          <w:snapToGrid/>
          <w:szCs w:val="22"/>
          <w:lang w:val="lt-LT"/>
        </w:rPr>
        <w:t xml:space="preserve"> svyravo nuo 26,5</w:t>
      </w:r>
      <w:r w:rsidRPr="0032192D">
        <w:rPr>
          <w:rFonts w:eastAsia="TimesNewRoman"/>
          <w:snapToGrid/>
          <w:szCs w:val="22"/>
          <w:lang w:val="lt-LT"/>
        </w:rPr>
        <w:t> 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ng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>/ml iki 32,0</w:t>
      </w:r>
      <w:r w:rsidRPr="0032192D">
        <w:rPr>
          <w:rFonts w:eastAsia="TimesNewRoman"/>
          <w:snapToGrid/>
          <w:szCs w:val="22"/>
          <w:lang w:val="lt-LT"/>
        </w:rPr>
        <w:t> 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ng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/ml, o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C</w:t>
      </w:r>
      <w:r w:rsidR="00424070" w:rsidRPr="0032192D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>−</w:t>
      </w:r>
      <w:r w:rsidR="00424070" w:rsidRPr="0032192D">
        <w:rPr>
          <w:rFonts w:eastAsia="TimesNewRoman"/>
          <w:snapToGrid/>
          <w:szCs w:val="22"/>
          <w:lang w:val="lt-LT"/>
        </w:rPr>
        <w:t xml:space="preserve"> nuo 6,56</w:t>
      </w:r>
      <w:r w:rsidRPr="0032192D">
        <w:rPr>
          <w:rFonts w:eastAsia="TimesNewRoman"/>
          <w:snapToGrid/>
          <w:szCs w:val="22"/>
          <w:lang w:val="lt-LT"/>
        </w:rPr>
        <w:t> 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ng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>/ml iki 13,3</w:t>
      </w:r>
      <w:r w:rsidRPr="0032192D">
        <w:rPr>
          <w:rFonts w:eastAsia="TimesNewRoman"/>
          <w:snapToGrid/>
          <w:szCs w:val="22"/>
          <w:lang w:val="lt-LT"/>
        </w:rPr>
        <w:t> 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ng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/ml.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AUC </w:t>
      </w:r>
      <w:r w:rsidRPr="0032192D">
        <w:rPr>
          <w:rFonts w:eastAsia="TimesNewRoman"/>
          <w:snapToGrid/>
          <w:szCs w:val="22"/>
          <w:lang w:val="lt-LT"/>
        </w:rPr>
        <w:t>rodmuo</w:t>
      </w:r>
      <w:r w:rsidR="00424070" w:rsidRPr="0032192D">
        <w:rPr>
          <w:rFonts w:eastAsia="TimesNewRoman"/>
          <w:snapToGrid/>
          <w:szCs w:val="22"/>
          <w:lang w:val="lt-LT"/>
        </w:rPr>
        <w:t xml:space="preserve"> svyravo nuo 528</w:t>
      </w:r>
      <w:r w:rsidRPr="0032192D">
        <w:rPr>
          <w:rFonts w:eastAsia="TimesNewRoman"/>
          <w:snapToGrid/>
          <w:szCs w:val="22"/>
          <w:lang w:val="lt-LT"/>
        </w:rPr>
        <w:t> 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ng.</w:t>
      </w:r>
      <w:r w:rsidRPr="0032192D">
        <w:rPr>
          <w:rFonts w:eastAsia="TimesNewRoman"/>
          <w:snapToGrid/>
          <w:szCs w:val="22"/>
          <w:lang w:val="lt-LT"/>
        </w:rPr>
        <w:t>val</w:t>
      </w:r>
      <w:proofErr w:type="spellEnd"/>
      <w:r w:rsidRPr="0032192D">
        <w:rPr>
          <w:rFonts w:eastAsia="TimesNewRoman"/>
          <w:snapToGrid/>
          <w:szCs w:val="22"/>
          <w:lang w:val="lt-LT"/>
        </w:rPr>
        <w:t>.</w:t>
      </w:r>
      <w:r w:rsidR="00424070" w:rsidRPr="0032192D">
        <w:rPr>
          <w:rFonts w:eastAsia="TimesNewRoman"/>
          <w:snapToGrid/>
          <w:szCs w:val="22"/>
          <w:lang w:val="lt-LT"/>
        </w:rPr>
        <w:t>/ml iki 601</w:t>
      </w:r>
      <w:r w:rsidRPr="0032192D">
        <w:rPr>
          <w:rFonts w:eastAsia="TimesNewRoman"/>
          <w:snapToGrid/>
          <w:szCs w:val="22"/>
          <w:lang w:val="lt-LT"/>
        </w:rPr>
        <w:t> 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ng.</w:t>
      </w:r>
      <w:r w:rsidRPr="0032192D">
        <w:rPr>
          <w:rFonts w:eastAsia="TimesNewRoman"/>
          <w:snapToGrid/>
          <w:szCs w:val="22"/>
          <w:lang w:val="lt-LT"/>
        </w:rPr>
        <w:t>val</w:t>
      </w:r>
      <w:proofErr w:type="spellEnd"/>
      <w:r w:rsidRPr="0032192D">
        <w:rPr>
          <w:rFonts w:eastAsia="TimesNewRoman"/>
          <w:snapToGrid/>
          <w:szCs w:val="22"/>
          <w:lang w:val="lt-LT"/>
        </w:rPr>
        <w:t>.</w:t>
      </w:r>
      <w:r w:rsidR="00424070" w:rsidRPr="0032192D">
        <w:rPr>
          <w:rFonts w:eastAsia="TimesNewRoman"/>
          <w:snapToGrid/>
          <w:szCs w:val="22"/>
          <w:lang w:val="lt-LT"/>
        </w:rPr>
        <w:t xml:space="preserve">/ml, o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>−</w:t>
      </w:r>
      <w:r w:rsidR="00424070" w:rsidRPr="0032192D">
        <w:rPr>
          <w:rFonts w:eastAsia="TimesNewRoman"/>
          <w:snapToGrid/>
          <w:szCs w:val="22"/>
          <w:lang w:val="lt-LT"/>
        </w:rPr>
        <w:t xml:space="preserve"> nuo 97,1</w:t>
      </w:r>
      <w:r w:rsidRPr="0032192D">
        <w:rPr>
          <w:rFonts w:eastAsia="TimesNewRoman"/>
          <w:snapToGrid/>
          <w:szCs w:val="22"/>
          <w:lang w:val="lt-LT"/>
        </w:rPr>
        <w:t> 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ng.</w:t>
      </w:r>
      <w:r w:rsidRPr="0032192D">
        <w:rPr>
          <w:rFonts w:eastAsia="TimesNewRoman"/>
          <w:snapToGrid/>
          <w:szCs w:val="22"/>
          <w:lang w:val="lt-LT"/>
        </w:rPr>
        <w:t>val</w:t>
      </w:r>
      <w:proofErr w:type="spellEnd"/>
      <w:r w:rsidRPr="0032192D">
        <w:rPr>
          <w:rFonts w:eastAsia="TimesNewRoman"/>
          <w:snapToGrid/>
          <w:szCs w:val="22"/>
          <w:lang w:val="lt-LT"/>
        </w:rPr>
        <w:t>.</w:t>
      </w:r>
      <w:r w:rsidR="00424070" w:rsidRPr="0032192D">
        <w:rPr>
          <w:rFonts w:eastAsia="TimesNewRoman"/>
          <w:snapToGrid/>
          <w:szCs w:val="22"/>
          <w:lang w:val="lt-LT"/>
        </w:rPr>
        <w:t>/ml iki 222</w:t>
      </w:r>
      <w:r w:rsidRPr="0032192D">
        <w:rPr>
          <w:rFonts w:eastAsia="TimesNewRoman"/>
          <w:snapToGrid/>
          <w:szCs w:val="22"/>
          <w:lang w:val="lt-LT"/>
        </w:rPr>
        <w:t> 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ng.</w:t>
      </w:r>
      <w:r w:rsidRPr="0032192D">
        <w:rPr>
          <w:rFonts w:eastAsia="TimesNewRoman"/>
          <w:snapToGrid/>
          <w:szCs w:val="22"/>
          <w:lang w:val="lt-LT"/>
        </w:rPr>
        <w:t>val</w:t>
      </w:r>
      <w:proofErr w:type="spellEnd"/>
      <w:r w:rsidRPr="0032192D">
        <w:rPr>
          <w:rFonts w:eastAsia="TimesNewRoman"/>
          <w:snapToGrid/>
          <w:szCs w:val="22"/>
          <w:lang w:val="lt-LT"/>
        </w:rPr>
        <w:t>.</w:t>
      </w:r>
      <w:r w:rsidR="00424070" w:rsidRPr="0032192D">
        <w:rPr>
          <w:rFonts w:eastAsia="TimesNewRoman"/>
          <w:snapToGrid/>
          <w:szCs w:val="22"/>
          <w:lang w:val="lt-LT"/>
        </w:rPr>
        <w:t xml:space="preserve">/ml. Absoliutus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biologinis prieinamumas yra maždaug 90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424070" w:rsidRPr="0032192D">
        <w:rPr>
          <w:rFonts w:eastAsia="TimesNewRoman"/>
          <w:snapToGrid/>
          <w:szCs w:val="22"/>
          <w:lang w:val="lt-LT"/>
        </w:rPr>
        <w:t xml:space="preserve">%, o </w:t>
      </w:r>
      <w:r w:rsidRPr="0032192D">
        <w:rPr>
          <w:rFonts w:eastAsia="TimesNewRoman"/>
          <w:snapToGrid/>
          <w:szCs w:val="22"/>
          <w:lang w:val="lt-LT"/>
        </w:rPr>
        <w:t xml:space="preserve">apskaičiuota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>absorbcija yra</w:t>
      </w:r>
      <w:r w:rsidR="00424070" w:rsidRPr="0032192D">
        <w:rPr>
          <w:rFonts w:eastAsia="TimesNewRoman"/>
          <w:snapToGrid/>
          <w:szCs w:val="22"/>
          <w:lang w:val="lt-LT"/>
        </w:rPr>
        <w:t xml:space="preserve"> 70</w:t>
      </w:r>
      <w:r w:rsidRPr="0032192D">
        <w:rPr>
          <w:rFonts w:eastAsia="TimesNewRoman"/>
          <w:snapToGrid/>
          <w:szCs w:val="22"/>
          <w:lang w:val="lt-LT"/>
        </w:rPr>
        <w:noBreakHyphen/>
      </w:r>
      <w:r w:rsidR="00424070" w:rsidRPr="0032192D">
        <w:rPr>
          <w:rFonts w:eastAsia="TimesNewRoman"/>
          <w:snapToGrid/>
          <w:szCs w:val="22"/>
          <w:lang w:val="lt-LT"/>
        </w:rPr>
        <w:t>79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424070" w:rsidRPr="0032192D">
        <w:rPr>
          <w:rFonts w:eastAsia="TimesNewRoman"/>
          <w:snapToGrid/>
          <w:szCs w:val="22"/>
          <w:lang w:val="lt-LT"/>
        </w:rPr>
        <w:t>%.</w:t>
      </w:r>
    </w:p>
    <w:p w14:paraId="11E3C5FB" w14:textId="77777777" w:rsidR="00424070" w:rsidRPr="0032192D" w:rsidRDefault="00424070" w:rsidP="004240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6A2EE70D" w14:textId="77777777" w:rsidR="00424070" w:rsidRPr="0032192D" w:rsidRDefault="00424070" w:rsidP="004240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Buvo atliktas </w:t>
      </w:r>
      <w:r w:rsidR="008154D9" w:rsidRPr="0032192D">
        <w:rPr>
          <w:rFonts w:eastAsia="TimesNewRoman"/>
          <w:snapToGrid/>
          <w:szCs w:val="22"/>
          <w:lang w:val="lt-LT"/>
        </w:rPr>
        <w:t xml:space="preserve">maisto poveikio </w:t>
      </w:r>
      <w:r w:rsidRPr="0032192D">
        <w:rPr>
          <w:rFonts w:eastAsia="TimesNewRoman"/>
          <w:snapToGrid/>
          <w:szCs w:val="22"/>
          <w:lang w:val="lt-LT"/>
        </w:rPr>
        <w:t>vienkartin</w:t>
      </w:r>
      <w:r w:rsidR="008154D9" w:rsidRPr="0032192D">
        <w:rPr>
          <w:rFonts w:eastAsia="TimesNewRoman"/>
          <w:snapToGrid/>
          <w:szCs w:val="22"/>
          <w:lang w:val="lt-LT"/>
        </w:rPr>
        <w:t>ei</w:t>
      </w:r>
      <w:r w:rsidRPr="0032192D">
        <w:rPr>
          <w:rFonts w:eastAsia="TimesNewRoman"/>
          <w:snapToGrid/>
          <w:szCs w:val="22"/>
          <w:lang w:val="lt-LT"/>
        </w:rPr>
        <w:t xml:space="preserve"> doz</w:t>
      </w:r>
      <w:r w:rsidR="008154D9" w:rsidRPr="0032192D">
        <w:rPr>
          <w:rFonts w:eastAsia="TimesNewRoman"/>
          <w:snapToGrid/>
          <w:szCs w:val="22"/>
          <w:lang w:val="lt-LT"/>
        </w:rPr>
        <w:t>ei</w:t>
      </w:r>
      <w:r w:rsidRPr="0032192D">
        <w:rPr>
          <w:rFonts w:eastAsia="TimesNewRoman"/>
          <w:snapToGrid/>
          <w:szCs w:val="22"/>
          <w:lang w:val="lt-LT"/>
        </w:rPr>
        <w:t xml:space="preserve"> tyrimas, kai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sukcinatas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hidrochloridas buvo </w:t>
      </w:r>
      <w:r w:rsidR="008154D9" w:rsidRPr="0032192D">
        <w:rPr>
          <w:rFonts w:eastAsia="TimesNewRoman"/>
          <w:snapToGrid/>
          <w:szCs w:val="22"/>
          <w:lang w:val="lt-LT"/>
        </w:rPr>
        <w:t>vartojamas</w:t>
      </w:r>
      <w:r w:rsidRPr="0032192D">
        <w:rPr>
          <w:rFonts w:eastAsia="TimesNewRoman"/>
          <w:snapToGrid/>
          <w:szCs w:val="22"/>
          <w:lang w:val="lt-LT"/>
        </w:rPr>
        <w:t xml:space="preserve"> nevalgius, </w:t>
      </w:r>
      <w:r w:rsidR="008154D9" w:rsidRPr="0032192D">
        <w:rPr>
          <w:rFonts w:eastAsia="TimesNewRoman"/>
          <w:snapToGrid/>
          <w:szCs w:val="22"/>
          <w:lang w:val="lt-LT"/>
        </w:rPr>
        <w:t>suvalgius nerieb</w:t>
      </w:r>
      <w:r w:rsidR="004C2EE4" w:rsidRPr="0032192D">
        <w:rPr>
          <w:rFonts w:eastAsia="TimesNewRoman"/>
          <w:snapToGrid/>
          <w:szCs w:val="22"/>
          <w:lang w:val="lt-LT"/>
        </w:rPr>
        <w:t>ius</w:t>
      </w:r>
      <w:r w:rsidRPr="0032192D">
        <w:rPr>
          <w:rFonts w:eastAsia="TimesNewRoman"/>
          <w:snapToGrid/>
          <w:szCs w:val="22"/>
          <w:lang w:val="lt-LT"/>
        </w:rPr>
        <w:t xml:space="preserve"> mažai kaloring</w:t>
      </w:r>
      <w:r w:rsidR="008154D9" w:rsidRPr="0032192D">
        <w:rPr>
          <w:rFonts w:eastAsia="TimesNewRoman"/>
          <w:snapToGrid/>
          <w:szCs w:val="22"/>
          <w:lang w:val="lt-LT"/>
        </w:rPr>
        <w:t>us</w:t>
      </w:r>
      <w:r w:rsidRPr="0032192D">
        <w:rPr>
          <w:rFonts w:eastAsia="TimesNewRoman"/>
          <w:snapToGrid/>
          <w:szCs w:val="22"/>
          <w:lang w:val="lt-LT"/>
        </w:rPr>
        <w:t xml:space="preserve"> pusryči</w:t>
      </w:r>
      <w:r w:rsidR="008154D9" w:rsidRPr="0032192D">
        <w:rPr>
          <w:rFonts w:eastAsia="TimesNewRoman"/>
          <w:snapToGrid/>
          <w:szCs w:val="22"/>
          <w:lang w:val="lt-LT"/>
        </w:rPr>
        <w:t xml:space="preserve">us ir labai riebius </w:t>
      </w:r>
      <w:r w:rsidRPr="0032192D">
        <w:rPr>
          <w:rFonts w:eastAsia="TimesNewRoman"/>
          <w:snapToGrid/>
          <w:szCs w:val="22"/>
          <w:lang w:val="lt-LT"/>
        </w:rPr>
        <w:t>daug kalorijų turinči</w:t>
      </w:r>
      <w:r w:rsidR="008154D9" w:rsidRPr="0032192D">
        <w:rPr>
          <w:rFonts w:eastAsia="TimesNewRoman"/>
          <w:snapToGrid/>
          <w:szCs w:val="22"/>
          <w:lang w:val="lt-LT"/>
        </w:rPr>
        <w:t>us</w:t>
      </w:r>
      <w:r w:rsidRPr="0032192D">
        <w:rPr>
          <w:rFonts w:eastAsia="TimesNewRoman"/>
          <w:snapToGrid/>
          <w:szCs w:val="22"/>
          <w:lang w:val="lt-LT"/>
        </w:rPr>
        <w:t xml:space="preserve"> pusryči</w:t>
      </w:r>
      <w:r w:rsidR="008154D9" w:rsidRPr="0032192D">
        <w:rPr>
          <w:rFonts w:eastAsia="TimesNewRoman"/>
          <w:snapToGrid/>
          <w:szCs w:val="22"/>
          <w:lang w:val="lt-LT"/>
        </w:rPr>
        <w:t>us</w:t>
      </w:r>
      <w:r w:rsidRPr="0032192D">
        <w:rPr>
          <w:rFonts w:eastAsia="TimesNewRoman"/>
          <w:snapToGrid/>
          <w:szCs w:val="22"/>
          <w:lang w:val="lt-LT"/>
        </w:rPr>
        <w:t xml:space="preserve">. </w:t>
      </w:r>
      <w:proofErr w:type="spellStart"/>
      <w:r w:rsidR="00686E25"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="00686E25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686E25"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="00686E25"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="00686E25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686E25" w:rsidRPr="0032192D">
        <w:rPr>
          <w:rFonts w:eastAsia="TimesNewRoman"/>
          <w:snapToGrid/>
          <w:szCs w:val="22"/>
          <w:lang w:val="lt-LT"/>
        </w:rPr>
        <w:t xml:space="preserve"> hidrochlorido pavartojus p</w:t>
      </w:r>
      <w:r w:rsidRPr="0032192D">
        <w:rPr>
          <w:rFonts w:eastAsia="TimesNewRoman"/>
          <w:snapToGrid/>
          <w:szCs w:val="22"/>
          <w:lang w:val="lt-LT"/>
        </w:rPr>
        <w:t xml:space="preserve">o </w:t>
      </w:r>
      <w:r w:rsidR="00686E25" w:rsidRPr="0032192D">
        <w:rPr>
          <w:rFonts w:eastAsia="TimesNewRoman"/>
          <w:snapToGrid/>
          <w:szCs w:val="22"/>
          <w:lang w:val="lt-LT"/>
        </w:rPr>
        <w:t xml:space="preserve">labai riebių daug kalorijų turinčių pusryčių, palyginti su vartojimu nevalgius,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C</w:t>
      </w:r>
      <w:r w:rsidRPr="0032192D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padidėjo 54</w:t>
      </w:r>
      <w:r w:rsidR="00686E25" w:rsidRPr="0032192D">
        <w:rPr>
          <w:rFonts w:eastAsia="TimesNewRoman"/>
          <w:snapToGrid/>
          <w:szCs w:val="22"/>
          <w:lang w:val="lt-LT"/>
        </w:rPr>
        <w:t> </w:t>
      </w:r>
      <w:r w:rsidRPr="0032192D">
        <w:rPr>
          <w:rFonts w:eastAsia="TimesNewRoman"/>
          <w:snapToGrid/>
          <w:szCs w:val="22"/>
          <w:lang w:val="lt-LT"/>
        </w:rPr>
        <w:t>%, o AUC padidėjo 33</w:t>
      </w:r>
      <w:r w:rsidR="00686E25" w:rsidRPr="0032192D">
        <w:rPr>
          <w:rFonts w:eastAsia="TimesNewRoman"/>
          <w:snapToGrid/>
          <w:szCs w:val="22"/>
          <w:lang w:val="lt-LT"/>
        </w:rPr>
        <w:t> </w:t>
      </w:r>
      <w:r w:rsidRPr="0032192D">
        <w:rPr>
          <w:rFonts w:eastAsia="TimesNewRoman"/>
          <w:snapToGrid/>
          <w:szCs w:val="22"/>
          <w:lang w:val="lt-LT"/>
        </w:rPr>
        <w:t xml:space="preserve">%. </w:t>
      </w:r>
      <w:r w:rsidR="004C2EE4" w:rsidRPr="0032192D">
        <w:rPr>
          <w:rFonts w:eastAsia="TimesNewRoman"/>
          <w:snapToGrid/>
          <w:szCs w:val="22"/>
          <w:lang w:val="lt-LT"/>
        </w:rPr>
        <w:t>Neriebūs mažai kaloringi</w:t>
      </w:r>
      <w:r w:rsidRPr="0032192D">
        <w:rPr>
          <w:rFonts w:eastAsia="TimesNewRoman"/>
          <w:snapToGrid/>
          <w:szCs w:val="22"/>
          <w:lang w:val="lt-LT"/>
        </w:rPr>
        <w:t xml:space="preserve"> pusryčiai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farmakokinetikai</w:t>
      </w:r>
      <w:proofErr w:type="spellEnd"/>
      <w:r w:rsidR="004C2EE4" w:rsidRPr="0032192D">
        <w:rPr>
          <w:rFonts w:eastAsia="TimesNewRoman"/>
          <w:snapToGrid/>
          <w:szCs w:val="22"/>
          <w:lang w:val="lt-LT"/>
        </w:rPr>
        <w:t xml:space="preserve"> įtakos neturėjo</w:t>
      </w:r>
      <w:r w:rsidRPr="0032192D">
        <w:rPr>
          <w:rFonts w:eastAsia="TimesNewRoman"/>
          <w:snapToGrid/>
          <w:szCs w:val="22"/>
          <w:lang w:val="lt-LT"/>
        </w:rPr>
        <w:t xml:space="preserve">.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r w:rsidR="00575BD1" w:rsidRPr="0032192D">
        <w:rPr>
          <w:rFonts w:eastAsia="TimesNewRoman"/>
          <w:snapToGrid/>
          <w:szCs w:val="22"/>
          <w:lang w:val="lt-LT"/>
        </w:rPr>
        <w:t>sudedamosios dalies</w:t>
      </w:r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farmakokinetikai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įtakos neturėjo nei </w:t>
      </w:r>
      <w:r w:rsidR="00575BD1" w:rsidRPr="0032192D">
        <w:rPr>
          <w:rFonts w:eastAsia="TimesNewRoman"/>
          <w:snapToGrid/>
          <w:szCs w:val="22"/>
          <w:lang w:val="lt-LT"/>
        </w:rPr>
        <w:t>neriebūs mažai kaloringi pusryčiai</w:t>
      </w:r>
      <w:r w:rsidRPr="0032192D">
        <w:rPr>
          <w:rFonts w:eastAsia="TimesNewRoman"/>
          <w:snapToGrid/>
          <w:szCs w:val="22"/>
          <w:lang w:val="lt-LT"/>
        </w:rPr>
        <w:t xml:space="preserve">, nei </w:t>
      </w:r>
      <w:r w:rsidR="00575BD1" w:rsidRPr="0032192D">
        <w:rPr>
          <w:rFonts w:eastAsia="TimesNewRoman"/>
          <w:snapToGrid/>
          <w:szCs w:val="22"/>
          <w:lang w:val="lt-LT"/>
        </w:rPr>
        <w:t>riebūs daug</w:t>
      </w:r>
      <w:r w:rsidRPr="0032192D">
        <w:rPr>
          <w:rFonts w:eastAsia="TimesNewRoman"/>
          <w:snapToGrid/>
          <w:szCs w:val="22"/>
          <w:lang w:val="lt-LT"/>
        </w:rPr>
        <w:t xml:space="preserve"> kalorijų turintys pusryčiai.</w:t>
      </w:r>
    </w:p>
    <w:p w14:paraId="2462D8C2" w14:textId="77777777" w:rsidR="00424070" w:rsidRPr="0032192D" w:rsidRDefault="00424070" w:rsidP="004240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Kartu vartojant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OCAS, </w:t>
      </w:r>
      <w:proofErr w:type="spellStart"/>
      <w:r w:rsidR="00575BD1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575BD1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575BD1" w:rsidRPr="0032192D">
        <w:rPr>
          <w:rFonts w:eastAsia="TimesNewRoman"/>
          <w:snapToGrid/>
          <w:szCs w:val="22"/>
          <w:lang w:val="lt-LT"/>
        </w:rPr>
        <w:t>C</w:t>
      </w:r>
      <w:r w:rsidR="00575BD1" w:rsidRPr="0032192D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="00575BD1" w:rsidRPr="0032192D">
        <w:rPr>
          <w:rFonts w:eastAsia="TimesNewRoman"/>
          <w:snapToGrid/>
          <w:szCs w:val="22"/>
          <w:lang w:val="lt-LT"/>
        </w:rPr>
        <w:t xml:space="preserve"> padidėjo </w:t>
      </w:r>
      <w:r w:rsidRPr="0032192D">
        <w:rPr>
          <w:rFonts w:eastAsia="TimesNewRoman"/>
          <w:snapToGrid/>
          <w:szCs w:val="22"/>
          <w:lang w:val="lt-LT"/>
        </w:rPr>
        <w:t>1,19</w:t>
      </w:r>
      <w:r w:rsidR="00575BD1" w:rsidRPr="0032192D">
        <w:rPr>
          <w:rFonts w:eastAsia="TimesNewRoman"/>
          <w:snapToGrid/>
          <w:szCs w:val="22"/>
          <w:lang w:val="lt-LT"/>
        </w:rPr>
        <w:t> </w:t>
      </w:r>
      <w:r w:rsidRPr="0032192D">
        <w:rPr>
          <w:rFonts w:eastAsia="TimesNewRoman"/>
          <w:snapToGrid/>
          <w:szCs w:val="22"/>
          <w:lang w:val="lt-LT"/>
        </w:rPr>
        <w:t>karto</w:t>
      </w:r>
      <w:r w:rsidR="00575BD1" w:rsidRPr="0032192D">
        <w:rPr>
          <w:rFonts w:eastAsia="TimesNewRoman"/>
          <w:snapToGrid/>
          <w:szCs w:val="22"/>
          <w:lang w:val="lt-LT"/>
        </w:rPr>
        <w:t>, o AUC −</w:t>
      </w:r>
      <w:r w:rsidRPr="0032192D">
        <w:rPr>
          <w:rFonts w:eastAsia="TimesNewRoman"/>
          <w:snapToGrid/>
          <w:szCs w:val="22"/>
          <w:lang w:val="lt-LT"/>
        </w:rPr>
        <w:t xml:space="preserve"> 1,24</w:t>
      </w:r>
      <w:r w:rsidR="00575BD1" w:rsidRPr="0032192D">
        <w:rPr>
          <w:rFonts w:eastAsia="TimesNewRoman"/>
          <w:snapToGrid/>
          <w:szCs w:val="22"/>
          <w:lang w:val="lt-LT"/>
        </w:rPr>
        <w:t> </w:t>
      </w:r>
      <w:r w:rsidRPr="0032192D">
        <w:rPr>
          <w:rFonts w:eastAsia="TimesNewRoman"/>
          <w:snapToGrid/>
          <w:szCs w:val="22"/>
          <w:lang w:val="lt-LT"/>
        </w:rPr>
        <w:t xml:space="preserve">karto, palyginti su atskirai vartojamų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OCAS tablečių AUC.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poveikio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farmakokinetikai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požymių nenustatyta.</w:t>
      </w:r>
    </w:p>
    <w:p w14:paraId="7F2247B0" w14:textId="77777777" w:rsidR="00424070" w:rsidRPr="0032192D" w:rsidRDefault="00424070" w:rsidP="004240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61253A80" w14:textId="77777777" w:rsidR="00424070" w:rsidRPr="00DD7CAE" w:rsidRDefault="00424070" w:rsidP="004240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r w:rsidRPr="00DD7CAE">
        <w:rPr>
          <w:rFonts w:eastAsia="TimesNewRoman"/>
          <w:snapToGrid/>
          <w:szCs w:val="22"/>
          <w:u w:val="single"/>
          <w:lang w:val="lt-LT"/>
        </w:rPr>
        <w:t>Eliminacija</w:t>
      </w:r>
    </w:p>
    <w:p w14:paraId="6C421B3C" w14:textId="77777777" w:rsidR="00424070" w:rsidRPr="0032192D" w:rsidRDefault="00424070" w:rsidP="004240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Po vienkartinio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hidrochlorido vartojimo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t</w:t>
      </w:r>
      <w:r w:rsidRPr="0032192D">
        <w:rPr>
          <w:rFonts w:eastAsia="TimesNewRoman"/>
          <w:snapToGrid/>
          <w:szCs w:val="22"/>
          <w:vertAlign w:val="subscript"/>
          <w:lang w:val="lt-LT"/>
        </w:rPr>
        <w:t>1/2</w:t>
      </w:r>
      <w:r w:rsidRPr="0032192D">
        <w:rPr>
          <w:rFonts w:eastAsia="TimesNewRoman"/>
          <w:snapToGrid/>
          <w:szCs w:val="22"/>
          <w:lang w:val="lt-LT"/>
        </w:rPr>
        <w:t xml:space="preserve"> svyravo nuo 49,5</w:t>
      </w:r>
      <w:r w:rsidR="002029B3" w:rsidRPr="0032192D">
        <w:rPr>
          <w:lang w:val="lt-LT"/>
        </w:rPr>
        <w:t> </w:t>
      </w:r>
      <w:r w:rsidRPr="0032192D">
        <w:rPr>
          <w:rFonts w:eastAsia="TimesNewRoman"/>
          <w:snapToGrid/>
          <w:szCs w:val="22"/>
          <w:lang w:val="lt-LT"/>
        </w:rPr>
        <w:t>val</w:t>
      </w:r>
      <w:r w:rsidR="002029B3" w:rsidRPr="0032192D">
        <w:rPr>
          <w:rFonts w:eastAsia="TimesNewRoman"/>
          <w:snapToGrid/>
          <w:szCs w:val="22"/>
          <w:lang w:val="lt-LT"/>
        </w:rPr>
        <w:t>andos</w:t>
      </w:r>
      <w:r w:rsidRPr="0032192D">
        <w:rPr>
          <w:rFonts w:eastAsia="TimesNewRoman"/>
          <w:snapToGrid/>
          <w:szCs w:val="22"/>
          <w:lang w:val="lt-LT"/>
        </w:rPr>
        <w:t xml:space="preserve"> iki 53,0</w:t>
      </w:r>
      <w:r w:rsidR="002029B3" w:rsidRPr="0032192D">
        <w:rPr>
          <w:rFonts w:eastAsia="TimesNewRoman"/>
          <w:snapToGrid/>
          <w:szCs w:val="22"/>
          <w:lang w:val="lt-LT"/>
        </w:rPr>
        <w:t> valand</w:t>
      </w:r>
      <w:r w:rsidR="003235FC" w:rsidRPr="0032192D">
        <w:rPr>
          <w:rFonts w:eastAsia="TimesNewRoman"/>
          <w:snapToGrid/>
          <w:szCs w:val="22"/>
          <w:lang w:val="lt-LT"/>
        </w:rPr>
        <w:t>ų</w:t>
      </w:r>
      <w:r w:rsidR="002029B3" w:rsidRPr="0032192D">
        <w:rPr>
          <w:rFonts w:eastAsia="TimesNewRoman"/>
          <w:snapToGrid/>
          <w:szCs w:val="22"/>
          <w:lang w:val="lt-LT"/>
        </w:rPr>
        <w:t>,</w:t>
      </w:r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r w:rsidR="002029B3" w:rsidRPr="0032192D">
        <w:rPr>
          <w:rFonts w:eastAsia="TimesNewRoman"/>
          <w:snapToGrid/>
          <w:szCs w:val="22"/>
          <w:lang w:val="lt-LT"/>
        </w:rPr>
        <w:t xml:space="preserve">− </w:t>
      </w:r>
      <w:r w:rsidRPr="0032192D">
        <w:rPr>
          <w:rFonts w:eastAsia="TimesNewRoman"/>
          <w:snapToGrid/>
          <w:szCs w:val="22"/>
          <w:lang w:val="lt-LT"/>
        </w:rPr>
        <w:t>nuo 12,8</w:t>
      </w:r>
      <w:r w:rsidR="002029B3" w:rsidRPr="0032192D">
        <w:rPr>
          <w:rFonts w:eastAsia="TimesNewRoman"/>
          <w:snapToGrid/>
          <w:szCs w:val="22"/>
          <w:lang w:val="lt-LT"/>
        </w:rPr>
        <w:t xml:space="preserve"> valandos </w:t>
      </w:r>
      <w:r w:rsidRPr="0032192D">
        <w:rPr>
          <w:rFonts w:eastAsia="TimesNewRoman"/>
          <w:snapToGrid/>
          <w:szCs w:val="22"/>
          <w:lang w:val="lt-LT"/>
        </w:rPr>
        <w:t>iki 14,0</w:t>
      </w:r>
      <w:r w:rsidR="002029B3" w:rsidRPr="0032192D">
        <w:rPr>
          <w:rFonts w:eastAsia="TimesNewRoman"/>
          <w:snapToGrid/>
          <w:szCs w:val="22"/>
          <w:lang w:val="lt-LT"/>
        </w:rPr>
        <w:t> valand</w:t>
      </w:r>
      <w:r w:rsidR="003235FC" w:rsidRPr="0032192D">
        <w:rPr>
          <w:rFonts w:eastAsia="TimesNewRoman"/>
          <w:snapToGrid/>
          <w:szCs w:val="22"/>
          <w:lang w:val="lt-LT"/>
        </w:rPr>
        <w:t>ų</w:t>
      </w:r>
      <w:r w:rsidRPr="0032192D">
        <w:rPr>
          <w:rFonts w:eastAsia="TimesNewRoman"/>
          <w:snapToGrid/>
          <w:szCs w:val="22"/>
          <w:lang w:val="lt-LT"/>
        </w:rPr>
        <w:t>.</w:t>
      </w:r>
    </w:p>
    <w:p w14:paraId="3F1BCBBA" w14:textId="77777777" w:rsidR="00424070" w:rsidRPr="0032192D" w:rsidRDefault="003235FC" w:rsidP="004240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Kartotinės</w:t>
      </w:r>
      <w:r w:rsidR="00424070" w:rsidRPr="0032192D">
        <w:rPr>
          <w:rFonts w:eastAsia="TimesNewRoman"/>
          <w:snapToGrid/>
          <w:szCs w:val="22"/>
          <w:lang w:val="lt-LT"/>
        </w:rPr>
        <w:t xml:space="preserve"> </w:t>
      </w:r>
      <w:r w:rsidR="002029B3" w:rsidRPr="0032192D">
        <w:rPr>
          <w:rFonts w:eastAsia="TimesNewRoman"/>
          <w:snapToGrid/>
          <w:szCs w:val="22"/>
          <w:lang w:val="lt-LT"/>
        </w:rPr>
        <w:t xml:space="preserve">kartą per parą geriamos 240 mg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verapamilio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dozės, vartojamos kartu su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sukcinatu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hidrochloridu,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C</w:t>
      </w:r>
      <w:r w:rsidR="00424070" w:rsidRPr="0032192D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</w:t>
      </w:r>
      <w:r w:rsidR="002029B3" w:rsidRPr="0032192D">
        <w:rPr>
          <w:rFonts w:eastAsia="TimesNewRoman"/>
          <w:snapToGrid/>
          <w:szCs w:val="22"/>
          <w:lang w:val="lt-LT"/>
        </w:rPr>
        <w:t xml:space="preserve">padidino </w:t>
      </w:r>
      <w:r w:rsidR="00424070" w:rsidRPr="0032192D">
        <w:rPr>
          <w:rFonts w:eastAsia="TimesNewRoman"/>
          <w:snapToGrid/>
          <w:szCs w:val="22"/>
          <w:lang w:val="lt-LT"/>
        </w:rPr>
        <w:t>60</w:t>
      </w:r>
      <w:r w:rsidR="002029B3" w:rsidRPr="0032192D">
        <w:rPr>
          <w:rFonts w:eastAsia="TimesNewRoman"/>
          <w:snapToGrid/>
          <w:szCs w:val="22"/>
          <w:lang w:val="lt-LT"/>
        </w:rPr>
        <w:t> </w:t>
      </w:r>
      <w:r w:rsidR="00424070" w:rsidRPr="0032192D">
        <w:rPr>
          <w:rFonts w:eastAsia="TimesNewRoman"/>
          <w:snapToGrid/>
          <w:szCs w:val="22"/>
          <w:lang w:val="lt-LT"/>
        </w:rPr>
        <w:t xml:space="preserve">% ir AUC </w:t>
      </w:r>
      <w:r w:rsidR="002029B3" w:rsidRPr="0032192D">
        <w:rPr>
          <w:rFonts w:eastAsia="TimesNewRoman"/>
          <w:snapToGrid/>
          <w:szCs w:val="22"/>
          <w:lang w:val="lt-LT"/>
        </w:rPr>
        <w:t xml:space="preserve">− </w:t>
      </w:r>
      <w:r w:rsidR="00424070" w:rsidRPr="0032192D">
        <w:rPr>
          <w:rFonts w:eastAsia="TimesNewRoman"/>
          <w:snapToGrid/>
          <w:szCs w:val="22"/>
          <w:lang w:val="lt-LT"/>
        </w:rPr>
        <w:t>63</w:t>
      </w:r>
      <w:r w:rsidR="002029B3" w:rsidRPr="0032192D">
        <w:rPr>
          <w:rFonts w:eastAsia="TimesNewRoman"/>
          <w:snapToGrid/>
          <w:szCs w:val="22"/>
          <w:lang w:val="lt-LT"/>
        </w:rPr>
        <w:t> </w:t>
      </w:r>
      <w:r w:rsidR="00424070" w:rsidRPr="0032192D">
        <w:rPr>
          <w:rFonts w:eastAsia="TimesNewRoman"/>
          <w:snapToGrid/>
          <w:szCs w:val="22"/>
          <w:lang w:val="lt-LT"/>
        </w:rPr>
        <w:t xml:space="preserve">%, o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C</w:t>
      </w:r>
      <w:r w:rsidR="00424070" w:rsidRPr="0032192D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padid</w:t>
      </w:r>
      <w:r w:rsidR="00C03D0C" w:rsidRPr="0032192D">
        <w:rPr>
          <w:rFonts w:eastAsia="TimesNewRoman"/>
          <w:snapToGrid/>
          <w:szCs w:val="22"/>
          <w:lang w:val="lt-LT"/>
        </w:rPr>
        <w:t>ino</w:t>
      </w:r>
      <w:r w:rsidR="00424070" w:rsidRPr="0032192D">
        <w:rPr>
          <w:rFonts w:eastAsia="TimesNewRoman"/>
          <w:snapToGrid/>
          <w:szCs w:val="22"/>
          <w:lang w:val="lt-LT"/>
        </w:rPr>
        <w:t xml:space="preserve"> 115</w:t>
      </w:r>
      <w:r w:rsidR="00C03D0C" w:rsidRPr="0032192D">
        <w:rPr>
          <w:rFonts w:eastAsia="TimesNewRoman"/>
          <w:snapToGrid/>
          <w:szCs w:val="22"/>
          <w:lang w:val="lt-LT"/>
        </w:rPr>
        <w:t xml:space="preserve"> ir AUC − </w:t>
      </w:r>
      <w:r w:rsidR="00424070" w:rsidRPr="0032192D">
        <w:rPr>
          <w:rFonts w:eastAsia="TimesNewRoman"/>
          <w:snapToGrid/>
          <w:szCs w:val="22"/>
          <w:lang w:val="lt-LT"/>
        </w:rPr>
        <w:t>122</w:t>
      </w:r>
      <w:r w:rsidR="00C03D0C" w:rsidRPr="0032192D">
        <w:rPr>
          <w:rFonts w:eastAsia="TimesNewRoman"/>
          <w:snapToGrid/>
          <w:szCs w:val="22"/>
          <w:lang w:val="lt-LT"/>
        </w:rPr>
        <w:t> </w:t>
      </w:r>
      <w:r w:rsidR="00424070" w:rsidRPr="0032192D">
        <w:rPr>
          <w:rFonts w:eastAsia="TimesNewRoman"/>
          <w:snapToGrid/>
          <w:szCs w:val="22"/>
          <w:lang w:val="lt-LT"/>
        </w:rPr>
        <w:t xml:space="preserve">%. </w:t>
      </w:r>
      <w:proofErr w:type="spellStart"/>
      <w:r w:rsidR="00424070" w:rsidRPr="0032192D">
        <w:rPr>
          <w:rFonts w:eastAsia="TimesNewRoman"/>
          <w:snapToGrid/>
          <w:szCs w:val="22"/>
          <w:lang w:val="lt-LT"/>
        </w:rPr>
        <w:t>C</w:t>
      </w:r>
      <w:r w:rsidR="00424070" w:rsidRPr="0032192D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="00424070" w:rsidRPr="0032192D">
        <w:rPr>
          <w:rFonts w:eastAsia="TimesNewRoman"/>
          <w:snapToGrid/>
          <w:szCs w:val="22"/>
          <w:lang w:val="lt-LT"/>
        </w:rPr>
        <w:t xml:space="preserve"> ir AUC pokyčiai nelaikomi kliniškai reikšmingais.</w:t>
      </w:r>
    </w:p>
    <w:p w14:paraId="28636D06" w14:textId="77777777" w:rsidR="00424070" w:rsidRPr="0032192D" w:rsidRDefault="00424070" w:rsidP="004240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095A397A" w14:textId="77777777" w:rsidR="0067053C" w:rsidRPr="0032192D" w:rsidRDefault="0067053C" w:rsidP="0067053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3</w:t>
      </w:r>
      <w:r w:rsidR="005579D2" w:rsidRPr="0032192D">
        <w:rPr>
          <w:rFonts w:eastAsia="TimesNewRoman"/>
          <w:snapToGrid/>
          <w:szCs w:val="22"/>
          <w:lang w:val="lt-LT"/>
        </w:rPr>
        <w:t> </w:t>
      </w:r>
      <w:r w:rsidRPr="0032192D">
        <w:rPr>
          <w:rFonts w:eastAsia="TimesNewRoman"/>
          <w:snapToGrid/>
          <w:szCs w:val="22"/>
          <w:lang w:val="lt-LT"/>
        </w:rPr>
        <w:t>fazės duomenų populiaci</w:t>
      </w:r>
      <w:r w:rsidR="003235FC" w:rsidRPr="0032192D">
        <w:rPr>
          <w:rFonts w:eastAsia="TimesNewRoman"/>
          <w:snapToGrid/>
          <w:szCs w:val="22"/>
          <w:lang w:val="lt-LT"/>
        </w:rPr>
        <w:t>jos</w:t>
      </w:r>
      <w:r w:rsidRPr="0032192D">
        <w:rPr>
          <w:rFonts w:eastAsia="TimesNewRoman"/>
          <w:snapToGrid/>
          <w:szCs w:val="22"/>
          <w:lang w:val="lt-LT"/>
        </w:rPr>
        <w:t xml:space="preserve"> farmakokineti</w:t>
      </w:r>
      <w:r w:rsidR="003235FC" w:rsidRPr="0032192D">
        <w:rPr>
          <w:rFonts w:eastAsia="TimesNewRoman"/>
          <w:snapToGrid/>
          <w:szCs w:val="22"/>
          <w:lang w:val="lt-LT"/>
        </w:rPr>
        <w:t>kos</w:t>
      </w:r>
      <w:r w:rsidRPr="0032192D">
        <w:rPr>
          <w:rFonts w:eastAsia="TimesNewRoman"/>
          <w:snapToGrid/>
          <w:szCs w:val="22"/>
          <w:lang w:val="lt-LT"/>
        </w:rPr>
        <w:t xml:space="preserve"> analizė parodė, kad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farmakokinetikos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r w:rsidR="005579D2" w:rsidRPr="0032192D">
        <w:rPr>
          <w:rFonts w:eastAsia="TimesNewRoman"/>
          <w:snapToGrid/>
          <w:szCs w:val="22"/>
          <w:lang w:val="lt-LT"/>
        </w:rPr>
        <w:t>parametrų svyravimai</w:t>
      </w:r>
      <w:r w:rsidRPr="0032192D">
        <w:rPr>
          <w:rFonts w:eastAsia="TimesNewRoman"/>
          <w:snapToGrid/>
          <w:szCs w:val="22"/>
          <w:lang w:val="lt-LT"/>
        </w:rPr>
        <w:t xml:space="preserve"> tarp tiriamųjų buvo susij</w:t>
      </w:r>
      <w:r w:rsidR="005579D2" w:rsidRPr="0032192D">
        <w:rPr>
          <w:rFonts w:eastAsia="TimesNewRoman"/>
          <w:snapToGrid/>
          <w:szCs w:val="22"/>
          <w:lang w:val="lt-LT"/>
        </w:rPr>
        <w:t>ę</w:t>
      </w:r>
      <w:r w:rsidRPr="0032192D">
        <w:rPr>
          <w:rFonts w:eastAsia="TimesNewRoman"/>
          <w:snapToGrid/>
          <w:szCs w:val="22"/>
          <w:lang w:val="lt-LT"/>
        </w:rPr>
        <w:t xml:space="preserve"> su amžiaus, ūgio ir α1 rūgš</w:t>
      </w:r>
      <w:r w:rsidR="00D73633" w:rsidRPr="0032192D">
        <w:rPr>
          <w:rFonts w:eastAsia="TimesNewRoman"/>
          <w:snapToGrid/>
          <w:szCs w:val="22"/>
          <w:lang w:val="lt-LT"/>
        </w:rPr>
        <w:t>čiojo</w:t>
      </w:r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glikoproteino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koncentracijos </w:t>
      </w:r>
      <w:r w:rsidR="005579D2" w:rsidRPr="0032192D">
        <w:rPr>
          <w:rFonts w:eastAsia="TimesNewRoman"/>
          <w:snapToGrid/>
          <w:szCs w:val="22"/>
          <w:lang w:val="lt-LT"/>
        </w:rPr>
        <w:t xml:space="preserve">kraujo </w:t>
      </w:r>
      <w:r w:rsidRPr="0032192D">
        <w:rPr>
          <w:rFonts w:eastAsia="TimesNewRoman"/>
          <w:snapToGrid/>
          <w:szCs w:val="22"/>
          <w:lang w:val="lt-LT"/>
        </w:rPr>
        <w:t>plazmoje skirtumais. Amžiaus ir α1 rūgš</w:t>
      </w:r>
      <w:r w:rsidR="00D73633" w:rsidRPr="0032192D">
        <w:rPr>
          <w:rFonts w:eastAsia="TimesNewRoman"/>
          <w:snapToGrid/>
          <w:szCs w:val="22"/>
          <w:lang w:val="lt-LT"/>
        </w:rPr>
        <w:t>čiojo</w:t>
      </w:r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glikoproteino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koncentracijos didėjimas buvo susijęs su AUC didėjimu, o ūgio didėjimas </w:t>
      </w:r>
      <w:r w:rsidR="00FB2E9A" w:rsidRPr="0032192D">
        <w:rPr>
          <w:rFonts w:eastAsia="TimesNewRoman"/>
          <w:snapToGrid/>
          <w:szCs w:val="22"/>
          <w:lang w:val="lt-LT"/>
        </w:rPr>
        <w:t>−</w:t>
      </w:r>
      <w:r w:rsidRPr="0032192D">
        <w:rPr>
          <w:rFonts w:eastAsia="TimesNewRoman"/>
          <w:snapToGrid/>
          <w:szCs w:val="22"/>
          <w:lang w:val="lt-LT"/>
        </w:rPr>
        <w:t xml:space="preserve"> su AUC mažėjimu. Tie patys veiksniai lėmė panašius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farmakokinetikos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pokyčius. Be to, gama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glutamiltranspeptidazės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r w:rsidR="00FB2E9A" w:rsidRPr="0032192D">
        <w:rPr>
          <w:rFonts w:eastAsia="TimesNewRoman"/>
          <w:snapToGrid/>
          <w:szCs w:val="22"/>
          <w:lang w:val="lt-LT"/>
        </w:rPr>
        <w:t xml:space="preserve">aktyvumo </w:t>
      </w:r>
      <w:r w:rsidRPr="0032192D">
        <w:rPr>
          <w:rFonts w:eastAsia="TimesNewRoman"/>
          <w:snapToGrid/>
          <w:szCs w:val="22"/>
          <w:lang w:val="lt-LT"/>
        </w:rPr>
        <w:t>padidėjimas buvo susijęs su didesn</w:t>
      </w:r>
      <w:r w:rsidR="00FB2E9A" w:rsidRPr="0032192D">
        <w:rPr>
          <w:rFonts w:eastAsia="TimesNewRoman"/>
          <w:snapToGrid/>
          <w:szCs w:val="22"/>
          <w:lang w:val="lt-LT"/>
        </w:rPr>
        <w:t>iais</w:t>
      </w:r>
      <w:r w:rsidRPr="0032192D">
        <w:rPr>
          <w:rFonts w:eastAsia="TimesNewRoman"/>
          <w:snapToGrid/>
          <w:szCs w:val="22"/>
          <w:lang w:val="lt-LT"/>
        </w:rPr>
        <w:t xml:space="preserve"> AUC </w:t>
      </w:r>
      <w:r w:rsidR="00FB2E9A" w:rsidRPr="0032192D">
        <w:rPr>
          <w:rFonts w:eastAsia="TimesNewRoman"/>
          <w:snapToGrid/>
          <w:szCs w:val="22"/>
          <w:lang w:val="lt-LT"/>
        </w:rPr>
        <w:t>rodmenimis</w:t>
      </w:r>
      <w:r w:rsidRPr="0032192D">
        <w:rPr>
          <w:rFonts w:eastAsia="TimesNewRoman"/>
          <w:snapToGrid/>
          <w:szCs w:val="22"/>
          <w:lang w:val="lt-LT"/>
        </w:rPr>
        <w:t>. Šie AUC pokyčiai nelaikomi kliniškai svarbiais.</w:t>
      </w:r>
    </w:p>
    <w:p w14:paraId="655BBCEF" w14:textId="77777777" w:rsidR="0067053C" w:rsidRPr="0032192D" w:rsidRDefault="0067053C" w:rsidP="0067053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0B6BFED5" w14:textId="77777777" w:rsidR="00424070" w:rsidRPr="0032192D" w:rsidRDefault="0067053C" w:rsidP="0067053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Informacija apie atskiras veikliąsias medžiagas, </w:t>
      </w:r>
      <w:r w:rsidR="00FB2E9A" w:rsidRPr="0032192D">
        <w:rPr>
          <w:rFonts w:eastAsia="TimesNewRoman"/>
          <w:snapToGrid/>
          <w:szCs w:val="22"/>
          <w:lang w:val="lt-LT"/>
        </w:rPr>
        <w:t>vartojamas</w:t>
      </w:r>
      <w:r w:rsidRPr="0032192D">
        <w:rPr>
          <w:rFonts w:eastAsia="TimesNewRoman"/>
          <w:snapToGrid/>
          <w:szCs w:val="22"/>
          <w:lang w:val="lt-LT"/>
        </w:rPr>
        <w:t xml:space="preserve"> kaip </w:t>
      </w:r>
      <w:r w:rsidR="00FB2E9A" w:rsidRPr="0032192D">
        <w:rPr>
          <w:rFonts w:eastAsia="TimesNewRoman"/>
          <w:snapToGrid/>
          <w:szCs w:val="22"/>
          <w:lang w:val="lt-LT"/>
        </w:rPr>
        <w:t>atskiri vaistiniai preparatai</w:t>
      </w:r>
      <w:r w:rsidRPr="0032192D">
        <w:rPr>
          <w:rFonts w:eastAsia="TimesNewRoman"/>
          <w:snapToGrid/>
          <w:szCs w:val="22"/>
          <w:lang w:val="lt-LT"/>
        </w:rPr>
        <w:t xml:space="preserve">, papildo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hidrochlorido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farmakokinetines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savybes</w:t>
      </w:r>
      <w:r w:rsidR="00FB2E9A" w:rsidRPr="0032192D">
        <w:rPr>
          <w:rFonts w:eastAsia="TimesNewRoman"/>
          <w:snapToGrid/>
          <w:szCs w:val="22"/>
          <w:lang w:val="lt-LT"/>
        </w:rPr>
        <w:t>.</w:t>
      </w:r>
    </w:p>
    <w:p w14:paraId="491BFB55" w14:textId="77777777" w:rsidR="00424070" w:rsidRPr="0032192D" w:rsidRDefault="00424070" w:rsidP="004240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5185D06F" w14:textId="77777777" w:rsidR="00B250B9" w:rsidRPr="0032192D" w:rsidRDefault="00B250B9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proofErr w:type="spellStart"/>
      <w:r w:rsidRPr="0032192D">
        <w:rPr>
          <w:rFonts w:eastAsia="TimesNewRoman"/>
          <w:snapToGrid/>
          <w:szCs w:val="22"/>
          <w:u w:val="single"/>
          <w:lang w:val="lt-LT"/>
        </w:rPr>
        <w:t>Solifenacinas</w:t>
      </w:r>
      <w:proofErr w:type="spellEnd"/>
    </w:p>
    <w:p w14:paraId="159A0306" w14:textId="77777777" w:rsidR="003034CB" w:rsidRPr="00DD7CAE" w:rsidRDefault="003034CB" w:rsidP="003034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r w:rsidRPr="00DD7CAE">
        <w:rPr>
          <w:rFonts w:eastAsia="TimesNewRoman"/>
          <w:snapToGrid/>
          <w:szCs w:val="22"/>
          <w:u w:val="single"/>
          <w:lang w:val="lt-LT"/>
        </w:rPr>
        <w:t>Absorbcija</w:t>
      </w:r>
    </w:p>
    <w:p w14:paraId="5072C8B5" w14:textId="77777777" w:rsidR="00B250B9" w:rsidRPr="0032192D" w:rsidRDefault="003034CB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Vartojant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</w:t>
      </w:r>
      <w:r w:rsidR="00B250B9" w:rsidRPr="0032192D">
        <w:rPr>
          <w:rFonts w:eastAsia="TimesNewRoman"/>
          <w:snapToGrid/>
          <w:szCs w:val="22"/>
          <w:lang w:val="lt-LT"/>
        </w:rPr>
        <w:t>olifenacino</w:t>
      </w:r>
      <w:proofErr w:type="spellEnd"/>
      <w:r w:rsidR="00B250B9" w:rsidRPr="0032192D">
        <w:rPr>
          <w:rFonts w:eastAsia="TimesNewRoman"/>
          <w:snapToGrid/>
          <w:szCs w:val="22"/>
          <w:lang w:val="lt-LT"/>
        </w:rPr>
        <w:t xml:space="preserve"> tablečių</w:t>
      </w:r>
      <w:r w:rsidRPr="0032192D">
        <w:rPr>
          <w:rFonts w:eastAsia="TimesNewRoman"/>
          <w:snapToGrid/>
          <w:szCs w:val="22"/>
          <w:lang w:val="lt-LT"/>
        </w:rPr>
        <w:t>,</w:t>
      </w:r>
      <w:r w:rsidR="00B250B9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B250B9" w:rsidRPr="0032192D">
        <w:rPr>
          <w:rFonts w:eastAsia="TimesNewRoman"/>
          <w:snapToGrid/>
          <w:szCs w:val="22"/>
          <w:lang w:val="lt-LT"/>
        </w:rPr>
        <w:t>t</w:t>
      </w:r>
      <w:r w:rsidR="00B250B9" w:rsidRPr="0032192D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="00B250B9" w:rsidRPr="0032192D">
        <w:rPr>
          <w:rFonts w:eastAsia="TimesNewRoman"/>
          <w:snapToGrid/>
          <w:szCs w:val="22"/>
          <w:lang w:val="lt-LT"/>
        </w:rPr>
        <w:t xml:space="preserve"> nepriklauso nuo dozės ir</w:t>
      </w:r>
      <w:r w:rsidRPr="0032192D">
        <w:rPr>
          <w:rFonts w:eastAsia="TimesNewRoman"/>
          <w:snapToGrid/>
          <w:szCs w:val="22"/>
          <w:lang w:val="lt-LT"/>
        </w:rPr>
        <w:t xml:space="preserve"> po </w:t>
      </w:r>
      <w:r w:rsidR="006A06D8" w:rsidRPr="0032192D">
        <w:rPr>
          <w:rFonts w:eastAsia="TimesNewRoman"/>
          <w:snapToGrid/>
          <w:szCs w:val="22"/>
          <w:lang w:val="lt-LT"/>
        </w:rPr>
        <w:t>kartotinių</w:t>
      </w:r>
      <w:r w:rsidRPr="0032192D">
        <w:rPr>
          <w:rFonts w:eastAsia="TimesNewRoman"/>
          <w:snapToGrid/>
          <w:szCs w:val="22"/>
          <w:lang w:val="lt-LT"/>
        </w:rPr>
        <w:t xml:space="preserve"> dozių pavartojimo būna </w:t>
      </w:r>
      <w:r w:rsidR="00B250B9" w:rsidRPr="0032192D">
        <w:rPr>
          <w:rFonts w:eastAsia="TimesNewRoman"/>
          <w:snapToGrid/>
          <w:szCs w:val="22"/>
          <w:lang w:val="lt-LT"/>
        </w:rPr>
        <w:t>3</w:t>
      </w:r>
      <w:r w:rsidRPr="0032192D">
        <w:rPr>
          <w:rFonts w:eastAsia="TimesNewRoman"/>
          <w:snapToGrid/>
          <w:szCs w:val="22"/>
          <w:lang w:val="lt-LT"/>
        </w:rPr>
        <w:noBreakHyphen/>
      </w:r>
      <w:r w:rsidR="00B250B9" w:rsidRPr="0032192D">
        <w:rPr>
          <w:rFonts w:eastAsia="TimesNewRoman"/>
          <w:snapToGrid/>
          <w:szCs w:val="22"/>
          <w:lang w:val="lt-LT"/>
        </w:rPr>
        <w:t>8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B250B9" w:rsidRPr="0032192D">
        <w:rPr>
          <w:rFonts w:eastAsia="TimesNewRoman"/>
          <w:snapToGrid/>
          <w:szCs w:val="22"/>
          <w:lang w:val="lt-LT"/>
        </w:rPr>
        <w:t xml:space="preserve">valandos. </w:t>
      </w:r>
      <w:proofErr w:type="spellStart"/>
      <w:r w:rsidR="00B250B9" w:rsidRPr="0032192D">
        <w:rPr>
          <w:rFonts w:eastAsia="TimesNewRoman"/>
          <w:snapToGrid/>
          <w:szCs w:val="22"/>
          <w:lang w:val="lt-LT"/>
        </w:rPr>
        <w:t>C</w:t>
      </w:r>
      <w:r w:rsidR="00B250B9" w:rsidRPr="0032192D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="00B250B9" w:rsidRPr="0032192D">
        <w:rPr>
          <w:rFonts w:eastAsia="TimesNewRoman"/>
          <w:snapToGrid/>
          <w:szCs w:val="22"/>
          <w:lang w:val="lt-LT"/>
        </w:rPr>
        <w:t xml:space="preserve"> ir AUC didėja proporcingai dozei nuo 5</w:t>
      </w:r>
      <w:r w:rsidRPr="0032192D">
        <w:rPr>
          <w:rFonts w:eastAsia="TimesNewRoman"/>
          <w:snapToGrid/>
          <w:szCs w:val="22"/>
          <w:lang w:val="lt-LT"/>
        </w:rPr>
        <w:t> mg</w:t>
      </w:r>
      <w:r w:rsidR="00B250B9" w:rsidRPr="0032192D">
        <w:rPr>
          <w:rFonts w:eastAsia="TimesNewRoman"/>
          <w:snapToGrid/>
          <w:szCs w:val="22"/>
          <w:lang w:val="lt-LT"/>
        </w:rPr>
        <w:t xml:space="preserve"> iki 40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B250B9" w:rsidRPr="0032192D">
        <w:rPr>
          <w:rFonts w:eastAsia="TimesNewRoman"/>
          <w:snapToGrid/>
          <w:szCs w:val="22"/>
          <w:lang w:val="lt-LT"/>
        </w:rPr>
        <w:t>mg. Absoliutus biologinis prieinamumas yra maždaug 90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B250B9" w:rsidRPr="0032192D">
        <w:rPr>
          <w:rFonts w:eastAsia="TimesNewRoman"/>
          <w:snapToGrid/>
          <w:szCs w:val="22"/>
          <w:lang w:val="lt-LT"/>
        </w:rPr>
        <w:t>%.</w:t>
      </w:r>
    </w:p>
    <w:p w14:paraId="5E8AA530" w14:textId="77777777" w:rsidR="00B250B9" w:rsidRPr="0032192D" w:rsidRDefault="00B250B9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07F00FB0" w14:textId="77777777" w:rsidR="00B250B9" w:rsidRPr="00DD7CAE" w:rsidRDefault="00B250B9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r w:rsidRPr="00DD7CAE">
        <w:rPr>
          <w:rFonts w:eastAsia="TimesNewRoman"/>
          <w:snapToGrid/>
          <w:szCs w:val="22"/>
          <w:u w:val="single"/>
          <w:lang w:val="lt-LT"/>
        </w:rPr>
        <w:t>Pasiskirstymas</w:t>
      </w:r>
    </w:p>
    <w:p w14:paraId="1F967FF9" w14:textId="77777777" w:rsidR="00B250B9" w:rsidRPr="0032192D" w:rsidRDefault="00B250B9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Į veną sulei</w:t>
      </w:r>
      <w:r w:rsidR="00AB769B" w:rsidRPr="0032192D">
        <w:rPr>
          <w:rFonts w:eastAsia="TimesNewRoman"/>
          <w:snapToGrid/>
          <w:szCs w:val="22"/>
          <w:lang w:val="lt-LT"/>
        </w:rPr>
        <w:t>sto</w:t>
      </w:r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="00AB769B" w:rsidRPr="0032192D">
        <w:rPr>
          <w:rFonts w:eastAsia="TimesNewRoman"/>
          <w:snapToGrid/>
          <w:szCs w:val="22"/>
          <w:lang w:val="lt-LT"/>
        </w:rPr>
        <w:t xml:space="preserve"> tariamasis</w:t>
      </w:r>
      <w:r w:rsidRPr="0032192D">
        <w:rPr>
          <w:rFonts w:eastAsia="TimesNewRoman"/>
          <w:snapToGrid/>
          <w:szCs w:val="22"/>
          <w:lang w:val="lt-LT"/>
        </w:rPr>
        <w:t xml:space="preserve"> pasiskirstymo tūris yra maždaug 600</w:t>
      </w:r>
      <w:r w:rsidR="00AB769B" w:rsidRPr="0032192D">
        <w:rPr>
          <w:rFonts w:eastAsia="TimesNewRoman"/>
          <w:snapToGrid/>
          <w:szCs w:val="22"/>
          <w:lang w:val="lt-LT"/>
        </w:rPr>
        <w:t> l</w:t>
      </w:r>
      <w:r w:rsidRPr="0032192D">
        <w:rPr>
          <w:rFonts w:eastAsia="TimesNewRoman"/>
          <w:snapToGrid/>
          <w:szCs w:val="22"/>
          <w:lang w:val="lt-LT"/>
        </w:rPr>
        <w:t>. Maždaug 98</w:t>
      </w:r>
      <w:r w:rsidR="00AB769B" w:rsidRPr="0032192D">
        <w:rPr>
          <w:rFonts w:eastAsia="TimesNewRoman"/>
          <w:snapToGrid/>
          <w:szCs w:val="22"/>
          <w:lang w:val="lt-LT"/>
        </w:rPr>
        <w:t> </w:t>
      </w:r>
      <w:r w:rsidRPr="0032192D">
        <w:rPr>
          <w:rFonts w:eastAsia="TimesNewRoman"/>
          <w:snapToGrid/>
          <w:szCs w:val="22"/>
          <w:lang w:val="lt-LT"/>
        </w:rPr>
        <w:t xml:space="preserve">%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r w:rsidR="006A06D8" w:rsidRPr="0032192D">
        <w:rPr>
          <w:rFonts w:eastAsia="TimesNewRoman"/>
          <w:snapToGrid/>
          <w:szCs w:val="22"/>
          <w:lang w:val="lt-LT"/>
        </w:rPr>
        <w:t>susijungia</w:t>
      </w:r>
      <w:r w:rsidRPr="0032192D">
        <w:rPr>
          <w:rFonts w:eastAsia="TimesNewRoman"/>
          <w:snapToGrid/>
          <w:szCs w:val="22"/>
          <w:lang w:val="lt-LT"/>
        </w:rPr>
        <w:t xml:space="preserve"> su </w:t>
      </w:r>
      <w:r w:rsidR="00AB769B" w:rsidRPr="0032192D">
        <w:rPr>
          <w:rFonts w:eastAsia="TimesNewRoman"/>
          <w:snapToGrid/>
          <w:szCs w:val="22"/>
          <w:lang w:val="lt-LT"/>
        </w:rPr>
        <w:t xml:space="preserve">kraujo </w:t>
      </w:r>
      <w:r w:rsidRPr="0032192D">
        <w:rPr>
          <w:rFonts w:eastAsia="TimesNewRoman"/>
          <w:snapToGrid/>
          <w:szCs w:val="22"/>
          <w:lang w:val="lt-LT"/>
        </w:rPr>
        <w:t>plazmos baltymais, daugiausia su α1 rūgš</w:t>
      </w:r>
      <w:r w:rsidR="00AB769B" w:rsidRPr="0032192D">
        <w:rPr>
          <w:rFonts w:eastAsia="TimesNewRoman"/>
          <w:snapToGrid/>
          <w:szCs w:val="22"/>
          <w:lang w:val="lt-LT"/>
        </w:rPr>
        <w:t>čiuoju</w:t>
      </w:r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glikoproteinu</w:t>
      </w:r>
      <w:proofErr w:type="spellEnd"/>
      <w:r w:rsidRPr="0032192D">
        <w:rPr>
          <w:rFonts w:eastAsia="TimesNewRoman"/>
          <w:snapToGrid/>
          <w:szCs w:val="22"/>
          <w:lang w:val="lt-LT"/>
        </w:rPr>
        <w:t>.</w:t>
      </w:r>
    </w:p>
    <w:p w14:paraId="6BB82D4D" w14:textId="77777777" w:rsidR="00B250B9" w:rsidRPr="0032192D" w:rsidRDefault="00B250B9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13AEC582" w14:textId="77777777" w:rsidR="00B250B9" w:rsidRPr="00DD7CAE" w:rsidRDefault="00B250B9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proofErr w:type="spellStart"/>
      <w:r w:rsidRPr="00DD7CAE">
        <w:rPr>
          <w:rFonts w:eastAsia="TimesNewRoman"/>
          <w:snapToGrid/>
          <w:szCs w:val="22"/>
          <w:u w:val="single"/>
          <w:lang w:val="lt-LT"/>
        </w:rPr>
        <w:t>Biotransformacija</w:t>
      </w:r>
      <w:proofErr w:type="spellEnd"/>
    </w:p>
    <w:p w14:paraId="32DBBA4F" w14:textId="77777777" w:rsidR="00B250B9" w:rsidRPr="0032192D" w:rsidRDefault="00B250B9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32192D">
        <w:rPr>
          <w:rFonts w:eastAsia="TimesNewRoman"/>
          <w:snapToGrid/>
          <w:szCs w:val="22"/>
          <w:lang w:val="lt-LT"/>
        </w:rPr>
        <w:t>Solifenacin</w:t>
      </w:r>
      <w:r w:rsidR="00AB769B" w:rsidRPr="0032192D">
        <w:rPr>
          <w:rFonts w:eastAsia="TimesNewRoman"/>
          <w:snapToGrid/>
          <w:szCs w:val="22"/>
          <w:lang w:val="lt-LT"/>
        </w:rPr>
        <w:t>ui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r w:rsidR="00AB769B" w:rsidRPr="0032192D">
        <w:rPr>
          <w:rFonts w:eastAsia="TimesNewRoman"/>
          <w:snapToGrid/>
          <w:szCs w:val="22"/>
          <w:lang w:val="lt-LT"/>
        </w:rPr>
        <w:t xml:space="preserve">būdingas nedidelis pirmojo prasiskverbimo pro kepenis poveikis, jis </w:t>
      </w:r>
      <w:r w:rsidRPr="0032192D">
        <w:rPr>
          <w:rFonts w:eastAsia="TimesNewRoman"/>
          <w:snapToGrid/>
          <w:szCs w:val="22"/>
          <w:lang w:val="lt-LT"/>
        </w:rPr>
        <w:t xml:space="preserve">metabolizuojamas lėtai.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Solifenacinas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r w:rsidR="00123753" w:rsidRPr="0032192D">
        <w:rPr>
          <w:rFonts w:eastAsia="TimesNewRoman"/>
          <w:snapToGrid/>
          <w:szCs w:val="22"/>
          <w:lang w:val="lt-LT"/>
        </w:rPr>
        <w:t>ekstensyviai</w:t>
      </w:r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metabolizuojamas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kepenyse, daugiausia </w:t>
      </w:r>
      <w:r w:rsidR="00CE4F9F" w:rsidRPr="0032192D">
        <w:rPr>
          <w:rFonts w:eastAsia="TimesNewRoman"/>
          <w:snapToGrid/>
          <w:szCs w:val="22"/>
          <w:lang w:val="lt-LT"/>
        </w:rPr>
        <w:t xml:space="preserve">dalyvaujant </w:t>
      </w:r>
      <w:r w:rsidRPr="0032192D">
        <w:rPr>
          <w:rFonts w:eastAsia="TimesNewRoman"/>
          <w:snapToGrid/>
          <w:szCs w:val="22"/>
          <w:lang w:val="lt-LT"/>
        </w:rPr>
        <w:t>CYP3A4</w:t>
      </w:r>
      <w:r w:rsidR="00123753" w:rsidRPr="0032192D">
        <w:rPr>
          <w:rFonts w:eastAsia="TimesNewRoman"/>
          <w:snapToGrid/>
          <w:szCs w:val="22"/>
          <w:lang w:val="lt-LT"/>
        </w:rPr>
        <w:t>, t</w:t>
      </w:r>
      <w:r w:rsidRPr="0032192D">
        <w:rPr>
          <w:rFonts w:eastAsia="TimesNewRoman"/>
          <w:snapToGrid/>
          <w:szCs w:val="22"/>
          <w:lang w:val="lt-LT"/>
        </w:rPr>
        <w:t xml:space="preserve">ačiau yra ir alternatyvių </w:t>
      </w:r>
      <w:r w:rsidR="00123753" w:rsidRPr="0032192D">
        <w:rPr>
          <w:rFonts w:eastAsia="TimesNewRoman"/>
          <w:snapToGrid/>
          <w:szCs w:val="22"/>
          <w:lang w:val="lt-LT"/>
        </w:rPr>
        <w:t>metabolizmo</w:t>
      </w:r>
      <w:r w:rsidRPr="0032192D">
        <w:rPr>
          <w:rFonts w:eastAsia="TimesNewRoman"/>
          <w:snapToGrid/>
          <w:szCs w:val="22"/>
          <w:lang w:val="lt-LT"/>
        </w:rPr>
        <w:t xml:space="preserve"> būdų, kurie gali prisidėti prie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metabolizmo.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sisteminis klirensas yra </w:t>
      </w:r>
      <w:r w:rsidR="00123753" w:rsidRPr="0032192D">
        <w:rPr>
          <w:rFonts w:eastAsia="TimesNewRoman"/>
          <w:snapToGrid/>
          <w:szCs w:val="22"/>
          <w:lang w:val="lt-LT"/>
        </w:rPr>
        <w:t>maždaug</w:t>
      </w:r>
      <w:r w:rsidRPr="0032192D">
        <w:rPr>
          <w:rFonts w:eastAsia="TimesNewRoman"/>
          <w:snapToGrid/>
          <w:szCs w:val="22"/>
          <w:lang w:val="lt-LT"/>
        </w:rPr>
        <w:t xml:space="preserve"> 9,5</w:t>
      </w:r>
      <w:r w:rsidR="00123753" w:rsidRPr="0032192D">
        <w:rPr>
          <w:rFonts w:eastAsia="TimesNewRoman"/>
          <w:snapToGrid/>
          <w:szCs w:val="22"/>
          <w:lang w:val="lt-LT"/>
        </w:rPr>
        <w:t> </w:t>
      </w:r>
      <w:r w:rsidRPr="0032192D">
        <w:rPr>
          <w:rFonts w:eastAsia="TimesNewRoman"/>
          <w:snapToGrid/>
          <w:szCs w:val="22"/>
          <w:lang w:val="lt-LT"/>
        </w:rPr>
        <w:t>l/</w:t>
      </w:r>
      <w:r w:rsidR="00123753" w:rsidRPr="0032192D">
        <w:rPr>
          <w:rFonts w:eastAsia="TimesNewRoman"/>
          <w:snapToGrid/>
          <w:szCs w:val="22"/>
          <w:lang w:val="lt-LT"/>
        </w:rPr>
        <w:t>val.</w:t>
      </w:r>
      <w:r w:rsidRPr="0032192D">
        <w:rPr>
          <w:rFonts w:eastAsia="TimesNewRoman"/>
          <w:snapToGrid/>
          <w:szCs w:val="22"/>
          <w:lang w:val="lt-LT"/>
        </w:rPr>
        <w:t xml:space="preserve"> </w:t>
      </w:r>
      <w:r w:rsidR="00422E72" w:rsidRPr="0032192D">
        <w:rPr>
          <w:rFonts w:eastAsia="TimesNewRoman"/>
          <w:snapToGrid/>
          <w:szCs w:val="22"/>
          <w:lang w:val="lt-LT"/>
        </w:rPr>
        <w:t>Dozę p</w:t>
      </w:r>
      <w:r w:rsidRPr="0032192D">
        <w:rPr>
          <w:rFonts w:eastAsia="TimesNewRoman"/>
          <w:snapToGrid/>
          <w:szCs w:val="22"/>
          <w:lang w:val="lt-LT"/>
        </w:rPr>
        <w:t xml:space="preserve">avartojus </w:t>
      </w:r>
      <w:r w:rsidR="00422E72" w:rsidRPr="0032192D">
        <w:rPr>
          <w:rFonts w:eastAsia="TimesNewRoman"/>
          <w:snapToGrid/>
          <w:szCs w:val="22"/>
          <w:lang w:val="lt-LT"/>
        </w:rPr>
        <w:t>per burną</w:t>
      </w:r>
      <w:r w:rsidRPr="0032192D">
        <w:rPr>
          <w:rFonts w:eastAsia="TimesNewRoman"/>
          <w:snapToGrid/>
          <w:szCs w:val="22"/>
          <w:lang w:val="lt-LT"/>
        </w:rPr>
        <w:t xml:space="preserve">, </w:t>
      </w:r>
      <w:r w:rsidR="00422E72" w:rsidRPr="0032192D">
        <w:rPr>
          <w:rFonts w:eastAsia="TimesNewRoman"/>
          <w:snapToGrid/>
          <w:szCs w:val="22"/>
          <w:lang w:val="lt-LT"/>
        </w:rPr>
        <w:t xml:space="preserve">kraujo </w:t>
      </w:r>
      <w:r w:rsidRPr="0032192D">
        <w:rPr>
          <w:rFonts w:eastAsia="TimesNewRoman"/>
          <w:snapToGrid/>
          <w:szCs w:val="22"/>
          <w:lang w:val="lt-LT"/>
        </w:rPr>
        <w:t xml:space="preserve">plazmoje be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nustatytas vienas farmakologiškai aktyvus </w:t>
      </w:r>
      <w:r w:rsidR="00422E72" w:rsidRPr="0032192D">
        <w:rPr>
          <w:rFonts w:eastAsia="TimesNewRoman"/>
          <w:snapToGrid/>
          <w:szCs w:val="22"/>
          <w:lang w:val="lt-LT"/>
        </w:rPr>
        <w:t xml:space="preserve">metabolitas </w:t>
      </w:r>
      <w:r w:rsidRPr="0032192D">
        <w:rPr>
          <w:rFonts w:eastAsia="TimesNewRoman"/>
          <w:snapToGrid/>
          <w:szCs w:val="22"/>
          <w:lang w:val="lt-LT"/>
        </w:rPr>
        <w:t>(4R</w:t>
      </w:r>
      <w:r w:rsidR="00422E72" w:rsidRPr="0032192D">
        <w:rPr>
          <w:rFonts w:eastAsia="TimesNewRoman"/>
          <w:snapToGrid/>
          <w:szCs w:val="22"/>
          <w:lang w:val="lt-LT"/>
        </w:rPr>
        <w:noBreakHyphen/>
      </w:r>
      <w:r w:rsidRPr="0032192D">
        <w:rPr>
          <w:rFonts w:eastAsia="TimesNewRoman"/>
          <w:snapToGrid/>
          <w:szCs w:val="22"/>
          <w:lang w:val="lt-LT"/>
        </w:rPr>
        <w:t xml:space="preserve">hidroksisolifenacinas) ir trys neaktyvūs </w:t>
      </w:r>
      <w:r w:rsidRPr="0032192D">
        <w:rPr>
          <w:rFonts w:eastAsia="TimesNewRoman"/>
          <w:snapToGrid/>
          <w:szCs w:val="22"/>
          <w:lang w:val="lt-LT"/>
        </w:rPr>
        <w:lastRenderedPageBreak/>
        <w:t>metabolitai (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N</w:t>
      </w:r>
      <w:r w:rsidR="00422E72" w:rsidRPr="0032192D">
        <w:rPr>
          <w:rFonts w:eastAsia="TimesNewRoman"/>
          <w:snapToGrid/>
          <w:szCs w:val="22"/>
          <w:lang w:val="lt-LT"/>
        </w:rPr>
        <w:noBreakHyphen/>
      </w:r>
      <w:proofErr w:type="spellStart"/>
      <w:r w:rsidRPr="0032192D">
        <w:rPr>
          <w:rFonts w:eastAsia="TimesNewRoman"/>
          <w:snapToGrid/>
          <w:szCs w:val="22"/>
          <w:lang w:val="lt-LT"/>
        </w:rPr>
        <w:t>gliukuronidas</w:t>
      </w:r>
      <w:proofErr w:type="spellEnd"/>
      <w:r w:rsidRPr="0032192D">
        <w:rPr>
          <w:rFonts w:eastAsia="TimesNewRoman"/>
          <w:snapToGrid/>
          <w:szCs w:val="22"/>
          <w:lang w:val="lt-LT"/>
        </w:rPr>
        <w:t>, N</w:t>
      </w:r>
      <w:r w:rsidR="00422E72" w:rsidRPr="0032192D">
        <w:rPr>
          <w:rFonts w:eastAsia="TimesNewRoman"/>
          <w:snapToGrid/>
          <w:szCs w:val="22"/>
          <w:lang w:val="lt-LT"/>
        </w:rPr>
        <w:noBreakHyphen/>
      </w:r>
      <w:r w:rsidRPr="0032192D">
        <w:rPr>
          <w:rFonts w:eastAsia="TimesNewRoman"/>
          <w:snapToGrid/>
          <w:szCs w:val="22"/>
          <w:lang w:val="lt-LT"/>
        </w:rPr>
        <w:t>oksidas ir 4R</w:t>
      </w:r>
      <w:r w:rsidR="00422E72" w:rsidRPr="0032192D">
        <w:rPr>
          <w:rFonts w:eastAsia="TimesNewRoman"/>
          <w:snapToGrid/>
          <w:szCs w:val="22"/>
          <w:lang w:val="lt-LT"/>
        </w:rPr>
        <w:noBreakHyphen/>
      </w:r>
      <w:r w:rsidRPr="0032192D">
        <w:rPr>
          <w:rFonts w:eastAsia="TimesNewRoman"/>
          <w:snapToGrid/>
          <w:szCs w:val="22"/>
          <w:lang w:val="lt-LT"/>
        </w:rPr>
        <w:t>hidroksilo N</w:t>
      </w:r>
      <w:r w:rsidR="00422E72" w:rsidRPr="0032192D">
        <w:rPr>
          <w:rFonts w:eastAsia="TimesNewRoman"/>
          <w:snapToGrid/>
          <w:szCs w:val="22"/>
          <w:lang w:val="lt-LT"/>
        </w:rPr>
        <w:noBreakHyphen/>
      </w:r>
      <w:r w:rsidRPr="0032192D">
        <w:rPr>
          <w:rFonts w:eastAsia="TimesNewRoman"/>
          <w:snapToGrid/>
          <w:szCs w:val="22"/>
          <w:lang w:val="lt-LT"/>
        </w:rPr>
        <w:t>oksidas).</w:t>
      </w:r>
    </w:p>
    <w:p w14:paraId="32873760" w14:textId="77777777" w:rsidR="00B250B9" w:rsidRPr="0032192D" w:rsidRDefault="00B250B9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08642D14" w14:textId="77777777" w:rsidR="00B250B9" w:rsidRPr="00DD7CAE" w:rsidRDefault="00B250B9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r w:rsidRPr="00DD7CAE">
        <w:rPr>
          <w:rFonts w:eastAsia="TimesNewRoman"/>
          <w:snapToGrid/>
          <w:szCs w:val="22"/>
          <w:u w:val="single"/>
          <w:lang w:val="lt-LT"/>
        </w:rPr>
        <w:t>Eliminacija</w:t>
      </w:r>
    </w:p>
    <w:p w14:paraId="06220B85" w14:textId="77777777" w:rsidR="00B250B9" w:rsidRPr="0032192D" w:rsidRDefault="009E683F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Pavartojus vienkartinę</w:t>
      </w:r>
      <w:r w:rsidR="00B250B9" w:rsidRPr="0032192D">
        <w:rPr>
          <w:rFonts w:eastAsia="TimesNewRoman"/>
          <w:snapToGrid/>
          <w:szCs w:val="22"/>
          <w:lang w:val="lt-LT"/>
        </w:rPr>
        <w:t xml:space="preserve"> 10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B250B9" w:rsidRPr="0032192D">
        <w:rPr>
          <w:rFonts w:eastAsia="TimesNewRoman"/>
          <w:snapToGrid/>
          <w:szCs w:val="22"/>
          <w:lang w:val="lt-LT"/>
        </w:rPr>
        <w:t xml:space="preserve">mg [14C žymėto] </w:t>
      </w:r>
      <w:proofErr w:type="spellStart"/>
      <w:r w:rsidR="00B250B9"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dozę</w:t>
      </w:r>
      <w:r w:rsidR="00B250B9" w:rsidRPr="0032192D">
        <w:rPr>
          <w:rFonts w:eastAsia="TimesNewRoman"/>
          <w:snapToGrid/>
          <w:szCs w:val="22"/>
          <w:lang w:val="lt-LT"/>
        </w:rPr>
        <w:t>, per 26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B250B9" w:rsidRPr="0032192D">
        <w:rPr>
          <w:rFonts w:eastAsia="TimesNewRoman"/>
          <w:snapToGrid/>
          <w:szCs w:val="22"/>
          <w:lang w:val="lt-LT"/>
        </w:rPr>
        <w:t>dienas apie 70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B250B9" w:rsidRPr="0032192D">
        <w:rPr>
          <w:rFonts w:eastAsia="TimesNewRoman"/>
          <w:snapToGrid/>
          <w:szCs w:val="22"/>
          <w:lang w:val="lt-LT"/>
        </w:rPr>
        <w:t xml:space="preserve">% radioaktyvumo </w:t>
      </w:r>
      <w:r w:rsidRPr="0032192D">
        <w:rPr>
          <w:rFonts w:eastAsia="TimesNewRoman"/>
          <w:snapToGrid/>
          <w:szCs w:val="22"/>
          <w:lang w:val="lt-LT"/>
        </w:rPr>
        <w:t>nustatyta</w:t>
      </w:r>
      <w:r w:rsidR="00B250B9" w:rsidRPr="0032192D">
        <w:rPr>
          <w:rFonts w:eastAsia="TimesNewRoman"/>
          <w:snapToGrid/>
          <w:szCs w:val="22"/>
          <w:lang w:val="lt-LT"/>
        </w:rPr>
        <w:t xml:space="preserve"> šlapime ir 23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B250B9" w:rsidRPr="0032192D">
        <w:rPr>
          <w:rFonts w:eastAsia="TimesNewRoman"/>
          <w:snapToGrid/>
          <w:szCs w:val="22"/>
          <w:lang w:val="lt-LT"/>
        </w:rPr>
        <w:t xml:space="preserve">% </w:t>
      </w:r>
      <w:r w:rsidRPr="0032192D">
        <w:rPr>
          <w:rFonts w:eastAsia="TimesNewRoman"/>
          <w:snapToGrid/>
          <w:szCs w:val="22"/>
          <w:lang w:val="lt-LT"/>
        </w:rPr>
        <w:t>−</w:t>
      </w:r>
      <w:r w:rsidR="00B250B9" w:rsidRPr="0032192D">
        <w:rPr>
          <w:rFonts w:eastAsia="TimesNewRoman"/>
          <w:snapToGrid/>
          <w:szCs w:val="22"/>
          <w:lang w:val="lt-LT"/>
        </w:rPr>
        <w:t xml:space="preserve"> išmatose. Šlapime maždaug 11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B250B9" w:rsidRPr="0032192D">
        <w:rPr>
          <w:rFonts w:eastAsia="TimesNewRoman"/>
          <w:snapToGrid/>
          <w:szCs w:val="22"/>
          <w:lang w:val="lt-LT"/>
        </w:rPr>
        <w:t xml:space="preserve">% radioaktyvumo </w:t>
      </w:r>
      <w:r w:rsidRPr="0032192D">
        <w:rPr>
          <w:rFonts w:eastAsia="TimesNewRoman"/>
          <w:snapToGrid/>
          <w:szCs w:val="22"/>
          <w:lang w:val="lt-LT"/>
        </w:rPr>
        <w:t>nustatoma</w:t>
      </w:r>
      <w:r w:rsidR="00B250B9" w:rsidRPr="0032192D">
        <w:rPr>
          <w:rFonts w:eastAsia="TimesNewRoman"/>
          <w:snapToGrid/>
          <w:szCs w:val="22"/>
          <w:lang w:val="lt-LT"/>
        </w:rPr>
        <w:t xml:space="preserve"> kaip nepakitusi veiklioji medžiaga; </w:t>
      </w:r>
      <w:r w:rsidRPr="0032192D">
        <w:rPr>
          <w:rFonts w:eastAsia="TimesNewRoman"/>
          <w:snapToGrid/>
          <w:szCs w:val="22"/>
          <w:lang w:val="lt-LT"/>
        </w:rPr>
        <w:t xml:space="preserve">maždaug </w:t>
      </w:r>
      <w:r w:rsidR="00B250B9" w:rsidRPr="0032192D">
        <w:rPr>
          <w:rFonts w:eastAsia="TimesNewRoman"/>
          <w:snapToGrid/>
          <w:szCs w:val="22"/>
          <w:lang w:val="lt-LT"/>
        </w:rPr>
        <w:t>18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B250B9" w:rsidRPr="0032192D">
        <w:rPr>
          <w:rFonts w:eastAsia="TimesNewRoman"/>
          <w:snapToGrid/>
          <w:szCs w:val="22"/>
          <w:lang w:val="lt-LT"/>
        </w:rPr>
        <w:t xml:space="preserve">% </w:t>
      </w:r>
      <w:r w:rsidRPr="0032192D">
        <w:rPr>
          <w:rFonts w:eastAsia="TimesNewRoman"/>
          <w:snapToGrid/>
          <w:szCs w:val="22"/>
          <w:lang w:val="lt-LT"/>
        </w:rPr>
        <w:t>−</w:t>
      </w:r>
      <w:r w:rsidR="00B250B9" w:rsidRPr="0032192D">
        <w:rPr>
          <w:rFonts w:eastAsia="TimesNewRoman"/>
          <w:snapToGrid/>
          <w:szCs w:val="22"/>
          <w:lang w:val="lt-LT"/>
        </w:rPr>
        <w:t xml:space="preserve"> kaip N</w:t>
      </w:r>
      <w:r w:rsidRPr="0032192D">
        <w:rPr>
          <w:rFonts w:eastAsia="TimesNewRoman"/>
          <w:snapToGrid/>
          <w:szCs w:val="22"/>
          <w:lang w:val="lt-LT"/>
        </w:rPr>
        <w:t>-</w:t>
      </w:r>
      <w:r w:rsidR="00B250B9" w:rsidRPr="0032192D">
        <w:rPr>
          <w:rFonts w:eastAsia="TimesNewRoman"/>
          <w:snapToGrid/>
          <w:szCs w:val="22"/>
          <w:lang w:val="lt-LT"/>
        </w:rPr>
        <w:t>oksido metabolitas, 9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B250B9" w:rsidRPr="0032192D">
        <w:rPr>
          <w:rFonts w:eastAsia="TimesNewRoman"/>
          <w:snapToGrid/>
          <w:szCs w:val="22"/>
          <w:lang w:val="lt-LT"/>
        </w:rPr>
        <w:t xml:space="preserve">% </w:t>
      </w:r>
      <w:r w:rsidRPr="0032192D">
        <w:rPr>
          <w:rFonts w:eastAsia="TimesNewRoman"/>
          <w:snapToGrid/>
          <w:szCs w:val="22"/>
          <w:lang w:val="lt-LT"/>
        </w:rPr>
        <w:t>−</w:t>
      </w:r>
      <w:r w:rsidR="00B250B9" w:rsidRPr="0032192D">
        <w:rPr>
          <w:rFonts w:eastAsia="TimesNewRoman"/>
          <w:snapToGrid/>
          <w:szCs w:val="22"/>
          <w:lang w:val="lt-LT"/>
        </w:rPr>
        <w:t xml:space="preserve"> kaip </w:t>
      </w:r>
      <w:r w:rsidRPr="0032192D">
        <w:rPr>
          <w:rFonts w:eastAsia="TimesNewRoman"/>
          <w:snapToGrid/>
          <w:szCs w:val="22"/>
          <w:lang w:val="lt-LT"/>
        </w:rPr>
        <w:t>4R</w:t>
      </w:r>
      <w:r w:rsidRPr="0032192D">
        <w:rPr>
          <w:rFonts w:eastAsia="TimesNewRoman"/>
          <w:snapToGrid/>
          <w:szCs w:val="22"/>
          <w:lang w:val="lt-LT"/>
        </w:rPr>
        <w:noBreakHyphen/>
        <w:t>hidroksilo N</w:t>
      </w:r>
      <w:r w:rsidRPr="0032192D">
        <w:rPr>
          <w:rFonts w:eastAsia="TimesNewRoman"/>
          <w:snapToGrid/>
          <w:szCs w:val="22"/>
          <w:lang w:val="lt-LT"/>
        </w:rPr>
        <w:noBreakHyphen/>
        <w:t>oksidas</w:t>
      </w:r>
      <w:r w:rsidR="00B250B9" w:rsidRPr="0032192D">
        <w:rPr>
          <w:rFonts w:eastAsia="TimesNewRoman"/>
          <w:snapToGrid/>
          <w:szCs w:val="22"/>
          <w:lang w:val="lt-LT"/>
        </w:rPr>
        <w:t xml:space="preserve"> metabolitas ir 8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B250B9" w:rsidRPr="0032192D">
        <w:rPr>
          <w:rFonts w:eastAsia="TimesNewRoman"/>
          <w:snapToGrid/>
          <w:szCs w:val="22"/>
          <w:lang w:val="lt-LT"/>
        </w:rPr>
        <w:t xml:space="preserve">% </w:t>
      </w:r>
      <w:r w:rsidRPr="0032192D">
        <w:rPr>
          <w:rFonts w:eastAsia="TimesNewRoman"/>
          <w:snapToGrid/>
          <w:szCs w:val="22"/>
          <w:lang w:val="lt-LT"/>
        </w:rPr>
        <w:t>−</w:t>
      </w:r>
      <w:r w:rsidR="00B250B9" w:rsidRPr="0032192D">
        <w:rPr>
          <w:rFonts w:eastAsia="TimesNewRoman"/>
          <w:snapToGrid/>
          <w:szCs w:val="22"/>
          <w:lang w:val="lt-LT"/>
        </w:rPr>
        <w:t xml:space="preserve"> kaip 4</w:t>
      </w:r>
      <w:r w:rsidRPr="0032192D">
        <w:rPr>
          <w:rFonts w:eastAsia="TimesNewRoman"/>
          <w:snapToGrid/>
          <w:szCs w:val="22"/>
          <w:lang w:val="lt-LT"/>
        </w:rPr>
        <w:t>R</w:t>
      </w:r>
      <w:r w:rsidRPr="0032192D">
        <w:rPr>
          <w:rFonts w:eastAsia="TimesNewRoman"/>
          <w:snapToGrid/>
          <w:szCs w:val="22"/>
          <w:lang w:val="lt-LT"/>
        </w:rPr>
        <w:noBreakHyphen/>
        <w:t xml:space="preserve">hidroksisolifenacinas </w:t>
      </w:r>
      <w:r w:rsidR="00B250B9" w:rsidRPr="0032192D">
        <w:rPr>
          <w:rFonts w:eastAsia="TimesNewRoman"/>
          <w:snapToGrid/>
          <w:szCs w:val="22"/>
          <w:lang w:val="lt-LT"/>
        </w:rPr>
        <w:t>(aktyvusis metabolitas).</w:t>
      </w:r>
    </w:p>
    <w:p w14:paraId="6320AA15" w14:textId="77777777" w:rsidR="00B250B9" w:rsidRPr="0032192D" w:rsidRDefault="00B250B9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7729CD61" w14:textId="77777777" w:rsidR="00B250B9" w:rsidRPr="0032192D" w:rsidRDefault="00B250B9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proofErr w:type="spellStart"/>
      <w:r w:rsidRPr="0032192D">
        <w:rPr>
          <w:rFonts w:eastAsia="TimesNewRoman"/>
          <w:snapToGrid/>
          <w:szCs w:val="22"/>
          <w:u w:val="single"/>
          <w:lang w:val="lt-LT"/>
        </w:rPr>
        <w:t>Tamsulozinas</w:t>
      </w:r>
      <w:proofErr w:type="spellEnd"/>
    </w:p>
    <w:p w14:paraId="19B8F5B5" w14:textId="77777777" w:rsidR="003034CB" w:rsidRPr="00DD7CAE" w:rsidRDefault="003034CB" w:rsidP="003034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r w:rsidRPr="00DD7CAE">
        <w:rPr>
          <w:rFonts w:eastAsia="TimesNewRoman"/>
          <w:snapToGrid/>
          <w:szCs w:val="22"/>
          <w:u w:val="single"/>
          <w:lang w:val="lt-LT"/>
        </w:rPr>
        <w:t>Absorbcija</w:t>
      </w:r>
    </w:p>
    <w:p w14:paraId="67B6D0C8" w14:textId="77777777" w:rsidR="00B250B9" w:rsidRPr="0032192D" w:rsidRDefault="009B21A9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Vartojant kartotines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OCAS </w:t>
      </w:r>
      <w:r w:rsidR="006A06D8" w:rsidRPr="0032192D">
        <w:rPr>
          <w:rFonts w:eastAsia="TimesNewRoman"/>
          <w:snapToGrid/>
          <w:szCs w:val="22"/>
          <w:lang w:val="lt-LT"/>
        </w:rPr>
        <w:t xml:space="preserve">0,4 mg paros </w:t>
      </w:r>
      <w:r w:rsidRPr="0032192D">
        <w:rPr>
          <w:rFonts w:eastAsia="TimesNewRoman"/>
          <w:snapToGrid/>
          <w:szCs w:val="22"/>
          <w:lang w:val="lt-LT"/>
        </w:rPr>
        <w:t xml:space="preserve">dozes, </w:t>
      </w:r>
      <w:proofErr w:type="spellStart"/>
      <w:r w:rsidR="00B250B9" w:rsidRPr="0032192D">
        <w:rPr>
          <w:rFonts w:eastAsia="TimesNewRoman"/>
          <w:snapToGrid/>
          <w:szCs w:val="22"/>
          <w:lang w:val="lt-LT"/>
        </w:rPr>
        <w:t>t</w:t>
      </w:r>
      <w:r w:rsidR="00B250B9" w:rsidRPr="0032192D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="00B250B9" w:rsidRPr="0032192D">
        <w:rPr>
          <w:rFonts w:eastAsia="TimesNewRoman"/>
          <w:snapToGrid/>
          <w:szCs w:val="22"/>
          <w:lang w:val="lt-LT"/>
        </w:rPr>
        <w:t xml:space="preserve"> </w:t>
      </w:r>
      <w:r w:rsidR="006A06D8" w:rsidRPr="0032192D">
        <w:rPr>
          <w:rFonts w:eastAsia="TimesNewRoman"/>
          <w:snapToGrid/>
          <w:szCs w:val="22"/>
          <w:lang w:val="lt-LT"/>
        </w:rPr>
        <w:t>yra</w:t>
      </w:r>
      <w:r w:rsidR="00B250B9" w:rsidRPr="0032192D">
        <w:rPr>
          <w:rFonts w:eastAsia="TimesNewRoman"/>
          <w:snapToGrid/>
          <w:szCs w:val="22"/>
          <w:lang w:val="lt-LT"/>
        </w:rPr>
        <w:t xml:space="preserve"> 4</w:t>
      </w:r>
      <w:r w:rsidR="006A06D8" w:rsidRPr="0032192D">
        <w:rPr>
          <w:rFonts w:eastAsia="TimesNewRoman"/>
          <w:snapToGrid/>
          <w:szCs w:val="22"/>
          <w:lang w:val="lt-LT"/>
        </w:rPr>
        <w:noBreakHyphen/>
      </w:r>
      <w:r w:rsidR="00B250B9" w:rsidRPr="0032192D">
        <w:rPr>
          <w:rFonts w:eastAsia="TimesNewRoman"/>
          <w:snapToGrid/>
          <w:szCs w:val="22"/>
          <w:lang w:val="lt-LT"/>
        </w:rPr>
        <w:t>6</w:t>
      </w:r>
      <w:r w:rsidR="006A06D8" w:rsidRPr="0032192D">
        <w:rPr>
          <w:rFonts w:eastAsia="TimesNewRoman"/>
          <w:snapToGrid/>
          <w:szCs w:val="22"/>
          <w:lang w:val="lt-LT"/>
        </w:rPr>
        <w:t> </w:t>
      </w:r>
      <w:r w:rsidR="00B250B9" w:rsidRPr="0032192D">
        <w:rPr>
          <w:rFonts w:eastAsia="TimesNewRoman"/>
          <w:snapToGrid/>
          <w:szCs w:val="22"/>
          <w:lang w:val="lt-LT"/>
        </w:rPr>
        <w:t>valando</w:t>
      </w:r>
      <w:r w:rsidR="006A06D8" w:rsidRPr="0032192D">
        <w:rPr>
          <w:rFonts w:eastAsia="TimesNewRoman"/>
          <w:snapToGrid/>
          <w:szCs w:val="22"/>
          <w:lang w:val="lt-LT"/>
        </w:rPr>
        <w:t xml:space="preserve">s. </w:t>
      </w:r>
      <w:proofErr w:type="spellStart"/>
      <w:r w:rsidR="006A06D8" w:rsidRPr="0032192D">
        <w:rPr>
          <w:rFonts w:eastAsia="TimesNewRoman"/>
          <w:snapToGrid/>
          <w:szCs w:val="22"/>
          <w:lang w:val="lt-LT"/>
        </w:rPr>
        <w:t>C</w:t>
      </w:r>
      <w:r w:rsidR="006A06D8" w:rsidRPr="0032192D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="006A06D8" w:rsidRPr="0032192D">
        <w:rPr>
          <w:rFonts w:eastAsia="TimesNewRoman"/>
          <w:snapToGrid/>
          <w:szCs w:val="22"/>
          <w:lang w:val="lt-LT"/>
        </w:rPr>
        <w:t xml:space="preserve"> ir AUC didėja proporcingai dozei nuo </w:t>
      </w:r>
      <w:r w:rsidR="00B250B9" w:rsidRPr="0032192D">
        <w:rPr>
          <w:rFonts w:eastAsia="TimesNewRoman"/>
          <w:snapToGrid/>
          <w:szCs w:val="22"/>
          <w:lang w:val="lt-LT"/>
        </w:rPr>
        <w:t>0,4</w:t>
      </w:r>
      <w:r w:rsidR="006A06D8" w:rsidRPr="0032192D">
        <w:rPr>
          <w:rFonts w:eastAsia="TimesNewRoman"/>
          <w:snapToGrid/>
          <w:szCs w:val="22"/>
          <w:lang w:val="lt-LT"/>
        </w:rPr>
        <w:t> mg</w:t>
      </w:r>
      <w:r w:rsidR="00B250B9" w:rsidRPr="0032192D">
        <w:rPr>
          <w:rFonts w:eastAsia="TimesNewRoman"/>
          <w:snapToGrid/>
          <w:szCs w:val="22"/>
          <w:lang w:val="lt-LT"/>
        </w:rPr>
        <w:t xml:space="preserve"> iki 1,2</w:t>
      </w:r>
      <w:r w:rsidR="006A06D8" w:rsidRPr="0032192D">
        <w:rPr>
          <w:rFonts w:eastAsia="TimesNewRoman"/>
          <w:snapToGrid/>
          <w:szCs w:val="22"/>
          <w:lang w:val="lt-LT"/>
        </w:rPr>
        <w:t> </w:t>
      </w:r>
      <w:r w:rsidR="00B250B9" w:rsidRPr="0032192D">
        <w:rPr>
          <w:rFonts w:eastAsia="TimesNewRoman"/>
          <w:snapToGrid/>
          <w:szCs w:val="22"/>
          <w:lang w:val="lt-LT"/>
        </w:rPr>
        <w:t>mg. Apskaičiuota</w:t>
      </w:r>
      <w:r w:rsidR="006A06D8" w:rsidRPr="0032192D">
        <w:rPr>
          <w:rFonts w:eastAsia="TimesNewRoman"/>
          <w:snapToGrid/>
          <w:szCs w:val="22"/>
          <w:lang w:val="lt-LT"/>
        </w:rPr>
        <w:t>sis</w:t>
      </w:r>
      <w:r w:rsidR="00B250B9" w:rsidRPr="0032192D">
        <w:rPr>
          <w:rFonts w:eastAsia="TimesNewRoman"/>
          <w:snapToGrid/>
          <w:szCs w:val="22"/>
          <w:lang w:val="lt-LT"/>
        </w:rPr>
        <w:t xml:space="preserve"> absoliutus biologinis prieinamumas yra maždaug 57</w:t>
      </w:r>
      <w:r w:rsidR="006A06D8" w:rsidRPr="0032192D">
        <w:rPr>
          <w:rFonts w:eastAsia="TimesNewRoman"/>
          <w:snapToGrid/>
          <w:szCs w:val="22"/>
          <w:lang w:val="lt-LT"/>
        </w:rPr>
        <w:t> </w:t>
      </w:r>
      <w:r w:rsidR="00B250B9" w:rsidRPr="0032192D">
        <w:rPr>
          <w:rFonts w:eastAsia="TimesNewRoman"/>
          <w:snapToGrid/>
          <w:szCs w:val="22"/>
          <w:lang w:val="lt-LT"/>
        </w:rPr>
        <w:t>%.</w:t>
      </w:r>
    </w:p>
    <w:p w14:paraId="6B74730D" w14:textId="77777777" w:rsidR="00B250B9" w:rsidRPr="0032192D" w:rsidRDefault="00B250B9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6D6EB73A" w14:textId="77777777" w:rsidR="00B250B9" w:rsidRPr="00DD7CAE" w:rsidRDefault="00B250B9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r w:rsidRPr="00DD7CAE">
        <w:rPr>
          <w:rFonts w:eastAsia="TimesNewRoman"/>
          <w:snapToGrid/>
          <w:szCs w:val="22"/>
          <w:u w:val="single"/>
          <w:lang w:val="lt-LT"/>
        </w:rPr>
        <w:t>Pasiskirstymas</w:t>
      </w:r>
    </w:p>
    <w:p w14:paraId="4B780F80" w14:textId="77777777" w:rsidR="00B250B9" w:rsidRPr="0032192D" w:rsidRDefault="006A06D8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Į veną suleisto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</w:t>
      </w:r>
      <w:r w:rsidR="00B250B9" w:rsidRPr="0032192D">
        <w:rPr>
          <w:rFonts w:eastAsia="TimesNewRoman"/>
          <w:snapToGrid/>
          <w:szCs w:val="22"/>
          <w:lang w:val="lt-LT"/>
        </w:rPr>
        <w:t>amsulozino</w:t>
      </w:r>
      <w:proofErr w:type="spellEnd"/>
      <w:r w:rsidR="00B250B9" w:rsidRPr="0032192D">
        <w:rPr>
          <w:rFonts w:eastAsia="TimesNewRoman"/>
          <w:snapToGrid/>
          <w:szCs w:val="22"/>
          <w:lang w:val="lt-LT"/>
        </w:rPr>
        <w:t xml:space="preserve"> pasiskirstymo tūris yra </w:t>
      </w:r>
      <w:r w:rsidRPr="0032192D">
        <w:rPr>
          <w:rFonts w:eastAsia="TimesNewRoman"/>
          <w:snapToGrid/>
          <w:szCs w:val="22"/>
          <w:lang w:val="lt-LT"/>
        </w:rPr>
        <w:t>maždaug</w:t>
      </w:r>
      <w:r w:rsidR="00B250B9" w:rsidRPr="0032192D">
        <w:rPr>
          <w:rFonts w:eastAsia="TimesNewRoman"/>
          <w:snapToGrid/>
          <w:szCs w:val="22"/>
          <w:lang w:val="lt-LT"/>
        </w:rPr>
        <w:t xml:space="preserve"> 16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B250B9" w:rsidRPr="0032192D">
        <w:rPr>
          <w:rFonts w:eastAsia="TimesNewRoman"/>
          <w:snapToGrid/>
          <w:szCs w:val="22"/>
          <w:lang w:val="lt-LT"/>
        </w:rPr>
        <w:t>l. Maždaug 99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B250B9" w:rsidRPr="0032192D">
        <w:rPr>
          <w:rFonts w:eastAsia="TimesNewRoman"/>
          <w:snapToGrid/>
          <w:szCs w:val="22"/>
          <w:lang w:val="lt-LT"/>
        </w:rPr>
        <w:t xml:space="preserve">% </w:t>
      </w:r>
      <w:proofErr w:type="spellStart"/>
      <w:r w:rsidR="00B250B9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B250B9" w:rsidRPr="0032192D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 xml:space="preserve">susijungia su kraujo plazmos baltymais, daugiausia su α1 rūgščiuoju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glikoproteinu</w:t>
      </w:r>
      <w:proofErr w:type="spellEnd"/>
      <w:r w:rsidR="00B250B9" w:rsidRPr="0032192D">
        <w:rPr>
          <w:rFonts w:eastAsia="TimesNewRoman"/>
          <w:snapToGrid/>
          <w:szCs w:val="22"/>
          <w:lang w:val="lt-LT"/>
        </w:rPr>
        <w:t>.</w:t>
      </w:r>
    </w:p>
    <w:p w14:paraId="57F77CD6" w14:textId="77777777" w:rsidR="00B250B9" w:rsidRPr="0032192D" w:rsidRDefault="00B250B9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4C7D07B1" w14:textId="77777777" w:rsidR="00B250B9" w:rsidRPr="0032192D" w:rsidRDefault="00B250B9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/>
          <w:iCs/>
          <w:snapToGrid/>
          <w:szCs w:val="22"/>
          <w:lang w:val="lt-LT"/>
        </w:rPr>
      </w:pPr>
      <w:proofErr w:type="spellStart"/>
      <w:r w:rsidRPr="0032192D">
        <w:rPr>
          <w:rFonts w:eastAsia="TimesNewRoman"/>
          <w:i/>
          <w:iCs/>
          <w:snapToGrid/>
          <w:szCs w:val="22"/>
          <w:lang w:val="lt-LT"/>
        </w:rPr>
        <w:t>Biotransformacija</w:t>
      </w:r>
      <w:proofErr w:type="spellEnd"/>
    </w:p>
    <w:p w14:paraId="739CE4FE" w14:textId="77777777" w:rsidR="00B250B9" w:rsidRPr="0032192D" w:rsidRDefault="00B250B9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32192D">
        <w:rPr>
          <w:rFonts w:eastAsia="TimesNewRoman"/>
          <w:snapToGrid/>
          <w:szCs w:val="22"/>
          <w:lang w:val="lt-LT"/>
        </w:rPr>
        <w:t>Tamsulozin</w:t>
      </w:r>
      <w:r w:rsidR="00237884" w:rsidRPr="0032192D">
        <w:rPr>
          <w:rFonts w:eastAsia="TimesNewRoman"/>
          <w:snapToGrid/>
          <w:szCs w:val="22"/>
          <w:lang w:val="lt-LT"/>
        </w:rPr>
        <w:t>ui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r w:rsidR="006A06D8" w:rsidRPr="0032192D">
        <w:rPr>
          <w:rFonts w:eastAsia="TimesNewRoman"/>
          <w:snapToGrid/>
          <w:szCs w:val="22"/>
          <w:lang w:val="lt-LT"/>
        </w:rPr>
        <w:t xml:space="preserve">būdingas nedidelis pirmojo prasiskverbimo pro kepenis poveikis, jis metabolizuojamas lėtai. </w:t>
      </w:r>
      <w:proofErr w:type="spellStart"/>
      <w:r w:rsidR="006A06D8" w:rsidRPr="0032192D">
        <w:rPr>
          <w:rFonts w:eastAsia="TimesNewRoman"/>
          <w:snapToGrid/>
          <w:szCs w:val="22"/>
          <w:lang w:val="lt-LT"/>
        </w:rPr>
        <w:t>Tamsulozinas</w:t>
      </w:r>
      <w:proofErr w:type="spellEnd"/>
      <w:r w:rsidR="006A06D8" w:rsidRPr="0032192D">
        <w:rPr>
          <w:rFonts w:eastAsia="TimesNewRoman"/>
          <w:snapToGrid/>
          <w:szCs w:val="22"/>
          <w:lang w:val="lt-LT"/>
        </w:rPr>
        <w:t xml:space="preserve"> ekstensyviai </w:t>
      </w:r>
      <w:proofErr w:type="spellStart"/>
      <w:r w:rsidR="006A06D8" w:rsidRPr="0032192D">
        <w:rPr>
          <w:rFonts w:eastAsia="TimesNewRoman"/>
          <w:snapToGrid/>
          <w:szCs w:val="22"/>
          <w:lang w:val="lt-LT"/>
        </w:rPr>
        <w:t>metabolizuojamas</w:t>
      </w:r>
      <w:proofErr w:type="spellEnd"/>
      <w:r w:rsidR="006A06D8" w:rsidRPr="0032192D">
        <w:rPr>
          <w:rFonts w:eastAsia="TimesNewRoman"/>
          <w:snapToGrid/>
          <w:szCs w:val="22"/>
          <w:lang w:val="lt-LT"/>
        </w:rPr>
        <w:t xml:space="preserve"> kepenyse, daugiausia dalyvaujant</w:t>
      </w:r>
      <w:r w:rsidRPr="0032192D">
        <w:rPr>
          <w:rFonts w:eastAsia="TimesNewRoman"/>
          <w:snapToGrid/>
          <w:szCs w:val="22"/>
          <w:lang w:val="lt-LT"/>
        </w:rPr>
        <w:t xml:space="preserve"> CYP3A4 ir CYP2D6. Sisteminis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klirensas yra </w:t>
      </w:r>
      <w:r w:rsidR="006A06D8" w:rsidRPr="0032192D">
        <w:rPr>
          <w:rFonts w:eastAsia="TimesNewRoman"/>
          <w:snapToGrid/>
          <w:szCs w:val="22"/>
          <w:lang w:val="lt-LT"/>
        </w:rPr>
        <w:t>maždaug</w:t>
      </w:r>
      <w:r w:rsidRPr="0032192D">
        <w:rPr>
          <w:rFonts w:eastAsia="TimesNewRoman"/>
          <w:snapToGrid/>
          <w:szCs w:val="22"/>
          <w:lang w:val="lt-LT"/>
        </w:rPr>
        <w:t xml:space="preserve"> 2,9</w:t>
      </w:r>
      <w:r w:rsidR="006A06D8" w:rsidRPr="0032192D">
        <w:rPr>
          <w:rFonts w:eastAsia="TimesNewRoman"/>
          <w:snapToGrid/>
          <w:szCs w:val="22"/>
          <w:lang w:val="lt-LT"/>
        </w:rPr>
        <w:t> </w:t>
      </w:r>
      <w:r w:rsidRPr="0032192D">
        <w:rPr>
          <w:rFonts w:eastAsia="TimesNewRoman"/>
          <w:snapToGrid/>
          <w:szCs w:val="22"/>
          <w:lang w:val="lt-LT"/>
        </w:rPr>
        <w:t>l/</w:t>
      </w:r>
      <w:r w:rsidR="006A06D8" w:rsidRPr="0032192D">
        <w:rPr>
          <w:rFonts w:eastAsia="TimesNewRoman"/>
          <w:snapToGrid/>
          <w:szCs w:val="22"/>
          <w:lang w:val="lt-LT"/>
        </w:rPr>
        <w:t>val</w:t>
      </w:r>
      <w:r w:rsidRPr="0032192D">
        <w:rPr>
          <w:rFonts w:eastAsia="TimesNewRoman"/>
          <w:snapToGrid/>
          <w:szCs w:val="22"/>
          <w:lang w:val="lt-LT"/>
        </w:rPr>
        <w:t xml:space="preserve">. Daugiausia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r w:rsidR="006A06D8" w:rsidRPr="0032192D">
        <w:rPr>
          <w:rFonts w:eastAsia="TimesNewRoman"/>
          <w:snapToGrid/>
          <w:szCs w:val="22"/>
          <w:lang w:val="lt-LT"/>
        </w:rPr>
        <w:t xml:space="preserve">kraujo </w:t>
      </w:r>
      <w:r w:rsidRPr="0032192D">
        <w:rPr>
          <w:rFonts w:eastAsia="TimesNewRoman"/>
          <w:snapToGrid/>
          <w:szCs w:val="22"/>
          <w:lang w:val="lt-LT"/>
        </w:rPr>
        <w:t>plazmoje yra nepakitusios veikliosios medžiagos pavidalu.</w:t>
      </w:r>
    </w:p>
    <w:p w14:paraId="6509E05A" w14:textId="77777777" w:rsidR="00B250B9" w:rsidRPr="0032192D" w:rsidRDefault="00B250B9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Nė vienas metabolitas nebuvo aktyvesnis už pradin</w:t>
      </w:r>
      <w:r w:rsidR="006A06D8" w:rsidRPr="0032192D">
        <w:rPr>
          <w:rFonts w:eastAsia="TimesNewRoman"/>
          <w:snapToGrid/>
          <w:szCs w:val="22"/>
          <w:lang w:val="lt-LT"/>
        </w:rPr>
        <w:t>ę medžiagą</w:t>
      </w:r>
      <w:r w:rsidRPr="0032192D">
        <w:rPr>
          <w:rFonts w:eastAsia="TimesNewRoman"/>
          <w:snapToGrid/>
          <w:szCs w:val="22"/>
          <w:lang w:val="lt-LT"/>
        </w:rPr>
        <w:t>.</w:t>
      </w:r>
    </w:p>
    <w:p w14:paraId="46F0D51B" w14:textId="77777777" w:rsidR="00B250B9" w:rsidRPr="0032192D" w:rsidRDefault="00B250B9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202C42AE" w14:textId="77777777" w:rsidR="00B250B9" w:rsidRPr="00DD7CAE" w:rsidRDefault="00CE1A8D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r w:rsidRPr="00DD7CAE">
        <w:rPr>
          <w:rFonts w:eastAsia="TimesNewRoman"/>
          <w:snapToGrid/>
          <w:szCs w:val="22"/>
          <w:u w:val="single"/>
          <w:lang w:val="lt-LT"/>
        </w:rPr>
        <w:t>Eliminacija</w:t>
      </w:r>
    </w:p>
    <w:p w14:paraId="5D06C6D4" w14:textId="77777777" w:rsidR="00B250B9" w:rsidRPr="0032192D" w:rsidRDefault="00CE1A8D" w:rsidP="00B25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Pavartojus vienkartinę 0,2 mg [14C žymėto]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dozę, </w:t>
      </w:r>
      <w:r w:rsidR="00B250B9" w:rsidRPr="0032192D">
        <w:rPr>
          <w:rFonts w:eastAsia="TimesNewRoman"/>
          <w:snapToGrid/>
          <w:szCs w:val="22"/>
          <w:lang w:val="lt-LT"/>
        </w:rPr>
        <w:t>po 1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B250B9" w:rsidRPr="0032192D">
        <w:rPr>
          <w:rFonts w:eastAsia="TimesNewRoman"/>
          <w:snapToGrid/>
          <w:szCs w:val="22"/>
          <w:lang w:val="lt-LT"/>
        </w:rPr>
        <w:t xml:space="preserve">savaitės </w:t>
      </w:r>
      <w:r w:rsidRPr="0032192D">
        <w:rPr>
          <w:rFonts w:eastAsia="TimesNewRoman"/>
          <w:snapToGrid/>
          <w:szCs w:val="22"/>
          <w:lang w:val="lt-LT"/>
        </w:rPr>
        <w:t>maždaug</w:t>
      </w:r>
      <w:r w:rsidR="00B250B9" w:rsidRPr="0032192D">
        <w:rPr>
          <w:rFonts w:eastAsia="TimesNewRoman"/>
          <w:snapToGrid/>
          <w:szCs w:val="22"/>
          <w:lang w:val="lt-LT"/>
        </w:rPr>
        <w:t xml:space="preserve"> 76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B250B9" w:rsidRPr="0032192D">
        <w:rPr>
          <w:rFonts w:eastAsia="TimesNewRoman"/>
          <w:snapToGrid/>
          <w:szCs w:val="22"/>
          <w:lang w:val="lt-LT"/>
        </w:rPr>
        <w:t xml:space="preserve">% radioaktyvumo </w:t>
      </w:r>
      <w:r w:rsidRPr="0032192D">
        <w:rPr>
          <w:rFonts w:eastAsia="TimesNewRoman"/>
          <w:snapToGrid/>
          <w:szCs w:val="22"/>
          <w:lang w:val="lt-LT"/>
        </w:rPr>
        <w:t>nustatyta šlapime ir 21 % − išmatose</w:t>
      </w:r>
      <w:r w:rsidR="00B250B9" w:rsidRPr="0032192D">
        <w:rPr>
          <w:rFonts w:eastAsia="TimesNewRoman"/>
          <w:snapToGrid/>
          <w:szCs w:val="22"/>
          <w:lang w:val="lt-LT"/>
        </w:rPr>
        <w:t>. Šlapime maždaug 9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B250B9" w:rsidRPr="0032192D">
        <w:rPr>
          <w:rFonts w:eastAsia="TimesNewRoman"/>
          <w:snapToGrid/>
          <w:szCs w:val="22"/>
          <w:lang w:val="lt-LT"/>
        </w:rPr>
        <w:t xml:space="preserve">% radioaktyvumo </w:t>
      </w:r>
      <w:r w:rsidRPr="0032192D">
        <w:rPr>
          <w:rFonts w:eastAsia="TimesNewRoman"/>
          <w:snapToGrid/>
          <w:szCs w:val="22"/>
          <w:lang w:val="lt-LT"/>
        </w:rPr>
        <w:t>nustatoma</w:t>
      </w:r>
      <w:r w:rsidR="00B250B9" w:rsidRPr="0032192D">
        <w:rPr>
          <w:rFonts w:eastAsia="TimesNewRoman"/>
          <w:snapToGrid/>
          <w:szCs w:val="22"/>
          <w:lang w:val="lt-LT"/>
        </w:rPr>
        <w:t xml:space="preserve"> nepakitusio </w:t>
      </w:r>
      <w:proofErr w:type="spellStart"/>
      <w:r w:rsidR="00B250B9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B250B9" w:rsidRPr="0032192D">
        <w:rPr>
          <w:rFonts w:eastAsia="TimesNewRoman"/>
          <w:snapToGrid/>
          <w:szCs w:val="22"/>
          <w:lang w:val="lt-LT"/>
        </w:rPr>
        <w:t xml:space="preserve"> pavidalu, </w:t>
      </w:r>
      <w:r w:rsidRPr="0032192D">
        <w:rPr>
          <w:rFonts w:eastAsia="TimesNewRoman"/>
          <w:snapToGrid/>
          <w:szCs w:val="22"/>
          <w:lang w:val="lt-LT"/>
        </w:rPr>
        <w:t>maždaug</w:t>
      </w:r>
      <w:r w:rsidR="00B250B9" w:rsidRPr="0032192D">
        <w:rPr>
          <w:rFonts w:eastAsia="TimesNewRoman"/>
          <w:snapToGrid/>
          <w:szCs w:val="22"/>
          <w:lang w:val="lt-LT"/>
        </w:rPr>
        <w:t xml:space="preserve"> 16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B250B9" w:rsidRPr="0032192D">
        <w:rPr>
          <w:rFonts w:eastAsia="TimesNewRoman"/>
          <w:snapToGrid/>
          <w:szCs w:val="22"/>
          <w:lang w:val="lt-LT"/>
        </w:rPr>
        <w:t xml:space="preserve">% - </w:t>
      </w:r>
      <w:proofErr w:type="spellStart"/>
      <w:r w:rsidR="00B250B9" w:rsidRPr="0032192D">
        <w:rPr>
          <w:rFonts w:eastAsia="TimesNewRoman"/>
          <w:snapToGrid/>
          <w:szCs w:val="22"/>
          <w:lang w:val="lt-LT"/>
        </w:rPr>
        <w:t>deetilinto</w:t>
      </w:r>
      <w:proofErr w:type="spellEnd"/>
      <w:r w:rsidR="00B250B9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B250B9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B250B9" w:rsidRPr="0032192D">
        <w:rPr>
          <w:rFonts w:eastAsia="TimesNewRoman"/>
          <w:snapToGrid/>
          <w:szCs w:val="22"/>
          <w:lang w:val="lt-LT"/>
        </w:rPr>
        <w:t xml:space="preserve"> sulfato pavidalu ir 8</w:t>
      </w:r>
      <w:r w:rsidRPr="0032192D">
        <w:rPr>
          <w:rFonts w:eastAsia="TimesNewRoman"/>
          <w:snapToGrid/>
          <w:szCs w:val="22"/>
          <w:lang w:val="lt-LT"/>
        </w:rPr>
        <w:t> </w:t>
      </w:r>
      <w:r w:rsidR="00B250B9" w:rsidRPr="0032192D">
        <w:rPr>
          <w:rFonts w:eastAsia="TimesNewRoman"/>
          <w:snapToGrid/>
          <w:szCs w:val="22"/>
          <w:lang w:val="lt-LT"/>
        </w:rPr>
        <w:t xml:space="preserve">% </w:t>
      </w:r>
      <w:r w:rsidRPr="0032192D">
        <w:rPr>
          <w:rFonts w:eastAsia="TimesNewRoman"/>
          <w:snapToGrid/>
          <w:szCs w:val="22"/>
          <w:lang w:val="lt-LT"/>
        </w:rPr>
        <w:t>−</w:t>
      </w:r>
      <w:r w:rsidR="00B250B9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B250B9" w:rsidRPr="0032192D">
        <w:rPr>
          <w:rFonts w:eastAsia="TimesNewRoman"/>
          <w:snapToGrid/>
          <w:szCs w:val="22"/>
          <w:lang w:val="lt-LT"/>
        </w:rPr>
        <w:t>etoksifenoksiacto</w:t>
      </w:r>
      <w:proofErr w:type="spellEnd"/>
      <w:r w:rsidR="00B250B9" w:rsidRPr="0032192D">
        <w:rPr>
          <w:rFonts w:eastAsia="TimesNewRoman"/>
          <w:snapToGrid/>
          <w:szCs w:val="22"/>
          <w:lang w:val="lt-LT"/>
        </w:rPr>
        <w:t xml:space="preserve"> rūgšties pavidalu.</w:t>
      </w:r>
    </w:p>
    <w:p w14:paraId="6806A701" w14:textId="77777777" w:rsidR="00424070" w:rsidRPr="0032192D" w:rsidRDefault="00424070" w:rsidP="004240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0D5A2FAB" w14:textId="2A62749E" w:rsidR="000D287C" w:rsidRPr="0032192D" w:rsidRDefault="008509BF" w:rsidP="004240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  <w:r w:rsidRPr="00EC48AA">
        <w:rPr>
          <w:rFonts w:eastAsia="TimesNewRoman"/>
          <w:bCs/>
          <w:snapToGrid/>
          <w:szCs w:val="24"/>
          <w:lang w:val="lt-LT"/>
        </w:rPr>
        <w:t>Ypatingos populiacijos</w:t>
      </w:r>
    </w:p>
    <w:p w14:paraId="57E36AA4" w14:textId="42F34B55" w:rsidR="00BD47D7" w:rsidRPr="0032192D" w:rsidRDefault="00731105" w:rsidP="00BD47D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/>
          <w:iCs/>
          <w:snapToGrid/>
          <w:szCs w:val="24"/>
          <w:lang w:val="lt-LT"/>
        </w:rPr>
      </w:pPr>
      <w:r w:rsidRPr="0032192D">
        <w:rPr>
          <w:rFonts w:eastAsia="TimesNewRoman"/>
          <w:i/>
          <w:iCs/>
          <w:snapToGrid/>
          <w:szCs w:val="24"/>
          <w:lang w:val="lt-LT"/>
        </w:rPr>
        <w:t>Senyvi</w:t>
      </w:r>
      <w:r w:rsidR="00BD47D7" w:rsidRPr="0032192D">
        <w:rPr>
          <w:rFonts w:eastAsia="TimesNewRoman"/>
          <w:i/>
          <w:iCs/>
          <w:snapToGrid/>
          <w:szCs w:val="24"/>
          <w:lang w:val="lt-LT"/>
        </w:rPr>
        <w:t xml:space="preserve"> </w:t>
      </w:r>
      <w:r w:rsidR="008509BF">
        <w:rPr>
          <w:rFonts w:eastAsia="TimesNewRoman"/>
          <w:i/>
          <w:iCs/>
          <w:snapToGrid/>
          <w:szCs w:val="24"/>
          <w:lang w:val="lt-LT"/>
        </w:rPr>
        <w:t>pacientai</w:t>
      </w:r>
    </w:p>
    <w:p w14:paraId="4A7F0645" w14:textId="36BCF3FF" w:rsidR="00BD47D7" w:rsidRPr="0032192D" w:rsidRDefault="00BD47D7" w:rsidP="00BD47D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  <w:r w:rsidRPr="0032192D">
        <w:rPr>
          <w:rFonts w:eastAsia="TimesNewRoman"/>
          <w:snapToGrid/>
          <w:szCs w:val="24"/>
          <w:lang w:val="lt-LT"/>
        </w:rPr>
        <w:t xml:space="preserve">Klinikinės farmakologijos ir </w:t>
      </w:r>
      <w:proofErr w:type="spellStart"/>
      <w:r w:rsidRPr="0032192D">
        <w:rPr>
          <w:rFonts w:eastAsia="TimesNewRoman"/>
          <w:snapToGrid/>
          <w:szCs w:val="24"/>
          <w:lang w:val="lt-LT"/>
        </w:rPr>
        <w:t>biofarmacijos</w:t>
      </w:r>
      <w:proofErr w:type="spellEnd"/>
      <w:r w:rsidRPr="0032192D">
        <w:rPr>
          <w:rFonts w:eastAsia="TimesNewRoman"/>
          <w:snapToGrid/>
          <w:szCs w:val="24"/>
          <w:lang w:val="lt-LT"/>
        </w:rPr>
        <w:t xml:space="preserve"> </w:t>
      </w:r>
      <w:r w:rsidR="00325AB5" w:rsidRPr="0032192D">
        <w:rPr>
          <w:rFonts w:eastAsia="TimesNewRoman"/>
          <w:snapToGrid/>
          <w:szCs w:val="24"/>
          <w:lang w:val="lt-LT"/>
        </w:rPr>
        <w:t>tyrimų dalyvių</w:t>
      </w:r>
      <w:r w:rsidRPr="0032192D">
        <w:rPr>
          <w:rFonts w:eastAsia="TimesNewRoman"/>
          <w:snapToGrid/>
          <w:szCs w:val="24"/>
          <w:lang w:val="lt-LT"/>
        </w:rPr>
        <w:t xml:space="preserve"> amžius svyravo nuo 19 iki 79</w:t>
      </w:r>
      <w:r w:rsidR="00325AB5" w:rsidRPr="0032192D">
        <w:rPr>
          <w:rFonts w:eastAsia="TimesNewRoman"/>
          <w:snapToGrid/>
          <w:szCs w:val="24"/>
          <w:lang w:val="lt-LT"/>
        </w:rPr>
        <w:t> </w:t>
      </w:r>
      <w:r w:rsidRPr="0032192D">
        <w:rPr>
          <w:rFonts w:eastAsia="TimesNewRoman"/>
          <w:snapToGrid/>
          <w:szCs w:val="24"/>
          <w:lang w:val="lt-LT"/>
        </w:rPr>
        <w:t xml:space="preserve">metų. Po </w:t>
      </w:r>
      <w:proofErr w:type="spellStart"/>
      <w:r w:rsidRPr="0032192D">
        <w:rPr>
          <w:rFonts w:eastAsia="TimesNewRoman"/>
          <w:snapToGrid/>
          <w:szCs w:val="24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4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4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4"/>
          <w:lang w:val="lt-LT"/>
        </w:rPr>
        <w:t>/</w:t>
      </w:r>
      <w:proofErr w:type="spellStart"/>
      <w:r w:rsidRPr="0032192D">
        <w:rPr>
          <w:rFonts w:eastAsia="TimesNewRoman"/>
          <w:snapToGrid/>
          <w:szCs w:val="24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4"/>
          <w:lang w:val="lt-LT"/>
        </w:rPr>
        <w:t xml:space="preserve"> hidrochlorido </w:t>
      </w:r>
      <w:r w:rsidR="00325AB5" w:rsidRPr="0032192D">
        <w:rPr>
          <w:rFonts w:eastAsia="TimesNewRoman"/>
          <w:snapToGrid/>
          <w:szCs w:val="24"/>
          <w:lang w:val="lt-LT"/>
        </w:rPr>
        <w:t>pa</w:t>
      </w:r>
      <w:r w:rsidRPr="0032192D">
        <w:rPr>
          <w:rFonts w:eastAsia="TimesNewRoman"/>
          <w:snapToGrid/>
          <w:szCs w:val="24"/>
          <w:lang w:val="lt-LT"/>
        </w:rPr>
        <w:t>vartojimo didžiausi</w:t>
      </w:r>
      <w:r w:rsidR="00BC0BA5" w:rsidRPr="0032192D">
        <w:rPr>
          <w:rFonts w:eastAsia="TimesNewRoman"/>
          <w:snapToGrid/>
          <w:szCs w:val="24"/>
          <w:lang w:val="lt-LT"/>
        </w:rPr>
        <w:t>a</w:t>
      </w:r>
      <w:r w:rsidRPr="0032192D">
        <w:rPr>
          <w:rFonts w:eastAsia="TimesNewRoman"/>
          <w:snapToGrid/>
          <w:szCs w:val="24"/>
          <w:lang w:val="lt-LT"/>
        </w:rPr>
        <w:t xml:space="preserve"> vidutinė </w:t>
      </w:r>
      <w:r w:rsidR="00BC0BA5" w:rsidRPr="0032192D">
        <w:rPr>
          <w:rFonts w:eastAsia="TimesNewRoman"/>
          <w:snapToGrid/>
          <w:szCs w:val="24"/>
          <w:lang w:val="lt-LT"/>
        </w:rPr>
        <w:t>ekspozicija</w:t>
      </w:r>
      <w:r w:rsidRPr="0032192D">
        <w:rPr>
          <w:rFonts w:eastAsia="TimesNewRoman"/>
          <w:snapToGrid/>
          <w:szCs w:val="24"/>
          <w:lang w:val="lt-LT"/>
        </w:rPr>
        <w:t xml:space="preserve"> buvo nustatyt</w:t>
      </w:r>
      <w:r w:rsidR="00325AB5" w:rsidRPr="0032192D">
        <w:rPr>
          <w:rFonts w:eastAsia="TimesNewRoman"/>
          <w:snapToGrid/>
          <w:szCs w:val="24"/>
          <w:lang w:val="lt-LT"/>
        </w:rPr>
        <w:t>a</w:t>
      </w:r>
      <w:r w:rsidRPr="0032192D">
        <w:rPr>
          <w:rFonts w:eastAsia="TimesNewRoman"/>
          <w:snapToGrid/>
          <w:szCs w:val="24"/>
          <w:lang w:val="lt-LT"/>
        </w:rPr>
        <w:t xml:space="preserve"> </w:t>
      </w:r>
      <w:r w:rsidR="00325AB5" w:rsidRPr="0032192D">
        <w:rPr>
          <w:rFonts w:eastAsia="TimesNewRoman"/>
          <w:snapToGrid/>
          <w:szCs w:val="24"/>
          <w:lang w:val="lt-LT"/>
        </w:rPr>
        <w:t>senyviems</w:t>
      </w:r>
      <w:r w:rsidRPr="0032192D">
        <w:rPr>
          <w:rFonts w:eastAsia="TimesNewRoman"/>
          <w:snapToGrid/>
          <w:szCs w:val="24"/>
          <w:lang w:val="lt-LT"/>
        </w:rPr>
        <w:t xml:space="preserve"> </w:t>
      </w:r>
      <w:r w:rsidR="008509BF">
        <w:rPr>
          <w:rFonts w:eastAsia="TimesNewRoman"/>
          <w:snapToGrid/>
          <w:szCs w:val="24"/>
          <w:lang w:val="lt-LT"/>
        </w:rPr>
        <w:t>pacientams</w:t>
      </w:r>
      <w:r w:rsidRPr="0032192D">
        <w:rPr>
          <w:rFonts w:eastAsia="TimesNewRoman"/>
          <w:snapToGrid/>
          <w:szCs w:val="24"/>
          <w:lang w:val="lt-LT"/>
        </w:rPr>
        <w:t xml:space="preserve">, nors </w:t>
      </w:r>
      <w:r w:rsidR="007A1510" w:rsidRPr="0032192D">
        <w:rPr>
          <w:rFonts w:eastAsia="TimesNewRoman"/>
          <w:snapToGrid/>
          <w:szCs w:val="24"/>
          <w:lang w:val="lt-LT"/>
        </w:rPr>
        <w:t xml:space="preserve">ji </w:t>
      </w:r>
      <w:r w:rsidRPr="0032192D">
        <w:rPr>
          <w:rFonts w:eastAsia="TimesNewRoman"/>
          <w:snapToGrid/>
          <w:szCs w:val="24"/>
          <w:lang w:val="lt-LT"/>
        </w:rPr>
        <w:t xml:space="preserve">beveik visiškai </w:t>
      </w:r>
      <w:r w:rsidR="00325AB5" w:rsidRPr="0032192D">
        <w:rPr>
          <w:rFonts w:eastAsia="TimesNewRoman"/>
          <w:snapToGrid/>
          <w:szCs w:val="24"/>
          <w:lang w:val="lt-LT"/>
        </w:rPr>
        <w:t>persidengė</w:t>
      </w:r>
      <w:r w:rsidRPr="0032192D">
        <w:rPr>
          <w:rFonts w:eastAsia="TimesNewRoman"/>
          <w:snapToGrid/>
          <w:szCs w:val="24"/>
          <w:lang w:val="lt-LT"/>
        </w:rPr>
        <w:t xml:space="preserve"> su </w:t>
      </w:r>
      <w:r w:rsidR="00325AB5" w:rsidRPr="0032192D">
        <w:rPr>
          <w:rFonts w:eastAsia="TimesNewRoman"/>
          <w:snapToGrid/>
          <w:szCs w:val="24"/>
          <w:lang w:val="lt-LT"/>
        </w:rPr>
        <w:t xml:space="preserve">individualiais rodmenimis jaunesnių tiriamųjų </w:t>
      </w:r>
      <w:r w:rsidR="008B33B2" w:rsidRPr="0032192D">
        <w:rPr>
          <w:rFonts w:eastAsia="TimesNewRoman"/>
          <w:snapToGrid/>
          <w:szCs w:val="24"/>
          <w:lang w:val="lt-LT"/>
        </w:rPr>
        <w:t>organizme</w:t>
      </w:r>
      <w:r w:rsidRPr="0032192D">
        <w:rPr>
          <w:rFonts w:eastAsia="TimesNewRoman"/>
          <w:snapToGrid/>
          <w:szCs w:val="24"/>
          <w:lang w:val="lt-LT"/>
        </w:rPr>
        <w:t xml:space="preserve">. Tai patvirtino </w:t>
      </w:r>
      <w:r w:rsidR="008B33B2" w:rsidRPr="0032192D">
        <w:rPr>
          <w:rFonts w:eastAsia="TimesNewRoman"/>
          <w:snapToGrid/>
          <w:szCs w:val="24"/>
          <w:lang w:val="lt-LT"/>
        </w:rPr>
        <w:t xml:space="preserve">2 ir 3 fazės duomenų </w:t>
      </w:r>
      <w:r w:rsidRPr="0032192D">
        <w:rPr>
          <w:rFonts w:eastAsia="TimesNewRoman"/>
          <w:snapToGrid/>
          <w:szCs w:val="24"/>
          <w:lang w:val="lt-LT"/>
        </w:rPr>
        <w:t>populiaci</w:t>
      </w:r>
      <w:r w:rsidR="008B33B2" w:rsidRPr="0032192D">
        <w:rPr>
          <w:rFonts w:eastAsia="TimesNewRoman"/>
          <w:snapToGrid/>
          <w:szCs w:val="24"/>
          <w:lang w:val="lt-LT"/>
        </w:rPr>
        <w:t>jos</w:t>
      </w:r>
      <w:r w:rsidRPr="0032192D">
        <w:rPr>
          <w:rFonts w:eastAsia="TimesNewRoman"/>
          <w:snapToGrid/>
          <w:szCs w:val="24"/>
          <w:lang w:val="lt-LT"/>
        </w:rPr>
        <w:t xml:space="preserve"> farmakokineti</w:t>
      </w:r>
      <w:r w:rsidR="008B33B2" w:rsidRPr="0032192D">
        <w:rPr>
          <w:rFonts w:eastAsia="TimesNewRoman"/>
          <w:snapToGrid/>
          <w:szCs w:val="24"/>
          <w:lang w:val="lt-LT"/>
        </w:rPr>
        <w:t>kos</w:t>
      </w:r>
      <w:r w:rsidRPr="0032192D">
        <w:rPr>
          <w:rFonts w:eastAsia="TimesNewRoman"/>
          <w:snapToGrid/>
          <w:szCs w:val="24"/>
          <w:lang w:val="lt-LT"/>
        </w:rPr>
        <w:t xml:space="preserve"> analizė. </w:t>
      </w:r>
      <w:proofErr w:type="spellStart"/>
      <w:r w:rsidR="008B33B2" w:rsidRPr="0032192D">
        <w:rPr>
          <w:rFonts w:eastAsia="TimesNewRoman"/>
          <w:snapToGrid/>
          <w:szCs w:val="24"/>
          <w:lang w:val="lt-LT"/>
        </w:rPr>
        <w:t>S</w:t>
      </w:r>
      <w:r w:rsidRPr="0032192D">
        <w:rPr>
          <w:rFonts w:eastAsia="TimesNewRoman"/>
          <w:snapToGrid/>
          <w:szCs w:val="24"/>
          <w:lang w:val="lt-LT"/>
        </w:rPr>
        <w:t>olifenacino</w:t>
      </w:r>
      <w:proofErr w:type="spellEnd"/>
      <w:r w:rsidRPr="0032192D">
        <w:rPr>
          <w:rFonts w:eastAsia="TimesNewRoman"/>
          <w:snapToGrid/>
          <w:szCs w:val="24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4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4"/>
          <w:lang w:val="lt-LT"/>
        </w:rPr>
        <w:t>/</w:t>
      </w:r>
      <w:proofErr w:type="spellStart"/>
      <w:r w:rsidRPr="0032192D">
        <w:rPr>
          <w:rFonts w:eastAsia="TimesNewRoman"/>
          <w:snapToGrid/>
          <w:szCs w:val="24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4"/>
          <w:lang w:val="lt-LT"/>
        </w:rPr>
        <w:t xml:space="preserve"> hidrochlorido galima vartoti senyviems pacientams.</w:t>
      </w:r>
    </w:p>
    <w:p w14:paraId="0620661A" w14:textId="77777777" w:rsidR="00BD47D7" w:rsidRPr="0032192D" w:rsidRDefault="00BD47D7" w:rsidP="00BD47D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</w:p>
    <w:p w14:paraId="23F9AF8A" w14:textId="77777777" w:rsidR="00BD47D7" w:rsidRPr="0032192D" w:rsidRDefault="009233D7" w:rsidP="00BD47D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/>
          <w:iCs/>
          <w:snapToGrid/>
          <w:szCs w:val="24"/>
          <w:lang w:val="lt-LT"/>
        </w:rPr>
      </w:pPr>
      <w:r w:rsidRPr="0032192D">
        <w:rPr>
          <w:rFonts w:eastAsia="TimesNewRoman"/>
          <w:i/>
          <w:iCs/>
          <w:snapToGrid/>
          <w:szCs w:val="24"/>
          <w:lang w:val="lt-LT"/>
        </w:rPr>
        <w:t>Sutrikusi i</w:t>
      </w:r>
      <w:r w:rsidR="00BD47D7" w:rsidRPr="0032192D">
        <w:rPr>
          <w:rFonts w:eastAsia="TimesNewRoman"/>
          <w:i/>
          <w:iCs/>
          <w:snapToGrid/>
          <w:szCs w:val="24"/>
          <w:lang w:val="lt-LT"/>
        </w:rPr>
        <w:t>nkstų funkcij</w:t>
      </w:r>
      <w:r w:rsidRPr="0032192D">
        <w:rPr>
          <w:rFonts w:eastAsia="TimesNewRoman"/>
          <w:i/>
          <w:iCs/>
          <w:snapToGrid/>
          <w:szCs w:val="24"/>
          <w:lang w:val="lt-LT"/>
        </w:rPr>
        <w:t>a</w:t>
      </w:r>
    </w:p>
    <w:p w14:paraId="3CD00E89" w14:textId="77777777" w:rsidR="00BD47D7" w:rsidRPr="0032192D" w:rsidRDefault="00BD47D7" w:rsidP="00BD47D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u w:val="single"/>
          <w:lang w:val="lt-LT"/>
        </w:rPr>
      </w:pPr>
      <w:proofErr w:type="spellStart"/>
      <w:r w:rsidRPr="0032192D">
        <w:rPr>
          <w:rFonts w:eastAsia="TimesNewRoman"/>
          <w:snapToGrid/>
          <w:szCs w:val="24"/>
          <w:u w:val="single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4"/>
          <w:u w:val="single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4"/>
          <w:u w:val="single"/>
          <w:lang w:val="lt-LT"/>
        </w:rPr>
        <w:t>sukcinat</w:t>
      </w:r>
      <w:r w:rsidR="001B06A3" w:rsidRPr="0032192D">
        <w:rPr>
          <w:rFonts w:eastAsia="TimesNewRoman"/>
          <w:snapToGrid/>
          <w:szCs w:val="24"/>
          <w:u w:val="single"/>
          <w:lang w:val="lt-LT"/>
        </w:rPr>
        <w:t>as</w:t>
      </w:r>
      <w:proofErr w:type="spellEnd"/>
      <w:r w:rsidRPr="0032192D">
        <w:rPr>
          <w:rFonts w:eastAsia="TimesNewRoman"/>
          <w:snapToGrid/>
          <w:szCs w:val="24"/>
          <w:u w:val="single"/>
          <w:lang w:val="lt-LT"/>
        </w:rPr>
        <w:t>/</w:t>
      </w:r>
      <w:proofErr w:type="spellStart"/>
      <w:r w:rsidRPr="0032192D">
        <w:rPr>
          <w:rFonts w:eastAsia="TimesNewRoman"/>
          <w:snapToGrid/>
          <w:szCs w:val="24"/>
          <w:u w:val="single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4"/>
          <w:u w:val="single"/>
          <w:lang w:val="lt-LT"/>
        </w:rPr>
        <w:t xml:space="preserve"> hidrochlorid</w:t>
      </w:r>
      <w:r w:rsidR="001B06A3" w:rsidRPr="0032192D">
        <w:rPr>
          <w:rFonts w:eastAsia="TimesNewRoman"/>
          <w:snapToGrid/>
          <w:szCs w:val="24"/>
          <w:u w:val="single"/>
          <w:lang w:val="lt-LT"/>
        </w:rPr>
        <w:t>as</w:t>
      </w:r>
    </w:p>
    <w:p w14:paraId="14CA699A" w14:textId="77777777" w:rsidR="00BD47D7" w:rsidRPr="0032192D" w:rsidRDefault="001B06A3" w:rsidP="00BD47D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Pacientams, kuriems yra lengvas arba vidutinio sunkumo inkstų funkcijos sutrikimas,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sukcinatą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hidrochloridą vartoti galima</w:t>
      </w:r>
      <w:r w:rsidR="00AD51AE" w:rsidRPr="0032192D">
        <w:rPr>
          <w:rFonts w:eastAsia="TimesNewRoman"/>
          <w:snapToGrid/>
          <w:szCs w:val="22"/>
          <w:lang w:val="lt-LT"/>
        </w:rPr>
        <w:t>, tačiau p</w:t>
      </w:r>
      <w:r w:rsidRPr="0032192D">
        <w:rPr>
          <w:rFonts w:eastAsia="TimesNewRoman"/>
          <w:snapToGrid/>
          <w:szCs w:val="22"/>
          <w:lang w:val="lt-LT"/>
        </w:rPr>
        <w:t>acient</w:t>
      </w:r>
      <w:r w:rsidR="007A1510" w:rsidRPr="0032192D">
        <w:rPr>
          <w:rFonts w:eastAsia="TimesNewRoman"/>
          <w:snapToGrid/>
          <w:szCs w:val="22"/>
          <w:lang w:val="lt-LT"/>
        </w:rPr>
        <w:t>am</w:t>
      </w:r>
      <w:r w:rsidRPr="0032192D">
        <w:rPr>
          <w:rFonts w:eastAsia="TimesNewRoman"/>
          <w:snapToGrid/>
          <w:szCs w:val="22"/>
          <w:lang w:val="lt-LT"/>
        </w:rPr>
        <w:t xml:space="preserve">s, kuriems yra sunkus inkstų funkcijos sutrikimas, </w:t>
      </w:r>
      <w:r w:rsidR="007A1510" w:rsidRPr="0032192D">
        <w:rPr>
          <w:rFonts w:eastAsia="TimesNewRoman"/>
          <w:snapToGrid/>
          <w:szCs w:val="22"/>
          <w:lang w:val="lt-LT"/>
        </w:rPr>
        <w:t>jo reikia vartoti</w:t>
      </w:r>
      <w:r w:rsidRPr="0032192D">
        <w:rPr>
          <w:rFonts w:eastAsia="TimesNewRoman"/>
          <w:snapToGrid/>
          <w:szCs w:val="22"/>
          <w:lang w:val="lt-LT"/>
        </w:rPr>
        <w:t xml:space="preserve"> atsargiai</w:t>
      </w:r>
      <w:r w:rsidR="00BD47D7" w:rsidRPr="0032192D">
        <w:rPr>
          <w:rFonts w:eastAsia="TimesNewRoman"/>
          <w:snapToGrid/>
          <w:szCs w:val="24"/>
          <w:lang w:val="lt-LT"/>
        </w:rPr>
        <w:t>.</w:t>
      </w:r>
    </w:p>
    <w:p w14:paraId="3441E587" w14:textId="77777777" w:rsidR="00BD47D7" w:rsidRPr="0032192D" w:rsidRDefault="00BD47D7" w:rsidP="00BD47D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  <w:proofErr w:type="spellStart"/>
      <w:r w:rsidRPr="0032192D">
        <w:rPr>
          <w:rFonts w:eastAsia="TimesNewRoman"/>
          <w:snapToGrid/>
          <w:szCs w:val="24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4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4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4"/>
          <w:lang w:val="lt-LT"/>
        </w:rPr>
        <w:t>/</w:t>
      </w:r>
      <w:proofErr w:type="spellStart"/>
      <w:r w:rsidRPr="0032192D">
        <w:rPr>
          <w:rFonts w:eastAsia="TimesNewRoman"/>
          <w:snapToGrid/>
          <w:szCs w:val="24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4"/>
          <w:lang w:val="lt-LT"/>
        </w:rPr>
        <w:t xml:space="preserve"> hidrochlorido </w:t>
      </w:r>
      <w:proofErr w:type="spellStart"/>
      <w:r w:rsidRPr="0032192D">
        <w:rPr>
          <w:rFonts w:eastAsia="TimesNewRoman"/>
          <w:snapToGrid/>
          <w:szCs w:val="24"/>
          <w:lang w:val="lt-LT"/>
        </w:rPr>
        <w:t>farmakokinetika</w:t>
      </w:r>
      <w:proofErr w:type="spellEnd"/>
      <w:r w:rsidRPr="0032192D">
        <w:rPr>
          <w:rFonts w:eastAsia="TimesNewRoman"/>
          <w:snapToGrid/>
          <w:szCs w:val="24"/>
          <w:lang w:val="lt-LT"/>
        </w:rPr>
        <w:t xml:space="preserve"> pacientams, kurių inkstų veikla sutrikusi, netirta.</w:t>
      </w:r>
    </w:p>
    <w:p w14:paraId="5F0F48CD" w14:textId="77777777" w:rsidR="00BD47D7" w:rsidRPr="0032192D" w:rsidRDefault="00AD51AE" w:rsidP="00BD47D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Toliau pateikiami teiginiai atspindi turimą </w:t>
      </w:r>
      <w:r w:rsidRPr="0032192D">
        <w:rPr>
          <w:rFonts w:eastAsia="TimesNewRoman"/>
          <w:snapToGrid/>
          <w:szCs w:val="24"/>
          <w:lang w:val="lt-LT"/>
        </w:rPr>
        <w:t>su inkstų funkcijos sutrikimu</w:t>
      </w:r>
      <w:r w:rsidRPr="0032192D">
        <w:rPr>
          <w:rFonts w:eastAsia="TimesNewRoman"/>
          <w:snapToGrid/>
          <w:szCs w:val="22"/>
          <w:lang w:val="lt-LT"/>
        </w:rPr>
        <w:t xml:space="preserve"> susijusią informaciją apie atskiras veikliąsias medžiagas</w:t>
      </w:r>
      <w:r w:rsidR="00BD47D7" w:rsidRPr="0032192D">
        <w:rPr>
          <w:rFonts w:eastAsia="TimesNewRoman"/>
          <w:snapToGrid/>
          <w:szCs w:val="24"/>
          <w:lang w:val="lt-LT"/>
        </w:rPr>
        <w:t>.</w:t>
      </w:r>
    </w:p>
    <w:p w14:paraId="6868DBBA" w14:textId="77777777" w:rsidR="00BD47D7" w:rsidRPr="0032192D" w:rsidRDefault="00BD47D7" w:rsidP="00BD47D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</w:p>
    <w:p w14:paraId="19C2670F" w14:textId="77777777" w:rsidR="00BD47D7" w:rsidRPr="0032192D" w:rsidRDefault="00BD47D7" w:rsidP="00BD47D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u w:val="single"/>
          <w:lang w:val="lt-LT"/>
        </w:rPr>
      </w:pPr>
      <w:proofErr w:type="spellStart"/>
      <w:r w:rsidRPr="0032192D">
        <w:rPr>
          <w:rFonts w:eastAsia="TimesNewRoman"/>
          <w:snapToGrid/>
          <w:szCs w:val="24"/>
          <w:u w:val="single"/>
          <w:lang w:val="lt-LT"/>
        </w:rPr>
        <w:t>Solifenacinas</w:t>
      </w:r>
      <w:proofErr w:type="spellEnd"/>
    </w:p>
    <w:p w14:paraId="51F860EC" w14:textId="77777777" w:rsidR="00BD47D7" w:rsidRPr="0032192D" w:rsidRDefault="000729F2" w:rsidP="00BD47D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  <w:r w:rsidRPr="0032192D">
        <w:rPr>
          <w:lang w:val="lt-LT"/>
        </w:rPr>
        <w:t xml:space="preserve">Pacientų, kuriems yra lengvas arba vidutinio sunkumo inkstų funkcijos sutrikimas, organizme </w:t>
      </w:r>
      <w:proofErr w:type="spellStart"/>
      <w:r w:rsidRPr="0032192D">
        <w:rPr>
          <w:lang w:val="lt-LT"/>
        </w:rPr>
        <w:t>solifenacino</w:t>
      </w:r>
      <w:proofErr w:type="spellEnd"/>
      <w:r w:rsidRPr="0032192D">
        <w:rPr>
          <w:lang w:val="lt-LT"/>
        </w:rPr>
        <w:t xml:space="preserve"> AUC ir </w:t>
      </w:r>
      <w:proofErr w:type="spellStart"/>
      <w:r w:rsidRPr="0032192D">
        <w:rPr>
          <w:lang w:val="lt-LT"/>
        </w:rPr>
        <w:t>C</w:t>
      </w:r>
      <w:r w:rsidRPr="0032192D">
        <w:rPr>
          <w:vertAlign w:val="subscript"/>
          <w:lang w:val="lt-LT"/>
        </w:rPr>
        <w:t>max</w:t>
      </w:r>
      <w:proofErr w:type="spellEnd"/>
      <w:r w:rsidRPr="0032192D">
        <w:rPr>
          <w:lang w:val="lt-LT"/>
        </w:rPr>
        <w:t xml:space="preserve"> reikšmingai nesiskyrė nuo rodmenų sveikų savanorių organizme</w:t>
      </w:r>
      <w:r w:rsidR="00BD47D7" w:rsidRPr="0032192D">
        <w:rPr>
          <w:rFonts w:eastAsia="TimesNewRoman"/>
          <w:snapToGrid/>
          <w:szCs w:val="24"/>
          <w:lang w:val="lt-LT"/>
        </w:rPr>
        <w:t xml:space="preserve">. </w:t>
      </w:r>
      <w:r w:rsidRPr="0032192D">
        <w:rPr>
          <w:lang w:val="lt-LT"/>
        </w:rPr>
        <w:t xml:space="preserve">Pacientų, kuriems yra sunkus inkstų funkcijos sutrikimas (kreatinino klirensas ≤ 30 ml/min.), organizme </w:t>
      </w:r>
      <w:proofErr w:type="spellStart"/>
      <w:r w:rsidRPr="0032192D">
        <w:rPr>
          <w:lang w:val="lt-LT"/>
        </w:rPr>
        <w:t>solifenacino</w:t>
      </w:r>
      <w:proofErr w:type="spellEnd"/>
      <w:r w:rsidRPr="0032192D">
        <w:rPr>
          <w:lang w:val="lt-LT"/>
        </w:rPr>
        <w:t xml:space="preserve"> ekspozicija buvo reikšmingai didesnė negu kontrolinės grupės rodmenys: </w:t>
      </w:r>
      <w:proofErr w:type="spellStart"/>
      <w:r w:rsidRPr="0032192D">
        <w:rPr>
          <w:lang w:val="lt-LT"/>
        </w:rPr>
        <w:t>C</w:t>
      </w:r>
      <w:r w:rsidRPr="0032192D">
        <w:rPr>
          <w:vertAlign w:val="subscript"/>
          <w:lang w:val="lt-LT"/>
        </w:rPr>
        <w:t>max</w:t>
      </w:r>
      <w:proofErr w:type="spellEnd"/>
      <w:r w:rsidRPr="0032192D">
        <w:rPr>
          <w:lang w:val="lt-LT"/>
        </w:rPr>
        <w:t xml:space="preserve"> buvo didesnė maždaug 30 %, AUC – daugiau kaip 100 %, t</w:t>
      </w:r>
      <w:r w:rsidRPr="0032192D">
        <w:rPr>
          <w:vertAlign w:val="subscript"/>
          <w:lang w:val="lt-LT"/>
        </w:rPr>
        <w:t>½</w:t>
      </w:r>
      <w:r w:rsidRPr="0032192D">
        <w:rPr>
          <w:lang w:val="lt-LT"/>
        </w:rPr>
        <w:t xml:space="preserve"> – daugiau kaip 60 %. </w:t>
      </w:r>
      <w:r w:rsidRPr="0032192D">
        <w:rPr>
          <w:rFonts w:eastAsia="TimesNewRoman"/>
          <w:snapToGrid/>
          <w:szCs w:val="24"/>
          <w:lang w:val="lt-LT"/>
        </w:rPr>
        <w:t>Nustatytas</w:t>
      </w:r>
      <w:r w:rsidR="00BD47D7" w:rsidRPr="0032192D">
        <w:rPr>
          <w:rFonts w:eastAsia="TimesNewRoman"/>
          <w:snapToGrid/>
          <w:szCs w:val="24"/>
          <w:lang w:val="lt-LT"/>
        </w:rPr>
        <w:t xml:space="preserve"> statistiškai reikšmingas ryšys tarp </w:t>
      </w:r>
      <w:proofErr w:type="spellStart"/>
      <w:r w:rsidR="00BD47D7" w:rsidRPr="0032192D">
        <w:rPr>
          <w:rFonts w:eastAsia="TimesNewRoman"/>
          <w:snapToGrid/>
          <w:szCs w:val="24"/>
          <w:lang w:val="lt-LT"/>
        </w:rPr>
        <w:t>kreatinino</w:t>
      </w:r>
      <w:proofErr w:type="spellEnd"/>
      <w:r w:rsidR="00BD47D7" w:rsidRPr="0032192D">
        <w:rPr>
          <w:rFonts w:eastAsia="TimesNewRoman"/>
          <w:snapToGrid/>
          <w:szCs w:val="24"/>
          <w:lang w:val="lt-LT"/>
        </w:rPr>
        <w:t xml:space="preserve"> klirenso ir </w:t>
      </w:r>
      <w:proofErr w:type="spellStart"/>
      <w:r w:rsidR="00BD47D7" w:rsidRPr="0032192D">
        <w:rPr>
          <w:rFonts w:eastAsia="TimesNewRoman"/>
          <w:snapToGrid/>
          <w:szCs w:val="24"/>
          <w:lang w:val="lt-LT"/>
        </w:rPr>
        <w:t>solifenacino</w:t>
      </w:r>
      <w:proofErr w:type="spellEnd"/>
      <w:r w:rsidR="00BD47D7" w:rsidRPr="0032192D">
        <w:rPr>
          <w:rFonts w:eastAsia="TimesNewRoman"/>
          <w:snapToGrid/>
          <w:szCs w:val="24"/>
          <w:lang w:val="lt-LT"/>
        </w:rPr>
        <w:t xml:space="preserve"> klirenso.</w:t>
      </w:r>
    </w:p>
    <w:p w14:paraId="40AB1999" w14:textId="77777777" w:rsidR="00BD47D7" w:rsidRPr="0032192D" w:rsidRDefault="000729F2" w:rsidP="00BD47D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  <w:r w:rsidRPr="0032192D">
        <w:rPr>
          <w:rFonts w:eastAsia="TimesNewRoman"/>
          <w:snapToGrid/>
          <w:szCs w:val="24"/>
          <w:lang w:val="lt-LT"/>
        </w:rPr>
        <w:t xml:space="preserve">Pacientų, kuriems atliekamos hemodializės, organizme </w:t>
      </w:r>
      <w:proofErr w:type="spellStart"/>
      <w:r w:rsidRPr="0032192D">
        <w:rPr>
          <w:rFonts w:eastAsia="TimesNewRoman"/>
          <w:snapToGrid/>
          <w:szCs w:val="24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4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4"/>
          <w:lang w:val="lt-LT"/>
        </w:rPr>
        <w:t>farmakokinetika</w:t>
      </w:r>
      <w:proofErr w:type="spellEnd"/>
      <w:r w:rsidRPr="0032192D">
        <w:rPr>
          <w:rFonts w:eastAsia="TimesNewRoman"/>
          <w:snapToGrid/>
          <w:szCs w:val="24"/>
          <w:lang w:val="lt-LT"/>
        </w:rPr>
        <w:t xml:space="preserve"> netirta</w:t>
      </w:r>
      <w:r w:rsidR="00BD47D7" w:rsidRPr="0032192D">
        <w:rPr>
          <w:rFonts w:eastAsia="TimesNewRoman"/>
          <w:snapToGrid/>
          <w:szCs w:val="24"/>
          <w:lang w:val="lt-LT"/>
        </w:rPr>
        <w:t>.</w:t>
      </w:r>
    </w:p>
    <w:p w14:paraId="7F01D094" w14:textId="77777777" w:rsidR="00BD47D7" w:rsidRPr="0032192D" w:rsidRDefault="00BD47D7" w:rsidP="00BD47D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</w:p>
    <w:p w14:paraId="03ABC158" w14:textId="77777777" w:rsidR="00BD47D7" w:rsidRPr="0032192D" w:rsidRDefault="00BD47D7" w:rsidP="00BD47D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u w:val="single"/>
          <w:lang w:val="lt-LT"/>
        </w:rPr>
      </w:pPr>
      <w:proofErr w:type="spellStart"/>
      <w:r w:rsidRPr="0032192D">
        <w:rPr>
          <w:rFonts w:eastAsia="TimesNewRoman"/>
          <w:snapToGrid/>
          <w:szCs w:val="24"/>
          <w:u w:val="single"/>
          <w:lang w:val="lt-LT"/>
        </w:rPr>
        <w:t>Tamsulozinas</w:t>
      </w:r>
      <w:proofErr w:type="spellEnd"/>
    </w:p>
    <w:p w14:paraId="6F24FEF2" w14:textId="77777777" w:rsidR="00D73633" w:rsidRPr="0032192D" w:rsidRDefault="00D73633" w:rsidP="00D73633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napToGrid/>
          <w:szCs w:val="22"/>
          <w:lang w:val="lt-LT"/>
        </w:rPr>
      </w:pPr>
      <w:r w:rsidRPr="0032192D">
        <w:rPr>
          <w:rFonts w:eastAsia="Calibri"/>
          <w:snapToGrid/>
          <w:szCs w:val="22"/>
          <w:lang w:val="lt-LT"/>
        </w:rPr>
        <w:t xml:space="preserve">Buvo palyginta </w:t>
      </w:r>
      <w:proofErr w:type="spellStart"/>
      <w:r w:rsidRPr="0032192D">
        <w:rPr>
          <w:rFonts w:eastAsia="Calibri"/>
          <w:snapToGrid/>
          <w:szCs w:val="22"/>
          <w:lang w:val="lt-LT"/>
        </w:rPr>
        <w:t>tamsulozino</w:t>
      </w:r>
      <w:proofErr w:type="spellEnd"/>
      <w:r w:rsidRPr="0032192D">
        <w:rPr>
          <w:rFonts w:eastAsia="Calibri"/>
          <w:snapToGrid/>
          <w:szCs w:val="22"/>
          <w:lang w:val="lt-LT"/>
        </w:rPr>
        <w:t xml:space="preserve"> hidrochlorido </w:t>
      </w:r>
      <w:proofErr w:type="spellStart"/>
      <w:r w:rsidRPr="0032192D">
        <w:rPr>
          <w:rFonts w:eastAsia="Calibri"/>
          <w:snapToGrid/>
          <w:szCs w:val="22"/>
          <w:lang w:val="lt-LT"/>
        </w:rPr>
        <w:t>farmakokinetika</w:t>
      </w:r>
      <w:proofErr w:type="spellEnd"/>
      <w:r w:rsidRPr="0032192D">
        <w:rPr>
          <w:rFonts w:eastAsia="Calibri"/>
          <w:snapToGrid/>
          <w:szCs w:val="22"/>
          <w:lang w:val="lt-LT"/>
        </w:rPr>
        <w:t xml:space="preserve"> 6 tiriamųjų, kuriems diagnozuotas lengvas ar vidutinio sunkumo (30 ≤ kreatinino klirensas &lt; 70 ml/min./1,73 m</w:t>
      </w:r>
      <w:r w:rsidRPr="0032192D">
        <w:rPr>
          <w:rFonts w:eastAsia="Calibri"/>
          <w:snapToGrid/>
          <w:szCs w:val="22"/>
          <w:vertAlign w:val="superscript"/>
          <w:lang w:val="lt-LT"/>
        </w:rPr>
        <w:t>2</w:t>
      </w:r>
      <w:r w:rsidRPr="0032192D">
        <w:rPr>
          <w:rFonts w:eastAsia="Calibri"/>
          <w:snapToGrid/>
          <w:szCs w:val="22"/>
          <w:lang w:val="lt-LT"/>
        </w:rPr>
        <w:t>) arba sunkus (&lt; 30 ml/min./1,73 m</w:t>
      </w:r>
      <w:r w:rsidRPr="0032192D">
        <w:rPr>
          <w:rFonts w:eastAsia="Calibri"/>
          <w:snapToGrid/>
          <w:szCs w:val="22"/>
          <w:vertAlign w:val="superscript"/>
          <w:lang w:val="lt-LT"/>
        </w:rPr>
        <w:t>2</w:t>
      </w:r>
      <w:r w:rsidRPr="0032192D">
        <w:rPr>
          <w:rFonts w:eastAsia="Calibri"/>
          <w:snapToGrid/>
          <w:szCs w:val="22"/>
          <w:lang w:val="lt-LT"/>
        </w:rPr>
        <w:t>) inkstų funkcijos sutrikimas, ir 6 sveikų tiriamųjų (kreatinino klirensas &gt; 90 ml/min./1,73 m</w:t>
      </w:r>
      <w:r w:rsidRPr="0032192D">
        <w:rPr>
          <w:rFonts w:eastAsia="Calibri"/>
          <w:snapToGrid/>
          <w:szCs w:val="22"/>
          <w:vertAlign w:val="superscript"/>
          <w:lang w:val="lt-LT"/>
        </w:rPr>
        <w:t>2</w:t>
      </w:r>
      <w:r w:rsidRPr="0032192D">
        <w:rPr>
          <w:rFonts w:eastAsia="Calibri"/>
          <w:snapToGrid/>
          <w:szCs w:val="22"/>
          <w:lang w:val="lt-LT"/>
        </w:rPr>
        <w:t xml:space="preserve">) organizme. Nustatytas </w:t>
      </w:r>
      <w:proofErr w:type="spellStart"/>
      <w:r w:rsidRPr="0032192D">
        <w:rPr>
          <w:rFonts w:eastAsia="Calibri"/>
          <w:snapToGrid/>
          <w:szCs w:val="22"/>
          <w:lang w:val="lt-LT"/>
        </w:rPr>
        <w:t>tamsulozino</w:t>
      </w:r>
      <w:proofErr w:type="spellEnd"/>
      <w:r w:rsidRPr="0032192D">
        <w:rPr>
          <w:rFonts w:eastAsia="Calibri"/>
          <w:snapToGrid/>
          <w:szCs w:val="22"/>
          <w:lang w:val="lt-LT"/>
        </w:rPr>
        <w:t xml:space="preserve"> bendrosios koncentracijos kraujo plazmoje pokytis dėl pakitusio prisijungimo prie </w:t>
      </w:r>
      <w:r w:rsidRPr="0032192D">
        <w:rPr>
          <w:rFonts w:eastAsia="TimesNewRoman"/>
          <w:snapToGrid/>
          <w:szCs w:val="22"/>
          <w:lang w:val="lt-LT"/>
        </w:rPr>
        <w:t xml:space="preserve">α1 rūgščiojo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glikoproteino</w:t>
      </w:r>
      <w:proofErr w:type="spellEnd"/>
      <w:r w:rsidRPr="0032192D">
        <w:rPr>
          <w:rFonts w:eastAsia="Calibri"/>
          <w:snapToGrid/>
          <w:szCs w:val="22"/>
          <w:lang w:val="lt-LT"/>
        </w:rPr>
        <w:t xml:space="preserve">, o neprisijungusio (aktyvaus) </w:t>
      </w:r>
      <w:proofErr w:type="spellStart"/>
      <w:r w:rsidRPr="0032192D">
        <w:rPr>
          <w:rFonts w:eastAsia="Calibri"/>
          <w:snapToGrid/>
          <w:szCs w:val="22"/>
          <w:lang w:val="lt-LT"/>
        </w:rPr>
        <w:t>tamsulozino</w:t>
      </w:r>
      <w:proofErr w:type="spellEnd"/>
      <w:r w:rsidRPr="0032192D">
        <w:rPr>
          <w:rFonts w:eastAsia="Calibri"/>
          <w:snapToGrid/>
          <w:szCs w:val="22"/>
          <w:lang w:val="lt-LT"/>
        </w:rPr>
        <w:t xml:space="preserve"> hidrochlorido koncentracija ir vidinis klirensas išliko reliatyviai stabilūs. Tyrimų su pacientais, kurie serga galutinės stadijos inkstų liga (kreatinino klirensas &lt; 10 ml/min./1,73 m</w:t>
      </w:r>
      <w:r w:rsidRPr="0032192D">
        <w:rPr>
          <w:rFonts w:eastAsia="Calibri"/>
          <w:snapToGrid/>
          <w:szCs w:val="22"/>
          <w:vertAlign w:val="superscript"/>
          <w:lang w:val="lt-LT"/>
        </w:rPr>
        <w:t>2</w:t>
      </w:r>
      <w:r w:rsidRPr="0032192D">
        <w:rPr>
          <w:rFonts w:eastAsia="Calibri"/>
          <w:snapToGrid/>
          <w:szCs w:val="22"/>
          <w:lang w:val="lt-LT"/>
        </w:rPr>
        <w:t>)</w:t>
      </w:r>
      <w:r w:rsidR="00480553" w:rsidRPr="0032192D">
        <w:rPr>
          <w:rFonts w:eastAsia="Calibri"/>
          <w:snapToGrid/>
          <w:szCs w:val="22"/>
          <w:lang w:val="lt-LT"/>
        </w:rPr>
        <w:t>,</w:t>
      </w:r>
      <w:r w:rsidRPr="0032192D">
        <w:rPr>
          <w:rFonts w:eastAsia="Calibri"/>
          <w:snapToGrid/>
          <w:szCs w:val="22"/>
          <w:lang w:val="lt-LT"/>
        </w:rPr>
        <w:t xml:space="preserve"> neatlikta.</w:t>
      </w:r>
    </w:p>
    <w:p w14:paraId="795569AB" w14:textId="77777777" w:rsidR="00BD47D7" w:rsidRPr="0032192D" w:rsidRDefault="00BD47D7" w:rsidP="00BD47D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</w:p>
    <w:p w14:paraId="5CC3CAB8" w14:textId="77777777" w:rsidR="004F45CB" w:rsidRPr="0032192D" w:rsidRDefault="004F45CB" w:rsidP="004F45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/>
          <w:iCs/>
          <w:snapToGrid/>
          <w:szCs w:val="24"/>
          <w:lang w:val="lt-LT"/>
        </w:rPr>
      </w:pPr>
      <w:r w:rsidRPr="0032192D">
        <w:rPr>
          <w:rFonts w:eastAsia="TimesNewRoman"/>
          <w:i/>
          <w:iCs/>
          <w:snapToGrid/>
          <w:szCs w:val="24"/>
          <w:lang w:val="lt-LT"/>
        </w:rPr>
        <w:t>Sutrikusi kepenų funkcija</w:t>
      </w:r>
    </w:p>
    <w:p w14:paraId="5E44C996" w14:textId="77777777" w:rsidR="004F45CB" w:rsidRPr="0032192D" w:rsidRDefault="004F45CB" w:rsidP="004F45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u w:val="single"/>
          <w:lang w:val="lt-LT"/>
        </w:rPr>
      </w:pPr>
      <w:proofErr w:type="spellStart"/>
      <w:r w:rsidRPr="0032192D">
        <w:rPr>
          <w:rFonts w:eastAsia="TimesNewRoman"/>
          <w:snapToGrid/>
          <w:szCs w:val="24"/>
          <w:u w:val="single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4"/>
          <w:u w:val="single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4"/>
          <w:u w:val="single"/>
          <w:lang w:val="lt-LT"/>
        </w:rPr>
        <w:t>sukcinatas</w:t>
      </w:r>
      <w:proofErr w:type="spellEnd"/>
      <w:r w:rsidRPr="0032192D">
        <w:rPr>
          <w:rFonts w:eastAsia="TimesNewRoman"/>
          <w:snapToGrid/>
          <w:szCs w:val="24"/>
          <w:u w:val="single"/>
          <w:lang w:val="lt-LT"/>
        </w:rPr>
        <w:t>/</w:t>
      </w:r>
      <w:proofErr w:type="spellStart"/>
      <w:r w:rsidRPr="0032192D">
        <w:rPr>
          <w:rFonts w:eastAsia="TimesNewRoman"/>
          <w:snapToGrid/>
          <w:szCs w:val="24"/>
          <w:u w:val="single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4"/>
          <w:u w:val="single"/>
          <w:lang w:val="lt-LT"/>
        </w:rPr>
        <w:t xml:space="preserve"> hidrochloridas</w:t>
      </w:r>
    </w:p>
    <w:p w14:paraId="0FF66A0B" w14:textId="77777777" w:rsidR="00BD47D7" w:rsidRPr="0032192D" w:rsidRDefault="00F26D47" w:rsidP="00BD47D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Pacientams, kuriems yra lengvas arba vidutinio sunkumo kepenų funkcijos sutrikimas,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sukcinatą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hidrochloridą vartoti galima, tačiau jo draudžiama vartoti pacientams, kuriems yra sunkus kepenų funkcijos sutrikimas</w:t>
      </w:r>
      <w:r w:rsidR="00BD47D7" w:rsidRPr="0032192D">
        <w:rPr>
          <w:rFonts w:eastAsia="TimesNewRoman"/>
          <w:snapToGrid/>
          <w:szCs w:val="24"/>
          <w:lang w:val="lt-LT"/>
        </w:rPr>
        <w:t>.</w:t>
      </w:r>
    </w:p>
    <w:p w14:paraId="7B4EE6B5" w14:textId="77777777" w:rsidR="00F26D47" w:rsidRPr="0032192D" w:rsidRDefault="00F26D47" w:rsidP="00F26D4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32192D">
        <w:rPr>
          <w:rFonts w:eastAsia="TimesNewRoman"/>
          <w:snapToGrid/>
          <w:szCs w:val="24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4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4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4"/>
          <w:lang w:val="lt-LT"/>
        </w:rPr>
        <w:t>/</w:t>
      </w:r>
      <w:proofErr w:type="spellStart"/>
      <w:r w:rsidRPr="0032192D">
        <w:rPr>
          <w:rFonts w:eastAsia="TimesNewRoman"/>
          <w:snapToGrid/>
          <w:szCs w:val="24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4"/>
          <w:lang w:val="lt-LT"/>
        </w:rPr>
        <w:t xml:space="preserve"> hidrochlorido </w:t>
      </w:r>
      <w:proofErr w:type="spellStart"/>
      <w:r w:rsidRPr="0032192D">
        <w:rPr>
          <w:rFonts w:eastAsia="TimesNewRoman"/>
          <w:snapToGrid/>
          <w:szCs w:val="24"/>
          <w:lang w:val="lt-LT"/>
        </w:rPr>
        <w:t>farmakokinetika</w:t>
      </w:r>
      <w:proofErr w:type="spellEnd"/>
      <w:r w:rsidRPr="0032192D">
        <w:rPr>
          <w:rFonts w:eastAsia="TimesNewRoman"/>
          <w:snapToGrid/>
          <w:szCs w:val="24"/>
          <w:lang w:val="lt-LT"/>
        </w:rPr>
        <w:t xml:space="preserve"> pacientams, kurių kepenų veikla sutrikusi, netirta.</w:t>
      </w:r>
      <w:r w:rsidR="007A1510" w:rsidRPr="0032192D">
        <w:rPr>
          <w:rFonts w:eastAsia="TimesNewRoman"/>
          <w:snapToGrid/>
          <w:szCs w:val="24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 xml:space="preserve">Toliau pateikiami teiginiai atspindi turimą </w:t>
      </w:r>
      <w:r w:rsidRPr="0032192D">
        <w:rPr>
          <w:rFonts w:eastAsia="TimesNewRoman"/>
          <w:snapToGrid/>
          <w:szCs w:val="24"/>
          <w:lang w:val="lt-LT"/>
        </w:rPr>
        <w:t>su kepenų funkcijos sutrikimu</w:t>
      </w:r>
      <w:r w:rsidRPr="0032192D">
        <w:rPr>
          <w:rFonts w:eastAsia="TimesNewRoman"/>
          <w:snapToGrid/>
          <w:szCs w:val="22"/>
          <w:lang w:val="lt-LT"/>
        </w:rPr>
        <w:t xml:space="preserve"> susijusią informaciją apie atskiras veikliąsias medžiagas</w:t>
      </w:r>
      <w:r w:rsidRPr="0032192D">
        <w:rPr>
          <w:rFonts w:eastAsia="TimesNewRoman"/>
          <w:snapToGrid/>
          <w:szCs w:val="24"/>
          <w:lang w:val="lt-LT"/>
        </w:rPr>
        <w:t>.</w:t>
      </w:r>
    </w:p>
    <w:p w14:paraId="1CF5AF3C" w14:textId="77777777" w:rsidR="00BD47D7" w:rsidRPr="0032192D" w:rsidRDefault="00BD47D7" w:rsidP="00BD47D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</w:p>
    <w:p w14:paraId="18503F7B" w14:textId="77777777" w:rsidR="00BD47D7" w:rsidRPr="0032192D" w:rsidRDefault="00BD47D7" w:rsidP="00BD47D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u w:val="single"/>
          <w:lang w:val="lt-LT"/>
        </w:rPr>
      </w:pPr>
      <w:proofErr w:type="spellStart"/>
      <w:r w:rsidRPr="0032192D">
        <w:rPr>
          <w:rFonts w:eastAsia="TimesNewRoman"/>
          <w:snapToGrid/>
          <w:szCs w:val="24"/>
          <w:u w:val="single"/>
          <w:lang w:val="lt-LT"/>
        </w:rPr>
        <w:t>Solifenacinas</w:t>
      </w:r>
      <w:proofErr w:type="spellEnd"/>
    </w:p>
    <w:p w14:paraId="59A00B61" w14:textId="77777777" w:rsidR="007867E9" w:rsidRPr="0032192D" w:rsidRDefault="007867E9" w:rsidP="007867E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  <w:r w:rsidRPr="0032192D">
        <w:rPr>
          <w:rFonts w:eastAsia="TimesNewRoman"/>
          <w:snapToGrid/>
          <w:szCs w:val="24"/>
          <w:lang w:val="lt-LT"/>
        </w:rPr>
        <w:t>Pacientų, kuriems yra vidutinio sunkumo kepenų funkcijos sutrikimas (</w:t>
      </w:r>
      <w:proofErr w:type="spellStart"/>
      <w:r w:rsidRPr="0032192D">
        <w:rPr>
          <w:rFonts w:eastAsia="TimesNewRoman"/>
          <w:i/>
          <w:iCs/>
          <w:snapToGrid/>
          <w:szCs w:val="22"/>
          <w:lang w:val="lt-LT"/>
        </w:rPr>
        <w:t>Child-Pugh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skalės įvertis</w:t>
      </w:r>
      <w:r w:rsidRPr="0032192D">
        <w:rPr>
          <w:rFonts w:eastAsia="TimesNewRoman"/>
          <w:snapToGrid/>
          <w:szCs w:val="24"/>
          <w:lang w:val="lt-LT"/>
        </w:rPr>
        <w:t xml:space="preserve"> 7</w:t>
      </w:r>
      <w:r w:rsidRPr="0032192D">
        <w:rPr>
          <w:rFonts w:eastAsia="TimesNewRoman"/>
          <w:snapToGrid/>
          <w:szCs w:val="24"/>
          <w:lang w:val="lt-LT"/>
        </w:rPr>
        <w:noBreakHyphen/>
        <w:t xml:space="preserve">9), organizme </w:t>
      </w:r>
      <w:proofErr w:type="spellStart"/>
      <w:r w:rsidRPr="0032192D">
        <w:rPr>
          <w:rFonts w:eastAsia="TimesNewRoman"/>
          <w:snapToGrid/>
          <w:szCs w:val="24"/>
          <w:lang w:val="lt-LT"/>
        </w:rPr>
        <w:t>C</w:t>
      </w:r>
      <w:r w:rsidRPr="0032192D">
        <w:rPr>
          <w:rFonts w:eastAsia="TimesNewRoman"/>
          <w:snapToGrid/>
          <w:szCs w:val="24"/>
          <w:vertAlign w:val="subscript"/>
          <w:lang w:val="lt-LT"/>
        </w:rPr>
        <w:t>max</w:t>
      </w:r>
      <w:proofErr w:type="spellEnd"/>
      <w:r w:rsidRPr="0032192D">
        <w:rPr>
          <w:rFonts w:eastAsia="TimesNewRoman"/>
          <w:snapToGrid/>
          <w:szCs w:val="24"/>
          <w:lang w:val="lt-LT"/>
        </w:rPr>
        <w:t xml:space="preserve"> nekito, AUC padidėjo 60 %, t</w:t>
      </w:r>
      <w:r w:rsidRPr="0032192D">
        <w:rPr>
          <w:rFonts w:eastAsia="TimesNewRoman"/>
          <w:snapToGrid/>
          <w:szCs w:val="24"/>
          <w:vertAlign w:val="subscript"/>
          <w:lang w:val="lt-LT"/>
        </w:rPr>
        <w:t>½</w:t>
      </w:r>
      <w:r w:rsidRPr="0032192D">
        <w:rPr>
          <w:rFonts w:eastAsia="TimesNewRoman"/>
          <w:snapToGrid/>
          <w:szCs w:val="24"/>
          <w:lang w:val="lt-LT"/>
        </w:rPr>
        <w:t xml:space="preserve"> padvigubėjo. Pacientų, kuriems yra sunkus kepenų funkcijos sutrikimas, organizme </w:t>
      </w:r>
      <w:proofErr w:type="spellStart"/>
      <w:r w:rsidRPr="0032192D">
        <w:rPr>
          <w:rFonts w:eastAsia="TimesNewRoman"/>
          <w:snapToGrid/>
          <w:szCs w:val="24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4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4"/>
          <w:lang w:val="lt-LT"/>
        </w:rPr>
        <w:t>farmakokinetika</w:t>
      </w:r>
      <w:proofErr w:type="spellEnd"/>
      <w:r w:rsidRPr="0032192D">
        <w:rPr>
          <w:rFonts w:eastAsia="TimesNewRoman"/>
          <w:snapToGrid/>
          <w:szCs w:val="24"/>
          <w:lang w:val="lt-LT"/>
        </w:rPr>
        <w:t xml:space="preserve"> netirta.</w:t>
      </w:r>
    </w:p>
    <w:p w14:paraId="6BE15CD4" w14:textId="77777777" w:rsidR="000D287C" w:rsidRPr="0032192D" w:rsidRDefault="000D287C" w:rsidP="0042407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</w:p>
    <w:p w14:paraId="3FB333FE" w14:textId="77777777" w:rsidR="00BD47D7" w:rsidRPr="0032192D" w:rsidRDefault="00BD47D7" w:rsidP="00BD47D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u w:val="single"/>
          <w:lang w:val="lt-LT"/>
        </w:rPr>
      </w:pPr>
      <w:proofErr w:type="spellStart"/>
      <w:r w:rsidRPr="0032192D">
        <w:rPr>
          <w:rFonts w:eastAsia="TimesNewRoman"/>
          <w:snapToGrid/>
          <w:szCs w:val="24"/>
          <w:u w:val="single"/>
          <w:lang w:val="lt-LT"/>
        </w:rPr>
        <w:t>Tamsulozinas</w:t>
      </w:r>
      <w:proofErr w:type="spellEnd"/>
    </w:p>
    <w:p w14:paraId="58DE5E3B" w14:textId="77777777" w:rsidR="007867E9" w:rsidRPr="0032192D" w:rsidRDefault="007867E9" w:rsidP="007867E9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napToGrid/>
          <w:szCs w:val="22"/>
          <w:lang w:val="lt-LT"/>
        </w:rPr>
      </w:pPr>
      <w:r w:rsidRPr="0032192D">
        <w:rPr>
          <w:rFonts w:eastAsia="Calibri"/>
          <w:snapToGrid/>
          <w:szCs w:val="22"/>
          <w:lang w:val="lt-LT"/>
        </w:rPr>
        <w:t xml:space="preserve">Buvo palyginta </w:t>
      </w:r>
      <w:proofErr w:type="spellStart"/>
      <w:r w:rsidRPr="0032192D">
        <w:rPr>
          <w:rFonts w:eastAsia="Calibri"/>
          <w:snapToGrid/>
          <w:szCs w:val="22"/>
          <w:lang w:val="lt-LT"/>
        </w:rPr>
        <w:t>tamsulozino</w:t>
      </w:r>
      <w:proofErr w:type="spellEnd"/>
      <w:r w:rsidRPr="0032192D">
        <w:rPr>
          <w:rFonts w:eastAsia="Calibri"/>
          <w:snapToGrid/>
          <w:szCs w:val="22"/>
          <w:lang w:val="lt-LT"/>
        </w:rPr>
        <w:t xml:space="preserve"> hidrochlorido </w:t>
      </w:r>
      <w:proofErr w:type="spellStart"/>
      <w:r w:rsidRPr="0032192D">
        <w:rPr>
          <w:rFonts w:eastAsia="Calibri"/>
          <w:snapToGrid/>
          <w:szCs w:val="22"/>
          <w:lang w:val="lt-LT"/>
        </w:rPr>
        <w:t>farmakokinetika</w:t>
      </w:r>
      <w:proofErr w:type="spellEnd"/>
      <w:r w:rsidRPr="0032192D">
        <w:rPr>
          <w:rFonts w:eastAsia="Calibri"/>
          <w:snapToGrid/>
          <w:szCs w:val="22"/>
          <w:lang w:val="lt-LT"/>
        </w:rPr>
        <w:t xml:space="preserve"> 8 tiriamųjų, kuriems diagnozuotas vidutinio sunkumo kepenų funkcijos sutrikimas (</w:t>
      </w:r>
      <w:proofErr w:type="spellStart"/>
      <w:r w:rsidRPr="0032192D">
        <w:rPr>
          <w:rFonts w:eastAsia="TimesNewRoman"/>
          <w:i/>
          <w:iCs/>
          <w:snapToGrid/>
          <w:szCs w:val="22"/>
          <w:lang w:val="lt-LT"/>
        </w:rPr>
        <w:t>Child-Pugh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skalės įvertis</w:t>
      </w:r>
      <w:r w:rsidRPr="0032192D">
        <w:rPr>
          <w:rFonts w:eastAsia="TimesNewRoman"/>
          <w:snapToGrid/>
          <w:szCs w:val="24"/>
          <w:lang w:val="lt-LT"/>
        </w:rPr>
        <w:t xml:space="preserve"> 7</w:t>
      </w:r>
      <w:r w:rsidRPr="0032192D">
        <w:rPr>
          <w:rFonts w:eastAsia="TimesNewRoman"/>
          <w:snapToGrid/>
          <w:szCs w:val="24"/>
          <w:lang w:val="lt-LT"/>
        </w:rPr>
        <w:noBreakHyphen/>
        <w:t>9</w:t>
      </w:r>
      <w:r w:rsidRPr="0032192D">
        <w:rPr>
          <w:rFonts w:eastAsia="Calibri"/>
          <w:snapToGrid/>
          <w:szCs w:val="22"/>
          <w:lang w:val="lt-LT"/>
        </w:rPr>
        <w:t xml:space="preserve">), ir 8 sveikų tiriamųjų organizme. Nustatytas </w:t>
      </w:r>
      <w:proofErr w:type="spellStart"/>
      <w:r w:rsidRPr="0032192D">
        <w:rPr>
          <w:rFonts w:eastAsia="Calibri"/>
          <w:snapToGrid/>
          <w:szCs w:val="22"/>
          <w:lang w:val="lt-LT"/>
        </w:rPr>
        <w:t>tamsulozino</w:t>
      </w:r>
      <w:proofErr w:type="spellEnd"/>
      <w:r w:rsidRPr="0032192D">
        <w:rPr>
          <w:rFonts w:eastAsia="Calibri"/>
          <w:snapToGrid/>
          <w:szCs w:val="22"/>
          <w:lang w:val="lt-LT"/>
        </w:rPr>
        <w:t xml:space="preserve"> bendrosios koncentracijos kraujo plazmoje pokytis dėl pakitusio prisijungimo prie </w:t>
      </w:r>
      <w:r w:rsidRPr="0032192D">
        <w:rPr>
          <w:rFonts w:eastAsia="TimesNewRoman"/>
          <w:snapToGrid/>
          <w:szCs w:val="22"/>
          <w:lang w:val="lt-LT"/>
        </w:rPr>
        <w:t xml:space="preserve">α1 rūgščiojo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glikoproteino</w:t>
      </w:r>
      <w:proofErr w:type="spellEnd"/>
      <w:r w:rsidRPr="0032192D">
        <w:rPr>
          <w:rFonts w:eastAsia="Calibri"/>
          <w:snapToGrid/>
          <w:szCs w:val="22"/>
          <w:lang w:val="lt-LT"/>
        </w:rPr>
        <w:t xml:space="preserve">, o neprisijungusio (aktyvaus) </w:t>
      </w:r>
      <w:proofErr w:type="spellStart"/>
      <w:r w:rsidRPr="0032192D">
        <w:rPr>
          <w:rFonts w:eastAsia="Calibri"/>
          <w:snapToGrid/>
          <w:szCs w:val="22"/>
          <w:lang w:val="lt-LT"/>
        </w:rPr>
        <w:t>tamsulozino</w:t>
      </w:r>
      <w:proofErr w:type="spellEnd"/>
      <w:r w:rsidRPr="0032192D">
        <w:rPr>
          <w:rFonts w:eastAsia="Calibri"/>
          <w:snapToGrid/>
          <w:szCs w:val="22"/>
          <w:lang w:val="lt-LT"/>
        </w:rPr>
        <w:t xml:space="preserve"> hidrochlorido koncentracija ir vidinis klirensas reikšmingai nepakito, tik vidutiniškai (32 %) pakito neprisijungusio </w:t>
      </w:r>
      <w:proofErr w:type="spellStart"/>
      <w:r w:rsidRPr="0032192D">
        <w:rPr>
          <w:rFonts w:eastAsia="Calibri"/>
          <w:snapToGrid/>
          <w:szCs w:val="22"/>
          <w:lang w:val="lt-LT"/>
        </w:rPr>
        <w:t>tamsulozino</w:t>
      </w:r>
      <w:proofErr w:type="spellEnd"/>
      <w:r w:rsidRPr="0032192D">
        <w:rPr>
          <w:rFonts w:eastAsia="Calibri"/>
          <w:snapToGrid/>
          <w:szCs w:val="22"/>
          <w:lang w:val="lt-LT"/>
        </w:rPr>
        <w:t xml:space="preserve"> vidinis klirensas. </w:t>
      </w:r>
      <w:proofErr w:type="spellStart"/>
      <w:r w:rsidRPr="0032192D">
        <w:rPr>
          <w:rFonts w:eastAsia="Calibri"/>
          <w:snapToGrid/>
          <w:szCs w:val="22"/>
          <w:lang w:val="lt-LT"/>
        </w:rPr>
        <w:t>Tamsulozino</w:t>
      </w:r>
      <w:proofErr w:type="spellEnd"/>
      <w:r w:rsidRPr="0032192D">
        <w:rPr>
          <w:rFonts w:eastAsia="Calibri"/>
          <w:snapToGrid/>
          <w:szCs w:val="22"/>
          <w:lang w:val="lt-LT"/>
        </w:rPr>
        <w:t xml:space="preserve"> hidrochlorido tyrimų su pacientais, kuriems yra sunkus kepenų funkcijos sutrikimas, neatlikta.</w:t>
      </w:r>
    </w:p>
    <w:p w14:paraId="65D1D7CC" w14:textId="77777777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</w:p>
    <w:p w14:paraId="3E508932" w14:textId="77777777" w:rsidR="00776FBE" w:rsidRPr="0032192D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32192D">
        <w:rPr>
          <w:b/>
          <w:snapToGrid/>
          <w:kern w:val="28"/>
          <w:szCs w:val="22"/>
          <w:lang w:val="lt-LT"/>
        </w:rPr>
        <w:t>5.3</w:t>
      </w:r>
      <w:r w:rsidRPr="0032192D">
        <w:rPr>
          <w:b/>
          <w:snapToGrid/>
          <w:kern w:val="28"/>
          <w:szCs w:val="22"/>
          <w:lang w:val="lt-LT"/>
        </w:rPr>
        <w:tab/>
        <w:t>Ikiklinikinių saugumo tyrimų duomenys</w:t>
      </w:r>
    </w:p>
    <w:p w14:paraId="32AC2612" w14:textId="77777777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113D5164" w14:textId="77777777" w:rsidR="00776FBE" w:rsidRPr="0032192D" w:rsidRDefault="007867E9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32192D">
        <w:rPr>
          <w:rFonts w:eastAsia="TimesNewRoman"/>
          <w:snapToGrid/>
          <w:szCs w:val="22"/>
          <w:lang w:val="lt-LT"/>
        </w:rPr>
        <w:t>Ikiklinikinių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2"/>
          <w:lang w:val="lt-LT"/>
        </w:rPr>
        <w:t>/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hidrochlorido tyrimų neatlikta.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Solifenacinas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tamsulozinas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buvo išsamiai įvertinti atskirai atliekant toksinio poveikio tyrimus su gyvūnais, gauti rezultatai atitiko žinomą farmakologinį poveikį. </w:t>
      </w:r>
      <w:r w:rsidR="00B013DD" w:rsidRPr="0032192D">
        <w:rPr>
          <w:rFonts w:eastAsia="TimesNewRoman"/>
          <w:snapToGrid/>
          <w:szCs w:val="22"/>
          <w:lang w:val="lt-LT"/>
        </w:rPr>
        <w:t xml:space="preserve">Įprastų farmakologinio saugumo, kartotinių dozių </w:t>
      </w:r>
      <w:proofErr w:type="spellStart"/>
      <w:r w:rsidR="00B013DD" w:rsidRPr="0032192D">
        <w:rPr>
          <w:rFonts w:eastAsia="TimesNewRoman"/>
          <w:snapToGrid/>
          <w:szCs w:val="22"/>
          <w:lang w:val="lt-LT"/>
        </w:rPr>
        <w:t>toksiškumo</w:t>
      </w:r>
      <w:proofErr w:type="spellEnd"/>
      <w:r w:rsidR="00B013DD"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="00B013DD" w:rsidRPr="0032192D">
        <w:rPr>
          <w:rFonts w:eastAsia="TimesNewRoman"/>
          <w:snapToGrid/>
          <w:szCs w:val="22"/>
          <w:lang w:val="lt-LT"/>
        </w:rPr>
        <w:t>genotoksiškumo</w:t>
      </w:r>
      <w:proofErr w:type="spellEnd"/>
      <w:r w:rsidR="00B013DD" w:rsidRPr="0032192D">
        <w:rPr>
          <w:rFonts w:eastAsia="TimesNewRoman"/>
          <w:snapToGrid/>
          <w:szCs w:val="22"/>
          <w:lang w:val="lt-LT"/>
        </w:rPr>
        <w:t xml:space="preserve">, galimo </w:t>
      </w:r>
      <w:proofErr w:type="spellStart"/>
      <w:r w:rsidR="00B013DD" w:rsidRPr="0032192D">
        <w:rPr>
          <w:rFonts w:eastAsia="TimesNewRoman"/>
          <w:snapToGrid/>
          <w:szCs w:val="22"/>
          <w:lang w:val="lt-LT"/>
        </w:rPr>
        <w:t>kancerogeniškumo</w:t>
      </w:r>
      <w:proofErr w:type="spellEnd"/>
      <w:r w:rsidR="00B013DD" w:rsidRPr="0032192D">
        <w:rPr>
          <w:rFonts w:eastAsia="TimesNewRoman"/>
          <w:snapToGrid/>
          <w:szCs w:val="22"/>
          <w:lang w:val="lt-LT"/>
        </w:rPr>
        <w:t xml:space="preserve">, toksinio poveikio reprodukcijai ir </w:t>
      </w:r>
      <w:r w:rsidR="006065E1" w:rsidRPr="0032192D">
        <w:rPr>
          <w:rFonts w:eastAsia="TimesNewRoman"/>
          <w:snapToGrid/>
          <w:szCs w:val="22"/>
          <w:lang w:val="lt-LT"/>
        </w:rPr>
        <w:t xml:space="preserve">embriono bei vaisiaus </w:t>
      </w:r>
      <w:r w:rsidR="00B013DD" w:rsidRPr="0032192D">
        <w:rPr>
          <w:rFonts w:eastAsia="TimesNewRoman"/>
          <w:snapToGrid/>
          <w:szCs w:val="22"/>
          <w:lang w:val="lt-LT"/>
        </w:rPr>
        <w:t xml:space="preserve">vystymuisi ikiklinikinių tyrimų duomenys specifinio pavojaus žmogui nerodo, be to, negauta jokių nerimą keliančių duomenų dėl </w:t>
      </w:r>
      <w:r w:rsidRPr="0032192D">
        <w:rPr>
          <w:rFonts w:eastAsia="TimesNewRoman"/>
          <w:snapToGrid/>
          <w:szCs w:val="22"/>
          <w:lang w:val="lt-LT"/>
        </w:rPr>
        <w:t xml:space="preserve">nepageidaujamo poveikio sustiprėjimo ar sinergizmo, kai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</w:t>
      </w:r>
      <w:r w:rsidR="00B013DD" w:rsidRPr="0032192D">
        <w:rPr>
          <w:rFonts w:eastAsia="TimesNewRoman"/>
          <w:snapToGrid/>
          <w:szCs w:val="22"/>
          <w:lang w:val="lt-LT"/>
        </w:rPr>
        <w:t>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</w:t>
      </w:r>
      <w:r w:rsidR="00B013DD" w:rsidRPr="0032192D">
        <w:rPr>
          <w:rFonts w:eastAsia="TimesNewRoman"/>
          <w:snapToGrid/>
          <w:szCs w:val="22"/>
          <w:lang w:val="lt-LT"/>
        </w:rPr>
        <w:t>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r w:rsidR="00B013DD" w:rsidRPr="0032192D">
        <w:rPr>
          <w:rFonts w:eastAsia="TimesNewRoman"/>
          <w:snapToGrid/>
          <w:szCs w:val="22"/>
          <w:lang w:val="lt-LT"/>
        </w:rPr>
        <w:t>vartojama</w:t>
      </w:r>
      <w:r w:rsidRPr="0032192D">
        <w:rPr>
          <w:rFonts w:eastAsia="TimesNewRoman"/>
          <w:snapToGrid/>
          <w:szCs w:val="22"/>
          <w:lang w:val="lt-LT"/>
        </w:rPr>
        <w:t xml:space="preserve"> kartu.</w:t>
      </w:r>
    </w:p>
    <w:p w14:paraId="78681C6D" w14:textId="77777777" w:rsidR="00B013DD" w:rsidRPr="0032192D" w:rsidRDefault="00B013DD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4D177D27" w14:textId="77777777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19292F3E" w14:textId="77777777" w:rsidR="00776FBE" w:rsidRPr="0032192D" w:rsidRDefault="00110575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32192D">
        <w:rPr>
          <w:b/>
          <w:snapToGrid/>
          <w:szCs w:val="22"/>
          <w:lang w:val="lt-LT"/>
        </w:rPr>
        <w:t>6.</w:t>
      </w:r>
      <w:r w:rsidRPr="0032192D">
        <w:rPr>
          <w:b/>
          <w:snapToGrid/>
          <w:szCs w:val="22"/>
          <w:lang w:val="lt-LT"/>
        </w:rPr>
        <w:tab/>
        <w:t>FARMACINĖ INFORMACIJA</w:t>
      </w:r>
    </w:p>
    <w:p w14:paraId="5C060A7B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ECCE9EC" w14:textId="77777777" w:rsidR="00776FBE" w:rsidRPr="0032192D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32192D">
        <w:rPr>
          <w:b/>
          <w:snapToGrid/>
          <w:kern w:val="28"/>
          <w:szCs w:val="22"/>
          <w:lang w:val="lt-LT"/>
        </w:rPr>
        <w:t>6.1</w:t>
      </w:r>
      <w:r w:rsidRPr="0032192D">
        <w:rPr>
          <w:b/>
          <w:snapToGrid/>
          <w:kern w:val="28"/>
          <w:szCs w:val="22"/>
          <w:lang w:val="lt-LT"/>
        </w:rPr>
        <w:tab/>
        <w:t>Pagalbinių medžiagų sąrašas</w:t>
      </w:r>
    </w:p>
    <w:p w14:paraId="4636E963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3A44F1C" w14:textId="77777777" w:rsidR="0095503A" w:rsidRPr="0032192D" w:rsidRDefault="0095503A" w:rsidP="0095503A">
      <w:pPr>
        <w:widowControl w:val="0"/>
        <w:tabs>
          <w:tab w:val="clear" w:pos="567"/>
        </w:tabs>
        <w:spacing w:line="240" w:lineRule="auto"/>
        <w:rPr>
          <w:snapToGrid/>
          <w:szCs w:val="22"/>
          <w:u w:val="single"/>
          <w:lang w:val="lt-LT"/>
        </w:rPr>
      </w:pPr>
      <w:proofErr w:type="spellStart"/>
      <w:r w:rsidRPr="0032192D">
        <w:rPr>
          <w:snapToGrid/>
          <w:szCs w:val="22"/>
          <w:u w:val="single"/>
          <w:lang w:val="lt-LT"/>
        </w:rPr>
        <w:t>Tamsulozino</w:t>
      </w:r>
      <w:proofErr w:type="spellEnd"/>
      <w:r w:rsidRPr="0032192D">
        <w:rPr>
          <w:snapToGrid/>
          <w:szCs w:val="22"/>
          <w:u w:val="single"/>
          <w:lang w:val="lt-LT"/>
        </w:rPr>
        <w:t xml:space="preserve"> sluoksnis − modifikuoto atpalaidavimo sluoksnis</w:t>
      </w:r>
    </w:p>
    <w:p w14:paraId="117BBE57" w14:textId="77777777" w:rsidR="0095503A" w:rsidRPr="0032192D" w:rsidRDefault="006065E1" w:rsidP="0095503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32192D">
        <w:rPr>
          <w:snapToGrid/>
          <w:szCs w:val="22"/>
          <w:lang w:val="lt-LT"/>
        </w:rPr>
        <w:t>Mikrokristalinė</w:t>
      </w:r>
      <w:proofErr w:type="spellEnd"/>
      <w:r w:rsidRPr="0032192D">
        <w:rPr>
          <w:snapToGrid/>
          <w:szCs w:val="22"/>
          <w:lang w:val="lt-LT"/>
        </w:rPr>
        <w:t xml:space="preserve"> c</w:t>
      </w:r>
      <w:r w:rsidR="0095503A" w:rsidRPr="0032192D">
        <w:rPr>
          <w:snapToGrid/>
          <w:szCs w:val="22"/>
          <w:lang w:val="lt-LT"/>
        </w:rPr>
        <w:t xml:space="preserve">eliuliozė </w:t>
      </w:r>
    </w:p>
    <w:p w14:paraId="5341C8ED" w14:textId="77777777" w:rsidR="0095503A" w:rsidRPr="0032192D" w:rsidRDefault="0095503A" w:rsidP="0095503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Makrogoli</w:t>
      </w:r>
      <w:r w:rsidR="006065E1" w:rsidRPr="0032192D">
        <w:rPr>
          <w:snapToGrid/>
          <w:szCs w:val="22"/>
          <w:lang w:val="lt-LT"/>
        </w:rPr>
        <w:t>s</w:t>
      </w:r>
      <w:r w:rsidRPr="0032192D">
        <w:rPr>
          <w:snapToGrid/>
          <w:szCs w:val="22"/>
          <w:lang w:val="lt-LT"/>
        </w:rPr>
        <w:t xml:space="preserve"> (didelės molekulinės masės)</w:t>
      </w:r>
    </w:p>
    <w:p w14:paraId="509C7CD5" w14:textId="77777777" w:rsidR="0095503A" w:rsidRPr="0032192D" w:rsidRDefault="0095503A" w:rsidP="0095503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Koloidinis bevandenis silicio dioksidas</w:t>
      </w:r>
    </w:p>
    <w:p w14:paraId="1E6DE2D4" w14:textId="77777777" w:rsidR="0095503A" w:rsidRPr="0032192D" w:rsidRDefault="0095503A" w:rsidP="0095503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Magnio stearatas</w:t>
      </w:r>
    </w:p>
    <w:p w14:paraId="78A3A49F" w14:textId="77777777" w:rsidR="0095503A" w:rsidRPr="0032192D" w:rsidRDefault="0095503A" w:rsidP="0095503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8EF5E26" w14:textId="77777777" w:rsidR="0095503A" w:rsidRPr="0032192D" w:rsidRDefault="0095503A" w:rsidP="0095503A">
      <w:pPr>
        <w:widowControl w:val="0"/>
        <w:tabs>
          <w:tab w:val="clear" w:pos="567"/>
        </w:tabs>
        <w:spacing w:line="240" w:lineRule="auto"/>
        <w:rPr>
          <w:snapToGrid/>
          <w:szCs w:val="22"/>
          <w:u w:val="single"/>
          <w:lang w:val="lt-LT"/>
        </w:rPr>
      </w:pPr>
      <w:proofErr w:type="spellStart"/>
      <w:r w:rsidRPr="0032192D">
        <w:rPr>
          <w:snapToGrid/>
          <w:szCs w:val="22"/>
          <w:u w:val="single"/>
          <w:lang w:val="lt-LT"/>
        </w:rPr>
        <w:t>Solifenacino</w:t>
      </w:r>
      <w:proofErr w:type="spellEnd"/>
      <w:r w:rsidRPr="0032192D">
        <w:rPr>
          <w:snapToGrid/>
          <w:szCs w:val="22"/>
          <w:u w:val="single"/>
          <w:lang w:val="lt-LT"/>
        </w:rPr>
        <w:t xml:space="preserve"> sluoksnis − nedelsiamo atpalaidavimo sluoksnis</w:t>
      </w:r>
    </w:p>
    <w:p w14:paraId="51FBB158" w14:textId="77777777" w:rsidR="0095503A" w:rsidRPr="0032192D" w:rsidRDefault="0095503A" w:rsidP="0095503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Kalcio</w:t>
      </w:r>
      <w:r w:rsidR="00460615" w:rsidRPr="0032192D">
        <w:rPr>
          <w:snapToGrid/>
          <w:szCs w:val="22"/>
          <w:lang w:val="lt-LT"/>
        </w:rPr>
        <w:noBreakHyphen/>
      </w:r>
      <w:r w:rsidRPr="0032192D">
        <w:rPr>
          <w:snapToGrid/>
          <w:szCs w:val="22"/>
          <w:lang w:val="lt-LT"/>
        </w:rPr>
        <w:t>vandenilio fosfatas</w:t>
      </w:r>
    </w:p>
    <w:p w14:paraId="3FCF5922" w14:textId="77777777" w:rsidR="0095503A" w:rsidRPr="0032192D" w:rsidRDefault="0095503A" w:rsidP="0095503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32192D">
        <w:rPr>
          <w:snapToGrid/>
          <w:szCs w:val="22"/>
          <w:lang w:val="lt-LT"/>
        </w:rPr>
        <w:lastRenderedPageBreak/>
        <w:t>Silicifikuota</w:t>
      </w:r>
      <w:proofErr w:type="spellEnd"/>
      <w:r w:rsidRPr="0032192D">
        <w:rPr>
          <w:snapToGrid/>
          <w:szCs w:val="22"/>
          <w:lang w:val="lt-LT"/>
        </w:rPr>
        <w:t xml:space="preserve"> </w:t>
      </w:r>
      <w:proofErr w:type="spellStart"/>
      <w:r w:rsidRPr="0032192D">
        <w:rPr>
          <w:snapToGrid/>
          <w:szCs w:val="22"/>
          <w:lang w:val="lt-LT"/>
        </w:rPr>
        <w:t>mikrokristalinė</w:t>
      </w:r>
      <w:proofErr w:type="spellEnd"/>
      <w:r w:rsidRPr="0032192D">
        <w:rPr>
          <w:snapToGrid/>
          <w:szCs w:val="22"/>
          <w:lang w:val="lt-LT"/>
        </w:rPr>
        <w:t xml:space="preserve"> celiuliozė</w:t>
      </w:r>
    </w:p>
    <w:p w14:paraId="109B30DD" w14:textId="77777777" w:rsidR="0095503A" w:rsidRPr="0032192D" w:rsidRDefault="00460615" w:rsidP="0046061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32192D">
        <w:rPr>
          <w:snapToGrid/>
          <w:szCs w:val="22"/>
          <w:lang w:val="lt-LT"/>
        </w:rPr>
        <w:t>Hidroksipropilceliuliozė</w:t>
      </w:r>
      <w:proofErr w:type="spellEnd"/>
      <w:r w:rsidRPr="0032192D">
        <w:rPr>
          <w:snapToGrid/>
          <w:szCs w:val="22"/>
          <w:lang w:val="lt-LT"/>
        </w:rPr>
        <w:t xml:space="preserve"> (mažai pakeista)</w:t>
      </w:r>
    </w:p>
    <w:p w14:paraId="2CAE5B03" w14:textId="77777777" w:rsidR="0095503A" w:rsidRPr="0032192D" w:rsidRDefault="0095503A" w:rsidP="0095503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Magnio stearatas</w:t>
      </w:r>
    </w:p>
    <w:p w14:paraId="37E65BEE" w14:textId="77777777" w:rsidR="0095503A" w:rsidRPr="0032192D" w:rsidRDefault="0095503A" w:rsidP="0095503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B618B23" w14:textId="77777777" w:rsidR="0095503A" w:rsidRPr="0032192D" w:rsidRDefault="0095503A" w:rsidP="0095503A">
      <w:pPr>
        <w:widowControl w:val="0"/>
        <w:tabs>
          <w:tab w:val="clear" w:pos="567"/>
        </w:tabs>
        <w:spacing w:line="240" w:lineRule="auto"/>
        <w:rPr>
          <w:snapToGrid/>
          <w:szCs w:val="22"/>
          <w:u w:val="single"/>
          <w:lang w:val="lt-LT"/>
        </w:rPr>
      </w:pPr>
      <w:r w:rsidRPr="0032192D">
        <w:rPr>
          <w:snapToGrid/>
          <w:szCs w:val="22"/>
          <w:u w:val="single"/>
          <w:lang w:val="lt-LT"/>
        </w:rPr>
        <w:t>Plėvelė</w:t>
      </w:r>
    </w:p>
    <w:p w14:paraId="082370BF" w14:textId="77777777" w:rsidR="0095503A" w:rsidRPr="0032192D" w:rsidRDefault="0095503A" w:rsidP="0095503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Hipromeliozė</w:t>
      </w:r>
    </w:p>
    <w:p w14:paraId="52A8F73F" w14:textId="77777777" w:rsidR="0095503A" w:rsidRPr="0032192D" w:rsidRDefault="0095503A" w:rsidP="0095503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Makrogolis</w:t>
      </w:r>
    </w:p>
    <w:p w14:paraId="37221E01" w14:textId="77777777" w:rsidR="0095503A" w:rsidRPr="0032192D" w:rsidRDefault="0095503A" w:rsidP="0095503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Raudonasis geležies oksidas (E172)</w:t>
      </w:r>
    </w:p>
    <w:p w14:paraId="32E5D857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6A9627D" w14:textId="77777777" w:rsidR="00776FBE" w:rsidRPr="0032192D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32192D">
        <w:rPr>
          <w:b/>
          <w:snapToGrid/>
          <w:kern w:val="28"/>
          <w:szCs w:val="22"/>
          <w:lang w:val="lt-LT"/>
        </w:rPr>
        <w:t>6.2</w:t>
      </w:r>
      <w:r w:rsidRPr="0032192D">
        <w:rPr>
          <w:b/>
          <w:snapToGrid/>
          <w:kern w:val="28"/>
          <w:szCs w:val="22"/>
          <w:lang w:val="lt-LT"/>
        </w:rPr>
        <w:tab/>
        <w:t>Nesuderinamumas</w:t>
      </w:r>
    </w:p>
    <w:p w14:paraId="1B3429EF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B39651B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Duomenys nebūtini.</w:t>
      </w:r>
    </w:p>
    <w:p w14:paraId="23E887E4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2AB1E975" w14:textId="77777777" w:rsidR="00776FBE" w:rsidRPr="0032192D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32192D">
        <w:rPr>
          <w:b/>
          <w:snapToGrid/>
          <w:kern w:val="28"/>
          <w:szCs w:val="22"/>
          <w:lang w:val="lt-LT"/>
        </w:rPr>
        <w:t>6.3</w:t>
      </w:r>
      <w:r w:rsidRPr="0032192D">
        <w:rPr>
          <w:b/>
          <w:snapToGrid/>
          <w:kern w:val="28"/>
          <w:szCs w:val="22"/>
          <w:lang w:val="lt-LT"/>
        </w:rPr>
        <w:tab/>
        <w:t>Tinkamumo laikas</w:t>
      </w:r>
    </w:p>
    <w:p w14:paraId="0655E6C1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288224E6" w14:textId="4590FF2A" w:rsidR="00776FBE" w:rsidRPr="0032192D" w:rsidRDefault="00403F5C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3 metai</w:t>
      </w:r>
      <w:r w:rsidR="00776FBE" w:rsidRPr="0032192D">
        <w:rPr>
          <w:snapToGrid/>
          <w:szCs w:val="22"/>
          <w:lang w:val="lt-LT"/>
        </w:rPr>
        <w:t>.</w:t>
      </w:r>
    </w:p>
    <w:p w14:paraId="23CE5A88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E73D81E" w14:textId="77777777" w:rsidR="00776FBE" w:rsidRPr="0032192D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32192D">
        <w:rPr>
          <w:b/>
          <w:snapToGrid/>
          <w:kern w:val="28"/>
          <w:szCs w:val="22"/>
          <w:lang w:val="lt-LT"/>
        </w:rPr>
        <w:t>6.4</w:t>
      </w:r>
      <w:r w:rsidRPr="0032192D">
        <w:rPr>
          <w:b/>
          <w:snapToGrid/>
          <w:kern w:val="28"/>
          <w:szCs w:val="22"/>
          <w:lang w:val="lt-LT"/>
        </w:rPr>
        <w:tab/>
        <w:t>Specialios laikymo sąlygos</w:t>
      </w:r>
    </w:p>
    <w:p w14:paraId="7D36C006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rPr>
          <w:i/>
          <w:iCs/>
          <w:snapToGrid/>
          <w:szCs w:val="22"/>
          <w:lang w:val="lt-LT"/>
        </w:rPr>
      </w:pPr>
    </w:p>
    <w:p w14:paraId="3871B12C" w14:textId="77777777" w:rsidR="009D7BBF" w:rsidRPr="0032192D" w:rsidRDefault="00FF0585" w:rsidP="00AB3C1A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Šiam vaistiniam preparatui specialių laikymo sąlygų nereikia</w:t>
      </w:r>
      <w:r w:rsidR="009D7BBF" w:rsidRPr="0032192D">
        <w:rPr>
          <w:rFonts w:eastAsia="TimesNewRoman"/>
          <w:snapToGrid/>
          <w:szCs w:val="22"/>
          <w:lang w:val="lt-LT"/>
        </w:rPr>
        <w:t>.</w:t>
      </w:r>
    </w:p>
    <w:p w14:paraId="7CA6BCB9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23A2F9F3" w14:textId="77777777" w:rsidR="00776FBE" w:rsidRPr="0032192D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32192D">
        <w:rPr>
          <w:b/>
          <w:snapToGrid/>
          <w:kern w:val="28"/>
          <w:szCs w:val="22"/>
          <w:lang w:val="lt-LT"/>
        </w:rPr>
        <w:t>6.5</w:t>
      </w:r>
      <w:r w:rsidRPr="0032192D">
        <w:rPr>
          <w:b/>
          <w:snapToGrid/>
          <w:kern w:val="28"/>
          <w:szCs w:val="22"/>
          <w:lang w:val="lt-LT"/>
        </w:rPr>
        <w:tab/>
        <w:t>Talpyklės pobūdis ir jos turinys</w:t>
      </w:r>
    </w:p>
    <w:p w14:paraId="3E5B92C1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5A19C7C9" w14:textId="7B99B3E5" w:rsidR="00FF0585" w:rsidRPr="0032192D" w:rsidRDefault="00FF0585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Dėžutė, kurioje yra 30 arba 60 </w:t>
      </w:r>
      <w:r w:rsidR="00B3297D">
        <w:rPr>
          <w:rFonts w:eastAsia="TimesNewRoman"/>
          <w:snapToGrid/>
          <w:szCs w:val="22"/>
          <w:lang w:val="lt-LT"/>
        </w:rPr>
        <w:t xml:space="preserve">modifikuoto atpalaidavimo </w:t>
      </w:r>
      <w:r w:rsidRPr="0032192D">
        <w:rPr>
          <w:rFonts w:eastAsia="TimesNewRoman"/>
          <w:snapToGrid/>
          <w:szCs w:val="22"/>
          <w:lang w:val="lt-LT"/>
        </w:rPr>
        <w:t xml:space="preserve">tablečių </w:t>
      </w:r>
      <w:r w:rsidR="008B0020" w:rsidRPr="0032192D">
        <w:rPr>
          <w:rFonts w:eastAsia="TimesNewRoman"/>
          <w:snapToGrid/>
          <w:szCs w:val="22"/>
          <w:lang w:val="lt-LT"/>
        </w:rPr>
        <w:t>PA/Aliuminio/PVC/Aliuminio lizdinės</w:t>
      </w:r>
      <w:r w:rsidRPr="0032192D">
        <w:rPr>
          <w:rFonts w:eastAsia="TimesNewRoman"/>
          <w:snapToGrid/>
          <w:szCs w:val="22"/>
          <w:lang w:val="lt-LT"/>
        </w:rPr>
        <w:t>e</w:t>
      </w:r>
      <w:r w:rsidR="008B0020" w:rsidRPr="0032192D">
        <w:rPr>
          <w:rFonts w:eastAsia="TimesNewRoman"/>
          <w:snapToGrid/>
          <w:szCs w:val="22"/>
          <w:lang w:val="lt-LT"/>
        </w:rPr>
        <w:t xml:space="preserve"> plokštelės</w:t>
      </w:r>
      <w:r w:rsidRPr="0032192D">
        <w:rPr>
          <w:rFonts w:eastAsia="TimesNewRoman"/>
          <w:snapToGrid/>
          <w:szCs w:val="22"/>
          <w:lang w:val="lt-LT"/>
        </w:rPr>
        <w:t>e.</w:t>
      </w:r>
    </w:p>
    <w:p w14:paraId="2A124369" w14:textId="6699CAA4" w:rsidR="00FF0585" w:rsidRPr="0032192D" w:rsidRDefault="00FF0585" w:rsidP="00FF058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Dėžutė, kurioje yra 30</w:t>
      </w:r>
      <w:r w:rsidR="0032192D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>x</w:t>
      </w:r>
      <w:r w:rsidR="0032192D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>1 arba 60</w:t>
      </w:r>
      <w:r w:rsidR="00B3297D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>x</w:t>
      </w:r>
      <w:r w:rsidR="0032192D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>1 </w:t>
      </w:r>
      <w:r w:rsidR="00B3297D">
        <w:rPr>
          <w:rFonts w:eastAsia="TimesNewRoman"/>
          <w:snapToGrid/>
          <w:szCs w:val="22"/>
          <w:lang w:val="lt-LT"/>
        </w:rPr>
        <w:t xml:space="preserve">modifikuoto atpalaidavimo </w:t>
      </w:r>
      <w:r w:rsidRPr="0032192D">
        <w:rPr>
          <w:rFonts w:eastAsia="TimesNewRoman"/>
          <w:snapToGrid/>
          <w:szCs w:val="22"/>
          <w:lang w:val="lt-LT"/>
        </w:rPr>
        <w:t xml:space="preserve">tablečių PA/Aliuminio/PVC/Aliuminio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dalomosiose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lizdinėse plokštelėse.</w:t>
      </w:r>
    </w:p>
    <w:p w14:paraId="19B0E15F" w14:textId="77777777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Gali būti tiekiamos ne visų dydžių pakuotės.</w:t>
      </w:r>
    </w:p>
    <w:p w14:paraId="31C2C544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8168DAF" w14:textId="77777777" w:rsidR="00776FBE" w:rsidRPr="0032192D" w:rsidRDefault="00776FBE" w:rsidP="00AB3C1A">
      <w:pPr>
        <w:widowControl w:val="0"/>
        <w:spacing w:line="240" w:lineRule="auto"/>
        <w:ind w:left="567" w:hanging="567"/>
        <w:outlineLvl w:val="2"/>
        <w:rPr>
          <w:snapToGrid/>
          <w:szCs w:val="22"/>
          <w:lang w:val="lt-LT"/>
        </w:rPr>
      </w:pPr>
      <w:r w:rsidRPr="0032192D">
        <w:rPr>
          <w:b/>
          <w:snapToGrid/>
          <w:kern w:val="28"/>
          <w:szCs w:val="22"/>
          <w:lang w:val="lt-LT"/>
        </w:rPr>
        <w:t>6.6</w:t>
      </w:r>
      <w:r w:rsidRPr="0032192D">
        <w:rPr>
          <w:b/>
          <w:snapToGrid/>
          <w:kern w:val="28"/>
          <w:szCs w:val="22"/>
          <w:lang w:val="lt-LT"/>
        </w:rPr>
        <w:tab/>
        <w:t>Specialūs reikalavimai atliekoms tvarkyti</w:t>
      </w:r>
    </w:p>
    <w:p w14:paraId="34462D18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33CC63E" w14:textId="77777777" w:rsidR="00776FBE" w:rsidRPr="0032192D" w:rsidRDefault="00D31D1F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Nesuvartotą vaistinį preparatą ar atliekas reikia tvarkyti laikantis vietinių reikalavimų</w:t>
      </w:r>
      <w:r w:rsidR="00776FBE" w:rsidRPr="0032192D">
        <w:rPr>
          <w:snapToGrid/>
          <w:szCs w:val="22"/>
          <w:lang w:val="lt-LT"/>
        </w:rPr>
        <w:t>.</w:t>
      </w:r>
    </w:p>
    <w:p w14:paraId="4D8DE7CD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580294EA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617C5FF" w14:textId="77777777" w:rsidR="00776FBE" w:rsidRPr="0032192D" w:rsidRDefault="00776FBE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32192D">
        <w:rPr>
          <w:b/>
          <w:snapToGrid/>
          <w:szCs w:val="22"/>
          <w:lang w:val="lt-LT"/>
        </w:rPr>
        <w:t>7.</w:t>
      </w:r>
      <w:r w:rsidRPr="0032192D">
        <w:rPr>
          <w:b/>
          <w:snapToGrid/>
          <w:szCs w:val="22"/>
          <w:lang w:val="lt-LT"/>
        </w:rPr>
        <w:tab/>
        <w:t>REGISTRUOTOJAS</w:t>
      </w:r>
    </w:p>
    <w:p w14:paraId="0913C48C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7A0EF99" w14:textId="77777777" w:rsidR="00FB1F51" w:rsidRPr="00F15572" w:rsidRDefault="00FB1F51" w:rsidP="00FB1F51">
      <w:pPr>
        <w:numPr>
          <w:ilvl w:val="12"/>
          <w:numId w:val="0"/>
        </w:numPr>
        <w:tabs>
          <w:tab w:val="left" w:pos="720"/>
        </w:tabs>
        <w:spacing w:line="240" w:lineRule="auto"/>
        <w:ind w:right="-2"/>
        <w:rPr>
          <w:lang w:val="pl-PL" w:eastAsia="et-EE" w:bidi="et-EE"/>
        </w:rPr>
      </w:pPr>
      <w:r w:rsidRPr="00F15572">
        <w:rPr>
          <w:lang w:val="pl-PL" w:eastAsia="et-EE" w:bidi="et-EE"/>
        </w:rPr>
        <w:t>Adamed Pharma S.A.</w:t>
      </w:r>
    </w:p>
    <w:p w14:paraId="7414C3DB" w14:textId="77777777" w:rsidR="00FB1F51" w:rsidRPr="00F15572" w:rsidRDefault="00FB1F51" w:rsidP="00FB1F51">
      <w:pPr>
        <w:numPr>
          <w:ilvl w:val="12"/>
          <w:numId w:val="0"/>
        </w:numPr>
        <w:tabs>
          <w:tab w:val="left" w:pos="720"/>
        </w:tabs>
        <w:spacing w:line="240" w:lineRule="auto"/>
        <w:rPr>
          <w:lang w:val="pl-PL" w:eastAsia="et-EE" w:bidi="et-EE"/>
        </w:rPr>
      </w:pPr>
      <w:r w:rsidRPr="00F15572">
        <w:rPr>
          <w:lang w:val="pl-PL" w:eastAsia="et-EE" w:bidi="et-EE"/>
        </w:rPr>
        <w:t>Pieńków, ul. M. Adamkiewicza 6A</w:t>
      </w:r>
    </w:p>
    <w:p w14:paraId="5BAA8B63" w14:textId="77777777" w:rsidR="00FB1F51" w:rsidRPr="00F15572" w:rsidRDefault="00FB1F51" w:rsidP="00FB1F51">
      <w:pPr>
        <w:numPr>
          <w:ilvl w:val="12"/>
          <w:numId w:val="0"/>
        </w:numPr>
        <w:tabs>
          <w:tab w:val="left" w:pos="720"/>
        </w:tabs>
        <w:spacing w:line="240" w:lineRule="auto"/>
        <w:rPr>
          <w:lang w:val="pl-PL" w:eastAsia="et-EE" w:bidi="et-EE"/>
        </w:rPr>
      </w:pPr>
      <w:r w:rsidRPr="00F15572">
        <w:rPr>
          <w:lang w:val="pl-PL" w:eastAsia="et-EE" w:bidi="et-EE"/>
        </w:rPr>
        <w:t>05–152 Czosnów</w:t>
      </w:r>
    </w:p>
    <w:p w14:paraId="49B79814" w14:textId="4FE35D59" w:rsidR="003E7284" w:rsidRDefault="00FB1F51" w:rsidP="00FB1F51">
      <w:pPr>
        <w:widowControl w:val="0"/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Lenkija</w:t>
      </w:r>
    </w:p>
    <w:p w14:paraId="3258A766" w14:textId="77777777" w:rsidR="00FB1F51" w:rsidRDefault="00FB1F51" w:rsidP="00F15572">
      <w:pPr>
        <w:widowControl w:val="0"/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14:paraId="5667DA8B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937DC5D" w14:textId="77777777" w:rsidR="00776FBE" w:rsidRPr="0032192D" w:rsidRDefault="00776FBE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32192D">
        <w:rPr>
          <w:b/>
          <w:snapToGrid/>
          <w:szCs w:val="22"/>
          <w:lang w:val="lt-LT"/>
        </w:rPr>
        <w:t>8.</w:t>
      </w:r>
      <w:r w:rsidRPr="0032192D">
        <w:rPr>
          <w:b/>
          <w:snapToGrid/>
          <w:szCs w:val="22"/>
          <w:lang w:val="lt-LT"/>
        </w:rPr>
        <w:tab/>
      </w:r>
      <w:r w:rsidR="00D31D1F" w:rsidRPr="0032192D">
        <w:rPr>
          <w:b/>
          <w:snapToGrid/>
          <w:szCs w:val="22"/>
          <w:lang w:val="lt-LT"/>
        </w:rPr>
        <w:t>REGISTRACIJOS PAŽYMĖJIMO NUMERIS (</w:t>
      </w:r>
      <w:r w:rsidR="00D31D1F" w:rsidRPr="0032192D">
        <w:rPr>
          <w:b/>
          <w:snapToGrid/>
          <w:szCs w:val="22"/>
          <w:lang w:val="lt-LT"/>
        </w:rPr>
        <w:noBreakHyphen/>
        <w:t>IAI)</w:t>
      </w:r>
    </w:p>
    <w:p w14:paraId="1F0DBBC5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tbl>
      <w:tblPr>
        <w:tblStyle w:val="Lentelstinklelis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3"/>
      </w:tblGrid>
      <w:tr w:rsidR="003A150B" w:rsidRPr="00F15572" w14:paraId="5CEB26E6" w14:textId="77777777" w:rsidTr="003A150B">
        <w:tc>
          <w:tcPr>
            <w:tcW w:w="4532" w:type="dxa"/>
          </w:tcPr>
          <w:p w14:paraId="6707E010" w14:textId="77777777" w:rsidR="003A150B" w:rsidRPr="003A150B" w:rsidRDefault="003A150B" w:rsidP="003A150B">
            <w:pPr>
              <w:ind w:left="-108" w:right="-106"/>
              <w:rPr>
                <w:bCs/>
                <w:lang w:val="lt-LT"/>
              </w:rPr>
            </w:pPr>
            <w:r w:rsidRPr="003A150B">
              <w:rPr>
                <w:bCs/>
                <w:u w:val="single"/>
                <w:lang w:val="lt-LT"/>
              </w:rPr>
              <w:t>Lizdinė plokštelė</w:t>
            </w:r>
            <w:r w:rsidRPr="003A150B">
              <w:rPr>
                <w:bCs/>
                <w:lang w:val="lt-LT"/>
              </w:rPr>
              <w:t>:</w:t>
            </w:r>
          </w:p>
          <w:p w14:paraId="342BB1C9" w14:textId="77777777" w:rsidR="003A150B" w:rsidRPr="003A150B" w:rsidRDefault="003A150B" w:rsidP="003A150B">
            <w:pPr>
              <w:ind w:left="-108" w:right="-106"/>
              <w:rPr>
                <w:bCs/>
                <w:lang w:val="lt-LT"/>
              </w:rPr>
            </w:pPr>
            <w:r w:rsidRPr="003A150B">
              <w:rPr>
                <w:bCs/>
                <w:lang w:val="lt-LT"/>
              </w:rPr>
              <w:t>LT/1/24/5658/001 – N30</w:t>
            </w:r>
          </w:p>
          <w:p w14:paraId="5C1CC3C7" w14:textId="09818A74" w:rsidR="003A150B" w:rsidRPr="003A150B" w:rsidRDefault="003A150B" w:rsidP="003A150B">
            <w:pPr>
              <w:ind w:left="-108" w:right="-106"/>
              <w:rPr>
                <w:snapToGrid/>
                <w:szCs w:val="22"/>
                <w:lang w:val="lt-LT"/>
              </w:rPr>
            </w:pPr>
            <w:r w:rsidRPr="003A150B">
              <w:rPr>
                <w:bCs/>
                <w:lang w:val="lt-LT"/>
              </w:rPr>
              <w:t>LT/1/24/5658/002 – N60</w:t>
            </w:r>
          </w:p>
        </w:tc>
        <w:tc>
          <w:tcPr>
            <w:tcW w:w="4533" w:type="dxa"/>
          </w:tcPr>
          <w:p w14:paraId="5E38A20C" w14:textId="77777777" w:rsidR="003A150B" w:rsidRPr="003A150B" w:rsidRDefault="003A150B" w:rsidP="003A150B">
            <w:pPr>
              <w:ind w:left="-108" w:right="-106"/>
              <w:rPr>
                <w:bCs/>
                <w:lang w:val="lt-LT"/>
              </w:rPr>
            </w:pPr>
            <w:proofErr w:type="spellStart"/>
            <w:r w:rsidRPr="003A150B">
              <w:rPr>
                <w:bCs/>
                <w:u w:val="single"/>
                <w:lang w:val="lt-LT"/>
              </w:rPr>
              <w:t>Dalomoji</w:t>
            </w:r>
            <w:proofErr w:type="spellEnd"/>
            <w:r w:rsidRPr="003A150B">
              <w:rPr>
                <w:bCs/>
                <w:u w:val="single"/>
                <w:lang w:val="lt-LT"/>
              </w:rPr>
              <w:t xml:space="preserve"> lizdinė plokštelė</w:t>
            </w:r>
            <w:r w:rsidRPr="003A150B">
              <w:rPr>
                <w:bCs/>
                <w:lang w:val="lt-LT"/>
              </w:rPr>
              <w:t>:</w:t>
            </w:r>
          </w:p>
          <w:p w14:paraId="3DAD83F2" w14:textId="77777777" w:rsidR="003A150B" w:rsidRPr="003A150B" w:rsidRDefault="003A150B" w:rsidP="003A150B">
            <w:pPr>
              <w:ind w:left="-108" w:right="-106"/>
              <w:rPr>
                <w:bCs/>
                <w:lang w:val="lt-LT"/>
              </w:rPr>
            </w:pPr>
            <w:r w:rsidRPr="003A150B">
              <w:rPr>
                <w:bCs/>
                <w:lang w:val="lt-LT"/>
              </w:rPr>
              <w:t>LT/1/24/5658/003 – N30x1</w:t>
            </w:r>
          </w:p>
          <w:p w14:paraId="568F9244" w14:textId="44ABAFBC" w:rsidR="003A150B" w:rsidRDefault="003A150B" w:rsidP="00C517A5">
            <w:pPr>
              <w:ind w:left="-108" w:right="-106"/>
              <w:rPr>
                <w:snapToGrid/>
                <w:szCs w:val="22"/>
                <w:lang w:val="lt-LT"/>
              </w:rPr>
            </w:pPr>
            <w:r w:rsidRPr="003A150B">
              <w:rPr>
                <w:bCs/>
                <w:lang w:val="lt-LT"/>
              </w:rPr>
              <w:t>LT/1/24/5658/004 – N60x1</w:t>
            </w:r>
          </w:p>
        </w:tc>
      </w:tr>
    </w:tbl>
    <w:p w14:paraId="4B9D3288" w14:textId="77777777" w:rsidR="00776FBE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699EF94" w14:textId="77777777" w:rsidR="003A150B" w:rsidRPr="0032192D" w:rsidRDefault="003A150B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8A8786D" w14:textId="77777777" w:rsidR="00776FBE" w:rsidRPr="0032192D" w:rsidRDefault="00776FBE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32192D">
        <w:rPr>
          <w:b/>
          <w:snapToGrid/>
          <w:szCs w:val="22"/>
          <w:lang w:val="lt-LT"/>
        </w:rPr>
        <w:t>9.</w:t>
      </w:r>
      <w:r w:rsidRPr="0032192D">
        <w:rPr>
          <w:b/>
          <w:snapToGrid/>
          <w:szCs w:val="22"/>
          <w:lang w:val="lt-LT"/>
        </w:rPr>
        <w:tab/>
      </w:r>
      <w:r w:rsidR="00D31D1F" w:rsidRPr="0032192D">
        <w:rPr>
          <w:b/>
          <w:snapToGrid/>
          <w:szCs w:val="22"/>
          <w:lang w:val="lt-LT"/>
        </w:rPr>
        <w:t>REGISTRAVIMO / PERREGISTRAVIMO DATA</w:t>
      </w:r>
    </w:p>
    <w:p w14:paraId="2220D274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Cs/>
          <w:caps/>
          <w:snapToGrid/>
          <w:szCs w:val="22"/>
          <w:lang w:val="lt-LT"/>
        </w:rPr>
      </w:pPr>
    </w:p>
    <w:p w14:paraId="4966964A" w14:textId="77777777" w:rsidR="003A150B" w:rsidRDefault="00776FBE" w:rsidP="003A150B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4"/>
          <w:lang w:val="lt-LT"/>
        </w:rPr>
      </w:pPr>
      <w:r w:rsidRPr="0032192D">
        <w:rPr>
          <w:szCs w:val="22"/>
          <w:lang w:val="lt-LT"/>
        </w:rPr>
        <w:t xml:space="preserve">Registravimo data </w:t>
      </w:r>
      <w:r w:rsidR="003A150B">
        <w:rPr>
          <w:noProof/>
          <w:szCs w:val="24"/>
          <w:lang w:val="lt-LT"/>
        </w:rPr>
        <w:t>2024 m. gruodžio 31 d.</w:t>
      </w:r>
    </w:p>
    <w:p w14:paraId="23CDA1BE" w14:textId="77777777" w:rsidR="00776FBE" w:rsidRPr="003E7284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2C2AE99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21B0DC61" w14:textId="77777777" w:rsidR="00776FBE" w:rsidRPr="0032192D" w:rsidRDefault="00D31D1F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32192D">
        <w:rPr>
          <w:b/>
          <w:snapToGrid/>
          <w:szCs w:val="22"/>
          <w:lang w:val="lt-LT"/>
        </w:rPr>
        <w:t>10.</w:t>
      </w:r>
      <w:r w:rsidRPr="0032192D">
        <w:rPr>
          <w:b/>
          <w:snapToGrid/>
          <w:szCs w:val="22"/>
          <w:lang w:val="lt-LT"/>
        </w:rPr>
        <w:tab/>
        <w:t>TEKSTO PERŽIŪROS DATA</w:t>
      </w:r>
    </w:p>
    <w:p w14:paraId="190342F1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Cs/>
          <w:caps/>
          <w:snapToGrid/>
          <w:szCs w:val="22"/>
          <w:lang w:val="lt-LT"/>
        </w:rPr>
      </w:pPr>
    </w:p>
    <w:p w14:paraId="3D541F90" w14:textId="2FD2A51A" w:rsidR="008D4E1D" w:rsidRDefault="008D4E1D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/>
        </w:rPr>
      </w:pPr>
      <w:r w:rsidRPr="008D4E1D">
        <w:rPr>
          <w:rFonts w:eastAsia="SimSun"/>
          <w:snapToGrid/>
          <w:szCs w:val="22"/>
          <w:lang w:val="lt-LT"/>
        </w:rPr>
        <w:t>202</w:t>
      </w:r>
      <w:r>
        <w:rPr>
          <w:rFonts w:eastAsia="SimSun"/>
          <w:snapToGrid/>
          <w:szCs w:val="22"/>
          <w:lang w:val="lt-LT"/>
        </w:rPr>
        <w:t>5</w:t>
      </w:r>
      <w:r w:rsidRPr="008D4E1D">
        <w:rPr>
          <w:rFonts w:eastAsia="SimSun"/>
          <w:snapToGrid/>
          <w:szCs w:val="22"/>
          <w:lang w:val="lt-LT"/>
        </w:rPr>
        <w:t xml:space="preserve"> m. </w:t>
      </w:r>
      <w:r>
        <w:rPr>
          <w:rFonts w:eastAsia="SimSun"/>
          <w:snapToGrid/>
          <w:szCs w:val="22"/>
          <w:lang w:val="lt-LT"/>
        </w:rPr>
        <w:t>kovo</w:t>
      </w:r>
      <w:r w:rsidRPr="008D4E1D">
        <w:rPr>
          <w:rFonts w:eastAsia="SimSun"/>
          <w:snapToGrid/>
          <w:szCs w:val="22"/>
          <w:lang w:val="lt-LT"/>
        </w:rPr>
        <w:t xml:space="preserve"> </w:t>
      </w:r>
      <w:r>
        <w:rPr>
          <w:rFonts w:eastAsia="SimSun"/>
          <w:snapToGrid/>
          <w:szCs w:val="22"/>
          <w:lang w:val="lt-LT"/>
        </w:rPr>
        <w:t>17</w:t>
      </w:r>
      <w:r w:rsidRPr="008D4E1D">
        <w:rPr>
          <w:rFonts w:eastAsia="SimSun"/>
          <w:snapToGrid/>
          <w:szCs w:val="22"/>
          <w:lang w:val="lt-LT"/>
        </w:rPr>
        <w:t xml:space="preserve"> d.</w:t>
      </w:r>
    </w:p>
    <w:p w14:paraId="7BD6990E" w14:textId="77777777" w:rsidR="008D4E1D" w:rsidRDefault="008D4E1D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/>
        </w:rPr>
      </w:pPr>
    </w:p>
    <w:p w14:paraId="7D083249" w14:textId="77777777" w:rsidR="008D4E1D" w:rsidRDefault="008D4E1D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/>
        </w:rPr>
      </w:pPr>
    </w:p>
    <w:p w14:paraId="7036A624" w14:textId="72BAA2E5" w:rsidR="004E108D" w:rsidRDefault="00776FBE">
      <w:pPr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SimSun"/>
          <w:snapToGrid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="002025BA">
        <w:rPr>
          <w:rFonts w:eastAsia="SimSun"/>
          <w:snapToGrid/>
          <w:color w:val="0000FF"/>
          <w:szCs w:val="22"/>
          <w:lang w:val="lt-LT"/>
        </w:rPr>
        <w:t xml:space="preserve"> </w:t>
      </w:r>
      <w:hyperlink r:id="rId8" w:history="1">
        <w:hyperlink r:id="rId9" w:history="1">
          <w:bookmarkStart w:id="1" w:name="_Hlk173414404"/>
          <w:r w:rsidR="002025BA" w:rsidRPr="00FC4B7F">
            <w:rPr>
              <w:rStyle w:val="Hipersaitas"/>
              <w:rFonts w:eastAsia="SimSun"/>
              <w:snapToGrid/>
              <w:szCs w:val="22"/>
              <w:lang w:val="lt-LT"/>
            </w:rPr>
            <w:t>https://vvkt.lrv.lt/lt</w:t>
          </w:r>
          <w:bookmarkEnd w:id="1"/>
          <w:r w:rsidR="002025BA" w:rsidRPr="00FC4B7F">
            <w:rPr>
              <w:rStyle w:val="Hipersaitas"/>
              <w:rFonts w:eastAsia="SimSun"/>
              <w:snapToGrid/>
              <w:szCs w:val="22"/>
              <w:lang w:val="lt-LT"/>
            </w:rPr>
            <w:t>.</w:t>
          </w:r>
        </w:hyperlink>
      </w:hyperlink>
      <w:r w:rsidR="004E108D">
        <w:rPr>
          <w:rFonts w:eastAsia="TimesNewRoman"/>
          <w:snapToGrid/>
          <w:szCs w:val="22"/>
          <w:lang w:val="lt-LT"/>
        </w:rPr>
        <w:br w:type="page"/>
      </w:r>
    </w:p>
    <w:p w14:paraId="175E3AED" w14:textId="77777777" w:rsidR="0032192D" w:rsidRPr="00F82986" w:rsidRDefault="0032192D" w:rsidP="00555750">
      <w:pPr>
        <w:widowControl w:val="0"/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b/>
          <w:bCs/>
          <w:iCs/>
          <w:szCs w:val="22"/>
          <w:lang w:val="lt-LT"/>
        </w:rPr>
      </w:pPr>
    </w:p>
    <w:p w14:paraId="7B90A03F" w14:textId="77777777" w:rsidR="0032192D" w:rsidRPr="00F82986" w:rsidRDefault="0032192D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</w:p>
    <w:p w14:paraId="766083C0" w14:textId="77777777" w:rsidR="0032192D" w:rsidRPr="00F82986" w:rsidRDefault="0032192D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</w:p>
    <w:p w14:paraId="6FAB481F" w14:textId="77777777" w:rsidR="0032192D" w:rsidRPr="00F82986" w:rsidRDefault="0032192D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</w:p>
    <w:p w14:paraId="18FAB258" w14:textId="77777777" w:rsidR="0032192D" w:rsidRPr="00F82986" w:rsidRDefault="0032192D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</w:p>
    <w:p w14:paraId="64988ECB" w14:textId="77777777" w:rsidR="0032192D" w:rsidRPr="00F82986" w:rsidRDefault="0032192D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</w:p>
    <w:p w14:paraId="4BAADDC2" w14:textId="77777777" w:rsidR="0032192D" w:rsidRPr="00F82986" w:rsidRDefault="0032192D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</w:p>
    <w:p w14:paraId="750A3769" w14:textId="77777777" w:rsidR="0032192D" w:rsidRDefault="0032192D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</w:p>
    <w:p w14:paraId="23FCB27B" w14:textId="77777777" w:rsidR="002253BC" w:rsidRDefault="002253BC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</w:p>
    <w:p w14:paraId="3057CB90" w14:textId="77777777" w:rsidR="002253BC" w:rsidRDefault="002253BC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</w:p>
    <w:p w14:paraId="3329139A" w14:textId="77777777" w:rsidR="002253BC" w:rsidRDefault="002253BC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</w:p>
    <w:p w14:paraId="49E1CEF1" w14:textId="77777777" w:rsidR="002253BC" w:rsidRDefault="002253BC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</w:p>
    <w:p w14:paraId="76CCBEC7" w14:textId="77777777" w:rsidR="002253BC" w:rsidRDefault="002253BC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</w:p>
    <w:p w14:paraId="27BFC038" w14:textId="77777777" w:rsidR="002253BC" w:rsidRDefault="002253BC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</w:p>
    <w:p w14:paraId="023DFBCA" w14:textId="77777777" w:rsidR="002253BC" w:rsidRDefault="002253BC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</w:p>
    <w:p w14:paraId="1EF126E3" w14:textId="77777777" w:rsidR="002253BC" w:rsidRDefault="002253BC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</w:p>
    <w:p w14:paraId="246D9648" w14:textId="77777777" w:rsidR="002253BC" w:rsidRDefault="002253BC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</w:p>
    <w:p w14:paraId="1B2AFB09" w14:textId="77777777" w:rsidR="002253BC" w:rsidRDefault="002253BC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</w:p>
    <w:p w14:paraId="5AED488F" w14:textId="77777777" w:rsidR="002253BC" w:rsidRDefault="002253BC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</w:p>
    <w:p w14:paraId="5C0569F1" w14:textId="77777777" w:rsidR="002253BC" w:rsidRDefault="002253BC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</w:p>
    <w:p w14:paraId="56BE3424" w14:textId="009ECC19" w:rsidR="002253BC" w:rsidRDefault="002253BC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</w:p>
    <w:p w14:paraId="59E33101" w14:textId="67D367BF" w:rsidR="002253BC" w:rsidRDefault="002253BC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</w:p>
    <w:p w14:paraId="73AF18E1" w14:textId="09DA7C91" w:rsidR="00403F5C" w:rsidRDefault="00403F5C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</w:p>
    <w:p w14:paraId="7BDBCABA" w14:textId="36963029" w:rsidR="002253BC" w:rsidRPr="00EF587F" w:rsidRDefault="002253BC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</w:p>
    <w:p w14:paraId="39FD39D5" w14:textId="77777777" w:rsidR="0032192D" w:rsidRPr="00EF587F" w:rsidRDefault="0032192D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  <w:r w:rsidRPr="00EF587F">
        <w:rPr>
          <w:b/>
          <w:bCs/>
          <w:iCs/>
          <w:szCs w:val="22"/>
          <w:lang w:val="lt-LT"/>
        </w:rPr>
        <w:t>II PRIEDAS</w:t>
      </w:r>
    </w:p>
    <w:p w14:paraId="42A06863" w14:textId="77777777" w:rsidR="0032192D" w:rsidRPr="00EF587F" w:rsidRDefault="0032192D" w:rsidP="0032192D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1ED166CC" w14:textId="77777777" w:rsidR="0032192D" w:rsidRPr="00EF587F" w:rsidRDefault="0032192D" w:rsidP="0032192D">
      <w:pPr>
        <w:keepNext/>
        <w:spacing w:line="240" w:lineRule="auto"/>
        <w:jc w:val="center"/>
        <w:outlineLvl w:val="1"/>
        <w:rPr>
          <w:b/>
          <w:bCs/>
          <w:iCs/>
          <w:szCs w:val="22"/>
          <w:lang w:val="lt-LT"/>
        </w:rPr>
      </w:pPr>
      <w:r w:rsidRPr="00EF587F">
        <w:rPr>
          <w:b/>
          <w:bCs/>
          <w:iCs/>
          <w:szCs w:val="22"/>
          <w:lang w:val="lt-LT"/>
        </w:rPr>
        <w:t>REGISTRACIJOS SĄLYGOS</w:t>
      </w:r>
    </w:p>
    <w:p w14:paraId="626168DD" w14:textId="77777777" w:rsidR="0032192D" w:rsidRPr="00EF587F" w:rsidRDefault="0032192D" w:rsidP="0032192D">
      <w:pPr>
        <w:spacing w:line="240" w:lineRule="auto"/>
        <w:rPr>
          <w:szCs w:val="22"/>
          <w:lang w:val="lt-LT"/>
        </w:rPr>
      </w:pPr>
    </w:p>
    <w:p w14:paraId="4E00CE6F" w14:textId="77777777" w:rsidR="0032192D" w:rsidRPr="00EF587F" w:rsidRDefault="0032192D" w:rsidP="0032192D">
      <w:pPr>
        <w:tabs>
          <w:tab w:val="clear" w:pos="567"/>
          <w:tab w:val="left" w:pos="1701"/>
        </w:tabs>
        <w:spacing w:line="240" w:lineRule="auto"/>
        <w:ind w:left="1701" w:right="567" w:hanging="567"/>
        <w:rPr>
          <w:b/>
          <w:szCs w:val="22"/>
          <w:lang w:val="lt-LT"/>
        </w:rPr>
      </w:pPr>
      <w:r w:rsidRPr="00EF587F">
        <w:rPr>
          <w:b/>
          <w:szCs w:val="22"/>
          <w:lang w:val="lt-LT"/>
        </w:rPr>
        <w:t>A.</w:t>
      </w:r>
      <w:r w:rsidRPr="00EF587F">
        <w:rPr>
          <w:b/>
          <w:szCs w:val="22"/>
          <w:lang w:val="lt-LT"/>
        </w:rPr>
        <w:tab/>
      </w:r>
      <w:r w:rsidRPr="00EF587F">
        <w:rPr>
          <w:b/>
          <w:noProof/>
          <w:szCs w:val="22"/>
          <w:lang w:val="lt-LT"/>
        </w:rPr>
        <w:t xml:space="preserve">GAMINTOJAS (-AI), ATSAKINGAS (-I) </w:t>
      </w:r>
      <w:r w:rsidRPr="00EF587F">
        <w:rPr>
          <w:b/>
          <w:szCs w:val="22"/>
          <w:lang w:val="lt-LT"/>
        </w:rPr>
        <w:t>UŽ SERIJŲ IŠLEIDIMĄ</w:t>
      </w:r>
    </w:p>
    <w:p w14:paraId="0FFC6499" w14:textId="77777777" w:rsidR="0032192D" w:rsidRPr="00EF587F" w:rsidRDefault="0032192D" w:rsidP="0032192D">
      <w:pPr>
        <w:tabs>
          <w:tab w:val="clear" w:pos="567"/>
          <w:tab w:val="left" w:pos="1701"/>
        </w:tabs>
        <w:spacing w:line="240" w:lineRule="auto"/>
        <w:ind w:left="567" w:right="567" w:hanging="567"/>
        <w:rPr>
          <w:szCs w:val="22"/>
          <w:lang w:val="lt-LT"/>
        </w:rPr>
      </w:pPr>
    </w:p>
    <w:p w14:paraId="60AC071D" w14:textId="77777777" w:rsidR="0032192D" w:rsidRPr="00EF587F" w:rsidRDefault="0032192D" w:rsidP="0032192D">
      <w:pPr>
        <w:tabs>
          <w:tab w:val="clear" w:pos="567"/>
          <w:tab w:val="left" w:pos="1701"/>
        </w:tabs>
        <w:spacing w:line="240" w:lineRule="auto"/>
        <w:ind w:left="1701" w:right="567" w:hanging="567"/>
        <w:rPr>
          <w:b/>
          <w:szCs w:val="22"/>
          <w:lang w:val="lt-LT"/>
        </w:rPr>
      </w:pPr>
      <w:r w:rsidRPr="00EF587F">
        <w:rPr>
          <w:b/>
          <w:szCs w:val="22"/>
          <w:lang w:val="lt-LT"/>
        </w:rPr>
        <w:t>B.</w:t>
      </w:r>
      <w:r w:rsidRPr="00EF587F">
        <w:rPr>
          <w:b/>
          <w:szCs w:val="22"/>
          <w:lang w:val="lt-LT"/>
        </w:rPr>
        <w:tab/>
        <w:t>TIEKIMO IR VARTOJIMO SĄLYGOS AR APRIBOJIMAI</w:t>
      </w:r>
    </w:p>
    <w:p w14:paraId="4299D2F4" w14:textId="77777777" w:rsidR="0032192D" w:rsidRPr="00EF587F" w:rsidRDefault="0032192D" w:rsidP="0032192D">
      <w:pPr>
        <w:spacing w:line="240" w:lineRule="auto"/>
        <w:rPr>
          <w:b/>
          <w:szCs w:val="22"/>
          <w:lang w:val="lt-LT"/>
        </w:rPr>
      </w:pPr>
      <w:r w:rsidRPr="00EF587F">
        <w:rPr>
          <w:szCs w:val="22"/>
          <w:lang w:val="lt-LT"/>
        </w:rPr>
        <w:br w:type="page"/>
      </w:r>
      <w:r w:rsidRPr="00EF587F">
        <w:rPr>
          <w:b/>
          <w:szCs w:val="22"/>
          <w:lang w:val="lt-LT"/>
        </w:rPr>
        <w:lastRenderedPageBreak/>
        <w:t>A.</w:t>
      </w:r>
      <w:r w:rsidRPr="00EF587F">
        <w:rPr>
          <w:b/>
          <w:szCs w:val="22"/>
          <w:lang w:val="lt-LT"/>
        </w:rPr>
        <w:tab/>
      </w:r>
      <w:r w:rsidRPr="00EF587F">
        <w:rPr>
          <w:b/>
          <w:noProof/>
          <w:szCs w:val="22"/>
          <w:lang w:val="lt-LT"/>
        </w:rPr>
        <w:t>GAMINTOJAS (-AI), ATSAKINGAS (-I)</w:t>
      </w:r>
      <w:r w:rsidRPr="00EF587F">
        <w:rPr>
          <w:b/>
          <w:szCs w:val="22"/>
          <w:lang w:val="lt-LT"/>
        </w:rPr>
        <w:t xml:space="preserve"> UŽ SERIJŲ IŠLEIDIMĄ</w:t>
      </w:r>
    </w:p>
    <w:p w14:paraId="223EB84E" w14:textId="77777777" w:rsidR="0032192D" w:rsidRPr="00EF587F" w:rsidRDefault="0032192D" w:rsidP="0032192D">
      <w:pPr>
        <w:spacing w:line="240" w:lineRule="auto"/>
        <w:rPr>
          <w:szCs w:val="22"/>
          <w:lang w:val="lt-LT"/>
        </w:rPr>
      </w:pPr>
    </w:p>
    <w:p w14:paraId="5B313DC2" w14:textId="77777777" w:rsidR="0032192D" w:rsidRPr="00EF587F" w:rsidRDefault="0032192D" w:rsidP="0032192D">
      <w:pPr>
        <w:spacing w:line="240" w:lineRule="auto"/>
        <w:jc w:val="both"/>
        <w:rPr>
          <w:szCs w:val="22"/>
          <w:lang w:val="lt-LT"/>
        </w:rPr>
      </w:pPr>
      <w:r w:rsidRPr="00EF587F">
        <w:rPr>
          <w:noProof/>
          <w:szCs w:val="22"/>
          <w:u w:val="single"/>
          <w:lang w:val="lt-LT"/>
        </w:rPr>
        <w:t>Gamintojo (-ų), atsakingo (-ų) už serijų išleidimą, pavadinimas (-ai) ir adresas (-ai)</w:t>
      </w:r>
    </w:p>
    <w:p w14:paraId="0B1B28E0" w14:textId="77777777" w:rsidR="0032192D" w:rsidRPr="00EF587F" w:rsidRDefault="0032192D" w:rsidP="0032192D">
      <w:pPr>
        <w:spacing w:line="240" w:lineRule="auto"/>
        <w:rPr>
          <w:szCs w:val="22"/>
          <w:lang w:val="lt-LT"/>
        </w:rPr>
      </w:pPr>
    </w:p>
    <w:p w14:paraId="5CDBF52B" w14:textId="77777777" w:rsidR="002253BC" w:rsidRPr="002253BC" w:rsidRDefault="002253BC" w:rsidP="002253BC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napToGrid/>
          <w:lang w:val="et-EE" w:eastAsia="et-EE" w:bidi="et-EE"/>
        </w:rPr>
      </w:pPr>
      <w:r w:rsidRPr="002253BC">
        <w:rPr>
          <w:snapToGrid/>
          <w:lang w:val="et-EE" w:eastAsia="et-EE" w:bidi="et-EE"/>
        </w:rPr>
        <w:t>Adamed Pharma S.A.</w:t>
      </w:r>
    </w:p>
    <w:p w14:paraId="7D596795" w14:textId="77777777" w:rsidR="002253BC" w:rsidRPr="002253BC" w:rsidRDefault="002253BC" w:rsidP="002253BC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rFonts w:eastAsia="Calibri"/>
          <w:snapToGrid/>
          <w:szCs w:val="22"/>
          <w:lang w:val="et-EE"/>
        </w:rPr>
      </w:pPr>
      <w:r w:rsidRPr="002253BC">
        <w:rPr>
          <w:rFonts w:eastAsia="Calibri"/>
          <w:snapToGrid/>
          <w:szCs w:val="22"/>
          <w:lang w:val="et-EE"/>
        </w:rPr>
        <w:t>ul. Marszałka Józefa Piłsudskiego 5</w:t>
      </w:r>
    </w:p>
    <w:p w14:paraId="69E7ADB9" w14:textId="77777777" w:rsidR="002253BC" w:rsidRPr="002253BC" w:rsidRDefault="002253BC" w:rsidP="002253BC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rFonts w:eastAsia="Calibri"/>
          <w:snapToGrid/>
          <w:szCs w:val="22"/>
          <w:lang w:val="et-EE"/>
        </w:rPr>
      </w:pPr>
      <w:r w:rsidRPr="002253BC">
        <w:rPr>
          <w:rFonts w:eastAsia="Calibri"/>
          <w:snapToGrid/>
          <w:szCs w:val="22"/>
          <w:lang w:val="et-EE"/>
        </w:rPr>
        <w:t>95-200 Pabianice</w:t>
      </w:r>
    </w:p>
    <w:p w14:paraId="78006FF0" w14:textId="77777777" w:rsidR="002253BC" w:rsidRPr="002253BC" w:rsidRDefault="002253BC" w:rsidP="002253BC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rFonts w:eastAsia="Calibri"/>
          <w:snapToGrid/>
          <w:szCs w:val="22"/>
          <w:lang w:val="et-EE"/>
        </w:rPr>
      </w:pPr>
      <w:r>
        <w:rPr>
          <w:rFonts w:eastAsia="Calibri"/>
          <w:snapToGrid/>
          <w:szCs w:val="22"/>
          <w:lang w:val="et-EE"/>
        </w:rPr>
        <w:t>Lenkija</w:t>
      </w:r>
    </w:p>
    <w:p w14:paraId="43D3534E" w14:textId="77777777" w:rsidR="0032192D" w:rsidRPr="002253BC" w:rsidRDefault="0032192D" w:rsidP="0032192D">
      <w:pPr>
        <w:spacing w:line="240" w:lineRule="auto"/>
        <w:rPr>
          <w:szCs w:val="22"/>
          <w:lang w:val="et-EE"/>
        </w:rPr>
      </w:pPr>
    </w:p>
    <w:p w14:paraId="4C02C21F" w14:textId="77777777" w:rsidR="002253BC" w:rsidRPr="002253BC" w:rsidRDefault="002253BC" w:rsidP="0032192D">
      <w:pPr>
        <w:spacing w:line="240" w:lineRule="auto"/>
        <w:rPr>
          <w:szCs w:val="22"/>
          <w:lang w:val="et-EE"/>
        </w:rPr>
      </w:pPr>
    </w:p>
    <w:p w14:paraId="20DDEB77" w14:textId="77777777" w:rsidR="0032192D" w:rsidRPr="00EF587F" w:rsidRDefault="0032192D" w:rsidP="0032192D">
      <w:pPr>
        <w:spacing w:line="240" w:lineRule="auto"/>
        <w:rPr>
          <w:szCs w:val="22"/>
          <w:lang w:val="lt-LT"/>
        </w:rPr>
      </w:pPr>
    </w:p>
    <w:p w14:paraId="7C9F03A7" w14:textId="77777777" w:rsidR="0032192D" w:rsidRPr="00EF587F" w:rsidRDefault="0032192D" w:rsidP="0032192D">
      <w:pPr>
        <w:spacing w:line="240" w:lineRule="auto"/>
        <w:ind w:left="567" w:hanging="567"/>
        <w:rPr>
          <w:szCs w:val="22"/>
          <w:lang w:val="lt-LT"/>
        </w:rPr>
      </w:pPr>
      <w:r w:rsidRPr="00EF587F">
        <w:rPr>
          <w:b/>
          <w:szCs w:val="22"/>
          <w:lang w:val="lt-LT"/>
        </w:rPr>
        <w:t>B.</w:t>
      </w:r>
      <w:r w:rsidRPr="00EF587F">
        <w:rPr>
          <w:b/>
          <w:szCs w:val="22"/>
          <w:lang w:val="lt-LT"/>
        </w:rPr>
        <w:tab/>
        <w:t>TIEKIMO IR VARTOJIMO SĄLYGOS AR APRIBOJIMAI</w:t>
      </w:r>
    </w:p>
    <w:p w14:paraId="7B5C0C2F" w14:textId="77777777" w:rsidR="0032192D" w:rsidRPr="00EF587F" w:rsidRDefault="0032192D" w:rsidP="0032192D">
      <w:pPr>
        <w:spacing w:line="240" w:lineRule="auto"/>
        <w:rPr>
          <w:szCs w:val="22"/>
          <w:lang w:val="lt-LT"/>
        </w:rPr>
      </w:pPr>
    </w:p>
    <w:p w14:paraId="154C6448" w14:textId="77777777" w:rsidR="0032192D" w:rsidRPr="00EF587F" w:rsidRDefault="0032192D" w:rsidP="0032192D">
      <w:pPr>
        <w:spacing w:line="240" w:lineRule="auto"/>
        <w:rPr>
          <w:szCs w:val="22"/>
          <w:lang w:val="lt-LT"/>
        </w:rPr>
      </w:pPr>
      <w:r w:rsidRPr="00EF587F">
        <w:rPr>
          <w:szCs w:val="22"/>
          <w:lang w:val="lt-LT"/>
        </w:rPr>
        <w:t>Receptinis vaistinis preparatas.</w:t>
      </w:r>
    </w:p>
    <w:p w14:paraId="2EAFE5B7" w14:textId="77777777" w:rsidR="0032192D" w:rsidRPr="00EF587F" w:rsidRDefault="0032192D" w:rsidP="0032192D">
      <w:pPr>
        <w:spacing w:line="240" w:lineRule="auto"/>
        <w:rPr>
          <w:szCs w:val="22"/>
          <w:lang w:val="lt-LT"/>
        </w:rPr>
      </w:pPr>
    </w:p>
    <w:p w14:paraId="2D0C62DE" w14:textId="77777777" w:rsidR="0032192D" w:rsidRPr="00EF587F" w:rsidRDefault="0032192D" w:rsidP="0032192D">
      <w:pPr>
        <w:spacing w:line="240" w:lineRule="auto"/>
        <w:rPr>
          <w:szCs w:val="22"/>
          <w:lang w:val="lt-LT"/>
        </w:rPr>
      </w:pPr>
    </w:p>
    <w:p w14:paraId="4F3999C4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F587F">
        <w:rPr>
          <w:szCs w:val="22"/>
          <w:lang w:val="lt-LT"/>
        </w:rPr>
        <w:br w:type="page"/>
      </w:r>
    </w:p>
    <w:p w14:paraId="6FCCDA1A" w14:textId="77777777" w:rsidR="0032192D" w:rsidRPr="00EF587F" w:rsidRDefault="0032192D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</w:p>
    <w:p w14:paraId="20D818D9" w14:textId="77777777" w:rsidR="0032192D" w:rsidRPr="00EF587F" w:rsidRDefault="0032192D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</w:p>
    <w:p w14:paraId="1D3E0AFC" w14:textId="77777777" w:rsidR="0032192D" w:rsidRPr="00F82986" w:rsidRDefault="0032192D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</w:p>
    <w:p w14:paraId="70382A54" w14:textId="77777777" w:rsidR="0032192D" w:rsidRPr="00F82986" w:rsidRDefault="0032192D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</w:p>
    <w:p w14:paraId="35BCCEFA" w14:textId="77777777" w:rsidR="0032192D" w:rsidRPr="00F82986" w:rsidRDefault="0032192D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</w:p>
    <w:p w14:paraId="275D2D68" w14:textId="77777777" w:rsidR="0032192D" w:rsidRPr="00F82986" w:rsidRDefault="0032192D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</w:p>
    <w:p w14:paraId="3CA3A76D" w14:textId="77777777" w:rsidR="0032192D" w:rsidRPr="00F82986" w:rsidRDefault="0032192D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</w:p>
    <w:p w14:paraId="6D5AE6B9" w14:textId="77777777" w:rsidR="0032192D" w:rsidRPr="00F82986" w:rsidRDefault="0032192D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</w:p>
    <w:p w14:paraId="53523726" w14:textId="77777777" w:rsidR="0032192D" w:rsidRPr="00F82986" w:rsidRDefault="0032192D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</w:p>
    <w:p w14:paraId="141A9508" w14:textId="77777777" w:rsidR="0032192D" w:rsidRPr="00F82986" w:rsidRDefault="0032192D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</w:p>
    <w:p w14:paraId="5AD420C8" w14:textId="77777777" w:rsidR="0032192D" w:rsidRPr="00F82986" w:rsidRDefault="0032192D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</w:p>
    <w:p w14:paraId="16FA806F" w14:textId="77777777" w:rsidR="0032192D" w:rsidRPr="00F82986" w:rsidRDefault="0032192D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</w:p>
    <w:p w14:paraId="231DEBC2" w14:textId="77777777" w:rsidR="0032192D" w:rsidRPr="00F82986" w:rsidRDefault="0032192D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</w:p>
    <w:p w14:paraId="4DEA2540" w14:textId="77777777" w:rsidR="0032192D" w:rsidRPr="00F82986" w:rsidRDefault="0032192D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</w:p>
    <w:p w14:paraId="2AA3F5CC" w14:textId="77777777" w:rsidR="0032192D" w:rsidRPr="00F82986" w:rsidRDefault="0032192D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</w:p>
    <w:p w14:paraId="6F195C03" w14:textId="77777777" w:rsidR="0032192D" w:rsidRPr="00F82986" w:rsidRDefault="0032192D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</w:p>
    <w:p w14:paraId="3AEBD52D" w14:textId="77777777" w:rsidR="0032192D" w:rsidRPr="00F82986" w:rsidRDefault="0032192D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</w:p>
    <w:p w14:paraId="045E0362" w14:textId="77777777" w:rsidR="0032192D" w:rsidRPr="00F82986" w:rsidRDefault="0032192D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</w:p>
    <w:p w14:paraId="25B46686" w14:textId="77777777" w:rsidR="0032192D" w:rsidRPr="00F82986" w:rsidRDefault="0032192D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</w:p>
    <w:p w14:paraId="14CDE4B2" w14:textId="77777777" w:rsidR="0032192D" w:rsidRPr="00F82986" w:rsidRDefault="0032192D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</w:p>
    <w:p w14:paraId="39CB351D" w14:textId="77777777" w:rsidR="0032192D" w:rsidRPr="00F82986" w:rsidRDefault="0032192D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</w:p>
    <w:p w14:paraId="43C17912" w14:textId="77777777" w:rsidR="0032192D" w:rsidRDefault="0032192D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</w:p>
    <w:p w14:paraId="567E357D" w14:textId="77777777" w:rsidR="00403F5C" w:rsidRPr="00EF587F" w:rsidRDefault="00403F5C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</w:p>
    <w:p w14:paraId="704E71B7" w14:textId="77777777" w:rsidR="0032192D" w:rsidRPr="00EF587F" w:rsidRDefault="0032192D" w:rsidP="0032192D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kern w:val="28"/>
          <w:szCs w:val="22"/>
          <w:lang w:val="lt-LT" w:eastAsia="lt-LT"/>
        </w:rPr>
      </w:pPr>
      <w:r w:rsidRPr="00EF587F">
        <w:rPr>
          <w:b/>
          <w:snapToGrid/>
          <w:kern w:val="28"/>
          <w:szCs w:val="22"/>
          <w:lang w:val="lt-LT" w:eastAsia="lt-LT"/>
        </w:rPr>
        <w:t>A. ŽENKLINIMAS</w:t>
      </w:r>
    </w:p>
    <w:p w14:paraId="0C6D72F1" w14:textId="77777777" w:rsidR="0032192D" w:rsidRPr="00EF587F" w:rsidRDefault="0032192D" w:rsidP="003219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1"/>
        <w:rPr>
          <w:b/>
          <w:snapToGrid/>
          <w:szCs w:val="22"/>
          <w:lang w:val="lt-LT" w:eastAsia="lt-LT"/>
        </w:rPr>
      </w:pPr>
      <w:r w:rsidRPr="00EF587F">
        <w:rPr>
          <w:b/>
          <w:snapToGrid/>
          <w:szCs w:val="22"/>
          <w:lang w:val="lt-LT" w:eastAsia="lt-LT"/>
        </w:rPr>
        <w:br w:type="page"/>
      </w:r>
      <w:r w:rsidRPr="00EF587F">
        <w:rPr>
          <w:b/>
          <w:snapToGrid/>
          <w:szCs w:val="22"/>
          <w:lang w:val="lt-LT" w:eastAsia="lt-LT"/>
        </w:rPr>
        <w:lastRenderedPageBreak/>
        <w:t xml:space="preserve">INFORMACIJA ANT IŠORINĖS PAKUOTĖS </w:t>
      </w:r>
    </w:p>
    <w:p w14:paraId="5DDF4BF5" w14:textId="77777777" w:rsidR="0032192D" w:rsidRPr="00EF587F" w:rsidRDefault="0032192D" w:rsidP="0032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napToGrid/>
          <w:szCs w:val="22"/>
          <w:lang w:val="lt-LT" w:eastAsia="lt-LT"/>
        </w:rPr>
      </w:pPr>
    </w:p>
    <w:p w14:paraId="5A71EFFC" w14:textId="77777777" w:rsidR="0032192D" w:rsidRPr="00EF587F" w:rsidRDefault="0032192D" w:rsidP="0032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napToGrid/>
          <w:szCs w:val="22"/>
          <w:lang w:val="lt-LT" w:eastAsia="lt-LT"/>
        </w:rPr>
      </w:pPr>
      <w:r w:rsidRPr="00EF587F">
        <w:rPr>
          <w:b/>
          <w:snapToGrid/>
          <w:szCs w:val="22"/>
          <w:lang w:val="lt-LT" w:eastAsia="lt-LT"/>
        </w:rPr>
        <w:t>KARTONO DĖŽUTĖ</w:t>
      </w:r>
    </w:p>
    <w:p w14:paraId="60108BA8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75CAA88F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7AB171CD" w14:textId="77777777" w:rsidR="0032192D" w:rsidRPr="00EF587F" w:rsidRDefault="0032192D" w:rsidP="0032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b/>
          <w:bCs/>
          <w:snapToGrid/>
          <w:szCs w:val="22"/>
          <w:lang w:val="lt-LT" w:eastAsia="lt-LT"/>
        </w:rPr>
      </w:pPr>
      <w:r w:rsidRPr="00EF587F">
        <w:rPr>
          <w:b/>
          <w:bCs/>
          <w:snapToGrid/>
          <w:szCs w:val="22"/>
          <w:lang w:val="lt-LT" w:eastAsia="lt-LT"/>
        </w:rPr>
        <w:t>1.</w:t>
      </w:r>
      <w:r w:rsidRPr="00EF587F">
        <w:rPr>
          <w:b/>
          <w:bCs/>
          <w:snapToGrid/>
          <w:szCs w:val="22"/>
          <w:lang w:val="lt-LT" w:eastAsia="lt-LT"/>
        </w:rPr>
        <w:tab/>
        <w:t>VAISTINIO PREPARATO PAVADINIMAS</w:t>
      </w:r>
    </w:p>
    <w:p w14:paraId="0467CF6B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1D8CFEC9" w14:textId="1F3A440B" w:rsidR="0032192D" w:rsidRPr="00F82986" w:rsidRDefault="00FB1F51" w:rsidP="0032192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color w:val="000000"/>
          <w:szCs w:val="22"/>
          <w:lang w:val="lt-LT"/>
        </w:rPr>
        <w:t>Solitombo</w:t>
      </w:r>
      <w:proofErr w:type="spellEnd"/>
      <w:r w:rsidR="002253BC" w:rsidRPr="0032192D">
        <w:rPr>
          <w:snapToGrid/>
          <w:color w:val="000000"/>
          <w:szCs w:val="22"/>
          <w:lang w:val="lt-LT"/>
        </w:rPr>
        <w:t xml:space="preserve"> 6 mg/0,4 mg modifikuoto atpalaidavimo tabletės</w:t>
      </w:r>
    </w:p>
    <w:p w14:paraId="2341643B" w14:textId="1A0D6460" w:rsidR="002253BC" w:rsidRDefault="002253BC" w:rsidP="0032192D">
      <w:pPr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</w:t>
      </w:r>
      <w:r>
        <w:rPr>
          <w:rFonts w:eastAsia="TimesNewRoman"/>
          <w:snapToGrid/>
          <w:szCs w:val="22"/>
          <w:lang w:val="lt-LT"/>
        </w:rPr>
        <w:t>as</w:t>
      </w:r>
      <w:proofErr w:type="spellEnd"/>
      <w:r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="000874CF"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0874CF" w:rsidRPr="0032192D">
        <w:rPr>
          <w:rFonts w:eastAsia="TimesNewRoman"/>
          <w:snapToGrid/>
          <w:szCs w:val="22"/>
          <w:lang w:val="lt-LT"/>
        </w:rPr>
        <w:t xml:space="preserve"> hidrochlorid</w:t>
      </w:r>
      <w:r w:rsidR="000874CF">
        <w:rPr>
          <w:rFonts w:eastAsia="TimesNewRoman"/>
          <w:snapToGrid/>
          <w:szCs w:val="22"/>
          <w:lang w:val="lt-LT"/>
        </w:rPr>
        <w:t>as</w:t>
      </w:r>
    </w:p>
    <w:p w14:paraId="0ED08939" w14:textId="77777777" w:rsidR="000874CF" w:rsidRPr="00EF587F" w:rsidRDefault="000874CF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1EAEFA1C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39BDD35F" w14:textId="77777777" w:rsidR="0032192D" w:rsidRPr="00EF587F" w:rsidRDefault="0032192D" w:rsidP="0032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b/>
          <w:bCs/>
          <w:snapToGrid/>
          <w:szCs w:val="22"/>
          <w:lang w:val="lt-LT" w:eastAsia="lt-LT"/>
        </w:rPr>
      </w:pPr>
      <w:r w:rsidRPr="00EF587F">
        <w:rPr>
          <w:b/>
          <w:bCs/>
          <w:snapToGrid/>
          <w:szCs w:val="22"/>
          <w:lang w:val="lt-LT" w:eastAsia="lt-LT"/>
        </w:rPr>
        <w:t>2.</w:t>
      </w:r>
      <w:r w:rsidRPr="00EF587F">
        <w:rPr>
          <w:b/>
          <w:bCs/>
          <w:snapToGrid/>
          <w:szCs w:val="22"/>
          <w:lang w:val="lt-LT" w:eastAsia="lt-LT"/>
        </w:rPr>
        <w:tab/>
        <w:t xml:space="preserve">VEIKLIOJI MEDŽIAGA IR JOS KIEKIS </w:t>
      </w:r>
    </w:p>
    <w:p w14:paraId="4262BD20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60FE57C1" w14:textId="421E8FD5" w:rsidR="0032192D" w:rsidRDefault="00F65D90" w:rsidP="0032192D">
      <w:pPr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Kiekvienoje </w:t>
      </w:r>
      <w:r w:rsidR="00B3297D">
        <w:rPr>
          <w:rFonts w:eastAsia="TimesNewRoman"/>
          <w:snapToGrid/>
          <w:szCs w:val="22"/>
          <w:lang w:val="lt-LT"/>
        </w:rPr>
        <w:t xml:space="preserve">modifikuoto atpalaidavimo </w:t>
      </w:r>
      <w:r w:rsidRPr="0032192D">
        <w:rPr>
          <w:rFonts w:eastAsia="TimesNewRoman"/>
          <w:snapToGrid/>
          <w:szCs w:val="22"/>
          <w:lang w:val="lt-LT"/>
        </w:rPr>
        <w:t xml:space="preserve">tabletėje yra 6 mg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, atitinkančio 4,5 mg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 xml:space="preserve">ir 0,4 mg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hidrochlorido, atitinkančio 0,37 mg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>
        <w:rPr>
          <w:rFonts w:eastAsia="TimesNewRoman"/>
          <w:snapToGrid/>
          <w:szCs w:val="22"/>
          <w:lang w:val="lt-LT"/>
        </w:rPr>
        <w:t>.</w:t>
      </w:r>
    </w:p>
    <w:p w14:paraId="18796CDE" w14:textId="77777777" w:rsidR="00F65D90" w:rsidRPr="00EF587F" w:rsidRDefault="00F65D90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05524DC1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417D9511" w14:textId="77777777" w:rsidR="0032192D" w:rsidRPr="00EF587F" w:rsidRDefault="0032192D" w:rsidP="0032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b/>
          <w:bCs/>
          <w:snapToGrid/>
          <w:szCs w:val="22"/>
          <w:lang w:val="lt-LT" w:eastAsia="lt-LT"/>
        </w:rPr>
      </w:pPr>
      <w:r w:rsidRPr="00EF587F">
        <w:rPr>
          <w:b/>
          <w:bCs/>
          <w:snapToGrid/>
          <w:szCs w:val="22"/>
          <w:lang w:val="lt-LT" w:eastAsia="lt-LT"/>
        </w:rPr>
        <w:t>3.</w:t>
      </w:r>
      <w:r w:rsidRPr="00EF587F">
        <w:rPr>
          <w:b/>
          <w:bCs/>
          <w:snapToGrid/>
          <w:szCs w:val="22"/>
          <w:lang w:val="lt-LT" w:eastAsia="lt-LT"/>
        </w:rPr>
        <w:tab/>
        <w:t>PAGALBINIŲ MEDŽIAGŲ SĄRAŠAS</w:t>
      </w:r>
    </w:p>
    <w:p w14:paraId="09CC909C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07D46593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7A497504" w14:textId="77777777" w:rsidR="0032192D" w:rsidRPr="00EF587F" w:rsidRDefault="0032192D" w:rsidP="0032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b/>
          <w:bCs/>
          <w:snapToGrid/>
          <w:szCs w:val="22"/>
          <w:lang w:val="lt-LT" w:eastAsia="lt-LT"/>
        </w:rPr>
      </w:pPr>
      <w:r w:rsidRPr="00EF587F">
        <w:rPr>
          <w:b/>
          <w:bCs/>
          <w:snapToGrid/>
          <w:szCs w:val="22"/>
          <w:lang w:val="lt-LT" w:eastAsia="lt-LT"/>
        </w:rPr>
        <w:t>4.</w:t>
      </w:r>
      <w:r w:rsidRPr="00EF587F">
        <w:rPr>
          <w:b/>
          <w:bCs/>
          <w:snapToGrid/>
          <w:szCs w:val="22"/>
          <w:lang w:val="lt-LT" w:eastAsia="lt-LT"/>
        </w:rPr>
        <w:tab/>
        <w:t>FARMACINĖ FORMA IR KIEKIS PAKUOTĖJE</w:t>
      </w:r>
    </w:p>
    <w:p w14:paraId="6F1B18A1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7D8CD431" w14:textId="77777777" w:rsidR="00F65D90" w:rsidRDefault="00F65D90" w:rsidP="0032192D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F65D90">
        <w:rPr>
          <w:snapToGrid/>
          <w:color w:val="000000"/>
          <w:szCs w:val="22"/>
          <w:highlight w:val="lightGray"/>
          <w:lang w:val="lt-LT"/>
        </w:rPr>
        <w:t>Modifikuoto atpalaidavimo tabletė</w:t>
      </w:r>
    </w:p>
    <w:p w14:paraId="1EB557CF" w14:textId="77777777" w:rsidR="00F65D90" w:rsidRDefault="00F65D90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2DF66B5B" w14:textId="77777777" w:rsidR="00F65D90" w:rsidRDefault="00F65D90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3</w:t>
      </w:r>
      <w:r w:rsidR="0032192D" w:rsidRPr="00EF587F">
        <w:rPr>
          <w:snapToGrid/>
          <w:szCs w:val="22"/>
          <w:lang w:val="lt-LT" w:eastAsia="lt-LT"/>
        </w:rPr>
        <w:t xml:space="preserve">0 </w:t>
      </w:r>
      <w:r w:rsidRPr="0032192D">
        <w:rPr>
          <w:snapToGrid/>
          <w:color w:val="000000"/>
          <w:szCs w:val="22"/>
          <w:lang w:val="lt-LT"/>
        </w:rPr>
        <w:t>modifikuoto atpalaidavimo table</w:t>
      </w:r>
      <w:r>
        <w:rPr>
          <w:snapToGrid/>
          <w:color w:val="000000"/>
          <w:szCs w:val="22"/>
          <w:lang w:val="lt-LT"/>
        </w:rPr>
        <w:t>čių</w:t>
      </w:r>
      <w:r w:rsidRPr="00EF587F">
        <w:rPr>
          <w:snapToGrid/>
          <w:szCs w:val="22"/>
          <w:lang w:val="lt-LT" w:eastAsia="lt-LT"/>
        </w:rPr>
        <w:t xml:space="preserve"> </w:t>
      </w:r>
    </w:p>
    <w:p w14:paraId="61813CA7" w14:textId="77777777" w:rsidR="00F65D90" w:rsidRPr="00E1314A" w:rsidRDefault="00F65D90" w:rsidP="00F65D90">
      <w:pPr>
        <w:tabs>
          <w:tab w:val="clear" w:pos="567"/>
        </w:tabs>
        <w:spacing w:line="240" w:lineRule="auto"/>
        <w:rPr>
          <w:snapToGrid/>
          <w:szCs w:val="22"/>
          <w:highlight w:val="lightGray"/>
          <w:lang w:val="lt-LT" w:eastAsia="lt-LT"/>
        </w:rPr>
      </w:pPr>
      <w:r w:rsidRPr="00E1314A">
        <w:rPr>
          <w:snapToGrid/>
          <w:szCs w:val="22"/>
          <w:highlight w:val="lightGray"/>
          <w:lang w:val="lt-LT" w:eastAsia="lt-LT"/>
        </w:rPr>
        <w:t xml:space="preserve">60 </w:t>
      </w:r>
      <w:r w:rsidRPr="00E1314A">
        <w:rPr>
          <w:snapToGrid/>
          <w:color w:val="000000"/>
          <w:szCs w:val="22"/>
          <w:highlight w:val="lightGray"/>
          <w:lang w:val="lt-LT"/>
        </w:rPr>
        <w:t>modifikuoto atpalaidavimo tablečių</w:t>
      </w:r>
      <w:r w:rsidRPr="00E1314A">
        <w:rPr>
          <w:snapToGrid/>
          <w:szCs w:val="22"/>
          <w:highlight w:val="lightGray"/>
          <w:lang w:val="lt-LT" w:eastAsia="lt-LT"/>
        </w:rPr>
        <w:t xml:space="preserve"> </w:t>
      </w:r>
    </w:p>
    <w:p w14:paraId="3600AE28" w14:textId="32CFF74F" w:rsidR="0032192D" w:rsidRPr="00E1314A" w:rsidRDefault="00E1314A" w:rsidP="0032192D">
      <w:pPr>
        <w:tabs>
          <w:tab w:val="clear" w:pos="567"/>
        </w:tabs>
        <w:spacing w:line="240" w:lineRule="auto"/>
        <w:rPr>
          <w:snapToGrid/>
          <w:szCs w:val="22"/>
          <w:highlight w:val="lightGray"/>
          <w:lang w:val="lt-LT" w:eastAsia="lt-LT"/>
        </w:rPr>
      </w:pPr>
      <w:r w:rsidRPr="00E1314A">
        <w:rPr>
          <w:snapToGrid/>
          <w:szCs w:val="22"/>
          <w:highlight w:val="lightGray"/>
          <w:lang w:val="lt-LT" w:eastAsia="lt-LT"/>
        </w:rPr>
        <w:t xml:space="preserve">30 x 1 </w:t>
      </w:r>
      <w:r w:rsidRPr="00E1314A">
        <w:rPr>
          <w:snapToGrid/>
          <w:color w:val="000000"/>
          <w:szCs w:val="22"/>
          <w:highlight w:val="lightGray"/>
          <w:lang w:val="lt-LT"/>
        </w:rPr>
        <w:t>modifikuoto atpalaidavimo tablečių</w:t>
      </w:r>
    </w:p>
    <w:p w14:paraId="06983C30" w14:textId="6B304250" w:rsidR="00E1314A" w:rsidRDefault="00E1314A" w:rsidP="0032192D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E1314A">
        <w:rPr>
          <w:snapToGrid/>
          <w:szCs w:val="22"/>
          <w:highlight w:val="lightGray"/>
          <w:lang w:val="lt-LT" w:eastAsia="lt-LT"/>
        </w:rPr>
        <w:t xml:space="preserve">60 x 1 </w:t>
      </w:r>
      <w:r w:rsidRPr="00E1314A">
        <w:rPr>
          <w:snapToGrid/>
          <w:color w:val="000000"/>
          <w:szCs w:val="22"/>
          <w:highlight w:val="lightGray"/>
          <w:lang w:val="lt-LT"/>
        </w:rPr>
        <w:t>modifikuoto atpalaidavimo tablečių</w:t>
      </w:r>
    </w:p>
    <w:p w14:paraId="77DEFA00" w14:textId="77777777" w:rsidR="003A150B" w:rsidRPr="00EF587F" w:rsidRDefault="003A150B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5326060D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74C31289" w14:textId="77777777" w:rsidR="0032192D" w:rsidRPr="00EF587F" w:rsidRDefault="0032192D" w:rsidP="0032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b/>
          <w:bCs/>
          <w:snapToGrid/>
          <w:szCs w:val="22"/>
          <w:lang w:val="lt-LT" w:eastAsia="lt-LT"/>
        </w:rPr>
      </w:pPr>
      <w:r w:rsidRPr="00EF587F">
        <w:rPr>
          <w:b/>
          <w:bCs/>
          <w:snapToGrid/>
          <w:szCs w:val="22"/>
          <w:lang w:val="lt-LT" w:eastAsia="lt-LT"/>
        </w:rPr>
        <w:t>5.</w:t>
      </w:r>
      <w:r w:rsidRPr="00EF587F">
        <w:rPr>
          <w:b/>
          <w:bCs/>
          <w:snapToGrid/>
          <w:szCs w:val="22"/>
          <w:lang w:val="lt-LT" w:eastAsia="lt-LT"/>
        </w:rPr>
        <w:tab/>
        <w:t>VARTOJIMO METODAS IR BŪDAS</w:t>
      </w:r>
    </w:p>
    <w:p w14:paraId="7AAB0E99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0F5BF51A" w14:textId="77777777" w:rsidR="0032192D" w:rsidRPr="00EF587F" w:rsidRDefault="0032192D" w:rsidP="0032192D">
      <w:pPr>
        <w:tabs>
          <w:tab w:val="clear" w:pos="567"/>
          <w:tab w:val="left" w:pos="2010"/>
        </w:tabs>
        <w:spacing w:line="240" w:lineRule="auto"/>
        <w:rPr>
          <w:snapToGrid/>
          <w:szCs w:val="22"/>
          <w:lang w:val="lt-LT" w:eastAsia="lt-LT"/>
        </w:rPr>
      </w:pPr>
      <w:r w:rsidRPr="00EF587F">
        <w:rPr>
          <w:snapToGrid/>
          <w:szCs w:val="22"/>
          <w:lang w:val="lt-LT" w:eastAsia="lt-LT"/>
        </w:rPr>
        <w:t>Vartoti per burną.</w:t>
      </w:r>
    </w:p>
    <w:p w14:paraId="55D6A11D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EF587F">
        <w:rPr>
          <w:snapToGrid/>
          <w:szCs w:val="22"/>
          <w:lang w:val="lt-LT" w:eastAsia="lt-LT"/>
        </w:rPr>
        <w:t>Prieš vartojimą perskaitykite pakuotės lapelį.</w:t>
      </w:r>
    </w:p>
    <w:p w14:paraId="25EFB7FE" w14:textId="77777777" w:rsidR="0032192D" w:rsidRDefault="007217A7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Tabletės netraiškyti ir nekramtyti.</w:t>
      </w:r>
    </w:p>
    <w:p w14:paraId="787258AC" w14:textId="77777777" w:rsidR="007217A7" w:rsidRPr="00EF587F" w:rsidRDefault="007217A7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55C0B0AD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5C46AFCB" w14:textId="77777777" w:rsidR="0032192D" w:rsidRPr="00EF587F" w:rsidRDefault="0032192D" w:rsidP="0032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b/>
          <w:bCs/>
          <w:snapToGrid/>
          <w:szCs w:val="22"/>
          <w:lang w:val="lt-LT" w:eastAsia="lt-LT"/>
        </w:rPr>
      </w:pPr>
      <w:r w:rsidRPr="00EF587F">
        <w:rPr>
          <w:b/>
          <w:bCs/>
          <w:snapToGrid/>
          <w:szCs w:val="22"/>
          <w:lang w:val="lt-LT" w:eastAsia="lt-LT"/>
        </w:rPr>
        <w:t>6.</w:t>
      </w:r>
      <w:r w:rsidRPr="00EF587F">
        <w:rPr>
          <w:b/>
          <w:bCs/>
          <w:snapToGrid/>
          <w:szCs w:val="22"/>
          <w:lang w:val="lt-LT" w:eastAsia="lt-LT"/>
        </w:rPr>
        <w:tab/>
        <w:t xml:space="preserve">SPECIALUS ĮSPĖJIMAS, </w:t>
      </w:r>
      <w:r w:rsidRPr="00EF587F">
        <w:rPr>
          <w:b/>
          <w:snapToGrid/>
          <w:szCs w:val="22"/>
          <w:lang w:val="lt-LT" w:eastAsia="lt-LT"/>
        </w:rPr>
        <w:t>KAD</w:t>
      </w:r>
      <w:r w:rsidRPr="00EF587F">
        <w:rPr>
          <w:b/>
          <w:bCs/>
          <w:snapToGrid/>
          <w:szCs w:val="22"/>
          <w:lang w:val="lt-LT" w:eastAsia="lt-LT"/>
        </w:rPr>
        <w:t xml:space="preserve"> VAISTINĮ PREPARATĄ BŪTINA LAIKYTI VAIKAMS NEPASTEBIMOJE IR NEPASIEKIAMOJE VIETOJE</w:t>
      </w:r>
    </w:p>
    <w:p w14:paraId="1ED2DB82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1A3BDF1F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EF587F">
        <w:rPr>
          <w:snapToGrid/>
          <w:szCs w:val="22"/>
          <w:lang w:val="lt-LT" w:eastAsia="lt-LT"/>
        </w:rPr>
        <w:t>Laikyti vaikams nepastebimoje ir nepasiekiamoje vietoje.</w:t>
      </w:r>
    </w:p>
    <w:p w14:paraId="05EB7A63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35C2DE70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0FDC4A8E" w14:textId="77777777" w:rsidR="0032192D" w:rsidRPr="00EF587F" w:rsidRDefault="0032192D" w:rsidP="0032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b/>
          <w:bCs/>
          <w:snapToGrid/>
          <w:szCs w:val="22"/>
          <w:lang w:val="lt-LT" w:eastAsia="lt-LT"/>
        </w:rPr>
      </w:pPr>
      <w:r w:rsidRPr="00EF587F">
        <w:rPr>
          <w:b/>
          <w:bCs/>
          <w:snapToGrid/>
          <w:szCs w:val="22"/>
          <w:lang w:val="lt-LT" w:eastAsia="lt-LT"/>
        </w:rPr>
        <w:t>7.</w:t>
      </w:r>
      <w:r w:rsidRPr="00EF587F">
        <w:rPr>
          <w:b/>
          <w:bCs/>
          <w:snapToGrid/>
          <w:szCs w:val="22"/>
          <w:lang w:val="lt-LT" w:eastAsia="lt-LT"/>
        </w:rPr>
        <w:tab/>
        <w:t>KITAS SPECIALUS ĮSPĖJIMAS (JEI REIKIA)</w:t>
      </w:r>
    </w:p>
    <w:p w14:paraId="1124D13A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4C7B54EB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327593B6" w14:textId="77777777" w:rsidR="0032192D" w:rsidRPr="00EF587F" w:rsidRDefault="0032192D" w:rsidP="0032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b/>
          <w:bCs/>
          <w:snapToGrid/>
          <w:szCs w:val="22"/>
          <w:lang w:val="lt-LT" w:eastAsia="lt-LT"/>
        </w:rPr>
      </w:pPr>
      <w:r w:rsidRPr="00EF587F">
        <w:rPr>
          <w:b/>
          <w:bCs/>
          <w:snapToGrid/>
          <w:szCs w:val="22"/>
          <w:lang w:val="lt-LT" w:eastAsia="lt-LT"/>
        </w:rPr>
        <w:t>8.</w:t>
      </w:r>
      <w:r w:rsidRPr="00EF587F">
        <w:rPr>
          <w:b/>
          <w:bCs/>
          <w:snapToGrid/>
          <w:szCs w:val="22"/>
          <w:lang w:val="lt-LT" w:eastAsia="lt-LT"/>
        </w:rPr>
        <w:tab/>
        <w:t>TINKAMUMO LAIKAS</w:t>
      </w:r>
    </w:p>
    <w:p w14:paraId="63B08CE0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07194C76" w14:textId="07EC1DB4" w:rsidR="0032192D" w:rsidRPr="00EF587F" w:rsidRDefault="0032192D" w:rsidP="0032192D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 w:rsidRPr="00EF587F">
        <w:rPr>
          <w:rFonts w:eastAsia="Calibri"/>
          <w:snapToGrid/>
          <w:szCs w:val="22"/>
          <w:lang w:val="lt-LT" w:eastAsia="lt-LT"/>
        </w:rPr>
        <w:t>EXP {MMMM mm}</w:t>
      </w:r>
    </w:p>
    <w:p w14:paraId="70971199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6E8B0667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668185F1" w14:textId="77777777" w:rsidR="0032192D" w:rsidRPr="00EF587F" w:rsidRDefault="0032192D" w:rsidP="0032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b/>
          <w:bCs/>
          <w:snapToGrid/>
          <w:szCs w:val="22"/>
          <w:lang w:val="lt-LT" w:eastAsia="lt-LT"/>
        </w:rPr>
      </w:pPr>
      <w:r w:rsidRPr="00EF587F">
        <w:rPr>
          <w:b/>
          <w:bCs/>
          <w:snapToGrid/>
          <w:szCs w:val="22"/>
          <w:lang w:val="lt-LT" w:eastAsia="lt-LT"/>
        </w:rPr>
        <w:t>9.</w:t>
      </w:r>
      <w:r w:rsidRPr="00EF587F">
        <w:rPr>
          <w:b/>
          <w:bCs/>
          <w:snapToGrid/>
          <w:szCs w:val="22"/>
          <w:lang w:val="lt-LT" w:eastAsia="lt-LT"/>
        </w:rPr>
        <w:tab/>
        <w:t>SPECIALIOS LAIKYMO SĄLYGOS</w:t>
      </w:r>
    </w:p>
    <w:p w14:paraId="11FC5761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18B0DC23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53F9F185" w14:textId="77777777" w:rsidR="0032192D" w:rsidRPr="00EF587F" w:rsidRDefault="0032192D" w:rsidP="003219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b/>
          <w:bCs/>
          <w:snapToGrid/>
          <w:szCs w:val="22"/>
          <w:lang w:val="lt-LT" w:eastAsia="lt-LT"/>
        </w:rPr>
      </w:pPr>
      <w:r w:rsidRPr="00EF587F">
        <w:rPr>
          <w:b/>
          <w:bCs/>
          <w:snapToGrid/>
          <w:szCs w:val="22"/>
          <w:lang w:val="lt-LT" w:eastAsia="lt-LT"/>
        </w:rPr>
        <w:lastRenderedPageBreak/>
        <w:t>10.</w:t>
      </w:r>
      <w:r w:rsidRPr="00EF587F">
        <w:rPr>
          <w:b/>
          <w:bCs/>
          <w:snapToGrid/>
          <w:szCs w:val="22"/>
          <w:lang w:val="lt-LT" w:eastAsia="lt-LT"/>
        </w:rPr>
        <w:tab/>
        <w:t xml:space="preserve">SPECIALIOS ATSARGUMO PRIEMONĖS </w:t>
      </w:r>
      <w:r w:rsidRPr="00EF587F">
        <w:rPr>
          <w:b/>
          <w:snapToGrid/>
          <w:szCs w:val="22"/>
          <w:lang w:val="lt-LT" w:eastAsia="lt-LT"/>
        </w:rPr>
        <w:t>DĖL NESUVARTOTO</w:t>
      </w:r>
      <w:r w:rsidRPr="00EF587F">
        <w:rPr>
          <w:b/>
          <w:bCs/>
          <w:snapToGrid/>
          <w:szCs w:val="22"/>
          <w:lang w:val="lt-LT" w:eastAsia="lt-LT"/>
        </w:rPr>
        <w:t xml:space="preserve"> VAISTINIO PREPARATO AR JO ATLIEKŲ </w:t>
      </w:r>
      <w:r w:rsidRPr="00EF587F">
        <w:rPr>
          <w:b/>
          <w:snapToGrid/>
          <w:szCs w:val="22"/>
          <w:lang w:val="lt-LT" w:eastAsia="lt-LT"/>
        </w:rPr>
        <w:t>TVARKYMO</w:t>
      </w:r>
      <w:r w:rsidRPr="00EF587F">
        <w:rPr>
          <w:b/>
          <w:bCs/>
          <w:snapToGrid/>
          <w:szCs w:val="22"/>
          <w:lang w:val="lt-LT" w:eastAsia="lt-LT"/>
        </w:rPr>
        <w:t xml:space="preserve"> (JEI REIKIA)</w:t>
      </w:r>
    </w:p>
    <w:p w14:paraId="36B36E1C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1C93E624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70F0AEDE" w14:textId="77777777" w:rsidR="0032192D" w:rsidRPr="00EF587F" w:rsidRDefault="0032192D" w:rsidP="0032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b/>
          <w:bCs/>
          <w:snapToGrid/>
          <w:szCs w:val="22"/>
          <w:lang w:val="lt-LT" w:eastAsia="lt-LT"/>
        </w:rPr>
      </w:pPr>
      <w:r w:rsidRPr="00EF587F">
        <w:rPr>
          <w:b/>
          <w:bCs/>
          <w:snapToGrid/>
          <w:szCs w:val="22"/>
          <w:lang w:val="lt-LT" w:eastAsia="lt-LT"/>
        </w:rPr>
        <w:t>11.</w:t>
      </w:r>
      <w:r w:rsidRPr="00EF587F">
        <w:rPr>
          <w:b/>
          <w:bCs/>
          <w:snapToGrid/>
          <w:szCs w:val="22"/>
          <w:lang w:val="lt-LT" w:eastAsia="lt-LT"/>
        </w:rPr>
        <w:tab/>
      </w:r>
      <w:r w:rsidRPr="00F82986">
        <w:rPr>
          <w:b/>
          <w:caps/>
          <w:szCs w:val="22"/>
          <w:lang w:val="lt-LT"/>
        </w:rPr>
        <w:t>REGISTRUOTOJO PAVADINIMAS IR ADRESAS</w:t>
      </w:r>
    </w:p>
    <w:p w14:paraId="5C7178E7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1F68D51A" w14:textId="77777777" w:rsidR="00FB1F51" w:rsidRPr="00F15572" w:rsidRDefault="00FB1F51" w:rsidP="00FB1F51">
      <w:pPr>
        <w:numPr>
          <w:ilvl w:val="12"/>
          <w:numId w:val="0"/>
        </w:numPr>
        <w:tabs>
          <w:tab w:val="left" w:pos="720"/>
        </w:tabs>
        <w:spacing w:line="240" w:lineRule="auto"/>
        <w:ind w:right="-2"/>
        <w:rPr>
          <w:lang w:val="pl-PL" w:eastAsia="et-EE" w:bidi="et-EE"/>
        </w:rPr>
      </w:pPr>
      <w:r w:rsidRPr="00F15572">
        <w:rPr>
          <w:lang w:val="pl-PL" w:eastAsia="et-EE" w:bidi="et-EE"/>
        </w:rPr>
        <w:t>Adamed Pharma S.A.</w:t>
      </w:r>
    </w:p>
    <w:p w14:paraId="13C40790" w14:textId="77777777" w:rsidR="00FB1F51" w:rsidRPr="00F15572" w:rsidRDefault="00FB1F51" w:rsidP="00FB1F51">
      <w:pPr>
        <w:numPr>
          <w:ilvl w:val="12"/>
          <w:numId w:val="0"/>
        </w:numPr>
        <w:tabs>
          <w:tab w:val="left" w:pos="720"/>
        </w:tabs>
        <w:spacing w:line="240" w:lineRule="auto"/>
        <w:rPr>
          <w:lang w:val="pl-PL" w:eastAsia="et-EE" w:bidi="et-EE"/>
        </w:rPr>
      </w:pPr>
      <w:r w:rsidRPr="00F15572">
        <w:rPr>
          <w:lang w:val="pl-PL" w:eastAsia="et-EE" w:bidi="et-EE"/>
        </w:rPr>
        <w:t>Pieńków, ul. M. Adamkiewicza 6A</w:t>
      </w:r>
    </w:p>
    <w:p w14:paraId="6262CCDE" w14:textId="77777777" w:rsidR="00FB1F51" w:rsidRPr="00F15572" w:rsidRDefault="00FB1F51" w:rsidP="00FB1F51">
      <w:pPr>
        <w:numPr>
          <w:ilvl w:val="12"/>
          <w:numId w:val="0"/>
        </w:numPr>
        <w:tabs>
          <w:tab w:val="left" w:pos="720"/>
        </w:tabs>
        <w:spacing w:line="240" w:lineRule="auto"/>
        <w:rPr>
          <w:lang w:val="pl-PL" w:eastAsia="et-EE" w:bidi="et-EE"/>
        </w:rPr>
      </w:pPr>
      <w:r w:rsidRPr="00F15572">
        <w:rPr>
          <w:lang w:val="pl-PL" w:eastAsia="et-EE" w:bidi="et-EE"/>
        </w:rPr>
        <w:t>05–152 Czosnów</w:t>
      </w:r>
    </w:p>
    <w:p w14:paraId="7844DC77" w14:textId="5789D517" w:rsidR="00FB1F51" w:rsidRPr="00F82986" w:rsidRDefault="00FB1F51" w:rsidP="0032192D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Lenkija</w:t>
      </w:r>
    </w:p>
    <w:p w14:paraId="509DC148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4F0CD4A0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3A45E66D" w14:textId="77777777" w:rsidR="0032192D" w:rsidRPr="00EF587F" w:rsidRDefault="0032192D" w:rsidP="0032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b/>
          <w:bCs/>
          <w:snapToGrid/>
          <w:szCs w:val="22"/>
          <w:lang w:val="lt-LT" w:eastAsia="lt-LT"/>
        </w:rPr>
      </w:pPr>
      <w:r w:rsidRPr="00EF587F">
        <w:rPr>
          <w:b/>
          <w:bCs/>
          <w:snapToGrid/>
          <w:szCs w:val="22"/>
          <w:lang w:val="lt-LT" w:eastAsia="lt-LT"/>
        </w:rPr>
        <w:t>12.</w:t>
      </w:r>
      <w:r w:rsidRPr="00EF587F">
        <w:rPr>
          <w:b/>
          <w:bCs/>
          <w:snapToGrid/>
          <w:szCs w:val="22"/>
          <w:lang w:val="lt-LT" w:eastAsia="lt-LT"/>
        </w:rPr>
        <w:tab/>
      </w:r>
      <w:r w:rsidRPr="00F82986">
        <w:rPr>
          <w:b/>
          <w:szCs w:val="22"/>
          <w:lang w:val="lt-LT"/>
        </w:rPr>
        <w:t>REGISTRACIJOS PAŽYMĖJIMO NUMERIS (-IAI)</w:t>
      </w:r>
    </w:p>
    <w:p w14:paraId="26A5B772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54905419" w14:textId="77777777" w:rsidR="003A150B" w:rsidRPr="003A150B" w:rsidRDefault="003A150B" w:rsidP="003A150B">
      <w:pPr>
        <w:tabs>
          <w:tab w:val="clear" w:pos="567"/>
        </w:tabs>
        <w:spacing w:line="240" w:lineRule="auto"/>
        <w:rPr>
          <w:snapToGrid/>
          <w:color w:val="000000"/>
          <w:szCs w:val="22"/>
          <w:highlight w:val="lightGray"/>
          <w:lang w:val="lt-LT"/>
        </w:rPr>
      </w:pPr>
      <w:r w:rsidRPr="003A150B">
        <w:rPr>
          <w:snapToGrid/>
          <w:szCs w:val="22"/>
          <w:lang w:val="lt-LT" w:eastAsia="lt-LT"/>
        </w:rPr>
        <w:t xml:space="preserve">LT/1/24/5658/001 </w:t>
      </w:r>
      <w:r w:rsidRPr="003A150B">
        <w:rPr>
          <w:snapToGrid/>
          <w:color w:val="000000"/>
          <w:szCs w:val="22"/>
          <w:highlight w:val="lightGray"/>
          <w:lang w:val="lt-LT"/>
        </w:rPr>
        <w:t>– N30</w:t>
      </w:r>
    </w:p>
    <w:p w14:paraId="3FF7302E" w14:textId="77777777" w:rsidR="003A150B" w:rsidRPr="003A150B" w:rsidRDefault="003A150B" w:rsidP="003A150B">
      <w:pPr>
        <w:tabs>
          <w:tab w:val="clear" w:pos="567"/>
        </w:tabs>
        <w:spacing w:line="240" w:lineRule="auto"/>
        <w:rPr>
          <w:snapToGrid/>
          <w:color w:val="000000"/>
          <w:szCs w:val="22"/>
          <w:highlight w:val="lightGray"/>
          <w:lang w:val="lt-LT"/>
        </w:rPr>
      </w:pPr>
      <w:r w:rsidRPr="003A150B">
        <w:rPr>
          <w:snapToGrid/>
          <w:color w:val="000000"/>
          <w:szCs w:val="22"/>
          <w:highlight w:val="lightGray"/>
          <w:lang w:val="lt-LT"/>
        </w:rPr>
        <w:t>LT/1/24/5658/002 – N60</w:t>
      </w:r>
    </w:p>
    <w:p w14:paraId="63F8CC12" w14:textId="77777777" w:rsidR="003A150B" w:rsidRPr="003A150B" w:rsidRDefault="003A150B" w:rsidP="003A150B">
      <w:pPr>
        <w:tabs>
          <w:tab w:val="clear" w:pos="567"/>
        </w:tabs>
        <w:spacing w:line="240" w:lineRule="auto"/>
        <w:rPr>
          <w:snapToGrid/>
          <w:color w:val="000000"/>
          <w:szCs w:val="22"/>
          <w:highlight w:val="lightGray"/>
          <w:lang w:val="lt-LT"/>
        </w:rPr>
      </w:pPr>
      <w:r w:rsidRPr="003A150B">
        <w:rPr>
          <w:snapToGrid/>
          <w:color w:val="000000"/>
          <w:szCs w:val="22"/>
          <w:highlight w:val="lightGray"/>
          <w:lang w:val="lt-LT"/>
        </w:rPr>
        <w:t>LT/1/24/5658/003 – N30x1</w:t>
      </w:r>
    </w:p>
    <w:p w14:paraId="6311478D" w14:textId="5AB9B052" w:rsidR="00E1314A" w:rsidRPr="003A150B" w:rsidRDefault="003A150B" w:rsidP="003A150B">
      <w:pPr>
        <w:tabs>
          <w:tab w:val="clear" w:pos="567"/>
        </w:tabs>
        <w:spacing w:line="240" w:lineRule="auto"/>
        <w:rPr>
          <w:snapToGrid/>
          <w:color w:val="000000"/>
          <w:szCs w:val="22"/>
          <w:highlight w:val="lightGray"/>
          <w:lang w:val="lt-LT"/>
        </w:rPr>
      </w:pPr>
      <w:r w:rsidRPr="003A150B">
        <w:rPr>
          <w:snapToGrid/>
          <w:color w:val="000000"/>
          <w:szCs w:val="22"/>
          <w:highlight w:val="lightGray"/>
          <w:lang w:val="lt-LT"/>
        </w:rPr>
        <w:t>LT/1/24/5658/004 – N60x1</w:t>
      </w:r>
    </w:p>
    <w:p w14:paraId="51703672" w14:textId="77777777" w:rsidR="003A150B" w:rsidRPr="00F82986" w:rsidRDefault="003A150B" w:rsidP="003A150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3098B99E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6E15AD40" w14:textId="77777777" w:rsidR="0032192D" w:rsidRPr="00EF587F" w:rsidRDefault="0032192D" w:rsidP="0032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b/>
          <w:bCs/>
          <w:snapToGrid/>
          <w:szCs w:val="22"/>
          <w:lang w:val="lt-LT" w:eastAsia="lt-LT"/>
        </w:rPr>
      </w:pPr>
      <w:r w:rsidRPr="00EF587F">
        <w:rPr>
          <w:b/>
          <w:bCs/>
          <w:snapToGrid/>
          <w:szCs w:val="22"/>
          <w:lang w:val="lt-LT" w:eastAsia="lt-LT"/>
        </w:rPr>
        <w:t>13.</w:t>
      </w:r>
      <w:r w:rsidRPr="00EF587F">
        <w:rPr>
          <w:b/>
          <w:bCs/>
          <w:snapToGrid/>
          <w:szCs w:val="22"/>
          <w:lang w:val="lt-LT" w:eastAsia="lt-LT"/>
        </w:rPr>
        <w:tab/>
        <w:t>SERIJOS NUMERIS</w:t>
      </w:r>
    </w:p>
    <w:p w14:paraId="50A45BB2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4C5EA7C9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EF587F">
        <w:rPr>
          <w:snapToGrid/>
          <w:szCs w:val="22"/>
          <w:lang w:val="lt-LT" w:eastAsia="lt-LT"/>
        </w:rPr>
        <w:t>Lot:</w:t>
      </w:r>
    </w:p>
    <w:p w14:paraId="6657A7FA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4BD4197B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22E26099" w14:textId="77777777" w:rsidR="0032192D" w:rsidRPr="00EF587F" w:rsidRDefault="0032192D" w:rsidP="0032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b/>
          <w:bCs/>
          <w:snapToGrid/>
          <w:szCs w:val="22"/>
          <w:lang w:val="lt-LT" w:eastAsia="lt-LT"/>
        </w:rPr>
      </w:pPr>
      <w:r w:rsidRPr="00EF587F">
        <w:rPr>
          <w:b/>
          <w:bCs/>
          <w:snapToGrid/>
          <w:szCs w:val="22"/>
          <w:lang w:val="lt-LT" w:eastAsia="lt-LT"/>
        </w:rPr>
        <w:t>14.</w:t>
      </w:r>
      <w:r w:rsidRPr="00EF587F">
        <w:rPr>
          <w:b/>
          <w:bCs/>
          <w:snapToGrid/>
          <w:szCs w:val="22"/>
          <w:lang w:val="lt-LT" w:eastAsia="lt-LT"/>
        </w:rPr>
        <w:tab/>
      </w:r>
      <w:r w:rsidRPr="00EF587F">
        <w:rPr>
          <w:b/>
          <w:snapToGrid/>
          <w:szCs w:val="22"/>
          <w:lang w:val="lt-LT" w:eastAsia="lt-LT"/>
        </w:rPr>
        <w:t>PARDAVIMO (IŠDAVIMO)</w:t>
      </w:r>
      <w:r w:rsidRPr="00EF587F">
        <w:rPr>
          <w:b/>
          <w:bCs/>
          <w:snapToGrid/>
          <w:szCs w:val="22"/>
          <w:lang w:val="lt-LT" w:eastAsia="lt-LT"/>
        </w:rPr>
        <w:t xml:space="preserve"> TVARKA</w:t>
      </w:r>
    </w:p>
    <w:p w14:paraId="61A08A0C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66DCDE9A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EF587F">
        <w:rPr>
          <w:snapToGrid/>
          <w:szCs w:val="22"/>
          <w:lang w:val="lt-LT" w:eastAsia="lt-LT"/>
        </w:rPr>
        <w:t>Receptinis vaistas.</w:t>
      </w:r>
    </w:p>
    <w:p w14:paraId="42549788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4246113A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150FA93A" w14:textId="77777777" w:rsidR="0032192D" w:rsidRPr="00EF587F" w:rsidRDefault="0032192D" w:rsidP="0032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b/>
          <w:bCs/>
          <w:snapToGrid/>
          <w:szCs w:val="22"/>
          <w:lang w:val="lt-LT" w:eastAsia="lt-LT"/>
        </w:rPr>
      </w:pPr>
      <w:r w:rsidRPr="00EF587F">
        <w:rPr>
          <w:b/>
          <w:bCs/>
          <w:snapToGrid/>
          <w:szCs w:val="22"/>
          <w:lang w:val="lt-LT" w:eastAsia="lt-LT"/>
        </w:rPr>
        <w:t>15.</w:t>
      </w:r>
      <w:r w:rsidRPr="00EF587F">
        <w:rPr>
          <w:b/>
          <w:bCs/>
          <w:snapToGrid/>
          <w:szCs w:val="22"/>
          <w:lang w:val="lt-LT" w:eastAsia="lt-LT"/>
        </w:rPr>
        <w:tab/>
        <w:t>VARTOJIMO INSTRUKCIJA</w:t>
      </w:r>
    </w:p>
    <w:p w14:paraId="14DBD0AB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 w:eastAsia="lt-LT"/>
        </w:rPr>
      </w:pPr>
    </w:p>
    <w:p w14:paraId="4FE0E53F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 w:eastAsia="lt-LT"/>
        </w:rPr>
      </w:pPr>
    </w:p>
    <w:p w14:paraId="01C7736A" w14:textId="77777777" w:rsidR="0032192D" w:rsidRPr="00EF587F" w:rsidRDefault="0032192D" w:rsidP="0032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eastAsia="Calibri"/>
          <w:b/>
          <w:snapToGrid/>
          <w:szCs w:val="22"/>
          <w:lang w:val="lt-LT" w:eastAsia="lt-LT"/>
        </w:rPr>
      </w:pPr>
      <w:r w:rsidRPr="00EF587F">
        <w:rPr>
          <w:rFonts w:eastAsia="Calibri"/>
          <w:b/>
          <w:snapToGrid/>
          <w:szCs w:val="22"/>
          <w:lang w:val="lt-LT" w:eastAsia="lt-LT"/>
        </w:rPr>
        <w:t>16.</w:t>
      </w:r>
      <w:r w:rsidRPr="00EF587F">
        <w:rPr>
          <w:rFonts w:eastAsia="Calibri"/>
          <w:b/>
          <w:snapToGrid/>
          <w:szCs w:val="22"/>
          <w:lang w:val="lt-LT" w:eastAsia="lt-LT"/>
        </w:rPr>
        <w:tab/>
        <w:t>INFORMACIJA BRAILIO RAŠTU</w:t>
      </w:r>
    </w:p>
    <w:p w14:paraId="5BA34E99" w14:textId="77777777" w:rsidR="0032192D" w:rsidRPr="00EF587F" w:rsidRDefault="0032192D" w:rsidP="0032192D">
      <w:pPr>
        <w:keepNext/>
        <w:spacing w:line="240" w:lineRule="auto"/>
        <w:outlineLvl w:val="1"/>
        <w:rPr>
          <w:b/>
          <w:snapToGrid/>
          <w:szCs w:val="22"/>
          <w:lang w:val="lt-LT" w:eastAsia="lt-LT"/>
        </w:rPr>
      </w:pPr>
    </w:p>
    <w:p w14:paraId="230B1A0E" w14:textId="6894A73C" w:rsidR="0032192D" w:rsidRDefault="00FB1F51" w:rsidP="0032192D">
      <w:pPr>
        <w:keepNext/>
        <w:spacing w:line="240" w:lineRule="auto"/>
        <w:outlineLvl w:val="1"/>
        <w:rPr>
          <w:snapToGrid/>
          <w:color w:val="000000"/>
          <w:szCs w:val="22"/>
          <w:lang w:val="lt-LT"/>
        </w:rPr>
      </w:pPr>
      <w:proofErr w:type="spellStart"/>
      <w:r>
        <w:rPr>
          <w:snapToGrid/>
          <w:color w:val="000000"/>
          <w:szCs w:val="22"/>
          <w:lang w:val="lt-LT"/>
        </w:rPr>
        <w:t>solitombo</w:t>
      </w:r>
      <w:proofErr w:type="spellEnd"/>
      <w:r w:rsidR="007217A7">
        <w:rPr>
          <w:snapToGrid/>
          <w:color w:val="000000"/>
          <w:szCs w:val="22"/>
          <w:lang w:val="lt-LT"/>
        </w:rPr>
        <w:t xml:space="preserve"> </w:t>
      </w:r>
    </w:p>
    <w:p w14:paraId="7BF346BA" w14:textId="77777777" w:rsidR="007217A7" w:rsidRPr="00EF587F" w:rsidRDefault="007217A7" w:rsidP="0032192D">
      <w:pPr>
        <w:keepNext/>
        <w:spacing w:line="240" w:lineRule="auto"/>
        <w:outlineLvl w:val="1"/>
        <w:rPr>
          <w:snapToGrid/>
          <w:szCs w:val="22"/>
          <w:lang w:val="lt-LT" w:eastAsia="lt-LT"/>
        </w:rPr>
      </w:pPr>
    </w:p>
    <w:p w14:paraId="3EED3DE3" w14:textId="77777777" w:rsidR="0032192D" w:rsidRPr="00EF587F" w:rsidRDefault="0032192D" w:rsidP="0032192D">
      <w:pPr>
        <w:rPr>
          <w:snapToGrid/>
          <w:szCs w:val="22"/>
          <w:shd w:val="clear" w:color="auto" w:fill="CCCCCC"/>
          <w:lang w:val="lt-LT" w:eastAsia="lt-LT"/>
        </w:rPr>
      </w:pPr>
    </w:p>
    <w:p w14:paraId="2E6C1218" w14:textId="77777777" w:rsidR="0032192D" w:rsidRPr="00EF587F" w:rsidRDefault="0032192D" w:rsidP="003219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Cs w:val="22"/>
          <w:lang w:val="lt-LT" w:eastAsia="lt-LT"/>
        </w:rPr>
      </w:pPr>
      <w:r w:rsidRPr="00EF587F">
        <w:rPr>
          <w:b/>
          <w:szCs w:val="22"/>
          <w:lang w:val="lt-LT" w:eastAsia="lt-LT"/>
        </w:rPr>
        <w:t>17.</w:t>
      </w:r>
      <w:r w:rsidRPr="00EF587F">
        <w:rPr>
          <w:b/>
          <w:szCs w:val="22"/>
          <w:lang w:val="lt-LT" w:eastAsia="lt-LT"/>
        </w:rPr>
        <w:tab/>
        <w:t>UNIKALUS IDENTIFIKATORIUS – 2D BRŪKŠNINIS KODAS</w:t>
      </w:r>
    </w:p>
    <w:p w14:paraId="02FEFA64" w14:textId="77777777" w:rsidR="0032192D" w:rsidRPr="00EF587F" w:rsidRDefault="0032192D" w:rsidP="0032192D">
      <w:pPr>
        <w:rPr>
          <w:szCs w:val="22"/>
          <w:lang w:val="lt-LT" w:eastAsia="lt-LT"/>
        </w:rPr>
      </w:pPr>
    </w:p>
    <w:p w14:paraId="0AD86F60" w14:textId="77777777" w:rsidR="0032192D" w:rsidRPr="00EF587F" w:rsidRDefault="0032192D" w:rsidP="0032192D">
      <w:pPr>
        <w:rPr>
          <w:szCs w:val="22"/>
          <w:shd w:val="clear" w:color="auto" w:fill="CCCCCC"/>
          <w:lang w:val="lt-LT" w:eastAsia="lt-LT"/>
        </w:rPr>
      </w:pPr>
      <w:r w:rsidRPr="00F82986">
        <w:rPr>
          <w:szCs w:val="22"/>
          <w:highlight w:val="lightGray"/>
          <w:lang w:val="lt-LT" w:eastAsia="lt-LT"/>
        </w:rPr>
        <w:t>2D brūkšninis kodas su nurodytu unikaliu identifikatoriumi.</w:t>
      </w:r>
    </w:p>
    <w:p w14:paraId="2C356D53" w14:textId="77777777" w:rsidR="0032192D" w:rsidRPr="00EF587F" w:rsidRDefault="0032192D" w:rsidP="0032192D">
      <w:pPr>
        <w:rPr>
          <w:szCs w:val="22"/>
          <w:lang w:val="lt-LT" w:eastAsia="lt-LT"/>
        </w:rPr>
      </w:pPr>
    </w:p>
    <w:p w14:paraId="18AFE382" w14:textId="77777777" w:rsidR="0032192D" w:rsidRPr="00EF587F" w:rsidRDefault="0032192D" w:rsidP="0032192D">
      <w:pPr>
        <w:rPr>
          <w:szCs w:val="22"/>
          <w:lang w:val="lt-LT" w:eastAsia="lt-LT"/>
        </w:rPr>
      </w:pPr>
    </w:p>
    <w:p w14:paraId="2EB7BF11" w14:textId="77777777" w:rsidR="0032192D" w:rsidRPr="00EF587F" w:rsidRDefault="0032192D" w:rsidP="003219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Cs w:val="22"/>
          <w:lang w:val="lt-LT" w:eastAsia="lt-LT"/>
        </w:rPr>
      </w:pPr>
      <w:r w:rsidRPr="00EF587F">
        <w:rPr>
          <w:b/>
          <w:szCs w:val="22"/>
          <w:lang w:val="lt-LT" w:eastAsia="lt-LT"/>
        </w:rPr>
        <w:t>18.</w:t>
      </w:r>
      <w:r w:rsidRPr="00EF587F">
        <w:rPr>
          <w:b/>
          <w:szCs w:val="22"/>
          <w:lang w:val="lt-LT" w:eastAsia="lt-LT"/>
        </w:rPr>
        <w:tab/>
        <w:t>UNIKALUS IDENTIFIKATORIUS – ŽMONĖMS SUPRANTAMI DUOMENYS</w:t>
      </w:r>
    </w:p>
    <w:p w14:paraId="5A29C049" w14:textId="77777777" w:rsidR="0032192D" w:rsidRPr="00EF587F" w:rsidRDefault="0032192D" w:rsidP="0032192D">
      <w:pPr>
        <w:rPr>
          <w:szCs w:val="22"/>
          <w:lang w:val="lt-LT" w:eastAsia="lt-LT"/>
        </w:rPr>
      </w:pPr>
    </w:p>
    <w:p w14:paraId="0EC28F32" w14:textId="77777777" w:rsidR="0032192D" w:rsidRPr="00EF587F" w:rsidRDefault="0032192D" w:rsidP="0032192D">
      <w:pPr>
        <w:rPr>
          <w:szCs w:val="22"/>
          <w:lang w:val="lt-LT" w:eastAsia="lt-LT"/>
        </w:rPr>
      </w:pPr>
      <w:r w:rsidRPr="00EF587F">
        <w:rPr>
          <w:szCs w:val="22"/>
          <w:lang w:val="lt-LT" w:eastAsia="lt-LT"/>
        </w:rPr>
        <w:t xml:space="preserve">PC: </w:t>
      </w:r>
    </w:p>
    <w:p w14:paraId="58FC24B7" w14:textId="77777777" w:rsidR="0032192D" w:rsidRPr="00EF587F" w:rsidRDefault="0032192D" w:rsidP="0032192D">
      <w:pPr>
        <w:rPr>
          <w:szCs w:val="22"/>
          <w:lang w:val="lt-LT" w:eastAsia="lt-LT"/>
        </w:rPr>
      </w:pPr>
      <w:r w:rsidRPr="00EF587F">
        <w:rPr>
          <w:szCs w:val="22"/>
          <w:lang w:val="lt-LT" w:eastAsia="lt-LT"/>
        </w:rPr>
        <w:t xml:space="preserve">SN: </w:t>
      </w:r>
    </w:p>
    <w:p w14:paraId="5C19591F" w14:textId="77777777" w:rsidR="0032192D" w:rsidRPr="00EF587F" w:rsidRDefault="0032192D" w:rsidP="0032192D">
      <w:pPr>
        <w:rPr>
          <w:szCs w:val="22"/>
          <w:lang w:val="lt-LT" w:eastAsia="lt-LT"/>
        </w:rPr>
      </w:pPr>
      <w:r w:rsidRPr="00F82986">
        <w:rPr>
          <w:szCs w:val="22"/>
          <w:highlight w:val="lightGray"/>
          <w:lang w:val="lt-LT" w:eastAsia="lt-LT"/>
        </w:rPr>
        <w:t>NN:</w:t>
      </w:r>
      <w:r w:rsidRPr="00EF587F">
        <w:rPr>
          <w:szCs w:val="22"/>
          <w:lang w:val="lt-LT" w:eastAsia="lt-LT"/>
        </w:rPr>
        <w:t xml:space="preserve"> </w:t>
      </w:r>
    </w:p>
    <w:p w14:paraId="537CCF87" w14:textId="77777777" w:rsidR="0032192D" w:rsidRPr="00EF587F" w:rsidRDefault="0032192D" w:rsidP="003219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1"/>
        <w:rPr>
          <w:b/>
          <w:snapToGrid/>
          <w:szCs w:val="22"/>
          <w:lang w:val="lt-LT" w:eastAsia="lt-LT"/>
        </w:rPr>
      </w:pPr>
      <w:r w:rsidRPr="00EF587F">
        <w:rPr>
          <w:b/>
          <w:snapToGrid/>
          <w:szCs w:val="22"/>
          <w:lang w:val="lt-LT" w:eastAsia="lt-LT"/>
        </w:rPr>
        <w:br w:type="page"/>
      </w:r>
    </w:p>
    <w:p w14:paraId="76326301" w14:textId="77777777" w:rsidR="0032192D" w:rsidRPr="00EF587F" w:rsidRDefault="0032192D" w:rsidP="003219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1"/>
        <w:rPr>
          <w:b/>
          <w:snapToGrid/>
          <w:szCs w:val="22"/>
          <w:lang w:val="lt-LT" w:eastAsia="lt-LT"/>
        </w:rPr>
      </w:pPr>
      <w:r w:rsidRPr="00EF587F">
        <w:rPr>
          <w:b/>
          <w:snapToGrid/>
          <w:szCs w:val="22"/>
          <w:lang w:val="lt-LT" w:eastAsia="lt-LT"/>
        </w:rPr>
        <w:lastRenderedPageBreak/>
        <w:t>MINIMALI INFORMACIJA ANT LIZDINIŲ PLOKŠTELIŲ</w:t>
      </w:r>
    </w:p>
    <w:p w14:paraId="060D0BF6" w14:textId="77777777" w:rsidR="0032192D" w:rsidRPr="00EF587F" w:rsidRDefault="0032192D" w:rsidP="0032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napToGrid/>
          <w:szCs w:val="22"/>
          <w:lang w:val="lt-LT" w:eastAsia="lt-LT"/>
        </w:rPr>
      </w:pPr>
    </w:p>
    <w:p w14:paraId="3D9093BD" w14:textId="77777777" w:rsidR="0032192D" w:rsidRPr="00EF587F" w:rsidRDefault="007217A7" w:rsidP="0032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napToGrid/>
          <w:szCs w:val="22"/>
          <w:lang w:val="lt-LT" w:eastAsia="lt-LT"/>
        </w:rPr>
      </w:pPr>
      <w:r>
        <w:rPr>
          <w:b/>
          <w:snapToGrid/>
          <w:szCs w:val="22"/>
          <w:lang w:val="lt-LT" w:eastAsia="lt-LT"/>
        </w:rPr>
        <w:t>LIZDINĖ PLOKŠTELĖ</w:t>
      </w:r>
    </w:p>
    <w:p w14:paraId="6E809C6A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56FD77C8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54E91570" w14:textId="77777777" w:rsidR="0032192D" w:rsidRPr="00EF587F" w:rsidRDefault="0032192D" w:rsidP="0032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b/>
          <w:bCs/>
          <w:snapToGrid/>
          <w:szCs w:val="22"/>
          <w:lang w:val="lt-LT" w:eastAsia="lt-LT"/>
        </w:rPr>
      </w:pPr>
      <w:r w:rsidRPr="00EF587F">
        <w:rPr>
          <w:b/>
          <w:bCs/>
          <w:snapToGrid/>
          <w:szCs w:val="22"/>
          <w:lang w:val="lt-LT" w:eastAsia="lt-LT"/>
        </w:rPr>
        <w:t>1.</w:t>
      </w:r>
      <w:r w:rsidRPr="00EF587F">
        <w:rPr>
          <w:b/>
          <w:bCs/>
          <w:snapToGrid/>
          <w:szCs w:val="22"/>
          <w:lang w:val="lt-LT" w:eastAsia="lt-LT"/>
        </w:rPr>
        <w:tab/>
        <w:t>VAISTINIO PREPARATO PAVADINIMAS</w:t>
      </w:r>
    </w:p>
    <w:p w14:paraId="0CE8451A" w14:textId="77777777" w:rsidR="0032192D" w:rsidRPr="00EF587F" w:rsidRDefault="0032192D" w:rsidP="0032192D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45AFC100" w14:textId="006BF5D5" w:rsidR="007217A7" w:rsidRPr="00F82986" w:rsidRDefault="00FB1F51" w:rsidP="007217A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color w:val="000000"/>
          <w:szCs w:val="22"/>
          <w:lang w:val="lt-LT"/>
        </w:rPr>
        <w:t>Solitombo</w:t>
      </w:r>
      <w:proofErr w:type="spellEnd"/>
      <w:r w:rsidR="007217A7" w:rsidRPr="0032192D">
        <w:rPr>
          <w:snapToGrid/>
          <w:color w:val="000000"/>
          <w:szCs w:val="22"/>
          <w:lang w:val="lt-LT"/>
        </w:rPr>
        <w:t xml:space="preserve"> 6 mg/0,4 mg modifikuoto atpalaidavimo tabletės</w:t>
      </w:r>
    </w:p>
    <w:p w14:paraId="2254B2FA" w14:textId="77777777" w:rsidR="000874CF" w:rsidRDefault="000874CF" w:rsidP="000874CF">
      <w:pPr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32192D">
        <w:rPr>
          <w:rFonts w:eastAsia="TimesNewRoman"/>
          <w:snapToGrid/>
          <w:szCs w:val="22"/>
          <w:lang w:val="lt-LT"/>
        </w:rPr>
        <w:t>solifenacino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sukcinat</w:t>
      </w:r>
      <w:r>
        <w:rPr>
          <w:rFonts w:eastAsia="TimesNewRoman"/>
          <w:snapToGrid/>
          <w:szCs w:val="22"/>
          <w:lang w:val="lt-LT"/>
        </w:rPr>
        <w:t>as</w:t>
      </w:r>
      <w:proofErr w:type="spellEnd"/>
      <w:r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tamsulozino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hidrochlorid</w:t>
      </w:r>
      <w:r>
        <w:rPr>
          <w:rFonts w:eastAsia="TimesNewRoman"/>
          <w:snapToGrid/>
          <w:szCs w:val="22"/>
          <w:lang w:val="lt-LT"/>
        </w:rPr>
        <w:t>as</w:t>
      </w:r>
    </w:p>
    <w:p w14:paraId="4CFF997F" w14:textId="77777777" w:rsidR="007217A7" w:rsidRPr="00EF587F" w:rsidRDefault="007217A7" w:rsidP="007217A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04B06BAB" w14:textId="77777777" w:rsidR="0032192D" w:rsidRPr="00590774" w:rsidRDefault="0032192D" w:rsidP="0032192D">
      <w:pPr>
        <w:tabs>
          <w:tab w:val="clear" w:pos="567"/>
        </w:tabs>
        <w:spacing w:line="240" w:lineRule="auto"/>
        <w:rPr>
          <w:snapToGrid/>
          <w:lang w:val="lt-LT"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2192D" w:rsidRPr="00590774" w14:paraId="6AA88BF8" w14:textId="77777777" w:rsidTr="00E051C9">
        <w:tc>
          <w:tcPr>
            <w:tcW w:w="9072" w:type="dxa"/>
            <w:shd w:val="clear" w:color="auto" w:fill="auto"/>
          </w:tcPr>
          <w:p w14:paraId="7F1F3105" w14:textId="77777777" w:rsidR="0032192D" w:rsidRPr="00590774" w:rsidRDefault="0032192D" w:rsidP="00E051C9">
            <w:pPr>
              <w:keepNext/>
              <w:spacing w:line="240" w:lineRule="auto"/>
              <w:ind w:left="540" w:hanging="540"/>
              <w:outlineLvl w:val="2"/>
              <w:rPr>
                <w:bCs/>
                <w:snapToGrid/>
                <w:lang w:val="lt-LT" w:eastAsia="lt-LT"/>
              </w:rPr>
            </w:pPr>
            <w:r w:rsidRPr="00590774">
              <w:rPr>
                <w:b/>
                <w:bCs/>
                <w:snapToGrid/>
                <w:szCs w:val="22"/>
                <w:lang w:val="lt-LT" w:eastAsia="lt-LT"/>
              </w:rPr>
              <w:t>2.</w:t>
            </w:r>
            <w:r w:rsidRPr="00590774">
              <w:rPr>
                <w:b/>
                <w:bCs/>
                <w:snapToGrid/>
                <w:szCs w:val="22"/>
                <w:lang w:val="lt-LT" w:eastAsia="lt-LT"/>
              </w:rPr>
              <w:tab/>
            </w:r>
            <w:r w:rsidR="007217A7">
              <w:rPr>
                <w:b/>
                <w:bCs/>
                <w:snapToGrid/>
                <w:szCs w:val="22"/>
                <w:lang w:val="lt-LT" w:eastAsia="lt-LT"/>
              </w:rPr>
              <w:t>REGISTRUOTOO PAVADINIMAS</w:t>
            </w:r>
          </w:p>
        </w:tc>
      </w:tr>
    </w:tbl>
    <w:p w14:paraId="5F0E8C5F" w14:textId="77777777" w:rsidR="0032192D" w:rsidRPr="00590774" w:rsidRDefault="0032192D" w:rsidP="0032192D">
      <w:pPr>
        <w:tabs>
          <w:tab w:val="clear" w:pos="567"/>
        </w:tabs>
        <w:spacing w:line="240" w:lineRule="auto"/>
        <w:rPr>
          <w:b/>
          <w:bCs/>
          <w:snapToGrid/>
          <w:lang w:val="lt-LT" w:eastAsia="lt-LT"/>
        </w:rPr>
      </w:pPr>
    </w:p>
    <w:p w14:paraId="544E63E1" w14:textId="6C2B155C" w:rsidR="00FB1F51" w:rsidRPr="00F82986" w:rsidRDefault="00FB1F51" w:rsidP="007217A7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FB1F51">
        <w:rPr>
          <w:snapToGrid/>
          <w:szCs w:val="22"/>
          <w:highlight w:val="lightGray"/>
        </w:rPr>
        <w:t>Adamed</w:t>
      </w:r>
      <w:proofErr w:type="spellEnd"/>
      <w:r w:rsidRPr="00FB1F51">
        <w:rPr>
          <w:snapToGrid/>
          <w:szCs w:val="22"/>
          <w:highlight w:val="lightGray"/>
        </w:rPr>
        <w:t xml:space="preserve"> Pharma S.A</w:t>
      </w:r>
    </w:p>
    <w:p w14:paraId="50DCEBC0" w14:textId="77777777" w:rsidR="0032192D" w:rsidRPr="00590774" w:rsidRDefault="0032192D" w:rsidP="0032192D">
      <w:pPr>
        <w:tabs>
          <w:tab w:val="clear" w:pos="567"/>
        </w:tabs>
        <w:spacing w:line="240" w:lineRule="auto"/>
        <w:rPr>
          <w:snapToGrid/>
          <w:lang w:val="lt-LT" w:eastAsia="lt-LT"/>
        </w:rPr>
      </w:pPr>
    </w:p>
    <w:p w14:paraId="464CFBD1" w14:textId="77777777" w:rsidR="0032192D" w:rsidRPr="00590774" w:rsidRDefault="0032192D" w:rsidP="0032192D">
      <w:pPr>
        <w:tabs>
          <w:tab w:val="clear" w:pos="567"/>
        </w:tabs>
        <w:spacing w:line="240" w:lineRule="auto"/>
        <w:rPr>
          <w:snapToGrid/>
          <w:lang w:val="lt-LT"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2192D" w:rsidRPr="00590774" w14:paraId="55B99E7A" w14:textId="77777777" w:rsidTr="00E051C9">
        <w:tc>
          <w:tcPr>
            <w:tcW w:w="9072" w:type="dxa"/>
            <w:shd w:val="clear" w:color="auto" w:fill="auto"/>
          </w:tcPr>
          <w:p w14:paraId="12655D51" w14:textId="77777777" w:rsidR="0032192D" w:rsidRPr="00590774" w:rsidRDefault="0032192D" w:rsidP="00E051C9">
            <w:pPr>
              <w:keepNext/>
              <w:spacing w:line="240" w:lineRule="auto"/>
              <w:ind w:left="540" w:hanging="540"/>
              <w:outlineLvl w:val="2"/>
              <w:rPr>
                <w:b/>
                <w:bCs/>
                <w:snapToGrid/>
                <w:szCs w:val="22"/>
                <w:lang w:val="lt-LT" w:eastAsia="lt-LT"/>
              </w:rPr>
            </w:pPr>
            <w:r w:rsidRPr="00590774">
              <w:rPr>
                <w:b/>
                <w:bCs/>
                <w:snapToGrid/>
                <w:szCs w:val="22"/>
                <w:lang w:val="lt-LT" w:eastAsia="lt-LT"/>
              </w:rPr>
              <w:t>3.</w:t>
            </w:r>
            <w:r w:rsidRPr="00590774">
              <w:rPr>
                <w:b/>
                <w:bCs/>
                <w:snapToGrid/>
                <w:szCs w:val="22"/>
                <w:lang w:val="lt-LT" w:eastAsia="lt-LT"/>
              </w:rPr>
              <w:tab/>
              <w:t>TINKAMUMO LAIKAS</w:t>
            </w:r>
          </w:p>
        </w:tc>
      </w:tr>
    </w:tbl>
    <w:p w14:paraId="4D01950C" w14:textId="77777777" w:rsidR="0032192D" w:rsidRPr="00590774" w:rsidRDefault="0032192D" w:rsidP="0032192D">
      <w:pPr>
        <w:tabs>
          <w:tab w:val="clear" w:pos="567"/>
        </w:tabs>
        <w:spacing w:line="240" w:lineRule="auto"/>
        <w:rPr>
          <w:b/>
          <w:bCs/>
          <w:snapToGrid/>
          <w:lang w:val="lt-LT" w:eastAsia="lt-LT"/>
        </w:rPr>
      </w:pPr>
    </w:p>
    <w:p w14:paraId="50BFC852" w14:textId="54BE95D4" w:rsidR="0032192D" w:rsidRPr="00590774" w:rsidRDefault="0032192D" w:rsidP="0032192D">
      <w:pPr>
        <w:tabs>
          <w:tab w:val="clear" w:pos="567"/>
        </w:tabs>
        <w:spacing w:line="240" w:lineRule="auto"/>
        <w:ind w:left="540" w:hanging="540"/>
        <w:rPr>
          <w:bCs/>
          <w:snapToGrid/>
          <w:lang w:val="lt-LT" w:eastAsia="lt-LT"/>
        </w:rPr>
      </w:pPr>
      <w:r>
        <w:rPr>
          <w:bCs/>
          <w:snapToGrid/>
          <w:lang w:val="lt-LT" w:eastAsia="lt-LT"/>
        </w:rPr>
        <w:t>EXP</w:t>
      </w:r>
      <w:r w:rsidRPr="00590774">
        <w:rPr>
          <w:bCs/>
          <w:snapToGrid/>
          <w:lang w:val="lt-LT" w:eastAsia="lt-LT"/>
        </w:rPr>
        <w:t xml:space="preserve"> {</w:t>
      </w:r>
      <w:r w:rsidR="00235446">
        <w:rPr>
          <w:bCs/>
          <w:snapToGrid/>
          <w:lang w:val="lt-LT" w:eastAsia="lt-LT"/>
        </w:rPr>
        <w:t>MMMM mm</w:t>
      </w:r>
      <w:r w:rsidR="00235446" w:rsidRPr="00590774">
        <w:rPr>
          <w:bCs/>
          <w:snapToGrid/>
          <w:lang w:val="lt-LT" w:eastAsia="lt-LT"/>
        </w:rPr>
        <w:t xml:space="preserve"> </w:t>
      </w:r>
      <w:r w:rsidRPr="00590774">
        <w:rPr>
          <w:bCs/>
          <w:snapToGrid/>
          <w:lang w:val="lt-LT" w:eastAsia="lt-LT"/>
        </w:rPr>
        <w:t>}</w:t>
      </w:r>
    </w:p>
    <w:p w14:paraId="6874DF42" w14:textId="77777777" w:rsidR="0032192D" w:rsidRPr="00590774" w:rsidRDefault="0032192D" w:rsidP="0032192D">
      <w:pPr>
        <w:tabs>
          <w:tab w:val="clear" w:pos="567"/>
        </w:tabs>
        <w:spacing w:line="240" w:lineRule="auto"/>
        <w:ind w:left="540" w:hanging="540"/>
        <w:rPr>
          <w:b/>
          <w:bCs/>
          <w:snapToGrid/>
          <w:lang w:val="lt-LT" w:eastAsia="lt-LT"/>
        </w:rPr>
      </w:pPr>
    </w:p>
    <w:p w14:paraId="66A5CF46" w14:textId="77777777" w:rsidR="0032192D" w:rsidRPr="00590774" w:rsidRDefault="0032192D" w:rsidP="0032192D">
      <w:pPr>
        <w:tabs>
          <w:tab w:val="clear" w:pos="567"/>
        </w:tabs>
        <w:spacing w:line="240" w:lineRule="auto"/>
        <w:ind w:left="540" w:hanging="540"/>
        <w:rPr>
          <w:b/>
          <w:bCs/>
          <w:snapToGrid/>
          <w:lang w:val="lt-LT"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2192D" w:rsidRPr="00590774" w14:paraId="615812DE" w14:textId="77777777" w:rsidTr="00E051C9">
        <w:tc>
          <w:tcPr>
            <w:tcW w:w="9072" w:type="dxa"/>
            <w:shd w:val="clear" w:color="auto" w:fill="auto"/>
          </w:tcPr>
          <w:p w14:paraId="020DAAA4" w14:textId="77777777" w:rsidR="0032192D" w:rsidRPr="00590774" w:rsidRDefault="0032192D" w:rsidP="00E051C9">
            <w:pPr>
              <w:keepNext/>
              <w:spacing w:line="240" w:lineRule="auto"/>
              <w:ind w:left="540" w:hanging="540"/>
              <w:outlineLvl w:val="2"/>
              <w:rPr>
                <w:bCs/>
                <w:snapToGrid/>
                <w:lang w:val="lt-LT" w:eastAsia="lt-LT"/>
              </w:rPr>
            </w:pPr>
            <w:r w:rsidRPr="00590774">
              <w:rPr>
                <w:b/>
                <w:bCs/>
                <w:snapToGrid/>
                <w:szCs w:val="22"/>
                <w:lang w:val="lt-LT" w:eastAsia="lt-LT"/>
              </w:rPr>
              <w:t>4.</w:t>
            </w:r>
            <w:r w:rsidRPr="00590774">
              <w:rPr>
                <w:b/>
                <w:bCs/>
                <w:snapToGrid/>
                <w:szCs w:val="22"/>
                <w:lang w:val="lt-LT" w:eastAsia="lt-LT"/>
              </w:rPr>
              <w:tab/>
              <w:t>SERIJOS NUMERIS</w:t>
            </w:r>
          </w:p>
        </w:tc>
      </w:tr>
    </w:tbl>
    <w:p w14:paraId="0AD8BED2" w14:textId="77777777" w:rsidR="0032192D" w:rsidRPr="00590774" w:rsidRDefault="0032192D" w:rsidP="0032192D">
      <w:pPr>
        <w:tabs>
          <w:tab w:val="clear" w:pos="567"/>
        </w:tabs>
        <w:spacing w:line="240" w:lineRule="auto"/>
        <w:rPr>
          <w:b/>
          <w:bCs/>
          <w:snapToGrid/>
          <w:lang w:val="lt-LT" w:eastAsia="lt-LT"/>
        </w:rPr>
      </w:pPr>
    </w:p>
    <w:p w14:paraId="381D458C" w14:textId="77777777" w:rsidR="0032192D" w:rsidRDefault="0032192D" w:rsidP="0032192D">
      <w:pPr>
        <w:tabs>
          <w:tab w:val="clear" w:pos="567"/>
        </w:tabs>
        <w:spacing w:line="240" w:lineRule="auto"/>
        <w:rPr>
          <w:snapToGrid/>
          <w:lang w:val="lt-LT" w:eastAsia="lt-LT"/>
        </w:rPr>
      </w:pPr>
      <w:r>
        <w:rPr>
          <w:snapToGrid/>
          <w:lang w:val="lt-LT" w:eastAsia="lt-LT"/>
        </w:rPr>
        <w:t>Lot</w:t>
      </w:r>
    </w:p>
    <w:p w14:paraId="5601DBBB" w14:textId="77777777" w:rsidR="0032192D" w:rsidRDefault="0032192D" w:rsidP="0032192D">
      <w:pPr>
        <w:spacing w:line="240" w:lineRule="auto"/>
        <w:ind w:left="2977" w:hanging="2977"/>
        <w:jc w:val="both"/>
        <w:rPr>
          <w:snapToGrid/>
          <w:sz w:val="24"/>
          <w:szCs w:val="22"/>
          <w:lang w:val="lt-LT" w:eastAsia="lt-LT"/>
        </w:rPr>
      </w:pPr>
    </w:p>
    <w:p w14:paraId="205786E7" w14:textId="77777777" w:rsidR="00235446" w:rsidRPr="00590774" w:rsidRDefault="00235446" w:rsidP="0032192D">
      <w:pPr>
        <w:spacing w:line="240" w:lineRule="auto"/>
        <w:ind w:left="2977" w:hanging="2977"/>
        <w:jc w:val="both"/>
        <w:rPr>
          <w:snapToGrid/>
          <w:sz w:val="24"/>
          <w:szCs w:val="22"/>
          <w:lang w:val="lt-LT"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2192D" w:rsidRPr="00590774" w14:paraId="7F8DE520" w14:textId="77777777" w:rsidTr="00E051C9">
        <w:tc>
          <w:tcPr>
            <w:tcW w:w="9072" w:type="dxa"/>
            <w:shd w:val="clear" w:color="auto" w:fill="auto"/>
          </w:tcPr>
          <w:p w14:paraId="58DF09F5" w14:textId="77777777" w:rsidR="0032192D" w:rsidRPr="00590774" w:rsidRDefault="0032192D" w:rsidP="00E051C9">
            <w:pPr>
              <w:spacing w:line="240" w:lineRule="auto"/>
              <w:ind w:left="2977" w:hanging="2977"/>
              <w:jc w:val="both"/>
              <w:rPr>
                <w:bCs/>
                <w:snapToGrid/>
                <w:lang w:val="lt-LT" w:eastAsia="lt-LT"/>
              </w:rPr>
            </w:pPr>
            <w:r w:rsidRPr="00590774">
              <w:rPr>
                <w:b/>
                <w:snapToGrid/>
                <w:szCs w:val="22"/>
                <w:lang w:val="lt-LT" w:eastAsia="lt-LT"/>
              </w:rPr>
              <w:t xml:space="preserve">6. </w:t>
            </w:r>
            <w:r w:rsidRPr="00590774">
              <w:rPr>
                <w:b/>
                <w:snapToGrid/>
                <w:szCs w:val="22"/>
                <w:lang w:val="lt-LT" w:eastAsia="lt-LT"/>
              </w:rPr>
              <w:tab/>
              <w:t>KITA</w:t>
            </w:r>
          </w:p>
        </w:tc>
      </w:tr>
    </w:tbl>
    <w:p w14:paraId="019BF6C3" w14:textId="77777777" w:rsidR="0032192D" w:rsidRPr="00590774" w:rsidRDefault="0032192D" w:rsidP="0032192D">
      <w:pPr>
        <w:spacing w:line="240" w:lineRule="auto"/>
        <w:ind w:left="2977" w:hanging="2977"/>
        <w:jc w:val="both"/>
        <w:rPr>
          <w:snapToGrid/>
          <w:sz w:val="24"/>
          <w:szCs w:val="22"/>
          <w:lang w:val="lt-LT" w:eastAsia="lt-LT"/>
        </w:rPr>
      </w:pPr>
    </w:p>
    <w:p w14:paraId="57564D50" w14:textId="77777777" w:rsidR="0032192D" w:rsidRPr="00590774" w:rsidRDefault="0032192D" w:rsidP="0032192D">
      <w:pPr>
        <w:spacing w:line="240" w:lineRule="auto"/>
        <w:ind w:left="567" w:hanging="567"/>
        <w:rPr>
          <w:b/>
          <w:snapToGrid/>
          <w:szCs w:val="22"/>
          <w:lang w:val="lt-LT" w:eastAsia="lt-LT"/>
        </w:rPr>
      </w:pPr>
    </w:p>
    <w:p w14:paraId="24E0D1ED" w14:textId="77777777" w:rsidR="00FF0585" w:rsidRPr="0032192D" w:rsidRDefault="0032192D" w:rsidP="0032192D">
      <w:pPr>
        <w:widowControl w:val="0"/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b/>
          <w:caps/>
          <w:snapToGrid/>
          <w:szCs w:val="24"/>
          <w:lang w:val="lt-LT"/>
        </w:rPr>
      </w:pPr>
      <w:r w:rsidRPr="00EF587F">
        <w:rPr>
          <w:snapToGrid/>
          <w:szCs w:val="22"/>
          <w:lang w:val="lt-LT" w:eastAsia="lt-LT"/>
        </w:rPr>
        <w:br w:type="page"/>
      </w:r>
    </w:p>
    <w:p w14:paraId="5FE24A8F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07534B82" w14:textId="77777777" w:rsidR="00FC6A9C" w:rsidRPr="0032192D" w:rsidRDefault="00FC6A9C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218481DC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7376A145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2915D7CB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460446CF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2D1D58A7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59DED642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54CE88C7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12621C3A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58E1A00E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62C621C2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660A0629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299B484F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4531CA60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222DB040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4DCF45E4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23B90FFA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0DA69CA0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4BD35F72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07017089" w14:textId="77777777" w:rsidR="00776FBE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6C9B91E5" w14:textId="77777777" w:rsidR="00403F5C" w:rsidRPr="0032192D" w:rsidRDefault="00403F5C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5D46DC42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027CBB6E" w14:textId="77777777" w:rsidR="00776FBE" w:rsidRPr="0032192D" w:rsidRDefault="004A3C80" w:rsidP="00AB3C1A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r w:rsidRPr="0032192D">
        <w:rPr>
          <w:b/>
          <w:snapToGrid/>
          <w:szCs w:val="22"/>
          <w:lang w:val="lt-LT"/>
        </w:rPr>
        <w:t>B. PAKUOTĖS LAPELIS</w:t>
      </w:r>
    </w:p>
    <w:p w14:paraId="062F0A36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szCs w:val="22"/>
          <w:lang w:val="lt-LT"/>
        </w:rPr>
      </w:pPr>
      <w:r w:rsidRPr="0032192D">
        <w:rPr>
          <w:b/>
          <w:snapToGrid/>
          <w:szCs w:val="22"/>
          <w:lang w:val="lt-LT"/>
        </w:rPr>
        <w:br w:type="page"/>
      </w:r>
      <w:r w:rsidRPr="0032192D">
        <w:rPr>
          <w:b/>
          <w:bCs/>
          <w:snapToGrid/>
          <w:szCs w:val="22"/>
          <w:lang w:val="lt-LT"/>
        </w:rPr>
        <w:lastRenderedPageBreak/>
        <w:t>Pakuotės lapelis: informacija pacientui</w:t>
      </w:r>
    </w:p>
    <w:p w14:paraId="55A76347" w14:textId="77777777" w:rsidR="00177C0B" w:rsidRPr="0032192D" w:rsidRDefault="00177C0B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11988B54" w14:textId="38EE8B9D" w:rsidR="00776FBE" w:rsidRPr="0032192D" w:rsidRDefault="00FB1F51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napToGrid/>
          <w:szCs w:val="22"/>
          <w:lang w:val="lt-LT"/>
        </w:rPr>
      </w:pPr>
      <w:proofErr w:type="spellStart"/>
      <w:r>
        <w:rPr>
          <w:b/>
          <w:bCs/>
          <w:snapToGrid/>
          <w:color w:val="000000"/>
          <w:szCs w:val="22"/>
          <w:lang w:val="lt-LT"/>
        </w:rPr>
        <w:t>Solitombo</w:t>
      </w:r>
      <w:proofErr w:type="spellEnd"/>
      <w:r w:rsidR="006065E1" w:rsidRPr="0032192D">
        <w:rPr>
          <w:b/>
          <w:bCs/>
          <w:snapToGrid/>
          <w:color w:val="000000"/>
          <w:szCs w:val="22"/>
          <w:lang w:val="lt-LT"/>
        </w:rPr>
        <w:t xml:space="preserve"> 6 mg/0,4 mg modifikuoto atpalaidavimo tabletės</w:t>
      </w:r>
    </w:p>
    <w:p w14:paraId="2425D954" w14:textId="77777777" w:rsidR="00776FBE" w:rsidRPr="0032192D" w:rsidRDefault="006065E1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napToGrid/>
          <w:szCs w:val="22"/>
          <w:lang w:val="lt-LT"/>
        </w:rPr>
      </w:pPr>
      <w:proofErr w:type="spellStart"/>
      <w:r w:rsidRPr="0032192D">
        <w:rPr>
          <w:snapToGrid/>
          <w:szCs w:val="22"/>
          <w:lang w:val="lt-LT"/>
        </w:rPr>
        <w:t>solifenacino</w:t>
      </w:r>
      <w:proofErr w:type="spellEnd"/>
      <w:r w:rsidRPr="0032192D">
        <w:rPr>
          <w:snapToGrid/>
          <w:szCs w:val="22"/>
          <w:lang w:val="lt-LT"/>
        </w:rPr>
        <w:t xml:space="preserve"> </w:t>
      </w:r>
      <w:proofErr w:type="spellStart"/>
      <w:r w:rsidRPr="0032192D">
        <w:rPr>
          <w:snapToGrid/>
          <w:szCs w:val="22"/>
          <w:lang w:val="lt-LT"/>
        </w:rPr>
        <w:t>sukcinatas</w:t>
      </w:r>
      <w:proofErr w:type="spellEnd"/>
      <w:r w:rsidRPr="0032192D">
        <w:rPr>
          <w:snapToGrid/>
          <w:szCs w:val="22"/>
          <w:lang w:val="lt-LT"/>
        </w:rPr>
        <w:t>/</w:t>
      </w:r>
      <w:proofErr w:type="spellStart"/>
      <w:r w:rsidRPr="0032192D">
        <w:rPr>
          <w:snapToGrid/>
          <w:szCs w:val="22"/>
          <w:lang w:val="lt-LT"/>
        </w:rPr>
        <w:t>tamsulozino</w:t>
      </w:r>
      <w:proofErr w:type="spellEnd"/>
      <w:r w:rsidRPr="0032192D">
        <w:rPr>
          <w:snapToGrid/>
          <w:szCs w:val="22"/>
          <w:lang w:val="lt-LT"/>
        </w:rPr>
        <w:t xml:space="preserve"> hidrochloridas</w:t>
      </w:r>
    </w:p>
    <w:p w14:paraId="5B0F2DC0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05B0E77" w14:textId="77777777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32192D">
        <w:rPr>
          <w:rFonts w:eastAsia="TimesNewRoman,Bold"/>
          <w:b/>
          <w:bCs/>
          <w:snapToGrid/>
          <w:szCs w:val="22"/>
          <w:lang w:val="lt-LT"/>
        </w:rPr>
        <w:t>Atidžiai perskaitykite visą šį lapelį, prieš pradėdami vartoti vaistą, nes jame pateikiama Jums svarbi informacija.</w:t>
      </w:r>
    </w:p>
    <w:p w14:paraId="7046E4C3" w14:textId="77777777" w:rsidR="00776FBE" w:rsidRPr="0032192D" w:rsidRDefault="00776FBE" w:rsidP="00BA2CB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32192D">
        <w:rPr>
          <w:rFonts w:eastAsia="TimesNewRoman,Bold"/>
          <w:snapToGrid/>
          <w:szCs w:val="22"/>
          <w:lang w:val="lt-LT"/>
        </w:rPr>
        <w:t>Neišmeskite šio lapelio, nes vėl gali prireikti jį perskaityti.</w:t>
      </w:r>
    </w:p>
    <w:p w14:paraId="6AC2FEA7" w14:textId="77777777" w:rsidR="00776FBE" w:rsidRPr="0032192D" w:rsidRDefault="00776FBE" w:rsidP="00BA2CB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32192D">
        <w:rPr>
          <w:rFonts w:eastAsia="TimesNewRoman,Bold"/>
          <w:snapToGrid/>
          <w:szCs w:val="22"/>
          <w:lang w:val="lt-LT"/>
        </w:rPr>
        <w:t>Jeigu kiltų daugiau klausimų, kreipkitės į gydytoją arba vaistininką.</w:t>
      </w:r>
    </w:p>
    <w:p w14:paraId="55B04993" w14:textId="77777777" w:rsidR="00776FBE" w:rsidRPr="0032192D" w:rsidRDefault="00776FBE" w:rsidP="00BA2CB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32192D">
        <w:rPr>
          <w:rFonts w:eastAsia="TimesNewRoman,Bold"/>
          <w:snapToGrid/>
          <w:szCs w:val="22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67035E5F" w14:textId="77777777" w:rsidR="00776FBE" w:rsidRPr="0032192D" w:rsidRDefault="00776FBE" w:rsidP="00BA2CB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32192D">
        <w:rPr>
          <w:rFonts w:eastAsia="TimesNewRoman,Bold"/>
          <w:snapToGrid/>
          <w:szCs w:val="22"/>
          <w:lang w:val="lt-LT"/>
        </w:rPr>
        <w:t>Jeigu pasireiškė šalutinis poveikis (net jeigu jis šiame lapelyje nenurodytas), kreipkitės į gydytoją arba vaistininką. Žr. 4 skyrių.</w:t>
      </w:r>
    </w:p>
    <w:p w14:paraId="074857C7" w14:textId="77777777" w:rsidR="00776FBE" w:rsidRPr="0032192D" w:rsidRDefault="00776FBE" w:rsidP="00AB3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7D5C2B08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32192D">
        <w:rPr>
          <w:b/>
          <w:snapToGrid/>
          <w:szCs w:val="22"/>
          <w:lang w:val="lt-LT"/>
        </w:rPr>
        <w:t>Apie ką rašoma šiame lapelyje?</w:t>
      </w:r>
    </w:p>
    <w:p w14:paraId="53EBC585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170563A6" w14:textId="34CD2959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1.</w:t>
      </w:r>
      <w:r w:rsidRPr="0032192D">
        <w:rPr>
          <w:snapToGrid/>
          <w:szCs w:val="22"/>
          <w:lang w:val="lt-LT"/>
        </w:rPr>
        <w:tab/>
        <w:t xml:space="preserve">Kas yra </w:t>
      </w:r>
      <w:proofErr w:type="spellStart"/>
      <w:r w:rsidR="00FB1F51">
        <w:rPr>
          <w:snapToGrid/>
          <w:szCs w:val="22"/>
          <w:lang w:val="lt-LT"/>
        </w:rPr>
        <w:t>Solitombo</w:t>
      </w:r>
      <w:proofErr w:type="spellEnd"/>
      <w:r w:rsidRPr="0032192D">
        <w:rPr>
          <w:snapToGrid/>
          <w:szCs w:val="22"/>
          <w:lang w:val="lt-LT"/>
        </w:rPr>
        <w:t xml:space="preserve"> ir kam jis vartojamas</w:t>
      </w:r>
    </w:p>
    <w:p w14:paraId="44CC9319" w14:textId="49382F6B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2.</w:t>
      </w:r>
      <w:r w:rsidRPr="0032192D">
        <w:rPr>
          <w:snapToGrid/>
          <w:szCs w:val="22"/>
          <w:lang w:val="lt-LT"/>
        </w:rPr>
        <w:tab/>
        <w:t xml:space="preserve">Kas žinotina prieš vartojant </w:t>
      </w:r>
      <w:proofErr w:type="spellStart"/>
      <w:r w:rsidR="00FB1F51">
        <w:rPr>
          <w:snapToGrid/>
          <w:szCs w:val="22"/>
          <w:lang w:val="lt-LT"/>
        </w:rPr>
        <w:t>Solitombo</w:t>
      </w:r>
      <w:proofErr w:type="spellEnd"/>
    </w:p>
    <w:p w14:paraId="7733FDF8" w14:textId="26AB24BB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3.</w:t>
      </w:r>
      <w:r w:rsidRPr="0032192D">
        <w:rPr>
          <w:snapToGrid/>
          <w:szCs w:val="22"/>
          <w:lang w:val="lt-LT"/>
        </w:rPr>
        <w:tab/>
        <w:t xml:space="preserve">Kaip vartoti </w:t>
      </w:r>
      <w:proofErr w:type="spellStart"/>
      <w:r w:rsidR="00FB1F51">
        <w:rPr>
          <w:snapToGrid/>
          <w:szCs w:val="22"/>
          <w:lang w:val="lt-LT"/>
        </w:rPr>
        <w:t>Solitombo</w:t>
      </w:r>
      <w:proofErr w:type="spellEnd"/>
    </w:p>
    <w:p w14:paraId="20A315C5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4.</w:t>
      </w:r>
      <w:r w:rsidRPr="0032192D">
        <w:rPr>
          <w:snapToGrid/>
          <w:szCs w:val="22"/>
          <w:lang w:val="lt-LT"/>
        </w:rPr>
        <w:tab/>
        <w:t>Galimas šalutinis poveikis</w:t>
      </w:r>
    </w:p>
    <w:p w14:paraId="2B86F804" w14:textId="29BFC209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5.</w:t>
      </w:r>
      <w:r w:rsidRPr="0032192D">
        <w:rPr>
          <w:snapToGrid/>
          <w:szCs w:val="22"/>
          <w:lang w:val="lt-LT"/>
        </w:rPr>
        <w:tab/>
        <w:t xml:space="preserve">Kaip laikyti </w:t>
      </w:r>
      <w:proofErr w:type="spellStart"/>
      <w:r w:rsidR="00FB1F51">
        <w:rPr>
          <w:snapToGrid/>
          <w:szCs w:val="22"/>
          <w:lang w:val="lt-LT"/>
        </w:rPr>
        <w:t>Solitombo</w:t>
      </w:r>
      <w:proofErr w:type="spellEnd"/>
    </w:p>
    <w:p w14:paraId="73E575EF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6.</w:t>
      </w:r>
      <w:r w:rsidRPr="0032192D">
        <w:rPr>
          <w:snapToGrid/>
          <w:szCs w:val="22"/>
          <w:lang w:val="lt-LT"/>
        </w:rPr>
        <w:tab/>
        <w:t>Pakuotės turinys ir kita informacija</w:t>
      </w:r>
    </w:p>
    <w:p w14:paraId="44EA52C7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C7666FE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55A2226" w14:textId="1C891268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32192D">
        <w:rPr>
          <w:b/>
          <w:snapToGrid/>
          <w:szCs w:val="22"/>
          <w:lang w:val="lt-LT"/>
        </w:rPr>
        <w:t>1.</w:t>
      </w:r>
      <w:r w:rsidRPr="0032192D">
        <w:rPr>
          <w:b/>
          <w:snapToGrid/>
          <w:szCs w:val="22"/>
          <w:lang w:val="lt-LT"/>
        </w:rPr>
        <w:tab/>
        <w:t xml:space="preserve">Kas yra </w:t>
      </w:r>
      <w:proofErr w:type="spellStart"/>
      <w:r w:rsidR="00FB1F51">
        <w:rPr>
          <w:b/>
          <w:bCs/>
          <w:snapToGrid/>
          <w:szCs w:val="22"/>
          <w:lang w:val="lt-LT"/>
        </w:rPr>
        <w:t>Solitombo</w:t>
      </w:r>
      <w:proofErr w:type="spellEnd"/>
      <w:r w:rsidRPr="0032192D">
        <w:rPr>
          <w:b/>
          <w:bCs/>
          <w:snapToGrid/>
          <w:szCs w:val="22"/>
          <w:lang w:val="lt-LT"/>
        </w:rPr>
        <w:t xml:space="preserve"> </w:t>
      </w:r>
      <w:r w:rsidRPr="0032192D">
        <w:rPr>
          <w:b/>
          <w:snapToGrid/>
          <w:szCs w:val="22"/>
          <w:lang w:val="lt-LT"/>
        </w:rPr>
        <w:t>ir kam jis vartojamas</w:t>
      </w:r>
    </w:p>
    <w:p w14:paraId="3DDCD9A8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5C96D14E" w14:textId="716C7964" w:rsidR="0025730A" w:rsidRPr="0032192D" w:rsidRDefault="00FB1F51" w:rsidP="0025730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Solitombo</w:t>
      </w:r>
      <w:proofErr w:type="spellEnd"/>
      <w:r w:rsidR="0025730A" w:rsidRPr="0032192D">
        <w:rPr>
          <w:snapToGrid/>
          <w:szCs w:val="22"/>
          <w:lang w:val="lt-LT"/>
        </w:rPr>
        <w:t xml:space="preserve"> yra dviejų skirtingų vaistų, vadinamų </w:t>
      </w:r>
      <w:proofErr w:type="spellStart"/>
      <w:r w:rsidR="0025730A" w:rsidRPr="0032192D">
        <w:rPr>
          <w:snapToGrid/>
          <w:szCs w:val="22"/>
          <w:lang w:val="lt-LT"/>
        </w:rPr>
        <w:t>solifenacinu</w:t>
      </w:r>
      <w:proofErr w:type="spellEnd"/>
      <w:r w:rsidR="0025730A" w:rsidRPr="0032192D">
        <w:rPr>
          <w:snapToGrid/>
          <w:szCs w:val="22"/>
          <w:lang w:val="lt-LT"/>
        </w:rPr>
        <w:t xml:space="preserve"> ir </w:t>
      </w:r>
      <w:proofErr w:type="spellStart"/>
      <w:r w:rsidR="0025730A" w:rsidRPr="0032192D">
        <w:rPr>
          <w:snapToGrid/>
          <w:szCs w:val="22"/>
          <w:lang w:val="lt-LT"/>
        </w:rPr>
        <w:t>tamsulozinu</w:t>
      </w:r>
      <w:proofErr w:type="spellEnd"/>
      <w:r w:rsidR="0025730A" w:rsidRPr="0032192D">
        <w:rPr>
          <w:snapToGrid/>
          <w:szCs w:val="22"/>
          <w:lang w:val="lt-LT"/>
        </w:rPr>
        <w:t xml:space="preserve">, derinys vienoje tabletėje. </w:t>
      </w:r>
      <w:proofErr w:type="spellStart"/>
      <w:r w:rsidR="0025730A" w:rsidRPr="0032192D">
        <w:rPr>
          <w:snapToGrid/>
          <w:szCs w:val="22"/>
          <w:lang w:val="lt-LT"/>
        </w:rPr>
        <w:t>Solifenacinas</w:t>
      </w:r>
      <w:proofErr w:type="spellEnd"/>
      <w:r w:rsidR="0025730A" w:rsidRPr="0032192D">
        <w:rPr>
          <w:snapToGrid/>
          <w:szCs w:val="22"/>
          <w:lang w:val="lt-LT"/>
        </w:rPr>
        <w:t xml:space="preserve"> priklauso vaistų, vadinamų </w:t>
      </w:r>
      <w:proofErr w:type="spellStart"/>
      <w:r w:rsidR="0025730A" w:rsidRPr="0032192D">
        <w:rPr>
          <w:snapToGrid/>
          <w:szCs w:val="22"/>
          <w:lang w:val="lt-LT"/>
        </w:rPr>
        <w:t>anticholinerginiais</w:t>
      </w:r>
      <w:proofErr w:type="spellEnd"/>
      <w:r w:rsidR="0025730A" w:rsidRPr="0032192D">
        <w:rPr>
          <w:snapToGrid/>
          <w:szCs w:val="22"/>
          <w:lang w:val="lt-LT"/>
        </w:rPr>
        <w:t xml:space="preserve"> vaistais, grupei, o </w:t>
      </w:r>
      <w:proofErr w:type="spellStart"/>
      <w:r w:rsidR="0025730A" w:rsidRPr="0032192D">
        <w:rPr>
          <w:snapToGrid/>
          <w:szCs w:val="22"/>
          <w:lang w:val="lt-LT"/>
        </w:rPr>
        <w:t>tamsulozinas</w:t>
      </w:r>
      <w:proofErr w:type="spellEnd"/>
      <w:r w:rsidR="0025730A" w:rsidRPr="0032192D">
        <w:rPr>
          <w:snapToGrid/>
          <w:szCs w:val="22"/>
          <w:lang w:val="lt-LT"/>
        </w:rPr>
        <w:t xml:space="preserve"> </w:t>
      </w:r>
      <w:r w:rsidR="00FF171E" w:rsidRPr="0032192D">
        <w:rPr>
          <w:snapToGrid/>
          <w:szCs w:val="22"/>
          <w:lang w:val="lt-LT"/>
        </w:rPr>
        <w:t>−</w:t>
      </w:r>
      <w:r w:rsidR="0025730A" w:rsidRPr="0032192D">
        <w:rPr>
          <w:snapToGrid/>
          <w:szCs w:val="22"/>
          <w:lang w:val="lt-LT"/>
        </w:rPr>
        <w:t xml:space="preserve"> vaistų, vadinamų alfa </w:t>
      </w:r>
      <w:proofErr w:type="spellStart"/>
      <w:r w:rsidR="0025730A" w:rsidRPr="0032192D">
        <w:rPr>
          <w:snapToGrid/>
          <w:szCs w:val="22"/>
          <w:lang w:val="lt-LT"/>
        </w:rPr>
        <w:t>adrenoblokatoriais</w:t>
      </w:r>
      <w:proofErr w:type="spellEnd"/>
      <w:r w:rsidR="0025730A" w:rsidRPr="0032192D">
        <w:rPr>
          <w:snapToGrid/>
          <w:szCs w:val="22"/>
          <w:lang w:val="lt-LT"/>
        </w:rPr>
        <w:t>, grupei.</w:t>
      </w:r>
    </w:p>
    <w:p w14:paraId="20E87DEC" w14:textId="77777777" w:rsidR="0025730A" w:rsidRPr="0032192D" w:rsidRDefault="0025730A" w:rsidP="0025730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2337F62" w14:textId="7EAE55CF" w:rsidR="0025730A" w:rsidRPr="0032192D" w:rsidRDefault="00FB1F51" w:rsidP="0025730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Solitombo</w:t>
      </w:r>
      <w:proofErr w:type="spellEnd"/>
      <w:r w:rsidR="0025730A" w:rsidRPr="0032192D">
        <w:rPr>
          <w:snapToGrid/>
          <w:szCs w:val="22"/>
          <w:lang w:val="lt-LT"/>
        </w:rPr>
        <w:t xml:space="preserve"> vartojamas vyr</w:t>
      </w:r>
      <w:r w:rsidR="00DF627A" w:rsidRPr="0032192D">
        <w:rPr>
          <w:snapToGrid/>
          <w:szCs w:val="22"/>
          <w:lang w:val="lt-LT"/>
        </w:rPr>
        <w:t>ų</w:t>
      </w:r>
      <w:r w:rsidR="0025730A" w:rsidRPr="0032192D">
        <w:rPr>
          <w:snapToGrid/>
          <w:szCs w:val="22"/>
          <w:lang w:val="lt-LT"/>
        </w:rPr>
        <w:t xml:space="preserve"> vidutinio sunkumo ar sunkiems apatinių šlapimo takų </w:t>
      </w:r>
      <w:r w:rsidR="00DF627A" w:rsidRPr="0032192D">
        <w:rPr>
          <w:snapToGrid/>
          <w:szCs w:val="22"/>
          <w:lang w:val="lt-LT"/>
        </w:rPr>
        <w:t xml:space="preserve">šlapimo </w:t>
      </w:r>
      <w:r w:rsidR="0025730A" w:rsidRPr="0032192D">
        <w:rPr>
          <w:snapToGrid/>
          <w:szCs w:val="22"/>
          <w:lang w:val="lt-LT"/>
        </w:rPr>
        <w:t xml:space="preserve">laikymo ir </w:t>
      </w:r>
      <w:r w:rsidR="00DF627A" w:rsidRPr="0032192D">
        <w:rPr>
          <w:snapToGrid/>
          <w:szCs w:val="22"/>
          <w:lang w:val="lt-LT"/>
        </w:rPr>
        <w:t>šlapinimosi</w:t>
      </w:r>
      <w:r w:rsidR="0025730A" w:rsidRPr="0032192D">
        <w:rPr>
          <w:snapToGrid/>
          <w:szCs w:val="22"/>
          <w:lang w:val="lt-LT"/>
        </w:rPr>
        <w:t xml:space="preserve"> simptom</w:t>
      </w:r>
      <w:r w:rsidR="004752A5">
        <w:rPr>
          <w:snapToGrid/>
          <w:szCs w:val="22"/>
          <w:lang w:val="lt-LT"/>
        </w:rPr>
        <w:t>ų</w:t>
      </w:r>
      <w:r w:rsidR="0025730A" w:rsidRPr="0032192D">
        <w:rPr>
          <w:snapToGrid/>
          <w:szCs w:val="22"/>
          <w:lang w:val="lt-LT"/>
        </w:rPr>
        <w:t>, kuriuos sukelia šlapimo pūslės problemos ir padidėjusi prostata (gerybinė prostatos hiperplazija), gydy</w:t>
      </w:r>
      <w:r w:rsidR="004752A5">
        <w:rPr>
          <w:snapToGrid/>
          <w:szCs w:val="22"/>
          <w:lang w:val="lt-LT"/>
        </w:rPr>
        <w:t>mui</w:t>
      </w:r>
      <w:r w:rsidR="0025730A" w:rsidRPr="0032192D">
        <w:rPr>
          <w:snapToGrid/>
          <w:szCs w:val="22"/>
          <w:lang w:val="lt-LT"/>
        </w:rPr>
        <w:t xml:space="preserve">. </w:t>
      </w:r>
      <w:proofErr w:type="spellStart"/>
      <w:r>
        <w:rPr>
          <w:snapToGrid/>
          <w:szCs w:val="22"/>
          <w:lang w:val="lt-LT"/>
        </w:rPr>
        <w:t>Solitombo</w:t>
      </w:r>
      <w:proofErr w:type="spellEnd"/>
      <w:r w:rsidR="0025730A" w:rsidRPr="0032192D">
        <w:rPr>
          <w:snapToGrid/>
          <w:szCs w:val="22"/>
          <w:lang w:val="lt-LT"/>
        </w:rPr>
        <w:t xml:space="preserve"> vartojamas, kai ankstesnis gydymas </w:t>
      </w:r>
      <w:r w:rsidR="00DF627A" w:rsidRPr="0032192D">
        <w:rPr>
          <w:snapToGrid/>
          <w:szCs w:val="22"/>
          <w:lang w:val="lt-LT"/>
        </w:rPr>
        <w:t>vienos veikliosios medžiagos vaistu</w:t>
      </w:r>
      <w:r w:rsidR="0025730A" w:rsidRPr="0032192D">
        <w:rPr>
          <w:snapToGrid/>
          <w:szCs w:val="22"/>
          <w:lang w:val="lt-LT"/>
        </w:rPr>
        <w:t xml:space="preserve"> nuo šios būklės simptomų tinkamai nepalengvino.</w:t>
      </w:r>
    </w:p>
    <w:p w14:paraId="5CAA925D" w14:textId="77777777" w:rsidR="0025730A" w:rsidRPr="0032192D" w:rsidRDefault="0025730A" w:rsidP="0025730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6BDE9BB" w14:textId="77777777" w:rsidR="0025730A" w:rsidRPr="0032192D" w:rsidRDefault="0025730A" w:rsidP="0025730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Prostatai didėjant, gali atsirasti šlapinimosi sutrikimų (</w:t>
      </w:r>
      <w:r w:rsidR="00DF627A" w:rsidRPr="0032192D">
        <w:rPr>
          <w:snapToGrid/>
          <w:szCs w:val="22"/>
          <w:lang w:val="lt-LT"/>
        </w:rPr>
        <w:t>šlapinimosi</w:t>
      </w:r>
      <w:r w:rsidRPr="0032192D">
        <w:rPr>
          <w:snapToGrid/>
          <w:szCs w:val="22"/>
          <w:lang w:val="lt-LT"/>
        </w:rPr>
        <w:t xml:space="preserve"> simptomų), tokių kaip sunkumas pradėti šlapintis, šlapinimosi pasunkėjimas (silpna srovė), šlapimo varvėjimas ir nevisiško šlapimo pūslės ištuštėjimo pojūtis. Tuo pa</w:t>
      </w:r>
      <w:r w:rsidR="006B407E" w:rsidRPr="0032192D">
        <w:rPr>
          <w:snapToGrid/>
          <w:szCs w:val="22"/>
          <w:lang w:val="lt-LT"/>
        </w:rPr>
        <w:t>čiu</w:t>
      </w:r>
      <w:r w:rsidRPr="0032192D">
        <w:rPr>
          <w:snapToGrid/>
          <w:szCs w:val="22"/>
          <w:lang w:val="lt-LT"/>
        </w:rPr>
        <w:t xml:space="preserve"> metu </w:t>
      </w:r>
      <w:r w:rsidR="00DF627A" w:rsidRPr="0032192D">
        <w:rPr>
          <w:snapToGrid/>
          <w:szCs w:val="22"/>
          <w:lang w:val="lt-LT"/>
        </w:rPr>
        <w:t xml:space="preserve">yra paveikta ir </w:t>
      </w:r>
      <w:r w:rsidRPr="0032192D">
        <w:rPr>
          <w:snapToGrid/>
          <w:szCs w:val="22"/>
          <w:lang w:val="lt-LT"/>
        </w:rPr>
        <w:t>šlapimo pūslė</w:t>
      </w:r>
      <w:r w:rsidR="00DF627A" w:rsidRPr="0032192D">
        <w:rPr>
          <w:snapToGrid/>
          <w:szCs w:val="22"/>
          <w:lang w:val="lt-LT"/>
        </w:rPr>
        <w:t xml:space="preserve">, kuri </w:t>
      </w:r>
      <w:r w:rsidRPr="0032192D">
        <w:rPr>
          <w:snapToGrid/>
          <w:szCs w:val="22"/>
          <w:lang w:val="lt-LT"/>
        </w:rPr>
        <w:t xml:space="preserve">spontaniškai susitraukia </w:t>
      </w:r>
      <w:r w:rsidR="00DF627A" w:rsidRPr="0032192D">
        <w:rPr>
          <w:snapToGrid/>
          <w:szCs w:val="22"/>
          <w:lang w:val="lt-LT"/>
        </w:rPr>
        <w:t>tuo metu</w:t>
      </w:r>
      <w:r w:rsidRPr="0032192D">
        <w:rPr>
          <w:snapToGrid/>
          <w:szCs w:val="22"/>
          <w:lang w:val="lt-LT"/>
        </w:rPr>
        <w:t xml:space="preserve">, kai </w:t>
      </w:r>
      <w:r w:rsidR="00DF627A" w:rsidRPr="0032192D">
        <w:rPr>
          <w:snapToGrid/>
          <w:szCs w:val="22"/>
          <w:lang w:val="lt-LT"/>
        </w:rPr>
        <w:t xml:space="preserve">šlapintis </w:t>
      </w:r>
      <w:r w:rsidRPr="0032192D">
        <w:rPr>
          <w:snapToGrid/>
          <w:szCs w:val="22"/>
          <w:lang w:val="lt-LT"/>
        </w:rPr>
        <w:t xml:space="preserve">nenorite. Tai sukelia tokius </w:t>
      </w:r>
      <w:r w:rsidR="0061753E" w:rsidRPr="0032192D">
        <w:rPr>
          <w:snapToGrid/>
          <w:szCs w:val="22"/>
          <w:lang w:val="lt-LT"/>
        </w:rPr>
        <w:t xml:space="preserve">su </w:t>
      </w:r>
      <w:r w:rsidR="00DF627A" w:rsidRPr="0032192D">
        <w:rPr>
          <w:snapToGrid/>
          <w:szCs w:val="22"/>
          <w:lang w:val="lt-LT"/>
        </w:rPr>
        <w:t>šlapimo laikym</w:t>
      </w:r>
      <w:r w:rsidR="0061753E" w:rsidRPr="0032192D">
        <w:rPr>
          <w:snapToGrid/>
          <w:szCs w:val="22"/>
          <w:lang w:val="lt-LT"/>
        </w:rPr>
        <w:t>u susijusius</w:t>
      </w:r>
      <w:r w:rsidRPr="0032192D">
        <w:rPr>
          <w:snapToGrid/>
          <w:szCs w:val="22"/>
          <w:lang w:val="lt-LT"/>
        </w:rPr>
        <w:t xml:space="preserve"> simptomus kaip šlapimo pūslės pojūčio pokyčiai, stiprus</w:t>
      </w:r>
      <w:r w:rsidR="00DF627A" w:rsidRPr="0032192D">
        <w:rPr>
          <w:snapToGrid/>
          <w:szCs w:val="22"/>
          <w:lang w:val="lt-LT"/>
        </w:rPr>
        <w:t xml:space="preserve"> ir</w:t>
      </w:r>
      <w:r w:rsidRPr="0032192D">
        <w:rPr>
          <w:snapToGrid/>
          <w:szCs w:val="22"/>
          <w:lang w:val="lt-LT"/>
        </w:rPr>
        <w:t xml:space="preserve"> staigus noras šlapintis be </w:t>
      </w:r>
      <w:r w:rsidR="00DF627A" w:rsidRPr="0032192D">
        <w:rPr>
          <w:snapToGrid/>
          <w:szCs w:val="22"/>
          <w:lang w:val="lt-LT"/>
        </w:rPr>
        <w:t>įspėjamųjų požymių</w:t>
      </w:r>
      <w:r w:rsidRPr="0032192D">
        <w:rPr>
          <w:snapToGrid/>
          <w:szCs w:val="22"/>
          <w:lang w:val="lt-LT"/>
        </w:rPr>
        <w:t xml:space="preserve"> ir dažnesnis šlapinimasis.</w:t>
      </w:r>
    </w:p>
    <w:p w14:paraId="0EBC6CA6" w14:textId="77777777" w:rsidR="0025730A" w:rsidRPr="0032192D" w:rsidRDefault="0025730A" w:rsidP="0025730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DA0DB3E" w14:textId="77777777" w:rsidR="00776FBE" w:rsidRPr="0032192D" w:rsidRDefault="0025730A" w:rsidP="0025730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32192D">
        <w:rPr>
          <w:snapToGrid/>
          <w:szCs w:val="22"/>
          <w:lang w:val="lt-LT"/>
        </w:rPr>
        <w:t>Solifenacinas</w:t>
      </w:r>
      <w:proofErr w:type="spellEnd"/>
      <w:r w:rsidRPr="0032192D">
        <w:rPr>
          <w:snapToGrid/>
          <w:szCs w:val="22"/>
          <w:lang w:val="lt-LT"/>
        </w:rPr>
        <w:t xml:space="preserve"> sumažina nepageidaujamus šlapimo pūslės susitraukimus ir padidina šlapimo kiekį, kurį gali sulaikyti šlapimo pūslė. Todėl galite ilgiau palaukti, kol </w:t>
      </w:r>
      <w:r w:rsidR="00EA44B0" w:rsidRPr="0032192D">
        <w:rPr>
          <w:snapToGrid/>
          <w:szCs w:val="22"/>
          <w:lang w:val="lt-LT"/>
        </w:rPr>
        <w:t>prireiks</w:t>
      </w:r>
      <w:r w:rsidRPr="0032192D">
        <w:rPr>
          <w:snapToGrid/>
          <w:szCs w:val="22"/>
          <w:lang w:val="lt-LT"/>
        </w:rPr>
        <w:t xml:space="preserve"> eiti į tualetą. </w:t>
      </w:r>
      <w:proofErr w:type="spellStart"/>
      <w:r w:rsidRPr="0032192D">
        <w:rPr>
          <w:snapToGrid/>
          <w:szCs w:val="22"/>
          <w:lang w:val="lt-LT"/>
        </w:rPr>
        <w:t>Tamsulozinas</w:t>
      </w:r>
      <w:proofErr w:type="spellEnd"/>
      <w:r w:rsidRPr="0032192D">
        <w:rPr>
          <w:snapToGrid/>
          <w:szCs w:val="22"/>
          <w:lang w:val="lt-LT"/>
        </w:rPr>
        <w:t xml:space="preserve"> leidžia šlapimui lengviau tekėti per šlaplę ir palengvina šlapinimąsi.</w:t>
      </w:r>
    </w:p>
    <w:p w14:paraId="4F07C98A" w14:textId="77777777" w:rsidR="0025730A" w:rsidRPr="0032192D" w:rsidRDefault="0025730A" w:rsidP="0025730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8CBA240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71C5967" w14:textId="249456F8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32192D">
        <w:rPr>
          <w:b/>
          <w:snapToGrid/>
          <w:szCs w:val="22"/>
          <w:lang w:val="lt-LT"/>
        </w:rPr>
        <w:t>2.</w:t>
      </w:r>
      <w:r w:rsidRPr="0032192D">
        <w:rPr>
          <w:b/>
          <w:snapToGrid/>
          <w:szCs w:val="22"/>
          <w:lang w:val="lt-LT"/>
        </w:rPr>
        <w:tab/>
        <w:t xml:space="preserve">Kas žinotina prieš vartojant </w:t>
      </w:r>
      <w:proofErr w:type="spellStart"/>
      <w:r w:rsidR="00FB1F51">
        <w:rPr>
          <w:b/>
          <w:bCs/>
          <w:snapToGrid/>
          <w:szCs w:val="22"/>
          <w:lang w:val="lt-LT"/>
        </w:rPr>
        <w:t>Solitombo</w:t>
      </w:r>
      <w:proofErr w:type="spellEnd"/>
    </w:p>
    <w:p w14:paraId="559E8A7A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E333DCA" w14:textId="3A24E817" w:rsidR="00776FBE" w:rsidRPr="0032192D" w:rsidRDefault="00FB1F51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caps/>
          <w:snapToGrid/>
          <w:szCs w:val="22"/>
          <w:lang w:val="lt-LT"/>
        </w:rPr>
      </w:pPr>
      <w:proofErr w:type="spellStart"/>
      <w:r>
        <w:rPr>
          <w:b/>
          <w:bCs/>
          <w:snapToGrid/>
          <w:szCs w:val="22"/>
          <w:lang w:val="lt-LT"/>
        </w:rPr>
        <w:t>Solitombo</w:t>
      </w:r>
      <w:proofErr w:type="spellEnd"/>
      <w:r w:rsidR="00776FBE" w:rsidRPr="0032192D">
        <w:rPr>
          <w:b/>
          <w:bCs/>
          <w:snapToGrid/>
          <w:szCs w:val="22"/>
          <w:lang w:val="lt-LT"/>
        </w:rPr>
        <w:t xml:space="preserve"> vartoti </w:t>
      </w:r>
      <w:r w:rsidR="002E7535" w:rsidRPr="0032192D">
        <w:rPr>
          <w:b/>
          <w:bCs/>
          <w:snapToGrid/>
          <w:szCs w:val="22"/>
          <w:lang w:val="lt-LT"/>
        </w:rPr>
        <w:t>draudžiama</w:t>
      </w:r>
      <w:r w:rsidR="00776FBE" w:rsidRPr="0032192D">
        <w:rPr>
          <w:b/>
          <w:bCs/>
          <w:snapToGrid/>
          <w:szCs w:val="22"/>
          <w:lang w:val="lt-LT"/>
        </w:rPr>
        <w:t>:</w:t>
      </w:r>
    </w:p>
    <w:p w14:paraId="4ED6558F" w14:textId="77777777" w:rsidR="00776FBE" w:rsidRPr="0032192D" w:rsidRDefault="00776FBE" w:rsidP="00BA2CB3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jeigu yra alergija </w:t>
      </w:r>
      <w:proofErr w:type="spellStart"/>
      <w:r w:rsidR="00EA44B0" w:rsidRPr="0032192D">
        <w:rPr>
          <w:snapToGrid/>
          <w:szCs w:val="22"/>
          <w:lang w:val="lt-LT"/>
        </w:rPr>
        <w:t>slifenacinui</w:t>
      </w:r>
      <w:proofErr w:type="spellEnd"/>
      <w:r w:rsidR="00EA44B0" w:rsidRPr="0032192D">
        <w:rPr>
          <w:snapToGrid/>
          <w:szCs w:val="22"/>
          <w:lang w:val="lt-LT"/>
        </w:rPr>
        <w:t xml:space="preserve"> ar </w:t>
      </w:r>
      <w:proofErr w:type="spellStart"/>
      <w:r w:rsidR="00EA44B0" w:rsidRPr="0032192D">
        <w:rPr>
          <w:snapToGrid/>
          <w:szCs w:val="22"/>
          <w:lang w:val="lt-LT"/>
        </w:rPr>
        <w:t>tamsulozinui</w:t>
      </w:r>
      <w:proofErr w:type="spellEnd"/>
      <w:r w:rsidRPr="0032192D">
        <w:rPr>
          <w:snapToGrid/>
          <w:szCs w:val="22"/>
          <w:lang w:val="lt-LT"/>
        </w:rPr>
        <w:t xml:space="preserve"> arba bet kuriai pagalbinei šio vaisto medžiagai (jos išvardytos 6 skyriuje)</w:t>
      </w:r>
      <w:r w:rsidR="00C02351" w:rsidRPr="0032192D">
        <w:rPr>
          <w:snapToGrid/>
          <w:szCs w:val="22"/>
          <w:lang w:val="lt-LT"/>
        </w:rPr>
        <w:t>;</w:t>
      </w:r>
    </w:p>
    <w:p w14:paraId="0F9D2D5D" w14:textId="77777777" w:rsidR="00EA44B0" w:rsidRPr="0032192D" w:rsidRDefault="00EA44B0" w:rsidP="00BA2CB3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jeigu atliekamos inkstų dializė</w:t>
      </w:r>
      <w:r w:rsidR="00C02351" w:rsidRPr="0032192D">
        <w:rPr>
          <w:snapToGrid/>
          <w:szCs w:val="22"/>
          <w:lang w:val="lt-LT"/>
        </w:rPr>
        <w:t>s;</w:t>
      </w:r>
    </w:p>
    <w:p w14:paraId="1BE1F72B" w14:textId="77777777" w:rsidR="00EA44B0" w:rsidRPr="0032192D" w:rsidRDefault="00C02351" w:rsidP="00BA2CB3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jeigu </w:t>
      </w:r>
      <w:r w:rsidR="006B407E" w:rsidRPr="0032192D">
        <w:rPr>
          <w:snapToGrid/>
          <w:szCs w:val="22"/>
          <w:lang w:val="lt-LT"/>
        </w:rPr>
        <w:t xml:space="preserve">sergate </w:t>
      </w:r>
      <w:r w:rsidR="00EA44B0" w:rsidRPr="0032192D">
        <w:rPr>
          <w:snapToGrid/>
          <w:szCs w:val="22"/>
          <w:lang w:val="lt-LT"/>
        </w:rPr>
        <w:t>sunkia kepenų liga</w:t>
      </w:r>
      <w:r w:rsidRPr="0032192D">
        <w:rPr>
          <w:snapToGrid/>
          <w:szCs w:val="22"/>
          <w:lang w:val="lt-LT"/>
        </w:rPr>
        <w:t>;</w:t>
      </w:r>
    </w:p>
    <w:p w14:paraId="46D3F0CE" w14:textId="70262F40" w:rsidR="00EA44B0" w:rsidRPr="0032192D" w:rsidRDefault="00C02351" w:rsidP="00BA2CB3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jeigu </w:t>
      </w:r>
      <w:r w:rsidR="00EA44B0" w:rsidRPr="0032192D">
        <w:rPr>
          <w:snapToGrid/>
          <w:szCs w:val="22"/>
          <w:lang w:val="lt-LT"/>
        </w:rPr>
        <w:t>sergate sunkia inkstų liga IR tuo pačiu metu esate gydom</w:t>
      </w:r>
      <w:r w:rsidR="0061753E" w:rsidRPr="0032192D">
        <w:rPr>
          <w:snapToGrid/>
          <w:szCs w:val="22"/>
          <w:lang w:val="lt-LT"/>
        </w:rPr>
        <w:t>i</w:t>
      </w:r>
      <w:r w:rsidR="00EA44B0" w:rsidRPr="0032192D">
        <w:rPr>
          <w:snapToGrid/>
          <w:szCs w:val="22"/>
          <w:lang w:val="lt-LT"/>
        </w:rPr>
        <w:t xml:space="preserve"> vaistais, kurie gali </w:t>
      </w:r>
      <w:r w:rsidR="002829B2" w:rsidRPr="0032192D">
        <w:rPr>
          <w:snapToGrid/>
          <w:szCs w:val="22"/>
          <w:lang w:val="lt-LT"/>
        </w:rPr>
        <w:t>sulėtinti</w:t>
      </w:r>
      <w:r w:rsidR="00EA44B0" w:rsidRPr="0032192D">
        <w:rPr>
          <w:snapToGrid/>
          <w:szCs w:val="22"/>
          <w:lang w:val="lt-LT"/>
        </w:rPr>
        <w:t xml:space="preserve"> </w:t>
      </w:r>
      <w:proofErr w:type="spellStart"/>
      <w:r w:rsidR="00FB1F51">
        <w:rPr>
          <w:snapToGrid/>
          <w:szCs w:val="22"/>
          <w:lang w:val="lt-LT"/>
        </w:rPr>
        <w:t>Solitombo</w:t>
      </w:r>
      <w:proofErr w:type="spellEnd"/>
      <w:r w:rsidR="00EA44B0" w:rsidRPr="0032192D">
        <w:rPr>
          <w:snapToGrid/>
          <w:szCs w:val="22"/>
          <w:lang w:val="lt-LT"/>
        </w:rPr>
        <w:t xml:space="preserve"> pasišalinimą iš organizmo (pavyzdžiui, </w:t>
      </w:r>
      <w:proofErr w:type="spellStart"/>
      <w:r w:rsidR="00EA44B0" w:rsidRPr="0032192D">
        <w:rPr>
          <w:snapToGrid/>
          <w:szCs w:val="22"/>
          <w:lang w:val="lt-LT"/>
        </w:rPr>
        <w:t>ketokonazolu</w:t>
      </w:r>
      <w:proofErr w:type="spellEnd"/>
      <w:r w:rsidR="00EA44B0" w:rsidRPr="0032192D">
        <w:rPr>
          <w:snapToGrid/>
          <w:szCs w:val="22"/>
          <w:lang w:val="lt-LT"/>
        </w:rPr>
        <w:t xml:space="preserve">, </w:t>
      </w:r>
      <w:proofErr w:type="spellStart"/>
      <w:r w:rsidR="00EA44B0" w:rsidRPr="0032192D">
        <w:rPr>
          <w:snapToGrid/>
          <w:szCs w:val="22"/>
          <w:lang w:val="lt-LT"/>
        </w:rPr>
        <w:t>ritonaviru</w:t>
      </w:r>
      <w:proofErr w:type="spellEnd"/>
      <w:r w:rsidR="00EA44B0" w:rsidRPr="0032192D">
        <w:rPr>
          <w:snapToGrid/>
          <w:szCs w:val="22"/>
          <w:lang w:val="lt-LT"/>
        </w:rPr>
        <w:t xml:space="preserve">, </w:t>
      </w:r>
      <w:proofErr w:type="spellStart"/>
      <w:r w:rsidR="00EA44B0" w:rsidRPr="0032192D">
        <w:rPr>
          <w:snapToGrid/>
          <w:szCs w:val="22"/>
          <w:lang w:val="lt-LT"/>
        </w:rPr>
        <w:t>nelfinaviru</w:t>
      </w:r>
      <w:proofErr w:type="spellEnd"/>
      <w:r w:rsidR="00EA44B0" w:rsidRPr="0032192D">
        <w:rPr>
          <w:snapToGrid/>
          <w:szCs w:val="22"/>
          <w:lang w:val="lt-LT"/>
        </w:rPr>
        <w:t xml:space="preserve">, </w:t>
      </w:r>
      <w:proofErr w:type="spellStart"/>
      <w:r w:rsidR="00EA44B0" w:rsidRPr="0032192D">
        <w:rPr>
          <w:snapToGrid/>
          <w:szCs w:val="22"/>
          <w:lang w:val="lt-LT"/>
        </w:rPr>
        <w:t>itrakonazolu</w:t>
      </w:r>
      <w:proofErr w:type="spellEnd"/>
      <w:r w:rsidR="00EA44B0" w:rsidRPr="0032192D">
        <w:rPr>
          <w:snapToGrid/>
          <w:szCs w:val="22"/>
          <w:lang w:val="lt-LT"/>
        </w:rPr>
        <w:t xml:space="preserve">). </w:t>
      </w:r>
      <w:r w:rsidRPr="0032192D">
        <w:rPr>
          <w:snapToGrid/>
          <w:szCs w:val="22"/>
          <w:lang w:val="lt-LT"/>
        </w:rPr>
        <w:t xml:space="preserve">Jei yra tokia situacija, </w:t>
      </w:r>
      <w:r w:rsidR="00EA44B0" w:rsidRPr="0032192D">
        <w:rPr>
          <w:snapToGrid/>
          <w:szCs w:val="22"/>
          <w:lang w:val="lt-LT"/>
        </w:rPr>
        <w:t xml:space="preserve">gydytojas arba vaistininkas Jus </w:t>
      </w:r>
      <w:r w:rsidRPr="0032192D">
        <w:rPr>
          <w:snapToGrid/>
          <w:szCs w:val="22"/>
          <w:lang w:val="lt-LT"/>
        </w:rPr>
        <w:t>apie tai informuos;</w:t>
      </w:r>
    </w:p>
    <w:p w14:paraId="4BC9F3EA" w14:textId="218E8286" w:rsidR="002829B2" w:rsidRPr="0032192D" w:rsidRDefault="002829B2" w:rsidP="00BA2CB3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lastRenderedPageBreak/>
        <w:t>jeigu</w:t>
      </w:r>
      <w:r w:rsidR="00EA44B0" w:rsidRPr="0032192D">
        <w:rPr>
          <w:snapToGrid/>
          <w:szCs w:val="22"/>
          <w:lang w:val="lt-LT"/>
        </w:rPr>
        <w:t xml:space="preserve"> sergate vidutinio sunkumo kepenų liga IR </w:t>
      </w:r>
      <w:r w:rsidRPr="0032192D">
        <w:rPr>
          <w:snapToGrid/>
          <w:szCs w:val="22"/>
          <w:lang w:val="lt-LT"/>
        </w:rPr>
        <w:t>tuo pačiu metu esate gydom</w:t>
      </w:r>
      <w:r w:rsidR="0061753E" w:rsidRPr="0032192D">
        <w:rPr>
          <w:snapToGrid/>
          <w:szCs w:val="22"/>
          <w:lang w:val="lt-LT"/>
        </w:rPr>
        <w:t>i</w:t>
      </w:r>
      <w:r w:rsidRPr="0032192D">
        <w:rPr>
          <w:snapToGrid/>
          <w:szCs w:val="22"/>
          <w:lang w:val="lt-LT"/>
        </w:rPr>
        <w:t xml:space="preserve"> vaistais, kurie gali sulėtinti </w:t>
      </w:r>
      <w:proofErr w:type="spellStart"/>
      <w:r w:rsidR="00FB1F51">
        <w:rPr>
          <w:snapToGrid/>
          <w:szCs w:val="22"/>
          <w:lang w:val="lt-LT"/>
        </w:rPr>
        <w:t>Solitombo</w:t>
      </w:r>
      <w:proofErr w:type="spellEnd"/>
      <w:r w:rsidRPr="0032192D">
        <w:rPr>
          <w:snapToGrid/>
          <w:szCs w:val="22"/>
          <w:lang w:val="lt-LT"/>
        </w:rPr>
        <w:t xml:space="preserve"> pasišalinimą iš organizmo (pavyzdžiui, </w:t>
      </w:r>
      <w:proofErr w:type="spellStart"/>
      <w:r w:rsidRPr="0032192D">
        <w:rPr>
          <w:snapToGrid/>
          <w:szCs w:val="22"/>
          <w:lang w:val="lt-LT"/>
        </w:rPr>
        <w:t>ketokonazolu</w:t>
      </w:r>
      <w:proofErr w:type="spellEnd"/>
      <w:r w:rsidRPr="0032192D">
        <w:rPr>
          <w:snapToGrid/>
          <w:szCs w:val="22"/>
          <w:lang w:val="lt-LT"/>
        </w:rPr>
        <w:t xml:space="preserve">, </w:t>
      </w:r>
      <w:proofErr w:type="spellStart"/>
      <w:r w:rsidRPr="0032192D">
        <w:rPr>
          <w:snapToGrid/>
          <w:szCs w:val="22"/>
          <w:lang w:val="lt-LT"/>
        </w:rPr>
        <w:t>ritonaviru</w:t>
      </w:r>
      <w:proofErr w:type="spellEnd"/>
      <w:r w:rsidRPr="0032192D">
        <w:rPr>
          <w:snapToGrid/>
          <w:szCs w:val="22"/>
          <w:lang w:val="lt-LT"/>
        </w:rPr>
        <w:t xml:space="preserve">, </w:t>
      </w:r>
      <w:proofErr w:type="spellStart"/>
      <w:r w:rsidRPr="0032192D">
        <w:rPr>
          <w:snapToGrid/>
          <w:szCs w:val="22"/>
          <w:lang w:val="lt-LT"/>
        </w:rPr>
        <w:t>nelfinaviru</w:t>
      </w:r>
      <w:proofErr w:type="spellEnd"/>
      <w:r w:rsidRPr="0032192D">
        <w:rPr>
          <w:snapToGrid/>
          <w:szCs w:val="22"/>
          <w:lang w:val="lt-LT"/>
        </w:rPr>
        <w:t xml:space="preserve">, </w:t>
      </w:r>
      <w:proofErr w:type="spellStart"/>
      <w:r w:rsidRPr="0032192D">
        <w:rPr>
          <w:snapToGrid/>
          <w:szCs w:val="22"/>
          <w:lang w:val="lt-LT"/>
        </w:rPr>
        <w:t>itrakonazolu</w:t>
      </w:r>
      <w:proofErr w:type="spellEnd"/>
      <w:r w:rsidRPr="0032192D">
        <w:rPr>
          <w:snapToGrid/>
          <w:szCs w:val="22"/>
          <w:lang w:val="lt-LT"/>
        </w:rPr>
        <w:t>). Jei yra tokia situacija, gydytojas arba vaistininkas Jus apie tai informuos;</w:t>
      </w:r>
    </w:p>
    <w:p w14:paraId="1D9F331F" w14:textId="37AB2249" w:rsidR="00EA44B0" w:rsidRPr="0032192D" w:rsidRDefault="002829B2" w:rsidP="00BA2CB3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jeigu</w:t>
      </w:r>
      <w:r w:rsidR="00EA44B0" w:rsidRPr="0032192D">
        <w:rPr>
          <w:snapToGrid/>
          <w:szCs w:val="22"/>
          <w:lang w:val="lt-LT"/>
        </w:rPr>
        <w:t xml:space="preserve"> sergate sunkia skrandžio ar žarnyno liga (įskaitant toksin</w:t>
      </w:r>
      <w:r w:rsidRPr="0032192D">
        <w:rPr>
          <w:snapToGrid/>
          <w:szCs w:val="22"/>
          <w:lang w:val="lt-LT"/>
        </w:rPr>
        <w:t>į</w:t>
      </w:r>
      <w:r w:rsidR="00EA44B0" w:rsidRPr="0032192D">
        <w:rPr>
          <w:snapToGrid/>
          <w:szCs w:val="22"/>
          <w:lang w:val="lt-LT"/>
        </w:rPr>
        <w:t xml:space="preserve"> </w:t>
      </w:r>
      <w:r w:rsidRPr="0032192D">
        <w:rPr>
          <w:snapToGrid/>
          <w:szCs w:val="22"/>
          <w:lang w:val="lt-LT"/>
        </w:rPr>
        <w:t>gaubtinės žarnos padidėjimą</w:t>
      </w:r>
      <w:r w:rsidR="00EA44B0" w:rsidRPr="0032192D">
        <w:rPr>
          <w:snapToGrid/>
          <w:szCs w:val="22"/>
          <w:lang w:val="lt-LT"/>
        </w:rPr>
        <w:t xml:space="preserve">, </w:t>
      </w:r>
      <w:r w:rsidRPr="0032192D">
        <w:rPr>
          <w:snapToGrid/>
          <w:szCs w:val="22"/>
          <w:lang w:val="lt-LT"/>
        </w:rPr>
        <w:t>t.</w:t>
      </w:r>
      <w:r w:rsidR="00C46815">
        <w:rPr>
          <w:snapToGrid/>
          <w:szCs w:val="22"/>
          <w:lang w:val="lt-LT"/>
        </w:rPr>
        <w:t> </w:t>
      </w:r>
      <w:r w:rsidRPr="0032192D">
        <w:rPr>
          <w:snapToGrid/>
          <w:szCs w:val="22"/>
          <w:lang w:val="lt-LT"/>
        </w:rPr>
        <w:t xml:space="preserve">y. </w:t>
      </w:r>
      <w:r w:rsidR="00EA44B0" w:rsidRPr="0032192D">
        <w:rPr>
          <w:snapToGrid/>
          <w:szCs w:val="22"/>
          <w:lang w:val="lt-LT"/>
        </w:rPr>
        <w:t>komplikaciją, susijusią su opiniu kolitu)</w:t>
      </w:r>
      <w:r w:rsidRPr="0032192D">
        <w:rPr>
          <w:snapToGrid/>
          <w:szCs w:val="22"/>
          <w:lang w:val="lt-LT"/>
        </w:rPr>
        <w:t>;</w:t>
      </w:r>
    </w:p>
    <w:p w14:paraId="7F79014D" w14:textId="77777777" w:rsidR="00EA44B0" w:rsidRPr="0032192D" w:rsidRDefault="002829B2" w:rsidP="00BA2CB3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jeigu</w:t>
      </w:r>
      <w:r w:rsidR="00EA44B0" w:rsidRPr="0032192D">
        <w:rPr>
          <w:snapToGrid/>
          <w:szCs w:val="22"/>
          <w:lang w:val="lt-LT"/>
        </w:rPr>
        <w:t xml:space="preserve"> sergate raumenų liga, vadinama </w:t>
      </w:r>
      <w:proofErr w:type="spellStart"/>
      <w:r w:rsidRPr="0032192D">
        <w:rPr>
          <w:snapToGrid/>
          <w:szCs w:val="22"/>
          <w:lang w:val="lt-LT"/>
        </w:rPr>
        <w:t>generalizuota</w:t>
      </w:r>
      <w:proofErr w:type="spellEnd"/>
      <w:r w:rsidR="00EA44B0" w:rsidRPr="0032192D">
        <w:rPr>
          <w:snapToGrid/>
          <w:szCs w:val="22"/>
          <w:lang w:val="lt-LT"/>
        </w:rPr>
        <w:t xml:space="preserve"> </w:t>
      </w:r>
      <w:proofErr w:type="spellStart"/>
      <w:r w:rsidR="00EA44B0" w:rsidRPr="0032192D">
        <w:rPr>
          <w:snapToGrid/>
          <w:szCs w:val="22"/>
          <w:lang w:val="lt-LT"/>
        </w:rPr>
        <w:t>miastenija</w:t>
      </w:r>
      <w:proofErr w:type="spellEnd"/>
      <w:r w:rsidR="00EA44B0" w:rsidRPr="0032192D">
        <w:rPr>
          <w:snapToGrid/>
          <w:szCs w:val="22"/>
          <w:lang w:val="lt-LT"/>
        </w:rPr>
        <w:t xml:space="preserve">, kuri gali sukelti </w:t>
      </w:r>
      <w:r w:rsidR="0061753E" w:rsidRPr="0032192D">
        <w:rPr>
          <w:snapToGrid/>
          <w:szCs w:val="22"/>
          <w:lang w:val="lt-LT"/>
        </w:rPr>
        <w:t xml:space="preserve">labai </w:t>
      </w:r>
      <w:r w:rsidRPr="0032192D">
        <w:rPr>
          <w:snapToGrid/>
          <w:szCs w:val="22"/>
          <w:lang w:val="lt-LT"/>
        </w:rPr>
        <w:t>didelį</w:t>
      </w:r>
      <w:r w:rsidR="00EA44B0" w:rsidRPr="0032192D">
        <w:rPr>
          <w:snapToGrid/>
          <w:szCs w:val="22"/>
          <w:lang w:val="lt-LT"/>
        </w:rPr>
        <w:t xml:space="preserve"> tam tikrų raumenų silpnumą</w:t>
      </w:r>
      <w:r w:rsidRPr="0032192D">
        <w:rPr>
          <w:snapToGrid/>
          <w:szCs w:val="22"/>
          <w:lang w:val="lt-LT"/>
        </w:rPr>
        <w:t>;</w:t>
      </w:r>
    </w:p>
    <w:p w14:paraId="6033ED64" w14:textId="77777777" w:rsidR="00EA44B0" w:rsidRPr="0032192D" w:rsidRDefault="002829B2" w:rsidP="00BA2CB3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jeigu yra</w:t>
      </w:r>
      <w:r w:rsidR="00EA44B0" w:rsidRPr="0032192D">
        <w:rPr>
          <w:snapToGrid/>
          <w:szCs w:val="22"/>
          <w:lang w:val="lt-LT"/>
        </w:rPr>
        <w:t xml:space="preserve"> padidėj</w:t>
      </w:r>
      <w:r w:rsidRPr="0032192D">
        <w:rPr>
          <w:snapToGrid/>
          <w:szCs w:val="22"/>
          <w:lang w:val="lt-LT"/>
        </w:rPr>
        <w:t>ęs</w:t>
      </w:r>
      <w:r w:rsidR="00EA44B0" w:rsidRPr="0032192D">
        <w:rPr>
          <w:snapToGrid/>
          <w:szCs w:val="22"/>
          <w:lang w:val="lt-LT"/>
        </w:rPr>
        <w:t xml:space="preserve"> </w:t>
      </w:r>
      <w:r w:rsidRPr="0032192D">
        <w:rPr>
          <w:snapToGrid/>
          <w:szCs w:val="22"/>
          <w:lang w:val="lt-LT"/>
        </w:rPr>
        <w:t>akispūdis</w:t>
      </w:r>
      <w:r w:rsidR="00EA44B0" w:rsidRPr="0032192D">
        <w:rPr>
          <w:snapToGrid/>
          <w:szCs w:val="22"/>
          <w:lang w:val="lt-LT"/>
        </w:rPr>
        <w:t xml:space="preserve"> (glaukoma), dėl kurio </w:t>
      </w:r>
      <w:r w:rsidRPr="0032192D">
        <w:rPr>
          <w:snapToGrid/>
          <w:szCs w:val="22"/>
          <w:lang w:val="lt-LT"/>
        </w:rPr>
        <w:t>laipsniškai</w:t>
      </w:r>
      <w:r w:rsidR="00EA44B0" w:rsidRPr="0032192D">
        <w:rPr>
          <w:snapToGrid/>
          <w:szCs w:val="22"/>
          <w:lang w:val="lt-LT"/>
        </w:rPr>
        <w:t xml:space="preserve"> </w:t>
      </w:r>
      <w:r w:rsidRPr="0032192D">
        <w:rPr>
          <w:snapToGrid/>
          <w:szCs w:val="22"/>
          <w:lang w:val="lt-LT"/>
        </w:rPr>
        <w:t>blogėja</w:t>
      </w:r>
      <w:r w:rsidR="00EA44B0" w:rsidRPr="0032192D">
        <w:rPr>
          <w:snapToGrid/>
          <w:szCs w:val="22"/>
          <w:lang w:val="lt-LT"/>
        </w:rPr>
        <w:t xml:space="preserve"> regėjimas</w:t>
      </w:r>
      <w:r w:rsidR="00FF3972" w:rsidRPr="0032192D">
        <w:rPr>
          <w:snapToGrid/>
          <w:szCs w:val="22"/>
          <w:lang w:val="lt-LT"/>
        </w:rPr>
        <w:t>;</w:t>
      </w:r>
    </w:p>
    <w:p w14:paraId="4327106F" w14:textId="77777777" w:rsidR="00EA44B0" w:rsidRPr="0032192D" w:rsidRDefault="00FF3972" w:rsidP="00BA2CB3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j</w:t>
      </w:r>
      <w:r w:rsidR="002829B2" w:rsidRPr="0032192D">
        <w:rPr>
          <w:snapToGrid/>
          <w:szCs w:val="22"/>
          <w:lang w:val="lt-LT"/>
        </w:rPr>
        <w:t xml:space="preserve">eigu </w:t>
      </w:r>
      <w:r w:rsidR="00EA44B0" w:rsidRPr="0032192D">
        <w:rPr>
          <w:snapToGrid/>
          <w:szCs w:val="22"/>
          <w:lang w:val="lt-LT"/>
        </w:rPr>
        <w:t>Jums pasireiškia alpulys dėl sumažėjusio kraujospūdžio keičiant kūno padėtį (</w:t>
      </w:r>
      <w:r w:rsidR="002829B2" w:rsidRPr="0032192D">
        <w:rPr>
          <w:snapToGrid/>
          <w:szCs w:val="22"/>
          <w:lang w:val="lt-LT"/>
        </w:rPr>
        <w:t>sėdantis ar stojantis</w:t>
      </w:r>
      <w:r w:rsidR="00EA44B0" w:rsidRPr="0032192D">
        <w:rPr>
          <w:snapToGrid/>
          <w:szCs w:val="22"/>
          <w:lang w:val="lt-LT"/>
        </w:rPr>
        <w:t xml:space="preserve">); tai vadinama </w:t>
      </w:r>
      <w:proofErr w:type="spellStart"/>
      <w:r w:rsidR="00EA44B0" w:rsidRPr="0032192D">
        <w:rPr>
          <w:snapToGrid/>
          <w:szCs w:val="22"/>
          <w:lang w:val="lt-LT"/>
        </w:rPr>
        <w:t>ortostatine</w:t>
      </w:r>
      <w:proofErr w:type="spellEnd"/>
      <w:r w:rsidR="00EA44B0" w:rsidRPr="0032192D">
        <w:rPr>
          <w:snapToGrid/>
          <w:szCs w:val="22"/>
          <w:lang w:val="lt-LT"/>
        </w:rPr>
        <w:t xml:space="preserve"> </w:t>
      </w:r>
      <w:proofErr w:type="spellStart"/>
      <w:r w:rsidR="00EA44B0" w:rsidRPr="0032192D">
        <w:rPr>
          <w:snapToGrid/>
          <w:szCs w:val="22"/>
          <w:lang w:val="lt-LT"/>
        </w:rPr>
        <w:t>hipotenzija</w:t>
      </w:r>
      <w:proofErr w:type="spellEnd"/>
      <w:r w:rsidR="00EA44B0" w:rsidRPr="0032192D">
        <w:rPr>
          <w:snapToGrid/>
          <w:szCs w:val="22"/>
          <w:lang w:val="lt-LT"/>
        </w:rPr>
        <w:t>.</w:t>
      </w:r>
    </w:p>
    <w:p w14:paraId="4CAE5CDF" w14:textId="77777777" w:rsidR="00EA44B0" w:rsidRPr="0032192D" w:rsidRDefault="00EA44B0" w:rsidP="00EA44B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82DBC17" w14:textId="77777777" w:rsidR="00776FBE" w:rsidRPr="0032192D" w:rsidRDefault="00EA44B0" w:rsidP="00EA44B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Pasakykite gydytojui, jei manote, kad kuri nors iš šių būklių Jums tinka.</w:t>
      </w:r>
    </w:p>
    <w:p w14:paraId="6D959977" w14:textId="77777777" w:rsidR="00EA44B0" w:rsidRPr="0032192D" w:rsidRDefault="00EA44B0" w:rsidP="00EA44B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1F2D65A4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32192D">
        <w:rPr>
          <w:b/>
          <w:snapToGrid/>
          <w:szCs w:val="22"/>
          <w:lang w:val="lt-LT"/>
        </w:rPr>
        <w:t>Įspėjimai ir atsargumo priemonės</w:t>
      </w:r>
    </w:p>
    <w:p w14:paraId="2BA0FE59" w14:textId="19307022" w:rsidR="00C41E21" w:rsidRPr="0032192D" w:rsidRDefault="002829B2" w:rsidP="002829B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Pasitarkite su gydytoju arba vaistininku, prieš pradėdami vartoti </w:t>
      </w:r>
      <w:proofErr w:type="spellStart"/>
      <w:r w:rsidR="00FB1F51">
        <w:rPr>
          <w:snapToGrid/>
          <w:szCs w:val="22"/>
          <w:lang w:val="lt-LT"/>
        </w:rPr>
        <w:t>Solitombo</w:t>
      </w:r>
      <w:proofErr w:type="spellEnd"/>
      <w:r w:rsidR="00C41E21" w:rsidRPr="0032192D">
        <w:rPr>
          <w:snapToGrid/>
          <w:szCs w:val="22"/>
          <w:lang w:val="lt-LT"/>
        </w:rPr>
        <w:t>:</w:t>
      </w:r>
    </w:p>
    <w:p w14:paraId="5A4A77E5" w14:textId="77777777" w:rsidR="002829B2" w:rsidRPr="0032192D" w:rsidRDefault="00C41E21" w:rsidP="00C41E21">
      <w:pPr>
        <w:widowControl w:val="0"/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jeigu </w:t>
      </w:r>
      <w:r w:rsidR="002829B2" w:rsidRPr="0032192D">
        <w:rPr>
          <w:snapToGrid/>
          <w:szCs w:val="22"/>
          <w:lang w:val="lt-LT"/>
        </w:rPr>
        <w:t>negalite pasišlapinti (</w:t>
      </w:r>
      <w:r w:rsidRPr="0032192D">
        <w:rPr>
          <w:snapToGrid/>
          <w:szCs w:val="22"/>
          <w:lang w:val="lt-LT"/>
        </w:rPr>
        <w:t xml:space="preserve">yra </w:t>
      </w:r>
      <w:r w:rsidR="002829B2" w:rsidRPr="0032192D">
        <w:rPr>
          <w:snapToGrid/>
          <w:szCs w:val="22"/>
          <w:lang w:val="lt-LT"/>
        </w:rPr>
        <w:t>šlapimo susilaikymas)</w:t>
      </w:r>
      <w:r w:rsidRPr="0032192D">
        <w:rPr>
          <w:snapToGrid/>
          <w:szCs w:val="22"/>
          <w:lang w:val="lt-LT"/>
        </w:rPr>
        <w:t>;</w:t>
      </w:r>
    </w:p>
    <w:p w14:paraId="75E664AE" w14:textId="77777777" w:rsidR="002829B2" w:rsidRPr="0032192D" w:rsidRDefault="00C41E21" w:rsidP="00C41E21">
      <w:pPr>
        <w:widowControl w:val="0"/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jeigu yra</w:t>
      </w:r>
      <w:r w:rsidR="002829B2" w:rsidRPr="0032192D">
        <w:rPr>
          <w:snapToGrid/>
          <w:szCs w:val="22"/>
          <w:lang w:val="lt-LT"/>
        </w:rPr>
        <w:t xml:space="preserve"> tam tikr</w:t>
      </w:r>
      <w:r w:rsidRPr="0032192D">
        <w:rPr>
          <w:snapToGrid/>
          <w:szCs w:val="22"/>
          <w:lang w:val="lt-LT"/>
        </w:rPr>
        <w:t>as</w:t>
      </w:r>
      <w:r w:rsidR="002829B2" w:rsidRPr="0032192D">
        <w:rPr>
          <w:snapToGrid/>
          <w:szCs w:val="22"/>
          <w:lang w:val="lt-LT"/>
        </w:rPr>
        <w:t xml:space="preserve"> virškinimo </w:t>
      </w:r>
      <w:r w:rsidRPr="0032192D">
        <w:rPr>
          <w:snapToGrid/>
          <w:szCs w:val="22"/>
          <w:lang w:val="lt-LT"/>
        </w:rPr>
        <w:t>trakto užsikimšimas;</w:t>
      </w:r>
    </w:p>
    <w:p w14:paraId="22B154E8" w14:textId="77777777" w:rsidR="002829B2" w:rsidRPr="0032192D" w:rsidRDefault="00C41E21" w:rsidP="00C41E21">
      <w:pPr>
        <w:widowControl w:val="0"/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jeigu yra</w:t>
      </w:r>
      <w:r w:rsidR="002829B2" w:rsidRPr="0032192D">
        <w:rPr>
          <w:snapToGrid/>
          <w:szCs w:val="22"/>
          <w:lang w:val="lt-LT"/>
        </w:rPr>
        <w:t xml:space="preserve"> virškinimo </w:t>
      </w:r>
      <w:r w:rsidRPr="0032192D">
        <w:rPr>
          <w:snapToGrid/>
          <w:szCs w:val="22"/>
          <w:lang w:val="lt-LT"/>
        </w:rPr>
        <w:t>trakto judrumo</w:t>
      </w:r>
      <w:r w:rsidR="002829B2" w:rsidRPr="0032192D">
        <w:rPr>
          <w:snapToGrid/>
          <w:szCs w:val="22"/>
          <w:lang w:val="lt-LT"/>
        </w:rPr>
        <w:t xml:space="preserve"> (skrandžio ir žarnyno </w:t>
      </w:r>
      <w:r w:rsidRPr="0032192D">
        <w:rPr>
          <w:snapToGrid/>
          <w:szCs w:val="22"/>
          <w:lang w:val="lt-LT"/>
        </w:rPr>
        <w:t>judesių</w:t>
      </w:r>
      <w:r w:rsidR="0061753E" w:rsidRPr="0032192D">
        <w:rPr>
          <w:snapToGrid/>
          <w:szCs w:val="22"/>
          <w:lang w:val="lt-LT"/>
        </w:rPr>
        <w:t>)</w:t>
      </w:r>
      <w:r w:rsidR="002829B2" w:rsidRPr="0032192D">
        <w:rPr>
          <w:snapToGrid/>
          <w:szCs w:val="22"/>
          <w:lang w:val="lt-LT"/>
        </w:rPr>
        <w:t xml:space="preserve"> </w:t>
      </w:r>
      <w:r w:rsidRPr="0032192D">
        <w:rPr>
          <w:snapToGrid/>
          <w:szCs w:val="22"/>
          <w:lang w:val="lt-LT"/>
        </w:rPr>
        <w:t xml:space="preserve">sulėtėjimo rizika. </w:t>
      </w:r>
      <w:r w:rsidR="002829B2" w:rsidRPr="0032192D">
        <w:rPr>
          <w:snapToGrid/>
          <w:szCs w:val="22"/>
          <w:lang w:val="lt-LT"/>
        </w:rPr>
        <w:t xml:space="preserve">Gydytojas Jus informuos, jei </w:t>
      </w:r>
      <w:r w:rsidR="0061753E" w:rsidRPr="0032192D">
        <w:rPr>
          <w:snapToGrid/>
          <w:szCs w:val="22"/>
          <w:lang w:val="lt-LT"/>
        </w:rPr>
        <w:t>yra tokia būklė</w:t>
      </w:r>
      <w:r w:rsidRPr="0032192D">
        <w:rPr>
          <w:snapToGrid/>
          <w:szCs w:val="22"/>
          <w:lang w:val="lt-LT"/>
        </w:rPr>
        <w:t>;</w:t>
      </w:r>
    </w:p>
    <w:p w14:paraId="08131F20" w14:textId="77777777" w:rsidR="002829B2" w:rsidRPr="0032192D" w:rsidRDefault="00C41E21" w:rsidP="00C41E21">
      <w:pPr>
        <w:widowControl w:val="0"/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jeigu yra</w:t>
      </w:r>
      <w:r w:rsidR="002829B2" w:rsidRPr="0032192D">
        <w:rPr>
          <w:snapToGrid/>
          <w:szCs w:val="22"/>
          <w:lang w:val="lt-LT"/>
        </w:rPr>
        <w:t xml:space="preserve"> skrandžio </w:t>
      </w:r>
      <w:r w:rsidR="003C5DD3" w:rsidRPr="0032192D">
        <w:rPr>
          <w:snapToGrid/>
          <w:szCs w:val="22"/>
          <w:lang w:val="lt-LT"/>
        </w:rPr>
        <w:t>defektas</w:t>
      </w:r>
      <w:r w:rsidR="002829B2" w:rsidRPr="0032192D">
        <w:rPr>
          <w:snapToGrid/>
          <w:szCs w:val="22"/>
          <w:lang w:val="lt-LT"/>
        </w:rPr>
        <w:t xml:space="preserve"> (</w:t>
      </w:r>
      <w:r w:rsidR="003C5DD3" w:rsidRPr="0032192D">
        <w:rPr>
          <w:snapToGrid/>
          <w:szCs w:val="22"/>
          <w:lang w:val="lt-LT"/>
        </w:rPr>
        <w:t>diafragmos</w:t>
      </w:r>
      <w:r w:rsidR="002829B2" w:rsidRPr="0032192D">
        <w:rPr>
          <w:snapToGrid/>
          <w:szCs w:val="22"/>
          <w:lang w:val="lt-LT"/>
        </w:rPr>
        <w:t xml:space="preserve"> išvarža) arba rėmuo ir (arba) jeigu tuo </w:t>
      </w:r>
      <w:r w:rsidR="0061753E" w:rsidRPr="0032192D">
        <w:rPr>
          <w:snapToGrid/>
          <w:szCs w:val="22"/>
          <w:lang w:val="lt-LT"/>
        </w:rPr>
        <w:t>pa</w:t>
      </w:r>
      <w:r w:rsidR="00C94011" w:rsidRPr="0032192D">
        <w:rPr>
          <w:snapToGrid/>
          <w:szCs w:val="22"/>
          <w:lang w:val="lt-LT"/>
        </w:rPr>
        <w:t>čiu</w:t>
      </w:r>
      <w:r w:rsidR="002829B2" w:rsidRPr="0032192D">
        <w:rPr>
          <w:snapToGrid/>
          <w:szCs w:val="22"/>
          <w:lang w:val="lt-LT"/>
        </w:rPr>
        <w:t xml:space="preserve"> metu vartojate vaistų, kurie gali sukelti arba pasunkinti </w:t>
      </w:r>
      <w:r w:rsidR="003C5DD3" w:rsidRPr="0032192D">
        <w:rPr>
          <w:snapToGrid/>
          <w:szCs w:val="22"/>
          <w:lang w:val="lt-LT"/>
        </w:rPr>
        <w:t>stemplės uždegimą (</w:t>
      </w:r>
      <w:proofErr w:type="spellStart"/>
      <w:r w:rsidR="003C5DD3" w:rsidRPr="0032192D">
        <w:rPr>
          <w:snapToGrid/>
          <w:szCs w:val="22"/>
          <w:lang w:val="lt-LT"/>
        </w:rPr>
        <w:t>ezofagitą</w:t>
      </w:r>
      <w:proofErr w:type="spellEnd"/>
      <w:r w:rsidR="003C5DD3" w:rsidRPr="0032192D">
        <w:rPr>
          <w:snapToGrid/>
          <w:szCs w:val="22"/>
          <w:lang w:val="lt-LT"/>
        </w:rPr>
        <w:t>);</w:t>
      </w:r>
    </w:p>
    <w:p w14:paraId="609DD61B" w14:textId="77777777" w:rsidR="002829B2" w:rsidRPr="0032192D" w:rsidRDefault="003C5DD3" w:rsidP="00C41E21">
      <w:pPr>
        <w:widowControl w:val="0"/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jeigu </w:t>
      </w:r>
      <w:r w:rsidR="002829B2" w:rsidRPr="0032192D">
        <w:rPr>
          <w:snapToGrid/>
          <w:szCs w:val="22"/>
          <w:lang w:val="lt-LT"/>
        </w:rPr>
        <w:t xml:space="preserve">sergate tam tikro </w:t>
      </w:r>
      <w:r w:rsidRPr="0032192D">
        <w:rPr>
          <w:snapToGrid/>
          <w:szCs w:val="22"/>
          <w:lang w:val="lt-LT"/>
        </w:rPr>
        <w:t>tipo</w:t>
      </w:r>
      <w:r w:rsidR="002829B2" w:rsidRPr="0032192D">
        <w:rPr>
          <w:snapToGrid/>
          <w:szCs w:val="22"/>
          <w:lang w:val="lt-LT"/>
        </w:rPr>
        <w:t xml:space="preserve"> nervų liga (autonomine neuropatija)</w:t>
      </w:r>
      <w:r w:rsidRPr="0032192D">
        <w:rPr>
          <w:snapToGrid/>
          <w:szCs w:val="22"/>
          <w:lang w:val="lt-LT"/>
        </w:rPr>
        <w:t>;</w:t>
      </w:r>
    </w:p>
    <w:p w14:paraId="222BAE97" w14:textId="77777777" w:rsidR="002829B2" w:rsidRPr="0032192D" w:rsidRDefault="003C5DD3" w:rsidP="00C41E21">
      <w:pPr>
        <w:widowControl w:val="0"/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jeigu </w:t>
      </w:r>
      <w:r w:rsidR="002829B2" w:rsidRPr="0032192D">
        <w:rPr>
          <w:snapToGrid/>
          <w:szCs w:val="22"/>
          <w:lang w:val="lt-LT"/>
        </w:rPr>
        <w:t>sergate sunkia inkstų liga</w:t>
      </w:r>
      <w:r w:rsidRPr="0032192D">
        <w:rPr>
          <w:snapToGrid/>
          <w:szCs w:val="22"/>
          <w:lang w:val="lt-LT"/>
        </w:rPr>
        <w:t>;</w:t>
      </w:r>
    </w:p>
    <w:p w14:paraId="00D59619" w14:textId="77777777" w:rsidR="002829B2" w:rsidRPr="0032192D" w:rsidRDefault="003C5DD3" w:rsidP="00C41E21">
      <w:pPr>
        <w:widowControl w:val="0"/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jeigu </w:t>
      </w:r>
      <w:r w:rsidR="002829B2" w:rsidRPr="0032192D">
        <w:rPr>
          <w:snapToGrid/>
          <w:szCs w:val="22"/>
          <w:lang w:val="lt-LT"/>
        </w:rPr>
        <w:t>sergate vidutinio sunkumo kepenų liga.</w:t>
      </w:r>
    </w:p>
    <w:p w14:paraId="1CEBFC40" w14:textId="77777777" w:rsidR="002829B2" w:rsidRPr="0032192D" w:rsidRDefault="002829B2" w:rsidP="002829B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438DB73" w14:textId="77777777" w:rsidR="002829B2" w:rsidRPr="0032192D" w:rsidRDefault="002829B2" w:rsidP="002829B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Būtina periodiškai atlikti medicininius tyrimus, kad būtų galima stebėti būklė</w:t>
      </w:r>
      <w:r w:rsidR="0061753E" w:rsidRPr="0032192D">
        <w:rPr>
          <w:snapToGrid/>
          <w:szCs w:val="22"/>
          <w:lang w:val="lt-LT"/>
        </w:rPr>
        <w:t>s</w:t>
      </w:r>
      <w:r w:rsidRPr="0032192D">
        <w:rPr>
          <w:snapToGrid/>
          <w:szCs w:val="22"/>
          <w:lang w:val="lt-LT"/>
        </w:rPr>
        <w:t>, nuo kurios esate gydom</w:t>
      </w:r>
      <w:r w:rsidR="007852C3" w:rsidRPr="0032192D">
        <w:rPr>
          <w:snapToGrid/>
          <w:szCs w:val="22"/>
          <w:lang w:val="lt-LT"/>
        </w:rPr>
        <w:t>i</w:t>
      </w:r>
      <w:r w:rsidR="0061753E" w:rsidRPr="0032192D">
        <w:rPr>
          <w:snapToGrid/>
          <w:szCs w:val="22"/>
          <w:lang w:val="lt-LT"/>
        </w:rPr>
        <w:t>, eigą</w:t>
      </w:r>
      <w:r w:rsidRPr="0032192D">
        <w:rPr>
          <w:snapToGrid/>
          <w:szCs w:val="22"/>
          <w:lang w:val="lt-LT"/>
        </w:rPr>
        <w:t>.</w:t>
      </w:r>
    </w:p>
    <w:p w14:paraId="34479299" w14:textId="77777777" w:rsidR="002829B2" w:rsidRPr="0032192D" w:rsidRDefault="002829B2" w:rsidP="002829B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8CFC22D" w14:textId="4DBCB694" w:rsidR="002829B2" w:rsidRPr="0032192D" w:rsidRDefault="00FB1F51" w:rsidP="002829B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bookmarkStart w:id="2" w:name="_Hlk124813171"/>
      <w:proofErr w:type="spellStart"/>
      <w:r>
        <w:rPr>
          <w:snapToGrid/>
          <w:szCs w:val="22"/>
          <w:lang w:val="lt-LT"/>
        </w:rPr>
        <w:t>Solitombo</w:t>
      </w:r>
      <w:proofErr w:type="spellEnd"/>
      <w:r w:rsidR="002829B2" w:rsidRPr="0032192D">
        <w:rPr>
          <w:snapToGrid/>
          <w:szCs w:val="22"/>
          <w:lang w:val="lt-LT"/>
        </w:rPr>
        <w:t xml:space="preserve"> </w:t>
      </w:r>
      <w:bookmarkEnd w:id="2"/>
      <w:r w:rsidR="002829B2" w:rsidRPr="0032192D">
        <w:rPr>
          <w:snapToGrid/>
          <w:szCs w:val="22"/>
          <w:lang w:val="lt-LT"/>
        </w:rPr>
        <w:t xml:space="preserve">gali paveikti Jūsų kraujospūdį, dėl to galite </w:t>
      </w:r>
      <w:r w:rsidR="007852C3" w:rsidRPr="0032192D">
        <w:rPr>
          <w:snapToGrid/>
          <w:szCs w:val="22"/>
          <w:lang w:val="lt-LT"/>
        </w:rPr>
        <w:t>pajusti svaigulį</w:t>
      </w:r>
      <w:r w:rsidR="002829B2" w:rsidRPr="0032192D">
        <w:rPr>
          <w:snapToGrid/>
          <w:szCs w:val="22"/>
          <w:lang w:val="lt-LT"/>
        </w:rPr>
        <w:t xml:space="preserve">, </w:t>
      </w:r>
      <w:r w:rsidR="007852C3" w:rsidRPr="0032192D">
        <w:rPr>
          <w:snapToGrid/>
          <w:szCs w:val="22"/>
          <w:lang w:val="lt-LT"/>
        </w:rPr>
        <w:t>galvos sukimąsi</w:t>
      </w:r>
      <w:r w:rsidR="002829B2" w:rsidRPr="0032192D">
        <w:rPr>
          <w:snapToGrid/>
          <w:szCs w:val="22"/>
          <w:lang w:val="lt-LT"/>
        </w:rPr>
        <w:t xml:space="preserve"> arba retai galite apalpti (</w:t>
      </w:r>
      <w:proofErr w:type="spellStart"/>
      <w:r w:rsidR="002829B2" w:rsidRPr="0032192D">
        <w:rPr>
          <w:snapToGrid/>
          <w:szCs w:val="22"/>
          <w:lang w:val="lt-LT"/>
        </w:rPr>
        <w:t>ortostatinė</w:t>
      </w:r>
      <w:proofErr w:type="spellEnd"/>
      <w:r w:rsidR="002829B2" w:rsidRPr="0032192D">
        <w:rPr>
          <w:snapToGrid/>
          <w:szCs w:val="22"/>
          <w:lang w:val="lt-LT"/>
        </w:rPr>
        <w:t xml:space="preserve"> </w:t>
      </w:r>
      <w:proofErr w:type="spellStart"/>
      <w:r w:rsidR="002829B2" w:rsidRPr="0032192D">
        <w:rPr>
          <w:snapToGrid/>
          <w:szCs w:val="22"/>
          <w:lang w:val="lt-LT"/>
        </w:rPr>
        <w:t>hipotenzija</w:t>
      </w:r>
      <w:proofErr w:type="spellEnd"/>
      <w:r w:rsidR="002829B2" w:rsidRPr="0032192D">
        <w:rPr>
          <w:snapToGrid/>
          <w:szCs w:val="22"/>
          <w:lang w:val="lt-LT"/>
        </w:rPr>
        <w:t>). Jeigu pajutote bet kurį iš šių simptomų, tur</w:t>
      </w:r>
      <w:r w:rsidR="007852C3" w:rsidRPr="0032192D">
        <w:rPr>
          <w:snapToGrid/>
          <w:szCs w:val="22"/>
          <w:lang w:val="lt-LT"/>
        </w:rPr>
        <w:t>i</w:t>
      </w:r>
      <w:r w:rsidR="002829B2" w:rsidRPr="0032192D">
        <w:rPr>
          <w:snapToGrid/>
          <w:szCs w:val="22"/>
          <w:lang w:val="lt-LT"/>
        </w:rPr>
        <w:t>te atsisėsti arba atsigulti, kol jie išnyks.</w:t>
      </w:r>
    </w:p>
    <w:p w14:paraId="1558F83A" w14:textId="77777777" w:rsidR="002829B2" w:rsidRPr="0032192D" w:rsidRDefault="002829B2" w:rsidP="002829B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13789F6" w14:textId="5E4F75D2" w:rsidR="00776FBE" w:rsidRPr="0032192D" w:rsidRDefault="002829B2" w:rsidP="002829B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Jeigu Jums atliekama arba planuojama </w:t>
      </w:r>
      <w:r w:rsidR="00C94011" w:rsidRPr="0032192D">
        <w:rPr>
          <w:snapToGrid/>
          <w:szCs w:val="22"/>
          <w:lang w:val="lt-LT"/>
        </w:rPr>
        <w:t xml:space="preserve">atlikti </w:t>
      </w:r>
      <w:r w:rsidRPr="0032192D">
        <w:rPr>
          <w:snapToGrid/>
          <w:szCs w:val="22"/>
          <w:lang w:val="lt-LT"/>
        </w:rPr>
        <w:t xml:space="preserve">akių operaciją dėl lęšiuko </w:t>
      </w:r>
      <w:proofErr w:type="spellStart"/>
      <w:r w:rsidRPr="0032192D">
        <w:rPr>
          <w:snapToGrid/>
          <w:szCs w:val="22"/>
          <w:lang w:val="lt-LT"/>
        </w:rPr>
        <w:t>drumstumo</w:t>
      </w:r>
      <w:proofErr w:type="spellEnd"/>
      <w:r w:rsidRPr="0032192D">
        <w:rPr>
          <w:snapToGrid/>
          <w:szCs w:val="22"/>
          <w:lang w:val="lt-LT"/>
        </w:rPr>
        <w:t xml:space="preserve"> (kataraktos) arba padidėjusio akispūdžio (glaukomos), informuokite </w:t>
      </w:r>
      <w:r w:rsidR="00D92A61" w:rsidRPr="0032192D">
        <w:rPr>
          <w:snapToGrid/>
          <w:szCs w:val="22"/>
          <w:lang w:val="lt-LT"/>
        </w:rPr>
        <w:t>savo akių ligų specialistą</w:t>
      </w:r>
      <w:r w:rsidRPr="0032192D">
        <w:rPr>
          <w:snapToGrid/>
          <w:szCs w:val="22"/>
          <w:lang w:val="lt-LT"/>
        </w:rPr>
        <w:t xml:space="preserve">, kad anksčiau vartojote, vartojate arba planuojate vartoti </w:t>
      </w:r>
      <w:proofErr w:type="spellStart"/>
      <w:r w:rsidR="00FB1F51">
        <w:rPr>
          <w:snapToGrid/>
          <w:szCs w:val="22"/>
          <w:lang w:val="lt-LT"/>
        </w:rPr>
        <w:t>Solitombo</w:t>
      </w:r>
      <w:proofErr w:type="spellEnd"/>
      <w:r w:rsidRPr="0032192D">
        <w:rPr>
          <w:snapToGrid/>
          <w:szCs w:val="22"/>
          <w:lang w:val="lt-LT"/>
        </w:rPr>
        <w:t>. Tuomet specialistas galės imtis atitinkamų atsargumo priemonių, susijusių su vaist</w:t>
      </w:r>
      <w:r w:rsidR="00812E1F" w:rsidRPr="0032192D">
        <w:rPr>
          <w:snapToGrid/>
          <w:szCs w:val="22"/>
          <w:lang w:val="lt-LT"/>
        </w:rPr>
        <w:t>u</w:t>
      </w:r>
      <w:r w:rsidRPr="0032192D">
        <w:rPr>
          <w:snapToGrid/>
          <w:szCs w:val="22"/>
          <w:lang w:val="lt-LT"/>
        </w:rPr>
        <w:t xml:space="preserve"> ir chirurginiais metodais</w:t>
      </w:r>
      <w:r w:rsidR="00812E1F" w:rsidRPr="0032192D">
        <w:rPr>
          <w:snapToGrid/>
          <w:szCs w:val="22"/>
          <w:lang w:val="lt-LT"/>
        </w:rPr>
        <w:t>, kuri</w:t>
      </w:r>
      <w:r w:rsidR="00D92A61" w:rsidRPr="0032192D">
        <w:rPr>
          <w:snapToGrid/>
          <w:szCs w:val="22"/>
          <w:lang w:val="lt-LT"/>
        </w:rPr>
        <w:t>e</w:t>
      </w:r>
      <w:r w:rsidR="00812E1F" w:rsidRPr="0032192D">
        <w:rPr>
          <w:snapToGrid/>
          <w:szCs w:val="22"/>
          <w:lang w:val="lt-LT"/>
        </w:rPr>
        <w:t xml:space="preserve"> bus naudojami</w:t>
      </w:r>
      <w:r w:rsidRPr="0032192D">
        <w:rPr>
          <w:snapToGrid/>
          <w:szCs w:val="22"/>
          <w:lang w:val="lt-LT"/>
        </w:rPr>
        <w:t>. Pasiteiraukite gydytojo, ar nereik</w:t>
      </w:r>
      <w:r w:rsidR="00812E1F" w:rsidRPr="0032192D">
        <w:rPr>
          <w:snapToGrid/>
          <w:szCs w:val="22"/>
          <w:lang w:val="lt-LT"/>
        </w:rPr>
        <w:t>ia</w:t>
      </w:r>
      <w:r w:rsidRPr="0032192D">
        <w:rPr>
          <w:snapToGrid/>
          <w:szCs w:val="22"/>
          <w:lang w:val="lt-LT"/>
        </w:rPr>
        <w:t xml:space="preserve"> atidėti arba laikinai nutraukti šio vaisto vartojimo, kai </w:t>
      </w:r>
      <w:r w:rsidR="00812E1F" w:rsidRPr="0032192D">
        <w:rPr>
          <w:snapToGrid/>
          <w:szCs w:val="22"/>
          <w:lang w:val="lt-LT"/>
        </w:rPr>
        <w:t>bus</w:t>
      </w:r>
      <w:r w:rsidRPr="0032192D">
        <w:rPr>
          <w:snapToGrid/>
          <w:szCs w:val="22"/>
          <w:lang w:val="lt-LT"/>
        </w:rPr>
        <w:t xml:space="preserve"> atliekama akių operacija dėl drumsto lęšiuko (kataraktos) arba padidėjusio akispūdžio (glaukomos).</w:t>
      </w:r>
    </w:p>
    <w:p w14:paraId="1AB46162" w14:textId="77777777" w:rsidR="007852C3" w:rsidRPr="0032192D" w:rsidRDefault="007852C3" w:rsidP="002829B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1508BD3A" w14:textId="77777777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32192D">
        <w:rPr>
          <w:rFonts w:eastAsia="TimesNewRoman,Bold"/>
          <w:b/>
          <w:bCs/>
          <w:snapToGrid/>
          <w:szCs w:val="22"/>
          <w:lang w:val="lt-LT"/>
        </w:rPr>
        <w:t>Vaikams ir paaugliams</w:t>
      </w:r>
    </w:p>
    <w:p w14:paraId="0B501EA2" w14:textId="77777777" w:rsidR="00776FBE" w:rsidRPr="0032192D" w:rsidRDefault="00812E1F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32192D">
        <w:rPr>
          <w:rFonts w:eastAsia="TimesNewRoman,Bold"/>
          <w:snapToGrid/>
          <w:szCs w:val="22"/>
          <w:lang w:val="lt-LT"/>
        </w:rPr>
        <w:t>Šio vaisto negalima vartoti vaikams ir paaugliams</w:t>
      </w:r>
      <w:r w:rsidR="00776FBE" w:rsidRPr="0032192D">
        <w:rPr>
          <w:rFonts w:eastAsia="TimesNewRoman,Bold"/>
          <w:snapToGrid/>
          <w:szCs w:val="22"/>
          <w:lang w:val="lt-LT"/>
        </w:rPr>
        <w:t>.</w:t>
      </w:r>
    </w:p>
    <w:p w14:paraId="1BB3E80C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5FD9DADE" w14:textId="40AA5F8D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2192D">
        <w:rPr>
          <w:b/>
          <w:snapToGrid/>
          <w:szCs w:val="22"/>
          <w:lang w:val="lt-LT"/>
        </w:rPr>
        <w:t xml:space="preserve">Kiti vaistai ir </w:t>
      </w:r>
      <w:proofErr w:type="spellStart"/>
      <w:r w:rsidR="00FB1F51">
        <w:rPr>
          <w:b/>
          <w:snapToGrid/>
          <w:szCs w:val="22"/>
          <w:lang w:val="lt-LT"/>
        </w:rPr>
        <w:t>Solitombo</w:t>
      </w:r>
      <w:proofErr w:type="spellEnd"/>
    </w:p>
    <w:p w14:paraId="43AE4D91" w14:textId="77777777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Jeigu vartojate ar neseniai vartojote kitų vaistų arba nesate dėl to tikri, apie tai pasakykite gydytojui arba vaistininkui.</w:t>
      </w:r>
    </w:p>
    <w:p w14:paraId="10E28221" w14:textId="77777777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CA6E648" w14:textId="77777777" w:rsidR="00973D88" w:rsidRPr="0032192D" w:rsidRDefault="00973D88" w:rsidP="00973D8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Ypač svarbu informuoti gydytoją, jei vartojate:</w:t>
      </w:r>
    </w:p>
    <w:p w14:paraId="09DD3E23" w14:textId="7F858E22" w:rsidR="00973D88" w:rsidRPr="0032192D" w:rsidRDefault="00973D88" w:rsidP="00973D88">
      <w:pPr>
        <w:widowControl w:val="0"/>
        <w:numPr>
          <w:ilvl w:val="0"/>
          <w:numId w:val="1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tokių vaistų kaip </w:t>
      </w:r>
      <w:proofErr w:type="spellStart"/>
      <w:r w:rsidRPr="0032192D">
        <w:rPr>
          <w:snapToGrid/>
          <w:szCs w:val="22"/>
          <w:lang w:val="lt-LT"/>
        </w:rPr>
        <w:t>ketokonazolas</w:t>
      </w:r>
      <w:proofErr w:type="spellEnd"/>
      <w:r w:rsidRPr="0032192D">
        <w:rPr>
          <w:snapToGrid/>
          <w:szCs w:val="22"/>
          <w:lang w:val="lt-LT"/>
        </w:rPr>
        <w:t xml:space="preserve">, </w:t>
      </w:r>
      <w:proofErr w:type="spellStart"/>
      <w:r w:rsidRPr="0032192D">
        <w:rPr>
          <w:snapToGrid/>
          <w:szCs w:val="22"/>
          <w:lang w:val="lt-LT"/>
        </w:rPr>
        <w:t>eritromicinas</w:t>
      </w:r>
      <w:proofErr w:type="spellEnd"/>
      <w:r w:rsidRPr="0032192D">
        <w:rPr>
          <w:snapToGrid/>
          <w:szCs w:val="22"/>
          <w:lang w:val="lt-LT"/>
        </w:rPr>
        <w:t xml:space="preserve">, </w:t>
      </w:r>
      <w:proofErr w:type="spellStart"/>
      <w:r w:rsidRPr="0032192D">
        <w:rPr>
          <w:snapToGrid/>
          <w:szCs w:val="22"/>
          <w:lang w:val="lt-LT"/>
        </w:rPr>
        <w:t>ritonaviras</w:t>
      </w:r>
      <w:proofErr w:type="spellEnd"/>
      <w:r w:rsidRPr="0032192D">
        <w:rPr>
          <w:snapToGrid/>
          <w:szCs w:val="22"/>
          <w:lang w:val="lt-LT"/>
        </w:rPr>
        <w:t xml:space="preserve">, </w:t>
      </w:r>
      <w:proofErr w:type="spellStart"/>
      <w:r w:rsidRPr="0032192D">
        <w:rPr>
          <w:snapToGrid/>
          <w:szCs w:val="22"/>
          <w:lang w:val="lt-LT"/>
        </w:rPr>
        <w:t>nelfinaviras</w:t>
      </w:r>
      <w:proofErr w:type="spellEnd"/>
      <w:r w:rsidRPr="0032192D">
        <w:rPr>
          <w:snapToGrid/>
          <w:szCs w:val="22"/>
          <w:lang w:val="lt-LT"/>
        </w:rPr>
        <w:t xml:space="preserve">, </w:t>
      </w:r>
      <w:proofErr w:type="spellStart"/>
      <w:r w:rsidRPr="0032192D">
        <w:rPr>
          <w:snapToGrid/>
          <w:szCs w:val="22"/>
          <w:lang w:val="lt-LT"/>
        </w:rPr>
        <w:t>itrakonazolas</w:t>
      </w:r>
      <w:proofErr w:type="spellEnd"/>
      <w:r w:rsidRPr="0032192D">
        <w:rPr>
          <w:snapToGrid/>
          <w:szCs w:val="22"/>
          <w:lang w:val="lt-LT"/>
        </w:rPr>
        <w:t xml:space="preserve">, </w:t>
      </w:r>
      <w:proofErr w:type="spellStart"/>
      <w:r w:rsidRPr="0032192D">
        <w:rPr>
          <w:snapToGrid/>
          <w:szCs w:val="22"/>
          <w:lang w:val="lt-LT"/>
        </w:rPr>
        <w:t>verapamilis</w:t>
      </w:r>
      <w:proofErr w:type="spellEnd"/>
      <w:r w:rsidRPr="0032192D">
        <w:rPr>
          <w:snapToGrid/>
          <w:szCs w:val="22"/>
          <w:lang w:val="lt-LT"/>
        </w:rPr>
        <w:t xml:space="preserve">, </w:t>
      </w:r>
      <w:proofErr w:type="spellStart"/>
      <w:r w:rsidRPr="0032192D">
        <w:rPr>
          <w:snapToGrid/>
          <w:szCs w:val="22"/>
          <w:lang w:val="lt-LT"/>
        </w:rPr>
        <w:t>diltiazemas</w:t>
      </w:r>
      <w:proofErr w:type="spellEnd"/>
      <w:r w:rsidRPr="0032192D">
        <w:rPr>
          <w:snapToGrid/>
          <w:szCs w:val="22"/>
          <w:lang w:val="lt-LT"/>
        </w:rPr>
        <w:t xml:space="preserve"> ir </w:t>
      </w:r>
      <w:proofErr w:type="spellStart"/>
      <w:r w:rsidRPr="0032192D">
        <w:rPr>
          <w:snapToGrid/>
          <w:szCs w:val="22"/>
          <w:lang w:val="lt-LT"/>
        </w:rPr>
        <w:t>paroksetinas</w:t>
      </w:r>
      <w:proofErr w:type="spellEnd"/>
      <w:r w:rsidRPr="0032192D">
        <w:rPr>
          <w:snapToGrid/>
          <w:szCs w:val="22"/>
          <w:lang w:val="lt-LT"/>
        </w:rPr>
        <w:t xml:space="preserve">, kurie </w:t>
      </w:r>
      <w:r w:rsidR="00D92A61" w:rsidRPr="0032192D">
        <w:rPr>
          <w:snapToGrid/>
          <w:szCs w:val="22"/>
          <w:lang w:val="lt-LT"/>
        </w:rPr>
        <w:t>sulėtina</w:t>
      </w:r>
      <w:r w:rsidRPr="0032192D">
        <w:rPr>
          <w:snapToGrid/>
          <w:szCs w:val="22"/>
          <w:lang w:val="lt-LT"/>
        </w:rPr>
        <w:t xml:space="preserve"> </w:t>
      </w:r>
      <w:proofErr w:type="spellStart"/>
      <w:r w:rsidR="00FB1F51">
        <w:rPr>
          <w:snapToGrid/>
          <w:szCs w:val="22"/>
          <w:lang w:val="lt-LT"/>
        </w:rPr>
        <w:t>Solitombo</w:t>
      </w:r>
      <w:proofErr w:type="spellEnd"/>
      <w:r w:rsidRPr="0032192D">
        <w:rPr>
          <w:snapToGrid/>
          <w:szCs w:val="22"/>
          <w:lang w:val="lt-LT"/>
        </w:rPr>
        <w:t xml:space="preserve"> šalinim</w:t>
      </w:r>
      <w:r w:rsidR="00D92A61" w:rsidRPr="0032192D">
        <w:rPr>
          <w:snapToGrid/>
          <w:szCs w:val="22"/>
          <w:lang w:val="lt-LT"/>
        </w:rPr>
        <w:t>ą</w:t>
      </w:r>
      <w:r w:rsidRPr="0032192D">
        <w:rPr>
          <w:snapToGrid/>
          <w:szCs w:val="22"/>
          <w:lang w:val="lt-LT"/>
        </w:rPr>
        <w:t xml:space="preserve"> iš organizmo;</w:t>
      </w:r>
    </w:p>
    <w:p w14:paraId="07A5805D" w14:textId="77777777" w:rsidR="00973D88" w:rsidRPr="0032192D" w:rsidRDefault="00973D88" w:rsidP="00973D88">
      <w:pPr>
        <w:widowControl w:val="0"/>
        <w:numPr>
          <w:ilvl w:val="0"/>
          <w:numId w:val="1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kitų </w:t>
      </w:r>
      <w:proofErr w:type="spellStart"/>
      <w:r w:rsidRPr="0032192D">
        <w:rPr>
          <w:snapToGrid/>
          <w:szCs w:val="22"/>
          <w:lang w:val="lt-LT"/>
        </w:rPr>
        <w:t>anticholinerginių</w:t>
      </w:r>
      <w:proofErr w:type="spellEnd"/>
      <w:r w:rsidRPr="0032192D">
        <w:rPr>
          <w:snapToGrid/>
          <w:szCs w:val="22"/>
          <w:lang w:val="lt-LT"/>
        </w:rPr>
        <w:t xml:space="preserve"> vaistų, nes abiejų vaistų poveikis ir šalutinis poveikis gali sustiprėti, jei vartojami du to paties tipo vaistai;</w:t>
      </w:r>
    </w:p>
    <w:p w14:paraId="733A1360" w14:textId="7146E07D" w:rsidR="00973D88" w:rsidRPr="0032192D" w:rsidRDefault="00973D88" w:rsidP="00973D88">
      <w:pPr>
        <w:widowControl w:val="0"/>
        <w:numPr>
          <w:ilvl w:val="0"/>
          <w:numId w:val="1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proofErr w:type="spellStart"/>
      <w:r w:rsidRPr="0032192D">
        <w:rPr>
          <w:snapToGrid/>
          <w:szCs w:val="22"/>
          <w:lang w:val="lt-LT"/>
        </w:rPr>
        <w:t>cholinerginių</w:t>
      </w:r>
      <w:proofErr w:type="spellEnd"/>
      <w:r w:rsidRPr="0032192D">
        <w:rPr>
          <w:snapToGrid/>
          <w:szCs w:val="22"/>
          <w:lang w:val="lt-LT"/>
        </w:rPr>
        <w:t xml:space="preserve"> vaistų, nes jie gali silpninti </w:t>
      </w:r>
      <w:proofErr w:type="spellStart"/>
      <w:r w:rsidR="00FB1F51">
        <w:rPr>
          <w:snapToGrid/>
          <w:szCs w:val="22"/>
          <w:lang w:val="lt-LT"/>
        </w:rPr>
        <w:t>Solitombo</w:t>
      </w:r>
      <w:proofErr w:type="spellEnd"/>
      <w:r w:rsidRPr="0032192D">
        <w:rPr>
          <w:snapToGrid/>
          <w:szCs w:val="22"/>
          <w:lang w:val="lt-LT"/>
        </w:rPr>
        <w:t xml:space="preserve"> poveikį;</w:t>
      </w:r>
    </w:p>
    <w:p w14:paraId="16062E6F" w14:textId="733D303B" w:rsidR="00973D88" w:rsidRPr="0032192D" w:rsidRDefault="00973D88" w:rsidP="00973D88">
      <w:pPr>
        <w:widowControl w:val="0"/>
        <w:numPr>
          <w:ilvl w:val="0"/>
          <w:numId w:val="1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tokių vaistų kaip </w:t>
      </w:r>
      <w:proofErr w:type="spellStart"/>
      <w:r w:rsidRPr="0032192D">
        <w:rPr>
          <w:snapToGrid/>
          <w:szCs w:val="22"/>
          <w:lang w:val="lt-LT"/>
        </w:rPr>
        <w:t>metoklopramidas</w:t>
      </w:r>
      <w:proofErr w:type="spellEnd"/>
      <w:r w:rsidRPr="0032192D">
        <w:rPr>
          <w:snapToGrid/>
          <w:szCs w:val="22"/>
          <w:lang w:val="lt-LT"/>
        </w:rPr>
        <w:t xml:space="preserve"> ir </w:t>
      </w:r>
      <w:proofErr w:type="spellStart"/>
      <w:r w:rsidRPr="0032192D">
        <w:rPr>
          <w:snapToGrid/>
          <w:szCs w:val="22"/>
          <w:lang w:val="lt-LT"/>
        </w:rPr>
        <w:t>cisapridas</w:t>
      </w:r>
      <w:proofErr w:type="spellEnd"/>
      <w:r w:rsidRPr="0032192D">
        <w:rPr>
          <w:snapToGrid/>
          <w:szCs w:val="22"/>
          <w:lang w:val="lt-LT"/>
        </w:rPr>
        <w:t xml:space="preserve">, dėl kurių pagreitėja virškinimo </w:t>
      </w:r>
      <w:r w:rsidR="00D92A61" w:rsidRPr="0032192D">
        <w:rPr>
          <w:snapToGrid/>
          <w:szCs w:val="22"/>
          <w:lang w:val="lt-LT"/>
        </w:rPr>
        <w:t>trakto</w:t>
      </w:r>
      <w:r w:rsidRPr="0032192D">
        <w:rPr>
          <w:snapToGrid/>
          <w:szCs w:val="22"/>
          <w:lang w:val="lt-LT"/>
        </w:rPr>
        <w:t xml:space="preserve"> </w:t>
      </w:r>
      <w:r w:rsidR="00D92A61" w:rsidRPr="0032192D">
        <w:rPr>
          <w:snapToGrid/>
          <w:szCs w:val="22"/>
          <w:lang w:val="lt-LT"/>
        </w:rPr>
        <w:t>judesiai</w:t>
      </w:r>
      <w:r w:rsidRPr="0032192D">
        <w:rPr>
          <w:snapToGrid/>
          <w:szCs w:val="22"/>
          <w:lang w:val="lt-LT"/>
        </w:rPr>
        <w:t xml:space="preserve">. </w:t>
      </w:r>
      <w:proofErr w:type="spellStart"/>
      <w:r w:rsidR="00FB1F51">
        <w:rPr>
          <w:snapToGrid/>
          <w:szCs w:val="22"/>
          <w:lang w:val="lt-LT"/>
        </w:rPr>
        <w:t>Solitombo</w:t>
      </w:r>
      <w:proofErr w:type="spellEnd"/>
      <w:r w:rsidRPr="0032192D">
        <w:rPr>
          <w:snapToGrid/>
          <w:szCs w:val="22"/>
          <w:lang w:val="lt-LT"/>
        </w:rPr>
        <w:t xml:space="preserve"> gali </w:t>
      </w:r>
      <w:proofErr w:type="spellStart"/>
      <w:r w:rsidRPr="0032192D">
        <w:rPr>
          <w:snapToGrid/>
          <w:szCs w:val="22"/>
          <w:lang w:val="lt-LT"/>
        </w:rPr>
        <w:t>susilpninti</w:t>
      </w:r>
      <w:proofErr w:type="spellEnd"/>
      <w:r w:rsidRPr="0032192D">
        <w:rPr>
          <w:snapToGrid/>
          <w:szCs w:val="22"/>
          <w:lang w:val="lt-LT"/>
        </w:rPr>
        <w:t xml:space="preserve"> jų poveikį;</w:t>
      </w:r>
    </w:p>
    <w:p w14:paraId="063002D0" w14:textId="77777777" w:rsidR="00973D88" w:rsidRPr="0032192D" w:rsidRDefault="00973D88" w:rsidP="00973D88">
      <w:pPr>
        <w:widowControl w:val="0"/>
        <w:numPr>
          <w:ilvl w:val="0"/>
          <w:numId w:val="1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kitų alfa </w:t>
      </w:r>
      <w:proofErr w:type="spellStart"/>
      <w:r w:rsidRPr="0032192D">
        <w:rPr>
          <w:snapToGrid/>
          <w:szCs w:val="22"/>
          <w:lang w:val="lt-LT"/>
        </w:rPr>
        <w:t>adrenoblokatorių</w:t>
      </w:r>
      <w:proofErr w:type="spellEnd"/>
      <w:r w:rsidRPr="0032192D">
        <w:rPr>
          <w:snapToGrid/>
          <w:szCs w:val="22"/>
          <w:lang w:val="lt-LT"/>
        </w:rPr>
        <w:t>, nes dėl to gali nepageidaujamai sumažėti kraujospūdis;</w:t>
      </w:r>
    </w:p>
    <w:p w14:paraId="7AE898A9" w14:textId="77777777" w:rsidR="00973D88" w:rsidRPr="0032192D" w:rsidRDefault="00973D88" w:rsidP="00973D88">
      <w:pPr>
        <w:widowControl w:val="0"/>
        <w:numPr>
          <w:ilvl w:val="0"/>
          <w:numId w:val="1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tokių vaistų kaip </w:t>
      </w:r>
      <w:proofErr w:type="spellStart"/>
      <w:r w:rsidRPr="0032192D">
        <w:rPr>
          <w:snapToGrid/>
          <w:szCs w:val="22"/>
          <w:lang w:val="lt-LT"/>
        </w:rPr>
        <w:t>bisfosfonatai</w:t>
      </w:r>
      <w:proofErr w:type="spellEnd"/>
      <w:r w:rsidRPr="0032192D">
        <w:rPr>
          <w:snapToGrid/>
          <w:szCs w:val="22"/>
          <w:lang w:val="lt-LT"/>
        </w:rPr>
        <w:t>, kurie gali sukelti arba pasunkinti stemplės uždegimą (</w:t>
      </w:r>
      <w:proofErr w:type="spellStart"/>
      <w:r w:rsidRPr="0032192D">
        <w:rPr>
          <w:snapToGrid/>
          <w:szCs w:val="22"/>
          <w:lang w:val="lt-LT"/>
        </w:rPr>
        <w:t>ezofagitą</w:t>
      </w:r>
      <w:proofErr w:type="spellEnd"/>
      <w:r w:rsidRPr="0032192D">
        <w:rPr>
          <w:snapToGrid/>
          <w:szCs w:val="22"/>
          <w:lang w:val="lt-LT"/>
        </w:rPr>
        <w:t>).</w:t>
      </w:r>
    </w:p>
    <w:p w14:paraId="483586F3" w14:textId="77777777" w:rsidR="00973D88" w:rsidRPr="0032192D" w:rsidRDefault="00973D88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48870659" w14:textId="24FD02C8" w:rsidR="003346C0" w:rsidRPr="0032192D" w:rsidRDefault="00FB1F51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proofErr w:type="spellStart"/>
      <w:r>
        <w:rPr>
          <w:rFonts w:eastAsia="TimesNewRoman,Bold"/>
          <w:b/>
          <w:bCs/>
          <w:snapToGrid/>
          <w:szCs w:val="22"/>
          <w:lang w:val="lt-LT"/>
        </w:rPr>
        <w:t>Solitombo</w:t>
      </w:r>
      <w:proofErr w:type="spellEnd"/>
      <w:r w:rsidR="003346C0" w:rsidRPr="0032192D">
        <w:rPr>
          <w:rFonts w:eastAsia="TimesNewRoman,Bold"/>
          <w:b/>
          <w:bCs/>
          <w:snapToGrid/>
          <w:szCs w:val="22"/>
          <w:lang w:val="lt-LT"/>
        </w:rPr>
        <w:t xml:space="preserve"> vartojimas su maistu ir gėrimais</w:t>
      </w:r>
    </w:p>
    <w:p w14:paraId="7F0B57A6" w14:textId="543E9817" w:rsidR="003346C0" w:rsidRPr="0032192D" w:rsidRDefault="00FB1F51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Solitombo</w:t>
      </w:r>
      <w:proofErr w:type="spellEnd"/>
      <w:r w:rsidR="003346C0" w:rsidRPr="0032192D">
        <w:rPr>
          <w:snapToGrid/>
          <w:szCs w:val="22"/>
          <w:lang w:val="lt-LT"/>
        </w:rPr>
        <w:t xml:space="preserve"> galima vartoti neatsižvelgiant į valgį (taip, kaip Jums patogiau).</w:t>
      </w:r>
    </w:p>
    <w:p w14:paraId="712E7AE8" w14:textId="77777777" w:rsidR="003346C0" w:rsidRPr="0032192D" w:rsidRDefault="003346C0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1F2DFD03" w14:textId="77777777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32192D">
        <w:rPr>
          <w:rFonts w:eastAsia="TimesNewRoman,Bold"/>
          <w:b/>
          <w:bCs/>
          <w:snapToGrid/>
          <w:szCs w:val="22"/>
          <w:lang w:val="lt-LT"/>
        </w:rPr>
        <w:t>Nėštumas</w:t>
      </w:r>
      <w:r w:rsidR="003346C0" w:rsidRPr="0032192D">
        <w:rPr>
          <w:rFonts w:eastAsia="TimesNewRoman,Bold"/>
          <w:b/>
          <w:bCs/>
          <w:snapToGrid/>
          <w:szCs w:val="22"/>
          <w:lang w:val="lt-LT"/>
        </w:rPr>
        <w:t>,</w:t>
      </w:r>
      <w:r w:rsidRPr="0032192D">
        <w:rPr>
          <w:rFonts w:eastAsia="TimesNewRoman,Bold"/>
          <w:b/>
          <w:bCs/>
          <w:snapToGrid/>
          <w:szCs w:val="22"/>
          <w:lang w:val="lt-LT"/>
        </w:rPr>
        <w:t xml:space="preserve"> žindymo laikotarpis</w:t>
      </w:r>
      <w:r w:rsidR="003346C0" w:rsidRPr="0032192D">
        <w:rPr>
          <w:rFonts w:eastAsia="TimesNewRoman,Bold"/>
          <w:b/>
          <w:bCs/>
          <w:snapToGrid/>
          <w:szCs w:val="22"/>
          <w:lang w:val="lt-LT"/>
        </w:rPr>
        <w:t xml:space="preserve"> ir vaisingumas</w:t>
      </w:r>
    </w:p>
    <w:p w14:paraId="425010C4" w14:textId="49344479" w:rsidR="00B10320" w:rsidRPr="0032192D" w:rsidRDefault="00FB1F51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proofErr w:type="spellStart"/>
      <w:r>
        <w:rPr>
          <w:rFonts w:eastAsia="TimesNewRoman,Bold"/>
          <w:snapToGrid/>
          <w:szCs w:val="22"/>
          <w:lang w:val="lt-LT"/>
        </w:rPr>
        <w:t>Solitombo</w:t>
      </w:r>
      <w:proofErr w:type="spellEnd"/>
      <w:r w:rsidR="00B10320" w:rsidRPr="0032192D">
        <w:rPr>
          <w:rFonts w:eastAsia="TimesNewRoman,Bold"/>
          <w:snapToGrid/>
          <w:szCs w:val="22"/>
          <w:lang w:val="lt-LT"/>
        </w:rPr>
        <w:t xml:space="preserve"> nėra skirtas moterims.</w:t>
      </w:r>
    </w:p>
    <w:p w14:paraId="149FFD48" w14:textId="54E1D3D3" w:rsidR="00776FBE" w:rsidRPr="0032192D" w:rsidRDefault="00B10320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32192D">
        <w:rPr>
          <w:rFonts w:eastAsia="TimesNewRoman,Bold"/>
          <w:snapToGrid/>
          <w:szCs w:val="22"/>
          <w:lang w:val="lt-LT"/>
        </w:rPr>
        <w:t>Vyrams buvo pranešta apie nenormalios ejakuliacijos (ejakuliacijos sutrikimo) atvejus. Tai reiškia, kad sperma neišsiskiria per šlaplę, o patenka į šlapimo pūslę (</w:t>
      </w:r>
      <w:proofErr w:type="spellStart"/>
      <w:r w:rsidRPr="0032192D">
        <w:rPr>
          <w:rFonts w:eastAsia="TimesNewRoman,Bold"/>
          <w:snapToGrid/>
          <w:szCs w:val="22"/>
          <w:lang w:val="lt-LT"/>
        </w:rPr>
        <w:t>retrogradinė</w:t>
      </w:r>
      <w:proofErr w:type="spellEnd"/>
      <w:r w:rsidRPr="0032192D">
        <w:rPr>
          <w:rFonts w:eastAsia="TimesNewRoman,Bold"/>
          <w:snapToGrid/>
          <w:szCs w:val="22"/>
          <w:lang w:val="lt-LT"/>
        </w:rPr>
        <w:t xml:space="preserve"> ejakuliacija) arba ejakuliacijos apimtis sumažėja arba j</w:t>
      </w:r>
      <w:r w:rsidR="004F50E4">
        <w:rPr>
          <w:rFonts w:eastAsia="TimesNewRoman,Bold"/>
          <w:snapToGrid/>
          <w:szCs w:val="22"/>
          <w:lang w:val="lt-LT"/>
        </w:rPr>
        <w:t>i</w:t>
      </w:r>
      <w:r w:rsidRPr="0032192D">
        <w:rPr>
          <w:rFonts w:eastAsia="TimesNewRoman,Bold"/>
          <w:snapToGrid/>
          <w:szCs w:val="22"/>
          <w:lang w:val="lt-LT"/>
        </w:rPr>
        <w:t xml:space="preserve"> visai neįvyksta (ejakuliacijos nepakankamumas). Toks poveikis nėra žalingas</w:t>
      </w:r>
      <w:r w:rsidR="00776FBE" w:rsidRPr="0032192D">
        <w:rPr>
          <w:rFonts w:eastAsia="TimesNewRoman,Bold"/>
          <w:snapToGrid/>
          <w:szCs w:val="22"/>
          <w:lang w:val="lt-LT"/>
        </w:rPr>
        <w:t>.</w:t>
      </w:r>
    </w:p>
    <w:p w14:paraId="58C470F9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032ED4AE" w14:textId="77777777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32192D">
        <w:rPr>
          <w:rFonts w:eastAsia="TimesNewRoman,Bold"/>
          <w:b/>
          <w:bCs/>
          <w:snapToGrid/>
          <w:szCs w:val="22"/>
          <w:lang w:val="lt-LT"/>
        </w:rPr>
        <w:t>Vairavimas ir mechanizmų valdymas</w:t>
      </w:r>
    </w:p>
    <w:p w14:paraId="36A1D0FB" w14:textId="3AA451CE" w:rsidR="00776FBE" w:rsidRPr="0032192D" w:rsidRDefault="00FB1F51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proofErr w:type="spellStart"/>
      <w:r>
        <w:rPr>
          <w:rFonts w:eastAsia="TimesNewRoman,Bold"/>
          <w:snapToGrid/>
          <w:szCs w:val="22"/>
          <w:lang w:val="lt-LT"/>
        </w:rPr>
        <w:t>Solitombo</w:t>
      </w:r>
      <w:proofErr w:type="spellEnd"/>
      <w:r w:rsidR="00776FBE" w:rsidRPr="0032192D">
        <w:rPr>
          <w:rFonts w:eastAsia="TimesNewRoman,Bold"/>
          <w:snapToGrid/>
          <w:szCs w:val="22"/>
          <w:lang w:val="lt-LT"/>
        </w:rPr>
        <w:t xml:space="preserve"> </w:t>
      </w:r>
      <w:r w:rsidR="00B10320" w:rsidRPr="0032192D">
        <w:rPr>
          <w:rFonts w:eastAsia="TimesNewRoman,Bold"/>
          <w:snapToGrid/>
          <w:szCs w:val="22"/>
          <w:lang w:val="lt-LT"/>
        </w:rPr>
        <w:t xml:space="preserve">gali sukelti svaigulį, matomo vaizdo </w:t>
      </w:r>
      <w:proofErr w:type="spellStart"/>
      <w:r w:rsidR="00B10320" w:rsidRPr="0032192D">
        <w:rPr>
          <w:rFonts w:eastAsia="TimesNewRoman,Bold"/>
          <w:snapToGrid/>
          <w:szCs w:val="22"/>
          <w:lang w:val="lt-LT"/>
        </w:rPr>
        <w:t>neryškumą</w:t>
      </w:r>
      <w:proofErr w:type="spellEnd"/>
      <w:r w:rsidR="00B10320" w:rsidRPr="0032192D">
        <w:rPr>
          <w:rFonts w:eastAsia="TimesNewRoman,Bold"/>
          <w:snapToGrid/>
          <w:szCs w:val="22"/>
          <w:lang w:val="lt-LT"/>
        </w:rPr>
        <w:t xml:space="preserve">, nuovargį ir (nedažnai) mieguistumą. Jei pasireiškia toks šalutinis poveikis, </w:t>
      </w:r>
      <w:r w:rsidR="00776FBE" w:rsidRPr="0032192D">
        <w:rPr>
          <w:rFonts w:eastAsia="TimesNewRoman,Bold"/>
          <w:snapToGrid/>
          <w:szCs w:val="22"/>
          <w:lang w:val="lt-LT"/>
        </w:rPr>
        <w:t>vairuoti ar valdyti mechanizmus</w:t>
      </w:r>
      <w:r w:rsidR="00B10320" w:rsidRPr="0032192D">
        <w:rPr>
          <w:rFonts w:eastAsia="TimesNewRoman,Bold"/>
          <w:snapToGrid/>
          <w:szCs w:val="22"/>
          <w:lang w:val="lt-LT"/>
        </w:rPr>
        <w:t xml:space="preserve"> negalima</w:t>
      </w:r>
      <w:r w:rsidR="00776FBE" w:rsidRPr="0032192D">
        <w:rPr>
          <w:rFonts w:eastAsia="TimesNewRoman,Bold"/>
          <w:snapToGrid/>
          <w:szCs w:val="22"/>
          <w:lang w:val="lt-LT"/>
        </w:rPr>
        <w:t>.</w:t>
      </w:r>
    </w:p>
    <w:p w14:paraId="78DB08BF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05EB76E2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353C7A5E" w14:textId="5EB985D5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32192D">
        <w:rPr>
          <w:b/>
          <w:snapToGrid/>
          <w:szCs w:val="22"/>
          <w:lang w:val="lt-LT"/>
        </w:rPr>
        <w:t>3.</w:t>
      </w:r>
      <w:r w:rsidRPr="0032192D">
        <w:rPr>
          <w:b/>
          <w:snapToGrid/>
          <w:szCs w:val="22"/>
          <w:lang w:val="lt-LT"/>
        </w:rPr>
        <w:tab/>
        <w:t xml:space="preserve">Kaip vartoti </w:t>
      </w:r>
      <w:proofErr w:type="spellStart"/>
      <w:r w:rsidR="00FB1F51">
        <w:rPr>
          <w:b/>
          <w:snapToGrid/>
          <w:szCs w:val="22"/>
          <w:lang w:val="lt-LT"/>
        </w:rPr>
        <w:t>Solitombo</w:t>
      </w:r>
      <w:proofErr w:type="spellEnd"/>
    </w:p>
    <w:p w14:paraId="6C2F3FD0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BAFFC55" w14:textId="77777777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Visada vartokite šį vaistą tiksliai, kaip nurodė gydytojas</w:t>
      </w:r>
      <w:r w:rsidR="006D02C4" w:rsidRPr="0032192D">
        <w:rPr>
          <w:snapToGrid/>
          <w:szCs w:val="22"/>
          <w:lang w:val="lt-LT"/>
        </w:rPr>
        <w:t xml:space="preserve"> arba vaistininkas</w:t>
      </w:r>
      <w:r w:rsidRPr="0032192D">
        <w:rPr>
          <w:snapToGrid/>
          <w:szCs w:val="22"/>
          <w:lang w:val="lt-LT"/>
        </w:rPr>
        <w:t>. Jeigu abejojate, kreipkitės į gydytoją arba vaistininką.</w:t>
      </w:r>
    </w:p>
    <w:p w14:paraId="597026C3" w14:textId="77777777" w:rsidR="00D92A61" w:rsidRPr="0032192D" w:rsidRDefault="00D92A61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E8BF79B" w14:textId="77777777" w:rsidR="00EF3BDF" w:rsidRPr="0032192D" w:rsidRDefault="00421AF2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Didžiausia paros dozė yra viena tabletė, kurioje yra 6 mg </w:t>
      </w:r>
      <w:proofErr w:type="spellStart"/>
      <w:r w:rsidRPr="0032192D">
        <w:rPr>
          <w:snapToGrid/>
          <w:szCs w:val="22"/>
          <w:lang w:val="lt-LT"/>
        </w:rPr>
        <w:t>solifenacino</w:t>
      </w:r>
      <w:proofErr w:type="spellEnd"/>
      <w:r w:rsidRPr="0032192D">
        <w:rPr>
          <w:snapToGrid/>
          <w:szCs w:val="22"/>
          <w:lang w:val="lt-LT"/>
        </w:rPr>
        <w:t xml:space="preserve"> ir 0,4 mg </w:t>
      </w:r>
      <w:proofErr w:type="spellStart"/>
      <w:r w:rsidRPr="0032192D">
        <w:rPr>
          <w:snapToGrid/>
          <w:szCs w:val="22"/>
          <w:lang w:val="lt-LT"/>
        </w:rPr>
        <w:t>tamsulozino</w:t>
      </w:r>
      <w:proofErr w:type="spellEnd"/>
      <w:r w:rsidRPr="0032192D">
        <w:rPr>
          <w:snapToGrid/>
          <w:szCs w:val="22"/>
          <w:lang w:val="lt-LT"/>
        </w:rPr>
        <w:t xml:space="preserve"> ir kuri vartojama per burną. Ją galima gerti neatsižvelgiant į valgį (taip, kaip Jums patogiau). Tabletės netraiškykite ir nekramtykite.</w:t>
      </w:r>
    </w:p>
    <w:p w14:paraId="1AA6DD50" w14:textId="77777777" w:rsidR="00EF3BDF" w:rsidRPr="0032192D" w:rsidRDefault="00EF3BDF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4"/>
          <w:lang w:val="lt-LT"/>
        </w:rPr>
      </w:pPr>
    </w:p>
    <w:p w14:paraId="0E84FE0A" w14:textId="32DDB184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32192D">
        <w:rPr>
          <w:rFonts w:eastAsia="TimesNewRoman,Bold"/>
          <w:b/>
          <w:bCs/>
          <w:snapToGrid/>
          <w:szCs w:val="22"/>
          <w:lang w:val="lt-LT"/>
        </w:rPr>
        <w:t xml:space="preserve">Ką daryti pavartojus per didelę </w:t>
      </w:r>
      <w:proofErr w:type="spellStart"/>
      <w:r w:rsidR="00FB1F51">
        <w:rPr>
          <w:rFonts w:eastAsia="TimesNewRoman,Bold"/>
          <w:b/>
          <w:bCs/>
          <w:snapToGrid/>
          <w:szCs w:val="22"/>
          <w:lang w:val="lt-LT"/>
        </w:rPr>
        <w:t>Solitombo</w:t>
      </w:r>
      <w:proofErr w:type="spellEnd"/>
      <w:r w:rsidRPr="0032192D">
        <w:rPr>
          <w:rFonts w:eastAsia="TimesNewRoman,Bold"/>
          <w:b/>
          <w:bCs/>
          <w:snapToGrid/>
          <w:szCs w:val="22"/>
          <w:lang w:val="lt-LT"/>
        </w:rPr>
        <w:t xml:space="preserve"> dozę</w:t>
      </w:r>
    </w:p>
    <w:p w14:paraId="1F126D0C" w14:textId="77777777" w:rsidR="00421AF2" w:rsidRPr="0032192D" w:rsidRDefault="00421AF2" w:rsidP="00421AF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32192D">
        <w:rPr>
          <w:rFonts w:eastAsia="TimesNewRoman,Bold"/>
          <w:snapToGrid/>
          <w:szCs w:val="22"/>
          <w:lang w:val="lt-LT"/>
        </w:rPr>
        <w:t>Jei išgėrėte daugiau tablečių, nei buvo nurodyta, arba jei Jūsų tablečių atsitiktinai išgėrė kas nors kitas, nedelsdami kreipkitės į gydytoją, vaistininką arba ligoninę.</w:t>
      </w:r>
    </w:p>
    <w:p w14:paraId="20EE2DAB" w14:textId="77777777" w:rsidR="00421AF2" w:rsidRPr="0032192D" w:rsidRDefault="00421AF2" w:rsidP="00421AF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6C5AB776" w14:textId="77777777" w:rsidR="00421AF2" w:rsidRPr="0032192D" w:rsidRDefault="00421AF2" w:rsidP="00421AF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32192D">
        <w:rPr>
          <w:rFonts w:eastAsia="TimesNewRoman,Bold"/>
          <w:snapToGrid/>
          <w:szCs w:val="22"/>
          <w:lang w:val="lt-LT"/>
        </w:rPr>
        <w:t>Perdozavimo atveju gydytojas gali Jus gydyti aktyvintąja anglimi; skubus skrandžio plovimas gali būti naudingas, jei jis atliekamas per 1 valandą nuo perdozavimo. Vėmimo sukelti negalima.</w:t>
      </w:r>
    </w:p>
    <w:p w14:paraId="6F3D0880" w14:textId="77777777" w:rsidR="00421AF2" w:rsidRPr="0032192D" w:rsidRDefault="00421AF2" w:rsidP="00421AF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137C003A" w14:textId="77777777" w:rsidR="00776FBE" w:rsidRPr="0032192D" w:rsidRDefault="00421AF2" w:rsidP="00421AF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32192D">
        <w:rPr>
          <w:rFonts w:eastAsia="TimesNewRoman,Bold"/>
          <w:snapToGrid/>
          <w:szCs w:val="22"/>
          <w:lang w:val="lt-LT"/>
        </w:rPr>
        <w:t xml:space="preserve">Galimi perdozavimo simptomai yra burnos džiūvimas, svaigulys ir matomo vaizdo </w:t>
      </w:r>
      <w:proofErr w:type="spellStart"/>
      <w:r w:rsidRPr="0032192D">
        <w:rPr>
          <w:rFonts w:eastAsia="TimesNewRoman,Bold"/>
          <w:snapToGrid/>
          <w:szCs w:val="22"/>
          <w:lang w:val="lt-LT"/>
        </w:rPr>
        <w:t>neryškumas</w:t>
      </w:r>
      <w:proofErr w:type="spellEnd"/>
      <w:r w:rsidRPr="0032192D">
        <w:rPr>
          <w:rFonts w:eastAsia="TimesNewRoman,Bold"/>
          <w:snapToGrid/>
          <w:szCs w:val="22"/>
          <w:lang w:val="lt-LT"/>
        </w:rPr>
        <w:t>, dalykų, kurių nėra, suvokimas (haliucinacijos), pernelyg didelis sujaudinimas, traukuliai (konvulsijos), kvėpavimo pasunkėjimas, padažnėjęs širdies plakimas (tachikardija), negalėjimas visiškai ar iš dalies ištuštinti šlapimo pūsl</w:t>
      </w:r>
      <w:r w:rsidR="00572DB6" w:rsidRPr="0032192D">
        <w:rPr>
          <w:rFonts w:eastAsia="TimesNewRoman,Bold"/>
          <w:snapToGrid/>
          <w:szCs w:val="22"/>
          <w:lang w:val="lt-LT"/>
        </w:rPr>
        <w:t>ę</w:t>
      </w:r>
      <w:r w:rsidRPr="0032192D">
        <w:rPr>
          <w:rFonts w:eastAsia="TimesNewRoman,Bold"/>
          <w:snapToGrid/>
          <w:szCs w:val="22"/>
          <w:lang w:val="lt-LT"/>
        </w:rPr>
        <w:t xml:space="preserve"> ar pasišlapinti (šlapimo susilaikymas) ir (arba) nepageidaujamas kraujospūdžio sumažėjimas</w:t>
      </w:r>
      <w:r w:rsidR="00776FBE" w:rsidRPr="0032192D">
        <w:rPr>
          <w:rFonts w:eastAsia="TimesNewRoman,Bold"/>
          <w:snapToGrid/>
          <w:szCs w:val="22"/>
          <w:lang w:val="lt-LT"/>
        </w:rPr>
        <w:t>.</w:t>
      </w:r>
    </w:p>
    <w:p w14:paraId="17216FF0" w14:textId="77777777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78D00CDF" w14:textId="26E0718F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32192D">
        <w:rPr>
          <w:rFonts w:eastAsia="TimesNewRoman,Bold"/>
          <w:b/>
          <w:bCs/>
          <w:snapToGrid/>
          <w:szCs w:val="22"/>
          <w:lang w:val="lt-LT"/>
        </w:rPr>
        <w:t xml:space="preserve">Pamiršus pavartoti </w:t>
      </w:r>
      <w:proofErr w:type="spellStart"/>
      <w:r w:rsidR="00FB1F51">
        <w:rPr>
          <w:rFonts w:eastAsia="TimesNewRoman,Bold"/>
          <w:b/>
          <w:bCs/>
          <w:snapToGrid/>
          <w:szCs w:val="22"/>
          <w:lang w:val="lt-LT"/>
        </w:rPr>
        <w:t>Solitombo</w:t>
      </w:r>
      <w:proofErr w:type="spellEnd"/>
    </w:p>
    <w:p w14:paraId="608ABA2D" w14:textId="6D5E0750" w:rsidR="00776FBE" w:rsidRPr="0032192D" w:rsidRDefault="00421AF2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32192D">
        <w:rPr>
          <w:rFonts w:eastAsia="TimesNewRoman,Bold"/>
          <w:snapToGrid/>
          <w:szCs w:val="22"/>
          <w:lang w:val="lt-LT"/>
        </w:rPr>
        <w:t xml:space="preserve">Kitą </w:t>
      </w:r>
      <w:proofErr w:type="spellStart"/>
      <w:r w:rsidR="00FB1F51">
        <w:rPr>
          <w:rFonts w:eastAsia="TimesNewRoman,Bold"/>
          <w:snapToGrid/>
          <w:szCs w:val="22"/>
          <w:lang w:val="lt-LT"/>
        </w:rPr>
        <w:t>Solitombo</w:t>
      </w:r>
      <w:proofErr w:type="spellEnd"/>
      <w:r w:rsidRPr="0032192D">
        <w:rPr>
          <w:rFonts w:eastAsia="TimesNewRoman,Bold"/>
          <w:snapToGrid/>
          <w:szCs w:val="22"/>
          <w:lang w:val="lt-LT"/>
        </w:rPr>
        <w:t xml:space="preserve"> tabletę išgerkite įprastu laiku. </w:t>
      </w:r>
      <w:r w:rsidR="00EF3BDF" w:rsidRPr="0032192D">
        <w:rPr>
          <w:rFonts w:eastAsia="TimesNewRoman,Bold"/>
          <w:snapToGrid/>
          <w:szCs w:val="22"/>
          <w:lang w:val="lt-LT"/>
        </w:rPr>
        <w:t xml:space="preserve">Negalima vartoti dvigubos dozės norint kompensuoti praleistą </w:t>
      </w:r>
      <w:r w:rsidRPr="0032192D">
        <w:rPr>
          <w:rFonts w:eastAsia="TimesNewRoman,Bold"/>
          <w:snapToGrid/>
          <w:szCs w:val="22"/>
          <w:lang w:val="lt-LT"/>
        </w:rPr>
        <w:t>tabletę</w:t>
      </w:r>
      <w:r w:rsidR="00776FBE" w:rsidRPr="0032192D">
        <w:rPr>
          <w:rFonts w:eastAsia="TimesNewRoman,Bold"/>
          <w:snapToGrid/>
          <w:szCs w:val="22"/>
          <w:lang w:val="lt-LT"/>
        </w:rPr>
        <w:t>.</w:t>
      </w:r>
    </w:p>
    <w:p w14:paraId="4515313B" w14:textId="77777777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590E78F4" w14:textId="26EA062D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32192D">
        <w:rPr>
          <w:rFonts w:eastAsia="TimesNewRoman,Bold"/>
          <w:b/>
          <w:bCs/>
          <w:snapToGrid/>
          <w:szCs w:val="22"/>
          <w:lang w:val="lt-LT"/>
        </w:rPr>
        <w:t xml:space="preserve">Nustojus vartoti </w:t>
      </w:r>
      <w:proofErr w:type="spellStart"/>
      <w:r w:rsidR="00FB1F51">
        <w:rPr>
          <w:rFonts w:eastAsia="TimesNewRoman,Bold"/>
          <w:b/>
          <w:bCs/>
          <w:snapToGrid/>
          <w:szCs w:val="22"/>
          <w:lang w:val="lt-LT"/>
        </w:rPr>
        <w:t>Solitombo</w:t>
      </w:r>
      <w:proofErr w:type="spellEnd"/>
    </w:p>
    <w:p w14:paraId="1B42FE49" w14:textId="2CAE6C66" w:rsidR="00776FBE" w:rsidRPr="0032192D" w:rsidRDefault="00421AF2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32192D">
        <w:rPr>
          <w:rFonts w:eastAsia="TimesNewRoman,Bold"/>
          <w:snapToGrid/>
          <w:szCs w:val="22"/>
          <w:lang w:val="lt-LT"/>
        </w:rPr>
        <w:t xml:space="preserve">Jei nustosite vartoti </w:t>
      </w:r>
      <w:proofErr w:type="spellStart"/>
      <w:r w:rsidR="00FB1F51">
        <w:rPr>
          <w:rFonts w:eastAsia="TimesNewRoman,Bold"/>
          <w:snapToGrid/>
          <w:szCs w:val="22"/>
          <w:lang w:val="lt-LT"/>
        </w:rPr>
        <w:t>Solitombo</w:t>
      </w:r>
      <w:proofErr w:type="spellEnd"/>
      <w:r w:rsidRPr="0032192D">
        <w:rPr>
          <w:rFonts w:eastAsia="TimesNewRoman,Bold"/>
          <w:snapToGrid/>
          <w:szCs w:val="22"/>
          <w:lang w:val="lt-LT"/>
        </w:rPr>
        <w:t>, pradiniai nusiskundimai gali atsinaujinti arba pasunkėti. Jei ketinate nutraukti gydymą, visada pasitarkite su gydytoju.</w:t>
      </w:r>
    </w:p>
    <w:p w14:paraId="74220198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</w:p>
    <w:p w14:paraId="57A42492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32192D">
        <w:rPr>
          <w:rFonts w:eastAsia="TimesNewRoman,Bold"/>
          <w:snapToGrid/>
          <w:szCs w:val="22"/>
          <w:lang w:val="lt-LT"/>
        </w:rPr>
        <w:t>Jeigu kiltų daugiau klausimų dėl šio vaisto vartojimo, kreipkitės į gydytoją arba vaistininką.</w:t>
      </w:r>
    </w:p>
    <w:p w14:paraId="4F1BD4B9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79BC9552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52B95C01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32192D">
        <w:rPr>
          <w:b/>
          <w:caps/>
          <w:snapToGrid/>
          <w:szCs w:val="22"/>
          <w:lang w:val="lt-LT"/>
        </w:rPr>
        <w:t>4.</w:t>
      </w:r>
      <w:r w:rsidRPr="0032192D">
        <w:rPr>
          <w:b/>
          <w:caps/>
          <w:snapToGrid/>
          <w:szCs w:val="22"/>
          <w:lang w:val="lt-LT"/>
        </w:rPr>
        <w:tab/>
      </w:r>
      <w:r w:rsidRPr="0032192D">
        <w:rPr>
          <w:b/>
          <w:snapToGrid/>
          <w:szCs w:val="22"/>
          <w:lang w:val="lt-LT"/>
        </w:rPr>
        <w:t>Galimas šalutinis poveikis</w:t>
      </w:r>
    </w:p>
    <w:p w14:paraId="2C0B7DE3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FE93A0A" w14:textId="77777777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Šis vaistas, kaip ir visi kiti, gali sukelti šalutinį poveikį, nors jis pasireiškia ne visiems žmonėms.</w:t>
      </w:r>
    </w:p>
    <w:p w14:paraId="416483E6" w14:textId="77777777" w:rsidR="00776FBE" w:rsidRPr="0032192D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4824E878" w14:textId="5B88B5D6" w:rsidR="002E4560" w:rsidRPr="0032192D" w:rsidRDefault="002E4560" w:rsidP="002E456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Sunkiausias šalutinis poveikis, nedažnai (gali pasireikšti rečiau kaip 1 iš 100 vyrų) pastebėtas gydant </w:t>
      </w:r>
      <w:proofErr w:type="spellStart"/>
      <w:r w:rsidRPr="0032192D">
        <w:rPr>
          <w:snapToGrid/>
          <w:szCs w:val="22"/>
          <w:lang w:val="lt-LT"/>
        </w:rPr>
        <w:t>solifenacino</w:t>
      </w:r>
      <w:proofErr w:type="spellEnd"/>
      <w:r w:rsidRPr="0032192D">
        <w:rPr>
          <w:snapToGrid/>
          <w:szCs w:val="22"/>
          <w:lang w:val="lt-LT"/>
        </w:rPr>
        <w:t xml:space="preserve"> </w:t>
      </w:r>
      <w:proofErr w:type="spellStart"/>
      <w:r w:rsidRPr="0032192D">
        <w:rPr>
          <w:snapToGrid/>
          <w:szCs w:val="22"/>
          <w:lang w:val="lt-LT"/>
        </w:rPr>
        <w:t>sukcinatu</w:t>
      </w:r>
      <w:proofErr w:type="spellEnd"/>
      <w:r w:rsidRPr="0032192D">
        <w:rPr>
          <w:snapToGrid/>
          <w:szCs w:val="22"/>
          <w:lang w:val="lt-LT"/>
        </w:rPr>
        <w:t>/</w:t>
      </w:r>
      <w:proofErr w:type="spellStart"/>
      <w:r w:rsidRPr="0032192D">
        <w:rPr>
          <w:snapToGrid/>
          <w:szCs w:val="22"/>
          <w:lang w:val="lt-LT"/>
        </w:rPr>
        <w:t>tamsulozino</w:t>
      </w:r>
      <w:proofErr w:type="spellEnd"/>
      <w:r w:rsidRPr="0032192D">
        <w:rPr>
          <w:snapToGrid/>
          <w:szCs w:val="22"/>
          <w:lang w:val="lt-LT"/>
        </w:rPr>
        <w:t xml:space="preserve"> hidrochloridu klinikinių tyrimų metu, yra ūminis šlapimo susilaikymas, t. y. staigus negalėjimas pasišlapinti. Jei manote, kad Jums galėjo pasireikšti toks poveikis, nedelsdami kreipkitės į gydytoją. Gali tekti nutraukti </w:t>
      </w:r>
      <w:proofErr w:type="spellStart"/>
      <w:r w:rsidR="00FB1F51">
        <w:rPr>
          <w:snapToGrid/>
          <w:szCs w:val="22"/>
          <w:lang w:val="lt-LT"/>
        </w:rPr>
        <w:t>Solitombo</w:t>
      </w:r>
      <w:proofErr w:type="spellEnd"/>
      <w:r w:rsidRPr="0032192D">
        <w:rPr>
          <w:snapToGrid/>
          <w:szCs w:val="22"/>
          <w:lang w:val="lt-LT"/>
        </w:rPr>
        <w:t xml:space="preserve"> vartojimą.</w:t>
      </w:r>
    </w:p>
    <w:p w14:paraId="4AF71C3C" w14:textId="77777777" w:rsidR="002E4560" w:rsidRPr="0032192D" w:rsidRDefault="002E4560" w:rsidP="002E456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0502FF12" w14:textId="2D2F38B0" w:rsidR="002E4560" w:rsidRPr="0032192D" w:rsidRDefault="002E4560" w:rsidP="002E456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Vartojant </w:t>
      </w:r>
      <w:proofErr w:type="spellStart"/>
      <w:r w:rsidR="00FB1F51">
        <w:rPr>
          <w:snapToGrid/>
          <w:szCs w:val="22"/>
          <w:lang w:val="lt-LT"/>
        </w:rPr>
        <w:t>Solitombo</w:t>
      </w:r>
      <w:proofErr w:type="spellEnd"/>
      <w:r w:rsidRPr="0032192D">
        <w:rPr>
          <w:snapToGrid/>
          <w:szCs w:val="22"/>
          <w:lang w:val="lt-LT"/>
        </w:rPr>
        <w:t xml:space="preserve"> gali pasireikšti alerginių reakcijų.</w:t>
      </w:r>
    </w:p>
    <w:p w14:paraId="5EFFFDC6" w14:textId="77777777" w:rsidR="002E4560" w:rsidRPr="0032192D" w:rsidRDefault="002E4560" w:rsidP="002E4560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Sunki alerginė reakcija (anafilaksinė reakcija) gali pasireikšti nežinomu dažnumu.</w:t>
      </w:r>
    </w:p>
    <w:p w14:paraId="1DB78387" w14:textId="77777777" w:rsidR="002E4560" w:rsidRPr="0032192D" w:rsidRDefault="002E4560" w:rsidP="002E4560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Nedažni alerginių reakcijų požymiai gali būti odos išbėrimas (kartu gali būti niežulys) arba dilgėlinė (ruplės).</w:t>
      </w:r>
    </w:p>
    <w:p w14:paraId="243D896B" w14:textId="0029B305" w:rsidR="002E4560" w:rsidRPr="0032192D" w:rsidRDefault="002E4560" w:rsidP="002E4560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Reti simptomai yra veido, lūpų, burnos, liežuvio ar gerklės patinimas, galintis sukelti rijimo ar kvėpavimo pasunkėjimą (angioneurozinė edema). Angioneurozinė edema pasireiškė retai vartojant </w:t>
      </w:r>
      <w:proofErr w:type="spellStart"/>
      <w:r w:rsidRPr="0032192D">
        <w:rPr>
          <w:snapToGrid/>
          <w:szCs w:val="22"/>
          <w:lang w:val="lt-LT"/>
        </w:rPr>
        <w:t>tamsulozino</w:t>
      </w:r>
      <w:proofErr w:type="spellEnd"/>
      <w:r w:rsidRPr="0032192D">
        <w:rPr>
          <w:snapToGrid/>
          <w:szCs w:val="22"/>
          <w:lang w:val="lt-LT"/>
        </w:rPr>
        <w:t xml:space="preserve"> ir labai retai − vartojant </w:t>
      </w:r>
      <w:proofErr w:type="spellStart"/>
      <w:r w:rsidRPr="0032192D">
        <w:rPr>
          <w:snapToGrid/>
          <w:szCs w:val="22"/>
          <w:lang w:val="lt-LT"/>
        </w:rPr>
        <w:t>solifenacino</w:t>
      </w:r>
      <w:proofErr w:type="spellEnd"/>
      <w:r w:rsidRPr="0032192D">
        <w:rPr>
          <w:snapToGrid/>
          <w:szCs w:val="22"/>
          <w:lang w:val="lt-LT"/>
        </w:rPr>
        <w:t xml:space="preserve">. Jeigu pasireiškia angioneurozinė edema, būtina nedelsiant nutraukti </w:t>
      </w:r>
      <w:proofErr w:type="spellStart"/>
      <w:r w:rsidR="00FB1F51">
        <w:rPr>
          <w:snapToGrid/>
          <w:szCs w:val="22"/>
          <w:lang w:val="lt-LT"/>
        </w:rPr>
        <w:t>Solitombo</w:t>
      </w:r>
      <w:proofErr w:type="spellEnd"/>
      <w:r w:rsidRPr="0032192D">
        <w:rPr>
          <w:snapToGrid/>
          <w:szCs w:val="22"/>
          <w:lang w:val="lt-LT"/>
        </w:rPr>
        <w:t xml:space="preserve"> vartojimą ir jo nebeatnaujinti.</w:t>
      </w:r>
    </w:p>
    <w:p w14:paraId="67CD8A43" w14:textId="77777777" w:rsidR="002E4560" w:rsidRPr="0032192D" w:rsidRDefault="002E4560" w:rsidP="002E456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33E159D" w14:textId="4EA417A0" w:rsidR="002E4560" w:rsidRPr="0032192D" w:rsidRDefault="002E4560" w:rsidP="002E456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Jeigu pasireiškė alergijos priepuolis arba sunki odos reakcija (pvz., pūslių susidarymas ir odos lupimasis), turite nedelsdami apie tai informuoti gydytoją ir nutraukti </w:t>
      </w:r>
      <w:proofErr w:type="spellStart"/>
      <w:r w:rsidR="00FB1F51">
        <w:rPr>
          <w:snapToGrid/>
          <w:szCs w:val="22"/>
          <w:lang w:val="lt-LT"/>
        </w:rPr>
        <w:t>Solitombo</w:t>
      </w:r>
      <w:proofErr w:type="spellEnd"/>
      <w:r w:rsidRPr="0032192D">
        <w:rPr>
          <w:snapToGrid/>
          <w:szCs w:val="22"/>
          <w:lang w:val="lt-LT"/>
        </w:rPr>
        <w:t xml:space="preserve"> vartojimą. Turi būti skirtas reikiamas gydymas ir (arba) imtasi atitinkamų priemonių.</w:t>
      </w:r>
    </w:p>
    <w:p w14:paraId="0FD009BF" w14:textId="77777777" w:rsidR="002E4560" w:rsidRPr="0032192D" w:rsidRDefault="002E4560" w:rsidP="002E456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B129278" w14:textId="77777777" w:rsidR="002E4560" w:rsidRPr="0032192D" w:rsidRDefault="002E4560" w:rsidP="002E456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32192D">
        <w:rPr>
          <w:b/>
          <w:bCs/>
          <w:snapToGrid/>
          <w:szCs w:val="22"/>
          <w:lang w:val="lt-LT"/>
        </w:rPr>
        <w:t>Labai dažni šalutinio poveikio reiškiniai (gali pasireikšti ne rečiau kaip 1 iš 10 </w:t>
      </w:r>
      <w:r w:rsidR="008B56A5">
        <w:rPr>
          <w:b/>
          <w:bCs/>
          <w:snapToGrid/>
          <w:szCs w:val="22"/>
          <w:lang w:val="lt-LT"/>
        </w:rPr>
        <w:t>asmenų</w:t>
      </w:r>
      <w:r w:rsidRPr="0032192D">
        <w:rPr>
          <w:b/>
          <w:bCs/>
          <w:snapToGrid/>
          <w:szCs w:val="22"/>
          <w:lang w:val="lt-LT"/>
        </w:rPr>
        <w:t>)</w:t>
      </w:r>
      <w:r w:rsidR="008B56A5">
        <w:rPr>
          <w:b/>
          <w:bCs/>
          <w:snapToGrid/>
          <w:szCs w:val="22"/>
          <w:lang w:val="lt-LT"/>
        </w:rPr>
        <w:t>:</w:t>
      </w:r>
    </w:p>
    <w:p w14:paraId="5289D445" w14:textId="77777777" w:rsidR="002E4560" w:rsidRPr="0032192D" w:rsidRDefault="002E4560" w:rsidP="002E4560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Burnos džiūvimas</w:t>
      </w:r>
    </w:p>
    <w:p w14:paraId="0CA12A45" w14:textId="77777777" w:rsidR="002E4560" w:rsidRPr="0032192D" w:rsidRDefault="002E4560" w:rsidP="002E456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1DDF4C52" w14:textId="77777777" w:rsidR="002E4560" w:rsidRPr="0032192D" w:rsidRDefault="002E4560" w:rsidP="002E456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32192D">
        <w:rPr>
          <w:b/>
          <w:bCs/>
          <w:snapToGrid/>
          <w:szCs w:val="22"/>
          <w:lang w:val="lt-LT"/>
        </w:rPr>
        <w:t>Dažni šalutinio poveikio reiškiniai (gali pasireikšti rečiau kaip 1 iš 10 asmenų)</w:t>
      </w:r>
      <w:r w:rsidR="008B56A5">
        <w:rPr>
          <w:b/>
          <w:bCs/>
          <w:snapToGrid/>
          <w:szCs w:val="22"/>
          <w:lang w:val="lt-LT"/>
        </w:rPr>
        <w:t>:</w:t>
      </w:r>
    </w:p>
    <w:p w14:paraId="1A7FA28F" w14:textId="77777777" w:rsidR="002E4560" w:rsidRPr="0032192D" w:rsidRDefault="002E4560" w:rsidP="002E4560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Vidurių užkietėjimas</w:t>
      </w:r>
    </w:p>
    <w:p w14:paraId="2D8C0757" w14:textId="77777777" w:rsidR="002E4560" w:rsidRPr="0032192D" w:rsidRDefault="002E4560" w:rsidP="002E4560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Nevirškinimas (dispepsija)</w:t>
      </w:r>
    </w:p>
    <w:p w14:paraId="700261B4" w14:textId="77777777" w:rsidR="002E4560" w:rsidRPr="0032192D" w:rsidRDefault="001F782E" w:rsidP="002E4560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Svaigulys</w:t>
      </w:r>
    </w:p>
    <w:p w14:paraId="266B3313" w14:textId="77777777" w:rsidR="002E4560" w:rsidRPr="0032192D" w:rsidRDefault="001F782E" w:rsidP="002E4560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Matomo vaizdo </w:t>
      </w:r>
      <w:proofErr w:type="spellStart"/>
      <w:r w:rsidRPr="0032192D">
        <w:rPr>
          <w:snapToGrid/>
          <w:szCs w:val="22"/>
          <w:lang w:val="lt-LT"/>
        </w:rPr>
        <w:t>neryškumas</w:t>
      </w:r>
      <w:proofErr w:type="spellEnd"/>
    </w:p>
    <w:p w14:paraId="79931CF7" w14:textId="77777777" w:rsidR="002E4560" w:rsidRPr="0032192D" w:rsidRDefault="002E4560" w:rsidP="002E4560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Nuovargis (</w:t>
      </w:r>
      <w:r w:rsidR="001F782E" w:rsidRPr="0032192D">
        <w:rPr>
          <w:snapToGrid/>
          <w:szCs w:val="22"/>
          <w:lang w:val="lt-LT"/>
        </w:rPr>
        <w:t>pavargimas</w:t>
      </w:r>
      <w:r w:rsidRPr="0032192D">
        <w:rPr>
          <w:snapToGrid/>
          <w:szCs w:val="22"/>
          <w:lang w:val="lt-LT"/>
        </w:rPr>
        <w:t>)</w:t>
      </w:r>
    </w:p>
    <w:p w14:paraId="1BCB315C" w14:textId="79C2B142" w:rsidR="002E4560" w:rsidRPr="0032192D" w:rsidRDefault="002E4560" w:rsidP="002E4560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Nenormali ejakuliacija (ejakuliacijos sutrikimas). </w:t>
      </w:r>
      <w:r w:rsidR="001F782E" w:rsidRPr="0032192D">
        <w:rPr>
          <w:rFonts w:eastAsia="TimesNewRoman,Bold"/>
          <w:snapToGrid/>
          <w:szCs w:val="22"/>
          <w:lang w:val="lt-LT"/>
        </w:rPr>
        <w:t>Tai reiškia, kad sperma neišsiskiria per šlaplę, o patenka į šlapimo pūslę (</w:t>
      </w:r>
      <w:proofErr w:type="spellStart"/>
      <w:r w:rsidR="001F782E" w:rsidRPr="0032192D">
        <w:rPr>
          <w:rFonts w:eastAsia="TimesNewRoman,Bold"/>
          <w:snapToGrid/>
          <w:szCs w:val="22"/>
          <w:lang w:val="lt-LT"/>
        </w:rPr>
        <w:t>retrogradinė</w:t>
      </w:r>
      <w:proofErr w:type="spellEnd"/>
      <w:r w:rsidR="001F782E" w:rsidRPr="0032192D">
        <w:rPr>
          <w:rFonts w:eastAsia="TimesNewRoman,Bold"/>
          <w:snapToGrid/>
          <w:szCs w:val="22"/>
          <w:lang w:val="lt-LT"/>
        </w:rPr>
        <w:t xml:space="preserve"> ejakuliacija) arba ejakuliacijos apimtis sumažėja arba j</w:t>
      </w:r>
      <w:r w:rsidR="004F50E4">
        <w:rPr>
          <w:rFonts w:eastAsia="TimesNewRoman,Bold"/>
          <w:snapToGrid/>
          <w:szCs w:val="22"/>
          <w:lang w:val="lt-LT"/>
        </w:rPr>
        <w:t>i</w:t>
      </w:r>
      <w:r w:rsidR="001F782E" w:rsidRPr="0032192D">
        <w:rPr>
          <w:rFonts w:eastAsia="TimesNewRoman,Bold"/>
          <w:snapToGrid/>
          <w:szCs w:val="22"/>
          <w:lang w:val="lt-LT"/>
        </w:rPr>
        <w:t xml:space="preserve"> visai neįvyksta (ejakuliacijos nepakankamumas). Toks poveikis nėra žalingas</w:t>
      </w:r>
      <w:r w:rsidRPr="0032192D">
        <w:rPr>
          <w:snapToGrid/>
          <w:szCs w:val="22"/>
          <w:lang w:val="lt-LT"/>
        </w:rPr>
        <w:t>.</w:t>
      </w:r>
    </w:p>
    <w:p w14:paraId="5D315330" w14:textId="77777777" w:rsidR="002E4560" w:rsidRPr="0032192D" w:rsidRDefault="001F782E" w:rsidP="002E4560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Šleikštulys </w:t>
      </w:r>
      <w:r w:rsidR="002E4560" w:rsidRPr="0032192D">
        <w:rPr>
          <w:snapToGrid/>
          <w:szCs w:val="22"/>
          <w:lang w:val="lt-LT"/>
        </w:rPr>
        <w:t>(pykinimas)</w:t>
      </w:r>
    </w:p>
    <w:p w14:paraId="48513E31" w14:textId="77777777" w:rsidR="002E4560" w:rsidRPr="0032192D" w:rsidRDefault="002E4560" w:rsidP="002E4560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Pilvo skausmas</w:t>
      </w:r>
    </w:p>
    <w:p w14:paraId="6FCBAAE6" w14:textId="77777777" w:rsidR="002E4560" w:rsidRPr="0032192D" w:rsidRDefault="002E4560" w:rsidP="002E456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368363C" w14:textId="77777777" w:rsidR="002E4560" w:rsidRPr="0032192D" w:rsidRDefault="000D75BB" w:rsidP="002E456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32192D">
        <w:rPr>
          <w:b/>
          <w:bCs/>
          <w:snapToGrid/>
          <w:szCs w:val="22"/>
          <w:lang w:val="lt-LT"/>
        </w:rPr>
        <w:t>Nedažni šalutinio poveikio reiškiniai (gali pasireikšti rečiau kaip 1 iš 100 </w:t>
      </w:r>
      <w:r w:rsidR="008B56A5">
        <w:rPr>
          <w:b/>
          <w:bCs/>
          <w:snapToGrid/>
          <w:szCs w:val="22"/>
          <w:lang w:val="lt-LT"/>
        </w:rPr>
        <w:t>asmenų</w:t>
      </w:r>
      <w:r w:rsidR="002E4560" w:rsidRPr="0032192D">
        <w:rPr>
          <w:b/>
          <w:bCs/>
          <w:snapToGrid/>
          <w:szCs w:val="22"/>
          <w:lang w:val="lt-LT"/>
        </w:rPr>
        <w:t>)</w:t>
      </w:r>
      <w:r w:rsidR="008B56A5">
        <w:rPr>
          <w:b/>
          <w:bCs/>
          <w:snapToGrid/>
          <w:szCs w:val="22"/>
          <w:lang w:val="lt-LT"/>
        </w:rPr>
        <w:t>:</w:t>
      </w:r>
    </w:p>
    <w:p w14:paraId="7FF57F39" w14:textId="77777777" w:rsidR="002E4560" w:rsidRPr="0032192D" w:rsidRDefault="002E4560" w:rsidP="000D75BB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Mieguistumas (somnolencija)</w:t>
      </w:r>
    </w:p>
    <w:p w14:paraId="081EAF69" w14:textId="77777777" w:rsidR="002E4560" w:rsidRPr="0032192D" w:rsidRDefault="002E4560" w:rsidP="000D75BB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Niežulys (niež</w:t>
      </w:r>
      <w:r w:rsidR="000D75BB" w:rsidRPr="0032192D">
        <w:rPr>
          <w:snapToGrid/>
          <w:szCs w:val="22"/>
          <w:lang w:val="lt-LT"/>
        </w:rPr>
        <w:t>ėjimas</w:t>
      </w:r>
      <w:r w:rsidRPr="0032192D">
        <w:rPr>
          <w:snapToGrid/>
          <w:szCs w:val="22"/>
          <w:lang w:val="lt-LT"/>
        </w:rPr>
        <w:t>)</w:t>
      </w:r>
    </w:p>
    <w:p w14:paraId="1C3C12CF" w14:textId="77777777" w:rsidR="002E4560" w:rsidRPr="0032192D" w:rsidRDefault="002E4560" w:rsidP="000D75BB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Šlapimo takų infekcija, šlapimo pūslės infekcija (cistitas)</w:t>
      </w:r>
    </w:p>
    <w:p w14:paraId="47AA4380" w14:textId="77777777" w:rsidR="002E4560" w:rsidRPr="0032192D" w:rsidRDefault="002E4560" w:rsidP="000D75BB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Sutrikęs skonio pojūtis (</w:t>
      </w:r>
      <w:proofErr w:type="spellStart"/>
      <w:r w:rsidRPr="0032192D">
        <w:rPr>
          <w:snapToGrid/>
          <w:szCs w:val="22"/>
          <w:lang w:val="lt-LT"/>
        </w:rPr>
        <w:t>disgeuzija</w:t>
      </w:r>
      <w:proofErr w:type="spellEnd"/>
      <w:r w:rsidRPr="0032192D">
        <w:rPr>
          <w:snapToGrid/>
          <w:szCs w:val="22"/>
          <w:lang w:val="lt-LT"/>
        </w:rPr>
        <w:t>)</w:t>
      </w:r>
    </w:p>
    <w:p w14:paraId="69EC5718" w14:textId="77777777" w:rsidR="002E4560" w:rsidRPr="0032192D" w:rsidRDefault="002E4560" w:rsidP="000D75BB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Akių sausumas</w:t>
      </w:r>
    </w:p>
    <w:p w14:paraId="2AD62C81" w14:textId="77777777" w:rsidR="002E4560" w:rsidRPr="0032192D" w:rsidRDefault="000D75BB" w:rsidP="000D75BB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Nosies džiūvimas</w:t>
      </w:r>
    </w:p>
    <w:p w14:paraId="75762335" w14:textId="79C22E3D" w:rsidR="002E4560" w:rsidRPr="0032192D" w:rsidRDefault="002E4560" w:rsidP="000D75BB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proofErr w:type="spellStart"/>
      <w:r w:rsidRPr="0032192D">
        <w:rPr>
          <w:snapToGrid/>
          <w:szCs w:val="22"/>
          <w:lang w:val="lt-LT"/>
        </w:rPr>
        <w:t>Refliukso</w:t>
      </w:r>
      <w:proofErr w:type="spellEnd"/>
      <w:r w:rsidRPr="0032192D">
        <w:rPr>
          <w:snapToGrid/>
          <w:szCs w:val="22"/>
          <w:lang w:val="lt-LT"/>
        </w:rPr>
        <w:t xml:space="preserve"> liga (</w:t>
      </w:r>
      <w:proofErr w:type="spellStart"/>
      <w:r w:rsidRPr="0032192D">
        <w:rPr>
          <w:snapToGrid/>
          <w:szCs w:val="22"/>
          <w:lang w:val="lt-LT"/>
        </w:rPr>
        <w:t>gastroezofagini</w:t>
      </w:r>
      <w:r w:rsidR="005E6299">
        <w:rPr>
          <w:snapToGrid/>
          <w:szCs w:val="22"/>
          <w:lang w:val="lt-LT"/>
        </w:rPr>
        <w:t>o</w:t>
      </w:r>
      <w:proofErr w:type="spellEnd"/>
      <w:r w:rsidRPr="0032192D">
        <w:rPr>
          <w:snapToGrid/>
          <w:szCs w:val="22"/>
          <w:lang w:val="lt-LT"/>
        </w:rPr>
        <w:t xml:space="preserve"> </w:t>
      </w:r>
      <w:proofErr w:type="spellStart"/>
      <w:r w:rsidRPr="0032192D">
        <w:rPr>
          <w:snapToGrid/>
          <w:szCs w:val="22"/>
          <w:lang w:val="lt-LT"/>
        </w:rPr>
        <w:t>refliuks</w:t>
      </w:r>
      <w:r w:rsidR="005E6299">
        <w:rPr>
          <w:snapToGrid/>
          <w:szCs w:val="22"/>
          <w:lang w:val="lt-LT"/>
        </w:rPr>
        <w:t>o</w:t>
      </w:r>
      <w:proofErr w:type="spellEnd"/>
      <w:r w:rsidR="005E6299">
        <w:rPr>
          <w:snapToGrid/>
          <w:szCs w:val="22"/>
          <w:lang w:val="lt-LT"/>
        </w:rPr>
        <w:t xml:space="preserve"> liga</w:t>
      </w:r>
      <w:r w:rsidRPr="0032192D">
        <w:rPr>
          <w:snapToGrid/>
          <w:szCs w:val="22"/>
          <w:lang w:val="lt-LT"/>
        </w:rPr>
        <w:t>)</w:t>
      </w:r>
    </w:p>
    <w:p w14:paraId="503199FF" w14:textId="77777777" w:rsidR="002E4560" w:rsidRPr="0032192D" w:rsidRDefault="000D75BB" w:rsidP="000D75BB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Gerklės džiūvimas</w:t>
      </w:r>
    </w:p>
    <w:p w14:paraId="19ED9B4A" w14:textId="77777777" w:rsidR="002E4560" w:rsidRPr="0032192D" w:rsidRDefault="002E4560" w:rsidP="000D75BB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Odos sausumas</w:t>
      </w:r>
    </w:p>
    <w:p w14:paraId="4B6B1C95" w14:textId="77777777" w:rsidR="002E4560" w:rsidRPr="0032192D" w:rsidRDefault="000D75BB" w:rsidP="000D75BB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Šlapinimosi pasunkėjimas</w:t>
      </w:r>
    </w:p>
    <w:p w14:paraId="67344A88" w14:textId="77777777" w:rsidR="002E4560" w:rsidRPr="0032192D" w:rsidRDefault="002E4560" w:rsidP="000D75BB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Skysčių kaupimasis </w:t>
      </w:r>
      <w:r w:rsidR="000D75BB" w:rsidRPr="0032192D">
        <w:rPr>
          <w:snapToGrid/>
          <w:szCs w:val="22"/>
          <w:lang w:val="lt-LT"/>
        </w:rPr>
        <w:t>apatinėse kojų dalyse</w:t>
      </w:r>
      <w:r w:rsidRPr="0032192D">
        <w:rPr>
          <w:snapToGrid/>
          <w:szCs w:val="22"/>
          <w:lang w:val="lt-LT"/>
        </w:rPr>
        <w:t xml:space="preserve"> (edema)</w:t>
      </w:r>
    </w:p>
    <w:p w14:paraId="5C1C2B68" w14:textId="77777777" w:rsidR="002E4560" w:rsidRPr="0032192D" w:rsidRDefault="002E4560" w:rsidP="000D75BB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Galvos skausmas</w:t>
      </w:r>
    </w:p>
    <w:p w14:paraId="3FBA131E" w14:textId="3B0BF9D9" w:rsidR="002E4560" w:rsidRPr="0032192D" w:rsidRDefault="000D75BB" w:rsidP="000D75BB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Dažnas</w:t>
      </w:r>
      <w:r w:rsidR="002E4560" w:rsidRPr="0032192D">
        <w:rPr>
          <w:snapToGrid/>
          <w:szCs w:val="22"/>
          <w:lang w:val="lt-LT"/>
        </w:rPr>
        <w:t xml:space="preserve"> arba </w:t>
      </w:r>
      <w:r w:rsidRPr="0032192D">
        <w:rPr>
          <w:snapToGrid/>
          <w:szCs w:val="22"/>
          <w:lang w:val="lt-LT"/>
        </w:rPr>
        <w:t>neritmiškas</w:t>
      </w:r>
      <w:r w:rsidR="002E4560" w:rsidRPr="0032192D">
        <w:rPr>
          <w:snapToGrid/>
          <w:szCs w:val="22"/>
          <w:lang w:val="lt-LT"/>
        </w:rPr>
        <w:t xml:space="preserve"> širdies plakimas (</w:t>
      </w:r>
      <w:r w:rsidR="005E6299">
        <w:rPr>
          <w:snapToGrid/>
          <w:szCs w:val="22"/>
          <w:lang w:val="lt-LT"/>
        </w:rPr>
        <w:t>palpitacijos</w:t>
      </w:r>
      <w:r w:rsidR="002E4560" w:rsidRPr="0032192D">
        <w:rPr>
          <w:snapToGrid/>
          <w:szCs w:val="22"/>
          <w:lang w:val="lt-LT"/>
        </w:rPr>
        <w:t>)</w:t>
      </w:r>
    </w:p>
    <w:p w14:paraId="607C33AC" w14:textId="77777777" w:rsidR="002E4560" w:rsidRPr="0032192D" w:rsidRDefault="000D75BB" w:rsidP="000D75BB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Svaigulio ar silpnumo pojūtis</w:t>
      </w:r>
      <w:r w:rsidR="002E4560" w:rsidRPr="0032192D">
        <w:rPr>
          <w:snapToGrid/>
          <w:szCs w:val="22"/>
          <w:lang w:val="lt-LT"/>
        </w:rPr>
        <w:t>, ypač atsistojus (</w:t>
      </w:r>
      <w:proofErr w:type="spellStart"/>
      <w:r w:rsidR="002E4560" w:rsidRPr="0032192D">
        <w:rPr>
          <w:snapToGrid/>
          <w:szCs w:val="22"/>
          <w:lang w:val="lt-LT"/>
        </w:rPr>
        <w:t>ortostatinė</w:t>
      </w:r>
      <w:proofErr w:type="spellEnd"/>
      <w:r w:rsidR="002E4560" w:rsidRPr="0032192D">
        <w:rPr>
          <w:snapToGrid/>
          <w:szCs w:val="22"/>
          <w:lang w:val="lt-LT"/>
        </w:rPr>
        <w:t xml:space="preserve"> </w:t>
      </w:r>
      <w:proofErr w:type="spellStart"/>
      <w:r w:rsidR="002E4560" w:rsidRPr="0032192D">
        <w:rPr>
          <w:snapToGrid/>
          <w:szCs w:val="22"/>
          <w:lang w:val="lt-LT"/>
        </w:rPr>
        <w:t>hipotenzija</w:t>
      </w:r>
      <w:proofErr w:type="spellEnd"/>
      <w:r w:rsidR="002E4560" w:rsidRPr="0032192D">
        <w:rPr>
          <w:snapToGrid/>
          <w:szCs w:val="22"/>
          <w:lang w:val="lt-LT"/>
        </w:rPr>
        <w:t>)</w:t>
      </w:r>
    </w:p>
    <w:p w14:paraId="17D73C28" w14:textId="77777777" w:rsidR="002E4560" w:rsidRPr="0032192D" w:rsidRDefault="002E4560" w:rsidP="000D75BB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Bėganti arba užsikimšusi nosis (rinitas)</w:t>
      </w:r>
    </w:p>
    <w:p w14:paraId="372B88DF" w14:textId="77777777" w:rsidR="002E4560" w:rsidRPr="0032192D" w:rsidRDefault="002E4560" w:rsidP="000D75BB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Viduriavimas</w:t>
      </w:r>
    </w:p>
    <w:p w14:paraId="1C2EB1A6" w14:textId="77777777" w:rsidR="002E4560" w:rsidRPr="0032192D" w:rsidRDefault="000D75BB" w:rsidP="000D75BB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V</w:t>
      </w:r>
      <w:r w:rsidR="002E4560" w:rsidRPr="0032192D">
        <w:rPr>
          <w:snapToGrid/>
          <w:szCs w:val="22"/>
          <w:lang w:val="lt-LT"/>
        </w:rPr>
        <w:t>ėmimas</w:t>
      </w:r>
    </w:p>
    <w:p w14:paraId="4661F097" w14:textId="77777777" w:rsidR="002E4560" w:rsidRPr="0032192D" w:rsidRDefault="002E4560" w:rsidP="000D75BB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Nuovargis (</w:t>
      </w:r>
      <w:proofErr w:type="spellStart"/>
      <w:r w:rsidRPr="0032192D">
        <w:rPr>
          <w:snapToGrid/>
          <w:szCs w:val="22"/>
          <w:lang w:val="lt-LT"/>
        </w:rPr>
        <w:t>astenija</w:t>
      </w:r>
      <w:proofErr w:type="spellEnd"/>
      <w:r w:rsidRPr="0032192D">
        <w:rPr>
          <w:snapToGrid/>
          <w:szCs w:val="22"/>
          <w:lang w:val="lt-LT"/>
        </w:rPr>
        <w:t>)</w:t>
      </w:r>
    </w:p>
    <w:p w14:paraId="3657AF0B" w14:textId="77777777" w:rsidR="002E4560" w:rsidRPr="0032192D" w:rsidRDefault="002E4560" w:rsidP="002E456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CE2F8D5" w14:textId="77777777" w:rsidR="002E4560" w:rsidRPr="0032192D" w:rsidRDefault="000D75BB" w:rsidP="002E456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32192D">
        <w:rPr>
          <w:b/>
          <w:bCs/>
          <w:snapToGrid/>
          <w:szCs w:val="22"/>
          <w:lang w:val="lt-LT"/>
        </w:rPr>
        <w:t>Reti šalutinio poveikio reiškiniai (gali pasireikšti rečiau kaip 1 iš 1 000 asmenų</w:t>
      </w:r>
      <w:r w:rsidR="002E4560" w:rsidRPr="0032192D">
        <w:rPr>
          <w:b/>
          <w:bCs/>
          <w:snapToGrid/>
          <w:szCs w:val="22"/>
          <w:lang w:val="lt-LT"/>
        </w:rPr>
        <w:t>)</w:t>
      </w:r>
      <w:r w:rsidR="008B56A5">
        <w:rPr>
          <w:b/>
          <w:bCs/>
          <w:snapToGrid/>
          <w:szCs w:val="22"/>
          <w:lang w:val="lt-LT"/>
        </w:rPr>
        <w:t>:</w:t>
      </w:r>
    </w:p>
    <w:p w14:paraId="0A70FA4B" w14:textId="77777777" w:rsidR="002E4560" w:rsidRPr="0032192D" w:rsidRDefault="002E4560" w:rsidP="000D75BB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Dideli</w:t>
      </w:r>
      <w:r w:rsidR="000D75BB" w:rsidRPr="0032192D">
        <w:rPr>
          <w:snapToGrid/>
          <w:szCs w:val="22"/>
          <w:lang w:val="lt-LT"/>
        </w:rPr>
        <w:t>s</w:t>
      </w:r>
      <w:r w:rsidRPr="0032192D">
        <w:rPr>
          <w:snapToGrid/>
          <w:szCs w:val="22"/>
          <w:lang w:val="lt-LT"/>
        </w:rPr>
        <w:t xml:space="preserve"> kieki</w:t>
      </w:r>
      <w:r w:rsidR="000D75BB" w:rsidRPr="0032192D">
        <w:rPr>
          <w:snapToGrid/>
          <w:szCs w:val="22"/>
          <w:lang w:val="lt-LT"/>
        </w:rPr>
        <w:t>s</w:t>
      </w:r>
      <w:r w:rsidRPr="0032192D">
        <w:rPr>
          <w:snapToGrid/>
          <w:szCs w:val="22"/>
          <w:lang w:val="lt-LT"/>
        </w:rPr>
        <w:t xml:space="preserve"> sukietėjusių išmatų stor</w:t>
      </w:r>
      <w:r w:rsidR="000D75BB" w:rsidRPr="0032192D">
        <w:rPr>
          <w:snapToGrid/>
          <w:szCs w:val="22"/>
          <w:lang w:val="lt-LT"/>
        </w:rPr>
        <w:t>ojoje</w:t>
      </w:r>
      <w:r w:rsidRPr="0032192D">
        <w:rPr>
          <w:snapToGrid/>
          <w:szCs w:val="22"/>
          <w:lang w:val="lt-LT"/>
        </w:rPr>
        <w:t xml:space="preserve"> žarn</w:t>
      </w:r>
      <w:r w:rsidR="000D75BB" w:rsidRPr="0032192D">
        <w:rPr>
          <w:snapToGrid/>
          <w:szCs w:val="22"/>
          <w:lang w:val="lt-LT"/>
        </w:rPr>
        <w:t>oje</w:t>
      </w:r>
      <w:r w:rsidRPr="0032192D">
        <w:rPr>
          <w:snapToGrid/>
          <w:szCs w:val="22"/>
          <w:lang w:val="lt-LT"/>
        </w:rPr>
        <w:t xml:space="preserve"> (</w:t>
      </w:r>
      <w:r w:rsidR="000D75BB" w:rsidRPr="0032192D">
        <w:rPr>
          <w:snapToGrid/>
          <w:szCs w:val="22"/>
          <w:lang w:val="lt-LT"/>
        </w:rPr>
        <w:t>išmatų įstrigimas</w:t>
      </w:r>
      <w:r w:rsidRPr="0032192D">
        <w:rPr>
          <w:snapToGrid/>
          <w:szCs w:val="22"/>
          <w:lang w:val="lt-LT"/>
        </w:rPr>
        <w:t xml:space="preserve">), </w:t>
      </w:r>
      <w:r w:rsidR="000D75BB" w:rsidRPr="0032192D">
        <w:rPr>
          <w:snapToGrid/>
          <w:szCs w:val="22"/>
          <w:lang w:val="lt-LT"/>
        </w:rPr>
        <w:t>gaubtinės</w:t>
      </w:r>
      <w:r w:rsidRPr="0032192D">
        <w:rPr>
          <w:snapToGrid/>
          <w:szCs w:val="22"/>
          <w:lang w:val="lt-LT"/>
        </w:rPr>
        <w:t xml:space="preserve"> žarnos nepraeinamumas</w:t>
      </w:r>
    </w:p>
    <w:p w14:paraId="2B3ECCD7" w14:textId="77777777" w:rsidR="002E4560" w:rsidRPr="0032192D" w:rsidRDefault="000D75BB" w:rsidP="000D75BB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Alpulio pojūtis</w:t>
      </w:r>
      <w:r w:rsidR="002E4560" w:rsidRPr="0032192D">
        <w:rPr>
          <w:snapToGrid/>
          <w:szCs w:val="22"/>
          <w:lang w:val="lt-LT"/>
        </w:rPr>
        <w:t xml:space="preserve"> (sinkopė)</w:t>
      </w:r>
    </w:p>
    <w:p w14:paraId="2345136C" w14:textId="77777777" w:rsidR="00776FBE" w:rsidRPr="0032192D" w:rsidRDefault="002E4560" w:rsidP="000D75BB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Odos alergija, dėl kurios atsiranda </w:t>
      </w:r>
      <w:r w:rsidR="000D75BB" w:rsidRPr="0032192D">
        <w:rPr>
          <w:snapToGrid/>
          <w:szCs w:val="22"/>
          <w:lang w:val="lt-LT"/>
        </w:rPr>
        <w:t xml:space="preserve">iš karto po oda esančio audinio </w:t>
      </w:r>
      <w:r w:rsidRPr="0032192D">
        <w:rPr>
          <w:snapToGrid/>
          <w:szCs w:val="22"/>
          <w:lang w:val="lt-LT"/>
        </w:rPr>
        <w:t>patinima</w:t>
      </w:r>
      <w:r w:rsidR="000D75BB" w:rsidRPr="0032192D">
        <w:rPr>
          <w:snapToGrid/>
          <w:szCs w:val="22"/>
          <w:lang w:val="lt-LT"/>
        </w:rPr>
        <w:t xml:space="preserve">s </w:t>
      </w:r>
      <w:r w:rsidRPr="0032192D">
        <w:rPr>
          <w:snapToGrid/>
          <w:szCs w:val="22"/>
          <w:lang w:val="lt-LT"/>
        </w:rPr>
        <w:t>(angioneurozinė edema)</w:t>
      </w:r>
    </w:p>
    <w:p w14:paraId="2C06DC5E" w14:textId="77777777" w:rsidR="002E4560" w:rsidRPr="0032192D" w:rsidRDefault="002E4560" w:rsidP="002E456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1E40DC97" w14:textId="77777777" w:rsidR="002E4560" w:rsidRPr="0032192D" w:rsidRDefault="00522F9B" w:rsidP="002E456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32192D">
        <w:rPr>
          <w:b/>
          <w:bCs/>
          <w:snapToGrid/>
          <w:szCs w:val="22"/>
          <w:lang w:val="lt-LT"/>
        </w:rPr>
        <w:t>Labai reti šalutinio poveikio reiškiniai (gali pasireikšti rečiau kaip 1 iš 10 000 </w:t>
      </w:r>
      <w:r w:rsidR="008B56A5">
        <w:rPr>
          <w:b/>
          <w:bCs/>
          <w:snapToGrid/>
          <w:szCs w:val="22"/>
          <w:lang w:val="lt-LT"/>
        </w:rPr>
        <w:t>asmenų</w:t>
      </w:r>
      <w:r w:rsidR="002E4560" w:rsidRPr="0032192D">
        <w:rPr>
          <w:b/>
          <w:bCs/>
          <w:snapToGrid/>
          <w:szCs w:val="22"/>
          <w:lang w:val="lt-LT"/>
        </w:rPr>
        <w:t>)</w:t>
      </w:r>
      <w:r w:rsidR="008B56A5">
        <w:rPr>
          <w:b/>
          <w:bCs/>
          <w:snapToGrid/>
          <w:szCs w:val="22"/>
          <w:lang w:val="lt-LT"/>
        </w:rPr>
        <w:t>:</w:t>
      </w:r>
    </w:p>
    <w:p w14:paraId="395B498C" w14:textId="77777777" w:rsidR="002E4560" w:rsidRPr="0032192D" w:rsidRDefault="002E4560" w:rsidP="00C1136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lastRenderedPageBreak/>
        <w:t xml:space="preserve">Haliucinacijos, </w:t>
      </w:r>
      <w:r w:rsidR="00452F86" w:rsidRPr="0032192D">
        <w:rPr>
          <w:snapToGrid/>
          <w:szCs w:val="22"/>
          <w:lang w:val="lt-LT"/>
        </w:rPr>
        <w:t>minčių susipainiojimas</w:t>
      </w:r>
    </w:p>
    <w:p w14:paraId="7E215EA4" w14:textId="77777777" w:rsidR="002E4560" w:rsidRPr="0032192D" w:rsidRDefault="002E4560" w:rsidP="00C1136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Alerginė odos reakcija (daugiaformė eritema)</w:t>
      </w:r>
    </w:p>
    <w:p w14:paraId="6138B129" w14:textId="77777777" w:rsidR="002E4560" w:rsidRPr="0032192D" w:rsidRDefault="002E4560" w:rsidP="00C1136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Ilgai trunkanti ir skausminga erekcija (paprastai ne lytinės veiklos metu) (</w:t>
      </w:r>
      <w:proofErr w:type="spellStart"/>
      <w:r w:rsidRPr="0032192D">
        <w:rPr>
          <w:snapToGrid/>
          <w:szCs w:val="22"/>
          <w:lang w:val="lt-LT"/>
        </w:rPr>
        <w:t>priapizmas</w:t>
      </w:r>
      <w:proofErr w:type="spellEnd"/>
      <w:r w:rsidRPr="0032192D">
        <w:rPr>
          <w:snapToGrid/>
          <w:szCs w:val="22"/>
          <w:lang w:val="lt-LT"/>
        </w:rPr>
        <w:t>)</w:t>
      </w:r>
    </w:p>
    <w:p w14:paraId="56F16E33" w14:textId="77777777" w:rsidR="002E4560" w:rsidRPr="0032192D" w:rsidRDefault="002E4560" w:rsidP="00C1136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Odos ir (arba) lūpų, akių, burnos, nosies ar lytinių organų gleivinės </w:t>
      </w:r>
      <w:r w:rsidR="00452F86" w:rsidRPr="0032192D">
        <w:rPr>
          <w:snapToGrid/>
          <w:szCs w:val="22"/>
          <w:lang w:val="lt-LT"/>
        </w:rPr>
        <w:t>iš</w:t>
      </w:r>
      <w:r w:rsidRPr="0032192D">
        <w:rPr>
          <w:snapToGrid/>
          <w:szCs w:val="22"/>
          <w:lang w:val="lt-LT"/>
        </w:rPr>
        <w:t>bėrimas, uždegimas ir pūslių susidarymas (</w:t>
      </w:r>
      <w:proofErr w:type="spellStart"/>
      <w:r w:rsidRPr="0032192D">
        <w:rPr>
          <w:snapToGrid/>
          <w:szCs w:val="22"/>
          <w:lang w:val="lt-LT"/>
        </w:rPr>
        <w:t>Stivenso</w:t>
      </w:r>
      <w:proofErr w:type="spellEnd"/>
      <w:r w:rsidRPr="0032192D">
        <w:rPr>
          <w:snapToGrid/>
          <w:szCs w:val="22"/>
          <w:lang w:val="lt-LT"/>
        </w:rPr>
        <w:t>-Džonsono sindromas)</w:t>
      </w:r>
    </w:p>
    <w:p w14:paraId="071D817C" w14:textId="77777777" w:rsidR="002E4560" w:rsidRPr="0032192D" w:rsidRDefault="002E4560" w:rsidP="002E456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11FD1531" w14:textId="77777777" w:rsidR="002E4560" w:rsidRPr="0032192D" w:rsidRDefault="00C1136A" w:rsidP="002E456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32192D">
        <w:rPr>
          <w:b/>
          <w:bCs/>
          <w:snapToGrid/>
          <w:szCs w:val="22"/>
          <w:lang w:val="lt-LT"/>
        </w:rPr>
        <w:t>Šalutinio poveikio reiškiniai, kurių dažnis nežinomas (negali būti apskaičiuotas pagal turimus duomenis</w:t>
      </w:r>
      <w:r w:rsidR="002E4560" w:rsidRPr="0032192D">
        <w:rPr>
          <w:b/>
          <w:bCs/>
          <w:snapToGrid/>
          <w:szCs w:val="22"/>
          <w:lang w:val="lt-LT"/>
        </w:rPr>
        <w:t>)</w:t>
      </w:r>
      <w:r w:rsidR="008B56A5">
        <w:rPr>
          <w:b/>
          <w:bCs/>
          <w:snapToGrid/>
          <w:szCs w:val="22"/>
          <w:lang w:val="lt-LT"/>
        </w:rPr>
        <w:t>:</w:t>
      </w:r>
    </w:p>
    <w:p w14:paraId="3522B38C" w14:textId="77777777" w:rsidR="002E4560" w:rsidRPr="0032192D" w:rsidRDefault="002E4560" w:rsidP="00C1136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Sumažėjęs apetitas</w:t>
      </w:r>
    </w:p>
    <w:p w14:paraId="0F4EC4EC" w14:textId="77777777" w:rsidR="002E4560" w:rsidRPr="0032192D" w:rsidRDefault="002E4560" w:rsidP="00C1136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Didelis kalio kiekis kraujyje (</w:t>
      </w:r>
      <w:proofErr w:type="spellStart"/>
      <w:r w:rsidRPr="0032192D">
        <w:rPr>
          <w:snapToGrid/>
          <w:szCs w:val="22"/>
          <w:lang w:val="lt-LT"/>
        </w:rPr>
        <w:t>hiperkalemija</w:t>
      </w:r>
      <w:proofErr w:type="spellEnd"/>
      <w:r w:rsidRPr="0032192D">
        <w:rPr>
          <w:snapToGrid/>
          <w:szCs w:val="22"/>
          <w:lang w:val="lt-LT"/>
        </w:rPr>
        <w:t>), galintis sukelti širdies ritmo sutrikim</w:t>
      </w:r>
      <w:r w:rsidR="003765E3" w:rsidRPr="0032192D">
        <w:rPr>
          <w:snapToGrid/>
          <w:szCs w:val="22"/>
          <w:lang w:val="lt-LT"/>
        </w:rPr>
        <w:t>ų</w:t>
      </w:r>
    </w:p>
    <w:p w14:paraId="5BE55B03" w14:textId="77777777" w:rsidR="002E4560" w:rsidRPr="0032192D" w:rsidRDefault="002E4560" w:rsidP="00C1136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Padidėjęs </w:t>
      </w:r>
      <w:r w:rsidR="003765E3" w:rsidRPr="0032192D">
        <w:rPr>
          <w:snapToGrid/>
          <w:szCs w:val="22"/>
          <w:lang w:val="lt-LT"/>
        </w:rPr>
        <w:t>akispūdis</w:t>
      </w:r>
      <w:r w:rsidRPr="0032192D">
        <w:rPr>
          <w:snapToGrid/>
          <w:szCs w:val="22"/>
          <w:lang w:val="lt-LT"/>
        </w:rPr>
        <w:t xml:space="preserve"> (glaukoma)</w:t>
      </w:r>
    </w:p>
    <w:p w14:paraId="08E174A9" w14:textId="77777777" w:rsidR="002E4560" w:rsidRPr="0032192D" w:rsidRDefault="003765E3" w:rsidP="00C1136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Neritmiškas</w:t>
      </w:r>
      <w:r w:rsidR="002E4560" w:rsidRPr="0032192D">
        <w:rPr>
          <w:snapToGrid/>
          <w:szCs w:val="22"/>
          <w:lang w:val="lt-LT"/>
        </w:rPr>
        <w:t xml:space="preserve"> ar neįprastas širdies </w:t>
      </w:r>
      <w:r w:rsidRPr="0032192D">
        <w:rPr>
          <w:snapToGrid/>
          <w:szCs w:val="22"/>
          <w:lang w:val="lt-LT"/>
        </w:rPr>
        <w:t>plakimas</w:t>
      </w:r>
      <w:r w:rsidR="002E4560" w:rsidRPr="0032192D">
        <w:rPr>
          <w:snapToGrid/>
          <w:szCs w:val="22"/>
          <w:lang w:val="lt-LT"/>
        </w:rPr>
        <w:t xml:space="preserve"> (QT </w:t>
      </w:r>
      <w:r w:rsidRPr="0032192D">
        <w:rPr>
          <w:snapToGrid/>
          <w:szCs w:val="22"/>
          <w:lang w:val="lt-LT"/>
        </w:rPr>
        <w:t xml:space="preserve">intervalo </w:t>
      </w:r>
      <w:r w:rsidR="002E4560" w:rsidRPr="0032192D">
        <w:rPr>
          <w:snapToGrid/>
          <w:szCs w:val="22"/>
          <w:lang w:val="lt-LT"/>
        </w:rPr>
        <w:t xml:space="preserve">pailgėjimas, </w:t>
      </w:r>
      <w:proofErr w:type="spellStart"/>
      <w:r w:rsidRPr="0032192D">
        <w:rPr>
          <w:snapToGrid/>
          <w:szCs w:val="22"/>
          <w:lang w:val="lt-LT"/>
        </w:rPr>
        <w:t>paroksizminė</w:t>
      </w:r>
      <w:proofErr w:type="spellEnd"/>
      <w:r w:rsidRPr="0032192D">
        <w:rPr>
          <w:snapToGrid/>
          <w:szCs w:val="22"/>
          <w:lang w:val="lt-LT"/>
        </w:rPr>
        <w:t xml:space="preserve"> </w:t>
      </w:r>
      <w:proofErr w:type="spellStart"/>
      <w:r w:rsidRPr="0032192D">
        <w:rPr>
          <w:snapToGrid/>
          <w:szCs w:val="22"/>
          <w:lang w:val="lt-LT"/>
        </w:rPr>
        <w:t>polimorfinė</w:t>
      </w:r>
      <w:proofErr w:type="spellEnd"/>
      <w:r w:rsidRPr="0032192D">
        <w:rPr>
          <w:snapToGrid/>
          <w:szCs w:val="22"/>
          <w:lang w:val="lt-LT"/>
        </w:rPr>
        <w:t xml:space="preserve"> </w:t>
      </w:r>
      <w:proofErr w:type="spellStart"/>
      <w:r w:rsidRPr="0032192D">
        <w:rPr>
          <w:snapToGrid/>
          <w:szCs w:val="22"/>
          <w:lang w:val="lt-LT"/>
        </w:rPr>
        <w:t>skilvelinė</w:t>
      </w:r>
      <w:proofErr w:type="spellEnd"/>
      <w:r w:rsidRPr="0032192D">
        <w:rPr>
          <w:snapToGrid/>
          <w:szCs w:val="22"/>
          <w:lang w:val="lt-LT"/>
        </w:rPr>
        <w:t xml:space="preserve"> </w:t>
      </w:r>
      <w:proofErr w:type="spellStart"/>
      <w:r w:rsidRPr="0032192D">
        <w:rPr>
          <w:snapToGrid/>
          <w:szCs w:val="22"/>
          <w:lang w:val="lt-LT"/>
        </w:rPr>
        <w:t>tachikardija</w:t>
      </w:r>
      <w:proofErr w:type="spellEnd"/>
      <w:r w:rsidR="002E4560" w:rsidRPr="0032192D">
        <w:rPr>
          <w:snapToGrid/>
          <w:szCs w:val="22"/>
          <w:lang w:val="lt-LT"/>
        </w:rPr>
        <w:t>, prieširdžių virpėjimas, aritmija)</w:t>
      </w:r>
    </w:p>
    <w:p w14:paraId="4C452074" w14:textId="77777777" w:rsidR="002E4560" w:rsidRPr="0032192D" w:rsidRDefault="003765E3" w:rsidP="00C1136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Dažnesnis</w:t>
      </w:r>
      <w:r w:rsidR="002E4560" w:rsidRPr="0032192D">
        <w:rPr>
          <w:snapToGrid/>
          <w:szCs w:val="22"/>
          <w:lang w:val="lt-LT"/>
        </w:rPr>
        <w:t xml:space="preserve"> širdies plakimas (tachikardija)</w:t>
      </w:r>
    </w:p>
    <w:p w14:paraId="12FAF0AA" w14:textId="77777777" w:rsidR="002E4560" w:rsidRPr="0032192D" w:rsidRDefault="002E4560" w:rsidP="00C1136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Dusulys (</w:t>
      </w:r>
      <w:proofErr w:type="spellStart"/>
      <w:r w:rsidR="003765E3" w:rsidRPr="0032192D">
        <w:rPr>
          <w:snapToGrid/>
          <w:szCs w:val="22"/>
          <w:lang w:val="lt-LT"/>
        </w:rPr>
        <w:t>dispnėja</w:t>
      </w:r>
      <w:proofErr w:type="spellEnd"/>
      <w:r w:rsidRPr="0032192D">
        <w:rPr>
          <w:snapToGrid/>
          <w:szCs w:val="22"/>
          <w:lang w:val="lt-LT"/>
        </w:rPr>
        <w:t>)</w:t>
      </w:r>
    </w:p>
    <w:p w14:paraId="3FEF5A29" w14:textId="77777777" w:rsidR="002E4560" w:rsidRPr="0032192D" w:rsidRDefault="002E4560" w:rsidP="00C1136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Akies operacijos dėl lęšiuko </w:t>
      </w:r>
      <w:proofErr w:type="spellStart"/>
      <w:r w:rsidRPr="0032192D">
        <w:rPr>
          <w:snapToGrid/>
          <w:szCs w:val="22"/>
          <w:lang w:val="lt-LT"/>
        </w:rPr>
        <w:t>drumstumo</w:t>
      </w:r>
      <w:proofErr w:type="spellEnd"/>
      <w:r w:rsidRPr="0032192D">
        <w:rPr>
          <w:snapToGrid/>
          <w:szCs w:val="22"/>
          <w:lang w:val="lt-LT"/>
        </w:rPr>
        <w:t xml:space="preserve"> (kataraktos) arba padidėjusio akispūdžio (glaukomos) metu akies vyzdys (juodas apskritimas akies viduryje) gali nepadidėti taip, kaip reikia. Be to, operacijos metu rainelė (spalvotoji akies dalis) gali </w:t>
      </w:r>
      <w:r w:rsidR="003765E3" w:rsidRPr="0032192D">
        <w:rPr>
          <w:snapToGrid/>
          <w:szCs w:val="22"/>
          <w:lang w:val="lt-LT"/>
        </w:rPr>
        <w:t>suglebti</w:t>
      </w:r>
      <w:r w:rsidRPr="0032192D">
        <w:rPr>
          <w:snapToGrid/>
          <w:szCs w:val="22"/>
          <w:lang w:val="lt-LT"/>
        </w:rPr>
        <w:t>.</w:t>
      </w:r>
    </w:p>
    <w:p w14:paraId="5C62BDC5" w14:textId="77777777" w:rsidR="002E4560" w:rsidRPr="0032192D" w:rsidRDefault="002E4560" w:rsidP="00C1136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Balso sutrikimas</w:t>
      </w:r>
    </w:p>
    <w:p w14:paraId="53171777" w14:textId="77777777" w:rsidR="002E4560" w:rsidRPr="0032192D" w:rsidRDefault="002E4560" w:rsidP="00C1136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Kepenų sutrikimas</w:t>
      </w:r>
    </w:p>
    <w:p w14:paraId="37EC1576" w14:textId="77777777" w:rsidR="002E4560" w:rsidRPr="0032192D" w:rsidRDefault="002E4560" w:rsidP="00C1136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Raumenų silpnumas</w:t>
      </w:r>
    </w:p>
    <w:p w14:paraId="7700128D" w14:textId="77777777" w:rsidR="002E4560" w:rsidRPr="0032192D" w:rsidRDefault="002E4560" w:rsidP="00C1136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Inkstų sutrikimas</w:t>
      </w:r>
    </w:p>
    <w:p w14:paraId="58D49E63" w14:textId="77777777" w:rsidR="002E4560" w:rsidRPr="0032192D" w:rsidRDefault="002E4560" w:rsidP="00C1136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Sutrikęs regėjimas</w:t>
      </w:r>
    </w:p>
    <w:p w14:paraId="6FCD1CD8" w14:textId="77777777" w:rsidR="002E4560" w:rsidRPr="0032192D" w:rsidRDefault="002E4560" w:rsidP="00C1136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Kraujavimas iš nosies (</w:t>
      </w:r>
      <w:proofErr w:type="spellStart"/>
      <w:r w:rsidRPr="0032192D">
        <w:rPr>
          <w:snapToGrid/>
          <w:szCs w:val="22"/>
          <w:lang w:val="lt-LT"/>
        </w:rPr>
        <w:t>epista</w:t>
      </w:r>
      <w:r w:rsidR="003765E3" w:rsidRPr="0032192D">
        <w:rPr>
          <w:snapToGrid/>
          <w:szCs w:val="22"/>
          <w:lang w:val="lt-LT"/>
        </w:rPr>
        <w:t>ksė</w:t>
      </w:r>
      <w:proofErr w:type="spellEnd"/>
      <w:r w:rsidRPr="0032192D">
        <w:rPr>
          <w:snapToGrid/>
          <w:szCs w:val="22"/>
          <w:lang w:val="lt-LT"/>
        </w:rPr>
        <w:t>)</w:t>
      </w:r>
    </w:p>
    <w:p w14:paraId="2AD8855A" w14:textId="77777777" w:rsidR="002E4560" w:rsidRPr="0032192D" w:rsidRDefault="002E4560" w:rsidP="00C1136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proofErr w:type="spellStart"/>
      <w:r w:rsidRPr="0032192D">
        <w:rPr>
          <w:snapToGrid/>
          <w:szCs w:val="22"/>
          <w:lang w:val="lt-LT"/>
        </w:rPr>
        <w:t>Delyras</w:t>
      </w:r>
      <w:proofErr w:type="spellEnd"/>
    </w:p>
    <w:p w14:paraId="4F80A356" w14:textId="77777777" w:rsidR="002E4560" w:rsidRPr="0032192D" w:rsidRDefault="002E4560" w:rsidP="00C1136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Žarnyno sutrikimas (</w:t>
      </w:r>
      <w:r w:rsidR="003765E3" w:rsidRPr="0032192D">
        <w:rPr>
          <w:snapToGrid/>
          <w:szCs w:val="22"/>
          <w:lang w:val="lt-LT"/>
        </w:rPr>
        <w:t>nepraeinamumas</w:t>
      </w:r>
      <w:r w:rsidRPr="0032192D">
        <w:rPr>
          <w:snapToGrid/>
          <w:szCs w:val="22"/>
          <w:lang w:val="lt-LT"/>
        </w:rPr>
        <w:t>)</w:t>
      </w:r>
    </w:p>
    <w:p w14:paraId="15070BB0" w14:textId="77777777" w:rsidR="002E4560" w:rsidRPr="0032192D" w:rsidRDefault="003765E3" w:rsidP="00C1136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Nemalonus pojūtis </w:t>
      </w:r>
      <w:r w:rsidR="002E4560" w:rsidRPr="0032192D">
        <w:rPr>
          <w:snapToGrid/>
          <w:szCs w:val="22"/>
          <w:lang w:val="lt-LT"/>
        </w:rPr>
        <w:t>pilve</w:t>
      </w:r>
    </w:p>
    <w:p w14:paraId="4A581290" w14:textId="77777777" w:rsidR="002E4560" w:rsidRPr="0032192D" w:rsidRDefault="002E4560" w:rsidP="00C1136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 xml:space="preserve">Sunki odos alergija, </w:t>
      </w:r>
      <w:r w:rsidR="00B91F59" w:rsidRPr="0032192D">
        <w:rPr>
          <w:snapToGrid/>
          <w:szCs w:val="22"/>
          <w:lang w:val="lt-LT"/>
        </w:rPr>
        <w:t>sukelianti odos lupimąsi</w:t>
      </w:r>
      <w:r w:rsidRPr="0032192D">
        <w:rPr>
          <w:snapToGrid/>
          <w:szCs w:val="22"/>
          <w:lang w:val="lt-LT"/>
        </w:rPr>
        <w:t xml:space="preserve"> (</w:t>
      </w:r>
      <w:proofErr w:type="spellStart"/>
      <w:r w:rsidRPr="0032192D">
        <w:rPr>
          <w:snapToGrid/>
          <w:szCs w:val="22"/>
          <w:lang w:val="lt-LT"/>
        </w:rPr>
        <w:t>eksfoliacinis</w:t>
      </w:r>
      <w:proofErr w:type="spellEnd"/>
      <w:r w:rsidRPr="0032192D">
        <w:rPr>
          <w:snapToGrid/>
          <w:szCs w:val="22"/>
          <w:lang w:val="lt-LT"/>
        </w:rPr>
        <w:t xml:space="preserve"> dermatitas)</w:t>
      </w:r>
    </w:p>
    <w:p w14:paraId="2FCCFDEC" w14:textId="77777777" w:rsidR="002E4560" w:rsidRPr="0032192D" w:rsidRDefault="002E4560" w:rsidP="002E456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63617E1" w14:textId="77777777" w:rsidR="00776FBE" w:rsidRPr="0032192D" w:rsidRDefault="00776FBE" w:rsidP="00AB3C1A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b/>
          <w:snapToGrid/>
          <w:szCs w:val="22"/>
          <w:lang w:val="lt-LT"/>
        </w:rPr>
      </w:pPr>
      <w:r w:rsidRPr="0032192D">
        <w:rPr>
          <w:rFonts w:eastAsia="Calibri"/>
          <w:b/>
          <w:snapToGrid/>
          <w:szCs w:val="22"/>
          <w:lang w:val="lt-LT"/>
        </w:rPr>
        <w:t>Pranešimas apie šalutinį poveikį</w:t>
      </w:r>
    </w:p>
    <w:p w14:paraId="443F0813" w14:textId="1D02A0A9" w:rsidR="00776FBE" w:rsidRPr="00555B63" w:rsidRDefault="00776FBE" w:rsidP="00AB3C1A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snapToGrid/>
          <w:szCs w:val="22"/>
          <w:lang w:val="lt-LT"/>
        </w:rPr>
      </w:pPr>
      <w:r w:rsidRPr="0032192D">
        <w:rPr>
          <w:rFonts w:eastAsia="Calibri"/>
          <w:snapToGrid/>
          <w:szCs w:val="22"/>
          <w:lang w:val="lt-LT"/>
        </w:rPr>
        <w:t xml:space="preserve">Jeigu pasireiškė šalutinis poveikis, įskaitant šiame lapelyje nenurodytą, pasakykite gydytojui </w:t>
      </w:r>
      <w:r w:rsidR="004633B9" w:rsidRPr="0032192D">
        <w:rPr>
          <w:rFonts w:eastAsia="Calibri"/>
          <w:snapToGrid/>
          <w:szCs w:val="22"/>
          <w:lang w:val="lt-LT"/>
        </w:rPr>
        <w:t xml:space="preserve">arba </w:t>
      </w:r>
      <w:r w:rsidRPr="0032192D">
        <w:rPr>
          <w:rFonts w:eastAsia="Calibri"/>
          <w:snapToGrid/>
          <w:szCs w:val="22"/>
          <w:lang w:val="lt-LT"/>
        </w:rPr>
        <w:t xml:space="preserve">vaistininkui. </w:t>
      </w:r>
      <w:r w:rsidR="00555B63" w:rsidRPr="00FC4B7F">
        <w:rPr>
          <w:rFonts w:asciiTheme="majorBidi" w:hAnsiTheme="majorBidi" w:cstheme="majorBidi"/>
          <w:noProof/>
          <w:lang w:val="lt-LT"/>
        </w:rPr>
        <w:t xml:space="preserve"> Pranešimą apie šalutinį poveikį galite užpildyti ir pateikti Valstybinės vaistų kontrolės tarnybos prie Lietuvos Respublikos sveikatos apsaugos ministerijos tinklalapyje </w:t>
      </w:r>
      <w:hyperlink r:id="rId10" w:history="1">
        <w:r w:rsidR="00555B63" w:rsidRPr="00C46815">
          <w:rPr>
            <w:rStyle w:val="Hipersaitas"/>
            <w:rFonts w:asciiTheme="majorBidi" w:hAnsiTheme="majorBidi" w:cstheme="majorBidi"/>
            <w:noProof/>
            <w:lang w:val="lt-LT"/>
          </w:rPr>
          <w:t>https://vvkt.lrv.lt/lt</w:t>
        </w:r>
      </w:hyperlink>
      <w:r w:rsidR="00555B63" w:rsidRPr="00FC4B7F">
        <w:rPr>
          <w:rFonts w:asciiTheme="majorBidi" w:hAnsiTheme="majorBidi" w:cstheme="majorBidi"/>
          <w:noProof/>
          <w:lang w:val="lt-LT"/>
        </w:rPr>
        <w:t>/ nurodytais būdais arba paskambinti nemokamu telefonu 8 800 73 568. Pranešdami apie šalutinį poveikį galite mums padėti gauti daugiau informacijos apie šio vaisto saugumą</w:t>
      </w:r>
      <w:r w:rsidR="00555B63">
        <w:rPr>
          <w:rFonts w:asciiTheme="majorBidi" w:hAnsiTheme="majorBidi" w:cstheme="majorBidi"/>
          <w:noProof/>
          <w:lang w:val="lt-LT"/>
        </w:rPr>
        <w:t>.</w:t>
      </w:r>
    </w:p>
    <w:p w14:paraId="4125ABFA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4"/>
          <w:lang w:val="lt-LT"/>
        </w:rPr>
      </w:pPr>
    </w:p>
    <w:p w14:paraId="5D435EF3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7C9E74E7" w14:textId="43B13C2E" w:rsidR="00776FBE" w:rsidRPr="0032192D" w:rsidRDefault="00C10C0A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32192D">
        <w:rPr>
          <w:b/>
          <w:snapToGrid/>
          <w:szCs w:val="22"/>
          <w:lang w:val="lt-LT"/>
        </w:rPr>
        <w:t>5.</w:t>
      </w:r>
      <w:r w:rsidRPr="0032192D">
        <w:rPr>
          <w:b/>
          <w:snapToGrid/>
          <w:szCs w:val="22"/>
          <w:lang w:val="lt-LT"/>
        </w:rPr>
        <w:tab/>
        <w:t xml:space="preserve">Kaip laikyti </w:t>
      </w:r>
      <w:proofErr w:type="spellStart"/>
      <w:r w:rsidR="00FB1F51">
        <w:rPr>
          <w:b/>
          <w:snapToGrid/>
          <w:szCs w:val="22"/>
          <w:lang w:val="lt-LT"/>
        </w:rPr>
        <w:t>Solitombo</w:t>
      </w:r>
      <w:proofErr w:type="spellEnd"/>
    </w:p>
    <w:p w14:paraId="65F7BFF2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6C8B94D5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Šį vaistą laikykite vaikams nepastebimoje ir nepasiekiamoje vietoje.</w:t>
      </w:r>
    </w:p>
    <w:p w14:paraId="41D99B20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5420FC41" w14:textId="08551B09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r w:rsidRPr="0032192D">
        <w:rPr>
          <w:iCs/>
          <w:snapToGrid/>
          <w:szCs w:val="22"/>
          <w:lang w:val="lt-LT"/>
        </w:rPr>
        <w:t>Ant dėžutės ir lizdinės plokštelės po „EXP“ nurodytam tinkamumo laikui pasibaigus, šio vaisto vartoti negalima. Vaistas tinkamas vartoti iki paskutinės nurodyto mėnesio dienos.</w:t>
      </w:r>
    </w:p>
    <w:p w14:paraId="107A3D75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3C945DF0" w14:textId="77777777" w:rsidR="00360F0D" w:rsidRPr="0032192D" w:rsidRDefault="00360F0D" w:rsidP="00360F0D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 xml:space="preserve">Šiam </w:t>
      </w:r>
      <w:r w:rsidR="00572DB6" w:rsidRPr="0032192D">
        <w:rPr>
          <w:rFonts w:eastAsia="TimesNewRoman"/>
          <w:snapToGrid/>
          <w:szCs w:val="22"/>
          <w:lang w:val="lt-LT"/>
        </w:rPr>
        <w:t>vaistui</w:t>
      </w:r>
      <w:r w:rsidRPr="0032192D">
        <w:rPr>
          <w:rFonts w:eastAsia="TimesNewRoman"/>
          <w:snapToGrid/>
          <w:szCs w:val="22"/>
          <w:lang w:val="lt-LT"/>
        </w:rPr>
        <w:t xml:space="preserve"> specialių laikymo sąlygų nereikia.</w:t>
      </w:r>
    </w:p>
    <w:p w14:paraId="22E48F04" w14:textId="77777777" w:rsidR="00D73032" w:rsidRPr="0032192D" w:rsidRDefault="00D73032" w:rsidP="00AB3C1A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354F433A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32192D">
        <w:rPr>
          <w:snapToGrid/>
          <w:szCs w:val="22"/>
          <w:lang w:val="lt-LT"/>
        </w:rPr>
        <w:t>Vaistų negalima išmesti į kanalizaciją arba su buitinėmis</w:t>
      </w:r>
      <w:r w:rsidRPr="0032192D">
        <w:rPr>
          <w:snapToGrid/>
          <w:color w:val="993366"/>
          <w:szCs w:val="22"/>
          <w:lang w:val="lt-LT"/>
        </w:rPr>
        <w:t xml:space="preserve"> </w:t>
      </w:r>
      <w:r w:rsidRPr="0032192D">
        <w:rPr>
          <w:snapToGrid/>
          <w:szCs w:val="22"/>
          <w:lang w:val="lt-LT"/>
        </w:rPr>
        <w:t>atliekomis. Kaip išmesti nereikalingus vaistus, klauskite vaistininko. Šios priemonės padės apsaugoti aplinką.</w:t>
      </w:r>
    </w:p>
    <w:p w14:paraId="3CD2D971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7FECA7ED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34F3342C" w14:textId="77777777" w:rsidR="00776FBE" w:rsidRPr="0032192D" w:rsidRDefault="00C10C0A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32192D">
        <w:rPr>
          <w:b/>
          <w:snapToGrid/>
          <w:szCs w:val="22"/>
          <w:lang w:val="lt-LT"/>
        </w:rPr>
        <w:t>6.</w:t>
      </w:r>
      <w:r w:rsidRPr="0032192D">
        <w:rPr>
          <w:b/>
          <w:snapToGrid/>
          <w:szCs w:val="22"/>
          <w:lang w:val="lt-LT"/>
        </w:rPr>
        <w:tab/>
        <w:t>Pakuotės turinys ir kita informacija</w:t>
      </w:r>
    </w:p>
    <w:p w14:paraId="7125463C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E046C39" w14:textId="6501C94E" w:rsidR="00776FBE" w:rsidRPr="0032192D" w:rsidRDefault="00FB1F51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u w:val="single"/>
          <w:lang w:val="lt-LT"/>
        </w:rPr>
      </w:pPr>
      <w:proofErr w:type="spellStart"/>
      <w:r>
        <w:rPr>
          <w:b/>
          <w:bCs/>
          <w:snapToGrid/>
          <w:szCs w:val="22"/>
          <w:lang w:val="lt-LT"/>
        </w:rPr>
        <w:t>Solitombo</w:t>
      </w:r>
      <w:proofErr w:type="spellEnd"/>
      <w:r w:rsidR="00776FBE" w:rsidRPr="0032192D">
        <w:rPr>
          <w:b/>
          <w:bCs/>
          <w:snapToGrid/>
          <w:szCs w:val="22"/>
          <w:lang w:val="lt-LT"/>
        </w:rPr>
        <w:t xml:space="preserve"> sudėtis</w:t>
      </w:r>
    </w:p>
    <w:p w14:paraId="4AB8AD6F" w14:textId="77777777" w:rsidR="00AE38FD" w:rsidRPr="008B56A5" w:rsidRDefault="00776FBE" w:rsidP="00E051C9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B56A5">
        <w:rPr>
          <w:rFonts w:eastAsia="TimesNewRoman"/>
          <w:snapToGrid/>
          <w:szCs w:val="22"/>
          <w:lang w:val="lt-LT"/>
        </w:rPr>
        <w:t>Veiklio</w:t>
      </w:r>
      <w:r w:rsidR="00416E4C" w:rsidRPr="008B56A5">
        <w:rPr>
          <w:rFonts w:eastAsia="TimesNewRoman"/>
          <w:snapToGrid/>
          <w:szCs w:val="22"/>
          <w:lang w:val="lt-LT"/>
        </w:rPr>
        <w:t>sios</w:t>
      </w:r>
      <w:r w:rsidRPr="008B56A5">
        <w:rPr>
          <w:rFonts w:eastAsia="TimesNewRoman"/>
          <w:snapToGrid/>
          <w:szCs w:val="22"/>
          <w:lang w:val="lt-LT"/>
        </w:rPr>
        <w:t xml:space="preserve"> medžiag</w:t>
      </w:r>
      <w:r w:rsidR="00416E4C" w:rsidRPr="008B56A5">
        <w:rPr>
          <w:rFonts w:eastAsia="TimesNewRoman"/>
          <w:snapToGrid/>
          <w:szCs w:val="22"/>
          <w:lang w:val="lt-LT"/>
        </w:rPr>
        <w:t>os yra</w:t>
      </w:r>
      <w:r w:rsidRPr="008B56A5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16E4C" w:rsidRPr="008B56A5">
        <w:rPr>
          <w:rFonts w:eastAsia="TimesNewRoman"/>
          <w:snapToGrid/>
          <w:szCs w:val="22"/>
          <w:lang w:val="lt-LT"/>
        </w:rPr>
        <w:t>solifenacino</w:t>
      </w:r>
      <w:proofErr w:type="spellEnd"/>
      <w:r w:rsidR="00416E4C" w:rsidRPr="008B56A5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416E4C" w:rsidRPr="008B56A5">
        <w:rPr>
          <w:rFonts w:eastAsia="TimesNewRoman"/>
          <w:snapToGrid/>
          <w:szCs w:val="22"/>
          <w:lang w:val="lt-LT"/>
        </w:rPr>
        <w:t>sukcinatas</w:t>
      </w:r>
      <w:proofErr w:type="spellEnd"/>
      <w:r w:rsidR="00416E4C" w:rsidRPr="008B56A5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="00416E4C" w:rsidRPr="008B56A5">
        <w:rPr>
          <w:rFonts w:eastAsia="TimesNewRoman"/>
          <w:snapToGrid/>
          <w:szCs w:val="22"/>
          <w:lang w:val="lt-LT"/>
        </w:rPr>
        <w:t>tamsulozino</w:t>
      </w:r>
      <w:proofErr w:type="spellEnd"/>
      <w:r w:rsidR="00416E4C" w:rsidRPr="008B56A5">
        <w:rPr>
          <w:rFonts w:eastAsia="TimesNewRoman"/>
          <w:snapToGrid/>
          <w:szCs w:val="22"/>
          <w:lang w:val="lt-LT"/>
        </w:rPr>
        <w:t xml:space="preserve"> hidrochloridas</w:t>
      </w:r>
      <w:r w:rsidRPr="008B56A5">
        <w:rPr>
          <w:rFonts w:eastAsia="TimesNewRoman"/>
          <w:snapToGrid/>
          <w:szCs w:val="22"/>
          <w:lang w:val="lt-LT"/>
        </w:rPr>
        <w:t>.</w:t>
      </w:r>
      <w:r w:rsidR="008B56A5">
        <w:rPr>
          <w:rFonts w:eastAsia="TimesNewRoman"/>
          <w:snapToGrid/>
          <w:szCs w:val="22"/>
          <w:lang w:val="lt-LT"/>
        </w:rPr>
        <w:t xml:space="preserve"> </w:t>
      </w:r>
      <w:r w:rsidR="00AE38FD" w:rsidRPr="008B56A5">
        <w:rPr>
          <w:snapToGrid/>
          <w:szCs w:val="22"/>
          <w:lang w:val="lt-LT"/>
        </w:rPr>
        <w:t xml:space="preserve">Kiekvienoje </w:t>
      </w:r>
      <w:r w:rsidR="00416E4C" w:rsidRPr="008B56A5">
        <w:rPr>
          <w:snapToGrid/>
          <w:szCs w:val="22"/>
          <w:lang w:val="lt-LT"/>
        </w:rPr>
        <w:t xml:space="preserve">modifikuoto atpalaidavimo </w:t>
      </w:r>
      <w:r w:rsidR="00AE38FD" w:rsidRPr="008B56A5">
        <w:rPr>
          <w:snapToGrid/>
          <w:szCs w:val="22"/>
          <w:lang w:val="lt-LT"/>
        </w:rPr>
        <w:t>tabletėje yra 6</w:t>
      </w:r>
      <w:r w:rsidR="00416E4C" w:rsidRPr="008B56A5">
        <w:rPr>
          <w:snapToGrid/>
          <w:szCs w:val="22"/>
          <w:lang w:val="lt-LT"/>
        </w:rPr>
        <w:t> </w:t>
      </w:r>
      <w:r w:rsidR="00AE38FD" w:rsidRPr="008B56A5">
        <w:rPr>
          <w:snapToGrid/>
          <w:szCs w:val="22"/>
          <w:lang w:val="lt-LT"/>
        </w:rPr>
        <w:t xml:space="preserve">mg </w:t>
      </w:r>
      <w:proofErr w:type="spellStart"/>
      <w:r w:rsidR="00AE38FD" w:rsidRPr="008B56A5">
        <w:rPr>
          <w:snapToGrid/>
          <w:szCs w:val="22"/>
          <w:lang w:val="lt-LT"/>
        </w:rPr>
        <w:t>solifenacino</w:t>
      </w:r>
      <w:proofErr w:type="spellEnd"/>
      <w:r w:rsidR="00AE38FD" w:rsidRPr="008B56A5">
        <w:rPr>
          <w:snapToGrid/>
          <w:szCs w:val="22"/>
          <w:lang w:val="lt-LT"/>
        </w:rPr>
        <w:t xml:space="preserve"> </w:t>
      </w:r>
      <w:proofErr w:type="spellStart"/>
      <w:r w:rsidR="00AE38FD" w:rsidRPr="008B56A5">
        <w:rPr>
          <w:snapToGrid/>
          <w:szCs w:val="22"/>
          <w:lang w:val="lt-LT"/>
        </w:rPr>
        <w:t>sukcinato</w:t>
      </w:r>
      <w:proofErr w:type="spellEnd"/>
      <w:r w:rsidR="00AE38FD" w:rsidRPr="008B56A5">
        <w:rPr>
          <w:snapToGrid/>
          <w:szCs w:val="22"/>
          <w:lang w:val="lt-LT"/>
        </w:rPr>
        <w:t>, atitinkančio 4,5</w:t>
      </w:r>
      <w:r w:rsidR="00416E4C" w:rsidRPr="008B56A5">
        <w:rPr>
          <w:snapToGrid/>
          <w:szCs w:val="22"/>
          <w:lang w:val="lt-LT"/>
        </w:rPr>
        <w:t> </w:t>
      </w:r>
      <w:r w:rsidR="00AE38FD" w:rsidRPr="008B56A5">
        <w:rPr>
          <w:snapToGrid/>
          <w:szCs w:val="22"/>
          <w:lang w:val="lt-LT"/>
        </w:rPr>
        <w:t xml:space="preserve">mg </w:t>
      </w:r>
      <w:proofErr w:type="spellStart"/>
      <w:r w:rsidR="00AE38FD" w:rsidRPr="008B56A5">
        <w:rPr>
          <w:snapToGrid/>
          <w:szCs w:val="22"/>
          <w:lang w:val="lt-LT"/>
        </w:rPr>
        <w:t>solifenacino</w:t>
      </w:r>
      <w:proofErr w:type="spellEnd"/>
      <w:r w:rsidR="00AE38FD" w:rsidRPr="008B56A5">
        <w:rPr>
          <w:snapToGrid/>
          <w:szCs w:val="22"/>
          <w:lang w:val="lt-LT"/>
        </w:rPr>
        <w:t>, ir 0,4</w:t>
      </w:r>
      <w:r w:rsidR="00416E4C" w:rsidRPr="008B56A5">
        <w:rPr>
          <w:snapToGrid/>
          <w:szCs w:val="22"/>
          <w:lang w:val="lt-LT"/>
        </w:rPr>
        <w:t> </w:t>
      </w:r>
      <w:r w:rsidR="00AE38FD" w:rsidRPr="008B56A5">
        <w:rPr>
          <w:snapToGrid/>
          <w:szCs w:val="22"/>
          <w:lang w:val="lt-LT"/>
        </w:rPr>
        <w:t xml:space="preserve">mg </w:t>
      </w:r>
      <w:proofErr w:type="spellStart"/>
      <w:r w:rsidR="00AE38FD" w:rsidRPr="008B56A5">
        <w:rPr>
          <w:snapToGrid/>
          <w:szCs w:val="22"/>
          <w:lang w:val="lt-LT"/>
        </w:rPr>
        <w:t>tamsulozino</w:t>
      </w:r>
      <w:proofErr w:type="spellEnd"/>
      <w:r w:rsidR="00AE38FD" w:rsidRPr="008B56A5">
        <w:rPr>
          <w:snapToGrid/>
          <w:szCs w:val="22"/>
          <w:lang w:val="lt-LT"/>
        </w:rPr>
        <w:t xml:space="preserve"> hidrochlorido, atitinkančio 0,37</w:t>
      </w:r>
      <w:r w:rsidR="00416E4C" w:rsidRPr="008B56A5">
        <w:rPr>
          <w:snapToGrid/>
          <w:szCs w:val="22"/>
          <w:lang w:val="lt-LT"/>
        </w:rPr>
        <w:t> </w:t>
      </w:r>
      <w:r w:rsidR="00AE38FD" w:rsidRPr="008B56A5">
        <w:rPr>
          <w:snapToGrid/>
          <w:szCs w:val="22"/>
          <w:lang w:val="lt-LT"/>
        </w:rPr>
        <w:t xml:space="preserve">mg </w:t>
      </w:r>
      <w:proofErr w:type="spellStart"/>
      <w:r w:rsidR="00AE38FD" w:rsidRPr="008B56A5">
        <w:rPr>
          <w:snapToGrid/>
          <w:szCs w:val="22"/>
          <w:lang w:val="lt-LT"/>
        </w:rPr>
        <w:t>tamsulozino</w:t>
      </w:r>
      <w:proofErr w:type="spellEnd"/>
      <w:r w:rsidR="00416E4C" w:rsidRPr="008B56A5">
        <w:rPr>
          <w:snapToGrid/>
          <w:szCs w:val="22"/>
          <w:lang w:val="lt-LT"/>
        </w:rPr>
        <w:t>.</w:t>
      </w:r>
    </w:p>
    <w:p w14:paraId="29E2564A" w14:textId="77777777" w:rsidR="00360F0D" w:rsidRPr="0032192D" w:rsidRDefault="00B36E47" w:rsidP="00B36E47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Pagalbinės</w:t>
      </w:r>
      <w:r w:rsidR="0021700B" w:rsidRPr="0032192D">
        <w:rPr>
          <w:rFonts w:eastAsia="TimesNewRoman"/>
          <w:snapToGrid/>
          <w:szCs w:val="22"/>
          <w:lang w:val="lt-LT"/>
        </w:rPr>
        <w:t xml:space="preserve"> medžiagos yra </w:t>
      </w:r>
      <w:proofErr w:type="spellStart"/>
      <w:r w:rsidR="0021700B" w:rsidRPr="0032192D">
        <w:rPr>
          <w:rFonts w:eastAsia="TimesNewRoman"/>
          <w:snapToGrid/>
          <w:szCs w:val="22"/>
          <w:lang w:val="lt-LT"/>
        </w:rPr>
        <w:t>m</w:t>
      </w:r>
      <w:r w:rsidR="00360F0D" w:rsidRPr="0032192D">
        <w:rPr>
          <w:rFonts w:eastAsia="TimesNewRoman"/>
          <w:snapToGrid/>
          <w:szCs w:val="22"/>
          <w:lang w:val="lt-LT"/>
        </w:rPr>
        <w:t>ikrokristalinė</w:t>
      </w:r>
      <w:proofErr w:type="spellEnd"/>
      <w:r w:rsidR="00360F0D" w:rsidRPr="0032192D">
        <w:rPr>
          <w:rFonts w:eastAsia="TimesNewRoman"/>
          <w:snapToGrid/>
          <w:szCs w:val="22"/>
          <w:lang w:val="lt-LT"/>
        </w:rPr>
        <w:t xml:space="preserve"> celiuliozė, </w:t>
      </w:r>
      <w:proofErr w:type="spellStart"/>
      <w:r w:rsidR="0021700B" w:rsidRPr="0032192D">
        <w:rPr>
          <w:rFonts w:eastAsia="TimesNewRoman"/>
          <w:snapToGrid/>
          <w:szCs w:val="22"/>
          <w:lang w:val="lt-LT"/>
        </w:rPr>
        <w:t>m</w:t>
      </w:r>
      <w:r w:rsidR="00360F0D" w:rsidRPr="0032192D">
        <w:rPr>
          <w:rFonts w:eastAsia="TimesNewRoman"/>
          <w:snapToGrid/>
          <w:szCs w:val="22"/>
          <w:lang w:val="lt-LT"/>
        </w:rPr>
        <w:t>akrogolis</w:t>
      </w:r>
      <w:proofErr w:type="spellEnd"/>
      <w:r w:rsidR="0021700B" w:rsidRPr="0032192D">
        <w:rPr>
          <w:rFonts w:eastAsia="TimesNewRoman"/>
          <w:snapToGrid/>
          <w:szCs w:val="22"/>
          <w:lang w:val="lt-LT"/>
        </w:rPr>
        <w:t>, k</w:t>
      </w:r>
      <w:r w:rsidR="00360F0D" w:rsidRPr="0032192D">
        <w:rPr>
          <w:rFonts w:eastAsia="TimesNewRoman"/>
          <w:snapToGrid/>
          <w:szCs w:val="22"/>
          <w:lang w:val="lt-LT"/>
        </w:rPr>
        <w:t xml:space="preserve">oloidinis bevandenis silicio </w:t>
      </w:r>
      <w:r w:rsidR="00360F0D" w:rsidRPr="0032192D">
        <w:rPr>
          <w:rFonts w:eastAsia="TimesNewRoman"/>
          <w:snapToGrid/>
          <w:szCs w:val="22"/>
          <w:lang w:val="lt-LT"/>
        </w:rPr>
        <w:lastRenderedPageBreak/>
        <w:t>dioksidas</w:t>
      </w:r>
      <w:r w:rsidR="0021700B" w:rsidRPr="0032192D">
        <w:rPr>
          <w:rFonts w:eastAsia="TimesNewRoman"/>
          <w:snapToGrid/>
          <w:szCs w:val="22"/>
          <w:lang w:val="lt-LT"/>
        </w:rPr>
        <w:t>, m</w:t>
      </w:r>
      <w:r w:rsidR="00360F0D" w:rsidRPr="0032192D">
        <w:rPr>
          <w:rFonts w:eastAsia="TimesNewRoman"/>
          <w:snapToGrid/>
          <w:szCs w:val="22"/>
          <w:lang w:val="lt-LT"/>
        </w:rPr>
        <w:t xml:space="preserve">agnio </w:t>
      </w:r>
      <w:proofErr w:type="spellStart"/>
      <w:r w:rsidR="00360F0D" w:rsidRPr="0032192D">
        <w:rPr>
          <w:rFonts w:eastAsia="TimesNewRoman"/>
          <w:snapToGrid/>
          <w:szCs w:val="22"/>
          <w:lang w:val="lt-LT"/>
        </w:rPr>
        <w:t>stearatas</w:t>
      </w:r>
      <w:proofErr w:type="spellEnd"/>
      <w:r w:rsidRPr="0032192D">
        <w:rPr>
          <w:rFonts w:eastAsia="TimesNewRoman"/>
          <w:snapToGrid/>
          <w:szCs w:val="22"/>
          <w:lang w:val="lt-LT"/>
        </w:rPr>
        <w:t>, k</w:t>
      </w:r>
      <w:r w:rsidR="00360F0D" w:rsidRPr="0032192D">
        <w:rPr>
          <w:rFonts w:eastAsia="TimesNewRoman"/>
          <w:snapToGrid/>
          <w:szCs w:val="22"/>
          <w:lang w:val="lt-LT"/>
        </w:rPr>
        <w:t>alcio</w:t>
      </w:r>
      <w:r w:rsidR="00360F0D" w:rsidRPr="0032192D">
        <w:rPr>
          <w:rFonts w:eastAsia="TimesNewRoman"/>
          <w:snapToGrid/>
          <w:szCs w:val="22"/>
          <w:lang w:val="lt-LT"/>
        </w:rPr>
        <w:noBreakHyphen/>
        <w:t>vandenilio fosfatas</w:t>
      </w:r>
      <w:r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s</w:t>
      </w:r>
      <w:r w:rsidR="00360F0D" w:rsidRPr="0032192D">
        <w:rPr>
          <w:rFonts w:eastAsia="TimesNewRoman"/>
          <w:snapToGrid/>
          <w:szCs w:val="22"/>
          <w:lang w:val="lt-LT"/>
        </w:rPr>
        <w:t>ilicifikuota</w:t>
      </w:r>
      <w:proofErr w:type="spellEnd"/>
      <w:r w:rsidR="00360F0D" w:rsidRPr="0032192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360F0D" w:rsidRPr="0032192D">
        <w:rPr>
          <w:rFonts w:eastAsia="TimesNewRoman"/>
          <w:snapToGrid/>
          <w:szCs w:val="22"/>
          <w:lang w:val="lt-LT"/>
        </w:rPr>
        <w:t>mikrokristalinė</w:t>
      </w:r>
      <w:proofErr w:type="spellEnd"/>
      <w:r w:rsidR="00360F0D" w:rsidRPr="0032192D">
        <w:rPr>
          <w:rFonts w:eastAsia="TimesNewRoman"/>
          <w:snapToGrid/>
          <w:szCs w:val="22"/>
          <w:lang w:val="lt-LT"/>
        </w:rPr>
        <w:t xml:space="preserve"> celiuliozė</w:t>
      </w:r>
      <w:r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h</w:t>
      </w:r>
      <w:r w:rsidR="00360F0D" w:rsidRPr="0032192D">
        <w:rPr>
          <w:rFonts w:eastAsia="TimesNewRoman"/>
          <w:snapToGrid/>
          <w:szCs w:val="22"/>
          <w:lang w:val="lt-LT"/>
        </w:rPr>
        <w:t>idroksipropilceliuliozė</w:t>
      </w:r>
      <w:proofErr w:type="spellEnd"/>
      <w:r w:rsidR="00360F0D" w:rsidRPr="0032192D">
        <w:rPr>
          <w:rFonts w:eastAsia="TimesNewRoman"/>
          <w:snapToGrid/>
          <w:szCs w:val="22"/>
          <w:lang w:val="lt-LT"/>
        </w:rPr>
        <w:t xml:space="preserve"> (mažai pakeista)</w:t>
      </w:r>
      <w:r w:rsidRPr="0032192D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h</w:t>
      </w:r>
      <w:r w:rsidR="00360F0D" w:rsidRPr="0032192D">
        <w:rPr>
          <w:rFonts w:eastAsia="TimesNewRoman"/>
          <w:snapToGrid/>
          <w:szCs w:val="22"/>
          <w:lang w:val="lt-LT"/>
        </w:rPr>
        <w:t>ipromeliozė</w:t>
      </w:r>
      <w:proofErr w:type="spellEnd"/>
      <w:r w:rsidRPr="0032192D">
        <w:rPr>
          <w:rFonts w:eastAsia="TimesNewRoman"/>
          <w:snapToGrid/>
          <w:szCs w:val="22"/>
          <w:lang w:val="lt-LT"/>
        </w:rPr>
        <w:t>, r</w:t>
      </w:r>
      <w:r w:rsidR="00360F0D" w:rsidRPr="0032192D">
        <w:rPr>
          <w:rFonts w:eastAsia="TimesNewRoman"/>
          <w:snapToGrid/>
          <w:szCs w:val="22"/>
          <w:lang w:val="lt-LT"/>
        </w:rPr>
        <w:t>audonasis geležies oksidas (E172)</w:t>
      </w:r>
      <w:r w:rsidR="008B56A5">
        <w:rPr>
          <w:rFonts w:eastAsia="TimesNewRoman"/>
          <w:snapToGrid/>
          <w:szCs w:val="22"/>
          <w:lang w:val="lt-LT"/>
        </w:rPr>
        <w:t>.</w:t>
      </w:r>
    </w:p>
    <w:p w14:paraId="6B151BFD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23DFA136" w14:textId="56CC1F0A" w:rsidR="00776FBE" w:rsidRPr="0032192D" w:rsidRDefault="00FB1F51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proofErr w:type="spellStart"/>
      <w:r>
        <w:rPr>
          <w:b/>
          <w:bCs/>
          <w:snapToGrid/>
          <w:szCs w:val="22"/>
          <w:lang w:val="lt-LT"/>
        </w:rPr>
        <w:t>Solitombo</w:t>
      </w:r>
      <w:proofErr w:type="spellEnd"/>
      <w:r w:rsidR="00776FBE" w:rsidRPr="0032192D">
        <w:rPr>
          <w:b/>
          <w:bCs/>
          <w:snapToGrid/>
          <w:szCs w:val="22"/>
          <w:lang w:val="lt-LT"/>
        </w:rPr>
        <w:t xml:space="preserve"> išvaizda ir kiekis pakuotėje</w:t>
      </w:r>
    </w:p>
    <w:p w14:paraId="55386876" w14:textId="3CC265B0" w:rsidR="00360F0D" w:rsidRPr="0032192D" w:rsidRDefault="00FB1F51" w:rsidP="00D84E0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color w:val="000000"/>
          <w:szCs w:val="22"/>
          <w:lang w:val="lt-LT"/>
        </w:rPr>
        <w:t>Solitombo</w:t>
      </w:r>
      <w:proofErr w:type="spellEnd"/>
      <w:r w:rsidR="000C78C3" w:rsidRPr="0032192D">
        <w:rPr>
          <w:snapToGrid/>
          <w:color w:val="000000"/>
          <w:szCs w:val="22"/>
          <w:lang w:val="lt-LT"/>
        </w:rPr>
        <w:t xml:space="preserve"> 50</w:t>
      </w:r>
      <w:r w:rsidR="00F072AD" w:rsidRPr="0032192D">
        <w:rPr>
          <w:snapToGrid/>
          <w:color w:val="000000"/>
          <w:szCs w:val="22"/>
          <w:lang w:val="lt-LT"/>
        </w:rPr>
        <w:t> mg</w:t>
      </w:r>
      <w:r w:rsidR="000C78C3" w:rsidRPr="0032192D">
        <w:rPr>
          <w:snapToGrid/>
          <w:color w:val="000000"/>
          <w:szCs w:val="22"/>
          <w:lang w:val="lt-LT"/>
        </w:rPr>
        <w:t xml:space="preserve"> </w:t>
      </w:r>
      <w:r w:rsidR="00B3297D">
        <w:rPr>
          <w:snapToGrid/>
          <w:color w:val="000000"/>
          <w:szCs w:val="22"/>
          <w:lang w:val="lt-LT"/>
        </w:rPr>
        <w:t xml:space="preserve">modifikuoto atpalaidavimo </w:t>
      </w:r>
      <w:r w:rsidR="000C78C3" w:rsidRPr="0032192D">
        <w:rPr>
          <w:snapToGrid/>
          <w:color w:val="000000"/>
          <w:szCs w:val="22"/>
          <w:lang w:val="lt-LT"/>
        </w:rPr>
        <w:t>tabletės</w:t>
      </w:r>
      <w:r w:rsidR="003732AB" w:rsidRPr="0032192D">
        <w:rPr>
          <w:snapToGrid/>
          <w:color w:val="000000"/>
          <w:szCs w:val="22"/>
          <w:lang w:val="lt-LT"/>
        </w:rPr>
        <w:t xml:space="preserve"> </w:t>
      </w:r>
      <w:r w:rsidR="00D84E01" w:rsidRPr="0032192D">
        <w:rPr>
          <w:snapToGrid/>
          <w:color w:val="000000"/>
          <w:szCs w:val="22"/>
          <w:lang w:val="lt-LT"/>
        </w:rPr>
        <w:t>yra apvalios (</w:t>
      </w:r>
      <w:r w:rsidR="00360F0D" w:rsidRPr="0032192D">
        <w:rPr>
          <w:snapToGrid/>
          <w:szCs w:val="22"/>
          <w:lang w:val="lt-LT"/>
        </w:rPr>
        <w:t>9 mm skersmens</w:t>
      </w:r>
      <w:r w:rsidR="00D84E01" w:rsidRPr="0032192D">
        <w:rPr>
          <w:snapToGrid/>
          <w:szCs w:val="22"/>
          <w:lang w:val="lt-LT"/>
        </w:rPr>
        <w:t>)</w:t>
      </w:r>
      <w:r w:rsidR="00360F0D" w:rsidRPr="0032192D">
        <w:rPr>
          <w:snapToGrid/>
          <w:szCs w:val="22"/>
          <w:lang w:val="lt-LT"/>
        </w:rPr>
        <w:t>, abipus išgaubt</w:t>
      </w:r>
      <w:r w:rsidR="00D84E01" w:rsidRPr="0032192D">
        <w:rPr>
          <w:snapToGrid/>
          <w:szCs w:val="22"/>
          <w:lang w:val="lt-LT"/>
        </w:rPr>
        <w:t>os</w:t>
      </w:r>
      <w:r w:rsidR="00360F0D" w:rsidRPr="0032192D">
        <w:rPr>
          <w:snapToGrid/>
          <w:szCs w:val="22"/>
          <w:lang w:val="lt-LT"/>
        </w:rPr>
        <w:t xml:space="preserve">, </w:t>
      </w:r>
      <w:r w:rsidR="001544E5" w:rsidRPr="0032192D">
        <w:rPr>
          <w:snapToGrid/>
          <w:szCs w:val="22"/>
          <w:lang w:val="lt-LT"/>
        </w:rPr>
        <w:t xml:space="preserve">raudonos, </w:t>
      </w:r>
      <w:r w:rsidR="00D84E01" w:rsidRPr="0032192D">
        <w:rPr>
          <w:snapToGrid/>
          <w:szCs w:val="22"/>
          <w:lang w:val="lt-LT"/>
        </w:rPr>
        <w:t xml:space="preserve">dengtos plėvele, </w:t>
      </w:r>
      <w:r w:rsidR="00360F0D" w:rsidRPr="0032192D">
        <w:rPr>
          <w:snapToGrid/>
          <w:szCs w:val="22"/>
          <w:lang w:val="lt-LT"/>
        </w:rPr>
        <w:t>vienoje pusėje įspausta „6 04“.</w:t>
      </w:r>
    </w:p>
    <w:p w14:paraId="700C5A85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u w:val="single"/>
          <w:lang w:val="lt-LT"/>
        </w:rPr>
      </w:pPr>
    </w:p>
    <w:p w14:paraId="24F9907C" w14:textId="7255B77F" w:rsidR="00360F0D" w:rsidRPr="0032192D" w:rsidRDefault="00360F0D" w:rsidP="00360F0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Dėžutė, kurioje yra 30 arba 60 </w:t>
      </w:r>
      <w:r w:rsidR="00B3297D">
        <w:rPr>
          <w:rFonts w:eastAsia="TimesNewRoman"/>
          <w:snapToGrid/>
          <w:szCs w:val="22"/>
          <w:lang w:val="lt-LT"/>
        </w:rPr>
        <w:t xml:space="preserve">modifikuoto atpalaidavimo </w:t>
      </w:r>
      <w:r w:rsidRPr="0032192D">
        <w:rPr>
          <w:rFonts w:eastAsia="TimesNewRoman"/>
          <w:snapToGrid/>
          <w:szCs w:val="22"/>
          <w:lang w:val="lt-LT"/>
        </w:rPr>
        <w:t>tablečių PA/Aliuminio/PVC/Aliuminio lizdinėse plokštelėse.</w:t>
      </w:r>
    </w:p>
    <w:p w14:paraId="1528BBBE" w14:textId="32E24D39" w:rsidR="00360F0D" w:rsidRPr="0032192D" w:rsidRDefault="00360F0D" w:rsidP="00360F0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Dėžutė, kurioje yra 30</w:t>
      </w:r>
      <w:r w:rsidR="008B56A5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>x</w:t>
      </w:r>
      <w:r w:rsidR="008B56A5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>1 arba 60</w:t>
      </w:r>
      <w:r w:rsidR="008B56A5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>x</w:t>
      </w:r>
      <w:r w:rsidR="008B56A5">
        <w:rPr>
          <w:rFonts w:eastAsia="TimesNewRoman"/>
          <w:snapToGrid/>
          <w:szCs w:val="22"/>
          <w:lang w:val="lt-LT"/>
        </w:rPr>
        <w:t xml:space="preserve"> </w:t>
      </w:r>
      <w:r w:rsidRPr="0032192D">
        <w:rPr>
          <w:rFonts w:eastAsia="TimesNewRoman"/>
          <w:snapToGrid/>
          <w:szCs w:val="22"/>
          <w:lang w:val="lt-LT"/>
        </w:rPr>
        <w:t>1 </w:t>
      </w:r>
      <w:r w:rsidR="00B3297D">
        <w:rPr>
          <w:rFonts w:eastAsia="TimesNewRoman"/>
          <w:snapToGrid/>
          <w:szCs w:val="22"/>
          <w:lang w:val="lt-LT"/>
        </w:rPr>
        <w:t xml:space="preserve">modifikuoto atpalaidavimo </w:t>
      </w:r>
      <w:r w:rsidRPr="0032192D">
        <w:rPr>
          <w:rFonts w:eastAsia="TimesNewRoman"/>
          <w:snapToGrid/>
          <w:szCs w:val="22"/>
          <w:lang w:val="lt-LT"/>
        </w:rPr>
        <w:t xml:space="preserve">tablečių PA/Aliuminio/PVC/Aliuminio </w:t>
      </w:r>
      <w:proofErr w:type="spellStart"/>
      <w:r w:rsidRPr="0032192D">
        <w:rPr>
          <w:rFonts w:eastAsia="TimesNewRoman"/>
          <w:snapToGrid/>
          <w:szCs w:val="22"/>
          <w:lang w:val="lt-LT"/>
        </w:rPr>
        <w:t>dalomosiose</w:t>
      </w:r>
      <w:proofErr w:type="spellEnd"/>
      <w:r w:rsidRPr="0032192D">
        <w:rPr>
          <w:rFonts w:eastAsia="TimesNewRoman"/>
          <w:snapToGrid/>
          <w:szCs w:val="22"/>
          <w:lang w:val="lt-LT"/>
        </w:rPr>
        <w:t xml:space="preserve"> lizdinėse plokštelėse.</w:t>
      </w:r>
    </w:p>
    <w:p w14:paraId="56B72191" w14:textId="77777777" w:rsidR="00317E10" w:rsidRPr="0032192D" w:rsidRDefault="00317E10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4A8FA4B2" w14:textId="77777777" w:rsidR="00317E10" w:rsidRPr="0032192D" w:rsidRDefault="00317E10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32192D">
        <w:rPr>
          <w:rFonts w:eastAsia="TimesNewRoman"/>
          <w:snapToGrid/>
          <w:szCs w:val="22"/>
          <w:lang w:val="lt-LT"/>
        </w:rPr>
        <w:t>Gali būti tiekiamos ne visų dydžių pakuotės.</w:t>
      </w:r>
    </w:p>
    <w:p w14:paraId="03AE2586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4AE22586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32192D">
        <w:rPr>
          <w:b/>
          <w:bCs/>
          <w:snapToGrid/>
          <w:szCs w:val="22"/>
          <w:lang w:val="lt-LT"/>
        </w:rPr>
        <w:t>Registruotojas ir gamintojas</w:t>
      </w:r>
    </w:p>
    <w:p w14:paraId="60C66716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14:paraId="366D95ED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snapToGrid/>
          <w:szCs w:val="22"/>
          <w:lang w:val="lt-LT"/>
        </w:rPr>
      </w:pPr>
      <w:r w:rsidRPr="0032192D">
        <w:rPr>
          <w:bCs/>
          <w:i/>
          <w:snapToGrid/>
          <w:szCs w:val="22"/>
          <w:lang w:val="lt-LT"/>
        </w:rPr>
        <w:t>Registruotojas</w:t>
      </w:r>
    </w:p>
    <w:p w14:paraId="0F4EA9C8" w14:textId="77777777" w:rsidR="00FB1F51" w:rsidRPr="00FB1F51" w:rsidRDefault="00FB1F51" w:rsidP="00FB1F5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pl-PL"/>
        </w:rPr>
      </w:pPr>
      <w:r w:rsidRPr="00FB1F51">
        <w:rPr>
          <w:snapToGrid/>
          <w:szCs w:val="22"/>
          <w:lang w:val="pl-PL"/>
        </w:rPr>
        <w:t>Adamed Pharma S.A.</w:t>
      </w:r>
    </w:p>
    <w:p w14:paraId="57D415C7" w14:textId="77777777" w:rsidR="00FB1F51" w:rsidRPr="00FB1F51" w:rsidRDefault="00FB1F51" w:rsidP="00FB1F5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pl-PL"/>
        </w:rPr>
      </w:pPr>
      <w:r w:rsidRPr="00FB1F51">
        <w:rPr>
          <w:snapToGrid/>
          <w:szCs w:val="22"/>
          <w:lang w:val="pl-PL"/>
        </w:rPr>
        <w:t>Pieńków, ul. M. Adamkiewicza 6A</w:t>
      </w:r>
    </w:p>
    <w:p w14:paraId="7E544F00" w14:textId="77777777" w:rsidR="00FB1F51" w:rsidRPr="00FB1F51" w:rsidRDefault="00FB1F51" w:rsidP="00FB1F5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 w:bidi="et-EE"/>
        </w:rPr>
      </w:pPr>
      <w:r w:rsidRPr="00FB1F51">
        <w:rPr>
          <w:snapToGrid/>
          <w:szCs w:val="22"/>
          <w:lang w:val="pl-PL"/>
        </w:rPr>
        <w:t>05–152 Czosnów</w:t>
      </w:r>
    </w:p>
    <w:p w14:paraId="04329DF4" w14:textId="5CF91E26" w:rsidR="00FB1F51" w:rsidRPr="00F82986" w:rsidRDefault="00FB1F51" w:rsidP="008B56A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Lenkija</w:t>
      </w:r>
    </w:p>
    <w:p w14:paraId="64E674AF" w14:textId="77777777" w:rsidR="008B56A5" w:rsidRDefault="008B56A5" w:rsidP="008B56A5">
      <w:pPr>
        <w:widowControl w:val="0"/>
        <w:tabs>
          <w:tab w:val="clear" w:pos="567"/>
        </w:tabs>
        <w:spacing w:line="240" w:lineRule="auto"/>
        <w:ind w:left="142" w:hanging="142"/>
        <w:rPr>
          <w:bCs/>
          <w:i/>
          <w:snapToGrid/>
          <w:szCs w:val="22"/>
          <w:lang w:val="lt-LT"/>
        </w:rPr>
      </w:pPr>
    </w:p>
    <w:p w14:paraId="78173BD5" w14:textId="77777777" w:rsidR="00776FBE" w:rsidRDefault="00776FBE" w:rsidP="008B56A5">
      <w:pPr>
        <w:widowControl w:val="0"/>
        <w:tabs>
          <w:tab w:val="clear" w:pos="567"/>
        </w:tabs>
        <w:spacing w:line="240" w:lineRule="auto"/>
        <w:ind w:left="142" w:hanging="142"/>
        <w:rPr>
          <w:bCs/>
          <w:i/>
          <w:snapToGrid/>
          <w:szCs w:val="22"/>
          <w:lang w:val="lt-LT"/>
        </w:rPr>
      </w:pPr>
      <w:r w:rsidRPr="0032192D">
        <w:rPr>
          <w:bCs/>
          <w:i/>
          <w:snapToGrid/>
          <w:szCs w:val="22"/>
          <w:lang w:val="lt-LT"/>
        </w:rPr>
        <w:t>Gamintoja</w:t>
      </w:r>
      <w:r w:rsidR="00DD6DD2" w:rsidRPr="0032192D">
        <w:rPr>
          <w:bCs/>
          <w:i/>
          <w:snapToGrid/>
          <w:szCs w:val="22"/>
          <w:lang w:val="lt-LT"/>
        </w:rPr>
        <w:t>s</w:t>
      </w:r>
    </w:p>
    <w:p w14:paraId="3DBDC451" w14:textId="77777777" w:rsidR="0049362F" w:rsidRPr="002253BC" w:rsidRDefault="0049362F" w:rsidP="0049362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napToGrid/>
          <w:lang w:val="et-EE" w:eastAsia="et-EE" w:bidi="et-EE"/>
        </w:rPr>
      </w:pPr>
      <w:r w:rsidRPr="002253BC">
        <w:rPr>
          <w:snapToGrid/>
          <w:lang w:val="et-EE" w:eastAsia="et-EE" w:bidi="et-EE"/>
        </w:rPr>
        <w:t>Adamed Pharma S.A.</w:t>
      </w:r>
    </w:p>
    <w:p w14:paraId="34212068" w14:textId="77777777" w:rsidR="0049362F" w:rsidRPr="002253BC" w:rsidRDefault="0049362F" w:rsidP="0049362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rFonts w:eastAsia="Calibri"/>
          <w:snapToGrid/>
          <w:szCs w:val="22"/>
          <w:lang w:val="et-EE"/>
        </w:rPr>
      </w:pPr>
      <w:r w:rsidRPr="002253BC">
        <w:rPr>
          <w:rFonts w:eastAsia="Calibri"/>
          <w:snapToGrid/>
          <w:szCs w:val="22"/>
          <w:lang w:val="et-EE"/>
        </w:rPr>
        <w:t>ul. Marszałka Józefa Piłsudskiego 5</w:t>
      </w:r>
    </w:p>
    <w:p w14:paraId="75E50C78" w14:textId="77777777" w:rsidR="0049362F" w:rsidRPr="002253BC" w:rsidRDefault="0049362F" w:rsidP="0049362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rFonts w:eastAsia="Calibri"/>
          <w:snapToGrid/>
          <w:szCs w:val="22"/>
          <w:lang w:val="et-EE"/>
        </w:rPr>
      </w:pPr>
      <w:r w:rsidRPr="002253BC">
        <w:rPr>
          <w:rFonts w:eastAsia="Calibri"/>
          <w:snapToGrid/>
          <w:szCs w:val="22"/>
          <w:lang w:val="et-EE"/>
        </w:rPr>
        <w:t>95-200 Pabianice</w:t>
      </w:r>
    </w:p>
    <w:p w14:paraId="6F1C5DDD" w14:textId="77777777" w:rsidR="0049362F" w:rsidRDefault="0049362F" w:rsidP="0049362F">
      <w:pPr>
        <w:widowControl w:val="0"/>
        <w:tabs>
          <w:tab w:val="clear" w:pos="567"/>
        </w:tabs>
        <w:spacing w:line="240" w:lineRule="auto"/>
        <w:ind w:left="142" w:hanging="142"/>
        <w:rPr>
          <w:bCs/>
          <w:i/>
          <w:snapToGrid/>
          <w:szCs w:val="22"/>
          <w:lang w:val="lt-LT"/>
        </w:rPr>
      </w:pPr>
      <w:r>
        <w:rPr>
          <w:rFonts w:eastAsia="Calibri"/>
          <w:snapToGrid/>
          <w:szCs w:val="22"/>
          <w:lang w:val="et-EE"/>
        </w:rPr>
        <w:t>Lenkija</w:t>
      </w:r>
    </w:p>
    <w:p w14:paraId="2E49D44F" w14:textId="77777777" w:rsidR="0049362F" w:rsidRPr="0032192D" w:rsidRDefault="0049362F" w:rsidP="008B56A5">
      <w:pPr>
        <w:widowControl w:val="0"/>
        <w:tabs>
          <w:tab w:val="clear" w:pos="567"/>
        </w:tabs>
        <w:spacing w:line="240" w:lineRule="auto"/>
        <w:ind w:left="142" w:hanging="142"/>
        <w:rPr>
          <w:i/>
          <w:snapToGrid/>
          <w:szCs w:val="24"/>
          <w:lang w:val="lt-LT"/>
        </w:rPr>
      </w:pPr>
    </w:p>
    <w:p w14:paraId="61629943" w14:textId="3DB3D003" w:rsidR="00776FBE" w:rsidRPr="0032192D" w:rsidRDefault="00776FBE" w:rsidP="00AB3C1A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32192D">
        <w:rPr>
          <w:szCs w:val="24"/>
          <w:lang w:val="lt-LT"/>
        </w:rPr>
        <w:t>Jeigu apie šį vaistą norite sužinoti daugiau, kreipkitės į registruotoją.</w:t>
      </w:r>
    </w:p>
    <w:p w14:paraId="1E9E92E2" w14:textId="77777777" w:rsidR="00DD6DD2" w:rsidRPr="0032192D" w:rsidRDefault="00DD6DD2" w:rsidP="00AB3C1A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14:paraId="44759F06" w14:textId="77777777" w:rsidR="00776FBE" w:rsidRPr="0032192D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6F62887C" w14:textId="295150E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  <w:r w:rsidRPr="0032192D">
        <w:rPr>
          <w:b/>
          <w:bCs/>
          <w:snapToGrid/>
          <w:szCs w:val="24"/>
          <w:lang w:val="lt-LT" w:eastAsia="x-none"/>
        </w:rPr>
        <w:t>Šis pakuotės lapelis</w:t>
      </w:r>
      <w:r w:rsidRPr="0032192D">
        <w:rPr>
          <w:b/>
          <w:snapToGrid/>
          <w:szCs w:val="24"/>
          <w:lang w:val="lt-LT" w:eastAsia="x-none"/>
        </w:rPr>
        <w:t xml:space="preserve"> paskutinį kartą peržiūrėtas</w:t>
      </w:r>
      <w:r w:rsidR="003A150B">
        <w:rPr>
          <w:b/>
          <w:snapToGrid/>
          <w:szCs w:val="24"/>
          <w:lang w:val="lt-LT" w:eastAsia="x-none"/>
        </w:rPr>
        <w:t xml:space="preserve"> </w:t>
      </w:r>
      <w:r w:rsidR="00DE1E2B">
        <w:rPr>
          <w:b/>
          <w:snapToGrid/>
          <w:szCs w:val="24"/>
          <w:lang w:val="lt-LT" w:eastAsia="x-none"/>
        </w:rPr>
        <w:t>2025-03-17</w:t>
      </w:r>
      <w:r w:rsidR="003A150B">
        <w:rPr>
          <w:b/>
          <w:snapToGrid/>
          <w:szCs w:val="24"/>
          <w:lang w:val="lt-LT" w:eastAsia="x-none"/>
        </w:rPr>
        <w:t>.</w:t>
      </w:r>
    </w:p>
    <w:p w14:paraId="321AFF0C" w14:textId="77777777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p w14:paraId="50B74EE4" w14:textId="3B4F2E06" w:rsidR="00776FBE" w:rsidRPr="0032192D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  <w:r w:rsidRPr="0032192D">
        <w:rPr>
          <w:snapToGrid/>
          <w:szCs w:val="24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1" w:history="1">
        <w:r w:rsidR="00BE3597" w:rsidRPr="00212703">
          <w:rPr>
            <w:rStyle w:val="Hipersaitas"/>
            <w:rFonts w:asciiTheme="majorBidi" w:hAnsiTheme="majorBidi" w:cstheme="majorBidi"/>
            <w:noProof/>
            <w:lang w:val="lt-LT"/>
          </w:rPr>
          <w:t>https://vvkt.lrv.lt/lt/</w:t>
        </w:r>
      </w:hyperlink>
      <w:r w:rsidRPr="0032192D">
        <w:rPr>
          <w:snapToGrid/>
          <w:szCs w:val="24"/>
          <w:lang w:val="lt-LT"/>
        </w:rPr>
        <w:t>.</w:t>
      </w:r>
    </w:p>
    <w:p w14:paraId="235A715F" w14:textId="77777777" w:rsidR="00EC46F9" w:rsidRPr="0032192D" w:rsidRDefault="00EC46F9" w:rsidP="00AB3C1A">
      <w:pPr>
        <w:widowControl w:val="0"/>
        <w:rPr>
          <w:lang w:val="lt-LT"/>
        </w:rPr>
      </w:pPr>
      <w:bookmarkStart w:id="3" w:name="_GoBack"/>
      <w:bookmarkEnd w:id="3"/>
    </w:p>
    <w:sectPr w:rsidR="00EC46F9" w:rsidRPr="0032192D" w:rsidSect="00B23FAD"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5CD99" w14:textId="77777777" w:rsidR="004A03E9" w:rsidRDefault="004A03E9">
      <w:pPr>
        <w:spacing w:line="240" w:lineRule="auto"/>
      </w:pPr>
      <w:r>
        <w:separator/>
      </w:r>
    </w:p>
  </w:endnote>
  <w:endnote w:type="continuationSeparator" w:id="0">
    <w:p w14:paraId="4626122E" w14:textId="77777777" w:rsidR="004A03E9" w:rsidRDefault="004A03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2263A" w14:textId="77777777" w:rsidR="00227FF8" w:rsidRDefault="00227FF8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191124E9" w14:textId="77777777" w:rsidR="00227FF8" w:rsidRDefault="00227FF8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B5C32" w14:textId="3C18E793" w:rsidR="00227FF8" w:rsidRPr="00BA2CB3" w:rsidRDefault="00227FF8">
    <w:pPr>
      <w:pStyle w:val="Porat"/>
      <w:ind w:right="360"/>
      <w:jc w:val="center"/>
      <w:rPr>
        <w:rStyle w:val="Puslapionumeris"/>
        <w:sz w:val="20"/>
        <w:lang w:val="lt-LT"/>
      </w:rPr>
    </w:pPr>
    <w:r w:rsidRPr="00BA2CB3">
      <w:rPr>
        <w:rStyle w:val="Puslapionumeris"/>
        <w:sz w:val="20"/>
        <w:lang w:val="lt-LT"/>
      </w:rPr>
      <w:fldChar w:fldCharType="begin"/>
    </w:r>
    <w:r w:rsidRPr="00BA2CB3">
      <w:rPr>
        <w:rStyle w:val="Puslapionumeris"/>
        <w:sz w:val="20"/>
        <w:lang w:val="lt-LT"/>
      </w:rPr>
      <w:instrText xml:space="preserve"> PAGE </w:instrText>
    </w:r>
    <w:r w:rsidRPr="00BA2CB3">
      <w:rPr>
        <w:rStyle w:val="Puslapionumeris"/>
        <w:sz w:val="20"/>
        <w:lang w:val="lt-LT"/>
      </w:rPr>
      <w:fldChar w:fldCharType="separate"/>
    </w:r>
    <w:r w:rsidR="00656CBB">
      <w:rPr>
        <w:rStyle w:val="Puslapionumeris"/>
        <w:noProof/>
        <w:sz w:val="20"/>
        <w:lang w:val="lt-LT"/>
      </w:rPr>
      <w:t>27</w:t>
    </w:r>
    <w:r w:rsidRPr="00BA2CB3">
      <w:rPr>
        <w:rStyle w:val="Puslapionumeris"/>
        <w:sz w:val="20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0AA0F" w14:textId="77777777" w:rsidR="004A03E9" w:rsidRDefault="004A03E9">
      <w:pPr>
        <w:spacing w:line="240" w:lineRule="auto"/>
      </w:pPr>
      <w:r>
        <w:separator/>
      </w:r>
    </w:p>
  </w:footnote>
  <w:footnote w:type="continuationSeparator" w:id="0">
    <w:p w14:paraId="6D8F5020" w14:textId="77777777" w:rsidR="004A03E9" w:rsidRDefault="004A03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402EDA"/>
    <w:multiLevelType w:val="hybridMultilevel"/>
    <w:tmpl w:val="6040FD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E3DD5"/>
    <w:multiLevelType w:val="hybridMultilevel"/>
    <w:tmpl w:val="8D00ADC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01E07"/>
    <w:multiLevelType w:val="hybridMultilevel"/>
    <w:tmpl w:val="4964EFAE"/>
    <w:lvl w:ilvl="0" w:tplc="3D32FC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63D58"/>
    <w:multiLevelType w:val="hybridMultilevel"/>
    <w:tmpl w:val="50D0B6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C5EE9"/>
    <w:multiLevelType w:val="hybridMultilevel"/>
    <w:tmpl w:val="988E07E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B5C55"/>
    <w:multiLevelType w:val="hybridMultilevel"/>
    <w:tmpl w:val="ACE2E70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5EF036B"/>
    <w:multiLevelType w:val="hybridMultilevel"/>
    <w:tmpl w:val="81FC323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B21C7"/>
    <w:multiLevelType w:val="hybridMultilevel"/>
    <w:tmpl w:val="22F6AC2E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964A8"/>
    <w:multiLevelType w:val="hybridMultilevel"/>
    <w:tmpl w:val="9740F08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02472"/>
    <w:multiLevelType w:val="hybridMultilevel"/>
    <w:tmpl w:val="CD3CEF9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22202"/>
    <w:multiLevelType w:val="hybridMultilevel"/>
    <w:tmpl w:val="A0E26E3E"/>
    <w:lvl w:ilvl="0" w:tplc="3D32FC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94F11"/>
    <w:multiLevelType w:val="hybridMultilevel"/>
    <w:tmpl w:val="0A0255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B23AD"/>
    <w:multiLevelType w:val="hybridMultilevel"/>
    <w:tmpl w:val="DD4E8B7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A1193"/>
    <w:multiLevelType w:val="hybridMultilevel"/>
    <w:tmpl w:val="BDC265E6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8"/>
  </w:num>
  <w:num w:numId="8">
    <w:abstractNumId w:val="17"/>
  </w:num>
  <w:num w:numId="9">
    <w:abstractNumId w:val="7"/>
  </w:num>
  <w:num w:numId="10">
    <w:abstractNumId w:val="6"/>
  </w:num>
  <w:num w:numId="11">
    <w:abstractNumId w:val="10"/>
  </w:num>
  <w:num w:numId="12">
    <w:abstractNumId w:val="13"/>
  </w:num>
  <w:num w:numId="13">
    <w:abstractNumId w:val="3"/>
  </w:num>
  <w:num w:numId="14">
    <w:abstractNumId w:val="1"/>
  </w:num>
  <w:num w:numId="15">
    <w:abstractNumId w:val="9"/>
  </w:num>
  <w:num w:numId="16">
    <w:abstractNumId w:val="11"/>
  </w:num>
  <w:num w:numId="17">
    <w:abstractNumId w:val="2"/>
  </w:num>
  <w:num w:numId="18">
    <w:abstractNumId w:val="12"/>
  </w:num>
  <w:num w:numId="19">
    <w:abstractNumId w:val="16"/>
  </w:num>
  <w:num w:numId="20">
    <w:abstractNumId w:val="5"/>
  </w:num>
  <w:num w:numId="21">
    <w:abstractNumId w:val="14"/>
  </w:num>
  <w:num w:numId="2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026CB"/>
    <w:rsid w:val="00003F89"/>
    <w:rsid w:val="00012B7B"/>
    <w:rsid w:val="00012FD2"/>
    <w:rsid w:val="00015D7D"/>
    <w:rsid w:val="000165E1"/>
    <w:rsid w:val="00026615"/>
    <w:rsid w:val="0003104E"/>
    <w:rsid w:val="000368D7"/>
    <w:rsid w:val="00041984"/>
    <w:rsid w:val="0004693F"/>
    <w:rsid w:val="000630A1"/>
    <w:rsid w:val="000729F2"/>
    <w:rsid w:val="00082583"/>
    <w:rsid w:val="00085570"/>
    <w:rsid w:val="000874CF"/>
    <w:rsid w:val="000A58F3"/>
    <w:rsid w:val="000A79DC"/>
    <w:rsid w:val="000B1C9B"/>
    <w:rsid w:val="000C1437"/>
    <w:rsid w:val="000C43BE"/>
    <w:rsid w:val="000C4BF2"/>
    <w:rsid w:val="000C7894"/>
    <w:rsid w:val="000C78C3"/>
    <w:rsid w:val="000D287C"/>
    <w:rsid w:val="000D75BB"/>
    <w:rsid w:val="000E3BD7"/>
    <w:rsid w:val="000F4744"/>
    <w:rsid w:val="000F54BB"/>
    <w:rsid w:val="000F7A60"/>
    <w:rsid w:val="001044B7"/>
    <w:rsid w:val="0011038B"/>
    <w:rsid w:val="00110575"/>
    <w:rsid w:val="001127DB"/>
    <w:rsid w:val="001137C8"/>
    <w:rsid w:val="00113B4B"/>
    <w:rsid w:val="00113BF9"/>
    <w:rsid w:val="00116494"/>
    <w:rsid w:val="00117F7E"/>
    <w:rsid w:val="00120D88"/>
    <w:rsid w:val="00123753"/>
    <w:rsid w:val="00125416"/>
    <w:rsid w:val="00125DEF"/>
    <w:rsid w:val="00126F6D"/>
    <w:rsid w:val="00131375"/>
    <w:rsid w:val="00132B11"/>
    <w:rsid w:val="00133D3E"/>
    <w:rsid w:val="00146468"/>
    <w:rsid w:val="00152EBE"/>
    <w:rsid w:val="001544E5"/>
    <w:rsid w:val="00154AA9"/>
    <w:rsid w:val="0015544D"/>
    <w:rsid w:val="0017162A"/>
    <w:rsid w:val="00177C0B"/>
    <w:rsid w:val="001823C0"/>
    <w:rsid w:val="001A18B4"/>
    <w:rsid w:val="001A207E"/>
    <w:rsid w:val="001A33AE"/>
    <w:rsid w:val="001A3DF1"/>
    <w:rsid w:val="001A4353"/>
    <w:rsid w:val="001A4C00"/>
    <w:rsid w:val="001A7D51"/>
    <w:rsid w:val="001B06A3"/>
    <w:rsid w:val="001C1EC0"/>
    <w:rsid w:val="001C4E18"/>
    <w:rsid w:val="001E5300"/>
    <w:rsid w:val="001F10B8"/>
    <w:rsid w:val="001F782E"/>
    <w:rsid w:val="0020014B"/>
    <w:rsid w:val="002021D2"/>
    <w:rsid w:val="002025BA"/>
    <w:rsid w:val="002029B3"/>
    <w:rsid w:val="00204D41"/>
    <w:rsid w:val="002061EA"/>
    <w:rsid w:val="002147E2"/>
    <w:rsid w:val="00214E2C"/>
    <w:rsid w:val="0021700B"/>
    <w:rsid w:val="002253BC"/>
    <w:rsid w:val="00227FF8"/>
    <w:rsid w:val="00235446"/>
    <w:rsid w:val="00236476"/>
    <w:rsid w:val="00237457"/>
    <w:rsid w:val="00237884"/>
    <w:rsid w:val="002527DB"/>
    <w:rsid w:val="0025493B"/>
    <w:rsid w:val="0025730A"/>
    <w:rsid w:val="00261A00"/>
    <w:rsid w:val="0026259D"/>
    <w:rsid w:val="002829B2"/>
    <w:rsid w:val="00286FE1"/>
    <w:rsid w:val="002928D4"/>
    <w:rsid w:val="002A7032"/>
    <w:rsid w:val="002A75A4"/>
    <w:rsid w:val="002D2987"/>
    <w:rsid w:val="002E29DE"/>
    <w:rsid w:val="002E4560"/>
    <w:rsid w:val="002E7535"/>
    <w:rsid w:val="002F4471"/>
    <w:rsid w:val="002F6E84"/>
    <w:rsid w:val="003034CB"/>
    <w:rsid w:val="00303B61"/>
    <w:rsid w:val="0031542E"/>
    <w:rsid w:val="00317E10"/>
    <w:rsid w:val="0032192D"/>
    <w:rsid w:val="003235FC"/>
    <w:rsid w:val="00325AB5"/>
    <w:rsid w:val="003274EC"/>
    <w:rsid w:val="00327CAD"/>
    <w:rsid w:val="00331196"/>
    <w:rsid w:val="0033345D"/>
    <w:rsid w:val="003346C0"/>
    <w:rsid w:val="00355525"/>
    <w:rsid w:val="00360F0D"/>
    <w:rsid w:val="00361AE8"/>
    <w:rsid w:val="0036377A"/>
    <w:rsid w:val="00372DA6"/>
    <w:rsid w:val="003732AB"/>
    <w:rsid w:val="003754B6"/>
    <w:rsid w:val="003765E3"/>
    <w:rsid w:val="00382017"/>
    <w:rsid w:val="003944A1"/>
    <w:rsid w:val="00396FE8"/>
    <w:rsid w:val="003A150B"/>
    <w:rsid w:val="003A33BF"/>
    <w:rsid w:val="003A40C0"/>
    <w:rsid w:val="003C5DD3"/>
    <w:rsid w:val="003D0ACC"/>
    <w:rsid w:val="003D6EFC"/>
    <w:rsid w:val="003E6D93"/>
    <w:rsid w:val="003E7284"/>
    <w:rsid w:val="003F01CF"/>
    <w:rsid w:val="003F330A"/>
    <w:rsid w:val="003F4E62"/>
    <w:rsid w:val="003F4F95"/>
    <w:rsid w:val="00400809"/>
    <w:rsid w:val="00403F5C"/>
    <w:rsid w:val="00405775"/>
    <w:rsid w:val="00410DAB"/>
    <w:rsid w:val="004135CE"/>
    <w:rsid w:val="00416E4C"/>
    <w:rsid w:val="00421AF2"/>
    <w:rsid w:val="00422E72"/>
    <w:rsid w:val="00424070"/>
    <w:rsid w:val="00436937"/>
    <w:rsid w:val="004401B0"/>
    <w:rsid w:val="004442B6"/>
    <w:rsid w:val="00444711"/>
    <w:rsid w:val="004454FB"/>
    <w:rsid w:val="00447048"/>
    <w:rsid w:val="00447DE7"/>
    <w:rsid w:val="00450775"/>
    <w:rsid w:val="00450DC1"/>
    <w:rsid w:val="00452F86"/>
    <w:rsid w:val="00453CAD"/>
    <w:rsid w:val="004544C5"/>
    <w:rsid w:val="00455C51"/>
    <w:rsid w:val="00460430"/>
    <w:rsid w:val="00460615"/>
    <w:rsid w:val="00461F31"/>
    <w:rsid w:val="004633B9"/>
    <w:rsid w:val="00467C03"/>
    <w:rsid w:val="004742A2"/>
    <w:rsid w:val="004752A5"/>
    <w:rsid w:val="00480553"/>
    <w:rsid w:val="0049362F"/>
    <w:rsid w:val="004971F6"/>
    <w:rsid w:val="004A03E9"/>
    <w:rsid w:val="004A3C80"/>
    <w:rsid w:val="004A643E"/>
    <w:rsid w:val="004B187A"/>
    <w:rsid w:val="004B198E"/>
    <w:rsid w:val="004B3018"/>
    <w:rsid w:val="004C0316"/>
    <w:rsid w:val="004C2EE4"/>
    <w:rsid w:val="004C35FF"/>
    <w:rsid w:val="004E108D"/>
    <w:rsid w:val="004E14FE"/>
    <w:rsid w:val="004E158F"/>
    <w:rsid w:val="004E2590"/>
    <w:rsid w:val="004F45CB"/>
    <w:rsid w:val="004F50E4"/>
    <w:rsid w:val="004F68B3"/>
    <w:rsid w:val="00503D27"/>
    <w:rsid w:val="00522F9B"/>
    <w:rsid w:val="0052506A"/>
    <w:rsid w:val="0052600A"/>
    <w:rsid w:val="0053372A"/>
    <w:rsid w:val="0053543A"/>
    <w:rsid w:val="005466F3"/>
    <w:rsid w:val="00555750"/>
    <w:rsid w:val="00555853"/>
    <w:rsid w:val="00555B63"/>
    <w:rsid w:val="005579D2"/>
    <w:rsid w:val="00557E7B"/>
    <w:rsid w:val="0057105D"/>
    <w:rsid w:val="005713E0"/>
    <w:rsid w:val="00572DB6"/>
    <w:rsid w:val="00575BD1"/>
    <w:rsid w:val="005829CF"/>
    <w:rsid w:val="00585EF2"/>
    <w:rsid w:val="00586433"/>
    <w:rsid w:val="00587909"/>
    <w:rsid w:val="00587C5F"/>
    <w:rsid w:val="00595C48"/>
    <w:rsid w:val="00597B83"/>
    <w:rsid w:val="005A1C4D"/>
    <w:rsid w:val="005A5734"/>
    <w:rsid w:val="005C49E2"/>
    <w:rsid w:val="005C58D6"/>
    <w:rsid w:val="005D00C0"/>
    <w:rsid w:val="005D0870"/>
    <w:rsid w:val="005E06D7"/>
    <w:rsid w:val="005E24B9"/>
    <w:rsid w:val="005E2541"/>
    <w:rsid w:val="005E6299"/>
    <w:rsid w:val="005F01F4"/>
    <w:rsid w:val="005F63A1"/>
    <w:rsid w:val="005F77BB"/>
    <w:rsid w:val="006065E1"/>
    <w:rsid w:val="0061753E"/>
    <w:rsid w:val="00641507"/>
    <w:rsid w:val="00650766"/>
    <w:rsid w:val="00654F50"/>
    <w:rsid w:val="00656CBB"/>
    <w:rsid w:val="00662560"/>
    <w:rsid w:val="00665343"/>
    <w:rsid w:val="0067053C"/>
    <w:rsid w:val="006715E7"/>
    <w:rsid w:val="00671D8F"/>
    <w:rsid w:val="00686E25"/>
    <w:rsid w:val="00690A30"/>
    <w:rsid w:val="00691A2A"/>
    <w:rsid w:val="006953C0"/>
    <w:rsid w:val="006A06D8"/>
    <w:rsid w:val="006A3B14"/>
    <w:rsid w:val="006B0289"/>
    <w:rsid w:val="006B32C7"/>
    <w:rsid w:val="006B407E"/>
    <w:rsid w:val="006B4E14"/>
    <w:rsid w:val="006C1936"/>
    <w:rsid w:val="006C2EAB"/>
    <w:rsid w:val="006D02C4"/>
    <w:rsid w:val="006E2FE3"/>
    <w:rsid w:val="006E7799"/>
    <w:rsid w:val="007046D8"/>
    <w:rsid w:val="00706448"/>
    <w:rsid w:val="00707742"/>
    <w:rsid w:val="007217A7"/>
    <w:rsid w:val="007276E6"/>
    <w:rsid w:val="00727A5A"/>
    <w:rsid w:val="00731105"/>
    <w:rsid w:val="00742E10"/>
    <w:rsid w:val="00754EA6"/>
    <w:rsid w:val="00771217"/>
    <w:rsid w:val="00775573"/>
    <w:rsid w:val="00776FBE"/>
    <w:rsid w:val="00784F42"/>
    <w:rsid w:val="007852C3"/>
    <w:rsid w:val="00785A07"/>
    <w:rsid w:val="007867E9"/>
    <w:rsid w:val="007A14A4"/>
    <w:rsid w:val="007A1510"/>
    <w:rsid w:val="007A2466"/>
    <w:rsid w:val="007A35F7"/>
    <w:rsid w:val="007A5BB8"/>
    <w:rsid w:val="007B316B"/>
    <w:rsid w:val="007B6024"/>
    <w:rsid w:val="007C5BDB"/>
    <w:rsid w:val="007C6FDA"/>
    <w:rsid w:val="007C7002"/>
    <w:rsid w:val="007D0B50"/>
    <w:rsid w:val="007D2D93"/>
    <w:rsid w:val="007D4846"/>
    <w:rsid w:val="007D7ABF"/>
    <w:rsid w:val="00801338"/>
    <w:rsid w:val="0080684F"/>
    <w:rsid w:val="008121FA"/>
    <w:rsid w:val="00812E1F"/>
    <w:rsid w:val="0081364A"/>
    <w:rsid w:val="008154D9"/>
    <w:rsid w:val="0082415E"/>
    <w:rsid w:val="00826CB6"/>
    <w:rsid w:val="008327FC"/>
    <w:rsid w:val="0083596F"/>
    <w:rsid w:val="00836FA4"/>
    <w:rsid w:val="00841A90"/>
    <w:rsid w:val="008509BF"/>
    <w:rsid w:val="0085123E"/>
    <w:rsid w:val="008570C6"/>
    <w:rsid w:val="00861765"/>
    <w:rsid w:val="00864883"/>
    <w:rsid w:val="00870774"/>
    <w:rsid w:val="008735EE"/>
    <w:rsid w:val="0087521D"/>
    <w:rsid w:val="008847D7"/>
    <w:rsid w:val="0089201F"/>
    <w:rsid w:val="00895EA0"/>
    <w:rsid w:val="008A233A"/>
    <w:rsid w:val="008A303F"/>
    <w:rsid w:val="008A407B"/>
    <w:rsid w:val="008B0020"/>
    <w:rsid w:val="008B33B2"/>
    <w:rsid w:val="008B56A5"/>
    <w:rsid w:val="008D4E1D"/>
    <w:rsid w:val="008E703F"/>
    <w:rsid w:val="009233D7"/>
    <w:rsid w:val="00931EA1"/>
    <w:rsid w:val="009405FB"/>
    <w:rsid w:val="00941221"/>
    <w:rsid w:val="00943A29"/>
    <w:rsid w:val="00945CD7"/>
    <w:rsid w:val="0095503A"/>
    <w:rsid w:val="009552AB"/>
    <w:rsid w:val="0096366E"/>
    <w:rsid w:val="00965C91"/>
    <w:rsid w:val="00972FD3"/>
    <w:rsid w:val="00973D88"/>
    <w:rsid w:val="0097429E"/>
    <w:rsid w:val="009A25B4"/>
    <w:rsid w:val="009B1331"/>
    <w:rsid w:val="009B21A9"/>
    <w:rsid w:val="009B484F"/>
    <w:rsid w:val="009B4D09"/>
    <w:rsid w:val="009B5A58"/>
    <w:rsid w:val="009B7848"/>
    <w:rsid w:val="009C31D6"/>
    <w:rsid w:val="009C75D6"/>
    <w:rsid w:val="009D1C10"/>
    <w:rsid w:val="009D7BBF"/>
    <w:rsid w:val="009E683F"/>
    <w:rsid w:val="009F2D2C"/>
    <w:rsid w:val="009F79CA"/>
    <w:rsid w:val="00A008CF"/>
    <w:rsid w:val="00A00C28"/>
    <w:rsid w:val="00A029AB"/>
    <w:rsid w:val="00A1557E"/>
    <w:rsid w:val="00A265B2"/>
    <w:rsid w:val="00A348CD"/>
    <w:rsid w:val="00A36C8C"/>
    <w:rsid w:val="00A424D8"/>
    <w:rsid w:val="00A463C3"/>
    <w:rsid w:val="00A46545"/>
    <w:rsid w:val="00A52232"/>
    <w:rsid w:val="00A54ACA"/>
    <w:rsid w:val="00A579D2"/>
    <w:rsid w:val="00A61E66"/>
    <w:rsid w:val="00A62C6A"/>
    <w:rsid w:val="00A63024"/>
    <w:rsid w:val="00A64840"/>
    <w:rsid w:val="00A76206"/>
    <w:rsid w:val="00A803E8"/>
    <w:rsid w:val="00A84D15"/>
    <w:rsid w:val="00A96909"/>
    <w:rsid w:val="00AA148B"/>
    <w:rsid w:val="00AB3C1A"/>
    <w:rsid w:val="00AB769B"/>
    <w:rsid w:val="00AC6198"/>
    <w:rsid w:val="00AD51AE"/>
    <w:rsid w:val="00AD7AD7"/>
    <w:rsid w:val="00AE38FD"/>
    <w:rsid w:val="00AF5C79"/>
    <w:rsid w:val="00AF6C5F"/>
    <w:rsid w:val="00B013DD"/>
    <w:rsid w:val="00B05629"/>
    <w:rsid w:val="00B10320"/>
    <w:rsid w:val="00B205D2"/>
    <w:rsid w:val="00B214DC"/>
    <w:rsid w:val="00B21571"/>
    <w:rsid w:val="00B23FAD"/>
    <w:rsid w:val="00B250B9"/>
    <w:rsid w:val="00B31A69"/>
    <w:rsid w:val="00B3297D"/>
    <w:rsid w:val="00B36E47"/>
    <w:rsid w:val="00B51C06"/>
    <w:rsid w:val="00B84BB6"/>
    <w:rsid w:val="00B91F59"/>
    <w:rsid w:val="00B96890"/>
    <w:rsid w:val="00BA2CB3"/>
    <w:rsid w:val="00BB1BA5"/>
    <w:rsid w:val="00BB217D"/>
    <w:rsid w:val="00BC0BA5"/>
    <w:rsid w:val="00BD11ED"/>
    <w:rsid w:val="00BD40E2"/>
    <w:rsid w:val="00BD47D7"/>
    <w:rsid w:val="00BD75AD"/>
    <w:rsid w:val="00BE3597"/>
    <w:rsid w:val="00BE7BB2"/>
    <w:rsid w:val="00C02351"/>
    <w:rsid w:val="00C03D0C"/>
    <w:rsid w:val="00C04B7A"/>
    <w:rsid w:val="00C071AF"/>
    <w:rsid w:val="00C07741"/>
    <w:rsid w:val="00C10C0A"/>
    <w:rsid w:val="00C1136A"/>
    <w:rsid w:val="00C200D7"/>
    <w:rsid w:val="00C272C7"/>
    <w:rsid w:val="00C27CDB"/>
    <w:rsid w:val="00C3414F"/>
    <w:rsid w:val="00C37371"/>
    <w:rsid w:val="00C41E21"/>
    <w:rsid w:val="00C436E5"/>
    <w:rsid w:val="00C45DAB"/>
    <w:rsid w:val="00C46815"/>
    <w:rsid w:val="00C517A5"/>
    <w:rsid w:val="00C62AC6"/>
    <w:rsid w:val="00C62B69"/>
    <w:rsid w:val="00C6480E"/>
    <w:rsid w:val="00C65F6F"/>
    <w:rsid w:val="00C759CB"/>
    <w:rsid w:val="00C8108A"/>
    <w:rsid w:val="00C8680A"/>
    <w:rsid w:val="00C94011"/>
    <w:rsid w:val="00C95BA8"/>
    <w:rsid w:val="00CA0D4D"/>
    <w:rsid w:val="00CA4F92"/>
    <w:rsid w:val="00CB5324"/>
    <w:rsid w:val="00CD24BA"/>
    <w:rsid w:val="00CD7D83"/>
    <w:rsid w:val="00CE1A8D"/>
    <w:rsid w:val="00CE4F9F"/>
    <w:rsid w:val="00CE6EC2"/>
    <w:rsid w:val="00D01C4B"/>
    <w:rsid w:val="00D15ECA"/>
    <w:rsid w:val="00D1797F"/>
    <w:rsid w:val="00D227DA"/>
    <w:rsid w:val="00D26AD0"/>
    <w:rsid w:val="00D31D1F"/>
    <w:rsid w:val="00D332D4"/>
    <w:rsid w:val="00D44DEE"/>
    <w:rsid w:val="00D458D1"/>
    <w:rsid w:val="00D4635E"/>
    <w:rsid w:val="00D53B35"/>
    <w:rsid w:val="00D57C20"/>
    <w:rsid w:val="00D65772"/>
    <w:rsid w:val="00D73032"/>
    <w:rsid w:val="00D73633"/>
    <w:rsid w:val="00D82937"/>
    <w:rsid w:val="00D84E01"/>
    <w:rsid w:val="00D91F1E"/>
    <w:rsid w:val="00D92A61"/>
    <w:rsid w:val="00D96732"/>
    <w:rsid w:val="00DC0113"/>
    <w:rsid w:val="00DC0D8E"/>
    <w:rsid w:val="00DD6DD2"/>
    <w:rsid w:val="00DD7CAE"/>
    <w:rsid w:val="00DE1DEB"/>
    <w:rsid w:val="00DE1E2B"/>
    <w:rsid w:val="00DE44E9"/>
    <w:rsid w:val="00DF1744"/>
    <w:rsid w:val="00DF627A"/>
    <w:rsid w:val="00E051C9"/>
    <w:rsid w:val="00E1314A"/>
    <w:rsid w:val="00E203A2"/>
    <w:rsid w:val="00E2116A"/>
    <w:rsid w:val="00E330A9"/>
    <w:rsid w:val="00E47CA8"/>
    <w:rsid w:val="00E54C8B"/>
    <w:rsid w:val="00E56AAB"/>
    <w:rsid w:val="00E7064A"/>
    <w:rsid w:val="00E81024"/>
    <w:rsid w:val="00E818FA"/>
    <w:rsid w:val="00E82F9E"/>
    <w:rsid w:val="00E920DB"/>
    <w:rsid w:val="00E9730A"/>
    <w:rsid w:val="00EA4386"/>
    <w:rsid w:val="00EA44B0"/>
    <w:rsid w:val="00EB34B2"/>
    <w:rsid w:val="00EB4CD6"/>
    <w:rsid w:val="00EB5A7E"/>
    <w:rsid w:val="00EB7804"/>
    <w:rsid w:val="00EC3E9C"/>
    <w:rsid w:val="00EC46F9"/>
    <w:rsid w:val="00EC48AA"/>
    <w:rsid w:val="00ED2225"/>
    <w:rsid w:val="00ED2B6C"/>
    <w:rsid w:val="00ED4E00"/>
    <w:rsid w:val="00EE0C8A"/>
    <w:rsid w:val="00EF3621"/>
    <w:rsid w:val="00EF3BDF"/>
    <w:rsid w:val="00EF473A"/>
    <w:rsid w:val="00F0199C"/>
    <w:rsid w:val="00F02762"/>
    <w:rsid w:val="00F02E72"/>
    <w:rsid w:val="00F072AD"/>
    <w:rsid w:val="00F15572"/>
    <w:rsid w:val="00F20316"/>
    <w:rsid w:val="00F26CF0"/>
    <w:rsid w:val="00F26D47"/>
    <w:rsid w:val="00F2737F"/>
    <w:rsid w:val="00F33947"/>
    <w:rsid w:val="00F34163"/>
    <w:rsid w:val="00F421BF"/>
    <w:rsid w:val="00F51322"/>
    <w:rsid w:val="00F51736"/>
    <w:rsid w:val="00F51DB0"/>
    <w:rsid w:val="00F65C3C"/>
    <w:rsid w:val="00F65D90"/>
    <w:rsid w:val="00F666F1"/>
    <w:rsid w:val="00F83B82"/>
    <w:rsid w:val="00F941DF"/>
    <w:rsid w:val="00F9612F"/>
    <w:rsid w:val="00FA421C"/>
    <w:rsid w:val="00FA5F4E"/>
    <w:rsid w:val="00FA64A4"/>
    <w:rsid w:val="00FB1F51"/>
    <w:rsid w:val="00FB2E9A"/>
    <w:rsid w:val="00FC4B7F"/>
    <w:rsid w:val="00FC6A9C"/>
    <w:rsid w:val="00FD051C"/>
    <w:rsid w:val="00FD22E5"/>
    <w:rsid w:val="00FD2AA3"/>
    <w:rsid w:val="00FE3FD1"/>
    <w:rsid w:val="00FE4A9D"/>
    <w:rsid w:val="00FF0585"/>
    <w:rsid w:val="00FF171E"/>
    <w:rsid w:val="00FF1C79"/>
    <w:rsid w:val="00FF3972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5670D"/>
  <w15:chartTrackingRefBased/>
  <w15:docId w15:val="{F35ADF81-F0C0-421A-9B88-A5E4BA1B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34163"/>
    <w:rPr>
      <w:sz w:val="20"/>
    </w:rPr>
  </w:style>
  <w:style w:type="character" w:customStyle="1" w:styleId="KomentarotekstasDiagrama">
    <w:name w:val="Komentaro tekstas Diagrama"/>
    <w:link w:val="Komentarotekstas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F34163"/>
    <w:rPr>
      <w:b/>
      <w:bCs/>
    </w:rPr>
  </w:style>
  <w:style w:type="character" w:customStyle="1" w:styleId="KomentarotemaDiagrama">
    <w:name w:val="Komentaro tema Diagrama"/>
    <w:link w:val="Komentarotema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rsid w:val="00F34163"/>
    <w:pPr>
      <w:ind w:left="1276" w:hanging="567"/>
    </w:pPr>
  </w:style>
  <w:style w:type="paragraph" w:customStyle="1" w:styleId="AHeader2abc">
    <w:name w:val="AHeader 2 abc"/>
    <w:basedOn w:val="AHeader3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rsid w:val="00F34163"/>
    <w:rPr>
      <w:rFonts w:cs="Times New Roman"/>
      <w:color w:val="800080"/>
      <w:u w:val="single"/>
    </w:rPr>
  </w:style>
  <w:style w:type="character" w:styleId="Grietas">
    <w:name w:val="Strong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numbering" w:customStyle="1" w:styleId="NoList1">
    <w:name w:val="No List1"/>
    <w:next w:val="Sraonra"/>
    <w:uiPriority w:val="99"/>
    <w:semiHidden/>
    <w:unhideWhenUsed/>
    <w:rsid w:val="00776FBE"/>
  </w:style>
  <w:style w:type="table" w:styleId="Lentelstinklelis">
    <w:name w:val="Table Grid"/>
    <w:basedOn w:val="prastojilentel"/>
    <w:rsid w:val="00776F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04B7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uiPriority w:val="99"/>
    <w:semiHidden/>
    <w:unhideWhenUsed/>
    <w:rsid w:val="008B56A5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025BA"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46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vkt.lrv.lt/l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vkt.lrv.lt/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vkt.lrv.lt/lt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238C-408D-481C-B795-D1632BCE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6785</Words>
  <Characters>50352</Characters>
  <Application>Microsoft Office Word</Application>
  <DocSecurity>0</DocSecurity>
  <Lines>419</Lines>
  <Paragraphs>114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57023</CharactersWithSpaces>
  <SharedDoc>false</SharedDoc>
  <HLinks>
    <vt:vector size="30" baseType="variant"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6160439</vt:i4>
      </vt:variant>
      <vt:variant>
        <vt:i4>9</vt:i4>
      </vt:variant>
      <vt:variant>
        <vt:i4>0</vt:i4>
      </vt:variant>
      <vt:variant>
        <vt:i4>5</vt:i4>
      </vt:variant>
      <vt:variant>
        <vt:lpwstr>NepageidaujamaR@vvkt.lt</vt:lpwstr>
      </vt:variant>
      <vt:variant>
        <vt:lpwstr/>
      </vt:variant>
      <vt:variant>
        <vt:i4>4522058</vt:i4>
      </vt:variant>
      <vt:variant>
        <vt:i4>6</vt:i4>
      </vt:variant>
      <vt:variant>
        <vt:i4>0</vt:i4>
      </vt:variant>
      <vt:variant>
        <vt:i4>5</vt:i4>
      </vt:variant>
      <vt:variant>
        <vt:lpwstr>https://www.vvkt.lt/index.php?4004286486</vt:lpwstr>
      </vt:variant>
      <vt:variant>
        <vt:lpwstr/>
      </vt:variant>
      <vt:variant>
        <vt:i4>3014769</vt:i4>
      </vt:variant>
      <vt:variant>
        <vt:i4>3</vt:i4>
      </vt:variant>
      <vt:variant>
        <vt:i4>0</vt:i4>
      </vt:variant>
      <vt:variant>
        <vt:i4>5</vt:i4>
      </vt:variant>
      <vt:variant>
        <vt:lpwstr>https://vapris.vvkt.lt/vvkt-web/public/nrv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Albina Burkauskaitė</cp:lastModifiedBy>
  <cp:revision>3</cp:revision>
  <cp:lastPrinted>2025-01-03T14:49:00Z</cp:lastPrinted>
  <dcterms:created xsi:type="dcterms:W3CDTF">2025-03-19T12:24:00Z</dcterms:created>
  <dcterms:modified xsi:type="dcterms:W3CDTF">2025-03-19T12:28:00Z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1188cc0848238a3e185311f2112ca2c8c017e51a630e4984cc8f1ec13cd6a8ff</vt:lpwstr>
  </property>
</Properties>
</file>