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0F5D" w14:textId="77777777" w:rsidR="001E5C66" w:rsidRPr="00273A3E" w:rsidRDefault="001E5C66" w:rsidP="00363B73">
      <w:pPr>
        <w:pStyle w:val="Pagrindinistekstas"/>
        <w:tabs>
          <w:tab w:val="left" w:pos="567"/>
        </w:tabs>
        <w:spacing w:after="0"/>
        <w:rPr>
          <w:szCs w:val="22"/>
        </w:rPr>
      </w:pPr>
      <w:bookmarkStart w:id="0" w:name="_Hlk97462427"/>
      <w:bookmarkEnd w:id="0"/>
    </w:p>
    <w:p w14:paraId="3E692001" w14:textId="77777777" w:rsidR="001E5C66" w:rsidRPr="00273A3E" w:rsidRDefault="001E5C66" w:rsidP="00363B73">
      <w:pPr>
        <w:pStyle w:val="Pagrindinistekstas"/>
        <w:tabs>
          <w:tab w:val="left" w:pos="567"/>
        </w:tabs>
        <w:spacing w:after="0"/>
        <w:rPr>
          <w:szCs w:val="22"/>
        </w:rPr>
      </w:pPr>
    </w:p>
    <w:p w14:paraId="61FDA033" w14:textId="77777777" w:rsidR="001E5C66" w:rsidRPr="00273A3E" w:rsidRDefault="001E5C66" w:rsidP="00363B73">
      <w:pPr>
        <w:pStyle w:val="Pagrindinistekstas"/>
        <w:tabs>
          <w:tab w:val="left" w:pos="567"/>
        </w:tabs>
        <w:spacing w:after="0"/>
        <w:rPr>
          <w:szCs w:val="22"/>
        </w:rPr>
      </w:pPr>
    </w:p>
    <w:p w14:paraId="59F7BC90" w14:textId="77777777" w:rsidR="001E5C66" w:rsidRPr="00273A3E" w:rsidRDefault="001E5C66" w:rsidP="00363B73">
      <w:pPr>
        <w:pStyle w:val="Pagrindinistekstas"/>
        <w:tabs>
          <w:tab w:val="left" w:pos="567"/>
        </w:tabs>
        <w:spacing w:after="0"/>
        <w:rPr>
          <w:szCs w:val="22"/>
        </w:rPr>
      </w:pPr>
    </w:p>
    <w:p w14:paraId="1009B9B5" w14:textId="77777777" w:rsidR="001E5C66" w:rsidRPr="00273A3E" w:rsidRDefault="001E5C66" w:rsidP="00363B73">
      <w:pPr>
        <w:pStyle w:val="Pagrindinistekstas"/>
        <w:tabs>
          <w:tab w:val="left" w:pos="567"/>
        </w:tabs>
        <w:spacing w:after="0"/>
        <w:rPr>
          <w:szCs w:val="22"/>
        </w:rPr>
      </w:pPr>
    </w:p>
    <w:p w14:paraId="6025FC9D" w14:textId="77777777" w:rsidR="001E5C66" w:rsidRPr="00273A3E" w:rsidRDefault="001E5C66" w:rsidP="00363B73">
      <w:pPr>
        <w:pStyle w:val="Pagrindinistekstas"/>
        <w:tabs>
          <w:tab w:val="left" w:pos="567"/>
        </w:tabs>
        <w:spacing w:after="0"/>
        <w:rPr>
          <w:szCs w:val="22"/>
        </w:rPr>
      </w:pPr>
    </w:p>
    <w:p w14:paraId="2C590527" w14:textId="77777777" w:rsidR="001E5C66" w:rsidRPr="00273A3E" w:rsidRDefault="001E5C66" w:rsidP="00363B73">
      <w:pPr>
        <w:pStyle w:val="Pagrindinistekstas"/>
        <w:tabs>
          <w:tab w:val="left" w:pos="567"/>
        </w:tabs>
        <w:spacing w:after="0"/>
        <w:rPr>
          <w:szCs w:val="22"/>
        </w:rPr>
      </w:pPr>
    </w:p>
    <w:p w14:paraId="6E277525" w14:textId="77777777" w:rsidR="001E5C66" w:rsidRPr="00273A3E" w:rsidRDefault="001E5C66" w:rsidP="00363B73">
      <w:pPr>
        <w:pStyle w:val="Pagrindinistekstas"/>
        <w:tabs>
          <w:tab w:val="left" w:pos="567"/>
        </w:tabs>
        <w:spacing w:after="0"/>
        <w:rPr>
          <w:szCs w:val="22"/>
        </w:rPr>
      </w:pPr>
    </w:p>
    <w:p w14:paraId="7AC5ED52" w14:textId="77777777" w:rsidR="001E5C66" w:rsidRPr="00273A3E" w:rsidRDefault="001E5C66" w:rsidP="00363B73">
      <w:pPr>
        <w:pStyle w:val="Pagrindinistekstas"/>
        <w:tabs>
          <w:tab w:val="left" w:pos="567"/>
        </w:tabs>
        <w:spacing w:after="0"/>
        <w:rPr>
          <w:szCs w:val="22"/>
        </w:rPr>
      </w:pPr>
    </w:p>
    <w:p w14:paraId="162E5DC0" w14:textId="77777777" w:rsidR="001E5C66" w:rsidRPr="00273A3E" w:rsidRDefault="001E5C66" w:rsidP="00363B73">
      <w:pPr>
        <w:pStyle w:val="Pagrindinistekstas"/>
        <w:tabs>
          <w:tab w:val="left" w:pos="567"/>
        </w:tabs>
        <w:spacing w:after="0"/>
        <w:rPr>
          <w:szCs w:val="22"/>
        </w:rPr>
      </w:pPr>
    </w:p>
    <w:p w14:paraId="0BCF4514" w14:textId="77777777" w:rsidR="001E5C66" w:rsidRPr="00273A3E" w:rsidRDefault="001E5C66" w:rsidP="00363B73">
      <w:pPr>
        <w:pStyle w:val="Pagrindinistekstas"/>
        <w:tabs>
          <w:tab w:val="left" w:pos="567"/>
        </w:tabs>
        <w:spacing w:after="0"/>
        <w:rPr>
          <w:szCs w:val="22"/>
        </w:rPr>
      </w:pPr>
    </w:p>
    <w:p w14:paraId="2999B7D4" w14:textId="77777777" w:rsidR="001E5C66" w:rsidRPr="00273A3E" w:rsidRDefault="001E5C66" w:rsidP="00363B73">
      <w:pPr>
        <w:pStyle w:val="Pagrindinistekstas"/>
        <w:tabs>
          <w:tab w:val="left" w:pos="567"/>
        </w:tabs>
        <w:spacing w:after="0"/>
        <w:rPr>
          <w:szCs w:val="22"/>
        </w:rPr>
      </w:pPr>
    </w:p>
    <w:p w14:paraId="092E1643" w14:textId="77777777" w:rsidR="001E5C66" w:rsidRPr="00273A3E" w:rsidRDefault="001E5C66" w:rsidP="00363B73">
      <w:pPr>
        <w:pStyle w:val="Pagrindinistekstas"/>
        <w:tabs>
          <w:tab w:val="left" w:pos="567"/>
        </w:tabs>
        <w:spacing w:after="0"/>
        <w:rPr>
          <w:szCs w:val="22"/>
        </w:rPr>
      </w:pPr>
    </w:p>
    <w:p w14:paraId="4818BE70" w14:textId="77777777" w:rsidR="001E5C66" w:rsidRPr="00273A3E" w:rsidRDefault="001E5C66" w:rsidP="00363B73">
      <w:pPr>
        <w:pStyle w:val="Pagrindinistekstas"/>
        <w:tabs>
          <w:tab w:val="left" w:pos="567"/>
        </w:tabs>
        <w:spacing w:after="0"/>
        <w:rPr>
          <w:szCs w:val="22"/>
        </w:rPr>
      </w:pPr>
    </w:p>
    <w:p w14:paraId="784EAE11" w14:textId="77777777" w:rsidR="001E5C66" w:rsidRPr="00273A3E" w:rsidRDefault="001E5C66" w:rsidP="00363B73">
      <w:pPr>
        <w:pStyle w:val="Pagrindinistekstas"/>
        <w:tabs>
          <w:tab w:val="left" w:pos="567"/>
        </w:tabs>
        <w:spacing w:after="0"/>
        <w:rPr>
          <w:szCs w:val="22"/>
        </w:rPr>
      </w:pPr>
    </w:p>
    <w:p w14:paraId="7D78CB24" w14:textId="77777777" w:rsidR="001E5C66" w:rsidRPr="00273A3E" w:rsidRDefault="001E5C66" w:rsidP="00363B73">
      <w:pPr>
        <w:pStyle w:val="Pagrindinistekstas"/>
        <w:tabs>
          <w:tab w:val="left" w:pos="567"/>
        </w:tabs>
        <w:spacing w:after="0"/>
        <w:rPr>
          <w:szCs w:val="22"/>
        </w:rPr>
      </w:pPr>
    </w:p>
    <w:p w14:paraId="1E1625C8" w14:textId="77777777" w:rsidR="001E5C66" w:rsidRPr="00273A3E" w:rsidRDefault="001E5C66" w:rsidP="00363B73">
      <w:pPr>
        <w:pStyle w:val="Pagrindinistekstas"/>
        <w:tabs>
          <w:tab w:val="left" w:pos="567"/>
        </w:tabs>
        <w:spacing w:after="0"/>
        <w:rPr>
          <w:szCs w:val="22"/>
        </w:rPr>
      </w:pPr>
    </w:p>
    <w:p w14:paraId="52B42D51" w14:textId="77777777" w:rsidR="001E5C66" w:rsidRPr="00273A3E" w:rsidRDefault="001E5C66" w:rsidP="00363B73">
      <w:pPr>
        <w:pStyle w:val="Pagrindinistekstas"/>
        <w:tabs>
          <w:tab w:val="left" w:pos="567"/>
        </w:tabs>
        <w:spacing w:after="0"/>
        <w:rPr>
          <w:szCs w:val="22"/>
        </w:rPr>
      </w:pPr>
    </w:p>
    <w:p w14:paraId="653B5716" w14:textId="77777777" w:rsidR="001E5C66" w:rsidRPr="00273A3E" w:rsidRDefault="001E5C66" w:rsidP="00363B73">
      <w:pPr>
        <w:pStyle w:val="Pagrindinistekstas"/>
        <w:tabs>
          <w:tab w:val="left" w:pos="567"/>
        </w:tabs>
        <w:spacing w:after="0"/>
        <w:rPr>
          <w:szCs w:val="22"/>
        </w:rPr>
      </w:pPr>
    </w:p>
    <w:p w14:paraId="3088DEF4" w14:textId="77777777" w:rsidR="001E5C66" w:rsidRPr="00273A3E" w:rsidRDefault="001E5C66" w:rsidP="00363B73">
      <w:pPr>
        <w:pStyle w:val="Pagrindinistekstas"/>
        <w:tabs>
          <w:tab w:val="left" w:pos="567"/>
        </w:tabs>
        <w:spacing w:after="0"/>
        <w:rPr>
          <w:szCs w:val="22"/>
        </w:rPr>
      </w:pPr>
    </w:p>
    <w:p w14:paraId="0DDE0911" w14:textId="77777777" w:rsidR="001E5C66" w:rsidRPr="00273A3E" w:rsidRDefault="001E5C66" w:rsidP="00363B73">
      <w:pPr>
        <w:pStyle w:val="Pagrindinistekstas"/>
        <w:tabs>
          <w:tab w:val="left" w:pos="567"/>
        </w:tabs>
        <w:spacing w:after="0"/>
        <w:rPr>
          <w:szCs w:val="22"/>
        </w:rPr>
      </w:pPr>
    </w:p>
    <w:p w14:paraId="1A0E7D29" w14:textId="77777777" w:rsidR="001E5C66" w:rsidRPr="00273A3E" w:rsidRDefault="001E5C66" w:rsidP="00363B73">
      <w:pPr>
        <w:pStyle w:val="Pagrindinistekstas"/>
        <w:tabs>
          <w:tab w:val="left" w:pos="567"/>
        </w:tabs>
        <w:spacing w:after="0"/>
        <w:rPr>
          <w:szCs w:val="22"/>
        </w:rPr>
      </w:pPr>
    </w:p>
    <w:p w14:paraId="38E45946" w14:textId="77777777" w:rsidR="001E5C66" w:rsidRPr="00273A3E" w:rsidRDefault="001E5C66" w:rsidP="00363B73">
      <w:pPr>
        <w:pStyle w:val="Pagrindinistekstas"/>
        <w:tabs>
          <w:tab w:val="left" w:pos="567"/>
        </w:tabs>
        <w:spacing w:after="0"/>
        <w:rPr>
          <w:szCs w:val="22"/>
        </w:rPr>
      </w:pPr>
    </w:p>
    <w:p w14:paraId="2B41A1EE" w14:textId="77777777" w:rsidR="001E5C66" w:rsidRPr="00273A3E" w:rsidRDefault="001E5C66" w:rsidP="00363B73">
      <w:pPr>
        <w:pStyle w:val="Pavadinimas"/>
        <w:tabs>
          <w:tab w:val="left" w:pos="567"/>
        </w:tabs>
        <w:outlineLvl w:val="9"/>
        <w:rPr>
          <w:szCs w:val="22"/>
        </w:rPr>
      </w:pPr>
      <w:r w:rsidRPr="00273A3E">
        <w:rPr>
          <w:szCs w:val="22"/>
        </w:rPr>
        <w:t>I PRIEDAS</w:t>
      </w:r>
    </w:p>
    <w:p w14:paraId="0FEDF697" w14:textId="77777777" w:rsidR="001E5C66" w:rsidRPr="00273A3E" w:rsidRDefault="001E5C66" w:rsidP="00363B73">
      <w:pPr>
        <w:pStyle w:val="Pagrindinistekstas"/>
        <w:tabs>
          <w:tab w:val="left" w:pos="567"/>
        </w:tabs>
        <w:spacing w:after="0"/>
        <w:rPr>
          <w:szCs w:val="22"/>
        </w:rPr>
      </w:pPr>
    </w:p>
    <w:p w14:paraId="3719AB24" w14:textId="77777777" w:rsidR="001E5C66" w:rsidRPr="00273A3E" w:rsidRDefault="001E5C66" w:rsidP="00363B73">
      <w:pPr>
        <w:pStyle w:val="Pavadinimas"/>
        <w:tabs>
          <w:tab w:val="left" w:pos="567"/>
        </w:tabs>
        <w:outlineLvl w:val="9"/>
        <w:rPr>
          <w:szCs w:val="22"/>
        </w:rPr>
      </w:pPr>
      <w:r w:rsidRPr="00273A3E">
        <w:rPr>
          <w:szCs w:val="22"/>
        </w:rPr>
        <w:t>PREPARATO CHARAKTERISTIKŲ SANTRAUKA</w:t>
      </w:r>
    </w:p>
    <w:p w14:paraId="6EC744F7" w14:textId="77777777" w:rsidR="001E5C66" w:rsidRPr="00273A3E" w:rsidRDefault="001E5C66" w:rsidP="00363B73">
      <w:pPr>
        <w:pStyle w:val="Pagrindinistekstas"/>
        <w:tabs>
          <w:tab w:val="left" w:pos="567"/>
        </w:tabs>
        <w:spacing w:after="0"/>
        <w:rPr>
          <w:szCs w:val="22"/>
        </w:rPr>
      </w:pPr>
    </w:p>
    <w:p w14:paraId="6DAD9D1B" w14:textId="77777777" w:rsidR="009D7D8C" w:rsidRPr="00273A3E" w:rsidRDefault="009D7D8C" w:rsidP="00363B73">
      <w:pPr>
        <w:tabs>
          <w:tab w:val="left" w:pos="567"/>
        </w:tabs>
        <w:spacing w:after="0" w:line="240" w:lineRule="auto"/>
        <w:rPr>
          <w:rFonts w:ascii="Times New Roman" w:hAnsi="Times New Roman"/>
          <w:lang w:val="lt-LT"/>
        </w:rPr>
      </w:pPr>
    </w:p>
    <w:p w14:paraId="38710BDF"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br w:type="page"/>
      </w:r>
      <w:r w:rsidRPr="00273A3E">
        <w:rPr>
          <w:rFonts w:ascii="Times New Roman" w:hAnsi="Times New Roman"/>
          <w:b/>
          <w:lang w:val="lt-LT"/>
        </w:rPr>
        <w:lastRenderedPageBreak/>
        <w:t>1</w:t>
      </w:r>
      <w:r w:rsidRPr="00273A3E">
        <w:rPr>
          <w:rFonts w:ascii="Times New Roman" w:hAnsi="Times New Roman"/>
          <w:lang w:val="lt-LT"/>
        </w:rPr>
        <w:t>.</w:t>
      </w:r>
      <w:r w:rsidRPr="00273A3E">
        <w:rPr>
          <w:rFonts w:ascii="Times New Roman" w:hAnsi="Times New Roman"/>
          <w:lang w:val="lt-LT"/>
        </w:rPr>
        <w:tab/>
      </w:r>
      <w:r w:rsidRPr="00273A3E">
        <w:rPr>
          <w:rFonts w:ascii="Times New Roman" w:hAnsi="Times New Roman"/>
          <w:b/>
          <w:lang w:val="lt-LT"/>
        </w:rPr>
        <w:t>VAISTINIO PREPARATO PAVADINIMAS</w:t>
      </w:r>
    </w:p>
    <w:p w14:paraId="63E1359D" w14:textId="77777777" w:rsidR="001E5C66" w:rsidRPr="00273A3E" w:rsidRDefault="001E5C66" w:rsidP="00363B73">
      <w:pPr>
        <w:pStyle w:val="Default"/>
        <w:tabs>
          <w:tab w:val="left" w:pos="567"/>
        </w:tabs>
        <w:rPr>
          <w:rFonts w:ascii="Times New Roman" w:hAnsi="Times New Roman" w:cs="Times New Roman"/>
          <w:sz w:val="22"/>
          <w:szCs w:val="22"/>
          <w:lang w:val="lt-LT"/>
        </w:rPr>
      </w:pPr>
    </w:p>
    <w:p w14:paraId="51D2AC70" w14:textId="77777777" w:rsidR="001E5C66" w:rsidRPr="00273A3E" w:rsidRDefault="00C86E9E" w:rsidP="00363B73">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757514" w:rsidRPr="00273A3E">
        <w:rPr>
          <w:rFonts w:ascii="Times New Roman" w:hAnsi="Times New Roman"/>
          <w:lang w:val="lt-LT"/>
        </w:rPr>
        <w:t>250</w:t>
      </w:r>
      <w:r w:rsidR="00FF0074" w:rsidRPr="00273A3E">
        <w:rPr>
          <w:rFonts w:ascii="Times New Roman" w:hAnsi="Times New Roman"/>
          <w:lang w:val="lt-LT"/>
        </w:rPr>
        <w:t> mg</w:t>
      </w:r>
      <w:r w:rsidR="00685511" w:rsidRPr="00273A3E">
        <w:rPr>
          <w:rFonts w:ascii="Times New Roman" w:hAnsi="Times New Roman"/>
          <w:lang w:val="lt-LT"/>
        </w:rPr>
        <w:t xml:space="preserve"> </w:t>
      </w:r>
      <w:r w:rsidR="00757514" w:rsidRPr="00273A3E">
        <w:rPr>
          <w:rFonts w:ascii="Times New Roman" w:hAnsi="Times New Roman"/>
          <w:lang w:val="lt-LT"/>
        </w:rPr>
        <w:t>injekcinis tirpalas užpildytame švirkšte</w:t>
      </w:r>
    </w:p>
    <w:p w14:paraId="1A2E2DD1" w14:textId="77777777" w:rsidR="00757514" w:rsidRPr="00273A3E" w:rsidRDefault="00757514" w:rsidP="00363B73">
      <w:pPr>
        <w:tabs>
          <w:tab w:val="left" w:pos="567"/>
        </w:tabs>
        <w:spacing w:after="0" w:line="240" w:lineRule="auto"/>
        <w:rPr>
          <w:rFonts w:ascii="Times New Roman" w:hAnsi="Times New Roman"/>
          <w:lang w:val="lt-LT"/>
        </w:rPr>
      </w:pPr>
    </w:p>
    <w:p w14:paraId="78A05854" w14:textId="77777777" w:rsidR="00757514" w:rsidRPr="00273A3E" w:rsidRDefault="00757514" w:rsidP="00363B73">
      <w:pPr>
        <w:tabs>
          <w:tab w:val="left" w:pos="567"/>
        </w:tabs>
        <w:spacing w:after="0" w:line="240" w:lineRule="auto"/>
        <w:rPr>
          <w:rFonts w:ascii="Times New Roman" w:hAnsi="Times New Roman"/>
          <w:lang w:val="lt-LT"/>
        </w:rPr>
      </w:pPr>
    </w:p>
    <w:p w14:paraId="3A699191"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b/>
          <w:lang w:val="lt-LT"/>
        </w:rPr>
        <w:t>2</w:t>
      </w:r>
      <w:r w:rsidRPr="00273A3E">
        <w:rPr>
          <w:rFonts w:ascii="Times New Roman" w:hAnsi="Times New Roman"/>
          <w:lang w:val="lt-LT"/>
        </w:rPr>
        <w:t>.</w:t>
      </w:r>
      <w:r w:rsidRPr="00273A3E">
        <w:rPr>
          <w:rFonts w:ascii="Times New Roman" w:hAnsi="Times New Roman"/>
          <w:lang w:val="lt-LT"/>
        </w:rPr>
        <w:tab/>
      </w:r>
      <w:r w:rsidRPr="00273A3E">
        <w:rPr>
          <w:rFonts w:ascii="Times New Roman" w:hAnsi="Times New Roman"/>
          <w:b/>
          <w:lang w:val="lt-LT"/>
        </w:rPr>
        <w:t>KOKYBINĖ IR KIEKYBINĖ SUDĖTIS</w:t>
      </w:r>
    </w:p>
    <w:p w14:paraId="7F0235AC" w14:textId="77777777" w:rsidR="001E5C66" w:rsidRPr="00273A3E" w:rsidRDefault="001E5C66" w:rsidP="00363B73">
      <w:pPr>
        <w:tabs>
          <w:tab w:val="left" w:pos="567"/>
        </w:tabs>
        <w:spacing w:after="0" w:line="240" w:lineRule="auto"/>
        <w:rPr>
          <w:rFonts w:ascii="Times New Roman" w:hAnsi="Times New Roman"/>
          <w:lang w:val="lt-LT"/>
        </w:rPr>
      </w:pPr>
    </w:p>
    <w:p w14:paraId="12D20B10" w14:textId="77777777" w:rsidR="00010A37" w:rsidRPr="00273A3E" w:rsidRDefault="00C86E9E" w:rsidP="00363B73">
      <w:pPr>
        <w:tabs>
          <w:tab w:val="left" w:pos="567"/>
        </w:tabs>
        <w:spacing w:after="0" w:line="240" w:lineRule="auto"/>
        <w:rPr>
          <w:rFonts w:ascii="Times New Roman" w:hAnsi="Times New Roman"/>
          <w:lang w:val="lt-LT"/>
        </w:rPr>
      </w:pPr>
      <w:r w:rsidRPr="00273A3E">
        <w:rPr>
          <w:rFonts w:ascii="Times New Roman" w:hAnsi="Times New Roman"/>
          <w:lang w:val="lt-LT"/>
        </w:rPr>
        <w:t>V</w:t>
      </w:r>
      <w:r w:rsidR="001E5C66" w:rsidRPr="00273A3E">
        <w:rPr>
          <w:rFonts w:ascii="Times New Roman" w:hAnsi="Times New Roman"/>
          <w:lang w:val="lt-LT"/>
        </w:rPr>
        <w:t xml:space="preserve">iename užpildytame </w:t>
      </w:r>
      <w:r w:rsidR="00105FE8" w:rsidRPr="00273A3E">
        <w:rPr>
          <w:rFonts w:ascii="Times New Roman" w:hAnsi="Times New Roman"/>
          <w:lang w:val="lt-LT"/>
        </w:rPr>
        <w:t xml:space="preserve">švirkšte </w:t>
      </w:r>
      <w:r w:rsidR="00591C7F" w:rsidRPr="00273A3E">
        <w:rPr>
          <w:rFonts w:ascii="Times New Roman" w:hAnsi="Times New Roman"/>
          <w:lang w:val="lt-LT"/>
        </w:rPr>
        <w:t>(5</w:t>
      </w:r>
      <w:r w:rsidR="00FF0074" w:rsidRPr="00273A3E">
        <w:rPr>
          <w:rFonts w:ascii="Times New Roman" w:hAnsi="Times New Roman"/>
          <w:lang w:val="lt-LT"/>
        </w:rPr>
        <w:t> ml</w:t>
      </w:r>
      <w:r w:rsidR="00591C7F" w:rsidRPr="00273A3E">
        <w:rPr>
          <w:rFonts w:ascii="Times New Roman" w:hAnsi="Times New Roman"/>
          <w:lang w:val="lt-LT"/>
        </w:rPr>
        <w:t xml:space="preserve"> tirpalo) </w:t>
      </w:r>
      <w:r w:rsidR="001E5C66" w:rsidRPr="00273A3E">
        <w:rPr>
          <w:rFonts w:ascii="Times New Roman" w:hAnsi="Times New Roman"/>
          <w:lang w:val="lt-LT"/>
        </w:rPr>
        <w:t>yra 250</w:t>
      </w:r>
      <w:r w:rsidR="00FF0074" w:rsidRPr="00273A3E">
        <w:rPr>
          <w:rFonts w:ascii="Times New Roman" w:hAnsi="Times New Roman"/>
          <w:lang w:val="lt-LT"/>
        </w:rPr>
        <w:t> mg</w:t>
      </w:r>
      <w:r w:rsidR="001E5C66" w:rsidRPr="00273A3E">
        <w:rPr>
          <w:rFonts w:ascii="Times New Roman" w:hAnsi="Times New Roman"/>
          <w:lang w:val="lt-LT"/>
        </w:rPr>
        <w:t xml:space="preserve"> </w:t>
      </w:r>
      <w:proofErr w:type="spellStart"/>
      <w:r w:rsidR="001E5C66" w:rsidRPr="00273A3E">
        <w:rPr>
          <w:rFonts w:ascii="Times New Roman" w:hAnsi="Times New Roman"/>
          <w:lang w:val="lt-LT"/>
        </w:rPr>
        <w:t>fulvestranto</w:t>
      </w:r>
      <w:proofErr w:type="spellEnd"/>
      <w:r w:rsidR="00591C7F" w:rsidRPr="00273A3E">
        <w:rPr>
          <w:rFonts w:ascii="Times New Roman" w:hAnsi="Times New Roman"/>
          <w:lang w:val="lt-LT"/>
        </w:rPr>
        <w:t>.</w:t>
      </w:r>
      <w:r w:rsidR="00CE7C9E" w:rsidRPr="00273A3E">
        <w:rPr>
          <w:rFonts w:ascii="Times New Roman" w:hAnsi="Times New Roman"/>
          <w:lang w:val="lt-LT"/>
        </w:rPr>
        <w:t xml:space="preserve"> </w:t>
      </w:r>
    </w:p>
    <w:p w14:paraId="1EFF16CB" w14:textId="77777777" w:rsidR="001E5C66" w:rsidRPr="00273A3E" w:rsidRDefault="001E5C66" w:rsidP="00363B73">
      <w:pPr>
        <w:tabs>
          <w:tab w:val="left" w:pos="567"/>
        </w:tabs>
        <w:spacing w:after="0" w:line="240" w:lineRule="auto"/>
        <w:rPr>
          <w:rFonts w:ascii="Times New Roman" w:hAnsi="Times New Roman"/>
          <w:lang w:val="lt-LT"/>
        </w:rPr>
      </w:pPr>
    </w:p>
    <w:p w14:paraId="3B1A2324" w14:textId="77777777" w:rsidR="00AA68B8" w:rsidRPr="00273A3E" w:rsidRDefault="001E5C66" w:rsidP="00363B73">
      <w:pPr>
        <w:tabs>
          <w:tab w:val="left" w:pos="567"/>
        </w:tabs>
        <w:spacing w:after="0" w:line="240" w:lineRule="auto"/>
        <w:jc w:val="both"/>
        <w:rPr>
          <w:rFonts w:ascii="Times New Roman" w:hAnsi="Times New Roman"/>
          <w:u w:val="single"/>
          <w:lang w:val="lt-LT"/>
        </w:rPr>
      </w:pPr>
      <w:r w:rsidRPr="00273A3E">
        <w:rPr>
          <w:rFonts w:ascii="Times New Roman" w:hAnsi="Times New Roman"/>
          <w:u w:val="single"/>
          <w:lang w:val="lt-LT"/>
        </w:rPr>
        <w:t>Pagalbinės medžiagos, kurių poveikis žinomas</w:t>
      </w:r>
      <w:r w:rsidR="00CE7C9E" w:rsidRPr="00273A3E">
        <w:rPr>
          <w:rFonts w:ascii="Times New Roman" w:hAnsi="Times New Roman"/>
          <w:u w:val="single"/>
          <w:lang w:val="lt-LT"/>
        </w:rPr>
        <w:t xml:space="preserve"> (5 ml)</w:t>
      </w:r>
    </w:p>
    <w:p w14:paraId="74C2FB29" w14:textId="77777777" w:rsidR="00CE7C9E" w:rsidRPr="00273A3E" w:rsidRDefault="00CE7C9E" w:rsidP="00363B73">
      <w:pPr>
        <w:tabs>
          <w:tab w:val="left" w:pos="567"/>
        </w:tabs>
        <w:spacing w:after="0" w:line="240" w:lineRule="auto"/>
        <w:jc w:val="both"/>
        <w:rPr>
          <w:rFonts w:ascii="Times New Roman" w:hAnsi="Times New Roman"/>
          <w:lang w:val="lt-LT"/>
        </w:rPr>
      </w:pPr>
      <w:r w:rsidRPr="00273A3E">
        <w:rPr>
          <w:rFonts w:ascii="Times New Roman" w:hAnsi="Times New Roman"/>
          <w:lang w:val="lt-LT"/>
        </w:rPr>
        <w:t>E</w:t>
      </w:r>
      <w:r w:rsidR="00012E5C" w:rsidRPr="00273A3E">
        <w:rPr>
          <w:rFonts w:ascii="Times New Roman" w:hAnsi="Times New Roman"/>
          <w:lang w:val="lt-LT"/>
        </w:rPr>
        <w:t>tanoli</w:t>
      </w:r>
      <w:r w:rsidRPr="00273A3E">
        <w:rPr>
          <w:rFonts w:ascii="Times New Roman" w:hAnsi="Times New Roman"/>
          <w:lang w:val="lt-LT"/>
        </w:rPr>
        <w:t>s</w:t>
      </w:r>
      <w:r w:rsidR="00012E5C" w:rsidRPr="00273A3E">
        <w:rPr>
          <w:rFonts w:ascii="Times New Roman" w:hAnsi="Times New Roman"/>
          <w:lang w:val="lt-LT"/>
        </w:rPr>
        <w:t xml:space="preserve"> (96 </w:t>
      </w:r>
      <w:bookmarkStart w:id="1" w:name="_Hlk97123187"/>
      <w:r w:rsidR="00012E5C" w:rsidRPr="00273A3E">
        <w:rPr>
          <w:rFonts w:ascii="Times New Roman" w:hAnsi="Times New Roman"/>
          <w:lang w:val="lt-LT"/>
        </w:rPr>
        <w:t>%</w:t>
      </w:r>
      <w:bookmarkEnd w:id="1"/>
      <w:r w:rsidRPr="00273A3E">
        <w:rPr>
          <w:rFonts w:ascii="Times New Roman" w:hAnsi="Times New Roman"/>
          <w:lang w:val="lt-LT"/>
        </w:rPr>
        <w:t>, 500 mg</w:t>
      </w:r>
      <w:r w:rsidR="00012E5C" w:rsidRPr="00273A3E">
        <w:rPr>
          <w:rFonts w:ascii="Times New Roman" w:hAnsi="Times New Roman"/>
          <w:lang w:val="lt-LT"/>
        </w:rPr>
        <w:t>)</w:t>
      </w:r>
    </w:p>
    <w:p w14:paraId="772A40FD" w14:textId="77777777" w:rsidR="00CE7C9E" w:rsidRPr="00273A3E" w:rsidRDefault="00CE7C9E" w:rsidP="00363B73">
      <w:pPr>
        <w:tabs>
          <w:tab w:val="left" w:pos="567"/>
        </w:tabs>
        <w:spacing w:after="0" w:line="240" w:lineRule="auto"/>
        <w:jc w:val="both"/>
        <w:rPr>
          <w:rFonts w:ascii="Times New Roman" w:hAnsi="Times New Roman"/>
          <w:lang w:val="lt-LT"/>
        </w:rPr>
      </w:pPr>
      <w:proofErr w:type="spellStart"/>
      <w:r w:rsidRPr="00273A3E">
        <w:rPr>
          <w:rFonts w:ascii="Times New Roman" w:hAnsi="Times New Roman"/>
          <w:lang w:val="lt-LT"/>
        </w:rPr>
        <w:t>B</w:t>
      </w:r>
      <w:r w:rsidR="00035386" w:rsidRPr="00273A3E">
        <w:rPr>
          <w:rFonts w:ascii="Times New Roman" w:hAnsi="Times New Roman"/>
          <w:lang w:val="lt-LT"/>
        </w:rPr>
        <w:t>enzilo</w:t>
      </w:r>
      <w:proofErr w:type="spellEnd"/>
      <w:r w:rsidR="00035386" w:rsidRPr="00273A3E">
        <w:rPr>
          <w:rFonts w:ascii="Times New Roman" w:hAnsi="Times New Roman"/>
          <w:lang w:val="lt-LT"/>
        </w:rPr>
        <w:t xml:space="preserve"> alkoholi</w:t>
      </w:r>
      <w:r w:rsidRPr="00273A3E">
        <w:rPr>
          <w:rFonts w:ascii="Times New Roman" w:hAnsi="Times New Roman"/>
          <w:lang w:val="lt-LT"/>
        </w:rPr>
        <w:t>s (500 mg)</w:t>
      </w:r>
    </w:p>
    <w:p w14:paraId="2B0C15BC" w14:textId="77777777" w:rsidR="001E5C66" w:rsidRPr="00273A3E" w:rsidRDefault="00CE7C9E" w:rsidP="00363B73">
      <w:pPr>
        <w:tabs>
          <w:tab w:val="left" w:pos="567"/>
        </w:tabs>
        <w:spacing w:after="0" w:line="240" w:lineRule="auto"/>
        <w:jc w:val="both"/>
        <w:rPr>
          <w:rFonts w:ascii="Times New Roman" w:hAnsi="Times New Roman"/>
          <w:lang w:val="lt-LT"/>
        </w:rPr>
      </w:pPr>
      <w:proofErr w:type="spellStart"/>
      <w:r w:rsidRPr="00273A3E">
        <w:rPr>
          <w:rFonts w:ascii="Times New Roman" w:hAnsi="Times New Roman"/>
          <w:lang w:val="lt-LT"/>
        </w:rPr>
        <w:t>B</w:t>
      </w:r>
      <w:r w:rsidR="0081409D" w:rsidRPr="00273A3E">
        <w:rPr>
          <w:rFonts w:ascii="Times New Roman" w:hAnsi="Times New Roman"/>
          <w:lang w:val="lt-LT"/>
        </w:rPr>
        <w:t>enzilbenzoat</w:t>
      </w:r>
      <w:r w:rsidRPr="00273A3E">
        <w:rPr>
          <w:rFonts w:ascii="Times New Roman" w:hAnsi="Times New Roman"/>
          <w:lang w:val="lt-LT"/>
        </w:rPr>
        <w:t>as</w:t>
      </w:r>
      <w:proofErr w:type="spellEnd"/>
      <w:r w:rsidRPr="00273A3E">
        <w:rPr>
          <w:rFonts w:ascii="Times New Roman" w:hAnsi="Times New Roman"/>
          <w:lang w:val="lt-LT"/>
        </w:rPr>
        <w:t xml:space="preserve"> (750 mg)</w:t>
      </w:r>
    </w:p>
    <w:p w14:paraId="09AA8F76" w14:textId="77777777" w:rsidR="001E5C66" w:rsidRPr="00273A3E" w:rsidRDefault="001E5C66" w:rsidP="00363B73">
      <w:pPr>
        <w:tabs>
          <w:tab w:val="left" w:pos="567"/>
        </w:tabs>
        <w:spacing w:after="0" w:line="240" w:lineRule="auto"/>
        <w:jc w:val="both"/>
        <w:rPr>
          <w:rFonts w:ascii="Times New Roman" w:hAnsi="Times New Roman"/>
          <w:lang w:val="lt-LT"/>
        </w:rPr>
      </w:pPr>
    </w:p>
    <w:p w14:paraId="6F4E6440" w14:textId="77777777" w:rsidR="001E5C66" w:rsidRPr="00273A3E" w:rsidRDefault="001E5C66" w:rsidP="00363B73">
      <w:pPr>
        <w:tabs>
          <w:tab w:val="left" w:pos="567"/>
        </w:tabs>
        <w:spacing w:after="0" w:line="240" w:lineRule="auto"/>
        <w:jc w:val="both"/>
        <w:rPr>
          <w:rFonts w:ascii="Times New Roman" w:hAnsi="Times New Roman"/>
          <w:lang w:val="lt-LT"/>
        </w:rPr>
      </w:pPr>
      <w:r w:rsidRPr="00273A3E">
        <w:rPr>
          <w:rFonts w:ascii="Times New Roman" w:hAnsi="Times New Roman"/>
          <w:lang w:val="lt-LT"/>
        </w:rPr>
        <w:t>Visos pagalbinės medžiagos išvardytos 6.1</w:t>
      </w:r>
      <w:r w:rsidR="00FF0074" w:rsidRPr="00273A3E">
        <w:rPr>
          <w:rFonts w:ascii="Times New Roman" w:hAnsi="Times New Roman"/>
          <w:lang w:val="lt-LT"/>
        </w:rPr>
        <w:t> skyri</w:t>
      </w:r>
      <w:r w:rsidRPr="00273A3E">
        <w:rPr>
          <w:rFonts w:ascii="Times New Roman" w:hAnsi="Times New Roman"/>
          <w:lang w:val="lt-LT"/>
        </w:rPr>
        <w:t>uje.</w:t>
      </w:r>
    </w:p>
    <w:p w14:paraId="2D68E8E8" w14:textId="77777777" w:rsidR="001E5C66" w:rsidRPr="00273A3E" w:rsidRDefault="001E5C66" w:rsidP="00363B73">
      <w:pPr>
        <w:tabs>
          <w:tab w:val="left" w:pos="567"/>
        </w:tabs>
        <w:spacing w:after="0" w:line="240" w:lineRule="auto"/>
        <w:rPr>
          <w:rFonts w:ascii="Times New Roman" w:hAnsi="Times New Roman"/>
          <w:lang w:val="lt-LT"/>
        </w:rPr>
      </w:pPr>
    </w:p>
    <w:p w14:paraId="2CBBD749" w14:textId="77777777" w:rsidR="001E5C66" w:rsidRPr="00273A3E" w:rsidRDefault="001E5C66" w:rsidP="00363B73">
      <w:pPr>
        <w:tabs>
          <w:tab w:val="left" w:pos="567"/>
        </w:tabs>
        <w:spacing w:after="0" w:line="240" w:lineRule="auto"/>
        <w:rPr>
          <w:rFonts w:ascii="Times New Roman" w:hAnsi="Times New Roman"/>
          <w:lang w:val="lt-LT"/>
        </w:rPr>
      </w:pPr>
    </w:p>
    <w:p w14:paraId="3D3EDE8A"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3.</w:t>
      </w:r>
      <w:r w:rsidRPr="00273A3E">
        <w:rPr>
          <w:rFonts w:ascii="Times New Roman" w:hAnsi="Times New Roman"/>
          <w:b/>
          <w:lang w:val="lt-LT"/>
        </w:rPr>
        <w:tab/>
        <w:t>FARMACINĖ FORMA</w:t>
      </w:r>
    </w:p>
    <w:p w14:paraId="2FEC37DD" w14:textId="77777777" w:rsidR="001E5C66" w:rsidRPr="00273A3E" w:rsidRDefault="001E5C66" w:rsidP="00363B73">
      <w:pPr>
        <w:tabs>
          <w:tab w:val="left" w:pos="567"/>
        </w:tabs>
        <w:spacing w:after="0" w:line="240" w:lineRule="auto"/>
        <w:rPr>
          <w:rFonts w:ascii="Times New Roman" w:hAnsi="Times New Roman"/>
          <w:lang w:val="lt-LT"/>
        </w:rPr>
      </w:pPr>
    </w:p>
    <w:p w14:paraId="1427EA10" w14:textId="77777777" w:rsidR="001E5C66" w:rsidRPr="00273A3E" w:rsidRDefault="001E5C66" w:rsidP="00363B73">
      <w:pPr>
        <w:tabs>
          <w:tab w:val="left" w:pos="567"/>
        </w:tabs>
        <w:spacing w:after="0" w:line="240" w:lineRule="auto"/>
        <w:rPr>
          <w:rFonts w:ascii="Times New Roman" w:hAnsi="Times New Roman"/>
          <w:lang w:val="lt-LT"/>
        </w:rPr>
      </w:pPr>
      <w:r w:rsidRPr="00273A3E">
        <w:rPr>
          <w:rFonts w:ascii="Times New Roman" w:hAnsi="Times New Roman"/>
          <w:lang w:val="lt-LT"/>
        </w:rPr>
        <w:t>Injekcinis tirpalas užpildytame švirkšte.</w:t>
      </w:r>
    </w:p>
    <w:p w14:paraId="5A4B13F2" w14:textId="77777777" w:rsidR="00CE7C9E" w:rsidRPr="00273A3E" w:rsidRDefault="00CE7C9E" w:rsidP="00363B73">
      <w:pPr>
        <w:tabs>
          <w:tab w:val="left" w:pos="567"/>
        </w:tabs>
        <w:spacing w:after="0" w:line="240" w:lineRule="auto"/>
        <w:rPr>
          <w:rFonts w:ascii="Times New Roman" w:hAnsi="Times New Roman"/>
          <w:lang w:val="lt-LT"/>
        </w:rPr>
      </w:pPr>
    </w:p>
    <w:p w14:paraId="0D49043B" w14:textId="77777777" w:rsidR="001E5C66" w:rsidRPr="00273A3E" w:rsidRDefault="001E5C66" w:rsidP="00363B73">
      <w:pPr>
        <w:tabs>
          <w:tab w:val="left" w:pos="567"/>
        </w:tabs>
        <w:spacing w:after="0" w:line="240" w:lineRule="auto"/>
        <w:rPr>
          <w:rFonts w:ascii="Times New Roman" w:hAnsi="Times New Roman"/>
          <w:lang w:val="lt-LT"/>
        </w:rPr>
      </w:pPr>
      <w:r w:rsidRPr="00273A3E">
        <w:rPr>
          <w:rFonts w:ascii="Times New Roman" w:hAnsi="Times New Roman"/>
          <w:lang w:val="lt-LT"/>
        </w:rPr>
        <w:t xml:space="preserve">Skaidrus, nuo bespalvio iki geltonos spalvos, </w:t>
      </w:r>
      <w:r w:rsidR="00754E50" w:rsidRPr="00273A3E">
        <w:rPr>
          <w:rFonts w:ascii="Times New Roman" w:hAnsi="Times New Roman"/>
          <w:lang w:val="lt-LT"/>
        </w:rPr>
        <w:t>klampus</w:t>
      </w:r>
      <w:r w:rsidR="00C45101" w:rsidRPr="00273A3E">
        <w:rPr>
          <w:rFonts w:ascii="Times New Roman" w:hAnsi="Times New Roman"/>
          <w:lang w:val="lt-LT"/>
        </w:rPr>
        <w:t xml:space="preserve"> </w:t>
      </w:r>
      <w:r w:rsidR="00C86E9E" w:rsidRPr="00273A3E">
        <w:rPr>
          <w:rFonts w:ascii="Times New Roman" w:hAnsi="Times New Roman"/>
          <w:lang w:val="lt-LT"/>
        </w:rPr>
        <w:t>skystis</w:t>
      </w:r>
      <w:r w:rsidRPr="00273A3E">
        <w:rPr>
          <w:rFonts w:ascii="Times New Roman" w:hAnsi="Times New Roman"/>
          <w:lang w:val="lt-LT"/>
        </w:rPr>
        <w:t>.</w:t>
      </w:r>
    </w:p>
    <w:p w14:paraId="453412B1" w14:textId="77777777" w:rsidR="001E5C66" w:rsidRPr="00273A3E" w:rsidRDefault="001E5C66" w:rsidP="00363B73">
      <w:pPr>
        <w:tabs>
          <w:tab w:val="left" w:pos="567"/>
        </w:tabs>
        <w:spacing w:after="0" w:line="240" w:lineRule="auto"/>
        <w:rPr>
          <w:rFonts w:ascii="Times New Roman" w:hAnsi="Times New Roman"/>
          <w:lang w:val="lt-LT"/>
        </w:rPr>
      </w:pPr>
    </w:p>
    <w:p w14:paraId="79BDE02C" w14:textId="77777777" w:rsidR="001E5C66" w:rsidRPr="00273A3E" w:rsidRDefault="001E5C66" w:rsidP="00363B73">
      <w:pPr>
        <w:tabs>
          <w:tab w:val="left" w:pos="567"/>
        </w:tabs>
        <w:spacing w:after="0" w:line="240" w:lineRule="auto"/>
        <w:rPr>
          <w:rFonts w:ascii="Times New Roman" w:hAnsi="Times New Roman"/>
          <w:lang w:val="lt-LT"/>
        </w:rPr>
      </w:pPr>
    </w:p>
    <w:p w14:paraId="044DE9F4"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4.</w:t>
      </w:r>
      <w:r w:rsidRPr="00273A3E">
        <w:rPr>
          <w:rFonts w:ascii="Times New Roman" w:hAnsi="Times New Roman"/>
          <w:b/>
          <w:lang w:val="lt-LT"/>
        </w:rPr>
        <w:tab/>
        <w:t>KLINIKINĖ INFORMACIJA</w:t>
      </w:r>
    </w:p>
    <w:p w14:paraId="3C14F3C2" w14:textId="77777777" w:rsidR="001E5C66" w:rsidRPr="00273A3E" w:rsidRDefault="001E5C66" w:rsidP="00363B73">
      <w:pPr>
        <w:tabs>
          <w:tab w:val="left" w:pos="567"/>
        </w:tabs>
        <w:spacing w:after="0" w:line="240" w:lineRule="auto"/>
        <w:rPr>
          <w:rFonts w:ascii="Times New Roman" w:hAnsi="Times New Roman"/>
          <w:lang w:val="lt-LT"/>
        </w:rPr>
      </w:pPr>
    </w:p>
    <w:p w14:paraId="0AD82336"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4.1</w:t>
      </w:r>
      <w:r w:rsidRPr="00273A3E">
        <w:rPr>
          <w:rFonts w:ascii="Times New Roman" w:hAnsi="Times New Roman"/>
          <w:b/>
          <w:lang w:val="lt-LT"/>
        </w:rPr>
        <w:tab/>
        <w:t>Terapinės indikacijos</w:t>
      </w:r>
    </w:p>
    <w:p w14:paraId="20CB77E8" w14:textId="77777777" w:rsidR="001E5C66" w:rsidRPr="00273A3E" w:rsidRDefault="001E5C66" w:rsidP="00363B73">
      <w:pPr>
        <w:tabs>
          <w:tab w:val="left" w:pos="567"/>
        </w:tabs>
        <w:spacing w:after="0" w:line="240" w:lineRule="auto"/>
        <w:rPr>
          <w:rFonts w:ascii="Times New Roman" w:hAnsi="Times New Roman"/>
          <w:lang w:val="lt-LT"/>
        </w:rPr>
      </w:pPr>
    </w:p>
    <w:p w14:paraId="38C3B5FB" w14:textId="77777777" w:rsidR="001E5C66" w:rsidRPr="00273A3E" w:rsidRDefault="00C86E9E" w:rsidP="00363B73">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1E5C66" w:rsidRPr="00273A3E">
        <w:rPr>
          <w:rFonts w:ascii="Times New Roman" w:hAnsi="Times New Roman"/>
          <w:lang w:val="lt-LT"/>
        </w:rPr>
        <w:t>skirtas:</w:t>
      </w:r>
    </w:p>
    <w:p w14:paraId="47292896" w14:textId="77777777" w:rsidR="001E5C66" w:rsidRPr="00273A3E" w:rsidRDefault="001E5C66" w:rsidP="00363B73">
      <w:pPr>
        <w:pStyle w:val="Sraopastraipa"/>
        <w:numPr>
          <w:ilvl w:val="0"/>
          <w:numId w:val="2"/>
        </w:numPr>
        <w:tabs>
          <w:tab w:val="left" w:pos="567"/>
        </w:tabs>
        <w:autoSpaceDE w:val="0"/>
        <w:autoSpaceDN w:val="0"/>
        <w:adjustRightInd w:val="0"/>
        <w:ind w:left="567" w:hanging="567"/>
        <w:contextualSpacing w:val="0"/>
        <w:rPr>
          <w:rFonts w:eastAsia="Batang"/>
          <w:szCs w:val="22"/>
        </w:rPr>
      </w:pPr>
      <w:proofErr w:type="spellStart"/>
      <w:r w:rsidRPr="00273A3E">
        <w:rPr>
          <w:rFonts w:eastAsia="Batang"/>
          <w:szCs w:val="22"/>
        </w:rPr>
        <w:t>monoterapijai</w:t>
      </w:r>
      <w:proofErr w:type="spellEnd"/>
      <w:r w:rsidRPr="00273A3E">
        <w:rPr>
          <w:rFonts w:eastAsia="Batang"/>
          <w:szCs w:val="22"/>
        </w:rPr>
        <w:t>: estrogenų receptoriams teigiamam, lokaliai progresavusiam arba</w:t>
      </w:r>
      <w:r w:rsidR="00CE7C9E" w:rsidRPr="00273A3E">
        <w:rPr>
          <w:rFonts w:eastAsia="Batang"/>
          <w:szCs w:val="22"/>
        </w:rPr>
        <w:t xml:space="preserve"> </w:t>
      </w:r>
      <w:proofErr w:type="spellStart"/>
      <w:r w:rsidR="00FF0074" w:rsidRPr="00273A3E">
        <w:rPr>
          <w:rFonts w:eastAsia="Batang"/>
          <w:szCs w:val="22"/>
        </w:rPr>
        <w:t>met</w:t>
      </w:r>
      <w:r w:rsidRPr="00273A3E">
        <w:rPr>
          <w:rFonts w:eastAsia="Batang"/>
          <w:szCs w:val="22"/>
        </w:rPr>
        <w:t>astazavusiam</w:t>
      </w:r>
      <w:proofErr w:type="spellEnd"/>
      <w:r w:rsidRPr="00273A3E">
        <w:rPr>
          <w:rFonts w:eastAsia="Batang"/>
          <w:szCs w:val="22"/>
        </w:rPr>
        <w:t xml:space="preserve"> </w:t>
      </w:r>
      <w:r w:rsidR="00801A4F" w:rsidRPr="00273A3E">
        <w:rPr>
          <w:rFonts w:eastAsia="Batang"/>
          <w:szCs w:val="22"/>
        </w:rPr>
        <w:t xml:space="preserve">krūties vėžiui gydyti </w:t>
      </w:r>
      <w:r w:rsidRPr="00273A3E">
        <w:rPr>
          <w:rFonts w:eastAsia="Batang"/>
          <w:szCs w:val="22"/>
        </w:rPr>
        <w:t>moter</w:t>
      </w:r>
      <w:r w:rsidR="00801A4F" w:rsidRPr="00273A3E">
        <w:rPr>
          <w:rFonts w:eastAsia="Batang"/>
          <w:szCs w:val="22"/>
        </w:rPr>
        <w:t>ims</w:t>
      </w:r>
      <w:r w:rsidRPr="00273A3E">
        <w:rPr>
          <w:rFonts w:eastAsia="Batang"/>
          <w:szCs w:val="22"/>
        </w:rPr>
        <w:t xml:space="preserve"> po menopauzės</w:t>
      </w:r>
      <w:r w:rsidR="00C76F16" w:rsidRPr="00273A3E">
        <w:rPr>
          <w:rFonts w:eastAsia="Batang"/>
          <w:szCs w:val="22"/>
        </w:rPr>
        <w:t>, kai</w:t>
      </w:r>
      <w:r w:rsidRPr="00273A3E">
        <w:rPr>
          <w:rFonts w:eastAsia="Batang"/>
          <w:szCs w:val="22"/>
        </w:rPr>
        <w:t>:</w:t>
      </w:r>
    </w:p>
    <w:p w14:paraId="1106EA7F" w14:textId="77777777" w:rsidR="001E5C66" w:rsidRPr="00273A3E" w:rsidRDefault="00801A4F" w:rsidP="00363B73">
      <w:pPr>
        <w:pStyle w:val="Sraopastraipa"/>
        <w:numPr>
          <w:ilvl w:val="1"/>
          <w:numId w:val="4"/>
        </w:numPr>
        <w:tabs>
          <w:tab w:val="left" w:pos="567"/>
          <w:tab w:val="left" w:pos="1134"/>
        </w:tabs>
        <w:autoSpaceDE w:val="0"/>
        <w:autoSpaceDN w:val="0"/>
        <w:adjustRightInd w:val="0"/>
        <w:ind w:left="1134" w:hanging="567"/>
        <w:contextualSpacing w:val="0"/>
        <w:rPr>
          <w:rFonts w:eastAsia="Batang"/>
          <w:szCs w:val="22"/>
        </w:rPr>
      </w:pPr>
      <w:r w:rsidRPr="00273A3E">
        <w:rPr>
          <w:rFonts w:eastAsia="Batang"/>
          <w:szCs w:val="22"/>
        </w:rPr>
        <w:t xml:space="preserve">anksčiau </w:t>
      </w:r>
      <w:r w:rsidR="00B3236C" w:rsidRPr="00273A3E">
        <w:t xml:space="preserve">nebuvo taikytas gydymas endokrininę sistemą veikiančiais </w:t>
      </w:r>
      <w:r w:rsidR="001E5C66" w:rsidRPr="00273A3E">
        <w:rPr>
          <w:rFonts w:eastAsia="Batang"/>
          <w:szCs w:val="22"/>
        </w:rPr>
        <w:t>vaistiniais preparatais</w:t>
      </w:r>
      <w:r w:rsidR="0085683F" w:rsidRPr="00273A3E">
        <w:rPr>
          <w:rFonts w:eastAsia="Batang"/>
          <w:szCs w:val="22"/>
        </w:rPr>
        <w:t>, arba</w:t>
      </w:r>
    </w:p>
    <w:p w14:paraId="515EC21C" w14:textId="77777777" w:rsidR="001E5C66" w:rsidRPr="00273A3E" w:rsidRDefault="001B0511" w:rsidP="00363B73">
      <w:pPr>
        <w:pStyle w:val="Sraopastraipa"/>
        <w:numPr>
          <w:ilvl w:val="0"/>
          <w:numId w:val="3"/>
        </w:numPr>
        <w:tabs>
          <w:tab w:val="left" w:pos="567"/>
          <w:tab w:val="left" w:pos="1134"/>
        </w:tabs>
        <w:autoSpaceDE w:val="0"/>
        <w:autoSpaceDN w:val="0"/>
        <w:adjustRightInd w:val="0"/>
        <w:ind w:left="1134" w:hanging="567"/>
        <w:contextualSpacing w:val="0"/>
        <w:rPr>
          <w:rFonts w:eastAsia="Batang"/>
          <w:szCs w:val="22"/>
        </w:rPr>
      </w:pPr>
      <w:r w:rsidRPr="00273A3E">
        <w:rPr>
          <w:rFonts w:eastAsia="Batang"/>
          <w:szCs w:val="22"/>
        </w:rPr>
        <w:t xml:space="preserve">liga </w:t>
      </w:r>
      <w:r w:rsidR="001E5C66" w:rsidRPr="00273A3E">
        <w:rPr>
          <w:rFonts w:eastAsia="Batang"/>
          <w:szCs w:val="22"/>
        </w:rPr>
        <w:t>atsinaujin</w:t>
      </w:r>
      <w:r w:rsidRPr="00273A3E">
        <w:rPr>
          <w:rFonts w:eastAsia="Batang"/>
          <w:szCs w:val="22"/>
        </w:rPr>
        <w:t>o</w:t>
      </w:r>
      <w:r w:rsidR="001E5C66" w:rsidRPr="00273A3E">
        <w:rPr>
          <w:rFonts w:eastAsia="Batang"/>
          <w:szCs w:val="22"/>
        </w:rPr>
        <w:t xml:space="preserve"> </w:t>
      </w:r>
      <w:proofErr w:type="spellStart"/>
      <w:r w:rsidR="001E5C66" w:rsidRPr="00273A3E">
        <w:rPr>
          <w:rFonts w:eastAsia="Batang"/>
          <w:szCs w:val="22"/>
        </w:rPr>
        <w:t>adjuvantinio</w:t>
      </w:r>
      <w:proofErr w:type="spellEnd"/>
      <w:r w:rsidR="001E5C66" w:rsidRPr="00273A3E">
        <w:rPr>
          <w:rFonts w:eastAsia="Batang"/>
          <w:szCs w:val="22"/>
        </w:rPr>
        <w:t xml:space="preserve"> gydymo </w:t>
      </w:r>
      <w:proofErr w:type="spellStart"/>
      <w:r w:rsidR="001E5C66" w:rsidRPr="00273A3E">
        <w:rPr>
          <w:rFonts w:eastAsia="Batang"/>
          <w:szCs w:val="22"/>
        </w:rPr>
        <w:t>antiestrogenais</w:t>
      </w:r>
      <w:proofErr w:type="spellEnd"/>
      <w:r w:rsidR="0085683F" w:rsidRPr="00273A3E">
        <w:rPr>
          <w:rFonts w:eastAsia="Batang"/>
          <w:szCs w:val="22"/>
        </w:rPr>
        <w:t xml:space="preserve"> </w:t>
      </w:r>
      <w:r w:rsidR="00FF0074" w:rsidRPr="00273A3E">
        <w:rPr>
          <w:rFonts w:eastAsia="Batang"/>
          <w:szCs w:val="22"/>
        </w:rPr>
        <w:t>met</w:t>
      </w:r>
      <w:r w:rsidR="001E5C66" w:rsidRPr="00273A3E">
        <w:rPr>
          <w:rFonts w:eastAsia="Batang"/>
          <w:szCs w:val="22"/>
        </w:rPr>
        <w:t>u ar po jo</w:t>
      </w:r>
      <w:r w:rsidR="001E4056" w:rsidRPr="00273A3E">
        <w:rPr>
          <w:rFonts w:eastAsia="Batang"/>
          <w:szCs w:val="22"/>
        </w:rPr>
        <w:t>,</w:t>
      </w:r>
      <w:r w:rsidR="001E5C66" w:rsidRPr="00273A3E">
        <w:rPr>
          <w:rFonts w:eastAsia="Batang"/>
          <w:szCs w:val="22"/>
        </w:rPr>
        <w:t xml:space="preserve"> arba progresav</w:t>
      </w:r>
      <w:r w:rsidR="001E4056" w:rsidRPr="00273A3E">
        <w:rPr>
          <w:rFonts w:eastAsia="Batang"/>
          <w:szCs w:val="22"/>
        </w:rPr>
        <w:t>o</w:t>
      </w:r>
      <w:r w:rsidR="001E4056" w:rsidRPr="00273A3E">
        <w:t xml:space="preserve"> gydymo </w:t>
      </w:r>
      <w:proofErr w:type="spellStart"/>
      <w:r w:rsidR="001E4056" w:rsidRPr="00273A3E">
        <w:t>antiestrogenais</w:t>
      </w:r>
      <w:proofErr w:type="spellEnd"/>
      <w:r w:rsidR="001E4056" w:rsidRPr="00273A3E">
        <w:t xml:space="preserve"> metu</w:t>
      </w:r>
      <w:r w:rsidR="001E5C66" w:rsidRPr="00273A3E">
        <w:rPr>
          <w:rFonts w:eastAsia="Batang"/>
          <w:szCs w:val="22"/>
        </w:rPr>
        <w:t>;</w:t>
      </w:r>
    </w:p>
    <w:p w14:paraId="3B4979F3" w14:textId="77777777" w:rsidR="001E5C66" w:rsidRPr="00273A3E" w:rsidRDefault="00482E5D" w:rsidP="00363B73">
      <w:pPr>
        <w:pStyle w:val="Sraopastraipa"/>
        <w:numPr>
          <w:ilvl w:val="0"/>
          <w:numId w:val="5"/>
        </w:numPr>
        <w:tabs>
          <w:tab w:val="left" w:pos="567"/>
        </w:tabs>
        <w:autoSpaceDE w:val="0"/>
        <w:autoSpaceDN w:val="0"/>
        <w:adjustRightInd w:val="0"/>
        <w:ind w:left="567" w:hanging="567"/>
        <w:contextualSpacing w:val="0"/>
        <w:rPr>
          <w:rFonts w:eastAsia="Batang"/>
          <w:szCs w:val="22"/>
        </w:rPr>
      </w:pPr>
      <w:r w:rsidRPr="00273A3E">
        <w:rPr>
          <w:rFonts w:eastAsia="Batang"/>
          <w:szCs w:val="22"/>
        </w:rPr>
        <w:t>derin</w:t>
      </w:r>
      <w:r w:rsidR="00711194" w:rsidRPr="00273A3E">
        <w:rPr>
          <w:rFonts w:eastAsia="Batang"/>
          <w:szCs w:val="22"/>
        </w:rPr>
        <w:t>iu</w:t>
      </w:r>
      <w:r w:rsidRPr="00273A3E">
        <w:rPr>
          <w:rFonts w:eastAsia="Batang"/>
          <w:szCs w:val="22"/>
        </w:rPr>
        <w:t xml:space="preserve"> </w:t>
      </w:r>
      <w:r w:rsidR="001E5C66" w:rsidRPr="00273A3E">
        <w:rPr>
          <w:rFonts w:eastAsia="Batang"/>
          <w:szCs w:val="22"/>
        </w:rPr>
        <w:t xml:space="preserve">su </w:t>
      </w:r>
      <w:proofErr w:type="spellStart"/>
      <w:r w:rsidR="001E5C66" w:rsidRPr="00273A3E">
        <w:rPr>
          <w:rFonts w:eastAsia="Batang"/>
          <w:szCs w:val="22"/>
        </w:rPr>
        <w:t>palbociklibu</w:t>
      </w:r>
      <w:proofErr w:type="spellEnd"/>
      <w:r w:rsidR="001E5C66" w:rsidRPr="00273A3E">
        <w:rPr>
          <w:rFonts w:eastAsia="Batang"/>
          <w:szCs w:val="22"/>
        </w:rPr>
        <w:t xml:space="preserve">: hormonų receptoriams (HR) teigiamam, žmogaus epidermio augimo faktoriaus receptoriams 2 (angl. </w:t>
      </w:r>
      <w:proofErr w:type="spellStart"/>
      <w:r w:rsidR="001E5C66" w:rsidRPr="00273A3E">
        <w:rPr>
          <w:rFonts w:eastAsia="Batang"/>
          <w:i/>
          <w:szCs w:val="22"/>
        </w:rPr>
        <w:t>human</w:t>
      </w:r>
      <w:proofErr w:type="spellEnd"/>
      <w:r w:rsidR="001E5C66" w:rsidRPr="00273A3E">
        <w:rPr>
          <w:rFonts w:eastAsia="Batang"/>
          <w:i/>
          <w:szCs w:val="22"/>
        </w:rPr>
        <w:t xml:space="preserve"> </w:t>
      </w:r>
      <w:proofErr w:type="spellStart"/>
      <w:r w:rsidR="001E5C66" w:rsidRPr="00273A3E">
        <w:rPr>
          <w:rFonts w:eastAsia="Batang"/>
          <w:i/>
          <w:szCs w:val="22"/>
        </w:rPr>
        <w:t>epidermal</w:t>
      </w:r>
      <w:proofErr w:type="spellEnd"/>
      <w:r w:rsidR="001E5C66" w:rsidRPr="00273A3E">
        <w:rPr>
          <w:rFonts w:eastAsia="Batang"/>
          <w:i/>
          <w:szCs w:val="22"/>
        </w:rPr>
        <w:t xml:space="preserve"> </w:t>
      </w:r>
      <w:proofErr w:type="spellStart"/>
      <w:r w:rsidR="001E5C66" w:rsidRPr="00273A3E">
        <w:rPr>
          <w:rFonts w:eastAsia="Batang"/>
          <w:i/>
          <w:szCs w:val="22"/>
        </w:rPr>
        <w:t>growth</w:t>
      </w:r>
      <w:proofErr w:type="spellEnd"/>
      <w:r w:rsidR="001E5C66" w:rsidRPr="00273A3E">
        <w:rPr>
          <w:rFonts w:eastAsia="Batang"/>
          <w:i/>
          <w:szCs w:val="22"/>
        </w:rPr>
        <w:t xml:space="preserve"> </w:t>
      </w:r>
      <w:proofErr w:type="spellStart"/>
      <w:r w:rsidR="001E5C66" w:rsidRPr="00273A3E">
        <w:rPr>
          <w:rFonts w:eastAsia="Batang"/>
          <w:i/>
          <w:szCs w:val="22"/>
        </w:rPr>
        <w:t>factor</w:t>
      </w:r>
      <w:proofErr w:type="spellEnd"/>
      <w:r w:rsidR="001E5C66" w:rsidRPr="00273A3E">
        <w:rPr>
          <w:rFonts w:eastAsia="Batang"/>
          <w:i/>
          <w:szCs w:val="22"/>
        </w:rPr>
        <w:t xml:space="preserve"> </w:t>
      </w:r>
      <w:proofErr w:type="spellStart"/>
      <w:r w:rsidR="001E5C66" w:rsidRPr="00273A3E">
        <w:rPr>
          <w:rFonts w:eastAsia="Batang"/>
          <w:i/>
          <w:szCs w:val="22"/>
        </w:rPr>
        <w:t>receptor</w:t>
      </w:r>
      <w:proofErr w:type="spellEnd"/>
      <w:r w:rsidR="001E5C66" w:rsidRPr="00273A3E">
        <w:rPr>
          <w:rFonts w:eastAsia="Batang"/>
          <w:i/>
          <w:szCs w:val="22"/>
        </w:rPr>
        <w:t xml:space="preserve"> 2</w:t>
      </w:r>
      <w:r w:rsidR="001E5C66" w:rsidRPr="00273A3E">
        <w:rPr>
          <w:rFonts w:eastAsia="Batang"/>
          <w:szCs w:val="22"/>
        </w:rPr>
        <w:t xml:space="preserve">, HER2) neigiamam, lokaliai </w:t>
      </w:r>
      <w:r w:rsidR="00373CDE" w:rsidRPr="00273A3E">
        <w:rPr>
          <w:rFonts w:eastAsia="Batang"/>
          <w:szCs w:val="22"/>
        </w:rPr>
        <w:t xml:space="preserve">išplitusiam </w:t>
      </w:r>
      <w:r w:rsidR="001E5C66" w:rsidRPr="00273A3E">
        <w:rPr>
          <w:rFonts w:eastAsia="Batang"/>
          <w:szCs w:val="22"/>
        </w:rPr>
        <w:t>arba</w:t>
      </w:r>
      <w:r w:rsidR="00F66CA6" w:rsidRPr="00273A3E">
        <w:rPr>
          <w:rFonts w:eastAsia="Batang"/>
          <w:szCs w:val="22"/>
        </w:rPr>
        <w:t xml:space="preserve"> </w:t>
      </w:r>
      <w:proofErr w:type="spellStart"/>
      <w:r w:rsidR="00FF0074" w:rsidRPr="00273A3E">
        <w:rPr>
          <w:rFonts w:eastAsia="Batang"/>
          <w:szCs w:val="22"/>
        </w:rPr>
        <w:t>met</w:t>
      </w:r>
      <w:r w:rsidR="001E5C66" w:rsidRPr="00273A3E">
        <w:rPr>
          <w:rFonts w:eastAsia="Batang"/>
          <w:szCs w:val="22"/>
        </w:rPr>
        <w:t>astazavusiam</w:t>
      </w:r>
      <w:proofErr w:type="spellEnd"/>
      <w:r w:rsidR="001E5C66" w:rsidRPr="00273A3E">
        <w:rPr>
          <w:rFonts w:eastAsia="Batang"/>
          <w:szCs w:val="22"/>
        </w:rPr>
        <w:t xml:space="preserve"> krūties vėžiui gydyti moterims, </w:t>
      </w:r>
      <w:r w:rsidR="00A93FF1" w:rsidRPr="00273A3E">
        <w:t xml:space="preserve">kurios anksčiau buvo gydytos endokrininę sistemą veikiančiais </w:t>
      </w:r>
      <w:r w:rsidR="001E5C66" w:rsidRPr="00273A3E">
        <w:rPr>
          <w:rFonts w:eastAsia="Batang"/>
          <w:szCs w:val="22"/>
        </w:rPr>
        <w:t>vaistiniais preparatais (žr. 5.1</w:t>
      </w:r>
      <w:r w:rsidR="00FF0074" w:rsidRPr="00273A3E">
        <w:rPr>
          <w:rFonts w:eastAsia="Batang"/>
          <w:szCs w:val="22"/>
        </w:rPr>
        <w:t> skyri</w:t>
      </w:r>
      <w:r w:rsidR="001E5C66" w:rsidRPr="00273A3E">
        <w:rPr>
          <w:rFonts w:eastAsia="Batang"/>
          <w:szCs w:val="22"/>
        </w:rPr>
        <w:t>ų).</w:t>
      </w:r>
    </w:p>
    <w:p w14:paraId="0CD82796" w14:textId="77777777" w:rsidR="001E5C66" w:rsidRPr="00273A3E" w:rsidRDefault="001E5C66" w:rsidP="00363B73">
      <w:pPr>
        <w:tabs>
          <w:tab w:val="left" w:pos="567"/>
        </w:tabs>
        <w:autoSpaceDE w:val="0"/>
        <w:autoSpaceDN w:val="0"/>
        <w:adjustRightInd w:val="0"/>
        <w:spacing w:after="0" w:line="240" w:lineRule="auto"/>
        <w:rPr>
          <w:rFonts w:ascii="Times New Roman" w:eastAsia="Batang" w:hAnsi="Times New Roman"/>
          <w:lang w:val="lt-LT"/>
        </w:rPr>
      </w:pPr>
    </w:p>
    <w:p w14:paraId="5B7363D5" w14:textId="77777777" w:rsidR="001E5C66" w:rsidRPr="001620DD" w:rsidRDefault="00B82B0B" w:rsidP="00363B73">
      <w:pPr>
        <w:tabs>
          <w:tab w:val="left" w:pos="567"/>
        </w:tabs>
        <w:autoSpaceDE w:val="0"/>
        <w:autoSpaceDN w:val="0"/>
        <w:adjustRightInd w:val="0"/>
        <w:spacing w:after="0" w:line="240" w:lineRule="auto"/>
        <w:rPr>
          <w:rFonts w:ascii="Times New Roman" w:eastAsia="Batang" w:hAnsi="Times New Roman"/>
          <w:lang w:val="lt-LT" w:eastAsia="lt-LT"/>
        </w:rPr>
      </w:pPr>
      <w:r w:rsidRPr="001620DD">
        <w:rPr>
          <w:rFonts w:ascii="Times New Roman" w:eastAsia="Batang" w:hAnsi="Times New Roman"/>
          <w:lang w:val="lt-LT" w:eastAsia="lt-LT"/>
        </w:rPr>
        <w:t xml:space="preserve">Moterims iki menopauzės arba </w:t>
      </w:r>
      <w:proofErr w:type="spellStart"/>
      <w:r w:rsidRPr="001620DD">
        <w:rPr>
          <w:rFonts w:ascii="Times New Roman" w:eastAsia="Batang" w:hAnsi="Times New Roman"/>
          <w:lang w:val="lt-LT" w:eastAsia="lt-LT"/>
        </w:rPr>
        <w:t>perimenopauzės</w:t>
      </w:r>
      <w:proofErr w:type="spellEnd"/>
      <w:r w:rsidRPr="001620DD">
        <w:rPr>
          <w:rFonts w:ascii="Times New Roman" w:eastAsia="Batang" w:hAnsi="Times New Roman"/>
          <w:lang w:val="lt-LT" w:eastAsia="lt-LT"/>
        </w:rPr>
        <w:t xml:space="preserve"> laikotarpiu gydymas derinyje su </w:t>
      </w:r>
      <w:proofErr w:type="spellStart"/>
      <w:r w:rsidRPr="001620DD">
        <w:rPr>
          <w:rFonts w:ascii="Times New Roman" w:eastAsia="Batang" w:hAnsi="Times New Roman"/>
          <w:lang w:val="lt-LT" w:eastAsia="lt-LT"/>
        </w:rPr>
        <w:t>palbociklibu</w:t>
      </w:r>
      <w:proofErr w:type="spellEnd"/>
      <w:r w:rsidRPr="001620DD">
        <w:rPr>
          <w:rFonts w:ascii="Times New Roman" w:eastAsia="Batang" w:hAnsi="Times New Roman"/>
          <w:lang w:val="lt-LT" w:eastAsia="lt-LT"/>
        </w:rPr>
        <w:t xml:space="preserve"> turi būti papildytas </w:t>
      </w:r>
      <w:proofErr w:type="spellStart"/>
      <w:r w:rsidRPr="001620DD">
        <w:rPr>
          <w:rFonts w:ascii="Times New Roman" w:eastAsia="Batang" w:hAnsi="Times New Roman"/>
          <w:lang w:val="lt-LT" w:eastAsia="lt-LT"/>
        </w:rPr>
        <w:t>liuteinizuojantį</w:t>
      </w:r>
      <w:proofErr w:type="spellEnd"/>
      <w:r w:rsidRPr="001620DD">
        <w:rPr>
          <w:rFonts w:ascii="Times New Roman" w:eastAsia="Batang" w:hAnsi="Times New Roman"/>
          <w:lang w:val="lt-LT" w:eastAsia="lt-LT"/>
        </w:rPr>
        <w:t xml:space="preserve"> hormoną atpalaiduojančio hormono (LHRH) </w:t>
      </w:r>
      <w:proofErr w:type="spellStart"/>
      <w:r w:rsidRPr="001620DD">
        <w:rPr>
          <w:rFonts w:ascii="Times New Roman" w:eastAsia="Batang" w:hAnsi="Times New Roman"/>
          <w:lang w:val="lt-LT" w:eastAsia="lt-LT"/>
        </w:rPr>
        <w:t>agonistu</w:t>
      </w:r>
      <w:proofErr w:type="spellEnd"/>
      <w:r w:rsidR="001E5C66" w:rsidRPr="00273A3E">
        <w:rPr>
          <w:rFonts w:ascii="Times New Roman" w:eastAsia="Batang" w:hAnsi="Times New Roman"/>
          <w:lang w:val="lt-LT" w:eastAsia="lt-LT"/>
        </w:rPr>
        <w:t>.</w:t>
      </w:r>
    </w:p>
    <w:p w14:paraId="74C9C103" w14:textId="77777777" w:rsidR="001E5C66" w:rsidRPr="001620DD" w:rsidRDefault="001E5C66" w:rsidP="00363B73">
      <w:pPr>
        <w:tabs>
          <w:tab w:val="left" w:pos="567"/>
        </w:tabs>
        <w:spacing w:after="0" w:line="240" w:lineRule="auto"/>
        <w:rPr>
          <w:rFonts w:ascii="Times New Roman" w:eastAsia="Batang" w:hAnsi="Times New Roman"/>
          <w:lang w:val="lt-LT" w:eastAsia="lt-LT"/>
        </w:rPr>
      </w:pPr>
    </w:p>
    <w:p w14:paraId="7AFE79BC"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4.2</w:t>
      </w:r>
      <w:r w:rsidRPr="00273A3E">
        <w:rPr>
          <w:rFonts w:ascii="Times New Roman" w:hAnsi="Times New Roman"/>
          <w:b/>
          <w:lang w:val="lt-LT"/>
        </w:rPr>
        <w:tab/>
        <w:t>Dozavimas ir vartojimo</w:t>
      </w:r>
      <w:r w:rsidR="005467C0" w:rsidRPr="00273A3E">
        <w:rPr>
          <w:rFonts w:ascii="Times New Roman" w:hAnsi="Times New Roman"/>
          <w:b/>
          <w:lang w:val="lt-LT"/>
        </w:rPr>
        <w:t xml:space="preserve"> </w:t>
      </w:r>
      <w:r w:rsidR="00FF0074" w:rsidRPr="00273A3E">
        <w:rPr>
          <w:rFonts w:ascii="Times New Roman" w:hAnsi="Times New Roman"/>
          <w:b/>
          <w:lang w:val="lt-LT"/>
        </w:rPr>
        <w:t>met</w:t>
      </w:r>
      <w:r w:rsidRPr="00273A3E">
        <w:rPr>
          <w:rFonts w:ascii="Times New Roman" w:hAnsi="Times New Roman"/>
          <w:b/>
          <w:lang w:val="lt-LT"/>
        </w:rPr>
        <w:t>odas</w:t>
      </w:r>
    </w:p>
    <w:p w14:paraId="0F912600" w14:textId="77777777" w:rsidR="001E5C66" w:rsidRPr="00273A3E" w:rsidRDefault="001E5C66" w:rsidP="00363B73">
      <w:pPr>
        <w:tabs>
          <w:tab w:val="left" w:pos="567"/>
        </w:tabs>
        <w:spacing w:after="0" w:line="240" w:lineRule="auto"/>
        <w:rPr>
          <w:rFonts w:ascii="Times New Roman" w:hAnsi="Times New Roman"/>
          <w:lang w:val="lt-LT"/>
        </w:rPr>
      </w:pPr>
    </w:p>
    <w:p w14:paraId="4E6B757D" w14:textId="77777777" w:rsidR="001E5C66" w:rsidRPr="00273A3E" w:rsidRDefault="001E5C66" w:rsidP="00363B73">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Dozavimas</w:t>
      </w:r>
    </w:p>
    <w:p w14:paraId="0B870BB0" w14:textId="77777777" w:rsidR="001E5C66" w:rsidRPr="00273A3E" w:rsidRDefault="001E5C66" w:rsidP="00363B73">
      <w:pPr>
        <w:tabs>
          <w:tab w:val="left" w:pos="567"/>
        </w:tabs>
        <w:spacing w:after="0" w:line="240" w:lineRule="auto"/>
        <w:rPr>
          <w:rFonts w:ascii="Times New Roman" w:hAnsi="Times New Roman"/>
          <w:lang w:val="lt-LT"/>
        </w:rPr>
      </w:pPr>
    </w:p>
    <w:p w14:paraId="56D81928" w14:textId="77777777" w:rsidR="001E5C66" w:rsidRPr="00273A3E" w:rsidRDefault="001E5C66" w:rsidP="00363B73">
      <w:pPr>
        <w:tabs>
          <w:tab w:val="left" w:pos="567"/>
        </w:tabs>
        <w:spacing w:after="0" w:line="240" w:lineRule="auto"/>
        <w:rPr>
          <w:rFonts w:ascii="Times New Roman" w:hAnsi="Times New Roman"/>
          <w:i/>
          <w:lang w:val="lt-LT"/>
        </w:rPr>
      </w:pPr>
      <w:r w:rsidRPr="00273A3E">
        <w:rPr>
          <w:rFonts w:ascii="Times New Roman" w:hAnsi="Times New Roman"/>
          <w:i/>
          <w:lang w:val="lt-LT"/>
        </w:rPr>
        <w:t>Suaugusioms moterims (įskaitant senyvas)</w:t>
      </w:r>
    </w:p>
    <w:p w14:paraId="3B49F28A" w14:textId="77777777" w:rsidR="001E5C66" w:rsidRPr="00273A3E" w:rsidRDefault="001E5C66" w:rsidP="00363B73">
      <w:pPr>
        <w:tabs>
          <w:tab w:val="left" w:pos="567"/>
        </w:tabs>
        <w:spacing w:after="0" w:line="240" w:lineRule="auto"/>
        <w:rPr>
          <w:rFonts w:ascii="Times New Roman" w:hAnsi="Times New Roman"/>
          <w:lang w:val="lt-LT"/>
        </w:rPr>
      </w:pPr>
      <w:r w:rsidRPr="00273A3E">
        <w:rPr>
          <w:rFonts w:ascii="Times New Roman" w:hAnsi="Times New Roman"/>
          <w:lang w:val="lt-LT"/>
        </w:rPr>
        <w:t>Rekomenduojama dozė yra 500</w:t>
      </w:r>
      <w:r w:rsidR="00FF0074" w:rsidRPr="00273A3E">
        <w:rPr>
          <w:rFonts w:ascii="Times New Roman" w:hAnsi="Times New Roman"/>
          <w:lang w:val="lt-LT"/>
        </w:rPr>
        <w:t> mg</w:t>
      </w:r>
      <w:r w:rsidRPr="00273A3E">
        <w:rPr>
          <w:rFonts w:ascii="Times New Roman" w:hAnsi="Times New Roman"/>
          <w:lang w:val="lt-LT"/>
        </w:rPr>
        <w:t>, vartojama kas 1 mėn. Be to, praėjus 2 savaitėms po pradinės dozės vartojama papildoma 500</w:t>
      </w:r>
      <w:r w:rsidR="00FF0074" w:rsidRPr="00273A3E">
        <w:rPr>
          <w:rFonts w:ascii="Times New Roman" w:hAnsi="Times New Roman"/>
          <w:lang w:val="lt-LT"/>
        </w:rPr>
        <w:t> mg</w:t>
      </w:r>
      <w:r w:rsidRPr="00273A3E">
        <w:rPr>
          <w:rFonts w:ascii="Times New Roman" w:hAnsi="Times New Roman"/>
          <w:lang w:val="lt-LT"/>
        </w:rPr>
        <w:t xml:space="preserve"> dozė.</w:t>
      </w:r>
    </w:p>
    <w:p w14:paraId="1EEA7E43" w14:textId="77777777" w:rsidR="001E5C66" w:rsidRPr="00273A3E" w:rsidRDefault="001E5C66" w:rsidP="00363B73">
      <w:pPr>
        <w:tabs>
          <w:tab w:val="left" w:pos="567"/>
        </w:tabs>
        <w:spacing w:after="0" w:line="240" w:lineRule="auto"/>
        <w:rPr>
          <w:rFonts w:ascii="Times New Roman" w:hAnsi="Times New Roman"/>
          <w:lang w:val="lt-LT"/>
        </w:rPr>
      </w:pPr>
    </w:p>
    <w:p w14:paraId="24FA99EC" w14:textId="77777777" w:rsidR="001E5C66" w:rsidRPr="00273A3E" w:rsidRDefault="001E5C66" w:rsidP="00363B73">
      <w:pPr>
        <w:tabs>
          <w:tab w:val="left" w:pos="567"/>
        </w:tabs>
        <w:spacing w:after="0" w:line="240" w:lineRule="auto"/>
        <w:rPr>
          <w:rFonts w:ascii="Times New Roman" w:hAnsi="Times New Roman"/>
          <w:lang w:val="lt-LT"/>
        </w:rPr>
      </w:pPr>
      <w:r w:rsidRPr="00273A3E">
        <w:rPr>
          <w:rFonts w:ascii="Times New Roman" w:hAnsi="Times New Roman"/>
          <w:lang w:val="lt-LT"/>
        </w:rPr>
        <w:t xml:space="preserve">Apie </w:t>
      </w:r>
      <w:proofErr w:type="spellStart"/>
      <w:r w:rsidR="00C86E9E" w:rsidRPr="00273A3E">
        <w:rPr>
          <w:rFonts w:ascii="Times New Roman" w:hAnsi="Times New Roman"/>
          <w:lang w:val="lt-LT"/>
        </w:rPr>
        <w:t>fulvestranto</w:t>
      </w:r>
      <w:proofErr w:type="spellEnd"/>
      <w:r w:rsidR="00C86E9E" w:rsidRPr="00273A3E">
        <w:rPr>
          <w:rFonts w:ascii="Times New Roman" w:hAnsi="Times New Roman"/>
          <w:lang w:val="lt-LT"/>
        </w:rPr>
        <w:t xml:space="preserve"> </w:t>
      </w:r>
      <w:r w:rsidRPr="00273A3E">
        <w:rPr>
          <w:rFonts w:ascii="Times New Roman" w:hAnsi="Times New Roman"/>
          <w:lang w:val="lt-LT"/>
        </w:rPr>
        <w:t xml:space="preserve">vartojimą kartu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taip pat žr.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w:t>
      </w:r>
      <w:r w:rsidR="00874C4F" w:rsidRPr="00273A3E">
        <w:rPr>
          <w:rFonts w:ascii="Times New Roman" w:hAnsi="Times New Roman"/>
          <w:lang w:val="lt-LT"/>
        </w:rPr>
        <w:t xml:space="preserve">vaistinio </w:t>
      </w:r>
      <w:r w:rsidR="00523B96" w:rsidRPr="00273A3E">
        <w:rPr>
          <w:rFonts w:ascii="Times New Roman" w:hAnsi="Times New Roman"/>
          <w:lang w:val="lt-LT"/>
        </w:rPr>
        <w:t>p</w:t>
      </w:r>
      <w:r w:rsidRPr="00273A3E">
        <w:rPr>
          <w:rFonts w:ascii="Times New Roman" w:hAnsi="Times New Roman"/>
          <w:lang w:val="lt-LT"/>
        </w:rPr>
        <w:t>reparato charakteristikų santrauką.</w:t>
      </w:r>
    </w:p>
    <w:p w14:paraId="3CEFB472" w14:textId="77777777" w:rsidR="001E5C66" w:rsidRPr="00273A3E" w:rsidRDefault="001E5C66" w:rsidP="00363B73">
      <w:pPr>
        <w:tabs>
          <w:tab w:val="left" w:pos="567"/>
        </w:tabs>
        <w:spacing w:after="0" w:line="240" w:lineRule="auto"/>
        <w:rPr>
          <w:rFonts w:ascii="Times New Roman" w:hAnsi="Times New Roman"/>
          <w:lang w:val="lt-LT"/>
        </w:rPr>
      </w:pPr>
    </w:p>
    <w:p w14:paraId="52EA5EB7" w14:textId="77777777" w:rsidR="001E5C66" w:rsidRPr="00273A3E" w:rsidRDefault="001E5C66" w:rsidP="00363B73">
      <w:pPr>
        <w:tabs>
          <w:tab w:val="left" w:pos="567"/>
        </w:tabs>
        <w:spacing w:after="0" w:line="240" w:lineRule="auto"/>
        <w:rPr>
          <w:rFonts w:ascii="Times New Roman" w:hAnsi="Times New Roman"/>
          <w:lang w:val="lt-LT"/>
        </w:rPr>
      </w:pPr>
      <w:r w:rsidRPr="00273A3E">
        <w:rPr>
          <w:rFonts w:ascii="Times New Roman" w:hAnsi="Times New Roman"/>
          <w:lang w:val="lt-LT"/>
        </w:rPr>
        <w:t>Moterys</w:t>
      </w:r>
      <w:r w:rsidR="003A0770" w:rsidRPr="00273A3E">
        <w:rPr>
          <w:rFonts w:ascii="Times New Roman" w:hAnsi="Times New Roman"/>
          <w:lang w:val="lt-LT"/>
        </w:rPr>
        <w:t xml:space="preserve"> iki </w:t>
      </w:r>
      <w:r w:rsidRPr="00273A3E">
        <w:rPr>
          <w:rFonts w:ascii="Times New Roman" w:hAnsi="Times New Roman"/>
          <w:lang w:val="lt-LT"/>
        </w:rPr>
        <w:t>menopauzė</w:t>
      </w:r>
      <w:r w:rsidR="00373CDE" w:rsidRPr="00273A3E">
        <w:rPr>
          <w:rFonts w:ascii="Times New Roman" w:hAnsi="Times New Roman"/>
          <w:lang w:val="lt-LT"/>
        </w:rPr>
        <w:t>s</w:t>
      </w:r>
      <w:r w:rsidRPr="00273A3E">
        <w:rPr>
          <w:rFonts w:ascii="Times New Roman" w:hAnsi="Times New Roman"/>
          <w:lang w:val="lt-LT"/>
        </w:rPr>
        <w:t xml:space="preserve"> arba </w:t>
      </w:r>
      <w:proofErr w:type="spellStart"/>
      <w:r w:rsidRPr="00273A3E">
        <w:rPr>
          <w:rFonts w:ascii="Times New Roman" w:hAnsi="Times New Roman"/>
          <w:lang w:val="lt-LT"/>
        </w:rPr>
        <w:t>perimenopauzė</w:t>
      </w:r>
      <w:r w:rsidR="00373CDE" w:rsidRPr="00273A3E">
        <w:rPr>
          <w:rFonts w:ascii="Times New Roman" w:hAnsi="Times New Roman"/>
          <w:lang w:val="lt-LT"/>
        </w:rPr>
        <w:t>s</w:t>
      </w:r>
      <w:proofErr w:type="spellEnd"/>
      <w:r w:rsidR="00373CDE" w:rsidRPr="00273A3E">
        <w:rPr>
          <w:rFonts w:ascii="Times New Roman" w:hAnsi="Times New Roman"/>
          <w:lang w:val="lt-LT"/>
        </w:rPr>
        <w:t xml:space="preserve"> laikotarpiu</w:t>
      </w:r>
      <w:r w:rsidRPr="00273A3E">
        <w:rPr>
          <w:rFonts w:ascii="Times New Roman" w:hAnsi="Times New Roman"/>
          <w:lang w:val="lt-LT"/>
        </w:rPr>
        <w:t xml:space="preserve">, prieš pradedant gydymą </w:t>
      </w:r>
      <w:proofErr w:type="spellStart"/>
      <w:r w:rsidR="00C86E9E" w:rsidRPr="00273A3E">
        <w:rPr>
          <w:rFonts w:ascii="Times New Roman" w:hAnsi="Times New Roman"/>
          <w:lang w:val="lt-LT"/>
        </w:rPr>
        <w:t>fulvestranto</w:t>
      </w:r>
      <w:proofErr w:type="spellEnd"/>
      <w:r w:rsidR="00C86E9E" w:rsidRPr="00273A3E">
        <w:rPr>
          <w:rFonts w:ascii="Times New Roman" w:hAnsi="Times New Roman"/>
          <w:lang w:val="lt-LT"/>
        </w:rPr>
        <w:t xml:space="preserve"> </w:t>
      </w:r>
      <w:r w:rsidRPr="00273A3E">
        <w:rPr>
          <w:rFonts w:ascii="Times New Roman" w:hAnsi="Times New Roman"/>
          <w:lang w:val="lt-LT"/>
        </w:rPr>
        <w:t xml:space="preserve">ir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deriniu bei visą gydymo juo laikotarpį, turi kartu vartoti LHAH </w:t>
      </w:r>
      <w:proofErr w:type="spellStart"/>
      <w:r w:rsidRPr="00273A3E">
        <w:rPr>
          <w:rFonts w:ascii="Times New Roman" w:hAnsi="Times New Roman"/>
          <w:lang w:val="lt-LT"/>
        </w:rPr>
        <w:t>agonistų</w:t>
      </w:r>
      <w:proofErr w:type="spellEnd"/>
      <w:r w:rsidRPr="00273A3E">
        <w:rPr>
          <w:rFonts w:ascii="Times New Roman" w:hAnsi="Times New Roman"/>
          <w:lang w:val="lt-LT"/>
        </w:rPr>
        <w:t>, remiantis vietinėje klinikinėje praktikoje įprasta tvarka.</w:t>
      </w:r>
    </w:p>
    <w:p w14:paraId="04408281" w14:textId="77777777" w:rsidR="001E5C66" w:rsidRPr="00273A3E" w:rsidRDefault="001E5C66" w:rsidP="00363B73">
      <w:pPr>
        <w:tabs>
          <w:tab w:val="left" w:pos="567"/>
        </w:tabs>
        <w:spacing w:after="0" w:line="240" w:lineRule="auto"/>
        <w:rPr>
          <w:rFonts w:ascii="Times New Roman" w:hAnsi="Times New Roman"/>
          <w:lang w:val="lt-LT"/>
        </w:rPr>
      </w:pPr>
    </w:p>
    <w:p w14:paraId="39DB312E" w14:textId="77777777" w:rsidR="001E5C66" w:rsidRPr="00273A3E" w:rsidRDefault="001E5C66" w:rsidP="00363B73">
      <w:pPr>
        <w:tabs>
          <w:tab w:val="left" w:pos="567"/>
        </w:tabs>
        <w:spacing w:after="0" w:line="240" w:lineRule="auto"/>
        <w:rPr>
          <w:rFonts w:ascii="Times New Roman" w:hAnsi="Times New Roman"/>
          <w:i/>
          <w:lang w:val="lt-LT"/>
        </w:rPr>
      </w:pPr>
      <w:r w:rsidRPr="00273A3E">
        <w:rPr>
          <w:rFonts w:ascii="Times New Roman" w:hAnsi="Times New Roman"/>
          <w:i/>
          <w:iCs/>
          <w:u w:val="single"/>
          <w:lang w:val="lt-LT"/>
        </w:rPr>
        <w:t>Ypatingos populiacijos</w:t>
      </w:r>
    </w:p>
    <w:p w14:paraId="28FA92E5" w14:textId="77777777" w:rsidR="001E5C66" w:rsidRPr="00273A3E" w:rsidRDefault="001E5C66" w:rsidP="00363B73">
      <w:pPr>
        <w:tabs>
          <w:tab w:val="left" w:pos="567"/>
        </w:tabs>
        <w:spacing w:after="0" w:line="240" w:lineRule="auto"/>
        <w:rPr>
          <w:rFonts w:ascii="Times New Roman" w:hAnsi="Times New Roman"/>
          <w:i/>
          <w:lang w:val="lt-LT"/>
        </w:rPr>
      </w:pPr>
      <w:r w:rsidRPr="00273A3E">
        <w:rPr>
          <w:rFonts w:ascii="Times New Roman" w:hAnsi="Times New Roman"/>
          <w:i/>
          <w:lang w:val="lt-LT"/>
        </w:rPr>
        <w:t>Pacientėms, kurių inkstų funkcija sutrikusi</w:t>
      </w:r>
    </w:p>
    <w:p w14:paraId="2FE22539" w14:textId="77777777" w:rsidR="001E5C66" w:rsidRPr="00273A3E" w:rsidRDefault="001E5C66" w:rsidP="00363B73">
      <w:pPr>
        <w:tabs>
          <w:tab w:val="left" w:pos="567"/>
        </w:tabs>
        <w:spacing w:after="0" w:line="240" w:lineRule="auto"/>
        <w:rPr>
          <w:rFonts w:ascii="Times New Roman" w:hAnsi="Times New Roman"/>
          <w:lang w:val="lt-LT"/>
        </w:rPr>
      </w:pPr>
      <w:r w:rsidRPr="00273A3E">
        <w:rPr>
          <w:rFonts w:ascii="Times New Roman" w:hAnsi="Times New Roman"/>
          <w:lang w:val="lt-LT"/>
        </w:rPr>
        <w:t xml:space="preserve">Pacientėms, kurioms yra lengvas ar vidutinio sunkumo inkstų funkcijos sutrikimas (kreatinino klirensas </w:t>
      </w:r>
      <w:r w:rsidR="00151D85" w:rsidRPr="00273A3E">
        <w:rPr>
          <w:rFonts w:ascii="Times New Roman" w:hAnsi="Times New Roman"/>
          <w:lang w:val="lt-LT"/>
        </w:rPr>
        <w:t>≥ </w:t>
      </w:r>
      <w:r w:rsidRPr="00273A3E">
        <w:rPr>
          <w:rFonts w:ascii="Times New Roman" w:hAnsi="Times New Roman"/>
          <w:lang w:val="lt-LT"/>
        </w:rPr>
        <w:t>30</w:t>
      </w:r>
      <w:r w:rsidR="00FF0074" w:rsidRPr="00273A3E">
        <w:rPr>
          <w:rFonts w:ascii="Times New Roman" w:hAnsi="Times New Roman"/>
          <w:lang w:val="lt-LT"/>
        </w:rPr>
        <w:t> ml</w:t>
      </w:r>
      <w:r w:rsidRPr="00273A3E">
        <w:rPr>
          <w:rFonts w:ascii="Times New Roman" w:hAnsi="Times New Roman"/>
          <w:lang w:val="lt-LT"/>
        </w:rPr>
        <w:t>/min.), dozės koreguoti nere</w:t>
      </w:r>
      <w:r w:rsidR="00FA1216" w:rsidRPr="00273A3E">
        <w:rPr>
          <w:rFonts w:ascii="Times New Roman" w:hAnsi="Times New Roman"/>
          <w:lang w:val="lt-LT"/>
        </w:rPr>
        <w:t>komenduojama</w:t>
      </w:r>
      <w:r w:rsidRPr="00273A3E">
        <w:rPr>
          <w:rFonts w:ascii="Times New Roman" w:hAnsi="Times New Roman"/>
          <w:lang w:val="lt-LT"/>
        </w:rPr>
        <w:t xml:space="preserve">. Pacientėms, kurioms yra sunkus inkstų funkcijos sutrikimas (kreatinino klirensas </w:t>
      </w:r>
      <w:r w:rsidR="002C7ADF" w:rsidRPr="00273A3E">
        <w:rPr>
          <w:rFonts w:ascii="Times New Roman" w:hAnsi="Times New Roman"/>
          <w:lang w:val="lt-LT"/>
        </w:rPr>
        <w:t>&lt; </w:t>
      </w:r>
      <w:r w:rsidRPr="00273A3E">
        <w:rPr>
          <w:rFonts w:ascii="Times New Roman" w:hAnsi="Times New Roman"/>
          <w:lang w:val="lt-LT"/>
        </w:rPr>
        <w:t>30</w:t>
      </w:r>
      <w:r w:rsidR="00FF0074" w:rsidRPr="00273A3E">
        <w:rPr>
          <w:rFonts w:ascii="Times New Roman" w:hAnsi="Times New Roman"/>
          <w:lang w:val="lt-LT"/>
        </w:rPr>
        <w:t> ml</w:t>
      </w:r>
      <w:r w:rsidRPr="00273A3E">
        <w:rPr>
          <w:rFonts w:ascii="Times New Roman" w:hAnsi="Times New Roman"/>
          <w:lang w:val="lt-LT"/>
        </w:rPr>
        <w:t>/min.), šio vaistinio preparato saugumas ir veiksmingumas ne</w:t>
      </w:r>
      <w:r w:rsidR="00373CDE" w:rsidRPr="00273A3E">
        <w:rPr>
          <w:rFonts w:ascii="Times New Roman" w:hAnsi="Times New Roman"/>
          <w:lang w:val="lt-LT"/>
        </w:rPr>
        <w:t>iš</w:t>
      </w:r>
      <w:r w:rsidRPr="00273A3E">
        <w:rPr>
          <w:rFonts w:ascii="Times New Roman" w:hAnsi="Times New Roman"/>
          <w:lang w:val="lt-LT"/>
        </w:rPr>
        <w:t>tirtas, todėl šioms pacientėms</w:t>
      </w:r>
      <w:r w:rsidR="004E7ACA" w:rsidRPr="00273A3E">
        <w:rPr>
          <w:rFonts w:ascii="Times New Roman" w:hAnsi="Times New Roman"/>
          <w:lang w:val="lt-LT"/>
        </w:rPr>
        <w:t xml:space="preserve"> </w:t>
      </w:r>
      <w:r w:rsidRPr="00273A3E">
        <w:rPr>
          <w:rFonts w:ascii="Times New Roman" w:hAnsi="Times New Roman"/>
          <w:lang w:val="lt-LT"/>
        </w:rPr>
        <w:t xml:space="preserve">rekomenduojama </w:t>
      </w:r>
      <w:r w:rsidR="00373CDE" w:rsidRPr="00273A3E">
        <w:rPr>
          <w:rFonts w:ascii="Times New Roman" w:hAnsi="Times New Roman"/>
          <w:lang w:val="lt-LT"/>
        </w:rPr>
        <w:t xml:space="preserve">laikytis </w:t>
      </w:r>
      <w:r w:rsidRPr="00273A3E">
        <w:rPr>
          <w:rFonts w:ascii="Times New Roman" w:hAnsi="Times New Roman"/>
          <w:lang w:val="lt-LT"/>
        </w:rPr>
        <w:t>atsarg</w:t>
      </w:r>
      <w:r w:rsidR="00373CDE" w:rsidRPr="00273A3E">
        <w:rPr>
          <w:rFonts w:ascii="Times New Roman" w:hAnsi="Times New Roman"/>
          <w:lang w:val="lt-LT"/>
        </w:rPr>
        <w:t>umo</w:t>
      </w:r>
      <w:r w:rsidRPr="00273A3E">
        <w:rPr>
          <w:rFonts w:ascii="Times New Roman" w:hAnsi="Times New Roman"/>
          <w:lang w:val="lt-LT"/>
        </w:rPr>
        <w:t xml:space="preserve"> (žr. 4.4</w:t>
      </w:r>
      <w:r w:rsidR="00FF0074" w:rsidRPr="00273A3E">
        <w:rPr>
          <w:rFonts w:ascii="Times New Roman" w:hAnsi="Times New Roman"/>
          <w:lang w:val="lt-LT"/>
        </w:rPr>
        <w:t> skyri</w:t>
      </w:r>
      <w:r w:rsidRPr="00273A3E">
        <w:rPr>
          <w:rFonts w:ascii="Times New Roman" w:hAnsi="Times New Roman"/>
          <w:lang w:val="lt-LT"/>
        </w:rPr>
        <w:t>ų).</w:t>
      </w:r>
    </w:p>
    <w:p w14:paraId="11BAC0DE" w14:textId="77777777" w:rsidR="001E5C66" w:rsidRPr="00273A3E" w:rsidRDefault="001E5C66" w:rsidP="00363B73">
      <w:pPr>
        <w:tabs>
          <w:tab w:val="left" w:pos="567"/>
        </w:tabs>
        <w:spacing w:after="0" w:line="240" w:lineRule="auto"/>
        <w:rPr>
          <w:rFonts w:ascii="Times New Roman" w:hAnsi="Times New Roman"/>
          <w:i/>
          <w:lang w:val="lt-LT"/>
        </w:rPr>
      </w:pPr>
    </w:p>
    <w:p w14:paraId="4485D13A" w14:textId="77777777" w:rsidR="001E5C66" w:rsidRPr="00273A3E" w:rsidRDefault="001E5C66" w:rsidP="00363B73">
      <w:pPr>
        <w:tabs>
          <w:tab w:val="left" w:pos="567"/>
        </w:tabs>
        <w:spacing w:after="0" w:line="240" w:lineRule="auto"/>
        <w:rPr>
          <w:rFonts w:ascii="Times New Roman" w:hAnsi="Times New Roman"/>
          <w:i/>
          <w:lang w:val="lt-LT"/>
        </w:rPr>
      </w:pPr>
      <w:r w:rsidRPr="00273A3E">
        <w:rPr>
          <w:rFonts w:ascii="Times New Roman" w:hAnsi="Times New Roman"/>
          <w:i/>
          <w:lang w:val="lt-LT"/>
        </w:rPr>
        <w:t>Pacientėms, kurių kepenų funkcija sutrikusi</w:t>
      </w:r>
    </w:p>
    <w:p w14:paraId="5CB869F9" w14:textId="77777777" w:rsidR="001E5C66" w:rsidRPr="00273A3E" w:rsidRDefault="001E5C66" w:rsidP="00363B73">
      <w:pPr>
        <w:tabs>
          <w:tab w:val="left" w:pos="567"/>
        </w:tabs>
        <w:spacing w:after="0" w:line="240" w:lineRule="auto"/>
        <w:rPr>
          <w:rFonts w:ascii="Times New Roman" w:hAnsi="Times New Roman"/>
          <w:lang w:val="lt-LT"/>
        </w:rPr>
      </w:pPr>
      <w:r w:rsidRPr="00273A3E">
        <w:rPr>
          <w:rFonts w:ascii="Times New Roman" w:hAnsi="Times New Roman"/>
          <w:lang w:val="lt-LT"/>
        </w:rPr>
        <w:t xml:space="preserve">Pacientėms, kurioms yra lengvas arba vidutinio sunkumo kepenų funkcijos sutrikimas, dozės koreguoti </w:t>
      </w:r>
      <w:r w:rsidR="00E143E0" w:rsidRPr="00273A3E">
        <w:rPr>
          <w:rFonts w:ascii="Times New Roman" w:hAnsi="Times New Roman"/>
          <w:lang w:val="lt-LT"/>
        </w:rPr>
        <w:t>nerekomenduojama</w:t>
      </w:r>
      <w:r w:rsidRPr="00273A3E">
        <w:rPr>
          <w:rFonts w:ascii="Times New Roman" w:hAnsi="Times New Roman"/>
          <w:lang w:val="lt-LT"/>
        </w:rPr>
        <w:t xml:space="preserve">. Vis dėlto, kadangi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ekspozicija gali būti padidėjusi, </w:t>
      </w:r>
      <w:proofErr w:type="spellStart"/>
      <w:r w:rsidR="00C86E9E" w:rsidRPr="00273A3E">
        <w:rPr>
          <w:rFonts w:ascii="Times New Roman" w:hAnsi="Times New Roman"/>
          <w:lang w:val="lt-LT"/>
        </w:rPr>
        <w:t>fulvestranto</w:t>
      </w:r>
      <w:proofErr w:type="spellEnd"/>
      <w:r w:rsidR="00C86E9E" w:rsidRPr="00273A3E">
        <w:rPr>
          <w:rFonts w:ascii="Times New Roman" w:hAnsi="Times New Roman"/>
          <w:lang w:val="lt-LT"/>
        </w:rPr>
        <w:t xml:space="preserve"> </w:t>
      </w:r>
      <w:r w:rsidRPr="00273A3E">
        <w:rPr>
          <w:rFonts w:ascii="Times New Roman" w:hAnsi="Times New Roman"/>
          <w:lang w:val="lt-LT"/>
        </w:rPr>
        <w:t xml:space="preserve">šioms pacientėms </w:t>
      </w:r>
      <w:r w:rsidR="00273A3E">
        <w:rPr>
          <w:rFonts w:ascii="Times New Roman" w:hAnsi="Times New Roman"/>
          <w:lang w:val="lt-LT"/>
        </w:rPr>
        <w:t>reikia vartoti</w:t>
      </w:r>
      <w:r w:rsidR="00373CDE" w:rsidRPr="00273A3E">
        <w:rPr>
          <w:rFonts w:ascii="Times New Roman" w:hAnsi="Times New Roman"/>
          <w:lang w:val="lt-LT"/>
        </w:rPr>
        <w:t xml:space="preserve"> </w:t>
      </w:r>
      <w:r w:rsidRPr="00273A3E">
        <w:rPr>
          <w:rFonts w:ascii="Times New Roman" w:hAnsi="Times New Roman"/>
          <w:lang w:val="lt-LT"/>
        </w:rPr>
        <w:t>atsargiai.</w:t>
      </w:r>
      <w:r w:rsidR="009F6129" w:rsidRPr="00273A3E">
        <w:rPr>
          <w:rFonts w:ascii="Times New Roman" w:hAnsi="Times New Roman"/>
          <w:lang w:val="lt-LT"/>
        </w:rPr>
        <w:t xml:space="preserve"> </w:t>
      </w:r>
      <w:r w:rsidR="00373CDE" w:rsidRPr="00273A3E">
        <w:rPr>
          <w:rFonts w:ascii="Times New Roman" w:hAnsi="Times New Roman"/>
          <w:lang w:val="lt-LT"/>
        </w:rPr>
        <w:t>Duomenų apie vartojimą p</w:t>
      </w:r>
      <w:r w:rsidRPr="00273A3E">
        <w:rPr>
          <w:rFonts w:ascii="Times New Roman" w:hAnsi="Times New Roman"/>
          <w:lang w:val="lt-LT"/>
        </w:rPr>
        <w:t>acientėms, kurioms yra sunkus kepenų funkcijos sutrikimas, nėra (žr. 4.3, 4.4 ir 5.2</w:t>
      </w:r>
      <w:r w:rsidR="00FF0074" w:rsidRPr="00273A3E">
        <w:rPr>
          <w:rFonts w:ascii="Times New Roman" w:hAnsi="Times New Roman"/>
          <w:lang w:val="lt-LT"/>
        </w:rPr>
        <w:t> skyri</w:t>
      </w:r>
      <w:r w:rsidRPr="00273A3E">
        <w:rPr>
          <w:rFonts w:ascii="Times New Roman" w:hAnsi="Times New Roman"/>
          <w:lang w:val="lt-LT"/>
        </w:rPr>
        <w:t>us).</w:t>
      </w:r>
    </w:p>
    <w:p w14:paraId="29C64F5F" w14:textId="77777777" w:rsidR="001E5C66" w:rsidRPr="00273A3E" w:rsidRDefault="001E5C66" w:rsidP="00363B73">
      <w:pPr>
        <w:tabs>
          <w:tab w:val="left" w:pos="567"/>
        </w:tabs>
        <w:spacing w:after="0" w:line="240" w:lineRule="auto"/>
        <w:rPr>
          <w:rFonts w:ascii="Times New Roman" w:hAnsi="Times New Roman"/>
          <w:lang w:val="lt-LT"/>
        </w:rPr>
      </w:pPr>
    </w:p>
    <w:p w14:paraId="37DFC827" w14:textId="77777777" w:rsidR="001E5C66" w:rsidRPr="00273A3E" w:rsidRDefault="001E5C66" w:rsidP="00363B73">
      <w:pPr>
        <w:tabs>
          <w:tab w:val="left" w:pos="567"/>
        </w:tabs>
        <w:spacing w:after="0" w:line="240" w:lineRule="auto"/>
        <w:rPr>
          <w:rFonts w:ascii="Times New Roman" w:hAnsi="Times New Roman"/>
          <w:i/>
          <w:lang w:val="lt-LT"/>
        </w:rPr>
      </w:pPr>
      <w:r w:rsidRPr="00273A3E">
        <w:rPr>
          <w:rFonts w:ascii="Times New Roman" w:hAnsi="Times New Roman"/>
          <w:i/>
          <w:lang w:val="lt-LT"/>
        </w:rPr>
        <w:t>Vaikų populiacija</w:t>
      </w:r>
    </w:p>
    <w:p w14:paraId="1F0E5570" w14:textId="77777777" w:rsidR="001E5C66" w:rsidRPr="00273A3E" w:rsidRDefault="00C86E9E" w:rsidP="00363B73">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w:t>
      </w:r>
      <w:r w:rsidR="001E5C66" w:rsidRPr="00273A3E">
        <w:rPr>
          <w:rFonts w:ascii="Times New Roman" w:hAnsi="Times New Roman"/>
          <w:lang w:val="lt-LT"/>
        </w:rPr>
        <w:t>saugumas ir veiksmingumas vaikams iki 18</w:t>
      </w:r>
      <w:r w:rsidR="00FF0074" w:rsidRPr="00273A3E">
        <w:rPr>
          <w:rFonts w:ascii="Times New Roman" w:hAnsi="Times New Roman"/>
          <w:lang w:val="lt-LT"/>
        </w:rPr>
        <w:t> met</w:t>
      </w:r>
      <w:r w:rsidR="001E5C66" w:rsidRPr="00273A3E">
        <w:rPr>
          <w:rFonts w:ascii="Times New Roman" w:hAnsi="Times New Roman"/>
          <w:lang w:val="lt-LT"/>
        </w:rPr>
        <w:t>ų nebuvo nustatytas. Šiuo</w:t>
      </w:r>
      <w:r w:rsidR="009F6129" w:rsidRPr="00273A3E">
        <w:rPr>
          <w:rFonts w:ascii="Times New Roman" w:hAnsi="Times New Roman"/>
          <w:lang w:val="lt-LT"/>
        </w:rPr>
        <w:t xml:space="preserve"> </w:t>
      </w:r>
      <w:r w:rsidR="00FF0074" w:rsidRPr="00273A3E">
        <w:rPr>
          <w:rFonts w:ascii="Times New Roman" w:hAnsi="Times New Roman"/>
          <w:lang w:val="lt-LT"/>
        </w:rPr>
        <w:t>met</w:t>
      </w:r>
      <w:r w:rsidR="001E5C66" w:rsidRPr="00273A3E">
        <w:rPr>
          <w:rFonts w:ascii="Times New Roman" w:hAnsi="Times New Roman"/>
          <w:lang w:val="lt-LT"/>
        </w:rPr>
        <w:t>u turimi duomenys pateikiami 5.1 ir 5.2</w:t>
      </w:r>
      <w:r w:rsidR="00FF0074" w:rsidRPr="00273A3E">
        <w:rPr>
          <w:rFonts w:ascii="Times New Roman" w:hAnsi="Times New Roman"/>
          <w:lang w:val="lt-LT"/>
        </w:rPr>
        <w:t> skyri</w:t>
      </w:r>
      <w:r w:rsidR="001E5C66" w:rsidRPr="00273A3E">
        <w:rPr>
          <w:rFonts w:ascii="Times New Roman" w:hAnsi="Times New Roman"/>
          <w:lang w:val="lt-LT"/>
        </w:rPr>
        <w:t>uose, tačiau dozavimo rekomendacijų pateikti negalima.</w:t>
      </w:r>
    </w:p>
    <w:p w14:paraId="03F0784B" w14:textId="77777777" w:rsidR="001E5C66" w:rsidRPr="00273A3E" w:rsidRDefault="001E5C66" w:rsidP="00363B73">
      <w:pPr>
        <w:tabs>
          <w:tab w:val="left" w:pos="567"/>
        </w:tabs>
        <w:spacing w:after="0" w:line="240" w:lineRule="auto"/>
        <w:rPr>
          <w:rFonts w:ascii="Times New Roman" w:hAnsi="Times New Roman"/>
          <w:lang w:val="lt-LT"/>
        </w:rPr>
      </w:pPr>
    </w:p>
    <w:p w14:paraId="3B43771D" w14:textId="77777777" w:rsidR="001E5C66" w:rsidRPr="00273A3E" w:rsidRDefault="001E5C66" w:rsidP="00363B73">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Vartojimo</w:t>
      </w:r>
      <w:r w:rsidR="009F6129" w:rsidRPr="00273A3E">
        <w:rPr>
          <w:rFonts w:ascii="Times New Roman" w:hAnsi="Times New Roman"/>
          <w:u w:val="single"/>
          <w:lang w:val="lt-LT"/>
        </w:rPr>
        <w:t xml:space="preserve"> </w:t>
      </w:r>
      <w:r w:rsidR="00FF0074" w:rsidRPr="00273A3E">
        <w:rPr>
          <w:rFonts w:ascii="Times New Roman" w:hAnsi="Times New Roman"/>
          <w:u w:val="single"/>
          <w:lang w:val="lt-LT"/>
        </w:rPr>
        <w:t>met</w:t>
      </w:r>
      <w:r w:rsidRPr="00273A3E">
        <w:rPr>
          <w:rFonts w:ascii="Times New Roman" w:hAnsi="Times New Roman"/>
          <w:u w:val="single"/>
          <w:lang w:val="lt-LT"/>
        </w:rPr>
        <w:t>odas</w:t>
      </w:r>
    </w:p>
    <w:p w14:paraId="263D7146" w14:textId="77777777" w:rsidR="001E5C66" w:rsidRPr="00273A3E" w:rsidRDefault="00C86E9E" w:rsidP="00363B73">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1E5C66" w:rsidRPr="00273A3E">
        <w:rPr>
          <w:rFonts w:ascii="Times New Roman" w:hAnsi="Times New Roman"/>
          <w:lang w:val="lt-LT"/>
        </w:rPr>
        <w:t xml:space="preserve">turi būti </w:t>
      </w:r>
      <w:r w:rsidR="002674EC" w:rsidRPr="00273A3E">
        <w:rPr>
          <w:rFonts w:ascii="Times New Roman" w:hAnsi="Times New Roman"/>
          <w:lang w:val="lt-LT"/>
        </w:rPr>
        <w:t xml:space="preserve">vartojamas </w:t>
      </w:r>
      <w:r w:rsidR="005F2E6A" w:rsidRPr="00273A3E">
        <w:rPr>
          <w:rFonts w:ascii="Times New Roman" w:hAnsi="Times New Roman"/>
          <w:lang w:val="lt-LT"/>
        </w:rPr>
        <w:t>kaip dvi 5</w:t>
      </w:r>
      <w:r w:rsidR="00FF0074" w:rsidRPr="00273A3E">
        <w:rPr>
          <w:rFonts w:ascii="Times New Roman" w:hAnsi="Times New Roman"/>
          <w:lang w:val="lt-LT"/>
        </w:rPr>
        <w:t> ml</w:t>
      </w:r>
      <w:r w:rsidR="005F2E6A" w:rsidRPr="00273A3E">
        <w:rPr>
          <w:rFonts w:ascii="Times New Roman" w:hAnsi="Times New Roman"/>
          <w:lang w:val="lt-LT"/>
        </w:rPr>
        <w:t xml:space="preserve"> injekcijos </w:t>
      </w:r>
      <w:r w:rsidR="00A06293" w:rsidRPr="00273A3E">
        <w:rPr>
          <w:rFonts w:ascii="Times New Roman" w:hAnsi="Times New Roman"/>
          <w:lang w:val="lt-LT"/>
        </w:rPr>
        <w:t>vien</w:t>
      </w:r>
      <w:r w:rsidR="00E11A37" w:rsidRPr="00273A3E">
        <w:rPr>
          <w:rFonts w:ascii="Times New Roman" w:hAnsi="Times New Roman"/>
          <w:lang w:val="lt-LT"/>
        </w:rPr>
        <w:t>a</w:t>
      </w:r>
      <w:r w:rsidR="00A06293" w:rsidRPr="00273A3E">
        <w:rPr>
          <w:rFonts w:ascii="Times New Roman" w:hAnsi="Times New Roman"/>
          <w:lang w:val="lt-LT"/>
        </w:rPr>
        <w:t xml:space="preserve"> po kitos lėtai </w:t>
      </w:r>
      <w:r w:rsidR="005F2E6A" w:rsidRPr="00273A3E">
        <w:rPr>
          <w:rFonts w:ascii="Times New Roman" w:hAnsi="Times New Roman"/>
          <w:lang w:val="lt-LT"/>
        </w:rPr>
        <w:t xml:space="preserve">į raumenis </w:t>
      </w:r>
      <w:r w:rsidR="00C2009F" w:rsidRPr="00273A3E">
        <w:rPr>
          <w:rFonts w:ascii="Times New Roman" w:hAnsi="Times New Roman"/>
          <w:lang w:val="lt-LT"/>
        </w:rPr>
        <w:t>(</w:t>
      </w:r>
      <w:r w:rsidR="005A1768" w:rsidRPr="00273A3E">
        <w:rPr>
          <w:rFonts w:ascii="Times New Roman" w:hAnsi="Times New Roman"/>
          <w:lang w:val="lt-LT"/>
        </w:rPr>
        <w:t>kiekviena</w:t>
      </w:r>
      <w:r w:rsidR="00B6013E" w:rsidRPr="00273A3E">
        <w:rPr>
          <w:rFonts w:ascii="Times New Roman" w:hAnsi="Times New Roman"/>
          <w:lang w:val="lt-LT"/>
        </w:rPr>
        <w:t xml:space="preserve"> injekcija</w:t>
      </w:r>
      <w:r w:rsidR="005A1768" w:rsidRPr="00273A3E">
        <w:rPr>
          <w:rFonts w:ascii="Times New Roman" w:hAnsi="Times New Roman"/>
          <w:lang w:val="lt-LT"/>
        </w:rPr>
        <w:t xml:space="preserve"> </w:t>
      </w:r>
      <w:r w:rsidR="00C2009F" w:rsidRPr="00273A3E">
        <w:rPr>
          <w:rFonts w:ascii="Times New Roman" w:hAnsi="Times New Roman"/>
          <w:lang w:val="lt-LT"/>
        </w:rPr>
        <w:t>per 1–2 </w:t>
      </w:r>
      <w:r w:rsidR="00AB19B2" w:rsidRPr="00273A3E">
        <w:rPr>
          <w:rFonts w:ascii="Times New Roman" w:hAnsi="Times New Roman"/>
          <w:lang w:val="lt-LT"/>
        </w:rPr>
        <w:t>min.)</w:t>
      </w:r>
      <w:r w:rsidR="00BB59F3" w:rsidRPr="00273A3E">
        <w:rPr>
          <w:rFonts w:ascii="Times New Roman" w:hAnsi="Times New Roman"/>
          <w:lang w:val="lt-LT"/>
        </w:rPr>
        <w:t>,</w:t>
      </w:r>
      <w:r w:rsidR="001E5C66" w:rsidRPr="00273A3E">
        <w:rPr>
          <w:rFonts w:ascii="Times New Roman" w:hAnsi="Times New Roman"/>
          <w:lang w:val="lt-LT"/>
        </w:rPr>
        <w:t xml:space="preserve"> </w:t>
      </w:r>
      <w:r w:rsidR="003D6914" w:rsidRPr="00273A3E">
        <w:rPr>
          <w:rFonts w:ascii="Times New Roman" w:hAnsi="Times New Roman"/>
          <w:lang w:val="lt-LT"/>
        </w:rPr>
        <w:t xml:space="preserve">po vieną į kiekvieną sėdmenį </w:t>
      </w:r>
      <w:r w:rsidR="001E5C66" w:rsidRPr="00273A3E">
        <w:rPr>
          <w:rFonts w:ascii="Times New Roman" w:hAnsi="Times New Roman"/>
          <w:lang w:val="lt-LT"/>
        </w:rPr>
        <w:t>(sėdmenų raumenų sritį)</w:t>
      </w:r>
      <w:r w:rsidR="00FF0074" w:rsidRPr="00273A3E">
        <w:rPr>
          <w:rFonts w:ascii="Times New Roman" w:hAnsi="Times New Roman"/>
          <w:lang w:val="lt-LT"/>
        </w:rPr>
        <w:t>.</w:t>
      </w:r>
    </w:p>
    <w:p w14:paraId="1E2F46D3" w14:textId="77777777" w:rsidR="001E5C66" w:rsidRPr="00273A3E" w:rsidRDefault="001E5C66" w:rsidP="00363B73">
      <w:pPr>
        <w:tabs>
          <w:tab w:val="left" w:pos="567"/>
        </w:tabs>
        <w:spacing w:after="0" w:line="240" w:lineRule="auto"/>
        <w:rPr>
          <w:rFonts w:ascii="Times New Roman" w:hAnsi="Times New Roman"/>
          <w:lang w:val="lt-LT"/>
        </w:rPr>
      </w:pPr>
    </w:p>
    <w:p w14:paraId="16BCCF91" w14:textId="77777777" w:rsidR="001E5C66" w:rsidRPr="00273A3E" w:rsidRDefault="00C86E9E" w:rsidP="00363B73">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Į</w:t>
      </w:r>
      <w:r w:rsidR="001E5C66" w:rsidRPr="00273A3E">
        <w:rPr>
          <w:rFonts w:ascii="Times New Roman" w:hAnsi="Times New Roman"/>
          <w:lang w:val="lt-LT"/>
        </w:rPr>
        <w:t xml:space="preserve"> nugarinę sėdmens dalį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w:t>
      </w:r>
      <w:r w:rsidR="001E5C66" w:rsidRPr="00273A3E">
        <w:rPr>
          <w:rFonts w:ascii="Times New Roman" w:hAnsi="Times New Roman"/>
          <w:lang w:val="lt-LT"/>
        </w:rPr>
        <w:t xml:space="preserve">reikia </w:t>
      </w:r>
      <w:r w:rsidR="000F74D9" w:rsidRPr="00273A3E">
        <w:rPr>
          <w:rFonts w:ascii="Times New Roman" w:hAnsi="Times New Roman"/>
          <w:lang w:val="lt-LT"/>
        </w:rPr>
        <w:t xml:space="preserve">leisti </w:t>
      </w:r>
      <w:r w:rsidR="001E5C66" w:rsidRPr="00273A3E">
        <w:rPr>
          <w:rFonts w:ascii="Times New Roman" w:hAnsi="Times New Roman"/>
          <w:lang w:val="lt-LT"/>
        </w:rPr>
        <w:t>atsargiai, kadangi arti yra sėdimasis nervas.</w:t>
      </w:r>
    </w:p>
    <w:p w14:paraId="6473A904" w14:textId="77777777" w:rsidR="001E5C66" w:rsidRPr="00273A3E" w:rsidRDefault="001E5C66" w:rsidP="00363B73">
      <w:pPr>
        <w:tabs>
          <w:tab w:val="left" w:pos="567"/>
        </w:tabs>
        <w:spacing w:after="0" w:line="240" w:lineRule="auto"/>
        <w:rPr>
          <w:rFonts w:ascii="Times New Roman" w:hAnsi="Times New Roman"/>
          <w:lang w:val="lt-LT"/>
        </w:rPr>
      </w:pPr>
    </w:p>
    <w:p w14:paraId="4427F943" w14:textId="77777777" w:rsidR="001E5C66" w:rsidRPr="00273A3E" w:rsidRDefault="001E5C66" w:rsidP="00363B73">
      <w:pPr>
        <w:tabs>
          <w:tab w:val="left" w:pos="567"/>
        </w:tabs>
        <w:spacing w:after="0" w:line="240" w:lineRule="auto"/>
        <w:rPr>
          <w:rFonts w:ascii="Times New Roman" w:hAnsi="Times New Roman"/>
          <w:lang w:val="lt-LT"/>
        </w:rPr>
      </w:pPr>
      <w:r w:rsidRPr="00273A3E">
        <w:rPr>
          <w:rFonts w:ascii="Times New Roman" w:hAnsi="Times New Roman"/>
          <w:lang w:val="lt-LT"/>
        </w:rPr>
        <w:t>Išsami vartojimo instrukcija pateikiama 6.6</w:t>
      </w:r>
      <w:r w:rsidR="00FF0074" w:rsidRPr="00273A3E">
        <w:rPr>
          <w:rFonts w:ascii="Times New Roman" w:hAnsi="Times New Roman"/>
          <w:lang w:val="lt-LT"/>
        </w:rPr>
        <w:t> skyri</w:t>
      </w:r>
      <w:r w:rsidRPr="00273A3E">
        <w:rPr>
          <w:rFonts w:ascii="Times New Roman" w:hAnsi="Times New Roman"/>
          <w:lang w:val="lt-LT"/>
        </w:rPr>
        <w:t>uje.</w:t>
      </w:r>
    </w:p>
    <w:p w14:paraId="4C924E04" w14:textId="77777777" w:rsidR="001E5C66" w:rsidRPr="00273A3E" w:rsidRDefault="001E5C66" w:rsidP="00363B73">
      <w:pPr>
        <w:tabs>
          <w:tab w:val="left" w:pos="567"/>
        </w:tabs>
        <w:spacing w:after="0" w:line="240" w:lineRule="auto"/>
        <w:rPr>
          <w:rFonts w:ascii="Times New Roman" w:hAnsi="Times New Roman"/>
          <w:lang w:val="lt-LT"/>
        </w:rPr>
      </w:pPr>
    </w:p>
    <w:p w14:paraId="23C7BEA8"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4.3</w:t>
      </w:r>
      <w:r w:rsidRPr="00273A3E">
        <w:rPr>
          <w:rFonts w:ascii="Times New Roman" w:hAnsi="Times New Roman"/>
          <w:b/>
          <w:lang w:val="lt-LT"/>
        </w:rPr>
        <w:tab/>
        <w:t>Kontraindikacijos</w:t>
      </w:r>
    </w:p>
    <w:p w14:paraId="40E9E648" w14:textId="77777777" w:rsidR="001E5C66" w:rsidRPr="00273A3E" w:rsidRDefault="001E5C66" w:rsidP="00363B73">
      <w:pPr>
        <w:tabs>
          <w:tab w:val="left" w:pos="567"/>
        </w:tabs>
        <w:spacing w:after="0" w:line="240" w:lineRule="auto"/>
        <w:rPr>
          <w:rFonts w:ascii="Times New Roman" w:hAnsi="Times New Roman"/>
          <w:b/>
          <w:lang w:val="lt-LT"/>
        </w:rPr>
      </w:pPr>
    </w:p>
    <w:p w14:paraId="68343B49" w14:textId="77777777" w:rsidR="001E5C66" w:rsidRPr="00273A3E" w:rsidRDefault="001E5C66" w:rsidP="009F71ED">
      <w:pPr>
        <w:numPr>
          <w:ilvl w:val="0"/>
          <w:numId w:val="22"/>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Padidėjęs jautrumas veikliajai arba bet kuriai 6.1</w:t>
      </w:r>
      <w:r w:rsidR="00FF0074" w:rsidRPr="00273A3E">
        <w:rPr>
          <w:rFonts w:ascii="Times New Roman" w:hAnsi="Times New Roman"/>
          <w:lang w:val="lt-LT"/>
        </w:rPr>
        <w:t> skyri</w:t>
      </w:r>
      <w:r w:rsidRPr="00273A3E">
        <w:rPr>
          <w:rFonts w:ascii="Times New Roman" w:hAnsi="Times New Roman"/>
          <w:lang w:val="lt-LT"/>
        </w:rPr>
        <w:t>uje nurodytai pagalbinei medžiagai.</w:t>
      </w:r>
    </w:p>
    <w:p w14:paraId="36D34546" w14:textId="77777777" w:rsidR="001E5C66" w:rsidRPr="00273A3E" w:rsidRDefault="001E5C66" w:rsidP="009F71ED">
      <w:pPr>
        <w:numPr>
          <w:ilvl w:val="0"/>
          <w:numId w:val="22"/>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Nėštumas ir žindym</w:t>
      </w:r>
      <w:r w:rsidR="00874C4F" w:rsidRPr="00273A3E">
        <w:rPr>
          <w:rFonts w:ascii="Times New Roman" w:hAnsi="Times New Roman"/>
          <w:lang w:val="lt-LT"/>
        </w:rPr>
        <w:t>o laikotarpis</w:t>
      </w:r>
      <w:r w:rsidRPr="00273A3E">
        <w:rPr>
          <w:rFonts w:ascii="Times New Roman" w:hAnsi="Times New Roman"/>
          <w:lang w:val="lt-LT"/>
        </w:rPr>
        <w:t xml:space="preserve"> (žr. 4.6</w:t>
      </w:r>
      <w:r w:rsidR="00FF0074" w:rsidRPr="00273A3E">
        <w:rPr>
          <w:rFonts w:ascii="Times New Roman" w:hAnsi="Times New Roman"/>
          <w:lang w:val="lt-LT"/>
        </w:rPr>
        <w:t> skyri</w:t>
      </w:r>
      <w:r w:rsidRPr="00273A3E">
        <w:rPr>
          <w:rFonts w:ascii="Times New Roman" w:hAnsi="Times New Roman"/>
          <w:lang w:val="lt-LT"/>
        </w:rPr>
        <w:t>ų).</w:t>
      </w:r>
    </w:p>
    <w:p w14:paraId="62155B87" w14:textId="77777777" w:rsidR="001E5C66" w:rsidRPr="00273A3E" w:rsidRDefault="001E5C66" w:rsidP="009F71ED">
      <w:pPr>
        <w:numPr>
          <w:ilvl w:val="0"/>
          <w:numId w:val="22"/>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Sunkus kepenų funkcijos sutrikimas (žr. 4.4 ir 5.2</w:t>
      </w:r>
      <w:r w:rsidR="00FF0074" w:rsidRPr="00273A3E">
        <w:rPr>
          <w:rFonts w:ascii="Times New Roman" w:hAnsi="Times New Roman"/>
          <w:lang w:val="lt-LT"/>
        </w:rPr>
        <w:t> skyri</w:t>
      </w:r>
      <w:r w:rsidRPr="00273A3E">
        <w:rPr>
          <w:rFonts w:ascii="Times New Roman" w:hAnsi="Times New Roman"/>
          <w:lang w:val="lt-LT"/>
        </w:rPr>
        <w:t>us).</w:t>
      </w:r>
    </w:p>
    <w:p w14:paraId="686546B9" w14:textId="77777777" w:rsidR="001E5C66" w:rsidRPr="00273A3E" w:rsidRDefault="001E5C66" w:rsidP="009F71ED">
      <w:pPr>
        <w:tabs>
          <w:tab w:val="left" w:pos="567"/>
        </w:tabs>
        <w:spacing w:after="0" w:line="240" w:lineRule="auto"/>
        <w:rPr>
          <w:rFonts w:ascii="Times New Roman" w:hAnsi="Times New Roman"/>
          <w:lang w:val="lt-LT"/>
        </w:rPr>
      </w:pPr>
    </w:p>
    <w:p w14:paraId="10570AA4"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4.4</w:t>
      </w:r>
      <w:r w:rsidRPr="00273A3E">
        <w:rPr>
          <w:rFonts w:ascii="Times New Roman" w:hAnsi="Times New Roman"/>
          <w:b/>
          <w:lang w:val="lt-LT"/>
        </w:rPr>
        <w:tab/>
        <w:t>Specialūs įspėjimai ir atsargumo priemonės</w:t>
      </w:r>
    </w:p>
    <w:p w14:paraId="763FEA79" w14:textId="77777777" w:rsidR="001E5C66" w:rsidRPr="00273A3E" w:rsidRDefault="001E5C66" w:rsidP="009F71ED">
      <w:pPr>
        <w:tabs>
          <w:tab w:val="left" w:pos="567"/>
        </w:tabs>
        <w:spacing w:after="0" w:line="240" w:lineRule="auto"/>
        <w:rPr>
          <w:rFonts w:ascii="Times New Roman" w:hAnsi="Times New Roman"/>
          <w:lang w:val="lt-LT"/>
        </w:rPr>
      </w:pPr>
    </w:p>
    <w:p w14:paraId="0D132D4E" w14:textId="77777777" w:rsidR="001E5C66" w:rsidRPr="00273A3E" w:rsidRDefault="00C86E9E"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1E5C66" w:rsidRPr="00273A3E">
        <w:rPr>
          <w:rFonts w:ascii="Times New Roman" w:hAnsi="Times New Roman"/>
          <w:lang w:val="lt-LT"/>
        </w:rPr>
        <w:t>turi būti vartojamas atsargiai pacientėms, kurioms yra lengvas arba vidutinio sunkumo kepenų funkcijos sutrikimas (žr. 4.2, 4.3 ir 5.2</w:t>
      </w:r>
      <w:r w:rsidR="00FF0074" w:rsidRPr="00273A3E">
        <w:rPr>
          <w:rFonts w:ascii="Times New Roman" w:hAnsi="Times New Roman"/>
          <w:lang w:val="lt-LT"/>
        </w:rPr>
        <w:t> skyri</w:t>
      </w:r>
      <w:r w:rsidR="001E5C66" w:rsidRPr="00273A3E">
        <w:rPr>
          <w:rFonts w:ascii="Times New Roman" w:hAnsi="Times New Roman"/>
          <w:lang w:val="lt-LT"/>
        </w:rPr>
        <w:t>us).</w:t>
      </w:r>
    </w:p>
    <w:p w14:paraId="33BDBADD" w14:textId="77777777" w:rsidR="001E5C66" w:rsidRPr="00273A3E" w:rsidRDefault="001E5C66" w:rsidP="009F71ED">
      <w:pPr>
        <w:tabs>
          <w:tab w:val="left" w:pos="567"/>
        </w:tabs>
        <w:spacing w:after="0" w:line="240" w:lineRule="auto"/>
        <w:rPr>
          <w:rFonts w:ascii="Times New Roman" w:hAnsi="Times New Roman"/>
          <w:lang w:val="lt-LT"/>
        </w:rPr>
      </w:pPr>
    </w:p>
    <w:p w14:paraId="10B68C9A" w14:textId="77777777" w:rsidR="001E5C66" w:rsidRPr="00273A3E" w:rsidRDefault="00C86E9E"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1E5C66" w:rsidRPr="00273A3E">
        <w:rPr>
          <w:rFonts w:ascii="Times New Roman" w:hAnsi="Times New Roman"/>
          <w:lang w:val="lt-LT"/>
        </w:rPr>
        <w:t>turi būti vartojamas atsargiai pacientėms, kurioms yra sunkus inkstų funkcijos sutrikimas (kreatinino klirensas mažesnis kaip 30</w:t>
      </w:r>
      <w:r w:rsidR="00FF0074" w:rsidRPr="00273A3E">
        <w:rPr>
          <w:rFonts w:ascii="Times New Roman" w:hAnsi="Times New Roman"/>
          <w:lang w:val="lt-LT"/>
        </w:rPr>
        <w:t> ml</w:t>
      </w:r>
      <w:r w:rsidR="001E5C66" w:rsidRPr="00273A3E">
        <w:rPr>
          <w:rFonts w:ascii="Times New Roman" w:hAnsi="Times New Roman"/>
          <w:lang w:val="lt-LT"/>
        </w:rPr>
        <w:t>/min.).</w:t>
      </w:r>
    </w:p>
    <w:p w14:paraId="463C9B07" w14:textId="77777777" w:rsidR="001E5C66" w:rsidRPr="00273A3E" w:rsidRDefault="001E5C66" w:rsidP="009F71ED">
      <w:pPr>
        <w:tabs>
          <w:tab w:val="left" w:pos="567"/>
        </w:tabs>
        <w:spacing w:after="0" w:line="240" w:lineRule="auto"/>
        <w:rPr>
          <w:rFonts w:ascii="Times New Roman" w:hAnsi="Times New Roman"/>
          <w:lang w:val="lt-LT"/>
        </w:rPr>
      </w:pPr>
    </w:p>
    <w:p w14:paraId="1E144665" w14:textId="77777777" w:rsidR="001E5C66" w:rsidRPr="00273A3E" w:rsidRDefault="00C86E9E"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2674EC" w:rsidRPr="00273A3E">
        <w:rPr>
          <w:rFonts w:ascii="Times New Roman" w:hAnsi="Times New Roman"/>
          <w:lang w:val="lt-LT"/>
        </w:rPr>
        <w:t xml:space="preserve">leidžiamas </w:t>
      </w:r>
      <w:r w:rsidR="001E5C66" w:rsidRPr="00273A3E">
        <w:rPr>
          <w:rFonts w:ascii="Times New Roman" w:hAnsi="Times New Roman"/>
          <w:lang w:val="lt-LT"/>
        </w:rPr>
        <w:t xml:space="preserve">į raumenis, todėl jo turi būti vartojama atsargiai, jeigu yra gydomos pacientės, kurioms yra kraujavimo diatezė, </w:t>
      </w:r>
      <w:proofErr w:type="spellStart"/>
      <w:r w:rsidR="001E5C66" w:rsidRPr="00273A3E">
        <w:rPr>
          <w:rFonts w:ascii="Times New Roman" w:hAnsi="Times New Roman"/>
          <w:lang w:val="lt-LT"/>
        </w:rPr>
        <w:t>trombocitopenija</w:t>
      </w:r>
      <w:proofErr w:type="spellEnd"/>
      <w:r w:rsidR="001E5C66" w:rsidRPr="00273A3E">
        <w:rPr>
          <w:rFonts w:ascii="Times New Roman" w:hAnsi="Times New Roman"/>
          <w:lang w:val="lt-LT"/>
        </w:rPr>
        <w:t xml:space="preserve"> arba kurioms taikomas gydymas antikoaguliantais.</w:t>
      </w:r>
    </w:p>
    <w:p w14:paraId="0ADD44EC" w14:textId="77777777" w:rsidR="00286DAC" w:rsidRPr="00273A3E" w:rsidRDefault="00286DAC" w:rsidP="009F71ED">
      <w:pPr>
        <w:tabs>
          <w:tab w:val="left" w:pos="567"/>
        </w:tabs>
        <w:spacing w:after="0" w:line="240" w:lineRule="auto"/>
        <w:rPr>
          <w:rFonts w:ascii="Times New Roman" w:hAnsi="Times New Roman"/>
          <w:lang w:val="lt-LT"/>
        </w:rPr>
      </w:pPr>
    </w:p>
    <w:p w14:paraId="65A9B5FF" w14:textId="77777777" w:rsidR="001E5C66" w:rsidRPr="00273A3E" w:rsidRDefault="002674EC" w:rsidP="009F71ED">
      <w:pPr>
        <w:tabs>
          <w:tab w:val="left" w:pos="567"/>
        </w:tabs>
        <w:spacing w:after="0" w:line="240" w:lineRule="auto"/>
        <w:rPr>
          <w:rFonts w:ascii="Times New Roman" w:hAnsi="Times New Roman"/>
          <w:lang w:val="lt-LT"/>
        </w:rPr>
      </w:pPr>
      <w:r w:rsidRPr="00273A3E">
        <w:rPr>
          <w:rFonts w:ascii="Times New Roman" w:hAnsi="Times New Roman"/>
          <w:lang w:val="lt-LT"/>
        </w:rPr>
        <w:t>Progresavusiu krūties vėžiu sergančioms p</w:t>
      </w:r>
      <w:r w:rsidR="001E5C66" w:rsidRPr="00273A3E">
        <w:rPr>
          <w:rFonts w:ascii="Times New Roman" w:hAnsi="Times New Roman"/>
          <w:lang w:val="lt-LT"/>
        </w:rPr>
        <w:t xml:space="preserve">acientėms dažnai </w:t>
      </w:r>
      <w:r w:rsidR="00AC7803" w:rsidRPr="00273A3E">
        <w:rPr>
          <w:rFonts w:ascii="Times New Roman" w:hAnsi="Times New Roman"/>
          <w:lang w:val="lt-LT"/>
        </w:rPr>
        <w:t xml:space="preserve">pasireiškia </w:t>
      </w:r>
      <w:r w:rsidR="001E5C66" w:rsidRPr="00273A3E">
        <w:rPr>
          <w:rFonts w:ascii="Times New Roman" w:hAnsi="Times New Roman"/>
          <w:lang w:val="lt-LT"/>
        </w:rPr>
        <w:t xml:space="preserve">tromboembolija, jos atvejų pastebėta ir </w:t>
      </w:r>
      <w:proofErr w:type="spellStart"/>
      <w:r w:rsidR="001E5C66" w:rsidRPr="00273A3E">
        <w:rPr>
          <w:rFonts w:ascii="Times New Roman" w:hAnsi="Times New Roman"/>
          <w:lang w:val="lt-LT"/>
        </w:rPr>
        <w:t>fulvestranto</w:t>
      </w:r>
      <w:proofErr w:type="spellEnd"/>
      <w:r w:rsidR="001E5C66" w:rsidRPr="00273A3E">
        <w:rPr>
          <w:rFonts w:ascii="Times New Roman" w:hAnsi="Times New Roman"/>
          <w:lang w:val="lt-LT"/>
        </w:rPr>
        <w:t xml:space="preserve"> klinikinių tyrimų</w:t>
      </w:r>
      <w:r w:rsidR="007340DF" w:rsidRPr="00273A3E">
        <w:rPr>
          <w:rFonts w:ascii="Times New Roman" w:hAnsi="Times New Roman"/>
          <w:lang w:val="lt-LT"/>
        </w:rPr>
        <w:t xml:space="preserve"> </w:t>
      </w:r>
      <w:r w:rsidR="00FF0074" w:rsidRPr="00273A3E">
        <w:rPr>
          <w:rFonts w:ascii="Times New Roman" w:hAnsi="Times New Roman"/>
          <w:lang w:val="lt-LT"/>
        </w:rPr>
        <w:t>met</w:t>
      </w:r>
      <w:r w:rsidR="001E5C66" w:rsidRPr="00273A3E">
        <w:rPr>
          <w:rFonts w:ascii="Times New Roman" w:hAnsi="Times New Roman"/>
          <w:lang w:val="lt-LT"/>
        </w:rPr>
        <w:t>u (žr. 4.8</w:t>
      </w:r>
      <w:r w:rsidR="00FF0074" w:rsidRPr="00273A3E">
        <w:rPr>
          <w:rFonts w:ascii="Times New Roman" w:hAnsi="Times New Roman"/>
          <w:lang w:val="lt-LT"/>
        </w:rPr>
        <w:t> skyri</w:t>
      </w:r>
      <w:r w:rsidR="001E5C66" w:rsidRPr="00273A3E">
        <w:rPr>
          <w:rFonts w:ascii="Times New Roman" w:hAnsi="Times New Roman"/>
          <w:lang w:val="lt-LT"/>
        </w:rPr>
        <w:t xml:space="preserve">ų). Į tai reikia atsižvelgti, skiriant </w:t>
      </w:r>
      <w:proofErr w:type="spellStart"/>
      <w:r w:rsidR="00C86E9E" w:rsidRPr="00273A3E">
        <w:rPr>
          <w:rFonts w:ascii="Times New Roman" w:hAnsi="Times New Roman"/>
          <w:lang w:val="lt-LT"/>
        </w:rPr>
        <w:t>Fulvestrant</w:t>
      </w:r>
      <w:proofErr w:type="spellEnd"/>
      <w:r w:rsidR="00C86E9E" w:rsidRPr="00273A3E">
        <w:rPr>
          <w:rFonts w:ascii="Times New Roman" w:hAnsi="Times New Roman"/>
          <w:lang w:val="lt-LT"/>
        </w:rPr>
        <w:t xml:space="preserve"> </w:t>
      </w:r>
      <w:proofErr w:type="spellStart"/>
      <w:r w:rsidR="00C86E9E" w:rsidRPr="00273A3E">
        <w:rPr>
          <w:rFonts w:ascii="Times New Roman" w:hAnsi="Times New Roman"/>
          <w:lang w:val="lt-LT"/>
        </w:rPr>
        <w:t>Orion</w:t>
      </w:r>
      <w:proofErr w:type="spellEnd"/>
      <w:r w:rsidR="00C86E9E" w:rsidRPr="00273A3E">
        <w:rPr>
          <w:rFonts w:ascii="Times New Roman" w:hAnsi="Times New Roman"/>
          <w:lang w:val="lt-LT"/>
        </w:rPr>
        <w:t xml:space="preserve"> </w:t>
      </w:r>
      <w:r w:rsidR="001E5C66" w:rsidRPr="00273A3E">
        <w:rPr>
          <w:rFonts w:ascii="Times New Roman" w:hAnsi="Times New Roman"/>
          <w:lang w:val="lt-LT"/>
        </w:rPr>
        <w:t>pacientėms, kurioms yra šios komplikacijos rizikos veiksnių.</w:t>
      </w:r>
    </w:p>
    <w:p w14:paraId="3AB7F48B" w14:textId="77777777" w:rsidR="001E5C66" w:rsidRPr="00273A3E" w:rsidRDefault="001E5C66" w:rsidP="009F71ED">
      <w:pPr>
        <w:tabs>
          <w:tab w:val="left" w:pos="567"/>
        </w:tabs>
        <w:spacing w:after="0" w:line="240" w:lineRule="auto"/>
        <w:rPr>
          <w:rFonts w:ascii="Times New Roman" w:hAnsi="Times New Roman"/>
          <w:lang w:val="lt-LT"/>
        </w:rPr>
      </w:pPr>
    </w:p>
    <w:p w14:paraId="3E2D4A78"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lastRenderedPageBreak/>
        <w:t xml:space="preserve">Gauta pranešimų apie pasireiškusius injekcijos vietos reiškinius suleidus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w:t>
      </w:r>
      <w:r w:rsidR="00651916" w:rsidRPr="00273A3E">
        <w:rPr>
          <w:rFonts w:ascii="Times New Roman" w:hAnsi="Times New Roman"/>
          <w:lang w:val="lt-LT"/>
        </w:rPr>
        <w:t xml:space="preserve">sėdimojo nervo </w:t>
      </w:r>
      <w:r w:rsidR="002A0800" w:rsidRPr="00273A3E">
        <w:rPr>
          <w:rFonts w:ascii="Times New Roman" w:hAnsi="Times New Roman"/>
          <w:lang w:val="lt-LT"/>
        </w:rPr>
        <w:t>pažeidimą</w:t>
      </w:r>
      <w:r w:rsidRPr="00273A3E">
        <w:rPr>
          <w:rFonts w:ascii="Times New Roman" w:hAnsi="Times New Roman"/>
          <w:lang w:val="lt-LT"/>
        </w:rPr>
        <w:t xml:space="preserve">, neuralgiją, </w:t>
      </w:r>
      <w:proofErr w:type="spellStart"/>
      <w:r w:rsidRPr="00273A3E">
        <w:rPr>
          <w:rFonts w:ascii="Times New Roman" w:hAnsi="Times New Roman"/>
          <w:lang w:val="lt-LT"/>
        </w:rPr>
        <w:t>neuropatinį</w:t>
      </w:r>
      <w:proofErr w:type="spellEnd"/>
      <w:r w:rsidRPr="00273A3E">
        <w:rPr>
          <w:rFonts w:ascii="Times New Roman" w:hAnsi="Times New Roman"/>
          <w:lang w:val="lt-LT"/>
        </w:rPr>
        <w:t xml:space="preserve"> skausmą ir periferinę neuropatiją). Leisti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į nugarinę sėdmens dalį reikia atsargiai, kadangi arti yra sėdimasis nervas (žr. 4.2 ir 4.8</w:t>
      </w:r>
      <w:r w:rsidR="00FF0074" w:rsidRPr="00273A3E">
        <w:rPr>
          <w:rFonts w:ascii="Times New Roman" w:hAnsi="Times New Roman"/>
          <w:lang w:val="lt-LT"/>
        </w:rPr>
        <w:t> skyri</w:t>
      </w:r>
      <w:r w:rsidRPr="00273A3E">
        <w:rPr>
          <w:rFonts w:ascii="Times New Roman" w:hAnsi="Times New Roman"/>
          <w:lang w:val="lt-LT"/>
        </w:rPr>
        <w:t>us).</w:t>
      </w:r>
    </w:p>
    <w:p w14:paraId="6A8EAC7E" w14:textId="77777777" w:rsidR="001E5C66" w:rsidRPr="00273A3E" w:rsidRDefault="001E5C66" w:rsidP="009F71ED">
      <w:pPr>
        <w:tabs>
          <w:tab w:val="left" w:pos="567"/>
        </w:tabs>
        <w:spacing w:after="0" w:line="240" w:lineRule="auto"/>
        <w:rPr>
          <w:rFonts w:ascii="Times New Roman" w:hAnsi="Times New Roman"/>
          <w:lang w:val="lt-LT"/>
        </w:rPr>
      </w:pPr>
    </w:p>
    <w:p w14:paraId="7E7C41E0"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poveikio kaulams ilgalaikio stebėjimo duomenų nėra. Dėl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veikimo mechanizmo yra galima osteoporozės rizika.</w:t>
      </w:r>
    </w:p>
    <w:p w14:paraId="7FF821FC" w14:textId="77777777" w:rsidR="001E5C66" w:rsidRPr="00273A3E" w:rsidRDefault="001E5C66" w:rsidP="009F71ED">
      <w:pPr>
        <w:tabs>
          <w:tab w:val="left" w:pos="567"/>
        </w:tabs>
        <w:spacing w:after="0" w:line="240" w:lineRule="auto"/>
        <w:rPr>
          <w:rFonts w:ascii="Times New Roman" w:hAnsi="Times New Roman"/>
          <w:lang w:val="lt-LT"/>
        </w:rPr>
      </w:pPr>
    </w:p>
    <w:p w14:paraId="6D3CCB3D"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w:t>
      </w:r>
      <w:proofErr w:type="spellStart"/>
      <w:r w:rsidRPr="00273A3E">
        <w:rPr>
          <w:rFonts w:ascii="Times New Roman" w:hAnsi="Times New Roman"/>
          <w:lang w:val="lt-LT"/>
        </w:rPr>
        <w:t>monoterapijos</w:t>
      </w:r>
      <w:proofErr w:type="spellEnd"/>
      <w:r w:rsidRPr="00273A3E">
        <w:rPr>
          <w:rFonts w:ascii="Times New Roman" w:hAnsi="Times New Roman"/>
          <w:lang w:val="lt-LT"/>
        </w:rPr>
        <w:t xml:space="preserve"> ar derinio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veiksmingumas ir saugumas </w:t>
      </w:r>
      <w:r w:rsidR="00266D32" w:rsidRPr="00273A3E">
        <w:rPr>
          <w:rFonts w:ascii="Times New Roman" w:hAnsi="Times New Roman"/>
          <w:lang w:val="lt-LT"/>
        </w:rPr>
        <w:t xml:space="preserve">netirtas </w:t>
      </w:r>
      <w:r w:rsidRPr="00273A3E">
        <w:rPr>
          <w:rFonts w:ascii="Times New Roman" w:hAnsi="Times New Roman"/>
          <w:lang w:val="lt-LT"/>
        </w:rPr>
        <w:t>pacientėms, kurioms yra kriti</w:t>
      </w:r>
      <w:r w:rsidR="00273A3E">
        <w:rPr>
          <w:rFonts w:ascii="Times New Roman" w:hAnsi="Times New Roman"/>
          <w:lang w:val="lt-LT"/>
        </w:rPr>
        <w:t>nė</w:t>
      </w:r>
      <w:r w:rsidRPr="00273A3E">
        <w:rPr>
          <w:rFonts w:ascii="Times New Roman" w:hAnsi="Times New Roman"/>
          <w:lang w:val="lt-LT"/>
        </w:rPr>
        <w:t xml:space="preserve"> vidaus organų liga.</w:t>
      </w:r>
    </w:p>
    <w:p w14:paraId="504DC564" w14:textId="77777777" w:rsidR="001E5C66" w:rsidRPr="00273A3E" w:rsidRDefault="001E5C66" w:rsidP="009F71ED">
      <w:pPr>
        <w:tabs>
          <w:tab w:val="left" w:pos="567"/>
        </w:tabs>
        <w:spacing w:after="0" w:line="240" w:lineRule="auto"/>
        <w:rPr>
          <w:rFonts w:ascii="Times New Roman" w:hAnsi="Times New Roman"/>
          <w:lang w:val="lt-LT"/>
        </w:rPr>
      </w:pPr>
    </w:p>
    <w:p w14:paraId="529A6C43"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Apie </w:t>
      </w:r>
      <w:proofErr w:type="spellStart"/>
      <w:r w:rsidR="00C86E9E" w:rsidRPr="00273A3E">
        <w:rPr>
          <w:rFonts w:ascii="Times New Roman" w:hAnsi="Times New Roman"/>
          <w:lang w:val="lt-LT"/>
        </w:rPr>
        <w:t>fulvestranto</w:t>
      </w:r>
      <w:proofErr w:type="spellEnd"/>
      <w:r w:rsidR="00C86E9E" w:rsidRPr="00273A3E">
        <w:rPr>
          <w:rFonts w:ascii="Times New Roman" w:hAnsi="Times New Roman"/>
          <w:lang w:val="lt-LT"/>
        </w:rPr>
        <w:t xml:space="preserve"> </w:t>
      </w:r>
      <w:r w:rsidRPr="00273A3E">
        <w:rPr>
          <w:rFonts w:ascii="Times New Roman" w:hAnsi="Times New Roman"/>
          <w:lang w:val="lt-LT"/>
        </w:rPr>
        <w:t xml:space="preserve">vartojimą kartu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taip pat žr.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w:t>
      </w:r>
      <w:r w:rsidR="00473FC4" w:rsidRPr="00273A3E">
        <w:rPr>
          <w:rFonts w:ascii="Times New Roman" w:hAnsi="Times New Roman"/>
          <w:lang w:val="lt-LT"/>
        </w:rPr>
        <w:t xml:space="preserve">vaistinio </w:t>
      </w:r>
      <w:r w:rsidR="007340DF" w:rsidRPr="00273A3E">
        <w:rPr>
          <w:rFonts w:ascii="Times New Roman" w:hAnsi="Times New Roman"/>
          <w:lang w:val="lt-LT"/>
        </w:rPr>
        <w:t>p</w:t>
      </w:r>
      <w:r w:rsidRPr="00273A3E">
        <w:rPr>
          <w:rFonts w:ascii="Times New Roman" w:hAnsi="Times New Roman"/>
          <w:lang w:val="lt-LT"/>
        </w:rPr>
        <w:t>reparato charakteristikų santrauką.</w:t>
      </w:r>
    </w:p>
    <w:p w14:paraId="09382581" w14:textId="77777777" w:rsidR="001E5C66" w:rsidRPr="00273A3E" w:rsidRDefault="001E5C66" w:rsidP="009F71ED">
      <w:pPr>
        <w:tabs>
          <w:tab w:val="left" w:pos="567"/>
        </w:tabs>
        <w:spacing w:after="0" w:line="240" w:lineRule="auto"/>
        <w:rPr>
          <w:rFonts w:ascii="Times New Roman" w:hAnsi="Times New Roman"/>
          <w:lang w:val="lt-LT"/>
        </w:rPr>
      </w:pPr>
    </w:p>
    <w:p w14:paraId="4A036D33" w14:textId="77777777" w:rsidR="001E5C66" w:rsidRPr="00273A3E" w:rsidRDefault="001E5C66" w:rsidP="009F71ED">
      <w:pPr>
        <w:tabs>
          <w:tab w:val="left" w:pos="567"/>
        </w:tabs>
        <w:spacing w:after="0" w:line="240" w:lineRule="auto"/>
        <w:rPr>
          <w:rFonts w:ascii="Times New Roman" w:hAnsi="Times New Roman"/>
          <w:i/>
          <w:lang w:val="lt-LT"/>
        </w:rPr>
      </w:pPr>
      <w:r w:rsidRPr="00273A3E">
        <w:rPr>
          <w:rFonts w:ascii="Times New Roman" w:hAnsi="Times New Roman"/>
          <w:i/>
          <w:lang w:val="lt-LT"/>
        </w:rPr>
        <w:t xml:space="preserve">Įtaka antikūnais pagrįstų </w:t>
      </w:r>
      <w:proofErr w:type="spellStart"/>
      <w:r w:rsidRPr="00273A3E">
        <w:rPr>
          <w:rFonts w:ascii="Times New Roman" w:hAnsi="Times New Roman"/>
          <w:i/>
          <w:lang w:val="lt-LT"/>
        </w:rPr>
        <w:t>estradiolio</w:t>
      </w:r>
      <w:proofErr w:type="spellEnd"/>
      <w:r w:rsidRPr="00273A3E">
        <w:rPr>
          <w:rFonts w:ascii="Times New Roman" w:hAnsi="Times New Roman"/>
          <w:i/>
          <w:lang w:val="lt-LT"/>
        </w:rPr>
        <w:t xml:space="preserve"> tyrimų rezultatams</w:t>
      </w:r>
    </w:p>
    <w:p w14:paraId="0081253B"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Dėl struktūros panašumo į </w:t>
      </w:r>
      <w:proofErr w:type="spellStart"/>
      <w:r w:rsidRPr="00273A3E">
        <w:rPr>
          <w:rFonts w:ascii="Times New Roman" w:hAnsi="Times New Roman"/>
          <w:lang w:val="lt-LT"/>
        </w:rPr>
        <w:t>estradiolį</w:t>
      </w:r>
      <w:proofErr w:type="spellEnd"/>
      <w:r w:rsidRPr="00273A3E">
        <w:rPr>
          <w:rFonts w:ascii="Times New Roman" w:hAnsi="Times New Roman"/>
          <w:lang w:val="lt-LT"/>
        </w:rPr>
        <w:t xml:space="preserve">,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gali iškreipti antikūnais pagrįstų </w:t>
      </w:r>
      <w:proofErr w:type="spellStart"/>
      <w:r w:rsidRPr="00273A3E">
        <w:rPr>
          <w:rFonts w:ascii="Times New Roman" w:hAnsi="Times New Roman"/>
          <w:lang w:val="lt-LT"/>
        </w:rPr>
        <w:t>estradiolio</w:t>
      </w:r>
      <w:proofErr w:type="spellEnd"/>
      <w:r w:rsidR="00FF0074" w:rsidRPr="00273A3E">
        <w:rPr>
          <w:rFonts w:ascii="Times New Roman" w:hAnsi="Times New Roman"/>
          <w:lang w:val="lt-LT"/>
        </w:rPr>
        <w:t xml:space="preserve"> </w:t>
      </w:r>
      <w:r w:rsidRPr="00273A3E">
        <w:rPr>
          <w:rFonts w:ascii="Times New Roman" w:hAnsi="Times New Roman"/>
          <w:lang w:val="lt-LT"/>
        </w:rPr>
        <w:t xml:space="preserve">nustatymo tyrimų duomenis (gali būti klaidingai nustatyta padidėjusi </w:t>
      </w:r>
      <w:proofErr w:type="spellStart"/>
      <w:r w:rsidRPr="00273A3E">
        <w:rPr>
          <w:rFonts w:ascii="Times New Roman" w:hAnsi="Times New Roman"/>
          <w:lang w:val="lt-LT"/>
        </w:rPr>
        <w:t>estradiolio</w:t>
      </w:r>
      <w:proofErr w:type="spellEnd"/>
      <w:r w:rsidRPr="00273A3E">
        <w:rPr>
          <w:rFonts w:ascii="Times New Roman" w:hAnsi="Times New Roman"/>
          <w:lang w:val="lt-LT"/>
        </w:rPr>
        <w:t xml:space="preserve"> koncentracija).</w:t>
      </w:r>
    </w:p>
    <w:p w14:paraId="757E0AE4" w14:textId="77777777" w:rsidR="001E5C66" w:rsidRPr="00273A3E" w:rsidRDefault="001E5C66" w:rsidP="009F71ED">
      <w:pPr>
        <w:tabs>
          <w:tab w:val="left" w:pos="567"/>
        </w:tabs>
        <w:spacing w:after="0" w:line="240" w:lineRule="auto"/>
        <w:rPr>
          <w:rFonts w:ascii="Times New Roman" w:hAnsi="Times New Roman"/>
          <w:lang w:val="lt-LT"/>
        </w:rPr>
      </w:pPr>
    </w:p>
    <w:p w14:paraId="7F74D173" w14:textId="77777777" w:rsidR="00C86E9E" w:rsidRPr="00273A3E" w:rsidRDefault="00C86E9E" w:rsidP="009F71ED">
      <w:pPr>
        <w:tabs>
          <w:tab w:val="left" w:pos="567"/>
        </w:tabs>
        <w:spacing w:after="0" w:line="240" w:lineRule="auto"/>
        <w:rPr>
          <w:rFonts w:ascii="Times New Roman" w:hAnsi="Times New Roman"/>
          <w:i/>
          <w:iCs/>
          <w:lang w:val="lt-LT"/>
        </w:rPr>
      </w:pPr>
      <w:r w:rsidRPr="00273A3E">
        <w:rPr>
          <w:rFonts w:ascii="Times New Roman" w:hAnsi="Times New Roman"/>
          <w:u w:val="single"/>
          <w:lang w:val="lt-LT"/>
        </w:rPr>
        <w:t>Pagalbinės medžiagos</w:t>
      </w:r>
    </w:p>
    <w:p w14:paraId="3F94217D" w14:textId="77777777" w:rsidR="00DD31AB" w:rsidRPr="00273A3E" w:rsidRDefault="00DD31AB" w:rsidP="009F71ED">
      <w:pPr>
        <w:tabs>
          <w:tab w:val="left" w:pos="567"/>
        </w:tabs>
        <w:spacing w:after="0" w:line="240" w:lineRule="auto"/>
        <w:rPr>
          <w:rFonts w:ascii="Times New Roman" w:hAnsi="Times New Roman"/>
          <w:lang w:val="lt-LT"/>
        </w:rPr>
      </w:pPr>
    </w:p>
    <w:p w14:paraId="30D583DD"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i/>
          <w:iCs/>
          <w:lang w:val="lt-LT"/>
        </w:rPr>
      </w:pPr>
      <w:r w:rsidRPr="00273A3E">
        <w:rPr>
          <w:rFonts w:ascii="Times New Roman" w:hAnsi="Times New Roman"/>
          <w:i/>
          <w:iCs/>
          <w:lang w:val="lt-LT"/>
        </w:rPr>
        <w:t>Etanoli</w:t>
      </w:r>
      <w:r w:rsidR="00F93EDA" w:rsidRPr="00273A3E">
        <w:rPr>
          <w:rFonts w:ascii="Times New Roman" w:hAnsi="Times New Roman"/>
          <w:i/>
          <w:iCs/>
          <w:lang w:val="lt-LT"/>
        </w:rPr>
        <w:t>s</w:t>
      </w:r>
      <w:r w:rsidR="00C86E9E" w:rsidRPr="00273A3E">
        <w:rPr>
          <w:rFonts w:ascii="Times New Roman" w:hAnsi="Times New Roman"/>
          <w:i/>
          <w:iCs/>
          <w:lang w:val="lt-LT"/>
        </w:rPr>
        <w:t xml:space="preserve"> 96 % (alkoholis)</w:t>
      </w:r>
    </w:p>
    <w:p w14:paraId="0A308BC2" w14:textId="77777777" w:rsidR="00C86E9E" w:rsidRPr="00273A3E" w:rsidRDefault="00C86E9E" w:rsidP="009F71ED">
      <w:pPr>
        <w:tabs>
          <w:tab w:val="left" w:pos="567"/>
        </w:tabs>
        <w:autoSpaceDE w:val="0"/>
        <w:autoSpaceDN w:val="0"/>
        <w:adjustRightInd w:val="0"/>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sudėtyje </w:t>
      </w:r>
      <w:r w:rsidR="00C160F4" w:rsidRPr="00273A3E">
        <w:rPr>
          <w:rFonts w:ascii="Times New Roman" w:hAnsi="Times New Roman"/>
          <w:lang w:val="lt-LT"/>
        </w:rPr>
        <w:t xml:space="preserve">kaip sudėtinės medžiagos </w:t>
      </w:r>
      <w:r w:rsidRPr="00273A3E">
        <w:rPr>
          <w:rFonts w:ascii="Times New Roman" w:hAnsi="Times New Roman"/>
          <w:lang w:val="lt-LT"/>
        </w:rPr>
        <w:t>yra 10 % m/V etanolio (alkoholio), t. y. iki 500 mg injekcijoje.</w:t>
      </w:r>
      <w:r w:rsidR="00C160F4" w:rsidRPr="00273A3E">
        <w:rPr>
          <w:rFonts w:ascii="Times New Roman" w:hAnsi="Times New Roman"/>
          <w:lang w:val="lt-LT"/>
        </w:rPr>
        <w:t xml:space="preserve"> </w:t>
      </w:r>
      <w:r w:rsidRPr="00273A3E">
        <w:rPr>
          <w:rFonts w:ascii="Times New Roman" w:hAnsi="Times New Roman"/>
          <w:lang w:val="lt-LT"/>
        </w:rPr>
        <w:t xml:space="preserve">Toks vienoje </w:t>
      </w:r>
      <w:r w:rsidR="00C160F4" w:rsidRPr="00273A3E">
        <w:rPr>
          <w:rFonts w:ascii="Times New Roman" w:hAnsi="Times New Roman"/>
          <w:lang w:val="lt-LT"/>
        </w:rPr>
        <w:t xml:space="preserve">šio vaistinio preparato </w:t>
      </w:r>
      <w:r w:rsidRPr="00273A3E">
        <w:rPr>
          <w:rFonts w:ascii="Times New Roman" w:hAnsi="Times New Roman"/>
          <w:lang w:val="lt-LT"/>
        </w:rPr>
        <w:t>dozėje (t. y. dvejuose užpildytuose švirkštuose) esantis alkoholio kiekis atitinka 24 ml alaus ar 10 ml vyno.</w:t>
      </w:r>
      <w:r w:rsidR="00C160F4" w:rsidRPr="00273A3E">
        <w:rPr>
          <w:rFonts w:ascii="Times New Roman" w:hAnsi="Times New Roman"/>
          <w:lang w:val="lt-LT"/>
        </w:rPr>
        <w:t xml:space="preserve"> </w:t>
      </w:r>
      <w:r w:rsidRPr="00273A3E">
        <w:rPr>
          <w:rFonts w:ascii="Times New Roman" w:hAnsi="Times New Roman"/>
          <w:lang w:val="lt-LT"/>
        </w:rPr>
        <w:t>Gali pasireikšti žalingas poveikis alkoholizmu sergan</w:t>
      </w:r>
      <w:r w:rsidR="00597717" w:rsidRPr="00273A3E">
        <w:rPr>
          <w:rFonts w:ascii="Times New Roman" w:hAnsi="Times New Roman"/>
          <w:lang w:val="lt-LT"/>
        </w:rPr>
        <w:t>čioms pacientėms</w:t>
      </w:r>
      <w:r w:rsidRPr="00273A3E">
        <w:rPr>
          <w:rFonts w:ascii="Times New Roman" w:hAnsi="Times New Roman"/>
          <w:lang w:val="lt-LT"/>
        </w:rPr>
        <w:t>, taip pat į tai reikia atsižvelgti didelės rizikos grupėms, pvz., pacient</w:t>
      </w:r>
      <w:r w:rsidR="00597717" w:rsidRPr="00273A3E">
        <w:rPr>
          <w:rFonts w:ascii="Times New Roman" w:hAnsi="Times New Roman"/>
          <w:lang w:val="lt-LT"/>
        </w:rPr>
        <w:t>ėms</w:t>
      </w:r>
      <w:r w:rsidRPr="00273A3E">
        <w:rPr>
          <w:rFonts w:ascii="Times New Roman" w:hAnsi="Times New Roman"/>
          <w:lang w:val="lt-LT"/>
        </w:rPr>
        <w:t>, sergan</w:t>
      </w:r>
      <w:r w:rsidR="00597717" w:rsidRPr="00273A3E">
        <w:rPr>
          <w:rFonts w:ascii="Times New Roman" w:hAnsi="Times New Roman"/>
          <w:lang w:val="lt-LT"/>
        </w:rPr>
        <w:t>čioms</w:t>
      </w:r>
      <w:r w:rsidRPr="00273A3E">
        <w:rPr>
          <w:rFonts w:ascii="Times New Roman" w:hAnsi="Times New Roman"/>
          <w:lang w:val="lt-LT"/>
        </w:rPr>
        <w:t xml:space="preserve"> kepenų ligomis ir epilepsija.</w:t>
      </w:r>
    </w:p>
    <w:p w14:paraId="036E361F" w14:textId="77777777" w:rsidR="00CF59D9" w:rsidRPr="00273A3E" w:rsidRDefault="00CF59D9" w:rsidP="009F71ED">
      <w:pPr>
        <w:tabs>
          <w:tab w:val="left" w:pos="567"/>
        </w:tabs>
        <w:autoSpaceDE w:val="0"/>
        <w:autoSpaceDN w:val="0"/>
        <w:adjustRightInd w:val="0"/>
        <w:spacing w:after="0" w:line="240" w:lineRule="auto"/>
        <w:rPr>
          <w:rFonts w:ascii="Times New Roman" w:hAnsi="Times New Roman"/>
          <w:u w:val="single"/>
          <w:lang w:val="lt-LT"/>
        </w:rPr>
      </w:pPr>
    </w:p>
    <w:p w14:paraId="361EEFEB"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i/>
          <w:iCs/>
          <w:lang w:val="lt-LT"/>
        </w:rPr>
      </w:pPr>
      <w:proofErr w:type="spellStart"/>
      <w:r w:rsidRPr="00273A3E">
        <w:rPr>
          <w:rFonts w:ascii="Times New Roman" w:hAnsi="Times New Roman"/>
          <w:i/>
          <w:iCs/>
          <w:lang w:val="lt-LT"/>
        </w:rPr>
        <w:t>Benzilo</w:t>
      </w:r>
      <w:proofErr w:type="spellEnd"/>
      <w:r w:rsidRPr="00273A3E">
        <w:rPr>
          <w:rFonts w:ascii="Times New Roman" w:hAnsi="Times New Roman"/>
          <w:i/>
          <w:iCs/>
          <w:lang w:val="lt-LT"/>
        </w:rPr>
        <w:t xml:space="preserve"> alkoholis</w:t>
      </w:r>
    </w:p>
    <w:p w14:paraId="5BE6EE19" w14:textId="77777777" w:rsidR="0034331B" w:rsidRPr="00273A3E" w:rsidRDefault="0034331B" w:rsidP="009F71ED">
      <w:pPr>
        <w:tabs>
          <w:tab w:val="left" w:pos="567"/>
        </w:tabs>
        <w:spacing w:after="0"/>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kiekviename 5 ml užpildytame švirkšte yra 500 mg </w:t>
      </w:r>
      <w:proofErr w:type="spellStart"/>
      <w:r w:rsidRPr="00273A3E">
        <w:rPr>
          <w:rFonts w:ascii="Times New Roman" w:hAnsi="Times New Roman"/>
          <w:lang w:val="lt-LT"/>
        </w:rPr>
        <w:t>benzilo</w:t>
      </w:r>
      <w:proofErr w:type="spellEnd"/>
      <w:r w:rsidRPr="00273A3E">
        <w:rPr>
          <w:rFonts w:ascii="Times New Roman" w:hAnsi="Times New Roman"/>
          <w:lang w:val="lt-LT"/>
        </w:rPr>
        <w:t xml:space="preserve"> alkoholio, tai atitinka 100 mg/ml. </w:t>
      </w:r>
      <w:proofErr w:type="spellStart"/>
      <w:r w:rsidRPr="00273A3E">
        <w:rPr>
          <w:rFonts w:ascii="Times New Roman" w:hAnsi="Times New Roman"/>
          <w:lang w:val="lt-LT"/>
        </w:rPr>
        <w:t>Benzilo</w:t>
      </w:r>
      <w:proofErr w:type="spellEnd"/>
      <w:r w:rsidRPr="00273A3E">
        <w:rPr>
          <w:rFonts w:ascii="Times New Roman" w:hAnsi="Times New Roman"/>
          <w:lang w:val="lt-LT"/>
        </w:rPr>
        <w:t xml:space="preserve"> alkoholis gali sukelti alerginių reakcijų.</w:t>
      </w:r>
    </w:p>
    <w:p w14:paraId="45492C38" w14:textId="77777777" w:rsidR="000E246E" w:rsidRPr="00273A3E" w:rsidRDefault="00F93EDA" w:rsidP="009F71ED">
      <w:pPr>
        <w:tabs>
          <w:tab w:val="left" w:pos="567"/>
        </w:tabs>
        <w:spacing w:after="0" w:line="240" w:lineRule="auto"/>
        <w:rPr>
          <w:rFonts w:ascii="Times New Roman" w:hAnsi="Times New Roman"/>
          <w:lang w:val="lt-LT"/>
        </w:rPr>
      </w:pPr>
      <w:r w:rsidRPr="00273A3E">
        <w:rPr>
          <w:rFonts w:ascii="Times New Roman" w:hAnsi="Times New Roman"/>
          <w:lang w:val="lt-LT"/>
        </w:rPr>
        <w:t>Dėl susikaupimo ir toksinio poveikio rizikos (</w:t>
      </w:r>
      <w:proofErr w:type="spellStart"/>
      <w:r w:rsidRPr="00273A3E">
        <w:rPr>
          <w:rFonts w:ascii="Times New Roman" w:hAnsi="Times New Roman"/>
          <w:lang w:val="lt-LT"/>
        </w:rPr>
        <w:t>metabolinės</w:t>
      </w:r>
      <w:proofErr w:type="spellEnd"/>
      <w:r w:rsidRPr="00273A3E">
        <w:rPr>
          <w:rFonts w:ascii="Times New Roman" w:hAnsi="Times New Roman"/>
          <w:lang w:val="lt-LT"/>
        </w:rPr>
        <w:t xml:space="preserve"> </w:t>
      </w:r>
      <w:proofErr w:type="spellStart"/>
      <w:r w:rsidRPr="00273A3E">
        <w:rPr>
          <w:rFonts w:ascii="Times New Roman" w:hAnsi="Times New Roman"/>
          <w:lang w:val="lt-LT"/>
        </w:rPr>
        <w:t>acidozės</w:t>
      </w:r>
      <w:proofErr w:type="spellEnd"/>
      <w:r w:rsidRPr="00273A3E">
        <w:rPr>
          <w:rFonts w:ascii="Times New Roman" w:hAnsi="Times New Roman"/>
          <w:lang w:val="lt-LT"/>
        </w:rPr>
        <w:t>) dideli kiekiai turi būti vartojami atsargiai ir tik tuo atveju, jeigu būtina, ypač asmenims, kuriems yra kepenų arba inkstų pažeidimas.</w:t>
      </w:r>
    </w:p>
    <w:p w14:paraId="233232D8" w14:textId="77777777" w:rsidR="00C86E9E" w:rsidRPr="00273A3E" w:rsidRDefault="00C86E9E" w:rsidP="009F71ED">
      <w:pPr>
        <w:tabs>
          <w:tab w:val="left" w:pos="567"/>
        </w:tabs>
        <w:spacing w:after="0" w:line="240" w:lineRule="auto"/>
        <w:rPr>
          <w:rFonts w:ascii="Times New Roman" w:hAnsi="Times New Roman"/>
          <w:lang w:val="lt-LT"/>
        </w:rPr>
      </w:pPr>
    </w:p>
    <w:p w14:paraId="57D53B6B" w14:textId="77777777" w:rsidR="00C86E9E" w:rsidRPr="00273A3E" w:rsidRDefault="00C86E9E" w:rsidP="009F71ED">
      <w:pPr>
        <w:tabs>
          <w:tab w:val="left" w:pos="567"/>
        </w:tabs>
        <w:spacing w:after="0" w:line="240" w:lineRule="auto"/>
        <w:rPr>
          <w:rFonts w:ascii="Times New Roman" w:hAnsi="Times New Roman"/>
          <w:i/>
          <w:iCs/>
          <w:lang w:val="lt-LT"/>
        </w:rPr>
      </w:pPr>
      <w:r w:rsidRPr="00273A3E">
        <w:rPr>
          <w:rFonts w:ascii="Times New Roman" w:hAnsi="Times New Roman"/>
          <w:i/>
          <w:iCs/>
          <w:lang w:val="lt-LT"/>
        </w:rPr>
        <w:t>Vaikų populiacija</w:t>
      </w:r>
    </w:p>
    <w:p w14:paraId="2A55657E" w14:textId="77777777" w:rsidR="00C86E9E" w:rsidRPr="00273A3E" w:rsidRDefault="00597717" w:rsidP="009F71ED">
      <w:pPr>
        <w:tabs>
          <w:tab w:val="left" w:pos="567"/>
        </w:tabs>
        <w:spacing w:after="0" w:line="240" w:lineRule="auto"/>
        <w:rPr>
          <w:rFonts w:ascii="Times New Roman" w:hAnsi="Times New Roman"/>
          <w:lang w:val="lt-LT"/>
        </w:rPr>
      </w:pPr>
      <w:r w:rsidRPr="00273A3E">
        <w:rPr>
          <w:rFonts w:ascii="Times New Roman" w:hAnsi="Times New Roman"/>
          <w:lang w:val="lt-LT"/>
        </w:rPr>
        <w:t>V</w:t>
      </w:r>
      <w:r w:rsidR="00C86E9E" w:rsidRPr="00273A3E">
        <w:rPr>
          <w:rFonts w:ascii="Times New Roman" w:hAnsi="Times New Roman"/>
          <w:lang w:val="lt-LT"/>
        </w:rPr>
        <w:t>aikams ir paaugl</w:t>
      </w:r>
      <w:r w:rsidRPr="00273A3E">
        <w:rPr>
          <w:rFonts w:ascii="Times New Roman" w:hAnsi="Times New Roman"/>
          <w:lang w:val="lt-LT"/>
        </w:rPr>
        <w:t xml:space="preserve">ėms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w:t>
      </w:r>
      <w:r w:rsidR="00C86E9E" w:rsidRPr="00273A3E">
        <w:rPr>
          <w:rFonts w:ascii="Times New Roman" w:hAnsi="Times New Roman"/>
          <w:lang w:val="lt-LT"/>
        </w:rPr>
        <w:t>vartoti nerekomenduojama, kadangi saugumas ir veiksmingumas šiai pacie</w:t>
      </w:r>
      <w:r w:rsidRPr="00273A3E">
        <w:rPr>
          <w:rFonts w:ascii="Times New Roman" w:hAnsi="Times New Roman"/>
          <w:lang w:val="lt-LT"/>
        </w:rPr>
        <w:t>nčių</w:t>
      </w:r>
      <w:r w:rsidR="00C86E9E" w:rsidRPr="00273A3E">
        <w:rPr>
          <w:rFonts w:ascii="Times New Roman" w:hAnsi="Times New Roman"/>
          <w:lang w:val="lt-LT"/>
        </w:rPr>
        <w:t xml:space="preserve"> grupei neištirti (žr. 5.1 skyrių).</w:t>
      </w:r>
    </w:p>
    <w:p w14:paraId="292362A6" w14:textId="77777777" w:rsidR="00F93EDA" w:rsidRPr="00273A3E" w:rsidRDefault="00F93EDA" w:rsidP="009F71ED">
      <w:pPr>
        <w:tabs>
          <w:tab w:val="left" w:pos="567"/>
        </w:tabs>
        <w:spacing w:after="0" w:line="240" w:lineRule="auto"/>
        <w:rPr>
          <w:rFonts w:ascii="Times New Roman" w:hAnsi="Times New Roman"/>
          <w:lang w:val="lt-LT"/>
        </w:rPr>
      </w:pPr>
    </w:p>
    <w:p w14:paraId="4D8C45E8"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4.5</w:t>
      </w:r>
      <w:r w:rsidRPr="00273A3E">
        <w:rPr>
          <w:rFonts w:ascii="Times New Roman" w:hAnsi="Times New Roman"/>
          <w:b/>
          <w:lang w:val="lt-LT"/>
        </w:rPr>
        <w:tab/>
        <w:t>Sąveika su kitais vaistiniais preparatais ir kitokia sąveika</w:t>
      </w:r>
    </w:p>
    <w:p w14:paraId="1962B9B0" w14:textId="77777777" w:rsidR="001E5C66" w:rsidRPr="00273A3E" w:rsidRDefault="001E5C66" w:rsidP="009F71ED">
      <w:pPr>
        <w:tabs>
          <w:tab w:val="left" w:pos="567"/>
        </w:tabs>
        <w:spacing w:after="0" w:line="240" w:lineRule="auto"/>
        <w:rPr>
          <w:rFonts w:ascii="Times New Roman" w:hAnsi="Times New Roman"/>
          <w:lang w:val="lt-LT"/>
        </w:rPr>
      </w:pPr>
    </w:p>
    <w:p w14:paraId="7B7A57B2"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Sąveikos su </w:t>
      </w:r>
      <w:proofErr w:type="spellStart"/>
      <w:r w:rsidRPr="00273A3E">
        <w:rPr>
          <w:rFonts w:ascii="Times New Roman" w:hAnsi="Times New Roman"/>
          <w:lang w:val="lt-LT"/>
        </w:rPr>
        <w:t>midazolamu</w:t>
      </w:r>
      <w:proofErr w:type="spellEnd"/>
      <w:r w:rsidR="00266D32" w:rsidRPr="00273A3E">
        <w:rPr>
          <w:rFonts w:ascii="Times New Roman" w:hAnsi="Times New Roman"/>
          <w:lang w:val="lt-LT"/>
        </w:rPr>
        <w:t xml:space="preserve"> (CYP3A4 substratu)</w:t>
      </w:r>
      <w:r w:rsidRPr="00273A3E">
        <w:rPr>
          <w:rFonts w:ascii="Times New Roman" w:hAnsi="Times New Roman"/>
          <w:lang w:val="lt-LT"/>
        </w:rPr>
        <w:t xml:space="preserve"> klinikinis tyrimas parodė, kad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neslopina CYP3A4. Klinikiniai sąveikos su </w:t>
      </w:r>
      <w:proofErr w:type="spellStart"/>
      <w:r w:rsidRPr="00273A3E">
        <w:rPr>
          <w:rFonts w:ascii="Times New Roman" w:hAnsi="Times New Roman"/>
          <w:lang w:val="lt-LT"/>
        </w:rPr>
        <w:t>rifampicinu</w:t>
      </w:r>
      <w:proofErr w:type="spellEnd"/>
      <w:r w:rsidRPr="00273A3E">
        <w:rPr>
          <w:rFonts w:ascii="Times New Roman" w:hAnsi="Times New Roman"/>
          <w:lang w:val="lt-LT"/>
        </w:rPr>
        <w:t xml:space="preserve"> (CYP3A4 </w:t>
      </w:r>
      <w:proofErr w:type="spellStart"/>
      <w:r w:rsidRPr="00273A3E">
        <w:rPr>
          <w:rFonts w:ascii="Times New Roman" w:hAnsi="Times New Roman"/>
          <w:lang w:val="lt-LT"/>
        </w:rPr>
        <w:t>induktoriumi</w:t>
      </w:r>
      <w:proofErr w:type="spellEnd"/>
      <w:r w:rsidRPr="00273A3E">
        <w:rPr>
          <w:rFonts w:ascii="Times New Roman" w:hAnsi="Times New Roman"/>
          <w:lang w:val="lt-LT"/>
        </w:rPr>
        <w:t xml:space="preserve">) ir </w:t>
      </w:r>
      <w:proofErr w:type="spellStart"/>
      <w:r w:rsidRPr="00273A3E">
        <w:rPr>
          <w:rFonts w:ascii="Times New Roman" w:hAnsi="Times New Roman"/>
          <w:lang w:val="lt-LT"/>
        </w:rPr>
        <w:t>ketokonazolu</w:t>
      </w:r>
      <w:proofErr w:type="spellEnd"/>
      <w:r w:rsidRPr="00273A3E">
        <w:rPr>
          <w:rFonts w:ascii="Times New Roman" w:hAnsi="Times New Roman"/>
          <w:lang w:val="lt-LT"/>
        </w:rPr>
        <w:t xml:space="preserve"> (CYP3A4 inhibitoriumi) tyrimai reikšmingų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klirenso pokyčių neparodė</w:t>
      </w:r>
      <w:r w:rsidR="00266D32" w:rsidRPr="00273A3E">
        <w:rPr>
          <w:rFonts w:ascii="Times New Roman" w:hAnsi="Times New Roman"/>
          <w:lang w:val="lt-LT"/>
        </w:rPr>
        <w:t>.</w:t>
      </w:r>
      <w:r w:rsidRPr="00273A3E">
        <w:rPr>
          <w:rFonts w:ascii="Times New Roman" w:hAnsi="Times New Roman"/>
          <w:lang w:val="lt-LT"/>
        </w:rPr>
        <w:t xml:space="preserve"> </w:t>
      </w:r>
      <w:r w:rsidR="00266D32" w:rsidRPr="00273A3E">
        <w:rPr>
          <w:rFonts w:ascii="Times New Roman" w:hAnsi="Times New Roman"/>
          <w:lang w:val="lt-LT"/>
        </w:rPr>
        <w:t>T</w:t>
      </w:r>
      <w:r w:rsidRPr="00273A3E">
        <w:rPr>
          <w:rFonts w:ascii="Times New Roman" w:hAnsi="Times New Roman"/>
          <w:lang w:val="lt-LT"/>
        </w:rPr>
        <w:t xml:space="preserve">odėl </w:t>
      </w:r>
      <w:r w:rsidR="00266D32" w:rsidRPr="00273A3E">
        <w:rPr>
          <w:rFonts w:ascii="Times New Roman" w:hAnsi="Times New Roman"/>
          <w:lang w:val="lt-LT"/>
        </w:rPr>
        <w:t>pacient</w:t>
      </w:r>
      <w:r w:rsidR="0058239D" w:rsidRPr="00273A3E">
        <w:rPr>
          <w:rFonts w:ascii="Times New Roman" w:hAnsi="Times New Roman"/>
          <w:lang w:val="lt-LT"/>
        </w:rPr>
        <w:t>ė</w:t>
      </w:r>
      <w:r w:rsidR="00266D32" w:rsidRPr="00273A3E">
        <w:rPr>
          <w:rFonts w:ascii="Times New Roman" w:hAnsi="Times New Roman"/>
          <w:lang w:val="lt-LT"/>
        </w:rPr>
        <w:t>ms</w:t>
      </w:r>
      <w:r w:rsidR="00AC7803" w:rsidRPr="00273A3E">
        <w:rPr>
          <w:rFonts w:ascii="Times New Roman" w:hAnsi="Times New Roman"/>
          <w:lang w:val="lt-LT"/>
        </w:rPr>
        <w:t>, kurios</w:t>
      </w:r>
      <w:r w:rsidR="00266D32" w:rsidRPr="00273A3E">
        <w:rPr>
          <w:rFonts w:ascii="Times New Roman" w:hAnsi="Times New Roman"/>
          <w:lang w:val="lt-LT"/>
        </w:rPr>
        <w:t xml:space="preserve"> </w:t>
      </w:r>
      <w:r w:rsidRPr="00273A3E">
        <w:rPr>
          <w:rFonts w:ascii="Times New Roman" w:hAnsi="Times New Roman"/>
          <w:lang w:val="lt-LT"/>
        </w:rPr>
        <w:t xml:space="preserve">kartu </w:t>
      </w:r>
      <w:r w:rsidR="00AC7803" w:rsidRPr="00273A3E">
        <w:rPr>
          <w:rFonts w:ascii="Times New Roman" w:hAnsi="Times New Roman"/>
          <w:lang w:val="lt-LT"/>
        </w:rPr>
        <w:t xml:space="preserve">vartoja </w:t>
      </w:r>
      <w:proofErr w:type="spellStart"/>
      <w:r w:rsidR="0058239D" w:rsidRPr="00273A3E">
        <w:rPr>
          <w:rFonts w:ascii="Times New Roman" w:hAnsi="Times New Roman"/>
          <w:lang w:val="lt-LT"/>
        </w:rPr>
        <w:t>fulvestranto</w:t>
      </w:r>
      <w:proofErr w:type="spellEnd"/>
      <w:r w:rsidR="0058239D" w:rsidRPr="00273A3E">
        <w:rPr>
          <w:rFonts w:ascii="Times New Roman" w:hAnsi="Times New Roman"/>
          <w:lang w:val="lt-LT"/>
        </w:rPr>
        <w:t xml:space="preserve"> ir</w:t>
      </w:r>
      <w:r w:rsidRPr="00273A3E">
        <w:rPr>
          <w:rFonts w:ascii="Times New Roman" w:hAnsi="Times New Roman"/>
          <w:lang w:val="lt-LT"/>
        </w:rPr>
        <w:t xml:space="preserve"> CYP3A4 inhibitori</w:t>
      </w:r>
      <w:r w:rsidR="0058239D" w:rsidRPr="00273A3E">
        <w:rPr>
          <w:rFonts w:ascii="Times New Roman" w:hAnsi="Times New Roman"/>
          <w:lang w:val="lt-LT"/>
        </w:rPr>
        <w:t>ų</w:t>
      </w:r>
      <w:r w:rsidRPr="00273A3E">
        <w:rPr>
          <w:rFonts w:ascii="Times New Roman" w:hAnsi="Times New Roman"/>
          <w:lang w:val="lt-LT"/>
        </w:rPr>
        <w:t xml:space="preserve"> arba </w:t>
      </w:r>
      <w:proofErr w:type="spellStart"/>
      <w:r w:rsidRPr="00273A3E">
        <w:rPr>
          <w:rFonts w:ascii="Times New Roman" w:hAnsi="Times New Roman"/>
          <w:lang w:val="lt-LT"/>
        </w:rPr>
        <w:t>induktori</w:t>
      </w:r>
      <w:r w:rsidR="0058239D" w:rsidRPr="00273A3E">
        <w:rPr>
          <w:rFonts w:ascii="Times New Roman" w:hAnsi="Times New Roman"/>
          <w:lang w:val="lt-LT"/>
        </w:rPr>
        <w:t>ų</w:t>
      </w:r>
      <w:proofErr w:type="spellEnd"/>
      <w:r w:rsidR="0058239D" w:rsidRPr="00273A3E">
        <w:rPr>
          <w:rFonts w:ascii="Times New Roman" w:hAnsi="Times New Roman"/>
          <w:lang w:val="lt-LT"/>
        </w:rPr>
        <w:t>,</w:t>
      </w:r>
      <w:r w:rsidRPr="00273A3E">
        <w:rPr>
          <w:rFonts w:ascii="Times New Roman" w:hAnsi="Times New Roman"/>
          <w:lang w:val="lt-LT"/>
        </w:rPr>
        <w:t xml:space="preserve"> dozės koreguoti nereikia.</w:t>
      </w:r>
    </w:p>
    <w:p w14:paraId="1F8341CD" w14:textId="77777777" w:rsidR="001E5C66" w:rsidRPr="00273A3E" w:rsidRDefault="001E5C66" w:rsidP="009F71ED">
      <w:pPr>
        <w:tabs>
          <w:tab w:val="left" w:pos="567"/>
        </w:tabs>
        <w:spacing w:after="0" w:line="240" w:lineRule="auto"/>
        <w:rPr>
          <w:rFonts w:ascii="Times New Roman" w:hAnsi="Times New Roman"/>
          <w:lang w:val="lt-LT"/>
        </w:rPr>
      </w:pPr>
    </w:p>
    <w:p w14:paraId="09800BF3"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4.6</w:t>
      </w:r>
      <w:r w:rsidRPr="00273A3E">
        <w:rPr>
          <w:rFonts w:ascii="Times New Roman" w:hAnsi="Times New Roman"/>
          <w:b/>
          <w:lang w:val="lt-LT"/>
        </w:rPr>
        <w:tab/>
        <w:t>Vaisingumas, nėštumo ir žindymo laikotarpis</w:t>
      </w:r>
    </w:p>
    <w:p w14:paraId="10571EC8" w14:textId="77777777" w:rsidR="001E5C66" w:rsidRPr="00273A3E" w:rsidRDefault="001E5C66" w:rsidP="009F71ED">
      <w:pPr>
        <w:tabs>
          <w:tab w:val="left" w:pos="567"/>
        </w:tabs>
        <w:spacing w:after="0" w:line="240" w:lineRule="auto"/>
        <w:rPr>
          <w:rFonts w:ascii="Times New Roman" w:hAnsi="Times New Roman"/>
          <w:lang w:val="lt-LT"/>
        </w:rPr>
      </w:pPr>
    </w:p>
    <w:p w14:paraId="7944864A" w14:textId="77777777" w:rsidR="001E5C66" w:rsidRPr="00273A3E" w:rsidRDefault="001E5C66"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Vaisingos moterys</w:t>
      </w:r>
    </w:p>
    <w:p w14:paraId="54E0C875"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Vaisingos pacientės turi taikyti veiksmingą kontracepciją </w:t>
      </w:r>
      <w:r w:rsidR="0079066E" w:rsidRPr="00273A3E">
        <w:rPr>
          <w:rFonts w:ascii="Times New Roman" w:hAnsi="Times New Roman"/>
          <w:lang w:val="lt-LT"/>
        </w:rPr>
        <w:t>gydymo</w:t>
      </w:r>
      <w:r w:rsidRPr="00273A3E">
        <w:rPr>
          <w:rFonts w:ascii="Times New Roman" w:hAnsi="Times New Roman"/>
          <w:lang w:val="lt-LT"/>
        </w:rPr>
        <w:t xml:space="preserve"> </w:t>
      </w:r>
      <w:proofErr w:type="spellStart"/>
      <w:r w:rsidR="00C86E9E" w:rsidRPr="00273A3E">
        <w:rPr>
          <w:rFonts w:ascii="Times New Roman" w:hAnsi="Times New Roman"/>
          <w:lang w:val="lt-LT"/>
        </w:rPr>
        <w:t>Fulvestrant</w:t>
      </w:r>
      <w:proofErr w:type="spellEnd"/>
      <w:r w:rsidR="00C86E9E" w:rsidRPr="00273A3E">
        <w:rPr>
          <w:rFonts w:ascii="Times New Roman" w:hAnsi="Times New Roman"/>
          <w:lang w:val="lt-LT"/>
        </w:rPr>
        <w:t xml:space="preserve"> </w:t>
      </w:r>
      <w:proofErr w:type="spellStart"/>
      <w:r w:rsidR="00C86E9E" w:rsidRPr="00273A3E">
        <w:rPr>
          <w:rFonts w:ascii="Times New Roman" w:hAnsi="Times New Roman"/>
          <w:lang w:val="lt-LT"/>
        </w:rPr>
        <w:t>Orion</w:t>
      </w:r>
      <w:proofErr w:type="spellEnd"/>
      <w:r w:rsidR="00C86E9E" w:rsidRPr="00273A3E">
        <w:rPr>
          <w:rFonts w:ascii="Times New Roman" w:hAnsi="Times New Roman"/>
          <w:lang w:val="lt-LT"/>
        </w:rPr>
        <w:t xml:space="preserve"> </w:t>
      </w:r>
      <w:r w:rsidR="00FF0074" w:rsidRPr="00273A3E">
        <w:rPr>
          <w:rFonts w:ascii="Times New Roman" w:hAnsi="Times New Roman"/>
          <w:lang w:val="lt-LT"/>
        </w:rPr>
        <w:t>met</w:t>
      </w:r>
      <w:r w:rsidR="00B436BC" w:rsidRPr="00273A3E">
        <w:rPr>
          <w:rFonts w:ascii="Times New Roman" w:hAnsi="Times New Roman"/>
          <w:lang w:val="lt-LT"/>
        </w:rPr>
        <w:t>u</w:t>
      </w:r>
      <w:r w:rsidRPr="00273A3E">
        <w:rPr>
          <w:rFonts w:ascii="Times New Roman" w:hAnsi="Times New Roman"/>
          <w:lang w:val="lt-LT"/>
        </w:rPr>
        <w:t xml:space="preserve"> ir 2</w:t>
      </w:r>
      <w:r w:rsidR="00FF0074" w:rsidRPr="00273A3E">
        <w:rPr>
          <w:rFonts w:ascii="Times New Roman" w:hAnsi="Times New Roman"/>
          <w:lang w:val="lt-LT"/>
        </w:rPr>
        <w:t> met</w:t>
      </w:r>
      <w:r w:rsidRPr="00273A3E">
        <w:rPr>
          <w:rFonts w:ascii="Times New Roman" w:hAnsi="Times New Roman"/>
          <w:lang w:val="lt-LT"/>
        </w:rPr>
        <w:t>us po paskutinės jo dozės.</w:t>
      </w:r>
    </w:p>
    <w:p w14:paraId="4E7708D8" w14:textId="77777777" w:rsidR="001E5C66" w:rsidRPr="00273A3E" w:rsidRDefault="001E5C66" w:rsidP="009F71ED">
      <w:pPr>
        <w:tabs>
          <w:tab w:val="left" w:pos="567"/>
        </w:tabs>
        <w:spacing w:after="0" w:line="240" w:lineRule="auto"/>
        <w:rPr>
          <w:rFonts w:ascii="Times New Roman" w:hAnsi="Times New Roman"/>
          <w:lang w:val="lt-LT"/>
        </w:rPr>
      </w:pPr>
    </w:p>
    <w:p w14:paraId="479B263A" w14:textId="77777777" w:rsidR="001E5C66" w:rsidRPr="00273A3E" w:rsidRDefault="001E5C66" w:rsidP="0003368A">
      <w:pPr>
        <w:keepNext/>
        <w:keepLines/>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lastRenderedPageBreak/>
        <w:t>Nėštumas</w:t>
      </w:r>
    </w:p>
    <w:p w14:paraId="26165E28" w14:textId="77777777" w:rsidR="001E5C66" w:rsidRPr="00273A3E" w:rsidRDefault="001E5C66" w:rsidP="0003368A">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 xml:space="preserve">Nėštumo laikotarpiu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vartoti draudžiama (žr. 4.3</w:t>
      </w:r>
      <w:r w:rsidR="00FF0074" w:rsidRPr="00273A3E">
        <w:rPr>
          <w:rFonts w:ascii="Times New Roman" w:hAnsi="Times New Roman"/>
          <w:lang w:val="lt-LT"/>
        </w:rPr>
        <w:t> skyri</w:t>
      </w:r>
      <w:r w:rsidRPr="00273A3E">
        <w:rPr>
          <w:rFonts w:ascii="Times New Roman" w:hAnsi="Times New Roman"/>
          <w:lang w:val="lt-LT"/>
        </w:rPr>
        <w:t xml:space="preserve">ų). Nustatyta, kad suleidus vieną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dozę žiurkei ar triušiui į raumenis, vaistinis preparatas prasiskverbia per placentą. Tyrimai su gyvūnais parodė toksinį poveikį reprodukcijai, įskaitant vaisiaus apsigimim</w:t>
      </w:r>
      <w:r w:rsidR="00915F19" w:rsidRPr="00273A3E">
        <w:rPr>
          <w:rFonts w:ascii="Times New Roman" w:hAnsi="Times New Roman"/>
          <w:lang w:val="lt-LT"/>
        </w:rPr>
        <w:t>us</w:t>
      </w:r>
      <w:r w:rsidRPr="00273A3E">
        <w:rPr>
          <w:rFonts w:ascii="Times New Roman" w:hAnsi="Times New Roman"/>
          <w:lang w:val="lt-LT"/>
        </w:rPr>
        <w:t xml:space="preserve"> ir </w:t>
      </w:r>
      <w:r w:rsidR="00915F19" w:rsidRPr="00273A3E">
        <w:rPr>
          <w:rFonts w:ascii="Times New Roman" w:hAnsi="Times New Roman"/>
          <w:lang w:val="lt-LT"/>
        </w:rPr>
        <w:t xml:space="preserve">dažnesnį jų </w:t>
      </w:r>
      <w:r w:rsidRPr="00273A3E">
        <w:rPr>
          <w:rFonts w:ascii="Times New Roman" w:hAnsi="Times New Roman"/>
          <w:lang w:val="lt-LT"/>
        </w:rPr>
        <w:t>žuvim</w:t>
      </w:r>
      <w:r w:rsidR="00915F19" w:rsidRPr="00273A3E">
        <w:rPr>
          <w:rFonts w:ascii="Times New Roman" w:hAnsi="Times New Roman"/>
          <w:lang w:val="lt-LT"/>
        </w:rPr>
        <w:t>ą</w:t>
      </w:r>
      <w:r w:rsidRPr="00273A3E">
        <w:rPr>
          <w:rFonts w:ascii="Times New Roman" w:hAnsi="Times New Roman"/>
          <w:lang w:val="lt-LT"/>
        </w:rPr>
        <w:t xml:space="preserve"> (žr. 5.3</w:t>
      </w:r>
      <w:r w:rsidR="00FF0074" w:rsidRPr="00273A3E">
        <w:rPr>
          <w:rFonts w:ascii="Times New Roman" w:hAnsi="Times New Roman"/>
          <w:lang w:val="lt-LT"/>
        </w:rPr>
        <w:t> skyri</w:t>
      </w:r>
      <w:r w:rsidRPr="00273A3E">
        <w:rPr>
          <w:rFonts w:ascii="Times New Roman" w:hAnsi="Times New Roman"/>
          <w:lang w:val="lt-LT"/>
        </w:rPr>
        <w:t xml:space="preserve">ų). Jeigu </w:t>
      </w:r>
      <w:proofErr w:type="spellStart"/>
      <w:r w:rsidR="00C86E9E" w:rsidRPr="00273A3E">
        <w:rPr>
          <w:rFonts w:ascii="Times New Roman" w:hAnsi="Times New Roman"/>
          <w:lang w:val="lt-LT"/>
        </w:rPr>
        <w:t>Fulvestrant</w:t>
      </w:r>
      <w:proofErr w:type="spellEnd"/>
      <w:r w:rsidR="00C86E9E" w:rsidRPr="00273A3E">
        <w:rPr>
          <w:rFonts w:ascii="Times New Roman" w:hAnsi="Times New Roman"/>
          <w:lang w:val="lt-LT"/>
        </w:rPr>
        <w:t xml:space="preserve"> </w:t>
      </w:r>
      <w:proofErr w:type="spellStart"/>
      <w:r w:rsidR="00C86E9E" w:rsidRPr="00273A3E">
        <w:rPr>
          <w:rFonts w:ascii="Times New Roman" w:hAnsi="Times New Roman"/>
          <w:lang w:val="lt-LT"/>
        </w:rPr>
        <w:t>Orion</w:t>
      </w:r>
      <w:proofErr w:type="spellEnd"/>
      <w:r w:rsidR="00C86E9E" w:rsidRPr="00273A3E">
        <w:rPr>
          <w:rFonts w:ascii="Times New Roman" w:hAnsi="Times New Roman"/>
          <w:lang w:val="lt-LT"/>
        </w:rPr>
        <w:t xml:space="preserve"> </w:t>
      </w:r>
      <w:r w:rsidRPr="00273A3E">
        <w:rPr>
          <w:rFonts w:ascii="Times New Roman" w:hAnsi="Times New Roman"/>
          <w:lang w:val="lt-LT"/>
        </w:rPr>
        <w:t xml:space="preserve">vartojanti </w:t>
      </w:r>
      <w:r w:rsidR="00987086" w:rsidRPr="00273A3E">
        <w:rPr>
          <w:rFonts w:ascii="Times New Roman" w:hAnsi="Times New Roman"/>
          <w:lang w:val="lt-LT"/>
        </w:rPr>
        <w:t>pacientė</w:t>
      </w:r>
      <w:r w:rsidRPr="00273A3E">
        <w:rPr>
          <w:rFonts w:ascii="Times New Roman" w:hAnsi="Times New Roman"/>
          <w:lang w:val="lt-LT"/>
        </w:rPr>
        <w:t xml:space="preserve"> pastojo, ji turi būti informuota apie galimą riziką vaisiui ir galimą savaiminio persileidimo pavojų.</w:t>
      </w:r>
    </w:p>
    <w:p w14:paraId="4326EB44" w14:textId="77777777" w:rsidR="001E5C66" w:rsidRPr="00273A3E" w:rsidRDefault="001E5C66" w:rsidP="009F71ED">
      <w:pPr>
        <w:tabs>
          <w:tab w:val="left" w:pos="567"/>
        </w:tabs>
        <w:spacing w:after="0" w:line="240" w:lineRule="auto"/>
        <w:rPr>
          <w:rFonts w:ascii="Times New Roman" w:hAnsi="Times New Roman"/>
          <w:lang w:val="lt-LT"/>
        </w:rPr>
      </w:pPr>
    </w:p>
    <w:p w14:paraId="471C5529" w14:textId="77777777" w:rsidR="001E5C66" w:rsidRPr="00273A3E" w:rsidRDefault="001E5C66"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Žindymas</w:t>
      </w:r>
    </w:p>
    <w:p w14:paraId="24FBEE59"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Gydymo </w:t>
      </w:r>
      <w:proofErr w:type="spellStart"/>
      <w:r w:rsidR="00C86E9E" w:rsidRPr="00273A3E">
        <w:rPr>
          <w:rFonts w:ascii="Times New Roman" w:hAnsi="Times New Roman"/>
          <w:lang w:val="lt-LT"/>
        </w:rPr>
        <w:t>Fulvestrant</w:t>
      </w:r>
      <w:proofErr w:type="spellEnd"/>
      <w:r w:rsidR="00C86E9E" w:rsidRPr="00273A3E">
        <w:rPr>
          <w:rFonts w:ascii="Times New Roman" w:hAnsi="Times New Roman"/>
          <w:lang w:val="lt-LT"/>
        </w:rPr>
        <w:t xml:space="preserve"> </w:t>
      </w:r>
      <w:proofErr w:type="spellStart"/>
      <w:r w:rsidR="00C86E9E" w:rsidRPr="00273A3E">
        <w:rPr>
          <w:rFonts w:ascii="Times New Roman" w:hAnsi="Times New Roman"/>
          <w:lang w:val="lt-LT"/>
        </w:rPr>
        <w:t>Orion</w:t>
      </w:r>
      <w:proofErr w:type="spellEnd"/>
      <w:r w:rsidR="00C86E9E"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žindymas turi būti nutrauktas.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išs</w:t>
      </w:r>
      <w:r w:rsidR="00EA4B5B" w:rsidRPr="00273A3E">
        <w:rPr>
          <w:rFonts w:ascii="Times New Roman" w:hAnsi="Times New Roman"/>
          <w:lang w:val="lt-LT"/>
        </w:rPr>
        <w:t>is</w:t>
      </w:r>
      <w:r w:rsidRPr="00273A3E">
        <w:rPr>
          <w:rFonts w:ascii="Times New Roman" w:hAnsi="Times New Roman"/>
          <w:lang w:val="lt-LT"/>
        </w:rPr>
        <w:t xml:space="preserve">kiria </w:t>
      </w:r>
      <w:r w:rsidR="00A43049" w:rsidRPr="00273A3E">
        <w:rPr>
          <w:rFonts w:ascii="Times New Roman" w:hAnsi="Times New Roman"/>
          <w:lang w:val="lt-LT"/>
        </w:rPr>
        <w:t>į gydytų</w:t>
      </w:r>
      <w:r w:rsidRPr="00273A3E">
        <w:rPr>
          <w:rFonts w:ascii="Times New Roman" w:hAnsi="Times New Roman"/>
          <w:lang w:val="lt-LT"/>
        </w:rPr>
        <w:t xml:space="preserve"> žiurkių pien</w:t>
      </w:r>
      <w:r w:rsidR="00A43049" w:rsidRPr="00273A3E">
        <w:rPr>
          <w:rFonts w:ascii="Times New Roman" w:hAnsi="Times New Roman"/>
          <w:lang w:val="lt-LT"/>
        </w:rPr>
        <w:t>ą</w:t>
      </w:r>
      <w:r w:rsidRPr="00273A3E">
        <w:rPr>
          <w:rFonts w:ascii="Times New Roman" w:hAnsi="Times New Roman"/>
          <w:lang w:val="lt-LT"/>
        </w:rPr>
        <w:t xml:space="preserve">. </w:t>
      </w:r>
      <w:r w:rsidR="00A43049" w:rsidRPr="00273A3E">
        <w:rPr>
          <w:rFonts w:ascii="Times New Roman" w:hAnsi="Times New Roman"/>
          <w:lang w:val="lt-LT"/>
        </w:rPr>
        <w:t>Nežinoma, a</w:t>
      </w:r>
      <w:r w:rsidRPr="00273A3E">
        <w:rPr>
          <w:rFonts w:ascii="Times New Roman" w:hAnsi="Times New Roman"/>
          <w:lang w:val="lt-LT"/>
        </w:rPr>
        <w:t xml:space="preserve">r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išs</w:t>
      </w:r>
      <w:r w:rsidR="00EA4B5B" w:rsidRPr="00273A3E">
        <w:rPr>
          <w:rFonts w:ascii="Times New Roman" w:hAnsi="Times New Roman"/>
          <w:lang w:val="lt-LT"/>
        </w:rPr>
        <w:t>is</w:t>
      </w:r>
      <w:r w:rsidRPr="00273A3E">
        <w:rPr>
          <w:rFonts w:ascii="Times New Roman" w:hAnsi="Times New Roman"/>
          <w:lang w:val="lt-LT"/>
        </w:rPr>
        <w:t xml:space="preserve">kiria </w:t>
      </w:r>
      <w:r w:rsidR="00A43049" w:rsidRPr="00273A3E">
        <w:rPr>
          <w:rFonts w:ascii="Times New Roman" w:hAnsi="Times New Roman"/>
          <w:lang w:val="lt-LT"/>
        </w:rPr>
        <w:t xml:space="preserve">į gydytų </w:t>
      </w:r>
      <w:r w:rsidRPr="00273A3E">
        <w:rPr>
          <w:rFonts w:ascii="Times New Roman" w:hAnsi="Times New Roman"/>
          <w:lang w:val="lt-LT"/>
        </w:rPr>
        <w:t>moter</w:t>
      </w:r>
      <w:r w:rsidR="00A43049" w:rsidRPr="00273A3E">
        <w:rPr>
          <w:rFonts w:ascii="Times New Roman" w:hAnsi="Times New Roman"/>
          <w:lang w:val="lt-LT"/>
        </w:rPr>
        <w:t>ų</w:t>
      </w:r>
      <w:r w:rsidRPr="00273A3E">
        <w:rPr>
          <w:rFonts w:ascii="Times New Roman" w:hAnsi="Times New Roman"/>
          <w:lang w:val="lt-LT"/>
        </w:rPr>
        <w:t xml:space="preserve"> pien</w:t>
      </w:r>
      <w:r w:rsidR="00A43049" w:rsidRPr="00273A3E">
        <w:rPr>
          <w:rFonts w:ascii="Times New Roman" w:hAnsi="Times New Roman"/>
          <w:lang w:val="lt-LT"/>
        </w:rPr>
        <w:t>ą.</w:t>
      </w:r>
      <w:r w:rsidRPr="00273A3E">
        <w:rPr>
          <w:rFonts w:ascii="Times New Roman" w:hAnsi="Times New Roman"/>
          <w:lang w:val="lt-LT"/>
        </w:rPr>
        <w:t xml:space="preserve"> </w:t>
      </w:r>
      <w:r w:rsidR="00915F19" w:rsidRPr="00273A3E">
        <w:rPr>
          <w:rFonts w:ascii="Times New Roman" w:hAnsi="Times New Roman"/>
          <w:lang w:val="lt-LT"/>
        </w:rPr>
        <w:t>Įvertinant tai</w:t>
      </w:r>
      <w:r w:rsidRPr="00273A3E">
        <w:rPr>
          <w:rFonts w:ascii="Times New Roman" w:hAnsi="Times New Roman"/>
          <w:lang w:val="lt-LT"/>
        </w:rPr>
        <w:t xml:space="preserve">, kad </w:t>
      </w:r>
      <w:r w:rsidR="00EA4B5B" w:rsidRPr="00273A3E">
        <w:rPr>
          <w:rFonts w:ascii="Times New Roman" w:hAnsi="Times New Roman"/>
          <w:lang w:val="lt-LT"/>
        </w:rPr>
        <w:t xml:space="preserve">į </w:t>
      </w:r>
      <w:r w:rsidRPr="00273A3E">
        <w:rPr>
          <w:rFonts w:ascii="Times New Roman" w:hAnsi="Times New Roman"/>
          <w:lang w:val="lt-LT"/>
        </w:rPr>
        <w:t>pien</w:t>
      </w:r>
      <w:r w:rsidR="00EA4B5B" w:rsidRPr="00273A3E">
        <w:rPr>
          <w:rFonts w:ascii="Times New Roman" w:hAnsi="Times New Roman"/>
          <w:lang w:val="lt-LT"/>
        </w:rPr>
        <w:t>ą</w:t>
      </w:r>
      <w:r w:rsidRPr="00273A3E">
        <w:rPr>
          <w:rFonts w:ascii="Times New Roman" w:hAnsi="Times New Roman"/>
          <w:lang w:val="lt-LT"/>
        </w:rPr>
        <w:t xml:space="preserve"> išs</w:t>
      </w:r>
      <w:r w:rsidR="00EA4B5B" w:rsidRPr="00273A3E">
        <w:rPr>
          <w:rFonts w:ascii="Times New Roman" w:hAnsi="Times New Roman"/>
          <w:lang w:val="lt-LT"/>
        </w:rPr>
        <w:t>is</w:t>
      </w:r>
      <w:r w:rsidRPr="00273A3E">
        <w:rPr>
          <w:rFonts w:ascii="Times New Roman" w:hAnsi="Times New Roman"/>
          <w:lang w:val="lt-LT"/>
        </w:rPr>
        <w:t>kir</w:t>
      </w:r>
      <w:r w:rsidR="00EA4B5B" w:rsidRPr="00273A3E">
        <w:rPr>
          <w:rFonts w:ascii="Times New Roman" w:hAnsi="Times New Roman"/>
          <w:lang w:val="lt-LT"/>
        </w:rPr>
        <w:t>ia</w:t>
      </w:r>
      <w:r w:rsidRPr="00273A3E">
        <w:rPr>
          <w:rFonts w:ascii="Times New Roman" w:hAnsi="Times New Roman"/>
          <w:lang w:val="lt-LT"/>
        </w:rPr>
        <w:t xml:space="preserve">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gali sukelti sunkių nepageidaujamų reakcijų žindomam kūdikiui, šio vaistinio preparato </w:t>
      </w:r>
      <w:r w:rsidR="00A43049" w:rsidRPr="00273A3E">
        <w:rPr>
          <w:rFonts w:ascii="Times New Roman" w:hAnsi="Times New Roman"/>
          <w:lang w:val="lt-LT"/>
        </w:rPr>
        <w:t xml:space="preserve">draudžiama </w:t>
      </w:r>
      <w:r w:rsidRPr="00273A3E">
        <w:rPr>
          <w:rFonts w:ascii="Times New Roman" w:hAnsi="Times New Roman"/>
          <w:lang w:val="lt-LT"/>
        </w:rPr>
        <w:t>varto</w:t>
      </w:r>
      <w:r w:rsidR="00A43049" w:rsidRPr="00273A3E">
        <w:rPr>
          <w:rFonts w:ascii="Times New Roman" w:hAnsi="Times New Roman"/>
          <w:lang w:val="lt-LT"/>
        </w:rPr>
        <w:t>ti</w:t>
      </w:r>
      <w:r w:rsidRPr="00273A3E">
        <w:rPr>
          <w:rFonts w:ascii="Times New Roman" w:hAnsi="Times New Roman"/>
          <w:lang w:val="lt-LT"/>
        </w:rPr>
        <w:t xml:space="preserve"> žindymo </w:t>
      </w:r>
      <w:r w:rsidR="00A43049" w:rsidRPr="00273A3E">
        <w:rPr>
          <w:rFonts w:ascii="Times New Roman" w:hAnsi="Times New Roman"/>
          <w:lang w:val="lt-LT"/>
        </w:rPr>
        <w:t>metu</w:t>
      </w:r>
      <w:r w:rsidRPr="00273A3E">
        <w:rPr>
          <w:rFonts w:ascii="Times New Roman" w:hAnsi="Times New Roman"/>
          <w:lang w:val="lt-LT"/>
        </w:rPr>
        <w:t xml:space="preserve"> (žr. 4.3</w:t>
      </w:r>
      <w:r w:rsidR="00FF0074" w:rsidRPr="00273A3E">
        <w:rPr>
          <w:rFonts w:ascii="Times New Roman" w:hAnsi="Times New Roman"/>
          <w:lang w:val="lt-LT"/>
        </w:rPr>
        <w:t> skyri</w:t>
      </w:r>
      <w:r w:rsidRPr="00273A3E">
        <w:rPr>
          <w:rFonts w:ascii="Times New Roman" w:hAnsi="Times New Roman"/>
          <w:lang w:val="lt-LT"/>
        </w:rPr>
        <w:t>ų).</w:t>
      </w:r>
    </w:p>
    <w:p w14:paraId="6FF387BF" w14:textId="77777777" w:rsidR="001E5C66" w:rsidRPr="00273A3E" w:rsidRDefault="001E5C66" w:rsidP="009F71ED">
      <w:pPr>
        <w:tabs>
          <w:tab w:val="left" w:pos="567"/>
        </w:tabs>
        <w:spacing w:after="0" w:line="240" w:lineRule="auto"/>
        <w:rPr>
          <w:rFonts w:ascii="Times New Roman" w:hAnsi="Times New Roman"/>
          <w:lang w:val="lt-LT"/>
        </w:rPr>
      </w:pPr>
    </w:p>
    <w:p w14:paraId="6CABAC29" w14:textId="77777777" w:rsidR="001E5C66" w:rsidRPr="00273A3E" w:rsidRDefault="001E5C66"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Vaisingumas</w:t>
      </w:r>
    </w:p>
    <w:p w14:paraId="10F891D1"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poveikis žmonių vaisingumui netirtas.</w:t>
      </w:r>
    </w:p>
    <w:p w14:paraId="2AFEA836" w14:textId="77777777" w:rsidR="001E5C66" w:rsidRPr="00273A3E" w:rsidRDefault="001E5C66" w:rsidP="009F71ED">
      <w:pPr>
        <w:tabs>
          <w:tab w:val="left" w:pos="567"/>
        </w:tabs>
        <w:spacing w:after="0" w:line="240" w:lineRule="auto"/>
        <w:rPr>
          <w:rFonts w:ascii="Times New Roman" w:hAnsi="Times New Roman"/>
          <w:lang w:val="lt-LT"/>
        </w:rPr>
      </w:pPr>
    </w:p>
    <w:p w14:paraId="0687FCAF"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4.7</w:t>
      </w:r>
      <w:r w:rsidRPr="00273A3E">
        <w:rPr>
          <w:rFonts w:ascii="Times New Roman" w:hAnsi="Times New Roman"/>
          <w:b/>
          <w:lang w:val="lt-LT"/>
        </w:rPr>
        <w:tab/>
        <w:t>Poveikis gebėjimui vairuoti ir valdyti mechanizmus</w:t>
      </w:r>
    </w:p>
    <w:p w14:paraId="29F5699E" w14:textId="77777777" w:rsidR="001E5C66" w:rsidRPr="00273A3E" w:rsidRDefault="001E5C66" w:rsidP="009F71ED">
      <w:pPr>
        <w:tabs>
          <w:tab w:val="left" w:pos="567"/>
        </w:tabs>
        <w:spacing w:after="0" w:line="240" w:lineRule="auto"/>
        <w:rPr>
          <w:rFonts w:ascii="Times New Roman" w:hAnsi="Times New Roman"/>
          <w:b/>
          <w:lang w:val="lt-LT"/>
        </w:rPr>
      </w:pPr>
    </w:p>
    <w:p w14:paraId="46E19409"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įtakos gebėjimui vairuoti ir valdyti mechanizmus </w:t>
      </w:r>
      <w:r w:rsidR="00EA4B5B" w:rsidRPr="00273A3E">
        <w:rPr>
          <w:rFonts w:ascii="Times New Roman" w:hAnsi="Times New Roman"/>
          <w:lang w:val="lt-LT"/>
        </w:rPr>
        <w:t xml:space="preserve">neveikia </w:t>
      </w:r>
      <w:r w:rsidRPr="00273A3E">
        <w:rPr>
          <w:rFonts w:ascii="Times New Roman" w:hAnsi="Times New Roman"/>
          <w:lang w:val="lt-LT"/>
        </w:rPr>
        <w:t xml:space="preserve">arba </w:t>
      </w:r>
      <w:r w:rsidR="00EA4B5B" w:rsidRPr="00273A3E">
        <w:rPr>
          <w:rFonts w:ascii="Times New Roman" w:hAnsi="Times New Roman"/>
          <w:lang w:val="lt-LT"/>
        </w:rPr>
        <w:t>veikia</w:t>
      </w:r>
      <w:r w:rsidRPr="00273A3E">
        <w:rPr>
          <w:rFonts w:ascii="Times New Roman" w:hAnsi="Times New Roman"/>
          <w:lang w:val="lt-LT"/>
        </w:rPr>
        <w:t xml:space="preserve"> nereikšminga</w:t>
      </w:r>
      <w:r w:rsidR="001746DA" w:rsidRPr="00273A3E">
        <w:rPr>
          <w:rFonts w:ascii="Times New Roman" w:hAnsi="Times New Roman"/>
          <w:lang w:val="lt-LT"/>
        </w:rPr>
        <w:t>i</w:t>
      </w:r>
      <w:r w:rsidRPr="00273A3E">
        <w:rPr>
          <w:rFonts w:ascii="Times New Roman" w:hAnsi="Times New Roman"/>
          <w:lang w:val="lt-LT"/>
        </w:rPr>
        <w:t xml:space="preserve">. Vis dėlto, kadangi vartojant </w:t>
      </w:r>
      <w:proofErr w:type="spellStart"/>
      <w:r w:rsidRPr="00273A3E">
        <w:rPr>
          <w:rFonts w:ascii="Times New Roman" w:hAnsi="Times New Roman"/>
          <w:lang w:val="lt-LT"/>
        </w:rPr>
        <w:t>fulvestrant</w:t>
      </w:r>
      <w:r w:rsidR="00EA4B5B" w:rsidRPr="00273A3E">
        <w:rPr>
          <w:rFonts w:ascii="Times New Roman" w:hAnsi="Times New Roman"/>
          <w:lang w:val="lt-LT"/>
        </w:rPr>
        <w:t>o</w:t>
      </w:r>
      <w:proofErr w:type="spellEnd"/>
      <w:r w:rsidRPr="00273A3E">
        <w:rPr>
          <w:rFonts w:ascii="Times New Roman" w:hAnsi="Times New Roman"/>
          <w:lang w:val="lt-LT"/>
        </w:rPr>
        <w:t xml:space="preserve"> labai dažnai gauta pranešimų apie </w:t>
      </w:r>
      <w:proofErr w:type="spellStart"/>
      <w:r w:rsidRPr="00273A3E">
        <w:rPr>
          <w:rFonts w:ascii="Times New Roman" w:hAnsi="Times New Roman"/>
          <w:lang w:val="lt-LT"/>
        </w:rPr>
        <w:t>asteniją</w:t>
      </w:r>
      <w:proofErr w:type="spellEnd"/>
      <w:r w:rsidRPr="00273A3E">
        <w:rPr>
          <w:rFonts w:ascii="Times New Roman" w:hAnsi="Times New Roman"/>
          <w:lang w:val="lt-LT"/>
        </w:rPr>
        <w:t xml:space="preserve">, pacientės, kurios vairuojant ar valdant mechanizmus patiria </w:t>
      </w:r>
      <w:r w:rsidR="004E796A" w:rsidRPr="00273A3E">
        <w:rPr>
          <w:rFonts w:ascii="Times New Roman" w:hAnsi="Times New Roman"/>
          <w:lang w:val="lt-LT"/>
        </w:rPr>
        <w:t>šią nepageidaujamą</w:t>
      </w:r>
      <w:r w:rsidRPr="00273A3E">
        <w:rPr>
          <w:rFonts w:ascii="Times New Roman" w:hAnsi="Times New Roman"/>
          <w:lang w:val="lt-LT"/>
        </w:rPr>
        <w:t xml:space="preserve"> reakciją, turi laikytis atsargumo.</w:t>
      </w:r>
    </w:p>
    <w:p w14:paraId="56F8FB9A" w14:textId="77777777" w:rsidR="001E5C66" w:rsidRPr="00273A3E" w:rsidRDefault="001E5C66" w:rsidP="009F71ED">
      <w:pPr>
        <w:tabs>
          <w:tab w:val="left" w:pos="567"/>
        </w:tabs>
        <w:spacing w:after="0" w:line="240" w:lineRule="auto"/>
        <w:rPr>
          <w:rFonts w:ascii="Times New Roman" w:hAnsi="Times New Roman"/>
          <w:lang w:val="lt-LT"/>
        </w:rPr>
      </w:pPr>
    </w:p>
    <w:p w14:paraId="28D93716"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4.8</w:t>
      </w:r>
      <w:r w:rsidRPr="00273A3E">
        <w:rPr>
          <w:rFonts w:ascii="Times New Roman" w:hAnsi="Times New Roman"/>
          <w:b/>
          <w:lang w:val="lt-LT"/>
        </w:rPr>
        <w:tab/>
        <w:t>Nepageidaujamas poveikis</w:t>
      </w:r>
    </w:p>
    <w:p w14:paraId="30230F4D" w14:textId="77777777" w:rsidR="001E5C66" w:rsidRPr="00273A3E" w:rsidRDefault="001E5C66" w:rsidP="009F71ED">
      <w:pPr>
        <w:tabs>
          <w:tab w:val="left" w:pos="567"/>
        </w:tabs>
        <w:spacing w:after="0" w:line="240" w:lineRule="auto"/>
        <w:rPr>
          <w:rFonts w:ascii="Times New Roman" w:hAnsi="Times New Roman"/>
          <w:lang w:val="lt-LT"/>
        </w:rPr>
      </w:pPr>
    </w:p>
    <w:p w14:paraId="4C0EBB50" w14:textId="77777777" w:rsidR="001E5C66" w:rsidRPr="00273A3E" w:rsidRDefault="001E5C66"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Saugumo duomenų santrauka</w:t>
      </w:r>
    </w:p>
    <w:p w14:paraId="6C34CAB2" w14:textId="77777777" w:rsidR="008D5FD6" w:rsidRPr="00273A3E" w:rsidRDefault="008D5FD6" w:rsidP="009F71ED">
      <w:pPr>
        <w:tabs>
          <w:tab w:val="left" w:pos="567"/>
        </w:tabs>
        <w:spacing w:after="0" w:line="240" w:lineRule="auto"/>
        <w:rPr>
          <w:rFonts w:ascii="Times New Roman" w:hAnsi="Times New Roman"/>
          <w:u w:val="single"/>
          <w:lang w:val="lt-LT"/>
        </w:rPr>
      </w:pPr>
    </w:p>
    <w:p w14:paraId="4050F850" w14:textId="77777777" w:rsidR="005536F2" w:rsidRPr="00273A3E" w:rsidRDefault="001E5C66" w:rsidP="009F71ED">
      <w:pPr>
        <w:tabs>
          <w:tab w:val="left" w:pos="567"/>
        </w:tabs>
        <w:spacing w:after="0" w:line="240" w:lineRule="auto"/>
        <w:rPr>
          <w:rFonts w:ascii="Times New Roman" w:hAnsi="Times New Roman"/>
          <w:i/>
          <w:lang w:val="lt-LT"/>
        </w:rPr>
      </w:pPr>
      <w:proofErr w:type="spellStart"/>
      <w:r w:rsidRPr="00273A3E">
        <w:rPr>
          <w:rFonts w:ascii="Times New Roman" w:hAnsi="Times New Roman"/>
          <w:i/>
          <w:lang w:val="lt-LT"/>
        </w:rPr>
        <w:t>Monoterapija</w:t>
      </w:r>
      <w:proofErr w:type="spellEnd"/>
    </w:p>
    <w:p w14:paraId="7D52F365"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Šiame</w:t>
      </w:r>
      <w:r w:rsidR="00FF0074" w:rsidRPr="00273A3E">
        <w:rPr>
          <w:rFonts w:ascii="Times New Roman" w:hAnsi="Times New Roman"/>
          <w:lang w:val="lt-LT"/>
        </w:rPr>
        <w:t xml:space="preserve"> skyri</w:t>
      </w:r>
      <w:r w:rsidRPr="00273A3E">
        <w:rPr>
          <w:rFonts w:ascii="Times New Roman" w:hAnsi="Times New Roman"/>
          <w:lang w:val="lt-LT"/>
        </w:rPr>
        <w:t xml:space="preserve">uje pateikiama informacija pagrįsta visais pranešimais apie nepageidaujamas reakcijas klinikinių ir </w:t>
      </w:r>
      <w:proofErr w:type="spellStart"/>
      <w:r w:rsidRPr="00273A3E">
        <w:rPr>
          <w:rFonts w:ascii="Times New Roman" w:hAnsi="Times New Roman"/>
          <w:lang w:val="lt-LT"/>
        </w:rPr>
        <w:t>poregistracinių</w:t>
      </w:r>
      <w:proofErr w:type="spellEnd"/>
      <w:r w:rsidRPr="00273A3E">
        <w:rPr>
          <w:rFonts w:ascii="Times New Roman" w:hAnsi="Times New Roman"/>
          <w:lang w:val="lt-LT"/>
        </w:rPr>
        <w:t xml:space="preserve"> tyrimų</w:t>
      </w:r>
      <w:r w:rsidR="000968A9"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taip pat spontaniniais pranešimais. Bendrais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w:t>
      </w:r>
      <w:proofErr w:type="spellStart"/>
      <w:r w:rsidRPr="00273A3E">
        <w:rPr>
          <w:rFonts w:ascii="Times New Roman" w:hAnsi="Times New Roman"/>
          <w:lang w:val="lt-LT"/>
        </w:rPr>
        <w:t>monoterapijos</w:t>
      </w:r>
      <w:proofErr w:type="spellEnd"/>
      <w:r w:rsidRPr="00273A3E">
        <w:rPr>
          <w:rFonts w:ascii="Times New Roman" w:hAnsi="Times New Roman"/>
          <w:lang w:val="lt-LT"/>
        </w:rPr>
        <w:t xml:space="preserve"> duomenimis, nepageidaujamos reakcijos</w:t>
      </w:r>
      <w:r w:rsidR="000968A9" w:rsidRPr="00273A3E">
        <w:rPr>
          <w:rFonts w:ascii="Times New Roman" w:hAnsi="Times New Roman"/>
          <w:lang w:val="lt-LT"/>
        </w:rPr>
        <w:t>,</w:t>
      </w:r>
      <w:r w:rsidRPr="00273A3E">
        <w:rPr>
          <w:rFonts w:ascii="Times New Roman" w:hAnsi="Times New Roman"/>
          <w:lang w:val="lt-LT"/>
        </w:rPr>
        <w:t xml:space="preserve"> apie kurias pranešta dažniausiai</w:t>
      </w:r>
      <w:r w:rsidR="000968A9" w:rsidRPr="00273A3E">
        <w:rPr>
          <w:rFonts w:ascii="Times New Roman" w:hAnsi="Times New Roman"/>
          <w:lang w:val="lt-LT"/>
        </w:rPr>
        <w:t>,</w:t>
      </w:r>
      <w:r w:rsidRPr="00273A3E">
        <w:rPr>
          <w:rFonts w:ascii="Times New Roman" w:hAnsi="Times New Roman"/>
          <w:lang w:val="lt-LT"/>
        </w:rPr>
        <w:t xml:space="preserve"> buvo reakcijos injekcijos vietoje, </w:t>
      </w:r>
      <w:proofErr w:type="spellStart"/>
      <w:r w:rsidRPr="00273A3E">
        <w:rPr>
          <w:rFonts w:ascii="Times New Roman" w:hAnsi="Times New Roman"/>
          <w:lang w:val="lt-LT"/>
        </w:rPr>
        <w:t>astenija</w:t>
      </w:r>
      <w:proofErr w:type="spellEnd"/>
      <w:r w:rsidRPr="00273A3E">
        <w:rPr>
          <w:rFonts w:ascii="Times New Roman" w:hAnsi="Times New Roman"/>
          <w:lang w:val="lt-LT"/>
        </w:rPr>
        <w:t>, pykinimas ir padidėjęs kepenų fermentų (ALT, AST, šarminės fosfatazės) aktyvumas.</w:t>
      </w:r>
    </w:p>
    <w:p w14:paraId="72505DD4" w14:textId="77777777" w:rsidR="001E5C66" w:rsidRPr="00273A3E" w:rsidRDefault="001E5C66" w:rsidP="009F71ED">
      <w:pPr>
        <w:tabs>
          <w:tab w:val="left" w:pos="567"/>
        </w:tabs>
        <w:spacing w:after="0" w:line="240" w:lineRule="auto"/>
        <w:rPr>
          <w:rFonts w:ascii="Times New Roman" w:hAnsi="Times New Roman"/>
          <w:lang w:val="lt-LT"/>
        </w:rPr>
      </w:pPr>
    </w:p>
    <w:p w14:paraId="102C7CD6"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1</w:t>
      </w:r>
      <w:r w:rsidR="00FF0074" w:rsidRPr="00273A3E">
        <w:rPr>
          <w:rFonts w:ascii="Times New Roman" w:hAnsi="Times New Roman"/>
          <w:lang w:val="lt-LT"/>
        </w:rPr>
        <w:t> lent</w:t>
      </w:r>
      <w:r w:rsidRPr="00273A3E">
        <w:rPr>
          <w:rFonts w:ascii="Times New Roman" w:hAnsi="Times New Roman"/>
          <w:lang w:val="lt-LT"/>
        </w:rPr>
        <w:t>elėje pateiktos nepageidaujamos reakcijos į vaistinį preparatą (NRV)</w:t>
      </w:r>
      <w:r w:rsidR="009814BE" w:rsidRPr="00273A3E">
        <w:rPr>
          <w:rFonts w:ascii="Times New Roman" w:hAnsi="Times New Roman"/>
          <w:lang w:val="lt-LT"/>
        </w:rPr>
        <w:t>,</w:t>
      </w:r>
      <w:r w:rsidRPr="00273A3E">
        <w:rPr>
          <w:rFonts w:ascii="Times New Roman" w:hAnsi="Times New Roman"/>
          <w:lang w:val="lt-LT"/>
        </w:rPr>
        <w:t xml:space="preserve"> priskirtos atitinkamoms dažnio kategorijoms remiantis 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jungtinio saugumo analizės duomenimis, kurie gauti</w:t>
      </w:r>
      <w:r w:rsidR="009814BE" w:rsidRPr="00273A3E">
        <w:rPr>
          <w:rFonts w:ascii="Times New Roman" w:hAnsi="Times New Roman"/>
          <w:lang w:val="lt-LT"/>
        </w:rPr>
        <w:t>,</w:t>
      </w:r>
      <w:r w:rsidRPr="00273A3E">
        <w:rPr>
          <w:rFonts w:ascii="Times New Roman" w:hAnsi="Times New Roman"/>
          <w:lang w:val="lt-LT"/>
        </w:rPr>
        <w:t xml:space="preserve"> lyginant 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250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poveikį</w:t>
      </w:r>
      <w:r w:rsidR="009814BE" w:rsidRPr="00273A3E">
        <w:rPr>
          <w:rFonts w:ascii="Times New Roman" w:hAnsi="Times New Roman"/>
          <w:lang w:val="lt-LT"/>
        </w:rPr>
        <w:t>,</w:t>
      </w:r>
      <w:r w:rsidRPr="00273A3E">
        <w:rPr>
          <w:rFonts w:ascii="Times New Roman" w:hAnsi="Times New Roman"/>
          <w:lang w:val="lt-LT"/>
        </w:rPr>
        <w:t xml:space="preserve"> tyrimų CONFIRM (D6997C00002), FINDER 1 (D6997C00004), FINDER 2 (D6997C00006) ir NEWEST (D6997C00003)</w:t>
      </w:r>
      <w:r w:rsidR="00FF0074" w:rsidRPr="00273A3E">
        <w:rPr>
          <w:rFonts w:ascii="Times New Roman" w:hAnsi="Times New Roman"/>
          <w:lang w:val="lt-LT"/>
        </w:rPr>
        <w:t> met</w:t>
      </w:r>
      <w:r w:rsidRPr="00273A3E">
        <w:rPr>
          <w:rFonts w:ascii="Times New Roman" w:hAnsi="Times New Roman"/>
          <w:lang w:val="lt-LT"/>
        </w:rPr>
        <w:t>u, arba vien FALCON (D699BC00001) tyrimo duomenimis (jo</w:t>
      </w:r>
      <w:r w:rsidR="00B86752"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lygintas 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1</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poveikis).</w:t>
      </w:r>
      <w:r w:rsidR="00531BA3" w:rsidRPr="00273A3E">
        <w:rPr>
          <w:rFonts w:ascii="Times New Roman" w:hAnsi="Times New Roman"/>
          <w:lang w:val="lt-LT"/>
        </w:rPr>
        <w:t xml:space="preserve"> </w:t>
      </w:r>
      <w:r w:rsidRPr="00273A3E">
        <w:rPr>
          <w:rFonts w:ascii="Times New Roman" w:hAnsi="Times New Roman"/>
          <w:lang w:val="lt-LT"/>
        </w:rPr>
        <w:t>Kai dažnis jungtinio saugumo analizės ir FALCON duomenimis yra skirtingas, tai nurodytas didžiausias. 1</w:t>
      </w:r>
      <w:r w:rsidR="00FF0074" w:rsidRPr="00273A3E">
        <w:rPr>
          <w:rFonts w:ascii="Times New Roman" w:hAnsi="Times New Roman"/>
          <w:lang w:val="lt-LT"/>
        </w:rPr>
        <w:t> lent</w:t>
      </w:r>
      <w:r w:rsidRPr="00273A3E">
        <w:rPr>
          <w:rFonts w:ascii="Times New Roman" w:hAnsi="Times New Roman"/>
          <w:lang w:val="lt-LT"/>
        </w:rPr>
        <w:t>elėje nurodyti dažniai apskaičiuoti remiantis visais gautais pranešimais apie nepageidaujamas reakcijas į vaistinį preparatą, neatsižvelgiant į tyrėjo pateiktą priežastinio ryšio vertinimą. 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dozės vartojimo trukmės mediana bendrais duomenimis (įskaitant aukščiau minėtus tyrimus ir FALCON) buvo 6,5</w:t>
      </w:r>
      <w:r w:rsidR="00FF0074" w:rsidRPr="00273A3E">
        <w:rPr>
          <w:rFonts w:ascii="Times New Roman" w:hAnsi="Times New Roman"/>
          <w:lang w:val="lt-LT"/>
        </w:rPr>
        <w:t> </w:t>
      </w:r>
      <w:r w:rsidRPr="00273A3E">
        <w:rPr>
          <w:rFonts w:ascii="Times New Roman" w:hAnsi="Times New Roman"/>
          <w:lang w:val="lt-LT"/>
        </w:rPr>
        <w:t>mėnesio.</w:t>
      </w:r>
    </w:p>
    <w:p w14:paraId="15BDEA19" w14:textId="77777777" w:rsidR="001E5C66" w:rsidRPr="00273A3E" w:rsidRDefault="001E5C66" w:rsidP="009F71ED">
      <w:pPr>
        <w:tabs>
          <w:tab w:val="left" w:pos="567"/>
        </w:tabs>
        <w:spacing w:after="0" w:line="240" w:lineRule="auto"/>
        <w:rPr>
          <w:rFonts w:ascii="Times New Roman" w:hAnsi="Times New Roman"/>
          <w:lang w:val="lt-LT"/>
        </w:rPr>
      </w:pPr>
    </w:p>
    <w:p w14:paraId="31CA7815" w14:textId="77777777" w:rsidR="001E5C66" w:rsidRPr="00273A3E" w:rsidRDefault="001E5C66"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Nepageidaujamų reakcijų santrauka</w:t>
      </w:r>
      <w:r w:rsidR="000968A9" w:rsidRPr="00273A3E">
        <w:rPr>
          <w:rFonts w:ascii="Times New Roman" w:hAnsi="Times New Roman"/>
          <w:u w:val="single"/>
          <w:lang w:val="lt-LT"/>
        </w:rPr>
        <w:t xml:space="preserve"> </w:t>
      </w:r>
      <w:r w:rsidR="00FF0074" w:rsidRPr="00273A3E">
        <w:rPr>
          <w:rFonts w:ascii="Times New Roman" w:hAnsi="Times New Roman"/>
          <w:u w:val="single"/>
          <w:lang w:val="lt-LT"/>
        </w:rPr>
        <w:t>lent</w:t>
      </w:r>
      <w:r w:rsidRPr="00273A3E">
        <w:rPr>
          <w:rFonts w:ascii="Times New Roman" w:hAnsi="Times New Roman"/>
          <w:u w:val="single"/>
          <w:lang w:val="lt-LT"/>
        </w:rPr>
        <w:t>elėje</w:t>
      </w:r>
    </w:p>
    <w:p w14:paraId="3F6D7D8B" w14:textId="77777777" w:rsidR="001E5C66" w:rsidRPr="00273A3E" w:rsidRDefault="008D523A"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Toliau </w:t>
      </w:r>
      <w:r w:rsidR="001E5C66" w:rsidRPr="00273A3E">
        <w:rPr>
          <w:rFonts w:ascii="Times New Roman" w:hAnsi="Times New Roman"/>
          <w:lang w:val="lt-LT"/>
        </w:rPr>
        <w:t>išvardytos nepageidaujamos reakcijos suklasifikuotos pagal dažnį ir organų sistemų klases</w:t>
      </w:r>
      <w:r w:rsidR="00BE4C06" w:rsidRPr="00273A3E">
        <w:rPr>
          <w:rFonts w:ascii="Times New Roman" w:hAnsi="Times New Roman"/>
          <w:lang w:val="lt-LT"/>
        </w:rPr>
        <w:t xml:space="preserve"> (OSK)</w:t>
      </w:r>
      <w:r w:rsidR="001E5C66" w:rsidRPr="00273A3E">
        <w:rPr>
          <w:rFonts w:ascii="Times New Roman" w:hAnsi="Times New Roman"/>
          <w:lang w:val="lt-LT"/>
        </w:rPr>
        <w:t>.</w:t>
      </w:r>
      <w:r w:rsidR="00E7704C" w:rsidRPr="00273A3E">
        <w:rPr>
          <w:rFonts w:ascii="Times New Roman" w:hAnsi="Times New Roman"/>
          <w:lang w:val="lt-LT"/>
        </w:rPr>
        <w:t xml:space="preserve"> </w:t>
      </w:r>
      <w:r w:rsidR="00C35D6F" w:rsidRPr="00273A3E">
        <w:rPr>
          <w:rFonts w:ascii="Times New Roman" w:hAnsi="Times New Roman"/>
          <w:lang w:val="lt-LT"/>
        </w:rPr>
        <w:t>Nepageidaujamo poveikio dažnis apibūdinamas taip</w:t>
      </w:r>
      <w:r w:rsidR="001E5C66" w:rsidRPr="00273A3E">
        <w:rPr>
          <w:rFonts w:ascii="Times New Roman" w:hAnsi="Times New Roman"/>
          <w:lang w:val="lt-LT"/>
        </w:rPr>
        <w:t>: labai dažnas (≥ 1/10), dažnas (nuo ≥ 1/100 iki &lt; 1/10), nedažnas (nuo ≥ 1/1</w:t>
      </w:r>
      <w:r w:rsidR="008A71B8" w:rsidRPr="00273A3E">
        <w:rPr>
          <w:rFonts w:ascii="Times New Roman" w:hAnsi="Times New Roman"/>
          <w:lang w:val="lt-LT"/>
        </w:rPr>
        <w:t> </w:t>
      </w:r>
      <w:r w:rsidR="001E5C66" w:rsidRPr="00273A3E">
        <w:rPr>
          <w:rFonts w:ascii="Times New Roman" w:hAnsi="Times New Roman"/>
          <w:lang w:val="lt-LT"/>
        </w:rPr>
        <w:t>000 iki &lt; 1/100). Kiekvienoje dažnio grupėje nepageidaujamos reakcijos pateikiamos mažėjančio sunkumo tvarka.</w:t>
      </w:r>
    </w:p>
    <w:p w14:paraId="66761503" w14:textId="77777777" w:rsidR="000E06B8" w:rsidRPr="00273A3E" w:rsidRDefault="000E06B8" w:rsidP="009F71ED">
      <w:pPr>
        <w:tabs>
          <w:tab w:val="left" w:pos="567"/>
        </w:tabs>
        <w:spacing w:after="0" w:line="240" w:lineRule="auto"/>
        <w:rPr>
          <w:rFonts w:ascii="Times New Roman" w:hAnsi="Times New Roman"/>
          <w:b/>
          <w:lang w:val="lt-LT"/>
        </w:rPr>
      </w:pPr>
    </w:p>
    <w:p w14:paraId="5B10F3EC" w14:textId="77777777" w:rsidR="001E5C66" w:rsidRPr="00273A3E" w:rsidRDefault="001E5C66" w:rsidP="0003368A">
      <w:pPr>
        <w:keepNext/>
        <w:keepLines/>
        <w:tabs>
          <w:tab w:val="left" w:pos="567"/>
          <w:tab w:val="left" w:pos="993"/>
        </w:tabs>
        <w:spacing w:after="0" w:line="240" w:lineRule="auto"/>
        <w:rPr>
          <w:rFonts w:ascii="Times New Roman" w:eastAsia="Batang" w:hAnsi="Times New Roman"/>
          <w:b/>
          <w:lang w:val="lt-LT"/>
        </w:rPr>
      </w:pPr>
      <w:r w:rsidRPr="00273A3E">
        <w:rPr>
          <w:rFonts w:ascii="Times New Roman" w:hAnsi="Times New Roman"/>
          <w:b/>
          <w:lang w:val="lt-LT"/>
        </w:rPr>
        <w:lastRenderedPageBreak/>
        <w:t>1</w:t>
      </w:r>
      <w:r w:rsidR="00FF0074" w:rsidRPr="00273A3E">
        <w:rPr>
          <w:rFonts w:ascii="Times New Roman" w:hAnsi="Times New Roman"/>
          <w:b/>
          <w:lang w:val="lt-LT"/>
        </w:rPr>
        <w:t> lent</w:t>
      </w:r>
      <w:r w:rsidRPr="00273A3E">
        <w:rPr>
          <w:rFonts w:ascii="Times New Roman" w:hAnsi="Times New Roman"/>
          <w:b/>
          <w:lang w:val="lt-LT"/>
        </w:rPr>
        <w:t xml:space="preserve">elė. </w:t>
      </w:r>
      <w:r w:rsidR="00057743" w:rsidRPr="00273A3E">
        <w:rPr>
          <w:rFonts w:ascii="Times New Roman" w:hAnsi="Times New Roman"/>
          <w:b/>
          <w:lang w:val="lt-LT"/>
        </w:rPr>
        <w:tab/>
      </w:r>
      <w:r w:rsidRPr="00273A3E">
        <w:rPr>
          <w:rFonts w:ascii="Times New Roman" w:hAnsi="Times New Roman"/>
          <w:b/>
          <w:lang w:val="lt-LT"/>
        </w:rPr>
        <w:t xml:space="preserve">Nepageidaujamos reakcijos į vaistinį preparatą, nustatytos pacientėms </w:t>
      </w:r>
      <w:r w:rsidRPr="00273A3E">
        <w:rPr>
          <w:rFonts w:ascii="Times New Roman" w:eastAsia="Batang" w:hAnsi="Times New Roman"/>
          <w:b/>
          <w:lang w:val="lt-LT"/>
        </w:rPr>
        <w:t xml:space="preserve">taikant </w:t>
      </w:r>
      <w:proofErr w:type="spellStart"/>
      <w:r w:rsidRPr="00273A3E">
        <w:rPr>
          <w:rFonts w:ascii="Times New Roman" w:eastAsia="Batang" w:hAnsi="Times New Roman"/>
          <w:b/>
          <w:lang w:val="lt-LT"/>
        </w:rPr>
        <w:t>monoterapiją</w:t>
      </w:r>
      <w:proofErr w:type="spellEnd"/>
      <w:r w:rsidRPr="00273A3E">
        <w:rPr>
          <w:rFonts w:ascii="Times New Roman" w:eastAsia="Batang" w:hAnsi="Times New Roman"/>
          <w:b/>
          <w:lang w:val="lt-LT"/>
        </w:rPr>
        <w:t xml:space="preserve"> </w:t>
      </w:r>
      <w:proofErr w:type="spellStart"/>
      <w:r w:rsidR="00C160F4" w:rsidRPr="00273A3E">
        <w:rPr>
          <w:rFonts w:ascii="Times New Roman" w:eastAsia="Batang" w:hAnsi="Times New Roman"/>
          <w:b/>
          <w:lang w:val="lt-LT"/>
        </w:rPr>
        <w:t>fulvestrantu</w:t>
      </w:r>
      <w:proofErr w:type="spellEnd"/>
    </w:p>
    <w:p w14:paraId="346A8ACA" w14:textId="77777777" w:rsidR="00057743" w:rsidRPr="00273A3E" w:rsidRDefault="00057743" w:rsidP="0003368A">
      <w:pPr>
        <w:keepNext/>
        <w:keepLines/>
        <w:tabs>
          <w:tab w:val="left" w:pos="567"/>
        </w:tabs>
        <w:spacing w:after="0" w:line="240" w:lineRule="auto"/>
        <w:rPr>
          <w:rFonts w:ascii="Times New Roman" w:eastAsia="Batang" w:hAnsi="Times New Roman"/>
          <w:b/>
          <w:lang w:val="lt-LT"/>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1642"/>
        <w:gridCol w:w="4508"/>
      </w:tblGrid>
      <w:tr w:rsidR="001E5C66" w:rsidRPr="00273A3E" w14:paraId="2266E179" w14:textId="77777777" w:rsidTr="0080356C">
        <w:trPr>
          <w:tblHeader/>
        </w:trPr>
        <w:tc>
          <w:tcPr>
            <w:tcW w:w="5000" w:type="pct"/>
            <w:gridSpan w:val="3"/>
            <w:hideMark/>
          </w:tcPr>
          <w:p w14:paraId="765B29FE" w14:textId="77777777" w:rsidR="001E5C66" w:rsidRPr="00273A3E" w:rsidRDefault="001E5C66" w:rsidP="0003368A">
            <w:pPr>
              <w:keepNext/>
              <w:keepLines/>
              <w:tabs>
                <w:tab w:val="left" w:pos="567"/>
              </w:tabs>
              <w:spacing w:after="0" w:line="240" w:lineRule="auto"/>
              <w:rPr>
                <w:rFonts w:ascii="Times New Roman" w:hAnsi="Times New Roman"/>
                <w:lang w:val="lt-LT"/>
              </w:rPr>
            </w:pPr>
            <w:r w:rsidRPr="00273A3E">
              <w:rPr>
                <w:rFonts w:ascii="Times New Roman" w:hAnsi="Times New Roman"/>
                <w:b/>
                <w:lang w:val="lt-LT"/>
              </w:rPr>
              <w:t>Nepageidaujamos reakcijos pagal organų sistemų klases ir dažnį</w:t>
            </w:r>
          </w:p>
        </w:tc>
      </w:tr>
      <w:tr w:rsidR="001E5C66" w:rsidRPr="00273A3E" w14:paraId="15A62DC8" w14:textId="77777777" w:rsidTr="0080356C">
        <w:tc>
          <w:tcPr>
            <w:tcW w:w="1726" w:type="pct"/>
            <w:hideMark/>
          </w:tcPr>
          <w:p w14:paraId="5FE49D85" w14:textId="77777777" w:rsidR="001E5C66" w:rsidRPr="00273A3E" w:rsidRDefault="001E5C66" w:rsidP="0003368A">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 xml:space="preserve">Infekcijos ir </w:t>
            </w:r>
            <w:proofErr w:type="spellStart"/>
            <w:r w:rsidRPr="00273A3E">
              <w:rPr>
                <w:rFonts w:ascii="Times New Roman" w:hAnsi="Times New Roman"/>
                <w:lang w:val="lt-LT"/>
              </w:rPr>
              <w:t>infestacijos</w:t>
            </w:r>
            <w:proofErr w:type="spellEnd"/>
          </w:p>
        </w:tc>
        <w:tc>
          <w:tcPr>
            <w:tcW w:w="874" w:type="pct"/>
            <w:hideMark/>
          </w:tcPr>
          <w:p w14:paraId="607BEADB" w14:textId="77777777" w:rsidR="001E5C66" w:rsidRPr="00273A3E" w:rsidRDefault="001E5C66" w:rsidP="0003368A">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Dažnas</w:t>
            </w:r>
          </w:p>
        </w:tc>
        <w:tc>
          <w:tcPr>
            <w:tcW w:w="2400" w:type="pct"/>
            <w:hideMark/>
          </w:tcPr>
          <w:p w14:paraId="0CEDB0D9" w14:textId="77777777" w:rsidR="001E5C66" w:rsidRPr="00273A3E" w:rsidRDefault="001E5C66" w:rsidP="0003368A">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Šlapimo takų infekcijos</w:t>
            </w:r>
          </w:p>
        </w:tc>
      </w:tr>
      <w:tr w:rsidR="001E5C66" w:rsidRPr="00273A3E" w14:paraId="24706A22" w14:textId="77777777" w:rsidTr="0080356C">
        <w:tc>
          <w:tcPr>
            <w:tcW w:w="1726" w:type="pct"/>
            <w:hideMark/>
          </w:tcPr>
          <w:p w14:paraId="233706EF" w14:textId="77777777" w:rsidR="001E5C66" w:rsidRPr="00273A3E" w:rsidRDefault="001E5C66" w:rsidP="0003368A">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Kraujo ir limfinės sistemos sutrikimai</w:t>
            </w:r>
          </w:p>
        </w:tc>
        <w:tc>
          <w:tcPr>
            <w:tcW w:w="874" w:type="pct"/>
            <w:hideMark/>
          </w:tcPr>
          <w:p w14:paraId="1111B7EC" w14:textId="77777777" w:rsidR="001E5C66" w:rsidRPr="00273A3E" w:rsidRDefault="001E5C66" w:rsidP="0003368A">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Dažnas</w:t>
            </w:r>
          </w:p>
        </w:tc>
        <w:tc>
          <w:tcPr>
            <w:tcW w:w="2400" w:type="pct"/>
            <w:hideMark/>
          </w:tcPr>
          <w:p w14:paraId="6FC99BF1" w14:textId="77777777" w:rsidR="001E5C66" w:rsidRPr="00273A3E" w:rsidRDefault="001E5C66" w:rsidP="0003368A">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 xml:space="preserve">Sumažėjęs trombocitų </w:t>
            </w:r>
            <w:r w:rsidR="008D523A" w:rsidRPr="00273A3E">
              <w:rPr>
                <w:rFonts w:ascii="Times New Roman" w:hAnsi="Times New Roman"/>
                <w:lang w:val="lt-LT"/>
              </w:rPr>
              <w:t xml:space="preserve">skaičius </w:t>
            </w:r>
            <w:r w:rsidRPr="00273A3E">
              <w:rPr>
                <w:rFonts w:ascii="Times New Roman" w:hAnsi="Times New Roman"/>
                <w:vertAlign w:val="superscript"/>
                <w:lang w:val="lt-LT"/>
              </w:rPr>
              <w:t>e</w:t>
            </w:r>
          </w:p>
        </w:tc>
      </w:tr>
      <w:tr w:rsidR="001E5C66" w:rsidRPr="00273A3E" w14:paraId="44814D59" w14:textId="77777777" w:rsidTr="0080356C">
        <w:trPr>
          <w:trHeight w:val="299"/>
        </w:trPr>
        <w:tc>
          <w:tcPr>
            <w:tcW w:w="1726" w:type="pct"/>
            <w:vMerge w:val="restart"/>
            <w:hideMark/>
          </w:tcPr>
          <w:p w14:paraId="07A45E51"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Imuninės sistemos sutrikimai</w:t>
            </w:r>
          </w:p>
        </w:tc>
        <w:tc>
          <w:tcPr>
            <w:tcW w:w="874" w:type="pct"/>
            <w:hideMark/>
          </w:tcPr>
          <w:p w14:paraId="47C2F33C"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Labai dažnas</w:t>
            </w:r>
          </w:p>
        </w:tc>
        <w:tc>
          <w:tcPr>
            <w:tcW w:w="2400" w:type="pct"/>
            <w:hideMark/>
          </w:tcPr>
          <w:p w14:paraId="1CFA2C46"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Padidėjusio jautrumo reakcijos</w:t>
            </w:r>
            <w:r w:rsidR="00287ED5" w:rsidRPr="00273A3E">
              <w:rPr>
                <w:rFonts w:ascii="Times New Roman" w:hAnsi="Times New Roman"/>
                <w:lang w:val="lt-LT"/>
              </w:rPr>
              <w:t xml:space="preserve"> </w:t>
            </w:r>
            <w:r w:rsidRPr="00273A3E">
              <w:rPr>
                <w:rFonts w:ascii="Times New Roman" w:hAnsi="Times New Roman"/>
                <w:vertAlign w:val="superscript"/>
                <w:lang w:val="lt-LT"/>
              </w:rPr>
              <w:t>e</w:t>
            </w:r>
          </w:p>
        </w:tc>
      </w:tr>
      <w:tr w:rsidR="001E5C66" w:rsidRPr="00273A3E" w14:paraId="0DE796E2" w14:textId="77777777" w:rsidTr="0080356C">
        <w:trPr>
          <w:trHeight w:val="270"/>
        </w:trPr>
        <w:tc>
          <w:tcPr>
            <w:tcW w:w="1726" w:type="pct"/>
            <w:vMerge/>
          </w:tcPr>
          <w:p w14:paraId="2F8139F5" w14:textId="77777777" w:rsidR="001E5C66" w:rsidRPr="00273A3E" w:rsidRDefault="001E5C66" w:rsidP="009F71ED">
            <w:pPr>
              <w:tabs>
                <w:tab w:val="left" w:pos="567"/>
              </w:tabs>
              <w:spacing w:after="0" w:line="240" w:lineRule="auto"/>
              <w:rPr>
                <w:rFonts w:ascii="Times New Roman" w:hAnsi="Times New Roman"/>
                <w:lang w:val="lt-LT"/>
              </w:rPr>
            </w:pPr>
          </w:p>
        </w:tc>
        <w:tc>
          <w:tcPr>
            <w:tcW w:w="874" w:type="pct"/>
          </w:tcPr>
          <w:p w14:paraId="0B9931B1"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Nedažnas</w:t>
            </w:r>
          </w:p>
        </w:tc>
        <w:tc>
          <w:tcPr>
            <w:tcW w:w="2400" w:type="pct"/>
          </w:tcPr>
          <w:p w14:paraId="0F1403EF"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Anafilaksinės reakcijos</w:t>
            </w:r>
          </w:p>
        </w:tc>
      </w:tr>
      <w:tr w:rsidR="001E5C66" w:rsidRPr="00273A3E" w14:paraId="6AF470CA" w14:textId="77777777" w:rsidTr="0080356C">
        <w:tc>
          <w:tcPr>
            <w:tcW w:w="1726" w:type="pct"/>
            <w:hideMark/>
          </w:tcPr>
          <w:p w14:paraId="08941247"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Metabolizmo ir mitybos sutrikimai</w:t>
            </w:r>
          </w:p>
        </w:tc>
        <w:tc>
          <w:tcPr>
            <w:tcW w:w="874" w:type="pct"/>
            <w:hideMark/>
          </w:tcPr>
          <w:p w14:paraId="338DEDC8"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Dažnas</w:t>
            </w:r>
          </w:p>
        </w:tc>
        <w:tc>
          <w:tcPr>
            <w:tcW w:w="2400" w:type="pct"/>
            <w:hideMark/>
          </w:tcPr>
          <w:p w14:paraId="66E7F024"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Anoreksija</w:t>
            </w:r>
            <w:r w:rsidR="00287ED5" w:rsidRPr="00273A3E">
              <w:rPr>
                <w:rFonts w:ascii="Times New Roman" w:hAnsi="Times New Roman"/>
                <w:lang w:val="lt-LT"/>
              </w:rPr>
              <w:t xml:space="preserve"> </w:t>
            </w:r>
            <w:r w:rsidRPr="00273A3E">
              <w:rPr>
                <w:rFonts w:ascii="Times New Roman" w:hAnsi="Times New Roman"/>
                <w:vertAlign w:val="superscript"/>
                <w:lang w:val="lt-LT"/>
              </w:rPr>
              <w:t>a</w:t>
            </w:r>
          </w:p>
        </w:tc>
      </w:tr>
      <w:tr w:rsidR="001E5C66" w:rsidRPr="00273A3E" w14:paraId="395EDBAB" w14:textId="77777777" w:rsidTr="0080356C">
        <w:tc>
          <w:tcPr>
            <w:tcW w:w="1726" w:type="pct"/>
            <w:hideMark/>
          </w:tcPr>
          <w:p w14:paraId="3E97DBCF"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Nervų sistemos sutrikimai</w:t>
            </w:r>
          </w:p>
        </w:tc>
        <w:tc>
          <w:tcPr>
            <w:tcW w:w="874" w:type="pct"/>
            <w:hideMark/>
          </w:tcPr>
          <w:p w14:paraId="62D879BA"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Dažnas</w:t>
            </w:r>
          </w:p>
        </w:tc>
        <w:tc>
          <w:tcPr>
            <w:tcW w:w="2400" w:type="pct"/>
            <w:hideMark/>
          </w:tcPr>
          <w:p w14:paraId="25C2B322"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Galvos skausmas</w:t>
            </w:r>
          </w:p>
        </w:tc>
      </w:tr>
      <w:tr w:rsidR="00A500CF" w:rsidRPr="00273A3E" w14:paraId="5034FF51" w14:textId="77777777" w:rsidTr="0080356C">
        <w:tc>
          <w:tcPr>
            <w:tcW w:w="1726" w:type="pct"/>
            <w:vMerge w:val="restart"/>
          </w:tcPr>
          <w:p w14:paraId="071E116E" w14:textId="77777777" w:rsidR="00A500CF" w:rsidRPr="00273A3E" w:rsidRDefault="00A500CF"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Kraujagyslių sutrikimai</w:t>
            </w:r>
          </w:p>
        </w:tc>
        <w:tc>
          <w:tcPr>
            <w:tcW w:w="874" w:type="pct"/>
          </w:tcPr>
          <w:p w14:paraId="278F686D" w14:textId="77777777" w:rsidR="00A500CF" w:rsidRPr="00273A3E" w:rsidRDefault="00A500CF" w:rsidP="009F71ED">
            <w:pPr>
              <w:tabs>
                <w:tab w:val="left" w:pos="567"/>
              </w:tabs>
              <w:spacing w:after="0" w:line="240" w:lineRule="auto"/>
              <w:rPr>
                <w:rFonts w:ascii="Times New Roman" w:hAnsi="Times New Roman"/>
                <w:color w:val="000000"/>
                <w:lang w:val="lt-LT"/>
              </w:rPr>
            </w:pPr>
            <w:r w:rsidRPr="00273A3E">
              <w:rPr>
                <w:rFonts w:ascii="Times New Roman" w:hAnsi="Times New Roman"/>
                <w:color w:val="000000"/>
                <w:lang w:val="lt-LT"/>
              </w:rPr>
              <w:t>Labai dažnas</w:t>
            </w:r>
          </w:p>
        </w:tc>
        <w:tc>
          <w:tcPr>
            <w:tcW w:w="2400" w:type="pct"/>
          </w:tcPr>
          <w:p w14:paraId="43A5F1AB" w14:textId="77777777" w:rsidR="00A500CF" w:rsidRPr="00273A3E" w:rsidRDefault="00A500CF"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 xml:space="preserve">Karščio pylimas </w:t>
            </w:r>
            <w:r w:rsidRPr="00273A3E">
              <w:rPr>
                <w:rFonts w:ascii="Times New Roman" w:hAnsi="Times New Roman"/>
                <w:color w:val="000000"/>
                <w:vertAlign w:val="superscript"/>
                <w:lang w:val="lt-LT"/>
              </w:rPr>
              <w:t>e</w:t>
            </w:r>
          </w:p>
        </w:tc>
      </w:tr>
      <w:tr w:rsidR="00A500CF" w:rsidRPr="00273A3E" w14:paraId="371627E6" w14:textId="77777777" w:rsidTr="0080356C">
        <w:tc>
          <w:tcPr>
            <w:tcW w:w="1726" w:type="pct"/>
            <w:vMerge/>
            <w:hideMark/>
          </w:tcPr>
          <w:p w14:paraId="1C33AA3C" w14:textId="77777777" w:rsidR="00A500CF" w:rsidRPr="00273A3E" w:rsidRDefault="00A500CF" w:rsidP="009F71ED">
            <w:pPr>
              <w:tabs>
                <w:tab w:val="left" w:pos="567"/>
              </w:tabs>
              <w:spacing w:after="0" w:line="240" w:lineRule="auto"/>
              <w:rPr>
                <w:rFonts w:ascii="Times New Roman" w:hAnsi="Times New Roman"/>
                <w:color w:val="000000"/>
                <w:lang w:val="lt-LT"/>
              </w:rPr>
            </w:pPr>
          </w:p>
        </w:tc>
        <w:tc>
          <w:tcPr>
            <w:tcW w:w="874" w:type="pct"/>
            <w:hideMark/>
          </w:tcPr>
          <w:p w14:paraId="0516712E" w14:textId="77777777" w:rsidR="00A500CF" w:rsidRPr="00273A3E" w:rsidRDefault="00A500CF" w:rsidP="009F71ED">
            <w:pPr>
              <w:tabs>
                <w:tab w:val="left" w:pos="567"/>
              </w:tabs>
              <w:spacing w:after="0" w:line="240" w:lineRule="auto"/>
              <w:rPr>
                <w:rFonts w:ascii="Times New Roman" w:hAnsi="Times New Roman"/>
                <w:color w:val="000000"/>
                <w:lang w:val="lt-LT"/>
              </w:rPr>
            </w:pPr>
            <w:r w:rsidRPr="00273A3E">
              <w:rPr>
                <w:rFonts w:ascii="Times New Roman" w:hAnsi="Times New Roman"/>
                <w:color w:val="000000"/>
                <w:lang w:val="lt-LT"/>
              </w:rPr>
              <w:t>Dažnas</w:t>
            </w:r>
          </w:p>
        </w:tc>
        <w:tc>
          <w:tcPr>
            <w:tcW w:w="2400" w:type="pct"/>
            <w:hideMark/>
          </w:tcPr>
          <w:p w14:paraId="490099B9" w14:textId="77777777" w:rsidR="00A500CF" w:rsidRPr="00273A3E" w:rsidRDefault="00A500CF"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 xml:space="preserve">Venų tromboembolija </w:t>
            </w:r>
            <w:r w:rsidRPr="00273A3E">
              <w:rPr>
                <w:rFonts w:ascii="Times New Roman" w:hAnsi="Times New Roman"/>
                <w:vertAlign w:val="superscript"/>
                <w:lang w:val="lt-LT"/>
              </w:rPr>
              <w:t>a</w:t>
            </w:r>
          </w:p>
        </w:tc>
      </w:tr>
      <w:tr w:rsidR="001E5C66" w:rsidRPr="00273A3E" w14:paraId="1DC625C2" w14:textId="77777777" w:rsidTr="0080356C">
        <w:tc>
          <w:tcPr>
            <w:tcW w:w="1726" w:type="pct"/>
            <w:vMerge w:val="restart"/>
            <w:hideMark/>
          </w:tcPr>
          <w:p w14:paraId="6805664A"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Virškinimo trakto sutrikimai</w:t>
            </w:r>
          </w:p>
        </w:tc>
        <w:tc>
          <w:tcPr>
            <w:tcW w:w="874" w:type="pct"/>
            <w:hideMark/>
          </w:tcPr>
          <w:p w14:paraId="32320684"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Labai dažnas</w:t>
            </w:r>
          </w:p>
        </w:tc>
        <w:tc>
          <w:tcPr>
            <w:tcW w:w="2400" w:type="pct"/>
            <w:hideMark/>
          </w:tcPr>
          <w:p w14:paraId="4430C36E"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Pykinimas</w:t>
            </w:r>
          </w:p>
        </w:tc>
      </w:tr>
      <w:tr w:rsidR="001E5C66" w:rsidRPr="00273A3E" w14:paraId="74364886" w14:textId="77777777" w:rsidTr="0080356C">
        <w:tc>
          <w:tcPr>
            <w:tcW w:w="0" w:type="auto"/>
            <w:vMerge/>
            <w:hideMark/>
          </w:tcPr>
          <w:p w14:paraId="55A3524D" w14:textId="77777777" w:rsidR="001E5C66" w:rsidRPr="00273A3E" w:rsidRDefault="001E5C66" w:rsidP="009F71ED">
            <w:pPr>
              <w:tabs>
                <w:tab w:val="left" w:pos="567"/>
              </w:tabs>
              <w:spacing w:after="0" w:line="240" w:lineRule="auto"/>
              <w:rPr>
                <w:rFonts w:ascii="Times New Roman" w:hAnsi="Times New Roman"/>
                <w:lang w:val="lt-LT"/>
              </w:rPr>
            </w:pPr>
          </w:p>
        </w:tc>
        <w:tc>
          <w:tcPr>
            <w:tcW w:w="874" w:type="pct"/>
            <w:hideMark/>
          </w:tcPr>
          <w:p w14:paraId="7599311B"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Dažnas</w:t>
            </w:r>
          </w:p>
        </w:tc>
        <w:tc>
          <w:tcPr>
            <w:tcW w:w="2400" w:type="pct"/>
            <w:hideMark/>
          </w:tcPr>
          <w:p w14:paraId="10FDD08C"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Vėmimas, viduriavimas</w:t>
            </w:r>
          </w:p>
        </w:tc>
      </w:tr>
      <w:tr w:rsidR="001E5C66" w:rsidRPr="00490319" w14:paraId="3B710AE0" w14:textId="77777777" w:rsidTr="0080356C">
        <w:tc>
          <w:tcPr>
            <w:tcW w:w="1726" w:type="pct"/>
            <w:vMerge w:val="restart"/>
            <w:hideMark/>
          </w:tcPr>
          <w:p w14:paraId="61892953"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Kepenų, tulžies pūslės ir latakų sutrikimai</w:t>
            </w:r>
          </w:p>
        </w:tc>
        <w:tc>
          <w:tcPr>
            <w:tcW w:w="874" w:type="pct"/>
            <w:hideMark/>
          </w:tcPr>
          <w:p w14:paraId="66033DAD"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Labai dažnas</w:t>
            </w:r>
          </w:p>
        </w:tc>
        <w:tc>
          <w:tcPr>
            <w:tcW w:w="2400" w:type="pct"/>
            <w:hideMark/>
          </w:tcPr>
          <w:p w14:paraId="2561FE99"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Padidėjęs kepenų fermentų (ALT, AST, šarminės fosfatazės) aktyvumas</w:t>
            </w:r>
            <w:r w:rsidR="00287ED5" w:rsidRPr="00273A3E">
              <w:rPr>
                <w:rFonts w:ascii="Times New Roman" w:hAnsi="Times New Roman"/>
                <w:lang w:val="lt-LT"/>
              </w:rPr>
              <w:t xml:space="preserve"> </w:t>
            </w:r>
            <w:r w:rsidRPr="00273A3E">
              <w:rPr>
                <w:rFonts w:ascii="Times New Roman" w:hAnsi="Times New Roman"/>
                <w:vertAlign w:val="superscript"/>
                <w:lang w:val="lt-LT"/>
              </w:rPr>
              <w:t>a</w:t>
            </w:r>
          </w:p>
        </w:tc>
      </w:tr>
      <w:tr w:rsidR="001E5C66" w:rsidRPr="00273A3E" w14:paraId="462CFD45" w14:textId="77777777" w:rsidTr="0080356C">
        <w:tc>
          <w:tcPr>
            <w:tcW w:w="0" w:type="auto"/>
            <w:vMerge/>
            <w:hideMark/>
          </w:tcPr>
          <w:p w14:paraId="7ABAFE4D" w14:textId="77777777" w:rsidR="001E5C66" w:rsidRPr="00273A3E" w:rsidRDefault="001E5C66" w:rsidP="009F71ED">
            <w:pPr>
              <w:tabs>
                <w:tab w:val="left" w:pos="567"/>
              </w:tabs>
              <w:spacing w:after="0" w:line="240" w:lineRule="auto"/>
              <w:rPr>
                <w:rFonts w:ascii="Times New Roman" w:hAnsi="Times New Roman"/>
                <w:lang w:val="lt-LT"/>
              </w:rPr>
            </w:pPr>
          </w:p>
        </w:tc>
        <w:tc>
          <w:tcPr>
            <w:tcW w:w="874" w:type="pct"/>
            <w:hideMark/>
          </w:tcPr>
          <w:p w14:paraId="72BAC263"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Dažnas</w:t>
            </w:r>
          </w:p>
        </w:tc>
        <w:tc>
          <w:tcPr>
            <w:tcW w:w="2400" w:type="pct"/>
            <w:hideMark/>
          </w:tcPr>
          <w:p w14:paraId="01C037E5"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Padidėj</w:t>
            </w:r>
            <w:r w:rsidR="008D523A" w:rsidRPr="00273A3E">
              <w:rPr>
                <w:rFonts w:ascii="Times New Roman" w:hAnsi="Times New Roman"/>
                <w:lang w:val="lt-LT"/>
              </w:rPr>
              <w:t>usi</w:t>
            </w:r>
            <w:r w:rsidRPr="00273A3E">
              <w:rPr>
                <w:rFonts w:ascii="Times New Roman" w:hAnsi="Times New Roman"/>
                <w:lang w:val="lt-LT"/>
              </w:rPr>
              <w:t xml:space="preserve"> </w:t>
            </w:r>
            <w:proofErr w:type="spellStart"/>
            <w:r w:rsidRPr="00273A3E">
              <w:rPr>
                <w:rFonts w:ascii="Times New Roman" w:hAnsi="Times New Roman"/>
                <w:lang w:val="lt-LT"/>
              </w:rPr>
              <w:t>bilirubino</w:t>
            </w:r>
            <w:proofErr w:type="spellEnd"/>
            <w:r w:rsidRPr="00273A3E">
              <w:rPr>
                <w:rFonts w:ascii="Times New Roman" w:hAnsi="Times New Roman"/>
                <w:lang w:val="lt-LT"/>
              </w:rPr>
              <w:t xml:space="preserve"> </w:t>
            </w:r>
            <w:r w:rsidR="008D523A" w:rsidRPr="00273A3E">
              <w:rPr>
                <w:rFonts w:ascii="Times New Roman" w:hAnsi="Times New Roman"/>
                <w:lang w:val="lt-LT"/>
              </w:rPr>
              <w:t xml:space="preserve">koncentracija </w:t>
            </w:r>
            <w:r w:rsidRPr="00273A3E">
              <w:rPr>
                <w:rFonts w:ascii="Times New Roman" w:hAnsi="Times New Roman"/>
                <w:vertAlign w:val="superscript"/>
                <w:lang w:val="lt-LT"/>
              </w:rPr>
              <w:t>a</w:t>
            </w:r>
          </w:p>
        </w:tc>
      </w:tr>
      <w:tr w:rsidR="001E5C66" w:rsidRPr="00490319" w14:paraId="4324E701" w14:textId="77777777" w:rsidTr="0080356C">
        <w:tc>
          <w:tcPr>
            <w:tcW w:w="0" w:type="auto"/>
            <w:vMerge/>
            <w:hideMark/>
          </w:tcPr>
          <w:p w14:paraId="46FD18EF" w14:textId="77777777" w:rsidR="001E5C66" w:rsidRPr="00273A3E" w:rsidRDefault="001E5C66" w:rsidP="009F71ED">
            <w:pPr>
              <w:tabs>
                <w:tab w:val="left" w:pos="567"/>
              </w:tabs>
              <w:spacing w:after="0" w:line="240" w:lineRule="auto"/>
              <w:rPr>
                <w:rFonts w:ascii="Times New Roman" w:hAnsi="Times New Roman"/>
                <w:lang w:val="lt-LT"/>
              </w:rPr>
            </w:pPr>
          </w:p>
        </w:tc>
        <w:tc>
          <w:tcPr>
            <w:tcW w:w="874" w:type="pct"/>
            <w:hideMark/>
          </w:tcPr>
          <w:p w14:paraId="76B263A2"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Nedažnas</w:t>
            </w:r>
          </w:p>
        </w:tc>
        <w:tc>
          <w:tcPr>
            <w:tcW w:w="2400" w:type="pct"/>
            <w:hideMark/>
          </w:tcPr>
          <w:p w14:paraId="34A543C0"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Kepenų nepakankamumas</w:t>
            </w:r>
            <w:r w:rsidR="00287ED5" w:rsidRPr="00273A3E">
              <w:rPr>
                <w:rFonts w:ascii="Times New Roman" w:hAnsi="Times New Roman"/>
                <w:lang w:val="lt-LT"/>
              </w:rPr>
              <w:t xml:space="preserve"> </w:t>
            </w:r>
            <w:r w:rsidRPr="00273A3E">
              <w:rPr>
                <w:rFonts w:ascii="Times New Roman" w:hAnsi="Times New Roman"/>
                <w:vertAlign w:val="superscript"/>
                <w:lang w:val="lt-LT"/>
              </w:rPr>
              <w:t>c,</w:t>
            </w:r>
            <w:r w:rsidR="00287ED5" w:rsidRPr="00273A3E">
              <w:rPr>
                <w:rFonts w:ascii="Times New Roman" w:hAnsi="Times New Roman"/>
                <w:vertAlign w:val="superscript"/>
                <w:lang w:val="lt-LT"/>
              </w:rPr>
              <w:t xml:space="preserve"> </w:t>
            </w:r>
            <w:r w:rsidRPr="00273A3E">
              <w:rPr>
                <w:rFonts w:ascii="Times New Roman" w:hAnsi="Times New Roman"/>
                <w:vertAlign w:val="superscript"/>
                <w:lang w:val="lt-LT"/>
              </w:rPr>
              <w:t>f</w:t>
            </w:r>
            <w:r w:rsidRPr="00273A3E">
              <w:rPr>
                <w:rFonts w:ascii="Times New Roman" w:hAnsi="Times New Roman"/>
                <w:lang w:val="lt-LT"/>
              </w:rPr>
              <w:t>, kepenų uždegimas</w:t>
            </w:r>
            <w:r w:rsidR="00287ED5" w:rsidRPr="00273A3E">
              <w:rPr>
                <w:rFonts w:ascii="Times New Roman" w:hAnsi="Times New Roman"/>
                <w:lang w:val="lt-LT"/>
              </w:rPr>
              <w:t xml:space="preserve"> </w:t>
            </w:r>
            <w:r w:rsidRPr="00273A3E">
              <w:rPr>
                <w:rFonts w:ascii="Times New Roman" w:hAnsi="Times New Roman"/>
                <w:vertAlign w:val="superscript"/>
                <w:lang w:val="lt-LT"/>
              </w:rPr>
              <w:t>f</w:t>
            </w:r>
            <w:r w:rsidRPr="00273A3E">
              <w:rPr>
                <w:rFonts w:ascii="Times New Roman" w:hAnsi="Times New Roman"/>
                <w:lang w:val="lt-LT"/>
              </w:rPr>
              <w:t>, padidėjęs gama-GT aktyvumas</w:t>
            </w:r>
            <w:r w:rsidR="00287ED5" w:rsidRPr="00273A3E">
              <w:rPr>
                <w:rFonts w:ascii="Times New Roman" w:hAnsi="Times New Roman"/>
                <w:lang w:val="lt-LT"/>
              </w:rPr>
              <w:t xml:space="preserve"> </w:t>
            </w:r>
            <w:r w:rsidRPr="00273A3E">
              <w:rPr>
                <w:rFonts w:ascii="Times New Roman" w:hAnsi="Times New Roman"/>
                <w:vertAlign w:val="superscript"/>
                <w:lang w:val="lt-LT"/>
              </w:rPr>
              <w:t>f</w:t>
            </w:r>
          </w:p>
        </w:tc>
      </w:tr>
      <w:tr w:rsidR="001E5C66" w:rsidRPr="00273A3E" w14:paraId="346C4419" w14:textId="77777777" w:rsidTr="0080356C">
        <w:tc>
          <w:tcPr>
            <w:tcW w:w="1726" w:type="pct"/>
            <w:hideMark/>
          </w:tcPr>
          <w:p w14:paraId="79BEEB6D"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Odos ir poodinio audinio sutrikimai</w:t>
            </w:r>
          </w:p>
        </w:tc>
        <w:tc>
          <w:tcPr>
            <w:tcW w:w="874" w:type="pct"/>
            <w:hideMark/>
          </w:tcPr>
          <w:p w14:paraId="2C5A9B2D"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Labai dažnas</w:t>
            </w:r>
          </w:p>
        </w:tc>
        <w:tc>
          <w:tcPr>
            <w:tcW w:w="2400" w:type="pct"/>
            <w:hideMark/>
          </w:tcPr>
          <w:p w14:paraId="2AFFDA73" w14:textId="77777777" w:rsidR="001E5C66" w:rsidRPr="00273A3E" w:rsidRDefault="00A76C46" w:rsidP="009F71ED">
            <w:pPr>
              <w:tabs>
                <w:tab w:val="left" w:pos="567"/>
              </w:tabs>
              <w:spacing w:after="0" w:line="240" w:lineRule="auto"/>
              <w:rPr>
                <w:rFonts w:ascii="Times New Roman" w:hAnsi="Times New Roman"/>
                <w:lang w:val="lt-LT"/>
              </w:rPr>
            </w:pPr>
            <w:r w:rsidRPr="00273A3E">
              <w:rPr>
                <w:rFonts w:ascii="Times New Roman" w:hAnsi="Times New Roman"/>
                <w:lang w:val="lt-LT"/>
              </w:rPr>
              <w:t>Išb</w:t>
            </w:r>
            <w:r w:rsidR="0034331B" w:rsidRPr="00273A3E">
              <w:rPr>
                <w:rFonts w:ascii="Times New Roman" w:hAnsi="Times New Roman"/>
                <w:lang w:val="lt-LT"/>
              </w:rPr>
              <w:t>ėrimas</w:t>
            </w:r>
            <w:r w:rsidR="00287ED5" w:rsidRPr="00273A3E">
              <w:rPr>
                <w:rFonts w:ascii="Times New Roman" w:hAnsi="Times New Roman"/>
                <w:lang w:val="lt-LT"/>
              </w:rPr>
              <w:t xml:space="preserve"> </w:t>
            </w:r>
            <w:r w:rsidR="001E5C66" w:rsidRPr="00273A3E">
              <w:rPr>
                <w:rFonts w:ascii="Times New Roman" w:hAnsi="Times New Roman"/>
                <w:vertAlign w:val="superscript"/>
                <w:lang w:val="lt-LT"/>
              </w:rPr>
              <w:t>e</w:t>
            </w:r>
          </w:p>
        </w:tc>
      </w:tr>
      <w:tr w:rsidR="001E5C66" w:rsidRPr="00490319" w14:paraId="58C3CE59" w14:textId="77777777" w:rsidTr="0080356C">
        <w:tc>
          <w:tcPr>
            <w:tcW w:w="1726" w:type="pct"/>
            <w:vMerge w:val="restart"/>
          </w:tcPr>
          <w:p w14:paraId="387D3026" w14:textId="77777777" w:rsidR="001E5C66" w:rsidRPr="00273A3E" w:rsidRDefault="001E5C66"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Skeleto, raumenų ir jungiamojo audinio sutrikimai</w:t>
            </w:r>
          </w:p>
        </w:tc>
        <w:tc>
          <w:tcPr>
            <w:tcW w:w="874" w:type="pct"/>
          </w:tcPr>
          <w:p w14:paraId="35ACFD11" w14:textId="77777777" w:rsidR="001E5C66" w:rsidRPr="00273A3E" w:rsidRDefault="001E5C66"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Labai dažnas</w:t>
            </w:r>
          </w:p>
        </w:tc>
        <w:tc>
          <w:tcPr>
            <w:tcW w:w="2400" w:type="pct"/>
          </w:tcPr>
          <w:p w14:paraId="48755828" w14:textId="77777777" w:rsidR="001E5C66" w:rsidRPr="00273A3E" w:rsidRDefault="001E5C66"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Sąnarių ir griaučių raumenų skausmas</w:t>
            </w:r>
            <w:r w:rsidR="00287ED5" w:rsidRPr="00273A3E">
              <w:rPr>
                <w:rFonts w:ascii="Times New Roman" w:hAnsi="Times New Roman"/>
                <w:lang w:val="lt-LT"/>
              </w:rPr>
              <w:t xml:space="preserve"> </w:t>
            </w:r>
            <w:r w:rsidRPr="00273A3E">
              <w:rPr>
                <w:rFonts w:ascii="Times New Roman" w:hAnsi="Times New Roman"/>
                <w:vertAlign w:val="superscript"/>
                <w:lang w:val="lt-LT"/>
              </w:rPr>
              <w:t>d</w:t>
            </w:r>
          </w:p>
        </w:tc>
      </w:tr>
      <w:tr w:rsidR="001E5C66" w:rsidRPr="00273A3E" w14:paraId="5176AE09" w14:textId="77777777" w:rsidTr="0080356C">
        <w:tc>
          <w:tcPr>
            <w:tcW w:w="1726" w:type="pct"/>
            <w:vMerge/>
            <w:hideMark/>
          </w:tcPr>
          <w:p w14:paraId="6AD001AC" w14:textId="77777777" w:rsidR="001E5C66" w:rsidRPr="00273A3E" w:rsidRDefault="001E5C66" w:rsidP="009F71ED">
            <w:pPr>
              <w:tabs>
                <w:tab w:val="left" w:pos="567"/>
              </w:tabs>
              <w:spacing w:after="0" w:line="240" w:lineRule="auto"/>
              <w:rPr>
                <w:rFonts w:ascii="Times New Roman" w:hAnsi="Times New Roman"/>
                <w:color w:val="000000"/>
                <w:lang w:val="lt-LT"/>
              </w:rPr>
            </w:pPr>
          </w:p>
        </w:tc>
        <w:tc>
          <w:tcPr>
            <w:tcW w:w="874" w:type="pct"/>
            <w:hideMark/>
          </w:tcPr>
          <w:p w14:paraId="48DD1F6A" w14:textId="77777777" w:rsidR="001E5C66" w:rsidRPr="00273A3E" w:rsidRDefault="001E5C66" w:rsidP="009F71ED">
            <w:pPr>
              <w:tabs>
                <w:tab w:val="left" w:pos="567"/>
              </w:tabs>
              <w:spacing w:after="0" w:line="240" w:lineRule="auto"/>
              <w:rPr>
                <w:rFonts w:ascii="Times New Roman" w:hAnsi="Times New Roman"/>
                <w:color w:val="000000"/>
                <w:lang w:val="lt-LT"/>
              </w:rPr>
            </w:pPr>
            <w:r w:rsidRPr="00273A3E">
              <w:rPr>
                <w:rFonts w:ascii="Times New Roman" w:hAnsi="Times New Roman"/>
                <w:color w:val="000000"/>
                <w:lang w:val="lt-LT"/>
              </w:rPr>
              <w:t>Dažnas</w:t>
            </w:r>
          </w:p>
        </w:tc>
        <w:tc>
          <w:tcPr>
            <w:tcW w:w="2400" w:type="pct"/>
            <w:hideMark/>
          </w:tcPr>
          <w:p w14:paraId="660B1021" w14:textId="77777777" w:rsidR="001E5C66" w:rsidRPr="00273A3E" w:rsidRDefault="001E5C66"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Nugaros skausmas</w:t>
            </w:r>
            <w:r w:rsidR="00287ED5" w:rsidRPr="00273A3E">
              <w:rPr>
                <w:rFonts w:ascii="Times New Roman" w:hAnsi="Times New Roman"/>
                <w:lang w:val="lt-LT"/>
              </w:rPr>
              <w:t xml:space="preserve"> </w:t>
            </w:r>
            <w:r w:rsidRPr="00273A3E">
              <w:rPr>
                <w:rFonts w:ascii="Times New Roman" w:hAnsi="Times New Roman"/>
                <w:vertAlign w:val="superscript"/>
                <w:lang w:val="lt-LT"/>
              </w:rPr>
              <w:t>a</w:t>
            </w:r>
          </w:p>
        </w:tc>
      </w:tr>
      <w:tr w:rsidR="001E5C66" w:rsidRPr="00273A3E" w14:paraId="6A084184" w14:textId="77777777" w:rsidTr="0080356C">
        <w:tc>
          <w:tcPr>
            <w:tcW w:w="1726" w:type="pct"/>
            <w:vMerge w:val="restart"/>
          </w:tcPr>
          <w:p w14:paraId="50FF6643" w14:textId="77777777" w:rsidR="001E5C66" w:rsidRPr="00273A3E" w:rsidRDefault="001E5C66"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Lytinės sistemos ir krūties sutrikimai</w:t>
            </w:r>
          </w:p>
        </w:tc>
        <w:tc>
          <w:tcPr>
            <w:tcW w:w="874" w:type="pct"/>
          </w:tcPr>
          <w:p w14:paraId="7102EDC1" w14:textId="77777777" w:rsidR="001E5C66" w:rsidRPr="00273A3E" w:rsidRDefault="001E5C66"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Dažnas</w:t>
            </w:r>
          </w:p>
        </w:tc>
        <w:tc>
          <w:tcPr>
            <w:tcW w:w="2400" w:type="pct"/>
          </w:tcPr>
          <w:p w14:paraId="18680804" w14:textId="77777777" w:rsidR="001E5C66" w:rsidRPr="00273A3E" w:rsidRDefault="001E5C66"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Kraujavimas iš makšties</w:t>
            </w:r>
            <w:r w:rsidR="00287ED5" w:rsidRPr="00273A3E">
              <w:rPr>
                <w:rFonts w:ascii="Times New Roman" w:hAnsi="Times New Roman"/>
                <w:lang w:val="lt-LT"/>
              </w:rPr>
              <w:t xml:space="preserve"> </w:t>
            </w:r>
            <w:r w:rsidRPr="00273A3E">
              <w:rPr>
                <w:rFonts w:ascii="Times New Roman" w:hAnsi="Times New Roman"/>
                <w:vertAlign w:val="superscript"/>
                <w:lang w:val="lt-LT"/>
              </w:rPr>
              <w:t>e</w:t>
            </w:r>
          </w:p>
        </w:tc>
      </w:tr>
      <w:tr w:rsidR="001E5C66" w:rsidRPr="00490319" w14:paraId="3CA09CFF" w14:textId="77777777" w:rsidTr="0080356C">
        <w:tc>
          <w:tcPr>
            <w:tcW w:w="1726" w:type="pct"/>
            <w:vMerge/>
            <w:hideMark/>
          </w:tcPr>
          <w:p w14:paraId="59C64A68" w14:textId="77777777" w:rsidR="001E5C66" w:rsidRPr="00273A3E" w:rsidRDefault="001E5C66" w:rsidP="009F71ED">
            <w:pPr>
              <w:tabs>
                <w:tab w:val="left" w:pos="567"/>
              </w:tabs>
              <w:spacing w:after="0" w:line="240" w:lineRule="auto"/>
              <w:rPr>
                <w:rFonts w:ascii="Times New Roman" w:hAnsi="Times New Roman"/>
                <w:color w:val="000000"/>
                <w:lang w:val="lt-LT"/>
              </w:rPr>
            </w:pPr>
          </w:p>
        </w:tc>
        <w:tc>
          <w:tcPr>
            <w:tcW w:w="874" w:type="pct"/>
            <w:hideMark/>
          </w:tcPr>
          <w:p w14:paraId="27214F60" w14:textId="77777777" w:rsidR="001E5C66" w:rsidRPr="00273A3E" w:rsidRDefault="001E5C66"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Nedažnas</w:t>
            </w:r>
          </w:p>
        </w:tc>
        <w:tc>
          <w:tcPr>
            <w:tcW w:w="2400" w:type="pct"/>
            <w:hideMark/>
          </w:tcPr>
          <w:p w14:paraId="43EED650" w14:textId="77777777" w:rsidR="001E5C66" w:rsidRPr="00273A3E" w:rsidRDefault="001E5C66" w:rsidP="009F71ED">
            <w:pPr>
              <w:tabs>
                <w:tab w:val="left" w:pos="567"/>
              </w:tabs>
              <w:spacing w:after="0" w:line="240" w:lineRule="auto"/>
              <w:rPr>
                <w:rFonts w:ascii="Times New Roman" w:hAnsi="Times New Roman"/>
                <w:color w:val="000000"/>
                <w:lang w:val="lt-LT"/>
              </w:rPr>
            </w:pPr>
            <w:r w:rsidRPr="00273A3E">
              <w:rPr>
                <w:rFonts w:ascii="Times New Roman" w:hAnsi="Times New Roman"/>
                <w:lang w:val="lt-LT"/>
              </w:rPr>
              <w:t xml:space="preserve">Makšties </w:t>
            </w:r>
            <w:proofErr w:type="spellStart"/>
            <w:r w:rsidRPr="00273A3E">
              <w:rPr>
                <w:rFonts w:ascii="Times New Roman" w:hAnsi="Times New Roman"/>
                <w:lang w:val="lt-LT"/>
              </w:rPr>
              <w:t>kandidozė</w:t>
            </w:r>
            <w:proofErr w:type="spellEnd"/>
            <w:r w:rsidR="00287ED5" w:rsidRPr="00273A3E">
              <w:rPr>
                <w:rFonts w:ascii="Times New Roman" w:hAnsi="Times New Roman"/>
                <w:lang w:val="lt-LT"/>
              </w:rPr>
              <w:t xml:space="preserve"> </w:t>
            </w:r>
            <w:r w:rsidRPr="00273A3E">
              <w:rPr>
                <w:rFonts w:ascii="Times New Roman" w:hAnsi="Times New Roman"/>
                <w:vertAlign w:val="superscript"/>
                <w:lang w:val="lt-LT"/>
              </w:rPr>
              <w:t>f</w:t>
            </w:r>
            <w:r w:rsidRPr="00273A3E">
              <w:rPr>
                <w:rFonts w:ascii="Times New Roman" w:hAnsi="Times New Roman"/>
                <w:lang w:val="lt-LT"/>
              </w:rPr>
              <w:t xml:space="preserve">, </w:t>
            </w:r>
            <w:proofErr w:type="spellStart"/>
            <w:r w:rsidRPr="00273A3E">
              <w:rPr>
                <w:rFonts w:ascii="Times New Roman" w:hAnsi="Times New Roman"/>
                <w:lang w:val="lt-LT"/>
              </w:rPr>
              <w:t>leukorėja</w:t>
            </w:r>
            <w:proofErr w:type="spellEnd"/>
            <w:r w:rsidR="00287ED5" w:rsidRPr="00273A3E">
              <w:rPr>
                <w:rFonts w:ascii="Times New Roman" w:hAnsi="Times New Roman"/>
                <w:lang w:val="lt-LT"/>
              </w:rPr>
              <w:t xml:space="preserve"> </w:t>
            </w:r>
            <w:r w:rsidRPr="00273A3E">
              <w:rPr>
                <w:rFonts w:ascii="Times New Roman" w:hAnsi="Times New Roman"/>
                <w:vertAlign w:val="superscript"/>
                <w:lang w:val="lt-LT"/>
              </w:rPr>
              <w:t>f</w:t>
            </w:r>
          </w:p>
        </w:tc>
      </w:tr>
      <w:tr w:rsidR="001E5C66" w:rsidRPr="00273A3E" w14:paraId="3F948C03" w14:textId="77777777" w:rsidTr="0080356C">
        <w:tc>
          <w:tcPr>
            <w:tcW w:w="1726" w:type="pct"/>
            <w:vMerge w:val="restart"/>
            <w:hideMark/>
          </w:tcPr>
          <w:p w14:paraId="78B3A59F"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Bendrieji sutrikimai ir vartojimo vietos pažeidimai</w:t>
            </w:r>
          </w:p>
        </w:tc>
        <w:tc>
          <w:tcPr>
            <w:tcW w:w="874" w:type="pct"/>
            <w:hideMark/>
          </w:tcPr>
          <w:p w14:paraId="1EE5AD70"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Labai dažnas</w:t>
            </w:r>
          </w:p>
        </w:tc>
        <w:tc>
          <w:tcPr>
            <w:tcW w:w="2400" w:type="pct"/>
            <w:hideMark/>
          </w:tcPr>
          <w:p w14:paraId="6C3B7215"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Astenija</w:t>
            </w:r>
            <w:proofErr w:type="spellEnd"/>
            <w:r w:rsidR="00287ED5" w:rsidRPr="00273A3E">
              <w:rPr>
                <w:rFonts w:ascii="Times New Roman" w:hAnsi="Times New Roman"/>
                <w:lang w:val="lt-LT"/>
              </w:rPr>
              <w:t xml:space="preserve"> </w:t>
            </w:r>
            <w:r w:rsidRPr="00273A3E">
              <w:rPr>
                <w:rFonts w:ascii="Times New Roman" w:hAnsi="Times New Roman"/>
                <w:vertAlign w:val="superscript"/>
                <w:lang w:val="lt-LT"/>
              </w:rPr>
              <w:t>a</w:t>
            </w:r>
            <w:r w:rsidRPr="00273A3E">
              <w:rPr>
                <w:rFonts w:ascii="Times New Roman" w:hAnsi="Times New Roman"/>
                <w:lang w:val="lt-LT"/>
              </w:rPr>
              <w:t>, reakcijos injekcijos vietoje</w:t>
            </w:r>
            <w:r w:rsidR="00287ED5" w:rsidRPr="00273A3E">
              <w:rPr>
                <w:rFonts w:ascii="Times New Roman" w:hAnsi="Times New Roman"/>
                <w:lang w:val="lt-LT"/>
              </w:rPr>
              <w:t xml:space="preserve"> </w:t>
            </w:r>
            <w:r w:rsidRPr="00273A3E">
              <w:rPr>
                <w:rFonts w:ascii="Times New Roman" w:hAnsi="Times New Roman"/>
                <w:vertAlign w:val="superscript"/>
                <w:lang w:val="lt-LT"/>
              </w:rPr>
              <w:t>b</w:t>
            </w:r>
          </w:p>
        </w:tc>
      </w:tr>
      <w:tr w:rsidR="001E5C66" w:rsidRPr="00490319" w14:paraId="599186D9" w14:textId="77777777" w:rsidTr="0080356C">
        <w:tc>
          <w:tcPr>
            <w:tcW w:w="0" w:type="auto"/>
            <w:vMerge/>
          </w:tcPr>
          <w:p w14:paraId="40CC16A6" w14:textId="77777777" w:rsidR="001E5C66" w:rsidRPr="00273A3E" w:rsidRDefault="001E5C66" w:rsidP="009F71ED">
            <w:pPr>
              <w:tabs>
                <w:tab w:val="left" w:pos="567"/>
              </w:tabs>
              <w:spacing w:after="0" w:line="240" w:lineRule="auto"/>
              <w:rPr>
                <w:rFonts w:ascii="Times New Roman" w:hAnsi="Times New Roman"/>
                <w:lang w:val="lt-LT"/>
              </w:rPr>
            </w:pPr>
          </w:p>
        </w:tc>
        <w:tc>
          <w:tcPr>
            <w:tcW w:w="874" w:type="pct"/>
          </w:tcPr>
          <w:p w14:paraId="708DA3B0"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Dažnas</w:t>
            </w:r>
          </w:p>
        </w:tc>
        <w:tc>
          <w:tcPr>
            <w:tcW w:w="2400" w:type="pct"/>
          </w:tcPr>
          <w:p w14:paraId="04CD786C"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Periferinė neuropatija</w:t>
            </w:r>
            <w:r w:rsidR="00287ED5" w:rsidRPr="00273A3E">
              <w:rPr>
                <w:rFonts w:ascii="Times New Roman" w:hAnsi="Times New Roman"/>
                <w:lang w:val="lt-LT"/>
              </w:rPr>
              <w:t xml:space="preserve"> </w:t>
            </w:r>
            <w:r w:rsidRPr="00273A3E">
              <w:rPr>
                <w:rFonts w:ascii="Times New Roman" w:hAnsi="Times New Roman"/>
                <w:vertAlign w:val="superscript"/>
                <w:lang w:val="lt-LT"/>
              </w:rPr>
              <w:t>e</w:t>
            </w:r>
            <w:r w:rsidRPr="00273A3E">
              <w:rPr>
                <w:rFonts w:ascii="Times New Roman" w:hAnsi="Times New Roman"/>
                <w:lang w:val="lt-LT"/>
              </w:rPr>
              <w:t xml:space="preserve">, </w:t>
            </w:r>
            <w:r w:rsidR="00337835" w:rsidRPr="00273A3E">
              <w:rPr>
                <w:rFonts w:ascii="Times New Roman" w:hAnsi="Times New Roman"/>
                <w:lang w:val="lt-LT"/>
              </w:rPr>
              <w:t xml:space="preserve">sėdimojo nervo neuralgija </w:t>
            </w:r>
            <w:r w:rsidRPr="00273A3E">
              <w:rPr>
                <w:rFonts w:ascii="Times New Roman" w:hAnsi="Times New Roman"/>
                <w:vertAlign w:val="superscript"/>
                <w:lang w:val="lt-LT"/>
              </w:rPr>
              <w:t>e</w:t>
            </w:r>
          </w:p>
        </w:tc>
      </w:tr>
      <w:tr w:rsidR="001E5C66" w:rsidRPr="00490319" w14:paraId="3C010136" w14:textId="77777777" w:rsidTr="0080356C">
        <w:tc>
          <w:tcPr>
            <w:tcW w:w="0" w:type="auto"/>
            <w:vMerge/>
            <w:hideMark/>
          </w:tcPr>
          <w:p w14:paraId="3EEF14D7" w14:textId="77777777" w:rsidR="001E5C66" w:rsidRPr="00273A3E" w:rsidRDefault="001E5C66" w:rsidP="009F71ED">
            <w:pPr>
              <w:tabs>
                <w:tab w:val="left" w:pos="567"/>
              </w:tabs>
              <w:spacing w:after="0" w:line="240" w:lineRule="auto"/>
              <w:rPr>
                <w:rFonts w:ascii="Times New Roman" w:hAnsi="Times New Roman"/>
                <w:lang w:val="lt-LT"/>
              </w:rPr>
            </w:pPr>
          </w:p>
        </w:tc>
        <w:tc>
          <w:tcPr>
            <w:tcW w:w="874" w:type="pct"/>
            <w:hideMark/>
          </w:tcPr>
          <w:p w14:paraId="74FF460F"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Nedažnas</w:t>
            </w:r>
          </w:p>
        </w:tc>
        <w:tc>
          <w:tcPr>
            <w:tcW w:w="2400" w:type="pct"/>
            <w:hideMark/>
          </w:tcPr>
          <w:p w14:paraId="002F9202"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Kraujavimas injekcijos vietoje</w:t>
            </w:r>
            <w:r w:rsidR="00287ED5" w:rsidRPr="00273A3E">
              <w:rPr>
                <w:rFonts w:ascii="Times New Roman" w:hAnsi="Times New Roman"/>
                <w:lang w:val="lt-LT"/>
              </w:rPr>
              <w:t xml:space="preserve"> </w:t>
            </w:r>
            <w:r w:rsidRPr="00273A3E">
              <w:rPr>
                <w:rFonts w:ascii="Times New Roman" w:hAnsi="Times New Roman"/>
                <w:vertAlign w:val="superscript"/>
                <w:lang w:val="lt-LT"/>
              </w:rPr>
              <w:t>f</w:t>
            </w:r>
            <w:r w:rsidRPr="00273A3E">
              <w:rPr>
                <w:rFonts w:ascii="Times New Roman" w:hAnsi="Times New Roman"/>
                <w:lang w:val="lt-LT"/>
              </w:rPr>
              <w:t>, hematoma injekcijos vietoje</w:t>
            </w:r>
            <w:r w:rsidR="00287ED5" w:rsidRPr="00273A3E">
              <w:rPr>
                <w:rFonts w:ascii="Times New Roman" w:hAnsi="Times New Roman"/>
                <w:lang w:val="lt-LT"/>
              </w:rPr>
              <w:t xml:space="preserve"> </w:t>
            </w:r>
            <w:r w:rsidRPr="00273A3E">
              <w:rPr>
                <w:rFonts w:ascii="Times New Roman" w:hAnsi="Times New Roman"/>
                <w:vertAlign w:val="superscript"/>
                <w:lang w:val="lt-LT"/>
              </w:rPr>
              <w:t>f</w:t>
            </w:r>
            <w:r w:rsidRPr="00273A3E">
              <w:rPr>
                <w:rFonts w:ascii="Times New Roman" w:hAnsi="Times New Roman"/>
                <w:lang w:val="lt-LT"/>
              </w:rPr>
              <w:t>, neuralgija</w:t>
            </w:r>
            <w:r w:rsidR="00287ED5" w:rsidRPr="00273A3E">
              <w:rPr>
                <w:rFonts w:ascii="Times New Roman" w:hAnsi="Times New Roman"/>
                <w:lang w:val="lt-LT"/>
              </w:rPr>
              <w:t xml:space="preserve"> </w:t>
            </w:r>
            <w:r w:rsidRPr="00273A3E">
              <w:rPr>
                <w:rFonts w:ascii="Times New Roman" w:hAnsi="Times New Roman"/>
                <w:vertAlign w:val="superscript"/>
                <w:lang w:val="lt-LT"/>
              </w:rPr>
              <w:t>c,</w:t>
            </w:r>
            <w:r w:rsidR="00287ED5" w:rsidRPr="00273A3E">
              <w:rPr>
                <w:rFonts w:ascii="Times New Roman" w:hAnsi="Times New Roman"/>
                <w:vertAlign w:val="superscript"/>
                <w:lang w:val="lt-LT"/>
              </w:rPr>
              <w:t xml:space="preserve"> </w:t>
            </w:r>
            <w:r w:rsidRPr="00273A3E">
              <w:rPr>
                <w:rFonts w:ascii="Times New Roman" w:hAnsi="Times New Roman"/>
                <w:vertAlign w:val="superscript"/>
                <w:lang w:val="lt-LT"/>
              </w:rPr>
              <w:t>f</w:t>
            </w:r>
          </w:p>
        </w:tc>
      </w:tr>
    </w:tbl>
    <w:p w14:paraId="0D984E16"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vertAlign w:val="superscript"/>
          <w:lang w:val="lt-LT"/>
        </w:rPr>
        <w:t>a</w:t>
      </w:r>
      <w:r w:rsidRPr="00273A3E">
        <w:rPr>
          <w:rFonts w:ascii="Times New Roman" w:hAnsi="Times New Roman"/>
          <w:lang w:val="lt-LT"/>
        </w:rPr>
        <w:t xml:space="preserve"> </w:t>
      </w:r>
      <w:r w:rsidR="003008E6" w:rsidRPr="00273A3E">
        <w:rPr>
          <w:rFonts w:ascii="Times New Roman" w:hAnsi="Times New Roman"/>
          <w:lang w:val="lt-LT"/>
        </w:rPr>
        <w:tab/>
      </w:r>
      <w:r w:rsidRPr="00273A3E">
        <w:rPr>
          <w:rFonts w:ascii="Times New Roman" w:hAnsi="Times New Roman"/>
          <w:lang w:val="lt-LT"/>
        </w:rPr>
        <w:t xml:space="preserve">Įskaitant nepageidaujamas reakcijas į vaistinį preparatą, kurių ryšio su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vartojimu tiksliai įvertinti nebuvo galimybės dėl pagrindinės ligos.</w:t>
      </w:r>
    </w:p>
    <w:p w14:paraId="26F85F36"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vertAlign w:val="superscript"/>
          <w:lang w:val="lt-LT"/>
        </w:rPr>
        <w:t>b</w:t>
      </w:r>
      <w:r w:rsidRPr="00273A3E">
        <w:rPr>
          <w:rFonts w:ascii="Times New Roman" w:hAnsi="Times New Roman"/>
          <w:lang w:val="lt-LT"/>
        </w:rPr>
        <w:t xml:space="preserve"> </w:t>
      </w:r>
      <w:r w:rsidR="003008E6" w:rsidRPr="00273A3E">
        <w:rPr>
          <w:rFonts w:ascii="Times New Roman" w:hAnsi="Times New Roman"/>
          <w:lang w:val="lt-LT"/>
        </w:rPr>
        <w:tab/>
      </w:r>
      <w:r w:rsidRPr="00273A3E">
        <w:rPr>
          <w:rFonts w:ascii="Times New Roman" w:hAnsi="Times New Roman"/>
          <w:lang w:val="lt-LT"/>
        </w:rPr>
        <w:t xml:space="preserve">Reakcijų injekcijos vietoje terminas neapima kraujavimo injekcijos vietoje, hematomos injekcijos vietoje, </w:t>
      </w:r>
      <w:r w:rsidR="00337835" w:rsidRPr="00273A3E">
        <w:rPr>
          <w:rFonts w:ascii="Times New Roman" w:hAnsi="Times New Roman"/>
          <w:lang w:val="lt-LT"/>
        </w:rPr>
        <w:t xml:space="preserve">sėdimojo nervo </w:t>
      </w:r>
      <w:r w:rsidR="00DC2558" w:rsidRPr="00273A3E">
        <w:rPr>
          <w:rFonts w:ascii="Times New Roman" w:hAnsi="Times New Roman"/>
          <w:lang w:val="lt-LT"/>
        </w:rPr>
        <w:t>pažeidimas</w:t>
      </w:r>
      <w:r w:rsidRPr="00273A3E">
        <w:rPr>
          <w:rFonts w:ascii="Times New Roman" w:hAnsi="Times New Roman"/>
          <w:lang w:val="lt-LT"/>
        </w:rPr>
        <w:t>, neuralgijos ir periferinės neuropatijos.</w:t>
      </w:r>
    </w:p>
    <w:p w14:paraId="21695D75"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vertAlign w:val="superscript"/>
          <w:lang w:val="lt-LT"/>
        </w:rPr>
        <w:t>c</w:t>
      </w:r>
      <w:r w:rsidRPr="00273A3E">
        <w:rPr>
          <w:rFonts w:ascii="Times New Roman" w:hAnsi="Times New Roman"/>
          <w:lang w:val="lt-LT"/>
        </w:rPr>
        <w:t xml:space="preserve"> </w:t>
      </w:r>
      <w:r w:rsidR="003008E6" w:rsidRPr="00273A3E">
        <w:rPr>
          <w:rFonts w:ascii="Times New Roman" w:hAnsi="Times New Roman"/>
          <w:lang w:val="lt-LT"/>
        </w:rPr>
        <w:tab/>
      </w:r>
      <w:r w:rsidRPr="00273A3E">
        <w:rPr>
          <w:rFonts w:ascii="Times New Roman" w:hAnsi="Times New Roman"/>
          <w:lang w:val="lt-LT"/>
        </w:rPr>
        <w:t>Pagrindinių klinikinių tyrimų (CONFIRM, FINDER 1, FINDER 2, NEWEST)</w:t>
      </w:r>
      <w:r w:rsidR="00071973"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šio reiškinio nenustatyta. Jo dažnis apskaičiuotas naudojant viršutinę 95</w:t>
      </w:r>
      <w:r w:rsidR="00FF0074" w:rsidRPr="00273A3E">
        <w:rPr>
          <w:rFonts w:ascii="Times New Roman" w:hAnsi="Times New Roman"/>
          <w:lang w:val="lt-LT"/>
        </w:rPr>
        <w:t> </w:t>
      </w:r>
      <w:r w:rsidRPr="00273A3E">
        <w:rPr>
          <w:rFonts w:ascii="Times New Roman" w:hAnsi="Times New Roman"/>
          <w:lang w:val="lt-LT"/>
        </w:rPr>
        <w:t xml:space="preserve">% vertinamojo rodiklio pasikliautino intervalo ribą. Apskaičiavus gauta 3/560 (kur 560 yra pagrindiniuose klinikiniuose tyrimuose dalyvavusių pacienčių skaičius), </w:t>
      </w:r>
      <w:r w:rsidR="009814BE" w:rsidRPr="00273A3E">
        <w:rPr>
          <w:rFonts w:ascii="Times New Roman" w:hAnsi="Times New Roman"/>
          <w:lang w:val="lt-LT"/>
        </w:rPr>
        <w:t xml:space="preserve">o tai </w:t>
      </w:r>
      <w:r w:rsidRPr="00273A3E">
        <w:rPr>
          <w:rFonts w:ascii="Times New Roman" w:hAnsi="Times New Roman"/>
          <w:lang w:val="lt-LT"/>
        </w:rPr>
        <w:t>prilyg</w:t>
      </w:r>
      <w:r w:rsidR="000E06B8" w:rsidRPr="00273A3E">
        <w:rPr>
          <w:rFonts w:ascii="Times New Roman" w:hAnsi="Times New Roman"/>
          <w:lang w:val="lt-LT"/>
        </w:rPr>
        <w:t>sta</w:t>
      </w:r>
      <w:r w:rsidRPr="00273A3E">
        <w:rPr>
          <w:rFonts w:ascii="Times New Roman" w:hAnsi="Times New Roman"/>
          <w:lang w:val="lt-LT"/>
        </w:rPr>
        <w:t xml:space="preserve"> dažnio kategorijai „nedažnas“.</w:t>
      </w:r>
    </w:p>
    <w:p w14:paraId="623305E1"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vertAlign w:val="superscript"/>
          <w:lang w:val="lt-LT"/>
        </w:rPr>
        <w:t xml:space="preserve">d </w:t>
      </w:r>
      <w:r w:rsidR="003008E6" w:rsidRPr="00273A3E">
        <w:rPr>
          <w:rFonts w:ascii="Times New Roman" w:hAnsi="Times New Roman"/>
          <w:vertAlign w:val="superscript"/>
          <w:lang w:val="lt-LT"/>
        </w:rPr>
        <w:tab/>
      </w:r>
      <w:r w:rsidRPr="00273A3E">
        <w:rPr>
          <w:rFonts w:ascii="Times New Roman" w:hAnsi="Times New Roman"/>
          <w:lang w:val="lt-LT"/>
        </w:rPr>
        <w:t xml:space="preserve">Tai </w:t>
      </w:r>
      <w:proofErr w:type="spellStart"/>
      <w:r w:rsidRPr="00273A3E">
        <w:rPr>
          <w:rFonts w:ascii="Times New Roman" w:hAnsi="Times New Roman"/>
          <w:lang w:val="lt-LT"/>
        </w:rPr>
        <w:t>artralgija</w:t>
      </w:r>
      <w:proofErr w:type="spellEnd"/>
      <w:r w:rsidRPr="00273A3E">
        <w:rPr>
          <w:rFonts w:ascii="Times New Roman" w:hAnsi="Times New Roman"/>
          <w:lang w:val="lt-LT"/>
        </w:rPr>
        <w:t xml:space="preserve"> bei (rečiau) griaučių raumenų skausmas, </w:t>
      </w:r>
      <w:proofErr w:type="spellStart"/>
      <w:r w:rsidRPr="00273A3E">
        <w:rPr>
          <w:rFonts w:ascii="Times New Roman" w:hAnsi="Times New Roman"/>
          <w:lang w:val="lt-LT"/>
        </w:rPr>
        <w:t>mialgija</w:t>
      </w:r>
      <w:proofErr w:type="spellEnd"/>
      <w:r w:rsidRPr="00273A3E">
        <w:rPr>
          <w:rFonts w:ascii="Times New Roman" w:hAnsi="Times New Roman"/>
          <w:lang w:val="lt-LT"/>
        </w:rPr>
        <w:t xml:space="preserve"> ir galūnės skausmas.</w:t>
      </w:r>
    </w:p>
    <w:p w14:paraId="5A75614D"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vertAlign w:val="superscript"/>
          <w:lang w:val="lt-LT"/>
        </w:rPr>
        <w:t>e</w:t>
      </w:r>
      <w:r w:rsidRPr="00273A3E">
        <w:rPr>
          <w:rFonts w:ascii="Times New Roman" w:hAnsi="Times New Roman"/>
          <w:lang w:val="lt-LT"/>
        </w:rPr>
        <w:t xml:space="preserve"> </w:t>
      </w:r>
      <w:r w:rsidR="003008E6" w:rsidRPr="00273A3E">
        <w:rPr>
          <w:rFonts w:ascii="Times New Roman" w:hAnsi="Times New Roman"/>
          <w:lang w:val="lt-LT"/>
        </w:rPr>
        <w:tab/>
      </w:r>
      <w:r w:rsidRPr="00273A3E">
        <w:rPr>
          <w:rFonts w:ascii="Times New Roman" w:hAnsi="Times New Roman"/>
          <w:lang w:val="lt-LT"/>
        </w:rPr>
        <w:t>Dažnio kategorijos bendrais saugumo analizės ir FALCON tyrimo duomenimis yra skirtingos.</w:t>
      </w:r>
    </w:p>
    <w:p w14:paraId="6422BBA2"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vertAlign w:val="superscript"/>
          <w:lang w:val="lt-LT"/>
        </w:rPr>
        <w:t>f</w:t>
      </w:r>
      <w:r w:rsidRPr="00273A3E">
        <w:rPr>
          <w:rFonts w:ascii="Times New Roman" w:hAnsi="Times New Roman"/>
          <w:lang w:val="lt-LT"/>
        </w:rPr>
        <w:t xml:space="preserve"> </w:t>
      </w:r>
      <w:r w:rsidR="003008E6" w:rsidRPr="00273A3E">
        <w:rPr>
          <w:rFonts w:ascii="Times New Roman" w:hAnsi="Times New Roman"/>
          <w:lang w:val="lt-LT"/>
        </w:rPr>
        <w:tab/>
      </w:r>
      <w:r w:rsidRPr="00273A3E">
        <w:rPr>
          <w:rFonts w:ascii="Times New Roman" w:hAnsi="Times New Roman"/>
          <w:lang w:val="lt-LT"/>
        </w:rPr>
        <w:t>NRV nenustatyta FALCON tyrimo</w:t>
      </w:r>
      <w:r w:rsidR="00A5183E"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w:t>
      </w:r>
    </w:p>
    <w:p w14:paraId="23852EF0" w14:textId="77777777" w:rsidR="00225CF5" w:rsidRPr="00273A3E" w:rsidRDefault="00225CF5" w:rsidP="009F71ED">
      <w:pPr>
        <w:tabs>
          <w:tab w:val="left" w:pos="567"/>
        </w:tabs>
        <w:spacing w:after="0" w:line="240" w:lineRule="auto"/>
        <w:rPr>
          <w:rFonts w:ascii="Times New Roman" w:hAnsi="Times New Roman"/>
          <w:u w:val="single"/>
          <w:lang w:val="lt-LT"/>
        </w:rPr>
      </w:pPr>
    </w:p>
    <w:p w14:paraId="4766750B" w14:textId="77777777" w:rsidR="001E5C66" w:rsidRPr="00273A3E" w:rsidRDefault="001E5C66"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Atrinktų nepageidaujamų reakcijų apibūdinimas</w:t>
      </w:r>
    </w:p>
    <w:p w14:paraId="40A50841" w14:textId="77777777" w:rsidR="001E5C66" w:rsidRPr="00273A3E" w:rsidRDefault="00733F5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Toliau </w:t>
      </w:r>
      <w:r w:rsidR="001E5C66" w:rsidRPr="00273A3E">
        <w:rPr>
          <w:rFonts w:ascii="Times New Roman" w:hAnsi="Times New Roman"/>
          <w:lang w:val="lt-LT"/>
        </w:rPr>
        <w:t>pateikti aprašymai pagrįsti III</w:t>
      </w:r>
      <w:r w:rsidR="00FF0074" w:rsidRPr="00273A3E">
        <w:rPr>
          <w:rFonts w:ascii="Times New Roman" w:hAnsi="Times New Roman"/>
          <w:lang w:val="lt-LT"/>
        </w:rPr>
        <w:t> </w:t>
      </w:r>
      <w:r w:rsidR="001E5C66" w:rsidRPr="00273A3E">
        <w:rPr>
          <w:rFonts w:ascii="Times New Roman" w:hAnsi="Times New Roman"/>
          <w:lang w:val="lt-LT"/>
        </w:rPr>
        <w:t xml:space="preserve">fazės FALCON tyrimo duomenimis (228 bent vieną </w:t>
      </w:r>
      <w:proofErr w:type="spellStart"/>
      <w:r w:rsidR="001E5C66" w:rsidRPr="00273A3E">
        <w:rPr>
          <w:rFonts w:ascii="Times New Roman" w:hAnsi="Times New Roman"/>
          <w:lang w:val="lt-LT"/>
        </w:rPr>
        <w:t>fulvestranto</w:t>
      </w:r>
      <w:proofErr w:type="spellEnd"/>
      <w:r w:rsidR="001E5C66" w:rsidRPr="00273A3E">
        <w:rPr>
          <w:rFonts w:ascii="Times New Roman" w:hAnsi="Times New Roman"/>
          <w:lang w:val="lt-LT"/>
        </w:rPr>
        <w:t xml:space="preserve"> dozę vartojusių ir 232 bent vieną </w:t>
      </w:r>
      <w:proofErr w:type="spellStart"/>
      <w:r w:rsidR="001E5C66" w:rsidRPr="00273A3E">
        <w:rPr>
          <w:rFonts w:ascii="Times New Roman" w:hAnsi="Times New Roman"/>
          <w:lang w:val="lt-LT"/>
        </w:rPr>
        <w:t>anastrozolo</w:t>
      </w:r>
      <w:proofErr w:type="spellEnd"/>
      <w:r w:rsidR="001E5C66" w:rsidRPr="00273A3E">
        <w:rPr>
          <w:rFonts w:ascii="Times New Roman" w:hAnsi="Times New Roman"/>
          <w:lang w:val="lt-LT"/>
        </w:rPr>
        <w:t xml:space="preserve"> dozę vartojusių pacienčių).</w:t>
      </w:r>
    </w:p>
    <w:p w14:paraId="163A769D" w14:textId="77777777" w:rsidR="001E5C66" w:rsidRPr="00273A3E" w:rsidRDefault="001E5C66" w:rsidP="009F71ED">
      <w:pPr>
        <w:tabs>
          <w:tab w:val="left" w:pos="567"/>
        </w:tabs>
        <w:spacing w:after="0" w:line="240" w:lineRule="auto"/>
        <w:rPr>
          <w:rFonts w:ascii="Times New Roman" w:hAnsi="Times New Roman"/>
          <w:lang w:val="lt-LT"/>
        </w:rPr>
      </w:pPr>
    </w:p>
    <w:p w14:paraId="5BE52612" w14:textId="77777777" w:rsidR="001E5C66" w:rsidRPr="00273A3E" w:rsidRDefault="001E5C66" w:rsidP="0003368A">
      <w:pPr>
        <w:keepNext/>
        <w:keepLines/>
        <w:tabs>
          <w:tab w:val="left" w:pos="567"/>
        </w:tabs>
        <w:spacing w:after="0" w:line="240" w:lineRule="auto"/>
        <w:rPr>
          <w:rFonts w:ascii="Times New Roman" w:hAnsi="Times New Roman"/>
          <w:i/>
          <w:lang w:val="lt-LT"/>
        </w:rPr>
      </w:pPr>
      <w:r w:rsidRPr="00273A3E">
        <w:rPr>
          <w:rFonts w:ascii="Times New Roman" w:hAnsi="Times New Roman"/>
          <w:i/>
          <w:lang w:val="lt-LT"/>
        </w:rPr>
        <w:lastRenderedPageBreak/>
        <w:t>Sąnarių ir griaučių raumenų skausmas</w:t>
      </w:r>
    </w:p>
    <w:p w14:paraId="00F273DC" w14:textId="77777777" w:rsidR="001E5C66" w:rsidRPr="00273A3E" w:rsidRDefault="001E5C66" w:rsidP="0003368A">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FALCON tyrimo</w:t>
      </w:r>
      <w:r w:rsidR="00C57224"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sąnarių ar griaučių raumenų skausmas kaip nepageidaujama reakcija nustatyta 65 (31,2 %)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w:t>
      </w:r>
      <w:r w:rsidR="00C57224" w:rsidRPr="00273A3E">
        <w:rPr>
          <w:rFonts w:ascii="Times New Roman" w:hAnsi="Times New Roman"/>
          <w:lang w:val="lt-LT"/>
        </w:rPr>
        <w:t xml:space="preserve">atitinkamai </w:t>
      </w:r>
      <w:r w:rsidRPr="00273A3E">
        <w:rPr>
          <w:rFonts w:ascii="Times New Roman" w:hAnsi="Times New Roman"/>
          <w:lang w:val="lt-LT"/>
        </w:rPr>
        <w:t xml:space="preserve">48 (24,1 %)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grupės pacientėms. 40 % (26 iš 65)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grupės pacienčių sąnarių ar griaučių raumenų skausmas nustatytas per pirmąjį gydymo mėnesį, 66,2 % (43 iš 65) </w:t>
      </w:r>
      <w:r w:rsidR="00DB5DA1" w:rsidRPr="00273A3E">
        <w:rPr>
          <w:rFonts w:ascii="Times New Roman" w:hAnsi="Times New Roman"/>
          <w:lang w:val="lt-LT"/>
        </w:rPr>
        <w:t xml:space="preserve">pacienčių </w:t>
      </w:r>
      <w:r w:rsidRPr="00273A3E">
        <w:rPr>
          <w:rFonts w:ascii="Times New Roman" w:hAnsi="Times New Roman"/>
          <w:lang w:val="lt-LT"/>
        </w:rPr>
        <w:t>– per pirmuosius 3 gydymo mėnesius. CTCAE ≥ 3 laipsnio nepageidaujamų reakcijų arba tokių, dėl kurių teko sumažinti dozę arba laikinai ar visam laikui nutraukti gydymą, nenustatyta.</w:t>
      </w:r>
    </w:p>
    <w:p w14:paraId="705360F0" w14:textId="77777777" w:rsidR="001E5C66" w:rsidRPr="00273A3E" w:rsidRDefault="001E5C66" w:rsidP="009F71ED">
      <w:pPr>
        <w:tabs>
          <w:tab w:val="left" w:pos="567"/>
        </w:tabs>
        <w:spacing w:after="0" w:line="240" w:lineRule="auto"/>
        <w:rPr>
          <w:rFonts w:ascii="Times New Roman" w:hAnsi="Times New Roman"/>
          <w:lang w:val="lt-LT"/>
        </w:rPr>
      </w:pPr>
    </w:p>
    <w:p w14:paraId="49BAC2DC" w14:textId="77777777" w:rsidR="001E5C66" w:rsidRPr="00273A3E" w:rsidRDefault="001E5C66" w:rsidP="009F71ED">
      <w:pPr>
        <w:keepNext/>
        <w:keepLines/>
        <w:tabs>
          <w:tab w:val="left" w:pos="567"/>
        </w:tabs>
        <w:spacing w:after="0" w:line="240" w:lineRule="auto"/>
        <w:rPr>
          <w:rFonts w:ascii="Times New Roman" w:hAnsi="Times New Roman"/>
          <w:i/>
          <w:lang w:val="lt-LT"/>
        </w:rPr>
      </w:pPr>
      <w:r w:rsidRPr="00273A3E">
        <w:rPr>
          <w:rFonts w:ascii="Times New Roman" w:hAnsi="Times New Roman"/>
          <w:i/>
          <w:lang w:val="lt-LT"/>
        </w:rPr>
        <w:t xml:space="preserve">Gydymas deriniu su </w:t>
      </w:r>
      <w:proofErr w:type="spellStart"/>
      <w:r w:rsidRPr="00273A3E">
        <w:rPr>
          <w:rFonts w:ascii="Times New Roman" w:hAnsi="Times New Roman"/>
          <w:i/>
          <w:lang w:val="lt-LT"/>
        </w:rPr>
        <w:t>palbociklibu</w:t>
      </w:r>
      <w:proofErr w:type="spellEnd"/>
    </w:p>
    <w:p w14:paraId="1CD2580D" w14:textId="77777777" w:rsidR="001E5C66" w:rsidRPr="00273A3E" w:rsidRDefault="001E5C66" w:rsidP="009F71ED">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 xml:space="preserve">Bendras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derinio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saugumo vertinimas yra pagrįstas duomenimis 517</w:t>
      </w:r>
      <w:r w:rsidR="00FF0074" w:rsidRPr="00273A3E">
        <w:rPr>
          <w:rFonts w:ascii="Times New Roman" w:hAnsi="Times New Roman"/>
          <w:lang w:val="lt-LT"/>
        </w:rPr>
        <w:t> </w:t>
      </w:r>
      <w:r w:rsidRPr="00273A3E">
        <w:rPr>
          <w:rFonts w:ascii="Times New Roman" w:hAnsi="Times New Roman"/>
          <w:lang w:val="lt-LT"/>
        </w:rPr>
        <w:t>pacienčių, sirgusių HR teigiamu, HER-2 neigiamu progresavusiu arba</w:t>
      </w:r>
      <w:r w:rsidR="00DB5DA1" w:rsidRPr="00273A3E">
        <w:rPr>
          <w:rFonts w:ascii="Times New Roman" w:hAnsi="Times New Roman"/>
          <w:lang w:val="lt-LT"/>
        </w:rPr>
        <w:t xml:space="preserve"> </w:t>
      </w:r>
      <w:proofErr w:type="spellStart"/>
      <w:r w:rsidR="00FF0074" w:rsidRPr="00273A3E">
        <w:rPr>
          <w:rFonts w:ascii="Times New Roman" w:hAnsi="Times New Roman"/>
          <w:lang w:val="lt-LT"/>
        </w:rPr>
        <w:t>met</w:t>
      </w:r>
      <w:r w:rsidRPr="00273A3E">
        <w:rPr>
          <w:rFonts w:ascii="Times New Roman" w:hAnsi="Times New Roman"/>
          <w:lang w:val="lt-LT"/>
        </w:rPr>
        <w:t>astazavusiu</w:t>
      </w:r>
      <w:proofErr w:type="spellEnd"/>
      <w:r w:rsidRPr="00273A3E">
        <w:rPr>
          <w:rFonts w:ascii="Times New Roman" w:hAnsi="Times New Roman"/>
          <w:lang w:val="lt-LT"/>
        </w:rPr>
        <w:t xml:space="preserve"> krūties vėžiu ir dalyvavusių </w:t>
      </w:r>
      <w:r w:rsidR="00037B34" w:rsidRPr="00273A3E">
        <w:rPr>
          <w:rFonts w:ascii="Times New Roman" w:hAnsi="Times New Roman"/>
          <w:lang w:val="lt-LT"/>
        </w:rPr>
        <w:t xml:space="preserve">atsitiktinių imčių </w:t>
      </w:r>
      <w:r w:rsidRPr="00273A3E">
        <w:rPr>
          <w:rFonts w:ascii="Times New Roman" w:hAnsi="Times New Roman"/>
          <w:lang w:val="lt-LT"/>
        </w:rPr>
        <w:t>PALOMA3 tyrime (žr. 5.1</w:t>
      </w:r>
      <w:r w:rsidR="00FF0074" w:rsidRPr="00273A3E">
        <w:rPr>
          <w:rFonts w:ascii="Times New Roman" w:hAnsi="Times New Roman"/>
          <w:lang w:val="lt-LT"/>
        </w:rPr>
        <w:t> skyri</w:t>
      </w:r>
      <w:r w:rsidRPr="00273A3E">
        <w:rPr>
          <w:rFonts w:ascii="Times New Roman" w:hAnsi="Times New Roman"/>
          <w:lang w:val="lt-LT"/>
        </w:rPr>
        <w:t xml:space="preserve">ų). Dažniausios (≥ 20 %) bet kurio laipsnio nepageidaujamos reakcijos, nustatytos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kartu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vartojusioms pacientėms, buvo </w:t>
      </w:r>
      <w:proofErr w:type="spellStart"/>
      <w:r w:rsidRPr="00273A3E">
        <w:rPr>
          <w:rFonts w:ascii="Times New Roman" w:hAnsi="Times New Roman"/>
          <w:lang w:val="lt-LT"/>
        </w:rPr>
        <w:t>neutropenija</w:t>
      </w:r>
      <w:proofErr w:type="spellEnd"/>
      <w:r w:rsidRPr="00273A3E">
        <w:rPr>
          <w:rFonts w:ascii="Times New Roman" w:hAnsi="Times New Roman"/>
          <w:lang w:val="lt-LT"/>
        </w:rPr>
        <w:t xml:space="preserve">, </w:t>
      </w:r>
      <w:proofErr w:type="spellStart"/>
      <w:r w:rsidRPr="00273A3E">
        <w:rPr>
          <w:rFonts w:ascii="Times New Roman" w:hAnsi="Times New Roman"/>
          <w:lang w:val="lt-LT"/>
        </w:rPr>
        <w:t>leukopenija</w:t>
      </w:r>
      <w:proofErr w:type="spellEnd"/>
      <w:r w:rsidRPr="00273A3E">
        <w:rPr>
          <w:rFonts w:ascii="Times New Roman" w:hAnsi="Times New Roman"/>
          <w:lang w:val="lt-LT"/>
        </w:rPr>
        <w:t xml:space="preserve">, infekcijos, nuovargis, pykinimas, anemija, stomatitas, viduriavimas, </w:t>
      </w:r>
      <w:proofErr w:type="spellStart"/>
      <w:r w:rsidRPr="00273A3E">
        <w:rPr>
          <w:rFonts w:ascii="Times New Roman" w:hAnsi="Times New Roman"/>
          <w:lang w:val="lt-LT"/>
        </w:rPr>
        <w:t>trombocitopenija</w:t>
      </w:r>
      <w:proofErr w:type="spellEnd"/>
      <w:r w:rsidRPr="00273A3E">
        <w:rPr>
          <w:rFonts w:ascii="Times New Roman" w:hAnsi="Times New Roman"/>
          <w:lang w:val="lt-LT"/>
        </w:rPr>
        <w:t xml:space="preserve"> ir vėmimas. Dažniausios (≥ 2 %) ≥ 3 laipsnio nepageidaujamos reakcijos buvo </w:t>
      </w:r>
      <w:proofErr w:type="spellStart"/>
      <w:r w:rsidRPr="00273A3E">
        <w:rPr>
          <w:rFonts w:ascii="Times New Roman" w:hAnsi="Times New Roman"/>
          <w:lang w:val="lt-LT"/>
        </w:rPr>
        <w:t>neutropenija</w:t>
      </w:r>
      <w:proofErr w:type="spellEnd"/>
      <w:r w:rsidRPr="00273A3E">
        <w:rPr>
          <w:rFonts w:ascii="Times New Roman" w:hAnsi="Times New Roman"/>
          <w:lang w:val="lt-LT"/>
        </w:rPr>
        <w:t xml:space="preserve">, </w:t>
      </w:r>
      <w:proofErr w:type="spellStart"/>
      <w:r w:rsidRPr="00273A3E">
        <w:rPr>
          <w:rFonts w:ascii="Times New Roman" w:hAnsi="Times New Roman"/>
          <w:lang w:val="lt-LT"/>
        </w:rPr>
        <w:t>leukopenija</w:t>
      </w:r>
      <w:proofErr w:type="spellEnd"/>
      <w:r w:rsidRPr="00273A3E">
        <w:rPr>
          <w:rFonts w:ascii="Times New Roman" w:hAnsi="Times New Roman"/>
          <w:lang w:val="lt-LT"/>
        </w:rPr>
        <w:t xml:space="preserve">, </w:t>
      </w:r>
      <w:r w:rsidR="00B53691" w:rsidRPr="00273A3E">
        <w:rPr>
          <w:rFonts w:ascii="Times New Roman" w:hAnsi="Times New Roman"/>
          <w:lang w:val="lt-LT"/>
        </w:rPr>
        <w:t xml:space="preserve">infekcijos, </w:t>
      </w:r>
      <w:r w:rsidRPr="00273A3E">
        <w:rPr>
          <w:rFonts w:ascii="Times New Roman" w:hAnsi="Times New Roman"/>
          <w:lang w:val="lt-LT"/>
        </w:rPr>
        <w:t xml:space="preserve">anemija, padidėjęs AST aktyvumas, </w:t>
      </w:r>
      <w:proofErr w:type="spellStart"/>
      <w:r w:rsidRPr="00273A3E">
        <w:rPr>
          <w:rFonts w:ascii="Times New Roman" w:hAnsi="Times New Roman"/>
          <w:lang w:val="lt-LT"/>
        </w:rPr>
        <w:t>trombocitopenija</w:t>
      </w:r>
      <w:proofErr w:type="spellEnd"/>
      <w:r w:rsidRPr="00273A3E">
        <w:rPr>
          <w:rFonts w:ascii="Times New Roman" w:hAnsi="Times New Roman"/>
          <w:lang w:val="lt-LT"/>
        </w:rPr>
        <w:t xml:space="preserve"> ir nuovargis.</w:t>
      </w:r>
    </w:p>
    <w:p w14:paraId="4C88B44D" w14:textId="77777777" w:rsidR="001E5C66" w:rsidRPr="00273A3E" w:rsidRDefault="001E5C66" w:rsidP="009F71ED">
      <w:pPr>
        <w:tabs>
          <w:tab w:val="left" w:pos="567"/>
        </w:tabs>
        <w:spacing w:after="0" w:line="240" w:lineRule="auto"/>
        <w:rPr>
          <w:rFonts w:ascii="Times New Roman" w:hAnsi="Times New Roman"/>
          <w:lang w:val="lt-LT"/>
        </w:rPr>
      </w:pPr>
    </w:p>
    <w:p w14:paraId="3379D60D"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2</w:t>
      </w:r>
      <w:r w:rsidR="00FF0074" w:rsidRPr="00273A3E">
        <w:rPr>
          <w:rFonts w:ascii="Times New Roman" w:hAnsi="Times New Roman"/>
          <w:lang w:val="lt-LT"/>
        </w:rPr>
        <w:t> lent</w:t>
      </w:r>
      <w:r w:rsidRPr="00273A3E">
        <w:rPr>
          <w:rFonts w:ascii="Times New Roman" w:hAnsi="Times New Roman"/>
          <w:lang w:val="lt-LT"/>
        </w:rPr>
        <w:t>elėje išvardytos nepageidaujamos reakcijos, nustatytos PALOMA3 tyrimo</w:t>
      </w:r>
      <w:r w:rsidR="00E96326"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w:t>
      </w:r>
    </w:p>
    <w:p w14:paraId="64156FA9"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vartojimo trukmės mediana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derinio grupės pacientėms buvo 11,2 mėn.,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placebo derinio – 4,8 mėn.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vartojimo trukmės mediana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derinio grupės pacientėms buvo 10,8 mėn.</w:t>
      </w:r>
    </w:p>
    <w:p w14:paraId="2569966A" w14:textId="77777777" w:rsidR="001E5C66" w:rsidRPr="00273A3E" w:rsidRDefault="001E5C66" w:rsidP="009F71ED">
      <w:pPr>
        <w:tabs>
          <w:tab w:val="left" w:pos="567"/>
        </w:tabs>
        <w:spacing w:after="0" w:line="240" w:lineRule="auto"/>
        <w:rPr>
          <w:rFonts w:ascii="Times New Roman" w:hAnsi="Times New Roman"/>
          <w:lang w:val="lt-LT"/>
        </w:rPr>
      </w:pPr>
    </w:p>
    <w:p w14:paraId="5EBC2930" w14:textId="77777777" w:rsidR="001E5C66" w:rsidRPr="00273A3E" w:rsidRDefault="001E5C66" w:rsidP="00914779">
      <w:pPr>
        <w:tabs>
          <w:tab w:val="left" w:pos="142"/>
          <w:tab w:val="left" w:pos="567"/>
          <w:tab w:val="left" w:pos="851"/>
        </w:tabs>
        <w:spacing w:after="0" w:line="240" w:lineRule="auto"/>
        <w:rPr>
          <w:rFonts w:ascii="Times New Roman" w:hAnsi="Times New Roman"/>
          <w:b/>
          <w:lang w:val="lt-LT"/>
        </w:rPr>
      </w:pPr>
      <w:r w:rsidRPr="00273A3E">
        <w:rPr>
          <w:rFonts w:ascii="Times New Roman" w:hAnsi="Times New Roman"/>
          <w:b/>
          <w:lang w:val="lt-LT"/>
        </w:rPr>
        <w:t>2</w:t>
      </w:r>
      <w:r w:rsidR="00FF0074" w:rsidRPr="00273A3E">
        <w:rPr>
          <w:rFonts w:ascii="Times New Roman" w:hAnsi="Times New Roman"/>
          <w:b/>
          <w:lang w:val="lt-LT"/>
        </w:rPr>
        <w:t> lent</w:t>
      </w:r>
      <w:r w:rsidRPr="00273A3E">
        <w:rPr>
          <w:rFonts w:ascii="Times New Roman" w:hAnsi="Times New Roman"/>
          <w:b/>
          <w:lang w:val="lt-LT"/>
        </w:rPr>
        <w:t>elė. Nepageidaujamos reakcijos remiantis PALOMA3 tyrimu (N</w:t>
      </w:r>
      <w:r w:rsidR="00FF0074" w:rsidRPr="00273A3E">
        <w:rPr>
          <w:rFonts w:ascii="Times New Roman" w:hAnsi="Times New Roman"/>
          <w:b/>
          <w:lang w:val="lt-LT"/>
        </w:rPr>
        <w:t> </w:t>
      </w:r>
      <w:r w:rsidRPr="00273A3E">
        <w:rPr>
          <w:rFonts w:ascii="Times New Roman" w:hAnsi="Times New Roman"/>
          <w:b/>
          <w:lang w:val="lt-LT"/>
        </w:rPr>
        <w:t>=</w:t>
      </w:r>
      <w:r w:rsidR="00FF0074" w:rsidRPr="00273A3E">
        <w:rPr>
          <w:rFonts w:ascii="Times New Roman" w:hAnsi="Times New Roman"/>
          <w:b/>
          <w:lang w:val="lt-LT"/>
        </w:rPr>
        <w:t> </w:t>
      </w:r>
      <w:r w:rsidRPr="00273A3E">
        <w:rPr>
          <w:rFonts w:ascii="Times New Roman" w:hAnsi="Times New Roman"/>
          <w:b/>
          <w:lang w:val="lt-LT"/>
        </w:rPr>
        <w:t>517)</w:t>
      </w:r>
    </w:p>
    <w:p w14:paraId="7384F79E" w14:textId="77777777" w:rsidR="00B420BE" w:rsidRPr="00273A3E" w:rsidRDefault="00B420BE" w:rsidP="00914779">
      <w:pPr>
        <w:tabs>
          <w:tab w:val="left" w:pos="142"/>
          <w:tab w:val="left" w:pos="567"/>
          <w:tab w:val="left" w:pos="851"/>
        </w:tabs>
        <w:spacing w:after="0" w:line="240" w:lineRule="auto"/>
        <w:rPr>
          <w:rFonts w:ascii="Times New Roman" w:hAnsi="Times New Roman"/>
          <w:b/>
          <w:lang w:val="lt-LT"/>
        </w:rPr>
      </w:pPr>
    </w:p>
    <w:tbl>
      <w:tblPr>
        <w:tblW w:w="5005"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3"/>
        <w:gridCol w:w="1607"/>
        <w:gridCol w:w="1458"/>
        <w:gridCol w:w="1648"/>
        <w:gridCol w:w="1571"/>
      </w:tblGrid>
      <w:tr w:rsidR="00B420BE" w:rsidRPr="00273A3E" w14:paraId="34A3A136" w14:textId="77777777" w:rsidTr="007F1B51">
        <w:trPr>
          <w:tblCellSpacing w:w="0" w:type="dxa"/>
        </w:trPr>
        <w:tc>
          <w:tcPr>
            <w:tcW w:w="1656" w:type="pct"/>
            <w:vMerge w:val="restart"/>
            <w:tcBorders>
              <w:top w:val="outset" w:sz="6" w:space="0" w:color="auto"/>
              <w:left w:val="outset" w:sz="6" w:space="0" w:color="auto"/>
              <w:right w:val="outset" w:sz="6" w:space="0" w:color="auto"/>
            </w:tcBorders>
            <w:vAlign w:val="center"/>
          </w:tcPr>
          <w:p w14:paraId="4F1C58CA"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Organų sistemų klasė</w:t>
            </w:r>
          </w:p>
          <w:p w14:paraId="0D8728E9"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Dažnis</w:t>
            </w:r>
          </w:p>
          <w:p w14:paraId="153918DC" w14:textId="77777777" w:rsidR="00B420BE" w:rsidRPr="00273A3E" w:rsidRDefault="00B420BE" w:rsidP="009F71ED">
            <w:pPr>
              <w:tabs>
                <w:tab w:val="left" w:pos="567"/>
              </w:tabs>
              <w:spacing w:after="0" w:line="240" w:lineRule="auto"/>
              <w:contextualSpacing/>
              <w:rPr>
                <w:rFonts w:ascii="Times New Roman" w:hAnsi="Times New Roman"/>
                <w:color w:val="000000"/>
                <w:lang w:val="lt-LT"/>
              </w:rPr>
            </w:pPr>
            <w:r w:rsidRPr="00273A3E">
              <w:rPr>
                <w:rFonts w:ascii="Times New Roman" w:hAnsi="Times New Roman"/>
                <w:b/>
                <w:lang w:val="lt-LT"/>
              </w:rPr>
              <w:t xml:space="preserve">Pasirinktinis terminas </w:t>
            </w:r>
            <w:r w:rsidRPr="00273A3E">
              <w:rPr>
                <w:rFonts w:ascii="Times New Roman" w:hAnsi="Times New Roman"/>
                <w:b/>
                <w:vertAlign w:val="superscript"/>
                <w:lang w:val="lt-LT"/>
              </w:rPr>
              <w:t>a</w:t>
            </w:r>
          </w:p>
        </w:tc>
        <w:tc>
          <w:tcPr>
            <w:tcW w:w="1631" w:type="pct"/>
            <w:gridSpan w:val="2"/>
            <w:tcBorders>
              <w:top w:val="outset" w:sz="6" w:space="0" w:color="auto"/>
              <w:left w:val="outset" w:sz="6" w:space="0" w:color="auto"/>
              <w:bottom w:val="outset" w:sz="6" w:space="0" w:color="auto"/>
              <w:right w:val="outset" w:sz="6" w:space="0" w:color="auto"/>
            </w:tcBorders>
            <w:vAlign w:val="center"/>
          </w:tcPr>
          <w:p w14:paraId="4A7B7BD3" w14:textId="77777777" w:rsidR="00B420BE" w:rsidRPr="00273A3E" w:rsidRDefault="00B420BE" w:rsidP="009F71ED">
            <w:pPr>
              <w:tabs>
                <w:tab w:val="left" w:pos="567"/>
              </w:tabs>
              <w:autoSpaceDE w:val="0"/>
              <w:autoSpaceDN w:val="0"/>
              <w:adjustRightInd w:val="0"/>
              <w:spacing w:after="0" w:line="240" w:lineRule="auto"/>
              <w:contextualSpacing/>
              <w:jc w:val="center"/>
              <w:rPr>
                <w:rFonts w:ascii="Times New Roman" w:eastAsia="Batang" w:hAnsi="Times New Roman"/>
                <w:b/>
                <w:lang w:val="lt-LT"/>
              </w:rPr>
            </w:pPr>
            <w:proofErr w:type="spellStart"/>
            <w:r w:rsidRPr="00273A3E">
              <w:rPr>
                <w:rFonts w:ascii="Times New Roman" w:eastAsia="Batang" w:hAnsi="Times New Roman"/>
                <w:b/>
                <w:lang w:val="lt-LT"/>
              </w:rPr>
              <w:t>Fulvestrantas</w:t>
            </w:r>
            <w:proofErr w:type="spellEnd"/>
            <w:r w:rsidRPr="00273A3E">
              <w:rPr>
                <w:rFonts w:ascii="Times New Roman" w:eastAsia="Batang" w:hAnsi="Times New Roman"/>
                <w:b/>
                <w:lang w:val="lt-LT"/>
              </w:rPr>
              <w:t xml:space="preserve"> + </w:t>
            </w:r>
            <w:proofErr w:type="spellStart"/>
            <w:r w:rsidRPr="00273A3E">
              <w:rPr>
                <w:rFonts w:ascii="Times New Roman" w:eastAsia="Batang" w:hAnsi="Times New Roman"/>
                <w:b/>
                <w:lang w:val="lt-LT"/>
              </w:rPr>
              <w:t>palbociklibas</w:t>
            </w:r>
            <w:proofErr w:type="spellEnd"/>
          </w:p>
          <w:p w14:paraId="7E4A2790" w14:textId="77777777" w:rsidR="00B420BE" w:rsidRPr="00273A3E" w:rsidRDefault="00B420BE" w:rsidP="009F71ED">
            <w:pPr>
              <w:tabs>
                <w:tab w:val="left" w:pos="567"/>
              </w:tabs>
              <w:spacing w:after="0" w:line="240" w:lineRule="auto"/>
              <w:contextualSpacing/>
              <w:jc w:val="center"/>
              <w:rPr>
                <w:rFonts w:ascii="Times New Roman" w:hAnsi="Times New Roman"/>
                <w:b/>
                <w:color w:val="000000"/>
                <w:lang w:val="lt-LT"/>
              </w:rPr>
            </w:pPr>
            <w:r w:rsidRPr="00273A3E">
              <w:rPr>
                <w:rFonts w:ascii="Times New Roman" w:eastAsia="Batang" w:hAnsi="Times New Roman"/>
                <w:b/>
                <w:lang w:val="lt-LT"/>
              </w:rPr>
              <w:t>(N</w:t>
            </w:r>
            <w:r w:rsidR="003008E6" w:rsidRPr="00273A3E">
              <w:rPr>
                <w:rFonts w:ascii="Times New Roman" w:eastAsia="Batang" w:hAnsi="Times New Roman"/>
                <w:b/>
                <w:lang w:val="lt-LT"/>
              </w:rPr>
              <w:t> </w:t>
            </w:r>
            <w:r w:rsidRPr="00273A3E">
              <w:rPr>
                <w:rFonts w:ascii="Times New Roman" w:eastAsia="Batang" w:hAnsi="Times New Roman"/>
                <w:b/>
                <w:lang w:val="lt-LT"/>
              </w:rPr>
              <w:t>=</w:t>
            </w:r>
            <w:r w:rsidR="003008E6" w:rsidRPr="00273A3E">
              <w:rPr>
                <w:rFonts w:ascii="Times New Roman" w:eastAsia="Batang" w:hAnsi="Times New Roman"/>
                <w:b/>
                <w:lang w:val="lt-LT"/>
              </w:rPr>
              <w:t> </w:t>
            </w:r>
            <w:r w:rsidRPr="00273A3E">
              <w:rPr>
                <w:rFonts w:ascii="Times New Roman" w:eastAsia="Batang" w:hAnsi="Times New Roman"/>
                <w:b/>
                <w:lang w:val="lt-LT"/>
              </w:rPr>
              <w:t>345)</w:t>
            </w:r>
          </w:p>
        </w:tc>
        <w:tc>
          <w:tcPr>
            <w:tcW w:w="1713" w:type="pct"/>
            <w:gridSpan w:val="2"/>
            <w:tcBorders>
              <w:top w:val="outset" w:sz="6" w:space="0" w:color="auto"/>
              <w:left w:val="outset" w:sz="6" w:space="0" w:color="auto"/>
              <w:bottom w:val="outset" w:sz="6" w:space="0" w:color="auto"/>
              <w:right w:val="outset" w:sz="6" w:space="0" w:color="auto"/>
            </w:tcBorders>
            <w:vAlign w:val="center"/>
          </w:tcPr>
          <w:p w14:paraId="7DDCBE50"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proofErr w:type="spellStart"/>
            <w:r w:rsidRPr="00273A3E">
              <w:rPr>
                <w:rFonts w:ascii="Times New Roman" w:hAnsi="Times New Roman"/>
                <w:b/>
                <w:lang w:val="lt-LT"/>
              </w:rPr>
              <w:t>Fulvestrantas</w:t>
            </w:r>
            <w:proofErr w:type="spellEnd"/>
            <w:r w:rsidRPr="00273A3E">
              <w:rPr>
                <w:rFonts w:ascii="Times New Roman" w:hAnsi="Times New Roman"/>
                <w:b/>
                <w:lang w:val="lt-LT"/>
              </w:rPr>
              <w:t xml:space="preserve"> + placebas</w:t>
            </w:r>
          </w:p>
          <w:p w14:paraId="187DFEC6"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172)</w:t>
            </w:r>
          </w:p>
        </w:tc>
      </w:tr>
      <w:tr w:rsidR="00B420BE" w:rsidRPr="00273A3E" w14:paraId="44486226" w14:textId="77777777" w:rsidTr="007F1B51">
        <w:trPr>
          <w:tblCellSpacing w:w="0" w:type="dxa"/>
        </w:trPr>
        <w:tc>
          <w:tcPr>
            <w:tcW w:w="1656" w:type="pct"/>
            <w:vMerge/>
            <w:tcBorders>
              <w:left w:val="outset" w:sz="6" w:space="0" w:color="auto"/>
              <w:bottom w:val="outset" w:sz="6" w:space="0" w:color="auto"/>
              <w:right w:val="outset" w:sz="6" w:space="0" w:color="auto"/>
            </w:tcBorders>
            <w:vAlign w:val="center"/>
            <w:hideMark/>
          </w:tcPr>
          <w:p w14:paraId="046C5FB3" w14:textId="77777777" w:rsidR="00B420BE" w:rsidRPr="00273A3E" w:rsidRDefault="00B420BE" w:rsidP="009F71ED">
            <w:pPr>
              <w:tabs>
                <w:tab w:val="left" w:pos="567"/>
              </w:tabs>
              <w:spacing w:after="0" w:line="240" w:lineRule="auto"/>
              <w:contextualSpacing/>
              <w:jc w:val="center"/>
              <w:rPr>
                <w:rFonts w:ascii="Times New Roman" w:hAnsi="Times New Roman"/>
                <w:color w:val="000000"/>
                <w:lang w:val="lt-LT"/>
              </w:rPr>
            </w:pPr>
          </w:p>
        </w:tc>
        <w:tc>
          <w:tcPr>
            <w:tcW w:w="855" w:type="pct"/>
            <w:tcBorders>
              <w:top w:val="outset" w:sz="6" w:space="0" w:color="auto"/>
              <w:left w:val="outset" w:sz="6" w:space="0" w:color="auto"/>
              <w:bottom w:val="outset" w:sz="6" w:space="0" w:color="auto"/>
              <w:right w:val="outset" w:sz="6" w:space="0" w:color="auto"/>
            </w:tcBorders>
            <w:vAlign w:val="center"/>
            <w:hideMark/>
          </w:tcPr>
          <w:p w14:paraId="4CA009A7" w14:textId="77777777" w:rsidR="00B420BE" w:rsidRPr="00273A3E" w:rsidRDefault="00B420BE" w:rsidP="009F71ED">
            <w:pPr>
              <w:keepNext/>
              <w:keepLines/>
              <w:tabs>
                <w:tab w:val="left" w:pos="567"/>
              </w:tabs>
              <w:spacing w:after="0" w:line="240" w:lineRule="auto"/>
              <w:contextualSpacing/>
              <w:jc w:val="center"/>
              <w:rPr>
                <w:rFonts w:ascii="Times New Roman" w:hAnsi="Times New Roman"/>
                <w:b/>
                <w:color w:val="000000"/>
                <w:lang w:val="lt-LT"/>
              </w:rPr>
            </w:pPr>
            <w:r w:rsidRPr="00273A3E">
              <w:rPr>
                <w:rFonts w:ascii="Times New Roman" w:hAnsi="Times New Roman"/>
                <w:b/>
                <w:color w:val="000000"/>
                <w:lang w:val="lt-LT"/>
              </w:rPr>
              <w:t>Visų laipsnių</w:t>
            </w:r>
          </w:p>
          <w:p w14:paraId="329F2B47" w14:textId="77777777" w:rsidR="00B420BE" w:rsidRPr="00273A3E" w:rsidRDefault="00B420BE" w:rsidP="009F71ED">
            <w:pPr>
              <w:tabs>
                <w:tab w:val="left" w:pos="567"/>
              </w:tabs>
              <w:spacing w:after="0" w:line="240" w:lineRule="auto"/>
              <w:contextualSpacing/>
              <w:jc w:val="center"/>
              <w:rPr>
                <w:rFonts w:ascii="Times New Roman" w:hAnsi="Times New Roman"/>
                <w:b/>
                <w:color w:val="000000"/>
                <w:lang w:val="lt-LT"/>
              </w:rPr>
            </w:pPr>
            <w:r w:rsidRPr="00273A3E">
              <w:rPr>
                <w:rFonts w:ascii="Times New Roman" w:hAnsi="Times New Roman"/>
                <w:b/>
                <w:color w:val="000000"/>
                <w:lang w:val="lt-LT"/>
              </w:rPr>
              <w:t>n (%)</w:t>
            </w:r>
          </w:p>
        </w:tc>
        <w:tc>
          <w:tcPr>
            <w:tcW w:w="776" w:type="pct"/>
            <w:tcBorders>
              <w:top w:val="outset" w:sz="6" w:space="0" w:color="auto"/>
              <w:left w:val="outset" w:sz="6" w:space="0" w:color="auto"/>
              <w:bottom w:val="outset" w:sz="6" w:space="0" w:color="auto"/>
              <w:right w:val="outset" w:sz="6" w:space="0" w:color="auto"/>
            </w:tcBorders>
            <w:vAlign w:val="center"/>
          </w:tcPr>
          <w:p w14:paraId="1F4C13F1" w14:textId="77777777" w:rsidR="00B420BE" w:rsidRPr="00273A3E" w:rsidRDefault="00B420BE" w:rsidP="009F71ED">
            <w:pPr>
              <w:keepNext/>
              <w:keepLines/>
              <w:tabs>
                <w:tab w:val="left" w:pos="567"/>
              </w:tabs>
              <w:spacing w:after="0" w:line="240" w:lineRule="auto"/>
              <w:contextualSpacing/>
              <w:jc w:val="center"/>
              <w:rPr>
                <w:rFonts w:ascii="Times New Roman" w:hAnsi="Times New Roman"/>
                <w:b/>
                <w:color w:val="000000"/>
                <w:lang w:val="lt-LT"/>
              </w:rPr>
            </w:pPr>
            <w:r w:rsidRPr="00273A3E">
              <w:rPr>
                <w:rFonts w:ascii="Times New Roman" w:hAnsi="Times New Roman"/>
                <w:b/>
                <w:color w:val="000000"/>
                <w:lang w:val="lt-LT"/>
              </w:rPr>
              <w:t>≥ 3 laipsnio</w:t>
            </w:r>
          </w:p>
          <w:p w14:paraId="44A5D386" w14:textId="77777777" w:rsidR="00B420BE" w:rsidRPr="00273A3E" w:rsidRDefault="00B420BE" w:rsidP="009F71ED">
            <w:pPr>
              <w:tabs>
                <w:tab w:val="left" w:pos="567"/>
              </w:tabs>
              <w:spacing w:after="0" w:line="240" w:lineRule="auto"/>
              <w:contextualSpacing/>
              <w:jc w:val="center"/>
              <w:rPr>
                <w:rFonts w:ascii="Times New Roman" w:hAnsi="Times New Roman"/>
                <w:b/>
                <w:color w:val="000000"/>
                <w:lang w:val="lt-LT"/>
              </w:rPr>
            </w:pPr>
            <w:r w:rsidRPr="00273A3E">
              <w:rPr>
                <w:rFonts w:ascii="Times New Roman" w:hAnsi="Times New Roman"/>
                <w:b/>
                <w:color w:val="000000"/>
                <w:lang w:val="lt-LT"/>
              </w:rPr>
              <w:t>n (%)</w:t>
            </w:r>
          </w:p>
        </w:tc>
        <w:tc>
          <w:tcPr>
            <w:tcW w:w="877" w:type="pct"/>
            <w:tcBorders>
              <w:top w:val="outset" w:sz="6" w:space="0" w:color="auto"/>
              <w:left w:val="outset" w:sz="6" w:space="0" w:color="auto"/>
              <w:bottom w:val="outset" w:sz="6" w:space="0" w:color="auto"/>
              <w:right w:val="outset" w:sz="6" w:space="0" w:color="auto"/>
            </w:tcBorders>
            <w:vAlign w:val="center"/>
          </w:tcPr>
          <w:p w14:paraId="28B0A6C1"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Visų laipsnių</w:t>
            </w:r>
          </w:p>
          <w:p w14:paraId="1BFA033F"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n (%)</w:t>
            </w:r>
          </w:p>
        </w:tc>
        <w:tc>
          <w:tcPr>
            <w:tcW w:w="836" w:type="pct"/>
            <w:tcBorders>
              <w:top w:val="outset" w:sz="6" w:space="0" w:color="auto"/>
              <w:left w:val="outset" w:sz="6" w:space="0" w:color="auto"/>
              <w:bottom w:val="outset" w:sz="6" w:space="0" w:color="auto"/>
              <w:right w:val="outset" w:sz="6" w:space="0" w:color="auto"/>
            </w:tcBorders>
            <w:vAlign w:val="center"/>
            <w:hideMark/>
          </w:tcPr>
          <w:p w14:paraId="615B4627" w14:textId="77777777" w:rsidR="00B420BE" w:rsidRPr="00273A3E" w:rsidRDefault="00B420BE" w:rsidP="009F71ED">
            <w:pPr>
              <w:tabs>
                <w:tab w:val="left" w:pos="567"/>
              </w:tabs>
              <w:spacing w:after="0" w:line="240" w:lineRule="auto"/>
              <w:contextualSpacing/>
              <w:jc w:val="center"/>
              <w:rPr>
                <w:rFonts w:ascii="Times New Roman" w:hAnsi="Times New Roman"/>
                <w:b/>
                <w:color w:val="000000"/>
                <w:lang w:val="lt-LT"/>
              </w:rPr>
            </w:pPr>
            <w:r w:rsidRPr="00273A3E">
              <w:rPr>
                <w:rFonts w:ascii="Times New Roman" w:hAnsi="Times New Roman"/>
                <w:b/>
                <w:color w:val="000000"/>
                <w:lang w:val="lt-LT"/>
              </w:rPr>
              <w:t>≥ 3 laipsnio</w:t>
            </w:r>
          </w:p>
          <w:p w14:paraId="059F1DD7" w14:textId="77777777" w:rsidR="00B420BE" w:rsidRPr="00273A3E" w:rsidRDefault="00B420BE" w:rsidP="009F71ED">
            <w:pPr>
              <w:tabs>
                <w:tab w:val="left" w:pos="567"/>
              </w:tabs>
              <w:spacing w:after="0" w:line="240" w:lineRule="auto"/>
              <w:contextualSpacing/>
              <w:jc w:val="center"/>
              <w:rPr>
                <w:rFonts w:ascii="Times New Roman" w:hAnsi="Times New Roman"/>
                <w:b/>
                <w:color w:val="000000"/>
                <w:lang w:val="lt-LT"/>
              </w:rPr>
            </w:pPr>
            <w:r w:rsidRPr="00273A3E">
              <w:rPr>
                <w:rFonts w:ascii="Times New Roman" w:hAnsi="Times New Roman"/>
                <w:b/>
                <w:color w:val="000000"/>
                <w:lang w:val="lt-LT"/>
              </w:rPr>
              <w:t>n (%)</w:t>
            </w:r>
          </w:p>
        </w:tc>
      </w:tr>
      <w:tr w:rsidR="00B420BE" w:rsidRPr="00273A3E" w14:paraId="5D4B55C2" w14:textId="77777777" w:rsidTr="00887C53">
        <w:trPr>
          <w:trHeight w:val="214"/>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27EA299E"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xml:space="preserve">Infekcijos ir </w:t>
            </w:r>
            <w:proofErr w:type="spellStart"/>
            <w:r w:rsidRPr="00273A3E">
              <w:rPr>
                <w:rFonts w:ascii="Times New Roman" w:hAnsi="Times New Roman"/>
                <w:b/>
                <w:lang w:val="lt-LT"/>
              </w:rPr>
              <w:t>infestacijos</w:t>
            </w:r>
            <w:proofErr w:type="spellEnd"/>
          </w:p>
        </w:tc>
      </w:tr>
      <w:tr w:rsidR="00B420BE" w:rsidRPr="00273A3E" w14:paraId="2B81FBDE"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2E25D8A2"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7CF47A91"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4A0F03F6"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3D17D4CD"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564B8D8B" w14:textId="77777777" w:rsidR="00B420BE" w:rsidRPr="00273A3E" w:rsidRDefault="00B420BE" w:rsidP="009F71ED">
            <w:pPr>
              <w:tabs>
                <w:tab w:val="left" w:pos="567"/>
              </w:tabs>
              <w:spacing w:after="0" w:line="240" w:lineRule="auto"/>
              <w:contextualSpacing/>
              <w:rPr>
                <w:rFonts w:ascii="Times New Roman" w:hAnsi="Times New Roman"/>
                <w:lang w:val="lt-LT"/>
              </w:rPr>
            </w:pPr>
          </w:p>
        </w:tc>
      </w:tr>
      <w:tr w:rsidR="00B420BE" w:rsidRPr="00273A3E" w14:paraId="6B5C29F7"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34A83C7B"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 xml:space="preserve">Infekcijos </w:t>
            </w:r>
            <w:r w:rsidRPr="00273A3E">
              <w:rPr>
                <w:rFonts w:ascii="Times New Roman" w:hAnsi="Times New Roman"/>
                <w:vertAlign w:val="superscript"/>
                <w:lang w:val="lt-LT"/>
              </w:rPr>
              <w:t>b</w:t>
            </w:r>
          </w:p>
        </w:tc>
        <w:tc>
          <w:tcPr>
            <w:tcW w:w="855" w:type="pct"/>
            <w:tcBorders>
              <w:top w:val="outset" w:sz="6" w:space="0" w:color="auto"/>
              <w:left w:val="outset" w:sz="6" w:space="0" w:color="auto"/>
              <w:bottom w:val="outset" w:sz="6" w:space="0" w:color="auto"/>
              <w:right w:val="outset" w:sz="6" w:space="0" w:color="auto"/>
            </w:tcBorders>
          </w:tcPr>
          <w:p w14:paraId="35250371"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188 (54,5)</w:t>
            </w:r>
          </w:p>
        </w:tc>
        <w:tc>
          <w:tcPr>
            <w:tcW w:w="776" w:type="pct"/>
            <w:tcBorders>
              <w:top w:val="outset" w:sz="6" w:space="0" w:color="auto"/>
              <w:left w:val="outset" w:sz="6" w:space="0" w:color="auto"/>
              <w:bottom w:val="outset" w:sz="6" w:space="0" w:color="auto"/>
              <w:right w:val="outset" w:sz="6" w:space="0" w:color="auto"/>
            </w:tcBorders>
          </w:tcPr>
          <w:p w14:paraId="6801C7D6"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19</w:t>
            </w:r>
            <w:r w:rsidRPr="00273A3E">
              <w:rPr>
                <w:rFonts w:ascii="Times New Roman" w:hAnsi="Times New Roman"/>
                <w:spacing w:val="1"/>
                <w:lang w:val="lt-LT"/>
              </w:rPr>
              <w:t xml:space="preserve"> (5,5</w:t>
            </w:r>
            <w:r w:rsidRPr="00273A3E">
              <w:rPr>
                <w:rFonts w:ascii="Times New Roman" w:hAnsi="Times New Roman"/>
                <w:lang w:val="lt-LT"/>
              </w:rPr>
              <w:t>)</w:t>
            </w:r>
          </w:p>
        </w:tc>
        <w:tc>
          <w:tcPr>
            <w:tcW w:w="877" w:type="pct"/>
            <w:tcBorders>
              <w:top w:val="outset" w:sz="6" w:space="0" w:color="auto"/>
              <w:left w:val="outset" w:sz="6" w:space="0" w:color="auto"/>
              <w:bottom w:val="outset" w:sz="6" w:space="0" w:color="auto"/>
              <w:right w:val="outset" w:sz="6" w:space="0" w:color="auto"/>
            </w:tcBorders>
          </w:tcPr>
          <w:p w14:paraId="275C4904"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60 </w:t>
            </w:r>
            <w:r w:rsidRPr="00273A3E">
              <w:rPr>
                <w:rFonts w:ascii="Times New Roman" w:hAnsi="Times New Roman"/>
                <w:lang w:val="lt-LT"/>
              </w:rPr>
              <w:t>(34,9)</w:t>
            </w:r>
          </w:p>
        </w:tc>
        <w:tc>
          <w:tcPr>
            <w:tcW w:w="836" w:type="pct"/>
            <w:tcBorders>
              <w:top w:val="outset" w:sz="6" w:space="0" w:color="auto"/>
              <w:left w:val="outset" w:sz="6" w:space="0" w:color="auto"/>
              <w:bottom w:val="outset" w:sz="6" w:space="0" w:color="auto"/>
              <w:right w:val="outset" w:sz="6" w:space="0" w:color="auto"/>
            </w:tcBorders>
          </w:tcPr>
          <w:p w14:paraId="1A69E3FD"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6 </w:t>
            </w:r>
            <w:r w:rsidRPr="00273A3E">
              <w:rPr>
                <w:rFonts w:ascii="Times New Roman" w:hAnsi="Times New Roman"/>
                <w:lang w:val="lt-LT"/>
              </w:rPr>
              <w:t>(3,5)</w:t>
            </w:r>
          </w:p>
        </w:tc>
      </w:tr>
      <w:tr w:rsidR="00B420BE" w:rsidRPr="00273A3E" w14:paraId="5041C644" w14:textId="77777777" w:rsidTr="00887C5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49C2C664"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Kraujo ir limfinės sistemos sutrikimai</w:t>
            </w:r>
          </w:p>
        </w:tc>
      </w:tr>
      <w:tr w:rsidR="00B420BE" w:rsidRPr="00273A3E" w14:paraId="163E24EC"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065FF3AD"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2A13E693"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58816E1E"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786A5122"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21B77632" w14:textId="77777777" w:rsidR="00B420BE" w:rsidRPr="00273A3E" w:rsidRDefault="00B420BE" w:rsidP="009F71ED">
            <w:pPr>
              <w:tabs>
                <w:tab w:val="left" w:pos="567"/>
              </w:tabs>
              <w:spacing w:after="0" w:line="240" w:lineRule="auto"/>
              <w:contextualSpacing/>
              <w:rPr>
                <w:rFonts w:ascii="Times New Roman" w:hAnsi="Times New Roman"/>
                <w:lang w:val="lt-LT"/>
              </w:rPr>
            </w:pPr>
          </w:p>
        </w:tc>
      </w:tr>
      <w:tr w:rsidR="00B420BE" w:rsidRPr="00273A3E" w14:paraId="1FD3DB00"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691B3385" w14:textId="77777777" w:rsidR="00B420BE" w:rsidRPr="00273A3E" w:rsidRDefault="00B420BE" w:rsidP="009F71ED">
            <w:pPr>
              <w:tabs>
                <w:tab w:val="left" w:pos="567"/>
              </w:tabs>
              <w:spacing w:after="0" w:line="240" w:lineRule="auto"/>
              <w:contextualSpacing/>
              <w:rPr>
                <w:rFonts w:ascii="Times New Roman" w:hAnsi="Times New Roman"/>
                <w:lang w:val="lt-LT"/>
              </w:rPr>
            </w:pPr>
            <w:proofErr w:type="spellStart"/>
            <w:r w:rsidRPr="00273A3E">
              <w:rPr>
                <w:rFonts w:ascii="Times New Roman" w:hAnsi="Times New Roman"/>
                <w:lang w:val="lt-LT"/>
              </w:rPr>
              <w:t>Neutropenija</w:t>
            </w:r>
            <w:proofErr w:type="spellEnd"/>
            <w:r w:rsidRPr="00273A3E">
              <w:rPr>
                <w:rFonts w:ascii="Times New Roman" w:hAnsi="Times New Roman"/>
                <w:lang w:val="lt-LT"/>
              </w:rPr>
              <w:t xml:space="preserve"> </w:t>
            </w:r>
            <w:r w:rsidRPr="00273A3E">
              <w:rPr>
                <w:rFonts w:ascii="Times New Roman" w:hAnsi="Times New Roman"/>
                <w:vertAlign w:val="superscript"/>
                <w:lang w:val="lt-LT"/>
              </w:rPr>
              <w:t>c</w:t>
            </w:r>
          </w:p>
        </w:tc>
        <w:tc>
          <w:tcPr>
            <w:tcW w:w="855" w:type="pct"/>
            <w:tcBorders>
              <w:top w:val="outset" w:sz="6" w:space="0" w:color="auto"/>
              <w:left w:val="outset" w:sz="6" w:space="0" w:color="auto"/>
              <w:bottom w:val="outset" w:sz="6" w:space="0" w:color="auto"/>
              <w:right w:val="outset" w:sz="6" w:space="0" w:color="auto"/>
            </w:tcBorders>
          </w:tcPr>
          <w:p w14:paraId="53946196"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290 (84,1)</w:t>
            </w:r>
          </w:p>
        </w:tc>
        <w:tc>
          <w:tcPr>
            <w:tcW w:w="776" w:type="pct"/>
            <w:tcBorders>
              <w:top w:val="outset" w:sz="6" w:space="0" w:color="auto"/>
              <w:left w:val="outset" w:sz="6" w:space="0" w:color="auto"/>
              <w:bottom w:val="outset" w:sz="6" w:space="0" w:color="auto"/>
              <w:right w:val="outset" w:sz="6" w:space="0" w:color="auto"/>
            </w:tcBorders>
          </w:tcPr>
          <w:p w14:paraId="7E70A363"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240 (69,6)</w:t>
            </w:r>
          </w:p>
        </w:tc>
        <w:tc>
          <w:tcPr>
            <w:tcW w:w="877" w:type="pct"/>
            <w:tcBorders>
              <w:top w:val="outset" w:sz="6" w:space="0" w:color="auto"/>
              <w:left w:val="outset" w:sz="6" w:space="0" w:color="auto"/>
              <w:bottom w:val="outset" w:sz="6" w:space="0" w:color="auto"/>
              <w:right w:val="outset" w:sz="6" w:space="0" w:color="auto"/>
            </w:tcBorders>
          </w:tcPr>
          <w:p w14:paraId="4238FC62"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6 (3,5)</w:t>
            </w:r>
          </w:p>
        </w:tc>
        <w:tc>
          <w:tcPr>
            <w:tcW w:w="836" w:type="pct"/>
            <w:tcBorders>
              <w:top w:val="outset" w:sz="6" w:space="0" w:color="auto"/>
              <w:left w:val="outset" w:sz="6" w:space="0" w:color="auto"/>
              <w:bottom w:val="outset" w:sz="6" w:space="0" w:color="auto"/>
              <w:right w:val="outset" w:sz="6" w:space="0" w:color="auto"/>
            </w:tcBorders>
          </w:tcPr>
          <w:p w14:paraId="1F371957"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kern w:val="28"/>
                <w:lang w:val="lt-LT"/>
              </w:rPr>
              <w:t>0</w:t>
            </w:r>
          </w:p>
        </w:tc>
      </w:tr>
      <w:tr w:rsidR="00B420BE" w:rsidRPr="00273A3E" w14:paraId="79C1EEAC"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1D8551EA" w14:textId="77777777" w:rsidR="00B420BE" w:rsidRPr="00273A3E" w:rsidRDefault="00B420BE" w:rsidP="009F71ED">
            <w:pPr>
              <w:tabs>
                <w:tab w:val="left" w:pos="567"/>
              </w:tabs>
              <w:spacing w:after="0" w:line="240" w:lineRule="auto"/>
              <w:contextualSpacing/>
              <w:rPr>
                <w:rFonts w:ascii="Times New Roman" w:hAnsi="Times New Roman"/>
                <w:lang w:val="lt-LT"/>
              </w:rPr>
            </w:pPr>
            <w:proofErr w:type="spellStart"/>
            <w:r w:rsidRPr="00273A3E">
              <w:rPr>
                <w:rFonts w:ascii="Times New Roman" w:hAnsi="Times New Roman"/>
                <w:lang w:val="lt-LT"/>
              </w:rPr>
              <w:t>Leukopenija</w:t>
            </w:r>
            <w:proofErr w:type="spellEnd"/>
            <w:r w:rsidRPr="00273A3E">
              <w:rPr>
                <w:rFonts w:ascii="Times New Roman" w:hAnsi="Times New Roman"/>
                <w:lang w:val="lt-LT"/>
              </w:rPr>
              <w:t xml:space="preserve"> </w:t>
            </w:r>
            <w:r w:rsidRPr="00273A3E">
              <w:rPr>
                <w:rFonts w:ascii="Times New Roman" w:hAnsi="Times New Roman"/>
                <w:vertAlign w:val="superscript"/>
                <w:lang w:val="lt-LT"/>
              </w:rPr>
              <w:t>d</w:t>
            </w:r>
          </w:p>
        </w:tc>
        <w:tc>
          <w:tcPr>
            <w:tcW w:w="855" w:type="pct"/>
            <w:tcBorders>
              <w:top w:val="outset" w:sz="6" w:space="0" w:color="auto"/>
              <w:left w:val="outset" w:sz="6" w:space="0" w:color="auto"/>
              <w:bottom w:val="outset" w:sz="6" w:space="0" w:color="auto"/>
              <w:right w:val="outset" w:sz="6" w:space="0" w:color="auto"/>
            </w:tcBorders>
          </w:tcPr>
          <w:p w14:paraId="1EA4395A"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207 (60,0)</w:t>
            </w:r>
          </w:p>
        </w:tc>
        <w:tc>
          <w:tcPr>
            <w:tcW w:w="776" w:type="pct"/>
            <w:tcBorders>
              <w:top w:val="outset" w:sz="6" w:space="0" w:color="auto"/>
              <w:left w:val="outset" w:sz="6" w:space="0" w:color="auto"/>
              <w:bottom w:val="outset" w:sz="6" w:space="0" w:color="auto"/>
              <w:right w:val="outset" w:sz="6" w:space="0" w:color="auto"/>
            </w:tcBorders>
          </w:tcPr>
          <w:p w14:paraId="1D390624"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132 (38,3)</w:t>
            </w:r>
          </w:p>
        </w:tc>
        <w:tc>
          <w:tcPr>
            <w:tcW w:w="877" w:type="pct"/>
            <w:tcBorders>
              <w:top w:val="outset" w:sz="6" w:space="0" w:color="auto"/>
              <w:left w:val="outset" w:sz="6" w:space="0" w:color="auto"/>
              <w:bottom w:val="outset" w:sz="6" w:space="0" w:color="auto"/>
              <w:right w:val="outset" w:sz="6" w:space="0" w:color="auto"/>
            </w:tcBorders>
          </w:tcPr>
          <w:p w14:paraId="2FAD61C1"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9</w:t>
            </w:r>
            <w:r w:rsidRPr="00273A3E">
              <w:rPr>
                <w:rFonts w:ascii="Times New Roman" w:hAnsi="Times New Roman"/>
                <w:spacing w:val="1"/>
                <w:lang w:val="lt-LT"/>
              </w:rPr>
              <w:t xml:space="preserve"> </w:t>
            </w:r>
            <w:r w:rsidRPr="00273A3E">
              <w:rPr>
                <w:rFonts w:ascii="Times New Roman" w:hAnsi="Times New Roman"/>
                <w:lang w:val="lt-LT"/>
              </w:rPr>
              <w:t>(5,2)</w:t>
            </w:r>
          </w:p>
        </w:tc>
        <w:tc>
          <w:tcPr>
            <w:tcW w:w="836" w:type="pct"/>
            <w:tcBorders>
              <w:top w:val="outset" w:sz="6" w:space="0" w:color="auto"/>
              <w:left w:val="outset" w:sz="6" w:space="0" w:color="auto"/>
              <w:bottom w:val="outset" w:sz="6" w:space="0" w:color="auto"/>
              <w:right w:val="outset" w:sz="6" w:space="0" w:color="auto"/>
            </w:tcBorders>
          </w:tcPr>
          <w:p w14:paraId="298BF850"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1 </w:t>
            </w:r>
            <w:r w:rsidRPr="00273A3E">
              <w:rPr>
                <w:rFonts w:ascii="Times New Roman" w:hAnsi="Times New Roman"/>
                <w:lang w:val="lt-LT"/>
              </w:rPr>
              <w:t>(0,6)</w:t>
            </w:r>
          </w:p>
        </w:tc>
      </w:tr>
      <w:tr w:rsidR="00B420BE" w:rsidRPr="00273A3E" w14:paraId="69478394"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1FEE45FB"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 xml:space="preserve">Anemija </w:t>
            </w:r>
            <w:r w:rsidRPr="00273A3E">
              <w:rPr>
                <w:rFonts w:ascii="Times New Roman" w:hAnsi="Times New Roman"/>
                <w:vertAlign w:val="superscript"/>
                <w:lang w:val="lt-LT"/>
              </w:rPr>
              <w:t>e</w:t>
            </w:r>
          </w:p>
        </w:tc>
        <w:tc>
          <w:tcPr>
            <w:tcW w:w="855" w:type="pct"/>
            <w:tcBorders>
              <w:top w:val="outset" w:sz="6" w:space="0" w:color="auto"/>
              <w:left w:val="outset" w:sz="6" w:space="0" w:color="auto"/>
              <w:bottom w:val="outset" w:sz="6" w:space="0" w:color="auto"/>
              <w:right w:val="outset" w:sz="6" w:space="0" w:color="auto"/>
            </w:tcBorders>
          </w:tcPr>
          <w:p w14:paraId="12FF6DA7"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109 (31,6)</w:t>
            </w:r>
          </w:p>
        </w:tc>
        <w:tc>
          <w:tcPr>
            <w:tcW w:w="776" w:type="pct"/>
            <w:tcBorders>
              <w:top w:val="outset" w:sz="6" w:space="0" w:color="auto"/>
              <w:left w:val="outset" w:sz="6" w:space="0" w:color="auto"/>
              <w:bottom w:val="outset" w:sz="6" w:space="0" w:color="auto"/>
              <w:right w:val="outset" w:sz="6" w:space="0" w:color="auto"/>
            </w:tcBorders>
          </w:tcPr>
          <w:p w14:paraId="6C1E4D5F"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15 </w:t>
            </w:r>
            <w:r w:rsidRPr="00273A3E">
              <w:rPr>
                <w:rFonts w:ascii="Times New Roman" w:hAnsi="Times New Roman"/>
                <w:lang w:val="lt-LT"/>
              </w:rPr>
              <w:t>(4,3)</w:t>
            </w:r>
          </w:p>
        </w:tc>
        <w:tc>
          <w:tcPr>
            <w:tcW w:w="877" w:type="pct"/>
            <w:tcBorders>
              <w:top w:val="outset" w:sz="6" w:space="0" w:color="auto"/>
              <w:left w:val="outset" w:sz="6" w:space="0" w:color="auto"/>
              <w:bottom w:val="outset" w:sz="6" w:space="0" w:color="auto"/>
              <w:right w:val="outset" w:sz="6" w:space="0" w:color="auto"/>
            </w:tcBorders>
          </w:tcPr>
          <w:p w14:paraId="618B2E12"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24</w:t>
            </w:r>
            <w:r w:rsidRPr="00273A3E">
              <w:rPr>
                <w:rFonts w:ascii="Times New Roman" w:hAnsi="Times New Roman"/>
                <w:spacing w:val="1"/>
                <w:lang w:val="lt-LT"/>
              </w:rPr>
              <w:t xml:space="preserve"> </w:t>
            </w:r>
            <w:r w:rsidRPr="00273A3E">
              <w:rPr>
                <w:rFonts w:ascii="Times New Roman" w:hAnsi="Times New Roman"/>
                <w:lang w:val="lt-LT"/>
              </w:rPr>
              <w:t>(14,0)</w:t>
            </w:r>
          </w:p>
        </w:tc>
        <w:tc>
          <w:tcPr>
            <w:tcW w:w="836" w:type="pct"/>
            <w:tcBorders>
              <w:top w:val="outset" w:sz="6" w:space="0" w:color="auto"/>
              <w:left w:val="outset" w:sz="6" w:space="0" w:color="auto"/>
              <w:bottom w:val="outset" w:sz="6" w:space="0" w:color="auto"/>
              <w:right w:val="outset" w:sz="6" w:space="0" w:color="auto"/>
            </w:tcBorders>
          </w:tcPr>
          <w:p w14:paraId="33734C6B"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4 </w:t>
            </w:r>
            <w:r w:rsidRPr="00273A3E">
              <w:rPr>
                <w:rFonts w:ascii="Times New Roman" w:hAnsi="Times New Roman"/>
                <w:lang w:val="lt-LT"/>
              </w:rPr>
              <w:t>(2,3)</w:t>
            </w:r>
          </w:p>
        </w:tc>
      </w:tr>
      <w:tr w:rsidR="00B420BE" w:rsidRPr="00273A3E" w14:paraId="2E2DB277"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778FB561" w14:textId="77777777" w:rsidR="00B420BE" w:rsidRPr="00273A3E" w:rsidRDefault="00B420BE" w:rsidP="009F71ED">
            <w:pPr>
              <w:tabs>
                <w:tab w:val="left" w:pos="567"/>
              </w:tabs>
              <w:spacing w:after="0" w:line="240" w:lineRule="auto"/>
              <w:contextualSpacing/>
              <w:rPr>
                <w:rFonts w:ascii="Times New Roman" w:hAnsi="Times New Roman"/>
                <w:lang w:val="lt-LT"/>
              </w:rPr>
            </w:pPr>
            <w:proofErr w:type="spellStart"/>
            <w:r w:rsidRPr="00273A3E">
              <w:rPr>
                <w:rFonts w:ascii="Times New Roman" w:hAnsi="Times New Roman"/>
                <w:lang w:val="lt-LT"/>
              </w:rPr>
              <w:t>Trombocitopenija</w:t>
            </w:r>
            <w:proofErr w:type="spellEnd"/>
            <w:r w:rsidRPr="00273A3E">
              <w:rPr>
                <w:rFonts w:ascii="Times New Roman" w:hAnsi="Times New Roman"/>
                <w:lang w:val="lt-LT"/>
              </w:rPr>
              <w:t xml:space="preserve"> </w:t>
            </w:r>
            <w:r w:rsidRPr="00273A3E">
              <w:rPr>
                <w:rFonts w:ascii="Times New Roman" w:hAnsi="Times New Roman"/>
                <w:vertAlign w:val="superscript"/>
                <w:lang w:val="lt-LT"/>
              </w:rPr>
              <w:t>f</w:t>
            </w:r>
          </w:p>
        </w:tc>
        <w:tc>
          <w:tcPr>
            <w:tcW w:w="855" w:type="pct"/>
            <w:tcBorders>
              <w:top w:val="outset" w:sz="6" w:space="0" w:color="auto"/>
              <w:left w:val="outset" w:sz="6" w:space="0" w:color="auto"/>
              <w:bottom w:val="outset" w:sz="6" w:space="0" w:color="auto"/>
              <w:right w:val="outset" w:sz="6" w:space="0" w:color="auto"/>
            </w:tcBorders>
          </w:tcPr>
          <w:p w14:paraId="5F2E4AAA"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88</w:t>
            </w:r>
            <w:r w:rsidRPr="00273A3E">
              <w:rPr>
                <w:rFonts w:ascii="Times New Roman" w:hAnsi="Times New Roman"/>
                <w:spacing w:val="1"/>
                <w:lang w:val="lt-LT"/>
              </w:rPr>
              <w:t xml:space="preserve"> </w:t>
            </w:r>
            <w:r w:rsidRPr="00273A3E">
              <w:rPr>
                <w:rFonts w:ascii="Times New Roman" w:hAnsi="Times New Roman"/>
                <w:lang w:val="lt-LT"/>
              </w:rPr>
              <w:t>(25,5)</w:t>
            </w:r>
          </w:p>
        </w:tc>
        <w:tc>
          <w:tcPr>
            <w:tcW w:w="776" w:type="pct"/>
            <w:tcBorders>
              <w:top w:val="outset" w:sz="6" w:space="0" w:color="auto"/>
              <w:left w:val="outset" w:sz="6" w:space="0" w:color="auto"/>
              <w:bottom w:val="outset" w:sz="6" w:space="0" w:color="auto"/>
              <w:right w:val="outset" w:sz="6" w:space="0" w:color="auto"/>
            </w:tcBorders>
          </w:tcPr>
          <w:p w14:paraId="0DF3427D"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10 </w:t>
            </w:r>
            <w:r w:rsidRPr="00273A3E">
              <w:rPr>
                <w:rFonts w:ascii="Times New Roman" w:hAnsi="Times New Roman"/>
                <w:lang w:val="lt-LT"/>
              </w:rPr>
              <w:t>(2,9)</w:t>
            </w:r>
          </w:p>
        </w:tc>
        <w:tc>
          <w:tcPr>
            <w:tcW w:w="877" w:type="pct"/>
            <w:tcBorders>
              <w:top w:val="outset" w:sz="6" w:space="0" w:color="auto"/>
              <w:left w:val="outset" w:sz="6" w:space="0" w:color="auto"/>
              <w:bottom w:val="outset" w:sz="6" w:space="0" w:color="auto"/>
              <w:right w:val="outset" w:sz="6" w:space="0" w:color="auto"/>
            </w:tcBorders>
          </w:tcPr>
          <w:p w14:paraId="484A6A02"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0</w:t>
            </w:r>
          </w:p>
        </w:tc>
        <w:tc>
          <w:tcPr>
            <w:tcW w:w="836" w:type="pct"/>
            <w:tcBorders>
              <w:top w:val="outset" w:sz="6" w:space="0" w:color="auto"/>
              <w:left w:val="outset" w:sz="6" w:space="0" w:color="auto"/>
              <w:bottom w:val="outset" w:sz="6" w:space="0" w:color="auto"/>
              <w:right w:val="outset" w:sz="6" w:space="0" w:color="auto"/>
            </w:tcBorders>
          </w:tcPr>
          <w:p w14:paraId="69D1BC32"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r>
      <w:tr w:rsidR="00B420BE" w:rsidRPr="00273A3E" w14:paraId="0EB2BA28"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2A245314"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Nedažnas</w:t>
            </w:r>
          </w:p>
        </w:tc>
        <w:tc>
          <w:tcPr>
            <w:tcW w:w="855" w:type="pct"/>
            <w:tcBorders>
              <w:top w:val="outset" w:sz="6" w:space="0" w:color="auto"/>
              <w:left w:val="outset" w:sz="6" w:space="0" w:color="auto"/>
              <w:bottom w:val="outset" w:sz="6" w:space="0" w:color="auto"/>
              <w:right w:val="outset" w:sz="6" w:space="0" w:color="auto"/>
            </w:tcBorders>
          </w:tcPr>
          <w:p w14:paraId="4E93E38E"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1A8DAEC2"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4875F8BB"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70D3F6DF"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r>
      <w:tr w:rsidR="00B420BE" w:rsidRPr="00273A3E" w14:paraId="1EBBEF8E"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799C4ECB" w14:textId="77777777" w:rsidR="00B420BE" w:rsidRPr="00273A3E" w:rsidRDefault="00B420BE" w:rsidP="009F71ED">
            <w:pPr>
              <w:tabs>
                <w:tab w:val="left" w:pos="567"/>
              </w:tabs>
              <w:spacing w:after="0" w:line="240" w:lineRule="auto"/>
              <w:contextualSpacing/>
              <w:rPr>
                <w:rFonts w:ascii="Times New Roman" w:hAnsi="Times New Roman"/>
                <w:lang w:val="lt-LT"/>
              </w:rPr>
            </w:pPr>
            <w:proofErr w:type="spellStart"/>
            <w:r w:rsidRPr="00273A3E">
              <w:rPr>
                <w:rFonts w:ascii="Times New Roman" w:hAnsi="Times New Roman"/>
                <w:lang w:val="lt-LT"/>
              </w:rPr>
              <w:t>Febrilinė</w:t>
            </w:r>
            <w:proofErr w:type="spellEnd"/>
            <w:r w:rsidRPr="00273A3E">
              <w:rPr>
                <w:rFonts w:ascii="Times New Roman" w:hAnsi="Times New Roman"/>
                <w:lang w:val="lt-LT"/>
              </w:rPr>
              <w:t xml:space="preserve"> </w:t>
            </w:r>
            <w:proofErr w:type="spellStart"/>
            <w:r w:rsidRPr="00273A3E">
              <w:rPr>
                <w:rFonts w:ascii="Times New Roman" w:hAnsi="Times New Roman"/>
                <w:lang w:val="lt-LT"/>
              </w:rPr>
              <w:t>neutropenija</w:t>
            </w:r>
            <w:proofErr w:type="spellEnd"/>
          </w:p>
        </w:tc>
        <w:tc>
          <w:tcPr>
            <w:tcW w:w="855" w:type="pct"/>
            <w:tcBorders>
              <w:top w:val="outset" w:sz="6" w:space="0" w:color="auto"/>
              <w:left w:val="outset" w:sz="6" w:space="0" w:color="auto"/>
              <w:bottom w:val="outset" w:sz="6" w:space="0" w:color="auto"/>
              <w:right w:val="outset" w:sz="6" w:space="0" w:color="auto"/>
            </w:tcBorders>
          </w:tcPr>
          <w:p w14:paraId="7C87BFC6"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3</w:t>
            </w:r>
            <w:r w:rsidRPr="00273A3E">
              <w:rPr>
                <w:rFonts w:ascii="Times New Roman" w:hAnsi="Times New Roman"/>
                <w:spacing w:val="1"/>
                <w:lang w:val="lt-LT"/>
              </w:rPr>
              <w:t xml:space="preserve"> </w:t>
            </w:r>
            <w:r w:rsidRPr="00273A3E">
              <w:rPr>
                <w:rFonts w:ascii="Times New Roman" w:hAnsi="Times New Roman"/>
                <w:lang w:val="lt-LT"/>
              </w:rPr>
              <w:t>(0,9)</w:t>
            </w:r>
          </w:p>
        </w:tc>
        <w:tc>
          <w:tcPr>
            <w:tcW w:w="776" w:type="pct"/>
            <w:tcBorders>
              <w:top w:val="outset" w:sz="6" w:space="0" w:color="auto"/>
              <w:left w:val="outset" w:sz="6" w:space="0" w:color="auto"/>
              <w:bottom w:val="outset" w:sz="6" w:space="0" w:color="auto"/>
              <w:right w:val="outset" w:sz="6" w:space="0" w:color="auto"/>
            </w:tcBorders>
          </w:tcPr>
          <w:p w14:paraId="7ED4FCD9"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3</w:t>
            </w:r>
            <w:r w:rsidRPr="00273A3E">
              <w:rPr>
                <w:rFonts w:ascii="Times New Roman" w:hAnsi="Times New Roman"/>
                <w:spacing w:val="1"/>
                <w:lang w:val="lt-LT"/>
              </w:rPr>
              <w:t xml:space="preserve"> </w:t>
            </w:r>
            <w:r w:rsidRPr="00273A3E">
              <w:rPr>
                <w:rFonts w:ascii="Times New Roman" w:hAnsi="Times New Roman"/>
                <w:lang w:val="lt-LT"/>
              </w:rPr>
              <w:t>(0,9)</w:t>
            </w:r>
          </w:p>
        </w:tc>
        <w:tc>
          <w:tcPr>
            <w:tcW w:w="877" w:type="pct"/>
            <w:tcBorders>
              <w:top w:val="outset" w:sz="6" w:space="0" w:color="auto"/>
              <w:left w:val="outset" w:sz="6" w:space="0" w:color="auto"/>
              <w:bottom w:val="outset" w:sz="6" w:space="0" w:color="auto"/>
              <w:right w:val="outset" w:sz="6" w:space="0" w:color="auto"/>
            </w:tcBorders>
          </w:tcPr>
          <w:p w14:paraId="4BF4FCA7"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kern w:val="28"/>
                <w:lang w:val="lt-LT"/>
              </w:rPr>
              <w:t>0</w:t>
            </w:r>
          </w:p>
        </w:tc>
        <w:tc>
          <w:tcPr>
            <w:tcW w:w="836" w:type="pct"/>
            <w:tcBorders>
              <w:top w:val="outset" w:sz="6" w:space="0" w:color="auto"/>
              <w:left w:val="outset" w:sz="6" w:space="0" w:color="auto"/>
              <w:bottom w:val="outset" w:sz="6" w:space="0" w:color="auto"/>
              <w:right w:val="outset" w:sz="6" w:space="0" w:color="auto"/>
            </w:tcBorders>
          </w:tcPr>
          <w:p w14:paraId="108D7B32"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kern w:val="28"/>
                <w:lang w:val="lt-LT"/>
              </w:rPr>
              <w:t>0</w:t>
            </w:r>
          </w:p>
        </w:tc>
      </w:tr>
      <w:tr w:rsidR="00B420BE" w:rsidRPr="00273A3E" w14:paraId="334951E2" w14:textId="77777777" w:rsidTr="00887C5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2AE1CB84"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Metabolizmo ir mitybos sutrikimai</w:t>
            </w:r>
          </w:p>
        </w:tc>
      </w:tr>
      <w:tr w:rsidR="00B420BE" w:rsidRPr="00273A3E" w14:paraId="2CF80D56"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1ED71728"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3CA01B05"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65395F36"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650696FF"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48DBA28E" w14:textId="77777777" w:rsidR="00B420BE" w:rsidRPr="00273A3E" w:rsidRDefault="00B420BE" w:rsidP="009F71ED">
            <w:pPr>
              <w:tabs>
                <w:tab w:val="left" w:pos="567"/>
              </w:tabs>
              <w:spacing w:after="0" w:line="240" w:lineRule="auto"/>
              <w:contextualSpacing/>
              <w:rPr>
                <w:rFonts w:ascii="Times New Roman" w:hAnsi="Times New Roman"/>
                <w:lang w:val="lt-LT"/>
              </w:rPr>
            </w:pPr>
          </w:p>
        </w:tc>
      </w:tr>
      <w:tr w:rsidR="00B420BE" w:rsidRPr="00273A3E" w14:paraId="70538ACD"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4324575C"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Sumažėjęs apetitas</w:t>
            </w:r>
          </w:p>
        </w:tc>
        <w:tc>
          <w:tcPr>
            <w:tcW w:w="855" w:type="pct"/>
            <w:tcBorders>
              <w:top w:val="outset" w:sz="6" w:space="0" w:color="auto"/>
              <w:left w:val="outset" w:sz="6" w:space="0" w:color="auto"/>
              <w:bottom w:val="outset" w:sz="6" w:space="0" w:color="auto"/>
              <w:right w:val="outset" w:sz="6" w:space="0" w:color="auto"/>
            </w:tcBorders>
          </w:tcPr>
          <w:p w14:paraId="64384A53"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60</w:t>
            </w:r>
            <w:r w:rsidRPr="00273A3E">
              <w:rPr>
                <w:rFonts w:ascii="Times New Roman" w:hAnsi="Times New Roman"/>
                <w:spacing w:val="1"/>
                <w:lang w:val="lt-LT"/>
              </w:rPr>
              <w:t xml:space="preserve"> </w:t>
            </w:r>
            <w:r w:rsidRPr="00273A3E">
              <w:rPr>
                <w:rFonts w:ascii="Times New Roman" w:hAnsi="Times New Roman"/>
                <w:lang w:val="lt-LT"/>
              </w:rPr>
              <w:t>(17,4)</w:t>
            </w:r>
          </w:p>
        </w:tc>
        <w:tc>
          <w:tcPr>
            <w:tcW w:w="776" w:type="pct"/>
            <w:tcBorders>
              <w:top w:val="outset" w:sz="6" w:space="0" w:color="auto"/>
              <w:left w:val="outset" w:sz="6" w:space="0" w:color="auto"/>
              <w:bottom w:val="outset" w:sz="6" w:space="0" w:color="auto"/>
              <w:right w:val="outset" w:sz="6" w:space="0" w:color="auto"/>
            </w:tcBorders>
          </w:tcPr>
          <w:p w14:paraId="5E882D30"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4 </w:t>
            </w:r>
            <w:r w:rsidRPr="00273A3E">
              <w:rPr>
                <w:rFonts w:ascii="Times New Roman" w:hAnsi="Times New Roman"/>
                <w:lang w:val="lt-LT"/>
              </w:rPr>
              <w:t>(1,2)</w:t>
            </w:r>
          </w:p>
        </w:tc>
        <w:tc>
          <w:tcPr>
            <w:tcW w:w="877" w:type="pct"/>
            <w:tcBorders>
              <w:top w:val="outset" w:sz="6" w:space="0" w:color="auto"/>
              <w:left w:val="outset" w:sz="6" w:space="0" w:color="auto"/>
              <w:bottom w:val="outset" w:sz="6" w:space="0" w:color="auto"/>
              <w:right w:val="outset" w:sz="6" w:space="0" w:color="auto"/>
            </w:tcBorders>
          </w:tcPr>
          <w:p w14:paraId="293A7EE1"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18</w:t>
            </w:r>
            <w:r w:rsidRPr="00273A3E">
              <w:rPr>
                <w:rFonts w:ascii="Times New Roman" w:hAnsi="Times New Roman"/>
                <w:spacing w:val="1"/>
                <w:lang w:val="lt-LT"/>
              </w:rPr>
              <w:t xml:space="preserve"> </w:t>
            </w:r>
            <w:r w:rsidRPr="00273A3E">
              <w:rPr>
                <w:rFonts w:ascii="Times New Roman" w:hAnsi="Times New Roman"/>
                <w:lang w:val="lt-LT"/>
              </w:rPr>
              <w:t>(10,5)</w:t>
            </w:r>
          </w:p>
        </w:tc>
        <w:tc>
          <w:tcPr>
            <w:tcW w:w="836" w:type="pct"/>
            <w:tcBorders>
              <w:top w:val="outset" w:sz="6" w:space="0" w:color="auto"/>
              <w:left w:val="outset" w:sz="6" w:space="0" w:color="auto"/>
              <w:bottom w:val="outset" w:sz="6" w:space="0" w:color="auto"/>
              <w:right w:val="outset" w:sz="6" w:space="0" w:color="auto"/>
            </w:tcBorders>
          </w:tcPr>
          <w:p w14:paraId="44223B8E"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w:t>
            </w:r>
            <w:r w:rsidRPr="00273A3E">
              <w:rPr>
                <w:rFonts w:ascii="Times New Roman" w:hAnsi="Times New Roman"/>
                <w:spacing w:val="1"/>
                <w:lang w:val="lt-LT"/>
              </w:rPr>
              <w:t xml:space="preserve"> </w:t>
            </w:r>
            <w:r w:rsidRPr="00273A3E">
              <w:rPr>
                <w:rFonts w:ascii="Times New Roman" w:hAnsi="Times New Roman"/>
                <w:lang w:val="lt-LT"/>
              </w:rPr>
              <w:t>(0,6)</w:t>
            </w:r>
          </w:p>
        </w:tc>
      </w:tr>
      <w:tr w:rsidR="00B420BE" w:rsidRPr="00273A3E" w14:paraId="4CC365BB" w14:textId="77777777" w:rsidTr="00887C5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5000E0F8"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Nervų sistemos sutrikimai</w:t>
            </w:r>
          </w:p>
        </w:tc>
      </w:tr>
      <w:tr w:rsidR="00B420BE" w:rsidRPr="00273A3E" w14:paraId="46C9B863"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7F229664"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6CF063E6"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5D356C35"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65851E9E"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3EF48CC8" w14:textId="77777777" w:rsidR="00B420BE" w:rsidRPr="00273A3E" w:rsidRDefault="00B420BE" w:rsidP="009F71ED">
            <w:pPr>
              <w:tabs>
                <w:tab w:val="left" w:pos="567"/>
              </w:tabs>
              <w:spacing w:after="0" w:line="240" w:lineRule="auto"/>
              <w:contextualSpacing/>
              <w:rPr>
                <w:rFonts w:ascii="Times New Roman" w:hAnsi="Times New Roman"/>
                <w:lang w:val="lt-LT"/>
              </w:rPr>
            </w:pPr>
          </w:p>
        </w:tc>
      </w:tr>
      <w:tr w:rsidR="00B420BE" w:rsidRPr="00273A3E" w14:paraId="45FA5730"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43B37EBD" w14:textId="77777777" w:rsidR="00B420BE" w:rsidRPr="00273A3E" w:rsidRDefault="00F14955" w:rsidP="009F71ED">
            <w:pPr>
              <w:tabs>
                <w:tab w:val="left" w:pos="567"/>
              </w:tabs>
              <w:spacing w:after="0" w:line="240" w:lineRule="auto"/>
              <w:contextualSpacing/>
              <w:rPr>
                <w:rFonts w:ascii="Times New Roman" w:hAnsi="Times New Roman"/>
                <w:lang w:val="lt-LT"/>
              </w:rPr>
            </w:pPr>
            <w:proofErr w:type="spellStart"/>
            <w:r w:rsidRPr="00273A3E">
              <w:rPr>
                <w:rFonts w:ascii="Times New Roman" w:hAnsi="Times New Roman"/>
                <w:lang w:val="lt-LT"/>
              </w:rPr>
              <w:t>Parageuzija</w:t>
            </w:r>
            <w:proofErr w:type="spellEnd"/>
            <w:r w:rsidRPr="00273A3E">
              <w:rPr>
                <w:rFonts w:ascii="Times New Roman" w:hAnsi="Times New Roman"/>
                <w:lang w:val="lt-LT"/>
              </w:rPr>
              <w:t xml:space="preserve"> (blogo skonio burnoje pojūtis) </w:t>
            </w:r>
          </w:p>
        </w:tc>
        <w:tc>
          <w:tcPr>
            <w:tcW w:w="855" w:type="pct"/>
            <w:tcBorders>
              <w:top w:val="outset" w:sz="6" w:space="0" w:color="auto"/>
              <w:left w:val="outset" w:sz="6" w:space="0" w:color="auto"/>
              <w:bottom w:val="outset" w:sz="6" w:space="0" w:color="auto"/>
              <w:right w:val="outset" w:sz="6" w:space="0" w:color="auto"/>
            </w:tcBorders>
          </w:tcPr>
          <w:p w14:paraId="5811EB28"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27</w:t>
            </w:r>
            <w:r w:rsidRPr="00273A3E">
              <w:rPr>
                <w:rFonts w:ascii="Times New Roman" w:hAnsi="Times New Roman"/>
                <w:spacing w:val="1"/>
                <w:lang w:val="lt-LT"/>
              </w:rPr>
              <w:t xml:space="preserve"> </w:t>
            </w:r>
            <w:r w:rsidRPr="00273A3E">
              <w:rPr>
                <w:rFonts w:ascii="Times New Roman" w:hAnsi="Times New Roman"/>
                <w:lang w:val="lt-LT"/>
              </w:rPr>
              <w:t>(7,8)</w:t>
            </w:r>
          </w:p>
        </w:tc>
        <w:tc>
          <w:tcPr>
            <w:tcW w:w="776" w:type="pct"/>
            <w:tcBorders>
              <w:top w:val="outset" w:sz="6" w:space="0" w:color="auto"/>
              <w:left w:val="outset" w:sz="6" w:space="0" w:color="auto"/>
              <w:bottom w:val="outset" w:sz="6" w:space="0" w:color="auto"/>
              <w:right w:val="outset" w:sz="6" w:space="0" w:color="auto"/>
            </w:tcBorders>
          </w:tcPr>
          <w:p w14:paraId="427736D9"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727FEA16"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6 </w:t>
            </w:r>
            <w:r w:rsidRPr="00273A3E">
              <w:rPr>
                <w:rFonts w:ascii="Times New Roman" w:hAnsi="Times New Roman"/>
                <w:lang w:val="lt-LT"/>
              </w:rPr>
              <w:t>(3,5)</w:t>
            </w:r>
          </w:p>
        </w:tc>
        <w:tc>
          <w:tcPr>
            <w:tcW w:w="836" w:type="pct"/>
            <w:tcBorders>
              <w:top w:val="outset" w:sz="6" w:space="0" w:color="auto"/>
              <w:left w:val="outset" w:sz="6" w:space="0" w:color="auto"/>
              <w:bottom w:val="outset" w:sz="6" w:space="0" w:color="auto"/>
              <w:right w:val="outset" w:sz="6" w:space="0" w:color="auto"/>
            </w:tcBorders>
          </w:tcPr>
          <w:p w14:paraId="3044443B"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r>
      <w:tr w:rsidR="00B420BE" w:rsidRPr="00273A3E" w14:paraId="15B6FB65" w14:textId="77777777" w:rsidTr="00887C5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2FEF986B"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lastRenderedPageBreak/>
              <w:t>Akių sutrikimai</w:t>
            </w:r>
          </w:p>
        </w:tc>
      </w:tr>
      <w:tr w:rsidR="00B420BE" w:rsidRPr="00273A3E" w14:paraId="5DA4772E"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27D6FFD9"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7E21FD79"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7905FC65"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75B0AF31"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163DD86C" w14:textId="77777777" w:rsidR="00B420BE" w:rsidRPr="00273A3E" w:rsidRDefault="00B420BE" w:rsidP="009F71ED">
            <w:pPr>
              <w:tabs>
                <w:tab w:val="left" w:pos="567"/>
              </w:tabs>
              <w:spacing w:after="0" w:line="240" w:lineRule="auto"/>
              <w:contextualSpacing/>
              <w:rPr>
                <w:rFonts w:ascii="Times New Roman" w:hAnsi="Times New Roman"/>
                <w:lang w:val="lt-LT"/>
              </w:rPr>
            </w:pPr>
          </w:p>
        </w:tc>
      </w:tr>
      <w:tr w:rsidR="00B420BE" w:rsidRPr="00273A3E" w14:paraId="35EEFEB7"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097D18A6"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Padidėjęs ašarojimas</w:t>
            </w:r>
          </w:p>
        </w:tc>
        <w:tc>
          <w:tcPr>
            <w:tcW w:w="855" w:type="pct"/>
            <w:tcBorders>
              <w:top w:val="outset" w:sz="6" w:space="0" w:color="auto"/>
              <w:left w:val="outset" w:sz="6" w:space="0" w:color="auto"/>
              <w:bottom w:val="outset" w:sz="6" w:space="0" w:color="auto"/>
              <w:right w:val="outset" w:sz="6" w:space="0" w:color="auto"/>
            </w:tcBorders>
          </w:tcPr>
          <w:p w14:paraId="1F27523A"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25</w:t>
            </w:r>
            <w:r w:rsidRPr="00273A3E">
              <w:rPr>
                <w:rFonts w:ascii="Times New Roman" w:hAnsi="Times New Roman"/>
                <w:spacing w:val="1"/>
                <w:lang w:val="lt-LT"/>
              </w:rPr>
              <w:t xml:space="preserve"> </w:t>
            </w:r>
            <w:r w:rsidRPr="00273A3E">
              <w:rPr>
                <w:rFonts w:ascii="Times New Roman" w:hAnsi="Times New Roman"/>
                <w:lang w:val="lt-LT"/>
              </w:rPr>
              <w:t>(7,2)</w:t>
            </w:r>
          </w:p>
        </w:tc>
        <w:tc>
          <w:tcPr>
            <w:tcW w:w="776" w:type="pct"/>
            <w:tcBorders>
              <w:top w:val="outset" w:sz="6" w:space="0" w:color="auto"/>
              <w:left w:val="outset" w:sz="6" w:space="0" w:color="auto"/>
              <w:bottom w:val="outset" w:sz="6" w:space="0" w:color="auto"/>
              <w:right w:val="outset" w:sz="6" w:space="0" w:color="auto"/>
            </w:tcBorders>
          </w:tcPr>
          <w:p w14:paraId="428A3E35"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4C814780"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2</w:t>
            </w:r>
            <w:r w:rsidRPr="00273A3E">
              <w:rPr>
                <w:rFonts w:ascii="Times New Roman" w:hAnsi="Times New Roman"/>
                <w:spacing w:val="1"/>
                <w:lang w:val="lt-LT"/>
              </w:rPr>
              <w:t xml:space="preserve"> </w:t>
            </w:r>
            <w:r w:rsidRPr="00273A3E">
              <w:rPr>
                <w:rFonts w:ascii="Times New Roman" w:hAnsi="Times New Roman"/>
                <w:lang w:val="lt-LT"/>
              </w:rPr>
              <w:t>(1,2)</w:t>
            </w:r>
          </w:p>
        </w:tc>
        <w:tc>
          <w:tcPr>
            <w:tcW w:w="836" w:type="pct"/>
            <w:tcBorders>
              <w:top w:val="outset" w:sz="6" w:space="0" w:color="auto"/>
              <w:left w:val="outset" w:sz="6" w:space="0" w:color="auto"/>
              <w:bottom w:val="outset" w:sz="6" w:space="0" w:color="auto"/>
              <w:right w:val="outset" w:sz="6" w:space="0" w:color="auto"/>
            </w:tcBorders>
          </w:tcPr>
          <w:p w14:paraId="16A0E7F2"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r>
      <w:tr w:rsidR="00B420BE" w:rsidRPr="00273A3E" w14:paraId="12B01E66"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2CAE771E"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Neryškus matymas</w:t>
            </w:r>
          </w:p>
        </w:tc>
        <w:tc>
          <w:tcPr>
            <w:tcW w:w="855" w:type="pct"/>
            <w:tcBorders>
              <w:top w:val="outset" w:sz="6" w:space="0" w:color="auto"/>
              <w:left w:val="outset" w:sz="6" w:space="0" w:color="auto"/>
              <w:bottom w:val="outset" w:sz="6" w:space="0" w:color="auto"/>
              <w:right w:val="outset" w:sz="6" w:space="0" w:color="auto"/>
            </w:tcBorders>
          </w:tcPr>
          <w:p w14:paraId="3C1C7C10"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24</w:t>
            </w:r>
            <w:r w:rsidRPr="00273A3E">
              <w:rPr>
                <w:rFonts w:ascii="Times New Roman" w:hAnsi="Times New Roman"/>
                <w:spacing w:val="1"/>
                <w:lang w:val="lt-LT"/>
              </w:rPr>
              <w:t xml:space="preserve"> </w:t>
            </w:r>
            <w:r w:rsidRPr="00273A3E">
              <w:rPr>
                <w:rFonts w:ascii="Times New Roman" w:hAnsi="Times New Roman"/>
                <w:lang w:val="lt-LT"/>
              </w:rPr>
              <w:t>(7,0)</w:t>
            </w:r>
          </w:p>
        </w:tc>
        <w:tc>
          <w:tcPr>
            <w:tcW w:w="776" w:type="pct"/>
            <w:tcBorders>
              <w:top w:val="outset" w:sz="6" w:space="0" w:color="auto"/>
              <w:left w:val="outset" w:sz="6" w:space="0" w:color="auto"/>
              <w:bottom w:val="outset" w:sz="6" w:space="0" w:color="auto"/>
              <w:right w:val="outset" w:sz="6" w:space="0" w:color="auto"/>
            </w:tcBorders>
          </w:tcPr>
          <w:p w14:paraId="2BD03433"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6D6F5FD1"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3</w:t>
            </w:r>
            <w:r w:rsidRPr="00273A3E">
              <w:rPr>
                <w:rFonts w:ascii="Times New Roman" w:hAnsi="Times New Roman"/>
                <w:spacing w:val="1"/>
                <w:lang w:val="lt-LT"/>
              </w:rPr>
              <w:t xml:space="preserve"> </w:t>
            </w:r>
            <w:r w:rsidRPr="00273A3E">
              <w:rPr>
                <w:rFonts w:ascii="Times New Roman" w:hAnsi="Times New Roman"/>
                <w:lang w:val="lt-LT"/>
              </w:rPr>
              <w:t>(1,7)</w:t>
            </w:r>
          </w:p>
        </w:tc>
        <w:tc>
          <w:tcPr>
            <w:tcW w:w="836" w:type="pct"/>
            <w:tcBorders>
              <w:top w:val="outset" w:sz="6" w:space="0" w:color="auto"/>
              <w:left w:val="outset" w:sz="6" w:space="0" w:color="auto"/>
              <w:bottom w:val="outset" w:sz="6" w:space="0" w:color="auto"/>
              <w:right w:val="outset" w:sz="6" w:space="0" w:color="auto"/>
            </w:tcBorders>
          </w:tcPr>
          <w:p w14:paraId="64BBC637"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r>
      <w:tr w:rsidR="00B420BE" w:rsidRPr="00273A3E" w14:paraId="146E6C6B"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098AF08C" w14:textId="77777777" w:rsidR="00B420BE" w:rsidRPr="00273A3E" w:rsidRDefault="00CD675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Sausos akys</w:t>
            </w:r>
          </w:p>
        </w:tc>
        <w:tc>
          <w:tcPr>
            <w:tcW w:w="855" w:type="pct"/>
            <w:tcBorders>
              <w:top w:val="outset" w:sz="6" w:space="0" w:color="auto"/>
              <w:left w:val="outset" w:sz="6" w:space="0" w:color="auto"/>
              <w:bottom w:val="outset" w:sz="6" w:space="0" w:color="auto"/>
              <w:right w:val="outset" w:sz="6" w:space="0" w:color="auto"/>
            </w:tcBorders>
          </w:tcPr>
          <w:p w14:paraId="323AD4E5"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15</w:t>
            </w:r>
            <w:r w:rsidRPr="00273A3E">
              <w:rPr>
                <w:rFonts w:ascii="Times New Roman" w:hAnsi="Times New Roman"/>
                <w:spacing w:val="1"/>
                <w:lang w:val="lt-LT"/>
              </w:rPr>
              <w:t xml:space="preserve"> </w:t>
            </w:r>
            <w:r w:rsidRPr="00273A3E">
              <w:rPr>
                <w:rFonts w:ascii="Times New Roman" w:hAnsi="Times New Roman"/>
                <w:lang w:val="lt-LT"/>
              </w:rPr>
              <w:t>(4,3)</w:t>
            </w:r>
          </w:p>
        </w:tc>
        <w:tc>
          <w:tcPr>
            <w:tcW w:w="776" w:type="pct"/>
            <w:tcBorders>
              <w:top w:val="outset" w:sz="6" w:space="0" w:color="auto"/>
              <w:left w:val="outset" w:sz="6" w:space="0" w:color="auto"/>
              <w:bottom w:val="outset" w:sz="6" w:space="0" w:color="auto"/>
              <w:right w:val="outset" w:sz="6" w:space="0" w:color="auto"/>
            </w:tcBorders>
          </w:tcPr>
          <w:p w14:paraId="16062B36"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05B47E2D"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3</w:t>
            </w:r>
            <w:r w:rsidRPr="00273A3E">
              <w:rPr>
                <w:rFonts w:ascii="Times New Roman" w:hAnsi="Times New Roman"/>
                <w:spacing w:val="1"/>
                <w:lang w:val="lt-LT"/>
              </w:rPr>
              <w:t xml:space="preserve"> </w:t>
            </w:r>
            <w:r w:rsidRPr="00273A3E">
              <w:rPr>
                <w:rFonts w:ascii="Times New Roman" w:hAnsi="Times New Roman"/>
                <w:lang w:val="lt-LT"/>
              </w:rPr>
              <w:t>(1,7)</w:t>
            </w:r>
          </w:p>
        </w:tc>
        <w:tc>
          <w:tcPr>
            <w:tcW w:w="836" w:type="pct"/>
            <w:tcBorders>
              <w:top w:val="outset" w:sz="6" w:space="0" w:color="auto"/>
              <w:left w:val="outset" w:sz="6" w:space="0" w:color="auto"/>
              <w:bottom w:val="outset" w:sz="6" w:space="0" w:color="auto"/>
              <w:right w:val="outset" w:sz="6" w:space="0" w:color="auto"/>
            </w:tcBorders>
          </w:tcPr>
          <w:p w14:paraId="785949BA"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r>
      <w:tr w:rsidR="00B420BE" w:rsidRPr="00273A3E" w14:paraId="5EB2EB0D" w14:textId="77777777" w:rsidTr="00887C5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6B42047C"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Kvėpavimo sistemos, krūtinės ląstos ir tarpuplaučio sutrikimai</w:t>
            </w:r>
          </w:p>
        </w:tc>
      </w:tr>
      <w:tr w:rsidR="00B420BE" w:rsidRPr="00273A3E" w14:paraId="5DB1BB02"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10F0420B"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6C225E2F"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7D842822"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52049251"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146E11E8" w14:textId="77777777" w:rsidR="00B420BE" w:rsidRPr="00273A3E" w:rsidRDefault="00B420BE" w:rsidP="009F71ED">
            <w:pPr>
              <w:tabs>
                <w:tab w:val="left" w:pos="567"/>
              </w:tabs>
              <w:spacing w:after="0" w:line="240" w:lineRule="auto"/>
              <w:contextualSpacing/>
              <w:rPr>
                <w:rFonts w:ascii="Times New Roman" w:hAnsi="Times New Roman"/>
                <w:lang w:val="lt-LT"/>
              </w:rPr>
            </w:pPr>
          </w:p>
        </w:tc>
      </w:tr>
      <w:tr w:rsidR="00B420BE" w:rsidRPr="00273A3E" w14:paraId="23E6AD24"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066031BE"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Kraujavimas iš nosies</w:t>
            </w:r>
            <w:r w:rsidR="00DD5A88" w:rsidRPr="00273A3E">
              <w:rPr>
                <w:rFonts w:ascii="Times New Roman" w:hAnsi="Times New Roman"/>
                <w:lang w:val="lt-LT"/>
              </w:rPr>
              <w:t xml:space="preserve"> </w:t>
            </w:r>
            <w:r w:rsidR="00DD5A88" w:rsidRPr="00273A3E">
              <w:rPr>
                <w:rFonts w:ascii="Times New Roman" w:hAnsi="Times New Roman"/>
                <w:i/>
                <w:iCs/>
                <w:lang w:val="lt-LT"/>
              </w:rPr>
              <w:t>(</w:t>
            </w:r>
            <w:proofErr w:type="spellStart"/>
            <w:r w:rsidR="00DD5A88" w:rsidRPr="00273A3E">
              <w:rPr>
                <w:rFonts w:ascii="Times New Roman" w:hAnsi="Times New Roman"/>
                <w:i/>
                <w:iCs/>
                <w:lang w:val="lt-LT"/>
              </w:rPr>
              <w:t>epistaxis</w:t>
            </w:r>
            <w:proofErr w:type="spellEnd"/>
            <w:r w:rsidR="00DD5A88" w:rsidRPr="00273A3E">
              <w:rPr>
                <w:rFonts w:ascii="Times New Roman" w:hAnsi="Times New Roman"/>
                <w:i/>
                <w:iCs/>
                <w:lang w:val="lt-LT"/>
              </w:rPr>
              <w:t>)</w:t>
            </w:r>
          </w:p>
        </w:tc>
        <w:tc>
          <w:tcPr>
            <w:tcW w:w="855" w:type="pct"/>
            <w:tcBorders>
              <w:top w:val="outset" w:sz="6" w:space="0" w:color="auto"/>
              <w:left w:val="outset" w:sz="6" w:space="0" w:color="auto"/>
              <w:bottom w:val="outset" w:sz="6" w:space="0" w:color="auto"/>
              <w:right w:val="outset" w:sz="6" w:space="0" w:color="auto"/>
            </w:tcBorders>
          </w:tcPr>
          <w:p w14:paraId="3360FCB9"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25</w:t>
            </w:r>
            <w:r w:rsidRPr="00273A3E">
              <w:rPr>
                <w:rFonts w:ascii="Times New Roman" w:hAnsi="Times New Roman"/>
                <w:spacing w:val="1"/>
                <w:lang w:val="lt-LT"/>
              </w:rPr>
              <w:t xml:space="preserve"> </w:t>
            </w:r>
            <w:r w:rsidRPr="00273A3E">
              <w:rPr>
                <w:rFonts w:ascii="Times New Roman" w:hAnsi="Times New Roman"/>
                <w:lang w:val="lt-LT"/>
              </w:rPr>
              <w:t>(7,2)</w:t>
            </w:r>
          </w:p>
        </w:tc>
        <w:tc>
          <w:tcPr>
            <w:tcW w:w="776" w:type="pct"/>
            <w:tcBorders>
              <w:top w:val="outset" w:sz="6" w:space="0" w:color="auto"/>
              <w:left w:val="outset" w:sz="6" w:space="0" w:color="auto"/>
              <w:bottom w:val="outset" w:sz="6" w:space="0" w:color="auto"/>
              <w:right w:val="outset" w:sz="6" w:space="0" w:color="auto"/>
            </w:tcBorders>
          </w:tcPr>
          <w:p w14:paraId="2ACC0F9D"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717FBBAB"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4 </w:t>
            </w:r>
            <w:r w:rsidRPr="00273A3E">
              <w:rPr>
                <w:rFonts w:ascii="Times New Roman" w:hAnsi="Times New Roman"/>
                <w:lang w:val="lt-LT"/>
              </w:rPr>
              <w:t>(2,3)</w:t>
            </w:r>
          </w:p>
        </w:tc>
        <w:tc>
          <w:tcPr>
            <w:tcW w:w="836" w:type="pct"/>
            <w:tcBorders>
              <w:top w:val="outset" w:sz="6" w:space="0" w:color="auto"/>
              <w:left w:val="outset" w:sz="6" w:space="0" w:color="auto"/>
              <w:bottom w:val="outset" w:sz="6" w:space="0" w:color="auto"/>
              <w:right w:val="outset" w:sz="6" w:space="0" w:color="auto"/>
            </w:tcBorders>
          </w:tcPr>
          <w:p w14:paraId="4C4F93D2"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r>
      <w:tr w:rsidR="00B420BE" w:rsidRPr="00273A3E" w14:paraId="35461647" w14:textId="77777777" w:rsidTr="00887C5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638D0D5A"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Virškinimo trakto sutrikimai</w:t>
            </w:r>
          </w:p>
        </w:tc>
      </w:tr>
      <w:tr w:rsidR="00B420BE" w:rsidRPr="00273A3E" w14:paraId="2C521E2E"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5CD180CD"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6C471E99"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7F6DC385"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30F2D3E8"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6EB8383B" w14:textId="77777777" w:rsidR="00B420BE" w:rsidRPr="00273A3E" w:rsidRDefault="00B420BE" w:rsidP="009F71ED">
            <w:pPr>
              <w:tabs>
                <w:tab w:val="left" w:pos="567"/>
              </w:tabs>
              <w:spacing w:after="0" w:line="240" w:lineRule="auto"/>
              <w:contextualSpacing/>
              <w:rPr>
                <w:rFonts w:ascii="Times New Roman" w:hAnsi="Times New Roman"/>
                <w:lang w:val="lt-LT"/>
              </w:rPr>
            </w:pPr>
          </w:p>
        </w:tc>
      </w:tr>
      <w:tr w:rsidR="00B420BE" w:rsidRPr="00273A3E" w14:paraId="7526C10F"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655C902B"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Pykinimas</w:t>
            </w:r>
          </w:p>
        </w:tc>
        <w:tc>
          <w:tcPr>
            <w:tcW w:w="855" w:type="pct"/>
            <w:tcBorders>
              <w:top w:val="outset" w:sz="6" w:space="0" w:color="auto"/>
              <w:left w:val="outset" w:sz="6" w:space="0" w:color="auto"/>
              <w:bottom w:val="outset" w:sz="6" w:space="0" w:color="auto"/>
              <w:right w:val="outset" w:sz="6" w:space="0" w:color="auto"/>
            </w:tcBorders>
          </w:tcPr>
          <w:p w14:paraId="2B13AA13"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124 (35,9)</w:t>
            </w:r>
          </w:p>
        </w:tc>
        <w:tc>
          <w:tcPr>
            <w:tcW w:w="776" w:type="pct"/>
            <w:tcBorders>
              <w:top w:val="outset" w:sz="6" w:space="0" w:color="auto"/>
              <w:left w:val="outset" w:sz="6" w:space="0" w:color="auto"/>
              <w:bottom w:val="outset" w:sz="6" w:space="0" w:color="auto"/>
              <w:right w:val="outset" w:sz="6" w:space="0" w:color="auto"/>
            </w:tcBorders>
          </w:tcPr>
          <w:p w14:paraId="2C705652"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2 (0,6)</w:t>
            </w:r>
          </w:p>
        </w:tc>
        <w:tc>
          <w:tcPr>
            <w:tcW w:w="877" w:type="pct"/>
            <w:tcBorders>
              <w:top w:val="outset" w:sz="6" w:space="0" w:color="auto"/>
              <w:left w:val="outset" w:sz="6" w:space="0" w:color="auto"/>
              <w:bottom w:val="outset" w:sz="6" w:space="0" w:color="auto"/>
              <w:right w:val="outset" w:sz="6" w:space="0" w:color="auto"/>
            </w:tcBorders>
          </w:tcPr>
          <w:p w14:paraId="6CAC6333"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53 </w:t>
            </w:r>
            <w:r w:rsidRPr="00273A3E">
              <w:rPr>
                <w:rFonts w:ascii="Times New Roman" w:hAnsi="Times New Roman"/>
                <w:lang w:val="lt-LT"/>
              </w:rPr>
              <w:t>(30,8)</w:t>
            </w:r>
          </w:p>
        </w:tc>
        <w:tc>
          <w:tcPr>
            <w:tcW w:w="836" w:type="pct"/>
            <w:tcBorders>
              <w:top w:val="outset" w:sz="6" w:space="0" w:color="auto"/>
              <w:left w:val="outset" w:sz="6" w:space="0" w:color="auto"/>
              <w:bottom w:val="outset" w:sz="6" w:space="0" w:color="auto"/>
              <w:right w:val="outset" w:sz="6" w:space="0" w:color="auto"/>
            </w:tcBorders>
          </w:tcPr>
          <w:p w14:paraId="2C668C72"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w:t>
            </w:r>
            <w:r w:rsidRPr="00273A3E">
              <w:rPr>
                <w:rFonts w:ascii="Times New Roman" w:hAnsi="Times New Roman"/>
                <w:spacing w:val="1"/>
                <w:lang w:val="lt-LT"/>
              </w:rPr>
              <w:t xml:space="preserve"> </w:t>
            </w:r>
            <w:r w:rsidRPr="00273A3E">
              <w:rPr>
                <w:rFonts w:ascii="Times New Roman" w:hAnsi="Times New Roman"/>
                <w:lang w:val="lt-LT"/>
              </w:rPr>
              <w:t>(0,6)</w:t>
            </w:r>
          </w:p>
        </w:tc>
      </w:tr>
      <w:tr w:rsidR="00B420BE" w:rsidRPr="00273A3E" w14:paraId="340E9B87"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6AC95FDF"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 xml:space="preserve">Stomatitas </w:t>
            </w:r>
            <w:r w:rsidRPr="00273A3E">
              <w:rPr>
                <w:rFonts w:ascii="Times New Roman" w:hAnsi="Times New Roman"/>
                <w:vertAlign w:val="superscript"/>
                <w:lang w:val="lt-LT"/>
              </w:rPr>
              <w:t>g</w:t>
            </w:r>
          </w:p>
        </w:tc>
        <w:tc>
          <w:tcPr>
            <w:tcW w:w="855" w:type="pct"/>
            <w:tcBorders>
              <w:top w:val="outset" w:sz="6" w:space="0" w:color="auto"/>
              <w:left w:val="outset" w:sz="6" w:space="0" w:color="auto"/>
              <w:bottom w:val="outset" w:sz="6" w:space="0" w:color="auto"/>
              <w:right w:val="outset" w:sz="6" w:space="0" w:color="auto"/>
            </w:tcBorders>
          </w:tcPr>
          <w:p w14:paraId="4A6FDEEE"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104 </w:t>
            </w:r>
            <w:r w:rsidRPr="00273A3E">
              <w:rPr>
                <w:rFonts w:ascii="Times New Roman" w:hAnsi="Times New Roman"/>
                <w:lang w:val="lt-LT"/>
              </w:rPr>
              <w:t>(30,1)</w:t>
            </w:r>
          </w:p>
        </w:tc>
        <w:tc>
          <w:tcPr>
            <w:tcW w:w="776" w:type="pct"/>
            <w:tcBorders>
              <w:top w:val="outset" w:sz="6" w:space="0" w:color="auto"/>
              <w:left w:val="outset" w:sz="6" w:space="0" w:color="auto"/>
              <w:bottom w:val="outset" w:sz="6" w:space="0" w:color="auto"/>
              <w:right w:val="outset" w:sz="6" w:space="0" w:color="auto"/>
            </w:tcBorders>
          </w:tcPr>
          <w:p w14:paraId="40C8201C"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3 </w:t>
            </w:r>
            <w:r w:rsidRPr="00273A3E">
              <w:rPr>
                <w:rFonts w:ascii="Times New Roman" w:hAnsi="Times New Roman"/>
                <w:lang w:val="lt-LT"/>
              </w:rPr>
              <w:t>(0,9)</w:t>
            </w:r>
          </w:p>
        </w:tc>
        <w:tc>
          <w:tcPr>
            <w:tcW w:w="877" w:type="pct"/>
            <w:tcBorders>
              <w:top w:val="outset" w:sz="6" w:space="0" w:color="auto"/>
              <w:left w:val="outset" w:sz="6" w:space="0" w:color="auto"/>
              <w:bottom w:val="outset" w:sz="6" w:space="0" w:color="auto"/>
              <w:right w:val="outset" w:sz="6" w:space="0" w:color="auto"/>
            </w:tcBorders>
          </w:tcPr>
          <w:p w14:paraId="5884AF3B"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24</w:t>
            </w:r>
            <w:r w:rsidRPr="00273A3E">
              <w:rPr>
                <w:rFonts w:ascii="Times New Roman" w:hAnsi="Times New Roman"/>
                <w:spacing w:val="1"/>
                <w:lang w:val="lt-LT"/>
              </w:rPr>
              <w:t xml:space="preserve"> </w:t>
            </w:r>
            <w:r w:rsidRPr="00273A3E">
              <w:rPr>
                <w:rFonts w:ascii="Times New Roman" w:hAnsi="Times New Roman"/>
                <w:lang w:val="lt-LT"/>
              </w:rPr>
              <w:t>(14,0)</w:t>
            </w:r>
          </w:p>
        </w:tc>
        <w:tc>
          <w:tcPr>
            <w:tcW w:w="836" w:type="pct"/>
            <w:tcBorders>
              <w:top w:val="outset" w:sz="6" w:space="0" w:color="auto"/>
              <w:left w:val="outset" w:sz="6" w:space="0" w:color="auto"/>
              <w:bottom w:val="outset" w:sz="6" w:space="0" w:color="auto"/>
              <w:right w:val="outset" w:sz="6" w:space="0" w:color="auto"/>
            </w:tcBorders>
          </w:tcPr>
          <w:p w14:paraId="75435B33" w14:textId="77777777" w:rsidR="00B420BE" w:rsidRPr="00273A3E" w:rsidRDefault="00B420BE" w:rsidP="009F71ED">
            <w:pPr>
              <w:keepNext/>
              <w:keepLines/>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r>
      <w:tr w:rsidR="00B420BE" w:rsidRPr="00273A3E" w14:paraId="4C43139E"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2F716861"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Viduriavimas</w:t>
            </w:r>
          </w:p>
        </w:tc>
        <w:tc>
          <w:tcPr>
            <w:tcW w:w="855" w:type="pct"/>
            <w:tcBorders>
              <w:top w:val="outset" w:sz="6" w:space="0" w:color="auto"/>
              <w:left w:val="outset" w:sz="6" w:space="0" w:color="auto"/>
              <w:bottom w:val="outset" w:sz="6" w:space="0" w:color="auto"/>
              <w:right w:val="outset" w:sz="6" w:space="0" w:color="auto"/>
            </w:tcBorders>
          </w:tcPr>
          <w:p w14:paraId="2CBE1F04"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94 </w:t>
            </w:r>
            <w:r w:rsidRPr="00273A3E">
              <w:rPr>
                <w:rFonts w:ascii="Times New Roman" w:hAnsi="Times New Roman"/>
                <w:lang w:val="lt-LT"/>
              </w:rPr>
              <w:t>(27,2)</w:t>
            </w:r>
          </w:p>
        </w:tc>
        <w:tc>
          <w:tcPr>
            <w:tcW w:w="776" w:type="pct"/>
            <w:tcBorders>
              <w:top w:val="outset" w:sz="6" w:space="0" w:color="auto"/>
              <w:left w:val="outset" w:sz="6" w:space="0" w:color="auto"/>
              <w:bottom w:val="outset" w:sz="6" w:space="0" w:color="auto"/>
              <w:right w:val="outset" w:sz="6" w:space="0" w:color="auto"/>
            </w:tcBorders>
          </w:tcPr>
          <w:p w14:paraId="14B8A4C3" w14:textId="77777777" w:rsidR="00B420BE" w:rsidRPr="00273A3E" w:rsidRDefault="00B420BE" w:rsidP="009F71ED">
            <w:pPr>
              <w:keepNext/>
              <w:keepLines/>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0A958B2F"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35</w:t>
            </w:r>
            <w:r w:rsidRPr="00273A3E">
              <w:rPr>
                <w:rFonts w:ascii="Times New Roman" w:hAnsi="Times New Roman"/>
                <w:spacing w:val="1"/>
                <w:lang w:val="lt-LT"/>
              </w:rPr>
              <w:t xml:space="preserve"> </w:t>
            </w:r>
            <w:r w:rsidRPr="00273A3E">
              <w:rPr>
                <w:rFonts w:ascii="Times New Roman" w:hAnsi="Times New Roman"/>
                <w:lang w:val="lt-LT"/>
              </w:rPr>
              <w:t>(20,3)</w:t>
            </w:r>
          </w:p>
        </w:tc>
        <w:tc>
          <w:tcPr>
            <w:tcW w:w="836" w:type="pct"/>
            <w:tcBorders>
              <w:top w:val="outset" w:sz="6" w:space="0" w:color="auto"/>
              <w:left w:val="outset" w:sz="6" w:space="0" w:color="auto"/>
              <w:bottom w:val="outset" w:sz="6" w:space="0" w:color="auto"/>
              <w:right w:val="outset" w:sz="6" w:space="0" w:color="auto"/>
            </w:tcBorders>
          </w:tcPr>
          <w:p w14:paraId="26094259"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2</w:t>
            </w:r>
            <w:r w:rsidRPr="00273A3E">
              <w:rPr>
                <w:rFonts w:ascii="Times New Roman" w:hAnsi="Times New Roman"/>
                <w:spacing w:val="1"/>
                <w:lang w:val="lt-LT"/>
              </w:rPr>
              <w:t xml:space="preserve"> </w:t>
            </w:r>
            <w:r w:rsidRPr="00273A3E">
              <w:rPr>
                <w:rFonts w:ascii="Times New Roman" w:hAnsi="Times New Roman"/>
                <w:lang w:val="lt-LT"/>
              </w:rPr>
              <w:t>(1,2)</w:t>
            </w:r>
          </w:p>
        </w:tc>
      </w:tr>
      <w:tr w:rsidR="00B420BE" w:rsidRPr="00273A3E" w14:paraId="606261F1"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44547295"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Vėmimas</w:t>
            </w:r>
          </w:p>
        </w:tc>
        <w:tc>
          <w:tcPr>
            <w:tcW w:w="855" w:type="pct"/>
            <w:tcBorders>
              <w:top w:val="outset" w:sz="6" w:space="0" w:color="auto"/>
              <w:left w:val="outset" w:sz="6" w:space="0" w:color="auto"/>
              <w:bottom w:val="outset" w:sz="6" w:space="0" w:color="auto"/>
              <w:right w:val="outset" w:sz="6" w:space="0" w:color="auto"/>
            </w:tcBorders>
          </w:tcPr>
          <w:p w14:paraId="76BCA454"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75</w:t>
            </w:r>
            <w:r w:rsidRPr="00273A3E">
              <w:rPr>
                <w:rFonts w:ascii="Times New Roman" w:hAnsi="Times New Roman"/>
                <w:spacing w:val="1"/>
                <w:lang w:val="lt-LT"/>
              </w:rPr>
              <w:t xml:space="preserve"> </w:t>
            </w:r>
            <w:r w:rsidRPr="00273A3E">
              <w:rPr>
                <w:rFonts w:ascii="Times New Roman" w:hAnsi="Times New Roman"/>
                <w:lang w:val="lt-LT"/>
              </w:rPr>
              <w:t>(21,7)</w:t>
            </w:r>
          </w:p>
        </w:tc>
        <w:tc>
          <w:tcPr>
            <w:tcW w:w="776" w:type="pct"/>
            <w:tcBorders>
              <w:top w:val="outset" w:sz="6" w:space="0" w:color="auto"/>
              <w:left w:val="outset" w:sz="6" w:space="0" w:color="auto"/>
              <w:bottom w:val="outset" w:sz="6" w:space="0" w:color="auto"/>
              <w:right w:val="outset" w:sz="6" w:space="0" w:color="auto"/>
            </w:tcBorders>
          </w:tcPr>
          <w:p w14:paraId="3DF9216D"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2</w:t>
            </w:r>
            <w:r w:rsidRPr="00273A3E">
              <w:rPr>
                <w:rFonts w:ascii="Times New Roman" w:hAnsi="Times New Roman"/>
                <w:spacing w:val="1"/>
                <w:lang w:val="lt-LT"/>
              </w:rPr>
              <w:t xml:space="preserve"> </w:t>
            </w:r>
            <w:r w:rsidRPr="00273A3E">
              <w:rPr>
                <w:rFonts w:ascii="Times New Roman" w:hAnsi="Times New Roman"/>
                <w:lang w:val="lt-LT"/>
              </w:rPr>
              <w:t>(0,6)</w:t>
            </w:r>
          </w:p>
        </w:tc>
        <w:tc>
          <w:tcPr>
            <w:tcW w:w="877" w:type="pct"/>
            <w:tcBorders>
              <w:top w:val="outset" w:sz="6" w:space="0" w:color="auto"/>
              <w:left w:val="outset" w:sz="6" w:space="0" w:color="auto"/>
              <w:bottom w:val="outset" w:sz="6" w:space="0" w:color="auto"/>
              <w:right w:val="outset" w:sz="6" w:space="0" w:color="auto"/>
            </w:tcBorders>
          </w:tcPr>
          <w:p w14:paraId="198436A1"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28</w:t>
            </w:r>
            <w:r w:rsidRPr="00273A3E">
              <w:rPr>
                <w:rFonts w:ascii="Times New Roman" w:hAnsi="Times New Roman"/>
                <w:spacing w:val="1"/>
                <w:lang w:val="lt-LT"/>
              </w:rPr>
              <w:t xml:space="preserve"> </w:t>
            </w:r>
            <w:r w:rsidRPr="00273A3E">
              <w:rPr>
                <w:rFonts w:ascii="Times New Roman" w:hAnsi="Times New Roman"/>
                <w:lang w:val="lt-LT"/>
              </w:rPr>
              <w:t>(16,3)</w:t>
            </w:r>
          </w:p>
        </w:tc>
        <w:tc>
          <w:tcPr>
            <w:tcW w:w="836" w:type="pct"/>
            <w:tcBorders>
              <w:top w:val="outset" w:sz="6" w:space="0" w:color="auto"/>
              <w:left w:val="outset" w:sz="6" w:space="0" w:color="auto"/>
              <w:bottom w:val="outset" w:sz="6" w:space="0" w:color="auto"/>
              <w:right w:val="outset" w:sz="6" w:space="0" w:color="auto"/>
            </w:tcBorders>
          </w:tcPr>
          <w:p w14:paraId="003084C6"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1</w:t>
            </w:r>
            <w:r w:rsidRPr="00273A3E">
              <w:rPr>
                <w:rFonts w:ascii="Times New Roman" w:hAnsi="Times New Roman"/>
                <w:spacing w:val="1"/>
                <w:lang w:val="lt-LT"/>
              </w:rPr>
              <w:t xml:space="preserve"> </w:t>
            </w:r>
            <w:r w:rsidRPr="00273A3E">
              <w:rPr>
                <w:rFonts w:ascii="Times New Roman" w:hAnsi="Times New Roman"/>
                <w:lang w:val="lt-LT"/>
              </w:rPr>
              <w:t>(0,6)</w:t>
            </w:r>
          </w:p>
        </w:tc>
      </w:tr>
      <w:tr w:rsidR="00B420BE" w:rsidRPr="00490319" w14:paraId="6E901EB4" w14:textId="77777777" w:rsidTr="00887C5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3954355E"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Odos ir poodinio audinio sutrikimai</w:t>
            </w:r>
          </w:p>
        </w:tc>
      </w:tr>
      <w:tr w:rsidR="00B420BE" w:rsidRPr="00273A3E" w14:paraId="492DBDC9"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29F6CB24"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7BDBDF58"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3D1426CF"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4921A625"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2AEFB634" w14:textId="77777777" w:rsidR="00B420BE" w:rsidRPr="00273A3E" w:rsidRDefault="00B420BE" w:rsidP="009F71ED">
            <w:pPr>
              <w:tabs>
                <w:tab w:val="left" w:pos="567"/>
              </w:tabs>
              <w:spacing w:after="0" w:line="240" w:lineRule="auto"/>
              <w:contextualSpacing/>
              <w:rPr>
                <w:rFonts w:ascii="Times New Roman" w:hAnsi="Times New Roman"/>
                <w:lang w:val="lt-LT"/>
              </w:rPr>
            </w:pPr>
          </w:p>
        </w:tc>
      </w:tr>
      <w:tr w:rsidR="00B420BE" w:rsidRPr="00273A3E" w14:paraId="76A28241"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7AD69A23" w14:textId="77777777" w:rsidR="00B420BE" w:rsidRPr="00273A3E" w:rsidRDefault="00B420BE" w:rsidP="009F71ED">
            <w:pPr>
              <w:tabs>
                <w:tab w:val="left" w:pos="567"/>
              </w:tabs>
              <w:spacing w:after="0" w:line="240" w:lineRule="auto"/>
              <w:contextualSpacing/>
              <w:rPr>
                <w:rFonts w:ascii="Times New Roman" w:hAnsi="Times New Roman"/>
                <w:lang w:val="lt-LT"/>
              </w:rPr>
            </w:pPr>
            <w:proofErr w:type="spellStart"/>
            <w:r w:rsidRPr="00273A3E">
              <w:rPr>
                <w:rFonts w:ascii="Times New Roman" w:hAnsi="Times New Roman"/>
                <w:lang w:val="lt-LT"/>
              </w:rPr>
              <w:t>Alopecija</w:t>
            </w:r>
            <w:proofErr w:type="spellEnd"/>
          </w:p>
        </w:tc>
        <w:tc>
          <w:tcPr>
            <w:tcW w:w="855" w:type="pct"/>
            <w:tcBorders>
              <w:top w:val="outset" w:sz="6" w:space="0" w:color="auto"/>
              <w:left w:val="outset" w:sz="6" w:space="0" w:color="auto"/>
              <w:bottom w:val="outset" w:sz="6" w:space="0" w:color="auto"/>
              <w:right w:val="outset" w:sz="6" w:space="0" w:color="auto"/>
            </w:tcBorders>
          </w:tcPr>
          <w:p w14:paraId="15E433EB"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67</w:t>
            </w:r>
            <w:r w:rsidRPr="00273A3E">
              <w:rPr>
                <w:rFonts w:ascii="Times New Roman" w:hAnsi="Times New Roman"/>
                <w:spacing w:val="1"/>
                <w:lang w:val="lt-LT"/>
              </w:rPr>
              <w:t xml:space="preserve"> </w:t>
            </w:r>
            <w:r w:rsidRPr="00273A3E">
              <w:rPr>
                <w:rFonts w:ascii="Times New Roman" w:hAnsi="Times New Roman"/>
                <w:lang w:val="lt-LT"/>
              </w:rPr>
              <w:t>(19,4)</w:t>
            </w:r>
          </w:p>
        </w:tc>
        <w:tc>
          <w:tcPr>
            <w:tcW w:w="776" w:type="pct"/>
            <w:tcBorders>
              <w:top w:val="outset" w:sz="6" w:space="0" w:color="auto"/>
              <w:left w:val="outset" w:sz="6" w:space="0" w:color="auto"/>
              <w:bottom w:val="outset" w:sz="6" w:space="0" w:color="auto"/>
              <w:right w:val="outset" w:sz="6" w:space="0" w:color="auto"/>
            </w:tcBorders>
          </w:tcPr>
          <w:p w14:paraId="6EA873F1"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NT</w:t>
            </w:r>
          </w:p>
        </w:tc>
        <w:tc>
          <w:tcPr>
            <w:tcW w:w="877" w:type="pct"/>
            <w:tcBorders>
              <w:top w:val="outset" w:sz="6" w:space="0" w:color="auto"/>
              <w:left w:val="outset" w:sz="6" w:space="0" w:color="auto"/>
              <w:bottom w:val="outset" w:sz="6" w:space="0" w:color="auto"/>
              <w:right w:val="outset" w:sz="6" w:space="0" w:color="auto"/>
            </w:tcBorders>
          </w:tcPr>
          <w:p w14:paraId="4F74DFE2"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11</w:t>
            </w:r>
            <w:r w:rsidRPr="00273A3E">
              <w:rPr>
                <w:rFonts w:ascii="Times New Roman" w:hAnsi="Times New Roman"/>
                <w:spacing w:val="1"/>
                <w:lang w:val="lt-LT"/>
              </w:rPr>
              <w:t xml:space="preserve"> </w:t>
            </w:r>
            <w:r w:rsidRPr="00273A3E">
              <w:rPr>
                <w:rFonts w:ascii="Times New Roman" w:hAnsi="Times New Roman"/>
                <w:lang w:val="lt-LT"/>
              </w:rPr>
              <w:t>(6,4)</w:t>
            </w:r>
          </w:p>
        </w:tc>
        <w:tc>
          <w:tcPr>
            <w:tcW w:w="836" w:type="pct"/>
            <w:tcBorders>
              <w:top w:val="outset" w:sz="6" w:space="0" w:color="auto"/>
              <w:left w:val="outset" w:sz="6" w:space="0" w:color="auto"/>
              <w:bottom w:val="outset" w:sz="6" w:space="0" w:color="auto"/>
              <w:right w:val="outset" w:sz="6" w:space="0" w:color="auto"/>
            </w:tcBorders>
          </w:tcPr>
          <w:p w14:paraId="51BDBA57"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NT</w:t>
            </w:r>
          </w:p>
        </w:tc>
      </w:tr>
      <w:tr w:rsidR="00B420BE" w:rsidRPr="00273A3E" w14:paraId="5AD73207"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536BF1F8" w14:textId="77777777" w:rsidR="00B420BE" w:rsidRPr="00273A3E" w:rsidRDefault="00A76C46" w:rsidP="009F71ED">
            <w:pPr>
              <w:tabs>
                <w:tab w:val="left" w:pos="567"/>
              </w:tabs>
              <w:spacing w:after="0" w:line="240" w:lineRule="auto"/>
              <w:contextualSpacing/>
              <w:rPr>
                <w:rFonts w:ascii="Times New Roman" w:hAnsi="Times New Roman"/>
                <w:b/>
                <w:kern w:val="28"/>
                <w:lang w:val="lt-LT"/>
              </w:rPr>
            </w:pPr>
            <w:r w:rsidRPr="00273A3E">
              <w:rPr>
                <w:rFonts w:ascii="Times New Roman" w:hAnsi="Times New Roman"/>
                <w:lang w:val="lt-LT"/>
              </w:rPr>
              <w:t>Išb</w:t>
            </w:r>
            <w:r w:rsidR="0034331B" w:rsidRPr="00273A3E">
              <w:rPr>
                <w:rFonts w:ascii="Times New Roman" w:hAnsi="Times New Roman"/>
                <w:lang w:val="lt-LT"/>
              </w:rPr>
              <w:t>ėrimas</w:t>
            </w:r>
            <w:r w:rsidR="00B420BE" w:rsidRPr="00273A3E">
              <w:rPr>
                <w:rFonts w:ascii="Times New Roman" w:hAnsi="Times New Roman"/>
                <w:lang w:val="lt-LT"/>
              </w:rPr>
              <w:t xml:space="preserve"> </w:t>
            </w:r>
            <w:r w:rsidR="00B420BE" w:rsidRPr="00273A3E">
              <w:rPr>
                <w:rFonts w:ascii="Times New Roman" w:hAnsi="Times New Roman"/>
                <w:vertAlign w:val="superscript"/>
                <w:lang w:val="lt-LT"/>
              </w:rPr>
              <w:t>h</w:t>
            </w:r>
          </w:p>
        </w:tc>
        <w:tc>
          <w:tcPr>
            <w:tcW w:w="855" w:type="pct"/>
            <w:tcBorders>
              <w:top w:val="outset" w:sz="6" w:space="0" w:color="auto"/>
              <w:left w:val="outset" w:sz="6" w:space="0" w:color="auto"/>
              <w:bottom w:val="outset" w:sz="6" w:space="0" w:color="auto"/>
              <w:right w:val="outset" w:sz="6" w:space="0" w:color="auto"/>
            </w:tcBorders>
          </w:tcPr>
          <w:p w14:paraId="6F2EA8C2"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63 </w:t>
            </w:r>
            <w:r w:rsidRPr="00273A3E">
              <w:rPr>
                <w:rFonts w:ascii="Times New Roman" w:hAnsi="Times New Roman"/>
                <w:lang w:val="lt-LT"/>
              </w:rPr>
              <w:t>(18,3)</w:t>
            </w:r>
          </w:p>
        </w:tc>
        <w:tc>
          <w:tcPr>
            <w:tcW w:w="776" w:type="pct"/>
            <w:tcBorders>
              <w:top w:val="outset" w:sz="6" w:space="0" w:color="auto"/>
              <w:left w:val="outset" w:sz="6" w:space="0" w:color="auto"/>
              <w:bottom w:val="outset" w:sz="6" w:space="0" w:color="auto"/>
              <w:right w:val="outset" w:sz="6" w:space="0" w:color="auto"/>
            </w:tcBorders>
          </w:tcPr>
          <w:p w14:paraId="6C0D095E"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3 </w:t>
            </w:r>
            <w:r w:rsidRPr="00273A3E">
              <w:rPr>
                <w:rFonts w:ascii="Times New Roman" w:hAnsi="Times New Roman"/>
                <w:lang w:val="lt-LT"/>
              </w:rPr>
              <w:t>(0,9)</w:t>
            </w:r>
          </w:p>
        </w:tc>
        <w:tc>
          <w:tcPr>
            <w:tcW w:w="877" w:type="pct"/>
            <w:tcBorders>
              <w:top w:val="outset" w:sz="6" w:space="0" w:color="auto"/>
              <w:left w:val="outset" w:sz="6" w:space="0" w:color="auto"/>
              <w:bottom w:val="outset" w:sz="6" w:space="0" w:color="auto"/>
              <w:right w:val="outset" w:sz="6" w:space="0" w:color="auto"/>
            </w:tcBorders>
          </w:tcPr>
          <w:p w14:paraId="4B2D54C2"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10</w:t>
            </w:r>
            <w:r w:rsidRPr="00273A3E">
              <w:rPr>
                <w:rFonts w:ascii="Times New Roman" w:hAnsi="Times New Roman"/>
                <w:spacing w:val="1"/>
                <w:lang w:val="lt-LT"/>
              </w:rPr>
              <w:t xml:space="preserve"> </w:t>
            </w:r>
            <w:r w:rsidRPr="00273A3E">
              <w:rPr>
                <w:rFonts w:ascii="Times New Roman" w:hAnsi="Times New Roman"/>
                <w:lang w:val="lt-LT"/>
              </w:rPr>
              <w:t>(5,8)</w:t>
            </w:r>
          </w:p>
        </w:tc>
        <w:tc>
          <w:tcPr>
            <w:tcW w:w="836" w:type="pct"/>
            <w:tcBorders>
              <w:top w:val="outset" w:sz="6" w:space="0" w:color="auto"/>
              <w:left w:val="outset" w:sz="6" w:space="0" w:color="auto"/>
              <w:bottom w:val="outset" w:sz="6" w:space="0" w:color="auto"/>
              <w:right w:val="outset" w:sz="6" w:space="0" w:color="auto"/>
            </w:tcBorders>
          </w:tcPr>
          <w:p w14:paraId="251968D3"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r>
      <w:tr w:rsidR="00B420BE" w:rsidRPr="00273A3E" w14:paraId="0E0FD6BE"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0CA72C69"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045F60E9"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5A1576ED"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0480495A"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488AC0B6"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r>
      <w:tr w:rsidR="00B420BE" w:rsidRPr="00273A3E" w14:paraId="52EE1987"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10ADFB96" w14:textId="77777777" w:rsidR="00B420BE" w:rsidRPr="00273A3E" w:rsidRDefault="00CD675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Sausa oda</w:t>
            </w:r>
          </w:p>
        </w:tc>
        <w:tc>
          <w:tcPr>
            <w:tcW w:w="855" w:type="pct"/>
            <w:tcBorders>
              <w:top w:val="outset" w:sz="6" w:space="0" w:color="auto"/>
              <w:left w:val="outset" w:sz="6" w:space="0" w:color="auto"/>
              <w:bottom w:val="outset" w:sz="6" w:space="0" w:color="auto"/>
              <w:right w:val="outset" w:sz="6" w:space="0" w:color="auto"/>
            </w:tcBorders>
          </w:tcPr>
          <w:p w14:paraId="7D9964AF"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28</w:t>
            </w:r>
            <w:r w:rsidRPr="00273A3E">
              <w:rPr>
                <w:rFonts w:ascii="Times New Roman" w:hAnsi="Times New Roman"/>
                <w:spacing w:val="1"/>
                <w:lang w:val="lt-LT"/>
              </w:rPr>
              <w:t xml:space="preserve"> </w:t>
            </w:r>
            <w:r w:rsidRPr="00273A3E">
              <w:rPr>
                <w:rFonts w:ascii="Times New Roman" w:hAnsi="Times New Roman"/>
                <w:lang w:val="lt-LT"/>
              </w:rPr>
              <w:t>(8,1)</w:t>
            </w:r>
          </w:p>
        </w:tc>
        <w:tc>
          <w:tcPr>
            <w:tcW w:w="776" w:type="pct"/>
            <w:tcBorders>
              <w:top w:val="outset" w:sz="6" w:space="0" w:color="auto"/>
              <w:left w:val="outset" w:sz="6" w:space="0" w:color="auto"/>
              <w:bottom w:val="outset" w:sz="6" w:space="0" w:color="auto"/>
              <w:right w:val="outset" w:sz="6" w:space="0" w:color="auto"/>
            </w:tcBorders>
          </w:tcPr>
          <w:p w14:paraId="00B87A73" w14:textId="77777777" w:rsidR="00B420BE" w:rsidRPr="00273A3E" w:rsidRDefault="00B420BE" w:rsidP="009F71ED">
            <w:pPr>
              <w:keepNext/>
              <w:keepLines/>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403E3E68"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3 </w:t>
            </w:r>
            <w:r w:rsidRPr="00273A3E">
              <w:rPr>
                <w:rFonts w:ascii="Times New Roman" w:hAnsi="Times New Roman"/>
                <w:lang w:val="lt-LT"/>
              </w:rPr>
              <w:t>(1,7)</w:t>
            </w:r>
          </w:p>
        </w:tc>
        <w:tc>
          <w:tcPr>
            <w:tcW w:w="836" w:type="pct"/>
            <w:tcBorders>
              <w:top w:val="outset" w:sz="6" w:space="0" w:color="auto"/>
              <w:left w:val="outset" w:sz="6" w:space="0" w:color="auto"/>
              <w:bottom w:val="outset" w:sz="6" w:space="0" w:color="auto"/>
              <w:right w:val="outset" w:sz="6" w:space="0" w:color="auto"/>
            </w:tcBorders>
          </w:tcPr>
          <w:p w14:paraId="2EECF134" w14:textId="77777777" w:rsidR="00B420BE" w:rsidRPr="00273A3E" w:rsidRDefault="00B420BE" w:rsidP="009F71ED">
            <w:pPr>
              <w:keepNext/>
              <w:keepLines/>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r>
      <w:tr w:rsidR="00B420BE" w:rsidRPr="00273A3E" w14:paraId="6C3E0D03" w14:textId="77777777" w:rsidTr="00887C5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13562E61"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Bendrieji sutrikimai ir vartojimo vietos pažeidimai</w:t>
            </w:r>
          </w:p>
        </w:tc>
      </w:tr>
      <w:tr w:rsidR="00B420BE" w:rsidRPr="00273A3E" w14:paraId="483E9992"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23861AC3"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6ABD6941"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7F7BC836"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4ABCCB82"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47D818DC" w14:textId="77777777" w:rsidR="00B420BE" w:rsidRPr="00273A3E" w:rsidRDefault="00B420BE" w:rsidP="009F71ED">
            <w:pPr>
              <w:tabs>
                <w:tab w:val="left" w:pos="567"/>
              </w:tabs>
              <w:spacing w:after="0" w:line="240" w:lineRule="auto"/>
              <w:contextualSpacing/>
              <w:rPr>
                <w:rFonts w:ascii="Times New Roman" w:hAnsi="Times New Roman"/>
                <w:lang w:val="lt-LT"/>
              </w:rPr>
            </w:pPr>
          </w:p>
        </w:tc>
      </w:tr>
      <w:tr w:rsidR="00B420BE" w:rsidRPr="00273A3E" w14:paraId="724663E1"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2496543A"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Nuovargis</w:t>
            </w:r>
          </w:p>
        </w:tc>
        <w:tc>
          <w:tcPr>
            <w:tcW w:w="855" w:type="pct"/>
            <w:tcBorders>
              <w:top w:val="outset" w:sz="6" w:space="0" w:color="auto"/>
              <w:left w:val="outset" w:sz="6" w:space="0" w:color="auto"/>
              <w:bottom w:val="outset" w:sz="6" w:space="0" w:color="auto"/>
              <w:right w:val="outset" w:sz="6" w:space="0" w:color="auto"/>
            </w:tcBorders>
          </w:tcPr>
          <w:p w14:paraId="3629F4E9"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152 (44,1)</w:t>
            </w:r>
          </w:p>
        </w:tc>
        <w:tc>
          <w:tcPr>
            <w:tcW w:w="776" w:type="pct"/>
            <w:tcBorders>
              <w:top w:val="outset" w:sz="6" w:space="0" w:color="auto"/>
              <w:left w:val="outset" w:sz="6" w:space="0" w:color="auto"/>
              <w:bottom w:val="outset" w:sz="6" w:space="0" w:color="auto"/>
              <w:right w:val="outset" w:sz="6" w:space="0" w:color="auto"/>
            </w:tcBorders>
          </w:tcPr>
          <w:p w14:paraId="02A55F32"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9 </w:t>
            </w:r>
            <w:r w:rsidRPr="00273A3E">
              <w:rPr>
                <w:rFonts w:ascii="Times New Roman" w:hAnsi="Times New Roman"/>
                <w:lang w:val="lt-LT"/>
              </w:rPr>
              <w:t>(2,6)</w:t>
            </w:r>
          </w:p>
        </w:tc>
        <w:tc>
          <w:tcPr>
            <w:tcW w:w="877" w:type="pct"/>
            <w:tcBorders>
              <w:top w:val="outset" w:sz="6" w:space="0" w:color="auto"/>
              <w:left w:val="outset" w:sz="6" w:space="0" w:color="auto"/>
              <w:bottom w:val="outset" w:sz="6" w:space="0" w:color="auto"/>
              <w:right w:val="outset" w:sz="6" w:space="0" w:color="auto"/>
            </w:tcBorders>
          </w:tcPr>
          <w:p w14:paraId="1D41BEC2"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54</w:t>
            </w:r>
            <w:r w:rsidRPr="00273A3E">
              <w:rPr>
                <w:rFonts w:ascii="Times New Roman" w:hAnsi="Times New Roman"/>
                <w:spacing w:val="1"/>
                <w:lang w:val="lt-LT"/>
              </w:rPr>
              <w:t xml:space="preserve"> </w:t>
            </w:r>
            <w:r w:rsidRPr="00273A3E">
              <w:rPr>
                <w:rFonts w:ascii="Times New Roman" w:hAnsi="Times New Roman"/>
                <w:lang w:val="lt-LT"/>
              </w:rPr>
              <w:t>(31,4)</w:t>
            </w:r>
          </w:p>
        </w:tc>
        <w:tc>
          <w:tcPr>
            <w:tcW w:w="836" w:type="pct"/>
            <w:tcBorders>
              <w:top w:val="outset" w:sz="6" w:space="0" w:color="auto"/>
              <w:left w:val="outset" w:sz="6" w:space="0" w:color="auto"/>
              <w:bottom w:val="outset" w:sz="6" w:space="0" w:color="auto"/>
              <w:right w:val="outset" w:sz="6" w:space="0" w:color="auto"/>
            </w:tcBorders>
          </w:tcPr>
          <w:p w14:paraId="7E3FD7CA"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2</w:t>
            </w:r>
            <w:r w:rsidRPr="00273A3E">
              <w:rPr>
                <w:rFonts w:ascii="Times New Roman" w:hAnsi="Times New Roman"/>
                <w:spacing w:val="1"/>
                <w:lang w:val="lt-LT"/>
              </w:rPr>
              <w:t xml:space="preserve"> </w:t>
            </w:r>
            <w:r w:rsidRPr="00273A3E">
              <w:rPr>
                <w:rFonts w:ascii="Times New Roman" w:hAnsi="Times New Roman"/>
                <w:lang w:val="lt-LT"/>
              </w:rPr>
              <w:t>(1,2)</w:t>
            </w:r>
          </w:p>
        </w:tc>
      </w:tr>
      <w:tr w:rsidR="00B420BE" w:rsidRPr="00273A3E" w14:paraId="0C3F4BC0"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1172A68D"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Karščiavimas</w:t>
            </w:r>
          </w:p>
        </w:tc>
        <w:tc>
          <w:tcPr>
            <w:tcW w:w="855" w:type="pct"/>
            <w:tcBorders>
              <w:top w:val="outset" w:sz="6" w:space="0" w:color="auto"/>
              <w:left w:val="outset" w:sz="6" w:space="0" w:color="auto"/>
              <w:bottom w:val="outset" w:sz="6" w:space="0" w:color="auto"/>
              <w:right w:val="outset" w:sz="6" w:space="0" w:color="auto"/>
            </w:tcBorders>
          </w:tcPr>
          <w:p w14:paraId="766C33C7"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47</w:t>
            </w:r>
            <w:r w:rsidRPr="00273A3E">
              <w:rPr>
                <w:rFonts w:ascii="Times New Roman" w:hAnsi="Times New Roman"/>
                <w:spacing w:val="1"/>
                <w:lang w:val="lt-LT"/>
              </w:rPr>
              <w:t xml:space="preserve"> </w:t>
            </w:r>
            <w:r w:rsidRPr="00273A3E">
              <w:rPr>
                <w:rFonts w:ascii="Times New Roman" w:hAnsi="Times New Roman"/>
                <w:lang w:val="lt-LT"/>
              </w:rPr>
              <w:t>(13,6)</w:t>
            </w:r>
          </w:p>
        </w:tc>
        <w:tc>
          <w:tcPr>
            <w:tcW w:w="776" w:type="pct"/>
            <w:tcBorders>
              <w:top w:val="outset" w:sz="6" w:space="0" w:color="auto"/>
              <w:left w:val="outset" w:sz="6" w:space="0" w:color="auto"/>
              <w:bottom w:val="outset" w:sz="6" w:space="0" w:color="auto"/>
              <w:right w:val="outset" w:sz="6" w:space="0" w:color="auto"/>
            </w:tcBorders>
          </w:tcPr>
          <w:p w14:paraId="300B6137"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1</w:t>
            </w:r>
            <w:r w:rsidRPr="00273A3E">
              <w:rPr>
                <w:rFonts w:ascii="Times New Roman" w:hAnsi="Times New Roman"/>
                <w:spacing w:val="1"/>
                <w:lang w:val="lt-LT"/>
              </w:rPr>
              <w:t xml:space="preserve"> </w:t>
            </w:r>
            <w:r w:rsidRPr="00273A3E">
              <w:rPr>
                <w:rFonts w:ascii="Times New Roman" w:hAnsi="Times New Roman"/>
                <w:lang w:val="lt-LT"/>
              </w:rPr>
              <w:t>(0,3)</w:t>
            </w:r>
          </w:p>
        </w:tc>
        <w:tc>
          <w:tcPr>
            <w:tcW w:w="877" w:type="pct"/>
            <w:tcBorders>
              <w:top w:val="outset" w:sz="6" w:space="0" w:color="auto"/>
              <w:left w:val="outset" w:sz="6" w:space="0" w:color="auto"/>
              <w:bottom w:val="outset" w:sz="6" w:space="0" w:color="auto"/>
              <w:right w:val="outset" w:sz="6" w:space="0" w:color="auto"/>
            </w:tcBorders>
          </w:tcPr>
          <w:p w14:paraId="3F9D41A3"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10 </w:t>
            </w:r>
            <w:r w:rsidRPr="00273A3E">
              <w:rPr>
                <w:rFonts w:ascii="Times New Roman" w:hAnsi="Times New Roman"/>
                <w:lang w:val="lt-LT"/>
              </w:rPr>
              <w:t>(5,8)</w:t>
            </w:r>
          </w:p>
        </w:tc>
        <w:tc>
          <w:tcPr>
            <w:tcW w:w="836" w:type="pct"/>
            <w:tcBorders>
              <w:top w:val="outset" w:sz="6" w:space="0" w:color="auto"/>
              <w:left w:val="outset" w:sz="6" w:space="0" w:color="auto"/>
              <w:bottom w:val="outset" w:sz="6" w:space="0" w:color="auto"/>
              <w:right w:val="outset" w:sz="6" w:space="0" w:color="auto"/>
            </w:tcBorders>
          </w:tcPr>
          <w:p w14:paraId="0EEBEF12"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0</w:t>
            </w:r>
          </w:p>
        </w:tc>
      </w:tr>
      <w:tr w:rsidR="00B420BE" w:rsidRPr="00273A3E" w14:paraId="2F3D3A58"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7349BFCA"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6F4FADAD"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5EC6CB71"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0B77A929"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08A14E15"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r>
      <w:tr w:rsidR="00B420BE" w:rsidRPr="00273A3E" w14:paraId="1A42290E"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5AF41D15" w14:textId="77777777" w:rsidR="00B420BE" w:rsidRPr="00273A3E" w:rsidRDefault="00B420BE" w:rsidP="009F71ED">
            <w:pPr>
              <w:tabs>
                <w:tab w:val="left" w:pos="567"/>
              </w:tabs>
              <w:spacing w:after="0" w:line="240" w:lineRule="auto"/>
              <w:contextualSpacing/>
              <w:rPr>
                <w:rFonts w:ascii="Times New Roman" w:hAnsi="Times New Roman"/>
                <w:lang w:val="lt-LT"/>
              </w:rPr>
            </w:pPr>
            <w:proofErr w:type="spellStart"/>
            <w:r w:rsidRPr="00273A3E">
              <w:rPr>
                <w:rFonts w:ascii="Times New Roman" w:hAnsi="Times New Roman"/>
                <w:lang w:val="lt-LT"/>
              </w:rPr>
              <w:t>Astenija</w:t>
            </w:r>
            <w:proofErr w:type="spellEnd"/>
          </w:p>
        </w:tc>
        <w:tc>
          <w:tcPr>
            <w:tcW w:w="855" w:type="pct"/>
            <w:tcBorders>
              <w:top w:val="outset" w:sz="6" w:space="0" w:color="auto"/>
              <w:left w:val="outset" w:sz="6" w:space="0" w:color="auto"/>
              <w:bottom w:val="outset" w:sz="6" w:space="0" w:color="auto"/>
              <w:right w:val="outset" w:sz="6" w:space="0" w:color="auto"/>
            </w:tcBorders>
          </w:tcPr>
          <w:p w14:paraId="620C83AC"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lang w:val="lt-LT"/>
              </w:rPr>
              <w:t>27</w:t>
            </w:r>
            <w:r w:rsidRPr="00273A3E">
              <w:rPr>
                <w:rFonts w:ascii="Times New Roman" w:hAnsi="Times New Roman"/>
                <w:spacing w:val="1"/>
                <w:lang w:val="lt-LT"/>
              </w:rPr>
              <w:t xml:space="preserve"> </w:t>
            </w:r>
            <w:r w:rsidRPr="00273A3E">
              <w:rPr>
                <w:rFonts w:ascii="Times New Roman" w:hAnsi="Times New Roman"/>
                <w:lang w:val="lt-LT"/>
              </w:rPr>
              <w:t>(7,8)</w:t>
            </w:r>
          </w:p>
        </w:tc>
        <w:tc>
          <w:tcPr>
            <w:tcW w:w="776" w:type="pct"/>
            <w:tcBorders>
              <w:top w:val="outset" w:sz="6" w:space="0" w:color="auto"/>
              <w:left w:val="outset" w:sz="6" w:space="0" w:color="auto"/>
              <w:bottom w:val="outset" w:sz="6" w:space="0" w:color="auto"/>
              <w:right w:val="outset" w:sz="6" w:space="0" w:color="auto"/>
            </w:tcBorders>
          </w:tcPr>
          <w:p w14:paraId="15243D8C"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1 (0,3)</w:t>
            </w:r>
          </w:p>
        </w:tc>
        <w:tc>
          <w:tcPr>
            <w:tcW w:w="877" w:type="pct"/>
            <w:tcBorders>
              <w:top w:val="outset" w:sz="6" w:space="0" w:color="auto"/>
              <w:left w:val="outset" w:sz="6" w:space="0" w:color="auto"/>
              <w:bottom w:val="outset" w:sz="6" w:space="0" w:color="auto"/>
              <w:right w:val="outset" w:sz="6" w:space="0" w:color="auto"/>
            </w:tcBorders>
          </w:tcPr>
          <w:p w14:paraId="2A59D217"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13 </w:t>
            </w:r>
            <w:r w:rsidRPr="00273A3E">
              <w:rPr>
                <w:rFonts w:ascii="Times New Roman" w:hAnsi="Times New Roman"/>
                <w:lang w:val="lt-LT"/>
              </w:rPr>
              <w:t>(7,6)</w:t>
            </w:r>
          </w:p>
        </w:tc>
        <w:tc>
          <w:tcPr>
            <w:tcW w:w="836" w:type="pct"/>
            <w:tcBorders>
              <w:top w:val="outset" w:sz="6" w:space="0" w:color="auto"/>
              <w:left w:val="outset" w:sz="6" w:space="0" w:color="auto"/>
              <w:bottom w:val="outset" w:sz="6" w:space="0" w:color="auto"/>
              <w:right w:val="outset" w:sz="6" w:space="0" w:color="auto"/>
            </w:tcBorders>
          </w:tcPr>
          <w:p w14:paraId="52DD98F7" w14:textId="77777777" w:rsidR="00B420BE" w:rsidRPr="00273A3E" w:rsidRDefault="00B420BE" w:rsidP="009F71ED">
            <w:pPr>
              <w:tabs>
                <w:tab w:val="left" w:pos="567"/>
              </w:tabs>
              <w:spacing w:after="0" w:line="240" w:lineRule="auto"/>
              <w:contextualSpacing/>
              <w:jc w:val="center"/>
              <w:rPr>
                <w:rFonts w:ascii="Times New Roman" w:hAnsi="Times New Roman"/>
                <w:b/>
                <w:kern w:val="28"/>
                <w:lang w:val="lt-LT"/>
              </w:rPr>
            </w:pPr>
            <w:r w:rsidRPr="00273A3E">
              <w:rPr>
                <w:rFonts w:ascii="Times New Roman" w:hAnsi="Times New Roman"/>
                <w:spacing w:val="1"/>
                <w:lang w:val="lt-LT"/>
              </w:rPr>
              <w:t xml:space="preserve">2 </w:t>
            </w:r>
            <w:r w:rsidRPr="00273A3E">
              <w:rPr>
                <w:rFonts w:ascii="Times New Roman" w:hAnsi="Times New Roman"/>
                <w:lang w:val="lt-LT"/>
              </w:rPr>
              <w:t>(1,2)</w:t>
            </w:r>
          </w:p>
        </w:tc>
      </w:tr>
      <w:tr w:rsidR="00B420BE" w:rsidRPr="00273A3E" w14:paraId="2F15D215" w14:textId="77777777" w:rsidTr="00887C5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772DB215"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Tyrimai</w:t>
            </w:r>
          </w:p>
        </w:tc>
      </w:tr>
      <w:tr w:rsidR="00B420BE" w:rsidRPr="00273A3E" w14:paraId="684F2BA9"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73292C3E" w14:textId="77777777" w:rsidR="00B420BE" w:rsidRPr="00273A3E" w:rsidRDefault="00B420BE" w:rsidP="009F71ED">
            <w:pPr>
              <w:tabs>
                <w:tab w:val="left" w:pos="567"/>
              </w:tabs>
              <w:spacing w:after="0" w:line="240" w:lineRule="auto"/>
              <w:contextualSpacing/>
              <w:rPr>
                <w:rFonts w:ascii="Times New Roman" w:hAnsi="Times New Roman"/>
                <w:i/>
                <w:lang w:val="lt-LT"/>
              </w:rPr>
            </w:pPr>
            <w:r w:rsidRPr="00273A3E">
              <w:rPr>
                <w:rFonts w:ascii="Times New Roman" w:hAnsi="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0D9344B5"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65BF82BB"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7F073BDD" w14:textId="77777777" w:rsidR="00B420BE" w:rsidRPr="00273A3E" w:rsidRDefault="00B420BE" w:rsidP="009F71ED">
            <w:pPr>
              <w:tabs>
                <w:tab w:val="left" w:pos="567"/>
              </w:tabs>
              <w:spacing w:after="0" w:line="240" w:lineRule="auto"/>
              <w:contextualSpacing/>
              <w:rPr>
                <w:rFonts w:ascii="Times New Roman" w:hAnsi="Times New Roman"/>
                <w:lang w:val="lt-LT"/>
              </w:rPr>
            </w:pPr>
          </w:p>
        </w:tc>
        <w:tc>
          <w:tcPr>
            <w:tcW w:w="836" w:type="pct"/>
            <w:tcBorders>
              <w:top w:val="outset" w:sz="6" w:space="0" w:color="auto"/>
              <w:left w:val="outset" w:sz="6" w:space="0" w:color="auto"/>
              <w:bottom w:val="outset" w:sz="6" w:space="0" w:color="auto"/>
              <w:right w:val="outset" w:sz="6" w:space="0" w:color="auto"/>
            </w:tcBorders>
          </w:tcPr>
          <w:p w14:paraId="539077C2" w14:textId="77777777" w:rsidR="00B420BE" w:rsidRPr="00273A3E" w:rsidRDefault="00B420BE" w:rsidP="009F71ED">
            <w:pPr>
              <w:tabs>
                <w:tab w:val="left" w:pos="567"/>
              </w:tabs>
              <w:spacing w:after="0" w:line="240" w:lineRule="auto"/>
              <w:contextualSpacing/>
              <w:rPr>
                <w:rFonts w:ascii="Times New Roman" w:hAnsi="Times New Roman"/>
                <w:lang w:val="lt-LT"/>
              </w:rPr>
            </w:pPr>
          </w:p>
        </w:tc>
      </w:tr>
      <w:tr w:rsidR="00B420BE" w:rsidRPr="00273A3E" w14:paraId="0748381E"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404AD899"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Padidėjęs AST aktyvumas</w:t>
            </w:r>
          </w:p>
        </w:tc>
        <w:tc>
          <w:tcPr>
            <w:tcW w:w="855" w:type="pct"/>
            <w:tcBorders>
              <w:top w:val="outset" w:sz="6" w:space="0" w:color="auto"/>
              <w:left w:val="outset" w:sz="6" w:space="0" w:color="auto"/>
              <w:bottom w:val="outset" w:sz="6" w:space="0" w:color="auto"/>
              <w:right w:val="outset" w:sz="6" w:space="0" w:color="auto"/>
            </w:tcBorders>
          </w:tcPr>
          <w:p w14:paraId="12643622"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40 (11,6)</w:t>
            </w:r>
          </w:p>
        </w:tc>
        <w:tc>
          <w:tcPr>
            <w:tcW w:w="776" w:type="pct"/>
            <w:tcBorders>
              <w:top w:val="outset" w:sz="6" w:space="0" w:color="auto"/>
              <w:left w:val="outset" w:sz="6" w:space="0" w:color="auto"/>
              <w:bottom w:val="outset" w:sz="6" w:space="0" w:color="auto"/>
              <w:right w:val="outset" w:sz="6" w:space="0" w:color="auto"/>
            </w:tcBorders>
          </w:tcPr>
          <w:p w14:paraId="297D73F2"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11 </w:t>
            </w:r>
            <w:r w:rsidRPr="00273A3E">
              <w:rPr>
                <w:rFonts w:ascii="Times New Roman" w:hAnsi="Times New Roman"/>
                <w:lang w:val="lt-LT"/>
              </w:rPr>
              <w:t>(3,2)</w:t>
            </w:r>
          </w:p>
        </w:tc>
        <w:tc>
          <w:tcPr>
            <w:tcW w:w="877" w:type="pct"/>
            <w:tcBorders>
              <w:top w:val="outset" w:sz="6" w:space="0" w:color="auto"/>
              <w:left w:val="outset" w:sz="6" w:space="0" w:color="auto"/>
              <w:bottom w:val="outset" w:sz="6" w:space="0" w:color="auto"/>
              <w:right w:val="outset" w:sz="6" w:space="0" w:color="auto"/>
            </w:tcBorders>
          </w:tcPr>
          <w:p w14:paraId="4CD5CA3A"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13 </w:t>
            </w:r>
            <w:r w:rsidRPr="00273A3E">
              <w:rPr>
                <w:rFonts w:ascii="Times New Roman" w:hAnsi="Times New Roman"/>
                <w:lang w:val="lt-LT"/>
              </w:rPr>
              <w:t>(7,6)</w:t>
            </w:r>
          </w:p>
        </w:tc>
        <w:tc>
          <w:tcPr>
            <w:tcW w:w="836" w:type="pct"/>
            <w:tcBorders>
              <w:top w:val="outset" w:sz="6" w:space="0" w:color="auto"/>
              <w:left w:val="outset" w:sz="6" w:space="0" w:color="auto"/>
              <w:bottom w:val="outset" w:sz="6" w:space="0" w:color="auto"/>
              <w:right w:val="outset" w:sz="6" w:space="0" w:color="auto"/>
            </w:tcBorders>
          </w:tcPr>
          <w:p w14:paraId="40BBFF91"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4 </w:t>
            </w:r>
            <w:r w:rsidRPr="00273A3E">
              <w:rPr>
                <w:rFonts w:ascii="Times New Roman" w:hAnsi="Times New Roman"/>
                <w:lang w:val="lt-LT"/>
              </w:rPr>
              <w:t>(2,3)</w:t>
            </w:r>
          </w:p>
        </w:tc>
      </w:tr>
      <w:tr w:rsidR="00B420BE" w:rsidRPr="00273A3E" w14:paraId="72820592"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789D9396"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5033E6A4"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7223F2DF" w14:textId="77777777" w:rsidR="00B420BE" w:rsidRPr="00273A3E" w:rsidRDefault="00B420BE" w:rsidP="009F71ED">
            <w:pPr>
              <w:tabs>
                <w:tab w:val="left" w:pos="567"/>
              </w:tabs>
              <w:spacing w:after="0" w:line="240" w:lineRule="auto"/>
              <w:contextualSpacing/>
              <w:jc w:val="center"/>
              <w:rPr>
                <w:rFonts w:ascii="Times New Roman" w:hAnsi="Times New Roman"/>
                <w:spacing w:val="1"/>
                <w:lang w:val="lt-LT"/>
              </w:rPr>
            </w:pPr>
          </w:p>
        </w:tc>
        <w:tc>
          <w:tcPr>
            <w:tcW w:w="877" w:type="pct"/>
            <w:tcBorders>
              <w:top w:val="outset" w:sz="6" w:space="0" w:color="auto"/>
              <w:left w:val="outset" w:sz="6" w:space="0" w:color="auto"/>
              <w:bottom w:val="outset" w:sz="6" w:space="0" w:color="auto"/>
              <w:right w:val="outset" w:sz="6" w:space="0" w:color="auto"/>
            </w:tcBorders>
          </w:tcPr>
          <w:p w14:paraId="68295849" w14:textId="77777777" w:rsidR="00B420BE" w:rsidRPr="00273A3E" w:rsidRDefault="00B420BE" w:rsidP="009F71ED">
            <w:pPr>
              <w:tabs>
                <w:tab w:val="left" w:pos="567"/>
              </w:tabs>
              <w:spacing w:after="0" w:line="240" w:lineRule="auto"/>
              <w:contextualSpacing/>
              <w:jc w:val="center"/>
              <w:rPr>
                <w:rFonts w:ascii="Times New Roman" w:hAnsi="Times New Roman"/>
                <w:spacing w:val="1"/>
                <w:lang w:val="lt-LT"/>
              </w:rPr>
            </w:pPr>
          </w:p>
        </w:tc>
        <w:tc>
          <w:tcPr>
            <w:tcW w:w="836" w:type="pct"/>
            <w:tcBorders>
              <w:top w:val="outset" w:sz="6" w:space="0" w:color="auto"/>
              <w:left w:val="outset" w:sz="6" w:space="0" w:color="auto"/>
              <w:bottom w:val="outset" w:sz="6" w:space="0" w:color="auto"/>
              <w:right w:val="outset" w:sz="6" w:space="0" w:color="auto"/>
            </w:tcBorders>
          </w:tcPr>
          <w:p w14:paraId="152CCB5A" w14:textId="77777777" w:rsidR="00B420BE" w:rsidRPr="00273A3E" w:rsidRDefault="00B420BE" w:rsidP="009F71ED">
            <w:pPr>
              <w:tabs>
                <w:tab w:val="left" w:pos="567"/>
              </w:tabs>
              <w:spacing w:after="0" w:line="240" w:lineRule="auto"/>
              <w:contextualSpacing/>
              <w:jc w:val="center"/>
              <w:rPr>
                <w:rFonts w:ascii="Times New Roman" w:hAnsi="Times New Roman"/>
                <w:spacing w:val="1"/>
                <w:lang w:val="lt-LT"/>
              </w:rPr>
            </w:pPr>
          </w:p>
        </w:tc>
      </w:tr>
      <w:tr w:rsidR="00B420BE" w:rsidRPr="00273A3E" w14:paraId="6EA5B25D" w14:textId="77777777" w:rsidTr="00887C53">
        <w:trPr>
          <w:tblCellSpacing w:w="0" w:type="dxa"/>
        </w:trPr>
        <w:tc>
          <w:tcPr>
            <w:tcW w:w="1656" w:type="pct"/>
            <w:tcBorders>
              <w:top w:val="outset" w:sz="6" w:space="0" w:color="auto"/>
              <w:left w:val="outset" w:sz="6" w:space="0" w:color="auto"/>
              <w:bottom w:val="outset" w:sz="6" w:space="0" w:color="auto"/>
              <w:right w:val="outset" w:sz="6" w:space="0" w:color="auto"/>
            </w:tcBorders>
          </w:tcPr>
          <w:p w14:paraId="011CB5FE" w14:textId="77777777" w:rsidR="00B420BE" w:rsidRPr="00273A3E" w:rsidRDefault="00B420BE" w:rsidP="009F71ED">
            <w:pPr>
              <w:tabs>
                <w:tab w:val="left" w:pos="567"/>
              </w:tabs>
              <w:spacing w:after="0" w:line="240" w:lineRule="auto"/>
              <w:contextualSpacing/>
              <w:rPr>
                <w:rFonts w:ascii="Times New Roman" w:hAnsi="Times New Roman"/>
                <w:lang w:val="lt-LT"/>
              </w:rPr>
            </w:pPr>
            <w:r w:rsidRPr="00273A3E">
              <w:rPr>
                <w:rFonts w:ascii="Times New Roman" w:hAnsi="Times New Roman"/>
                <w:lang w:val="lt-LT"/>
              </w:rPr>
              <w:t>Padidėjęs ALT aktyvumas</w:t>
            </w:r>
          </w:p>
        </w:tc>
        <w:tc>
          <w:tcPr>
            <w:tcW w:w="855" w:type="pct"/>
            <w:tcBorders>
              <w:top w:val="outset" w:sz="6" w:space="0" w:color="auto"/>
              <w:left w:val="outset" w:sz="6" w:space="0" w:color="auto"/>
              <w:bottom w:val="outset" w:sz="6" w:space="0" w:color="auto"/>
              <w:right w:val="outset" w:sz="6" w:space="0" w:color="auto"/>
            </w:tcBorders>
          </w:tcPr>
          <w:p w14:paraId="457E7FCE"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30 </w:t>
            </w:r>
            <w:r w:rsidRPr="00273A3E">
              <w:rPr>
                <w:rFonts w:ascii="Times New Roman" w:hAnsi="Times New Roman"/>
                <w:lang w:val="lt-LT"/>
              </w:rPr>
              <w:t>(8,7)</w:t>
            </w:r>
          </w:p>
        </w:tc>
        <w:tc>
          <w:tcPr>
            <w:tcW w:w="776" w:type="pct"/>
            <w:tcBorders>
              <w:top w:val="outset" w:sz="6" w:space="0" w:color="auto"/>
              <w:left w:val="outset" w:sz="6" w:space="0" w:color="auto"/>
              <w:bottom w:val="outset" w:sz="6" w:space="0" w:color="auto"/>
              <w:right w:val="outset" w:sz="6" w:space="0" w:color="auto"/>
            </w:tcBorders>
          </w:tcPr>
          <w:p w14:paraId="20F9D3F6"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7 </w:t>
            </w:r>
            <w:r w:rsidRPr="00273A3E">
              <w:rPr>
                <w:rFonts w:ascii="Times New Roman" w:hAnsi="Times New Roman"/>
                <w:lang w:val="lt-LT"/>
              </w:rPr>
              <w:t>(2,0)</w:t>
            </w:r>
          </w:p>
        </w:tc>
        <w:tc>
          <w:tcPr>
            <w:tcW w:w="877" w:type="pct"/>
            <w:tcBorders>
              <w:top w:val="outset" w:sz="6" w:space="0" w:color="auto"/>
              <w:left w:val="outset" w:sz="6" w:space="0" w:color="auto"/>
              <w:bottom w:val="outset" w:sz="6" w:space="0" w:color="auto"/>
              <w:right w:val="outset" w:sz="6" w:space="0" w:color="auto"/>
            </w:tcBorders>
          </w:tcPr>
          <w:p w14:paraId="2B45464E"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spacing w:val="1"/>
                <w:lang w:val="lt-LT"/>
              </w:rPr>
              <w:t xml:space="preserve">10 </w:t>
            </w:r>
            <w:r w:rsidRPr="00273A3E">
              <w:rPr>
                <w:rFonts w:ascii="Times New Roman" w:hAnsi="Times New Roman"/>
                <w:lang w:val="lt-LT"/>
              </w:rPr>
              <w:t>(5,8)</w:t>
            </w:r>
          </w:p>
        </w:tc>
        <w:tc>
          <w:tcPr>
            <w:tcW w:w="836" w:type="pct"/>
            <w:tcBorders>
              <w:top w:val="outset" w:sz="6" w:space="0" w:color="auto"/>
              <w:left w:val="outset" w:sz="6" w:space="0" w:color="auto"/>
              <w:bottom w:val="outset" w:sz="6" w:space="0" w:color="auto"/>
              <w:right w:val="outset" w:sz="6" w:space="0" w:color="auto"/>
            </w:tcBorders>
          </w:tcPr>
          <w:p w14:paraId="1BA6F22F" w14:textId="77777777" w:rsidR="00B420BE" w:rsidRPr="00273A3E" w:rsidRDefault="00B420BE" w:rsidP="009F71ED">
            <w:pPr>
              <w:tabs>
                <w:tab w:val="left" w:pos="567"/>
              </w:tabs>
              <w:spacing w:after="0" w:line="240" w:lineRule="auto"/>
              <w:contextualSpacing/>
              <w:jc w:val="center"/>
              <w:rPr>
                <w:rFonts w:ascii="Times New Roman" w:hAnsi="Times New Roman"/>
                <w:lang w:val="lt-LT"/>
              </w:rPr>
            </w:pPr>
            <w:r w:rsidRPr="00273A3E">
              <w:rPr>
                <w:rFonts w:ascii="Times New Roman" w:hAnsi="Times New Roman"/>
                <w:lang w:val="lt-LT"/>
              </w:rPr>
              <w:t>1 (0,6)</w:t>
            </w:r>
          </w:p>
        </w:tc>
      </w:tr>
    </w:tbl>
    <w:p w14:paraId="65B889F3" w14:textId="77777777" w:rsidR="001E5C66" w:rsidRPr="00273A3E" w:rsidRDefault="001E5C66" w:rsidP="009F71ED">
      <w:pPr>
        <w:tabs>
          <w:tab w:val="left" w:pos="567"/>
        </w:tabs>
        <w:autoSpaceDE w:val="0"/>
        <w:autoSpaceDN w:val="0"/>
        <w:adjustRightInd w:val="0"/>
        <w:spacing w:after="0" w:line="240" w:lineRule="auto"/>
        <w:rPr>
          <w:rFonts w:ascii="Times New Roman" w:eastAsia="Batang" w:hAnsi="Times New Roman"/>
          <w:lang w:val="lt-LT"/>
        </w:rPr>
      </w:pPr>
      <w:r w:rsidRPr="00273A3E">
        <w:rPr>
          <w:rFonts w:ascii="Times New Roman" w:eastAsia="Batang" w:hAnsi="Times New Roman"/>
          <w:lang w:val="lt-LT"/>
        </w:rPr>
        <w:t xml:space="preserve">ALT – </w:t>
      </w:r>
      <w:proofErr w:type="spellStart"/>
      <w:r w:rsidRPr="00273A3E">
        <w:rPr>
          <w:rFonts w:ascii="Times New Roman" w:eastAsia="Batang" w:hAnsi="Times New Roman"/>
          <w:lang w:val="lt-LT"/>
        </w:rPr>
        <w:t>alanino</w:t>
      </w:r>
      <w:proofErr w:type="spellEnd"/>
      <w:r w:rsidRPr="00273A3E">
        <w:rPr>
          <w:rFonts w:ascii="Times New Roman" w:eastAsia="Batang" w:hAnsi="Times New Roman"/>
          <w:lang w:val="lt-LT"/>
        </w:rPr>
        <w:t xml:space="preserve"> </w:t>
      </w:r>
      <w:proofErr w:type="spellStart"/>
      <w:r w:rsidRPr="00273A3E">
        <w:rPr>
          <w:rFonts w:ascii="Times New Roman" w:eastAsia="Batang" w:hAnsi="Times New Roman"/>
          <w:lang w:val="lt-LT"/>
        </w:rPr>
        <w:t>aminotransferazė</w:t>
      </w:r>
      <w:proofErr w:type="spellEnd"/>
      <w:r w:rsidR="00DF0E09" w:rsidRPr="00273A3E">
        <w:rPr>
          <w:rFonts w:ascii="Times New Roman" w:eastAsia="Batang" w:hAnsi="Times New Roman"/>
          <w:lang w:val="lt-LT"/>
        </w:rPr>
        <w:t>;</w:t>
      </w:r>
      <w:r w:rsidRPr="00273A3E">
        <w:rPr>
          <w:rFonts w:ascii="Times New Roman" w:eastAsia="Batang" w:hAnsi="Times New Roman"/>
          <w:lang w:val="lt-LT"/>
        </w:rPr>
        <w:t xml:space="preserve"> AST – </w:t>
      </w:r>
      <w:proofErr w:type="spellStart"/>
      <w:r w:rsidRPr="00273A3E">
        <w:rPr>
          <w:rFonts w:ascii="Times New Roman" w:eastAsia="Batang" w:hAnsi="Times New Roman"/>
          <w:lang w:val="lt-LT"/>
        </w:rPr>
        <w:t>aspartato</w:t>
      </w:r>
      <w:proofErr w:type="spellEnd"/>
      <w:r w:rsidRPr="00273A3E">
        <w:rPr>
          <w:rFonts w:ascii="Times New Roman" w:eastAsia="Batang" w:hAnsi="Times New Roman"/>
          <w:lang w:val="lt-LT"/>
        </w:rPr>
        <w:t xml:space="preserve"> </w:t>
      </w:r>
      <w:proofErr w:type="spellStart"/>
      <w:r w:rsidRPr="00273A3E">
        <w:rPr>
          <w:rFonts w:ascii="Times New Roman" w:eastAsia="Batang" w:hAnsi="Times New Roman"/>
          <w:lang w:val="lt-LT"/>
        </w:rPr>
        <w:t>aminotransferazė</w:t>
      </w:r>
      <w:proofErr w:type="spellEnd"/>
      <w:r w:rsidR="00DF0E09" w:rsidRPr="00273A3E">
        <w:rPr>
          <w:rFonts w:ascii="Times New Roman" w:eastAsia="Batang" w:hAnsi="Times New Roman"/>
          <w:lang w:val="lt-LT"/>
        </w:rPr>
        <w:t>;</w:t>
      </w:r>
      <w:r w:rsidRPr="00273A3E">
        <w:rPr>
          <w:rFonts w:ascii="Times New Roman" w:eastAsia="Batang" w:hAnsi="Times New Roman"/>
          <w:lang w:val="lt-LT"/>
        </w:rPr>
        <w:t xml:space="preserve"> N/n – pacien</w:t>
      </w:r>
      <w:r w:rsidR="00C8548C" w:rsidRPr="00273A3E">
        <w:rPr>
          <w:rFonts w:ascii="Times New Roman" w:eastAsia="Batang" w:hAnsi="Times New Roman"/>
          <w:lang w:val="lt-LT"/>
        </w:rPr>
        <w:t>čių</w:t>
      </w:r>
      <w:r w:rsidRPr="00273A3E">
        <w:rPr>
          <w:rFonts w:ascii="Times New Roman" w:eastAsia="Batang" w:hAnsi="Times New Roman"/>
          <w:lang w:val="lt-LT"/>
        </w:rPr>
        <w:t xml:space="preserve"> skaičius</w:t>
      </w:r>
      <w:r w:rsidR="00DF0E09" w:rsidRPr="00273A3E">
        <w:rPr>
          <w:rFonts w:ascii="Times New Roman" w:eastAsia="Batang" w:hAnsi="Times New Roman"/>
          <w:lang w:val="lt-LT"/>
        </w:rPr>
        <w:t>;</w:t>
      </w:r>
      <w:r w:rsidRPr="00273A3E">
        <w:rPr>
          <w:rFonts w:ascii="Times New Roman" w:eastAsia="Batang" w:hAnsi="Times New Roman"/>
          <w:lang w:val="lt-LT"/>
        </w:rPr>
        <w:t xml:space="preserve"> NT – netaikoma</w:t>
      </w:r>
    </w:p>
    <w:p w14:paraId="73912C54" w14:textId="77777777" w:rsidR="001E5C66" w:rsidRPr="00273A3E" w:rsidRDefault="001E5C66" w:rsidP="009F71ED">
      <w:pPr>
        <w:tabs>
          <w:tab w:val="left" w:pos="567"/>
        </w:tabs>
        <w:autoSpaceDE w:val="0"/>
        <w:autoSpaceDN w:val="0"/>
        <w:adjustRightInd w:val="0"/>
        <w:spacing w:after="0" w:line="240" w:lineRule="auto"/>
        <w:ind w:left="567" w:hanging="567"/>
        <w:rPr>
          <w:rFonts w:ascii="Times New Roman" w:eastAsia="Batang" w:hAnsi="Times New Roman"/>
          <w:lang w:val="lt-LT"/>
        </w:rPr>
      </w:pPr>
      <w:r w:rsidRPr="00273A3E">
        <w:rPr>
          <w:rFonts w:ascii="Times New Roman" w:eastAsia="Batang" w:hAnsi="Times New Roman"/>
          <w:vertAlign w:val="superscript"/>
          <w:lang w:val="lt-LT"/>
        </w:rPr>
        <w:t xml:space="preserve">a </w:t>
      </w:r>
      <w:r w:rsidR="003008E6" w:rsidRPr="00273A3E">
        <w:rPr>
          <w:rFonts w:ascii="Times New Roman" w:eastAsia="Batang" w:hAnsi="Times New Roman"/>
          <w:vertAlign w:val="superscript"/>
          <w:lang w:val="lt-LT"/>
        </w:rPr>
        <w:tab/>
      </w:r>
      <w:r w:rsidRPr="00273A3E">
        <w:rPr>
          <w:rFonts w:ascii="Times New Roman" w:eastAsia="Batang" w:hAnsi="Times New Roman"/>
          <w:lang w:val="lt-LT"/>
        </w:rPr>
        <w:t xml:space="preserve">Pasirinktini terminai (PT) išvardyti pagal </w:t>
      </w:r>
      <w:proofErr w:type="spellStart"/>
      <w:r w:rsidRPr="00273A3E">
        <w:rPr>
          <w:rFonts w:ascii="Times New Roman" w:eastAsia="Batang" w:hAnsi="Times New Roman"/>
          <w:lang w:val="lt-LT"/>
        </w:rPr>
        <w:t>MedDRA</w:t>
      </w:r>
      <w:proofErr w:type="spellEnd"/>
      <w:r w:rsidRPr="00273A3E">
        <w:rPr>
          <w:rFonts w:ascii="Times New Roman" w:eastAsia="Batang" w:hAnsi="Times New Roman"/>
          <w:lang w:val="lt-LT"/>
        </w:rPr>
        <w:t xml:space="preserve"> 17.1.</w:t>
      </w:r>
    </w:p>
    <w:p w14:paraId="235E98CA" w14:textId="77777777" w:rsidR="001E5C66" w:rsidRPr="00273A3E" w:rsidRDefault="001E5C66" w:rsidP="009F71ED">
      <w:pPr>
        <w:tabs>
          <w:tab w:val="left" w:pos="567"/>
        </w:tabs>
        <w:autoSpaceDE w:val="0"/>
        <w:autoSpaceDN w:val="0"/>
        <w:adjustRightInd w:val="0"/>
        <w:spacing w:after="0" w:line="240" w:lineRule="auto"/>
        <w:ind w:left="567" w:hanging="567"/>
        <w:rPr>
          <w:rFonts w:ascii="Times New Roman" w:eastAsia="Batang" w:hAnsi="Times New Roman"/>
          <w:lang w:val="lt-LT"/>
        </w:rPr>
      </w:pPr>
      <w:r w:rsidRPr="00273A3E">
        <w:rPr>
          <w:rFonts w:ascii="Times New Roman" w:eastAsia="Batang" w:hAnsi="Times New Roman"/>
          <w:vertAlign w:val="superscript"/>
          <w:lang w:val="lt-LT"/>
        </w:rPr>
        <w:t>b</w:t>
      </w:r>
      <w:r w:rsidRPr="00273A3E">
        <w:rPr>
          <w:rFonts w:ascii="Times New Roman" w:eastAsia="Batang" w:hAnsi="Times New Roman"/>
          <w:lang w:val="lt-LT"/>
        </w:rPr>
        <w:t xml:space="preserve"> </w:t>
      </w:r>
      <w:r w:rsidR="003008E6" w:rsidRPr="00273A3E">
        <w:rPr>
          <w:rFonts w:ascii="Times New Roman" w:eastAsia="Batang" w:hAnsi="Times New Roman"/>
          <w:lang w:val="lt-LT"/>
        </w:rPr>
        <w:tab/>
      </w:r>
      <w:r w:rsidRPr="00273A3E">
        <w:rPr>
          <w:rFonts w:ascii="Times New Roman" w:eastAsia="Batang" w:hAnsi="Times New Roman"/>
          <w:lang w:val="lt-LT"/>
        </w:rPr>
        <w:t xml:space="preserve">Infekcijos apima visus PT, nurodytus infekcijų ir </w:t>
      </w:r>
      <w:proofErr w:type="spellStart"/>
      <w:r w:rsidRPr="00273A3E">
        <w:rPr>
          <w:rFonts w:ascii="Times New Roman" w:eastAsia="Batang" w:hAnsi="Times New Roman"/>
          <w:lang w:val="lt-LT"/>
        </w:rPr>
        <w:t>infestacijų</w:t>
      </w:r>
      <w:proofErr w:type="spellEnd"/>
      <w:r w:rsidRPr="00273A3E">
        <w:rPr>
          <w:rFonts w:ascii="Times New Roman" w:eastAsia="Batang" w:hAnsi="Times New Roman"/>
          <w:lang w:val="lt-LT"/>
        </w:rPr>
        <w:t xml:space="preserve"> organų sistemų klasėje.</w:t>
      </w:r>
    </w:p>
    <w:p w14:paraId="7F184409" w14:textId="77777777" w:rsidR="001E5C66" w:rsidRPr="00273A3E" w:rsidRDefault="001E5C66" w:rsidP="009F71ED">
      <w:pPr>
        <w:tabs>
          <w:tab w:val="left" w:pos="567"/>
        </w:tabs>
        <w:autoSpaceDE w:val="0"/>
        <w:autoSpaceDN w:val="0"/>
        <w:adjustRightInd w:val="0"/>
        <w:spacing w:after="0" w:line="240" w:lineRule="auto"/>
        <w:ind w:left="567" w:hanging="567"/>
        <w:rPr>
          <w:rFonts w:ascii="Times New Roman" w:eastAsia="Batang" w:hAnsi="Times New Roman"/>
          <w:lang w:val="lt-LT"/>
        </w:rPr>
      </w:pPr>
      <w:r w:rsidRPr="00273A3E">
        <w:rPr>
          <w:rFonts w:ascii="Times New Roman" w:eastAsia="Batang" w:hAnsi="Times New Roman"/>
          <w:vertAlign w:val="superscript"/>
          <w:lang w:val="lt-LT"/>
        </w:rPr>
        <w:t>c</w:t>
      </w:r>
      <w:r w:rsidRPr="00273A3E">
        <w:rPr>
          <w:rFonts w:ascii="Times New Roman" w:eastAsia="Batang" w:hAnsi="Times New Roman"/>
          <w:lang w:val="lt-LT"/>
        </w:rPr>
        <w:t xml:space="preserve"> </w:t>
      </w:r>
      <w:r w:rsidR="003008E6" w:rsidRPr="00273A3E">
        <w:rPr>
          <w:rFonts w:ascii="Times New Roman" w:eastAsia="Batang" w:hAnsi="Times New Roman"/>
          <w:lang w:val="lt-LT"/>
        </w:rPr>
        <w:tab/>
      </w:r>
      <w:proofErr w:type="spellStart"/>
      <w:r w:rsidRPr="00273A3E">
        <w:rPr>
          <w:rFonts w:ascii="Times New Roman" w:eastAsia="Batang" w:hAnsi="Times New Roman"/>
          <w:lang w:val="lt-LT"/>
        </w:rPr>
        <w:t>Neutropenija</w:t>
      </w:r>
      <w:proofErr w:type="spellEnd"/>
      <w:r w:rsidRPr="00273A3E">
        <w:rPr>
          <w:rFonts w:ascii="Times New Roman" w:eastAsia="Batang" w:hAnsi="Times New Roman"/>
          <w:lang w:val="lt-LT"/>
        </w:rPr>
        <w:t xml:space="preserve"> apima šiuos PT: </w:t>
      </w:r>
      <w:proofErr w:type="spellStart"/>
      <w:r w:rsidRPr="00273A3E">
        <w:rPr>
          <w:rFonts w:ascii="Times New Roman" w:eastAsia="Batang" w:hAnsi="Times New Roman"/>
          <w:lang w:val="lt-LT"/>
        </w:rPr>
        <w:t>neutropenija</w:t>
      </w:r>
      <w:proofErr w:type="spellEnd"/>
      <w:r w:rsidRPr="00273A3E">
        <w:rPr>
          <w:rFonts w:ascii="Times New Roman" w:eastAsia="Batang" w:hAnsi="Times New Roman"/>
          <w:lang w:val="lt-LT"/>
        </w:rPr>
        <w:t xml:space="preserve">, sumažėjęs </w:t>
      </w:r>
      <w:proofErr w:type="spellStart"/>
      <w:r w:rsidRPr="00273A3E">
        <w:rPr>
          <w:rFonts w:ascii="Times New Roman" w:eastAsia="Batang" w:hAnsi="Times New Roman"/>
          <w:lang w:val="lt-LT"/>
        </w:rPr>
        <w:t>neutrofilų</w:t>
      </w:r>
      <w:proofErr w:type="spellEnd"/>
      <w:r w:rsidRPr="00273A3E">
        <w:rPr>
          <w:rFonts w:ascii="Times New Roman" w:eastAsia="Batang" w:hAnsi="Times New Roman"/>
          <w:lang w:val="lt-LT"/>
        </w:rPr>
        <w:t xml:space="preserve"> </w:t>
      </w:r>
      <w:r w:rsidR="009372E8" w:rsidRPr="00273A3E">
        <w:rPr>
          <w:rFonts w:ascii="Times New Roman" w:eastAsia="Batang" w:hAnsi="Times New Roman"/>
          <w:lang w:val="lt-LT"/>
        </w:rPr>
        <w:t>skaičius</w:t>
      </w:r>
      <w:r w:rsidRPr="00273A3E">
        <w:rPr>
          <w:rFonts w:ascii="Times New Roman" w:eastAsia="Batang" w:hAnsi="Times New Roman"/>
          <w:lang w:val="lt-LT"/>
        </w:rPr>
        <w:t>.</w:t>
      </w:r>
    </w:p>
    <w:p w14:paraId="60F7187C" w14:textId="77777777" w:rsidR="001E5C66" w:rsidRPr="00273A3E" w:rsidRDefault="001E5C66" w:rsidP="009F71ED">
      <w:pPr>
        <w:tabs>
          <w:tab w:val="left" w:pos="567"/>
        </w:tabs>
        <w:autoSpaceDE w:val="0"/>
        <w:autoSpaceDN w:val="0"/>
        <w:adjustRightInd w:val="0"/>
        <w:spacing w:after="0" w:line="240" w:lineRule="auto"/>
        <w:ind w:left="567" w:hanging="567"/>
        <w:rPr>
          <w:rFonts w:ascii="Times New Roman" w:eastAsia="Batang" w:hAnsi="Times New Roman"/>
          <w:lang w:val="lt-LT"/>
        </w:rPr>
      </w:pPr>
      <w:r w:rsidRPr="00273A3E">
        <w:rPr>
          <w:rFonts w:ascii="Times New Roman" w:eastAsia="Batang" w:hAnsi="Times New Roman"/>
          <w:vertAlign w:val="superscript"/>
          <w:lang w:val="lt-LT"/>
        </w:rPr>
        <w:t>d</w:t>
      </w:r>
      <w:r w:rsidRPr="00273A3E">
        <w:rPr>
          <w:rFonts w:ascii="Times New Roman" w:eastAsia="Batang" w:hAnsi="Times New Roman"/>
          <w:lang w:val="lt-LT"/>
        </w:rPr>
        <w:t xml:space="preserve"> </w:t>
      </w:r>
      <w:r w:rsidR="003008E6" w:rsidRPr="00273A3E">
        <w:rPr>
          <w:rFonts w:ascii="Times New Roman" w:eastAsia="Batang" w:hAnsi="Times New Roman"/>
          <w:lang w:val="lt-LT"/>
        </w:rPr>
        <w:tab/>
      </w:r>
      <w:proofErr w:type="spellStart"/>
      <w:r w:rsidRPr="00273A3E">
        <w:rPr>
          <w:rFonts w:ascii="Times New Roman" w:eastAsia="Batang" w:hAnsi="Times New Roman"/>
          <w:lang w:val="lt-LT"/>
        </w:rPr>
        <w:t>Leukopenija</w:t>
      </w:r>
      <w:proofErr w:type="spellEnd"/>
      <w:r w:rsidRPr="00273A3E">
        <w:rPr>
          <w:rFonts w:ascii="Times New Roman" w:eastAsia="Batang" w:hAnsi="Times New Roman"/>
          <w:lang w:val="lt-LT"/>
        </w:rPr>
        <w:t xml:space="preserve"> apima šiuos PT: </w:t>
      </w:r>
      <w:proofErr w:type="spellStart"/>
      <w:r w:rsidRPr="00273A3E">
        <w:rPr>
          <w:rFonts w:ascii="Times New Roman" w:eastAsia="Batang" w:hAnsi="Times New Roman"/>
          <w:lang w:val="lt-LT"/>
        </w:rPr>
        <w:t>leukopenija</w:t>
      </w:r>
      <w:proofErr w:type="spellEnd"/>
      <w:r w:rsidRPr="00273A3E">
        <w:rPr>
          <w:rFonts w:ascii="Times New Roman" w:eastAsia="Batang" w:hAnsi="Times New Roman"/>
          <w:lang w:val="lt-LT"/>
        </w:rPr>
        <w:t xml:space="preserve">, sumažėjęs baltųjų kraujo ląstelių </w:t>
      </w:r>
      <w:r w:rsidR="009372E8" w:rsidRPr="00273A3E">
        <w:rPr>
          <w:rFonts w:ascii="Times New Roman" w:eastAsia="Batang" w:hAnsi="Times New Roman"/>
          <w:lang w:val="lt-LT"/>
        </w:rPr>
        <w:t>skaičius</w:t>
      </w:r>
      <w:r w:rsidRPr="00273A3E">
        <w:rPr>
          <w:rFonts w:ascii="Times New Roman" w:eastAsia="Batang" w:hAnsi="Times New Roman"/>
          <w:lang w:val="lt-LT"/>
        </w:rPr>
        <w:t>.</w:t>
      </w:r>
    </w:p>
    <w:p w14:paraId="027339C6" w14:textId="77777777" w:rsidR="001E5C66" w:rsidRPr="00273A3E" w:rsidRDefault="001E5C66" w:rsidP="009F71ED">
      <w:pPr>
        <w:tabs>
          <w:tab w:val="left" w:pos="567"/>
        </w:tabs>
        <w:autoSpaceDE w:val="0"/>
        <w:autoSpaceDN w:val="0"/>
        <w:adjustRightInd w:val="0"/>
        <w:spacing w:after="0" w:line="240" w:lineRule="auto"/>
        <w:ind w:left="567" w:hanging="567"/>
        <w:rPr>
          <w:rFonts w:ascii="Times New Roman" w:eastAsia="Batang" w:hAnsi="Times New Roman"/>
          <w:lang w:val="lt-LT"/>
        </w:rPr>
      </w:pPr>
      <w:r w:rsidRPr="00273A3E">
        <w:rPr>
          <w:rFonts w:ascii="Times New Roman" w:eastAsia="Batang" w:hAnsi="Times New Roman"/>
          <w:vertAlign w:val="superscript"/>
          <w:lang w:val="lt-LT"/>
        </w:rPr>
        <w:t>e</w:t>
      </w:r>
      <w:r w:rsidRPr="00273A3E">
        <w:rPr>
          <w:rFonts w:ascii="Times New Roman" w:eastAsia="Batang" w:hAnsi="Times New Roman"/>
          <w:lang w:val="lt-LT"/>
        </w:rPr>
        <w:t xml:space="preserve"> </w:t>
      </w:r>
      <w:r w:rsidR="003008E6" w:rsidRPr="00273A3E">
        <w:rPr>
          <w:rFonts w:ascii="Times New Roman" w:eastAsia="Batang" w:hAnsi="Times New Roman"/>
          <w:lang w:val="lt-LT"/>
        </w:rPr>
        <w:tab/>
      </w:r>
      <w:r w:rsidRPr="00273A3E">
        <w:rPr>
          <w:rFonts w:ascii="Times New Roman" w:eastAsia="Batang" w:hAnsi="Times New Roman"/>
          <w:lang w:val="lt-LT"/>
        </w:rPr>
        <w:t>Anemija apima šiuos PT: anemija, sumažėjusi hemoglobino koncentracija, sumažėj</w:t>
      </w:r>
      <w:r w:rsidR="009372E8" w:rsidRPr="00273A3E">
        <w:rPr>
          <w:rFonts w:ascii="Times New Roman" w:eastAsia="Batang" w:hAnsi="Times New Roman"/>
          <w:lang w:val="lt-LT"/>
        </w:rPr>
        <w:t>usi</w:t>
      </w:r>
      <w:r w:rsidRPr="00273A3E">
        <w:rPr>
          <w:rFonts w:ascii="Times New Roman" w:eastAsia="Batang" w:hAnsi="Times New Roman"/>
          <w:lang w:val="lt-LT"/>
        </w:rPr>
        <w:t xml:space="preserve"> </w:t>
      </w:r>
      <w:proofErr w:type="spellStart"/>
      <w:r w:rsidRPr="00273A3E">
        <w:rPr>
          <w:rFonts w:ascii="Times New Roman" w:eastAsia="Batang" w:hAnsi="Times New Roman"/>
          <w:lang w:val="lt-LT"/>
        </w:rPr>
        <w:t>hematokrit</w:t>
      </w:r>
      <w:r w:rsidR="009372E8" w:rsidRPr="00273A3E">
        <w:rPr>
          <w:rFonts w:ascii="Times New Roman" w:eastAsia="Batang" w:hAnsi="Times New Roman"/>
          <w:lang w:val="lt-LT"/>
        </w:rPr>
        <w:t>o</w:t>
      </w:r>
      <w:proofErr w:type="spellEnd"/>
      <w:r w:rsidR="009372E8" w:rsidRPr="00273A3E">
        <w:rPr>
          <w:rFonts w:ascii="Times New Roman" w:eastAsia="Batang" w:hAnsi="Times New Roman"/>
          <w:lang w:val="lt-LT"/>
        </w:rPr>
        <w:t xml:space="preserve"> koncentracija</w:t>
      </w:r>
      <w:r w:rsidRPr="00273A3E">
        <w:rPr>
          <w:rFonts w:ascii="Times New Roman" w:eastAsia="Batang" w:hAnsi="Times New Roman"/>
          <w:lang w:val="lt-LT"/>
        </w:rPr>
        <w:t>.</w:t>
      </w:r>
    </w:p>
    <w:p w14:paraId="197C038D" w14:textId="77777777" w:rsidR="001E5C66" w:rsidRPr="00273A3E" w:rsidRDefault="001E5C66" w:rsidP="009F71ED">
      <w:pPr>
        <w:tabs>
          <w:tab w:val="left" w:pos="567"/>
        </w:tabs>
        <w:autoSpaceDE w:val="0"/>
        <w:autoSpaceDN w:val="0"/>
        <w:adjustRightInd w:val="0"/>
        <w:spacing w:after="0" w:line="240" w:lineRule="auto"/>
        <w:ind w:left="567" w:hanging="567"/>
        <w:rPr>
          <w:rFonts w:ascii="Times New Roman" w:eastAsia="Batang" w:hAnsi="Times New Roman"/>
          <w:lang w:val="lt-LT"/>
        </w:rPr>
      </w:pPr>
      <w:r w:rsidRPr="00273A3E">
        <w:rPr>
          <w:rFonts w:ascii="Times New Roman" w:eastAsia="Batang" w:hAnsi="Times New Roman"/>
          <w:vertAlign w:val="superscript"/>
          <w:lang w:val="lt-LT"/>
        </w:rPr>
        <w:t>f</w:t>
      </w:r>
      <w:r w:rsidRPr="00273A3E">
        <w:rPr>
          <w:rFonts w:ascii="Times New Roman" w:eastAsia="Batang" w:hAnsi="Times New Roman"/>
          <w:lang w:val="lt-LT"/>
        </w:rPr>
        <w:t xml:space="preserve"> </w:t>
      </w:r>
      <w:r w:rsidR="003008E6" w:rsidRPr="00273A3E">
        <w:rPr>
          <w:rFonts w:ascii="Times New Roman" w:eastAsia="Batang" w:hAnsi="Times New Roman"/>
          <w:lang w:val="lt-LT"/>
        </w:rPr>
        <w:tab/>
      </w:r>
      <w:proofErr w:type="spellStart"/>
      <w:r w:rsidRPr="00273A3E">
        <w:rPr>
          <w:rFonts w:ascii="Times New Roman" w:eastAsia="Batang" w:hAnsi="Times New Roman"/>
          <w:lang w:val="lt-LT"/>
        </w:rPr>
        <w:t>Trombocitopenija</w:t>
      </w:r>
      <w:proofErr w:type="spellEnd"/>
      <w:r w:rsidRPr="00273A3E">
        <w:rPr>
          <w:rFonts w:ascii="Times New Roman" w:eastAsia="Batang" w:hAnsi="Times New Roman"/>
          <w:lang w:val="lt-LT"/>
        </w:rPr>
        <w:t xml:space="preserve"> apima šiuos PT: </w:t>
      </w:r>
      <w:proofErr w:type="spellStart"/>
      <w:r w:rsidRPr="00273A3E">
        <w:rPr>
          <w:rFonts w:ascii="Times New Roman" w:eastAsia="Batang" w:hAnsi="Times New Roman"/>
          <w:lang w:val="lt-LT"/>
        </w:rPr>
        <w:t>trombocitopenija</w:t>
      </w:r>
      <w:proofErr w:type="spellEnd"/>
      <w:r w:rsidRPr="00273A3E">
        <w:rPr>
          <w:rFonts w:ascii="Times New Roman" w:eastAsia="Batang" w:hAnsi="Times New Roman"/>
          <w:lang w:val="lt-LT"/>
        </w:rPr>
        <w:t xml:space="preserve">, sumažėjęs trombocitų </w:t>
      </w:r>
      <w:r w:rsidR="009372E8" w:rsidRPr="00273A3E">
        <w:rPr>
          <w:rFonts w:ascii="Times New Roman" w:eastAsia="Batang" w:hAnsi="Times New Roman"/>
          <w:lang w:val="lt-LT"/>
        </w:rPr>
        <w:t>skaičius</w:t>
      </w:r>
      <w:r w:rsidRPr="00273A3E">
        <w:rPr>
          <w:rFonts w:ascii="Times New Roman" w:eastAsia="Batang" w:hAnsi="Times New Roman"/>
          <w:lang w:val="lt-LT"/>
        </w:rPr>
        <w:t>.</w:t>
      </w:r>
    </w:p>
    <w:p w14:paraId="45A0E88E" w14:textId="77777777" w:rsidR="001E5C66" w:rsidRPr="00273A3E" w:rsidRDefault="001E5C66" w:rsidP="009F71ED">
      <w:pPr>
        <w:tabs>
          <w:tab w:val="left" w:pos="567"/>
        </w:tabs>
        <w:autoSpaceDE w:val="0"/>
        <w:autoSpaceDN w:val="0"/>
        <w:adjustRightInd w:val="0"/>
        <w:spacing w:after="0" w:line="240" w:lineRule="auto"/>
        <w:ind w:left="567" w:hanging="567"/>
        <w:rPr>
          <w:rFonts w:ascii="Times New Roman" w:eastAsia="Batang" w:hAnsi="Times New Roman"/>
          <w:lang w:val="lt-LT"/>
        </w:rPr>
      </w:pPr>
      <w:r w:rsidRPr="00273A3E">
        <w:rPr>
          <w:rFonts w:ascii="Times New Roman" w:eastAsia="Batang" w:hAnsi="Times New Roman"/>
          <w:vertAlign w:val="superscript"/>
          <w:lang w:val="lt-LT"/>
        </w:rPr>
        <w:lastRenderedPageBreak/>
        <w:t>g</w:t>
      </w:r>
      <w:r w:rsidRPr="00273A3E">
        <w:rPr>
          <w:rFonts w:ascii="Times New Roman" w:eastAsia="Batang" w:hAnsi="Times New Roman"/>
          <w:lang w:val="lt-LT"/>
        </w:rPr>
        <w:t xml:space="preserve"> </w:t>
      </w:r>
      <w:r w:rsidR="003008E6" w:rsidRPr="00273A3E">
        <w:rPr>
          <w:rFonts w:ascii="Times New Roman" w:eastAsia="Batang" w:hAnsi="Times New Roman"/>
          <w:lang w:val="lt-LT"/>
        </w:rPr>
        <w:tab/>
      </w:r>
      <w:r w:rsidRPr="00273A3E">
        <w:rPr>
          <w:rFonts w:ascii="Times New Roman" w:eastAsia="Batang" w:hAnsi="Times New Roman"/>
          <w:lang w:val="lt-LT"/>
        </w:rPr>
        <w:t xml:space="preserve">Stomatitas apima šiuos PT: </w:t>
      </w:r>
      <w:proofErr w:type="spellStart"/>
      <w:r w:rsidRPr="00273A3E">
        <w:rPr>
          <w:rFonts w:ascii="Times New Roman" w:eastAsia="Batang" w:hAnsi="Times New Roman"/>
          <w:lang w:val="lt-LT"/>
        </w:rPr>
        <w:t>aftinis</w:t>
      </w:r>
      <w:proofErr w:type="spellEnd"/>
      <w:r w:rsidRPr="00273A3E">
        <w:rPr>
          <w:rFonts w:ascii="Times New Roman" w:eastAsia="Batang" w:hAnsi="Times New Roman"/>
          <w:lang w:val="lt-LT"/>
        </w:rPr>
        <w:t xml:space="preserve"> stomatitas, </w:t>
      </w:r>
      <w:proofErr w:type="spellStart"/>
      <w:r w:rsidRPr="00273A3E">
        <w:rPr>
          <w:rFonts w:ascii="Times New Roman" w:eastAsia="Batang" w:hAnsi="Times New Roman"/>
          <w:lang w:val="lt-LT"/>
        </w:rPr>
        <w:t>cheilitas</w:t>
      </w:r>
      <w:proofErr w:type="spellEnd"/>
      <w:r w:rsidRPr="00273A3E">
        <w:rPr>
          <w:rFonts w:ascii="Times New Roman" w:eastAsia="Batang" w:hAnsi="Times New Roman"/>
          <w:lang w:val="lt-LT"/>
        </w:rPr>
        <w:t xml:space="preserve">, glositas, </w:t>
      </w:r>
      <w:proofErr w:type="spellStart"/>
      <w:r w:rsidRPr="00273A3E">
        <w:rPr>
          <w:rFonts w:ascii="Times New Roman" w:eastAsia="Batang" w:hAnsi="Times New Roman"/>
          <w:lang w:val="lt-LT"/>
        </w:rPr>
        <w:t>glosodinija</w:t>
      </w:r>
      <w:proofErr w:type="spellEnd"/>
      <w:r w:rsidRPr="00273A3E">
        <w:rPr>
          <w:rFonts w:ascii="Times New Roman" w:eastAsia="Batang" w:hAnsi="Times New Roman"/>
          <w:lang w:val="lt-LT"/>
        </w:rPr>
        <w:t>, išopėjusi burnos ertmė, gleivinės uždegimas, burnos ertmės skausmas, burnos ertmės ir ryklės diskomfortas, burnos ertmės ir ryklės skausmas, stomatitas.</w:t>
      </w:r>
    </w:p>
    <w:p w14:paraId="49066022" w14:textId="77777777" w:rsidR="001E5C66" w:rsidRPr="00273A3E" w:rsidRDefault="001E5C66" w:rsidP="009F71ED">
      <w:pPr>
        <w:tabs>
          <w:tab w:val="left" w:pos="567"/>
        </w:tabs>
        <w:autoSpaceDE w:val="0"/>
        <w:autoSpaceDN w:val="0"/>
        <w:adjustRightInd w:val="0"/>
        <w:spacing w:after="0" w:line="240" w:lineRule="auto"/>
        <w:ind w:left="567" w:hanging="567"/>
        <w:rPr>
          <w:rFonts w:ascii="Times New Roman" w:hAnsi="Times New Roman"/>
          <w:lang w:val="lt-LT"/>
        </w:rPr>
      </w:pPr>
      <w:r w:rsidRPr="00273A3E">
        <w:rPr>
          <w:rFonts w:ascii="Times New Roman" w:eastAsia="Batang" w:hAnsi="Times New Roman"/>
          <w:vertAlign w:val="superscript"/>
          <w:lang w:val="lt-LT"/>
        </w:rPr>
        <w:t>h</w:t>
      </w:r>
      <w:r w:rsidRPr="00273A3E">
        <w:rPr>
          <w:rFonts w:ascii="Times New Roman" w:eastAsia="Batang" w:hAnsi="Times New Roman"/>
          <w:lang w:val="lt-LT"/>
        </w:rPr>
        <w:t xml:space="preserve"> </w:t>
      </w:r>
      <w:r w:rsidR="003008E6" w:rsidRPr="00273A3E">
        <w:rPr>
          <w:rFonts w:ascii="Times New Roman" w:eastAsia="Batang" w:hAnsi="Times New Roman"/>
          <w:lang w:val="lt-LT"/>
        </w:rPr>
        <w:tab/>
      </w:r>
      <w:r w:rsidR="00A76C46" w:rsidRPr="00273A3E">
        <w:rPr>
          <w:rFonts w:ascii="Times New Roman" w:eastAsia="Batang" w:hAnsi="Times New Roman"/>
          <w:lang w:val="lt-LT"/>
        </w:rPr>
        <w:t>Išb</w:t>
      </w:r>
      <w:r w:rsidR="0034331B" w:rsidRPr="00273A3E">
        <w:rPr>
          <w:rFonts w:ascii="Times New Roman" w:eastAsia="Batang" w:hAnsi="Times New Roman"/>
          <w:lang w:val="lt-LT"/>
        </w:rPr>
        <w:t>ėrimas</w:t>
      </w:r>
      <w:r w:rsidRPr="00273A3E">
        <w:rPr>
          <w:rFonts w:ascii="Times New Roman" w:eastAsia="Batang" w:hAnsi="Times New Roman"/>
          <w:lang w:val="lt-LT"/>
        </w:rPr>
        <w:t xml:space="preserve"> apima šiuos PT: </w:t>
      </w:r>
      <w:r w:rsidR="00A76C46" w:rsidRPr="00273A3E">
        <w:rPr>
          <w:rFonts w:ascii="Times New Roman" w:eastAsia="Batang" w:hAnsi="Times New Roman"/>
          <w:lang w:val="lt-LT"/>
        </w:rPr>
        <w:t>iš</w:t>
      </w:r>
      <w:r w:rsidR="0034331B" w:rsidRPr="00273A3E">
        <w:rPr>
          <w:rFonts w:ascii="Times New Roman" w:eastAsia="Batang" w:hAnsi="Times New Roman"/>
          <w:lang w:val="lt-LT"/>
        </w:rPr>
        <w:t>bėrimas</w:t>
      </w:r>
      <w:r w:rsidRPr="00273A3E">
        <w:rPr>
          <w:rFonts w:ascii="Times New Roman" w:eastAsia="Batang" w:hAnsi="Times New Roman"/>
          <w:lang w:val="lt-LT"/>
        </w:rPr>
        <w:t xml:space="preserve">, </w:t>
      </w:r>
      <w:r w:rsidR="00A76C46" w:rsidRPr="00273A3E">
        <w:rPr>
          <w:rFonts w:ascii="Times New Roman" w:eastAsia="Batang" w:hAnsi="Times New Roman"/>
          <w:lang w:val="lt-LT"/>
        </w:rPr>
        <w:t>iš</w:t>
      </w:r>
      <w:r w:rsidR="0034331B" w:rsidRPr="00273A3E">
        <w:rPr>
          <w:rFonts w:ascii="Times New Roman" w:eastAsia="Batang" w:hAnsi="Times New Roman"/>
          <w:lang w:val="lt-LT"/>
        </w:rPr>
        <w:t>bėrimas</w:t>
      </w:r>
      <w:r w:rsidRPr="00273A3E">
        <w:rPr>
          <w:rFonts w:ascii="Times New Roman" w:eastAsia="Batang" w:hAnsi="Times New Roman"/>
          <w:lang w:val="lt-LT"/>
        </w:rPr>
        <w:t xml:space="preserve"> dėmelėmis ir mazgeliais, niežtintis </w:t>
      </w:r>
      <w:r w:rsidR="00A76C46" w:rsidRPr="00273A3E">
        <w:rPr>
          <w:rFonts w:ascii="Times New Roman" w:eastAsia="Batang" w:hAnsi="Times New Roman"/>
          <w:lang w:val="lt-LT"/>
        </w:rPr>
        <w:t>iš</w:t>
      </w:r>
      <w:r w:rsidR="0034331B" w:rsidRPr="00273A3E">
        <w:rPr>
          <w:rFonts w:ascii="Times New Roman" w:eastAsia="Batang" w:hAnsi="Times New Roman"/>
          <w:lang w:val="lt-LT"/>
        </w:rPr>
        <w:t>bėrimas</w:t>
      </w:r>
      <w:r w:rsidRPr="00273A3E">
        <w:rPr>
          <w:rFonts w:ascii="Times New Roman" w:eastAsia="Batang" w:hAnsi="Times New Roman"/>
          <w:lang w:val="lt-LT"/>
        </w:rPr>
        <w:t xml:space="preserve">, </w:t>
      </w:r>
      <w:proofErr w:type="spellStart"/>
      <w:r w:rsidRPr="00273A3E">
        <w:rPr>
          <w:rFonts w:ascii="Times New Roman" w:eastAsia="Batang" w:hAnsi="Times New Roman"/>
          <w:lang w:val="lt-LT"/>
        </w:rPr>
        <w:t>eriteminis</w:t>
      </w:r>
      <w:proofErr w:type="spellEnd"/>
      <w:r w:rsidRPr="00273A3E">
        <w:rPr>
          <w:rFonts w:ascii="Times New Roman" w:eastAsia="Batang" w:hAnsi="Times New Roman"/>
          <w:lang w:val="lt-LT"/>
        </w:rPr>
        <w:t xml:space="preserve"> </w:t>
      </w:r>
      <w:r w:rsidR="00A76C46" w:rsidRPr="00273A3E">
        <w:rPr>
          <w:rFonts w:ascii="Times New Roman" w:eastAsia="Batang" w:hAnsi="Times New Roman"/>
          <w:lang w:val="lt-LT"/>
        </w:rPr>
        <w:t>iš</w:t>
      </w:r>
      <w:r w:rsidR="0034331B" w:rsidRPr="00273A3E">
        <w:rPr>
          <w:rFonts w:ascii="Times New Roman" w:eastAsia="Batang" w:hAnsi="Times New Roman"/>
          <w:lang w:val="lt-LT"/>
        </w:rPr>
        <w:t>bėrimas</w:t>
      </w:r>
      <w:r w:rsidRPr="00273A3E">
        <w:rPr>
          <w:rFonts w:ascii="Times New Roman" w:eastAsia="Batang" w:hAnsi="Times New Roman"/>
          <w:lang w:val="lt-LT"/>
        </w:rPr>
        <w:t xml:space="preserve">, </w:t>
      </w:r>
      <w:r w:rsidR="00A76C46" w:rsidRPr="00273A3E">
        <w:rPr>
          <w:rFonts w:ascii="Times New Roman" w:eastAsia="Batang" w:hAnsi="Times New Roman"/>
          <w:lang w:val="lt-LT"/>
        </w:rPr>
        <w:t>iš</w:t>
      </w:r>
      <w:r w:rsidR="0034331B" w:rsidRPr="00273A3E">
        <w:rPr>
          <w:rFonts w:ascii="Times New Roman" w:eastAsia="Batang" w:hAnsi="Times New Roman"/>
          <w:lang w:val="lt-LT"/>
        </w:rPr>
        <w:t>bėrimas</w:t>
      </w:r>
      <w:r w:rsidRPr="00273A3E">
        <w:rPr>
          <w:rFonts w:ascii="Times New Roman" w:eastAsia="Batang" w:hAnsi="Times New Roman"/>
          <w:lang w:val="lt-LT"/>
        </w:rPr>
        <w:t xml:space="preserve"> mazgeliais, dermatitas, </w:t>
      </w:r>
      <w:proofErr w:type="spellStart"/>
      <w:r w:rsidRPr="00273A3E">
        <w:rPr>
          <w:rFonts w:ascii="Times New Roman" w:eastAsia="Batang" w:hAnsi="Times New Roman"/>
          <w:lang w:val="lt-LT"/>
        </w:rPr>
        <w:t>spuoginis</w:t>
      </w:r>
      <w:proofErr w:type="spellEnd"/>
      <w:r w:rsidRPr="00273A3E">
        <w:rPr>
          <w:rFonts w:ascii="Times New Roman" w:eastAsia="Batang" w:hAnsi="Times New Roman"/>
          <w:lang w:val="lt-LT"/>
        </w:rPr>
        <w:t xml:space="preserve"> dermatitas, toksinis odos </w:t>
      </w:r>
      <w:r w:rsidR="00A76C46" w:rsidRPr="00273A3E">
        <w:rPr>
          <w:rFonts w:ascii="Times New Roman" w:eastAsia="Batang" w:hAnsi="Times New Roman"/>
          <w:lang w:val="lt-LT"/>
        </w:rPr>
        <w:t>iš</w:t>
      </w:r>
      <w:r w:rsidR="0034331B" w:rsidRPr="00273A3E">
        <w:rPr>
          <w:rFonts w:ascii="Times New Roman" w:eastAsia="Batang" w:hAnsi="Times New Roman"/>
          <w:lang w:val="lt-LT"/>
        </w:rPr>
        <w:t>bėrimas</w:t>
      </w:r>
      <w:r w:rsidRPr="00273A3E">
        <w:rPr>
          <w:rFonts w:ascii="Times New Roman" w:eastAsia="Batang" w:hAnsi="Times New Roman"/>
          <w:lang w:val="lt-LT"/>
        </w:rPr>
        <w:t>.</w:t>
      </w:r>
    </w:p>
    <w:p w14:paraId="14A2DC4F" w14:textId="77777777" w:rsidR="001E5C66" w:rsidRPr="00273A3E" w:rsidRDefault="001E5C66" w:rsidP="009F71ED">
      <w:pPr>
        <w:tabs>
          <w:tab w:val="left" w:pos="567"/>
        </w:tabs>
        <w:spacing w:after="0" w:line="240" w:lineRule="auto"/>
        <w:rPr>
          <w:rFonts w:ascii="Times New Roman" w:hAnsi="Times New Roman"/>
          <w:lang w:val="lt-LT"/>
        </w:rPr>
      </w:pPr>
    </w:p>
    <w:p w14:paraId="46EA8203" w14:textId="77777777" w:rsidR="001E5C66" w:rsidRPr="00273A3E" w:rsidRDefault="001E5C66" w:rsidP="009F71ED">
      <w:pPr>
        <w:keepNext/>
        <w:keepLines/>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Atrinktų nepageidaujamų reakcijų apibūdinimas</w:t>
      </w:r>
    </w:p>
    <w:p w14:paraId="2D8A9996" w14:textId="77777777" w:rsidR="001E5C66" w:rsidRPr="00273A3E" w:rsidRDefault="001E5C66" w:rsidP="009F71ED">
      <w:pPr>
        <w:keepNext/>
        <w:keepLines/>
        <w:tabs>
          <w:tab w:val="left" w:pos="567"/>
        </w:tabs>
        <w:spacing w:after="0" w:line="240" w:lineRule="auto"/>
        <w:rPr>
          <w:rFonts w:ascii="Times New Roman" w:hAnsi="Times New Roman"/>
          <w:i/>
          <w:lang w:val="lt-LT"/>
        </w:rPr>
      </w:pPr>
      <w:proofErr w:type="spellStart"/>
      <w:r w:rsidRPr="00273A3E">
        <w:rPr>
          <w:rFonts w:ascii="Times New Roman" w:hAnsi="Times New Roman"/>
          <w:i/>
          <w:lang w:val="lt-LT"/>
        </w:rPr>
        <w:t>Neutropenija</w:t>
      </w:r>
      <w:proofErr w:type="spellEnd"/>
    </w:p>
    <w:p w14:paraId="3932E9EE" w14:textId="77777777" w:rsidR="001E5C66" w:rsidRPr="00273A3E" w:rsidRDefault="001E5C66" w:rsidP="009F71ED">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PALOMA3 tyrimo</w:t>
      </w:r>
      <w:r w:rsidR="00EA72EF"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bet kurio laipsnio </w:t>
      </w:r>
      <w:proofErr w:type="spellStart"/>
      <w:r w:rsidRPr="00273A3E">
        <w:rPr>
          <w:rFonts w:ascii="Times New Roman" w:hAnsi="Times New Roman"/>
          <w:lang w:val="lt-LT"/>
        </w:rPr>
        <w:t>neutropenija</w:t>
      </w:r>
      <w:proofErr w:type="spellEnd"/>
      <w:r w:rsidRPr="00273A3E">
        <w:rPr>
          <w:rFonts w:ascii="Times New Roman" w:hAnsi="Times New Roman"/>
          <w:lang w:val="lt-LT"/>
        </w:rPr>
        <w:t xml:space="preserve"> buvo nustatyta 290 (84,1 %), 3 laipsnio </w:t>
      </w:r>
      <w:proofErr w:type="spellStart"/>
      <w:r w:rsidRPr="00273A3E">
        <w:rPr>
          <w:rFonts w:ascii="Times New Roman" w:hAnsi="Times New Roman"/>
          <w:lang w:val="lt-LT"/>
        </w:rPr>
        <w:t>neutropenija</w:t>
      </w:r>
      <w:proofErr w:type="spellEnd"/>
      <w:r w:rsidRPr="00273A3E">
        <w:rPr>
          <w:rFonts w:ascii="Times New Roman" w:hAnsi="Times New Roman"/>
          <w:lang w:val="lt-LT"/>
        </w:rPr>
        <w:t xml:space="preserve"> – 200 (58,0 %), 4 laipsnio </w:t>
      </w:r>
      <w:proofErr w:type="spellStart"/>
      <w:r w:rsidRPr="00273A3E">
        <w:rPr>
          <w:rFonts w:ascii="Times New Roman" w:hAnsi="Times New Roman"/>
          <w:lang w:val="lt-LT"/>
        </w:rPr>
        <w:t>neutropenija</w:t>
      </w:r>
      <w:proofErr w:type="spellEnd"/>
      <w:r w:rsidRPr="00273A3E">
        <w:rPr>
          <w:rFonts w:ascii="Times New Roman" w:hAnsi="Times New Roman"/>
          <w:lang w:val="lt-LT"/>
        </w:rPr>
        <w:t xml:space="preserve"> – 40 (11,6 %) </w:t>
      </w:r>
      <w:proofErr w:type="spellStart"/>
      <w:r w:rsidRPr="00273A3E">
        <w:rPr>
          <w:rFonts w:ascii="Times New Roman" w:hAnsi="Times New Roman"/>
          <w:lang w:val="lt-LT"/>
        </w:rPr>
        <w:t>fulvestrant</w:t>
      </w:r>
      <w:r w:rsidR="002F2111" w:rsidRPr="00273A3E">
        <w:rPr>
          <w:rFonts w:ascii="Times New Roman" w:hAnsi="Times New Roman"/>
          <w:lang w:val="lt-LT"/>
        </w:rPr>
        <w:t>o</w:t>
      </w:r>
      <w:proofErr w:type="spellEnd"/>
      <w:r w:rsidRPr="00273A3E">
        <w:rPr>
          <w:rFonts w:ascii="Times New Roman" w:hAnsi="Times New Roman"/>
          <w:lang w:val="lt-LT"/>
        </w:rPr>
        <w:t xml:space="preserve"> kartu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vartojusioms pacientėms.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placebo derinio grupėje (n</w:t>
      </w:r>
      <w:r w:rsidR="00FF0074" w:rsidRPr="00273A3E">
        <w:rPr>
          <w:rFonts w:ascii="Times New Roman" w:hAnsi="Times New Roman"/>
          <w:lang w:val="lt-LT"/>
        </w:rPr>
        <w:t> </w:t>
      </w:r>
      <w:r w:rsidRPr="00273A3E">
        <w:rPr>
          <w:rFonts w:ascii="Times New Roman" w:hAnsi="Times New Roman"/>
          <w:lang w:val="lt-LT"/>
        </w:rPr>
        <w:t>=</w:t>
      </w:r>
      <w:r w:rsidR="00FF0074" w:rsidRPr="00273A3E">
        <w:rPr>
          <w:rFonts w:ascii="Times New Roman" w:hAnsi="Times New Roman"/>
          <w:lang w:val="lt-LT"/>
        </w:rPr>
        <w:t> </w:t>
      </w:r>
      <w:r w:rsidRPr="00273A3E">
        <w:rPr>
          <w:rFonts w:ascii="Times New Roman" w:hAnsi="Times New Roman"/>
          <w:lang w:val="lt-LT"/>
        </w:rPr>
        <w:t xml:space="preserve">172) bet kurio laipsnio </w:t>
      </w:r>
      <w:proofErr w:type="spellStart"/>
      <w:r w:rsidRPr="00273A3E">
        <w:rPr>
          <w:rFonts w:ascii="Times New Roman" w:hAnsi="Times New Roman"/>
          <w:lang w:val="lt-LT"/>
        </w:rPr>
        <w:t>neutropenija</w:t>
      </w:r>
      <w:proofErr w:type="spellEnd"/>
      <w:r w:rsidRPr="00273A3E">
        <w:rPr>
          <w:rFonts w:ascii="Times New Roman" w:hAnsi="Times New Roman"/>
          <w:lang w:val="lt-LT"/>
        </w:rPr>
        <w:t xml:space="preserve"> buvo nustatyta 6 (3,5 %)</w:t>
      </w:r>
      <w:r w:rsidR="009A0DA4" w:rsidRPr="00273A3E">
        <w:rPr>
          <w:rFonts w:ascii="Times New Roman" w:hAnsi="Times New Roman"/>
          <w:lang w:val="lt-LT"/>
        </w:rPr>
        <w:t xml:space="preserve"> pacientėms</w:t>
      </w:r>
      <w:r w:rsidRPr="00273A3E">
        <w:rPr>
          <w:rFonts w:ascii="Times New Roman" w:hAnsi="Times New Roman"/>
          <w:lang w:val="lt-LT"/>
        </w:rPr>
        <w:t xml:space="preserve">, 3 ir 4 laipsnio </w:t>
      </w:r>
      <w:proofErr w:type="spellStart"/>
      <w:r w:rsidRPr="00273A3E">
        <w:rPr>
          <w:rFonts w:ascii="Times New Roman" w:hAnsi="Times New Roman"/>
          <w:lang w:val="lt-LT"/>
        </w:rPr>
        <w:t>neutropenijos</w:t>
      </w:r>
      <w:proofErr w:type="spellEnd"/>
      <w:r w:rsidRPr="00273A3E">
        <w:rPr>
          <w:rFonts w:ascii="Times New Roman" w:hAnsi="Times New Roman"/>
          <w:lang w:val="lt-LT"/>
        </w:rPr>
        <w:t xml:space="preserve"> atvejų neužfiksuota.</w:t>
      </w:r>
    </w:p>
    <w:p w14:paraId="71453283" w14:textId="77777777" w:rsidR="001E5C66" w:rsidRPr="00273A3E" w:rsidRDefault="001E5C66" w:rsidP="009F71ED">
      <w:pPr>
        <w:tabs>
          <w:tab w:val="left" w:pos="567"/>
        </w:tabs>
        <w:spacing w:after="0" w:line="240" w:lineRule="auto"/>
        <w:rPr>
          <w:rFonts w:ascii="Times New Roman" w:hAnsi="Times New Roman"/>
          <w:lang w:val="lt-LT"/>
        </w:rPr>
      </w:pPr>
    </w:p>
    <w:p w14:paraId="06AFD0BE"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Pacientėms, vartojusioms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kartu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laikotarpio iki pirmo bet kurio laipsnio </w:t>
      </w:r>
      <w:proofErr w:type="spellStart"/>
      <w:r w:rsidRPr="00273A3E">
        <w:rPr>
          <w:rFonts w:ascii="Times New Roman" w:hAnsi="Times New Roman"/>
          <w:lang w:val="lt-LT"/>
        </w:rPr>
        <w:t>neutropenijos</w:t>
      </w:r>
      <w:proofErr w:type="spellEnd"/>
      <w:r w:rsidRPr="00273A3E">
        <w:rPr>
          <w:rFonts w:ascii="Times New Roman" w:hAnsi="Times New Roman"/>
          <w:lang w:val="lt-LT"/>
        </w:rPr>
        <w:t xml:space="preserve"> epizodo trukmės mediana buvo 15 parų (diapazonas – nuo 13 iki 512</w:t>
      </w:r>
      <w:r w:rsidR="009A0DA4" w:rsidRPr="00273A3E">
        <w:rPr>
          <w:rFonts w:ascii="Times New Roman" w:hAnsi="Times New Roman"/>
          <w:lang w:val="lt-LT"/>
        </w:rPr>
        <w:t xml:space="preserve"> parų</w:t>
      </w:r>
      <w:r w:rsidRPr="00273A3E">
        <w:rPr>
          <w:rFonts w:ascii="Times New Roman" w:hAnsi="Times New Roman"/>
          <w:lang w:val="lt-LT"/>
        </w:rPr>
        <w:t xml:space="preserve">), o ≥ 3 laipsnio </w:t>
      </w:r>
      <w:proofErr w:type="spellStart"/>
      <w:r w:rsidRPr="00273A3E">
        <w:rPr>
          <w:rFonts w:ascii="Times New Roman" w:hAnsi="Times New Roman"/>
          <w:lang w:val="lt-LT"/>
        </w:rPr>
        <w:t>neutropenijos</w:t>
      </w:r>
      <w:proofErr w:type="spellEnd"/>
      <w:r w:rsidRPr="00273A3E">
        <w:rPr>
          <w:rFonts w:ascii="Times New Roman" w:hAnsi="Times New Roman"/>
          <w:lang w:val="lt-LT"/>
        </w:rPr>
        <w:t xml:space="preserve"> trukmės mediana buvo 16 parų. </w:t>
      </w:r>
      <w:proofErr w:type="spellStart"/>
      <w:r w:rsidRPr="00273A3E">
        <w:rPr>
          <w:rFonts w:ascii="Times New Roman" w:hAnsi="Times New Roman"/>
          <w:lang w:val="lt-LT"/>
        </w:rPr>
        <w:t>Febrilinė</w:t>
      </w:r>
      <w:proofErr w:type="spellEnd"/>
      <w:r w:rsidRPr="00273A3E">
        <w:rPr>
          <w:rFonts w:ascii="Times New Roman" w:hAnsi="Times New Roman"/>
          <w:lang w:val="lt-LT"/>
        </w:rPr>
        <w:t xml:space="preserve"> </w:t>
      </w:r>
      <w:proofErr w:type="spellStart"/>
      <w:r w:rsidRPr="00273A3E">
        <w:rPr>
          <w:rFonts w:ascii="Times New Roman" w:hAnsi="Times New Roman"/>
          <w:lang w:val="lt-LT"/>
        </w:rPr>
        <w:t>neutropenija</w:t>
      </w:r>
      <w:proofErr w:type="spellEnd"/>
      <w:r w:rsidRPr="00273A3E">
        <w:rPr>
          <w:rFonts w:ascii="Times New Roman" w:hAnsi="Times New Roman"/>
          <w:lang w:val="lt-LT"/>
        </w:rPr>
        <w:t xml:space="preserve"> buvo nustatyta 3 (0,9 %) </w:t>
      </w:r>
      <w:proofErr w:type="spellStart"/>
      <w:r w:rsidRPr="00273A3E">
        <w:rPr>
          <w:rFonts w:ascii="Times New Roman" w:hAnsi="Times New Roman"/>
          <w:lang w:val="lt-LT"/>
        </w:rPr>
        <w:t>fulvestrant</w:t>
      </w:r>
      <w:r w:rsidR="00087240" w:rsidRPr="00273A3E">
        <w:rPr>
          <w:rFonts w:ascii="Times New Roman" w:hAnsi="Times New Roman"/>
          <w:lang w:val="lt-LT"/>
        </w:rPr>
        <w:t>o</w:t>
      </w:r>
      <w:proofErr w:type="spellEnd"/>
      <w:r w:rsidRPr="00273A3E">
        <w:rPr>
          <w:rFonts w:ascii="Times New Roman" w:hAnsi="Times New Roman"/>
          <w:lang w:val="lt-LT"/>
        </w:rPr>
        <w:t xml:space="preserve"> kartu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vartojusių pacienčių.</w:t>
      </w:r>
    </w:p>
    <w:p w14:paraId="21E7B3F6" w14:textId="77777777" w:rsidR="001E5C66" w:rsidRPr="00273A3E" w:rsidRDefault="001E5C66" w:rsidP="009F71ED">
      <w:pPr>
        <w:tabs>
          <w:tab w:val="left" w:pos="567"/>
        </w:tabs>
        <w:spacing w:after="0" w:line="240" w:lineRule="auto"/>
        <w:rPr>
          <w:rFonts w:ascii="Times New Roman" w:hAnsi="Times New Roman"/>
          <w:u w:val="single"/>
          <w:lang w:val="lt-LT"/>
        </w:rPr>
      </w:pPr>
    </w:p>
    <w:p w14:paraId="50EF9AEA" w14:textId="77777777" w:rsidR="009A0DA4" w:rsidRPr="00273A3E" w:rsidRDefault="009A0DA4"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Pranešimas apie įtariamas nepageidaujamas reakcijas</w:t>
      </w:r>
    </w:p>
    <w:p w14:paraId="1316E5D7" w14:textId="77777777" w:rsidR="001E5C66" w:rsidRPr="00273A3E" w:rsidRDefault="00B420BE"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3" w:history="1">
        <w:r w:rsidRPr="00273A3E">
          <w:rPr>
            <w:rStyle w:val="Hipersaitas"/>
            <w:lang w:val="lt-LT"/>
          </w:rPr>
          <w:t>https://vvkt.lrv.lt/lt/</w:t>
        </w:r>
      </w:hyperlink>
      <w:r w:rsidRPr="00273A3E">
        <w:rPr>
          <w:rFonts w:ascii="Times New Roman" w:hAnsi="Times New Roman"/>
          <w:lang w:val="lt-LT"/>
        </w:rPr>
        <w:t xml:space="preserve"> nurodytais būdais.</w:t>
      </w:r>
    </w:p>
    <w:p w14:paraId="707C32FB" w14:textId="77777777" w:rsidR="009A0DA4" w:rsidRPr="00273A3E" w:rsidRDefault="009A0DA4" w:rsidP="009F71ED">
      <w:pPr>
        <w:tabs>
          <w:tab w:val="left" w:pos="567"/>
        </w:tabs>
        <w:spacing w:after="0" w:line="240" w:lineRule="auto"/>
        <w:rPr>
          <w:rFonts w:ascii="Times New Roman" w:hAnsi="Times New Roman"/>
          <w:lang w:val="lt-LT"/>
        </w:rPr>
      </w:pPr>
    </w:p>
    <w:p w14:paraId="67BCCB21"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4.9</w:t>
      </w:r>
      <w:r w:rsidRPr="00273A3E">
        <w:rPr>
          <w:rFonts w:ascii="Times New Roman" w:hAnsi="Times New Roman"/>
          <w:b/>
          <w:lang w:val="lt-LT"/>
        </w:rPr>
        <w:tab/>
        <w:t>Perdozavimas</w:t>
      </w:r>
    </w:p>
    <w:p w14:paraId="50C9AC3F" w14:textId="77777777" w:rsidR="001E5C66" w:rsidRPr="00273A3E" w:rsidRDefault="001E5C66" w:rsidP="009F71ED">
      <w:pPr>
        <w:tabs>
          <w:tab w:val="left" w:pos="567"/>
        </w:tabs>
        <w:spacing w:after="0" w:line="240" w:lineRule="auto"/>
        <w:rPr>
          <w:rFonts w:ascii="Times New Roman" w:hAnsi="Times New Roman"/>
          <w:lang w:val="lt-LT"/>
        </w:rPr>
      </w:pPr>
    </w:p>
    <w:p w14:paraId="63E1BF02"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Yra pavienių pranešimų apie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perdozavimą žmonėms. Perdozavus rekomenduojamas simptominis palaikomasis gydymas. Tyrimai su gyvūnais neparodė didesnių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dozių sukeltų</w:t>
      </w:r>
      <w:r w:rsidR="00FF0074" w:rsidRPr="00273A3E">
        <w:rPr>
          <w:rFonts w:ascii="Times New Roman" w:hAnsi="Times New Roman"/>
          <w:lang w:val="lt-LT"/>
        </w:rPr>
        <w:t xml:space="preserve"> </w:t>
      </w:r>
      <w:r w:rsidRPr="00273A3E">
        <w:rPr>
          <w:rFonts w:ascii="Times New Roman" w:hAnsi="Times New Roman"/>
          <w:lang w:val="lt-LT"/>
        </w:rPr>
        <w:t xml:space="preserve">poveikių, išskyrus tiesiogiai arba netiesiogiai susijusius su </w:t>
      </w:r>
      <w:proofErr w:type="spellStart"/>
      <w:r w:rsidRPr="00273A3E">
        <w:rPr>
          <w:rFonts w:ascii="Times New Roman" w:hAnsi="Times New Roman"/>
          <w:lang w:val="lt-LT"/>
        </w:rPr>
        <w:t>antiestrogeniniu</w:t>
      </w:r>
      <w:proofErr w:type="spellEnd"/>
      <w:r w:rsidRPr="00273A3E">
        <w:rPr>
          <w:rFonts w:ascii="Times New Roman" w:hAnsi="Times New Roman"/>
          <w:lang w:val="lt-LT"/>
        </w:rPr>
        <w:t xml:space="preserve"> aktyvumu (žr. 5.3</w:t>
      </w:r>
      <w:r w:rsidR="00FF0074" w:rsidRPr="00273A3E">
        <w:rPr>
          <w:rFonts w:ascii="Times New Roman" w:hAnsi="Times New Roman"/>
          <w:lang w:val="lt-LT"/>
        </w:rPr>
        <w:t> skyri</w:t>
      </w:r>
      <w:r w:rsidRPr="00273A3E">
        <w:rPr>
          <w:rFonts w:ascii="Times New Roman" w:hAnsi="Times New Roman"/>
          <w:lang w:val="lt-LT"/>
        </w:rPr>
        <w:t>ų).</w:t>
      </w:r>
    </w:p>
    <w:p w14:paraId="66698C90" w14:textId="77777777" w:rsidR="001E5C66" w:rsidRPr="00273A3E" w:rsidRDefault="001E5C66" w:rsidP="009F71ED">
      <w:pPr>
        <w:tabs>
          <w:tab w:val="left" w:pos="567"/>
        </w:tabs>
        <w:spacing w:after="0" w:line="240" w:lineRule="auto"/>
        <w:rPr>
          <w:rFonts w:ascii="Times New Roman" w:hAnsi="Times New Roman"/>
          <w:lang w:val="lt-LT"/>
        </w:rPr>
      </w:pPr>
    </w:p>
    <w:p w14:paraId="7A424C2C" w14:textId="77777777" w:rsidR="001E5C66" w:rsidRPr="00273A3E" w:rsidRDefault="001E5C66" w:rsidP="009F71ED">
      <w:pPr>
        <w:tabs>
          <w:tab w:val="left" w:pos="567"/>
        </w:tabs>
        <w:spacing w:after="0" w:line="240" w:lineRule="auto"/>
        <w:rPr>
          <w:rFonts w:ascii="Times New Roman" w:hAnsi="Times New Roman"/>
          <w:lang w:val="lt-LT"/>
        </w:rPr>
      </w:pPr>
    </w:p>
    <w:p w14:paraId="5C712859"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5.</w:t>
      </w:r>
      <w:r w:rsidRPr="00273A3E">
        <w:rPr>
          <w:rFonts w:ascii="Times New Roman" w:hAnsi="Times New Roman"/>
          <w:b/>
          <w:lang w:val="lt-LT"/>
        </w:rPr>
        <w:tab/>
        <w:t>FARMAKOLOGINĖS SAVYBĖS</w:t>
      </w:r>
    </w:p>
    <w:p w14:paraId="7C25BB9D" w14:textId="77777777" w:rsidR="001E5C66" w:rsidRPr="00273A3E" w:rsidRDefault="001E5C66" w:rsidP="009F71ED">
      <w:pPr>
        <w:tabs>
          <w:tab w:val="left" w:pos="567"/>
        </w:tabs>
        <w:spacing w:after="0" w:line="240" w:lineRule="auto"/>
        <w:rPr>
          <w:rFonts w:ascii="Times New Roman" w:hAnsi="Times New Roman"/>
          <w:lang w:val="lt-LT"/>
        </w:rPr>
      </w:pPr>
    </w:p>
    <w:p w14:paraId="4E9B7BB5"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5.1</w:t>
      </w:r>
      <w:r w:rsidRPr="00273A3E">
        <w:rPr>
          <w:rFonts w:ascii="Times New Roman" w:hAnsi="Times New Roman"/>
          <w:b/>
          <w:lang w:val="lt-LT"/>
        </w:rPr>
        <w:tab/>
      </w:r>
      <w:proofErr w:type="spellStart"/>
      <w:r w:rsidRPr="00273A3E">
        <w:rPr>
          <w:rFonts w:ascii="Times New Roman" w:hAnsi="Times New Roman"/>
          <w:b/>
          <w:lang w:val="lt-LT"/>
        </w:rPr>
        <w:t>Farmakodinaminės</w:t>
      </w:r>
      <w:proofErr w:type="spellEnd"/>
      <w:r w:rsidRPr="00273A3E">
        <w:rPr>
          <w:rFonts w:ascii="Times New Roman" w:hAnsi="Times New Roman"/>
          <w:b/>
          <w:lang w:val="lt-LT"/>
        </w:rPr>
        <w:t xml:space="preserve"> savybės</w:t>
      </w:r>
    </w:p>
    <w:p w14:paraId="3DE5AA64" w14:textId="77777777" w:rsidR="001E5C66" w:rsidRPr="00273A3E" w:rsidRDefault="001E5C66" w:rsidP="009F71ED">
      <w:pPr>
        <w:tabs>
          <w:tab w:val="left" w:pos="567"/>
        </w:tabs>
        <w:spacing w:after="0" w:line="240" w:lineRule="auto"/>
        <w:rPr>
          <w:rFonts w:ascii="Times New Roman" w:hAnsi="Times New Roman"/>
          <w:lang w:val="lt-LT"/>
        </w:rPr>
      </w:pPr>
    </w:p>
    <w:p w14:paraId="2EC69DCA"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Farmakoterapinė</w:t>
      </w:r>
      <w:proofErr w:type="spellEnd"/>
      <w:r w:rsidRPr="00273A3E">
        <w:rPr>
          <w:rFonts w:ascii="Times New Roman" w:hAnsi="Times New Roman"/>
          <w:lang w:val="lt-LT"/>
        </w:rPr>
        <w:t xml:space="preserve"> grupė – endokrininis gydymas, </w:t>
      </w:r>
      <w:proofErr w:type="spellStart"/>
      <w:r w:rsidRPr="00273A3E">
        <w:rPr>
          <w:rFonts w:ascii="Times New Roman" w:hAnsi="Times New Roman"/>
          <w:lang w:val="lt-LT"/>
        </w:rPr>
        <w:t>antiestrogenai</w:t>
      </w:r>
      <w:proofErr w:type="spellEnd"/>
      <w:r w:rsidRPr="00273A3E">
        <w:rPr>
          <w:rFonts w:ascii="Times New Roman" w:hAnsi="Times New Roman"/>
          <w:lang w:val="lt-LT"/>
        </w:rPr>
        <w:t>, ATC kodas – L02BA03.</w:t>
      </w:r>
    </w:p>
    <w:p w14:paraId="14A01199" w14:textId="77777777" w:rsidR="001E5C66" w:rsidRPr="00273A3E" w:rsidRDefault="001E5C66" w:rsidP="009F71ED">
      <w:pPr>
        <w:tabs>
          <w:tab w:val="left" w:pos="567"/>
        </w:tabs>
        <w:spacing w:after="0" w:line="240" w:lineRule="auto"/>
        <w:rPr>
          <w:rFonts w:ascii="Times New Roman" w:hAnsi="Times New Roman"/>
          <w:lang w:val="lt-LT"/>
        </w:rPr>
      </w:pPr>
    </w:p>
    <w:p w14:paraId="5BCFCB6F"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u w:val="single"/>
          <w:lang w:val="lt-LT"/>
        </w:rPr>
        <w:t xml:space="preserve">Veikimo mechanizmas ir </w:t>
      </w:r>
      <w:proofErr w:type="spellStart"/>
      <w:r w:rsidRPr="00273A3E">
        <w:rPr>
          <w:rFonts w:ascii="Times New Roman" w:hAnsi="Times New Roman"/>
          <w:u w:val="single"/>
          <w:lang w:val="lt-LT"/>
        </w:rPr>
        <w:t>farmakodinamini</w:t>
      </w:r>
      <w:r w:rsidR="00277BF2" w:rsidRPr="00273A3E">
        <w:rPr>
          <w:rFonts w:ascii="Times New Roman" w:hAnsi="Times New Roman"/>
          <w:u w:val="single"/>
          <w:lang w:val="lt-LT"/>
        </w:rPr>
        <w:t>s</w:t>
      </w:r>
      <w:proofErr w:type="spellEnd"/>
      <w:r w:rsidRPr="00273A3E">
        <w:rPr>
          <w:rFonts w:ascii="Times New Roman" w:hAnsi="Times New Roman"/>
          <w:u w:val="single"/>
          <w:lang w:val="lt-LT"/>
        </w:rPr>
        <w:t xml:space="preserve"> poveiki</w:t>
      </w:r>
      <w:r w:rsidR="00277BF2" w:rsidRPr="00273A3E">
        <w:rPr>
          <w:rFonts w:ascii="Times New Roman" w:hAnsi="Times New Roman"/>
          <w:u w:val="single"/>
          <w:lang w:val="lt-LT"/>
        </w:rPr>
        <w:t>s</w:t>
      </w:r>
    </w:p>
    <w:p w14:paraId="4DBC4BA6"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yra konkurencinio veikimo estrogenų receptorių (ER) antagonistas, kurio </w:t>
      </w:r>
      <w:proofErr w:type="spellStart"/>
      <w:r w:rsidRPr="00273A3E">
        <w:rPr>
          <w:rFonts w:ascii="Times New Roman" w:hAnsi="Times New Roman"/>
          <w:lang w:val="lt-LT"/>
        </w:rPr>
        <w:t>afinitetas</w:t>
      </w:r>
      <w:proofErr w:type="spellEnd"/>
      <w:r w:rsidRPr="00273A3E">
        <w:rPr>
          <w:rFonts w:ascii="Times New Roman" w:hAnsi="Times New Roman"/>
          <w:lang w:val="lt-LT"/>
        </w:rPr>
        <w:t xml:space="preserve"> panašus į </w:t>
      </w:r>
      <w:proofErr w:type="spellStart"/>
      <w:r w:rsidRPr="00273A3E">
        <w:rPr>
          <w:rFonts w:ascii="Times New Roman" w:hAnsi="Times New Roman"/>
          <w:lang w:val="lt-LT"/>
        </w:rPr>
        <w:t>estradiolio</w:t>
      </w:r>
      <w:proofErr w:type="spellEnd"/>
      <w:r w:rsidRPr="00273A3E">
        <w:rPr>
          <w:rFonts w:ascii="Times New Roman" w:hAnsi="Times New Roman"/>
          <w:lang w:val="lt-LT"/>
        </w:rPr>
        <w:t xml:space="preserve">.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blokuoja trofinius estrogenų poveikius, nesukeldamas jokio dalinio </w:t>
      </w:r>
      <w:proofErr w:type="spellStart"/>
      <w:r w:rsidRPr="00273A3E">
        <w:rPr>
          <w:rFonts w:ascii="Times New Roman" w:hAnsi="Times New Roman"/>
          <w:lang w:val="lt-LT"/>
        </w:rPr>
        <w:t>agonistinio</w:t>
      </w:r>
      <w:proofErr w:type="spellEnd"/>
      <w:r w:rsidRPr="00273A3E">
        <w:rPr>
          <w:rFonts w:ascii="Times New Roman" w:hAnsi="Times New Roman"/>
          <w:lang w:val="lt-LT"/>
        </w:rPr>
        <w:t xml:space="preserve"> (panašaus į estrogenų) aktyvumo. Veikimo mechanizmas yra susijęs su </w:t>
      </w:r>
      <w:r w:rsidR="00DD7475" w:rsidRPr="00273A3E">
        <w:rPr>
          <w:rFonts w:ascii="Times New Roman" w:hAnsi="Times New Roman"/>
          <w:lang w:val="lt-LT"/>
        </w:rPr>
        <w:t>estrogenų receptorių</w:t>
      </w:r>
      <w:r w:rsidRPr="00273A3E">
        <w:rPr>
          <w:rFonts w:ascii="Times New Roman" w:hAnsi="Times New Roman"/>
          <w:lang w:val="lt-LT"/>
        </w:rPr>
        <w:t xml:space="preserve"> baltymo kiekio sumažėjimu.</w:t>
      </w:r>
      <w:r w:rsidR="00DD7475" w:rsidRPr="00273A3E">
        <w:rPr>
          <w:rFonts w:ascii="Times New Roman" w:hAnsi="Times New Roman"/>
          <w:lang w:val="lt-LT"/>
        </w:rPr>
        <w:t xml:space="preserve"> </w:t>
      </w:r>
      <w:r w:rsidRPr="00273A3E">
        <w:rPr>
          <w:rFonts w:ascii="Times New Roman" w:hAnsi="Times New Roman"/>
          <w:lang w:val="lt-LT"/>
        </w:rPr>
        <w:t xml:space="preserve">Klinikiniai tyrimai, atlikti su pirminiu krūties vėžiu sergančiomis moterimis po menopauzės, parodė, kad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reikšmingai sumažina ER baltymo kiekį ER teigiamuose navikuose (palyginus su placebu). Taip pat nustatytas reikšmingas progesterono receptorių ekspresijos sumažėjimas, suderinamas su vidinio </w:t>
      </w:r>
      <w:proofErr w:type="spellStart"/>
      <w:r w:rsidRPr="00273A3E">
        <w:rPr>
          <w:rFonts w:ascii="Times New Roman" w:hAnsi="Times New Roman"/>
          <w:lang w:val="lt-LT"/>
        </w:rPr>
        <w:t>agonistinio</w:t>
      </w:r>
      <w:proofErr w:type="spellEnd"/>
      <w:r w:rsidRPr="00273A3E">
        <w:rPr>
          <w:rFonts w:ascii="Times New Roman" w:hAnsi="Times New Roman"/>
          <w:lang w:val="lt-LT"/>
        </w:rPr>
        <w:t xml:space="preserve"> </w:t>
      </w:r>
      <w:proofErr w:type="spellStart"/>
      <w:r w:rsidRPr="00273A3E">
        <w:rPr>
          <w:rFonts w:ascii="Times New Roman" w:hAnsi="Times New Roman"/>
          <w:lang w:val="lt-LT"/>
        </w:rPr>
        <w:t>estrogeninio</w:t>
      </w:r>
      <w:proofErr w:type="spellEnd"/>
      <w:r w:rsidRPr="00273A3E">
        <w:rPr>
          <w:rFonts w:ascii="Times New Roman" w:hAnsi="Times New Roman"/>
          <w:lang w:val="lt-LT"/>
        </w:rPr>
        <w:t xml:space="preserve"> poveikio stoka. Taip pat nustatyta, kad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500</w:t>
      </w:r>
      <w:r w:rsidR="00FF0074" w:rsidRPr="00273A3E">
        <w:rPr>
          <w:rFonts w:ascii="Times New Roman" w:hAnsi="Times New Roman"/>
          <w:lang w:val="lt-LT"/>
        </w:rPr>
        <w:t> mg</w:t>
      </w:r>
      <w:r w:rsidRPr="00273A3E">
        <w:rPr>
          <w:rFonts w:ascii="Times New Roman" w:hAnsi="Times New Roman"/>
          <w:lang w:val="lt-LT"/>
        </w:rPr>
        <w:t xml:space="preserve"> dozė sumažina moterų po menopauzės, kurioms taikomas </w:t>
      </w:r>
      <w:proofErr w:type="spellStart"/>
      <w:r w:rsidRPr="00273A3E">
        <w:rPr>
          <w:rFonts w:ascii="Times New Roman" w:hAnsi="Times New Roman"/>
          <w:lang w:val="lt-LT"/>
        </w:rPr>
        <w:t>neoadjuvantinis</w:t>
      </w:r>
      <w:proofErr w:type="spellEnd"/>
      <w:r w:rsidRPr="00273A3E">
        <w:rPr>
          <w:rFonts w:ascii="Times New Roman" w:hAnsi="Times New Roman"/>
          <w:lang w:val="lt-LT"/>
        </w:rPr>
        <w:t xml:space="preserve"> gydymas, ER ir </w:t>
      </w:r>
      <w:proofErr w:type="spellStart"/>
      <w:r w:rsidRPr="00273A3E">
        <w:rPr>
          <w:rFonts w:ascii="Times New Roman" w:hAnsi="Times New Roman"/>
          <w:lang w:val="lt-LT"/>
        </w:rPr>
        <w:t>proliferacijos</w:t>
      </w:r>
      <w:proofErr w:type="spellEnd"/>
      <w:r w:rsidRPr="00273A3E">
        <w:rPr>
          <w:rFonts w:ascii="Times New Roman" w:hAnsi="Times New Roman"/>
          <w:lang w:val="lt-LT"/>
        </w:rPr>
        <w:t xml:space="preserve"> žymens Ki67 </w:t>
      </w:r>
      <w:r w:rsidR="00DC2558" w:rsidRPr="00273A3E">
        <w:rPr>
          <w:rFonts w:ascii="Times New Roman" w:hAnsi="Times New Roman"/>
          <w:lang w:val="lt-LT"/>
        </w:rPr>
        <w:t xml:space="preserve">koncentraciją </w:t>
      </w:r>
      <w:r w:rsidRPr="00273A3E">
        <w:rPr>
          <w:rFonts w:ascii="Times New Roman" w:hAnsi="Times New Roman"/>
          <w:lang w:val="lt-LT"/>
        </w:rPr>
        <w:t>krūties navikuose labiau, negu 250</w:t>
      </w:r>
      <w:r w:rsidR="00FF0074" w:rsidRPr="00273A3E">
        <w:rPr>
          <w:rFonts w:ascii="Times New Roman" w:hAnsi="Times New Roman"/>
          <w:lang w:val="lt-LT"/>
        </w:rPr>
        <w:t> mg</w:t>
      </w:r>
      <w:r w:rsidRPr="00273A3E">
        <w:rPr>
          <w:rFonts w:ascii="Times New Roman" w:hAnsi="Times New Roman"/>
          <w:lang w:val="lt-LT"/>
        </w:rPr>
        <w:t xml:space="preserve"> dozė.</w:t>
      </w:r>
    </w:p>
    <w:p w14:paraId="4BAEEF7A" w14:textId="77777777" w:rsidR="001E5C66" w:rsidRPr="00273A3E" w:rsidRDefault="001E5C66" w:rsidP="009F71ED">
      <w:pPr>
        <w:tabs>
          <w:tab w:val="left" w:pos="567"/>
        </w:tabs>
        <w:spacing w:after="0" w:line="240" w:lineRule="auto"/>
        <w:rPr>
          <w:rFonts w:ascii="Times New Roman" w:hAnsi="Times New Roman"/>
          <w:lang w:val="lt-LT"/>
        </w:rPr>
      </w:pPr>
    </w:p>
    <w:p w14:paraId="112602CD" w14:textId="77777777" w:rsidR="001E5C66" w:rsidRPr="00273A3E" w:rsidRDefault="001E5C66" w:rsidP="0003368A">
      <w:pPr>
        <w:keepNext/>
        <w:keepLines/>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lastRenderedPageBreak/>
        <w:t>Klinikinis veiksmingumas ir saugumas progresavusiu krūties vėžiu sergančioms pacientėms</w:t>
      </w:r>
    </w:p>
    <w:p w14:paraId="7A462007" w14:textId="77777777" w:rsidR="00DD7475" w:rsidRPr="00273A3E" w:rsidRDefault="00DD7475" w:rsidP="0003368A">
      <w:pPr>
        <w:keepNext/>
        <w:keepLines/>
        <w:tabs>
          <w:tab w:val="left" w:pos="567"/>
        </w:tabs>
        <w:spacing w:after="0" w:line="240" w:lineRule="auto"/>
        <w:rPr>
          <w:rFonts w:ascii="Times New Roman" w:hAnsi="Times New Roman"/>
          <w:u w:val="single"/>
          <w:lang w:val="lt-LT"/>
        </w:rPr>
      </w:pPr>
    </w:p>
    <w:p w14:paraId="6F47972A" w14:textId="77777777" w:rsidR="001E5C66" w:rsidRPr="00273A3E" w:rsidRDefault="001E5C66" w:rsidP="0003368A">
      <w:pPr>
        <w:keepNext/>
        <w:keepLines/>
        <w:tabs>
          <w:tab w:val="left" w:pos="567"/>
        </w:tabs>
        <w:spacing w:after="0" w:line="240" w:lineRule="auto"/>
        <w:rPr>
          <w:rFonts w:ascii="Times New Roman" w:hAnsi="Times New Roman"/>
          <w:i/>
          <w:lang w:val="lt-LT"/>
        </w:rPr>
      </w:pPr>
      <w:proofErr w:type="spellStart"/>
      <w:r w:rsidRPr="00273A3E">
        <w:rPr>
          <w:rFonts w:ascii="Times New Roman" w:hAnsi="Times New Roman"/>
          <w:i/>
          <w:lang w:val="lt-LT"/>
        </w:rPr>
        <w:t>Monoterapija</w:t>
      </w:r>
      <w:proofErr w:type="spellEnd"/>
    </w:p>
    <w:p w14:paraId="287F1262" w14:textId="77777777" w:rsidR="001E5C66" w:rsidRPr="00273A3E" w:rsidRDefault="001E5C66" w:rsidP="0003368A">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III</w:t>
      </w:r>
      <w:r w:rsidR="00DD7475" w:rsidRPr="00273A3E">
        <w:rPr>
          <w:rFonts w:ascii="Times New Roman" w:hAnsi="Times New Roman"/>
          <w:lang w:val="lt-LT"/>
        </w:rPr>
        <w:t> </w:t>
      </w:r>
      <w:r w:rsidRPr="00273A3E">
        <w:rPr>
          <w:rFonts w:ascii="Times New Roman" w:hAnsi="Times New Roman"/>
          <w:lang w:val="lt-LT"/>
        </w:rPr>
        <w:t>fazės klinikinį tyrimą baigė 736</w:t>
      </w:r>
      <w:r w:rsidR="00FF0074" w:rsidRPr="00273A3E">
        <w:rPr>
          <w:rFonts w:ascii="Times New Roman" w:hAnsi="Times New Roman"/>
          <w:lang w:val="lt-LT"/>
        </w:rPr>
        <w:t> </w:t>
      </w:r>
      <w:r w:rsidRPr="00273A3E">
        <w:rPr>
          <w:rFonts w:ascii="Times New Roman" w:hAnsi="Times New Roman"/>
          <w:lang w:val="lt-LT"/>
        </w:rPr>
        <w:t xml:space="preserve">moterys po menopauzės, sirgusios progresavusiu krūties vėžiu, kuris atsinaujino taikant </w:t>
      </w:r>
      <w:proofErr w:type="spellStart"/>
      <w:r w:rsidRPr="00273A3E">
        <w:rPr>
          <w:rFonts w:ascii="Times New Roman" w:hAnsi="Times New Roman"/>
          <w:lang w:val="lt-LT"/>
        </w:rPr>
        <w:t>adjuvantinį</w:t>
      </w:r>
      <w:proofErr w:type="spellEnd"/>
      <w:r w:rsidRPr="00273A3E">
        <w:rPr>
          <w:rFonts w:ascii="Times New Roman" w:hAnsi="Times New Roman"/>
          <w:lang w:val="lt-LT"/>
        </w:rPr>
        <w:t xml:space="preserve"> endokrininį gydymą ar po jo arba toliau progresavo po </w:t>
      </w:r>
      <w:r w:rsidR="0089624D" w:rsidRPr="00273A3E">
        <w:rPr>
          <w:rFonts w:ascii="Times New Roman" w:hAnsi="Times New Roman"/>
          <w:lang w:val="lt-LT"/>
        </w:rPr>
        <w:t xml:space="preserve">pažengusio </w:t>
      </w:r>
      <w:r w:rsidRPr="00273A3E">
        <w:rPr>
          <w:rFonts w:ascii="Times New Roman" w:hAnsi="Times New Roman"/>
          <w:lang w:val="lt-LT"/>
        </w:rPr>
        <w:t>vėžio endokrininio gydymo. Tyrime dalyvavo 423</w:t>
      </w:r>
      <w:r w:rsidR="00FF0074" w:rsidRPr="00273A3E">
        <w:rPr>
          <w:rFonts w:ascii="Times New Roman" w:hAnsi="Times New Roman"/>
          <w:lang w:val="lt-LT"/>
        </w:rPr>
        <w:t> </w:t>
      </w:r>
      <w:r w:rsidRPr="00273A3E">
        <w:rPr>
          <w:rFonts w:ascii="Times New Roman" w:hAnsi="Times New Roman"/>
          <w:lang w:val="lt-LT"/>
        </w:rPr>
        <w:t xml:space="preserve">pacientės, kurių liga pasikartojo arba progresavo taikant gydymą </w:t>
      </w:r>
      <w:proofErr w:type="spellStart"/>
      <w:r w:rsidRPr="00273A3E">
        <w:rPr>
          <w:rFonts w:ascii="Times New Roman" w:hAnsi="Times New Roman"/>
          <w:lang w:val="lt-LT"/>
        </w:rPr>
        <w:t>antiestrogenu</w:t>
      </w:r>
      <w:proofErr w:type="spellEnd"/>
      <w:r w:rsidRPr="00273A3E">
        <w:rPr>
          <w:rFonts w:ascii="Times New Roman" w:hAnsi="Times New Roman"/>
          <w:lang w:val="lt-LT"/>
        </w:rPr>
        <w:t xml:space="preserve"> (AE pogrupis), ir 313</w:t>
      </w:r>
      <w:r w:rsidR="00FF0074" w:rsidRPr="00273A3E">
        <w:rPr>
          <w:rFonts w:ascii="Times New Roman" w:hAnsi="Times New Roman"/>
          <w:lang w:val="lt-LT"/>
        </w:rPr>
        <w:t> </w:t>
      </w:r>
      <w:r w:rsidRPr="00273A3E">
        <w:rPr>
          <w:rFonts w:ascii="Times New Roman" w:hAnsi="Times New Roman"/>
          <w:lang w:val="lt-LT"/>
        </w:rPr>
        <w:t xml:space="preserve">pacienčių, kurių liga atsinaujino arba progresavo taikant gydymą </w:t>
      </w:r>
      <w:proofErr w:type="spellStart"/>
      <w:r w:rsidRPr="00273A3E">
        <w:rPr>
          <w:rFonts w:ascii="Times New Roman" w:hAnsi="Times New Roman"/>
          <w:lang w:val="lt-LT"/>
        </w:rPr>
        <w:t>aromatazės</w:t>
      </w:r>
      <w:proofErr w:type="spellEnd"/>
      <w:r w:rsidRPr="00273A3E">
        <w:rPr>
          <w:rFonts w:ascii="Times New Roman" w:hAnsi="Times New Roman"/>
          <w:lang w:val="lt-LT"/>
        </w:rPr>
        <w:t xml:space="preserve"> inhibitoriumi (AI pogrupis). Šio tyrimo</w:t>
      </w:r>
      <w:r w:rsidR="00E34284"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buvo lyginami 500</w:t>
      </w:r>
      <w:r w:rsidR="00FF0074" w:rsidRPr="00273A3E">
        <w:rPr>
          <w:rFonts w:ascii="Times New Roman" w:hAnsi="Times New Roman"/>
          <w:lang w:val="lt-LT"/>
        </w:rPr>
        <w:t> mg</w:t>
      </w:r>
      <w:r w:rsidRPr="00273A3E">
        <w:rPr>
          <w:rFonts w:ascii="Times New Roman" w:hAnsi="Times New Roman"/>
          <w:lang w:val="lt-LT"/>
        </w:rPr>
        <w:t xml:space="preserve"> (n</w:t>
      </w:r>
      <w:r w:rsidR="00FF0074" w:rsidRPr="00273A3E">
        <w:rPr>
          <w:rFonts w:ascii="Times New Roman" w:hAnsi="Times New Roman"/>
          <w:lang w:val="lt-LT"/>
        </w:rPr>
        <w:t> </w:t>
      </w:r>
      <w:r w:rsidRPr="00273A3E">
        <w:rPr>
          <w:rFonts w:ascii="Times New Roman" w:hAnsi="Times New Roman"/>
          <w:lang w:val="lt-LT"/>
        </w:rPr>
        <w:t>=</w:t>
      </w:r>
      <w:r w:rsidR="00FF0074" w:rsidRPr="00273A3E">
        <w:rPr>
          <w:rFonts w:ascii="Times New Roman" w:hAnsi="Times New Roman"/>
          <w:lang w:val="lt-LT"/>
        </w:rPr>
        <w:t> </w:t>
      </w:r>
      <w:r w:rsidRPr="00273A3E">
        <w:rPr>
          <w:rFonts w:ascii="Times New Roman" w:hAnsi="Times New Roman"/>
          <w:lang w:val="lt-LT"/>
        </w:rPr>
        <w:t>362) bei 250</w:t>
      </w:r>
      <w:r w:rsidR="00FF0074" w:rsidRPr="00273A3E">
        <w:rPr>
          <w:rFonts w:ascii="Times New Roman" w:hAnsi="Times New Roman"/>
          <w:lang w:val="lt-LT"/>
        </w:rPr>
        <w:t> mg</w:t>
      </w:r>
      <w:r w:rsidRPr="00273A3E">
        <w:rPr>
          <w:rFonts w:ascii="Times New Roman" w:hAnsi="Times New Roman"/>
          <w:lang w:val="lt-LT"/>
        </w:rPr>
        <w:t xml:space="preserve"> (n</w:t>
      </w:r>
      <w:r w:rsidR="00FF0074" w:rsidRPr="00273A3E">
        <w:rPr>
          <w:rFonts w:ascii="Times New Roman" w:hAnsi="Times New Roman"/>
          <w:lang w:val="lt-LT"/>
        </w:rPr>
        <w:t> </w:t>
      </w:r>
      <w:r w:rsidRPr="00273A3E">
        <w:rPr>
          <w:rFonts w:ascii="Times New Roman" w:hAnsi="Times New Roman"/>
          <w:lang w:val="lt-LT"/>
        </w:rPr>
        <w:t>=</w:t>
      </w:r>
      <w:r w:rsidR="00FF0074" w:rsidRPr="00273A3E">
        <w:rPr>
          <w:rFonts w:ascii="Times New Roman" w:hAnsi="Times New Roman"/>
          <w:lang w:val="lt-LT"/>
        </w:rPr>
        <w:t> </w:t>
      </w:r>
      <w:r w:rsidRPr="00273A3E">
        <w:rPr>
          <w:rFonts w:ascii="Times New Roman" w:hAnsi="Times New Roman"/>
          <w:lang w:val="lt-LT"/>
        </w:rPr>
        <w:t xml:space="preserve">374)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dozių veiksmingumas ir saugumas. Pagrindinė veiksmingumo vertinamoji baigtis buvo neprogresuojant ligai išgyventas laikotarpis (</w:t>
      </w:r>
      <w:r w:rsidR="00A0441E" w:rsidRPr="00273A3E">
        <w:rPr>
          <w:rFonts w:ascii="Times New Roman" w:hAnsi="Times New Roman"/>
          <w:lang w:val="lt-LT"/>
        </w:rPr>
        <w:t>angl</w:t>
      </w:r>
      <w:r w:rsidR="00A0441E" w:rsidRPr="00273A3E">
        <w:rPr>
          <w:rFonts w:ascii="Times New Roman" w:hAnsi="Times New Roman"/>
          <w:i/>
          <w:lang w:val="lt-LT"/>
        </w:rPr>
        <w:t>.</w:t>
      </w:r>
      <w:r w:rsidR="00D02A69" w:rsidRPr="00273A3E">
        <w:rPr>
          <w:rFonts w:ascii="Times New Roman" w:hAnsi="Times New Roman"/>
          <w:i/>
          <w:lang w:val="lt-LT"/>
        </w:rPr>
        <w:t xml:space="preserve"> </w:t>
      </w:r>
      <w:proofErr w:type="spellStart"/>
      <w:r w:rsidR="00A0441E" w:rsidRPr="00273A3E">
        <w:rPr>
          <w:rStyle w:val="Grietas"/>
          <w:rFonts w:ascii="Times New Roman" w:hAnsi="Times New Roman"/>
          <w:b w:val="0"/>
          <w:i/>
          <w:lang w:val="lt-LT"/>
        </w:rPr>
        <w:t>progression-free</w:t>
      </w:r>
      <w:proofErr w:type="spellEnd"/>
      <w:r w:rsidR="00A0441E" w:rsidRPr="00273A3E">
        <w:rPr>
          <w:rStyle w:val="Grietas"/>
          <w:rFonts w:ascii="Times New Roman" w:hAnsi="Times New Roman"/>
          <w:b w:val="0"/>
          <w:i/>
          <w:lang w:val="lt-LT"/>
        </w:rPr>
        <w:t xml:space="preserve"> </w:t>
      </w:r>
      <w:proofErr w:type="spellStart"/>
      <w:r w:rsidR="00A0441E" w:rsidRPr="00273A3E">
        <w:rPr>
          <w:rStyle w:val="Grietas"/>
          <w:rFonts w:ascii="Times New Roman" w:hAnsi="Times New Roman"/>
          <w:b w:val="0"/>
          <w:i/>
          <w:lang w:val="lt-LT"/>
        </w:rPr>
        <w:t>survival</w:t>
      </w:r>
      <w:proofErr w:type="spellEnd"/>
      <w:r w:rsidR="0083086A" w:rsidRPr="00273A3E">
        <w:rPr>
          <w:rStyle w:val="Grietas"/>
          <w:rFonts w:ascii="Times New Roman" w:hAnsi="Times New Roman"/>
          <w:b w:val="0"/>
          <w:i/>
          <w:lang w:val="lt-LT"/>
        </w:rPr>
        <w:t>,</w:t>
      </w:r>
      <w:r w:rsidR="0083086A" w:rsidRPr="00273A3E">
        <w:rPr>
          <w:rFonts w:ascii="Times New Roman" w:hAnsi="Times New Roman"/>
          <w:lang w:val="lt-LT"/>
        </w:rPr>
        <w:t xml:space="preserve"> PFS</w:t>
      </w:r>
      <w:r w:rsidRPr="00273A3E">
        <w:rPr>
          <w:rFonts w:ascii="Times New Roman" w:hAnsi="Times New Roman"/>
          <w:lang w:val="lt-LT"/>
        </w:rPr>
        <w:t>), svarbiausios antrinės veiksmingumo vertinamosios baigtys buvo objektyvaus atsako dažnis (</w:t>
      </w:r>
      <w:r w:rsidR="00A0441E" w:rsidRPr="00273A3E">
        <w:rPr>
          <w:rFonts w:ascii="Times New Roman" w:hAnsi="Times New Roman"/>
          <w:lang w:val="lt-LT"/>
        </w:rPr>
        <w:t>angl</w:t>
      </w:r>
      <w:r w:rsidR="00A0441E" w:rsidRPr="00273A3E">
        <w:rPr>
          <w:rFonts w:ascii="Times New Roman" w:hAnsi="Times New Roman"/>
          <w:iCs/>
          <w:lang w:val="lt-LT"/>
        </w:rPr>
        <w:t xml:space="preserve">. </w:t>
      </w:r>
      <w:proofErr w:type="spellStart"/>
      <w:r w:rsidR="00A0441E" w:rsidRPr="00273A3E">
        <w:rPr>
          <w:rStyle w:val="Grietas"/>
          <w:rFonts w:ascii="Times New Roman" w:hAnsi="Times New Roman"/>
          <w:b w:val="0"/>
          <w:i/>
          <w:lang w:val="lt-LT"/>
        </w:rPr>
        <w:t>objective</w:t>
      </w:r>
      <w:proofErr w:type="spellEnd"/>
      <w:r w:rsidR="00A0441E" w:rsidRPr="00273A3E">
        <w:rPr>
          <w:rStyle w:val="Grietas"/>
          <w:rFonts w:ascii="Times New Roman" w:hAnsi="Times New Roman"/>
          <w:b w:val="0"/>
          <w:i/>
          <w:lang w:val="lt-LT"/>
        </w:rPr>
        <w:t xml:space="preserve"> </w:t>
      </w:r>
      <w:proofErr w:type="spellStart"/>
      <w:r w:rsidR="00A0441E" w:rsidRPr="00273A3E">
        <w:rPr>
          <w:rStyle w:val="Grietas"/>
          <w:rFonts w:ascii="Times New Roman" w:hAnsi="Times New Roman"/>
          <w:b w:val="0"/>
          <w:i/>
          <w:lang w:val="lt-LT"/>
        </w:rPr>
        <w:t>response</w:t>
      </w:r>
      <w:proofErr w:type="spellEnd"/>
      <w:r w:rsidR="00A0441E" w:rsidRPr="00273A3E">
        <w:rPr>
          <w:rStyle w:val="Grietas"/>
          <w:rFonts w:ascii="Times New Roman" w:hAnsi="Times New Roman"/>
          <w:b w:val="0"/>
          <w:i/>
          <w:lang w:val="lt-LT"/>
        </w:rPr>
        <w:t xml:space="preserve"> rate</w:t>
      </w:r>
      <w:r w:rsidR="0083086A" w:rsidRPr="00273A3E">
        <w:rPr>
          <w:rStyle w:val="Grietas"/>
          <w:rFonts w:ascii="Times New Roman" w:hAnsi="Times New Roman"/>
          <w:b w:val="0"/>
          <w:i/>
          <w:lang w:val="lt-LT"/>
        </w:rPr>
        <w:t>,</w:t>
      </w:r>
      <w:r w:rsidR="0083086A" w:rsidRPr="00273A3E">
        <w:rPr>
          <w:rFonts w:ascii="Times New Roman" w:hAnsi="Times New Roman"/>
          <w:lang w:val="lt-LT"/>
        </w:rPr>
        <w:t xml:space="preserve"> ORR</w:t>
      </w:r>
      <w:r w:rsidRPr="00273A3E">
        <w:rPr>
          <w:rFonts w:ascii="Times New Roman" w:hAnsi="Times New Roman"/>
          <w:lang w:val="lt-LT"/>
        </w:rPr>
        <w:t>), klinikinės naudos pasireiškimo dažnis (</w:t>
      </w:r>
      <w:r w:rsidR="00A0441E" w:rsidRPr="00273A3E">
        <w:rPr>
          <w:rFonts w:ascii="Times New Roman" w:hAnsi="Times New Roman"/>
          <w:lang w:val="lt-LT"/>
        </w:rPr>
        <w:t>angl.</w:t>
      </w:r>
      <w:r w:rsidR="00A0441E" w:rsidRPr="00273A3E">
        <w:rPr>
          <w:rFonts w:ascii="Times New Roman" w:hAnsi="Times New Roman"/>
          <w:i/>
          <w:lang w:val="lt-LT"/>
        </w:rPr>
        <w:t xml:space="preserve"> </w:t>
      </w:r>
      <w:proofErr w:type="spellStart"/>
      <w:r w:rsidR="00A0441E" w:rsidRPr="00273A3E">
        <w:rPr>
          <w:rStyle w:val="Grietas"/>
          <w:rFonts w:ascii="Times New Roman" w:hAnsi="Times New Roman"/>
          <w:b w:val="0"/>
          <w:i/>
          <w:lang w:val="lt-LT"/>
        </w:rPr>
        <w:t>clinical</w:t>
      </w:r>
      <w:proofErr w:type="spellEnd"/>
      <w:r w:rsidR="00A0441E" w:rsidRPr="00273A3E">
        <w:rPr>
          <w:rStyle w:val="Grietas"/>
          <w:rFonts w:ascii="Times New Roman" w:hAnsi="Times New Roman"/>
          <w:b w:val="0"/>
          <w:i/>
          <w:lang w:val="lt-LT"/>
        </w:rPr>
        <w:t xml:space="preserve"> </w:t>
      </w:r>
      <w:proofErr w:type="spellStart"/>
      <w:r w:rsidR="00A0441E" w:rsidRPr="00273A3E">
        <w:rPr>
          <w:rStyle w:val="Grietas"/>
          <w:rFonts w:ascii="Times New Roman" w:hAnsi="Times New Roman"/>
          <w:b w:val="0"/>
          <w:i/>
          <w:lang w:val="lt-LT"/>
        </w:rPr>
        <w:t>benefit</w:t>
      </w:r>
      <w:proofErr w:type="spellEnd"/>
      <w:r w:rsidR="00A0441E" w:rsidRPr="00273A3E">
        <w:rPr>
          <w:rStyle w:val="Grietas"/>
          <w:rFonts w:ascii="Times New Roman" w:hAnsi="Times New Roman"/>
          <w:b w:val="0"/>
          <w:i/>
          <w:lang w:val="lt-LT"/>
        </w:rPr>
        <w:t xml:space="preserve"> rate</w:t>
      </w:r>
      <w:r w:rsidR="0083086A" w:rsidRPr="00273A3E">
        <w:rPr>
          <w:rStyle w:val="Grietas"/>
          <w:rFonts w:ascii="Times New Roman" w:hAnsi="Times New Roman"/>
          <w:b w:val="0"/>
          <w:i/>
          <w:lang w:val="lt-LT"/>
        </w:rPr>
        <w:t>,</w:t>
      </w:r>
      <w:r w:rsidR="0083086A" w:rsidRPr="00273A3E">
        <w:rPr>
          <w:rFonts w:ascii="Times New Roman" w:hAnsi="Times New Roman"/>
          <w:lang w:val="lt-LT"/>
        </w:rPr>
        <w:t xml:space="preserve"> CBR</w:t>
      </w:r>
      <w:r w:rsidRPr="00273A3E">
        <w:rPr>
          <w:rFonts w:ascii="Times New Roman" w:hAnsi="Times New Roman"/>
          <w:lang w:val="lt-LT"/>
        </w:rPr>
        <w:t>) ir bendrasis išgyvenamumas (</w:t>
      </w:r>
      <w:r w:rsidR="00A0441E" w:rsidRPr="00273A3E">
        <w:rPr>
          <w:rFonts w:ascii="Times New Roman" w:hAnsi="Times New Roman"/>
          <w:lang w:val="lt-LT"/>
        </w:rPr>
        <w:t>angl.</w:t>
      </w:r>
      <w:r w:rsidR="00A0441E" w:rsidRPr="00273A3E">
        <w:rPr>
          <w:rFonts w:ascii="Times New Roman" w:hAnsi="Times New Roman"/>
          <w:i/>
          <w:lang w:val="lt-LT"/>
        </w:rPr>
        <w:t xml:space="preserve"> </w:t>
      </w:r>
      <w:proofErr w:type="spellStart"/>
      <w:r w:rsidR="00A0441E" w:rsidRPr="00273A3E">
        <w:rPr>
          <w:rStyle w:val="Grietas"/>
          <w:rFonts w:ascii="Times New Roman" w:hAnsi="Times New Roman"/>
          <w:b w:val="0"/>
          <w:i/>
          <w:lang w:val="lt-LT"/>
        </w:rPr>
        <w:t>overall</w:t>
      </w:r>
      <w:proofErr w:type="spellEnd"/>
      <w:r w:rsidR="00A0441E" w:rsidRPr="00273A3E">
        <w:rPr>
          <w:rStyle w:val="Grietas"/>
          <w:rFonts w:ascii="Times New Roman" w:hAnsi="Times New Roman"/>
          <w:b w:val="0"/>
          <w:i/>
          <w:lang w:val="lt-LT"/>
        </w:rPr>
        <w:t xml:space="preserve"> </w:t>
      </w:r>
      <w:proofErr w:type="spellStart"/>
      <w:r w:rsidR="00A0441E" w:rsidRPr="00273A3E">
        <w:rPr>
          <w:rStyle w:val="Grietas"/>
          <w:rFonts w:ascii="Times New Roman" w:hAnsi="Times New Roman"/>
          <w:b w:val="0"/>
          <w:i/>
          <w:lang w:val="lt-LT"/>
        </w:rPr>
        <w:t>survival</w:t>
      </w:r>
      <w:proofErr w:type="spellEnd"/>
      <w:r w:rsidR="0083086A" w:rsidRPr="00273A3E">
        <w:rPr>
          <w:rStyle w:val="Grietas"/>
          <w:rFonts w:ascii="Times New Roman" w:hAnsi="Times New Roman"/>
          <w:b w:val="0"/>
          <w:i/>
          <w:lang w:val="lt-LT"/>
        </w:rPr>
        <w:t>,</w:t>
      </w:r>
      <w:r w:rsidR="0083086A" w:rsidRPr="00273A3E">
        <w:rPr>
          <w:rFonts w:ascii="Times New Roman" w:hAnsi="Times New Roman"/>
          <w:lang w:val="lt-LT"/>
        </w:rPr>
        <w:t xml:space="preserve"> OS</w:t>
      </w:r>
      <w:r w:rsidRPr="00273A3E">
        <w:rPr>
          <w:rFonts w:ascii="Times New Roman" w:hAnsi="Times New Roman"/>
          <w:lang w:val="lt-LT"/>
        </w:rPr>
        <w:t>). CONFIRM tyrimo</w:t>
      </w:r>
      <w:r w:rsidR="00AF5F7F"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gauti veiksmingumo duomenys apibendrinti 3</w:t>
      </w:r>
      <w:r w:rsidR="00FF0074" w:rsidRPr="00273A3E">
        <w:rPr>
          <w:rFonts w:ascii="Times New Roman" w:hAnsi="Times New Roman"/>
          <w:lang w:val="lt-LT"/>
        </w:rPr>
        <w:t> lent</w:t>
      </w:r>
      <w:r w:rsidRPr="00273A3E">
        <w:rPr>
          <w:rFonts w:ascii="Times New Roman" w:hAnsi="Times New Roman"/>
          <w:lang w:val="lt-LT"/>
        </w:rPr>
        <w:t>elėje.</w:t>
      </w:r>
    </w:p>
    <w:p w14:paraId="2DF0F146" w14:textId="77777777" w:rsidR="001E5C66" w:rsidRPr="00273A3E" w:rsidRDefault="001E5C66" w:rsidP="009F71ED">
      <w:pPr>
        <w:tabs>
          <w:tab w:val="left" w:pos="567"/>
        </w:tabs>
        <w:spacing w:after="0" w:line="240" w:lineRule="auto"/>
        <w:rPr>
          <w:rFonts w:ascii="Times New Roman" w:hAnsi="Times New Roman"/>
          <w:lang w:val="lt-LT"/>
        </w:rPr>
      </w:pPr>
    </w:p>
    <w:p w14:paraId="0F64E2B3" w14:textId="77777777" w:rsidR="001E5C66" w:rsidRPr="00273A3E" w:rsidRDefault="001E5C66" w:rsidP="009F71ED">
      <w:pPr>
        <w:keepNext/>
        <w:tabs>
          <w:tab w:val="left" w:pos="567"/>
          <w:tab w:val="left" w:pos="851"/>
        </w:tabs>
        <w:autoSpaceDE w:val="0"/>
        <w:autoSpaceDN w:val="0"/>
        <w:adjustRightInd w:val="0"/>
        <w:spacing w:after="0" w:line="240" w:lineRule="auto"/>
        <w:rPr>
          <w:rFonts w:ascii="Times New Roman" w:hAnsi="Times New Roman"/>
          <w:b/>
          <w:bCs/>
          <w:lang w:val="lt-LT"/>
        </w:rPr>
      </w:pPr>
      <w:r w:rsidRPr="00273A3E">
        <w:rPr>
          <w:rFonts w:ascii="Times New Roman" w:hAnsi="Times New Roman"/>
          <w:b/>
          <w:bCs/>
          <w:lang w:val="lt-LT"/>
        </w:rPr>
        <w:t>3</w:t>
      </w:r>
      <w:r w:rsidR="00FF0074" w:rsidRPr="00273A3E">
        <w:rPr>
          <w:rFonts w:ascii="Times New Roman" w:hAnsi="Times New Roman"/>
          <w:b/>
          <w:bCs/>
          <w:lang w:val="lt-LT"/>
        </w:rPr>
        <w:t> lent</w:t>
      </w:r>
      <w:r w:rsidRPr="00273A3E">
        <w:rPr>
          <w:rFonts w:ascii="Times New Roman" w:hAnsi="Times New Roman"/>
          <w:b/>
          <w:bCs/>
          <w:lang w:val="lt-LT"/>
        </w:rPr>
        <w:t>elė. CONFIRM tyrimo</w:t>
      </w:r>
      <w:r w:rsidR="007852FB" w:rsidRPr="00273A3E">
        <w:rPr>
          <w:rFonts w:ascii="Times New Roman" w:hAnsi="Times New Roman"/>
          <w:b/>
          <w:bCs/>
          <w:lang w:val="lt-LT"/>
        </w:rPr>
        <w:t xml:space="preserve"> </w:t>
      </w:r>
      <w:r w:rsidR="00FF0074" w:rsidRPr="00273A3E">
        <w:rPr>
          <w:rFonts w:ascii="Times New Roman" w:hAnsi="Times New Roman"/>
          <w:b/>
          <w:bCs/>
          <w:lang w:val="lt-LT"/>
        </w:rPr>
        <w:t>met</w:t>
      </w:r>
      <w:r w:rsidRPr="00273A3E">
        <w:rPr>
          <w:rFonts w:ascii="Times New Roman" w:hAnsi="Times New Roman"/>
          <w:b/>
          <w:bCs/>
          <w:lang w:val="lt-LT"/>
        </w:rPr>
        <w:t>u gautų pagrindinės vertinamosios baigties (PFS) ir</w:t>
      </w:r>
      <w:r w:rsidR="00FF0074" w:rsidRPr="00273A3E">
        <w:rPr>
          <w:rFonts w:ascii="Times New Roman" w:hAnsi="Times New Roman"/>
          <w:b/>
          <w:bCs/>
          <w:lang w:val="lt-LT"/>
        </w:rPr>
        <w:t xml:space="preserve"> </w:t>
      </w:r>
      <w:r w:rsidRPr="00273A3E">
        <w:rPr>
          <w:rFonts w:ascii="Times New Roman" w:hAnsi="Times New Roman"/>
          <w:b/>
          <w:bCs/>
          <w:lang w:val="lt-LT"/>
        </w:rPr>
        <w:t>svarbiausių antrinių vertinamųjų baigčių duomenų santrauka</w:t>
      </w:r>
    </w:p>
    <w:p w14:paraId="2C599F75" w14:textId="77777777" w:rsidR="00E71A00" w:rsidRPr="00273A3E" w:rsidRDefault="00E71A00" w:rsidP="009F71ED">
      <w:pPr>
        <w:keepNext/>
        <w:tabs>
          <w:tab w:val="left" w:pos="567"/>
        </w:tabs>
        <w:spacing w:after="0" w:line="240" w:lineRule="auto"/>
        <w:rPr>
          <w:rFonts w:ascii="Times New Roman" w:hAnsi="Times New Roman"/>
          <w:b/>
          <w:bCs/>
          <w:lang w:val="lt-LT"/>
        </w:rPr>
      </w:pPr>
    </w:p>
    <w:tbl>
      <w:tblPr>
        <w:tblW w:w="5068" w:type="pct"/>
        <w:tblCellSpacing w:w="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1508"/>
        <w:gridCol w:w="1443"/>
        <w:gridCol w:w="1311"/>
        <w:gridCol w:w="1313"/>
        <w:gridCol w:w="1536"/>
        <w:gridCol w:w="1092"/>
        <w:gridCol w:w="1313"/>
      </w:tblGrid>
      <w:tr w:rsidR="00B420BE" w:rsidRPr="00490319" w14:paraId="3FBCE391" w14:textId="77777777" w:rsidTr="00B420BE">
        <w:trPr>
          <w:trHeight w:val="884"/>
          <w:tblCellSpacing w:w="0" w:type="dxa"/>
        </w:trPr>
        <w:tc>
          <w:tcPr>
            <w:tcW w:w="792" w:type="pct"/>
            <w:vMerge w:val="restart"/>
            <w:hideMark/>
          </w:tcPr>
          <w:p w14:paraId="05470859"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Kintamasis</w:t>
            </w:r>
          </w:p>
        </w:tc>
        <w:tc>
          <w:tcPr>
            <w:tcW w:w="758" w:type="pct"/>
            <w:vMerge w:val="restart"/>
            <w:hideMark/>
          </w:tcPr>
          <w:p w14:paraId="111804B1"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Vertinimo</w:t>
            </w:r>
          </w:p>
          <w:p w14:paraId="6178C347"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objektas;</w:t>
            </w:r>
          </w:p>
          <w:p w14:paraId="70E877D8"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lygintas</w:t>
            </w:r>
          </w:p>
          <w:p w14:paraId="214A9FBE"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rodiklis</w:t>
            </w:r>
          </w:p>
        </w:tc>
        <w:tc>
          <w:tcPr>
            <w:tcW w:w="689" w:type="pct"/>
            <w:vMerge w:val="restart"/>
            <w:hideMark/>
          </w:tcPr>
          <w:p w14:paraId="46DF02AE"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 xml:space="preserve">500 mg </w:t>
            </w:r>
            <w:proofErr w:type="spellStart"/>
            <w:r w:rsidRPr="00273A3E">
              <w:rPr>
                <w:rFonts w:ascii="Times New Roman" w:hAnsi="Times New Roman"/>
                <w:b/>
                <w:lang w:val="lt-LT"/>
              </w:rPr>
              <w:t>fulvestranto</w:t>
            </w:r>
            <w:proofErr w:type="spellEnd"/>
          </w:p>
          <w:p w14:paraId="7476B210"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362)</w:t>
            </w:r>
          </w:p>
        </w:tc>
        <w:tc>
          <w:tcPr>
            <w:tcW w:w="690" w:type="pct"/>
            <w:vMerge w:val="restart"/>
            <w:hideMark/>
          </w:tcPr>
          <w:p w14:paraId="0899FC63"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 xml:space="preserve">250 mg </w:t>
            </w:r>
            <w:proofErr w:type="spellStart"/>
            <w:r w:rsidRPr="00273A3E">
              <w:rPr>
                <w:rFonts w:ascii="Times New Roman" w:hAnsi="Times New Roman"/>
                <w:b/>
                <w:lang w:val="lt-LT"/>
              </w:rPr>
              <w:t>fulvestranto</w:t>
            </w:r>
            <w:proofErr w:type="spellEnd"/>
          </w:p>
          <w:p w14:paraId="16741D16"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374)</w:t>
            </w:r>
          </w:p>
        </w:tc>
        <w:tc>
          <w:tcPr>
            <w:tcW w:w="2072" w:type="pct"/>
            <w:gridSpan w:val="3"/>
            <w:hideMark/>
          </w:tcPr>
          <w:p w14:paraId="7F8C9487"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Grupių palyginimas</w:t>
            </w:r>
          </w:p>
          <w:p w14:paraId="4F2B0072"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 xml:space="preserve">(500 mg </w:t>
            </w:r>
            <w:proofErr w:type="spellStart"/>
            <w:r w:rsidRPr="00273A3E">
              <w:rPr>
                <w:rFonts w:ascii="Times New Roman" w:hAnsi="Times New Roman"/>
                <w:b/>
                <w:lang w:val="lt-LT"/>
              </w:rPr>
              <w:t>fulvestranto</w:t>
            </w:r>
            <w:proofErr w:type="spellEnd"/>
            <w:r w:rsidRPr="00273A3E">
              <w:rPr>
                <w:rFonts w:ascii="Times New Roman" w:hAnsi="Times New Roman"/>
                <w:b/>
                <w:lang w:val="lt-LT"/>
              </w:rPr>
              <w:t xml:space="preserve"> ir 250 mg </w:t>
            </w:r>
            <w:proofErr w:type="spellStart"/>
            <w:r w:rsidRPr="00273A3E">
              <w:rPr>
                <w:rFonts w:ascii="Times New Roman" w:hAnsi="Times New Roman"/>
                <w:b/>
                <w:lang w:val="lt-LT"/>
              </w:rPr>
              <w:t>fulvestranto</w:t>
            </w:r>
            <w:proofErr w:type="spellEnd"/>
            <w:r w:rsidRPr="00273A3E">
              <w:rPr>
                <w:rFonts w:ascii="Times New Roman" w:hAnsi="Times New Roman"/>
                <w:b/>
                <w:lang w:val="lt-LT"/>
              </w:rPr>
              <w:t>)</w:t>
            </w:r>
          </w:p>
        </w:tc>
      </w:tr>
      <w:tr w:rsidR="00B420BE" w:rsidRPr="00273A3E" w14:paraId="25055C1F" w14:textId="77777777" w:rsidTr="00B420BE">
        <w:trPr>
          <w:trHeight w:val="497"/>
          <w:tblCellSpacing w:w="0" w:type="dxa"/>
        </w:trPr>
        <w:tc>
          <w:tcPr>
            <w:tcW w:w="0" w:type="auto"/>
            <w:vMerge/>
            <w:vAlign w:val="center"/>
            <w:hideMark/>
          </w:tcPr>
          <w:p w14:paraId="4C72F676"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0" w:type="auto"/>
            <w:vMerge/>
            <w:vAlign w:val="center"/>
            <w:hideMark/>
          </w:tcPr>
          <w:p w14:paraId="7165DCF6"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0" w:type="auto"/>
            <w:vMerge/>
            <w:vAlign w:val="center"/>
            <w:hideMark/>
          </w:tcPr>
          <w:p w14:paraId="6BDAD03C"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0" w:type="auto"/>
            <w:vMerge/>
            <w:vAlign w:val="center"/>
            <w:hideMark/>
          </w:tcPr>
          <w:p w14:paraId="44738C33"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807" w:type="pct"/>
            <w:hideMark/>
          </w:tcPr>
          <w:p w14:paraId="1FD66ADA"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Santykinė rizika</w:t>
            </w:r>
          </w:p>
        </w:tc>
        <w:tc>
          <w:tcPr>
            <w:tcW w:w="574" w:type="pct"/>
            <w:hideMark/>
          </w:tcPr>
          <w:p w14:paraId="7FCDFD5D"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95 % PI</w:t>
            </w:r>
          </w:p>
        </w:tc>
        <w:tc>
          <w:tcPr>
            <w:tcW w:w="691" w:type="pct"/>
            <w:hideMark/>
          </w:tcPr>
          <w:p w14:paraId="1C7DE6A0"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p reikšmė</w:t>
            </w:r>
          </w:p>
        </w:tc>
      </w:tr>
      <w:tr w:rsidR="00B420BE" w:rsidRPr="00490319" w14:paraId="4CA6C488" w14:textId="77777777" w:rsidTr="00B420BE">
        <w:trPr>
          <w:tblCellSpacing w:w="0" w:type="dxa"/>
        </w:trPr>
        <w:tc>
          <w:tcPr>
            <w:tcW w:w="792" w:type="pct"/>
            <w:hideMark/>
          </w:tcPr>
          <w:p w14:paraId="59ABDC7D"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PFS</w:t>
            </w:r>
          </w:p>
        </w:tc>
        <w:tc>
          <w:tcPr>
            <w:tcW w:w="758" w:type="pct"/>
            <w:hideMark/>
          </w:tcPr>
          <w:p w14:paraId="31368F56"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K-M mediana mėnesiais; santykinė rizika</w:t>
            </w:r>
          </w:p>
        </w:tc>
        <w:tc>
          <w:tcPr>
            <w:tcW w:w="689" w:type="pct"/>
            <w:hideMark/>
          </w:tcPr>
          <w:p w14:paraId="1525AD9D"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690" w:type="pct"/>
            <w:hideMark/>
          </w:tcPr>
          <w:p w14:paraId="61820B91"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807" w:type="pct"/>
            <w:hideMark/>
          </w:tcPr>
          <w:p w14:paraId="5502A7F8"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574" w:type="pct"/>
            <w:hideMark/>
          </w:tcPr>
          <w:p w14:paraId="61F2BD51"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691" w:type="pct"/>
            <w:hideMark/>
          </w:tcPr>
          <w:p w14:paraId="3855BFAB"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r>
      <w:tr w:rsidR="00B420BE" w:rsidRPr="00273A3E" w14:paraId="7372A30E" w14:textId="77777777" w:rsidTr="00B420BE">
        <w:trPr>
          <w:tblCellSpacing w:w="0" w:type="dxa"/>
        </w:trPr>
        <w:tc>
          <w:tcPr>
            <w:tcW w:w="1549" w:type="pct"/>
            <w:gridSpan w:val="2"/>
            <w:hideMark/>
          </w:tcPr>
          <w:p w14:paraId="34CE8533"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Visos pacientės</w:t>
            </w:r>
          </w:p>
        </w:tc>
        <w:tc>
          <w:tcPr>
            <w:tcW w:w="689" w:type="pct"/>
            <w:hideMark/>
          </w:tcPr>
          <w:p w14:paraId="71D8CFAA"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6,5</w:t>
            </w:r>
          </w:p>
        </w:tc>
        <w:tc>
          <w:tcPr>
            <w:tcW w:w="690" w:type="pct"/>
            <w:hideMark/>
          </w:tcPr>
          <w:p w14:paraId="25A39A4E"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5,5</w:t>
            </w:r>
          </w:p>
        </w:tc>
        <w:tc>
          <w:tcPr>
            <w:tcW w:w="807" w:type="pct"/>
            <w:hideMark/>
          </w:tcPr>
          <w:p w14:paraId="10636B65"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0,80</w:t>
            </w:r>
          </w:p>
        </w:tc>
        <w:tc>
          <w:tcPr>
            <w:tcW w:w="574" w:type="pct"/>
            <w:hideMark/>
          </w:tcPr>
          <w:p w14:paraId="511BB8FD"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0,68; 0,94</w:t>
            </w:r>
          </w:p>
        </w:tc>
        <w:tc>
          <w:tcPr>
            <w:tcW w:w="691" w:type="pct"/>
            <w:hideMark/>
          </w:tcPr>
          <w:p w14:paraId="2F949DB3"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0,006</w:t>
            </w:r>
          </w:p>
        </w:tc>
      </w:tr>
      <w:tr w:rsidR="00B420BE" w:rsidRPr="00273A3E" w14:paraId="658051E6" w14:textId="77777777" w:rsidTr="00B420BE">
        <w:trPr>
          <w:tblCellSpacing w:w="0" w:type="dxa"/>
        </w:trPr>
        <w:tc>
          <w:tcPr>
            <w:tcW w:w="1549" w:type="pct"/>
            <w:gridSpan w:val="2"/>
            <w:hideMark/>
          </w:tcPr>
          <w:p w14:paraId="0FE657C9"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AE pogrupis (n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423)</w:t>
            </w:r>
          </w:p>
        </w:tc>
        <w:tc>
          <w:tcPr>
            <w:tcW w:w="689" w:type="pct"/>
            <w:hideMark/>
          </w:tcPr>
          <w:p w14:paraId="12C26BB3"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8,6</w:t>
            </w:r>
          </w:p>
        </w:tc>
        <w:tc>
          <w:tcPr>
            <w:tcW w:w="690" w:type="pct"/>
            <w:hideMark/>
          </w:tcPr>
          <w:p w14:paraId="47AA75EA"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5,8</w:t>
            </w:r>
          </w:p>
        </w:tc>
        <w:tc>
          <w:tcPr>
            <w:tcW w:w="807" w:type="pct"/>
            <w:hideMark/>
          </w:tcPr>
          <w:p w14:paraId="717A5B36"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0,76</w:t>
            </w:r>
          </w:p>
        </w:tc>
        <w:tc>
          <w:tcPr>
            <w:tcW w:w="574" w:type="pct"/>
            <w:hideMark/>
          </w:tcPr>
          <w:p w14:paraId="7E0A1236"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0,62; 0,94</w:t>
            </w:r>
          </w:p>
        </w:tc>
        <w:tc>
          <w:tcPr>
            <w:tcW w:w="691" w:type="pct"/>
            <w:hideMark/>
          </w:tcPr>
          <w:p w14:paraId="63699B86"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0,013</w:t>
            </w:r>
          </w:p>
        </w:tc>
      </w:tr>
      <w:tr w:rsidR="00B420BE" w:rsidRPr="00273A3E" w14:paraId="7EDF694A" w14:textId="77777777" w:rsidTr="00B420BE">
        <w:trPr>
          <w:tblCellSpacing w:w="0" w:type="dxa"/>
        </w:trPr>
        <w:tc>
          <w:tcPr>
            <w:tcW w:w="1549" w:type="pct"/>
            <w:gridSpan w:val="2"/>
            <w:hideMark/>
          </w:tcPr>
          <w:p w14:paraId="06D2C5D1"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AI pogrupis (n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313)</w:t>
            </w:r>
            <w:r w:rsidRPr="00273A3E">
              <w:rPr>
                <w:rFonts w:ascii="Times New Roman" w:hAnsi="Times New Roman"/>
                <w:b/>
                <w:vertAlign w:val="superscript"/>
                <w:lang w:val="lt-LT"/>
              </w:rPr>
              <w:t>a</w:t>
            </w:r>
          </w:p>
        </w:tc>
        <w:tc>
          <w:tcPr>
            <w:tcW w:w="689" w:type="pct"/>
            <w:hideMark/>
          </w:tcPr>
          <w:p w14:paraId="5EFB8D8F"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5,4</w:t>
            </w:r>
          </w:p>
        </w:tc>
        <w:tc>
          <w:tcPr>
            <w:tcW w:w="690" w:type="pct"/>
            <w:hideMark/>
          </w:tcPr>
          <w:p w14:paraId="73728E59"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4,1</w:t>
            </w:r>
          </w:p>
        </w:tc>
        <w:tc>
          <w:tcPr>
            <w:tcW w:w="807" w:type="pct"/>
            <w:hideMark/>
          </w:tcPr>
          <w:p w14:paraId="0CCBDFA6"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0,85</w:t>
            </w:r>
          </w:p>
        </w:tc>
        <w:tc>
          <w:tcPr>
            <w:tcW w:w="574" w:type="pct"/>
            <w:hideMark/>
          </w:tcPr>
          <w:p w14:paraId="044FABC4"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0,67; 1,08</w:t>
            </w:r>
          </w:p>
        </w:tc>
        <w:tc>
          <w:tcPr>
            <w:tcW w:w="691" w:type="pct"/>
            <w:hideMark/>
          </w:tcPr>
          <w:p w14:paraId="7F7D241D"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0,195</w:t>
            </w:r>
          </w:p>
        </w:tc>
      </w:tr>
      <w:tr w:rsidR="00B420BE" w:rsidRPr="00490319" w14:paraId="5275C1AA" w14:textId="77777777" w:rsidTr="00B420BE">
        <w:trPr>
          <w:tblCellSpacing w:w="0" w:type="dxa"/>
        </w:trPr>
        <w:tc>
          <w:tcPr>
            <w:tcW w:w="792" w:type="pct"/>
            <w:hideMark/>
          </w:tcPr>
          <w:p w14:paraId="5BD7265B"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xml:space="preserve">OS </w:t>
            </w:r>
            <w:r w:rsidRPr="00273A3E">
              <w:rPr>
                <w:rFonts w:ascii="Times New Roman" w:hAnsi="Times New Roman"/>
                <w:b/>
                <w:vertAlign w:val="superscript"/>
                <w:lang w:val="lt-LT"/>
              </w:rPr>
              <w:t>b</w:t>
            </w:r>
          </w:p>
        </w:tc>
        <w:tc>
          <w:tcPr>
            <w:tcW w:w="758" w:type="pct"/>
            <w:hideMark/>
          </w:tcPr>
          <w:p w14:paraId="67E74F3E"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K-M mediana mėnesiais; santykinė rizika</w:t>
            </w:r>
          </w:p>
        </w:tc>
        <w:tc>
          <w:tcPr>
            <w:tcW w:w="689" w:type="pct"/>
            <w:hideMark/>
          </w:tcPr>
          <w:p w14:paraId="2FD7E3BA"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690" w:type="pct"/>
            <w:hideMark/>
          </w:tcPr>
          <w:p w14:paraId="0848271F"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807" w:type="pct"/>
            <w:hideMark/>
          </w:tcPr>
          <w:p w14:paraId="53118DDA"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574" w:type="pct"/>
            <w:hideMark/>
          </w:tcPr>
          <w:p w14:paraId="637BC9DF"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691" w:type="pct"/>
            <w:hideMark/>
          </w:tcPr>
          <w:p w14:paraId="1EFC5C83"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r>
      <w:tr w:rsidR="00B420BE" w:rsidRPr="00273A3E" w14:paraId="1921C672" w14:textId="77777777" w:rsidTr="00B420BE">
        <w:trPr>
          <w:tblCellSpacing w:w="0" w:type="dxa"/>
        </w:trPr>
        <w:tc>
          <w:tcPr>
            <w:tcW w:w="792" w:type="pct"/>
            <w:hideMark/>
          </w:tcPr>
          <w:p w14:paraId="0A9379D1" w14:textId="77777777" w:rsidR="00B420BE" w:rsidRPr="00273A3E" w:rsidRDefault="00B420BE" w:rsidP="009F71ED">
            <w:pPr>
              <w:keepNext/>
              <w:keepLines/>
              <w:tabs>
                <w:tab w:val="left" w:pos="284"/>
                <w:tab w:val="left" w:pos="567"/>
              </w:tabs>
              <w:spacing w:after="0" w:line="240" w:lineRule="auto"/>
              <w:contextualSpacing/>
              <w:rPr>
                <w:rFonts w:ascii="Times New Roman" w:hAnsi="Times New Roman"/>
                <w:b/>
                <w:lang w:val="lt-LT"/>
              </w:rPr>
            </w:pPr>
            <w:r w:rsidRPr="00273A3E">
              <w:rPr>
                <w:rFonts w:ascii="Times New Roman" w:hAnsi="Times New Roman"/>
                <w:b/>
                <w:lang w:val="lt-LT"/>
              </w:rPr>
              <w:t xml:space="preserve">Visos pacientės </w:t>
            </w:r>
          </w:p>
        </w:tc>
        <w:tc>
          <w:tcPr>
            <w:tcW w:w="758" w:type="pct"/>
            <w:hideMark/>
          </w:tcPr>
          <w:p w14:paraId="56B4FF59"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689" w:type="pct"/>
            <w:hideMark/>
          </w:tcPr>
          <w:p w14:paraId="78B4CA8D"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26,4</w:t>
            </w:r>
          </w:p>
        </w:tc>
        <w:tc>
          <w:tcPr>
            <w:tcW w:w="690" w:type="pct"/>
            <w:hideMark/>
          </w:tcPr>
          <w:p w14:paraId="4ACB7F87"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22,3</w:t>
            </w:r>
          </w:p>
        </w:tc>
        <w:tc>
          <w:tcPr>
            <w:tcW w:w="807" w:type="pct"/>
            <w:hideMark/>
          </w:tcPr>
          <w:p w14:paraId="7BE84511"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0,81</w:t>
            </w:r>
          </w:p>
        </w:tc>
        <w:tc>
          <w:tcPr>
            <w:tcW w:w="574" w:type="pct"/>
            <w:hideMark/>
          </w:tcPr>
          <w:p w14:paraId="18AE9404"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0,69; 0,96</w:t>
            </w:r>
          </w:p>
        </w:tc>
        <w:tc>
          <w:tcPr>
            <w:tcW w:w="691" w:type="pct"/>
            <w:hideMark/>
          </w:tcPr>
          <w:p w14:paraId="7C711439"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0,016</w:t>
            </w:r>
            <w:r w:rsidRPr="00273A3E">
              <w:rPr>
                <w:rFonts w:ascii="Times New Roman" w:hAnsi="Times New Roman"/>
                <w:bCs/>
                <w:vertAlign w:val="superscript"/>
                <w:lang w:val="lt-LT"/>
              </w:rPr>
              <w:t>c</w:t>
            </w:r>
          </w:p>
        </w:tc>
      </w:tr>
      <w:tr w:rsidR="00B420BE" w:rsidRPr="00273A3E" w14:paraId="724E5085" w14:textId="77777777" w:rsidTr="00B420BE">
        <w:trPr>
          <w:tblCellSpacing w:w="0" w:type="dxa"/>
        </w:trPr>
        <w:tc>
          <w:tcPr>
            <w:tcW w:w="1549" w:type="pct"/>
            <w:gridSpan w:val="2"/>
            <w:hideMark/>
          </w:tcPr>
          <w:p w14:paraId="3FC6C115"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AE pogrupis (n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 xml:space="preserve">423) </w:t>
            </w:r>
          </w:p>
        </w:tc>
        <w:tc>
          <w:tcPr>
            <w:tcW w:w="689" w:type="pct"/>
            <w:hideMark/>
          </w:tcPr>
          <w:p w14:paraId="46EA08E9"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30,6</w:t>
            </w:r>
          </w:p>
        </w:tc>
        <w:tc>
          <w:tcPr>
            <w:tcW w:w="690" w:type="pct"/>
            <w:hideMark/>
          </w:tcPr>
          <w:p w14:paraId="1B64BB06"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23,9</w:t>
            </w:r>
          </w:p>
        </w:tc>
        <w:tc>
          <w:tcPr>
            <w:tcW w:w="807" w:type="pct"/>
            <w:hideMark/>
          </w:tcPr>
          <w:p w14:paraId="026789A2"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0,79</w:t>
            </w:r>
          </w:p>
        </w:tc>
        <w:tc>
          <w:tcPr>
            <w:tcW w:w="574" w:type="pct"/>
            <w:hideMark/>
          </w:tcPr>
          <w:p w14:paraId="5917C505"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0,63; 0,99</w:t>
            </w:r>
          </w:p>
        </w:tc>
        <w:tc>
          <w:tcPr>
            <w:tcW w:w="691" w:type="pct"/>
            <w:hideMark/>
          </w:tcPr>
          <w:p w14:paraId="7FEE415C"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0,038</w:t>
            </w:r>
            <w:r w:rsidRPr="00273A3E">
              <w:rPr>
                <w:rFonts w:ascii="Times New Roman" w:hAnsi="Times New Roman"/>
                <w:bCs/>
                <w:vertAlign w:val="superscript"/>
                <w:lang w:val="lt-LT"/>
              </w:rPr>
              <w:t>c</w:t>
            </w:r>
          </w:p>
        </w:tc>
      </w:tr>
      <w:tr w:rsidR="00B420BE" w:rsidRPr="00273A3E" w14:paraId="255FF720" w14:textId="77777777" w:rsidTr="00B420BE">
        <w:trPr>
          <w:trHeight w:val="516"/>
          <w:tblCellSpacing w:w="0" w:type="dxa"/>
        </w:trPr>
        <w:tc>
          <w:tcPr>
            <w:tcW w:w="1549" w:type="pct"/>
            <w:gridSpan w:val="2"/>
            <w:hideMark/>
          </w:tcPr>
          <w:p w14:paraId="4173DFF3"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AI pogrupis (n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313)</w:t>
            </w:r>
            <w:r w:rsidRPr="00273A3E">
              <w:rPr>
                <w:rFonts w:ascii="Times New Roman" w:hAnsi="Times New Roman"/>
                <w:b/>
                <w:vertAlign w:val="superscript"/>
                <w:lang w:val="lt-LT"/>
              </w:rPr>
              <w:t>a</w:t>
            </w:r>
          </w:p>
        </w:tc>
        <w:tc>
          <w:tcPr>
            <w:tcW w:w="689" w:type="pct"/>
            <w:hideMark/>
          </w:tcPr>
          <w:p w14:paraId="15633AD5"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24,1</w:t>
            </w:r>
          </w:p>
        </w:tc>
        <w:tc>
          <w:tcPr>
            <w:tcW w:w="690" w:type="pct"/>
            <w:hideMark/>
          </w:tcPr>
          <w:p w14:paraId="1AD4B0C8"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20,8</w:t>
            </w:r>
          </w:p>
        </w:tc>
        <w:tc>
          <w:tcPr>
            <w:tcW w:w="807" w:type="pct"/>
            <w:hideMark/>
          </w:tcPr>
          <w:p w14:paraId="6C8EB35B"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0,86</w:t>
            </w:r>
          </w:p>
        </w:tc>
        <w:tc>
          <w:tcPr>
            <w:tcW w:w="574" w:type="pct"/>
            <w:hideMark/>
          </w:tcPr>
          <w:p w14:paraId="3983ADEF"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0,67; 1,11</w:t>
            </w:r>
          </w:p>
        </w:tc>
        <w:tc>
          <w:tcPr>
            <w:tcW w:w="691" w:type="pct"/>
            <w:hideMark/>
          </w:tcPr>
          <w:p w14:paraId="0BB477AE"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0,241</w:t>
            </w:r>
            <w:r w:rsidRPr="00273A3E">
              <w:rPr>
                <w:rFonts w:ascii="Times New Roman" w:hAnsi="Times New Roman"/>
                <w:bCs/>
                <w:vertAlign w:val="superscript"/>
                <w:lang w:val="lt-LT"/>
              </w:rPr>
              <w:t>c</w:t>
            </w:r>
          </w:p>
        </w:tc>
      </w:tr>
      <w:tr w:rsidR="00B420BE" w:rsidRPr="00490319" w14:paraId="7569078D" w14:textId="77777777" w:rsidTr="00B420BE">
        <w:trPr>
          <w:trHeight w:val="922"/>
          <w:tblCellSpacing w:w="0" w:type="dxa"/>
        </w:trPr>
        <w:tc>
          <w:tcPr>
            <w:tcW w:w="792" w:type="pct"/>
            <w:vMerge w:val="restart"/>
            <w:hideMark/>
          </w:tcPr>
          <w:p w14:paraId="6D9840D8" w14:textId="77777777" w:rsidR="00B420BE" w:rsidRPr="00273A3E" w:rsidRDefault="00B420BE" w:rsidP="009F71ED">
            <w:pPr>
              <w:keepNext/>
              <w:keepLines/>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xml:space="preserve">Kintamasis </w:t>
            </w:r>
          </w:p>
        </w:tc>
        <w:tc>
          <w:tcPr>
            <w:tcW w:w="758" w:type="pct"/>
            <w:vMerge w:val="restart"/>
            <w:hideMark/>
          </w:tcPr>
          <w:p w14:paraId="04FC7D7B" w14:textId="77777777" w:rsidR="00B420BE" w:rsidRPr="00273A3E" w:rsidRDefault="00B420BE" w:rsidP="009F71ED">
            <w:pPr>
              <w:keepNext/>
              <w:keepLines/>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Vertinimo</w:t>
            </w:r>
          </w:p>
          <w:p w14:paraId="65669772"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objektas;</w:t>
            </w:r>
          </w:p>
          <w:p w14:paraId="2BCCE05C"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lygintas</w:t>
            </w:r>
          </w:p>
          <w:p w14:paraId="6DC7EB22"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rodiklis</w:t>
            </w:r>
          </w:p>
        </w:tc>
        <w:tc>
          <w:tcPr>
            <w:tcW w:w="689" w:type="pct"/>
            <w:vMerge w:val="restart"/>
            <w:hideMark/>
          </w:tcPr>
          <w:p w14:paraId="29945CA8" w14:textId="77777777" w:rsidR="00B420BE" w:rsidRPr="00273A3E" w:rsidRDefault="00B420BE" w:rsidP="009F71ED">
            <w:pPr>
              <w:keepNext/>
              <w:keepLines/>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 xml:space="preserve">500 mg </w:t>
            </w:r>
            <w:proofErr w:type="spellStart"/>
            <w:r w:rsidRPr="00273A3E">
              <w:rPr>
                <w:rFonts w:ascii="Times New Roman" w:hAnsi="Times New Roman"/>
                <w:b/>
                <w:lang w:val="lt-LT"/>
              </w:rPr>
              <w:t>fulvestranto</w:t>
            </w:r>
            <w:proofErr w:type="spellEnd"/>
          </w:p>
          <w:p w14:paraId="3BB362B0"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362)</w:t>
            </w:r>
          </w:p>
        </w:tc>
        <w:tc>
          <w:tcPr>
            <w:tcW w:w="690" w:type="pct"/>
            <w:vMerge w:val="restart"/>
            <w:hideMark/>
          </w:tcPr>
          <w:p w14:paraId="6BDDC29E" w14:textId="77777777" w:rsidR="00B420BE" w:rsidRPr="00273A3E" w:rsidRDefault="00B420BE" w:rsidP="009F71ED">
            <w:pPr>
              <w:keepNext/>
              <w:keepLines/>
              <w:tabs>
                <w:tab w:val="left" w:pos="0"/>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 xml:space="preserve">250 mg </w:t>
            </w:r>
            <w:proofErr w:type="spellStart"/>
            <w:r w:rsidRPr="00273A3E">
              <w:rPr>
                <w:rFonts w:ascii="Times New Roman" w:hAnsi="Times New Roman"/>
                <w:b/>
                <w:lang w:val="lt-LT"/>
              </w:rPr>
              <w:t>fulvestranto</w:t>
            </w:r>
            <w:proofErr w:type="spellEnd"/>
          </w:p>
          <w:p w14:paraId="35800895"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374)</w:t>
            </w:r>
          </w:p>
        </w:tc>
        <w:tc>
          <w:tcPr>
            <w:tcW w:w="2072" w:type="pct"/>
            <w:gridSpan w:val="3"/>
            <w:hideMark/>
          </w:tcPr>
          <w:p w14:paraId="0BD6063D"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Grupių palyginimas</w:t>
            </w:r>
          </w:p>
          <w:p w14:paraId="2CB9F7ED" w14:textId="77777777" w:rsidR="00B420BE" w:rsidRPr="00273A3E" w:rsidRDefault="00B420BE" w:rsidP="009F71ED">
            <w:pPr>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 xml:space="preserve">(500 mg </w:t>
            </w:r>
            <w:proofErr w:type="spellStart"/>
            <w:r w:rsidRPr="00273A3E">
              <w:rPr>
                <w:rFonts w:ascii="Times New Roman" w:hAnsi="Times New Roman"/>
                <w:b/>
                <w:lang w:val="lt-LT"/>
              </w:rPr>
              <w:t>fulvestranto</w:t>
            </w:r>
            <w:proofErr w:type="spellEnd"/>
            <w:r w:rsidRPr="00273A3E">
              <w:rPr>
                <w:rFonts w:ascii="Times New Roman" w:hAnsi="Times New Roman"/>
                <w:b/>
                <w:lang w:val="lt-LT"/>
              </w:rPr>
              <w:t xml:space="preserve"> ir 250 mg </w:t>
            </w:r>
            <w:proofErr w:type="spellStart"/>
            <w:r w:rsidRPr="00273A3E">
              <w:rPr>
                <w:rFonts w:ascii="Times New Roman" w:hAnsi="Times New Roman"/>
                <w:b/>
                <w:lang w:val="lt-LT"/>
              </w:rPr>
              <w:t>fulvestranto</w:t>
            </w:r>
            <w:proofErr w:type="spellEnd"/>
            <w:r w:rsidRPr="00273A3E">
              <w:rPr>
                <w:rFonts w:ascii="Times New Roman" w:hAnsi="Times New Roman"/>
                <w:b/>
                <w:lang w:val="lt-LT"/>
              </w:rPr>
              <w:t>)</w:t>
            </w:r>
          </w:p>
        </w:tc>
      </w:tr>
      <w:tr w:rsidR="00B420BE" w:rsidRPr="00273A3E" w14:paraId="1CD8E151" w14:textId="77777777" w:rsidTr="00B420BE">
        <w:trPr>
          <w:tblCellSpacing w:w="0" w:type="dxa"/>
        </w:trPr>
        <w:tc>
          <w:tcPr>
            <w:tcW w:w="0" w:type="auto"/>
            <w:vMerge/>
            <w:vAlign w:val="center"/>
            <w:hideMark/>
          </w:tcPr>
          <w:p w14:paraId="59539EDD"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0" w:type="auto"/>
            <w:vMerge/>
            <w:vAlign w:val="center"/>
            <w:hideMark/>
          </w:tcPr>
          <w:p w14:paraId="78025AD3"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0" w:type="auto"/>
            <w:vMerge/>
            <w:vAlign w:val="center"/>
            <w:hideMark/>
          </w:tcPr>
          <w:p w14:paraId="0D6348FE"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0" w:type="auto"/>
            <w:vMerge/>
            <w:vAlign w:val="center"/>
            <w:hideMark/>
          </w:tcPr>
          <w:p w14:paraId="34F3E0F6"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807" w:type="pct"/>
            <w:hideMark/>
          </w:tcPr>
          <w:p w14:paraId="0B0A090C" w14:textId="77777777" w:rsidR="00B420BE" w:rsidRPr="00273A3E" w:rsidRDefault="00B420BE" w:rsidP="009F71ED">
            <w:pPr>
              <w:keepNext/>
              <w:keepLines/>
              <w:tabs>
                <w:tab w:val="left" w:pos="134"/>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Absoliutus skirtumas %</w:t>
            </w:r>
          </w:p>
        </w:tc>
        <w:tc>
          <w:tcPr>
            <w:tcW w:w="574" w:type="pct"/>
            <w:hideMark/>
          </w:tcPr>
          <w:p w14:paraId="1B09D65F" w14:textId="77777777" w:rsidR="00B420BE" w:rsidRPr="00273A3E" w:rsidRDefault="00B420BE" w:rsidP="009F71ED">
            <w:pPr>
              <w:keepNext/>
              <w:keepLines/>
              <w:tabs>
                <w:tab w:val="left" w:pos="567"/>
              </w:tabs>
              <w:spacing w:after="0" w:line="240" w:lineRule="auto"/>
              <w:contextualSpacing/>
              <w:jc w:val="center"/>
              <w:rPr>
                <w:rFonts w:ascii="Times New Roman" w:hAnsi="Times New Roman"/>
                <w:b/>
                <w:lang w:val="lt-LT"/>
              </w:rPr>
            </w:pPr>
            <w:r w:rsidRPr="00273A3E">
              <w:rPr>
                <w:rFonts w:ascii="Times New Roman" w:hAnsi="Times New Roman"/>
                <w:b/>
                <w:lang w:val="lt-LT"/>
              </w:rPr>
              <w:t>95 % PI</w:t>
            </w:r>
          </w:p>
        </w:tc>
        <w:tc>
          <w:tcPr>
            <w:tcW w:w="691" w:type="pct"/>
            <w:hideMark/>
          </w:tcPr>
          <w:p w14:paraId="6371B926"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r>
      <w:tr w:rsidR="00B420BE" w:rsidRPr="00273A3E" w14:paraId="677B840C" w14:textId="77777777" w:rsidTr="00B420BE">
        <w:trPr>
          <w:tblCellSpacing w:w="0" w:type="dxa"/>
        </w:trPr>
        <w:tc>
          <w:tcPr>
            <w:tcW w:w="792" w:type="pct"/>
            <w:hideMark/>
          </w:tcPr>
          <w:p w14:paraId="4748933A"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lastRenderedPageBreak/>
              <w:t xml:space="preserve">ORR </w:t>
            </w:r>
            <w:r w:rsidRPr="00273A3E">
              <w:rPr>
                <w:rFonts w:ascii="Times New Roman" w:hAnsi="Times New Roman"/>
                <w:b/>
                <w:vertAlign w:val="superscript"/>
                <w:lang w:val="lt-LT"/>
              </w:rPr>
              <w:t>d</w:t>
            </w:r>
          </w:p>
        </w:tc>
        <w:tc>
          <w:tcPr>
            <w:tcW w:w="758" w:type="pct"/>
            <w:hideMark/>
          </w:tcPr>
          <w:p w14:paraId="4644F7C1" w14:textId="77777777" w:rsidR="00B420BE" w:rsidRPr="00273A3E" w:rsidRDefault="00B420BE" w:rsidP="009F71ED">
            <w:pPr>
              <w:keepNext/>
              <w:keepLines/>
              <w:tabs>
                <w:tab w:val="left" w:pos="0"/>
                <w:tab w:val="left" w:pos="567"/>
              </w:tabs>
              <w:spacing w:after="0" w:line="240" w:lineRule="auto"/>
              <w:contextualSpacing/>
              <w:rPr>
                <w:rFonts w:ascii="Times New Roman" w:hAnsi="Times New Roman"/>
                <w:b/>
                <w:lang w:val="lt-LT"/>
              </w:rPr>
            </w:pPr>
            <w:r w:rsidRPr="00273A3E">
              <w:rPr>
                <w:rFonts w:ascii="Times New Roman" w:hAnsi="Times New Roman"/>
                <w:b/>
                <w:lang w:val="lt-LT"/>
              </w:rPr>
              <w:t>% pacienčių patyrusių OR; absoliutus skirtumas %</w:t>
            </w:r>
          </w:p>
        </w:tc>
        <w:tc>
          <w:tcPr>
            <w:tcW w:w="689" w:type="pct"/>
            <w:hideMark/>
          </w:tcPr>
          <w:p w14:paraId="5EE17F3A"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690" w:type="pct"/>
            <w:hideMark/>
          </w:tcPr>
          <w:p w14:paraId="0BDAC54A"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807" w:type="pct"/>
            <w:hideMark/>
          </w:tcPr>
          <w:p w14:paraId="62CF6CF7"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574" w:type="pct"/>
            <w:hideMark/>
          </w:tcPr>
          <w:p w14:paraId="4A942BB4"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691" w:type="pct"/>
            <w:hideMark/>
          </w:tcPr>
          <w:p w14:paraId="315D686A"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r>
      <w:tr w:rsidR="00B420BE" w:rsidRPr="00273A3E" w14:paraId="362ACC04" w14:textId="77777777" w:rsidTr="00B420BE">
        <w:trPr>
          <w:tblCellSpacing w:w="0" w:type="dxa"/>
        </w:trPr>
        <w:tc>
          <w:tcPr>
            <w:tcW w:w="1549" w:type="pct"/>
            <w:gridSpan w:val="2"/>
            <w:hideMark/>
          </w:tcPr>
          <w:p w14:paraId="08859C86" w14:textId="77777777" w:rsidR="00B420BE" w:rsidRPr="00273A3E" w:rsidRDefault="00B420BE" w:rsidP="009F71ED">
            <w:pPr>
              <w:keepNext/>
              <w:keepLines/>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xml:space="preserve">Visos pacientės </w:t>
            </w:r>
          </w:p>
        </w:tc>
        <w:tc>
          <w:tcPr>
            <w:tcW w:w="689" w:type="pct"/>
            <w:hideMark/>
          </w:tcPr>
          <w:p w14:paraId="08D28432"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13,8</w:t>
            </w:r>
          </w:p>
        </w:tc>
        <w:tc>
          <w:tcPr>
            <w:tcW w:w="690" w:type="pct"/>
            <w:hideMark/>
          </w:tcPr>
          <w:p w14:paraId="0F261888"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14,6</w:t>
            </w:r>
          </w:p>
        </w:tc>
        <w:tc>
          <w:tcPr>
            <w:tcW w:w="807" w:type="pct"/>
            <w:hideMark/>
          </w:tcPr>
          <w:p w14:paraId="4387CCE2"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-0,8</w:t>
            </w:r>
          </w:p>
        </w:tc>
        <w:tc>
          <w:tcPr>
            <w:tcW w:w="574" w:type="pct"/>
            <w:hideMark/>
          </w:tcPr>
          <w:p w14:paraId="4BCBCBC6"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-5,8; 6,3</w:t>
            </w:r>
          </w:p>
        </w:tc>
        <w:tc>
          <w:tcPr>
            <w:tcW w:w="691" w:type="pct"/>
            <w:hideMark/>
          </w:tcPr>
          <w:p w14:paraId="64554451"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r>
      <w:tr w:rsidR="00B420BE" w:rsidRPr="00273A3E" w14:paraId="2B03B967" w14:textId="77777777" w:rsidTr="00B420BE">
        <w:trPr>
          <w:tblCellSpacing w:w="0" w:type="dxa"/>
        </w:trPr>
        <w:tc>
          <w:tcPr>
            <w:tcW w:w="1549" w:type="pct"/>
            <w:gridSpan w:val="2"/>
            <w:hideMark/>
          </w:tcPr>
          <w:p w14:paraId="22E18135"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AE pogrupis (n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 xml:space="preserve">296) </w:t>
            </w:r>
          </w:p>
        </w:tc>
        <w:tc>
          <w:tcPr>
            <w:tcW w:w="689" w:type="pct"/>
            <w:hideMark/>
          </w:tcPr>
          <w:p w14:paraId="40269A3B"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18,1</w:t>
            </w:r>
          </w:p>
        </w:tc>
        <w:tc>
          <w:tcPr>
            <w:tcW w:w="690" w:type="pct"/>
            <w:hideMark/>
          </w:tcPr>
          <w:p w14:paraId="23F7AA51"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19,1</w:t>
            </w:r>
          </w:p>
        </w:tc>
        <w:tc>
          <w:tcPr>
            <w:tcW w:w="807" w:type="pct"/>
            <w:hideMark/>
          </w:tcPr>
          <w:p w14:paraId="6F4DB9F1"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-1,0</w:t>
            </w:r>
          </w:p>
        </w:tc>
        <w:tc>
          <w:tcPr>
            <w:tcW w:w="574" w:type="pct"/>
            <w:hideMark/>
          </w:tcPr>
          <w:p w14:paraId="13E34E8F"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-8,2; 9,3</w:t>
            </w:r>
          </w:p>
        </w:tc>
        <w:tc>
          <w:tcPr>
            <w:tcW w:w="691" w:type="pct"/>
            <w:hideMark/>
          </w:tcPr>
          <w:p w14:paraId="12498F1B"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r>
      <w:tr w:rsidR="00B420BE" w:rsidRPr="00273A3E" w14:paraId="35966009" w14:textId="77777777" w:rsidTr="00B420BE">
        <w:trPr>
          <w:tblCellSpacing w:w="0" w:type="dxa"/>
        </w:trPr>
        <w:tc>
          <w:tcPr>
            <w:tcW w:w="1549" w:type="pct"/>
            <w:gridSpan w:val="2"/>
            <w:hideMark/>
          </w:tcPr>
          <w:p w14:paraId="48EC7FE8"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AI pogrupis (n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205)</w:t>
            </w:r>
            <w:r w:rsidRPr="00273A3E">
              <w:rPr>
                <w:rFonts w:ascii="Times New Roman" w:hAnsi="Times New Roman"/>
                <w:b/>
                <w:vertAlign w:val="superscript"/>
                <w:lang w:val="lt-LT"/>
              </w:rPr>
              <w:t>a</w:t>
            </w:r>
          </w:p>
        </w:tc>
        <w:tc>
          <w:tcPr>
            <w:tcW w:w="689" w:type="pct"/>
            <w:hideMark/>
          </w:tcPr>
          <w:p w14:paraId="33F3B8CE" w14:textId="77777777" w:rsidR="00B420BE" w:rsidRPr="00273A3E" w:rsidRDefault="00B420BE" w:rsidP="009F71ED">
            <w:pPr>
              <w:tabs>
                <w:tab w:val="left" w:pos="567"/>
              </w:tabs>
              <w:spacing w:after="0" w:line="240" w:lineRule="auto"/>
              <w:contextualSpacing/>
              <w:jc w:val="center"/>
              <w:rPr>
                <w:rFonts w:ascii="Times New Roman" w:hAnsi="Times New Roman"/>
                <w:bCs/>
                <w:lang w:val="lt-LT"/>
              </w:rPr>
            </w:pPr>
            <w:r w:rsidRPr="00273A3E">
              <w:rPr>
                <w:rFonts w:ascii="Times New Roman" w:hAnsi="Times New Roman"/>
                <w:bCs/>
                <w:lang w:val="lt-LT"/>
              </w:rPr>
              <w:t>7,3</w:t>
            </w:r>
          </w:p>
        </w:tc>
        <w:tc>
          <w:tcPr>
            <w:tcW w:w="690" w:type="pct"/>
            <w:hideMark/>
          </w:tcPr>
          <w:p w14:paraId="2805824A"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8,3</w:t>
            </w:r>
          </w:p>
        </w:tc>
        <w:tc>
          <w:tcPr>
            <w:tcW w:w="807" w:type="pct"/>
            <w:hideMark/>
          </w:tcPr>
          <w:p w14:paraId="76642759"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-1,0</w:t>
            </w:r>
          </w:p>
        </w:tc>
        <w:tc>
          <w:tcPr>
            <w:tcW w:w="574" w:type="pct"/>
            <w:hideMark/>
          </w:tcPr>
          <w:p w14:paraId="7B4672B2"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-5,5; 9,8</w:t>
            </w:r>
          </w:p>
        </w:tc>
        <w:tc>
          <w:tcPr>
            <w:tcW w:w="691" w:type="pct"/>
            <w:hideMark/>
          </w:tcPr>
          <w:p w14:paraId="58AB101F"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r>
      <w:tr w:rsidR="00B420BE" w:rsidRPr="00273A3E" w14:paraId="1C5D5217" w14:textId="77777777" w:rsidTr="00B420BE">
        <w:trPr>
          <w:tblCellSpacing w:w="0" w:type="dxa"/>
        </w:trPr>
        <w:tc>
          <w:tcPr>
            <w:tcW w:w="792" w:type="pct"/>
            <w:hideMark/>
          </w:tcPr>
          <w:p w14:paraId="64EF0CE3"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xml:space="preserve">CBR </w:t>
            </w:r>
            <w:r w:rsidRPr="00273A3E">
              <w:rPr>
                <w:rFonts w:ascii="Times New Roman" w:hAnsi="Times New Roman"/>
                <w:b/>
                <w:vertAlign w:val="superscript"/>
                <w:lang w:val="lt-LT"/>
              </w:rPr>
              <w:t>e</w:t>
            </w:r>
          </w:p>
        </w:tc>
        <w:tc>
          <w:tcPr>
            <w:tcW w:w="758" w:type="pct"/>
            <w:hideMark/>
          </w:tcPr>
          <w:p w14:paraId="41CE5594" w14:textId="77777777" w:rsidR="00B420BE" w:rsidRPr="00273A3E" w:rsidRDefault="00B420BE" w:rsidP="009F71ED">
            <w:pPr>
              <w:keepNext/>
              <w:keepLines/>
              <w:tabs>
                <w:tab w:val="left" w:pos="0"/>
                <w:tab w:val="left" w:pos="567"/>
              </w:tabs>
              <w:spacing w:after="0" w:line="240" w:lineRule="auto"/>
              <w:contextualSpacing/>
              <w:rPr>
                <w:rFonts w:ascii="Times New Roman" w:hAnsi="Times New Roman"/>
                <w:b/>
                <w:lang w:val="lt-LT"/>
              </w:rPr>
            </w:pPr>
            <w:r w:rsidRPr="00273A3E">
              <w:rPr>
                <w:rFonts w:ascii="Times New Roman" w:hAnsi="Times New Roman"/>
                <w:b/>
                <w:lang w:val="lt-LT"/>
              </w:rPr>
              <w:t xml:space="preserve">% pacienčių patyrusių CB; absoliutus skirtumas % </w:t>
            </w:r>
          </w:p>
        </w:tc>
        <w:tc>
          <w:tcPr>
            <w:tcW w:w="689" w:type="pct"/>
            <w:hideMark/>
          </w:tcPr>
          <w:p w14:paraId="23B5E4EF"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690" w:type="pct"/>
            <w:hideMark/>
          </w:tcPr>
          <w:p w14:paraId="141C7A52"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807" w:type="pct"/>
            <w:hideMark/>
          </w:tcPr>
          <w:p w14:paraId="238D58EF"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574" w:type="pct"/>
            <w:hideMark/>
          </w:tcPr>
          <w:p w14:paraId="009984B2"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c>
          <w:tcPr>
            <w:tcW w:w="691" w:type="pct"/>
            <w:hideMark/>
          </w:tcPr>
          <w:p w14:paraId="1C84592A"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r>
      <w:tr w:rsidR="00B420BE" w:rsidRPr="00273A3E" w14:paraId="236F595A" w14:textId="77777777" w:rsidTr="00B420BE">
        <w:trPr>
          <w:tblCellSpacing w:w="0" w:type="dxa"/>
        </w:trPr>
        <w:tc>
          <w:tcPr>
            <w:tcW w:w="792" w:type="pct"/>
            <w:hideMark/>
          </w:tcPr>
          <w:p w14:paraId="4322F351" w14:textId="77777777" w:rsidR="00B420BE" w:rsidRPr="00273A3E" w:rsidRDefault="00B420BE" w:rsidP="009F71ED">
            <w:pPr>
              <w:keepNext/>
              <w:keepLines/>
              <w:tabs>
                <w:tab w:val="left" w:pos="284"/>
                <w:tab w:val="left" w:pos="567"/>
              </w:tabs>
              <w:spacing w:after="0" w:line="240" w:lineRule="auto"/>
              <w:contextualSpacing/>
              <w:rPr>
                <w:rFonts w:ascii="Times New Roman" w:hAnsi="Times New Roman"/>
                <w:b/>
                <w:lang w:val="lt-LT"/>
              </w:rPr>
            </w:pPr>
            <w:r w:rsidRPr="00273A3E">
              <w:rPr>
                <w:rFonts w:ascii="Times New Roman" w:hAnsi="Times New Roman"/>
                <w:b/>
                <w:lang w:val="lt-LT"/>
              </w:rPr>
              <w:t xml:space="preserve">Visos pacientės </w:t>
            </w:r>
          </w:p>
        </w:tc>
        <w:tc>
          <w:tcPr>
            <w:tcW w:w="758" w:type="pct"/>
            <w:hideMark/>
          </w:tcPr>
          <w:p w14:paraId="2EDD3A0A" w14:textId="77777777" w:rsidR="00B420BE" w:rsidRPr="00273A3E" w:rsidRDefault="00B420BE" w:rsidP="009F71ED">
            <w:pPr>
              <w:tabs>
                <w:tab w:val="left" w:pos="567"/>
              </w:tabs>
              <w:spacing w:after="0" w:line="240" w:lineRule="auto"/>
              <w:contextualSpacing/>
              <w:rPr>
                <w:rFonts w:ascii="Times New Roman" w:hAnsi="Times New Roman"/>
                <w:b/>
                <w:lang w:val="lt-LT"/>
              </w:rPr>
            </w:pPr>
          </w:p>
        </w:tc>
        <w:tc>
          <w:tcPr>
            <w:tcW w:w="689" w:type="pct"/>
            <w:hideMark/>
          </w:tcPr>
          <w:p w14:paraId="78085810"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45,6</w:t>
            </w:r>
          </w:p>
        </w:tc>
        <w:tc>
          <w:tcPr>
            <w:tcW w:w="690" w:type="pct"/>
            <w:hideMark/>
          </w:tcPr>
          <w:p w14:paraId="7327541F"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39,6</w:t>
            </w:r>
          </w:p>
        </w:tc>
        <w:tc>
          <w:tcPr>
            <w:tcW w:w="807" w:type="pct"/>
            <w:hideMark/>
          </w:tcPr>
          <w:p w14:paraId="46D32245"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6,0</w:t>
            </w:r>
          </w:p>
        </w:tc>
        <w:tc>
          <w:tcPr>
            <w:tcW w:w="574" w:type="pct"/>
            <w:hideMark/>
          </w:tcPr>
          <w:p w14:paraId="2CD69865"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-1,1; 13,3</w:t>
            </w:r>
          </w:p>
        </w:tc>
        <w:tc>
          <w:tcPr>
            <w:tcW w:w="691" w:type="pct"/>
            <w:hideMark/>
          </w:tcPr>
          <w:p w14:paraId="3FA120AD"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r>
      <w:tr w:rsidR="00B420BE" w:rsidRPr="00273A3E" w14:paraId="6E64BBA6" w14:textId="77777777" w:rsidTr="00B420BE">
        <w:trPr>
          <w:tblCellSpacing w:w="0" w:type="dxa"/>
        </w:trPr>
        <w:tc>
          <w:tcPr>
            <w:tcW w:w="1549" w:type="pct"/>
            <w:gridSpan w:val="2"/>
            <w:hideMark/>
          </w:tcPr>
          <w:p w14:paraId="01C396A2"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AE pogrupis (n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 xml:space="preserve">423) </w:t>
            </w:r>
          </w:p>
        </w:tc>
        <w:tc>
          <w:tcPr>
            <w:tcW w:w="689" w:type="pct"/>
            <w:hideMark/>
          </w:tcPr>
          <w:p w14:paraId="47767C86"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52,4</w:t>
            </w:r>
          </w:p>
        </w:tc>
        <w:tc>
          <w:tcPr>
            <w:tcW w:w="690" w:type="pct"/>
            <w:hideMark/>
          </w:tcPr>
          <w:p w14:paraId="2793F8F3"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45,1</w:t>
            </w:r>
          </w:p>
        </w:tc>
        <w:tc>
          <w:tcPr>
            <w:tcW w:w="807" w:type="pct"/>
            <w:hideMark/>
          </w:tcPr>
          <w:p w14:paraId="72C24BB4"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7,3</w:t>
            </w:r>
          </w:p>
        </w:tc>
        <w:tc>
          <w:tcPr>
            <w:tcW w:w="574" w:type="pct"/>
            <w:hideMark/>
          </w:tcPr>
          <w:p w14:paraId="22DF38E5"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-2,2; 16,6</w:t>
            </w:r>
          </w:p>
        </w:tc>
        <w:tc>
          <w:tcPr>
            <w:tcW w:w="691" w:type="pct"/>
            <w:hideMark/>
          </w:tcPr>
          <w:p w14:paraId="68967072"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r>
      <w:tr w:rsidR="00B420BE" w:rsidRPr="00273A3E" w14:paraId="67719180" w14:textId="77777777" w:rsidTr="00B420BE">
        <w:trPr>
          <w:tblCellSpacing w:w="0" w:type="dxa"/>
        </w:trPr>
        <w:tc>
          <w:tcPr>
            <w:tcW w:w="1549" w:type="pct"/>
            <w:gridSpan w:val="2"/>
            <w:hideMark/>
          </w:tcPr>
          <w:p w14:paraId="297FC146" w14:textId="77777777" w:rsidR="00B420BE" w:rsidRPr="00273A3E" w:rsidRDefault="00B420BE" w:rsidP="009F71ED">
            <w:pPr>
              <w:tabs>
                <w:tab w:val="left" w:pos="567"/>
              </w:tabs>
              <w:spacing w:after="0" w:line="240" w:lineRule="auto"/>
              <w:contextualSpacing/>
              <w:rPr>
                <w:rFonts w:ascii="Times New Roman" w:hAnsi="Times New Roman"/>
                <w:b/>
                <w:lang w:val="lt-LT"/>
              </w:rPr>
            </w:pPr>
            <w:r w:rsidRPr="00273A3E">
              <w:rPr>
                <w:rFonts w:ascii="Times New Roman" w:hAnsi="Times New Roman"/>
                <w:b/>
                <w:lang w:val="lt-LT"/>
              </w:rPr>
              <w:t>- AI pogrupis (n</w:t>
            </w:r>
            <w:r w:rsidR="003008E6" w:rsidRPr="00273A3E">
              <w:rPr>
                <w:rFonts w:ascii="Times New Roman" w:hAnsi="Times New Roman"/>
                <w:b/>
                <w:lang w:val="lt-LT"/>
              </w:rPr>
              <w:t> </w:t>
            </w:r>
            <w:r w:rsidRPr="00273A3E">
              <w:rPr>
                <w:rFonts w:ascii="Times New Roman" w:hAnsi="Times New Roman"/>
                <w:b/>
                <w:lang w:val="lt-LT"/>
              </w:rPr>
              <w:t>=</w:t>
            </w:r>
            <w:r w:rsidR="003008E6" w:rsidRPr="00273A3E">
              <w:rPr>
                <w:rFonts w:ascii="Times New Roman" w:hAnsi="Times New Roman"/>
                <w:b/>
                <w:lang w:val="lt-LT"/>
              </w:rPr>
              <w:t> </w:t>
            </w:r>
            <w:r w:rsidRPr="00273A3E">
              <w:rPr>
                <w:rFonts w:ascii="Times New Roman" w:hAnsi="Times New Roman"/>
                <w:b/>
                <w:lang w:val="lt-LT"/>
              </w:rPr>
              <w:t>313)</w:t>
            </w:r>
            <w:r w:rsidRPr="00273A3E">
              <w:rPr>
                <w:rFonts w:ascii="Times New Roman" w:hAnsi="Times New Roman"/>
                <w:b/>
                <w:vertAlign w:val="superscript"/>
                <w:lang w:val="lt-LT"/>
              </w:rPr>
              <w:t>a</w:t>
            </w:r>
          </w:p>
        </w:tc>
        <w:tc>
          <w:tcPr>
            <w:tcW w:w="689" w:type="pct"/>
            <w:hideMark/>
          </w:tcPr>
          <w:p w14:paraId="2526588C"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36,2</w:t>
            </w:r>
          </w:p>
        </w:tc>
        <w:tc>
          <w:tcPr>
            <w:tcW w:w="690" w:type="pct"/>
            <w:hideMark/>
          </w:tcPr>
          <w:p w14:paraId="4B1FBC97"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32,3</w:t>
            </w:r>
          </w:p>
        </w:tc>
        <w:tc>
          <w:tcPr>
            <w:tcW w:w="807" w:type="pct"/>
            <w:hideMark/>
          </w:tcPr>
          <w:p w14:paraId="1B92BC82"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3,9</w:t>
            </w:r>
          </w:p>
        </w:tc>
        <w:tc>
          <w:tcPr>
            <w:tcW w:w="574" w:type="pct"/>
            <w:hideMark/>
          </w:tcPr>
          <w:p w14:paraId="67567DEC" w14:textId="77777777" w:rsidR="00B420BE" w:rsidRPr="00273A3E" w:rsidRDefault="00B420BE" w:rsidP="009F71ED">
            <w:pPr>
              <w:tabs>
                <w:tab w:val="left" w:pos="567"/>
              </w:tabs>
              <w:spacing w:after="0" w:line="240" w:lineRule="auto"/>
              <w:contextualSpacing/>
              <w:jc w:val="center"/>
              <w:rPr>
                <w:rFonts w:ascii="Times New Roman" w:hAnsi="Times New Roman"/>
                <w:bCs/>
                <w:kern w:val="28"/>
                <w:lang w:val="lt-LT"/>
              </w:rPr>
            </w:pPr>
            <w:r w:rsidRPr="00273A3E">
              <w:rPr>
                <w:rFonts w:ascii="Times New Roman" w:hAnsi="Times New Roman"/>
                <w:bCs/>
                <w:lang w:val="lt-LT"/>
              </w:rPr>
              <w:t>-6,1; 15,2</w:t>
            </w:r>
          </w:p>
        </w:tc>
        <w:tc>
          <w:tcPr>
            <w:tcW w:w="691" w:type="pct"/>
            <w:hideMark/>
          </w:tcPr>
          <w:p w14:paraId="7C29B780" w14:textId="77777777" w:rsidR="00B420BE" w:rsidRPr="00273A3E" w:rsidRDefault="00B420BE" w:rsidP="009F71ED">
            <w:pPr>
              <w:tabs>
                <w:tab w:val="left" w:pos="567"/>
              </w:tabs>
              <w:spacing w:after="0" w:line="240" w:lineRule="auto"/>
              <w:contextualSpacing/>
              <w:rPr>
                <w:rFonts w:ascii="Times New Roman" w:hAnsi="Times New Roman"/>
                <w:bCs/>
                <w:lang w:val="lt-LT"/>
              </w:rPr>
            </w:pPr>
          </w:p>
        </w:tc>
      </w:tr>
    </w:tbl>
    <w:p w14:paraId="0AE7B9D7"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vertAlign w:val="superscript"/>
          <w:lang w:val="lt-LT"/>
        </w:rPr>
        <w:t>a</w:t>
      </w:r>
      <w:r w:rsidRPr="00273A3E">
        <w:rPr>
          <w:rFonts w:ascii="Times New Roman" w:hAnsi="Times New Roman"/>
          <w:lang w:val="lt-LT"/>
        </w:rPr>
        <w:t xml:space="preserve"> </w:t>
      </w:r>
      <w:r w:rsidR="003008E6" w:rsidRPr="00273A3E">
        <w:rPr>
          <w:rFonts w:ascii="Times New Roman" w:hAnsi="Times New Roman"/>
          <w:lang w:val="lt-LT"/>
        </w:rPr>
        <w:tab/>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skiriama pacientėms, kurių liga </w:t>
      </w:r>
      <w:r w:rsidR="00C8467F" w:rsidRPr="00273A3E">
        <w:rPr>
          <w:rFonts w:ascii="Times New Roman" w:hAnsi="Times New Roman"/>
          <w:lang w:val="lt-LT"/>
        </w:rPr>
        <w:t>atsinaujino</w:t>
      </w:r>
      <w:r w:rsidRPr="00273A3E">
        <w:rPr>
          <w:rFonts w:ascii="Times New Roman" w:hAnsi="Times New Roman"/>
          <w:lang w:val="lt-LT"/>
        </w:rPr>
        <w:t xml:space="preserve"> arba progresavo vartojant </w:t>
      </w:r>
      <w:proofErr w:type="spellStart"/>
      <w:r w:rsidRPr="00273A3E">
        <w:rPr>
          <w:rFonts w:ascii="Times New Roman" w:hAnsi="Times New Roman"/>
          <w:lang w:val="lt-LT"/>
        </w:rPr>
        <w:t>antiestrogenų</w:t>
      </w:r>
      <w:proofErr w:type="spellEnd"/>
      <w:r w:rsidRPr="00273A3E">
        <w:rPr>
          <w:rFonts w:ascii="Times New Roman" w:hAnsi="Times New Roman"/>
          <w:lang w:val="lt-LT"/>
        </w:rPr>
        <w:t>. AI pogrupio rezultatai yra negalutiniai.</w:t>
      </w:r>
    </w:p>
    <w:p w14:paraId="76D11484"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vertAlign w:val="superscript"/>
          <w:lang w:val="lt-LT"/>
        </w:rPr>
        <w:t>b</w:t>
      </w:r>
      <w:r w:rsidRPr="00273A3E">
        <w:rPr>
          <w:rFonts w:ascii="Times New Roman" w:hAnsi="Times New Roman"/>
          <w:lang w:val="lt-LT"/>
        </w:rPr>
        <w:t xml:space="preserve"> </w:t>
      </w:r>
      <w:r w:rsidR="003008E6" w:rsidRPr="00273A3E">
        <w:rPr>
          <w:rFonts w:ascii="Times New Roman" w:hAnsi="Times New Roman"/>
          <w:lang w:val="lt-LT"/>
        </w:rPr>
        <w:tab/>
      </w:r>
      <w:r w:rsidRPr="00273A3E">
        <w:rPr>
          <w:rFonts w:ascii="Times New Roman" w:hAnsi="Times New Roman"/>
          <w:lang w:val="lt-LT"/>
        </w:rPr>
        <w:t>OS pateikiamas pagal galutinio išgyvenamumo analizės duomenis esant 75 % užbaigtumui.</w:t>
      </w:r>
    </w:p>
    <w:p w14:paraId="4E0CFA9F"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vertAlign w:val="superscript"/>
          <w:lang w:val="lt-LT"/>
        </w:rPr>
        <w:t>c</w:t>
      </w:r>
      <w:r w:rsidRPr="00273A3E">
        <w:rPr>
          <w:rFonts w:ascii="Times New Roman" w:hAnsi="Times New Roman"/>
          <w:lang w:val="lt-LT"/>
        </w:rPr>
        <w:t xml:space="preserve"> </w:t>
      </w:r>
      <w:r w:rsidR="003008E6" w:rsidRPr="00273A3E">
        <w:rPr>
          <w:rFonts w:ascii="Times New Roman" w:hAnsi="Times New Roman"/>
          <w:lang w:val="lt-LT"/>
        </w:rPr>
        <w:tab/>
      </w:r>
      <w:r w:rsidRPr="00273A3E">
        <w:rPr>
          <w:rFonts w:ascii="Times New Roman" w:hAnsi="Times New Roman"/>
          <w:lang w:val="lt-LT"/>
        </w:rPr>
        <w:t>Nominali p reikšmė, nekoreguota atsižvelgiant į įvairių veiksnių įtaką laikotarpiu tarp pradinės išgyvenamumo analizės esant 50 % užbaigtumui ir atnaujintos išgyvenamumo analizės esant 75 % užbaigtumui.</w:t>
      </w:r>
    </w:p>
    <w:p w14:paraId="62F78A8A"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vertAlign w:val="superscript"/>
          <w:lang w:val="lt-LT"/>
        </w:rPr>
        <w:t>d</w:t>
      </w:r>
      <w:r w:rsidRPr="00273A3E">
        <w:rPr>
          <w:rFonts w:ascii="Times New Roman" w:hAnsi="Times New Roman"/>
          <w:lang w:val="lt-LT"/>
        </w:rPr>
        <w:t xml:space="preserve"> </w:t>
      </w:r>
      <w:r w:rsidR="003008E6" w:rsidRPr="00273A3E">
        <w:rPr>
          <w:rFonts w:ascii="Times New Roman" w:hAnsi="Times New Roman"/>
          <w:lang w:val="lt-LT"/>
        </w:rPr>
        <w:tab/>
      </w:r>
      <w:r w:rsidRPr="00273A3E">
        <w:rPr>
          <w:rFonts w:ascii="Times New Roman" w:hAnsi="Times New Roman"/>
          <w:lang w:val="lt-LT"/>
        </w:rPr>
        <w:t>ORR buvo vertinamas pacientėms, kurioms pasireiškusį atsaką buvo galima įvertinti, t. y. kurioms iki gydymo buvo nustatyta įvertinamų ligos požymių (tokios buvo 240</w:t>
      </w:r>
      <w:r w:rsidR="00FF0074" w:rsidRPr="00273A3E">
        <w:rPr>
          <w:rFonts w:ascii="Times New Roman" w:hAnsi="Times New Roman"/>
          <w:lang w:val="lt-LT"/>
        </w:rPr>
        <w:t> pacien</w:t>
      </w:r>
      <w:r w:rsidRPr="00273A3E">
        <w:rPr>
          <w:rFonts w:ascii="Times New Roman" w:hAnsi="Times New Roman"/>
          <w:lang w:val="lt-LT"/>
        </w:rPr>
        <w:t>čių 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grupėje ir 261</w:t>
      </w:r>
      <w:r w:rsidR="00037BD5" w:rsidRPr="00273A3E">
        <w:rPr>
          <w:rFonts w:ascii="Times New Roman" w:hAnsi="Times New Roman"/>
          <w:lang w:val="lt-LT"/>
        </w:rPr>
        <w:t xml:space="preserve"> </w:t>
      </w:r>
      <w:r w:rsidRPr="00273A3E">
        <w:rPr>
          <w:rFonts w:ascii="Times New Roman" w:hAnsi="Times New Roman"/>
          <w:lang w:val="lt-LT"/>
        </w:rPr>
        <w:t>–</w:t>
      </w:r>
      <w:r w:rsidR="00037BD5" w:rsidRPr="00273A3E">
        <w:rPr>
          <w:rFonts w:ascii="Times New Roman" w:hAnsi="Times New Roman"/>
          <w:lang w:val="lt-LT"/>
        </w:rPr>
        <w:t xml:space="preserve"> </w:t>
      </w:r>
      <w:r w:rsidRPr="00273A3E">
        <w:rPr>
          <w:rFonts w:ascii="Times New Roman" w:hAnsi="Times New Roman"/>
          <w:lang w:val="lt-LT"/>
        </w:rPr>
        <w:t>250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grupėje).</w:t>
      </w:r>
    </w:p>
    <w:p w14:paraId="4D8AB5BC" w14:textId="77777777" w:rsidR="001E5C66" w:rsidRPr="00273A3E" w:rsidRDefault="001E5C66" w:rsidP="009F71ED">
      <w:pPr>
        <w:tabs>
          <w:tab w:val="left" w:pos="567"/>
        </w:tabs>
        <w:autoSpaceDE w:val="0"/>
        <w:autoSpaceDN w:val="0"/>
        <w:adjustRightInd w:val="0"/>
        <w:spacing w:after="0" w:line="240" w:lineRule="auto"/>
        <w:ind w:left="567" w:hanging="567"/>
        <w:rPr>
          <w:rFonts w:ascii="Times New Roman" w:hAnsi="Times New Roman"/>
          <w:lang w:val="lt-LT"/>
        </w:rPr>
      </w:pPr>
      <w:r w:rsidRPr="00273A3E">
        <w:rPr>
          <w:rFonts w:ascii="Times New Roman" w:hAnsi="Times New Roman"/>
          <w:vertAlign w:val="superscript"/>
          <w:lang w:val="lt-LT"/>
        </w:rPr>
        <w:t>e</w:t>
      </w:r>
      <w:r w:rsidRPr="00273A3E">
        <w:rPr>
          <w:rFonts w:ascii="Times New Roman" w:hAnsi="Times New Roman"/>
          <w:lang w:val="lt-LT"/>
        </w:rPr>
        <w:t xml:space="preserve"> </w:t>
      </w:r>
      <w:r w:rsidR="003008E6" w:rsidRPr="00273A3E">
        <w:rPr>
          <w:rFonts w:ascii="Times New Roman" w:hAnsi="Times New Roman"/>
          <w:lang w:val="lt-LT"/>
        </w:rPr>
        <w:tab/>
      </w:r>
      <w:r w:rsidRPr="00273A3E">
        <w:rPr>
          <w:rFonts w:ascii="Times New Roman" w:hAnsi="Times New Roman"/>
          <w:lang w:val="lt-LT"/>
        </w:rPr>
        <w:t xml:space="preserve">Pacientės, kurioms objektyviai nustatytas geriausias pilnutinis ar dalinis atsakas arba </w:t>
      </w:r>
      <w:r w:rsidR="00037BD5" w:rsidRPr="00273A3E">
        <w:rPr>
          <w:rFonts w:ascii="Times New Roman" w:eastAsia="SimSun" w:hAnsi="Times New Roman"/>
          <w:lang w:val="lt-LT"/>
        </w:rPr>
        <w:t>≥ </w:t>
      </w:r>
      <w:r w:rsidRPr="00273A3E">
        <w:rPr>
          <w:rFonts w:ascii="Times New Roman" w:hAnsi="Times New Roman"/>
          <w:lang w:val="lt-LT"/>
        </w:rPr>
        <w:t>24</w:t>
      </w:r>
      <w:r w:rsidR="00037BD5" w:rsidRPr="00273A3E">
        <w:rPr>
          <w:rFonts w:ascii="Times New Roman" w:hAnsi="Times New Roman"/>
          <w:lang w:val="lt-LT"/>
        </w:rPr>
        <w:t> </w:t>
      </w:r>
      <w:r w:rsidRPr="00273A3E">
        <w:rPr>
          <w:rFonts w:ascii="Times New Roman" w:hAnsi="Times New Roman"/>
          <w:lang w:val="lt-LT"/>
        </w:rPr>
        <w:t>savaites trukęs ligos stabilizavimasis.</w:t>
      </w:r>
    </w:p>
    <w:p w14:paraId="5D6AD2D3" w14:textId="77777777" w:rsidR="001E5C66" w:rsidRPr="00273A3E" w:rsidRDefault="001E5C66" w:rsidP="009F71ED">
      <w:pPr>
        <w:tabs>
          <w:tab w:val="left" w:pos="0"/>
        </w:tabs>
        <w:spacing w:after="0" w:line="240" w:lineRule="auto"/>
        <w:rPr>
          <w:rFonts w:ascii="Times New Roman" w:hAnsi="Times New Roman"/>
          <w:lang w:val="lt-LT"/>
        </w:rPr>
      </w:pPr>
      <w:r w:rsidRPr="00273A3E">
        <w:rPr>
          <w:rFonts w:ascii="Times New Roman" w:hAnsi="Times New Roman"/>
          <w:lang w:val="lt-LT"/>
        </w:rPr>
        <w:t>PFS – neprogresuojant ligai išgyventas laikotarpis</w:t>
      </w:r>
      <w:r w:rsidR="00037BD5" w:rsidRPr="00273A3E">
        <w:rPr>
          <w:rFonts w:ascii="Times New Roman" w:hAnsi="Times New Roman"/>
          <w:lang w:val="lt-LT"/>
        </w:rPr>
        <w:t>;</w:t>
      </w:r>
      <w:r w:rsidRPr="00273A3E">
        <w:rPr>
          <w:rFonts w:ascii="Times New Roman" w:hAnsi="Times New Roman"/>
          <w:lang w:val="lt-LT"/>
        </w:rPr>
        <w:t xml:space="preserve"> ORR – objektyvaus atsako dažnis</w:t>
      </w:r>
      <w:r w:rsidR="00037BD5" w:rsidRPr="00273A3E">
        <w:rPr>
          <w:rFonts w:ascii="Times New Roman" w:hAnsi="Times New Roman"/>
          <w:lang w:val="lt-LT"/>
        </w:rPr>
        <w:t>;</w:t>
      </w:r>
      <w:r w:rsidRPr="00273A3E">
        <w:rPr>
          <w:rFonts w:ascii="Times New Roman" w:hAnsi="Times New Roman"/>
          <w:lang w:val="lt-LT"/>
        </w:rPr>
        <w:t xml:space="preserve"> OR – objektyvus atsakas</w:t>
      </w:r>
      <w:r w:rsidR="00037BD5" w:rsidRPr="00273A3E">
        <w:rPr>
          <w:rFonts w:ascii="Times New Roman" w:hAnsi="Times New Roman"/>
          <w:lang w:val="lt-LT"/>
        </w:rPr>
        <w:t>;</w:t>
      </w:r>
      <w:r w:rsidRPr="00273A3E">
        <w:rPr>
          <w:rFonts w:ascii="Times New Roman" w:hAnsi="Times New Roman"/>
          <w:lang w:val="lt-LT"/>
        </w:rPr>
        <w:t xml:space="preserve"> CBR – klinikinės naudos dažnis</w:t>
      </w:r>
      <w:r w:rsidR="00037BD5" w:rsidRPr="00273A3E">
        <w:rPr>
          <w:rFonts w:ascii="Times New Roman" w:hAnsi="Times New Roman"/>
          <w:lang w:val="lt-LT"/>
        </w:rPr>
        <w:t>;</w:t>
      </w:r>
      <w:r w:rsidRPr="00273A3E">
        <w:rPr>
          <w:rFonts w:ascii="Times New Roman" w:hAnsi="Times New Roman"/>
          <w:lang w:val="lt-LT"/>
        </w:rPr>
        <w:t xml:space="preserve"> CB – klinikinė nauda</w:t>
      </w:r>
      <w:r w:rsidR="00037BD5" w:rsidRPr="00273A3E">
        <w:rPr>
          <w:rFonts w:ascii="Times New Roman" w:hAnsi="Times New Roman"/>
          <w:lang w:val="lt-LT"/>
        </w:rPr>
        <w:t>;</w:t>
      </w:r>
      <w:r w:rsidRPr="00273A3E">
        <w:rPr>
          <w:rFonts w:ascii="Times New Roman" w:hAnsi="Times New Roman"/>
          <w:lang w:val="lt-LT"/>
        </w:rPr>
        <w:t xml:space="preserve"> OS – bendras išgyvenamumas</w:t>
      </w:r>
      <w:r w:rsidR="00037BD5" w:rsidRPr="00273A3E">
        <w:rPr>
          <w:rFonts w:ascii="Times New Roman" w:hAnsi="Times New Roman"/>
          <w:lang w:val="lt-LT"/>
        </w:rPr>
        <w:t>;</w:t>
      </w:r>
      <w:r w:rsidRPr="00273A3E">
        <w:rPr>
          <w:rFonts w:ascii="Times New Roman" w:hAnsi="Times New Roman"/>
          <w:lang w:val="lt-LT"/>
        </w:rPr>
        <w:t xml:space="preserve"> K-M – </w:t>
      </w:r>
      <w:proofErr w:type="spellStart"/>
      <w:r w:rsidRPr="00273A3E">
        <w:rPr>
          <w:rFonts w:ascii="Times New Roman" w:hAnsi="Times New Roman"/>
          <w:i/>
          <w:lang w:val="lt-LT"/>
        </w:rPr>
        <w:t>Kaplan-Meier</w:t>
      </w:r>
      <w:proofErr w:type="spellEnd"/>
      <w:r w:rsidR="00037BD5" w:rsidRPr="00273A3E">
        <w:rPr>
          <w:rFonts w:ascii="Times New Roman" w:hAnsi="Times New Roman"/>
          <w:iCs/>
          <w:lang w:val="lt-LT"/>
        </w:rPr>
        <w:t>;</w:t>
      </w:r>
      <w:r w:rsidRPr="00273A3E">
        <w:rPr>
          <w:rFonts w:ascii="Times New Roman" w:hAnsi="Times New Roman"/>
          <w:lang w:val="lt-LT"/>
        </w:rPr>
        <w:t xml:space="preserve"> PI – </w:t>
      </w:r>
      <w:proofErr w:type="spellStart"/>
      <w:r w:rsidRPr="00273A3E">
        <w:rPr>
          <w:rFonts w:ascii="Times New Roman" w:hAnsi="Times New Roman"/>
          <w:lang w:val="lt-LT"/>
        </w:rPr>
        <w:t>pasikliautinasis</w:t>
      </w:r>
      <w:proofErr w:type="spellEnd"/>
      <w:r w:rsidRPr="00273A3E">
        <w:rPr>
          <w:rFonts w:ascii="Times New Roman" w:hAnsi="Times New Roman"/>
          <w:lang w:val="lt-LT"/>
        </w:rPr>
        <w:t xml:space="preserve"> intervalas; AI – </w:t>
      </w:r>
      <w:proofErr w:type="spellStart"/>
      <w:r w:rsidRPr="00273A3E">
        <w:rPr>
          <w:rFonts w:ascii="Times New Roman" w:hAnsi="Times New Roman"/>
          <w:lang w:val="lt-LT"/>
        </w:rPr>
        <w:t>aromatazės</w:t>
      </w:r>
      <w:proofErr w:type="spellEnd"/>
      <w:r w:rsidRPr="00273A3E">
        <w:rPr>
          <w:rFonts w:ascii="Times New Roman" w:hAnsi="Times New Roman"/>
          <w:lang w:val="lt-LT"/>
        </w:rPr>
        <w:t xml:space="preserve"> inhibitorius</w:t>
      </w:r>
      <w:r w:rsidR="00037BD5" w:rsidRPr="00273A3E">
        <w:rPr>
          <w:rFonts w:ascii="Times New Roman" w:hAnsi="Times New Roman"/>
          <w:lang w:val="lt-LT"/>
        </w:rPr>
        <w:t>;</w:t>
      </w:r>
      <w:r w:rsidRPr="00273A3E">
        <w:rPr>
          <w:rFonts w:ascii="Times New Roman" w:hAnsi="Times New Roman"/>
          <w:lang w:val="lt-LT"/>
        </w:rPr>
        <w:t xml:space="preserve"> AE </w:t>
      </w:r>
      <w:r w:rsidR="00037BD5" w:rsidRPr="00273A3E">
        <w:rPr>
          <w:rFonts w:ascii="Times New Roman" w:hAnsi="Times New Roman"/>
          <w:lang w:val="lt-LT"/>
        </w:rPr>
        <w:t>–</w:t>
      </w:r>
      <w:r w:rsidRPr="00273A3E">
        <w:rPr>
          <w:rFonts w:ascii="Times New Roman" w:hAnsi="Times New Roman"/>
          <w:lang w:val="lt-LT"/>
        </w:rPr>
        <w:t xml:space="preserve"> </w:t>
      </w:r>
      <w:proofErr w:type="spellStart"/>
      <w:r w:rsidRPr="00273A3E">
        <w:rPr>
          <w:rFonts w:ascii="Times New Roman" w:hAnsi="Times New Roman"/>
          <w:lang w:val="lt-LT"/>
        </w:rPr>
        <w:t>antiestrogenas</w:t>
      </w:r>
      <w:proofErr w:type="spellEnd"/>
      <w:r w:rsidRPr="00273A3E">
        <w:rPr>
          <w:rFonts w:ascii="Times New Roman" w:hAnsi="Times New Roman"/>
          <w:lang w:val="lt-LT"/>
        </w:rPr>
        <w:t>.</w:t>
      </w:r>
    </w:p>
    <w:p w14:paraId="6626C736" w14:textId="77777777" w:rsidR="001E5C66" w:rsidRPr="00273A3E" w:rsidRDefault="001E5C66" w:rsidP="009F71ED">
      <w:pPr>
        <w:tabs>
          <w:tab w:val="left" w:pos="567"/>
        </w:tabs>
        <w:spacing w:after="0" w:line="240" w:lineRule="auto"/>
        <w:rPr>
          <w:rFonts w:ascii="Times New Roman" w:hAnsi="Times New Roman"/>
          <w:lang w:val="lt-LT"/>
        </w:rPr>
      </w:pPr>
    </w:p>
    <w:p w14:paraId="78B5454B"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III fazės </w:t>
      </w:r>
      <w:r w:rsidR="00C00D4A" w:rsidRPr="00273A3E">
        <w:rPr>
          <w:rFonts w:ascii="Times New Roman" w:hAnsi="Times New Roman"/>
          <w:lang w:val="lt-LT"/>
        </w:rPr>
        <w:t xml:space="preserve">atsitiktinių imčių </w:t>
      </w:r>
      <w:r w:rsidRPr="00273A3E">
        <w:rPr>
          <w:rFonts w:ascii="Times New Roman" w:hAnsi="Times New Roman"/>
          <w:lang w:val="lt-LT"/>
        </w:rPr>
        <w:t xml:space="preserve">dvigubai koduoto </w:t>
      </w:r>
      <w:r w:rsidR="00C00D4A" w:rsidRPr="00273A3E">
        <w:rPr>
          <w:rFonts w:ascii="Times New Roman" w:hAnsi="Times New Roman"/>
          <w:lang w:val="lt-LT"/>
        </w:rPr>
        <w:t xml:space="preserve">ir dvigubai </w:t>
      </w:r>
      <w:r w:rsidR="00A11323" w:rsidRPr="00273A3E">
        <w:rPr>
          <w:rFonts w:ascii="Times New Roman" w:hAnsi="Times New Roman"/>
          <w:lang w:val="lt-LT"/>
        </w:rPr>
        <w:t>užmaskuoto</w:t>
      </w:r>
      <w:r w:rsidR="00C00D4A" w:rsidRPr="00273A3E">
        <w:rPr>
          <w:rFonts w:ascii="Times New Roman" w:hAnsi="Times New Roman"/>
          <w:lang w:val="lt-LT"/>
        </w:rPr>
        <w:t>,</w:t>
      </w:r>
      <w:r w:rsidRPr="00273A3E">
        <w:rPr>
          <w:rFonts w:ascii="Times New Roman" w:hAnsi="Times New Roman"/>
          <w:lang w:val="lt-LT"/>
        </w:rPr>
        <w:t xml:space="preserve"> daugelyje centrų atlikto tyrimo</w:t>
      </w:r>
      <w:r w:rsidR="004336EC"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lygintas 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1</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poveikis moterims po menopauzės, sergančioms ER teigiamu ir (arba) </w:t>
      </w:r>
      <w:proofErr w:type="spellStart"/>
      <w:r w:rsidRPr="00273A3E">
        <w:rPr>
          <w:rFonts w:ascii="Times New Roman" w:hAnsi="Times New Roman"/>
          <w:lang w:val="lt-LT"/>
        </w:rPr>
        <w:t>PgR</w:t>
      </w:r>
      <w:proofErr w:type="spellEnd"/>
      <w:r w:rsidRPr="00273A3E">
        <w:rPr>
          <w:rFonts w:ascii="Times New Roman" w:hAnsi="Times New Roman"/>
          <w:lang w:val="lt-LT"/>
        </w:rPr>
        <w:t xml:space="preserve"> teigiamu lokaliai progresavusiu ar</w:t>
      </w:r>
      <w:r w:rsidR="00AC2B44" w:rsidRPr="00273A3E">
        <w:rPr>
          <w:rFonts w:ascii="Times New Roman" w:hAnsi="Times New Roman"/>
          <w:lang w:val="lt-LT"/>
        </w:rPr>
        <w:t xml:space="preserve"> </w:t>
      </w:r>
      <w:proofErr w:type="spellStart"/>
      <w:r w:rsidR="00FF0074" w:rsidRPr="00273A3E">
        <w:rPr>
          <w:rFonts w:ascii="Times New Roman" w:hAnsi="Times New Roman"/>
          <w:lang w:val="lt-LT"/>
        </w:rPr>
        <w:t>met</w:t>
      </w:r>
      <w:r w:rsidRPr="00273A3E">
        <w:rPr>
          <w:rFonts w:ascii="Times New Roman" w:hAnsi="Times New Roman"/>
          <w:lang w:val="lt-LT"/>
        </w:rPr>
        <w:t>astazavusiu</w:t>
      </w:r>
      <w:proofErr w:type="spellEnd"/>
      <w:r w:rsidRPr="00273A3E">
        <w:rPr>
          <w:rFonts w:ascii="Times New Roman" w:hAnsi="Times New Roman"/>
          <w:lang w:val="lt-LT"/>
        </w:rPr>
        <w:t xml:space="preserve"> krūties vėžiu, dėl kurio anksčiau netaikytas joks hormoninis gydymas. Iš viso 462</w:t>
      </w:r>
      <w:r w:rsidR="00FF0074" w:rsidRPr="00273A3E">
        <w:rPr>
          <w:rFonts w:ascii="Times New Roman" w:hAnsi="Times New Roman"/>
          <w:lang w:val="lt-LT"/>
        </w:rPr>
        <w:t> pacien</w:t>
      </w:r>
      <w:r w:rsidRPr="00273A3E">
        <w:rPr>
          <w:rFonts w:ascii="Times New Roman" w:hAnsi="Times New Roman"/>
          <w:lang w:val="lt-LT"/>
        </w:rPr>
        <w:t xml:space="preserve">tės buvo nuosekliai santykiu 1:1 </w:t>
      </w:r>
      <w:r w:rsidR="002E6F8F" w:rsidRPr="00273A3E">
        <w:rPr>
          <w:rFonts w:ascii="Times New Roman" w:hAnsi="Times New Roman"/>
          <w:lang w:val="lt-LT"/>
        </w:rPr>
        <w:t>atsitiktinių imčių būdu suskirstyto</w:t>
      </w:r>
      <w:r w:rsidR="003C089B" w:rsidRPr="00273A3E">
        <w:rPr>
          <w:rFonts w:ascii="Times New Roman" w:hAnsi="Times New Roman"/>
          <w:lang w:val="lt-LT"/>
        </w:rPr>
        <w:t>s</w:t>
      </w:r>
      <w:r w:rsidR="002E6F8F" w:rsidRPr="00273A3E">
        <w:rPr>
          <w:rFonts w:ascii="Times New Roman" w:hAnsi="Times New Roman"/>
          <w:lang w:val="lt-LT"/>
        </w:rPr>
        <w:t xml:space="preserve"> į grupes </w:t>
      </w:r>
      <w:r w:rsidRPr="00273A3E">
        <w:rPr>
          <w:rFonts w:ascii="Times New Roman" w:hAnsi="Times New Roman"/>
          <w:lang w:val="lt-LT"/>
        </w:rPr>
        <w:t>vartoti 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arba 1</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anastrozolo</w:t>
      </w:r>
      <w:proofErr w:type="spellEnd"/>
      <w:r w:rsidRPr="00273A3E">
        <w:rPr>
          <w:rFonts w:ascii="Times New Roman" w:hAnsi="Times New Roman"/>
          <w:lang w:val="lt-LT"/>
        </w:rPr>
        <w:t>.</w:t>
      </w:r>
    </w:p>
    <w:p w14:paraId="5D3056EA" w14:textId="77777777" w:rsidR="00901367" w:rsidRPr="00273A3E" w:rsidRDefault="00901367" w:rsidP="009F71ED">
      <w:pPr>
        <w:tabs>
          <w:tab w:val="left" w:pos="567"/>
        </w:tabs>
        <w:spacing w:after="0" w:line="240" w:lineRule="auto"/>
        <w:rPr>
          <w:rFonts w:ascii="Times New Roman" w:hAnsi="Times New Roman"/>
          <w:lang w:val="lt-LT"/>
        </w:rPr>
      </w:pPr>
    </w:p>
    <w:p w14:paraId="228334D6" w14:textId="77777777" w:rsidR="001E5C66" w:rsidRPr="00273A3E" w:rsidRDefault="009A545D"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Atsitiktinis paskirstymas </w:t>
      </w:r>
      <w:r w:rsidR="001E5C66" w:rsidRPr="00273A3E">
        <w:rPr>
          <w:rFonts w:ascii="Times New Roman" w:hAnsi="Times New Roman"/>
          <w:lang w:val="lt-LT"/>
        </w:rPr>
        <w:t xml:space="preserve">buvo </w:t>
      </w:r>
      <w:proofErr w:type="spellStart"/>
      <w:r w:rsidR="001E5C66" w:rsidRPr="00273A3E">
        <w:rPr>
          <w:rFonts w:ascii="Times New Roman" w:hAnsi="Times New Roman"/>
          <w:lang w:val="lt-LT"/>
        </w:rPr>
        <w:t>stratifikuota</w:t>
      </w:r>
      <w:r w:rsidRPr="00273A3E">
        <w:rPr>
          <w:rFonts w:ascii="Times New Roman" w:hAnsi="Times New Roman"/>
          <w:lang w:val="lt-LT"/>
        </w:rPr>
        <w:t>s</w:t>
      </w:r>
      <w:proofErr w:type="spellEnd"/>
      <w:r w:rsidR="001E5C66" w:rsidRPr="00273A3E">
        <w:rPr>
          <w:rFonts w:ascii="Times New Roman" w:hAnsi="Times New Roman"/>
          <w:lang w:val="lt-LT"/>
        </w:rPr>
        <w:t xml:space="preserve"> pagal navik</w:t>
      </w:r>
      <w:r w:rsidR="00B17268" w:rsidRPr="00273A3E">
        <w:rPr>
          <w:rFonts w:ascii="Times New Roman" w:hAnsi="Times New Roman"/>
          <w:lang w:val="lt-LT"/>
        </w:rPr>
        <w:t>inės ligos</w:t>
      </w:r>
      <w:r w:rsidR="001E5C66" w:rsidRPr="00273A3E">
        <w:rPr>
          <w:rFonts w:ascii="Times New Roman" w:hAnsi="Times New Roman"/>
          <w:lang w:val="lt-LT"/>
        </w:rPr>
        <w:t xml:space="preserve"> </w:t>
      </w:r>
      <w:r w:rsidR="007C12FC" w:rsidRPr="00273A3E">
        <w:rPr>
          <w:rFonts w:ascii="Times New Roman" w:hAnsi="Times New Roman"/>
          <w:lang w:val="lt-LT"/>
        </w:rPr>
        <w:t xml:space="preserve">pobūdį </w:t>
      </w:r>
      <w:r w:rsidR="001E5C66" w:rsidRPr="00273A3E">
        <w:rPr>
          <w:rFonts w:ascii="Times New Roman" w:hAnsi="Times New Roman"/>
          <w:lang w:val="lt-LT"/>
        </w:rPr>
        <w:t>(lokaliai progresav</w:t>
      </w:r>
      <w:r w:rsidR="006D0126" w:rsidRPr="00273A3E">
        <w:rPr>
          <w:rFonts w:ascii="Times New Roman" w:hAnsi="Times New Roman"/>
          <w:lang w:val="lt-LT"/>
        </w:rPr>
        <w:t>u</w:t>
      </w:r>
      <w:r w:rsidR="001E5C66" w:rsidRPr="00273A3E">
        <w:rPr>
          <w:rFonts w:ascii="Times New Roman" w:hAnsi="Times New Roman"/>
          <w:lang w:val="lt-LT"/>
        </w:rPr>
        <w:t>s</w:t>
      </w:r>
      <w:r w:rsidR="006D0126" w:rsidRPr="00273A3E">
        <w:rPr>
          <w:rFonts w:ascii="Times New Roman" w:hAnsi="Times New Roman"/>
          <w:lang w:val="lt-LT"/>
        </w:rPr>
        <w:t>i</w:t>
      </w:r>
      <w:r w:rsidR="001E5C66" w:rsidRPr="00273A3E">
        <w:rPr>
          <w:rFonts w:ascii="Times New Roman" w:hAnsi="Times New Roman"/>
          <w:lang w:val="lt-LT"/>
        </w:rPr>
        <w:t xml:space="preserve"> ar</w:t>
      </w:r>
      <w:r w:rsidR="00901367" w:rsidRPr="00273A3E">
        <w:rPr>
          <w:rFonts w:ascii="Times New Roman" w:hAnsi="Times New Roman"/>
          <w:lang w:val="lt-LT"/>
        </w:rPr>
        <w:t xml:space="preserve"> </w:t>
      </w:r>
      <w:proofErr w:type="spellStart"/>
      <w:r w:rsidR="00FF0074" w:rsidRPr="00273A3E">
        <w:rPr>
          <w:rFonts w:ascii="Times New Roman" w:hAnsi="Times New Roman"/>
          <w:lang w:val="lt-LT"/>
        </w:rPr>
        <w:t>met</w:t>
      </w:r>
      <w:r w:rsidR="001E5C66" w:rsidRPr="00273A3E">
        <w:rPr>
          <w:rFonts w:ascii="Times New Roman" w:hAnsi="Times New Roman"/>
          <w:lang w:val="lt-LT"/>
        </w:rPr>
        <w:t>astazav</w:t>
      </w:r>
      <w:r w:rsidR="006D0126" w:rsidRPr="00273A3E">
        <w:rPr>
          <w:rFonts w:ascii="Times New Roman" w:hAnsi="Times New Roman"/>
          <w:lang w:val="lt-LT"/>
        </w:rPr>
        <w:t>u</w:t>
      </w:r>
      <w:r w:rsidR="001E5C66" w:rsidRPr="00273A3E">
        <w:rPr>
          <w:rFonts w:ascii="Times New Roman" w:hAnsi="Times New Roman"/>
          <w:lang w:val="lt-LT"/>
        </w:rPr>
        <w:t>s</w:t>
      </w:r>
      <w:r w:rsidR="006D0126" w:rsidRPr="00273A3E">
        <w:rPr>
          <w:rFonts w:ascii="Times New Roman" w:hAnsi="Times New Roman"/>
          <w:lang w:val="lt-LT"/>
        </w:rPr>
        <w:t>i</w:t>
      </w:r>
      <w:proofErr w:type="spellEnd"/>
      <w:r w:rsidR="001E5C66" w:rsidRPr="00273A3E">
        <w:rPr>
          <w:rFonts w:ascii="Times New Roman" w:hAnsi="Times New Roman"/>
          <w:lang w:val="lt-LT"/>
        </w:rPr>
        <w:t>), ankstesnę chemoterapiją dėl progresavusio naviko ir galimybę išmatuoti naviką.</w:t>
      </w:r>
    </w:p>
    <w:p w14:paraId="1E8EC9D0" w14:textId="77777777" w:rsidR="001E5C66" w:rsidRPr="00273A3E" w:rsidRDefault="001E5C66" w:rsidP="009F71ED">
      <w:pPr>
        <w:tabs>
          <w:tab w:val="left" w:pos="567"/>
        </w:tabs>
        <w:spacing w:after="0" w:line="240" w:lineRule="auto"/>
        <w:rPr>
          <w:rFonts w:ascii="Times New Roman" w:hAnsi="Times New Roman"/>
          <w:lang w:val="lt-LT"/>
        </w:rPr>
      </w:pPr>
    </w:p>
    <w:p w14:paraId="66E102C2"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Pagrindinė veiksmingumo vertinamoji baigtis šio tyrimo</w:t>
      </w:r>
      <w:r w:rsidR="00B03436"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buvo neprogresuojant ligai išgyventas</w:t>
      </w:r>
      <w:r w:rsidR="007F07DF" w:rsidRPr="00273A3E">
        <w:rPr>
          <w:rFonts w:ascii="Times New Roman" w:hAnsi="Times New Roman"/>
          <w:lang w:val="lt-LT"/>
        </w:rPr>
        <w:t xml:space="preserve"> </w:t>
      </w:r>
      <w:r w:rsidRPr="00273A3E">
        <w:rPr>
          <w:rFonts w:ascii="Times New Roman" w:hAnsi="Times New Roman"/>
          <w:lang w:val="lt-LT"/>
        </w:rPr>
        <w:t xml:space="preserve">laikotarpis (angl. </w:t>
      </w:r>
      <w:proofErr w:type="spellStart"/>
      <w:r w:rsidRPr="00273A3E">
        <w:rPr>
          <w:rFonts w:ascii="Times New Roman" w:hAnsi="Times New Roman"/>
          <w:i/>
          <w:iCs/>
          <w:lang w:val="lt-LT"/>
        </w:rPr>
        <w:t>progression-free</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survival</w:t>
      </w:r>
      <w:proofErr w:type="spellEnd"/>
      <w:r w:rsidRPr="00273A3E">
        <w:rPr>
          <w:rFonts w:ascii="Times New Roman" w:hAnsi="Times New Roman"/>
          <w:lang w:val="lt-LT"/>
        </w:rPr>
        <w:t>, PFS), nustatytas tyrėjo pagal RECIST 1.1 (</w:t>
      </w:r>
      <w:proofErr w:type="spellStart"/>
      <w:r w:rsidRPr="00273A3E">
        <w:rPr>
          <w:rFonts w:ascii="Times New Roman" w:hAnsi="Times New Roman"/>
          <w:lang w:val="lt-LT"/>
        </w:rPr>
        <w:t>solidinių</w:t>
      </w:r>
      <w:proofErr w:type="spellEnd"/>
      <w:r w:rsidR="007F07DF" w:rsidRPr="00273A3E">
        <w:rPr>
          <w:rFonts w:ascii="Times New Roman" w:hAnsi="Times New Roman"/>
          <w:lang w:val="lt-LT"/>
        </w:rPr>
        <w:t xml:space="preserve"> </w:t>
      </w:r>
      <w:r w:rsidRPr="00273A3E">
        <w:rPr>
          <w:rFonts w:ascii="Times New Roman" w:hAnsi="Times New Roman"/>
          <w:lang w:val="lt-LT"/>
        </w:rPr>
        <w:t xml:space="preserve">navikų atsako vertinimo kriterijus, angl. </w:t>
      </w:r>
      <w:proofErr w:type="spellStart"/>
      <w:r w:rsidRPr="00273A3E">
        <w:rPr>
          <w:rFonts w:ascii="Times New Roman" w:hAnsi="Times New Roman"/>
          <w:i/>
          <w:iCs/>
          <w:lang w:val="lt-LT"/>
        </w:rPr>
        <w:t>Response</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Evaluation</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Criteria</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in</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Solid</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Tumours</w:t>
      </w:r>
      <w:proofErr w:type="spellEnd"/>
      <w:r w:rsidRPr="00273A3E">
        <w:rPr>
          <w:rFonts w:ascii="Times New Roman" w:hAnsi="Times New Roman"/>
          <w:lang w:val="lt-LT"/>
        </w:rPr>
        <w:t>). Pagrindinės</w:t>
      </w:r>
      <w:r w:rsidR="007F07DF" w:rsidRPr="00273A3E">
        <w:rPr>
          <w:rFonts w:ascii="Times New Roman" w:hAnsi="Times New Roman"/>
          <w:lang w:val="lt-LT"/>
        </w:rPr>
        <w:t xml:space="preserve"> </w:t>
      </w:r>
      <w:r w:rsidRPr="00273A3E">
        <w:rPr>
          <w:rFonts w:ascii="Times New Roman" w:hAnsi="Times New Roman"/>
          <w:lang w:val="lt-LT"/>
        </w:rPr>
        <w:t xml:space="preserve">antrinės veiksmingumo vertinamosios baigtys buvo bendras išgyventas laikotarpis (angl. </w:t>
      </w:r>
      <w:proofErr w:type="spellStart"/>
      <w:r w:rsidRPr="00273A3E">
        <w:rPr>
          <w:rFonts w:ascii="Times New Roman" w:hAnsi="Times New Roman"/>
          <w:i/>
          <w:iCs/>
          <w:lang w:val="lt-LT"/>
        </w:rPr>
        <w:t>overall</w:t>
      </w:r>
      <w:proofErr w:type="spellEnd"/>
      <w:r w:rsidR="007F07DF" w:rsidRPr="00273A3E">
        <w:rPr>
          <w:rFonts w:ascii="Times New Roman" w:hAnsi="Times New Roman"/>
          <w:i/>
          <w:iCs/>
          <w:lang w:val="lt-LT"/>
        </w:rPr>
        <w:t xml:space="preserve"> </w:t>
      </w:r>
      <w:proofErr w:type="spellStart"/>
      <w:r w:rsidRPr="00273A3E">
        <w:rPr>
          <w:rFonts w:ascii="Times New Roman" w:hAnsi="Times New Roman"/>
          <w:i/>
          <w:iCs/>
          <w:lang w:val="lt-LT"/>
        </w:rPr>
        <w:t>survival</w:t>
      </w:r>
      <w:proofErr w:type="spellEnd"/>
      <w:r w:rsidRPr="00273A3E">
        <w:rPr>
          <w:rFonts w:ascii="Times New Roman" w:hAnsi="Times New Roman"/>
          <w:lang w:val="lt-LT"/>
        </w:rPr>
        <w:t xml:space="preserve">, OS) ir objektyvaus atsako dažnis (angl. </w:t>
      </w:r>
      <w:proofErr w:type="spellStart"/>
      <w:r w:rsidRPr="00273A3E">
        <w:rPr>
          <w:rFonts w:ascii="Times New Roman" w:hAnsi="Times New Roman"/>
          <w:i/>
          <w:iCs/>
          <w:lang w:val="lt-LT"/>
        </w:rPr>
        <w:t>objective</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response</w:t>
      </w:r>
      <w:proofErr w:type="spellEnd"/>
      <w:r w:rsidRPr="00273A3E">
        <w:rPr>
          <w:rFonts w:ascii="Times New Roman" w:hAnsi="Times New Roman"/>
          <w:i/>
          <w:iCs/>
          <w:lang w:val="lt-LT"/>
        </w:rPr>
        <w:t xml:space="preserve"> rate</w:t>
      </w:r>
      <w:r w:rsidRPr="00273A3E">
        <w:rPr>
          <w:rFonts w:ascii="Times New Roman" w:hAnsi="Times New Roman"/>
          <w:lang w:val="lt-LT"/>
        </w:rPr>
        <w:t>, ORR).</w:t>
      </w:r>
    </w:p>
    <w:p w14:paraId="6133B048" w14:textId="77777777" w:rsidR="001E5C66" w:rsidRPr="00273A3E" w:rsidRDefault="001E5C66" w:rsidP="009F71ED">
      <w:pPr>
        <w:tabs>
          <w:tab w:val="left" w:pos="567"/>
        </w:tabs>
        <w:spacing w:after="0" w:line="240" w:lineRule="auto"/>
        <w:rPr>
          <w:rFonts w:ascii="Times New Roman" w:hAnsi="Times New Roman"/>
          <w:lang w:val="lt-LT"/>
        </w:rPr>
      </w:pPr>
    </w:p>
    <w:p w14:paraId="16FE91E6"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Į šį tyrimą įtrauktų pacienčių amžiaus mediana buvo 63</w:t>
      </w:r>
      <w:r w:rsidR="00FF0074" w:rsidRPr="00273A3E">
        <w:rPr>
          <w:rFonts w:ascii="Times New Roman" w:hAnsi="Times New Roman"/>
          <w:lang w:val="lt-LT"/>
        </w:rPr>
        <w:t> met</w:t>
      </w:r>
      <w:r w:rsidRPr="00273A3E">
        <w:rPr>
          <w:rFonts w:ascii="Times New Roman" w:hAnsi="Times New Roman"/>
          <w:lang w:val="lt-LT"/>
        </w:rPr>
        <w:t>ai (diapazonas – 36–90</w:t>
      </w:r>
      <w:r w:rsidR="00FF0074" w:rsidRPr="00273A3E">
        <w:rPr>
          <w:rFonts w:ascii="Times New Roman" w:hAnsi="Times New Roman"/>
          <w:lang w:val="lt-LT"/>
        </w:rPr>
        <w:t> met</w:t>
      </w:r>
      <w:r w:rsidR="00B03436" w:rsidRPr="00273A3E">
        <w:rPr>
          <w:rFonts w:ascii="Times New Roman" w:hAnsi="Times New Roman"/>
          <w:lang w:val="lt-LT"/>
        </w:rPr>
        <w:t>ų</w:t>
      </w:r>
      <w:r w:rsidRPr="00273A3E">
        <w:rPr>
          <w:rFonts w:ascii="Times New Roman" w:hAnsi="Times New Roman"/>
          <w:lang w:val="lt-LT"/>
        </w:rPr>
        <w:t>). Daugumos</w:t>
      </w:r>
      <w:r w:rsidR="00B03436" w:rsidRPr="00273A3E">
        <w:rPr>
          <w:rFonts w:ascii="Times New Roman" w:hAnsi="Times New Roman"/>
          <w:lang w:val="lt-LT"/>
        </w:rPr>
        <w:t xml:space="preserve"> </w:t>
      </w:r>
      <w:r w:rsidRPr="00273A3E">
        <w:rPr>
          <w:rFonts w:ascii="Times New Roman" w:hAnsi="Times New Roman"/>
          <w:lang w:val="lt-LT"/>
        </w:rPr>
        <w:t>(87</w:t>
      </w:r>
      <w:r w:rsidR="00767049" w:rsidRPr="00273A3E">
        <w:rPr>
          <w:rFonts w:ascii="Times New Roman" w:hAnsi="Times New Roman"/>
          <w:lang w:val="lt-LT"/>
        </w:rPr>
        <w:t> </w:t>
      </w:r>
      <w:r w:rsidRPr="00273A3E">
        <w:rPr>
          <w:rFonts w:ascii="Times New Roman" w:hAnsi="Times New Roman"/>
          <w:lang w:val="lt-LT"/>
        </w:rPr>
        <w:t>%) pacienčių navikai įtraukimo</w:t>
      </w:r>
      <w:r w:rsidR="00B03436"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buvo</w:t>
      </w:r>
      <w:r w:rsidR="00B03436" w:rsidRPr="00273A3E">
        <w:rPr>
          <w:rFonts w:ascii="Times New Roman" w:hAnsi="Times New Roman"/>
          <w:lang w:val="lt-LT"/>
        </w:rPr>
        <w:t xml:space="preserve"> </w:t>
      </w:r>
      <w:proofErr w:type="spellStart"/>
      <w:r w:rsidR="00FF0074" w:rsidRPr="00273A3E">
        <w:rPr>
          <w:rFonts w:ascii="Times New Roman" w:hAnsi="Times New Roman"/>
          <w:lang w:val="lt-LT"/>
        </w:rPr>
        <w:t>met</w:t>
      </w:r>
      <w:r w:rsidRPr="00273A3E">
        <w:rPr>
          <w:rFonts w:ascii="Times New Roman" w:hAnsi="Times New Roman"/>
          <w:lang w:val="lt-LT"/>
        </w:rPr>
        <w:t>astazavę</w:t>
      </w:r>
      <w:proofErr w:type="spellEnd"/>
      <w:r w:rsidRPr="00273A3E">
        <w:rPr>
          <w:rFonts w:ascii="Times New Roman" w:hAnsi="Times New Roman"/>
          <w:lang w:val="lt-LT"/>
        </w:rPr>
        <w:t xml:space="preserve">, </w:t>
      </w:r>
      <w:r w:rsidR="005D6034" w:rsidRPr="00273A3E">
        <w:rPr>
          <w:rFonts w:ascii="Times New Roman" w:hAnsi="Times New Roman"/>
          <w:lang w:val="lt-LT"/>
        </w:rPr>
        <w:t>penkiasdešimt penkių procentų (</w:t>
      </w:r>
      <w:r w:rsidRPr="00273A3E">
        <w:rPr>
          <w:rFonts w:ascii="Times New Roman" w:hAnsi="Times New Roman"/>
          <w:lang w:val="lt-LT"/>
        </w:rPr>
        <w:t>55</w:t>
      </w:r>
      <w:r w:rsidR="00767049" w:rsidRPr="00273A3E">
        <w:rPr>
          <w:rFonts w:ascii="Times New Roman" w:hAnsi="Times New Roman"/>
          <w:lang w:val="lt-LT"/>
        </w:rPr>
        <w:t> </w:t>
      </w:r>
      <w:r w:rsidRPr="00273A3E">
        <w:rPr>
          <w:rFonts w:ascii="Times New Roman" w:hAnsi="Times New Roman"/>
          <w:lang w:val="lt-LT"/>
        </w:rPr>
        <w:t>%</w:t>
      </w:r>
      <w:r w:rsidR="005D6034" w:rsidRPr="00273A3E">
        <w:rPr>
          <w:rFonts w:ascii="Times New Roman" w:hAnsi="Times New Roman"/>
          <w:lang w:val="lt-LT"/>
        </w:rPr>
        <w:t>)</w:t>
      </w:r>
      <w:r w:rsidRPr="00273A3E">
        <w:rPr>
          <w:rFonts w:ascii="Times New Roman" w:hAnsi="Times New Roman"/>
          <w:lang w:val="lt-LT"/>
        </w:rPr>
        <w:t xml:space="preserve"> pacienčių – į </w:t>
      </w:r>
      <w:proofErr w:type="spellStart"/>
      <w:r w:rsidRPr="00273A3E">
        <w:rPr>
          <w:rFonts w:ascii="Times New Roman" w:hAnsi="Times New Roman"/>
          <w:lang w:val="lt-LT"/>
        </w:rPr>
        <w:t>visceralinius</w:t>
      </w:r>
      <w:proofErr w:type="spellEnd"/>
      <w:r w:rsidRPr="00273A3E">
        <w:rPr>
          <w:rFonts w:ascii="Times New Roman" w:hAnsi="Times New Roman"/>
          <w:lang w:val="lt-LT"/>
        </w:rPr>
        <w:t xml:space="preserve"> organus.</w:t>
      </w:r>
      <w:r w:rsidR="005D6034" w:rsidRPr="00273A3E">
        <w:rPr>
          <w:rFonts w:ascii="Times New Roman" w:hAnsi="Times New Roman"/>
          <w:lang w:val="lt-LT"/>
        </w:rPr>
        <w:t xml:space="preserve"> </w:t>
      </w:r>
      <w:r w:rsidR="00E2194B" w:rsidRPr="00273A3E">
        <w:rPr>
          <w:rFonts w:ascii="Times New Roman" w:hAnsi="Times New Roman"/>
          <w:lang w:val="lt-LT"/>
        </w:rPr>
        <w:t xml:space="preserve">Iš viso </w:t>
      </w:r>
      <w:r w:rsidRPr="00273A3E">
        <w:rPr>
          <w:rFonts w:ascii="Times New Roman" w:hAnsi="Times New Roman"/>
          <w:lang w:val="lt-LT"/>
        </w:rPr>
        <w:t>17,1</w:t>
      </w:r>
      <w:r w:rsidR="00767049" w:rsidRPr="00273A3E">
        <w:rPr>
          <w:rFonts w:ascii="Times New Roman" w:hAnsi="Times New Roman"/>
          <w:lang w:val="lt-LT"/>
        </w:rPr>
        <w:t> </w:t>
      </w:r>
      <w:r w:rsidRPr="00273A3E">
        <w:rPr>
          <w:rFonts w:ascii="Times New Roman" w:hAnsi="Times New Roman"/>
          <w:lang w:val="lt-LT"/>
        </w:rPr>
        <w:t>% pacienčių anksčiau buvo taikyta progresavusio naviko chemoterapija, 84,2</w:t>
      </w:r>
      <w:r w:rsidR="00767049" w:rsidRPr="00273A3E">
        <w:rPr>
          <w:rFonts w:ascii="Times New Roman" w:hAnsi="Times New Roman"/>
          <w:lang w:val="lt-LT"/>
        </w:rPr>
        <w:t> </w:t>
      </w:r>
      <w:r w:rsidRPr="00273A3E">
        <w:rPr>
          <w:rFonts w:ascii="Times New Roman" w:hAnsi="Times New Roman"/>
          <w:lang w:val="lt-LT"/>
        </w:rPr>
        <w:t>% pacienčių naviką</w:t>
      </w:r>
      <w:r w:rsidR="005D6034" w:rsidRPr="00273A3E">
        <w:rPr>
          <w:rFonts w:ascii="Times New Roman" w:hAnsi="Times New Roman"/>
          <w:lang w:val="lt-LT"/>
        </w:rPr>
        <w:t xml:space="preserve"> </w:t>
      </w:r>
      <w:r w:rsidRPr="00273A3E">
        <w:rPr>
          <w:rFonts w:ascii="Times New Roman" w:hAnsi="Times New Roman"/>
          <w:lang w:val="lt-LT"/>
        </w:rPr>
        <w:t>buvo galima išmatuoti.</w:t>
      </w:r>
    </w:p>
    <w:p w14:paraId="3F2FF2EE" w14:textId="77777777" w:rsidR="001E5C66" w:rsidRPr="00273A3E" w:rsidRDefault="001E5C66" w:rsidP="009F71ED">
      <w:pPr>
        <w:tabs>
          <w:tab w:val="left" w:pos="567"/>
        </w:tabs>
        <w:spacing w:after="0" w:line="240" w:lineRule="auto"/>
        <w:rPr>
          <w:rFonts w:ascii="Times New Roman" w:hAnsi="Times New Roman"/>
          <w:lang w:val="lt-LT"/>
        </w:rPr>
      </w:pPr>
    </w:p>
    <w:p w14:paraId="2D876E27"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Daugumoje iš anksto numatytų pacienčių pogrupių gauti išmatuojami duomenys. Palyginus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grupes, </w:t>
      </w:r>
      <w:proofErr w:type="spellStart"/>
      <w:r w:rsidRPr="00273A3E">
        <w:rPr>
          <w:rFonts w:ascii="Times New Roman" w:hAnsi="Times New Roman"/>
          <w:lang w:val="lt-LT"/>
        </w:rPr>
        <w:t>visceralinių</w:t>
      </w:r>
      <w:proofErr w:type="spellEnd"/>
      <w:r w:rsidR="00412787"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astazių neturėjusių pacienčių (n</w:t>
      </w:r>
      <w:r w:rsidR="00412787" w:rsidRPr="00273A3E">
        <w:rPr>
          <w:rFonts w:ascii="Times New Roman" w:hAnsi="Times New Roman"/>
          <w:lang w:val="lt-LT"/>
        </w:rPr>
        <w:t> </w:t>
      </w:r>
      <w:r w:rsidRPr="00273A3E">
        <w:rPr>
          <w:rFonts w:ascii="Times New Roman" w:hAnsi="Times New Roman"/>
          <w:lang w:val="lt-LT"/>
        </w:rPr>
        <w:t>=</w:t>
      </w:r>
      <w:r w:rsidR="00412787" w:rsidRPr="00273A3E">
        <w:rPr>
          <w:rFonts w:ascii="Times New Roman" w:hAnsi="Times New Roman"/>
          <w:lang w:val="lt-LT"/>
        </w:rPr>
        <w:t> </w:t>
      </w:r>
      <w:r w:rsidRPr="00273A3E">
        <w:rPr>
          <w:rFonts w:ascii="Times New Roman" w:hAnsi="Times New Roman"/>
          <w:lang w:val="lt-LT"/>
        </w:rPr>
        <w:t xml:space="preserve">208) pogrupio </w:t>
      </w:r>
      <w:r w:rsidR="00B64404" w:rsidRPr="00273A3E">
        <w:rPr>
          <w:rFonts w:ascii="Times New Roman" w:hAnsi="Times New Roman"/>
          <w:lang w:val="lt-LT"/>
        </w:rPr>
        <w:t>SR</w:t>
      </w:r>
      <w:r w:rsidRPr="00273A3E">
        <w:rPr>
          <w:rFonts w:ascii="Times New Roman" w:hAnsi="Times New Roman"/>
          <w:lang w:val="lt-LT"/>
        </w:rPr>
        <w:t xml:space="preserve"> buvo 0,592 (95 % PI – nuo 0,419 iki 0,837). Jų turėjusių pacienčių (n</w:t>
      </w:r>
      <w:r w:rsidR="00412787" w:rsidRPr="00273A3E">
        <w:rPr>
          <w:rFonts w:ascii="Times New Roman" w:hAnsi="Times New Roman"/>
          <w:lang w:val="lt-LT"/>
        </w:rPr>
        <w:t> </w:t>
      </w:r>
      <w:r w:rsidRPr="00273A3E">
        <w:rPr>
          <w:rFonts w:ascii="Times New Roman" w:hAnsi="Times New Roman"/>
          <w:lang w:val="lt-LT"/>
        </w:rPr>
        <w:t>=</w:t>
      </w:r>
      <w:r w:rsidR="00412787" w:rsidRPr="00273A3E">
        <w:rPr>
          <w:rFonts w:ascii="Times New Roman" w:hAnsi="Times New Roman"/>
          <w:lang w:val="lt-LT"/>
        </w:rPr>
        <w:t> </w:t>
      </w:r>
      <w:r w:rsidRPr="00273A3E">
        <w:rPr>
          <w:rFonts w:ascii="Times New Roman" w:hAnsi="Times New Roman"/>
          <w:lang w:val="lt-LT"/>
        </w:rPr>
        <w:t xml:space="preserve">254) pogrupio </w:t>
      </w:r>
      <w:r w:rsidR="00B64404" w:rsidRPr="00273A3E">
        <w:rPr>
          <w:rFonts w:ascii="Times New Roman" w:hAnsi="Times New Roman"/>
          <w:lang w:val="lt-LT"/>
        </w:rPr>
        <w:t>SR</w:t>
      </w:r>
      <w:r w:rsidRPr="00273A3E">
        <w:rPr>
          <w:rFonts w:ascii="Times New Roman" w:hAnsi="Times New Roman"/>
          <w:lang w:val="lt-LT"/>
        </w:rPr>
        <w:t xml:space="preserve">, palyginus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grupes, buvo 0,993 (95 % PI – nuo 0,740 iki 1,331). FALCON tyrimo</w:t>
      </w:r>
      <w:r w:rsidR="00034DF8"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gauti veiksmingumo duomenys pateikiami 4</w:t>
      </w:r>
      <w:r w:rsidR="00FF0074" w:rsidRPr="00273A3E">
        <w:rPr>
          <w:rFonts w:ascii="Times New Roman" w:hAnsi="Times New Roman"/>
          <w:lang w:val="lt-LT"/>
        </w:rPr>
        <w:t> lent</w:t>
      </w:r>
      <w:r w:rsidRPr="00273A3E">
        <w:rPr>
          <w:rFonts w:ascii="Times New Roman" w:hAnsi="Times New Roman"/>
          <w:lang w:val="lt-LT"/>
        </w:rPr>
        <w:t>elėje ir 1</w:t>
      </w:r>
      <w:r w:rsidR="007F07DF" w:rsidRPr="00273A3E">
        <w:rPr>
          <w:rFonts w:ascii="Times New Roman" w:hAnsi="Times New Roman"/>
          <w:lang w:val="lt-LT"/>
        </w:rPr>
        <w:t> </w:t>
      </w:r>
      <w:r w:rsidRPr="00273A3E">
        <w:rPr>
          <w:rFonts w:ascii="Times New Roman" w:hAnsi="Times New Roman"/>
          <w:lang w:val="lt-LT"/>
        </w:rPr>
        <w:t>pav.</w:t>
      </w:r>
    </w:p>
    <w:p w14:paraId="3F9991E7" w14:textId="77777777" w:rsidR="00225CF5" w:rsidRPr="00273A3E" w:rsidRDefault="00225CF5" w:rsidP="009F71ED">
      <w:pPr>
        <w:tabs>
          <w:tab w:val="left" w:pos="567"/>
        </w:tabs>
        <w:autoSpaceDE w:val="0"/>
        <w:autoSpaceDN w:val="0"/>
        <w:adjustRightInd w:val="0"/>
        <w:spacing w:after="0" w:line="240" w:lineRule="auto"/>
        <w:rPr>
          <w:rFonts w:ascii="Times New Roman" w:hAnsi="Times New Roman"/>
          <w:b/>
          <w:bCs/>
          <w:lang w:val="lt-LT"/>
        </w:rPr>
      </w:pPr>
    </w:p>
    <w:p w14:paraId="017F2C8E" w14:textId="77777777" w:rsidR="001E5C66" w:rsidRPr="00273A3E" w:rsidRDefault="001E5C66" w:rsidP="009F71ED">
      <w:pPr>
        <w:keepNext/>
        <w:keepLines/>
        <w:tabs>
          <w:tab w:val="left" w:pos="567"/>
        </w:tabs>
        <w:autoSpaceDE w:val="0"/>
        <w:autoSpaceDN w:val="0"/>
        <w:adjustRightInd w:val="0"/>
        <w:spacing w:after="0" w:line="240" w:lineRule="auto"/>
        <w:rPr>
          <w:rFonts w:ascii="Times New Roman" w:hAnsi="Times New Roman"/>
          <w:b/>
          <w:bCs/>
          <w:lang w:val="lt-LT"/>
        </w:rPr>
      </w:pPr>
      <w:r w:rsidRPr="00273A3E">
        <w:rPr>
          <w:rFonts w:ascii="Times New Roman" w:hAnsi="Times New Roman"/>
          <w:b/>
          <w:bCs/>
          <w:lang w:val="lt-LT"/>
        </w:rPr>
        <w:t>4</w:t>
      </w:r>
      <w:r w:rsidR="00FF0074" w:rsidRPr="00273A3E">
        <w:rPr>
          <w:rFonts w:ascii="Times New Roman" w:hAnsi="Times New Roman"/>
          <w:b/>
          <w:bCs/>
          <w:lang w:val="lt-LT"/>
        </w:rPr>
        <w:t> lent</w:t>
      </w:r>
      <w:r w:rsidRPr="00273A3E">
        <w:rPr>
          <w:rFonts w:ascii="Times New Roman" w:hAnsi="Times New Roman"/>
          <w:b/>
          <w:bCs/>
          <w:lang w:val="lt-LT"/>
        </w:rPr>
        <w:t xml:space="preserve">elė. </w:t>
      </w:r>
      <w:r w:rsidR="009678C6" w:rsidRPr="00273A3E">
        <w:rPr>
          <w:rFonts w:ascii="Times New Roman" w:hAnsi="Times New Roman"/>
          <w:b/>
          <w:bCs/>
          <w:lang w:val="lt-LT"/>
        </w:rPr>
        <w:tab/>
      </w:r>
      <w:r w:rsidRPr="00273A3E">
        <w:rPr>
          <w:rFonts w:ascii="Times New Roman" w:hAnsi="Times New Roman"/>
          <w:b/>
          <w:bCs/>
          <w:lang w:val="lt-LT"/>
        </w:rPr>
        <w:t>Pagrindinės veiksmingumo vertinamosios baigties (PFS) tyrėjo vertinimu ir</w:t>
      </w:r>
      <w:r w:rsidR="007F07DF" w:rsidRPr="00273A3E">
        <w:rPr>
          <w:rFonts w:ascii="Times New Roman" w:hAnsi="Times New Roman"/>
          <w:b/>
          <w:bCs/>
          <w:lang w:val="lt-LT"/>
        </w:rPr>
        <w:t xml:space="preserve"> </w:t>
      </w:r>
      <w:r w:rsidRPr="00273A3E">
        <w:rPr>
          <w:rFonts w:ascii="Times New Roman" w:hAnsi="Times New Roman"/>
          <w:b/>
          <w:bCs/>
          <w:lang w:val="lt-LT"/>
        </w:rPr>
        <w:t>svarbiausių antrinių veiksmingumo vertinamųjų baigčių duomenų santrauka numatytai gydyti</w:t>
      </w:r>
      <w:r w:rsidR="007F07DF" w:rsidRPr="00273A3E">
        <w:rPr>
          <w:rFonts w:ascii="Times New Roman" w:hAnsi="Times New Roman"/>
          <w:b/>
          <w:bCs/>
          <w:lang w:val="lt-LT"/>
        </w:rPr>
        <w:t xml:space="preserve"> </w:t>
      </w:r>
      <w:r w:rsidRPr="00273A3E">
        <w:rPr>
          <w:rFonts w:ascii="Times New Roman" w:hAnsi="Times New Roman"/>
          <w:b/>
          <w:bCs/>
          <w:lang w:val="lt-LT"/>
        </w:rPr>
        <w:t>populiacijai (FALCON tyrimas)</w:t>
      </w:r>
    </w:p>
    <w:p w14:paraId="06DCEAB4" w14:textId="77777777" w:rsidR="009678C6" w:rsidRPr="00273A3E" w:rsidRDefault="009678C6" w:rsidP="009F71ED">
      <w:pPr>
        <w:keepNext/>
        <w:keepLines/>
        <w:tabs>
          <w:tab w:val="left" w:pos="567"/>
        </w:tabs>
        <w:spacing w:after="0" w:line="240" w:lineRule="auto"/>
        <w:rPr>
          <w:rFonts w:ascii="Times New Roman" w:hAnsi="Times New Roman"/>
          <w:b/>
          <w:bCs/>
          <w:lang w:val="lt-LT"/>
        </w:rPr>
      </w:pPr>
    </w:p>
    <w:tbl>
      <w:tblPr>
        <w:tblW w:w="9058" w:type="dxa"/>
        <w:tblInd w:w="95" w:type="dxa"/>
        <w:tblLayout w:type="fixed"/>
        <w:tblCellMar>
          <w:left w:w="0" w:type="dxa"/>
          <w:right w:w="0" w:type="dxa"/>
        </w:tblCellMar>
        <w:tblLook w:val="01E0" w:firstRow="1" w:lastRow="1" w:firstColumn="1" w:lastColumn="1" w:noHBand="0" w:noVBand="0"/>
      </w:tblPr>
      <w:tblGrid>
        <w:gridCol w:w="3455"/>
        <w:gridCol w:w="2823"/>
        <w:gridCol w:w="2780"/>
      </w:tblGrid>
      <w:tr w:rsidR="001E5C66" w:rsidRPr="00273A3E" w14:paraId="06274DD8" w14:textId="77777777" w:rsidTr="00C53407">
        <w:trPr>
          <w:trHeight w:hRule="exact" w:val="994"/>
        </w:trPr>
        <w:tc>
          <w:tcPr>
            <w:tcW w:w="3455" w:type="dxa"/>
            <w:tcBorders>
              <w:top w:val="single" w:sz="5" w:space="0" w:color="000000"/>
              <w:left w:val="single" w:sz="5" w:space="0" w:color="000000"/>
              <w:bottom w:val="single" w:sz="5" w:space="0" w:color="000000"/>
              <w:right w:val="single" w:sz="5" w:space="0" w:color="000000"/>
            </w:tcBorders>
            <w:vAlign w:val="center"/>
          </w:tcPr>
          <w:p w14:paraId="6424A7D3" w14:textId="77777777" w:rsidR="001E5C66" w:rsidRPr="00273A3E" w:rsidRDefault="001E5C66" w:rsidP="009F71ED">
            <w:pPr>
              <w:keepNext/>
              <w:keepLines/>
              <w:tabs>
                <w:tab w:val="left" w:pos="567"/>
              </w:tabs>
              <w:spacing w:after="0" w:line="240" w:lineRule="auto"/>
              <w:rPr>
                <w:rFonts w:ascii="Times New Roman" w:hAnsi="Times New Roman"/>
                <w:lang w:val="lt-LT"/>
              </w:rPr>
            </w:pPr>
          </w:p>
        </w:tc>
        <w:tc>
          <w:tcPr>
            <w:tcW w:w="2823" w:type="dxa"/>
            <w:tcBorders>
              <w:top w:val="single" w:sz="5" w:space="0" w:color="000000"/>
              <w:left w:val="single" w:sz="5" w:space="0" w:color="000000"/>
              <w:bottom w:val="single" w:sz="5" w:space="0" w:color="000000"/>
              <w:right w:val="single" w:sz="5" w:space="0" w:color="000000"/>
            </w:tcBorders>
            <w:vAlign w:val="center"/>
          </w:tcPr>
          <w:p w14:paraId="6D4723FA" w14:textId="77777777" w:rsidR="001E5C66" w:rsidRPr="00273A3E" w:rsidRDefault="001E5C66" w:rsidP="009F71ED">
            <w:pPr>
              <w:keepNext/>
              <w:keepLines/>
              <w:widowControl w:val="0"/>
              <w:tabs>
                <w:tab w:val="left" w:pos="567"/>
              </w:tabs>
              <w:spacing w:after="0" w:line="240" w:lineRule="auto"/>
              <w:jc w:val="center"/>
              <w:rPr>
                <w:rFonts w:ascii="Times New Roman" w:hAnsi="Times New Roman"/>
                <w:lang w:val="lt-LT"/>
              </w:rPr>
            </w:pPr>
            <w:proofErr w:type="spellStart"/>
            <w:r w:rsidRPr="00273A3E">
              <w:rPr>
                <w:rFonts w:ascii="Times New Roman" w:hAnsi="Times New Roman"/>
                <w:b/>
                <w:spacing w:val="-2"/>
                <w:lang w:val="lt-LT"/>
              </w:rPr>
              <w:t>Fulvestrantas</w:t>
            </w:r>
            <w:proofErr w:type="spellEnd"/>
          </w:p>
          <w:p w14:paraId="5D3C1991" w14:textId="77777777" w:rsidR="001E5C66" w:rsidRPr="00273A3E" w:rsidRDefault="001E5C66" w:rsidP="009F71ED">
            <w:pPr>
              <w:keepNext/>
              <w:keepLines/>
              <w:widowControl w:val="0"/>
              <w:tabs>
                <w:tab w:val="left" w:pos="567"/>
              </w:tabs>
              <w:spacing w:after="0" w:line="240" w:lineRule="auto"/>
              <w:jc w:val="center"/>
              <w:rPr>
                <w:rFonts w:ascii="Times New Roman" w:hAnsi="Times New Roman"/>
                <w:b/>
                <w:spacing w:val="-5"/>
                <w:lang w:val="lt-LT"/>
              </w:rPr>
            </w:pPr>
            <w:r w:rsidRPr="00273A3E">
              <w:rPr>
                <w:rFonts w:ascii="Times New Roman" w:hAnsi="Times New Roman"/>
                <w:b/>
                <w:lang w:val="lt-LT"/>
              </w:rPr>
              <w:t>500</w:t>
            </w:r>
            <w:r w:rsidR="00FF0074" w:rsidRPr="00273A3E">
              <w:rPr>
                <w:rFonts w:ascii="Times New Roman" w:hAnsi="Times New Roman"/>
                <w:b/>
                <w:lang w:val="lt-LT"/>
              </w:rPr>
              <w:t> mg</w:t>
            </w:r>
          </w:p>
          <w:p w14:paraId="65ADB14E" w14:textId="77777777" w:rsidR="001E5C66" w:rsidRPr="00273A3E" w:rsidRDefault="001E5C66" w:rsidP="009F71ED">
            <w:pPr>
              <w:keepNext/>
              <w:keepLines/>
              <w:widowControl w:val="0"/>
              <w:tabs>
                <w:tab w:val="left" w:pos="567"/>
              </w:tabs>
              <w:spacing w:after="0" w:line="240" w:lineRule="auto"/>
              <w:jc w:val="center"/>
              <w:rPr>
                <w:rFonts w:ascii="Times New Roman" w:hAnsi="Times New Roman"/>
                <w:lang w:val="lt-LT"/>
              </w:rPr>
            </w:pPr>
            <w:r w:rsidRPr="00273A3E">
              <w:rPr>
                <w:rFonts w:ascii="Times New Roman" w:hAnsi="Times New Roman"/>
                <w:b/>
                <w:spacing w:val="-1"/>
                <w:lang w:val="lt-LT"/>
              </w:rPr>
              <w:t>(N</w:t>
            </w:r>
            <w:r w:rsidR="007F07DF" w:rsidRPr="00273A3E">
              <w:rPr>
                <w:rFonts w:ascii="Times New Roman" w:hAnsi="Times New Roman"/>
                <w:b/>
                <w:spacing w:val="-1"/>
                <w:lang w:val="lt-LT"/>
              </w:rPr>
              <w:t> </w:t>
            </w:r>
            <w:r w:rsidRPr="00273A3E">
              <w:rPr>
                <w:rFonts w:ascii="Times New Roman" w:hAnsi="Times New Roman"/>
                <w:b/>
                <w:spacing w:val="-1"/>
                <w:lang w:val="lt-LT"/>
              </w:rPr>
              <w:t>=</w:t>
            </w:r>
            <w:r w:rsidR="007F07DF" w:rsidRPr="00273A3E">
              <w:rPr>
                <w:rFonts w:ascii="Times New Roman" w:hAnsi="Times New Roman"/>
                <w:b/>
                <w:spacing w:val="-1"/>
                <w:lang w:val="lt-LT"/>
              </w:rPr>
              <w:t> </w:t>
            </w:r>
            <w:r w:rsidRPr="00273A3E">
              <w:rPr>
                <w:rFonts w:ascii="Times New Roman" w:hAnsi="Times New Roman"/>
                <w:b/>
                <w:spacing w:val="-1"/>
                <w:lang w:val="lt-LT"/>
              </w:rPr>
              <w:t>230)</w:t>
            </w:r>
          </w:p>
        </w:tc>
        <w:tc>
          <w:tcPr>
            <w:tcW w:w="2780" w:type="dxa"/>
            <w:tcBorders>
              <w:top w:val="single" w:sz="5" w:space="0" w:color="000000"/>
              <w:left w:val="single" w:sz="5" w:space="0" w:color="000000"/>
              <w:bottom w:val="single" w:sz="5" w:space="0" w:color="000000"/>
              <w:right w:val="single" w:sz="5" w:space="0" w:color="000000"/>
            </w:tcBorders>
          </w:tcPr>
          <w:p w14:paraId="5377F12D" w14:textId="77777777" w:rsidR="001E5C66" w:rsidRPr="00273A3E" w:rsidRDefault="001E5C66" w:rsidP="009F71ED">
            <w:pPr>
              <w:keepNext/>
              <w:keepLines/>
              <w:widowControl w:val="0"/>
              <w:tabs>
                <w:tab w:val="left" w:pos="567"/>
              </w:tabs>
              <w:spacing w:after="0" w:line="240" w:lineRule="auto"/>
              <w:jc w:val="center"/>
              <w:rPr>
                <w:rFonts w:ascii="Times New Roman" w:hAnsi="Times New Roman"/>
                <w:lang w:val="lt-LT"/>
              </w:rPr>
            </w:pPr>
            <w:proofErr w:type="spellStart"/>
            <w:r w:rsidRPr="00273A3E">
              <w:rPr>
                <w:rFonts w:ascii="Times New Roman" w:hAnsi="Times New Roman"/>
                <w:b/>
                <w:spacing w:val="-2"/>
                <w:lang w:val="lt-LT"/>
              </w:rPr>
              <w:t>Anastrozolas</w:t>
            </w:r>
            <w:proofErr w:type="spellEnd"/>
          </w:p>
          <w:p w14:paraId="3B6C1E25" w14:textId="77777777" w:rsidR="001E5C66" w:rsidRPr="00273A3E" w:rsidRDefault="001E5C66" w:rsidP="009F71ED">
            <w:pPr>
              <w:keepNext/>
              <w:keepLines/>
              <w:widowControl w:val="0"/>
              <w:tabs>
                <w:tab w:val="left" w:pos="567"/>
              </w:tabs>
              <w:spacing w:after="0" w:line="240" w:lineRule="auto"/>
              <w:jc w:val="center"/>
              <w:rPr>
                <w:rFonts w:ascii="Times New Roman" w:hAnsi="Times New Roman"/>
                <w:b/>
                <w:spacing w:val="-1"/>
                <w:lang w:val="lt-LT"/>
              </w:rPr>
            </w:pPr>
            <w:r w:rsidRPr="00273A3E">
              <w:rPr>
                <w:rFonts w:ascii="Times New Roman" w:hAnsi="Times New Roman"/>
                <w:b/>
                <w:lang w:val="lt-LT"/>
              </w:rPr>
              <w:t>1</w:t>
            </w:r>
            <w:r w:rsidR="00FF0074" w:rsidRPr="00273A3E">
              <w:rPr>
                <w:rFonts w:ascii="Times New Roman" w:hAnsi="Times New Roman"/>
                <w:b/>
                <w:lang w:val="lt-LT"/>
              </w:rPr>
              <w:t> mg</w:t>
            </w:r>
          </w:p>
          <w:p w14:paraId="3DCD4044" w14:textId="77777777" w:rsidR="001E5C66" w:rsidRPr="00273A3E" w:rsidRDefault="001E5C66" w:rsidP="009F71ED">
            <w:pPr>
              <w:keepNext/>
              <w:keepLines/>
              <w:widowControl w:val="0"/>
              <w:tabs>
                <w:tab w:val="left" w:pos="567"/>
              </w:tabs>
              <w:spacing w:after="0" w:line="240" w:lineRule="auto"/>
              <w:jc w:val="center"/>
              <w:rPr>
                <w:rFonts w:ascii="Times New Roman" w:hAnsi="Times New Roman"/>
                <w:lang w:val="lt-LT"/>
              </w:rPr>
            </w:pPr>
            <w:r w:rsidRPr="00273A3E">
              <w:rPr>
                <w:rFonts w:ascii="Times New Roman" w:hAnsi="Times New Roman"/>
                <w:b/>
                <w:spacing w:val="-1"/>
                <w:lang w:val="lt-LT"/>
              </w:rPr>
              <w:t>(N</w:t>
            </w:r>
            <w:r w:rsidR="007F07DF" w:rsidRPr="00273A3E">
              <w:rPr>
                <w:rFonts w:ascii="Times New Roman" w:hAnsi="Times New Roman"/>
                <w:b/>
                <w:spacing w:val="-1"/>
                <w:lang w:val="lt-LT"/>
              </w:rPr>
              <w:t> </w:t>
            </w:r>
            <w:r w:rsidRPr="00273A3E">
              <w:rPr>
                <w:rFonts w:ascii="Times New Roman" w:hAnsi="Times New Roman"/>
                <w:b/>
                <w:spacing w:val="-1"/>
                <w:lang w:val="lt-LT"/>
              </w:rPr>
              <w:t>=</w:t>
            </w:r>
            <w:r w:rsidR="007F07DF" w:rsidRPr="00273A3E">
              <w:rPr>
                <w:rFonts w:ascii="Times New Roman" w:hAnsi="Times New Roman"/>
                <w:b/>
                <w:spacing w:val="-1"/>
                <w:lang w:val="lt-LT"/>
              </w:rPr>
              <w:t> </w:t>
            </w:r>
            <w:r w:rsidRPr="00273A3E">
              <w:rPr>
                <w:rFonts w:ascii="Times New Roman" w:hAnsi="Times New Roman"/>
                <w:b/>
                <w:spacing w:val="-1"/>
                <w:lang w:val="lt-LT"/>
              </w:rPr>
              <w:t>232)</w:t>
            </w:r>
          </w:p>
        </w:tc>
      </w:tr>
      <w:tr w:rsidR="001E5C66" w:rsidRPr="00273A3E" w14:paraId="7585E632" w14:textId="77777777" w:rsidTr="00C53407">
        <w:trPr>
          <w:trHeight w:hRule="exact" w:val="373"/>
        </w:trPr>
        <w:tc>
          <w:tcPr>
            <w:tcW w:w="9058" w:type="dxa"/>
            <w:gridSpan w:val="3"/>
            <w:tcBorders>
              <w:top w:val="single" w:sz="5" w:space="0" w:color="000000"/>
              <w:left w:val="single" w:sz="5" w:space="0" w:color="000000"/>
              <w:bottom w:val="single" w:sz="5" w:space="0" w:color="000000"/>
              <w:right w:val="single" w:sz="5" w:space="0" w:color="000000"/>
            </w:tcBorders>
            <w:vAlign w:val="center"/>
          </w:tcPr>
          <w:p w14:paraId="2CE2027B" w14:textId="77777777" w:rsidR="001E5C66" w:rsidRPr="00273A3E" w:rsidRDefault="001E5C66" w:rsidP="009F71ED">
            <w:pPr>
              <w:keepNext/>
              <w:keepLines/>
              <w:widowControl w:val="0"/>
              <w:tabs>
                <w:tab w:val="left" w:pos="567"/>
              </w:tabs>
              <w:spacing w:after="0" w:line="240" w:lineRule="auto"/>
              <w:rPr>
                <w:rFonts w:ascii="Times New Roman" w:hAnsi="Times New Roman"/>
                <w:bCs/>
                <w:lang w:val="lt-LT"/>
              </w:rPr>
            </w:pPr>
            <w:r w:rsidRPr="00273A3E">
              <w:rPr>
                <w:rFonts w:ascii="Times New Roman" w:hAnsi="Times New Roman"/>
                <w:bCs/>
                <w:spacing w:val="-1"/>
                <w:lang w:val="lt-LT"/>
              </w:rPr>
              <w:t>Neprogresuojant ligai išgyventas laikotarpis</w:t>
            </w:r>
          </w:p>
        </w:tc>
      </w:tr>
      <w:tr w:rsidR="001E5C66" w:rsidRPr="00273A3E" w14:paraId="5802469D" w14:textId="77777777" w:rsidTr="00C53407">
        <w:trPr>
          <w:trHeight w:hRule="exact" w:val="363"/>
        </w:trPr>
        <w:tc>
          <w:tcPr>
            <w:tcW w:w="3455" w:type="dxa"/>
            <w:tcBorders>
              <w:top w:val="single" w:sz="5" w:space="0" w:color="000000"/>
              <w:left w:val="single" w:sz="5" w:space="0" w:color="000000"/>
              <w:bottom w:val="single" w:sz="5" w:space="0" w:color="000000"/>
              <w:right w:val="single" w:sz="5" w:space="0" w:color="000000"/>
            </w:tcBorders>
            <w:vAlign w:val="center"/>
          </w:tcPr>
          <w:p w14:paraId="2CDD113D" w14:textId="77777777" w:rsidR="001E5C66" w:rsidRPr="00273A3E" w:rsidRDefault="001E5C66" w:rsidP="00363B73">
            <w:pPr>
              <w:keepNext/>
              <w:keepLines/>
              <w:widowControl w:val="0"/>
              <w:tabs>
                <w:tab w:val="left" w:pos="567"/>
              </w:tabs>
              <w:spacing w:after="0" w:line="240" w:lineRule="auto"/>
              <w:rPr>
                <w:rFonts w:ascii="Times New Roman" w:hAnsi="Times New Roman"/>
                <w:bCs/>
                <w:lang w:val="lt-LT"/>
              </w:rPr>
            </w:pPr>
            <w:r w:rsidRPr="00273A3E">
              <w:rPr>
                <w:rFonts w:ascii="Times New Roman" w:hAnsi="Times New Roman"/>
                <w:bCs/>
                <w:spacing w:val="-1"/>
                <w:lang w:val="lt-LT"/>
              </w:rPr>
              <w:t>PFS atvejų skaičius (%)</w:t>
            </w:r>
          </w:p>
        </w:tc>
        <w:tc>
          <w:tcPr>
            <w:tcW w:w="2823" w:type="dxa"/>
            <w:tcBorders>
              <w:top w:val="single" w:sz="5" w:space="0" w:color="000000"/>
              <w:left w:val="single" w:sz="5" w:space="0" w:color="000000"/>
              <w:bottom w:val="single" w:sz="5" w:space="0" w:color="000000"/>
              <w:right w:val="single" w:sz="5" w:space="0" w:color="000000"/>
            </w:tcBorders>
            <w:vAlign w:val="center"/>
          </w:tcPr>
          <w:p w14:paraId="37EB1B6A" w14:textId="77777777" w:rsidR="001E5C66" w:rsidRPr="00273A3E" w:rsidRDefault="001E5C66" w:rsidP="009F71ED">
            <w:pPr>
              <w:keepNext/>
              <w:keepLines/>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143 (62,2 %)</w:t>
            </w:r>
          </w:p>
        </w:tc>
        <w:tc>
          <w:tcPr>
            <w:tcW w:w="2780" w:type="dxa"/>
            <w:tcBorders>
              <w:top w:val="single" w:sz="5" w:space="0" w:color="000000"/>
              <w:left w:val="single" w:sz="5" w:space="0" w:color="000000"/>
              <w:bottom w:val="single" w:sz="5" w:space="0" w:color="000000"/>
              <w:right w:val="single" w:sz="5" w:space="0" w:color="000000"/>
            </w:tcBorders>
            <w:vAlign w:val="center"/>
          </w:tcPr>
          <w:p w14:paraId="51878B92" w14:textId="77777777" w:rsidR="001E5C66" w:rsidRPr="00273A3E" w:rsidRDefault="001E5C66" w:rsidP="009F71ED">
            <w:pPr>
              <w:keepNext/>
              <w:keepLines/>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166 (71,6 %)</w:t>
            </w:r>
          </w:p>
        </w:tc>
      </w:tr>
      <w:tr w:rsidR="00B70B3C" w:rsidRPr="00273A3E" w14:paraId="0ADE1B1F" w14:textId="77777777" w:rsidTr="00375C68">
        <w:trPr>
          <w:trHeight w:hRule="exact" w:val="318"/>
        </w:trPr>
        <w:tc>
          <w:tcPr>
            <w:tcW w:w="3455" w:type="dxa"/>
            <w:vMerge w:val="restart"/>
            <w:tcBorders>
              <w:top w:val="single" w:sz="5" w:space="0" w:color="000000"/>
              <w:left w:val="single" w:sz="5" w:space="0" w:color="000000"/>
              <w:right w:val="single" w:sz="5" w:space="0" w:color="000000"/>
            </w:tcBorders>
            <w:vAlign w:val="center"/>
          </w:tcPr>
          <w:p w14:paraId="6A5BE86C" w14:textId="77777777" w:rsidR="00B70B3C" w:rsidRPr="00273A3E" w:rsidRDefault="00B70B3C" w:rsidP="009F71ED">
            <w:pPr>
              <w:keepNext/>
              <w:keepLines/>
              <w:widowControl w:val="0"/>
              <w:tabs>
                <w:tab w:val="left" w:pos="567"/>
              </w:tabs>
              <w:spacing w:after="0" w:line="240" w:lineRule="auto"/>
              <w:rPr>
                <w:rFonts w:ascii="Times New Roman" w:hAnsi="Times New Roman"/>
                <w:bCs/>
                <w:lang w:val="lt-LT"/>
              </w:rPr>
            </w:pPr>
            <w:r w:rsidRPr="00273A3E">
              <w:rPr>
                <w:rFonts w:ascii="Times New Roman" w:hAnsi="Times New Roman"/>
                <w:bCs/>
                <w:lang w:val="lt-LT"/>
              </w:rPr>
              <w:t>PFS SR (95 % PI) ir</w:t>
            </w:r>
          </w:p>
          <w:p w14:paraId="62F06CF2" w14:textId="77777777" w:rsidR="00B70B3C" w:rsidRPr="00273A3E" w:rsidRDefault="00B70B3C" w:rsidP="009F71ED">
            <w:pPr>
              <w:keepNext/>
              <w:keepLines/>
              <w:widowControl w:val="0"/>
              <w:tabs>
                <w:tab w:val="left" w:pos="567"/>
              </w:tabs>
              <w:spacing w:after="0" w:line="240" w:lineRule="auto"/>
              <w:rPr>
                <w:rFonts w:ascii="Times New Roman" w:hAnsi="Times New Roman"/>
                <w:bCs/>
                <w:lang w:val="lt-LT"/>
              </w:rPr>
            </w:pPr>
            <w:r w:rsidRPr="00273A3E">
              <w:rPr>
                <w:rFonts w:ascii="Times New Roman" w:hAnsi="Times New Roman"/>
                <w:bCs/>
                <w:lang w:val="lt-LT"/>
              </w:rPr>
              <w:t>p reikšmė</w:t>
            </w:r>
          </w:p>
        </w:tc>
        <w:tc>
          <w:tcPr>
            <w:tcW w:w="5603" w:type="dxa"/>
            <w:gridSpan w:val="2"/>
            <w:tcBorders>
              <w:top w:val="single" w:sz="5" w:space="0" w:color="000000"/>
              <w:left w:val="single" w:sz="5" w:space="0" w:color="000000"/>
              <w:bottom w:val="nil"/>
              <w:right w:val="single" w:sz="5" w:space="0" w:color="000000"/>
            </w:tcBorders>
            <w:vAlign w:val="center"/>
          </w:tcPr>
          <w:p w14:paraId="3C906777" w14:textId="77777777" w:rsidR="00B70B3C" w:rsidRPr="00273A3E" w:rsidRDefault="00B70B3C" w:rsidP="009F71ED">
            <w:pPr>
              <w:keepNext/>
              <w:keepLines/>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SR 0,797 (0,637</w:t>
            </w:r>
            <w:r w:rsidRPr="00273A3E">
              <w:rPr>
                <w:rFonts w:ascii="Times New Roman" w:hAnsi="Times New Roman"/>
                <w:bCs/>
                <w:lang w:val="lt-LT"/>
              </w:rPr>
              <w:t>–</w:t>
            </w:r>
            <w:r w:rsidRPr="00273A3E">
              <w:rPr>
                <w:rFonts w:ascii="Times New Roman" w:hAnsi="Times New Roman"/>
                <w:bCs/>
                <w:spacing w:val="-1"/>
                <w:lang w:val="lt-LT"/>
              </w:rPr>
              <w:t>0,999)</w:t>
            </w:r>
          </w:p>
        </w:tc>
      </w:tr>
      <w:tr w:rsidR="00B70B3C" w:rsidRPr="00273A3E" w14:paraId="13E430CB" w14:textId="77777777" w:rsidTr="00375C68">
        <w:trPr>
          <w:trHeight w:hRule="exact" w:val="359"/>
        </w:trPr>
        <w:tc>
          <w:tcPr>
            <w:tcW w:w="3455" w:type="dxa"/>
            <w:vMerge/>
            <w:tcBorders>
              <w:left w:val="single" w:sz="5" w:space="0" w:color="000000"/>
              <w:bottom w:val="single" w:sz="5" w:space="0" w:color="000000"/>
              <w:right w:val="single" w:sz="5" w:space="0" w:color="000000"/>
            </w:tcBorders>
            <w:vAlign w:val="center"/>
          </w:tcPr>
          <w:p w14:paraId="05C33467" w14:textId="77777777" w:rsidR="00B70B3C" w:rsidRPr="00273A3E" w:rsidRDefault="00B70B3C" w:rsidP="009F71ED">
            <w:pPr>
              <w:widowControl w:val="0"/>
              <w:tabs>
                <w:tab w:val="left" w:pos="567"/>
              </w:tabs>
              <w:spacing w:after="0" w:line="240" w:lineRule="auto"/>
              <w:rPr>
                <w:rFonts w:ascii="Times New Roman" w:hAnsi="Times New Roman"/>
                <w:bCs/>
                <w:lang w:val="lt-LT"/>
              </w:rPr>
            </w:pPr>
          </w:p>
        </w:tc>
        <w:tc>
          <w:tcPr>
            <w:tcW w:w="5603" w:type="dxa"/>
            <w:gridSpan w:val="2"/>
            <w:tcBorders>
              <w:top w:val="nil"/>
              <w:left w:val="single" w:sz="5" w:space="0" w:color="000000"/>
              <w:bottom w:val="single" w:sz="5" w:space="0" w:color="000000"/>
              <w:right w:val="single" w:sz="5" w:space="0" w:color="000000"/>
            </w:tcBorders>
            <w:vAlign w:val="center"/>
          </w:tcPr>
          <w:p w14:paraId="2CBE197A" w14:textId="77777777" w:rsidR="00B70B3C" w:rsidRPr="00273A3E" w:rsidRDefault="00B70B3C"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lang w:val="lt-LT"/>
              </w:rPr>
              <w:t>p = </w:t>
            </w:r>
            <w:r w:rsidRPr="00273A3E">
              <w:rPr>
                <w:rFonts w:ascii="Times New Roman" w:hAnsi="Times New Roman"/>
                <w:bCs/>
                <w:spacing w:val="-1"/>
                <w:lang w:val="lt-LT"/>
              </w:rPr>
              <w:t>0,0486</w:t>
            </w:r>
          </w:p>
        </w:tc>
      </w:tr>
      <w:tr w:rsidR="001E5C66" w:rsidRPr="00273A3E" w14:paraId="4E0F53CE" w14:textId="77777777" w:rsidTr="00C53407">
        <w:trPr>
          <w:trHeight w:hRule="exact" w:val="434"/>
        </w:trPr>
        <w:tc>
          <w:tcPr>
            <w:tcW w:w="3455" w:type="dxa"/>
            <w:tcBorders>
              <w:top w:val="single" w:sz="5" w:space="0" w:color="000000"/>
              <w:left w:val="single" w:sz="5" w:space="0" w:color="000000"/>
              <w:bottom w:val="single" w:sz="5" w:space="0" w:color="000000"/>
              <w:right w:val="single" w:sz="5" w:space="0" w:color="000000"/>
            </w:tcBorders>
            <w:vAlign w:val="center"/>
          </w:tcPr>
          <w:p w14:paraId="34309C8F" w14:textId="77777777" w:rsidR="001E5C66" w:rsidRPr="00273A3E" w:rsidRDefault="001E5C66" w:rsidP="009F71ED">
            <w:pPr>
              <w:widowControl w:val="0"/>
              <w:tabs>
                <w:tab w:val="left" w:pos="567"/>
              </w:tabs>
              <w:spacing w:after="0" w:line="240" w:lineRule="auto"/>
              <w:rPr>
                <w:rFonts w:ascii="Times New Roman" w:hAnsi="Times New Roman"/>
                <w:bCs/>
                <w:lang w:val="lt-LT"/>
              </w:rPr>
            </w:pPr>
            <w:r w:rsidRPr="00273A3E">
              <w:rPr>
                <w:rFonts w:ascii="Times New Roman" w:eastAsia="Batang" w:hAnsi="Times New Roman"/>
                <w:bCs/>
                <w:lang w:val="lt-LT"/>
              </w:rPr>
              <w:t>PFS mediana, mėn. (95 % PI)</w:t>
            </w:r>
          </w:p>
        </w:tc>
        <w:tc>
          <w:tcPr>
            <w:tcW w:w="2823" w:type="dxa"/>
            <w:tcBorders>
              <w:top w:val="single" w:sz="5" w:space="0" w:color="000000"/>
              <w:left w:val="single" w:sz="5" w:space="0" w:color="000000"/>
              <w:bottom w:val="single" w:sz="5" w:space="0" w:color="000000"/>
              <w:right w:val="single" w:sz="5" w:space="0" w:color="000000"/>
            </w:tcBorders>
            <w:vAlign w:val="center"/>
          </w:tcPr>
          <w:p w14:paraId="47F2F85C" w14:textId="77777777" w:rsidR="001E5C66" w:rsidRPr="00273A3E" w:rsidRDefault="001E5C66"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lang w:val="lt-LT"/>
              </w:rPr>
              <w:t>16,6</w:t>
            </w:r>
            <w:r w:rsidRPr="00273A3E">
              <w:rPr>
                <w:rFonts w:ascii="Times New Roman" w:hAnsi="Times New Roman"/>
                <w:bCs/>
                <w:spacing w:val="-2"/>
                <w:lang w:val="lt-LT"/>
              </w:rPr>
              <w:t xml:space="preserve"> </w:t>
            </w:r>
            <w:r w:rsidRPr="00273A3E">
              <w:rPr>
                <w:rFonts w:ascii="Times New Roman" w:hAnsi="Times New Roman"/>
                <w:bCs/>
                <w:spacing w:val="-1"/>
                <w:lang w:val="lt-LT"/>
              </w:rPr>
              <w:t>(13,8;</w:t>
            </w:r>
            <w:r w:rsidRPr="00273A3E">
              <w:rPr>
                <w:rFonts w:ascii="Times New Roman" w:hAnsi="Times New Roman"/>
                <w:bCs/>
                <w:lang w:val="lt-LT"/>
              </w:rPr>
              <w:t xml:space="preserve"> </w:t>
            </w:r>
            <w:r w:rsidRPr="00273A3E">
              <w:rPr>
                <w:rFonts w:ascii="Times New Roman" w:hAnsi="Times New Roman"/>
                <w:bCs/>
                <w:spacing w:val="-1"/>
                <w:lang w:val="lt-LT"/>
              </w:rPr>
              <w:t>21,0)</w:t>
            </w:r>
          </w:p>
        </w:tc>
        <w:tc>
          <w:tcPr>
            <w:tcW w:w="2780" w:type="dxa"/>
            <w:tcBorders>
              <w:top w:val="single" w:sz="5" w:space="0" w:color="000000"/>
              <w:left w:val="single" w:sz="5" w:space="0" w:color="000000"/>
              <w:bottom w:val="single" w:sz="5" w:space="0" w:color="000000"/>
              <w:right w:val="single" w:sz="5" w:space="0" w:color="000000"/>
            </w:tcBorders>
            <w:vAlign w:val="center"/>
          </w:tcPr>
          <w:p w14:paraId="4F2EB62A" w14:textId="77777777" w:rsidR="001E5C66" w:rsidRPr="00273A3E" w:rsidRDefault="001E5C66"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lang w:val="lt-LT"/>
              </w:rPr>
              <w:t xml:space="preserve">13,8 </w:t>
            </w:r>
            <w:r w:rsidRPr="00273A3E">
              <w:rPr>
                <w:rFonts w:ascii="Times New Roman" w:hAnsi="Times New Roman"/>
                <w:bCs/>
                <w:spacing w:val="-1"/>
                <w:lang w:val="lt-LT"/>
              </w:rPr>
              <w:t>(12,0;</w:t>
            </w:r>
            <w:r w:rsidRPr="00273A3E">
              <w:rPr>
                <w:rFonts w:ascii="Times New Roman" w:hAnsi="Times New Roman"/>
                <w:bCs/>
                <w:spacing w:val="-2"/>
                <w:lang w:val="lt-LT"/>
              </w:rPr>
              <w:t xml:space="preserve"> </w:t>
            </w:r>
            <w:r w:rsidRPr="00273A3E">
              <w:rPr>
                <w:rFonts w:ascii="Times New Roman" w:hAnsi="Times New Roman"/>
                <w:bCs/>
                <w:spacing w:val="-1"/>
                <w:lang w:val="lt-LT"/>
              </w:rPr>
              <w:t>16,6)</w:t>
            </w:r>
          </w:p>
        </w:tc>
      </w:tr>
      <w:tr w:rsidR="001E5C66" w:rsidRPr="00273A3E" w14:paraId="0C84C066" w14:textId="77777777" w:rsidTr="00C53407">
        <w:trPr>
          <w:trHeight w:hRule="exact" w:val="426"/>
        </w:trPr>
        <w:tc>
          <w:tcPr>
            <w:tcW w:w="3455" w:type="dxa"/>
            <w:tcBorders>
              <w:top w:val="single" w:sz="5" w:space="0" w:color="000000"/>
              <w:left w:val="single" w:sz="5" w:space="0" w:color="000000"/>
              <w:bottom w:val="single" w:sz="5" w:space="0" w:color="000000"/>
              <w:right w:val="single" w:sz="5" w:space="0" w:color="000000"/>
            </w:tcBorders>
            <w:vAlign w:val="center"/>
          </w:tcPr>
          <w:p w14:paraId="3D0EEAEA" w14:textId="77777777" w:rsidR="001E5C66" w:rsidRPr="00273A3E" w:rsidRDefault="001E5C66" w:rsidP="009F71ED">
            <w:pPr>
              <w:widowControl w:val="0"/>
              <w:tabs>
                <w:tab w:val="left" w:pos="567"/>
              </w:tabs>
              <w:spacing w:after="0" w:line="240" w:lineRule="auto"/>
              <w:rPr>
                <w:rFonts w:ascii="Times New Roman" w:hAnsi="Times New Roman"/>
                <w:bCs/>
                <w:lang w:val="lt-LT"/>
              </w:rPr>
            </w:pPr>
            <w:r w:rsidRPr="00273A3E">
              <w:rPr>
                <w:rFonts w:ascii="Times New Roman" w:hAnsi="Times New Roman"/>
                <w:bCs/>
                <w:spacing w:val="-1"/>
                <w:lang w:val="lt-LT"/>
              </w:rPr>
              <w:t>OS atvejų skaičius*</w:t>
            </w:r>
          </w:p>
        </w:tc>
        <w:tc>
          <w:tcPr>
            <w:tcW w:w="2823" w:type="dxa"/>
            <w:tcBorders>
              <w:top w:val="single" w:sz="5" w:space="0" w:color="000000"/>
              <w:left w:val="single" w:sz="5" w:space="0" w:color="000000"/>
              <w:bottom w:val="single" w:sz="5" w:space="0" w:color="000000"/>
              <w:right w:val="single" w:sz="5" w:space="0" w:color="000000"/>
            </w:tcBorders>
            <w:vAlign w:val="center"/>
          </w:tcPr>
          <w:p w14:paraId="0056EE20" w14:textId="77777777" w:rsidR="001E5C66" w:rsidRPr="00273A3E" w:rsidRDefault="001E5C66"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67 (29,1 %)</w:t>
            </w:r>
          </w:p>
        </w:tc>
        <w:tc>
          <w:tcPr>
            <w:tcW w:w="2780" w:type="dxa"/>
            <w:tcBorders>
              <w:top w:val="single" w:sz="5" w:space="0" w:color="000000"/>
              <w:left w:val="single" w:sz="5" w:space="0" w:color="000000"/>
              <w:bottom w:val="single" w:sz="5" w:space="0" w:color="000000"/>
              <w:right w:val="single" w:sz="5" w:space="0" w:color="000000"/>
            </w:tcBorders>
            <w:vAlign w:val="center"/>
          </w:tcPr>
          <w:p w14:paraId="21F9F04F" w14:textId="77777777" w:rsidR="001E5C66" w:rsidRPr="00273A3E" w:rsidRDefault="001E5C66"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75 (32,3 %)</w:t>
            </w:r>
          </w:p>
        </w:tc>
      </w:tr>
      <w:tr w:rsidR="00B70B3C" w:rsidRPr="00273A3E" w14:paraId="731A62FE" w14:textId="77777777" w:rsidTr="00375C68">
        <w:trPr>
          <w:trHeight w:hRule="exact" w:val="318"/>
        </w:trPr>
        <w:tc>
          <w:tcPr>
            <w:tcW w:w="3455" w:type="dxa"/>
            <w:vMerge w:val="restart"/>
            <w:tcBorders>
              <w:top w:val="single" w:sz="5" w:space="0" w:color="000000"/>
              <w:left w:val="single" w:sz="5" w:space="0" w:color="000000"/>
              <w:right w:val="single" w:sz="5" w:space="0" w:color="000000"/>
            </w:tcBorders>
            <w:vAlign w:val="center"/>
          </w:tcPr>
          <w:p w14:paraId="5BD5C5AC" w14:textId="77777777" w:rsidR="00B70B3C" w:rsidRPr="00273A3E" w:rsidRDefault="00B70B3C" w:rsidP="009F71ED">
            <w:pPr>
              <w:widowControl w:val="0"/>
              <w:tabs>
                <w:tab w:val="left" w:pos="567"/>
              </w:tabs>
              <w:spacing w:after="0" w:line="240" w:lineRule="auto"/>
              <w:rPr>
                <w:rFonts w:ascii="Times New Roman" w:hAnsi="Times New Roman"/>
                <w:bCs/>
                <w:lang w:val="lt-LT"/>
              </w:rPr>
            </w:pPr>
            <w:r w:rsidRPr="00273A3E">
              <w:rPr>
                <w:rFonts w:ascii="Times New Roman" w:hAnsi="Times New Roman"/>
                <w:bCs/>
                <w:spacing w:val="-1"/>
                <w:lang w:val="lt-LT"/>
              </w:rPr>
              <w:t>OS santykinė rizika (95 % PI) ir</w:t>
            </w:r>
          </w:p>
          <w:p w14:paraId="330D2F4D" w14:textId="77777777" w:rsidR="00B70B3C" w:rsidRPr="00273A3E" w:rsidRDefault="00B70B3C" w:rsidP="009F71ED">
            <w:pPr>
              <w:widowControl w:val="0"/>
              <w:tabs>
                <w:tab w:val="left" w:pos="567"/>
              </w:tabs>
              <w:spacing w:after="0" w:line="240" w:lineRule="auto"/>
              <w:rPr>
                <w:rFonts w:ascii="Times New Roman" w:hAnsi="Times New Roman"/>
                <w:bCs/>
                <w:lang w:val="lt-LT"/>
              </w:rPr>
            </w:pPr>
            <w:r w:rsidRPr="00273A3E">
              <w:rPr>
                <w:rFonts w:ascii="Times New Roman" w:hAnsi="Times New Roman"/>
                <w:bCs/>
                <w:spacing w:val="-3"/>
                <w:lang w:val="lt-LT"/>
              </w:rPr>
              <w:t>p-reikšmė</w:t>
            </w:r>
          </w:p>
        </w:tc>
        <w:tc>
          <w:tcPr>
            <w:tcW w:w="5603" w:type="dxa"/>
            <w:gridSpan w:val="2"/>
            <w:tcBorders>
              <w:top w:val="single" w:sz="5" w:space="0" w:color="000000"/>
              <w:left w:val="single" w:sz="5" w:space="0" w:color="000000"/>
              <w:bottom w:val="nil"/>
              <w:right w:val="single" w:sz="5" w:space="0" w:color="000000"/>
            </w:tcBorders>
            <w:vAlign w:val="center"/>
          </w:tcPr>
          <w:p w14:paraId="1BDC7252" w14:textId="77777777" w:rsidR="00B70B3C" w:rsidRPr="00273A3E" w:rsidRDefault="00B70B3C"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SR 0,875 (0,629</w:t>
            </w:r>
            <w:r w:rsidRPr="00273A3E">
              <w:rPr>
                <w:rFonts w:ascii="Times New Roman" w:hAnsi="Times New Roman"/>
                <w:bCs/>
                <w:lang w:val="lt-LT"/>
              </w:rPr>
              <w:t>–</w:t>
            </w:r>
            <w:r w:rsidRPr="00273A3E">
              <w:rPr>
                <w:rFonts w:ascii="Times New Roman" w:hAnsi="Times New Roman"/>
                <w:bCs/>
                <w:spacing w:val="-1"/>
                <w:lang w:val="lt-LT"/>
              </w:rPr>
              <w:t>1,217)</w:t>
            </w:r>
          </w:p>
        </w:tc>
      </w:tr>
      <w:tr w:rsidR="00B70B3C" w:rsidRPr="00273A3E" w14:paraId="476F643E" w14:textId="77777777" w:rsidTr="00375C68">
        <w:trPr>
          <w:trHeight w:hRule="exact" w:val="249"/>
        </w:trPr>
        <w:tc>
          <w:tcPr>
            <w:tcW w:w="3455" w:type="dxa"/>
            <w:vMerge/>
            <w:tcBorders>
              <w:left w:val="single" w:sz="5" w:space="0" w:color="000000"/>
              <w:bottom w:val="single" w:sz="5" w:space="0" w:color="000000"/>
              <w:right w:val="single" w:sz="5" w:space="0" w:color="000000"/>
            </w:tcBorders>
            <w:vAlign w:val="center"/>
          </w:tcPr>
          <w:p w14:paraId="565494BF" w14:textId="77777777" w:rsidR="00B70B3C" w:rsidRPr="00273A3E" w:rsidRDefault="00B70B3C" w:rsidP="009F71ED">
            <w:pPr>
              <w:widowControl w:val="0"/>
              <w:tabs>
                <w:tab w:val="left" w:pos="567"/>
              </w:tabs>
              <w:spacing w:after="0" w:line="240" w:lineRule="auto"/>
              <w:rPr>
                <w:rFonts w:ascii="Times New Roman" w:hAnsi="Times New Roman"/>
                <w:bCs/>
                <w:lang w:val="lt-LT"/>
              </w:rPr>
            </w:pPr>
          </w:p>
        </w:tc>
        <w:tc>
          <w:tcPr>
            <w:tcW w:w="5603" w:type="dxa"/>
            <w:gridSpan w:val="2"/>
            <w:tcBorders>
              <w:top w:val="nil"/>
              <w:left w:val="single" w:sz="5" w:space="0" w:color="000000"/>
              <w:bottom w:val="single" w:sz="5" w:space="0" w:color="000000"/>
              <w:right w:val="single" w:sz="5" w:space="0" w:color="000000"/>
            </w:tcBorders>
            <w:vAlign w:val="center"/>
          </w:tcPr>
          <w:p w14:paraId="05DB4193" w14:textId="77777777" w:rsidR="00B70B3C" w:rsidRPr="00273A3E" w:rsidRDefault="00B70B3C" w:rsidP="00914779">
            <w:pPr>
              <w:keepNext/>
              <w:keepLines/>
              <w:widowControl w:val="0"/>
              <w:tabs>
                <w:tab w:val="left" w:pos="190"/>
                <w:tab w:val="left" w:pos="567"/>
                <w:tab w:val="center" w:pos="2514"/>
              </w:tabs>
              <w:spacing w:after="0" w:line="240" w:lineRule="auto"/>
              <w:jc w:val="center"/>
              <w:rPr>
                <w:rFonts w:ascii="Times New Roman" w:hAnsi="Times New Roman"/>
                <w:bCs/>
                <w:lang w:val="lt-LT"/>
              </w:rPr>
            </w:pPr>
            <w:r w:rsidRPr="00273A3E">
              <w:rPr>
                <w:rFonts w:ascii="Times New Roman" w:hAnsi="Times New Roman"/>
                <w:bCs/>
                <w:lang w:val="lt-LT"/>
              </w:rPr>
              <w:t>p = </w:t>
            </w:r>
            <w:r w:rsidRPr="00273A3E">
              <w:rPr>
                <w:rFonts w:ascii="Times New Roman" w:hAnsi="Times New Roman"/>
                <w:bCs/>
                <w:spacing w:val="-1"/>
                <w:lang w:val="lt-LT"/>
              </w:rPr>
              <w:t>0,4277</w:t>
            </w:r>
          </w:p>
        </w:tc>
      </w:tr>
      <w:tr w:rsidR="001E5C66" w:rsidRPr="00273A3E" w14:paraId="08E16447" w14:textId="77777777" w:rsidTr="00C53407">
        <w:trPr>
          <w:trHeight w:hRule="exact" w:val="427"/>
        </w:trPr>
        <w:tc>
          <w:tcPr>
            <w:tcW w:w="3455" w:type="dxa"/>
            <w:tcBorders>
              <w:top w:val="single" w:sz="5" w:space="0" w:color="000000"/>
              <w:left w:val="single" w:sz="5" w:space="0" w:color="000000"/>
              <w:bottom w:val="single" w:sz="5" w:space="0" w:color="000000"/>
              <w:right w:val="single" w:sz="5" w:space="0" w:color="000000"/>
            </w:tcBorders>
            <w:vAlign w:val="center"/>
          </w:tcPr>
          <w:p w14:paraId="17656F13" w14:textId="77777777" w:rsidR="001E5C66" w:rsidRPr="00273A3E" w:rsidRDefault="001E5C66" w:rsidP="009F71ED">
            <w:pPr>
              <w:widowControl w:val="0"/>
              <w:tabs>
                <w:tab w:val="left" w:pos="567"/>
              </w:tabs>
              <w:spacing w:after="0" w:line="240" w:lineRule="auto"/>
              <w:rPr>
                <w:rFonts w:ascii="Times New Roman" w:hAnsi="Times New Roman"/>
                <w:bCs/>
                <w:lang w:val="lt-LT"/>
              </w:rPr>
            </w:pPr>
            <w:r w:rsidRPr="00273A3E">
              <w:rPr>
                <w:rFonts w:ascii="Times New Roman" w:hAnsi="Times New Roman"/>
                <w:bCs/>
                <w:spacing w:val="-1"/>
                <w:lang w:val="lt-LT"/>
              </w:rPr>
              <w:t>ORR**</w:t>
            </w:r>
          </w:p>
        </w:tc>
        <w:tc>
          <w:tcPr>
            <w:tcW w:w="2823" w:type="dxa"/>
            <w:tcBorders>
              <w:top w:val="single" w:sz="5" w:space="0" w:color="000000"/>
              <w:left w:val="single" w:sz="5" w:space="0" w:color="000000"/>
              <w:bottom w:val="single" w:sz="5" w:space="0" w:color="000000"/>
              <w:right w:val="single" w:sz="5" w:space="0" w:color="000000"/>
            </w:tcBorders>
            <w:vAlign w:val="center"/>
          </w:tcPr>
          <w:p w14:paraId="2962E97F" w14:textId="77777777" w:rsidR="001E5C66" w:rsidRPr="00273A3E" w:rsidRDefault="001E5C66" w:rsidP="00914779">
            <w:pPr>
              <w:keepNext/>
              <w:keepLines/>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89 (46,1 %)</w:t>
            </w:r>
          </w:p>
        </w:tc>
        <w:tc>
          <w:tcPr>
            <w:tcW w:w="2780" w:type="dxa"/>
            <w:tcBorders>
              <w:top w:val="single" w:sz="5" w:space="0" w:color="000000"/>
              <w:left w:val="single" w:sz="5" w:space="0" w:color="000000"/>
              <w:bottom w:val="single" w:sz="5" w:space="0" w:color="000000"/>
              <w:right w:val="single" w:sz="5" w:space="0" w:color="000000"/>
            </w:tcBorders>
            <w:vAlign w:val="center"/>
          </w:tcPr>
          <w:p w14:paraId="52A46C73" w14:textId="77777777" w:rsidR="001E5C66" w:rsidRPr="00273A3E" w:rsidRDefault="001E5C66" w:rsidP="00914779">
            <w:pPr>
              <w:keepNext/>
              <w:keepLines/>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88 (44,9 %)</w:t>
            </w:r>
          </w:p>
        </w:tc>
      </w:tr>
      <w:tr w:rsidR="001E5C66" w:rsidRPr="00273A3E" w14:paraId="10BF9FFC" w14:textId="77777777" w:rsidTr="00C53407">
        <w:trPr>
          <w:trHeight w:hRule="exact" w:val="680"/>
        </w:trPr>
        <w:tc>
          <w:tcPr>
            <w:tcW w:w="3455" w:type="dxa"/>
            <w:tcBorders>
              <w:top w:val="single" w:sz="5" w:space="0" w:color="000000"/>
              <w:left w:val="single" w:sz="5" w:space="0" w:color="000000"/>
              <w:bottom w:val="nil"/>
              <w:right w:val="single" w:sz="5" w:space="0" w:color="000000"/>
            </w:tcBorders>
            <w:vAlign w:val="center"/>
          </w:tcPr>
          <w:p w14:paraId="49D0ABDE" w14:textId="77777777" w:rsidR="00B70B3C" w:rsidRPr="00273A3E" w:rsidRDefault="001E5C66" w:rsidP="009F71ED">
            <w:pPr>
              <w:widowControl w:val="0"/>
              <w:tabs>
                <w:tab w:val="left" w:pos="567"/>
              </w:tabs>
              <w:spacing w:after="0" w:line="240" w:lineRule="auto"/>
              <w:rPr>
                <w:rFonts w:ascii="Times New Roman" w:hAnsi="Times New Roman"/>
                <w:bCs/>
                <w:spacing w:val="-1"/>
                <w:lang w:val="lt-LT"/>
              </w:rPr>
            </w:pPr>
            <w:r w:rsidRPr="00273A3E">
              <w:rPr>
                <w:rFonts w:ascii="Times New Roman" w:hAnsi="Times New Roman"/>
                <w:bCs/>
                <w:spacing w:val="-1"/>
                <w:lang w:val="lt-LT"/>
              </w:rPr>
              <w:t xml:space="preserve">ORR šansų santykis (95 % PI) ir </w:t>
            </w:r>
          </w:p>
          <w:p w14:paraId="655E46B4" w14:textId="77777777" w:rsidR="001E5C66" w:rsidRPr="00273A3E" w:rsidRDefault="001E5C66" w:rsidP="009F71ED">
            <w:pPr>
              <w:widowControl w:val="0"/>
              <w:tabs>
                <w:tab w:val="left" w:pos="567"/>
              </w:tabs>
              <w:spacing w:after="0" w:line="240" w:lineRule="auto"/>
              <w:rPr>
                <w:rFonts w:ascii="Times New Roman" w:hAnsi="Times New Roman"/>
                <w:bCs/>
                <w:lang w:val="lt-LT"/>
              </w:rPr>
            </w:pPr>
            <w:r w:rsidRPr="00273A3E">
              <w:rPr>
                <w:rFonts w:ascii="Times New Roman" w:hAnsi="Times New Roman"/>
                <w:bCs/>
                <w:spacing w:val="-1"/>
                <w:lang w:val="lt-LT"/>
              </w:rPr>
              <w:t>p reikšmė</w:t>
            </w:r>
          </w:p>
        </w:tc>
        <w:tc>
          <w:tcPr>
            <w:tcW w:w="5603" w:type="dxa"/>
            <w:gridSpan w:val="2"/>
            <w:tcBorders>
              <w:top w:val="single" w:sz="5" w:space="0" w:color="000000"/>
              <w:left w:val="single" w:sz="5" w:space="0" w:color="000000"/>
              <w:bottom w:val="nil"/>
              <w:right w:val="single" w:sz="5" w:space="0" w:color="000000"/>
            </w:tcBorders>
            <w:vAlign w:val="center"/>
          </w:tcPr>
          <w:p w14:paraId="6CCB462C" w14:textId="77777777" w:rsidR="001E5C66" w:rsidRPr="00273A3E" w:rsidRDefault="00C800EE" w:rsidP="009F71ED">
            <w:pPr>
              <w:widowControl w:val="0"/>
              <w:tabs>
                <w:tab w:val="left" w:pos="567"/>
              </w:tabs>
              <w:spacing w:after="0" w:line="240" w:lineRule="auto"/>
              <w:jc w:val="center"/>
              <w:rPr>
                <w:rFonts w:ascii="Times New Roman" w:hAnsi="Times New Roman"/>
                <w:bCs/>
                <w:kern w:val="28"/>
                <w:lang w:val="lt-LT"/>
              </w:rPr>
            </w:pPr>
            <w:r w:rsidRPr="00273A3E">
              <w:rPr>
                <w:rFonts w:ascii="Times New Roman" w:hAnsi="Times New Roman"/>
                <w:bCs/>
                <w:spacing w:val="-1"/>
                <w:lang w:val="lt-LT"/>
              </w:rPr>
              <w:t>ŠS</w:t>
            </w:r>
            <w:r w:rsidR="001E5C66" w:rsidRPr="00273A3E">
              <w:rPr>
                <w:rFonts w:ascii="Times New Roman" w:hAnsi="Times New Roman"/>
                <w:bCs/>
                <w:spacing w:val="-1"/>
                <w:lang w:val="lt-LT"/>
              </w:rPr>
              <w:t xml:space="preserve"> 1,074 (0,716</w:t>
            </w:r>
            <w:r w:rsidR="001E5C66" w:rsidRPr="00273A3E">
              <w:rPr>
                <w:rFonts w:ascii="Times New Roman" w:hAnsi="Times New Roman"/>
                <w:bCs/>
                <w:lang w:val="lt-LT"/>
              </w:rPr>
              <w:t>–</w:t>
            </w:r>
            <w:r w:rsidR="001E5C66" w:rsidRPr="00273A3E">
              <w:rPr>
                <w:rFonts w:ascii="Times New Roman" w:hAnsi="Times New Roman"/>
                <w:bCs/>
                <w:spacing w:val="-1"/>
                <w:lang w:val="lt-LT"/>
              </w:rPr>
              <w:t>1,614)</w:t>
            </w:r>
          </w:p>
          <w:p w14:paraId="4D4FFD92" w14:textId="77777777" w:rsidR="001E5C66" w:rsidRPr="00273A3E" w:rsidRDefault="001E5C66"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lang w:val="lt-LT"/>
              </w:rPr>
              <w:t>p</w:t>
            </w:r>
            <w:r w:rsidR="007F07DF" w:rsidRPr="00273A3E">
              <w:rPr>
                <w:rFonts w:ascii="Times New Roman" w:hAnsi="Times New Roman"/>
                <w:bCs/>
                <w:lang w:val="lt-LT"/>
              </w:rPr>
              <w:t> </w:t>
            </w:r>
            <w:r w:rsidRPr="00273A3E">
              <w:rPr>
                <w:rFonts w:ascii="Times New Roman" w:hAnsi="Times New Roman"/>
                <w:bCs/>
                <w:lang w:val="lt-LT"/>
              </w:rPr>
              <w:t>=</w:t>
            </w:r>
            <w:r w:rsidR="007F07DF" w:rsidRPr="00273A3E">
              <w:rPr>
                <w:rFonts w:ascii="Times New Roman" w:hAnsi="Times New Roman"/>
                <w:bCs/>
                <w:lang w:val="lt-LT"/>
              </w:rPr>
              <w:t> </w:t>
            </w:r>
            <w:r w:rsidRPr="00273A3E">
              <w:rPr>
                <w:rFonts w:ascii="Times New Roman" w:hAnsi="Times New Roman"/>
                <w:bCs/>
                <w:spacing w:val="-2"/>
                <w:lang w:val="lt-LT"/>
              </w:rPr>
              <w:t>0,7290</w:t>
            </w:r>
          </w:p>
        </w:tc>
      </w:tr>
      <w:tr w:rsidR="001E5C66" w:rsidRPr="00273A3E" w14:paraId="13ACE134" w14:textId="77777777" w:rsidTr="00C53407">
        <w:trPr>
          <w:trHeight w:hRule="exact" w:val="315"/>
        </w:trPr>
        <w:tc>
          <w:tcPr>
            <w:tcW w:w="3455" w:type="dxa"/>
            <w:tcBorders>
              <w:top w:val="single" w:sz="5" w:space="0" w:color="000000"/>
              <w:left w:val="single" w:sz="5" w:space="0" w:color="000000"/>
              <w:bottom w:val="single" w:sz="5" w:space="0" w:color="000000"/>
              <w:right w:val="single" w:sz="5" w:space="0" w:color="000000"/>
            </w:tcBorders>
            <w:vAlign w:val="center"/>
          </w:tcPr>
          <w:p w14:paraId="22694723" w14:textId="77777777" w:rsidR="001E5C66" w:rsidRPr="00273A3E" w:rsidRDefault="001E5C66" w:rsidP="009F71ED">
            <w:pPr>
              <w:widowControl w:val="0"/>
              <w:tabs>
                <w:tab w:val="left" w:pos="567"/>
              </w:tabs>
              <w:spacing w:after="0" w:line="240" w:lineRule="auto"/>
              <w:rPr>
                <w:rFonts w:ascii="Times New Roman" w:hAnsi="Times New Roman"/>
                <w:bCs/>
                <w:lang w:val="lt-LT"/>
              </w:rPr>
            </w:pPr>
            <w:proofErr w:type="spellStart"/>
            <w:r w:rsidRPr="00273A3E">
              <w:rPr>
                <w:rFonts w:ascii="Times New Roman" w:hAnsi="Times New Roman"/>
                <w:bCs/>
                <w:spacing w:val="-3"/>
                <w:lang w:val="lt-LT"/>
              </w:rPr>
              <w:t>DoR</w:t>
            </w:r>
            <w:proofErr w:type="spellEnd"/>
            <w:r w:rsidRPr="00273A3E">
              <w:rPr>
                <w:rFonts w:ascii="Times New Roman" w:hAnsi="Times New Roman"/>
                <w:bCs/>
                <w:spacing w:val="-3"/>
                <w:lang w:val="lt-LT"/>
              </w:rPr>
              <w:t xml:space="preserve"> mediana </w:t>
            </w:r>
            <w:r w:rsidRPr="00273A3E">
              <w:rPr>
                <w:rFonts w:ascii="Times New Roman" w:hAnsi="Times New Roman"/>
                <w:bCs/>
                <w:spacing w:val="-2"/>
                <w:lang w:val="lt-LT"/>
              </w:rPr>
              <w:t>(mėn.)</w:t>
            </w:r>
          </w:p>
        </w:tc>
        <w:tc>
          <w:tcPr>
            <w:tcW w:w="2823" w:type="dxa"/>
            <w:tcBorders>
              <w:top w:val="single" w:sz="5" w:space="0" w:color="000000"/>
              <w:left w:val="single" w:sz="5" w:space="0" w:color="000000"/>
              <w:bottom w:val="single" w:sz="5" w:space="0" w:color="000000"/>
              <w:right w:val="single" w:sz="5" w:space="0" w:color="000000"/>
            </w:tcBorders>
            <w:vAlign w:val="center"/>
          </w:tcPr>
          <w:p w14:paraId="3BDAD338" w14:textId="77777777" w:rsidR="001E5C66" w:rsidRPr="00273A3E" w:rsidRDefault="001E5C66"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lang w:val="lt-LT"/>
              </w:rPr>
              <w:t>20,0</w:t>
            </w:r>
          </w:p>
        </w:tc>
        <w:tc>
          <w:tcPr>
            <w:tcW w:w="2780" w:type="dxa"/>
            <w:tcBorders>
              <w:top w:val="single" w:sz="5" w:space="0" w:color="000000"/>
              <w:left w:val="single" w:sz="5" w:space="0" w:color="000000"/>
              <w:bottom w:val="single" w:sz="5" w:space="0" w:color="000000"/>
              <w:right w:val="single" w:sz="5" w:space="0" w:color="000000"/>
            </w:tcBorders>
            <w:vAlign w:val="center"/>
          </w:tcPr>
          <w:p w14:paraId="54E5EC73" w14:textId="77777777" w:rsidR="001E5C66" w:rsidRPr="00273A3E" w:rsidRDefault="001E5C66"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lang w:val="lt-LT"/>
              </w:rPr>
              <w:t>13,2</w:t>
            </w:r>
          </w:p>
        </w:tc>
      </w:tr>
      <w:tr w:rsidR="001E5C66" w:rsidRPr="00273A3E" w14:paraId="6E30FF70" w14:textId="77777777" w:rsidTr="00C53407">
        <w:trPr>
          <w:trHeight w:hRule="exact" w:val="418"/>
        </w:trPr>
        <w:tc>
          <w:tcPr>
            <w:tcW w:w="3455" w:type="dxa"/>
            <w:tcBorders>
              <w:top w:val="single" w:sz="5" w:space="0" w:color="000000"/>
              <w:left w:val="single" w:sz="5" w:space="0" w:color="000000"/>
              <w:bottom w:val="single" w:sz="6" w:space="0" w:color="000000"/>
              <w:right w:val="single" w:sz="5" w:space="0" w:color="000000"/>
            </w:tcBorders>
            <w:vAlign w:val="center"/>
          </w:tcPr>
          <w:p w14:paraId="6A48512B" w14:textId="77777777" w:rsidR="001E5C66" w:rsidRPr="00273A3E" w:rsidRDefault="001E5C66" w:rsidP="009F71ED">
            <w:pPr>
              <w:widowControl w:val="0"/>
              <w:tabs>
                <w:tab w:val="left" w:pos="567"/>
              </w:tabs>
              <w:spacing w:after="0" w:line="240" w:lineRule="auto"/>
              <w:rPr>
                <w:rFonts w:ascii="Times New Roman" w:hAnsi="Times New Roman"/>
                <w:bCs/>
                <w:lang w:val="lt-LT"/>
              </w:rPr>
            </w:pPr>
            <w:r w:rsidRPr="00273A3E">
              <w:rPr>
                <w:rFonts w:ascii="Times New Roman" w:hAnsi="Times New Roman"/>
                <w:bCs/>
                <w:spacing w:val="1"/>
                <w:lang w:val="lt-LT"/>
              </w:rPr>
              <w:t>CBR</w:t>
            </w:r>
          </w:p>
        </w:tc>
        <w:tc>
          <w:tcPr>
            <w:tcW w:w="2823" w:type="dxa"/>
            <w:tcBorders>
              <w:top w:val="single" w:sz="5" w:space="0" w:color="000000"/>
              <w:left w:val="single" w:sz="5" w:space="0" w:color="000000"/>
              <w:bottom w:val="single" w:sz="6" w:space="0" w:color="000000"/>
              <w:right w:val="single" w:sz="5" w:space="0" w:color="000000"/>
            </w:tcBorders>
            <w:vAlign w:val="center"/>
          </w:tcPr>
          <w:p w14:paraId="735ED12F" w14:textId="77777777" w:rsidR="001E5C66" w:rsidRPr="00273A3E" w:rsidRDefault="001E5C66" w:rsidP="00914779">
            <w:pPr>
              <w:keepNext/>
              <w:keepLines/>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180 (78,3 %)</w:t>
            </w:r>
          </w:p>
        </w:tc>
        <w:tc>
          <w:tcPr>
            <w:tcW w:w="2780" w:type="dxa"/>
            <w:tcBorders>
              <w:top w:val="single" w:sz="5" w:space="0" w:color="000000"/>
              <w:left w:val="single" w:sz="5" w:space="0" w:color="000000"/>
              <w:bottom w:val="single" w:sz="6" w:space="0" w:color="000000"/>
              <w:right w:val="single" w:sz="5" w:space="0" w:color="000000"/>
            </w:tcBorders>
            <w:vAlign w:val="center"/>
          </w:tcPr>
          <w:p w14:paraId="178BEDDD" w14:textId="77777777" w:rsidR="001E5C66" w:rsidRPr="00273A3E" w:rsidRDefault="001E5C66" w:rsidP="00914779">
            <w:pPr>
              <w:keepNext/>
              <w:keepLines/>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172 (74,1 %)</w:t>
            </w:r>
          </w:p>
        </w:tc>
      </w:tr>
      <w:tr w:rsidR="001E5C66" w:rsidRPr="00273A3E" w14:paraId="756F421D" w14:textId="77777777" w:rsidTr="00C53407">
        <w:trPr>
          <w:trHeight w:hRule="exact" w:val="737"/>
        </w:trPr>
        <w:tc>
          <w:tcPr>
            <w:tcW w:w="3455" w:type="dxa"/>
            <w:tcBorders>
              <w:top w:val="single" w:sz="6" w:space="0" w:color="000000"/>
              <w:left w:val="single" w:sz="6" w:space="0" w:color="000000"/>
              <w:bottom w:val="single" w:sz="4" w:space="0" w:color="auto"/>
              <w:right w:val="single" w:sz="6" w:space="0" w:color="000000"/>
            </w:tcBorders>
            <w:vAlign w:val="center"/>
          </w:tcPr>
          <w:p w14:paraId="68C468D1" w14:textId="77777777" w:rsidR="00B70B3C" w:rsidRPr="00273A3E" w:rsidRDefault="001E5C66" w:rsidP="009F71ED">
            <w:pPr>
              <w:widowControl w:val="0"/>
              <w:tabs>
                <w:tab w:val="left" w:pos="567"/>
              </w:tabs>
              <w:spacing w:after="0" w:line="240" w:lineRule="auto"/>
              <w:rPr>
                <w:rFonts w:ascii="Times New Roman" w:hAnsi="Times New Roman"/>
                <w:bCs/>
                <w:spacing w:val="-1"/>
                <w:lang w:val="lt-LT"/>
              </w:rPr>
            </w:pPr>
            <w:r w:rsidRPr="00273A3E">
              <w:rPr>
                <w:rFonts w:ascii="Times New Roman" w:hAnsi="Times New Roman"/>
                <w:bCs/>
                <w:spacing w:val="-1"/>
                <w:lang w:val="lt-LT"/>
              </w:rPr>
              <w:t>CBR šansų santykis (95 % PI) ir</w:t>
            </w:r>
          </w:p>
          <w:p w14:paraId="51F600F4" w14:textId="77777777" w:rsidR="001E5C66" w:rsidRPr="00273A3E" w:rsidRDefault="001E5C66" w:rsidP="009F71ED">
            <w:pPr>
              <w:widowControl w:val="0"/>
              <w:tabs>
                <w:tab w:val="left" w:pos="567"/>
              </w:tabs>
              <w:spacing w:after="0" w:line="240" w:lineRule="auto"/>
              <w:rPr>
                <w:rFonts w:ascii="Times New Roman" w:hAnsi="Times New Roman"/>
                <w:bCs/>
                <w:lang w:val="lt-LT"/>
              </w:rPr>
            </w:pPr>
            <w:r w:rsidRPr="00273A3E">
              <w:rPr>
                <w:rFonts w:ascii="Times New Roman" w:hAnsi="Times New Roman"/>
                <w:bCs/>
                <w:spacing w:val="-1"/>
                <w:lang w:val="lt-LT"/>
              </w:rPr>
              <w:t>p reikšmė</w:t>
            </w:r>
          </w:p>
        </w:tc>
        <w:tc>
          <w:tcPr>
            <w:tcW w:w="5603" w:type="dxa"/>
            <w:gridSpan w:val="2"/>
            <w:tcBorders>
              <w:top w:val="single" w:sz="6" w:space="0" w:color="000000"/>
              <w:left w:val="single" w:sz="6" w:space="0" w:color="000000"/>
              <w:bottom w:val="single" w:sz="4" w:space="0" w:color="auto"/>
              <w:right w:val="single" w:sz="6" w:space="0" w:color="000000"/>
            </w:tcBorders>
            <w:vAlign w:val="center"/>
          </w:tcPr>
          <w:p w14:paraId="658F611D" w14:textId="77777777" w:rsidR="001E5C66" w:rsidRPr="00273A3E" w:rsidRDefault="001E5C66"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spacing w:val="-1"/>
                <w:lang w:val="lt-LT"/>
              </w:rPr>
              <w:t>OR 1,253 (0,815</w:t>
            </w:r>
            <w:r w:rsidRPr="00273A3E">
              <w:rPr>
                <w:rFonts w:ascii="Times New Roman" w:hAnsi="Times New Roman"/>
                <w:bCs/>
                <w:lang w:val="lt-LT"/>
              </w:rPr>
              <w:t>–</w:t>
            </w:r>
            <w:r w:rsidRPr="00273A3E">
              <w:rPr>
                <w:rFonts w:ascii="Times New Roman" w:hAnsi="Times New Roman"/>
                <w:bCs/>
                <w:spacing w:val="-1"/>
                <w:lang w:val="lt-LT"/>
              </w:rPr>
              <w:t>1,932)</w:t>
            </w:r>
          </w:p>
          <w:p w14:paraId="488D7285" w14:textId="77777777" w:rsidR="001E5C66" w:rsidRPr="00273A3E" w:rsidRDefault="001E5C66" w:rsidP="009F71ED">
            <w:pPr>
              <w:widowControl w:val="0"/>
              <w:tabs>
                <w:tab w:val="left" w:pos="567"/>
              </w:tabs>
              <w:spacing w:after="0" w:line="240" w:lineRule="auto"/>
              <w:jc w:val="center"/>
              <w:rPr>
                <w:rFonts w:ascii="Times New Roman" w:hAnsi="Times New Roman"/>
                <w:bCs/>
                <w:lang w:val="lt-LT"/>
              </w:rPr>
            </w:pPr>
            <w:r w:rsidRPr="00273A3E">
              <w:rPr>
                <w:rFonts w:ascii="Times New Roman" w:hAnsi="Times New Roman"/>
                <w:bCs/>
                <w:lang w:val="lt-LT"/>
              </w:rPr>
              <w:t>p</w:t>
            </w:r>
            <w:r w:rsidR="007F07DF" w:rsidRPr="00273A3E">
              <w:rPr>
                <w:rFonts w:ascii="Times New Roman" w:hAnsi="Times New Roman"/>
                <w:bCs/>
                <w:lang w:val="lt-LT"/>
              </w:rPr>
              <w:t> </w:t>
            </w:r>
            <w:r w:rsidRPr="00273A3E">
              <w:rPr>
                <w:rFonts w:ascii="Times New Roman" w:hAnsi="Times New Roman"/>
                <w:bCs/>
                <w:lang w:val="lt-LT"/>
              </w:rPr>
              <w:t>=</w:t>
            </w:r>
            <w:r w:rsidR="007F07DF" w:rsidRPr="00273A3E">
              <w:rPr>
                <w:rFonts w:ascii="Times New Roman" w:hAnsi="Times New Roman"/>
                <w:bCs/>
                <w:lang w:val="lt-LT"/>
              </w:rPr>
              <w:t> </w:t>
            </w:r>
            <w:r w:rsidRPr="00273A3E">
              <w:rPr>
                <w:rFonts w:ascii="Times New Roman" w:hAnsi="Times New Roman"/>
                <w:bCs/>
                <w:spacing w:val="-2"/>
                <w:lang w:val="lt-LT"/>
              </w:rPr>
              <w:t>0,3045</w:t>
            </w:r>
          </w:p>
        </w:tc>
      </w:tr>
    </w:tbl>
    <w:p w14:paraId="48483EA8" w14:textId="77777777" w:rsidR="001E5C66" w:rsidRPr="00273A3E" w:rsidRDefault="001E5C66" w:rsidP="009F71ED">
      <w:pPr>
        <w:tabs>
          <w:tab w:val="left" w:pos="567"/>
        </w:tabs>
        <w:autoSpaceDE w:val="0"/>
        <w:autoSpaceDN w:val="0"/>
        <w:adjustRightInd w:val="0"/>
        <w:spacing w:after="0" w:line="240" w:lineRule="auto"/>
        <w:rPr>
          <w:rFonts w:ascii="Times New Roman" w:eastAsia="Batang" w:hAnsi="Times New Roman"/>
          <w:bCs/>
          <w:lang w:val="lt-LT"/>
        </w:rPr>
      </w:pPr>
      <w:r w:rsidRPr="00273A3E">
        <w:rPr>
          <w:rFonts w:ascii="Times New Roman" w:eastAsia="Batang" w:hAnsi="Times New Roman"/>
          <w:bCs/>
          <w:lang w:val="lt-LT"/>
        </w:rPr>
        <w:t>*</w:t>
      </w:r>
      <w:r w:rsidR="003008E6" w:rsidRPr="00273A3E">
        <w:rPr>
          <w:rFonts w:ascii="Times New Roman" w:eastAsia="Batang" w:hAnsi="Times New Roman"/>
          <w:bCs/>
          <w:lang w:val="lt-LT"/>
        </w:rPr>
        <w:tab/>
      </w:r>
      <w:r w:rsidRPr="00273A3E">
        <w:rPr>
          <w:rFonts w:ascii="Times New Roman" w:eastAsia="Batang" w:hAnsi="Times New Roman"/>
          <w:bCs/>
          <w:lang w:val="lt-LT"/>
        </w:rPr>
        <w:t>(31 % branda) – negalutinės OS analizės duomenys</w:t>
      </w:r>
    </w:p>
    <w:p w14:paraId="16989112" w14:textId="77777777" w:rsidR="001E5C66" w:rsidRPr="00273A3E" w:rsidRDefault="001E5C66" w:rsidP="009F71ED">
      <w:pPr>
        <w:tabs>
          <w:tab w:val="left" w:pos="567"/>
        </w:tabs>
        <w:spacing w:after="0" w:line="240" w:lineRule="auto"/>
        <w:rPr>
          <w:rFonts w:ascii="Times New Roman" w:hAnsi="Times New Roman"/>
          <w:bCs/>
          <w:lang w:val="lt-LT"/>
        </w:rPr>
      </w:pPr>
      <w:r w:rsidRPr="00273A3E">
        <w:rPr>
          <w:rFonts w:ascii="Times New Roman" w:eastAsia="Batang" w:hAnsi="Times New Roman"/>
          <w:bCs/>
          <w:lang w:val="lt-LT"/>
        </w:rPr>
        <w:t>**</w:t>
      </w:r>
      <w:r w:rsidR="003008E6" w:rsidRPr="00273A3E">
        <w:rPr>
          <w:rFonts w:ascii="Times New Roman" w:eastAsia="Batang" w:hAnsi="Times New Roman"/>
          <w:bCs/>
          <w:lang w:val="lt-LT"/>
        </w:rPr>
        <w:tab/>
      </w:r>
      <w:r w:rsidRPr="00273A3E">
        <w:rPr>
          <w:rFonts w:ascii="Times New Roman" w:eastAsia="Batang" w:hAnsi="Times New Roman"/>
          <w:bCs/>
          <w:lang w:val="lt-LT"/>
        </w:rPr>
        <w:t>pacientėms, kurių navikus buvo galima išmatuoti</w:t>
      </w:r>
    </w:p>
    <w:p w14:paraId="76021170" w14:textId="77777777" w:rsidR="001E5C66" w:rsidRPr="00273A3E" w:rsidRDefault="001E5C66" w:rsidP="009F71ED">
      <w:pPr>
        <w:tabs>
          <w:tab w:val="left" w:pos="567"/>
        </w:tabs>
        <w:spacing w:after="0" w:line="240" w:lineRule="auto"/>
        <w:rPr>
          <w:rFonts w:ascii="Times New Roman" w:hAnsi="Times New Roman"/>
          <w:lang w:val="lt-LT"/>
        </w:rPr>
      </w:pPr>
    </w:p>
    <w:p w14:paraId="4863F4D7" w14:textId="77777777" w:rsidR="001E5C66" w:rsidRPr="00273A3E" w:rsidRDefault="001E5C66" w:rsidP="009F71ED">
      <w:pPr>
        <w:tabs>
          <w:tab w:val="left" w:pos="567"/>
          <w:tab w:val="left" w:pos="1134"/>
        </w:tabs>
        <w:spacing w:after="0" w:line="240" w:lineRule="auto"/>
        <w:rPr>
          <w:rFonts w:ascii="Times New Roman" w:hAnsi="Times New Roman"/>
          <w:b/>
          <w:lang w:val="lt-LT"/>
        </w:rPr>
      </w:pPr>
      <w:r w:rsidRPr="00273A3E">
        <w:rPr>
          <w:rFonts w:ascii="Times New Roman" w:hAnsi="Times New Roman"/>
          <w:b/>
          <w:lang w:val="lt-LT"/>
        </w:rPr>
        <w:t>1</w:t>
      </w:r>
      <w:r w:rsidR="007F07DF" w:rsidRPr="00273A3E">
        <w:rPr>
          <w:rFonts w:ascii="Times New Roman" w:hAnsi="Times New Roman"/>
          <w:b/>
          <w:lang w:val="lt-LT"/>
        </w:rPr>
        <w:t> </w:t>
      </w:r>
      <w:r w:rsidRPr="00273A3E">
        <w:rPr>
          <w:rFonts w:ascii="Times New Roman" w:hAnsi="Times New Roman"/>
          <w:b/>
          <w:lang w:val="lt-LT"/>
        </w:rPr>
        <w:t>pav.</w:t>
      </w:r>
      <w:r w:rsidR="009678C6" w:rsidRPr="00273A3E">
        <w:rPr>
          <w:rFonts w:ascii="Times New Roman" w:hAnsi="Times New Roman"/>
          <w:b/>
          <w:lang w:val="lt-LT"/>
        </w:rPr>
        <w:t xml:space="preserve"> </w:t>
      </w:r>
      <w:r w:rsidR="009678C6" w:rsidRPr="00273A3E">
        <w:rPr>
          <w:rFonts w:ascii="Times New Roman" w:hAnsi="Times New Roman"/>
          <w:b/>
          <w:lang w:val="lt-LT"/>
        </w:rPr>
        <w:tab/>
      </w:r>
      <w:r w:rsidRPr="00273A3E">
        <w:rPr>
          <w:rFonts w:ascii="Times New Roman" w:hAnsi="Times New Roman"/>
          <w:b/>
          <w:lang w:val="lt-LT"/>
        </w:rPr>
        <w:t>Neprogresuojant ligai išgyvento laikotarpio (tyrėjo vertinimu</w:t>
      </w:r>
      <w:r w:rsidR="00135843" w:rsidRPr="00273A3E">
        <w:rPr>
          <w:rFonts w:ascii="Times New Roman" w:hAnsi="Times New Roman"/>
          <w:b/>
          <w:lang w:val="lt-LT"/>
        </w:rPr>
        <w:t>, numatytai gydyti populiacijai</w:t>
      </w:r>
      <w:r w:rsidRPr="00273A3E">
        <w:rPr>
          <w:rFonts w:ascii="Times New Roman" w:hAnsi="Times New Roman"/>
          <w:b/>
          <w:lang w:val="lt-LT"/>
        </w:rPr>
        <w:t xml:space="preserve">) </w:t>
      </w:r>
      <w:proofErr w:type="spellStart"/>
      <w:r w:rsidRPr="00273A3E">
        <w:rPr>
          <w:rFonts w:ascii="Times New Roman" w:hAnsi="Times New Roman"/>
          <w:b/>
          <w:i/>
          <w:lang w:val="lt-LT"/>
        </w:rPr>
        <w:t>Kaplan-Meier</w:t>
      </w:r>
      <w:proofErr w:type="spellEnd"/>
      <w:r w:rsidRPr="00273A3E">
        <w:rPr>
          <w:rFonts w:ascii="Times New Roman" w:hAnsi="Times New Roman"/>
          <w:b/>
          <w:lang w:val="lt-LT"/>
        </w:rPr>
        <w:t xml:space="preserve"> kreivės FALCON tyrimo duomenimis</w:t>
      </w:r>
    </w:p>
    <w:p w14:paraId="3DB4BF63" w14:textId="77777777" w:rsidR="001E5C66" w:rsidRPr="00273A3E" w:rsidRDefault="001E5C66" w:rsidP="009F71ED">
      <w:pPr>
        <w:tabs>
          <w:tab w:val="left" w:pos="567"/>
        </w:tabs>
        <w:spacing w:after="0" w:line="240" w:lineRule="auto"/>
        <w:rPr>
          <w:rFonts w:ascii="Times New Roman" w:hAnsi="Times New Roman"/>
          <w:lang w:val="lt-LT"/>
        </w:rPr>
      </w:pPr>
    </w:p>
    <w:p w14:paraId="5A1F064A" w14:textId="77777777" w:rsidR="001E5C66" w:rsidRPr="00273A3E" w:rsidRDefault="0003368A" w:rsidP="009F71ED">
      <w:pPr>
        <w:tabs>
          <w:tab w:val="left" w:pos="567"/>
        </w:tabs>
        <w:spacing w:after="0" w:line="240" w:lineRule="auto"/>
        <w:rPr>
          <w:rFonts w:ascii="Times New Roman" w:hAnsi="Times New Roman"/>
          <w:lang w:val="lt-LT"/>
        </w:rPr>
      </w:pPr>
      <w:r w:rsidRPr="00273A3E">
        <w:rPr>
          <w:rFonts w:ascii="Times New Roman" w:hAnsi="Times New Roman"/>
          <w:b/>
          <w:noProof/>
          <w:lang w:val="lt-LT" w:eastAsia="zh-CN"/>
        </w:rPr>
        <w:lastRenderedPageBreak/>
        <mc:AlternateContent>
          <mc:Choice Requires="wps">
            <w:drawing>
              <wp:anchor distT="0" distB="0" distL="114300" distR="114300" simplePos="0" relativeHeight="251647488" behindDoc="0" locked="0" layoutInCell="1" allowOverlap="1" wp14:anchorId="77EAEFBE" wp14:editId="5E20D596">
                <wp:simplePos x="0" y="0"/>
                <wp:positionH relativeFrom="column">
                  <wp:posOffset>-65405</wp:posOffset>
                </wp:positionH>
                <wp:positionV relativeFrom="paragraph">
                  <wp:posOffset>506095</wp:posOffset>
                </wp:positionV>
                <wp:extent cx="341630" cy="1274445"/>
                <wp:effectExtent l="0" t="4445" r="4445" b="0"/>
                <wp:wrapNone/>
                <wp:docPr id="11372817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274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1D0C9" w14:textId="77777777" w:rsidR="00B70B3C" w:rsidRPr="00B70B3C" w:rsidRDefault="00B70B3C" w:rsidP="00B70B3C">
                            <w:pPr>
                              <w:jc w:val="center"/>
                              <w:rPr>
                                <w:sz w:val="16"/>
                                <w:szCs w:val="16"/>
                              </w:rPr>
                            </w:pPr>
                            <w:r w:rsidRPr="00B70B3C">
                              <w:rPr>
                                <w:rFonts w:ascii="Times New Roman" w:hAnsi="Times New Roman"/>
                                <w:sz w:val="16"/>
                                <w:szCs w:val="16"/>
                                <w:lang w:val="lt-LT"/>
                              </w:rPr>
                              <w:t>PFS tikimybė</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15pt;margin-top:39.85pt;width:26.9pt;height:100.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" stroked="f">
                <v:textbox style="layout-flow:vertical;mso-layout-flow-alt:bottom-to-top">
                  <w:txbxContent>
                    <w:p w14:paraId="17594AED" w14:textId="77777777" w:rsidR="00B70B3C" w:rsidRPr="00B70B3C" w:rsidRDefault="00B70B3C" w:rsidP="00B70B3C">
                      <w:pPr>
                        <w:jc w:val="center"/>
                        <w:rPr>
                          <w:sz w:val="16"/>
                          <w:szCs w:val="16"/>
                        </w:rPr>
                      </w:pPr>
                      <w:r w:rsidRPr="00B70B3C">
                        <w:rPr>
                          <w:rFonts w:ascii="Times New Roman" w:hAnsi="Times New Roman"/>
                          <w:sz w:val="16"/>
                          <w:szCs w:val="16"/>
                          <w:lang w:val="lt-LT"/>
                        </w:rPr>
                        <w:t>PFS tikimybė</w:t>
                      </w:r>
                    </w:p>
                  </w:txbxContent>
                </v:textbox>
              </v:shape>
            </w:pict>
          </mc:Fallback>
        </mc:AlternateContent>
      </w:r>
      <w:r w:rsidRPr="00273A3E">
        <w:rPr>
          <w:rFonts w:ascii="Times New Roman" w:hAnsi="Times New Roman"/>
          <w:b/>
          <w:noProof/>
          <w:lang w:val="lt-LT" w:eastAsia="zh-CN"/>
        </w:rPr>
        <w:drawing>
          <wp:inline distT="0" distB="0" distL="0" distR="0" wp14:anchorId="37E0B969" wp14:editId="6AA8B06C">
            <wp:extent cx="5760720" cy="246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468880"/>
                    </a:xfrm>
                    <a:prstGeom prst="rect">
                      <a:avLst/>
                    </a:prstGeom>
                    <a:noFill/>
                    <a:ln>
                      <a:noFill/>
                    </a:ln>
                  </pic:spPr>
                </pic:pic>
              </a:graphicData>
            </a:graphic>
          </wp:inline>
        </w:drawing>
      </w:r>
    </w:p>
    <w:p w14:paraId="7341301A" w14:textId="77777777" w:rsidR="00B70B3C" w:rsidRPr="00273A3E" w:rsidRDefault="00B70B3C" w:rsidP="009F71ED">
      <w:pPr>
        <w:tabs>
          <w:tab w:val="left" w:pos="567"/>
        </w:tabs>
        <w:spacing w:line="240" w:lineRule="auto"/>
        <w:jc w:val="center"/>
        <w:outlineLvl w:val="0"/>
        <w:rPr>
          <w:rFonts w:ascii="Times New Roman" w:hAnsi="Times New Roman"/>
          <w:lang w:val="lt-LT"/>
        </w:rPr>
      </w:pPr>
      <w:r w:rsidRPr="00273A3E">
        <w:rPr>
          <w:rFonts w:ascii="Times New Roman" w:hAnsi="Times New Roman"/>
          <w:lang w:val="lt-LT"/>
        </w:rPr>
        <w:t xml:space="preserve">Laikas </w:t>
      </w:r>
      <w:r w:rsidR="00643918" w:rsidRPr="00273A3E">
        <w:rPr>
          <w:rFonts w:ascii="Times New Roman" w:hAnsi="Times New Roman"/>
          <w:lang w:val="lt-LT"/>
        </w:rPr>
        <w:t xml:space="preserve">nuo </w:t>
      </w:r>
      <w:r w:rsidR="00B67678" w:rsidRPr="00273A3E">
        <w:rPr>
          <w:rFonts w:ascii="Times New Roman" w:hAnsi="Times New Roman"/>
          <w:lang w:val="lt-LT"/>
        </w:rPr>
        <w:t xml:space="preserve">atsitiktinio paskirstymo </w:t>
      </w:r>
      <w:r w:rsidRPr="00273A3E">
        <w:rPr>
          <w:rFonts w:ascii="Times New Roman" w:hAnsi="Times New Roman"/>
          <w:lang w:val="lt-LT"/>
        </w:rPr>
        <w:t>(mėn.)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B70B3C" w:rsidRPr="00273A3E" w14:paraId="55CAD41F" w14:textId="77777777" w:rsidTr="00375C68">
        <w:tc>
          <w:tcPr>
            <w:tcW w:w="3095" w:type="dxa"/>
          </w:tcPr>
          <w:p w14:paraId="26DF52E1" w14:textId="77777777" w:rsidR="00B70B3C" w:rsidRPr="00273A3E" w:rsidRDefault="00B70B3C" w:rsidP="009F71ED">
            <w:pPr>
              <w:tabs>
                <w:tab w:val="left" w:pos="567"/>
              </w:tabs>
              <w:spacing w:line="240" w:lineRule="auto"/>
              <w:jc w:val="center"/>
              <w:outlineLvl w:val="0"/>
              <w:rPr>
                <w:rFonts w:ascii="Times New Roman" w:hAnsi="Times New Roman"/>
                <w:lang w:val="lt-LT"/>
              </w:rPr>
            </w:pPr>
            <w:r w:rsidRPr="00273A3E">
              <w:rPr>
                <w:rFonts w:ascii="Times New Roman" w:hAnsi="Times New Roman"/>
                <w:lang w:val="lt-LT"/>
              </w:rPr>
              <w:t>Gydymas</w:t>
            </w:r>
          </w:p>
        </w:tc>
        <w:tc>
          <w:tcPr>
            <w:tcW w:w="3096" w:type="dxa"/>
          </w:tcPr>
          <w:p w14:paraId="607B37E9" w14:textId="77777777" w:rsidR="00B70B3C" w:rsidRPr="00273A3E" w:rsidRDefault="00B70B3C" w:rsidP="009F71ED">
            <w:pPr>
              <w:tabs>
                <w:tab w:val="left" w:pos="567"/>
              </w:tabs>
              <w:spacing w:line="240" w:lineRule="auto"/>
              <w:jc w:val="center"/>
              <w:outlineLvl w:val="0"/>
              <w:rPr>
                <w:rFonts w:ascii="Times New Roman" w:hAnsi="Times New Roman"/>
                <w:lang w:val="lt-LT"/>
              </w:rPr>
            </w:pPr>
            <w:r w:rsidRPr="00273A3E">
              <w:rPr>
                <w:rFonts w:ascii="Times New Roman" w:hAnsi="Times New Roman"/>
                <w:lang w:val="lt-LT"/>
              </w:rPr>
              <w:t xml:space="preserve">——— 500 mg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(N = 230)</w:t>
            </w:r>
          </w:p>
        </w:tc>
        <w:tc>
          <w:tcPr>
            <w:tcW w:w="3096" w:type="dxa"/>
          </w:tcPr>
          <w:p w14:paraId="721CCBFE" w14:textId="77777777" w:rsidR="00B70B3C" w:rsidRPr="00273A3E" w:rsidRDefault="00B70B3C" w:rsidP="009F71ED">
            <w:pPr>
              <w:tabs>
                <w:tab w:val="left" w:pos="567"/>
              </w:tabs>
              <w:spacing w:line="240" w:lineRule="auto"/>
              <w:outlineLvl w:val="0"/>
              <w:rPr>
                <w:rFonts w:ascii="Times New Roman" w:hAnsi="Times New Roman"/>
                <w:lang w:val="lt-LT"/>
              </w:rPr>
            </w:pPr>
            <w:r w:rsidRPr="00273A3E">
              <w:rPr>
                <w:rFonts w:ascii="Times New Roman" w:hAnsi="Times New Roman"/>
                <w:lang w:val="lt-LT"/>
              </w:rPr>
              <w:t xml:space="preserve">- - - - - - 1 mg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(N = 232)</w:t>
            </w:r>
          </w:p>
        </w:tc>
      </w:tr>
    </w:tbl>
    <w:p w14:paraId="6138850C" w14:textId="77777777" w:rsidR="00B70B3C" w:rsidRPr="00273A3E" w:rsidRDefault="00B70B3C" w:rsidP="009F71ED">
      <w:pPr>
        <w:tabs>
          <w:tab w:val="left" w:pos="567"/>
        </w:tabs>
        <w:spacing w:line="240" w:lineRule="auto"/>
        <w:jc w:val="center"/>
        <w:outlineLvl w:val="0"/>
        <w:rPr>
          <w:rFonts w:ascii="Times New Roman" w:hAnsi="Times New Roman"/>
          <w:lang w:val="lt-LT"/>
        </w:rPr>
      </w:pPr>
    </w:p>
    <w:p w14:paraId="50550AC1"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Pacienčių, kurioms yra rizika</w:t>
      </w:r>
      <w:r w:rsidR="00584CF2" w:rsidRPr="00273A3E">
        <w:rPr>
          <w:rFonts w:ascii="Times New Roman" w:hAnsi="Times New Roman"/>
          <w:lang w:val="lt-LT"/>
        </w:rPr>
        <w:t xml:space="preserve">, </w:t>
      </w:r>
      <w:r w:rsidRPr="00273A3E">
        <w:rPr>
          <w:rFonts w:ascii="Times New Roman" w:hAnsi="Times New Roman"/>
          <w:lang w:val="lt-LT"/>
        </w:rPr>
        <w:t>skaičius</w:t>
      </w:r>
    </w:p>
    <w:tbl>
      <w:tblPr>
        <w:tblW w:w="0" w:type="auto"/>
        <w:tblLayout w:type="fixed"/>
        <w:tblCellMar>
          <w:left w:w="0" w:type="dxa"/>
          <w:right w:w="0" w:type="dxa"/>
        </w:tblCellMar>
        <w:tblLook w:val="01E0" w:firstRow="1" w:lastRow="1" w:firstColumn="1" w:lastColumn="1" w:noHBand="0" w:noVBand="0"/>
      </w:tblPr>
      <w:tblGrid>
        <w:gridCol w:w="954"/>
        <w:gridCol w:w="550"/>
        <w:gridCol w:w="593"/>
        <w:gridCol w:w="590"/>
        <w:gridCol w:w="590"/>
        <w:gridCol w:w="590"/>
        <w:gridCol w:w="607"/>
        <w:gridCol w:w="570"/>
        <w:gridCol w:w="590"/>
        <w:gridCol w:w="593"/>
        <w:gridCol w:w="593"/>
        <w:gridCol w:w="590"/>
        <w:gridCol w:w="607"/>
        <w:gridCol w:w="575"/>
        <w:gridCol w:w="385"/>
      </w:tblGrid>
      <w:tr w:rsidR="001E5C66" w:rsidRPr="00273A3E" w14:paraId="7DB6634F" w14:textId="77777777" w:rsidTr="00B70B3C">
        <w:trPr>
          <w:trHeight w:hRule="exact" w:val="243"/>
        </w:trPr>
        <w:tc>
          <w:tcPr>
            <w:tcW w:w="954" w:type="dxa"/>
            <w:tcBorders>
              <w:top w:val="nil"/>
              <w:left w:val="nil"/>
              <w:bottom w:val="nil"/>
              <w:right w:val="nil"/>
            </w:tcBorders>
          </w:tcPr>
          <w:p w14:paraId="698A6F71"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FUL500</w:t>
            </w:r>
          </w:p>
        </w:tc>
        <w:tc>
          <w:tcPr>
            <w:tcW w:w="550" w:type="dxa"/>
            <w:tcBorders>
              <w:top w:val="nil"/>
              <w:left w:val="nil"/>
              <w:bottom w:val="nil"/>
              <w:right w:val="nil"/>
            </w:tcBorders>
          </w:tcPr>
          <w:p w14:paraId="7EE24060"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230</w:t>
            </w:r>
          </w:p>
        </w:tc>
        <w:tc>
          <w:tcPr>
            <w:tcW w:w="593" w:type="dxa"/>
            <w:tcBorders>
              <w:top w:val="nil"/>
              <w:left w:val="nil"/>
              <w:bottom w:val="nil"/>
              <w:right w:val="nil"/>
            </w:tcBorders>
          </w:tcPr>
          <w:p w14:paraId="48CCAC85"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187</w:t>
            </w:r>
          </w:p>
        </w:tc>
        <w:tc>
          <w:tcPr>
            <w:tcW w:w="590" w:type="dxa"/>
            <w:tcBorders>
              <w:top w:val="nil"/>
              <w:left w:val="nil"/>
              <w:bottom w:val="nil"/>
              <w:right w:val="nil"/>
            </w:tcBorders>
          </w:tcPr>
          <w:p w14:paraId="6F0337B7"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171</w:t>
            </w:r>
          </w:p>
        </w:tc>
        <w:tc>
          <w:tcPr>
            <w:tcW w:w="590" w:type="dxa"/>
            <w:tcBorders>
              <w:top w:val="nil"/>
              <w:left w:val="nil"/>
              <w:bottom w:val="nil"/>
              <w:right w:val="nil"/>
            </w:tcBorders>
          </w:tcPr>
          <w:p w14:paraId="697D59AB"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150</w:t>
            </w:r>
          </w:p>
        </w:tc>
        <w:tc>
          <w:tcPr>
            <w:tcW w:w="590" w:type="dxa"/>
            <w:tcBorders>
              <w:top w:val="nil"/>
              <w:left w:val="nil"/>
              <w:bottom w:val="nil"/>
              <w:right w:val="nil"/>
            </w:tcBorders>
          </w:tcPr>
          <w:p w14:paraId="08E5EE6F"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124</w:t>
            </w:r>
          </w:p>
        </w:tc>
        <w:tc>
          <w:tcPr>
            <w:tcW w:w="607" w:type="dxa"/>
            <w:tcBorders>
              <w:top w:val="nil"/>
              <w:left w:val="nil"/>
              <w:bottom w:val="nil"/>
              <w:right w:val="nil"/>
            </w:tcBorders>
          </w:tcPr>
          <w:p w14:paraId="77F8CEB8"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110</w:t>
            </w:r>
          </w:p>
        </w:tc>
        <w:tc>
          <w:tcPr>
            <w:tcW w:w="570" w:type="dxa"/>
            <w:tcBorders>
              <w:top w:val="nil"/>
              <w:left w:val="nil"/>
              <w:bottom w:val="nil"/>
              <w:right w:val="nil"/>
            </w:tcBorders>
          </w:tcPr>
          <w:p w14:paraId="1F1F641A"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96</w:t>
            </w:r>
          </w:p>
        </w:tc>
        <w:tc>
          <w:tcPr>
            <w:tcW w:w="590" w:type="dxa"/>
            <w:tcBorders>
              <w:top w:val="nil"/>
              <w:left w:val="nil"/>
              <w:bottom w:val="nil"/>
              <w:right w:val="nil"/>
            </w:tcBorders>
          </w:tcPr>
          <w:p w14:paraId="12500BA5"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81</w:t>
            </w:r>
          </w:p>
        </w:tc>
        <w:tc>
          <w:tcPr>
            <w:tcW w:w="593" w:type="dxa"/>
            <w:tcBorders>
              <w:top w:val="nil"/>
              <w:left w:val="nil"/>
              <w:bottom w:val="nil"/>
              <w:right w:val="nil"/>
            </w:tcBorders>
          </w:tcPr>
          <w:p w14:paraId="23DB7662"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63</w:t>
            </w:r>
          </w:p>
        </w:tc>
        <w:tc>
          <w:tcPr>
            <w:tcW w:w="593" w:type="dxa"/>
            <w:tcBorders>
              <w:top w:val="nil"/>
              <w:left w:val="nil"/>
              <w:bottom w:val="nil"/>
              <w:right w:val="nil"/>
            </w:tcBorders>
          </w:tcPr>
          <w:p w14:paraId="35596558"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44</w:t>
            </w:r>
          </w:p>
        </w:tc>
        <w:tc>
          <w:tcPr>
            <w:tcW w:w="590" w:type="dxa"/>
            <w:tcBorders>
              <w:top w:val="nil"/>
              <w:left w:val="nil"/>
              <w:bottom w:val="nil"/>
              <w:right w:val="nil"/>
            </w:tcBorders>
          </w:tcPr>
          <w:p w14:paraId="4191AF58"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24</w:t>
            </w:r>
          </w:p>
        </w:tc>
        <w:tc>
          <w:tcPr>
            <w:tcW w:w="607" w:type="dxa"/>
            <w:tcBorders>
              <w:top w:val="nil"/>
              <w:left w:val="nil"/>
              <w:bottom w:val="nil"/>
              <w:right w:val="nil"/>
            </w:tcBorders>
          </w:tcPr>
          <w:p w14:paraId="0D009CA9"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11</w:t>
            </w:r>
          </w:p>
        </w:tc>
        <w:tc>
          <w:tcPr>
            <w:tcW w:w="575" w:type="dxa"/>
            <w:tcBorders>
              <w:top w:val="nil"/>
              <w:left w:val="nil"/>
              <w:bottom w:val="nil"/>
              <w:right w:val="nil"/>
            </w:tcBorders>
          </w:tcPr>
          <w:p w14:paraId="6B86C321"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2</w:t>
            </w:r>
          </w:p>
        </w:tc>
        <w:tc>
          <w:tcPr>
            <w:tcW w:w="385" w:type="dxa"/>
            <w:tcBorders>
              <w:top w:val="nil"/>
              <w:left w:val="nil"/>
              <w:bottom w:val="nil"/>
              <w:right w:val="nil"/>
            </w:tcBorders>
          </w:tcPr>
          <w:p w14:paraId="2BF8AA9F" w14:textId="77777777" w:rsidR="001E5C66" w:rsidRPr="00273A3E" w:rsidRDefault="001E5C66" w:rsidP="009F71ED">
            <w:pPr>
              <w:widowControl w:val="0"/>
              <w:tabs>
                <w:tab w:val="left" w:pos="567"/>
              </w:tabs>
              <w:spacing w:after="0" w:line="240" w:lineRule="auto"/>
              <w:jc w:val="right"/>
              <w:rPr>
                <w:rFonts w:ascii="Times New Roman" w:hAnsi="Times New Roman"/>
                <w:lang w:val="lt-LT"/>
              </w:rPr>
            </w:pPr>
            <w:r w:rsidRPr="00273A3E">
              <w:rPr>
                <w:rFonts w:ascii="Times New Roman" w:hAnsi="Times New Roman"/>
                <w:w w:val="95"/>
                <w:lang w:val="lt-LT"/>
              </w:rPr>
              <w:t>0</w:t>
            </w:r>
          </w:p>
        </w:tc>
      </w:tr>
      <w:tr w:rsidR="001E5C66" w:rsidRPr="00273A3E" w14:paraId="698443FD" w14:textId="77777777" w:rsidTr="00B70B3C">
        <w:trPr>
          <w:trHeight w:hRule="exact" w:val="287"/>
        </w:trPr>
        <w:tc>
          <w:tcPr>
            <w:tcW w:w="954" w:type="dxa"/>
            <w:tcBorders>
              <w:top w:val="nil"/>
              <w:left w:val="nil"/>
              <w:bottom w:val="nil"/>
              <w:right w:val="nil"/>
            </w:tcBorders>
          </w:tcPr>
          <w:p w14:paraId="590CCDD3"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ANAS1</w:t>
            </w:r>
          </w:p>
        </w:tc>
        <w:tc>
          <w:tcPr>
            <w:tcW w:w="550" w:type="dxa"/>
            <w:tcBorders>
              <w:top w:val="nil"/>
              <w:left w:val="nil"/>
              <w:bottom w:val="nil"/>
              <w:right w:val="nil"/>
            </w:tcBorders>
          </w:tcPr>
          <w:p w14:paraId="5B4108DE"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232</w:t>
            </w:r>
          </w:p>
        </w:tc>
        <w:tc>
          <w:tcPr>
            <w:tcW w:w="593" w:type="dxa"/>
            <w:tcBorders>
              <w:top w:val="nil"/>
              <w:left w:val="nil"/>
              <w:bottom w:val="nil"/>
              <w:right w:val="nil"/>
            </w:tcBorders>
          </w:tcPr>
          <w:p w14:paraId="68FE1818"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194</w:t>
            </w:r>
          </w:p>
        </w:tc>
        <w:tc>
          <w:tcPr>
            <w:tcW w:w="590" w:type="dxa"/>
            <w:tcBorders>
              <w:top w:val="nil"/>
              <w:left w:val="nil"/>
              <w:bottom w:val="nil"/>
              <w:right w:val="nil"/>
            </w:tcBorders>
          </w:tcPr>
          <w:p w14:paraId="76EF3CB0"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162</w:t>
            </w:r>
          </w:p>
        </w:tc>
        <w:tc>
          <w:tcPr>
            <w:tcW w:w="590" w:type="dxa"/>
            <w:tcBorders>
              <w:top w:val="nil"/>
              <w:left w:val="nil"/>
              <w:bottom w:val="nil"/>
              <w:right w:val="nil"/>
            </w:tcBorders>
          </w:tcPr>
          <w:p w14:paraId="52F82253"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139</w:t>
            </w:r>
          </w:p>
        </w:tc>
        <w:tc>
          <w:tcPr>
            <w:tcW w:w="590" w:type="dxa"/>
            <w:tcBorders>
              <w:top w:val="nil"/>
              <w:left w:val="nil"/>
              <w:bottom w:val="nil"/>
              <w:right w:val="nil"/>
            </w:tcBorders>
          </w:tcPr>
          <w:p w14:paraId="1449A3B2"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120</w:t>
            </w:r>
          </w:p>
        </w:tc>
        <w:tc>
          <w:tcPr>
            <w:tcW w:w="607" w:type="dxa"/>
            <w:tcBorders>
              <w:top w:val="nil"/>
              <w:left w:val="nil"/>
              <w:bottom w:val="nil"/>
              <w:right w:val="nil"/>
            </w:tcBorders>
          </w:tcPr>
          <w:p w14:paraId="68199976"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lang w:val="lt-LT"/>
              </w:rPr>
              <w:t>102</w:t>
            </w:r>
          </w:p>
        </w:tc>
        <w:tc>
          <w:tcPr>
            <w:tcW w:w="570" w:type="dxa"/>
            <w:tcBorders>
              <w:top w:val="nil"/>
              <w:left w:val="nil"/>
              <w:bottom w:val="nil"/>
              <w:right w:val="nil"/>
            </w:tcBorders>
          </w:tcPr>
          <w:p w14:paraId="39212DBE"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84</w:t>
            </w:r>
          </w:p>
        </w:tc>
        <w:tc>
          <w:tcPr>
            <w:tcW w:w="590" w:type="dxa"/>
            <w:tcBorders>
              <w:top w:val="nil"/>
              <w:left w:val="nil"/>
              <w:bottom w:val="nil"/>
              <w:right w:val="nil"/>
            </w:tcBorders>
          </w:tcPr>
          <w:p w14:paraId="48E49EC0"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60</w:t>
            </w:r>
          </w:p>
        </w:tc>
        <w:tc>
          <w:tcPr>
            <w:tcW w:w="593" w:type="dxa"/>
            <w:tcBorders>
              <w:top w:val="nil"/>
              <w:left w:val="nil"/>
              <w:bottom w:val="nil"/>
              <w:right w:val="nil"/>
            </w:tcBorders>
          </w:tcPr>
          <w:p w14:paraId="05AB0598"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45</w:t>
            </w:r>
          </w:p>
        </w:tc>
        <w:tc>
          <w:tcPr>
            <w:tcW w:w="593" w:type="dxa"/>
            <w:tcBorders>
              <w:top w:val="nil"/>
              <w:left w:val="nil"/>
              <w:bottom w:val="nil"/>
              <w:right w:val="nil"/>
            </w:tcBorders>
          </w:tcPr>
          <w:p w14:paraId="0D024388"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31</w:t>
            </w:r>
          </w:p>
        </w:tc>
        <w:tc>
          <w:tcPr>
            <w:tcW w:w="590" w:type="dxa"/>
            <w:tcBorders>
              <w:top w:val="nil"/>
              <w:left w:val="nil"/>
              <w:bottom w:val="nil"/>
              <w:right w:val="nil"/>
            </w:tcBorders>
          </w:tcPr>
          <w:p w14:paraId="2AE56B6F"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22</w:t>
            </w:r>
          </w:p>
        </w:tc>
        <w:tc>
          <w:tcPr>
            <w:tcW w:w="607" w:type="dxa"/>
            <w:tcBorders>
              <w:top w:val="nil"/>
              <w:left w:val="nil"/>
              <w:bottom w:val="nil"/>
              <w:right w:val="nil"/>
            </w:tcBorders>
          </w:tcPr>
          <w:p w14:paraId="3E574F8D"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3"/>
                <w:lang w:val="lt-LT"/>
              </w:rPr>
              <w:t>10</w:t>
            </w:r>
          </w:p>
        </w:tc>
        <w:tc>
          <w:tcPr>
            <w:tcW w:w="575" w:type="dxa"/>
            <w:tcBorders>
              <w:top w:val="nil"/>
              <w:left w:val="nil"/>
              <w:bottom w:val="nil"/>
              <w:right w:val="nil"/>
            </w:tcBorders>
          </w:tcPr>
          <w:p w14:paraId="36939FFA"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0</w:t>
            </w:r>
          </w:p>
        </w:tc>
        <w:tc>
          <w:tcPr>
            <w:tcW w:w="385" w:type="dxa"/>
            <w:tcBorders>
              <w:top w:val="nil"/>
              <w:left w:val="nil"/>
              <w:bottom w:val="nil"/>
              <w:right w:val="nil"/>
            </w:tcBorders>
          </w:tcPr>
          <w:p w14:paraId="586D05CC" w14:textId="77777777" w:rsidR="001E5C66" w:rsidRPr="00273A3E" w:rsidRDefault="001E5C66" w:rsidP="009F71ED">
            <w:pPr>
              <w:widowControl w:val="0"/>
              <w:tabs>
                <w:tab w:val="left" w:pos="567"/>
              </w:tabs>
              <w:spacing w:after="0" w:line="240" w:lineRule="auto"/>
              <w:jc w:val="right"/>
              <w:rPr>
                <w:rFonts w:ascii="Times New Roman" w:hAnsi="Times New Roman"/>
                <w:lang w:val="lt-LT"/>
              </w:rPr>
            </w:pPr>
            <w:r w:rsidRPr="00273A3E">
              <w:rPr>
                <w:rFonts w:ascii="Times New Roman" w:hAnsi="Times New Roman"/>
                <w:w w:val="95"/>
                <w:lang w:val="lt-LT"/>
              </w:rPr>
              <w:t>0</w:t>
            </w:r>
          </w:p>
        </w:tc>
      </w:tr>
    </w:tbl>
    <w:p w14:paraId="12313BCC" w14:textId="77777777" w:rsidR="001E5C66" w:rsidRPr="00273A3E" w:rsidRDefault="001E5C66" w:rsidP="009F71ED">
      <w:pPr>
        <w:tabs>
          <w:tab w:val="left" w:pos="567"/>
        </w:tabs>
        <w:spacing w:after="0" w:line="240" w:lineRule="auto"/>
        <w:rPr>
          <w:rFonts w:ascii="Times New Roman" w:hAnsi="Times New Roman"/>
          <w:lang w:val="lt-LT"/>
        </w:rPr>
      </w:pPr>
    </w:p>
    <w:p w14:paraId="05CFB065" w14:textId="77777777" w:rsidR="001E5C66" w:rsidRPr="00273A3E" w:rsidRDefault="001E5C66" w:rsidP="009F71ED">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Dviejuose III</w:t>
      </w:r>
      <w:r w:rsidR="00B70B3C" w:rsidRPr="00273A3E">
        <w:rPr>
          <w:rFonts w:ascii="Times New Roman" w:hAnsi="Times New Roman"/>
          <w:lang w:val="lt-LT"/>
        </w:rPr>
        <w:t> </w:t>
      </w:r>
      <w:r w:rsidRPr="00273A3E">
        <w:rPr>
          <w:rFonts w:ascii="Times New Roman" w:hAnsi="Times New Roman"/>
          <w:lang w:val="lt-LT"/>
        </w:rPr>
        <w:t xml:space="preserve">fazės klinikiniuose tyrimuose </w:t>
      </w:r>
      <w:r w:rsidR="00EC15CB" w:rsidRPr="00273A3E">
        <w:rPr>
          <w:rFonts w:ascii="Times New Roman" w:hAnsi="Times New Roman"/>
          <w:lang w:val="lt-LT"/>
        </w:rPr>
        <w:t xml:space="preserve">iš viso </w:t>
      </w:r>
      <w:r w:rsidRPr="00273A3E">
        <w:rPr>
          <w:rFonts w:ascii="Times New Roman" w:hAnsi="Times New Roman"/>
          <w:lang w:val="lt-LT"/>
        </w:rPr>
        <w:t>dalyvavo 851</w:t>
      </w:r>
      <w:r w:rsidR="00B70B3C" w:rsidRPr="00273A3E">
        <w:rPr>
          <w:rFonts w:ascii="Times New Roman" w:hAnsi="Times New Roman"/>
          <w:lang w:val="lt-LT"/>
        </w:rPr>
        <w:t> </w:t>
      </w:r>
      <w:r w:rsidRPr="00273A3E">
        <w:rPr>
          <w:rFonts w:ascii="Times New Roman" w:hAnsi="Times New Roman"/>
          <w:lang w:val="lt-LT"/>
        </w:rPr>
        <w:t xml:space="preserve">moteris po menopauzės, sirgusi progresavusiu krūties vėžiu, pasikartojusiu </w:t>
      </w:r>
      <w:proofErr w:type="spellStart"/>
      <w:r w:rsidRPr="00273A3E">
        <w:rPr>
          <w:rFonts w:ascii="Times New Roman" w:hAnsi="Times New Roman"/>
          <w:lang w:val="lt-LT"/>
        </w:rPr>
        <w:t>adjuvantinės</w:t>
      </w:r>
      <w:proofErr w:type="spellEnd"/>
      <w:r w:rsidRPr="00273A3E">
        <w:rPr>
          <w:rFonts w:ascii="Times New Roman" w:hAnsi="Times New Roman"/>
          <w:lang w:val="lt-LT"/>
        </w:rPr>
        <w:t xml:space="preserve"> endokrininės terapijos</w:t>
      </w:r>
      <w:r w:rsidR="009A5670"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ar po jos arba progresavusiu </w:t>
      </w:r>
      <w:r w:rsidR="009B69AE" w:rsidRPr="00273A3E">
        <w:rPr>
          <w:rFonts w:ascii="Times New Roman" w:hAnsi="Times New Roman"/>
          <w:lang w:val="lt-LT"/>
        </w:rPr>
        <w:t xml:space="preserve">po </w:t>
      </w:r>
      <w:r w:rsidRPr="00273A3E">
        <w:rPr>
          <w:rFonts w:ascii="Times New Roman" w:hAnsi="Times New Roman"/>
          <w:lang w:val="lt-LT"/>
        </w:rPr>
        <w:t>endokrininės terapijos</w:t>
      </w:r>
      <w:r w:rsidR="004B4A59" w:rsidRPr="00273A3E">
        <w:rPr>
          <w:rFonts w:ascii="Times New Roman" w:hAnsi="Times New Roman"/>
          <w:lang w:val="lt-LT"/>
        </w:rPr>
        <w:t xml:space="preserve"> </w:t>
      </w:r>
      <w:r w:rsidR="00FF0074" w:rsidRPr="00273A3E">
        <w:rPr>
          <w:rFonts w:ascii="Times New Roman" w:hAnsi="Times New Roman"/>
          <w:lang w:val="lt-LT"/>
        </w:rPr>
        <w:t>skyri</w:t>
      </w:r>
      <w:r w:rsidR="009B69AE" w:rsidRPr="00273A3E">
        <w:rPr>
          <w:rFonts w:ascii="Times New Roman" w:hAnsi="Times New Roman"/>
          <w:lang w:val="lt-LT"/>
        </w:rPr>
        <w:t>mo</w:t>
      </w:r>
      <w:r w:rsidR="00135843" w:rsidRPr="00273A3E">
        <w:rPr>
          <w:rFonts w:ascii="Times New Roman" w:hAnsi="Times New Roman"/>
          <w:lang w:val="lt-LT"/>
        </w:rPr>
        <w:t xml:space="preserve">. </w:t>
      </w:r>
      <w:r w:rsidR="004B4A59" w:rsidRPr="00273A3E">
        <w:rPr>
          <w:rFonts w:ascii="Times New Roman" w:hAnsi="Times New Roman"/>
          <w:lang w:val="lt-LT"/>
        </w:rPr>
        <w:t>Septyniasdešimt septyni</w:t>
      </w:r>
      <w:r w:rsidR="00D44105" w:rsidRPr="00273A3E">
        <w:rPr>
          <w:rFonts w:ascii="Times New Roman" w:hAnsi="Times New Roman"/>
          <w:lang w:val="lt-LT"/>
        </w:rPr>
        <w:t>ems</w:t>
      </w:r>
      <w:r w:rsidR="004B4A59" w:rsidRPr="00273A3E">
        <w:rPr>
          <w:rFonts w:ascii="Times New Roman" w:hAnsi="Times New Roman"/>
          <w:lang w:val="lt-LT"/>
        </w:rPr>
        <w:t xml:space="preserve"> procenta</w:t>
      </w:r>
      <w:r w:rsidR="00D44105" w:rsidRPr="00273A3E">
        <w:rPr>
          <w:rFonts w:ascii="Times New Roman" w:hAnsi="Times New Roman"/>
          <w:lang w:val="lt-LT"/>
        </w:rPr>
        <w:t>ms</w:t>
      </w:r>
      <w:r w:rsidR="004B4A59" w:rsidRPr="00273A3E">
        <w:rPr>
          <w:rFonts w:ascii="Times New Roman" w:hAnsi="Times New Roman"/>
          <w:lang w:val="lt-LT"/>
        </w:rPr>
        <w:t xml:space="preserve"> (</w:t>
      </w:r>
      <w:r w:rsidRPr="00273A3E">
        <w:rPr>
          <w:rFonts w:ascii="Times New Roman" w:hAnsi="Times New Roman"/>
          <w:lang w:val="lt-LT"/>
        </w:rPr>
        <w:t>77 %</w:t>
      </w:r>
      <w:r w:rsidR="004B4A59" w:rsidRPr="00273A3E">
        <w:rPr>
          <w:rFonts w:ascii="Times New Roman" w:hAnsi="Times New Roman"/>
          <w:lang w:val="lt-LT"/>
        </w:rPr>
        <w:t>)</w:t>
      </w:r>
      <w:r w:rsidRPr="00273A3E">
        <w:rPr>
          <w:rFonts w:ascii="Times New Roman" w:hAnsi="Times New Roman"/>
          <w:lang w:val="lt-LT"/>
        </w:rPr>
        <w:t xml:space="preserve"> tyrimo dalyvių krūties vėžys buvo teigiamas estrogenų receptorių atžvilgiu. Šių tyrimų</w:t>
      </w:r>
      <w:r w:rsidR="00703AAB"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lygintas kas mėnesį vartojamo 250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kartą per parą vartojamo 1</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aromatazės</w:t>
      </w:r>
      <w:proofErr w:type="spellEnd"/>
      <w:r w:rsidRPr="00273A3E">
        <w:rPr>
          <w:rFonts w:ascii="Times New Roman" w:hAnsi="Times New Roman"/>
          <w:lang w:val="lt-LT"/>
        </w:rPr>
        <w:t xml:space="preserve"> inhibitoriaus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saugumas ir veiksmingumas. Apskritai 1</w:t>
      </w:r>
      <w:r w:rsidR="002051AE" w:rsidRPr="00273A3E">
        <w:rPr>
          <w:rFonts w:ascii="Times New Roman" w:hAnsi="Times New Roman"/>
          <w:lang w:val="lt-LT"/>
        </w:rPr>
        <w:t> </w:t>
      </w:r>
      <w:r w:rsidRPr="00273A3E">
        <w:rPr>
          <w:rFonts w:ascii="Times New Roman" w:hAnsi="Times New Roman"/>
          <w:lang w:val="lt-LT"/>
        </w:rPr>
        <w:t>kartą per mėnesį vartojamo 250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veiksmingumas buvo bent ne mažesnis už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(remiantis neprogresuojant ligai išgyvento laikotarpio trukme, objektyviu atsaku ir išgyvento laikotarpio trukme). Nė vienas iš šių gydymo veiksmingumo rodiklių tarp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grupių statistiškai reikšmingai nesiskyrė. Gydymo veiksmingumo pagrindinė vertinamoji baigtis buvo neprogresuojant ligai išgyventas laikotarpis. Abiejų tyrimų bendra analizė parodė, kad progresavo 83 %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85 %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vartojusių pacienčių liga. </w:t>
      </w:r>
      <w:r w:rsidR="002B36E2" w:rsidRPr="00273A3E">
        <w:rPr>
          <w:rFonts w:ascii="Times New Roman" w:hAnsi="Times New Roman"/>
          <w:lang w:val="lt-LT"/>
        </w:rPr>
        <w:t xml:space="preserve">Jungtinė </w:t>
      </w:r>
      <w:r w:rsidRPr="00273A3E">
        <w:rPr>
          <w:rFonts w:ascii="Times New Roman" w:hAnsi="Times New Roman"/>
          <w:lang w:val="lt-LT"/>
        </w:rPr>
        <w:t>abiejų tyrimų rezultatų analizė parodė, kad pagal neprogresuojant ligai išgyventą laikotarpį apskaičiuota santykinė rizika, palyginus 250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dozę ir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vartojusias pacientes, buvo 0,95 (95 % PI – 0,82</w:t>
      </w:r>
      <w:r w:rsidR="005000A9" w:rsidRPr="00273A3E">
        <w:rPr>
          <w:rFonts w:ascii="Times New Roman" w:hAnsi="Times New Roman"/>
          <w:lang w:val="lt-LT"/>
        </w:rPr>
        <w:t>–</w:t>
      </w:r>
      <w:r w:rsidRPr="00273A3E">
        <w:rPr>
          <w:rFonts w:ascii="Times New Roman" w:hAnsi="Times New Roman"/>
          <w:lang w:val="lt-LT"/>
        </w:rPr>
        <w:t>1,1</w:t>
      </w:r>
      <w:r w:rsidR="002B6E36" w:rsidRPr="00273A3E">
        <w:rPr>
          <w:rFonts w:ascii="Times New Roman" w:hAnsi="Times New Roman"/>
          <w:lang w:val="lt-LT"/>
        </w:rPr>
        <w:t>0</w:t>
      </w:r>
      <w:r w:rsidRPr="00273A3E">
        <w:rPr>
          <w:rFonts w:ascii="Times New Roman" w:hAnsi="Times New Roman"/>
          <w:lang w:val="lt-LT"/>
        </w:rPr>
        <w:t>). Objektyvus atsakas nustatytas 19,2 % 250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dozę ir 16,5 %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vartojusių pacienčių.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vartojusių pacienčių iki mirties išgyvento laikotarpio trukmės mediana buvo 27,4 mėn., vartojusių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 27,6 mėn. Pagal išgyventą laikotarpį apskaičiuota santykinė rizika, palyginus 250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dozę ir </w:t>
      </w:r>
      <w:proofErr w:type="spellStart"/>
      <w:r w:rsidRPr="00273A3E">
        <w:rPr>
          <w:rFonts w:ascii="Times New Roman" w:hAnsi="Times New Roman"/>
          <w:lang w:val="lt-LT"/>
        </w:rPr>
        <w:t>anastrozolo</w:t>
      </w:r>
      <w:proofErr w:type="spellEnd"/>
      <w:r w:rsidRPr="00273A3E">
        <w:rPr>
          <w:rFonts w:ascii="Times New Roman" w:hAnsi="Times New Roman"/>
          <w:lang w:val="lt-LT"/>
        </w:rPr>
        <w:t xml:space="preserve"> vartojusias pacientes, buvo 1,01 (95 % PI – 0,86</w:t>
      </w:r>
      <w:r w:rsidR="007F07DF" w:rsidRPr="00273A3E">
        <w:rPr>
          <w:rFonts w:ascii="Times New Roman" w:hAnsi="Times New Roman"/>
          <w:lang w:val="lt-LT"/>
        </w:rPr>
        <w:t>–</w:t>
      </w:r>
      <w:r w:rsidRPr="00273A3E">
        <w:rPr>
          <w:rFonts w:ascii="Times New Roman" w:hAnsi="Times New Roman"/>
          <w:lang w:val="lt-LT"/>
        </w:rPr>
        <w:t>1,19).</w:t>
      </w:r>
    </w:p>
    <w:p w14:paraId="0BAEB769" w14:textId="77777777" w:rsidR="001E5C66" w:rsidRPr="00273A3E" w:rsidRDefault="001E5C66" w:rsidP="009F71ED">
      <w:pPr>
        <w:tabs>
          <w:tab w:val="left" w:pos="567"/>
        </w:tabs>
        <w:spacing w:after="0" w:line="240" w:lineRule="auto"/>
        <w:rPr>
          <w:rFonts w:ascii="Times New Roman" w:hAnsi="Times New Roman"/>
          <w:iCs/>
          <w:lang w:val="lt-LT"/>
        </w:rPr>
      </w:pPr>
    </w:p>
    <w:p w14:paraId="48BEEAC5" w14:textId="77777777" w:rsidR="001E5C66" w:rsidRPr="00273A3E" w:rsidRDefault="001E5C66" w:rsidP="009F71ED">
      <w:pPr>
        <w:tabs>
          <w:tab w:val="left" w:pos="567"/>
        </w:tabs>
        <w:spacing w:after="0" w:line="240" w:lineRule="auto"/>
        <w:rPr>
          <w:rFonts w:ascii="Times New Roman" w:hAnsi="Times New Roman"/>
          <w:i/>
          <w:lang w:val="lt-LT"/>
        </w:rPr>
      </w:pPr>
      <w:r w:rsidRPr="00273A3E">
        <w:rPr>
          <w:rFonts w:ascii="Times New Roman" w:hAnsi="Times New Roman"/>
          <w:i/>
          <w:lang w:val="lt-LT"/>
        </w:rPr>
        <w:t>Gydymas derin</w:t>
      </w:r>
      <w:r w:rsidR="00887773" w:rsidRPr="00273A3E">
        <w:rPr>
          <w:rFonts w:ascii="Times New Roman" w:hAnsi="Times New Roman"/>
          <w:i/>
          <w:lang w:val="lt-LT"/>
        </w:rPr>
        <w:t>iu</w:t>
      </w:r>
      <w:r w:rsidRPr="00273A3E">
        <w:rPr>
          <w:rFonts w:ascii="Times New Roman" w:hAnsi="Times New Roman"/>
          <w:i/>
          <w:lang w:val="lt-LT"/>
        </w:rPr>
        <w:t xml:space="preserve"> su </w:t>
      </w:r>
      <w:proofErr w:type="spellStart"/>
      <w:r w:rsidRPr="00273A3E">
        <w:rPr>
          <w:rFonts w:ascii="Times New Roman" w:hAnsi="Times New Roman"/>
          <w:i/>
          <w:lang w:val="lt-LT"/>
        </w:rPr>
        <w:t>palbociklibu</w:t>
      </w:r>
      <w:proofErr w:type="spellEnd"/>
    </w:p>
    <w:p w14:paraId="5F41672C"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III</w:t>
      </w:r>
      <w:r w:rsidR="007F07DF" w:rsidRPr="00273A3E">
        <w:rPr>
          <w:rFonts w:ascii="Times New Roman" w:hAnsi="Times New Roman"/>
          <w:lang w:val="lt-LT"/>
        </w:rPr>
        <w:t> </w:t>
      </w:r>
      <w:r w:rsidRPr="00273A3E">
        <w:rPr>
          <w:rFonts w:ascii="Times New Roman" w:hAnsi="Times New Roman"/>
          <w:lang w:val="lt-LT"/>
        </w:rPr>
        <w:t xml:space="preserve">fazės tarptautinio </w:t>
      </w:r>
      <w:r w:rsidR="003232A3" w:rsidRPr="00273A3E">
        <w:rPr>
          <w:rFonts w:ascii="Times New Roman" w:hAnsi="Times New Roman"/>
          <w:lang w:val="lt-LT"/>
        </w:rPr>
        <w:t xml:space="preserve">atsitiktinių imčių </w:t>
      </w:r>
      <w:r w:rsidRPr="00273A3E">
        <w:rPr>
          <w:rFonts w:ascii="Times New Roman" w:hAnsi="Times New Roman"/>
          <w:lang w:val="lt-LT"/>
        </w:rPr>
        <w:t xml:space="preserve">dvigubai </w:t>
      </w:r>
      <w:r w:rsidR="003232A3" w:rsidRPr="00273A3E">
        <w:rPr>
          <w:rFonts w:ascii="Times New Roman" w:hAnsi="Times New Roman"/>
          <w:lang w:val="lt-LT"/>
        </w:rPr>
        <w:t xml:space="preserve">koduoto </w:t>
      </w:r>
      <w:r w:rsidRPr="00273A3E">
        <w:rPr>
          <w:rFonts w:ascii="Times New Roman" w:hAnsi="Times New Roman"/>
          <w:lang w:val="lt-LT"/>
        </w:rPr>
        <w:t>lygiagrečių grupių daugelyje centrų atlikto tyrimo</w:t>
      </w:r>
      <w:r w:rsidR="002B6E36"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lygintas 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derinio su 125</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ir 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derinio su placebu poveikis moterims (nepriklausomai nuo menopauzės), sergančioms HR teigiamu, HER2 neigiamu lokaliai progresavusiu krūties vėžiu, kurio negalima išoperuoti arba išgy</w:t>
      </w:r>
      <w:r w:rsidR="00276CA5" w:rsidRPr="00273A3E">
        <w:rPr>
          <w:rFonts w:ascii="Times New Roman" w:hAnsi="Times New Roman"/>
          <w:lang w:val="lt-LT"/>
        </w:rPr>
        <w:t>dy</w:t>
      </w:r>
      <w:r w:rsidRPr="00273A3E">
        <w:rPr>
          <w:rFonts w:ascii="Times New Roman" w:hAnsi="Times New Roman"/>
          <w:lang w:val="lt-LT"/>
        </w:rPr>
        <w:t xml:space="preserve">ti </w:t>
      </w:r>
      <w:r w:rsidR="003232A3" w:rsidRPr="00273A3E">
        <w:rPr>
          <w:rFonts w:ascii="Times New Roman" w:hAnsi="Times New Roman"/>
          <w:lang w:val="lt-LT"/>
        </w:rPr>
        <w:t xml:space="preserve">taikant </w:t>
      </w:r>
      <w:proofErr w:type="spellStart"/>
      <w:r w:rsidR="003232A3" w:rsidRPr="00273A3E">
        <w:rPr>
          <w:rFonts w:ascii="Times New Roman" w:hAnsi="Times New Roman"/>
          <w:lang w:val="lt-LT"/>
        </w:rPr>
        <w:t>radioterapinį</w:t>
      </w:r>
      <w:proofErr w:type="spellEnd"/>
      <w:r w:rsidR="003232A3" w:rsidRPr="00273A3E">
        <w:rPr>
          <w:rFonts w:ascii="Times New Roman" w:hAnsi="Times New Roman"/>
          <w:lang w:val="lt-LT"/>
        </w:rPr>
        <w:t xml:space="preserve"> gydymą</w:t>
      </w:r>
      <w:r w:rsidRPr="00273A3E">
        <w:rPr>
          <w:rFonts w:ascii="Times New Roman" w:hAnsi="Times New Roman"/>
          <w:lang w:val="lt-LT"/>
        </w:rPr>
        <w:t>, arba</w:t>
      </w:r>
      <w:r w:rsidR="00FF0074" w:rsidRPr="00273A3E">
        <w:rPr>
          <w:rFonts w:ascii="Times New Roman" w:hAnsi="Times New Roman"/>
          <w:lang w:val="lt-LT"/>
        </w:rPr>
        <w:t> </w:t>
      </w:r>
      <w:proofErr w:type="spellStart"/>
      <w:r w:rsidR="00FF0074" w:rsidRPr="00273A3E">
        <w:rPr>
          <w:rFonts w:ascii="Times New Roman" w:hAnsi="Times New Roman"/>
          <w:lang w:val="lt-LT"/>
        </w:rPr>
        <w:t>met</w:t>
      </w:r>
      <w:r w:rsidRPr="00273A3E">
        <w:rPr>
          <w:rFonts w:ascii="Times New Roman" w:hAnsi="Times New Roman"/>
          <w:lang w:val="lt-LT"/>
        </w:rPr>
        <w:t>astazavusiu</w:t>
      </w:r>
      <w:proofErr w:type="spellEnd"/>
      <w:r w:rsidRPr="00273A3E">
        <w:rPr>
          <w:rFonts w:ascii="Times New Roman" w:hAnsi="Times New Roman"/>
          <w:lang w:val="lt-LT"/>
        </w:rPr>
        <w:t xml:space="preserve"> krūties vėžiu, progresavusiu po ankstesnio endokrininio gydymo ([</w:t>
      </w:r>
      <w:proofErr w:type="spellStart"/>
      <w:r w:rsidRPr="00273A3E">
        <w:rPr>
          <w:rFonts w:ascii="Times New Roman" w:hAnsi="Times New Roman"/>
          <w:lang w:val="lt-LT"/>
        </w:rPr>
        <w:t>neo</w:t>
      </w:r>
      <w:proofErr w:type="spellEnd"/>
      <w:r w:rsidRPr="00273A3E">
        <w:rPr>
          <w:rFonts w:ascii="Times New Roman" w:hAnsi="Times New Roman"/>
          <w:lang w:val="lt-LT"/>
        </w:rPr>
        <w:t>]</w:t>
      </w:r>
      <w:proofErr w:type="spellStart"/>
      <w:r w:rsidRPr="00273A3E">
        <w:rPr>
          <w:rFonts w:ascii="Times New Roman" w:hAnsi="Times New Roman"/>
          <w:lang w:val="lt-LT"/>
        </w:rPr>
        <w:t>adjuvantinio</w:t>
      </w:r>
      <w:proofErr w:type="spellEnd"/>
      <w:r w:rsidRPr="00273A3E">
        <w:rPr>
          <w:rFonts w:ascii="Times New Roman" w:hAnsi="Times New Roman"/>
          <w:lang w:val="lt-LT"/>
        </w:rPr>
        <w:t xml:space="preserve"> arba esant</w:t>
      </w:r>
      <w:r w:rsidR="005F04BF"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astazių).</w:t>
      </w:r>
    </w:p>
    <w:p w14:paraId="6B1FFA7E" w14:textId="77777777" w:rsidR="001E5C66" w:rsidRPr="00273A3E" w:rsidRDefault="001E5C66" w:rsidP="009F71ED">
      <w:pPr>
        <w:tabs>
          <w:tab w:val="left" w:pos="567"/>
        </w:tabs>
        <w:spacing w:after="0" w:line="240" w:lineRule="auto"/>
        <w:rPr>
          <w:rFonts w:ascii="Times New Roman" w:hAnsi="Times New Roman"/>
          <w:iCs/>
          <w:lang w:val="lt-LT"/>
        </w:rPr>
      </w:pPr>
    </w:p>
    <w:p w14:paraId="44D9A91C"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lastRenderedPageBreak/>
        <w:t>Iš viso tyrime dalyvavo 521</w:t>
      </w:r>
      <w:r w:rsidR="007F07DF" w:rsidRPr="00273A3E">
        <w:rPr>
          <w:rFonts w:ascii="Times New Roman" w:hAnsi="Times New Roman"/>
          <w:lang w:val="lt-LT"/>
        </w:rPr>
        <w:t> </w:t>
      </w:r>
      <w:r w:rsidRPr="00273A3E">
        <w:rPr>
          <w:rFonts w:ascii="Times New Roman" w:hAnsi="Times New Roman"/>
          <w:lang w:val="lt-LT"/>
        </w:rPr>
        <w:t>moteris (</w:t>
      </w:r>
      <w:r w:rsidR="00A67411" w:rsidRPr="00273A3E">
        <w:rPr>
          <w:rFonts w:ascii="Times New Roman" w:hAnsi="Times New Roman"/>
          <w:lang w:val="lt-LT"/>
        </w:rPr>
        <w:t xml:space="preserve">iki menopauzės </w:t>
      </w:r>
      <w:r w:rsidRPr="00273A3E">
        <w:rPr>
          <w:rFonts w:ascii="Times New Roman" w:hAnsi="Times New Roman"/>
          <w:lang w:val="lt-LT"/>
        </w:rPr>
        <w:t xml:space="preserve">ar </w:t>
      </w:r>
      <w:proofErr w:type="spellStart"/>
      <w:r w:rsidRPr="00273A3E">
        <w:rPr>
          <w:rFonts w:ascii="Times New Roman" w:hAnsi="Times New Roman"/>
          <w:lang w:val="lt-LT"/>
        </w:rPr>
        <w:t>perimenopauzės</w:t>
      </w:r>
      <w:proofErr w:type="spellEnd"/>
      <w:r w:rsidRPr="00273A3E">
        <w:rPr>
          <w:rFonts w:ascii="Times New Roman" w:hAnsi="Times New Roman"/>
          <w:lang w:val="lt-LT"/>
        </w:rPr>
        <w:t xml:space="preserve"> laikotarpiu arba po menopauzės), kurios liga progresavo </w:t>
      </w:r>
      <w:proofErr w:type="spellStart"/>
      <w:r w:rsidRPr="00273A3E">
        <w:rPr>
          <w:rFonts w:ascii="Times New Roman" w:hAnsi="Times New Roman"/>
          <w:lang w:val="lt-LT"/>
        </w:rPr>
        <w:t>adjuvantinio</w:t>
      </w:r>
      <w:proofErr w:type="spellEnd"/>
      <w:r w:rsidRPr="00273A3E">
        <w:rPr>
          <w:rFonts w:ascii="Times New Roman" w:hAnsi="Times New Roman"/>
          <w:lang w:val="lt-LT"/>
        </w:rPr>
        <w:t xml:space="preserve"> </w:t>
      </w:r>
      <w:r w:rsidR="003232A3" w:rsidRPr="00273A3E">
        <w:rPr>
          <w:rFonts w:ascii="Times New Roman" w:hAnsi="Times New Roman"/>
          <w:lang w:val="lt-LT"/>
        </w:rPr>
        <w:t xml:space="preserve">endokrininio </w:t>
      </w:r>
      <w:r w:rsidRPr="00273A3E">
        <w:rPr>
          <w:rFonts w:ascii="Times New Roman" w:hAnsi="Times New Roman"/>
          <w:lang w:val="lt-LT"/>
        </w:rPr>
        <w:t>gydymo</w:t>
      </w:r>
      <w:r w:rsidR="0031793C"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per 12 mėn. po jo arba per 1 mėn. po ankstesnio progresavusios ligos endokrininio gydymo. Tiriamosios buvo </w:t>
      </w:r>
      <w:r w:rsidR="008B247C" w:rsidRPr="00273A3E">
        <w:rPr>
          <w:rFonts w:ascii="Times New Roman" w:hAnsi="Times New Roman"/>
          <w:lang w:val="lt-LT"/>
        </w:rPr>
        <w:t xml:space="preserve">atsitiktinių imčių būdu </w:t>
      </w:r>
      <w:r w:rsidRPr="00273A3E">
        <w:rPr>
          <w:rFonts w:ascii="Times New Roman" w:hAnsi="Times New Roman"/>
          <w:lang w:val="lt-LT"/>
        </w:rPr>
        <w:t xml:space="preserve">santykiu 2:1 </w:t>
      </w:r>
      <w:r w:rsidR="008B247C" w:rsidRPr="00273A3E">
        <w:rPr>
          <w:rFonts w:ascii="Times New Roman" w:hAnsi="Times New Roman"/>
          <w:lang w:val="lt-LT"/>
        </w:rPr>
        <w:t xml:space="preserve">suskirstytos į grupes </w:t>
      </w:r>
      <w:r w:rsidRPr="00273A3E">
        <w:rPr>
          <w:rFonts w:ascii="Times New Roman" w:hAnsi="Times New Roman"/>
          <w:lang w:val="lt-LT"/>
        </w:rPr>
        <w:t xml:space="preserve">vartoti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w:t>
      </w:r>
      <w:r w:rsidR="00B96056" w:rsidRPr="00273A3E">
        <w:rPr>
          <w:rFonts w:ascii="Times New Roman" w:hAnsi="Times New Roman"/>
          <w:lang w:val="lt-LT"/>
        </w:rPr>
        <w:t>io</w:t>
      </w:r>
      <w:r w:rsidRPr="00273A3E">
        <w:rPr>
          <w:rFonts w:ascii="Times New Roman" w:hAnsi="Times New Roman"/>
          <w:lang w:val="lt-LT"/>
        </w:rPr>
        <w:t xml:space="preserve">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arba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placebo derin</w:t>
      </w:r>
      <w:r w:rsidR="00B96056" w:rsidRPr="00273A3E">
        <w:rPr>
          <w:rFonts w:ascii="Times New Roman" w:hAnsi="Times New Roman"/>
          <w:lang w:val="lt-LT"/>
        </w:rPr>
        <w:t>io</w:t>
      </w:r>
      <w:r w:rsidRPr="00273A3E">
        <w:rPr>
          <w:rFonts w:ascii="Times New Roman" w:hAnsi="Times New Roman"/>
          <w:lang w:val="lt-LT"/>
        </w:rPr>
        <w:t xml:space="preserve"> bei </w:t>
      </w:r>
      <w:proofErr w:type="spellStart"/>
      <w:r w:rsidRPr="00273A3E">
        <w:rPr>
          <w:rFonts w:ascii="Times New Roman" w:hAnsi="Times New Roman"/>
          <w:lang w:val="lt-LT"/>
        </w:rPr>
        <w:t>stratifikuotos</w:t>
      </w:r>
      <w:proofErr w:type="spellEnd"/>
      <w:r w:rsidRPr="00273A3E">
        <w:rPr>
          <w:rFonts w:ascii="Times New Roman" w:hAnsi="Times New Roman"/>
          <w:lang w:val="lt-LT"/>
        </w:rPr>
        <w:t xml:space="preserve"> pagal dokumentuotą jautrumą ankstesniam hormoniniam gydymui, menopauzės buvimą įtraukiant į tyrimą (</w:t>
      </w:r>
      <w:r w:rsidR="00A67411" w:rsidRPr="00273A3E">
        <w:rPr>
          <w:rFonts w:ascii="Times New Roman" w:hAnsi="Times New Roman"/>
          <w:lang w:val="lt-LT"/>
        </w:rPr>
        <w:t xml:space="preserve">iki menopauzės </w:t>
      </w:r>
      <w:r w:rsidRPr="00273A3E">
        <w:rPr>
          <w:rFonts w:ascii="Times New Roman" w:hAnsi="Times New Roman"/>
          <w:lang w:val="lt-LT"/>
        </w:rPr>
        <w:t xml:space="preserve">ar </w:t>
      </w:r>
      <w:proofErr w:type="spellStart"/>
      <w:r w:rsidRPr="00273A3E">
        <w:rPr>
          <w:rFonts w:ascii="Times New Roman" w:hAnsi="Times New Roman"/>
          <w:lang w:val="lt-LT"/>
        </w:rPr>
        <w:t>perimenopauzės</w:t>
      </w:r>
      <w:proofErr w:type="spellEnd"/>
      <w:r w:rsidRPr="00273A3E">
        <w:rPr>
          <w:rFonts w:ascii="Times New Roman" w:hAnsi="Times New Roman"/>
          <w:lang w:val="lt-LT"/>
        </w:rPr>
        <w:t xml:space="preserve"> laikotarpiu </w:t>
      </w:r>
      <w:r w:rsidR="00F72B40" w:rsidRPr="00273A3E">
        <w:rPr>
          <w:rFonts w:ascii="Times New Roman" w:hAnsi="Times New Roman"/>
          <w:lang w:val="lt-LT"/>
        </w:rPr>
        <w:t>palyginti</w:t>
      </w:r>
      <w:r w:rsidRPr="00273A3E">
        <w:rPr>
          <w:rFonts w:ascii="Times New Roman" w:hAnsi="Times New Roman"/>
          <w:lang w:val="lt-LT"/>
        </w:rPr>
        <w:t xml:space="preserve"> su po menopauzės) ir </w:t>
      </w:r>
      <w:proofErr w:type="spellStart"/>
      <w:r w:rsidRPr="00273A3E">
        <w:rPr>
          <w:rFonts w:ascii="Times New Roman" w:hAnsi="Times New Roman"/>
          <w:lang w:val="lt-LT"/>
        </w:rPr>
        <w:t>visceralinių</w:t>
      </w:r>
      <w:proofErr w:type="spellEnd"/>
      <w:r w:rsidR="00F70749"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astazių buvimą. Moterys iki menopauzės ir </w:t>
      </w:r>
      <w:proofErr w:type="spellStart"/>
      <w:r w:rsidRPr="00273A3E">
        <w:rPr>
          <w:rFonts w:ascii="Times New Roman" w:hAnsi="Times New Roman"/>
          <w:lang w:val="lt-LT"/>
        </w:rPr>
        <w:t>perimenopauzės</w:t>
      </w:r>
      <w:proofErr w:type="spellEnd"/>
      <w:r w:rsidRPr="00273A3E">
        <w:rPr>
          <w:rFonts w:ascii="Times New Roman" w:hAnsi="Times New Roman"/>
          <w:lang w:val="lt-LT"/>
        </w:rPr>
        <w:t xml:space="preserve"> laikotarpiu dar vartojo LHRH </w:t>
      </w:r>
      <w:proofErr w:type="spellStart"/>
      <w:r w:rsidRPr="00273A3E">
        <w:rPr>
          <w:rFonts w:ascii="Times New Roman" w:hAnsi="Times New Roman"/>
          <w:lang w:val="lt-LT"/>
        </w:rPr>
        <w:t>agonist</w:t>
      </w:r>
      <w:r w:rsidR="00B96056" w:rsidRPr="00273A3E">
        <w:rPr>
          <w:rFonts w:ascii="Times New Roman" w:hAnsi="Times New Roman"/>
          <w:lang w:val="lt-LT"/>
        </w:rPr>
        <w:t>o</w:t>
      </w:r>
      <w:proofErr w:type="spellEnd"/>
      <w:r w:rsidRPr="00273A3E">
        <w:rPr>
          <w:rFonts w:ascii="Times New Roman" w:hAnsi="Times New Roman"/>
          <w:lang w:val="lt-LT"/>
        </w:rPr>
        <w:t xml:space="preserve"> </w:t>
      </w:r>
      <w:proofErr w:type="spellStart"/>
      <w:r w:rsidRPr="00273A3E">
        <w:rPr>
          <w:rFonts w:ascii="Times New Roman" w:hAnsi="Times New Roman"/>
          <w:lang w:val="lt-LT"/>
        </w:rPr>
        <w:t>goserelin</w:t>
      </w:r>
      <w:r w:rsidR="00B96056" w:rsidRPr="00273A3E">
        <w:rPr>
          <w:rFonts w:ascii="Times New Roman" w:hAnsi="Times New Roman"/>
          <w:lang w:val="lt-LT"/>
        </w:rPr>
        <w:t>o</w:t>
      </w:r>
      <w:proofErr w:type="spellEnd"/>
      <w:r w:rsidRPr="00273A3E">
        <w:rPr>
          <w:rFonts w:ascii="Times New Roman" w:hAnsi="Times New Roman"/>
          <w:lang w:val="lt-LT"/>
        </w:rPr>
        <w:t>. Progresavusiu ar</w:t>
      </w:r>
      <w:r w:rsidR="00F70749" w:rsidRPr="00273A3E">
        <w:rPr>
          <w:rFonts w:ascii="Times New Roman" w:hAnsi="Times New Roman"/>
          <w:lang w:val="lt-LT"/>
        </w:rPr>
        <w:t xml:space="preserve"> </w:t>
      </w:r>
      <w:proofErr w:type="spellStart"/>
      <w:r w:rsidR="00FF0074" w:rsidRPr="00273A3E">
        <w:rPr>
          <w:rFonts w:ascii="Times New Roman" w:hAnsi="Times New Roman"/>
          <w:lang w:val="lt-LT"/>
        </w:rPr>
        <w:t>met</w:t>
      </w:r>
      <w:r w:rsidRPr="00273A3E">
        <w:rPr>
          <w:rFonts w:ascii="Times New Roman" w:hAnsi="Times New Roman"/>
          <w:lang w:val="lt-LT"/>
        </w:rPr>
        <w:t>astazavusiu</w:t>
      </w:r>
      <w:proofErr w:type="spellEnd"/>
      <w:r w:rsidRPr="00273A3E">
        <w:rPr>
          <w:rFonts w:ascii="Times New Roman" w:hAnsi="Times New Roman"/>
          <w:lang w:val="lt-LT"/>
        </w:rPr>
        <w:t xml:space="preserve">, simptominiu, turėjusių </w:t>
      </w:r>
      <w:proofErr w:type="spellStart"/>
      <w:r w:rsidRPr="00273A3E">
        <w:rPr>
          <w:rFonts w:ascii="Times New Roman" w:hAnsi="Times New Roman"/>
          <w:lang w:val="lt-LT"/>
        </w:rPr>
        <w:t>visceralinių</w:t>
      </w:r>
      <w:proofErr w:type="spellEnd"/>
      <w:r w:rsidR="00F70749"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astazių vėžiu sirgusių pacienčių nebuvo leidžiama įtraukti į šį tyrimą, jei buvo gyvybei pavojingų komplikacijų rizika trumpuoju laikotarpiu</w:t>
      </w:r>
      <w:r w:rsidR="00894C99" w:rsidRPr="00273A3E">
        <w:rPr>
          <w:rFonts w:ascii="Times New Roman" w:hAnsi="Times New Roman"/>
          <w:lang w:val="lt-LT"/>
        </w:rPr>
        <w:t>,</w:t>
      </w:r>
      <w:r w:rsidRPr="00273A3E">
        <w:rPr>
          <w:rFonts w:ascii="Times New Roman" w:hAnsi="Times New Roman"/>
          <w:lang w:val="lt-LT"/>
        </w:rPr>
        <w:t xml:space="preserve"> esant dideli</w:t>
      </w:r>
      <w:r w:rsidR="00887773" w:rsidRPr="00273A3E">
        <w:rPr>
          <w:rFonts w:ascii="Times New Roman" w:hAnsi="Times New Roman"/>
          <w:lang w:val="lt-LT"/>
        </w:rPr>
        <w:t>am</w:t>
      </w:r>
      <w:r w:rsidRPr="00273A3E">
        <w:rPr>
          <w:rFonts w:ascii="Times New Roman" w:hAnsi="Times New Roman"/>
          <w:lang w:val="lt-LT"/>
        </w:rPr>
        <w:t xml:space="preserve"> nekontroliuojam</w:t>
      </w:r>
      <w:r w:rsidR="00894C99" w:rsidRPr="00273A3E">
        <w:rPr>
          <w:rFonts w:ascii="Times New Roman" w:hAnsi="Times New Roman"/>
          <w:lang w:val="lt-LT"/>
        </w:rPr>
        <w:t>am</w:t>
      </w:r>
      <w:r w:rsidRPr="00273A3E">
        <w:rPr>
          <w:rFonts w:ascii="Times New Roman" w:hAnsi="Times New Roman"/>
          <w:lang w:val="lt-LT"/>
        </w:rPr>
        <w:t xml:space="preserve"> </w:t>
      </w:r>
      <w:r w:rsidR="00887773" w:rsidRPr="00273A3E">
        <w:rPr>
          <w:rFonts w:ascii="Times New Roman" w:hAnsi="Times New Roman"/>
          <w:lang w:val="lt-LT"/>
        </w:rPr>
        <w:t xml:space="preserve">skysčių susikaupimui </w:t>
      </w:r>
      <w:r w:rsidRPr="00273A3E">
        <w:rPr>
          <w:rFonts w:ascii="Times New Roman" w:hAnsi="Times New Roman"/>
          <w:lang w:val="lt-LT"/>
        </w:rPr>
        <w:t xml:space="preserve">(pleuroje, perikarde ar pilvaplėvėje), plaučių </w:t>
      </w:r>
      <w:proofErr w:type="spellStart"/>
      <w:r w:rsidRPr="00273A3E">
        <w:rPr>
          <w:rFonts w:ascii="Times New Roman" w:hAnsi="Times New Roman"/>
          <w:lang w:val="lt-LT"/>
        </w:rPr>
        <w:t>limfangitui</w:t>
      </w:r>
      <w:proofErr w:type="spellEnd"/>
      <w:r w:rsidRPr="00273A3E">
        <w:rPr>
          <w:rFonts w:ascii="Times New Roman" w:hAnsi="Times New Roman"/>
          <w:lang w:val="lt-LT"/>
        </w:rPr>
        <w:t xml:space="preserve"> arba daugiau kaip 50 % pažeistoms kepenims.</w:t>
      </w:r>
    </w:p>
    <w:p w14:paraId="6D398264" w14:textId="77777777" w:rsidR="001E5C66" w:rsidRPr="00273A3E" w:rsidRDefault="001E5C66" w:rsidP="009F71ED">
      <w:pPr>
        <w:tabs>
          <w:tab w:val="left" w:pos="567"/>
        </w:tabs>
        <w:spacing w:after="0" w:line="240" w:lineRule="auto"/>
        <w:rPr>
          <w:rFonts w:ascii="Times New Roman" w:hAnsi="Times New Roman"/>
          <w:iCs/>
          <w:lang w:val="lt-LT"/>
        </w:rPr>
      </w:pPr>
    </w:p>
    <w:p w14:paraId="524C33C2"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Paskirtas gydymas </w:t>
      </w:r>
      <w:r w:rsidR="001A07CD" w:rsidRPr="00273A3E">
        <w:rPr>
          <w:rFonts w:ascii="Times New Roman" w:hAnsi="Times New Roman"/>
          <w:lang w:val="lt-LT"/>
        </w:rPr>
        <w:t xml:space="preserve">pacientėms </w:t>
      </w:r>
      <w:r w:rsidRPr="00273A3E">
        <w:rPr>
          <w:rFonts w:ascii="Times New Roman" w:hAnsi="Times New Roman"/>
          <w:lang w:val="lt-LT"/>
        </w:rPr>
        <w:t>taikytas iki pirmojo iš šių įvykių: objektyvaus ligos progresavimo, simptomų pasunkėjimo, nepriimtino toksinio poveikio pasireiškimo, mirties arba sutikimo dalyvauti atšaukimo. Pacienčių perkėlimas iš vienos grupės į kitą buvo neleidžiamas.</w:t>
      </w:r>
    </w:p>
    <w:p w14:paraId="506A7603" w14:textId="77777777" w:rsidR="001E5C66" w:rsidRPr="00273A3E" w:rsidRDefault="001E5C66" w:rsidP="009F71ED">
      <w:pPr>
        <w:tabs>
          <w:tab w:val="left" w:pos="567"/>
        </w:tabs>
        <w:spacing w:after="0" w:line="240" w:lineRule="auto"/>
        <w:rPr>
          <w:rFonts w:ascii="Times New Roman" w:hAnsi="Times New Roman"/>
          <w:lang w:val="lt-LT"/>
        </w:rPr>
      </w:pPr>
    </w:p>
    <w:p w14:paraId="1F3E3772" w14:textId="77777777" w:rsidR="001E5C66" w:rsidRPr="00273A3E" w:rsidRDefault="001E5C66" w:rsidP="009F71ED">
      <w:pPr>
        <w:keepNext/>
        <w:keepLines/>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derinio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ir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derinio su placebu grupių pacienčių pradinės demografinės ir prognozinės savybės gerai atitiko. Į šį tyrimą įtrauktų pacienčių amžiaus mediana buvo 57</w:t>
      </w:r>
      <w:r w:rsidR="00FF0074" w:rsidRPr="00273A3E">
        <w:rPr>
          <w:rFonts w:ascii="Times New Roman" w:hAnsi="Times New Roman"/>
          <w:lang w:val="lt-LT"/>
        </w:rPr>
        <w:t> met</w:t>
      </w:r>
      <w:r w:rsidRPr="00273A3E">
        <w:rPr>
          <w:rFonts w:ascii="Times New Roman" w:hAnsi="Times New Roman"/>
          <w:lang w:val="lt-LT"/>
        </w:rPr>
        <w:t>ai (</w:t>
      </w:r>
      <w:r w:rsidR="002C5151" w:rsidRPr="00273A3E">
        <w:rPr>
          <w:rFonts w:ascii="Times New Roman" w:hAnsi="Times New Roman"/>
          <w:lang w:val="lt-LT"/>
        </w:rPr>
        <w:t xml:space="preserve">ribos </w:t>
      </w:r>
      <w:r w:rsidRPr="00273A3E">
        <w:rPr>
          <w:rFonts w:ascii="Times New Roman" w:hAnsi="Times New Roman"/>
          <w:lang w:val="lt-LT"/>
        </w:rPr>
        <w:t>– nuo 29 iki 88</w:t>
      </w:r>
      <w:r w:rsidR="00FF0074" w:rsidRPr="00273A3E">
        <w:rPr>
          <w:rFonts w:ascii="Times New Roman" w:hAnsi="Times New Roman"/>
          <w:lang w:val="lt-LT"/>
        </w:rPr>
        <w:t> met</w:t>
      </w:r>
      <w:r w:rsidRPr="00273A3E">
        <w:rPr>
          <w:rFonts w:ascii="Times New Roman" w:hAnsi="Times New Roman"/>
          <w:lang w:val="lt-LT"/>
        </w:rPr>
        <w:t xml:space="preserve">ų). Dauguma abiejų grupių pacienčių buvo baltaodės, įtrauktos po menopauzės ir turėjo dokumentuotą jautrumą ankstesniam hormoniniam gydymui. Maždaug 20 % pacienčių įtrauktos </w:t>
      </w:r>
      <w:r w:rsidR="00A67411" w:rsidRPr="00273A3E">
        <w:rPr>
          <w:rFonts w:ascii="Times New Roman" w:hAnsi="Times New Roman"/>
          <w:lang w:val="lt-LT"/>
        </w:rPr>
        <w:t xml:space="preserve">iki menopauzės </w:t>
      </w:r>
      <w:r w:rsidRPr="00273A3E">
        <w:rPr>
          <w:rFonts w:ascii="Times New Roman" w:hAnsi="Times New Roman"/>
          <w:lang w:val="lt-LT"/>
        </w:rPr>
        <w:t xml:space="preserve">arba </w:t>
      </w:r>
      <w:proofErr w:type="spellStart"/>
      <w:r w:rsidRPr="00273A3E">
        <w:rPr>
          <w:rFonts w:ascii="Times New Roman" w:hAnsi="Times New Roman"/>
          <w:lang w:val="lt-LT"/>
        </w:rPr>
        <w:t>perimenopauzės</w:t>
      </w:r>
      <w:proofErr w:type="spellEnd"/>
      <w:r w:rsidRPr="00273A3E">
        <w:rPr>
          <w:rFonts w:ascii="Times New Roman" w:hAnsi="Times New Roman"/>
          <w:lang w:val="lt-LT"/>
        </w:rPr>
        <w:t xml:space="preserve"> laikotarpiu. Visoms joms anksčiau taikytas sisteminis gydymas, daugumai kiekvienos grupės pacienčių – chemoterapija dėl pagrindinės diagnozės. Daugiau kaip pusės (62 %) pacienčių fizinė būklė pagal ECOG įvertinta 0 balų, 60 % turėjo </w:t>
      </w:r>
      <w:proofErr w:type="spellStart"/>
      <w:r w:rsidRPr="00273A3E">
        <w:rPr>
          <w:rFonts w:ascii="Times New Roman" w:hAnsi="Times New Roman"/>
          <w:lang w:val="lt-LT"/>
        </w:rPr>
        <w:t>visceralinių</w:t>
      </w:r>
      <w:proofErr w:type="spellEnd"/>
      <w:r w:rsidR="005C0361"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astazių, 60 % anksčiau taikytas daugiau kaip 1 hormoninis gydymas dėl pagrindinės ligos.</w:t>
      </w:r>
    </w:p>
    <w:p w14:paraId="30E1C889" w14:textId="77777777" w:rsidR="001E5C66" w:rsidRPr="00273A3E" w:rsidRDefault="001E5C66" w:rsidP="009F71ED">
      <w:pPr>
        <w:tabs>
          <w:tab w:val="left" w:pos="567"/>
        </w:tabs>
        <w:spacing w:after="0" w:line="240" w:lineRule="auto"/>
        <w:rPr>
          <w:rFonts w:ascii="Times New Roman" w:hAnsi="Times New Roman"/>
          <w:lang w:val="lt-LT"/>
        </w:rPr>
      </w:pPr>
    </w:p>
    <w:p w14:paraId="60D70B7B"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Pagrindinė šio tyrimo vertinamoji baigtis buvo tyrėjo nustatytas PFS pagal RECIST 1.1. Papildomos PFS analizės atliktos remiantis nepriklausomais centralizuotais radiologiniais vertinimais (angl.</w:t>
      </w:r>
      <w:r w:rsidRPr="00273A3E">
        <w:rPr>
          <w:rFonts w:ascii="Times New Roman" w:hAnsi="Times New Roman"/>
          <w:i/>
          <w:lang w:val="lt-LT"/>
        </w:rPr>
        <w:t xml:space="preserve"> </w:t>
      </w:r>
      <w:proofErr w:type="spellStart"/>
      <w:r w:rsidRPr="00273A3E">
        <w:rPr>
          <w:rFonts w:ascii="Times New Roman" w:hAnsi="Times New Roman"/>
          <w:i/>
          <w:lang w:val="lt-LT"/>
        </w:rPr>
        <w:t>Independent</w:t>
      </w:r>
      <w:proofErr w:type="spellEnd"/>
      <w:r w:rsidRPr="00273A3E">
        <w:rPr>
          <w:rFonts w:ascii="Times New Roman" w:hAnsi="Times New Roman"/>
          <w:i/>
          <w:lang w:val="lt-LT"/>
        </w:rPr>
        <w:t xml:space="preserve"> </w:t>
      </w:r>
      <w:proofErr w:type="spellStart"/>
      <w:r w:rsidRPr="00273A3E">
        <w:rPr>
          <w:rFonts w:ascii="Times New Roman" w:hAnsi="Times New Roman"/>
          <w:i/>
          <w:lang w:val="lt-LT"/>
        </w:rPr>
        <w:t>Central</w:t>
      </w:r>
      <w:proofErr w:type="spellEnd"/>
      <w:r w:rsidRPr="00273A3E">
        <w:rPr>
          <w:rFonts w:ascii="Times New Roman" w:hAnsi="Times New Roman"/>
          <w:i/>
          <w:lang w:val="lt-LT"/>
        </w:rPr>
        <w:t xml:space="preserve"> </w:t>
      </w:r>
      <w:proofErr w:type="spellStart"/>
      <w:r w:rsidRPr="00273A3E">
        <w:rPr>
          <w:rFonts w:ascii="Times New Roman" w:hAnsi="Times New Roman"/>
          <w:i/>
          <w:lang w:val="lt-LT"/>
        </w:rPr>
        <w:t>Radiology</w:t>
      </w:r>
      <w:proofErr w:type="spellEnd"/>
      <w:r w:rsidRPr="00273A3E">
        <w:rPr>
          <w:rFonts w:ascii="Times New Roman" w:hAnsi="Times New Roman"/>
          <w:i/>
          <w:lang w:val="lt-LT"/>
        </w:rPr>
        <w:t xml:space="preserve"> </w:t>
      </w:r>
      <w:proofErr w:type="spellStart"/>
      <w:r w:rsidRPr="00273A3E">
        <w:rPr>
          <w:rFonts w:ascii="Times New Roman" w:hAnsi="Times New Roman"/>
          <w:i/>
          <w:lang w:val="lt-LT"/>
        </w:rPr>
        <w:t>Review</w:t>
      </w:r>
      <w:proofErr w:type="spellEnd"/>
      <w:r w:rsidRPr="00273A3E">
        <w:rPr>
          <w:rFonts w:ascii="Times New Roman" w:hAnsi="Times New Roman"/>
          <w:lang w:val="lt-LT"/>
        </w:rPr>
        <w:t xml:space="preserve">). Antrinės vertinamosios baigtys buvo OR, CBR, bendras išgyvenimas (angl. </w:t>
      </w:r>
      <w:proofErr w:type="spellStart"/>
      <w:r w:rsidRPr="00273A3E">
        <w:rPr>
          <w:rFonts w:ascii="Times New Roman" w:hAnsi="Times New Roman"/>
          <w:i/>
          <w:iCs/>
          <w:lang w:val="lt-LT"/>
        </w:rPr>
        <w:t>overall</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survival</w:t>
      </w:r>
      <w:proofErr w:type="spellEnd"/>
      <w:r w:rsidRPr="00273A3E">
        <w:rPr>
          <w:rFonts w:ascii="Times New Roman" w:hAnsi="Times New Roman"/>
          <w:i/>
          <w:iCs/>
          <w:lang w:val="lt-LT"/>
        </w:rPr>
        <w:t>,</w:t>
      </w:r>
      <w:r w:rsidRPr="00273A3E">
        <w:rPr>
          <w:rFonts w:ascii="Times New Roman" w:hAnsi="Times New Roman"/>
          <w:lang w:val="lt-LT"/>
        </w:rPr>
        <w:t xml:space="preserve"> OS), saugumas ir laikas iki skausmo sustiprėjimo (angl.</w:t>
      </w:r>
      <w:r w:rsidRPr="00273A3E">
        <w:rPr>
          <w:rFonts w:ascii="Times New Roman" w:hAnsi="Times New Roman"/>
          <w:i/>
          <w:lang w:val="lt-LT"/>
        </w:rPr>
        <w:t xml:space="preserve"> </w:t>
      </w:r>
      <w:proofErr w:type="spellStart"/>
      <w:r w:rsidRPr="00273A3E">
        <w:rPr>
          <w:rFonts w:ascii="Times New Roman" w:hAnsi="Times New Roman"/>
          <w:i/>
          <w:lang w:val="lt-LT"/>
        </w:rPr>
        <w:t>time</w:t>
      </w:r>
      <w:proofErr w:type="spellEnd"/>
      <w:r w:rsidRPr="00273A3E">
        <w:rPr>
          <w:rFonts w:ascii="Times New Roman" w:hAnsi="Times New Roman"/>
          <w:i/>
          <w:lang w:val="lt-LT"/>
        </w:rPr>
        <w:t>-to-</w:t>
      </w:r>
      <w:proofErr w:type="spellStart"/>
      <w:r w:rsidRPr="00273A3E">
        <w:rPr>
          <w:rFonts w:ascii="Times New Roman" w:hAnsi="Times New Roman"/>
          <w:i/>
          <w:lang w:val="lt-LT"/>
        </w:rPr>
        <w:t>deterioration</w:t>
      </w:r>
      <w:proofErr w:type="spellEnd"/>
      <w:r w:rsidRPr="00273A3E">
        <w:rPr>
          <w:rFonts w:ascii="Times New Roman" w:hAnsi="Times New Roman"/>
          <w:i/>
          <w:lang w:val="lt-LT"/>
        </w:rPr>
        <w:t xml:space="preserve">, </w:t>
      </w:r>
      <w:r w:rsidRPr="00273A3E">
        <w:rPr>
          <w:rFonts w:ascii="Times New Roman" w:hAnsi="Times New Roman"/>
          <w:iCs/>
          <w:lang w:val="lt-LT"/>
        </w:rPr>
        <w:t>TTD</w:t>
      </w:r>
      <w:r w:rsidRPr="00273A3E">
        <w:rPr>
          <w:rFonts w:ascii="Times New Roman" w:hAnsi="Times New Roman"/>
          <w:lang w:val="lt-LT"/>
        </w:rPr>
        <w:t>).</w:t>
      </w:r>
    </w:p>
    <w:p w14:paraId="34E0541D" w14:textId="77777777" w:rsidR="001E5C66" w:rsidRPr="00273A3E" w:rsidRDefault="001E5C66" w:rsidP="009F71ED">
      <w:pPr>
        <w:tabs>
          <w:tab w:val="left" w:pos="567"/>
        </w:tabs>
        <w:spacing w:after="0" w:line="240" w:lineRule="auto"/>
        <w:rPr>
          <w:rFonts w:ascii="Times New Roman" w:hAnsi="Times New Roman"/>
          <w:lang w:val="lt-LT"/>
        </w:rPr>
      </w:pPr>
    </w:p>
    <w:p w14:paraId="1D079BA1"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Šio tyrimo</w:t>
      </w:r>
      <w:r w:rsidR="00833765"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atlikus tarpinę analizę (po 82 % planuotų PFS atvejų), įrodytas veiksmingumas pagal pagrindinę vertinamąją baigtį – tyrėjo nustatytą PFS pailgėjimą. Duomenys peržengė iš anksto numatytą </w:t>
      </w:r>
      <w:proofErr w:type="spellStart"/>
      <w:r w:rsidRPr="00273A3E">
        <w:rPr>
          <w:rFonts w:ascii="Times New Roman" w:hAnsi="Times New Roman"/>
          <w:i/>
          <w:iCs/>
          <w:lang w:val="lt-LT"/>
        </w:rPr>
        <w:t>Haybittle-Peto</w:t>
      </w:r>
      <w:proofErr w:type="spellEnd"/>
      <w:r w:rsidRPr="00273A3E">
        <w:rPr>
          <w:rFonts w:ascii="Times New Roman" w:hAnsi="Times New Roman"/>
          <w:lang w:val="lt-LT"/>
        </w:rPr>
        <w:t xml:space="preserve"> veiksmingumo ribą (α</w:t>
      </w:r>
      <w:r w:rsidR="007F07DF" w:rsidRPr="00273A3E">
        <w:rPr>
          <w:rFonts w:ascii="Times New Roman" w:hAnsi="Times New Roman"/>
          <w:lang w:val="lt-LT"/>
        </w:rPr>
        <w:t> </w:t>
      </w:r>
      <w:r w:rsidRPr="00273A3E">
        <w:rPr>
          <w:rFonts w:ascii="Times New Roman" w:hAnsi="Times New Roman"/>
          <w:lang w:val="lt-LT"/>
        </w:rPr>
        <w:t>=</w:t>
      </w:r>
      <w:r w:rsidR="007F07DF" w:rsidRPr="00273A3E">
        <w:rPr>
          <w:rFonts w:ascii="Times New Roman" w:hAnsi="Times New Roman"/>
          <w:lang w:val="lt-LT"/>
        </w:rPr>
        <w:t> </w:t>
      </w:r>
      <w:r w:rsidRPr="00273A3E">
        <w:rPr>
          <w:rFonts w:ascii="Times New Roman" w:hAnsi="Times New Roman"/>
          <w:lang w:val="lt-LT"/>
        </w:rPr>
        <w:t xml:space="preserve">0,00135) – tai rodo </w:t>
      </w:r>
      <w:r w:rsidR="007A671B" w:rsidRPr="00273A3E">
        <w:rPr>
          <w:rFonts w:ascii="Times New Roman" w:hAnsi="Times New Roman"/>
          <w:lang w:val="lt-LT"/>
        </w:rPr>
        <w:t xml:space="preserve">statistiškai </w:t>
      </w:r>
      <w:r w:rsidRPr="00273A3E">
        <w:rPr>
          <w:rFonts w:ascii="Times New Roman" w:hAnsi="Times New Roman"/>
          <w:lang w:val="lt-LT"/>
        </w:rPr>
        <w:t>reikšmingai pailgėjusį PFS ir kliniškai reikšmingą gydomąjį poveikį. Atnaujinti (labiau subrendę) veiksmingumo duomenys pateikiami 5</w:t>
      </w:r>
      <w:r w:rsidR="00FF0074" w:rsidRPr="00273A3E">
        <w:rPr>
          <w:rFonts w:ascii="Times New Roman" w:hAnsi="Times New Roman"/>
          <w:lang w:val="lt-LT"/>
        </w:rPr>
        <w:t> lent</w:t>
      </w:r>
      <w:r w:rsidRPr="00273A3E">
        <w:rPr>
          <w:rFonts w:ascii="Times New Roman" w:hAnsi="Times New Roman"/>
          <w:lang w:val="lt-LT"/>
        </w:rPr>
        <w:t>elėje.</w:t>
      </w:r>
    </w:p>
    <w:p w14:paraId="47EA20B7" w14:textId="77777777" w:rsidR="001E5C66" w:rsidRPr="00273A3E" w:rsidRDefault="001E5C66" w:rsidP="009F71ED">
      <w:pPr>
        <w:tabs>
          <w:tab w:val="left" w:pos="567"/>
        </w:tabs>
        <w:spacing w:after="0" w:line="240" w:lineRule="auto"/>
        <w:rPr>
          <w:rFonts w:ascii="Times New Roman" w:hAnsi="Times New Roman"/>
          <w:lang w:val="lt-LT"/>
        </w:rPr>
      </w:pPr>
    </w:p>
    <w:p w14:paraId="7BF5F347"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Po stebėjimo, kurio trukmės mediana buvo 45</w:t>
      </w:r>
      <w:r w:rsidR="00833765" w:rsidRPr="00273A3E">
        <w:rPr>
          <w:rFonts w:ascii="Times New Roman" w:hAnsi="Times New Roman"/>
          <w:lang w:val="lt-LT"/>
        </w:rPr>
        <w:t> </w:t>
      </w:r>
      <w:r w:rsidRPr="00273A3E">
        <w:rPr>
          <w:rFonts w:ascii="Times New Roman" w:hAnsi="Times New Roman"/>
          <w:lang w:val="lt-LT"/>
        </w:rPr>
        <w:t>mėn., atlikta galutinė OS analizė remiantis 310</w:t>
      </w:r>
      <w:r w:rsidR="00833765" w:rsidRPr="00273A3E">
        <w:rPr>
          <w:rFonts w:ascii="Times New Roman" w:hAnsi="Times New Roman"/>
          <w:lang w:val="lt-LT"/>
        </w:rPr>
        <w:t> </w:t>
      </w:r>
      <w:r w:rsidRPr="00273A3E">
        <w:rPr>
          <w:rFonts w:ascii="Times New Roman" w:hAnsi="Times New Roman"/>
          <w:lang w:val="lt-LT"/>
        </w:rPr>
        <w:t>įvykių</w:t>
      </w:r>
      <w:r w:rsidR="007F07DF" w:rsidRPr="00273A3E">
        <w:rPr>
          <w:rFonts w:ascii="Times New Roman" w:hAnsi="Times New Roman"/>
          <w:lang w:val="lt-LT"/>
        </w:rPr>
        <w:t xml:space="preserve"> </w:t>
      </w:r>
      <w:r w:rsidRPr="00273A3E">
        <w:rPr>
          <w:rFonts w:ascii="Times New Roman" w:hAnsi="Times New Roman"/>
          <w:lang w:val="lt-LT"/>
        </w:rPr>
        <w:t>(60</w:t>
      </w:r>
      <w:r w:rsidR="00614C49" w:rsidRPr="00273A3E">
        <w:rPr>
          <w:rFonts w:ascii="Times New Roman" w:hAnsi="Times New Roman"/>
          <w:lang w:val="lt-LT"/>
        </w:rPr>
        <w:t> </w:t>
      </w:r>
      <w:r w:rsidRPr="00273A3E">
        <w:rPr>
          <w:rFonts w:ascii="Times New Roman" w:hAnsi="Times New Roman"/>
          <w:lang w:val="lt-LT"/>
        </w:rPr>
        <w:t xml:space="preserve">% </w:t>
      </w:r>
      <w:r w:rsidR="00164AB6" w:rsidRPr="00273A3E">
        <w:rPr>
          <w:rFonts w:ascii="Times New Roman" w:hAnsi="Times New Roman"/>
          <w:lang w:val="lt-LT"/>
        </w:rPr>
        <w:t xml:space="preserve">atsitiktinių imčių būdu suskirstytų </w:t>
      </w:r>
      <w:r w:rsidR="009C6895" w:rsidRPr="00273A3E">
        <w:rPr>
          <w:rFonts w:ascii="Times New Roman" w:hAnsi="Times New Roman"/>
          <w:lang w:val="lt-LT"/>
        </w:rPr>
        <w:t xml:space="preserve">į grupes </w:t>
      </w:r>
      <w:r w:rsidRPr="00273A3E">
        <w:rPr>
          <w:rFonts w:ascii="Times New Roman" w:hAnsi="Times New Roman"/>
          <w:lang w:val="lt-LT"/>
        </w:rPr>
        <w:t xml:space="preserve">pacienčių).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ir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derinio grupės pacienčių OS mediana</w:t>
      </w:r>
      <w:r w:rsidR="007F07DF" w:rsidRPr="00273A3E">
        <w:rPr>
          <w:rFonts w:ascii="Times New Roman" w:hAnsi="Times New Roman"/>
          <w:lang w:val="lt-LT"/>
        </w:rPr>
        <w:t xml:space="preserve"> </w:t>
      </w:r>
      <w:r w:rsidRPr="00273A3E">
        <w:rPr>
          <w:rFonts w:ascii="Times New Roman" w:hAnsi="Times New Roman"/>
          <w:lang w:val="lt-LT"/>
        </w:rPr>
        <w:t>skyrėsi 6,9</w:t>
      </w:r>
      <w:r w:rsidR="00614C49" w:rsidRPr="00273A3E">
        <w:rPr>
          <w:rFonts w:ascii="Times New Roman" w:hAnsi="Times New Roman"/>
          <w:lang w:val="lt-LT"/>
        </w:rPr>
        <w:t> </w:t>
      </w:r>
      <w:r w:rsidRPr="00273A3E">
        <w:rPr>
          <w:rFonts w:ascii="Times New Roman" w:hAnsi="Times New Roman"/>
          <w:lang w:val="lt-LT"/>
        </w:rPr>
        <w:t xml:space="preserve">mėn. nuo placebo ir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derino grupės, tačiau šis skirtumas nesiekė pasirinkto</w:t>
      </w:r>
      <w:r w:rsidR="007F07DF" w:rsidRPr="00273A3E">
        <w:rPr>
          <w:rFonts w:ascii="Times New Roman" w:hAnsi="Times New Roman"/>
          <w:lang w:val="lt-LT"/>
        </w:rPr>
        <w:t xml:space="preserve"> </w:t>
      </w:r>
      <w:r w:rsidRPr="00273A3E">
        <w:rPr>
          <w:rFonts w:ascii="Times New Roman" w:hAnsi="Times New Roman"/>
          <w:lang w:val="lt-LT"/>
        </w:rPr>
        <w:t>statistinio reikšmingumo lygmens 0,0235 (vienpusio). 15,5</w:t>
      </w:r>
      <w:r w:rsidR="00614C49" w:rsidRPr="00273A3E">
        <w:rPr>
          <w:rFonts w:ascii="Times New Roman" w:hAnsi="Times New Roman"/>
          <w:lang w:val="lt-LT"/>
        </w:rPr>
        <w:t> </w:t>
      </w:r>
      <w:r w:rsidRPr="00273A3E">
        <w:rPr>
          <w:rFonts w:ascii="Times New Roman" w:hAnsi="Times New Roman"/>
          <w:lang w:val="lt-LT"/>
        </w:rPr>
        <w:t xml:space="preserve">% į placebo ir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derinio grupę</w:t>
      </w:r>
      <w:r w:rsidR="007F07DF" w:rsidRPr="00273A3E">
        <w:rPr>
          <w:rFonts w:ascii="Times New Roman" w:hAnsi="Times New Roman"/>
          <w:lang w:val="lt-LT"/>
        </w:rPr>
        <w:t xml:space="preserve"> </w:t>
      </w:r>
      <w:r w:rsidR="00164AB6" w:rsidRPr="00273A3E">
        <w:rPr>
          <w:rFonts w:ascii="Times New Roman" w:hAnsi="Times New Roman"/>
          <w:lang w:val="lt-LT"/>
        </w:rPr>
        <w:t xml:space="preserve">atsitiktinių imčių būdu suskirstytų </w:t>
      </w:r>
      <w:r w:rsidR="009C6895" w:rsidRPr="00273A3E">
        <w:rPr>
          <w:rFonts w:ascii="Times New Roman" w:hAnsi="Times New Roman"/>
          <w:lang w:val="lt-LT"/>
        </w:rPr>
        <w:t xml:space="preserve">į grupes </w:t>
      </w:r>
      <w:r w:rsidRPr="00273A3E">
        <w:rPr>
          <w:rFonts w:ascii="Times New Roman" w:hAnsi="Times New Roman"/>
          <w:lang w:val="lt-LT"/>
        </w:rPr>
        <w:t xml:space="preserve">pacienčių vartojo </w:t>
      </w:r>
      <w:proofErr w:type="spellStart"/>
      <w:r w:rsidRPr="00273A3E">
        <w:rPr>
          <w:rFonts w:ascii="Times New Roman" w:hAnsi="Times New Roman"/>
          <w:lang w:val="lt-LT"/>
        </w:rPr>
        <w:t>palbociklib</w:t>
      </w:r>
      <w:r w:rsidR="007F47FF" w:rsidRPr="00273A3E">
        <w:rPr>
          <w:rFonts w:ascii="Times New Roman" w:hAnsi="Times New Roman"/>
          <w:lang w:val="lt-LT"/>
        </w:rPr>
        <w:t>o</w:t>
      </w:r>
      <w:proofErr w:type="spellEnd"/>
      <w:r w:rsidRPr="00273A3E">
        <w:rPr>
          <w:rFonts w:ascii="Times New Roman" w:hAnsi="Times New Roman"/>
          <w:lang w:val="lt-LT"/>
        </w:rPr>
        <w:t xml:space="preserve"> ir kitų </w:t>
      </w:r>
      <w:r w:rsidRPr="00273A3E">
        <w:rPr>
          <w:rFonts w:ascii="Times New Roman" w:hAnsi="Times New Roman"/>
          <w:i/>
          <w:iCs/>
          <w:lang w:val="lt-LT"/>
        </w:rPr>
        <w:t xml:space="preserve">CDK </w:t>
      </w:r>
      <w:r w:rsidRPr="00273A3E">
        <w:rPr>
          <w:rFonts w:ascii="Times New Roman" w:hAnsi="Times New Roman"/>
          <w:lang w:val="lt-LT"/>
        </w:rPr>
        <w:t>inhibitorių vėlesniam gydymui, pasireiškus</w:t>
      </w:r>
      <w:r w:rsidR="007F07DF" w:rsidRPr="00273A3E">
        <w:rPr>
          <w:rFonts w:ascii="Times New Roman" w:hAnsi="Times New Roman"/>
          <w:lang w:val="lt-LT"/>
        </w:rPr>
        <w:t xml:space="preserve"> </w:t>
      </w:r>
      <w:r w:rsidRPr="00273A3E">
        <w:rPr>
          <w:rFonts w:ascii="Times New Roman" w:hAnsi="Times New Roman"/>
          <w:lang w:val="lt-LT"/>
        </w:rPr>
        <w:t>ligos progresavimui.</w:t>
      </w:r>
    </w:p>
    <w:p w14:paraId="2582F317" w14:textId="77777777" w:rsidR="001E5C66" w:rsidRPr="00273A3E" w:rsidRDefault="001E5C66" w:rsidP="009F71ED">
      <w:pPr>
        <w:tabs>
          <w:tab w:val="left" w:pos="567"/>
        </w:tabs>
        <w:spacing w:after="0" w:line="240" w:lineRule="auto"/>
        <w:rPr>
          <w:rFonts w:ascii="Times New Roman" w:hAnsi="Times New Roman"/>
          <w:lang w:val="lt-LT"/>
        </w:rPr>
      </w:pPr>
    </w:p>
    <w:p w14:paraId="2BB47C6B"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PALOMA3 tyrimo PFS (tyrėjo vertinimu) ir galutiniai OS duomenys pateikiami 5</w:t>
      </w:r>
      <w:r w:rsidR="00FF0074" w:rsidRPr="00273A3E">
        <w:rPr>
          <w:rFonts w:ascii="Times New Roman" w:hAnsi="Times New Roman"/>
          <w:lang w:val="lt-LT"/>
        </w:rPr>
        <w:t> lent</w:t>
      </w:r>
      <w:r w:rsidRPr="00273A3E">
        <w:rPr>
          <w:rFonts w:ascii="Times New Roman" w:hAnsi="Times New Roman"/>
          <w:lang w:val="lt-LT"/>
        </w:rPr>
        <w:t>elėje.</w:t>
      </w:r>
    </w:p>
    <w:p w14:paraId="4615DE27"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Atitinkamos </w:t>
      </w:r>
      <w:proofErr w:type="spellStart"/>
      <w:r w:rsidRPr="00273A3E">
        <w:rPr>
          <w:rFonts w:ascii="Times New Roman" w:hAnsi="Times New Roman"/>
          <w:i/>
          <w:lang w:val="lt-LT"/>
        </w:rPr>
        <w:t>Kaplan-Meier</w:t>
      </w:r>
      <w:proofErr w:type="spellEnd"/>
      <w:r w:rsidRPr="00273A3E">
        <w:rPr>
          <w:rFonts w:ascii="Times New Roman" w:hAnsi="Times New Roman"/>
          <w:lang w:val="lt-LT"/>
        </w:rPr>
        <w:t xml:space="preserve"> kreivės </w:t>
      </w:r>
      <w:r w:rsidR="00833765" w:rsidRPr="00273A3E">
        <w:rPr>
          <w:rFonts w:ascii="Times New Roman" w:hAnsi="Times New Roman"/>
          <w:lang w:val="lt-LT"/>
        </w:rPr>
        <w:t xml:space="preserve">atitinkamai </w:t>
      </w:r>
      <w:r w:rsidRPr="00273A3E">
        <w:rPr>
          <w:rFonts w:ascii="Times New Roman" w:hAnsi="Times New Roman"/>
          <w:lang w:val="lt-LT"/>
        </w:rPr>
        <w:t>pateikiamos 2 ir 3</w:t>
      </w:r>
      <w:r w:rsidR="007F07DF" w:rsidRPr="00273A3E">
        <w:rPr>
          <w:rFonts w:ascii="Times New Roman" w:hAnsi="Times New Roman"/>
          <w:lang w:val="lt-LT"/>
        </w:rPr>
        <w:t> </w:t>
      </w:r>
      <w:r w:rsidRPr="00273A3E">
        <w:rPr>
          <w:rFonts w:ascii="Times New Roman" w:hAnsi="Times New Roman"/>
          <w:lang w:val="lt-LT"/>
        </w:rPr>
        <w:t>pav.</w:t>
      </w:r>
    </w:p>
    <w:p w14:paraId="4FF84A5F" w14:textId="77777777" w:rsidR="001E5C66" w:rsidRPr="00273A3E" w:rsidRDefault="001E5C66" w:rsidP="009F71ED">
      <w:pPr>
        <w:tabs>
          <w:tab w:val="left" w:pos="567"/>
        </w:tabs>
        <w:spacing w:after="0" w:line="240" w:lineRule="auto"/>
        <w:rPr>
          <w:rFonts w:ascii="Times New Roman" w:hAnsi="Times New Roman"/>
          <w:lang w:val="lt-LT"/>
        </w:rPr>
      </w:pPr>
    </w:p>
    <w:p w14:paraId="0349EDF1" w14:textId="77777777" w:rsidR="001E5C66" w:rsidRPr="00273A3E" w:rsidRDefault="001E5C66" w:rsidP="009F71ED">
      <w:pPr>
        <w:tabs>
          <w:tab w:val="left" w:pos="567"/>
          <w:tab w:val="left" w:pos="993"/>
        </w:tabs>
        <w:spacing w:after="0" w:line="240" w:lineRule="auto"/>
        <w:rPr>
          <w:rFonts w:ascii="Times New Roman" w:hAnsi="Times New Roman"/>
          <w:b/>
          <w:lang w:val="lt-LT"/>
        </w:rPr>
      </w:pPr>
      <w:r w:rsidRPr="00273A3E">
        <w:rPr>
          <w:rFonts w:ascii="Times New Roman" w:hAnsi="Times New Roman"/>
          <w:b/>
          <w:lang w:val="lt-LT"/>
        </w:rPr>
        <w:t>5</w:t>
      </w:r>
      <w:r w:rsidR="00FF0074" w:rsidRPr="00273A3E">
        <w:rPr>
          <w:rFonts w:ascii="Times New Roman" w:hAnsi="Times New Roman"/>
          <w:b/>
          <w:lang w:val="lt-LT"/>
        </w:rPr>
        <w:t> lent</w:t>
      </w:r>
      <w:r w:rsidRPr="00273A3E">
        <w:rPr>
          <w:rFonts w:ascii="Times New Roman" w:hAnsi="Times New Roman"/>
          <w:b/>
          <w:lang w:val="lt-LT"/>
        </w:rPr>
        <w:t xml:space="preserve">elė. </w:t>
      </w:r>
      <w:r w:rsidR="009678C6" w:rsidRPr="00273A3E">
        <w:rPr>
          <w:rFonts w:ascii="Times New Roman" w:hAnsi="Times New Roman"/>
          <w:b/>
          <w:lang w:val="lt-LT"/>
        </w:rPr>
        <w:tab/>
      </w:r>
      <w:r w:rsidRPr="00273A3E">
        <w:rPr>
          <w:rFonts w:ascii="Times New Roman" w:hAnsi="Times New Roman"/>
          <w:b/>
          <w:lang w:val="lt-LT"/>
        </w:rPr>
        <w:t>Veiksmingumo duomenys, gauti PALOMA-3 tyrimo</w:t>
      </w:r>
      <w:r w:rsidR="003F4EAA" w:rsidRPr="00273A3E">
        <w:rPr>
          <w:rFonts w:ascii="Times New Roman" w:hAnsi="Times New Roman"/>
          <w:b/>
          <w:lang w:val="lt-LT"/>
        </w:rPr>
        <w:t xml:space="preserve"> </w:t>
      </w:r>
      <w:r w:rsidR="00FF0074" w:rsidRPr="00273A3E">
        <w:rPr>
          <w:rFonts w:ascii="Times New Roman" w:hAnsi="Times New Roman"/>
          <w:b/>
          <w:lang w:val="lt-LT"/>
        </w:rPr>
        <w:t>met</w:t>
      </w:r>
      <w:r w:rsidRPr="00273A3E">
        <w:rPr>
          <w:rFonts w:ascii="Times New Roman" w:hAnsi="Times New Roman"/>
          <w:b/>
          <w:lang w:val="lt-LT"/>
        </w:rPr>
        <w:t>u (tyrėjo vertinimu</w:t>
      </w:r>
      <w:r w:rsidR="006B3ED4" w:rsidRPr="00273A3E">
        <w:rPr>
          <w:rFonts w:ascii="Times New Roman" w:hAnsi="Times New Roman"/>
          <w:b/>
          <w:lang w:val="lt-LT"/>
        </w:rPr>
        <w:t>,</w:t>
      </w:r>
      <w:r w:rsidRPr="00273A3E">
        <w:rPr>
          <w:rFonts w:ascii="Times New Roman" w:hAnsi="Times New Roman"/>
          <w:b/>
          <w:lang w:val="lt-LT"/>
        </w:rPr>
        <w:t xml:space="preserve"> numatytai gydyti populiacijai)</w:t>
      </w:r>
    </w:p>
    <w:p w14:paraId="4639D858" w14:textId="77777777" w:rsidR="009678C6" w:rsidRPr="00273A3E" w:rsidRDefault="009678C6" w:rsidP="009F71ED">
      <w:pPr>
        <w:tabs>
          <w:tab w:val="left" w:pos="567"/>
        </w:tabs>
        <w:spacing w:after="0" w:line="240" w:lineRule="auto"/>
        <w:rPr>
          <w:rFonts w:ascii="Times New Roman" w:hAnsi="Times New Roman"/>
          <w:b/>
          <w:lang w:val="lt-LT"/>
        </w:rPr>
      </w:pPr>
    </w:p>
    <w:tbl>
      <w:tblPr>
        <w:tblW w:w="9231" w:type="dxa"/>
        <w:tblInd w:w="113" w:type="dxa"/>
        <w:tblLayout w:type="fixed"/>
        <w:tblCellMar>
          <w:left w:w="0" w:type="dxa"/>
          <w:right w:w="0" w:type="dxa"/>
        </w:tblCellMar>
        <w:tblLook w:val="01E0" w:firstRow="1" w:lastRow="1" w:firstColumn="1" w:lastColumn="1" w:noHBand="0" w:noVBand="0"/>
      </w:tblPr>
      <w:tblGrid>
        <w:gridCol w:w="3283"/>
        <w:gridCol w:w="12"/>
        <w:gridCol w:w="2965"/>
        <w:gridCol w:w="2971"/>
      </w:tblGrid>
      <w:tr w:rsidR="001E5C66" w:rsidRPr="00490319" w14:paraId="514FA0C3" w14:textId="77777777" w:rsidTr="003F4EAA">
        <w:trPr>
          <w:trHeight w:hRule="exact" w:val="489"/>
        </w:trPr>
        <w:tc>
          <w:tcPr>
            <w:tcW w:w="3295" w:type="dxa"/>
            <w:gridSpan w:val="2"/>
            <w:vMerge w:val="restart"/>
            <w:tcBorders>
              <w:top w:val="single" w:sz="5" w:space="0" w:color="000000"/>
              <w:left w:val="single" w:sz="5" w:space="0" w:color="000000"/>
              <w:right w:val="single" w:sz="5" w:space="0" w:color="000000"/>
            </w:tcBorders>
            <w:vAlign w:val="center"/>
          </w:tcPr>
          <w:p w14:paraId="342D7EBD" w14:textId="77777777" w:rsidR="001E5C66" w:rsidRPr="00273A3E" w:rsidRDefault="001E5C66" w:rsidP="009F71ED">
            <w:pPr>
              <w:tabs>
                <w:tab w:val="left" w:pos="567"/>
              </w:tabs>
              <w:spacing w:after="0" w:line="240" w:lineRule="auto"/>
              <w:rPr>
                <w:rFonts w:ascii="Times New Roman" w:hAnsi="Times New Roman"/>
                <w:lang w:val="lt-LT"/>
              </w:rPr>
            </w:pPr>
          </w:p>
        </w:tc>
        <w:tc>
          <w:tcPr>
            <w:tcW w:w="5936" w:type="dxa"/>
            <w:gridSpan w:val="2"/>
            <w:tcBorders>
              <w:top w:val="single" w:sz="5" w:space="0" w:color="000000"/>
              <w:left w:val="single" w:sz="5" w:space="0" w:color="000000"/>
              <w:bottom w:val="single" w:sz="5" w:space="0" w:color="000000"/>
              <w:right w:val="single" w:sz="5" w:space="0" w:color="000000"/>
            </w:tcBorders>
            <w:vAlign w:val="center"/>
          </w:tcPr>
          <w:p w14:paraId="5063F02D" w14:textId="77777777" w:rsidR="003F4EAA" w:rsidRPr="00273A3E" w:rsidRDefault="001E5C66" w:rsidP="009F71ED">
            <w:pPr>
              <w:widowControl w:val="0"/>
              <w:tabs>
                <w:tab w:val="left" w:pos="567"/>
              </w:tabs>
              <w:spacing w:after="0" w:line="240" w:lineRule="auto"/>
              <w:jc w:val="center"/>
              <w:rPr>
                <w:rFonts w:ascii="Times New Roman" w:eastAsia="Batang" w:hAnsi="Times New Roman"/>
                <w:b/>
                <w:lang w:val="lt-LT"/>
              </w:rPr>
            </w:pPr>
            <w:r w:rsidRPr="00273A3E">
              <w:rPr>
                <w:rFonts w:ascii="Times New Roman" w:eastAsia="Batang" w:hAnsi="Times New Roman"/>
                <w:b/>
                <w:lang w:val="lt-LT"/>
              </w:rPr>
              <w:t>Atnaujinti analizės duomenys</w:t>
            </w:r>
          </w:p>
          <w:p w14:paraId="2501CE2F" w14:textId="77777777" w:rsidR="001E5C66" w:rsidRPr="00273A3E" w:rsidRDefault="003F4EAA" w:rsidP="009F71ED">
            <w:pPr>
              <w:widowControl w:val="0"/>
              <w:tabs>
                <w:tab w:val="left" w:pos="567"/>
              </w:tabs>
              <w:spacing w:after="0" w:line="240" w:lineRule="auto"/>
              <w:jc w:val="center"/>
              <w:rPr>
                <w:rFonts w:ascii="Times New Roman" w:hAnsi="Times New Roman"/>
                <w:lang w:val="lt-LT"/>
              </w:rPr>
            </w:pPr>
            <w:r w:rsidRPr="00273A3E">
              <w:rPr>
                <w:rFonts w:ascii="Times New Roman" w:eastAsia="Batang" w:hAnsi="Times New Roman"/>
                <w:b/>
                <w:lang w:val="lt-LT"/>
              </w:rPr>
              <w:t>(</w:t>
            </w:r>
            <w:r w:rsidR="001E5C66" w:rsidRPr="00273A3E">
              <w:rPr>
                <w:rFonts w:ascii="Times New Roman" w:eastAsia="Batang" w:hAnsi="Times New Roman"/>
                <w:b/>
                <w:lang w:val="lt-LT"/>
              </w:rPr>
              <w:t>iki 2015</w:t>
            </w:r>
            <w:r w:rsidR="007F07DF" w:rsidRPr="00273A3E">
              <w:rPr>
                <w:rFonts w:ascii="Times New Roman" w:eastAsia="Batang" w:hAnsi="Times New Roman"/>
                <w:b/>
                <w:lang w:val="lt-LT"/>
              </w:rPr>
              <w:t> </w:t>
            </w:r>
            <w:r w:rsidR="001E5C66" w:rsidRPr="00273A3E">
              <w:rPr>
                <w:rFonts w:ascii="Times New Roman" w:eastAsia="Batang" w:hAnsi="Times New Roman"/>
                <w:b/>
                <w:lang w:val="lt-LT"/>
              </w:rPr>
              <w:t>m. spalio 23</w:t>
            </w:r>
            <w:r w:rsidR="007F07DF" w:rsidRPr="00273A3E">
              <w:rPr>
                <w:rFonts w:ascii="Times New Roman" w:eastAsia="Batang" w:hAnsi="Times New Roman"/>
                <w:b/>
                <w:lang w:val="lt-LT"/>
              </w:rPr>
              <w:t> </w:t>
            </w:r>
            <w:r w:rsidR="001E5C66" w:rsidRPr="00273A3E">
              <w:rPr>
                <w:rFonts w:ascii="Times New Roman" w:eastAsia="Batang" w:hAnsi="Times New Roman"/>
                <w:b/>
                <w:lang w:val="lt-LT"/>
              </w:rPr>
              <w:t>d.)</w:t>
            </w:r>
          </w:p>
        </w:tc>
      </w:tr>
      <w:tr w:rsidR="001E5C66" w:rsidRPr="00273A3E" w14:paraId="4F9A71F5" w14:textId="77777777" w:rsidTr="00C53407">
        <w:trPr>
          <w:trHeight w:hRule="exact" w:val="550"/>
        </w:trPr>
        <w:tc>
          <w:tcPr>
            <w:tcW w:w="3295" w:type="dxa"/>
            <w:gridSpan w:val="2"/>
            <w:vMerge/>
            <w:tcBorders>
              <w:left w:val="single" w:sz="5" w:space="0" w:color="000000"/>
              <w:bottom w:val="single" w:sz="5" w:space="0" w:color="000000"/>
              <w:right w:val="single" w:sz="5" w:space="0" w:color="000000"/>
            </w:tcBorders>
            <w:vAlign w:val="center"/>
          </w:tcPr>
          <w:p w14:paraId="76D741D0" w14:textId="77777777" w:rsidR="001E5C66" w:rsidRPr="00273A3E" w:rsidRDefault="001E5C66" w:rsidP="009F71ED">
            <w:pPr>
              <w:tabs>
                <w:tab w:val="left" w:pos="567"/>
              </w:tabs>
              <w:spacing w:after="0" w:line="240" w:lineRule="auto"/>
              <w:rPr>
                <w:rFonts w:ascii="Times New Roman" w:hAnsi="Times New Roman"/>
                <w:lang w:val="lt-LT"/>
              </w:rPr>
            </w:pPr>
          </w:p>
        </w:tc>
        <w:tc>
          <w:tcPr>
            <w:tcW w:w="2965" w:type="dxa"/>
            <w:tcBorders>
              <w:top w:val="single" w:sz="5" w:space="0" w:color="000000"/>
              <w:left w:val="single" w:sz="5" w:space="0" w:color="000000"/>
              <w:bottom w:val="single" w:sz="5" w:space="0" w:color="000000"/>
              <w:right w:val="single" w:sz="5" w:space="0" w:color="000000"/>
            </w:tcBorders>
            <w:vAlign w:val="center"/>
          </w:tcPr>
          <w:p w14:paraId="3B04B4C2" w14:textId="77777777" w:rsidR="001E5C66" w:rsidRPr="00273A3E" w:rsidRDefault="001E5C66" w:rsidP="009F71ED">
            <w:pPr>
              <w:widowControl w:val="0"/>
              <w:tabs>
                <w:tab w:val="left" w:pos="567"/>
              </w:tabs>
              <w:spacing w:after="0" w:line="240" w:lineRule="auto"/>
              <w:jc w:val="center"/>
              <w:rPr>
                <w:rFonts w:ascii="Times New Roman" w:hAnsi="Times New Roman"/>
                <w:b/>
                <w:spacing w:val="-1"/>
                <w:kern w:val="28"/>
                <w:lang w:val="lt-LT"/>
              </w:rPr>
            </w:pPr>
            <w:proofErr w:type="spellStart"/>
            <w:r w:rsidRPr="00273A3E">
              <w:rPr>
                <w:rFonts w:ascii="Times New Roman" w:hAnsi="Times New Roman"/>
                <w:b/>
                <w:spacing w:val="-1"/>
                <w:lang w:val="lt-LT"/>
              </w:rPr>
              <w:t>Fulvestranto</w:t>
            </w:r>
            <w:proofErr w:type="spellEnd"/>
            <w:r w:rsidRPr="00273A3E">
              <w:rPr>
                <w:rFonts w:ascii="Times New Roman" w:hAnsi="Times New Roman"/>
                <w:b/>
                <w:spacing w:val="-1"/>
                <w:lang w:val="lt-LT"/>
              </w:rPr>
              <w:t xml:space="preserve"> ir</w:t>
            </w:r>
            <w:r w:rsidRPr="00273A3E">
              <w:rPr>
                <w:rFonts w:ascii="Times New Roman" w:hAnsi="Times New Roman"/>
                <w:b/>
                <w:spacing w:val="-3"/>
                <w:lang w:val="lt-LT"/>
              </w:rPr>
              <w:t xml:space="preserve"> </w:t>
            </w:r>
            <w:proofErr w:type="spellStart"/>
            <w:r w:rsidRPr="00273A3E">
              <w:rPr>
                <w:rFonts w:ascii="Times New Roman" w:hAnsi="Times New Roman"/>
                <w:b/>
                <w:spacing w:val="-3"/>
                <w:lang w:val="lt-LT"/>
              </w:rPr>
              <w:t>p</w:t>
            </w:r>
            <w:r w:rsidRPr="00273A3E">
              <w:rPr>
                <w:rFonts w:ascii="Times New Roman" w:hAnsi="Times New Roman"/>
                <w:b/>
                <w:spacing w:val="-1"/>
                <w:lang w:val="lt-LT"/>
              </w:rPr>
              <w:t>albociklibo</w:t>
            </w:r>
            <w:proofErr w:type="spellEnd"/>
            <w:r w:rsidRPr="00273A3E">
              <w:rPr>
                <w:rFonts w:ascii="Times New Roman" w:hAnsi="Times New Roman"/>
                <w:b/>
                <w:spacing w:val="-1"/>
                <w:kern w:val="28"/>
                <w:lang w:val="lt-LT"/>
              </w:rPr>
              <w:t xml:space="preserve"> </w:t>
            </w:r>
            <w:r w:rsidRPr="00273A3E">
              <w:rPr>
                <w:rFonts w:ascii="Times New Roman" w:hAnsi="Times New Roman"/>
                <w:b/>
                <w:spacing w:val="-1"/>
                <w:lang w:val="lt-LT"/>
              </w:rPr>
              <w:t>derinys (N</w:t>
            </w:r>
            <w:r w:rsidR="007F07DF" w:rsidRPr="00273A3E">
              <w:rPr>
                <w:rFonts w:ascii="Times New Roman" w:hAnsi="Times New Roman"/>
                <w:b/>
                <w:spacing w:val="-1"/>
                <w:lang w:val="lt-LT"/>
              </w:rPr>
              <w:t> </w:t>
            </w:r>
            <w:r w:rsidRPr="00273A3E">
              <w:rPr>
                <w:rFonts w:ascii="Times New Roman" w:hAnsi="Times New Roman"/>
                <w:b/>
                <w:spacing w:val="-1"/>
                <w:lang w:val="lt-LT"/>
              </w:rPr>
              <w:t>=</w:t>
            </w:r>
            <w:r w:rsidR="007F07DF" w:rsidRPr="00273A3E">
              <w:rPr>
                <w:rFonts w:ascii="Times New Roman" w:hAnsi="Times New Roman"/>
                <w:b/>
                <w:spacing w:val="-1"/>
                <w:lang w:val="lt-LT"/>
              </w:rPr>
              <w:t> </w:t>
            </w:r>
            <w:r w:rsidRPr="00273A3E">
              <w:rPr>
                <w:rFonts w:ascii="Times New Roman" w:hAnsi="Times New Roman"/>
                <w:b/>
                <w:spacing w:val="-1"/>
                <w:lang w:val="lt-LT"/>
              </w:rPr>
              <w:t>347)</w:t>
            </w:r>
          </w:p>
        </w:tc>
        <w:tc>
          <w:tcPr>
            <w:tcW w:w="2971" w:type="dxa"/>
            <w:tcBorders>
              <w:top w:val="single" w:sz="5" w:space="0" w:color="000000"/>
              <w:left w:val="single" w:sz="5" w:space="0" w:color="000000"/>
              <w:bottom w:val="single" w:sz="5" w:space="0" w:color="000000"/>
              <w:right w:val="single" w:sz="5" w:space="0" w:color="000000"/>
            </w:tcBorders>
            <w:vAlign w:val="center"/>
          </w:tcPr>
          <w:p w14:paraId="3E975B68"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proofErr w:type="spellStart"/>
            <w:r w:rsidRPr="00273A3E">
              <w:rPr>
                <w:rFonts w:ascii="Times New Roman" w:hAnsi="Times New Roman"/>
                <w:b/>
                <w:spacing w:val="-1"/>
                <w:lang w:val="lt-LT"/>
              </w:rPr>
              <w:t>Fulvestranto</w:t>
            </w:r>
            <w:proofErr w:type="spellEnd"/>
            <w:r w:rsidRPr="00273A3E">
              <w:rPr>
                <w:rFonts w:ascii="Times New Roman" w:hAnsi="Times New Roman"/>
                <w:b/>
                <w:spacing w:val="-1"/>
                <w:lang w:val="lt-LT"/>
              </w:rPr>
              <w:t xml:space="preserve"> ir placebo derinys (N</w:t>
            </w:r>
            <w:r w:rsidR="007F07DF" w:rsidRPr="00273A3E">
              <w:rPr>
                <w:rFonts w:ascii="Times New Roman" w:hAnsi="Times New Roman"/>
                <w:b/>
                <w:spacing w:val="-1"/>
                <w:lang w:val="lt-LT"/>
              </w:rPr>
              <w:t> </w:t>
            </w:r>
            <w:r w:rsidRPr="00273A3E">
              <w:rPr>
                <w:rFonts w:ascii="Times New Roman" w:hAnsi="Times New Roman"/>
                <w:b/>
                <w:spacing w:val="-1"/>
                <w:lang w:val="lt-LT"/>
              </w:rPr>
              <w:t>=</w:t>
            </w:r>
            <w:r w:rsidR="007F07DF" w:rsidRPr="00273A3E">
              <w:rPr>
                <w:rFonts w:ascii="Times New Roman" w:hAnsi="Times New Roman"/>
                <w:b/>
                <w:spacing w:val="-1"/>
                <w:lang w:val="lt-LT"/>
              </w:rPr>
              <w:t> </w:t>
            </w:r>
            <w:r w:rsidRPr="00273A3E">
              <w:rPr>
                <w:rFonts w:ascii="Times New Roman" w:hAnsi="Times New Roman"/>
                <w:b/>
                <w:spacing w:val="-1"/>
                <w:lang w:val="lt-LT"/>
              </w:rPr>
              <w:t>174)</w:t>
            </w:r>
          </w:p>
        </w:tc>
      </w:tr>
      <w:tr w:rsidR="001E5C66" w:rsidRPr="00273A3E" w14:paraId="3AC9FA70" w14:textId="77777777" w:rsidTr="00C53407">
        <w:trPr>
          <w:trHeight w:val="510"/>
        </w:trPr>
        <w:tc>
          <w:tcPr>
            <w:tcW w:w="3295" w:type="dxa"/>
            <w:gridSpan w:val="2"/>
            <w:tcBorders>
              <w:top w:val="single" w:sz="5" w:space="0" w:color="000000"/>
              <w:left w:val="single" w:sz="5" w:space="0" w:color="000000"/>
              <w:bottom w:val="single" w:sz="5" w:space="0" w:color="000000"/>
              <w:right w:val="single" w:sz="5" w:space="0" w:color="000000"/>
            </w:tcBorders>
            <w:vAlign w:val="center"/>
          </w:tcPr>
          <w:p w14:paraId="7312A149"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b/>
                <w:spacing w:val="-1"/>
                <w:lang w:val="lt-LT"/>
              </w:rPr>
              <w:lastRenderedPageBreak/>
              <w:t>Neprogresuojant ligai išgyventas laikotarpis</w:t>
            </w:r>
          </w:p>
        </w:tc>
        <w:tc>
          <w:tcPr>
            <w:tcW w:w="5936" w:type="dxa"/>
            <w:gridSpan w:val="2"/>
            <w:tcBorders>
              <w:top w:val="single" w:sz="5" w:space="0" w:color="000000"/>
              <w:left w:val="single" w:sz="5" w:space="0" w:color="000000"/>
              <w:bottom w:val="single" w:sz="5" w:space="0" w:color="000000"/>
              <w:right w:val="single" w:sz="5" w:space="0" w:color="000000"/>
            </w:tcBorders>
            <w:vAlign w:val="center"/>
          </w:tcPr>
          <w:p w14:paraId="2CC27331" w14:textId="77777777" w:rsidR="001E5C66" w:rsidRPr="00273A3E" w:rsidRDefault="001E5C66" w:rsidP="009F71ED">
            <w:pPr>
              <w:tabs>
                <w:tab w:val="left" w:pos="567"/>
              </w:tabs>
              <w:spacing w:after="0" w:line="240" w:lineRule="auto"/>
              <w:rPr>
                <w:rFonts w:ascii="Times New Roman" w:hAnsi="Times New Roman"/>
                <w:lang w:val="lt-LT"/>
              </w:rPr>
            </w:pPr>
          </w:p>
        </w:tc>
      </w:tr>
      <w:tr w:rsidR="001E5C66" w:rsidRPr="00273A3E" w14:paraId="47D95951" w14:textId="77777777" w:rsidTr="00C53407">
        <w:trPr>
          <w:trHeight w:val="510"/>
        </w:trPr>
        <w:tc>
          <w:tcPr>
            <w:tcW w:w="3295" w:type="dxa"/>
            <w:gridSpan w:val="2"/>
            <w:tcBorders>
              <w:top w:val="single" w:sz="5" w:space="0" w:color="000000"/>
              <w:left w:val="single" w:sz="5" w:space="0" w:color="000000"/>
              <w:bottom w:val="single" w:sz="5" w:space="0" w:color="000000"/>
              <w:right w:val="single" w:sz="5" w:space="0" w:color="000000"/>
            </w:tcBorders>
            <w:vAlign w:val="center"/>
          </w:tcPr>
          <w:p w14:paraId="71997A25"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spacing w:val="-1"/>
                <w:lang w:val="lt-LT"/>
              </w:rPr>
              <w:t>Mediana, mėn. (95 % PI)</w:t>
            </w:r>
          </w:p>
        </w:tc>
        <w:tc>
          <w:tcPr>
            <w:tcW w:w="2965" w:type="dxa"/>
            <w:tcBorders>
              <w:top w:val="single" w:sz="5" w:space="0" w:color="000000"/>
              <w:left w:val="single" w:sz="5" w:space="0" w:color="000000"/>
              <w:bottom w:val="single" w:sz="5" w:space="0" w:color="000000"/>
              <w:right w:val="single" w:sz="5" w:space="0" w:color="000000"/>
            </w:tcBorders>
            <w:vAlign w:val="center"/>
          </w:tcPr>
          <w:p w14:paraId="27EFC704"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11,2</w:t>
            </w:r>
            <w:r w:rsidRPr="00273A3E">
              <w:rPr>
                <w:rFonts w:ascii="Times New Roman" w:hAnsi="Times New Roman"/>
                <w:lang w:val="lt-LT"/>
              </w:rPr>
              <w:t xml:space="preserve"> </w:t>
            </w:r>
            <w:r w:rsidRPr="00273A3E">
              <w:rPr>
                <w:rFonts w:ascii="Times New Roman" w:hAnsi="Times New Roman"/>
                <w:spacing w:val="-1"/>
                <w:lang w:val="lt-LT"/>
              </w:rPr>
              <w:t>(9,5;</w:t>
            </w:r>
            <w:r w:rsidRPr="00273A3E">
              <w:rPr>
                <w:rFonts w:ascii="Times New Roman" w:hAnsi="Times New Roman"/>
                <w:lang w:val="lt-LT"/>
              </w:rPr>
              <w:t xml:space="preserve"> </w:t>
            </w:r>
            <w:r w:rsidRPr="00273A3E">
              <w:rPr>
                <w:rFonts w:ascii="Times New Roman" w:hAnsi="Times New Roman"/>
                <w:spacing w:val="-1"/>
                <w:lang w:val="lt-LT"/>
              </w:rPr>
              <w:t>12,9)</w:t>
            </w:r>
          </w:p>
        </w:tc>
        <w:tc>
          <w:tcPr>
            <w:tcW w:w="2971" w:type="dxa"/>
            <w:tcBorders>
              <w:top w:val="single" w:sz="5" w:space="0" w:color="000000"/>
              <w:left w:val="single" w:sz="5" w:space="0" w:color="000000"/>
              <w:bottom w:val="single" w:sz="5" w:space="0" w:color="000000"/>
              <w:right w:val="single" w:sz="5" w:space="0" w:color="000000"/>
            </w:tcBorders>
            <w:vAlign w:val="center"/>
          </w:tcPr>
          <w:p w14:paraId="34B2BBBF"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4,6</w:t>
            </w:r>
            <w:r w:rsidRPr="00273A3E">
              <w:rPr>
                <w:rFonts w:ascii="Times New Roman" w:hAnsi="Times New Roman"/>
                <w:lang w:val="lt-LT"/>
              </w:rPr>
              <w:t xml:space="preserve"> </w:t>
            </w:r>
            <w:r w:rsidRPr="00273A3E">
              <w:rPr>
                <w:rFonts w:ascii="Times New Roman" w:hAnsi="Times New Roman"/>
                <w:spacing w:val="-1"/>
                <w:lang w:val="lt-LT"/>
              </w:rPr>
              <w:t>(3,5;</w:t>
            </w:r>
            <w:r w:rsidRPr="00273A3E">
              <w:rPr>
                <w:rFonts w:ascii="Times New Roman" w:hAnsi="Times New Roman"/>
                <w:lang w:val="lt-LT"/>
              </w:rPr>
              <w:t xml:space="preserve"> </w:t>
            </w:r>
            <w:r w:rsidRPr="00273A3E">
              <w:rPr>
                <w:rFonts w:ascii="Times New Roman" w:hAnsi="Times New Roman"/>
                <w:spacing w:val="-1"/>
                <w:lang w:val="lt-LT"/>
              </w:rPr>
              <w:t>5,6)</w:t>
            </w:r>
          </w:p>
        </w:tc>
      </w:tr>
      <w:tr w:rsidR="001E5C66" w:rsidRPr="00273A3E" w14:paraId="26553C89" w14:textId="77777777" w:rsidTr="00C53407">
        <w:trPr>
          <w:trHeight w:val="510"/>
        </w:trPr>
        <w:tc>
          <w:tcPr>
            <w:tcW w:w="3295" w:type="dxa"/>
            <w:gridSpan w:val="2"/>
            <w:tcBorders>
              <w:top w:val="single" w:sz="5" w:space="0" w:color="000000"/>
              <w:left w:val="single" w:sz="5" w:space="0" w:color="000000"/>
              <w:bottom w:val="single" w:sz="5" w:space="0" w:color="000000"/>
              <w:right w:val="single" w:sz="5" w:space="0" w:color="000000"/>
            </w:tcBorders>
            <w:vAlign w:val="center"/>
          </w:tcPr>
          <w:p w14:paraId="7844447A"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spacing w:val="-1"/>
                <w:lang w:val="lt-LT"/>
              </w:rPr>
              <w:t>Santykinė rizika (95 % PI) ir p reikšmė</w:t>
            </w:r>
          </w:p>
        </w:tc>
        <w:tc>
          <w:tcPr>
            <w:tcW w:w="5936" w:type="dxa"/>
            <w:gridSpan w:val="2"/>
            <w:tcBorders>
              <w:top w:val="single" w:sz="5" w:space="0" w:color="000000"/>
              <w:left w:val="single" w:sz="5" w:space="0" w:color="000000"/>
              <w:bottom w:val="single" w:sz="5" w:space="0" w:color="000000"/>
              <w:right w:val="single" w:sz="5" w:space="0" w:color="000000"/>
            </w:tcBorders>
            <w:vAlign w:val="center"/>
          </w:tcPr>
          <w:p w14:paraId="6E03E42B"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 xml:space="preserve">0,497 (0,398; 0,620), </w:t>
            </w:r>
            <w:r w:rsidRPr="00273A3E">
              <w:rPr>
                <w:rFonts w:ascii="Times New Roman" w:hAnsi="Times New Roman"/>
                <w:lang w:val="lt-LT"/>
              </w:rPr>
              <w:t>p </w:t>
            </w:r>
            <w:r w:rsidRPr="00273A3E">
              <w:rPr>
                <w:rFonts w:ascii="Times New Roman" w:hAnsi="Times New Roman"/>
                <w:spacing w:val="-1"/>
                <w:lang w:val="lt-LT"/>
              </w:rPr>
              <w:t>&lt; 0,000001</w:t>
            </w:r>
          </w:p>
        </w:tc>
      </w:tr>
      <w:tr w:rsidR="001E5C66" w:rsidRPr="00273A3E" w14:paraId="30A9BBF9" w14:textId="77777777" w:rsidTr="005E07D9">
        <w:trPr>
          <w:trHeight w:val="275"/>
        </w:trPr>
        <w:tc>
          <w:tcPr>
            <w:tcW w:w="9231" w:type="dxa"/>
            <w:gridSpan w:val="4"/>
            <w:tcBorders>
              <w:top w:val="single" w:sz="5" w:space="0" w:color="000000"/>
              <w:left w:val="single" w:sz="5" w:space="0" w:color="000000"/>
              <w:bottom w:val="single" w:sz="5" w:space="0" w:color="000000"/>
              <w:right w:val="single" w:sz="5" w:space="0" w:color="000000"/>
            </w:tcBorders>
            <w:vAlign w:val="center"/>
          </w:tcPr>
          <w:p w14:paraId="2F001170"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b/>
                <w:spacing w:val="-1"/>
                <w:lang w:val="lt-LT"/>
              </w:rPr>
              <w:t>Antraeilės vertinamosios baigtys*</w:t>
            </w:r>
          </w:p>
        </w:tc>
      </w:tr>
      <w:tr w:rsidR="001E5C66" w:rsidRPr="00273A3E" w14:paraId="47DA79AE"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7A9D0177"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spacing w:val="-1"/>
                <w:lang w:val="lt-LT"/>
              </w:rPr>
              <w:t>OR [% (95 %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744E3367"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26,2</w:t>
            </w:r>
            <w:r w:rsidRPr="00273A3E">
              <w:rPr>
                <w:rFonts w:ascii="Times New Roman" w:hAnsi="Times New Roman"/>
                <w:lang w:val="lt-LT"/>
              </w:rPr>
              <w:t xml:space="preserve"> </w:t>
            </w:r>
            <w:r w:rsidRPr="00273A3E">
              <w:rPr>
                <w:rFonts w:ascii="Times New Roman" w:hAnsi="Times New Roman"/>
                <w:spacing w:val="-1"/>
                <w:lang w:val="lt-LT"/>
              </w:rPr>
              <w:t>(21,7;</w:t>
            </w:r>
            <w:r w:rsidRPr="00273A3E">
              <w:rPr>
                <w:rFonts w:ascii="Times New Roman" w:hAnsi="Times New Roman"/>
                <w:lang w:val="lt-LT"/>
              </w:rPr>
              <w:t xml:space="preserve"> </w:t>
            </w:r>
            <w:r w:rsidRPr="00273A3E">
              <w:rPr>
                <w:rFonts w:ascii="Times New Roman" w:hAnsi="Times New Roman"/>
                <w:spacing w:val="-1"/>
                <w:lang w:val="lt-LT"/>
              </w:rPr>
              <w:t>31,2)</w:t>
            </w:r>
          </w:p>
        </w:tc>
        <w:tc>
          <w:tcPr>
            <w:tcW w:w="2971" w:type="dxa"/>
            <w:tcBorders>
              <w:top w:val="single" w:sz="5" w:space="0" w:color="000000"/>
              <w:left w:val="single" w:sz="5" w:space="0" w:color="000000"/>
              <w:bottom w:val="single" w:sz="5" w:space="0" w:color="000000"/>
              <w:right w:val="single" w:sz="5" w:space="0" w:color="000000"/>
            </w:tcBorders>
            <w:vAlign w:val="center"/>
          </w:tcPr>
          <w:p w14:paraId="7716FC50"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13,8</w:t>
            </w:r>
            <w:r w:rsidRPr="00273A3E">
              <w:rPr>
                <w:rFonts w:ascii="Times New Roman" w:hAnsi="Times New Roman"/>
                <w:lang w:val="lt-LT"/>
              </w:rPr>
              <w:t xml:space="preserve"> </w:t>
            </w:r>
            <w:r w:rsidRPr="00273A3E">
              <w:rPr>
                <w:rFonts w:ascii="Times New Roman" w:hAnsi="Times New Roman"/>
                <w:spacing w:val="-1"/>
                <w:lang w:val="lt-LT"/>
              </w:rPr>
              <w:t>(9,0;</w:t>
            </w:r>
            <w:r w:rsidRPr="00273A3E">
              <w:rPr>
                <w:rFonts w:ascii="Times New Roman" w:hAnsi="Times New Roman"/>
                <w:lang w:val="lt-LT"/>
              </w:rPr>
              <w:t xml:space="preserve"> </w:t>
            </w:r>
            <w:r w:rsidRPr="00273A3E">
              <w:rPr>
                <w:rFonts w:ascii="Times New Roman" w:hAnsi="Times New Roman"/>
                <w:spacing w:val="-1"/>
                <w:lang w:val="lt-LT"/>
              </w:rPr>
              <w:t>19,8)</w:t>
            </w:r>
          </w:p>
        </w:tc>
      </w:tr>
      <w:tr w:rsidR="001E5C66" w:rsidRPr="00273A3E" w14:paraId="02160EAB"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237AE25A"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spacing w:val="-1"/>
                <w:lang w:val="lt-LT"/>
              </w:rPr>
              <w:t>OR (kai naviką buvo galima</w:t>
            </w:r>
            <w:r w:rsidR="007F07DF" w:rsidRPr="00273A3E">
              <w:rPr>
                <w:rFonts w:ascii="Times New Roman" w:hAnsi="Times New Roman"/>
                <w:spacing w:val="-1"/>
                <w:lang w:val="lt-LT"/>
              </w:rPr>
              <w:t xml:space="preserve"> </w:t>
            </w:r>
            <w:r w:rsidRPr="00273A3E">
              <w:rPr>
                <w:rFonts w:ascii="Times New Roman" w:hAnsi="Times New Roman"/>
                <w:spacing w:val="-1"/>
                <w:lang w:val="lt-LT"/>
              </w:rPr>
              <w:t xml:space="preserve">išmatuoti) </w:t>
            </w:r>
            <w:r w:rsidR="005E07D9" w:rsidRPr="00273A3E">
              <w:rPr>
                <w:rFonts w:ascii="Times New Roman" w:hAnsi="Times New Roman"/>
                <w:spacing w:val="-1"/>
                <w:lang w:val="lt-LT"/>
              </w:rPr>
              <w:t>[</w:t>
            </w:r>
            <w:r w:rsidRPr="00273A3E">
              <w:rPr>
                <w:rFonts w:ascii="Times New Roman" w:hAnsi="Times New Roman"/>
                <w:spacing w:val="-1"/>
                <w:lang w:val="lt-LT"/>
              </w:rPr>
              <w:t>% (95 % PI)</w:t>
            </w:r>
            <w:r w:rsidR="005E07D9" w:rsidRPr="00273A3E">
              <w:rPr>
                <w:rFonts w:ascii="Times New Roman" w:hAnsi="Times New Roman"/>
                <w:spacing w:val="-1"/>
                <w:lang w:val="lt-LT"/>
              </w:rPr>
              <w:t>]</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3C4A5DE1"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33,7</w:t>
            </w:r>
            <w:r w:rsidRPr="00273A3E">
              <w:rPr>
                <w:rFonts w:ascii="Times New Roman" w:hAnsi="Times New Roman"/>
                <w:lang w:val="lt-LT"/>
              </w:rPr>
              <w:t xml:space="preserve"> </w:t>
            </w:r>
            <w:r w:rsidRPr="00273A3E">
              <w:rPr>
                <w:rFonts w:ascii="Times New Roman" w:hAnsi="Times New Roman"/>
                <w:spacing w:val="-1"/>
                <w:lang w:val="lt-LT"/>
              </w:rPr>
              <w:t>(28,1;</w:t>
            </w:r>
            <w:r w:rsidRPr="00273A3E">
              <w:rPr>
                <w:rFonts w:ascii="Times New Roman" w:hAnsi="Times New Roman"/>
                <w:lang w:val="lt-LT"/>
              </w:rPr>
              <w:t xml:space="preserve"> </w:t>
            </w:r>
            <w:r w:rsidRPr="00273A3E">
              <w:rPr>
                <w:rFonts w:ascii="Times New Roman" w:hAnsi="Times New Roman"/>
                <w:spacing w:val="-1"/>
                <w:lang w:val="lt-LT"/>
              </w:rPr>
              <w:t>39,7)</w:t>
            </w:r>
          </w:p>
        </w:tc>
        <w:tc>
          <w:tcPr>
            <w:tcW w:w="2971" w:type="dxa"/>
            <w:tcBorders>
              <w:top w:val="single" w:sz="5" w:space="0" w:color="000000"/>
              <w:left w:val="single" w:sz="5" w:space="0" w:color="000000"/>
              <w:bottom w:val="single" w:sz="5" w:space="0" w:color="000000"/>
              <w:right w:val="single" w:sz="5" w:space="0" w:color="000000"/>
            </w:tcBorders>
            <w:vAlign w:val="center"/>
          </w:tcPr>
          <w:p w14:paraId="0C0049A6"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17,4</w:t>
            </w:r>
            <w:r w:rsidRPr="00273A3E">
              <w:rPr>
                <w:rFonts w:ascii="Times New Roman" w:hAnsi="Times New Roman"/>
                <w:lang w:val="lt-LT"/>
              </w:rPr>
              <w:t xml:space="preserve"> </w:t>
            </w:r>
            <w:r w:rsidRPr="00273A3E">
              <w:rPr>
                <w:rFonts w:ascii="Times New Roman" w:hAnsi="Times New Roman"/>
                <w:spacing w:val="-1"/>
                <w:lang w:val="lt-LT"/>
              </w:rPr>
              <w:t>(11,5;</w:t>
            </w:r>
            <w:r w:rsidRPr="00273A3E">
              <w:rPr>
                <w:rFonts w:ascii="Times New Roman" w:hAnsi="Times New Roman"/>
                <w:lang w:val="lt-LT"/>
              </w:rPr>
              <w:t xml:space="preserve"> </w:t>
            </w:r>
            <w:r w:rsidRPr="00273A3E">
              <w:rPr>
                <w:rFonts w:ascii="Times New Roman" w:hAnsi="Times New Roman"/>
                <w:spacing w:val="-1"/>
                <w:lang w:val="lt-LT"/>
              </w:rPr>
              <w:t>24,8)</w:t>
            </w:r>
          </w:p>
        </w:tc>
      </w:tr>
      <w:tr w:rsidR="001E5C66" w:rsidRPr="00273A3E" w14:paraId="79F7E775"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233D73CA"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spacing w:val="-1"/>
                <w:lang w:val="lt-LT"/>
              </w:rPr>
              <w:t>CBR [% (95 %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078FD2AC"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68,0</w:t>
            </w:r>
            <w:r w:rsidRPr="00273A3E">
              <w:rPr>
                <w:rFonts w:ascii="Times New Roman" w:hAnsi="Times New Roman"/>
                <w:lang w:val="lt-LT"/>
              </w:rPr>
              <w:t xml:space="preserve"> </w:t>
            </w:r>
            <w:r w:rsidRPr="00273A3E">
              <w:rPr>
                <w:rFonts w:ascii="Times New Roman" w:hAnsi="Times New Roman"/>
                <w:spacing w:val="-1"/>
                <w:lang w:val="lt-LT"/>
              </w:rPr>
              <w:t>(62,8;</w:t>
            </w:r>
            <w:r w:rsidRPr="00273A3E">
              <w:rPr>
                <w:rFonts w:ascii="Times New Roman" w:hAnsi="Times New Roman"/>
                <w:lang w:val="lt-LT"/>
              </w:rPr>
              <w:t xml:space="preserve"> </w:t>
            </w:r>
            <w:r w:rsidRPr="00273A3E">
              <w:rPr>
                <w:rFonts w:ascii="Times New Roman" w:hAnsi="Times New Roman"/>
                <w:spacing w:val="-1"/>
                <w:lang w:val="lt-LT"/>
              </w:rPr>
              <w:t>72,9)</w:t>
            </w:r>
          </w:p>
        </w:tc>
        <w:tc>
          <w:tcPr>
            <w:tcW w:w="2971" w:type="dxa"/>
            <w:tcBorders>
              <w:top w:val="single" w:sz="5" w:space="0" w:color="000000"/>
              <w:left w:val="single" w:sz="5" w:space="0" w:color="000000"/>
              <w:bottom w:val="single" w:sz="5" w:space="0" w:color="000000"/>
              <w:right w:val="single" w:sz="5" w:space="0" w:color="000000"/>
            </w:tcBorders>
            <w:vAlign w:val="center"/>
          </w:tcPr>
          <w:p w14:paraId="3391C323"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39,7</w:t>
            </w:r>
            <w:r w:rsidRPr="00273A3E">
              <w:rPr>
                <w:rFonts w:ascii="Times New Roman" w:hAnsi="Times New Roman"/>
                <w:lang w:val="lt-LT"/>
              </w:rPr>
              <w:t xml:space="preserve"> </w:t>
            </w:r>
            <w:r w:rsidRPr="00273A3E">
              <w:rPr>
                <w:rFonts w:ascii="Times New Roman" w:hAnsi="Times New Roman"/>
                <w:spacing w:val="-1"/>
                <w:lang w:val="lt-LT"/>
              </w:rPr>
              <w:t>(32,3;</w:t>
            </w:r>
            <w:r w:rsidRPr="00273A3E">
              <w:rPr>
                <w:rFonts w:ascii="Times New Roman" w:hAnsi="Times New Roman"/>
                <w:lang w:val="lt-LT"/>
              </w:rPr>
              <w:t xml:space="preserve"> </w:t>
            </w:r>
            <w:r w:rsidRPr="00273A3E">
              <w:rPr>
                <w:rFonts w:ascii="Times New Roman" w:hAnsi="Times New Roman"/>
                <w:spacing w:val="-1"/>
                <w:lang w:val="lt-LT"/>
              </w:rPr>
              <w:t>47,3)</w:t>
            </w:r>
          </w:p>
        </w:tc>
      </w:tr>
      <w:tr w:rsidR="001E5C66" w:rsidRPr="00490319" w14:paraId="2109C338" w14:textId="77777777" w:rsidTr="008A0BF8">
        <w:trPr>
          <w:trHeight w:val="401"/>
        </w:trPr>
        <w:tc>
          <w:tcPr>
            <w:tcW w:w="9231" w:type="dxa"/>
            <w:gridSpan w:val="4"/>
            <w:tcBorders>
              <w:top w:val="single" w:sz="5" w:space="0" w:color="000000"/>
              <w:left w:val="single" w:sz="5" w:space="0" w:color="000000"/>
              <w:bottom w:val="single" w:sz="5" w:space="0" w:color="000000"/>
              <w:right w:val="single" w:sz="5" w:space="0" w:color="000000"/>
            </w:tcBorders>
            <w:vAlign w:val="center"/>
          </w:tcPr>
          <w:p w14:paraId="36777A3A" w14:textId="77777777" w:rsidR="008A0BF8" w:rsidRPr="00273A3E" w:rsidRDefault="001E5C66" w:rsidP="009F71ED">
            <w:pPr>
              <w:tabs>
                <w:tab w:val="left" w:pos="567"/>
              </w:tabs>
              <w:autoSpaceDE w:val="0"/>
              <w:autoSpaceDN w:val="0"/>
              <w:adjustRightInd w:val="0"/>
              <w:spacing w:after="0" w:line="240" w:lineRule="auto"/>
              <w:rPr>
                <w:rFonts w:ascii="Times New Roman" w:hAnsi="Times New Roman"/>
                <w:b/>
                <w:bCs/>
                <w:lang w:val="lt-LT"/>
              </w:rPr>
            </w:pPr>
            <w:r w:rsidRPr="00273A3E">
              <w:rPr>
                <w:rFonts w:ascii="Times New Roman" w:hAnsi="Times New Roman"/>
                <w:b/>
                <w:bCs/>
                <w:lang w:val="lt-LT"/>
              </w:rPr>
              <w:t>Galutiniai bendro išgyvenimo (OS) duomenys</w:t>
            </w:r>
          </w:p>
          <w:p w14:paraId="2098CD54"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spacing w:val="-1"/>
                <w:lang w:val="lt-LT"/>
              </w:rPr>
            </w:pPr>
            <w:r w:rsidRPr="00273A3E">
              <w:rPr>
                <w:rFonts w:ascii="Times New Roman" w:hAnsi="Times New Roman"/>
                <w:b/>
                <w:bCs/>
                <w:lang w:val="lt-LT"/>
              </w:rPr>
              <w:t>(rinkti iki 2018</w:t>
            </w:r>
            <w:r w:rsidR="007F07DF" w:rsidRPr="00273A3E">
              <w:rPr>
                <w:rFonts w:ascii="Times New Roman" w:hAnsi="Times New Roman"/>
                <w:b/>
                <w:bCs/>
                <w:lang w:val="lt-LT"/>
              </w:rPr>
              <w:t> </w:t>
            </w:r>
            <w:r w:rsidRPr="00273A3E">
              <w:rPr>
                <w:rFonts w:ascii="Times New Roman" w:hAnsi="Times New Roman"/>
                <w:b/>
                <w:bCs/>
                <w:lang w:val="lt-LT"/>
              </w:rPr>
              <w:t>m. balandžio 13</w:t>
            </w:r>
            <w:r w:rsidR="007F07DF" w:rsidRPr="00273A3E">
              <w:rPr>
                <w:rFonts w:ascii="Times New Roman" w:hAnsi="Times New Roman"/>
                <w:b/>
                <w:bCs/>
                <w:lang w:val="lt-LT"/>
              </w:rPr>
              <w:t> </w:t>
            </w:r>
            <w:r w:rsidRPr="00273A3E">
              <w:rPr>
                <w:rFonts w:ascii="Times New Roman" w:hAnsi="Times New Roman"/>
                <w:b/>
                <w:bCs/>
                <w:lang w:val="lt-LT"/>
              </w:rPr>
              <w:t>d.)</w:t>
            </w:r>
          </w:p>
        </w:tc>
      </w:tr>
      <w:tr w:rsidR="001E5C66" w:rsidRPr="00273A3E" w14:paraId="4963382C"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0E92FB90" w14:textId="77777777" w:rsidR="001E5C66" w:rsidRPr="00273A3E" w:rsidRDefault="001E5C66" w:rsidP="009F71ED">
            <w:pPr>
              <w:widowControl w:val="0"/>
              <w:tabs>
                <w:tab w:val="left" w:pos="567"/>
              </w:tabs>
              <w:spacing w:after="0" w:line="240" w:lineRule="auto"/>
              <w:rPr>
                <w:rFonts w:ascii="Times New Roman" w:hAnsi="Times New Roman"/>
                <w:spacing w:val="-1"/>
                <w:lang w:val="lt-LT"/>
              </w:rPr>
            </w:pPr>
            <w:r w:rsidRPr="00273A3E">
              <w:rPr>
                <w:rFonts w:ascii="Times New Roman" w:hAnsi="Times New Roman"/>
                <w:lang w:val="lt-LT"/>
              </w:rPr>
              <w:t>Atvejų skaičius (%)</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37C969FA" w14:textId="77777777" w:rsidR="001E5C66" w:rsidRPr="00273A3E" w:rsidRDefault="001E5C66" w:rsidP="009F71ED">
            <w:pPr>
              <w:widowControl w:val="0"/>
              <w:tabs>
                <w:tab w:val="left" w:pos="567"/>
              </w:tabs>
              <w:spacing w:after="0" w:line="240" w:lineRule="auto"/>
              <w:jc w:val="center"/>
              <w:rPr>
                <w:rFonts w:ascii="Times New Roman" w:hAnsi="Times New Roman"/>
                <w:spacing w:val="-1"/>
                <w:lang w:val="lt-LT"/>
              </w:rPr>
            </w:pPr>
            <w:r w:rsidRPr="00273A3E">
              <w:rPr>
                <w:rFonts w:ascii="Times New Roman" w:hAnsi="Times New Roman"/>
                <w:lang w:val="lt-LT"/>
              </w:rPr>
              <w:t>201 (57,9)</w:t>
            </w:r>
          </w:p>
        </w:tc>
        <w:tc>
          <w:tcPr>
            <w:tcW w:w="2971" w:type="dxa"/>
            <w:tcBorders>
              <w:top w:val="single" w:sz="5" w:space="0" w:color="000000"/>
              <w:left w:val="single" w:sz="5" w:space="0" w:color="000000"/>
              <w:bottom w:val="single" w:sz="5" w:space="0" w:color="000000"/>
              <w:right w:val="single" w:sz="5" w:space="0" w:color="000000"/>
            </w:tcBorders>
            <w:vAlign w:val="center"/>
          </w:tcPr>
          <w:p w14:paraId="44F36B2B" w14:textId="77777777" w:rsidR="001E5C66" w:rsidRPr="00273A3E" w:rsidRDefault="001E5C66" w:rsidP="009F71ED">
            <w:pPr>
              <w:widowControl w:val="0"/>
              <w:tabs>
                <w:tab w:val="left" w:pos="567"/>
              </w:tabs>
              <w:spacing w:after="0" w:line="240" w:lineRule="auto"/>
              <w:jc w:val="center"/>
              <w:rPr>
                <w:rFonts w:ascii="Times New Roman" w:hAnsi="Times New Roman"/>
                <w:spacing w:val="-1"/>
                <w:lang w:val="lt-LT"/>
              </w:rPr>
            </w:pPr>
            <w:r w:rsidRPr="00273A3E">
              <w:rPr>
                <w:rFonts w:ascii="Times New Roman" w:hAnsi="Times New Roman"/>
                <w:lang w:val="lt-LT"/>
              </w:rPr>
              <w:t>109 (62,6)</w:t>
            </w:r>
          </w:p>
        </w:tc>
      </w:tr>
      <w:tr w:rsidR="001E5C66" w:rsidRPr="00273A3E" w14:paraId="471967A3"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7E6ECADE" w14:textId="77777777" w:rsidR="001E5C66" w:rsidRPr="00273A3E" w:rsidRDefault="001E5C66" w:rsidP="009F71ED">
            <w:pPr>
              <w:widowControl w:val="0"/>
              <w:tabs>
                <w:tab w:val="left" w:pos="567"/>
              </w:tabs>
              <w:spacing w:after="0" w:line="240" w:lineRule="auto"/>
              <w:rPr>
                <w:rFonts w:ascii="Times New Roman" w:hAnsi="Times New Roman"/>
                <w:spacing w:val="-1"/>
                <w:lang w:val="lt-LT"/>
              </w:rPr>
            </w:pPr>
            <w:r w:rsidRPr="00273A3E">
              <w:rPr>
                <w:rFonts w:ascii="Times New Roman" w:hAnsi="Times New Roman"/>
                <w:lang w:val="lt-LT"/>
              </w:rPr>
              <w:t xml:space="preserve">Mediana </w:t>
            </w:r>
            <w:r w:rsidR="008A0BF8" w:rsidRPr="00273A3E">
              <w:rPr>
                <w:rFonts w:ascii="Times New Roman" w:hAnsi="Times New Roman"/>
                <w:spacing w:val="-1"/>
                <w:lang w:val="lt-LT"/>
              </w:rPr>
              <w:t>[</w:t>
            </w:r>
            <w:r w:rsidRPr="00273A3E">
              <w:rPr>
                <w:rFonts w:ascii="Times New Roman" w:hAnsi="Times New Roman"/>
                <w:lang w:val="lt-LT"/>
              </w:rPr>
              <w:t xml:space="preserve">mėn. </w:t>
            </w:r>
            <w:r w:rsidR="008A0BF8" w:rsidRPr="00273A3E">
              <w:rPr>
                <w:rFonts w:ascii="Times New Roman" w:hAnsi="Times New Roman"/>
                <w:lang w:val="lt-LT"/>
              </w:rPr>
              <w:t>(</w:t>
            </w:r>
            <w:r w:rsidRPr="00273A3E">
              <w:rPr>
                <w:rFonts w:ascii="Times New Roman" w:hAnsi="Times New Roman"/>
                <w:lang w:val="lt-LT"/>
              </w:rPr>
              <w:t>95</w:t>
            </w:r>
            <w:r w:rsidR="00614C49" w:rsidRPr="00273A3E">
              <w:rPr>
                <w:rFonts w:ascii="Times New Roman" w:hAnsi="Times New Roman"/>
                <w:lang w:val="lt-LT"/>
              </w:rPr>
              <w:t> </w:t>
            </w:r>
            <w:r w:rsidRPr="00273A3E">
              <w:rPr>
                <w:rFonts w:ascii="Times New Roman" w:hAnsi="Times New Roman"/>
                <w:lang w:val="lt-LT"/>
              </w:rPr>
              <w:t>% PI)</w:t>
            </w:r>
            <w:r w:rsidR="008A0BF8" w:rsidRPr="00273A3E">
              <w:rPr>
                <w:rFonts w:ascii="Times New Roman" w:hAnsi="Times New Roman"/>
                <w:spacing w:val="-1"/>
                <w:lang w:val="lt-LT"/>
              </w:rPr>
              <w:t>]</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7B69B383" w14:textId="77777777" w:rsidR="001E5C66" w:rsidRPr="00273A3E" w:rsidRDefault="001E5C66" w:rsidP="009F71ED">
            <w:pPr>
              <w:widowControl w:val="0"/>
              <w:tabs>
                <w:tab w:val="left" w:pos="567"/>
              </w:tabs>
              <w:spacing w:after="0" w:line="240" w:lineRule="auto"/>
              <w:jc w:val="center"/>
              <w:rPr>
                <w:rFonts w:ascii="Times New Roman" w:hAnsi="Times New Roman"/>
                <w:spacing w:val="-1"/>
                <w:lang w:val="lt-LT"/>
              </w:rPr>
            </w:pPr>
            <w:r w:rsidRPr="00273A3E">
              <w:rPr>
                <w:rFonts w:ascii="Times New Roman" w:hAnsi="Times New Roman"/>
                <w:lang w:val="lt-LT"/>
              </w:rPr>
              <w:t>34,9 (28,8</w:t>
            </w:r>
            <w:r w:rsidR="00654343" w:rsidRPr="00273A3E">
              <w:rPr>
                <w:rFonts w:ascii="Times New Roman" w:hAnsi="Times New Roman"/>
                <w:lang w:val="lt-LT"/>
              </w:rPr>
              <w:t>;</w:t>
            </w:r>
            <w:r w:rsidRPr="00273A3E">
              <w:rPr>
                <w:rFonts w:ascii="Times New Roman" w:hAnsi="Times New Roman"/>
                <w:lang w:val="lt-LT"/>
              </w:rPr>
              <w:t xml:space="preserve"> 40,0)</w:t>
            </w:r>
          </w:p>
        </w:tc>
        <w:tc>
          <w:tcPr>
            <w:tcW w:w="2971" w:type="dxa"/>
            <w:tcBorders>
              <w:top w:val="single" w:sz="5" w:space="0" w:color="000000"/>
              <w:left w:val="single" w:sz="5" w:space="0" w:color="000000"/>
              <w:bottom w:val="single" w:sz="5" w:space="0" w:color="000000"/>
              <w:right w:val="single" w:sz="5" w:space="0" w:color="000000"/>
            </w:tcBorders>
            <w:vAlign w:val="center"/>
          </w:tcPr>
          <w:p w14:paraId="21189503" w14:textId="77777777" w:rsidR="001E5C66" w:rsidRPr="00273A3E" w:rsidRDefault="001E5C66" w:rsidP="009F71ED">
            <w:pPr>
              <w:widowControl w:val="0"/>
              <w:tabs>
                <w:tab w:val="left" w:pos="567"/>
              </w:tabs>
              <w:spacing w:after="0" w:line="240" w:lineRule="auto"/>
              <w:jc w:val="center"/>
              <w:rPr>
                <w:rFonts w:ascii="Times New Roman" w:hAnsi="Times New Roman"/>
                <w:spacing w:val="-1"/>
                <w:lang w:val="lt-LT"/>
              </w:rPr>
            </w:pPr>
            <w:r w:rsidRPr="00273A3E">
              <w:rPr>
                <w:rFonts w:ascii="Times New Roman" w:hAnsi="Times New Roman"/>
                <w:lang w:val="lt-LT"/>
              </w:rPr>
              <w:t>28,0 (23,6</w:t>
            </w:r>
            <w:r w:rsidR="00654343" w:rsidRPr="00273A3E">
              <w:rPr>
                <w:rFonts w:ascii="Times New Roman" w:hAnsi="Times New Roman"/>
                <w:lang w:val="lt-LT"/>
              </w:rPr>
              <w:t>;</w:t>
            </w:r>
            <w:r w:rsidRPr="00273A3E">
              <w:rPr>
                <w:rFonts w:ascii="Times New Roman" w:hAnsi="Times New Roman"/>
                <w:lang w:val="lt-LT"/>
              </w:rPr>
              <w:t xml:space="preserve"> 34,6)</w:t>
            </w:r>
          </w:p>
        </w:tc>
      </w:tr>
      <w:tr w:rsidR="001E5C66" w:rsidRPr="00273A3E" w14:paraId="40D78E33" w14:textId="77777777" w:rsidTr="00C53407">
        <w:trPr>
          <w:trHeight w:val="549"/>
        </w:trPr>
        <w:tc>
          <w:tcPr>
            <w:tcW w:w="3283" w:type="dxa"/>
            <w:tcBorders>
              <w:top w:val="single" w:sz="5" w:space="0" w:color="000000"/>
              <w:left w:val="single" w:sz="5" w:space="0" w:color="000000"/>
              <w:bottom w:val="single" w:sz="5" w:space="0" w:color="000000"/>
              <w:right w:val="single" w:sz="5" w:space="0" w:color="000000"/>
            </w:tcBorders>
            <w:vAlign w:val="center"/>
          </w:tcPr>
          <w:p w14:paraId="34A99FFF" w14:textId="77777777" w:rsidR="00654343"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Rizikos santykis (95</w:t>
            </w:r>
            <w:r w:rsidR="00614C49" w:rsidRPr="00273A3E">
              <w:rPr>
                <w:rFonts w:ascii="Times New Roman" w:hAnsi="Times New Roman"/>
                <w:lang w:val="lt-LT"/>
              </w:rPr>
              <w:t> </w:t>
            </w:r>
            <w:r w:rsidRPr="00273A3E">
              <w:rPr>
                <w:rFonts w:ascii="Times New Roman" w:hAnsi="Times New Roman"/>
                <w:lang w:val="lt-LT"/>
              </w:rPr>
              <w:t>% PI) ir</w:t>
            </w:r>
          </w:p>
          <w:p w14:paraId="6A6BD3EC"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spacing w:val="-1"/>
                <w:lang w:val="lt-LT"/>
              </w:rPr>
            </w:pPr>
            <w:r w:rsidRPr="00273A3E">
              <w:rPr>
                <w:rFonts w:ascii="Times New Roman" w:hAnsi="Times New Roman"/>
                <w:lang w:val="lt-LT"/>
              </w:rPr>
              <w:t>p reikšmė †</w:t>
            </w:r>
          </w:p>
        </w:tc>
        <w:tc>
          <w:tcPr>
            <w:tcW w:w="5948" w:type="dxa"/>
            <w:gridSpan w:val="3"/>
            <w:tcBorders>
              <w:top w:val="single" w:sz="5" w:space="0" w:color="000000"/>
              <w:left w:val="single" w:sz="5" w:space="0" w:color="000000"/>
              <w:bottom w:val="single" w:sz="5" w:space="0" w:color="000000"/>
              <w:right w:val="single" w:sz="5" w:space="0" w:color="000000"/>
            </w:tcBorders>
            <w:vAlign w:val="center"/>
          </w:tcPr>
          <w:p w14:paraId="45AE0037" w14:textId="77777777" w:rsidR="001E5C66" w:rsidRPr="00273A3E" w:rsidRDefault="001E5C66" w:rsidP="009F71ED">
            <w:pPr>
              <w:tabs>
                <w:tab w:val="left" w:pos="567"/>
              </w:tabs>
              <w:autoSpaceDE w:val="0"/>
              <w:autoSpaceDN w:val="0"/>
              <w:adjustRightInd w:val="0"/>
              <w:spacing w:after="0" w:line="240" w:lineRule="auto"/>
              <w:jc w:val="center"/>
              <w:rPr>
                <w:rFonts w:ascii="Times New Roman" w:hAnsi="Times New Roman"/>
                <w:lang w:val="lt-LT"/>
              </w:rPr>
            </w:pPr>
            <w:r w:rsidRPr="00273A3E">
              <w:rPr>
                <w:rFonts w:ascii="Times New Roman" w:hAnsi="Times New Roman"/>
                <w:lang w:val="lt-LT"/>
              </w:rPr>
              <w:t>0,814 (0,644, 1,029)</w:t>
            </w:r>
          </w:p>
          <w:p w14:paraId="3F4B2502" w14:textId="77777777" w:rsidR="001E5C66" w:rsidRPr="00273A3E" w:rsidRDefault="001E5C66" w:rsidP="009F71ED">
            <w:pPr>
              <w:widowControl w:val="0"/>
              <w:tabs>
                <w:tab w:val="left" w:pos="567"/>
              </w:tabs>
              <w:spacing w:after="0" w:line="240" w:lineRule="auto"/>
              <w:jc w:val="center"/>
              <w:rPr>
                <w:rFonts w:ascii="Times New Roman" w:hAnsi="Times New Roman"/>
                <w:spacing w:val="-1"/>
                <w:lang w:val="lt-LT"/>
              </w:rPr>
            </w:pPr>
            <w:r w:rsidRPr="00273A3E">
              <w:rPr>
                <w:rFonts w:ascii="Times New Roman" w:hAnsi="Times New Roman"/>
                <w:lang w:val="lt-LT"/>
              </w:rPr>
              <w:t>p</w:t>
            </w:r>
            <w:r w:rsidR="00FF0074" w:rsidRPr="00273A3E">
              <w:rPr>
                <w:rFonts w:ascii="Times New Roman" w:hAnsi="Times New Roman"/>
                <w:lang w:val="lt-LT"/>
              </w:rPr>
              <w:t> = </w:t>
            </w:r>
            <w:r w:rsidRPr="00273A3E">
              <w:rPr>
                <w:rFonts w:ascii="Times New Roman" w:hAnsi="Times New Roman"/>
                <w:lang w:val="lt-LT"/>
              </w:rPr>
              <w:t>0,0429†*</w:t>
            </w:r>
          </w:p>
        </w:tc>
      </w:tr>
    </w:tbl>
    <w:p w14:paraId="28771784"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CBR (angl. </w:t>
      </w:r>
      <w:proofErr w:type="spellStart"/>
      <w:r w:rsidRPr="00273A3E">
        <w:rPr>
          <w:rFonts w:ascii="Times New Roman" w:hAnsi="Times New Roman"/>
          <w:i/>
          <w:iCs/>
          <w:lang w:val="lt-LT"/>
        </w:rPr>
        <w:t>clinical</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benefit</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response</w:t>
      </w:r>
      <w:proofErr w:type="spellEnd"/>
      <w:r w:rsidRPr="00273A3E">
        <w:rPr>
          <w:rFonts w:ascii="Times New Roman" w:hAnsi="Times New Roman"/>
          <w:lang w:val="lt-LT"/>
        </w:rPr>
        <w:t>) – klinikinę naudą rodantis atsakas</w:t>
      </w:r>
      <w:r w:rsidR="00035A23" w:rsidRPr="00273A3E">
        <w:rPr>
          <w:rFonts w:ascii="Times New Roman" w:hAnsi="Times New Roman"/>
          <w:lang w:val="lt-LT"/>
        </w:rPr>
        <w:t>;</w:t>
      </w:r>
      <w:r w:rsidRPr="00273A3E">
        <w:rPr>
          <w:rFonts w:ascii="Times New Roman" w:hAnsi="Times New Roman"/>
          <w:lang w:val="lt-LT"/>
        </w:rPr>
        <w:t xml:space="preserve"> PI – pasikliautinas intervalas</w:t>
      </w:r>
      <w:r w:rsidR="00035A23" w:rsidRPr="00273A3E">
        <w:rPr>
          <w:rFonts w:ascii="Times New Roman" w:hAnsi="Times New Roman"/>
          <w:lang w:val="lt-LT"/>
        </w:rPr>
        <w:t>;</w:t>
      </w:r>
      <w:r w:rsidRPr="00273A3E">
        <w:rPr>
          <w:rFonts w:ascii="Times New Roman" w:hAnsi="Times New Roman"/>
          <w:lang w:val="lt-LT"/>
        </w:rPr>
        <w:t xml:space="preserve"> N –</w:t>
      </w:r>
      <w:r w:rsidR="007F07DF" w:rsidRPr="00273A3E">
        <w:rPr>
          <w:rFonts w:ascii="Times New Roman" w:hAnsi="Times New Roman"/>
          <w:lang w:val="lt-LT"/>
        </w:rPr>
        <w:t xml:space="preserve"> </w:t>
      </w:r>
      <w:r w:rsidRPr="00273A3E">
        <w:rPr>
          <w:rFonts w:ascii="Times New Roman" w:hAnsi="Times New Roman"/>
          <w:lang w:val="lt-LT"/>
        </w:rPr>
        <w:t>pacienčių skaičius</w:t>
      </w:r>
      <w:r w:rsidR="00035A23" w:rsidRPr="00273A3E">
        <w:rPr>
          <w:rFonts w:ascii="Times New Roman" w:hAnsi="Times New Roman"/>
          <w:lang w:val="lt-LT"/>
        </w:rPr>
        <w:t>;</w:t>
      </w:r>
      <w:r w:rsidRPr="00273A3E">
        <w:rPr>
          <w:rFonts w:ascii="Times New Roman" w:hAnsi="Times New Roman"/>
          <w:lang w:val="lt-LT"/>
        </w:rPr>
        <w:t xml:space="preserve"> OR (angl. </w:t>
      </w:r>
      <w:proofErr w:type="spellStart"/>
      <w:r w:rsidRPr="00273A3E">
        <w:rPr>
          <w:rFonts w:ascii="Times New Roman" w:hAnsi="Times New Roman"/>
          <w:i/>
          <w:iCs/>
          <w:lang w:val="lt-LT"/>
        </w:rPr>
        <w:t>objective</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response</w:t>
      </w:r>
      <w:proofErr w:type="spellEnd"/>
      <w:r w:rsidRPr="00273A3E">
        <w:rPr>
          <w:rFonts w:ascii="Times New Roman" w:hAnsi="Times New Roman"/>
          <w:lang w:val="lt-LT"/>
        </w:rPr>
        <w:t>) – objektyvus atsakas.</w:t>
      </w:r>
    </w:p>
    <w:p w14:paraId="7BCDE663"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Antrinių vertinamųjų baigčių duomenys pagrįsti </w:t>
      </w:r>
      <w:r w:rsidR="00663881" w:rsidRPr="00273A3E">
        <w:rPr>
          <w:rFonts w:ascii="Times New Roman" w:hAnsi="Times New Roman"/>
          <w:lang w:val="lt-LT"/>
        </w:rPr>
        <w:t xml:space="preserve">patvirtintais </w:t>
      </w:r>
      <w:r w:rsidRPr="00273A3E">
        <w:rPr>
          <w:rFonts w:ascii="Times New Roman" w:hAnsi="Times New Roman"/>
          <w:lang w:val="lt-LT"/>
        </w:rPr>
        <w:t>ir nepatvirtintais atsakais pagal RECIST 1.1</w:t>
      </w:r>
      <w:r w:rsidR="007F07DF" w:rsidRPr="00273A3E">
        <w:rPr>
          <w:rFonts w:ascii="Times New Roman" w:hAnsi="Times New Roman"/>
          <w:lang w:val="lt-LT"/>
        </w:rPr>
        <w:t xml:space="preserve"> </w:t>
      </w:r>
      <w:r w:rsidRPr="00273A3E">
        <w:rPr>
          <w:rFonts w:ascii="Times New Roman" w:hAnsi="Times New Roman"/>
          <w:lang w:val="lt-LT"/>
        </w:rPr>
        <w:t>kriterijus.</w:t>
      </w:r>
    </w:p>
    <w:p w14:paraId="250C5017"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Statistiškai nereikšminga.</w:t>
      </w:r>
    </w:p>
    <w:p w14:paraId="64693A06"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iCs/>
          <w:lang w:val="lt-LT"/>
        </w:rPr>
      </w:pPr>
      <w:r w:rsidRPr="00273A3E">
        <w:rPr>
          <w:rFonts w:ascii="Times New Roman" w:hAnsi="Times New Roman"/>
          <w:lang w:val="lt-LT"/>
        </w:rPr>
        <w:t xml:space="preserve">† Vienpusė p reikšmė, gauta logaritminio rango testo būdu, </w:t>
      </w:r>
      <w:proofErr w:type="spellStart"/>
      <w:r w:rsidRPr="00273A3E">
        <w:rPr>
          <w:rFonts w:ascii="Times New Roman" w:hAnsi="Times New Roman"/>
          <w:lang w:val="lt-LT"/>
        </w:rPr>
        <w:t>stratifikuota</w:t>
      </w:r>
      <w:proofErr w:type="spellEnd"/>
      <w:r w:rsidRPr="00273A3E">
        <w:rPr>
          <w:rFonts w:ascii="Times New Roman" w:hAnsi="Times New Roman"/>
          <w:lang w:val="lt-LT"/>
        </w:rPr>
        <w:t xml:space="preserve"> pagal </w:t>
      </w:r>
      <w:proofErr w:type="spellStart"/>
      <w:r w:rsidRPr="00273A3E">
        <w:rPr>
          <w:rFonts w:ascii="Times New Roman" w:hAnsi="Times New Roman"/>
          <w:lang w:val="lt-LT"/>
        </w:rPr>
        <w:t>visceralinių</w:t>
      </w:r>
      <w:proofErr w:type="spellEnd"/>
      <w:r w:rsidR="00A70F63"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astazių buvimą ir</w:t>
      </w:r>
      <w:r w:rsidR="007F07DF" w:rsidRPr="00273A3E">
        <w:rPr>
          <w:rFonts w:ascii="Times New Roman" w:hAnsi="Times New Roman"/>
          <w:lang w:val="lt-LT"/>
        </w:rPr>
        <w:t xml:space="preserve"> </w:t>
      </w:r>
      <w:r w:rsidRPr="00273A3E">
        <w:rPr>
          <w:rFonts w:ascii="Times New Roman" w:hAnsi="Times New Roman"/>
          <w:lang w:val="lt-LT"/>
        </w:rPr>
        <w:t>jautrumą anksčiau taikytam endokrininiam gydymui (</w:t>
      </w:r>
      <w:r w:rsidR="00E7209E" w:rsidRPr="00273A3E">
        <w:rPr>
          <w:rFonts w:ascii="Times New Roman" w:hAnsi="Times New Roman"/>
          <w:lang w:val="lt-LT"/>
        </w:rPr>
        <w:t xml:space="preserve">atsitiktinių imčių </w:t>
      </w:r>
      <w:r w:rsidR="00FF0074" w:rsidRPr="00273A3E">
        <w:rPr>
          <w:rFonts w:ascii="Times New Roman" w:hAnsi="Times New Roman"/>
          <w:lang w:val="lt-LT"/>
        </w:rPr>
        <w:t>met</w:t>
      </w:r>
      <w:r w:rsidRPr="00273A3E">
        <w:rPr>
          <w:rFonts w:ascii="Times New Roman" w:hAnsi="Times New Roman"/>
          <w:lang w:val="lt-LT"/>
        </w:rPr>
        <w:t>u gauti duomenys).</w:t>
      </w:r>
    </w:p>
    <w:p w14:paraId="33E3F6CF" w14:textId="77777777" w:rsidR="001E5C66" w:rsidRPr="00273A3E" w:rsidRDefault="001E5C66" w:rsidP="009F71ED">
      <w:pPr>
        <w:tabs>
          <w:tab w:val="left" w:pos="567"/>
        </w:tabs>
        <w:spacing w:after="0" w:line="240" w:lineRule="auto"/>
        <w:rPr>
          <w:rFonts w:ascii="Times New Roman" w:hAnsi="Times New Roman"/>
          <w:i/>
          <w:lang w:val="lt-LT"/>
        </w:rPr>
      </w:pPr>
    </w:p>
    <w:p w14:paraId="4B803BFD" w14:textId="77777777" w:rsidR="001E5C66" w:rsidRPr="00273A3E" w:rsidRDefault="001E5C66" w:rsidP="009F71ED">
      <w:pPr>
        <w:keepNext/>
        <w:tabs>
          <w:tab w:val="left" w:pos="567"/>
          <w:tab w:val="left" w:pos="1418"/>
        </w:tabs>
        <w:spacing w:after="0" w:line="240" w:lineRule="auto"/>
        <w:rPr>
          <w:rFonts w:ascii="Times New Roman" w:hAnsi="Times New Roman"/>
          <w:b/>
          <w:lang w:val="lt-LT"/>
        </w:rPr>
      </w:pPr>
      <w:r w:rsidRPr="00273A3E">
        <w:rPr>
          <w:rFonts w:ascii="Times New Roman" w:hAnsi="Times New Roman"/>
          <w:b/>
          <w:lang w:val="lt-LT"/>
        </w:rPr>
        <w:lastRenderedPageBreak/>
        <w:t>2</w:t>
      </w:r>
      <w:r w:rsidR="007F07DF" w:rsidRPr="00273A3E">
        <w:rPr>
          <w:rFonts w:ascii="Times New Roman" w:hAnsi="Times New Roman"/>
          <w:b/>
          <w:lang w:val="lt-LT"/>
        </w:rPr>
        <w:t> </w:t>
      </w:r>
      <w:r w:rsidRPr="00273A3E">
        <w:rPr>
          <w:rFonts w:ascii="Times New Roman" w:hAnsi="Times New Roman"/>
          <w:b/>
          <w:lang w:val="lt-LT"/>
        </w:rPr>
        <w:t xml:space="preserve">pav. </w:t>
      </w:r>
      <w:r w:rsidR="009678C6" w:rsidRPr="00273A3E">
        <w:rPr>
          <w:rFonts w:ascii="Times New Roman" w:hAnsi="Times New Roman"/>
          <w:b/>
          <w:lang w:val="lt-LT"/>
        </w:rPr>
        <w:tab/>
      </w:r>
      <w:r w:rsidRPr="00273A3E">
        <w:rPr>
          <w:rFonts w:ascii="Times New Roman" w:hAnsi="Times New Roman"/>
          <w:b/>
          <w:lang w:val="lt-LT"/>
        </w:rPr>
        <w:t xml:space="preserve">Išgyvenimo neprogresuojant ligai </w:t>
      </w:r>
      <w:proofErr w:type="spellStart"/>
      <w:r w:rsidRPr="00273A3E">
        <w:rPr>
          <w:rFonts w:ascii="Times New Roman" w:hAnsi="Times New Roman"/>
          <w:b/>
          <w:i/>
          <w:lang w:val="lt-LT"/>
        </w:rPr>
        <w:t>Kaplan-Meier</w:t>
      </w:r>
      <w:proofErr w:type="spellEnd"/>
      <w:r w:rsidRPr="00273A3E">
        <w:rPr>
          <w:rFonts w:ascii="Times New Roman" w:hAnsi="Times New Roman"/>
          <w:b/>
          <w:lang w:val="lt-LT"/>
        </w:rPr>
        <w:t xml:space="preserve"> kreivės (tyrėjo vertinimu, numatytai gydyti populiacijai) PALOMA-3 tyrimo duomenimis </w:t>
      </w:r>
      <w:r w:rsidRPr="00273A3E">
        <w:rPr>
          <w:rFonts w:ascii="Times New Roman" w:hAnsi="Times New Roman"/>
          <w:b/>
          <w:bCs/>
          <w:lang w:val="lt-LT"/>
        </w:rPr>
        <w:t>(jie baigti rinkti 2015</w:t>
      </w:r>
      <w:r w:rsidR="007F07DF" w:rsidRPr="00273A3E">
        <w:rPr>
          <w:rFonts w:ascii="Times New Roman" w:hAnsi="Times New Roman"/>
          <w:b/>
          <w:bCs/>
          <w:lang w:val="lt-LT"/>
        </w:rPr>
        <w:t> </w:t>
      </w:r>
      <w:r w:rsidRPr="00273A3E">
        <w:rPr>
          <w:rFonts w:ascii="Times New Roman" w:hAnsi="Times New Roman"/>
          <w:b/>
          <w:bCs/>
          <w:lang w:val="lt-LT"/>
        </w:rPr>
        <w:t>m. spalio 23</w:t>
      </w:r>
      <w:r w:rsidR="007F07DF" w:rsidRPr="00273A3E">
        <w:rPr>
          <w:rFonts w:ascii="Times New Roman" w:hAnsi="Times New Roman"/>
          <w:b/>
          <w:bCs/>
          <w:lang w:val="lt-LT"/>
        </w:rPr>
        <w:t> </w:t>
      </w:r>
      <w:r w:rsidRPr="00273A3E">
        <w:rPr>
          <w:rFonts w:ascii="Times New Roman" w:hAnsi="Times New Roman"/>
          <w:b/>
          <w:bCs/>
          <w:lang w:val="lt-LT"/>
        </w:rPr>
        <w:t>d.)</w:t>
      </w:r>
    </w:p>
    <w:p w14:paraId="118A3C1E" w14:textId="77777777" w:rsidR="001E5C66" w:rsidRPr="00273A3E" w:rsidRDefault="001E5C66" w:rsidP="009F71ED">
      <w:pPr>
        <w:keepNext/>
        <w:tabs>
          <w:tab w:val="left" w:pos="567"/>
        </w:tabs>
        <w:spacing w:after="0" w:line="240" w:lineRule="auto"/>
        <w:rPr>
          <w:rFonts w:ascii="Times New Roman" w:hAnsi="Times New Roman"/>
          <w:i/>
          <w:lang w:val="lt-LT"/>
        </w:rPr>
      </w:pPr>
    </w:p>
    <w:p w14:paraId="7F311141" w14:textId="77777777" w:rsidR="00857B56" w:rsidRPr="00273A3E" w:rsidRDefault="0003368A" w:rsidP="009F71ED">
      <w:pPr>
        <w:keepNext/>
        <w:tabs>
          <w:tab w:val="left" w:pos="567"/>
        </w:tabs>
        <w:spacing w:after="0" w:line="240" w:lineRule="auto"/>
        <w:rPr>
          <w:rFonts w:ascii="Times New Roman" w:hAnsi="Times New Roman"/>
          <w:i/>
          <w:lang w:val="lt-LT"/>
        </w:rPr>
      </w:pPr>
      <w:r w:rsidRPr="00273A3E">
        <w:rPr>
          <w:rFonts w:ascii="Times New Roman" w:hAnsi="Times New Roman"/>
          <w:noProof/>
          <w:lang w:val="lt-LT"/>
        </w:rPr>
        <w:drawing>
          <wp:inline distT="0" distB="0" distL="0" distR="0" wp14:anchorId="4335B21C" wp14:editId="788F5E7A">
            <wp:extent cx="4960620" cy="36195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0620" cy="3619500"/>
                    </a:xfrm>
                    <a:prstGeom prst="rect">
                      <a:avLst/>
                    </a:prstGeom>
                    <a:noFill/>
                    <a:ln>
                      <a:noFill/>
                    </a:ln>
                  </pic:spPr>
                </pic:pic>
              </a:graphicData>
            </a:graphic>
          </wp:inline>
        </w:drawing>
      </w:r>
    </w:p>
    <w:p w14:paraId="186FD9F6" w14:textId="77777777" w:rsidR="009678C6" w:rsidRPr="00273A3E" w:rsidRDefault="001E5C66" w:rsidP="009F71ED">
      <w:pPr>
        <w:tabs>
          <w:tab w:val="left" w:pos="567"/>
        </w:tabs>
        <w:spacing w:after="0" w:line="240" w:lineRule="auto"/>
        <w:rPr>
          <w:rFonts w:ascii="Times New Roman" w:hAnsi="Times New Roman"/>
          <w:spacing w:val="-1"/>
          <w:lang w:val="lt-LT"/>
        </w:rPr>
      </w:pPr>
      <w:r w:rsidRPr="00273A3E">
        <w:rPr>
          <w:rFonts w:ascii="Times New Roman" w:hAnsi="Times New Roman"/>
          <w:spacing w:val="-1"/>
          <w:lang w:val="lt-LT"/>
        </w:rPr>
        <w:t>FUL</w:t>
      </w:r>
      <w:r w:rsidR="00042CF4" w:rsidRPr="00273A3E">
        <w:rPr>
          <w:rFonts w:ascii="Times New Roman" w:hAnsi="Times New Roman"/>
          <w:spacing w:val="-1"/>
          <w:lang w:val="lt-LT"/>
        </w:rPr>
        <w:t xml:space="preserve"> – </w:t>
      </w:r>
      <w:proofErr w:type="spellStart"/>
      <w:r w:rsidRPr="00273A3E">
        <w:rPr>
          <w:rFonts w:ascii="Times New Roman" w:hAnsi="Times New Roman"/>
          <w:spacing w:val="-1"/>
          <w:lang w:val="lt-LT"/>
        </w:rPr>
        <w:t>fulvestrantas</w:t>
      </w:r>
      <w:proofErr w:type="spellEnd"/>
      <w:r w:rsidRPr="00273A3E">
        <w:rPr>
          <w:rFonts w:ascii="Times New Roman" w:hAnsi="Times New Roman"/>
          <w:spacing w:val="-1"/>
          <w:lang w:val="lt-LT"/>
        </w:rPr>
        <w:t>;</w:t>
      </w:r>
      <w:r w:rsidRPr="00273A3E">
        <w:rPr>
          <w:rFonts w:ascii="Times New Roman" w:hAnsi="Times New Roman"/>
          <w:spacing w:val="-2"/>
          <w:lang w:val="lt-LT"/>
        </w:rPr>
        <w:t xml:space="preserve"> </w:t>
      </w:r>
      <w:r w:rsidRPr="00273A3E">
        <w:rPr>
          <w:rFonts w:ascii="Times New Roman" w:hAnsi="Times New Roman"/>
          <w:spacing w:val="-1"/>
          <w:lang w:val="lt-LT"/>
        </w:rPr>
        <w:t>PAL</w:t>
      </w:r>
      <w:r w:rsidR="00042CF4" w:rsidRPr="00273A3E">
        <w:rPr>
          <w:rFonts w:ascii="Times New Roman" w:hAnsi="Times New Roman"/>
          <w:spacing w:val="-1"/>
          <w:lang w:val="lt-LT"/>
        </w:rPr>
        <w:t xml:space="preserve"> – </w:t>
      </w:r>
      <w:proofErr w:type="spellStart"/>
      <w:r w:rsidRPr="00273A3E">
        <w:rPr>
          <w:rFonts w:ascii="Times New Roman" w:hAnsi="Times New Roman"/>
          <w:spacing w:val="-1"/>
          <w:lang w:val="lt-LT"/>
        </w:rPr>
        <w:t>palbociklibas</w:t>
      </w:r>
      <w:proofErr w:type="spellEnd"/>
      <w:r w:rsidRPr="00273A3E">
        <w:rPr>
          <w:rFonts w:ascii="Times New Roman" w:hAnsi="Times New Roman"/>
          <w:spacing w:val="-1"/>
          <w:lang w:val="lt-LT"/>
        </w:rPr>
        <w:t>;</w:t>
      </w:r>
      <w:r w:rsidRPr="00273A3E">
        <w:rPr>
          <w:rFonts w:ascii="Times New Roman" w:hAnsi="Times New Roman"/>
          <w:spacing w:val="-2"/>
          <w:lang w:val="lt-LT"/>
        </w:rPr>
        <w:t xml:space="preserve"> </w:t>
      </w:r>
      <w:r w:rsidRPr="00273A3E">
        <w:rPr>
          <w:rFonts w:ascii="Times New Roman" w:hAnsi="Times New Roman"/>
          <w:spacing w:val="-1"/>
          <w:lang w:val="lt-LT"/>
        </w:rPr>
        <w:t>PCB</w:t>
      </w:r>
      <w:r w:rsidR="00042CF4" w:rsidRPr="00273A3E">
        <w:rPr>
          <w:rFonts w:ascii="Times New Roman" w:hAnsi="Times New Roman"/>
          <w:spacing w:val="-1"/>
          <w:lang w:val="lt-LT"/>
        </w:rPr>
        <w:t xml:space="preserve"> – </w:t>
      </w:r>
      <w:r w:rsidRPr="00273A3E">
        <w:rPr>
          <w:rFonts w:ascii="Times New Roman" w:hAnsi="Times New Roman"/>
          <w:spacing w:val="-1"/>
          <w:lang w:val="lt-LT"/>
        </w:rPr>
        <w:t>placebas.</w:t>
      </w:r>
    </w:p>
    <w:p w14:paraId="160962D9" w14:textId="77777777" w:rsidR="00857B56" w:rsidRPr="00273A3E" w:rsidRDefault="00857B56" w:rsidP="009F71ED">
      <w:pPr>
        <w:tabs>
          <w:tab w:val="left" w:pos="567"/>
        </w:tabs>
        <w:spacing w:after="0" w:line="240" w:lineRule="auto"/>
        <w:rPr>
          <w:rFonts w:ascii="Times New Roman" w:hAnsi="Times New Roman"/>
          <w:spacing w:val="-1"/>
          <w:lang w:val="lt-LT"/>
        </w:rPr>
      </w:pPr>
    </w:p>
    <w:p w14:paraId="0121E651"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Sumažėjusi ligos progresavimo ir mirties rizika nustatyta visų atskirų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derinio grupės pogrupių, sudarytų pagal </w:t>
      </w:r>
      <w:proofErr w:type="spellStart"/>
      <w:r w:rsidRPr="00273A3E">
        <w:rPr>
          <w:rFonts w:ascii="Times New Roman" w:hAnsi="Times New Roman"/>
          <w:lang w:val="lt-LT"/>
        </w:rPr>
        <w:t>stratifikavimo</w:t>
      </w:r>
      <w:proofErr w:type="spellEnd"/>
      <w:r w:rsidRPr="00273A3E">
        <w:rPr>
          <w:rFonts w:ascii="Times New Roman" w:hAnsi="Times New Roman"/>
          <w:lang w:val="lt-LT"/>
        </w:rPr>
        <w:t xml:space="preserve"> faktorius ir pradines savybes, pacientėms, t. y. </w:t>
      </w:r>
      <w:r w:rsidR="00A67411" w:rsidRPr="00273A3E">
        <w:rPr>
          <w:rFonts w:ascii="Times New Roman" w:hAnsi="Times New Roman"/>
          <w:lang w:val="lt-LT"/>
        </w:rPr>
        <w:t xml:space="preserve">iki menopauzės </w:t>
      </w:r>
      <w:r w:rsidRPr="00273A3E">
        <w:rPr>
          <w:rFonts w:ascii="Times New Roman" w:hAnsi="Times New Roman"/>
          <w:lang w:val="lt-LT"/>
        </w:rPr>
        <w:t xml:space="preserve">ir </w:t>
      </w:r>
      <w:proofErr w:type="spellStart"/>
      <w:r w:rsidRPr="00273A3E">
        <w:rPr>
          <w:rFonts w:ascii="Times New Roman" w:hAnsi="Times New Roman"/>
          <w:lang w:val="lt-LT"/>
        </w:rPr>
        <w:t>perimenopauzės</w:t>
      </w:r>
      <w:proofErr w:type="spellEnd"/>
      <w:r w:rsidRPr="00273A3E">
        <w:rPr>
          <w:rFonts w:ascii="Times New Roman" w:hAnsi="Times New Roman"/>
          <w:lang w:val="lt-LT"/>
        </w:rPr>
        <w:t xml:space="preserve"> laikotarpiu (</w:t>
      </w:r>
      <w:r w:rsidR="0076205B" w:rsidRPr="00273A3E">
        <w:rPr>
          <w:rFonts w:ascii="Times New Roman" w:hAnsi="Times New Roman"/>
          <w:lang w:val="lt-LT"/>
        </w:rPr>
        <w:t>S</w:t>
      </w:r>
      <w:r w:rsidRPr="00273A3E">
        <w:rPr>
          <w:rFonts w:ascii="Times New Roman" w:hAnsi="Times New Roman"/>
          <w:lang w:val="lt-LT"/>
        </w:rPr>
        <w:t>R – 0,46, 95 % PI – nuo 0,28 iki 0,75) bei po menopauzės (</w:t>
      </w:r>
      <w:r w:rsidR="0076205B" w:rsidRPr="00273A3E">
        <w:rPr>
          <w:rFonts w:ascii="Times New Roman" w:hAnsi="Times New Roman"/>
          <w:lang w:val="lt-LT"/>
        </w:rPr>
        <w:t>S</w:t>
      </w:r>
      <w:r w:rsidRPr="00273A3E">
        <w:rPr>
          <w:rFonts w:ascii="Times New Roman" w:hAnsi="Times New Roman"/>
          <w:lang w:val="lt-LT"/>
        </w:rPr>
        <w:t xml:space="preserve">R – 0,52, 95 % PI – nuo 0,40 iki 0,66), esant </w:t>
      </w:r>
      <w:proofErr w:type="spellStart"/>
      <w:r w:rsidRPr="00273A3E">
        <w:rPr>
          <w:rFonts w:ascii="Times New Roman" w:hAnsi="Times New Roman"/>
          <w:lang w:val="lt-LT"/>
        </w:rPr>
        <w:t>visceralinių</w:t>
      </w:r>
      <w:proofErr w:type="spellEnd"/>
      <w:r w:rsidR="00D27790"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astazių (</w:t>
      </w:r>
      <w:r w:rsidR="0076205B" w:rsidRPr="00273A3E">
        <w:rPr>
          <w:rFonts w:ascii="Times New Roman" w:hAnsi="Times New Roman"/>
          <w:lang w:val="lt-LT"/>
        </w:rPr>
        <w:t>S</w:t>
      </w:r>
      <w:r w:rsidRPr="00273A3E">
        <w:rPr>
          <w:rFonts w:ascii="Times New Roman" w:hAnsi="Times New Roman"/>
          <w:lang w:val="lt-LT"/>
        </w:rPr>
        <w:t xml:space="preserve">R – 0,50, 95 % PI – nuo 0,38 iki 0,65) bei esant </w:t>
      </w:r>
      <w:proofErr w:type="spellStart"/>
      <w:r w:rsidRPr="00273A3E">
        <w:rPr>
          <w:rFonts w:ascii="Times New Roman" w:hAnsi="Times New Roman"/>
          <w:lang w:val="lt-LT"/>
        </w:rPr>
        <w:t>nevisceralinių</w:t>
      </w:r>
      <w:proofErr w:type="spellEnd"/>
      <w:r w:rsidR="001E6402"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astazių (</w:t>
      </w:r>
      <w:r w:rsidR="0076205B" w:rsidRPr="00273A3E">
        <w:rPr>
          <w:rFonts w:ascii="Times New Roman" w:hAnsi="Times New Roman"/>
          <w:lang w:val="lt-LT"/>
        </w:rPr>
        <w:t>S</w:t>
      </w:r>
      <w:r w:rsidRPr="00273A3E">
        <w:rPr>
          <w:rFonts w:ascii="Times New Roman" w:hAnsi="Times New Roman"/>
          <w:lang w:val="lt-LT"/>
        </w:rPr>
        <w:t>R – 0,48, 95 % PI – nuo 0,33 iki 0,71). Nauda nustatyta nepriklausomai nuo to, kelių eilių</w:t>
      </w:r>
      <w:r w:rsidR="009C243C" w:rsidRPr="00273A3E">
        <w:rPr>
          <w:rFonts w:ascii="Times New Roman" w:hAnsi="Times New Roman"/>
          <w:lang w:val="lt-LT"/>
        </w:rPr>
        <w:t xml:space="preserve"> </w:t>
      </w:r>
      <w:proofErr w:type="spellStart"/>
      <w:r w:rsidR="00FF0074" w:rsidRPr="00273A3E">
        <w:rPr>
          <w:rFonts w:ascii="Times New Roman" w:hAnsi="Times New Roman"/>
          <w:lang w:val="lt-LT"/>
        </w:rPr>
        <w:t>met</w:t>
      </w:r>
      <w:r w:rsidRPr="00273A3E">
        <w:rPr>
          <w:rFonts w:ascii="Times New Roman" w:hAnsi="Times New Roman"/>
          <w:lang w:val="lt-LT"/>
        </w:rPr>
        <w:t>astazavusio</w:t>
      </w:r>
      <w:proofErr w:type="spellEnd"/>
      <w:r w:rsidRPr="00273A3E">
        <w:rPr>
          <w:rFonts w:ascii="Times New Roman" w:hAnsi="Times New Roman"/>
          <w:lang w:val="lt-LT"/>
        </w:rPr>
        <w:t xml:space="preserve"> vėžio gydymas taikytas anksčiau, t. y. jei jų buvo 0 (</w:t>
      </w:r>
      <w:r w:rsidR="0076205B" w:rsidRPr="00273A3E">
        <w:rPr>
          <w:rFonts w:ascii="Times New Roman" w:hAnsi="Times New Roman"/>
          <w:lang w:val="lt-LT"/>
        </w:rPr>
        <w:t>S</w:t>
      </w:r>
      <w:r w:rsidRPr="00273A3E">
        <w:rPr>
          <w:rFonts w:ascii="Times New Roman" w:hAnsi="Times New Roman"/>
          <w:lang w:val="lt-LT"/>
        </w:rPr>
        <w:t>R – 0,59, 95 % PI – nuo 0,37 iki 0,93), 1 (</w:t>
      </w:r>
      <w:r w:rsidR="0076205B" w:rsidRPr="00273A3E">
        <w:rPr>
          <w:rFonts w:ascii="Times New Roman" w:hAnsi="Times New Roman"/>
          <w:lang w:val="lt-LT"/>
        </w:rPr>
        <w:t>S</w:t>
      </w:r>
      <w:r w:rsidRPr="00273A3E">
        <w:rPr>
          <w:rFonts w:ascii="Times New Roman" w:hAnsi="Times New Roman"/>
          <w:lang w:val="lt-LT"/>
        </w:rPr>
        <w:t>R – 0,46, 95 % PI – nuo 0,32 iki 0,64), 2 (</w:t>
      </w:r>
      <w:r w:rsidR="0076205B" w:rsidRPr="00273A3E">
        <w:rPr>
          <w:rFonts w:ascii="Times New Roman" w:hAnsi="Times New Roman"/>
          <w:lang w:val="lt-LT"/>
        </w:rPr>
        <w:t>S</w:t>
      </w:r>
      <w:r w:rsidRPr="00273A3E">
        <w:rPr>
          <w:rFonts w:ascii="Times New Roman" w:hAnsi="Times New Roman"/>
          <w:lang w:val="lt-LT"/>
        </w:rPr>
        <w:t>R – 0,48, 95 % PI – nuo 0,30 iki 0,76) ar ≥ 3 (</w:t>
      </w:r>
      <w:r w:rsidR="0076205B" w:rsidRPr="00273A3E">
        <w:rPr>
          <w:rFonts w:ascii="Times New Roman" w:hAnsi="Times New Roman"/>
          <w:lang w:val="lt-LT"/>
        </w:rPr>
        <w:t>S</w:t>
      </w:r>
      <w:r w:rsidRPr="00273A3E">
        <w:rPr>
          <w:rFonts w:ascii="Times New Roman" w:hAnsi="Times New Roman"/>
          <w:lang w:val="lt-LT"/>
        </w:rPr>
        <w:t xml:space="preserve">R – 0,59, 95 % PI – nuo 0,28 iki 1,22). </w:t>
      </w:r>
    </w:p>
    <w:p w14:paraId="0C8D6FD8" w14:textId="77777777" w:rsidR="001E5C66" w:rsidRPr="00273A3E" w:rsidRDefault="001E5C66" w:rsidP="009F71ED">
      <w:pPr>
        <w:tabs>
          <w:tab w:val="left" w:pos="567"/>
        </w:tabs>
        <w:spacing w:after="0" w:line="240" w:lineRule="auto"/>
        <w:rPr>
          <w:rFonts w:ascii="Times New Roman" w:hAnsi="Times New Roman"/>
          <w:lang w:val="lt-LT"/>
        </w:rPr>
      </w:pPr>
    </w:p>
    <w:p w14:paraId="290870B6" w14:textId="77777777" w:rsidR="001E5C66" w:rsidRPr="00273A3E" w:rsidRDefault="001E5C66" w:rsidP="009F71ED">
      <w:pPr>
        <w:keepNext/>
        <w:tabs>
          <w:tab w:val="left" w:pos="567"/>
          <w:tab w:val="left" w:pos="1134"/>
        </w:tabs>
        <w:autoSpaceDE w:val="0"/>
        <w:autoSpaceDN w:val="0"/>
        <w:adjustRightInd w:val="0"/>
        <w:spacing w:after="0" w:line="240" w:lineRule="auto"/>
        <w:rPr>
          <w:rFonts w:ascii="Times New Roman" w:hAnsi="Times New Roman"/>
          <w:b/>
          <w:bCs/>
          <w:lang w:val="lt-LT"/>
        </w:rPr>
      </w:pPr>
      <w:r w:rsidRPr="00273A3E">
        <w:rPr>
          <w:rFonts w:ascii="Times New Roman" w:hAnsi="Times New Roman"/>
          <w:b/>
          <w:bCs/>
          <w:lang w:val="lt-LT"/>
        </w:rPr>
        <w:lastRenderedPageBreak/>
        <w:t>3</w:t>
      </w:r>
      <w:r w:rsidR="007F07DF" w:rsidRPr="00273A3E">
        <w:rPr>
          <w:rFonts w:ascii="Times New Roman" w:hAnsi="Times New Roman"/>
          <w:b/>
          <w:bCs/>
          <w:lang w:val="lt-LT"/>
        </w:rPr>
        <w:t> </w:t>
      </w:r>
      <w:r w:rsidRPr="00273A3E">
        <w:rPr>
          <w:rFonts w:ascii="Times New Roman" w:hAnsi="Times New Roman"/>
          <w:b/>
          <w:bCs/>
          <w:lang w:val="lt-LT"/>
        </w:rPr>
        <w:t xml:space="preserve">pav. </w:t>
      </w:r>
      <w:r w:rsidR="009678C6" w:rsidRPr="00273A3E">
        <w:rPr>
          <w:rFonts w:ascii="Times New Roman" w:hAnsi="Times New Roman"/>
          <w:b/>
          <w:bCs/>
          <w:lang w:val="lt-LT"/>
        </w:rPr>
        <w:tab/>
      </w:r>
      <w:proofErr w:type="spellStart"/>
      <w:r w:rsidRPr="00273A3E">
        <w:rPr>
          <w:rFonts w:ascii="Times New Roman" w:hAnsi="Times New Roman"/>
          <w:b/>
          <w:bCs/>
          <w:i/>
          <w:lang w:val="lt-LT"/>
        </w:rPr>
        <w:t>Kaplan-Meier</w:t>
      </w:r>
      <w:proofErr w:type="spellEnd"/>
      <w:r w:rsidRPr="00273A3E">
        <w:rPr>
          <w:rFonts w:ascii="Times New Roman" w:hAnsi="Times New Roman"/>
          <w:b/>
          <w:bCs/>
          <w:lang w:val="lt-LT"/>
        </w:rPr>
        <w:t xml:space="preserve"> bendro išgyvenimo kreivės PALOMA</w:t>
      </w:r>
      <w:r w:rsidR="002C2BCB" w:rsidRPr="00273A3E">
        <w:rPr>
          <w:rFonts w:ascii="Times New Roman" w:hAnsi="Times New Roman"/>
          <w:b/>
          <w:bCs/>
          <w:lang w:val="lt-LT"/>
        </w:rPr>
        <w:t>-</w:t>
      </w:r>
      <w:r w:rsidRPr="00273A3E">
        <w:rPr>
          <w:rFonts w:ascii="Times New Roman" w:hAnsi="Times New Roman"/>
          <w:b/>
          <w:bCs/>
          <w:lang w:val="lt-LT"/>
        </w:rPr>
        <w:t>3 tyrimo duomenimis numatytai</w:t>
      </w:r>
      <w:r w:rsidR="007F07DF" w:rsidRPr="00273A3E">
        <w:rPr>
          <w:rFonts w:ascii="Times New Roman" w:hAnsi="Times New Roman"/>
          <w:b/>
          <w:bCs/>
          <w:lang w:val="lt-LT"/>
        </w:rPr>
        <w:t xml:space="preserve"> </w:t>
      </w:r>
      <w:r w:rsidRPr="00273A3E">
        <w:rPr>
          <w:rFonts w:ascii="Times New Roman" w:hAnsi="Times New Roman"/>
          <w:b/>
          <w:bCs/>
          <w:lang w:val="lt-LT"/>
        </w:rPr>
        <w:t>gydyti populiacijai (duomenys rinkti iki 2018</w:t>
      </w:r>
      <w:r w:rsidR="007F07DF" w:rsidRPr="00273A3E">
        <w:rPr>
          <w:rFonts w:ascii="Times New Roman" w:hAnsi="Times New Roman"/>
          <w:b/>
          <w:bCs/>
          <w:lang w:val="lt-LT"/>
        </w:rPr>
        <w:t> </w:t>
      </w:r>
      <w:r w:rsidRPr="00273A3E">
        <w:rPr>
          <w:rFonts w:ascii="Times New Roman" w:hAnsi="Times New Roman"/>
          <w:b/>
          <w:bCs/>
          <w:lang w:val="lt-LT"/>
        </w:rPr>
        <w:t>m. balandžio 13</w:t>
      </w:r>
      <w:r w:rsidR="007F07DF" w:rsidRPr="00273A3E">
        <w:rPr>
          <w:rFonts w:ascii="Times New Roman" w:hAnsi="Times New Roman"/>
          <w:b/>
          <w:bCs/>
          <w:lang w:val="lt-LT"/>
        </w:rPr>
        <w:t> </w:t>
      </w:r>
      <w:r w:rsidRPr="00273A3E">
        <w:rPr>
          <w:rFonts w:ascii="Times New Roman" w:hAnsi="Times New Roman"/>
          <w:b/>
          <w:bCs/>
          <w:lang w:val="lt-LT"/>
        </w:rPr>
        <w:t>d.)</w:t>
      </w:r>
    </w:p>
    <w:p w14:paraId="43D8C0C9" w14:textId="77777777" w:rsidR="002C2BCB" w:rsidRPr="00273A3E" w:rsidRDefault="002C2BCB" w:rsidP="009F71ED">
      <w:pPr>
        <w:keepNext/>
        <w:tabs>
          <w:tab w:val="left" w:pos="567"/>
          <w:tab w:val="left" w:pos="1134"/>
        </w:tabs>
        <w:autoSpaceDE w:val="0"/>
        <w:autoSpaceDN w:val="0"/>
        <w:adjustRightInd w:val="0"/>
        <w:spacing w:after="0" w:line="240" w:lineRule="auto"/>
        <w:rPr>
          <w:rFonts w:ascii="Times New Roman" w:hAnsi="Times New Roman"/>
          <w:b/>
          <w:bCs/>
          <w:lang w:val="lt-LT"/>
        </w:rPr>
      </w:pPr>
    </w:p>
    <w:p w14:paraId="6D68A5DD" w14:textId="77777777" w:rsidR="002C2BCB" w:rsidRPr="00273A3E" w:rsidRDefault="0003368A" w:rsidP="009F71ED">
      <w:pPr>
        <w:keepNext/>
        <w:tabs>
          <w:tab w:val="left" w:pos="567"/>
        </w:tabs>
        <w:autoSpaceDE w:val="0"/>
        <w:autoSpaceDN w:val="0"/>
        <w:adjustRightInd w:val="0"/>
        <w:spacing w:after="0" w:line="240" w:lineRule="auto"/>
        <w:rPr>
          <w:rFonts w:ascii="Times New Roman" w:hAnsi="Times New Roman"/>
          <w:noProof/>
          <w:lang w:val="lt-LT"/>
        </w:rPr>
      </w:pPr>
      <w:r w:rsidRPr="00273A3E">
        <w:rPr>
          <w:rFonts w:ascii="Times New Roman" w:hAnsi="Times New Roman"/>
          <w:noProof/>
          <w:lang w:val="lt-LT"/>
        </w:rPr>
        <w:drawing>
          <wp:inline distT="0" distB="0" distL="0" distR="0" wp14:anchorId="7DFEA227" wp14:editId="21F35931">
            <wp:extent cx="4861560" cy="253746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1560" cy="2537460"/>
                    </a:xfrm>
                    <a:prstGeom prst="rect">
                      <a:avLst/>
                    </a:prstGeom>
                    <a:noFill/>
                    <a:ln>
                      <a:noFill/>
                    </a:ln>
                  </pic:spPr>
                </pic:pic>
              </a:graphicData>
            </a:graphic>
          </wp:inline>
        </w:drawing>
      </w:r>
    </w:p>
    <w:p w14:paraId="62AFF257" w14:textId="77777777" w:rsidR="001E5C66" w:rsidRPr="00273A3E" w:rsidRDefault="001E5C66" w:rsidP="009F71ED">
      <w:pPr>
        <w:keepNext/>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Pacienčių su rizika skaičius</w:t>
      </w:r>
    </w:p>
    <w:p w14:paraId="12F0D28B"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PAL</w:t>
      </w:r>
      <w:r w:rsidR="002C2BCB" w:rsidRPr="00273A3E">
        <w:rPr>
          <w:rFonts w:ascii="Times New Roman" w:hAnsi="Times New Roman"/>
          <w:lang w:val="lt-LT"/>
        </w:rPr>
        <w:t xml:space="preserve"> </w:t>
      </w:r>
      <w:r w:rsidRPr="00273A3E">
        <w:rPr>
          <w:rFonts w:ascii="Times New Roman" w:hAnsi="Times New Roman"/>
          <w:lang w:val="lt-LT"/>
        </w:rPr>
        <w:t>+</w:t>
      </w:r>
      <w:r w:rsidR="002C2BCB" w:rsidRPr="00273A3E">
        <w:rPr>
          <w:rFonts w:ascii="Times New Roman" w:hAnsi="Times New Roman"/>
          <w:lang w:val="lt-LT"/>
        </w:rPr>
        <w:t xml:space="preserve"> </w:t>
      </w:r>
      <w:r w:rsidRPr="00273A3E">
        <w:rPr>
          <w:rFonts w:ascii="Times New Roman" w:hAnsi="Times New Roman"/>
          <w:lang w:val="lt-LT"/>
        </w:rPr>
        <w:t xml:space="preserve">FUL </w:t>
      </w:r>
      <w:r w:rsidRPr="00273A3E">
        <w:rPr>
          <w:rFonts w:ascii="Times New Roman" w:hAnsi="Times New Roman"/>
          <w:lang w:val="lt-LT"/>
        </w:rPr>
        <w:tab/>
        <w:t>347</w:t>
      </w:r>
      <w:r w:rsidRPr="00273A3E">
        <w:rPr>
          <w:rFonts w:ascii="Times New Roman" w:hAnsi="Times New Roman"/>
          <w:lang w:val="lt-LT"/>
        </w:rPr>
        <w:tab/>
        <w:t>321</w:t>
      </w:r>
      <w:r w:rsidRPr="00273A3E">
        <w:rPr>
          <w:rFonts w:ascii="Times New Roman" w:hAnsi="Times New Roman"/>
          <w:lang w:val="lt-LT"/>
        </w:rPr>
        <w:tab/>
        <w:t>286</w:t>
      </w:r>
      <w:r w:rsidRPr="00273A3E">
        <w:rPr>
          <w:rFonts w:ascii="Times New Roman" w:hAnsi="Times New Roman"/>
          <w:lang w:val="lt-LT"/>
        </w:rPr>
        <w:tab/>
        <w:t>247</w:t>
      </w:r>
      <w:r w:rsidRPr="00273A3E">
        <w:rPr>
          <w:rFonts w:ascii="Times New Roman" w:hAnsi="Times New Roman"/>
          <w:lang w:val="lt-LT"/>
        </w:rPr>
        <w:tab/>
        <w:t>209</w:t>
      </w:r>
      <w:r w:rsidRPr="00273A3E">
        <w:rPr>
          <w:rFonts w:ascii="Times New Roman" w:hAnsi="Times New Roman"/>
          <w:lang w:val="lt-LT"/>
        </w:rPr>
        <w:tab/>
        <w:t>165</w:t>
      </w:r>
      <w:r w:rsidRPr="00273A3E">
        <w:rPr>
          <w:rFonts w:ascii="Times New Roman" w:hAnsi="Times New Roman"/>
          <w:lang w:val="lt-LT"/>
        </w:rPr>
        <w:tab/>
        <w:t>148</w:t>
      </w:r>
      <w:r w:rsidRPr="00273A3E">
        <w:rPr>
          <w:rFonts w:ascii="Times New Roman" w:hAnsi="Times New Roman"/>
          <w:lang w:val="lt-LT"/>
        </w:rPr>
        <w:tab/>
        <w:t>126</w:t>
      </w:r>
      <w:r w:rsidRPr="00273A3E">
        <w:rPr>
          <w:rFonts w:ascii="Times New Roman" w:hAnsi="Times New Roman"/>
          <w:lang w:val="lt-LT"/>
        </w:rPr>
        <w:tab/>
        <w:t>17</w:t>
      </w:r>
    </w:p>
    <w:p w14:paraId="3BC9D74B"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PCB</w:t>
      </w:r>
      <w:r w:rsidR="002C2BCB" w:rsidRPr="00273A3E">
        <w:rPr>
          <w:rFonts w:ascii="Times New Roman" w:hAnsi="Times New Roman"/>
          <w:lang w:val="lt-LT"/>
        </w:rPr>
        <w:t xml:space="preserve"> </w:t>
      </w:r>
      <w:r w:rsidRPr="00273A3E">
        <w:rPr>
          <w:rFonts w:ascii="Times New Roman" w:hAnsi="Times New Roman"/>
          <w:lang w:val="lt-LT"/>
        </w:rPr>
        <w:t>+</w:t>
      </w:r>
      <w:r w:rsidR="002C2BCB" w:rsidRPr="00273A3E">
        <w:rPr>
          <w:rFonts w:ascii="Times New Roman" w:hAnsi="Times New Roman"/>
          <w:lang w:val="lt-LT"/>
        </w:rPr>
        <w:t xml:space="preserve"> </w:t>
      </w:r>
      <w:r w:rsidRPr="00273A3E">
        <w:rPr>
          <w:rFonts w:ascii="Times New Roman" w:hAnsi="Times New Roman"/>
          <w:lang w:val="lt-LT"/>
        </w:rPr>
        <w:t xml:space="preserve">FUL </w:t>
      </w:r>
      <w:r w:rsidRPr="00273A3E">
        <w:rPr>
          <w:rFonts w:ascii="Times New Roman" w:hAnsi="Times New Roman"/>
          <w:lang w:val="lt-LT"/>
        </w:rPr>
        <w:tab/>
        <w:t>174</w:t>
      </w:r>
      <w:r w:rsidRPr="00273A3E">
        <w:rPr>
          <w:rFonts w:ascii="Times New Roman" w:hAnsi="Times New Roman"/>
          <w:lang w:val="lt-LT"/>
        </w:rPr>
        <w:tab/>
        <w:t>155</w:t>
      </w:r>
      <w:r w:rsidRPr="00273A3E">
        <w:rPr>
          <w:rFonts w:ascii="Times New Roman" w:hAnsi="Times New Roman"/>
          <w:lang w:val="lt-LT"/>
        </w:rPr>
        <w:tab/>
        <w:t>135</w:t>
      </w:r>
      <w:r w:rsidRPr="00273A3E">
        <w:rPr>
          <w:rFonts w:ascii="Times New Roman" w:hAnsi="Times New Roman"/>
          <w:lang w:val="lt-LT"/>
        </w:rPr>
        <w:tab/>
      </w:r>
      <w:r w:rsidR="008005E0" w:rsidRPr="00273A3E">
        <w:rPr>
          <w:rFonts w:ascii="Times New Roman" w:hAnsi="Times New Roman"/>
          <w:lang w:val="lt-LT"/>
        </w:rPr>
        <w:t>1</w:t>
      </w:r>
      <w:r w:rsidRPr="00273A3E">
        <w:rPr>
          <w:rFonts w:ascii="Times New Roman" w:hAnsi="Times New Roman"/>
          <w:lang w:val="lt-LT"/>
        </w:rPr>
        <w:t>15</w:t>
      </w:r>
      <w:r w:rsidRPr="00273A3E">
        <w:rPr>
          <w:rFonts w:ascii="Times New Roman" w:hAnsi="Times New Roman"/>
          <w:lang w:val="lt-LT"/>
        </w:rPr>
        <w:tab/>
        <w:t>86</w:t>
      </w:r>
      <w:r w:rsidRPr="00273A3E">
        <w:rPr>
          <w:rFonts w:ascii="Times New Roman" w:hAnsi="Times New Roman"/>
          <w:lang w:val="lt-LT"/>
        </w:rPr>
        <w:tab/>
        <w:t>68</w:t>
      </w:r>
      <w:r w:rsidRPr="00273A3E">
        <w:rPr>
          <w:rFonts w:ascii="Times New Roman" w:hAnsi="Times New Roman"/>
          <w:lang w:val="lt-LT"/>
        </w:rPr>
        <w:tab/>
        <w:t>57</w:t>
      </w:r>
      <w:r w:rsidRPr="00273A3E">
        <w:rPr>
          <w:rFonts w:ascii="Times New Roman" w:hAnsi="Times New Roman"/>
          <w:lang w:val="lt-LT"/>
        </w:rPr>
        <w:tab/>
        <w:t>43</w:t>
      </w:r>
      <w:r w:rsidRPr="00273A3E">
        <w:rPr>
          <w:rFonts w:ascii="Times New Roman" w:hAnsi="Times New Roman"/>
          <w:lang w:val="lt-LT"/>
        </w:rPr>
        <w:tab/>
        <w:t>7</w:t>
      </w:r>
    </w:p>
    <w:p w14:paraId="495525F2"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629D9C9D"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FUL – </w:t>
      </w:r>
      <w:proofErr w:type="spellStart"/>
      <w:r w:rsidRPr="00273A3E">
        <w:rPr>
          <w:rFonts w:ascii="Times New Roman" w:hAnsi="Times New Roman"/>
          <w:lang w:val="lt-LT"/>
        </w:rPr>
        <w:t>fulvestrantas</w:t>
      </w:r>
      <w:proofErr w:type="spellEnd"/>
      <w:r w:rsidR="002C2BCB" w:rsidRPr="00273A3E">
        <w:rPr>
          <w:rFonts w:ascii="Times New Roman" w:hAnsi="Times New Roman"/>
          <w:lang w:val="lt-LT"/>
        </w:rPr>
        <w:t>;</w:t>
      </w:r>
      <w:r w:rsidRPr="00273A3E">
        <w:rPr>
          <w:rFonts w:ascii="Times New Roman" w:hAnsi="Times New Roman"/>
          <w:lang w:val="lt-LT"/>
        </w:rPr>
        <w:t xml:space="preserve"> PAL – </w:t>
      </w:r>
      <w:proofErr w:type="spellStart"/>
      <w:r w:rsidRPr="00273A3E">
        <w:rPr>
          <w:rFonts w:ascii="Times New Roman" w:hAnsi="Times New Roman"/>
          <w:lang w:val="lt-LT"/>
        </w:rPr>
        <w:t>palbociklibas</w:t>
      </w:r>
      <w:proofErr w:type="spellEnd"/>
      <w:r w:rsidR="002C2BCB" w:rsidRPr="00273A3E">
        <w:rPr>
          <w:rFonts w:ascii="Times New Roman" w:hAnsi="Times New Roman"/>
          <w:lang w:val="lt-LT"/>
        </w:rPr>
        <w:t>;</w:t>
      </w:r>
      <w:r w:rsidRPr="00273A3E">
        <w:rPr>
          <w:rFonts w:ascii="Times New Roman" w:hAnsi="Times New Roman"/>
          <w:lang w:val="lt-LT"/>
        </w:rPr>
        <w:t xml:space="preserve"> PCB – placebas</w:t>
      </w:r>
      <w:r w:rsidR="002C2BCB" w:rsidRPr="00273A3E">
        <w:rPr>
          <w:rFonts w:ascii="Times New Roman" w:hAnsi="Times New Roman"/>
          <w:lang w:val="lt-LT"/>
        </w:rPr>
        <w:t>.</w:t>
      </w:r>
    </w:p>
    <w:p w14:paraId="538E1BDC"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0DCFA52F"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Papildomi veiksmingumo rodikliai (OR ir TTR) </w:t>
      </w:r>
      <w:proofErr w:type="spellStart"/>
      <w:r w:rsidRPr="00273A3E">
        <w:rPr>
          <w:rFonts w:ascii="Times New Roman" w:hAnsi="Times New Roman"/>
          <w:lang w:val="lt-LT"/>
        </w:rPr>
        <w:t>visceralinių</w:t>
      </w:r>
      <w:proofErr w:type="spellEnd"/>
      <w:r w:rsidR="003D41FA"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astazių turėjusių ir neturėjusių</w:t>
      </w:r>
      <w:r w:rsidR="007F07DF" w:rsidRPr="00273A3E">
        <w:rPr>
          <w:rFonts w:ascii="Times New Roman" w:hAnsi="Times New Roman"/>
          <w:lang w:val="lt-LT"/>
        </w:rPr>
        <w:t xml:space="preserve"> </w:t>
      </w:r>
      <w:r w:rsidRPr="00273A3E">
        <w:rPr>
          <w:rFonts w:ascii="Times New Roman" w:hAnsi="Times New Roman"/>
          <w:lang w:val="lt-LT"/>
        </w:rPr>
        <w:t>pacienčių pogrupiuose pateikiami 6</w:t>
      </w:r>
      <w:r w:rsidR="00FF0074" w:rsidRPr="00273A3E">
        <w:rPr>
          <w:rFonts w:ascii="Times New Roman" w:hAnsi="Times New Roman"/>
          <w:lang w:val="lt-LT"/>
        </w:rPr>
        <w:t> lent</w:t>
      </w:r>
      <w:r w:rsidRPr="00273A3E">
        <w:rPr>
          <w:rFonts w:ascii="Times New Roman" w:hAnsi="Times New Roman"/>
          <w:lang w:val="lt-LT"/>
        </w:rPr>
        <w:t>elėje.</w:t>
      </w:r>
    </w:p>
    <w:p w14:paraId="7200C2E1"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22412488"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b/>
          <w:bCs/>
          <w:lang w:val="lt-LT"/>
        </w:rPr>
      </w:pPr>
      <w:r w:rsidRPr="00273A3E">
        <w:rPr>
          <w:rFonts w:ascii="Times New Roman" w:hAnsi="Times New Roman"/>
          <w:b/>
          <w:bCs/>
          <w:lang w:val="lt-LT"/>
        </w:rPr>
        <w:t>6</w:t>
      </w:r>
      <w:r w:rsidR="00FF0074" w:rsidRPr="00273A3E">
        <w:rPr>
          <w:rFonts w:ascii="Times New Roman" w:hAnsi="Times New Roman"/>
          <w:b/>
          <w:bCs/>
          <w:lang w:val="lt-LT"/>
        </w:rPr>
        <w:t> lent</w:t>
      </w:r>
      <w:r w:rsidRPr="00273A3E">
        <w:rPr>
          <w:rFonts w:ascii="Times New Roman" w:hAnsi="Times New Roman"/>
          <w:b/>
          <w:bCs/>
          <w:lang w:val="lt-LT"/>
        </w:rPr>
        <w:t>elė.</w:t>
      </w:r>
      <w:r w:rsidR="009678C6" w:rsidRPr="00273A3E">
        <w:rPr>
          <w:rFonts w:ascii="Times New Roman" w:hAnsi="Times New Roman"/>
          <w:b/>
          <w:bCs/>
          <w:lang w:val="lt-LT"/>
        </w:rPr>
        <w:tab/>
      </w:r>
      <w:r w:rsidRPr="00273A3E">
        <w:rPr>
          <w:rFonts w:ascii="Times New Roman" w:hAnsi="Times New Roman"/>
          <w:b/>
          <w:bCs/>
          <w:lang w:val="lt-LT"/>
        </w:rPr>
        <w:t xml:space="preserve">Veiksmingumo duomenys esant </w:t>
      </w:r>
      <w:proofErr w:type="spellStart"/>
      <w:r w:rsidRPr="00273A3E">
        <w:rPr>
          <w:rFonts w:ascii="Times New Roman" w:hAnsi="Times New Roman"/>
          <w:b/>
          <w:bCs/>
          <w:lang w:val="lt-LT"/>
        </w:rPr>
        <w:t>visceralinių</w:t>
      </w:r>
      <w:proofErr w:type="spellEnd"/>
      <w:r w:rsidRPr="00273A3E">
        <w:rPr>
          <w:rFonts w:ascii="Times New Roman" w:hAnsi="Times New Roman"/>
          <w:b/>
          <w:bCs/>
          <w:lang w:val="lt-LT"/>
        </w:rPr>
        <w:t xml:space="preserve"> ir nesant </w:t>
      </w:r>
      <w:proofErr w:type="spellStart"/>
      <w:r w:rsidRPr="00273A3E">
        <w:rPr>
          <w:rFonts w:ascii="Times New Roman" w:hAnsi="Times New Roman"/>
          <w:b/>
          <w:bCs/>
          <w:lang w:val="lt-LT"/>
        </w:rPr>
        <w:t>visceralinių</w:t>
      </w:r>
      <w:proofErr w:type="spellEnd"/>
      <w:r w:rsidR="00AB7B04" w:rsidRPr="00273A3E">
        <w:rPr>
          <w:rFonts w:ascii="Times New Roman" w:hAnsi="Times New Roman"/>
          <w:b/>
          <w:bCs/>
          <w:lang w:val="lt-LT"/>
        </w:rPr>
        <w:t xml:space="preserve"> </w:t>
      </w:r>
      <w:r w:rsidR="00FF0074" w:rsidRPr="00273A3E">
        <w:rPr>
          <w:rFonts w:ascii="Times New Roman" w:hAnsi="Times New Roman"/>
          <w:b/>
          <w:bCs/>
          <w:lang w:val="lt-LT"/>
        </w:rPr>
        <w:t>met</w:t>
      </w:r>
      <w:r w:rsidRPr="00273A3E">
        <w:rPr>
          <w:rFonts w:ascii="Times New Roman" w:hAnsi="Times New Roman"/>
          <w:b/>
          <w:bCs/>
          <w:lang w:val="lt-LT"/>
        </w:rPr>
        <w:t>astazių, gauti</w:t>
      </w:r>
      <w:r w:rsidR="007F07DF" w:rsidRPr="00273A3E">
        <w:rPr>
          <w:rFonts w:ascii="Times New Roman" w:hAnsi="Times New Roman"/>
          <w:b/>
          <w:bCs/>
          <w:lang w:val="lt-LT"/>
        </w:rPr>
        <w:t xml:space="preserve"> </w:t>
      </w:r>
      <w:r w:rsidRPr="00273A3E">
        <w:rPr>
          <w:rFonts w:ascii="Times New Roman" w:hAnsi="Times New Roman"/>
          <w:b/>
          <w:bCs/>
          <w:lang w:val="lt-LT"/>
        </w:rPr>
        <w:t>PALOMA-3 tyrimo</w:t>
      </w:r>
      <w:r w:rsidR="00AB7B04" w:rsidRPr="00273A3E">
        <w:rPr>
          <w:rFonts w:ascii="Times New Roman" w:hAnsi="Times New Roman"/>
          <w:b/>
          <w:bCs/>
          <w:lang w:val="lt-LT"/>
        </w:rPr>
        <w:t xml:space="preserve"> </w:t>
      </w:r>
      <w:r w:rsidR="00FF0074" w:rsidRPr="00273A3E">
        <w:rPr>
          <w:rFonts w:ascii="Times New Roman" w:hAnsi="Times New Roman"/>
          <w:b/>
          <w:bCs/>
          <w:lang w:val="lt-LT"/>
        </w:rPr>
        <w:t>met</w:t>
      </w:r>
      <w:r w:rsidRPr="00273A3E">
        <w:rPr>
          <w:rFonts w:ascii="Times New Roman" w:hAnsi="Times New Roman"/>
          <w:b/>
          <w:bCs/>
          <w:lang w:val="lt-LT"/>
        </w:rPr>
        <w:t>u (numatytai gydyti populiacijai)</w:t>
      </w:r>
    </w:p>
    <w:p w14:paraId="3823335F" w14:textId="77777777" w:rsidR="009678C6" w:rsidRPr="00273A3E" w:rsidRDefault="009678C6" w:rsidP="009F71ED">
      <w:pPr>
        <w:tabs>
          <w:tab w:val="left" w:pos="567"/>
        </w:tabs>
        <w:autoSpaceDE w:val="0"/>
        <w:autoSpaceDN w:val="0"/>
        <w:adjustRightInd w:val="0"/>
        <w:spacing w:after="0" w:line="240" w:lineRule="auto"/>
        <w:rPr>
          <w:rFonts w:ascii="Times New Roman" w:hAnsi="Times New Roman"/>
          <w:b/>
          <w:bCs/>
          <w:lang w:val="lt-LT"/>
        </w:rPr>
      </w:pPr>
    </w:p>
    <w:tbl>
      <w:tblPr>
        <w:tblW w:w="9107" w:type="dxa"/>
        <w:tblInd w:w="113" w:type="dxa"/>
        <w:tblLayout w:type="fixed"/>
        <w:tblCellMar>
          <w:left w:w="0" w:type="dxa"/>
          <w:right w:w="0" w:type="dxa"/>
        </w:tblCellMar>
        <w:tblLook w:val="01E0" w:firstRow="1" w:lastRow="1" w:firstColumn="1" w:lastColumn="1" w:noHBand="0" w:noVBand="0"/>
      </w:tblPr>
      <w:tblGrid>
        <w:gridCol w:w="2008"/>
        <w:gridCol w:w="1774"/>
        <w:gridCol w:w="1775"/>
        <w:gridCol w:w="6"/>
        <w:gridCol w:w="1769"/>
        <w:gridCol w:w="1775"/>
      </w:tblGrid>
      <w:tr w:rsidR="001E5C66" w:rsidRPr="00273A3E" w14:paraId="77B164DD" w14:textId="77777777" w:rsidTr="00AB7B04">
        <w:trPr>
          <w:trHeight w:hRule="exact" w:val="381"/>
        </w:trPr>
        <w:tc>
          <w:tcPr>
            <w:tcW w:w="2008" w:type="dxa"/>
            <w:tcBorders>
              <w:top w:val="single" w:sz="5" w:space="0" w:color="000000"/>
              <w:left w:val="single" w:sz="5" w:space="0" w:color="000000"/>
              <w:bottom w:val="single" w:sz="5" w:space="0" w:color="000000"/>
              <w:right w:val="single" w:sz="5" w:space="0" w:color="000000"/>
            </w:tcBorders>
          </w:tcPr>
          <w:p w14:paraId="3976A5AB" w14:textId="77777777" w:rsidR="001E5C66" w:rsidRPr="00273A3E" w:rsidRDefault="001E5C66" w:rsidP="009F71ED">
            <w:pPr>
              <w:tabs>
                <w:tab w:val="left" w:pos="567"/>
              </w:tabs>
              <w:spacing w:after="0" w:line="240" w:lineRule="auto"/>
              <w:rPr>
                <w:rFonts w:ascii="Times New Roman" w:hAnsi="Times New Roman"/>
                <w:lang w:val="lt-LT"/>
              </w:rPr>
            </w:pPr>
          </w:p>
        </w:tc>
        <w:tc>
          <w:tcPr>
            <w:tcW w:w="3555" w:type="dxa"/>
            <w:gridSpan w:val="3"/>
            <w:tcBorders>
              <w:top w:val="single" w:sz="5" w:space="0" w:color="000000"/>
              <w:left w:val="single" w:sz="5" w:space="0" w:color="000000"/>
              <w:bottom w:val="single" w:sz="5" w:space="0" w:color="000000"/>
              <w:right w:val="single" w:sz="5" w:space="0" w:color="000000"/>
            </w:tcBorders>
          </w:tcPr>
          <w:p w14:paraId="17BE6904"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b/>
                <w:spacing w:val="-1"/>
                <w:lang w:val="lt-LT"/>
              </w:rPr>
              <w:t xml:space="preserve">Su </w:t>
            </w:r>
            <w:proofErr w:type="spellStart"/>
            <w:r w:rsidRPr="00273A3E">
              <w:rPr>
                <w:rFonts w:ascii="Times New Roman" w:hAnsi="Times New Roman"/>
                <w:b/>
                <w:spacing w:val="-1"/>
                <w:lang w:val="lt-LT"/>
              </w:rPr>
              <w:t>visceralin</w:t>
            </w:r>
            <w:r w:rsidR="006C2076" w:rsidRPr="00273A3E">
              <w:rPr>
                <w:rFonts w:ascii="Times New Roman" w:hAnsi="Times New Roman"/>
                <w:b/>
                <w:spacing w:val="-1"/>
                <w:lang w:val="lt-LT"/>
              </w:rPr>
              <w:t>ėmis</w:t>
            </w:r>
            <w:proofErr w:type="spellEnd"/>
            <w:r w:rsidR="00ED2042" w:rsidRPr="00273A3E">
              <w:rPr>
                <w:rFonts w:ascii="Times New Roman" w:hAnsi="Times New Roman"/>
                <w:b/>
                <w:spacing w:val="-1"/>
                <w:lang w:val="lt-LT"/>
              </w:rPr>
              <w:t xml:space="preserve"> </w:t>
            </w:r>
            <w:r w:rsidR="00FF0074" w:rsidRPr="00273A3E">
              <w:rPr>
                <w:rFonts w:ascii="Times New Roman" w:hAnsi="Times New Roman"/>
                <w:b/>
                <w:spacing w:val="-1"/>
                <w:lang w:val="lt-LT"/>
              </w:rPr>
              <w:t>met</w:t>
            </w:r>
            <w:r w:rsidRPr="00273A3E">
              <w:rPr>
                <w:rFonts w:ascii="Times New Roman" w:hAnsi="Times New Roman"/>
                <w:b/>
                <w:spacing w:val="-1"/>
                <w:lang w:val="lt-LT"/>
              </w:rPr>
              <w:t>astazėmis</w:t>
            </w:r>
          </w:p>
        </w:tc>
        <w:tc>
          <w:tcPr>
            <w:tcW w:w="3544" w:type="dxa"/>
            <w:gridSpan w:val="2"/>
            <w:tcBorders>
              <w:top w:val="single" w:sz="5" w:space="0" w:color="000000"/>
              <w:left w:val="single" w:sz="5" w:space="0" w:color="000000"/>
              <w:bottom w:val="single" w:sz="5" w:space="0" w:color="000000"/>
              <w:right w:val="single" w:sz="5" w:space="0" w:color="000000"/>
            </w:tcBorders>
          </w:tcPr>
          <w:p w14:paraId="7ECF7466" w14:textId="77777777" w:rsidR="001E5C66" w:rsidRPr="00273A3E" w:rsidRDefault="006C207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b/>
                <w:spacing w:val="-2"/>
                <w:lang w:val="lt-LT"/>
              </w:rPr>
              <w:t>Be</w:t>
            </w:r>
            <w:r w:rsidR="001E5C66" w:rsidRPr="00273A3E">
              <w:rPr>
                <w:rFonts w:ascii="Times New Roman" w:hAnsi="Times New Roman"/>
                <w:b/>
                <w:spacing w:val="-2"/>
                <w:lang w:val="lt-LT"/>
              </w:rPr>
              <w:t xml:space="preserve"> </w:t>
            </w:r>
            <w:proofErr w:type="spellStart"/>
            <w:r w:rsidR="001E5C66" w:rsidRPr="00273A3E">
              <w:rPr>
                <w:rFonts w:ascii="Times New Roman" w:hAnsi="Times New Roman"/>
                <w:b/>
                <w:spacing w:val="-2"/>
                <w:lang w:val="lt-LT"/>
              </w:rPr>
              <w:t>visceralin</w:t>
            </w:r>
            <w:r w:rsidRPr="00273A3E">
              <w:rPr>
                <w:rFonts w:ascii="Times New Roman" w:hAnsi="Times New Roman"/>
                <w:b/>
                <w:spacing w:val="-2"/>
                <w:lang w:val="lt-LT"/>
              </w:rPr>
              <w:t>ių</w:t>
            </w:r>
            <w:proofErr w:type="spellEnd"/>
            <w:r w:rsidR="00ED2042" w:rsidRPr="00273A3E">
              <w:rPr>
                <w:rFonts w:ascii="Times New Roman" w:hAnsi="Times New Roman"/>
                <w:b/>
                <w:spacing w:val="-2"/>
                <w:lang w:val="lt-LT"/>
              </w:rPr>
              <w:t xml:space="preserve"> </w:t>
            </w:r>
            <w:r w:rsidR="00FF0074" w:rsidRPr="00273A3E">
              <w:rPr>
                <w:rFonts w:ascii="Times New Roman" w:hAnsi="Times New Roman"/>
                <w:b/>
                <w:spacing w:val="-2"/>
                <w:lang w:val="lt-LT"/>
              </w:rPr>
              <w:t>met</w:t>
            </w:r>
            <w:r w:rsidR="001E5C66" w:rsidRPr="00273A3E">
              <w:rPr>
                <w:rFonts w:ascii="Times New Roman" w:hAnsi="Times New Roman"/>
                <w:b/>
                <w:spacing w:val="-2"/>
                <w:lang w:val="lt-LT"/>
              </w:rPr>
              <w:t>astaz</w:t>
            </w:r>
            <w:r w:rsidRPr="00273A3E">
              <w:rPr>
                <w:rFonts w:ascii="Times New Roman" w:hAnsi="Times New Roman"/>
                <w:b/>
                <w:spacing w:val="-2"/>
                <w:lang w:val="lt-LT"/>
              </w:rPr>
              <w:t>ių</w:t>
            </w:r>
          </w:p>
        </w:tc>
      </w:tr>
      <w:tr w:rsidR="001E5C66" w:rsidRPr="00273A3E" w14:paraId="597B6C9C" w14:textId="77777777" w:rsidTr="00AB3089">
        <w:trPr>
          <w:trHeight w:hRule="exact" w:val="793"/>
        </w:trPr>
        <w:tc>
          <w:tcPr>
            <w:tcW w:w="2008" w:type="dxa"/>
            <w:tcBorders>
              <w:top w:val="single" w:sz="5" w:space="0" w:color="000000"/>
              <w:left w:val="single" w:sz="5" w:space="0" w:color="000000"/>
              <w:bottom w:val="single" w:sz="5" w:space="0" w:color="000000"/>
              <w:right w:val="single" w:sz="5" w:space="0" w:color="000000"/>
            </w:tcBorders>
          </w:tcPr>
          <w:p w14:paraId="6B775D35" w14:textId="77777777" w:rsidR="001E5C66" w:rsidRPr="00273A3E" w:rsidRDefault="001E5C66" w:rsidP="009F71ED">
            <w:pPr>
              <w:tabs>
                <w:tab w:val="left" w:pos="567"/>
              </w:tabs>
              <w:spacing w:after="0" w:line="240" w:lineRule="auto"/>
              <w:rPr>
                <w:rFonts w:ascii="Times New Roman" w:hAnsi="Times New Roman"/>
                <w:lang w:val="lt-LT"/>
              </w:rPr>
            </w:pPr>
          </w:p>
        </w:tc>
        <w:tc>
          <w:tcPr>
            <w:tcW w:w="1774" w:type="dxa"/>
            <w:tcBorders>
              <w:top w:val="single" w:sz="5" w:space="0" w:color="000000"/>
              <w:left w:val="single" w:sz="5" w:space="0" w:color="000000"/>
              <w:bottom w:val="single" w:sz="5" w:space="0" w:color="000000"/>
              <w:right w:val="single" w:sz="5" w:space="0" w:color="000000"/>
            </w:tcBorders>
          </w:tcPr>
          <w:p w14:paraId="5D3F9BE2"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proofErr w:type="spellStart"/>
            <w:r w:rsidRPr="00273A3E">
              <w:rPr>
                <w:rFonts w:ascii="Times New Roman" w:hAnsi="Times New Roman"/>
                <w:b/>
                <w:spacing w:val="-1"/>
                <w:lang w:val="lt-LT"/>
              </w:rPr>
              <w:t>Fulvestranto</w:t>
            </w:r>
            <w:proofErr w:type="spellEnd"/>
            <w:r w:rsidRPr="00273A3E">
              <w:rPr>
                <w:rFonts w:ascii="Times New Roman" w:hAnsi="Times New Roman"/>
                <w:b/>
                <w:spacing w:val="-1"/>
                <w:lang w:val="lt-LT"/>
              </w:rPr>
              <w:t xml:space="preserve"> ir </w:t>
            </w:r>
            <w:proofErr w:type="spellStart"/>
            <w:r w:rsidRPr="00273A3E">
              <w:rPr>
                <w:rFonts w:ascii="Times New Roman" w:hAnsi="Times New Roman"/>
                <w:b/>
                <w:spacing w:val="-1"/>
                <w:lang w:val="lt-LT"/>
              </w:rPr>
              <w:t>palbociklibo</w:t>
            </w:r>
            <w:proofErr w:type="spellEnd"/>
            <w:r w:rsidRPr="00273A3E">
              <w:rPr>
                <w:rFonts w:ascii="Times New Roman" w:hAnsi="Times New Roman"/>
                <w:b/>
                <w:spacing w:val="-1"/>
                <w:lang w:val="lt-LT"/>
              </w:rPr>
              <w:t xml:space="preserve"> derinys (N</w:t>
            </w:r>
            <w:r w:rsidR="007F07DF" w:rsidRPr="00273A3E">
              <w:rPr>
                <w:rFonts w:ascii="Times New Roman" w:hAnsi="Times New Roman"/>
                <w:b/>
                <w:spacing w:val="-1"/>
                <w:lang w:val="lt-LT"/>
              </w:rPr>
              <w:t> </w:t>
            </w:r>
            <w:r w:rsidRPr="00273A3E">
              <w:rPr>
                <w:rFonts w:ascii="Times New Roman" w:hAnsi="Times New Roman"/>
                <w:b/>
                <w:spacing w:val="-1"/>
                <w:lang w:val="lt-LT"/>
              </w:rPr>
              <w:t>=</w:t>
            </w:r>
            <w:r w:rsidR="007F07DF" w:rsidRPr="00273A3E">
              <w:rPr>
                <w:rFonts w:ascii="Times New Roman" w:hAnsi="Times New Roman"/>
                <w:b/>
                <w:spacing w:val="-1"/>
                <w:lang w:val="lt-LT"/>
              </w:rPr>
              <w:t> </w:t>
            </w:r>
            <w:r w:rsidRPr="00273A3E">
              <w:rPr>
                <w:rFonts w:ascii="Times New Roman" w:hAnsi="Times New Roman"/>
                <w:b/>
                <w:spacing w:val="-1"/>
                <w:lang w:val="lt-LT"/>
              </w:rPr>
              <w:t>206)</w:t>
            </w:r>
          </w:p>
        </w:tc>
        <w:tc>
          <w:tcPr>
            <w:tcW w:w="1775" w:type="dxa"/>
            <w:tcBorders>
              <w:top w:val="single" w:sz="5" w:space="0" w:color="000000"/>
              <w:left w:val="single" w:sz="5" w:space="0" w:color="000000"/>
              <w:bottom w:val="single" w:sz="5" w:space="0" w:color="000000"/>
              <w:right w:val="single" w:sz="5" w:space="0" w:color="000000"/>
            </w:tcBorders>
          </w:tcPr>
          <w:p w14:paraId="6C4C2103"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proofErr w:type="spellStart"/>
            <w:r w:rsidRPr="00273A3E">
              <w:rPr>
                <w:rFonts w:ascii="Times New Roman" w:hAnsi="Times New Roman"/>
                <w:b/>
                <w:spacing w:val="-1"/>
                <w:lang w:val="lt-LT"/>
              </w:rPr>
              <w:t>Fulvestranto</w:t>
            </w:r>
            <w:proofErr w:type="spellEnd"/>
            <w:r w:rsidRPr="00273A3E">
              <w:rPr>
                <w:rFonts w:ascii="Times New Roman" w:hAnsi="Times New Roman"/>
                <w:b/>
                <w:spacing w:val="-1"/>
                <w:lang w:val="lt-LT"/>
              </w:rPr>
              <w:t xml:space="preserve"> ir </w:t>
            </w:r>
            <w:r w:rsidR="0003245B" w:rsidRPr="00273A3E">
              <w:rPr>
                <w:rFonts w:ascii="Times New Roman" w:hAnsi="Times New Roman"/>
                <w:b/>
                <w:spacing w:val="-1"/>
                <w:lang w:val="lt-LT"/>
              </w:rPr>
              <w:t xml:space="preserve">placebo </w:t>
            </w:r>
            <w:r w:rsidRPr="00273A3E">
              <w:rPr>
                <w:rFonts w:ascii="Times New Roman" w:hAnsi="Times New Roman"/>
                <w:b/>
                <w:spacing w:val="-1"/>
                <w:lang w:val="lt-LT"/>
              </w:rPr>
              <w:t>derinys (N</w:t>
            </w:r>
            <w:r w:rsidR="007F07DF" w:rsidRPr="00273A3E">
              <w:rPr>
                <w:rFonts w:ascii="Times New Roman" w:hAnsi="Times New Roman"/>
                <w:b/>
                <w:spacing w:val="-1"/>
                <w:lang w:val="lt-LT"/>
              </w:rPr>
              <w:t> </w:t>
            </w:r>
            <w:r w:rsidRPr="00273A3E">
              <w:rPr>
                <w:rFonts w:ascii="Times New Roman" w:hAnsi="Times New Roman"/>
                <w:b/>
                <w:spacing w:val="-1"/>
                <w:lang w:val="lt-LT"/>
              </w:rPr>
              <w:t>=</w:t>
            </w:r>
            <w:r w:rsidR="007F07DF" w:rsidRPr="00273A3E">
              <w:rPr>
                <w:rFonts w:ascii="Times New Roman" w:hAnsi="Times New Roman"/>
                <w:b/>
                <w:spacing w:val="-1"/>
                <w:lang w:val="lt-LT"/>
              </w:rPr>
              <w:t> </w:t>
            </w:r>
            <w:r w:rsidRPr="00273A3E">
              <w:rPr>
                <w:rFonts w:ascii="Times New Roman" w:hAnsi="Times New Roman"/>
                <w:b/>
                <w:spacing w:val="-1"/>
                <w:lang w:val="lt-LT"/>
              </w:rPr>
              <w:t>105)</w:t>
            </w:r>
          </w:p>
        </w:tc>
        <w:tc>
          <w:tcPr>
            <w:tcW w:w="1775" w:type="dxa"/>
            <w:gridSpan w:val="2"/>
            <w:tcBorders>
              <w:top w:val="single" w:sz="5" w:space="0" w:color="000000"/>
              <w:left w:val="single" w:sz="5" w:space="0" w:color="000000"/>
              <w:bottom w:val="single" w:sz="5" w:space="0" w:color="000000"/>
              <w:right w:val="single" w:sz="5" w:space="0" w:color="000000"/>
            </w:tcBorders>
          </w:tcPr>
          <w:p w14:paraId="3F9B7038" w14:textId="77777777" w:rsidR="001E5C66" w:rsidRPr="00273A3E" w:rsidRDefault="001E5C66" w:rsidP="009F71ED">
            <w:pPr>
              <w:widowControl w:val="0"/>
              <w:tabs>
                <w:tab w:val="left" w:pos="567"/>
              </w:tabs>
              <w:spacing w:after="0" w:line="240" w:lineRule="auto"/>
              <w:jc w:val="center"/>
              <w:rPr>
                <w:rFonts w:ascii="Times New Roman" w:hAnsi="Times New Roman"/>
                <w:b/>
                <w:lang w:val="lt-LT"/>
              </w:rPr>
            </w:pPr>
            <w:proofErr w:type="spellStart"/>
            <w:r w:rsidRPr="00273A3E">
              <w:rPr>
                <w:rFonts w:ascii="Times New Roman" w:hAnsi="Times New Roman"/>
                <w:b/>
                <w:lang w:val="lt-LT"/>
              </w:rPr>
              <w:t>Fulvestranto</w:t>
            </w:r>
            <w:proofErr w:type="spellEnd"/>
            <w:r w:rsidRPr="00273A3E">
              <w:rPr>
                <w:rFonts w:ascii="Times New Roman" w:hAnsi="Times New Roman"/>
                <w:b/>
                <w:lang w:val="lt-LT"/>
              </w:rPr>
              <w:t xml:space="preserve"> ir </w:t>
            </w:r>
            <w:proofErr w:type="spellStart"/>
            <w:r w:rsidRPr="00273A3E">
              <w:rPr>
                <w:rFonts w:ascii="Times New Roman" w:hAnsi="Times New Roman"/>
                <w:b/>
                <w:lang w:val="lt-LT"/>
              </w:rPr>
              <w:t>palbociklibo</w:t>
            </w:r>
            <w:proofErr w:type="spellEnd"/>
            <w:r w:rsidRPr="00273A3E">
              <w:rPr>
                <w:rFonts w:ascii="Times New Roman" w:hAnsi="Times New Roman"/>
                <w:b/>
                <w:lang w:val="lt-LT"/>
              </w:rPr>
              <w:t xml:space="preserve"> derinys (N</w:t>
            </w:r>
            <w:r w:rsidR="007F07DF" w:rsidRPr="00273A3E">
              <w:rPr>
                <w:rFonts w:ascii="Times New Roman" w:hAnsi="Times New Roman"/>
                <w:b/>
                <w:lang w:val="lt-LT"/>
              </w:rPr>
              <w:t> </w:t>
            </w:r>
            <w:r w:rsidRPr="00273A3E">
              <w:rPr>
                <w:rFonts w:ascii="Times New Roman" w:hAnsi="Times New Roman"/>
                <w:b/>
                <w:lang w:val="lt-LT"/>
              </w:rPr>
              <w:t>=</w:t>
            </w:r>
            <w:r w:rsidR="007F07DF" w:rsidRPr="00273A3E">
              <w:rPr>
                <w:rFonts w:ascii="Times New Roman" w:hAnsi="Times New Roman"/>
                <w:b/>
                <w:lang w:val="lt-LT"/>
              </w:rPr>
              <w:t> </w:t>
            </w:r>
            <w:r w:rsidRPr="00273A3E">
              <w:rPr>
                <w:rFonts w:ascii="Times New Roman" w:hAnsi="Times New Roman"/>
                <w:b/>
                <w:lang w:val="lt-LT"/>
              </w:rPr>
              <w:t>141)</w:t>
            </w:r>
          </w:p>
        </w:tc>
        <w:tc>
          <w:tcPr>
            <w:tcW w:w="1775" w:type="dxa"/>
            <w:tcBorders>
              <w:top w:val="single" w:sz="5" w:space="0" w:color="000000"/>
              <w:left w:val="single" w:sz="5" w:space="0" w:color="000000"/>
              <w:bottom w:val="single" w:sz="5" w:space="0" w:color="000000"/>
              <w:right w:val="single" w:sz="5" w:space="0" w:color="000000"/>
            </w:tcBorders>
          </w:tcPr>
          <w:p w14:paraId="492CDF32" w14:textId="77777777" w:rsidR="001E5C66" w:rsidRPr="00273A3E" w:rsidRDefault="001E5C66" w:rsidP="009F71ED">
            <w:pPr>
              <w:widowControl w:val="0"/>
              <w:tabs>
                <w:tab w:val="left" w:pos="567"/>
              </w:tabs>
              <w:spacing w:after="0" w:line="240" w:lineRule="auto"/>
              <w:jc w:val="center"/>
              <w:rPr>
                <w:rFonts w:ascii="Times New Roman" w:hAnsi="Times New Roman"/>
                <w:b/>
                <w:lang w:val="lt-LT"/>
              </w:rPr>
            </w:pPr>
            <w:proofErr w:type="spellStart"/>
            <w:r w:rsidRPr="00273A3E">
              <w:rPr>
                <w:rFonts w:ascii="Times New Roman" w:hAnsi="Times New Roman"/>
                <w:b/>
                <w:lang w:val="lt-LT"/>
              </w:rPr>
              <w:t>Fulvestranto</w:t>
            </w:r>
            <w:proofErr w:type="spellEnd"/>
            <w:r w:rsidRPr="00273A3E">
              <w:rPr>
                <w:rFonts w:ascii="Times New Roman" w:hAnsi="Times New Roman"/>
                <w:b/>
                <w:lang w:val="lt-LT"/>
              </w:rPr>
              <w:t xml:space="preserve"> ir </w:t>
            </w:r>
            <w:r w:rsidR="0003245B" w:rsidRPr="00273A3E">
              <w:rPr>
                <w:rFonts w:ascii="Times New Roman" w:hAnsi="Times New Roman"/>
                <w:b/>
                <w:lang w:val="lt-LT"/>
              </w:rPr>
              <w:t xml:space="preserve">placebo </w:t>
            </w:r>
            <w:r w:rsidRPr="00273A3E">
              <w:rPr>
                <w:rFonts w:ascii="Times New Roman" w:hAnsi="Times New Roman"/>
                <w:b/>
                <w:lang w:val="lt-LT"/>
              </w:rPr>
              <w:t>derinys (N</w:t>
            </w:r>
            <w:r w:rsidR="007F07DF" w:rsidRPr="00273A3E">
              <w:rPr>
                <w:rFonts w:ascii="Times New Roman" w:hAnsi="Times New Roman"/>
                <w:b/>
                <w:lang w:val="lt-LT"/>
              </w:rPr>
              <w:t> </w:t>
            </w:r>
            <w:r w:rsidRPr="00273A3E">
              <w:rPr>
                <w:rFonts w:ascii="Times New Roman" w:hAnsi="Times New Roman"/>
                <w:b/>
                <w:lang w:val="lt-LT"/>
              </w:rPr>
              <w:t>=</w:t>
            </w:r>
            <w:r w:rsidR="007F07DF" w:rsidRPr="00273A3E">
              <w:rPr>
                <w:rFonts w:ascii="Times New Roman" w:hAnsi="Times New Roman"/>
                <w:b/>
                <w:lang w:val="lt-LT"/>
              </w:rPr>
              <w:t> </w:t>
            </w:r>
            <w:r w:rsidRPr="00273A3E">
              <w:rPr>
                <w:rFonts w:ascii="Times New Roman" w:hAnsi="Times New Roman"/>
                <w:b/>
                <w:lang w:val="lt-LT"/>
              </w:rPr>
              <w:t>69)</w:t>
            </w:r>
          </w:p>
        </w:tc>
      </w:tr>
      <w:tr w:rsidR="001E5C66" w:rsidRPr="00273A3E" w14:paraId="32611FA4" w14:textId="77777777" w:rsidTr="00AB7B04">
        <w:trPr>
          <w:trHeight w:hRule="exact" w:val="264"/>
        </w:trPr>
        <w:tc>
          <w:tcPr>
            <w:tcW w:w="2008" w:type="dxa"/>
            <w:vMerge w:val="restart"/>
            <w:tcBorders>
              <w:top w:val="single" w:sz="5" w:space="0" w:color="000000"/>
              <w:left w:val="single" w:sz="5" w:space="0" w:color="000000"/>
              <w:right w:val="single" w:sz="5" w:space="0" w:color="000000"/>
            </w:tcBorders>
          </w:tcPr>
          <w:p w14:paraId="6F0288A4" w14:textId="77777777" w:rsidR="001E5C66" w:rsidRPr="00273A3E" w:rsidRDefault="001E5C66" w:rsidP="009F71ED">
            <w:pPr>
              <w:widowControl w:val="0"/>
              <w:tabs>
                <w:tab w:val="left" w:pos="567"/>
              </w:tabs>
              <w:spacing w:after="0" w:line="240" w:lineRule="auto"/>
              <w:rPr>
                <w:rFonts w:ascii="Times New Roman" w:hAnsi="Times New Roman"/>
                <w:lang w:val="lt-LT"/>
              </w:rPr>
            </w:pPr>
            <w:r w:rsidRPr="00273A3E">
              <w:rPr>
                <w:rFonts w:ascii="Times New Roman" w:hAnsi="Times New Roman"/>
                <w:b/>
                <w:spacing w:val="-1"/>
                <w:lang w:val="lt-LT"/>
              </w:rPr>
              <w:t>OR [% (95 % PI)]</w:t>
            </w:r>
          </w:p>
        </w:tc>
        <w:tc>
          <w:tcPr>
            <w:tcW w:w="1774" w:type="dxa"/>
            <w:tcBorders>
              <w:top w:val="single" w:sz="5" w:space="0" w:color="000000"/>
              <w:left w:val="single" w:sz="5" w:space="0" w:color="000000"/>
              <w:bottom w:val="nil"/>
              <w:right w:val="single" w:sz="5" w:space="0" w:color="000000"/>
            </w:tcBorders>
          </w:tcPr>
          <w:p w14:paraId="4F40F1F7"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35,0</w:t>
            </w:r>
          </w:p>
        </w:tc>
        <w:tc>
          <w:tcPr>
            <w:tcW w:w="1775" w:type="dxa"/>
            <w:tcBorders>
              <w:top w:val="single" w:sz="5" w:space="0" w:color="000000"/>
              <w:left w:val="single" w:sz="5" w:space="0" w:color="000000"/>
              <w:bottom w:val="nil"/>
              <w:right w:val="single" w:sz="5" w:space="0" w:color="000000"/>
            </w:tcBorders>
          </w:tcPr>
          <w:p w14:paraId="098F6A46"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13,3</w:t>
            </w:r>
          </w:p>
        </w:tc>
        <w:tc>
          <w:tcPr>
            <w:tcW w:w="1775" w:type="dxa"/>
            <w:gridSpan w:val="2"/>
            <w:tcBorders>
              <w:top w:val="single" w:sz="5" w:space="0" w:color="000000"/>
              <w:left w:val="single" w:sz="5" w:space="0" w:color="000000"/>
              <w:bottom w:val="nil"/>
              <w:right w:val="single" w:sz="5" w:space="0" w:color="000000"/>
            </w:tcBorders>
          </w:tcPr>
          <w:p w14:paraId="5DECB53A"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13,5</w:t>
            </w:r>
          </w:p>
        </w:tc>
        <w:tc>
          <w:tcPr>
            <w:tcW w:w="1775" w:type="dxa"/>
            <w:tcBorders>
              <w:top w:val="single" w:sz="5" w:space="0" w:color="000000"/>
              <w:left w:val="single" w:sz="5" w:space="0" w:color="000000"/>
              <w:bottom w:val="nil"/>
              <w:right w:val="single" w:sz="5" w:space="0" w:color="000000"/>
            </w:tcBorders>
          </w:tcPr>
          <w:p w14:paraId="5CF15BF1"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14,5</w:t>
            </w:r>
          </w:p>
        </w:tc>
      </w:tr>
      <w:tr w:rsidR="001E5C66" w:rsidRPr="00273A3E" w14:paraId="74C2DC0F" w14:textId="77777777" w:rsidTr="00AB7B04">
        <w:trPr>
          <w:trHeight w:hRule="exact" w:val="250"/>
        </w:trPr>
        <w:tc>
          <w:tcPr>
            <w:tcW w:w="2008" w:type="dxa"/>
            <w:vMerge/>
            <w:tcBorders>
              <w:left w:val="single" w:sz="5" w:space="0" w:color="000000"/>
              <w:bottom w:val="single" w:sz="5" w:space="0" w:color="000000"/>
              <w:right w:val="single" w:sz="5" w:space="0" w:color="000000"/>
            </w:tcBorders>
          </w:tcPr>
          <w:p w14:paraId="5307B06B" w14:textId="77777777" w:rsidR="001E5C66" w:rsidRPr="00273A3E" w:rsidRDefault="001E5C66" w:rsidP="009F71ED">
            <w:pPr>
              <w:tabs>
                <w:tab w:val="left" w:pos="567"/>
              </w:tabs>
              <w:spacing w:after="0" w:line="240" w:lineRule="auto"/>
              <w:rPr>
                <w:rFonts w:ascii="Times New Roman" w:hAnsi="Times New Roman"/>
                <w:lang w:val="lt-LT"/>
              </w:rPr>
            </w:pPr>
          </w:p>
        </w:tc>
        <w:tc>
          <w:tcPr>
            <w:tcW w:w="1774" w:type="dxa"/>
            <w:tcBorders>
              <w:top w:val="nil"/>
              <w:left w:val="single" w:sz="5" w:space="0" w:color="000000"/>
              <w:bottom w:val="single" w:sz="5" w:space="0" w:color="000000"/>
              <w:right w:val="single" w:sz="5" w:space="0" w:color="000000"/>
            </w:tcBorders>
          </w:tcPr>
          <w:p w14:paraId="6907CA8A"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(28,5; 41,9)</w:t>
            </w:r>
          </w:p>
        </w:tc>
        <w:tc>
          <w:tcPr>
            <w:tcW w:w="1775" w:type="dxa"/>
            <w:tcBorders>
              <w:top w:val="nil"/>
              <w:left w:val="single" w:sz="5" w:space="0" w:color="000000"/>
              <w:bottom w:val="single" w:sz="5" w:space="0" w:color="000000"/>
              <w:right w:val="single" w:sz="5" w:space="0" w:color="000000"/>
            </w:tcBorders>
          </w:tcPr>
          <w:p w14:paraId="6AF20FE2"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(7,5; 21,4)</w:t>
            </w:r>
          </w:p>
        </w:tc>
        <w:tc>
          <w:tcPr>
            <w:tcW w:w="1775" w:type="dxa"/>
            <w:gridSpan w:val="2"/>
            <w:tcBorders>
              <w:top w:val="nil"/>
              <w:left w:val="single" w:sz="5" w:space="0" w:color="000000"/>
              <w:bottom w:val="single" w:sz="5" w:space="0" w:color="000000"/>
              <w:right w:val="single" w:sz="5" w:space="0" w:color="000000"/>
            </w:tcBorders>
          </w:tcPr>
          <w:p w14:paraId="635845B0"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(8,3; 20,2)</w:t>
            </w:r>
          </w:p>
        </w:tc>
        <w:tc>
          <w:tcPr>
            <w:tcW w:w="1775" w:type="dxa"/>
            <w:tcBorders>
              <w:top w:val="nil"/>
              <w:left w:val="single" w:sz="5" w:space="0" w:color="000000"/>
              <w:bottom w:val="single" w:sz="5" w:space="0" w:color="000000"/>
              <w:right w:val="single" w:sz="5" w:space="0" w:color="000000"/>
            </w:tcBorders>
          </w:tcPr>
          <w:p w14:paraId="4C76630E" w14:textId="77777777" w:rsidR="001E5C66" w:rsidRPr="00273A3E" w:rsidRDefault="001E5C66"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(7,2; 25,0)</w:t>
            </w:r>
          </w:p>
        </w:tc>
      </w:tr>
      <w:tr w:rsidR="001E3FCA" w:rsidRPr="00273A3E" w14:paraId="10538439" w14:textId="77777777" w:rsidTr="00375C68">
        <w:trPr>
          <w:trHeight w:hRule="exact" w:val="281"/>
        </w:trPr>
        <w:tc>
          <w:tcPr>
            <w:tcW w:w="2008" w:type="dxa"/>
            <w:vMerge w:val="restart"/>
            <w:tcBorders>
              <w:top w:val="single" w:sz="5" w:space="0" w:color="000000"/>
              <w:left w:val="single" w:sz="5" w:space="0" w:color="000000"/>
              <w:right w:val="single" w:sz="5" w:space="0" w:color="000000"/>
            </w:tcBorders>
          </w:tcPr>
          <w:p w14:paraId="728132B1" w14:textId="77777777" w:rsidR="001E3FCA" w:rsidRPr="00273A3E" w:rsidRDefault="001E3FCA" w:rsidP="009F71ED">
            <w:pPr>
              <w:widowControl w:val="0"/>
              <w:tabs>
                <w:tab w:val="left" w:pos="567"/>
              </w:tabs>
              <w:spacing w:after="0" w:line="240" w:lineRule="auto"/>
              <w:rPr>
                <w:rFonts w:ascii="Times New Roman" w:hAnsi="Times New Roman"/>
                <w:lang w:val="lt-LT"/>
              </w:rPr>
            </w:pPr>
            <w:r w:rsidRPr="00273A3E">
              <w:rPr>
                <w:rFonts w:ascii="Times New Roman" w:hAnsi="Times New Roman"/>
                <w:b/>
                <w:spacing w:val="-1"/>
                <w:lang w:val="lt-LT"/>
              </w:rPr>
              <w:t>TTR*,</w:t>
            </w:r>
            <w:r w:rsidRPr="00273A3E">
              <w:rPr>
                <w:rFonts w:ascii="Times New Roman" w:hAnsi="Times New Roman"/>
                <w:b/>
                <w:spacing w:val="-3"/>
                <w:lang w:val="lt-LT"/>
              </w:rPr>
              <w:t xml:space="preserve"> </w:t>
            </w:r>
            <w:r w:rsidRPr="00273A3E">
              <w:rPr>
                <w:rFonts w:ascii="Times New Roman" w:hAnsi="Times New Roman"/>
                <w:b/>
                <w:spacing w:val="-2"/>
                <w:lang w:val="lt-LT"/>
              </w:rPr>
              <w:t>mediana</w:t>
            </w:r>
          </w:p>
          <w:p w14:paraId="6182AB42" w14:textId="77777777" w:rsidR="001E3FCA" w:rsidRPr="00273A3E" w:rsidRDefault="001E3FCA" w:rsidP="009F71ED">
            <w:pPr>
              <w:widowControl w:val="0"/>
              <w:tabs>
                <w:tab w:val="left" w:pos="567"/>
              </w:tabs>
              <w:spacing w:after="0" w:line="240" w:lineRule="auto"/>
              <w:rPr>
                <w:rFonts w:ascii="Times New Roman" w:hAnsi="Times New Roman"/>
                <w:lang w:val="lt-LT"/>
              </w:rPr>
            </w:pPr>
            <w:r w:rsidRPr="00273A3E">
              <w:rPr>
                <w:rFonts w:ascii="Times New Roman" w:hAnsi="Times New Roman"/>
                <w:b/>
                <w:spacing w:val="-2"/>
                <w:lang w:val="lt-LT"/>
              </w:rPr>
              <w:t>ir diapazonas (mėn.)</w:t>
            </w:r>
          </w:p>
        </w:tc>
        <w:tc>
          <w:tcPr>
            <w:tcW w:w="1774" w:type="dxa"/>
            <w:tcBorders>
              <w:top w:val="single" w:sz="5" w:space="0" w:color="000000"/>
              <w:left w:val="single" w:sz="5" w:space="0" w:color="000000"/>
              <w:bottom w:val="nil"/>
              <w:right w:val="single" w:sz="5" w:space="0" w:color="000000"/>
            </w:tcBorders>
          </w:tcPr>
          <w:p w14:paraId="6CF0DFA9" w14:textId="77777777" w:rsidR="001E3FCA" w:rsidRPr="00273A3E" w:rsidRDefault="001E3FCA"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3,8</w:t>
            </w:r>
          </w:p>
        </w:tc>
        <w:tc>
          <w:tcPr>
            <w:tcW w:w="1775" w:type="dxa"/>
            <w:tcBorders>
              <w:top w:val="single" w:sz="5" w:space="0" w:color="000000"/>
              <w:left w:val="single" w:sz="5" w:space="0" w:color="000000"/>
              <w:bottom w:val="nil"/>
              <w:right w:val="single" w:sz="5" w:space="0" w:color="000000"/>
            </w:tcBorders>
          </w:tcPr>
          <w:p w14:paraId="6FC14AAE" w14:textId="77777777" w:rsidR="001E3FCA" w:rsidRPr="00273A3E" w:rsidRDefault="001E3FCA"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5,4</w:t>
            </w:r>
          </w:p>
        </w:tc>
        <w:tc>
          <w:tcPr>
            <w:tcW w:w="1775" w:type="dxa"/>
            <w:gridSpan w:val="2"/>
            <w:tcBorders>
              <w:top w:val="single" w:sz="5" w:space="0" w:color="000000"/>
              <w:left w:val="single" w:sz="5" w:space="0" w:color="000000"/>
              <w:bottom w:val="nil"/>
              <w:right w:val="single" w:sz="5" w:space="0" w:color="000000"/>
            </w:tcBorders>
          </w:tcPr>
          <w:p w14:paraId="655AF1D1" w14:textId="77777777" w:rsidR="001E3FCA" w:rsidRPr="00273A3E" w:rsidRDefault="001E3FCA"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3,7</w:t>
            </w:r>
          </w:p>
        </w:tc>
        <w:tc>
          <w:tcPr>
            <w:tcW w:w="1775" w:type="dxa"/>
            <w:tcBorders>
              <w:top w:val="single" w:sz="5" w:space="0" w:color="000000"/>
              <w:left w:val="single" w:sz="5" w:space="0" w:color="000000"/>
              <w:bottom w:val="nil"/>
              <w:right w:val="single" w:sz="5" w:space="0" w:color="000000"/>
            </w:tcBorders>
          </w:tcPr>
          <w:p w14:paraId="6CFBBB76" w14:textId="77777777" w:rsidR="001E3FCA" w:rsidRPr="00273A3E" w:rsidRDefault="001E3FCA"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spacing w:val="1"/>
                <w:lang w:val="lt-LT"/>
              </w:rPr>
              <w:t>3,6</w:t>
            </w:r>
          </w:p>
        </w:tc>
      </w:tr>
      <w:tr w:rsidR="001E3FCA" w:rsidRPr="00273A3E" w14:paraId="643448EF" w14:textId="77777777" w:rsidTr="00375C68">
        <w:trPr>
          <w:trHeight w:hRule="exact" w:val="349"/>
        </w:trPr>
        <w:tc>
          <w:tcPr>
            <w:tcW w:w="2008" w:type="dxa"/>
            <w:vMerge/>
            <w:tcBorders>
              <w:left w:val="single" w:sz="5" w:space="0" w:color="000000"/>
              <w:bottom w:val="single" w:sz="5" w:space="0" w:color="000000"/>
              <w:right w:val="single" w:sz="5" w:space="0" w:color="000000"/>
            </w:tcBorders>
          </w:tcPr>
          <w:p w14:paraId="6F0436FA" w14:textId="77777777" w:rsidR="001E3FCA" w:rsidRPr="00273A3E" w:rsidRDefault="001E3FCA" w:rsidP="009F71ED">
            <w:pPr>
              <w:widowControl w:val="0"/>
              <w:tabs>
                <w:tab w:val="left" w:pos="567"/>
              </w:tabs>
              <w:spacing w:after="0" w:line="240" w:lineRule="auto"/>
              <w:rPr>
                <w:rFonts w:ascii="Times New Roman" w:hAnsi="Times New Roman"/>
                <w:lang w:val="lt-LT"/>
              </w:rPr>
            </w:pPr>
          </w:p>
        </w:tc>
        <w:tc>
          <w:tcPr>
            <w:tcW w:w="1774" w:type="dxa"/>
            <w:tcBorders>
              <w:top w:val="nil"/>
              <w:left w:val="single" w:sz="5" w:space="0" w:color="000000"/>
              <w:bottom w:val="single" w:sz="5" w:space="0" w:color="000000"/>
              <w:right w:val="single" w:sz="5" w:space="0" w:color="000000"/>
            </w:tcBorders>
          </w:tcPr>
          <w:p w14:paraId="0FBDFE79" w14:textId="77777777" w:rsidR="001E3FCA" w:rsidRPr="00273A3E" w:rsidRDefault="001E3FCA"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(3,5; 16,7)</w:t>
            </w:r>
          </w:p>
        </w:tc>
        <w:tc>
          <w:tcPr>
            <w:tcW w:w="1775" w:type="dxa"/>
            <w:tcBorders>
              <w:top w:val="nil"/>
              <w:left w:val="single" w:sz="5" w:space="0" w:color="000000"/>
              <w:bottom w:val="single" w:sz="5" w:space="0" w:color="000000"/>
              <w:right w:val="single" w:sz="5" w:space="0" w:color="000000"/>
            </w:tcBorders>
          </w:tcPr>
          <w:p w14:paraId="06D81FEF" w14:textId="77777777" w:rsidR="001E3FCA" w:rsidRPr="00273A3E" w:rsidRDefault="001E3FCA"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(3,5; 16,7)</w:t>
            </w:r>
          </w:p>
        </w:tc>
        <w:tc>
          <w:tcPr>
            <w:tcW w:w="1775" w:type="dxa"/>
            <w:gridSpan w:val="2"/>
            <w:tcBorders>
              <w:top w:val="nil"/>
              <w:left w:val="single" w:sz="5" w:space="0" w:color="000000"/>
              <w:bottom w:val="single" w:sz="5" w:space="0" w:color="000000"/>
              <w:right w:val="single" w:sz="5" w:space="0" w:color="000000"/>
            </w:tcBorders>
          </w:tcPr>
          <w:p w14:paraId="2C4DBB3D" w14:textId="77777777" w:rsidR="001E3FCA" w:rsidRPr="00273A3E" w:rsidRDefault="001E3FCA"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(1,9; 13,7)</w:t>
            </w:r>
          </w:p>
        </w:tc>
        <w:tc>
          <w:tcPr>
            <w:tcW w:w="1775" w:type="dxa"/>
            <w:tcBorders>
              <w:top w:val="nil"/>
              <w:left w:val="single" w:sz="5" w:space="0" w:color="000000"/>
              <w:bottom w:val="single" w:sz="5" w:space="0" w:color="000000"/>
              <w:right w:val="single" w:sz="5" w:space="0" w:color="000000"/>
            </w:tcBorders>
          </w:tcPr>
          <w:p w14:paraId="3D14DB77" w14:textId="77777777" w:rsidR="001E3FCA" w:rsidRPr="00273A3E" w:rsidRDefault="001E3FCA" w:rsidP="009F71ED">
            <w:pPr>
              <w:widowControl w:val="0"/>
              <w:tabs>
                <w:tab w:val="left" w:pos="567"/>
              </w:tabs>
              <w:spacing w:after="0" w:line="240" w:lineRule="auto"/>
              <w:jc w:val="center"/>
              <w:rPr>
                <w:rFonts w:ascii="Times New Roman" w:hAnsi="Times New Roman"/>
                <w:lang w:val="lt-LT"/>
              </w:rPr>
            </w:pPr>
            <w:r w:rsidRPr="00273A3E">
              <w:rPr>
                <w:rFonts w:ascii="Times New Roman" w:hAnsi="Times New Roman"/>
                <w:lang w:val="lt-LT"/>
              </w:rPr>
              <w:t>(3,4; 3,7)</w:t>
            </w:r>
          </w:p>
        </w:tc>
      </w:tr>
    </w:tbl>
    <w:p w14:paraId="44DED775"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Patvirtintų ir nepatvirtintų atsakų duomenys</w:t>
      </w:r>
    </w:p>
    <w:p w14:paraId="33FC8D27"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N – pacienčių skaičius</w:t>
      </w:r>
      <w:r w:rsidR="00795EA3" w:rsidRPr="00273A3E">
        <w:rPr>
          <w:rFonts w:ascii="Times New Roman" w:hAnsi="Times New Roman"/>
          <w:lang w:val="lt-LT"/>
        </w:rPr>
        <w:t>;</w:t>
      </w:r>
      <w:r w:rsidRPr="00273A3E">
        <w:rPr>
          <w:rFonts w:ascii="Times New Roman" w:hAnsi="Times New Roman"/>
          <w:lang w:val="lt-LT"/>
        </w:rPr>
        <w:t xml:space="preserve"> PI – </w:t>
      </w:r>
      <w:proofErr w:type="spellStart"/>
      <w:r w:rsidRPr="00273A3E">
        <w:rPr>
          <w:rFonts w:ascii="Times New Roman" w:hAnsi="Times New Roman"/>
          <w:lang w:val="lt-LT"/>
        </w:rPr>
        <w:t>pasikliautinasis</w:t>
      </w:r>
      <w:proofErr w:type="spellEnd"/>
      <w:r w:rsidRPr="00273A3E">
        <w:rPr>
          <w:rFonts w:ascii="Times New Roman" w:hAnsi="Times New Roman"/>
          <w:lang w:val="lt-LT"/>
        </w:rPr>
        <w:t xml:space="preserve"> intervalas</w:t>
      </w:r>
      <w:r w:rsidR="00795EA3" w:rsidRPr="00273A3E">
        <w:rPr>
          <w:rFonts w:ascii="Times New Roman" w:hAnsi="Times New Roman"/>
          <w:lang w:val="lt-LT"/>
        </w:rPr>
        <w:t>;</w:t>
      </w:r>
      <w:r w:rsidRPr="00273A3E">
        <w:rPr>
          <w:rFonts w:ascii="Times New Roman" w:hAnsi="Times New Roman"/>
          <w:lang w:val="lt-LT"/>
        </w:rPr>
        <w:t xml:space="preserve"> OR (angl. </w:t>
      </w:r>
      <w:proofErr w:type="spellStart"/>
      <w:r w:rsidRPr="00273A3E">
        <w:rPr>
          <w:rFonts w:ascii="Times New Roman" w:hAnsi="Times New Roman"/>
          <w:i/>
          <w:iCs/>
          <w:lang w:val="lt-LT"/>
        </w:rPr>
        <w:t>objective</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response</w:t>
      </w:r>
      <w:proofErr w:type="spellEnd"/>
      <w:r w:rsidRPr="00273A3E">
        <w:rPr>
          <w:rFonts w:ascii="Times New Roman" w:hAnsi="Times New Roman"/>
          <w:lang w:val="lt-LT"/>
        </w:rPr>
        <w:t>) – objektyvus atsakas</w:t>
      </w:r>
      <w:r w:rsidR="00795EA3" w:rsidRPr="00273A3E">
        <w:rPr>
          <w:rFonts w:ascii="Times New Roman" w:hAnsi="Times New Roman"/>
          <w:lang w:val="lt-LT"/>
        </w:rPr>
        <w:t>;</w:t>
      </w:r>
      <w:r w:rsidRPr="00273A3E">
        <w:rPr>
          <w:rFonts w:ascii="Times New Roman" w:hAnsi="Times New Roman"/>
          <w:lang w:val="lt-LT"/>
        </w:rPr>
        <w:t xml:space="preserve"> TTR</w:t>
      </w:r>
      <w:r w:rsidR="007F07DF" w:rsidRPr="00273A3E">
        <w:rPr>
          <w:rFonts w:ascii="Times New Roman" w:hAnsi="Times New Roman"/>
          <w:lang w:val="lt-LT"/>
        </w:rPr>
        <w:t xml:space="preserve"> </w:t>
      </w:r>
      <w:r w:rsidRPr="00273A3E">
        <w:rPr>
          <w:rFonts w:ascii="Times New Roman" w:hAnsi="Times New Roman"/>
          <w:lang w:val="lt-LT"/>
        </w:rPr>
        <w:t xml:space="preserve">(angl. </w:t>
      </w:r>
      <w:proofErr w:type="spellStart"/>
      <w:r w:rsidRPr="00273A3E">
        <w:rPr>
          <w:rFonts w:ascii="Times New Roman" w:hAnsi="Times New Roman"/>
          <w:i/>
          <w:iCs/>
          <w:lang w:val="lt-LT"/>
        </w:rPr>
        <w:t>time</w:t>
      </w:r>
      <w:proofErr w:type="spellEnd"/>
      <w:r w:rsidRPr="00273A3E">
        <w:rPr>
          <w:rFonts w:ascii="Times New Roman" w:hAnsi="Times New Roman"/>
          <w:i/>
          <w:iCs/>
          <w:lang w:val="lt-LT"/>
        </w:rPr>
        <w:t xml:space="preserve"> to </w:t>
      </w:r>
      <w:proofErr w:type="spellStart"/>
      <w:r w:rsidRPr="00273A3E">
        <w:rPr>
          <w:rFonts w:ascii="Times New Roman" w:hAnsi="Times New Roman"/>
          <w:i/>
          <w:iCs/>
          <w:lang w:val="lt-LT"/>
        </w:rPr>
        <w:t>first</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tumor</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response</w:t>
      </w:r>
      <w:proofErr w:type="spellEnd"/>
      <w:r w:rsidRPr="00273A3E">
        <w:rPr>
          <w:rFonts w:ascii="Times New Roman" w:hAnsi="Times New Roman"/>
          <w:lang w:val="lt-LT"/>
        </w:rPr>
        <w:t>) – laikas iki naviko pirmojo atsako</w:t>
      </w:r>
      <w:r w:rsidR="00795EA3" w:rsidRPr="00273A3E">
        <w:rPr>
          <w:rFonts w:ascii="Times New Roman" w:hAnsi="Times New Roman"/>
          <w:lang w:val="lt-LT"/>
        </w:rPr>
        <w:t>.</w:t>
      </w:r>
    </w:p>
    <w:p w14:paraId="7ABFEF59" w14:textId="77777777" w:rsidR="001E5C66" w:rsidRPr="00273A3E" w:rsidRDefault="001E5C66" w:rsidP="009F71ED">
      <w:pPr>
        <w:tabs>
          <w:tab w:val="left" w:pos="567"/>
        </w:tabs>
        <w:spacing w:after="0" w:line="240" w:lineRule="auto"/>
        <w:rPr>
          <w:rFonts w:ascii="Times New Roman" w:hAnsi="Times New Roman"/>
          <w:lang w:val="lt-LT"/>
        </w:rPr>
      </w:pPr>
    </w:p>
    <w:p w14:paraId="304E35E6"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Pacienčių užfiksuoti simptomai buvo vertinami pagal Europos vėžio tyrimo ir gydymo organizacijos</w:t>
      </w:r>
      <w:r w:rsidR="007F07DF" w:rsidRPr="00273A3E">
        <w:rPr>
          <w:rFonts w:ascii="Times New Roman" w:hAnsi="Times New Roman"/>
          <w:lang w:val="lt-LT"/>
        </w:rPr>
        <w:t xml:space="preserve"> </w:t>
      </w:r>
      <w:r w:rsidRPr="00273A3E">
        <w:rPr>
          <w:rFonts w:ascii="Times New Roman" w:hAnsi="Times New Roman"/>
          <w:lang w:val="lt-LT"/>
        </w:rPr>
        <w:t xml:space="preserve">(angl. </w:t>
      </w:r>
      <w:proofErr w:type="spellStart"/>
      <w:r w:rsidRPr="00273A3E">
        <w:rPr>
          <w:rFonts w:ascii="Times New Roman" w:hAnsi="Times New Roman"/>
          <w:i/>
          <w:iCs/>
          <w:lang w:val="lt-LT"/>
        </w:rPr>
        <w:t>European</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Organization</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for</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Research</w:t>
      </w:r>
      <w:proofErr w:type="spellEnd"/>
      <w:r w:rsidRPr="00273A3E">
        <w:rPr>
          <w:rFonts w:ascii="Times New Roman" w:hAnsi="Times New Roman"/>
          <w:i/>
          <w:iCs/>
          <w:lang w:val="lt-LT"/>
        </w:rPr>
        <w:t xml:space="preserve"> ir </w:t>
      </w:r>
      <w:proofErr w:type="spellStart"/>
      <w:r w:rsidRPr="00273A3E">
        <w:rPr>
          <w:rFonts w:ascii="Times New Roman" w:hAnsi="Times New Roman"/>
          <w:i/>
          <w:iCs/>
          <w:lang w:val="lt-LT"/>
        </w:rPr>
        <w:t>Treatment</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of</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Cancer</w:t>
      </w:r>
      <w:proofErr w:type="spellEnd"/>
      <w:r w:rsidRPr="00273A3E">
        <w:rPr>
          <w:rFonts w:ascii="Times New Roman" w:hAnsi="Times New Roman"/>
          <w:lang w:val="lt-LT"/>
        </w:rPr>
        <w:t>, EORTC) gyvenimo kokybės</w:t>
      </w:r>
      <w:r w:rsidR="007F07DF" w:rsidRPr="00273A3E">
        <w:rPr>
          <w:rFonts w:ascii="Times New Roman" w:hAnsi="Times New Roman"/>
          <w:lang w:val="lt-LT"/>
        </w:rPr>
        <w:t xml:space="preserve"> </w:t>
      </w:r>
      <w:r w:rsidRPr="00273A3E">
        <w:rPr>
          <w:rFonts w:ascii="Times New Roman" w:hAnsi="Times New Roman"/>
          <w:lang w:val="lt-LT"/>
        </w:rPr>
        <w:t xml:space="preserve">klausimyną (angl. </w:t>
      </w:r>
      <w:proofErr w:type="spellStart"/>
      <w:r w:rsidRPr="00273A3E">
        <w:rPr>
          <w:rFonts w:ascii="Times New Roman" w:hAnsi="Times New Roman"/>
          <w:i/>
          <w:iCs/>
          <w:lang w:val="lt-LT"/>
        </w:rPr>
        <w:t>quality</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of</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life</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questionnaire</w:t>
      </w:r>
      <w:proofErr w:type="spellEnd"/>
      <w:r w:rsidRPr="00273A3E">
        <w:rPr>
          <w:rFonts w:ascii="Times New Roman" w:hAnsi="Times New Roman"/>
          <w:lang w:val="lt-LT"/>
        </w:rPr>
        <w:t>, QLQ)-C30 ir jo krūties vėžio modulį (EORTC QLQBR23). Pradinio ir bent vieno vėlesnio vizito</w:t>
      </w:r>
      <w:r w:rsidR="00B81D36"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klausimyną užpildė </w:t>
      </w:r>
      <w:r w:rsidR="002F6D3F" w:rsidRPr="00273A3E">
        <w:rPr>
          <w:rFonts w:ascii="Times New Roman" w:hAnsi="Times New Roman"/>
          <w:lang w:val="lt-LT"/>
        </w:rPr>
        <w:t xml:space="preserve">iš viso </w:t>
      </w:r>
      <w:r w:rsidRPr="00273A3E">
        <w:rPr>
          <w:rFonts w:ascii="Times New Roman" w:hAnsi="Times New Roman"/>
          <w:lang w:val="lt-LT"/>
        </w:rPr>
        <w:t xml:space="preserve">335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derinio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ir 166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derinio su placebu grupės pacientės.</w:t>
      </w:r>
    </w:p>
    <w:p w14:paraId="4376891A"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35768E67" w14:textId="77777777" w:rsidR="001E5C66" w:rsidRPr="00273A3E" w:rsidRDefault="001E5C66" w:rsidP="009F71ED">
      <w:pPr>
        <w:keepNext/>
        <w:keepLines/>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lastRenderedPageBreak/>
        <w:t xml:space="preserve">Iš anksto buvo numatyta, kad laikas iki skausmo sustiprėjimo skaičiuojamas nuo įtraukimo į tyrimą iki pirmojo </w:t>
      </w:r>
      <w:r w:rsidR="0072739D" w:rsidRPr="00273A3E">
        <w:rPr>
          <w:rFonts w:ascii="Times New Roman" w:hAnsi="Times New Roman"/>
          <w:iCs/>
          <w:noProof/>
          <w:lang w:val="lt-LT"/>
        </w:rPr>
        <w:t>≥ </w:t>
      </w:r>
      <w:r w:rsidRPr="00273A3E">
        <w:rPr>
          <w:rFonts w:ascii="Times New Roman" w:hAnsi="Times New Roman"/>
          <w:lang w:val="lt-LT"/>
        </w:rPr>
        <w:t xml:space="preserve">10 balų sustiprėjusio skausmo rodiklio nustatymo atvejo. Kartu su </w:t>
      </w:r>
      <w:proofErr w:type="spellStart"/>
      <w:r w:rsidRPr="00273A3E">
        <w:rPr>
          <w:rFonts w:ascii="Times New Roman" w:hAnsi="Times New Roman"/>
          <w:lang w:val="lt-LT"/>
        </w:rPr>
        <w:t>fulvestrantu</w:t>
      </w:r>
      <w:proofErr w:type="spellEnd"/>
      <w:r w:rsidRPr="00273A3E">
        <w:rPr>
          <w:rFonts w:ascii="Times New Roman" w:hAnsi="Times New Roman"/>
          <w:lang w:val="lt-LT"/>
        </w:rPr>
        <w:t xml:space="preserve"> vartojant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nustatytas simptominis pagerėjimas, t. y. reikšmingai ilgesnis laikas iki skausmo sustiprėjimo negu vartojant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derinį su placebu (jo mediana buvo atitinkamai 8,0 mėn. ir 2,8 mėn., </w:t>
      </w:r>
      <w:r w:rsidR="00A336B2" w:rsidRPr="00273A3E">
        <w:rPr>
          <w:rFonts w:ascii="Times New Roman" w:hAnsi="Times New Roman"/>
          <w:lang w:val="lt-LT"/>
        </w:rPr>
        <w:t>S</w:t>
      </w:r>
      <w:r w:rsidRPr="00273A3E">
        <w:rPr>
          <w:rFonts w:ascii="Times New Roman" w:hAnsi="Times New Roman"/>
          <w:lang w:val="lt-LT"/>
        </w:rPr>
        <w:t>R – 0,64, 95 % PI – 0,49, 0,85, p &lt; 0,001).</w:t>
      </w:r>
    </w:p>
    <w:p w14:paraId="2041C4BC"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1625266F"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i/>
          <w:lang w:val="lt-LT"/>
        </w:rPr>
        <w:t>Poveikis gimdos gleivinei po menopauzės</w:t>
      </w:r>
    </w:p>
    <w:p w14:paraId="2A402467"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Ikiklinikinių</w:t>
      </w:r>
      <w:proofErr w:type="spellEnd"/>
      <w:r w:rsidRPr="00273A3E">
        <w:rPr>
          <w:rFonts w:ascii="Times New Roman" w:hAnsi="Times New Roman"/>
          <w:lang w:val="lt-LT"/>
        </w:rPr>
        <w:t xml:space="preserve"> tyrimų duomenys nerodo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stimuliuojančio poveikio gimdos gleivinei po menopauzės (žr. 5.3</w:t>
      </w:r>
      <w:r w:rsidR="00FF0074" w:rsidRPr="00273A3E">
        <w:rPr>
          <w:rFonts w:ascii="Times New Roman" w:hAnsi="Times New Roman"/>
          <w:lang w:val="lt-LT"/>
        </w:rPr>
        <w:t> skyri</w:t>
      </w:r>
      <w:r w:rsidRPr="00273A3E">
        <w:rPr>
          <w:rFonts w:ascii="Times New Roman" w:hAnsi="Times New Roman"/>
          <w:lang w:val="lt-LT"/>
        </w:rPr>
        <w:t>ų). Su sveikomis savanorėmis po menopauzės atlikto 2 savaičių trukmės tyrimo</w:t>
      </w:r>
      <w:r w:rsidR="00DC637D"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w:t>
      </w:r>
      <w:r w:rsidR="00EC1871" w:rsidRPr="00273A3E">
        <w:rPr>
          <w:rFonts w:ascii="Times New Roman" w:hAnsi="Times New Roman"/>
          <w:lang w:val="lt-LT"/>
        </w:rPr>
        <w:t xml:space="preserve"> var</w:t>
      </w:r>
      <w:r w:rsidR="0083271D" w:rsidRPr="00273A3E">
        <w:rPr>
          <w:rFonts w:ascii="Times New Roman" w:hAnsi="Times New Roman"/>
          <w:lang w:val="lt-LT"/>
        </w:rPr>
        <w:t>t</w:t>
      </w:r>
      <w:r w:rsidR="00EC1871" w:rsidRPr="00273A3E">
        <w:rPr>
          <w:rFonts w:ascii="Times New Roman" w:hAnsi="Times New Roman"/>
          <w:lang w:val="lt-LT"/>
        </w:rPr>
        <w:t>ojant</w:t>
      </w:r>
      <w:r w:rsidRPr="00273A3E">
        <w:rPr>
          <w:rFonts w:ascii="Times New Roman" w:hAnsi="Times New Roman"/>
          <w:lang w:val="lt-LT"/>
        </w:rPr>
        <w:t xml:space="preserve"> 250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0083271D" w:rsidRPr="00273A3E">
        <w:rPr>
          <w:rFonts w:ascii="Times New Roman" w:hAnsi="Times New Roman"/>
          <w:lang w:val="lt-LT"/>
        </w:rPr>
        <w:t xml:space="preserve"> prieš pirminį gydymą</w:t>
      </w:r>
      <w:r w:rsidRPr="00273A3E">
        <w:rPr>
          <w:rFonts w:ascii="Times New Roman" w:hAnsi="Times New Roman"/>
          <w:lang w:val="lt-LT"/>
        </w:rPr>
        <w:t xml:space="preserve"> </w:t>
      </w:r>
      <w:proofErr w:type="spellStart"/>
      <w:r w:rsidRPr="00273A3E">
        <w:rPr>
          <w:rFonts w:ascii="Times New Roman" w:hAnsi="Times New Roman"/>
          <w:lang w:val="lt-LT"/>
        </w:rPr>
        <w:t>etinilestradiol</w:t>
      </w:r>
      <w:r w:rsidR="00EC1871" w:rsidRPr="00273A3E">
        <w:rPr>
          <w:rFonts w:ascii="Times New Roman" w:hAnsi="Times New Roman"/>
          <w:lang w:val="lt-LT"/>
        </w:rPr>
        <w:t>iu</w:t>
      </w:r>
      <w:proofErr w:type="spellEnd"/>
      <w:r w:rsidRPr="00273A3E">
        <w:rPr>
          <w:rFonts w:ascii="Times New Roman" w:hAnsi="Times New Roman"/>
          <w:lang w:val="lt-LT"/>
        </w:rPr>
        <w:t xml:space="preserve"> (20 </w:t>
      </w:r>
      <w:proofErr w:type="spellStart"/>
      <w:r w:rsidRPr="00273A3E">
        <w:rPr>
          <w:rFonts w:ascii="Times New Roman" w:hAnsi="Times New Roman"/>
          <w:lang w:val="lt-LT"/>
        </w:rPr>
        <w:t>mikrogramų</w:t>
      </w:r>
      <w:proofErr w:type="spellEnd"/>
      <w:r w:rsidRPr="00273A3E">
        <w:rPr>
          <w:rFonts w:ascii="Times New Roman" w:hAnsi="Times New Roman"/>
          <w:lang w:val="lt-LT"/>
        </w:rPr>
        <w:t xml:space="preserve"> per parą), reikšmingai labiau negu prieš jį vartotas placebas sumažino gimdos gleivinės po menopauzės stimuliaciją, kuri įvertinta ultragarsu matuojant gimdos gleivinės storį.</w:t>
      </w:r>
    </w:p>
    <w:p w14:paraId="79C1401B" w14:textId="77777777" w:rsidR="001E5C66" w:rsidRPr="00273A3E" w:rsidRDefault="001E5C66" w:rsidP="009F71ED">
      <w:pPr>
        <w:tabs>
          <w:tab w:val="left" w:pos="567"/>
        </w:tabs>
        <w:spacing w:after="0" w:line="240" w:lineRule="auto"/>
        <w:rPr>
          <w:rFonts w:ascii="Times New Roman" w:hAnsi="Times New Roman"/>
          <w:lang w:val="lt-LT"/>
        </w:rPr>
      </w:pPr>
    </w:p>
    <w:p w14:paraId="05C550F6"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Krūties vėžiu sergančių pacienčių </w:t>
      </w:r>
      <w:proofErr w:type="spellStart"/>
      <w:r w:rsidRPr="00273A3E">
        <w:rPr>
          <w:rFonts w:ascii="Times New Roman" w:hAnsi="Times New Roman"/>
          <w:lang w:val="lt-LT"/>
        </w:rPr>
        <w:t>neoadjuvantinis</w:t>
      </w:r>
      <w:proofErr w:type="spellEnd"/>
      <w:r w:rsidRPr="00273A3E">
        <w:rPr>
          <w:rFonts w:ascii="Times New Roman" w:hAnsi="Times New Roman"/>
          <w:lang w:val="lt-LT"/>
        </w:rPr>
        <w:t xml:space="preserve"> gydymas 500</w:t>
      </w:r>
      <w:r w:rsidR="00FF0074" w:rsidRPr="00273A3E">
        <w:rPr>
          <w:rFonts w:ascii="Times New Roman" w:hAnsi="Times New Roman"/>
          <w:lang w:val="lt-LT"/>
        </w:rPr>
        <w:t> mg</w:t>
      </w:r>
      <w:r w:rsidRPr="00273A3E">
        <w:rPr>
          <w:rFonts w:ascii="Times New Roman" w:hAnsi="Times New Roman"/>
          <w:lang w:val="lt-LT"/>
        </w:rPr>
        <w:t xml:space="preserve"> arba 250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doze, kuris truko iki 16 savaičių, kliniškai reikšmingų gimdos gleivinės storio pokyčių nesukėlė (tai rodo </w:t>
      </w:r>
      <w:proofErr w:type="spellStart"/>
      <w:r w:rsidRPr="00273A3E">
        <w:rPr>
          <w:rFonts w:ascii="Times New Roman" w:hAnsi="Times New Roman"/>
          <w:lang w:val="lt-LT"/>
        </w:rPr>
        <w:t>agonistinio</w:t>
      </w:r>
      <w:proofErr w:type="spellEnd"/>
      <w:r w:rsidRPr="00273A3E">
        <w:rPr>
          <w:rFonts w:ascii="Times New Roman" w:hAnsi="Times New Roman"/>
          <w:lang w:val="lt-LT"/>
        </w:rPr>
        <w:t xml:space="preserve"> poveikio jai nebuvimą). Nepageidaujamą poveikį gimdos gleivinei rodančių duomenų, tiriant pacientes, sirgusias krūties vėžiu, negauta. Taip pat nėra duomenų apie gimdos gleivinės morfologijos pokyčius.</w:t>
      </w:r>
    </w:p>
    <w:p w14:paraId="7DBF984C" w14:textId="77777777" w:rsidR="001E5C66" w:rsidRPr="00273A3E" w:rsidRDefault="001E5C66" w:rsidP="009F71ED">
      <w:pPr>
        <w:tabs>
          <w:tab w:val="left" w:pos="567"/>
        </w:tabs>
        <w:spacing w:after="0" w:line="240" w:lineRule="auto"/>
        <w:rPr>
          <w:rFonts w:ascii="Times New Roman" w:hAnsi="Times New Roman"/>
          <w:lang w:val="lt-LT"/>
        </w:rPr>
      </w:pPr>
    </w:p>
    <w:p w14:paraId="3A429EE2"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Du trumpalaikiai (1 ir 12 savaičių) tyrimai, kuriuose dalyvavo gerybinėmis ginekologinėmis ligomis sergančios pacientės </w:t>
      </w:r>
      <w:r w:rsidR="00A67411" w:rsidRPr="00273A3E">
        <w:rPr>
          <w:rFonts w:ascii="Times New Roman" w:hAnsi="Times New Roman"/>
          <w:lang w:val="lt-LT"/>
        </w:rPr>
        <w:t>iki menopauzės</w:t>
      </w:r>
      <w:r w:rsidRPr="00273A3E">
        <w:rPr>
          <w:rFonts w:ascii="Times New Roman" w:hAnsi="Times New Roman"/>
          <w:lang w:val="lt-LT"/>
        </w:rPr>
        <w:t xml:space="preserve">, ultragarsu išmatuoto gimdos gleivinės storio skirtumo tarp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ir placebo grupių neparodė.</w:t>
      </w:r>
    </w:p>
    <w:p w14:paraId="28D626EF"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3AA068B4" w14:textId="77777777" w:rsidR="001E5C66" w:rsidRPr="00273A3E" w:rsidRDefault="001E5C66" w:rsidP="009F71ED">
      <w:pPr>
        <w:tabs>
          <w:tab w:val="left" w:pos="567"/>
        </w:tabs>
        <w:spacing w:after="0" w:line="240" w:lineRule="auto"/>
        <w:rPr>
          <w:rFonts w:ascii="Times New Roman" w:hAnsi="Times New Roman"/>
          <w:i/>
          <w:lang w:val="lt-LT"/>
        </w:rPr>
      </w:pPr>
      <w:r w:rsidRPr="00273A3E">
        <w:rPr>
          <w:rFonts w:ascii="Times New Roman" w:hAnsi="Times New Roman"/>
          <w:i/>
          <w:lang w:val="lt-LT"/>
        </w:rPr>
        <w:t>Poveikis kaulams</w:t>
      </w:r>
    </w:p>
    <w:p w14:paraId="36DD9EFA"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poveikio kaulams ilgalaikio stebėjimo duomenų nėra. Iki 16 savaičių trukmės </w:t>
      </w:r>
      <w:proofErr w:type="spellStart"/>
      <w:r w:rsidRPr="00273A3E">
        <w:rPr>
          <w:rFonts w:ascii="Times New Roman" w:hAnsi="Times New Roman"/>
          <w:lang w:val="lt-LT"/>
        </w:rPr>
        <w:t>neoadjuvantinis</w:t>
      </w:r>
      <w:proofErr w:type="spellEnd"/>
      <w:r w:rsidRPr="00273A3E">
        <w:rPr>
          <w:rFonts w:ascii="Times New Roman" w:hAnsi="Times New Roman"/>
          <w:lang w:val="lt-LT"/>
        </w:rPr>
        <w:t xml:space="preserve"> krūties vėžio gydymas 500</w:t>
      </w:r>
      <w:r w:rsidR="00FF0074" w:rsidRPr="00273A3E">
        <w:rPr>
          <w:rFonts w:ascii="Times New Roman" w:hAnsi="Times New Roman"/>
          <w:lang w:val="lt-LT"/>
        </w:rPr>
        <w:t> mg</w:t>
      </w:r>
      <w:r w:rsidRPr="00273A3E">
        <w:rPr>
          <w:rFonts w:ascii="Times New Roman" w:hAnsi="Times New Roman"/>
          <w:lang w:val="lt-LT"/>
        </w:rPr>
        <w:t xml:space="preserve"> </w:t>
      </w:r>
      <w:r w:rsidR="009F5240" w:rsidRPr="00273A3E">
        <w:rPr>
          <w:rFonts w:ascii="Times New Roman" w:hAnsi="Times New Roman"/>
          <w:lang w:val="lt-LT"/>
        </w:rPr>
        <w:t xml:space="preserve">ar 250 mg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doze kliniškai reikšmingų kaulų apykaitos žymenų serume pokyčių nesukėlė.</w:t>
      </w:r>
    </w:p>
    <w:p w14:paraId="6F28B1A3"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0733ABBC" w14:textId="77777777" w:rsidR="001E5C66" w:rsidRPr="00273A3E" w:rsidRDefault="001E5C66"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Vaikų populiacija</w:t>
      </w:r>
    </w:p>
    <w:p w14:paraId="645005F7" w14:textId="77777777" w:rsidR="001E5C66" w:rsidRPr="00273A3E" w:rsidRDefault="00C86E9E" w:rsidP="009F71ED">
      <w:pPr>
        <w:tabs>
          <w:tab w:val="left" w:pos="567"/>
        </w:tabs>
        <w:autoSpaceDE w:val="0"/>
        <w:autoSpaceDN w:val="0"/>
        <w:adjustRightInd w:val="0"/>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1E5C66" w:rsidRPr="00273A3E">
        <w:rPr>
          <w:rFonts w:ascii="Times New Roman" w:hAnsi="Times New Roman"/>
          <w:lang w:val="lt-LT"/>
        </w:rPr>
        <w:t xml:space="preserve">vaikams neskiriama. Europos vaistų agentūra </w:t>
      </w:r>
      <w:r w:rsidR="009D4B86" w:rsidRPr="00273A3E">
        <w:rPr>
          <w:rFonts w:ascii="Times New Roman" w:hAnsi="Times New Roman"/>
          <w:lang w:val="lt-LT"/>
        </w:rPr>
        <w:t>atleido nuo įpareigojimo pateikti</w:t>
      </w:r>
      <w:r w:rsidR="001E5C66" w:rsidRPr="00273A3E">
        <w:rPr>
          <w:rFonts w:ascii="Times New Roman" w:hAnsi="Times New Roman"/>
          <w:lang w:val="lt-LT"/>
        </w:rPr>
        <w:t xml:space="preserve"> </w:t>
      </w:r>
      <w:proofErr w:type="spellStart"/>
      <w:r w:rsidR="00FA7875" w:rsidRPr="00273A3E">
        <w:rPr>
          <w:rFonts w:ascii="Times New Roman" w:hAnsi="Times New Roman"/>
          <w:lang w:val="lt-LT"/>
        </w:rPr>
        <w:t>fulvestranto</w:t>
      </w:r>
      <w:proofErr w:type="spellEnd"/>
      <w:r w:rsidR="001E5C66" w:rsidRPr="00273A3E">
        <w:rPr>
          <w:rFonts w:ascii="Times New Roman" w:hAnsi="Times New Roman"/>
          <w:lang w:val="lt-LT"/>
        </w:rPr>
        <w:t xml:space="preserve"> </w:t>
      </w:r>
      <w:r w:rsidR="009D4B86" w:rsidRPr="00273A3E">
        <w:rPr>
          <w:rFonts w:ascii="Times New Roman" w:hAnsi="Times New Roman"/>
          <w:lang w:val="lt-LT"/>
        </w:rPr>
        <w:t>tyrimų su visais vaikų populiacijos pogrupiais duomenis</w:t>
      </w:r>
      <w:r w:rsidR="001E5C66" w:rsidRPr="00273A3E">
        <w:rPr>
          <w:rFonts w:ascii="Times New Roman" w:hAnsi="Times New Roman"/>
          <w:lang w:val="lt-LT"/>
        </w:rPr>
        <w:t xml:space="preserve"> krūties vėžio indikacijai (</w:t>
      </w:r>
      <w:r w:rsidR="009D4B86" w:rsidRPr="00273A3E">
        <w:rPr>
          <w:rFonts w:ascii="Times New Roman" w:hAnsi="Times New Roman"/>
          <w:lang w:val="lt-LT"/>
        </w:rPr>
        <w:t>vartojimo vaikams informacija pateikiama</w:t>
      </w:r>
      <w:r w:rsidR="001E5C66" w:rsidRPr="00273A3E">
        <w:rPr>
          <w:rFonts w:ascii="Times New Roman" w:hAnsi="Times New Roman"/>
          <w:lang w:val="lt-LT"/>
        </w:rPr>
        <w:t xml:space="preserve"> 4.2</w:t>
      </w:r>
      <w:r w:rsidR="00FF0074" w:rsidRPr="00273A3E">
        <w:rPr>
          <w:rFonts w:ascii="Times New Roman" w:hAnsi="Times New Roman"/>
          <w:lang w:val="lt-LT"/>
        </w:rPr>
        <w:t> skyri</w:t>
      </w:r>
      <w:r w:rsidR="001E5C66" w:rsidRPr="00273A3E">
        <w:rPr>
          <w:rFonts w:ascii="Times New Roman" w:hAnsi="Times New Roman"/>
          <w:lang w:val="lt-LT"/>
        </w:rPr>
        <w:t>uje).</w:t>
      </w:r>
    </w:p>
    <w:p w14:paraId="6D01B72F"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75DD79D6"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Atviro II</w:t>
      </w:r>
      <w:r w:rsidR="009D4B86" w:rsidRPr="00273A3E">
        <w:rPr>
          <w:rFonts w:ascii="Times New Roman" w:hAnsi="Times New Roman"/>
          <w:lang w:val="lt-LT"/>
        </w:rPr>
        <w:t> </w:t>
      </w:r>
      <w:r w:rsidRPr="00273A3E">
        <w:rPr>
          <w:rFonts w:ascii="Times New Roman" w:hAnsi="Times New Roman"/>
          <w:lang w:val="lt-LT"/>
        </w:rPr>
        <w:t>fazės tyrimo</w:t>
      </w:r>
      <w:r w:rsidR="00FA7875" w:rsidRPr="00273A3E">
        <w:rPr>
          <w:rFonts w:ascii="Times New Roman" w:hAnsi="Times New Roman"/>
          <w:lang w:val="lt-LT"/>
        </w:rPr>
        <w:t xml:space="preserve"> metu</w:t>
      </w:r>
      <w:r w:rsidRPr="00273A3E">
        <w:rPr>
          <w:rFonts w:ascii="Times New Roman" w:hAnsi="Times New Roman"/>
          <w:lang w:val="lt-LT"/>
        </w:rPr>
        <w:t>, kuriame dalyvavusioms 30</w:t>
      </w:r>
      <w:r w:rsidR="007F07DF" w:rsidRPr="00273A3E">
        <w:rPr>
          <w:rFonts w:ascii="Times New Roman" w:hAnsi="Times New Roman"/>
          <w:lang w:val="lt-LT"/>
        </w:rPr>
        <w:t> </w:t>
      </w:r>
      <w:r w:rsidRPr="00273A3E">
        <w:rPr>
          <w:rFonts w:ascii="Times New Roman" w:hAnsi="Times New Roman"/>
          <w:lang w:val="lt-LT"/>
        </w:rPr>
        <w:t>mergaičių nuo 1 iki 8</w:t>
      </w:r>
      <w:r w:rsidR="00FF0074" w:rsidRPr="00273A3E">
        <w:rPr>
          <w:rFonts w:ascii="Times New Roman" w:hAnsi="Times New Roman"/>
          <w:lang w:val="lt-LT"/>
        </w:rPr>
        <w:t> met</w:t>
      </w:r>
      <w:r w:rsidRPr="00273A3E">
        <w:rPr>
          <w:rFonts w:ascii="Times New Roman" w:hAnsi="Times New Roman"/>
          <w:lang w:val="lt-LT"/>
        </w:rPr>
        <w:t xml:space="preserve">ų amžiaus buvo nustatytas progresuojantis priešlaikinis brendimas, susijęs su </w:t>
      </w:r>
      <w:proofErr w:type="spellStart"/>
      <w:r w:rsidRPr="00273A3E">
        <w:rPr>
          <w:rFonts w:ascii="Times New Roman" w:hAnsi="Times New Roman"/>
          <w:i/>
          <w:lang w:val="lt-LT"/>
        </w:rPr>
        <w:t>McCune</w:t>
      </w:r>
      <w:proofErr w:type="spellEnd"/>
      <w:r w:rsidRPr="00273A3E">
        <w:rPr>
          <w:rFonts w:ascii="Times New Roman" w:hAnsi="Times New Roman"/>
          <w:i/>
          <w:lang w:val="lt-LT"/>
        </w:rPr>
        <w:t xml:space="preserve"> </w:t>
      </w:r>
      <w:proofErr w:type="spellStart"/>
      <w:r w:rsidRPr="00273A3E">
        <w:rPr>
          <w:rFonts w:ascii="Times New Roman" w:hAnsi="Times New Roman"/>
          <w:i/>
          <w:lang w:val="lt-LT"/>
        </w:rPr>
        <w:t>Albright</w:t>
      </w:r>
      <w:proofErr w:type="spellEnd"/>
      <w:r w:rsidRPr="00273A3E">
        <w:rPr>
          <w:rFonts w:ascii="Times New Roman" w:hAnsi="Times New Roman"/>
          <w:lang w:val="lt-LT"/>
        </w:rPr>
        <w:t xml:space="preserve"> sindromu,</w:t>
      </w:r>
      <w:r w:rsidR="00235A02" w:rsidRPr="00273A3E">
        <w:rPr>
          <w:rFonts w:ascii="Times New Roman" w:hAnsi="Times New Roman"/>
          <w:lang w:val="lt-LT"/>
        </w:rPr>
        <w:t xml:space="preserve"> </w:t>
      </w:r>
      <w:r w:rsidRPr="00273A3E">
        <w:rPr>
          <w:rFonts w:ascii="Times New Roman" w:hAnsi="Times New Roman"/>
          <w:lang w:val="lt-LT"/>
        </w:rPr>
        <w:t xml:space="preserve">tirtas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saugumas, veiksmingumas ir farmakokinetika. Joms kas mėnesį buvo leidžiama po 4</w:t>
      </w:r>
      <w:r w:rsidR="00FF0074" w:rsidRPr="00273A3E">
        <w:rPr>
          <w:rFonts w:ascii="Times New Roman" w:hAnsi="Times New Roman"/>
          <w:lang w:val="lt-LT"/>
        </w:rPr>
        <w:t> mg</w:t>
      </w:r>
      <w:r w:rsidRPr="00273A3E">
        <w:rPr>
          <w:rFonts w:ascii="Times New Roman" w:hAnsi="Times New Roman"/>
          <w:lang w:val="lt-LT"/>
        </w:rPr>
        <w:t xml:space="preserve">/kg kūno svorio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į raumenis. Šio 12 mėn. trukmės tyrimo</w:t>
      </w:r>
      <w:r w:rsidR="00DF6807"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ištyrus įvairias </w:t>
      </w:r>
      <w:proofErr w:type="spellStart"/>
      <w:r w:rsidRPr="00273A3E">
        <w:rPr>
          <w:rFonts w:ascii="Times New Roman" w:hAnsi="Times New Roman"/>
          <w:i/>
          <w:lang w:val="lt-LT"/>
        </w:rPr>
        <w:t>McCune</w:t>
      </w:r>
      <w:proofErr w:type="spellEnd"/>
      <w:r w:rsidRPr="00273A3E">
        <w:rPr>
          <w:rFonts w:ascii="Times New Roman" w:hAnsi="Times New Roman"/>
          <w:i/>
          <w:lang w:val="lt-LT"/>
        </w:rPr>
        <w:t xml:space="preserve"> </w:t>
      </w:r>
      <w:proofErr w:type="spellStart"/>
      <w:r w:rsidRPr="00273A3E">
        <w:rPr>
          <w:rFonts w:ascii="Times New Roman" w:hAnsi="Times New Roman"/>
          <w:i/>
          <w:lang w:val="lt-LT"/>
        </w:rPr>
        <w:t>Albright</w:t>
      </w:r>
      <w:proofErr w:type="spellEnd"/>
      <w:r w:rsidRPr="00273A3E">
        <w:rPr>
          <w:rFonts w:ascii="Times New Roman" w:hAnsi="Times New Roman"/>
          <w:lang w:val="lt-LT"/>
        </w:rPr>
        <w:t xml:space="preserve"> sindromo vertinamąsias baigtis, nustatytas</w:t>
      </w:r>
      <w:r w:rsidR="00F2125D" w:rsidRPr="00273A3E">
        <w:rPr>
          <w:rFonts w:ascii="Times New Roman" w:hAnsi="Times New Roman"/>
          <w:lang w:val="lt-LT"/>
        </w:rPr>
        <w:t xml:space="preserve"> </w:t>
      </w:r>
      <w:r w:rsidR="00F2125D" w:rsidRPr="001620DD">
        <w:rPr>
          <w:rFonts w:ascii="Times New Roman" w:hAnsi="Times New Roman"/>
          <w:lang w:val="lt-LT"/>
        </w:rPr>
        <w:t>kraujavimo iš makšties dažnio sumažėjimas ir kaulinio amžiaus progresavimo greičio sumažėjimas</w:t>
      </w:r>
      <w:r w:rsidRPr="00273A3E">
        <w:rPr>
          <w:rFonts w:ascii="Times New Roman" w:hAnsi="Times New Roman"/>
          <w:lang w:val="lt-LT"/>
        </w:rPr>
        <w:t xml:space="preserve">. Minimalios </w:t>
      </w:r>
      <w:proofErr w:type="spellStart"/>
      <w:r w:rsidRPr="00273A3E">
        <w:rPr>
          <w:rFonts w:ascii="Times New Roman" w:hAnsi="Times New Roman"/>
          <w:lang w:val="lt-LT"/>
        </w:rPr>
        <w:t>pusiausvyrinės</w:t>
      </w:r>
      <w:proofErr w:type="spellEnd"/>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koncentracijos vaikų plazmoje šio tyrimo</w:t>
      </w:r>
      <w:r w:rsidR="00235A02"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atitiko nustatytas suaugusiesiems (žr. 5.2</w:t>
      </w:r>
      <w:r w:rsidR="00FF0074" w:rsidRPr="00273A3E">
        <w:rPr>
          <w:rFonts w:ascii="Times New Roman" w:hAnsi="Times New Roman"/>
          <w:lang w:val="lt-LT"/>
        </w:rPr>
        <w:t> skyri</w:t>
      </w:r>
      <w:r w:rsidRPr="00273A3E">
        <w:rPr>
          <w:rFonts w:ascii="Times New Roman" w:hAnsi="Times New Roman"/>
          <w:lang w:val="lt-LT"/>
        </w:rPr>
        <w:t xml:space="preserve">ų). Naujų abejonių dėl </w:t>
      </w:r>
      <w:r w:rsidR="0087101E" w:rsidRPr="00273A3E">
        <w:rPr>
          <w:rFonts w:ascii="Times New Roman" w:hAnsi="Times New Roman"/>
          <w:lang w:val="lt-LT"/>
        </w:rPr>
        <w:t xml:space="preserve">vaistinio </w:t>
      </w:r>
      <w:r w:rsidRPr="00273A3E">
        <w:rPr>
          <w:rFonts w:ascii="Times New Roman" w:hAnsi="Times New Roman"/>
          <w:lang w:val="lt-LT"/>
        </w:rPr>
        <w:t>preparato saugumo šis nedidelės apimties tyrimas nesukėlė, tačiau 5</w:t>
      </w:r>
      <w:r w:rsidR="00FF0074" w:rsidRPr="00273A3E">
        <w:rPr>
          <w:rFonts w:ascii="Times New Roman" w:hAnsi="Times New Roman"/>
          <w:lang w:val="lt-LT"/>
        </w:rPr>
        <w:t> met</w:t>
      </w:r>
      <w:r w:rsidRPr="00273A3E">
        <w:rPr>
          <w:rFonts w:ascii="Times New Roman" w:hAnsi="Times New Roman"/>
          <w:lang w:val="lt-LT"/>
        </w:rPr>
        <w:t>ų stebėjimo duomenų dar nėra.</w:t>
      </w:r>
    </w:p>
    <w:p w14:paraId="4C97F902" w14:textId="77777777" w:rsidR="001E5C66" w:rsidRPr="00273A3E" w:rsidRDefault="001E5C66" w:rsidP="009F71ED">
      <w:pPr>
        <w:tabs>
          <w:tab w:val="left" w:pos="567"/>
        </w:tabs>
        <w:spacing w:after="0" w:line="240" w:lineRule="auto"/>
        <w:rPr>
          <w:rFonts w:ascii="Times New Roman" w:hAnsi="Times New Roman"/>
          <w:lang w:val="lt-LT"/>
        </w:rPr>
      </w:pPr>
    </w:p>
    <w:p w14:paraId="7D389BB6"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5.2</w:t>
      </w:r>
      <w:r w:rsidRPr="00273A3E">
        <w:rPr>
          <w:rFonts w:ascii="Times New Roman" w:hAnsi="Times New Roman"/>
          <w:b/>
          <w:lang w:val="lt-LT"/>
        </w:rPr>
        <w:tab/>
      </w:r>
      <w:proofErr w:type="spellStart"/>
      <w:r w:rsidRPr="00273A3E">
        <w:rPr>
          <w:rFonts w:ascii="Times New Roman" w:hAnsi="Times New Roman"/>
          <w:b/>
          <w:lang w:val="lt-LT"/>
        </w:rPr>
        <w:t>Farmakokinetinės</w:t>
      </w:r>
      <w:proofErr w:type="spellEnd"/>
      <w:r w:rsidRPr="00273A3E">
        <w:rPr>
          <w:rFonts w:ascii="Times New Roman" w:hAnsi="Times New Roman"/>
          <w:b/>
          <w:lang w:val="lt-LT"/>
        </w:rPr>
        <w:t xml:space="preserve"> savybės</w:t>
      </w:r>
    </w:p>
    <w:p w14:paraId="7FBA9B16"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34DC9281" w14:textId="77777777" w:rsidR="001E5C66" w:rsidRPr="00273A3E" w:rsidRDefault="001E5C66"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Absorbcija</w:t>
      </w:r>
    </w:p>
    <w:p w14:paraId="0CED2DEB"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Suleidus ilgai veikiančio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į raumenis,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absorbuojamas lėtai, didžiausia koncentracija plazmoje (</w:t>
      </w:r>
      <w:proofErr w:type="spellStart"/>
      <w:r w:rsidRPr="00273A3E">
        <w:rPr>
          <w:rFonts w:ascii="Times New Roman" w:hAnsi="Times New Roman"/>
          <w:lang w:val="lt-LT"/>
        </w:rPr>
        <w:t>C</w:t>
      </w:r>
      <w:r w:rsidRPr="00273A3E">
        <w:rPr>
          <w:rFonts w:ascii="Times New Roman" w:hAnsi="Times New Roman"/>
          <w:vertAlign w:val="subscript"/>
          <w:lang w:val="lt-LT"/>
        </w:rPr>
        <w:t>max</w:t>
      </w:r>
      <w:proofErr w:type="spellEnd"/>
      <w:r w:rsidRPr="00273A3E">
        <w:rPr>
          <w:rFonts w:ascii="Times New Roman" w:hAnsi="Times New Roman"/>
          <w:lang w:val="lt-LT"/>
        </w:rPr>
        <w:t>) nusistovi po maždaug 5 parų. Vartojant 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dozėmis, </w:t>
      </w:r>
      <w:proofErr w:type="spellStart"/>
      <w:r w:rsidRPr="00273A3E">
        <w:rPr>
          <w:rFonts w:ascii="Times New Roman" w:hAnsi="Times New Roman"/>
          <w:lang w:val="lt-LT"/>
        </w:rPr>
        <w:t>pusiausvyrinė</w:t>
      </w:r>
      <w:proofErr w:type="spellEnd"/>
      <w:r w:rsidRPr="00273A3E">
        <w:rPr>
          <w:rFonts w:ascii="Times New Roman" w:hAnsi="Times New Roman"/>
          <w:lang w:val="lt-LT"/>
        </w:rPr>
        <w:t xml:space="preserve"> ar jai artima ekspozicija nusistovi per pirmąjį mėnesį (vidutinis AUC 475 </w:t>
      </w:r>
      <w:proofErr w:type="spellStart"/>
      <w:r w:rsidRPr="00273A3E">
        <w:rPr>
          <w:rFonts w:ascii="Times New Roman" w:hAnsi="Times New Roman"/>
          <w:lang w:val="lt-LT"/>
        </w:rPr>
        <w:t>ng×paros</w:t>
      </w:r>
      <w:proofErr w:type="spellEnd"/>
      <w:r w:rsidRPr="00273A3E">
        <w:rPr>
          <w:rFonts w:ascii="Times New Roman" w:hAnsi="Times New Roman"/>
          <w:lang w:val="lt-LT"/>
        </w:rPr>
        <w:t xml:space="preserve">/ml [variacijos koeficientas – 33,4 %], vidutinė </w:t>
      </w:r>
      <w:proofErr w:type="spellStart"/>
      <w:r w:rsidRPr="00273A3E">
        <w:rPr>
          <w:rFonts w:ascii="Times New Roman" w:hAnsi="Times New Roman"/>
          <w:lang w:val="lt-LT"/>
        </w:rPr>
        <w:t>C</w:t>
      </w:r>
      <w:r w:rsidRPr="00273A3E">
        <w:rPr>
          <w:rFonts w:ascii="Times New Roman" w:hAnsi="Times New Roman"/>
          <w:vertAlign w:val="subscript"/>
          <w:lang w:val="lt-LT"/>
        </w:rPr>
        <w:t>max</w:t>
      </w:r>
      <w:proofErr w:type="spellEnd"/>
      <w:r w:rsidRPr="00273A3E">
        <w:rPr>
          <w:rFonts w:ascii="Times New Roman" w:hAnsi="Times New Roman"/>
          <w:lang w:val="lt-LT"/>
        </w:rPr>
        <w:t xml:space="preserve"> – 25,1 </w:t>
      </w:r>
      <w:proofErr w:type="spellStart"/>
      <w:r w:rsidRPr="00273A3E">
        <w:rPr>
          <w:rFonts w:ascii="Times New Roman" w:hAnsi="Times New Roman"/>
          <w:lang w:val="lt-LT"/>
        </w:rPr>
        <w:t>ng</w:t>
      </w:r>
      <w:proofErr w:type="spellEnd"/>
      <w:r w:rsidRPr="00273A3E">
        <w:rPr>
          <w:rFonts w:ascii="Times New Roman" w:hAnsi="Times New Roman"/>
          <w:lang w:val="lt-LT"/>
        </w:rPr>
        <w:t xml:space="preserve">/ml [variacijos koeficientas – 35,3 %], vidutinė </w:t>
      </w:r>
      <w:proofErr w:type="spellStart"/>
      <w:r w:rsidRPr="00273A3E">
        <w:rPr>
          <w:rFonts w:ascii="Times New Roman" w:hAnsi="Times New Roman"/>
          <w:lang w:val="lt-LT"/>
        </w:rPr>
        <w:t>C</w:t>
      </w:r>
      <w:r w:rsidRPr="00273A3E">
        <w:rPr>
          <w:rFonts w:ascii="Times New Roman" w:hAnsi="Times New Roman"/>
          <w:vertAlign w:val="subscript"/>
          <w:lang w:val="lt-LT"/>
        </w:rPr>
        <w:t>min</w:t>
      </w:r>
      <w:proofErr w:type="spellEnd"/>
      <w:r w:rsidRPr="00273A3E">
        <w:rPr>
          <w:rFonts w:ascii="Times New Roman" w:hAnsi="Times New Roman"/>
          <w:lang w:val="lt-LT"/>
        </w:rPr>
        <w:t xml:space="preserve"> – 16,3 </w:t>
      </w:r>
      <w:proofErr w:type="spellStart"/>
      <w:r w:rsidRPr="00273A3E">
        <w:rPr>
          <w:rFonts w:ascii="Times New Roman" w:hAnsi="Times New Roman"/>
          <w:lang w:val="lt-LT"/>
        </w:rPr>
        <w:t>ng</w:t>
      </w:r>
      <w:proofErr w:type="spellEnd"/>
      <w:r w:rsidRPr="00273A3E">
        <w:rPr>
          <w:rFonts w:ascii="Times New Roman" w:hAnsi="Times New Roman"/>
          <w:lang w:val="lt-LT"/>
        </w:rPr>
        <w:t xml:space="preserve">/ml [variacijos koeficientas – 25,9 %]). </w:t>
      </w:r>
      <w:proofErr w:type="spellStart"/>
      <w:r w:rsidRPr="00273A3E">
        <w:rPr>
          <w:rFonts w:ascii="Times New Roman" w:hAnsi="Times New Roman"/>
          <w:lang w:val="lt-LT"/>
        </w:rPr>
        <w:t>Pusiausvyrinė</w:t>
      </w:r>
      <w:proofErr w:type="spellEnd"/>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koncentracija plazmoje kinta palyginti siaurose ribose (didžiausia ir mažiausia skiriasi iki </w:t>
      </w:r>
      <w:r w:rsidR="00235A02" w:rsidRPr="00273A3E">
        <w:rPr>
          <w:rFonts w:ascii="Times New Roman" w:hAnsi="Times New Roman"/>
          <w:lang w:val="lt-LT"/>
        </w:rPr>
        <w:t xml:space="preserve">maždaug </w:t>
      </w:r>
      <w:r w:rsidRPr="00273A3E">
        <w:rPr>
          <w:rFonts w:ascii="Times New Roman" w:hAnsi="Times New Roman"/>
          <w:lang w:val="lt-LT"/>
        </w:rPr>
        <w:t>3 kartų). Į raumenis suleidus 50–500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dozes, jo ekspozicija būna maždaug proporcinga dozei.</w:t>
      </w:r>
    </w:p>
    <w:p w14:paraId="020735B1" w14:textId="77777777" w:rsidR="00A21DC3" w:rsidRPr="00273A3E" w:rsidRDefault="00A21DC3" w:rsidP="009F71ED">
      <w:pPr>
        <w:tabs>
          <w:tab w:val="left" w:pos="567"/>
        </w:tabs>
        <w:spacing w:after="0" w:line="240" w:lineRule="auto"/>
        <w:rPr>
          <w:rFonts w:ascii="Times New Roman" w:hAnsi="Times New Roman"/>
          <w:u w:val="single"/>
          <w:lang w:val="lt-LT"/>
        </w:rPr>
      </w:pPr>
    </w:p>
    <w:p w14:paraId="69A365F2" w14:textId="77777777" w:rsidR="001E5C66" w:rsidRPr="00273A3E" w:rsidRDefault="001E5C66" w:rsidP="009F71ED">
      <w:pPr>
        <w:keepNext/>
        <w:keepLines/>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lastRenderedPageBreak/>
        <w:t>Pasiskirstymas</w:t>
      </w:r>
    </w:p>
    <w:p w14:paraId="3C8AD9EC" w14:textId="77777777" w:rsidR="001E5C66" w:rsidRPr="00273A3E" w:rsidRDefault="001E5C66" w:rsidP="009F71ED">
      <w:pPr>
        <w:keepNext/>
        <w:keepLines/>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pasiskirsto ekstensyviai ir greitai. Didelis šio </w:t>
      </w:r>
      <w:r w:rsidR="009A48C6" w:rsidRPr="00273A3E">
        <w:rPr>
          <w:rFonts w:ascii="Times New Roman" w:hAnsi="Times New Roman"/>
          <w:lang w:val="lt-LT"/>
        </w:rPr>
        <w:t xml:space="preserve">vaistinio preparato </w:t>
      </w:r>
      <w:r w:rsidRPr="00273A3E">
        <w:rPr>
          <w:rFonts w:ascii="Times New Roman" w:hAnsi="Times New Roman"/>
          <w:lang w:val="lt-LT"/>
        </w:rPr>
        <w:t xml:space="preserve">tariamasis pasiskirstymo tūris nusistovėjus </w:t>
      </w:r>
      <w:proofErr w:type="spellStart"/>
      <w:r w:rsidRPr="00273A3E">
        <w:rPr>
          <w:rFonts w:ascii="Times New Roman" w:hAnsi="Times New Roman"/>
          <w:lang w:val="lt-LT"/>
        </w:rPr>
        <w:t>pusiausvyrinei</w:t>
      </w:r>
      <w:proofErr w:type="spellEnd"/>
      <w:r w:rsidRPr="00273A3E">
        <w:rPr>
          <w:rFonts w:ascii="Times New Roman" w:hAnsi="Times New Roman"/>
          <w:lang w:val="lt-LT"/>
        </w:rPr>
        <w:t xml:space="preserve"> apykaitai (</w:t>
      </w:r>
      <w:proofErr w:type="spellStart"/>
      <w:r w:rsidRPr="00273A3E">
        <w:rPr>
          <w:rFonts w:ascii="Times New Roman" w:hAnsi="Times New Roman"/>
          <w:lang w:val="lt-LT"/>
        </w:rPr>
        <w:t>Vd</w:t>
      </w:r>
      <w:r w:rsidRPr="00273A3E">
        <w:rPr>
          <w:rFonts w:ascii="Times New Roman" w:hAnsi="Times New Roman"/>
          <w:vertAlign w:val="subscript"/>
          <w:lang w:val="lt-LT"/>
        </w:rPr>
        <w:t>ss</w:t>
      </w:r>
      <w:proofErr w:type="spellEnd"/>
      <w:r w:rsidRPr="00273A3E">
        <w:rPr>
          <w:rFonts w:ascii="Times New Roman" w:hAnsi="Times New Roman"/>
          <w:lang w:val="lt-LT"/>
        </w:rPr>
        <w:t xml:space="preserve"> maždaug 3–5 l/kg) rodo didelės jo dalies pasiskirstymą už kraujagyslių ribų. Daug (99 %)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būna prisijungusio prie plazmos baltymų, daugiausiai – prie labai mažo tankio lipoproteinų (LMTL), mažo tankio lipoproteinų (MTL) ir didelio tankio lipoproteinų (DTL) frakcijų. Su konkurenciniu prisijungimu prie baltymų susijusios sąveikos su kitais vaistiniais preparatais tyrimų neatlikta. Lytinius hormonus prijungiančio </w:t>
      </w:r>
      <w:proofErr w:type="spellStart"/>
      <w:r w:rsidRPr="00273A3E">
        <w:rPr>
          <w:rFonts w:ascii="Times New Roman" w:hAnsi="Times New Roman"/>
          <w:lang w:val="lt-LT"/>
        </w:rPr>
        <w:t>globulino</w:t>
      </w:r>
      <w:proofErr w:type="spellEnd"/>
      <w:r w:rsidRPr="00273A3E">
        <w:rPr>
          <w:rFonts w:ascii="Times New Roman" w:hAnsi="Times New Roman"/>
          <w:lang w:val="lt-LT"/>
        </w:rPr>
        <w:t xml:space="preserve"> (angl. </w:t>
      </w:r>
      <w:proofErr w:type="spellStart"/>
      <w:r w:rsidR="00235A02" w:rsidRPr="00273A3E">
        <w:rPr>
          <w:rFonts w:ascii="Times New Roman" w:hAnsi="Times New Roman"/>
          <w:i/>
          <w:lang w:val="lt-LT"/>
        </w:rPr>
        <w:t>s</w:t>
      </w:r>
      <w:r w:rsidRPr="00273A3E">
        <w:rPr>
          <w:rFonts w:ascii="Times New Roman" w:hAnsi="Times New Roman"/>
          <w:i/>
          <w:lang w:val="lt-LT"/>
        </w:rPr>
        <w:t>ex</w:t>
      </w:r>
      <w:proofErr w:type="spellEnd"/>
      <w:r w:rsidRPr="00273A3E">
        <w:rPr>
          <w:rFonts w:ascii="Times New Roman" w:hAnsi="Times New Roman"/>
          <w:i/>
          <w:lang w:val="lt-LT"/>
        </w:rPr>
        <w:t xml:space="preserve"> hormone </w:t>
      </w:r>
      <w:proofErr w:type="spellStart"/>
      <w:r w:rsidRPr="00273A3E">
        <w:rPr>
          <w:rFonts w:ascii="Times New Roman" w:hAnsi="Times New Roman"/>
          <w:i/>
          <w:lang w:val="lt-LT"/>
        </w:rPr>
        <w:t>binding</w:t>
      </w:r>
      <w:proofErr w:type="spellEnd"/>
      <w:r w:rsidRPr="00273A3E">
        <w:rPr>
          <w:rFonts w:ascii="Times New Roman" w:hAnsi="Times New Roman"/>
          <w:i/>
          <w:lang w:val="lt-LT"/>
        </w:rPr>
        <w:t xml:space="preserve"> </w:t>
      </w:r>
      <w:proofErr w:type="spellStart"/>
      <w:r w:rsidRPr="00273A3E">
        <w:rPr>
          <w:rFonts w:ascii="Times New Roman" w:hAnsi="Times New Roman"/>
          <w:i/>
          <w:lang w:val="lt-LT"/>
        </w:rPr>
        <w:t>globuline</w:t>
      </w:r>
      <w:proofErr w:type="spellEnd"/>
      <w:r w:rsidRPr="00273A3E">
        <w:rPr>
          <w:rFonts w:ascii="Times New Roman" w:hAnsi="Times New Roman"/>
          <w:lang w:val="lt-LT"/>
        </w:rPr>
        <w:t>, SHBG) vaidmuo nenustatytas.</w:t>
      </w:r>
    </w:p>
    <w:p w14:paraId="35D6F785" w14:textId="77777777" w:rsidR="001E5C66" w:rsidRPr="00273A3E" w:rsidRDefault="001E5C66" w:rsidP="009F71ED">
      <w:pPr>
        <w:tabs>
          <w:tab w:val="left" w:pos="567"/>
        </w:tabs>
        <w:spacing w:after="0" w:line="240" w:lineRule="auto"/>
        <w:rPr>
          <w:rFonts w:ascii="Times New Roman" w:hAnsi="Times New Roman"/>
          <w:lang w:val="lt-LT"/>
        </w:rPr>
      </w:pPr>
    </w:p>
    <w:p w14:paraId="12E2796B" w14:textId="77777777" w:rsidR="001E5C66" w:rsidRPr="00273A3E" w:rsidRDefault="001E5C66" w:rsidP="009F71ED">
      <w:pPr>
        <w:tabs>
          <w:tab w:val="left" w:pos="567"/>
        </w:tabs>
        <w:spacing w:after="0" w:line="240" w:lineRule="auto"/>
        <w:rPr>
          <w:rFonts w:ascii="Times New Roman" w:hAnsi="Times New Roman"/>
          <w:u w:val="single"/>
          <w:lang w:val="lt-LT"/>
        </w:rPr>
      </w:pPr>
      <w:proofErr w:type="spellStart"/>
      <w:r w:rsidRPr="00273A3E">
        <w:rPr>
          <w:rFonts w:ascii="Times New Roman" w:hAnsi="Times New Roman"/>
          <w:u w:val="single"/>
          <w:lang w:val="lt-LT"/>
        </w:rPr>
        <w:t>Biotransformacija</w:t>
      </w:r>
      <w:proofErr w:type="spellEnd"/>
    </w:p>
    <w:p w14:paraId="1558B805"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Fulvestranto</w:t>
      </w:r>
      <w:proofErr w:type="spellEnd"/>
      <w:r w:rsidR="00235A02"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abolizmas iki galo neištirtas, tačiau nustatyta, kad jam būdingas įvairių galimų </w:t>
      </w:r>
      <w:proofErr w:type="spellStart"/>
      <w:r w:rsidRPr="00273A3E">
        <w:rPr>
          <w:rFonts w:ascii="Times New Roman" w:hAnsi="Times New Roman"/>
          <w:lang w:val="lt-LT"/>
        </w:rPr>
        <w:t>biotransformacijos</w:t>
      </w:r>
      <w:proofErr w:type="spellEnd"/>
      <w:r w:rsidRPr="00273A3E">
        <w:rPr>
          <w:rFonts w:ascii="Times New Roman" w:hAnsi="Times New Roman"/>
          <w:lang w:val="lt-LT"/>
        </w:rPr>
        <w:t xml:space="preserve"> būdų, tokių pačių kaip endogeninių steroidų, derinys. Modeliais </w:t>
      </w:r>
      <w:proofErr w:type="spellStart"/>
      <w:r w:rsidRPr="00273A3E">
        <w:rPr>
          <w:rFonts w:ascii="Times New Roman" w:hAnsi="Times New Roman"/>
          <w:lang w:val="lt-LT"/>
        </w:rPr>
        <w:t>antiestrogenų</w:t>
      </w:r>
      <w:proofErr w:type="spellEnd"/>
      <w:r w:rsidRPr="00273A3E">
        <w:rPr>
          <w:rFonts w:ascii="Times New Roman" w:hAnsi="Times New Roman"/>
          <w:lang w:val="lt-LT"/>
        </w:rPr>
        <w:t xml:space="preserve"> poveikiui tirti nustatyta, kad identifikuotų</w:t>
      </w:r>
      <w:r w:rsidR="003F43F5"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abolitų (17-ketono, </w:t>
      </w:r>
      <w:proofErr w:type="spellStart"/>
      <w:r w:rsidRPr="00273A3E">
        <w:rPr>
          <w:rFonts w:ascii="Times New Roman" w:hAnsi="Times New Roman"/>
          <w:lang w:val="lt-LT"/>
        </w:rPr>
        <w:t>sulfono</w:t>
      </w:r>
      <w:proofErr w:type="spellEnd"/>
      <w:r w:rsidRPr="00273A3E">
        <w:rPr>
          <w:rFonts w:ascii="Times New Roman" w:hAnsi="Times New Roman"/>
          <w:lang w:val="lt-LT"/>
        </w:rPr>
        <w:t xml:space="preserve">, 3-sulfato, 3- ir 17-glukuronido) aktyvumas yra panašus į nepakitusio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arba mažesnis. Su žmogaus kepenų </w:t>
      </w:r>
      <w:r w:rsidR="00E227FB" w:rsidRPr="00273A3E">
        <w:rPr>
          <w:rFonts w:ascii="Times New Roman" w:hAnsi="Times New Roman"/>
          <w:lang w:val="lt-LT"/>
        </w:rPr>
        <w:t xml:space="preserve">vaistiniais </w:t>
      </w:r>
      <w:r w:rsidRPr="00273A3E">
        <w:rPr>
          <w:rFonts w:ascii="Times New Roman" w:hAnsi="Times New Roman"/>
          <w:lang w:val="lt-LT"/>
        </w:rPr>
        <w:t xml:space="preserve">preparatais ir </w:t>
      </w:r>
      <w:proofErr w:type="spellStart"/>
      <w:r w:rsidRPr="00273A3E">
        <w:rPr>
          <w:rFonts w:ascii="Times New Roman" w:hAnsi="Times New Roman"/>
          <w:lang w:val="lt-LT"/>
        </w:rPr>
        <w:t>rekombinaciniais</w:t>
      </w:r>
      <w:proofErr w:type="spellEnd"/>
      <w:r w:rsidRPr="00273A3E">
        <w:rPr>
          <w:rFonts w:ascii="Times New Roman" w:hAnsi="Times New Roman"/>
          <w:lang w:val="lt-LT"/>
        </w:rPr>
        <w:t xml:space="preserve"> žmogaus fermentais atlikti tyrimai rodo, kad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oksidacijoje dalyvauja tik vienas P450 sistemos </w:t>
      </w:r>
      <w:proofErr w:type="spellStart"/>
      <w:r w:rsidRPr="00273A3E">
        <w:rPr>
          <w:rFonts w:ascii="Times New Roman" w:hAnsi="Times New Roman"/>
          <w:lang w:val="lt-LT"/>
        </w:rPr>
        <w:t>izofermentas</w:t>
      </w:r>
      <w:proofErr w:type="spellEnd"/>
      <w:r w:rsidRPr="00273A3E">
        <w:rPr>
          <w:rFonts w:ascii="Times New Roman" w:hAnsi="Times New Roman"/>
          <w:lang w:val="lt-LT"/>
        </w:rPr>
        <w:t xml:space="preserve"> – CYP3A4, tačiau</w:t>
      </w:r>
      <w:r w:rsidR="00737699"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abolizme </w:t>
      </w:r>
      <w:proofErr w:type="spellStart"/>
      <w:r w:rsidRPr="00273A3E">
        <w:rPr>
          <w:rFonts w:ascii="Times New Roman" w:hAnsi="Times New Roman"/>
          <w:i/>
          <w:lang w:val="lt-LT"/>
        </w:rPr>
        <w:t>in</w:t>
      </w:r>
      <w:proofErr w:type="spellEnd"/>
      <w:r w:rsidRPr="00273A3E">
        <w:rPr>
          <w:rFonts w:ascii="Times New Roman" w:hAnsi="Times New Roman"/>
          <w:i/>
          <w:lang w:val="lt-LT"/>
        </w:rPr>
        <w:t xml:space="preserve"> </w:t>
      </w:r>
      <w:proofErr w:type="spellStart"/>
      <w:r w:rsidRPr="00273A3E">
        <w:rPr>
          <w:rFonts w:ascii="Times New Roman" w:hAnsi="Times New Roman"/>
          <w:i/>
          <w:lang w:val="lt-LT"/>
        </w:rPr>
        <w:t>vivo</w:t>
      </w:r>
      <w:proofErr w:type="spellEnd"/>
      <w:r w:rsidRPr="00273A3E">
        <w:rPr>
          <w:rFonts w:ascii="Times New Roman" w:hAnsi="Times New Roman"/>
          <w:i/>
          <w:lang w:val="lt-LT"/>
        </w:rPr>
        <w:t xml:space="preserve"> </w:t>
      </w:r>
      <w:r w:rsidRPr="00273A3E">
        <w:rPr>
          <w:rFonts w:ascii="Times New Roman" w:hAnsi="Times New Roman"/>
          <w:lang w:val="lt-LT"/>
        </w:rPr>
        <w:t xml:space="preserve">labiau dominuoja su P450 nesusiję būdai. Tyrimų </w:t>
      </w:r>
      <w:proofErr w:type="spellStart"/>
      <w:r w:rsidRPr="00273A3E">
        <w:rPr>
          <w:rFonts w:ascii="Times New Roman" w:hAnsi="Times New Roman"/>
          <w:i/>
          <w:lang w:val="lt-LT"/>
        </w:rPr>
        <w:t>in</w:t>
      </w:r>
      <w:proofErr w:type="spellEnd"/>
      <w:r w:rsidRPr="00273A3E">
        <w:rPr>
          <w:rFonts w:ascii="Times New Roman" w:hAnsi="Times New Roman"/>
          <w:i/>
          <w:lang w:val="lt-LT"/>
        </w:rPr>
        <w:t xml:space="preserve"> </w:t>
      </w:r>
      <w:proofErr w:type="spellStart"/>
      <w:r w:rsidRPr="00273A3E">
        <w:rPr>
          <w:rFonts w:ascii="Times New Roman" w:hAnsi="Times New Roman"/>
          <w:i/>
          <w:lang w:val="lt-LT"/>
        </w:rPr>
        <w:t>vitro</w:t>
      </w:r>
      <w:proofErr w:type="spellEnd"/>
      <w:r w:rsidRPr="00273A3E">
        <w:rPr>
          <w:rFonts w:ascii="Times New Roman" w:hAnsi="Times New Roman"/>
          <w:i/>
          <w:lang w:val="lt-LT"/>
        </w:rPr>
        <w:t xml:space="preserve"> </w:t>
      </w:r>
      <w:r w:rsidRPr="00273A3E">
        <w:rPr>
          <w:rFonts w:ascii="Times New Roman" w:hAnsi="Times New Roman"/>
          <w:lang w:val="lt-LT"/>
        </w:rPr>
        <w:t xml:space="preserve">duomenimis, CYP450 </w:t>
      </w:r>
      <w:proofErr w:type="spellStart"/>
      <w:r w:rsidRPr="00273A3E">
        <w:rPr>
          <w:rFonts w:ascii="Times New Roman" w:hAnsi="Times New Roman"/>
          <w:lang w:val="lt-LT"/>
        </w:rPr>
        <w:t>izofermentų</w:t>
      </w:r>
      <w:proofErr w:type="spellEnd"/>
      <w:r w:rsidRPr="00273A3E">
        <w:rPr>
          <w:rFonts w:ascii="Times New Roman" w:hAnsi="Times New Roman"/>
          <w:lang w:val="lt-LT"/>
        </w:rPr>
        <w:t xml:space="preserve">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neslopina.</w:t>
      </w:r>
    </w:p>
    <w:p w14:paraId="0798497F" w14:textId="77777777" w:rsidR="001E5C66" w:rsidRPr="00273A3E" w:rsidRDefault="001E5C66" w:rsidP="009F71ED">
      <w:pPr>
        <w:tabs>
          <w:tab w:val="left" w:pos="567"/>
        </w:tabs>
        <w:spacing w:after="0" w:line="240" w:lineRule="auto"/>
        <w:rPr>
          <w:rFonts w:ascii="Times New Roman" w:hAnsi="Times New Roman"/>
          <w:lang w:val="lt-LT"/>
        </w:rPr>
      </w:pPr>
    </w:p>
    <w:p w14:paraId="78485105" w14:textId="77777777" w:rsidR="001E5C66" w:rsidRPr="00273A3E" w:rsidRDefault="001E5C66"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Eliminacija</w:t>
      </w:r>
    </w:p>
    <w:p w14:paraId="09591C63"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Daugiausia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eliminuojama</w:t>
      </w:r>
      <w:r w:rsidR="00CD42B3" w:rsidRPr="00273A3E">
        <w:rPr>
          <w:rFonts w:ascii="Times New Roman" w:hAnsi="Times New Roman"/>
          <w:lang w:val="lt-LT"/>
        </w:rPr>
        <w:t xml:space="preserve"> </w:t>
      </w:r>
      <w:proofErr w:type="spellStart"/>
      <w:r w:rsidR="00FF0074" w:rsidRPr="00273A3E">
        <w:rPr>
          <w:rFonts w:ascii="Times New Roman" w:hAnsi="Times New Roman"/>
          <w:lang w:val="lt-LT"/>
        </w:rPr>
        <w:t>met</w:t>
      </w:r>
      <w:r w:rsidRPr="00273A3E">
        <w:rPr>
          <w:rFonts w:ascii="Times New Roman" w:hAnsi="Times New Roman"/>
          <w:lang w:val="lt-LT"/>
        </w:rPr>
        <w:t>abolizuota</w:t>
      </w:r>
      <w:proofErr w:type="spellEnd"/>
      <w:r w:rsidRPr="00273A3E">
        <w:rPr>
          <w:rFonts w:ascii="Times New Roman" w:hAnsi="Times New Roman"/>
          <w:lang w:val="lt-LT"/>
        </w:rPr>
        <w:t xml:space="preserve"> forma. Pagrindinis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w:t>
      </w:r>
      <w:proofErr w:type="spellStart"/>
      <w:r w:rsidRPr="00273A3E">
        <w:rPr>
          <w:rFonts w:ascii="Times New Roman" w:hAnsi="Times New Roman"/>
          <w:lang w:val="lt-LT"/>
        </w:rPr>
        <w:t>ekskrecijos</w:t>
      </w:r>
      <w:proofErr w:type="spellEnd"/>
      <w:r w:rsidRPr="00273A3E">
        <w:rPr>
          <w:rFonts w:ascii="Times New Roman" w:hAnsi="Times New Roman"/>
          <w:lang w:val="lt-LT"/>
        </w:rPr>
        <w:t xml:space="preserve"> būdas yra šalinimas su išmatomis, mažiau kaip 1 % vaistinio preparato išskiriama su šlapimu.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klirensas yra didelis (11</w:t>
      </w:r>
      <w:r w:rsidR="007F07DF" w:rsidRPr="00273A3E">
        <w:rPr>
          <w:rFonts w:ascii="Times New Roman" w:hAnsi="Times New Roman"/>
          <w:lang w:val="lt-LT"/>
        </w:rPr>
        <w:t> </w:t>
      </w:r>
      <w:r w:rsidRPr="00273A3E">
        <w:rPr>
          <w:rFonts w:ascii="Times New Roman" w:hAnsi="Times New Roman"/>
          <w:lang w:val="lt-LT"/>
        </w:rPr>
        <w:t>±</w:t>
      </w:r>
      <w:r w:rsidR="007F07DF" w:rsidRPr="00273A3E">
        <w:rPr>
          <w:rFonts w:ascii="Times New Roman" w:hAnsi="Times New Roman"/>
          <w:lang w:val="lt-LT"/>
        </w:rPr>
        <w:t> </w:t>
      </w:r>
      <w:r w:rsidRPr="00273A3E">
        <w:rPr>
          <w:rFonts w:ascii="Times New Roman" w:hAnsi="Times New Roman"/>
          <w:lang w:val="lt-LT"/>
        </w:rPr>
        <w:t>1,7</w:t>
      </w:r>
      <w:r w:rsidR="00FF0074" w:rsidRPr="00273A3E">
        <w:rPr>
          <w:rFonts w:ascii="Times New Roman" w:hAnsi="Times New Roman"/>
          <w:lang w:val="lt-LT"/>
        </w:rPr>
        <w:t> ml</w:t>
      </w:r>
      <w:r w:rsidRPr="00273A3E">
        <w:rPr>
          <w:rFonts w:ascii="Times New Roman" w:hAnsi="Times New Roman"/>
          <w:lang w:val="lt-LT"/>
        </w:rPr>
        <w:t xml:space="preserve">/min./kg), tai rodo didelę </w:t>
      </w:r>
      <w:r w:rsidR="00E227FB" w:rsidRPr="00273A3E">
        <w:rPr>
          <w:rFonts w:ascii="Times New Roman" w:hAnsi="Times New Roman"/>
          <w:lang w:val="lt-LT"/>
        </w:rPr>
        <w:t xml:space="preserve">kepenų </w:t>
      </w:r>
      <w:r w:rsidRPr="00273A3E">
        <w:rPr>
          <w:rFonts w:ascii="Times New Roman" w:hAnsi="Times New Roman"/>
          <w:lang w:val="lt-LT"/>
        </w:rPr>
        <w:t>ekstrakcijos proporciją. Galutinį pusinio gyvavimo laiką (t</w:t>
      </w:r>
      <w:r w:rsidRPr="00273A3E">
        <w:rPr>
          <w:rFonts w:ascii="Times New Roman" w:hAnsi="Times New Roman"/>
          <w:vertAlign w:val="subscript"/>
          <w:lang w:val="lt-LT"/>
        </w:rPr>
        <w:t>1/2</w:t>
      </w:r>
      <w:r w:rsidRPr="00273A3E">
        <w:rPr>
          <w:rFonts w:ascii="Times New Roman" w:hAnsi="Times New Roman"/>
          <w:lang w:val="lt-LT"/>
        </w:rPr>
        <w:t>) po injekcijos į raumenis, apsprendžia absorbcijos greitis (apskaičiavimo duomenimis jis lygus 50 dienų).</w:t>
      </w:r>
    </w:p>
    <w:p w14:paraId="3AA2C746" w14:textId="77777777" w:rsidR="001E5C66" w:rsidRPr="00273A3E" w:rsidRDefault="001E5C66" w:rsidP="009F71ED">
      <w:pPr>
        <w:tabs>
          <w:tab w:val="left" w:pos="567"/>
        </w:tabs>
        <w:spacing w:after="0" w:line="240" w:lineRule="auto"/>
        <w:rPr>
          <w:rFonts w:ascii="Times New Roman" w:hAnsi="Times New Roman"/>
          <w:lang w:val="lt-LT"/>
        </w:rPr>
      </w:pPr>
    </w:p>
    <w:p w14:paraId="11C3A2F2" w14:textId="77777777" w:rsidR="001E5C66" w:rsidRPr="00273A3E" w:rsidRDefault="001E5C66"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Ypatingos populiacijos</w:t>
      </w:r>
    </w:p>
    <w:p w14:paraId="194EE194"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III</w:t>
      </w:r>
      <w:r w:rsidR="007F07DF" w:rsidRPr="00273A3E">
        <w:rPr>
          <w:rFonts w:ascii="Times New Roman" w:hAnsi="Times New Roman"/>
          <w:lang w:val="lt-LT"/>
        </w:rPr>
        <w:t> </w:t>
      </w:r>
      <w:r w:rsidRPr="00273A3E">
        <w:rPr>
          <w:rFonts w:ascii="Times New Roman" w:hAnsi="Times New Roman"/>
          <w:lang w:val="lt-LT"/>
        </w:rPr>
        <w:t>fazės tyrimų</w:t>
      </w:r>
      <w:r w:rsidR="0023183B"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gautų farmakokinetikos duomenų </w:t>
      </w:r>
      <w:proofErr w:type="spellStart"/>
      <w:r w:rsidRPr="00273A3E">
        <w:rPr>
          <w:rFonts w:ascii="Times New Roman" w:hAnsi="Times New Roman"/>
          <w:lang w:val="lt-LT"/>
        </w:rPr>
        <w:t>populiacinė</w:t>
      </w:r>
      <w:proofErr w:type="spellEnd"/>
      <w:r w:rsidRPr="00273A3E">
        <w:rPr>
          <w:rFonts w:ascii="Times New Roman" w:hAnsi="Times New Roman"/>
          <w:lang w:val="lt-LT"/>
        </w:rPr>
        <w:t xml:space="preserve"> analizė su amžiumi (33</w:t>
      </w:r>
      <w:r w:rsidR="007F07DF" w:rsidRPr="00273A3E">
        <w:rPr>
          <w:rFonts w:ascii="Times New Roman" w:hAnsi="Times New Roman"/>
          <w:lang w:val="lt-LT"/>
        </w:rPr>
        <w:t>–</w:t>
      </w:r>
      <w:r w:rsidRPr="00273A3E">
        <w:rPr>
          <w:rFonts w:ascii="Times New Roman" w:hAnsi="Times New Roman"/>
          <w:lang w:val="lt-LT"/>
        </w:rPr>
        <w:t>89</w:t>
      </w:r>
      <w:r w:rsidR="00FF0074" w:rsidRPr="00273A3E">
        <w:rPr>
          <w:rFonts w:ascii="Times New Roman" w:hAnsi="Times New Roman"/>
          <w:lang w:val="lt-LT"/>
        </w:rPr>
        <w:t> met</w:t>
      </w:r>
      <w:r w:rsidRPr="00273A3E">
        <w:rPr>
          <w:rFonts w:ascii="Times New Roman" w:hAnsi="Times New Roman"/>
          <w:lang w:val="lt-LT"/>
        </w:rPr>
        <w:t>ų), svoriu (40</w:t>
      </w:r>
      <w:r w:rsidR="007F07DF" w:rsidRPr="00273A3E">
        <w:rPr>
          <w:rFonts w:ascii="Times New Roman" w:hAnsi="Times New Roman"/>
          <w:lang w:val="lt-LT"/>
        </w:rPr>
        <w:t>–</w:t>
      </w:r>
      <w:r w:rsidRPr="00273A3E">
        <w:rPr>
          <w:rFonts w:ascii="Times New Roman" w:hAnsi="Times New Roman"/>
          <w:lang w:val="lt-LT"/>
        </w:rPr>
        <w:t xml:space="preserve">127 kg) ar rase susijusių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farmakokinetikos charakteristikos skirtumų neparodė.</w:t>
      </w:r>
    </w:p>
    <w:p w14:paraId="02309F12" w14:textId="77777777" w:rsidR="001E5C66" w:rsidRPr="00273A3E" w:rsidRDefault="001E5C66" w:rsidP="009F71ED">
      <w:pPr>
        <w:tabs>
          <w:tab w:val="left" w:pos="567"/>
        </w:tabs>
        <w:spacing w:after="0" w:line="240" w:lineRule="auto"/>
        <w:rPr>
          <w:rFonts w:ascii="Times New Roman" w:hAnsi="Times New Roman"/>
          <w:lang w:val="lt-LT"/>
        </w:rPr>
      </w:pPr>
    </w:p>
    <w:p w14:paraId="1E5320C6" w14:textId="77777777" w:rsidR="001E5C66" w:rsidRPr="00273A3E" w:rsidRDefault="001E5C66" w:rsidP="009F71ED">
      <w:pPr>
        <w:tabs>
          <w:tab w:val="left" w:pos="567"/>
        </w:tabs>
        <w:spacing w:after="0" w:line="240" w:lineRule="auto"/>
        <w:rPr>
          <w:rFonts w:ascii="Times New Roman" w:hAnsi="Times New Roman"/>
          <w:i/>
          <w:lang w:val="lt-LT"/>
        </w:rPr>
      </w:pPr>
      <w:r w:rsidRPr="00273A3E">
        <w:rPr>
          <w:rFonts w:ascii="Times New Roman" w:hAnsi="Times New Roman"/>
          <w:i/>
          <w:lang w:val="lt-LT"/>
        </w:rPr>
        <w:t>Sutrikusi inkstų funkcija</w:t>
      </w:r>
    </w:p>
    <w:p w14:paraId="761D1E5A"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Lengvas ar vidutinio sunkumo inkstų funkcijos sutrikimas joki</w:t>
      </w:r>
      <w:r w:rsidR="00E227FB" w:rsidRPr="00273A3E">
        <w:rPr>
          <w:rFonts w:ascii="Times New Roman" w:hAnsi="Times New Roman"/>
          <w:lang w:val="lt-LT"/>
        </w:rPr>
        <w:t>os</w:t>
      </w:r>
      <w:r w:rsidRPr="00273A3E">
        <w:rPr>
          <w:rFonts w:ascii="Times New Roman" w:hAnsi="Times New Roman"/>
          <w:lang w:val="lt-LT"/>
        </w:rPr>
        <w:t xml:space="preserve"> kliniškai reikšming</w:t>
      </w:r>
      <w:r w:rsidR="00E227FB" w:rsidRPr="00273A3E">
        <w:rPr>
          <w:rFonts w:ascii="Times New Roman" w:hAnsi="Times New Roman"/>
          <w:lang w:val="lt-LT"/>
        </w:rPr>
        <w:t>os</w:t>
      </w:r>
      <w:r w:rsidR="008669A5" w:rsidRPr="00273A3E">
        <w:rPr>
          <w:rFonts w:ascii="Times New Roman" w:hAnsi="Times New Roman"/>
          <w:lang w:val="lt-LT"/>
        </w:rPr>
        <w:t xml:space="preserve"> </w:t>
      </w:r>
      <w:r w:rsidRPr="00273A3E">
        <w:rPr>
          <w:rFonts w:ascii="Times New Roman" w:hAnsi="Times New Roman"/>
          <w:lang w:val="lt-LT"/>
        </w:rPr>
        <w:t xml:space="preserve">įtakos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farmakokinetikai neturėjo.</w:t>
      </w:r>
    </w:p>
    <w:p w14:paraId="56224C0B" w14:textId="77777777" w:rsidR="001E5C66" w:rsidRPr="00273A3E" w:rsidRDefault="001E5C66" w:rsidP="009F71ED">
      <w:pPr>
        <w:tabs>
          <w:tab w:val="left" w:pos="567"/>
        </w:tabs>
        <w:spacing w:after="0" w:line="240" w:lineRule="auto"/>
        <w:rPr>
          <w:rFonts w:ascii="Times New Roman" w:hAnsi="Times New Roman"/>
          <w:u w:val="single"/>
          <w:lang w:val="lt-LT"/>
        </w:rPr>
      </w:pPr>
    </w:p>
    <w:p w14:paraId="7CCC2AD1" w14:textId="77777777" w:rsidR="001E5C66" w:rsidRPr="00273A3E" w:rsidRDefault="001E5C66" w:rsidP="009F71ED">
      <w:pPr>
        <w:tabs>
          <w:tab w:val="left" w:pos="567"/>
        </w:tabs>
        <w:spacing w:after="0" w:line="240" w:lineRule="auto"/>
        <w:rPr>
          <w:rFonts w:ascii="Times New Roman" w:hAnsi="Times New Roman"/>
          <w:i/>
          <w:lang w:val="lt-LT"/>
        </w:rPr>
      </w:pPr>
      <w:r w:rsidRPr="00273A3E">
        <w:rPr>
          <w:rFonts w:ascii="Times New Roman" w:hAnsi="Times New Roman"/>
          <w:i/>
          <w:lang w:val="lt-LT"/>
        </w:rPr>
        <w:t>Sutrikusi kepenų funkcija</w:t>
      </w:r>
    </w:p>
    <w:p w14:paraId="3F93988D"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Klinikinio tyrimo, kuriame dalyvavusioms moterims buvo lengvas ar vidutinio sunkumo kepenų funkcijos sutrikimas (A ir B klasės pagal </w:t>
      </w:r>
      <w:proofErr w:type="spellStart"/>
      <w:r w:rsidRPr="00273A3E">
        <w:rPr>
          <w:rFonts w:ascii="Times New Roman" w:hAnsi="Times New Roman"/>
          <w:i/>
          <w:lang w:val="lt-LT"/>
        </w:rPr>
        <w:t>Child-Pugh</w:t>
      </w:r>
      <w:proofErr w:type="spellEnd"/>
      <w:r w:rsidRPr="00273A3E">
        <w:rPr>
          <w:rFonts w:ascii="Times New Roman" w:hAnsi="Times New Roman"/>
          <w:lang w:val="lt-LT"/>
        </w:rPr>
        <w:t>),</w:t>
      </w:r>
      <w:r w:rsidR="00CD42B3"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įvertinta vienos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dozės farmakokinetika. Vartota didelė trumpesnio veikimo farmacinės formos, leidžiamos į raumenis, dozė. Moterų, kurioms yra kepenų funkcijos sutrikimas, AUC buvo maždaug iki 2,5 karto didesnis, negu sveikų. Tikėtina, kad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vartojančios pacientės tokį ekspozicijos padidėjimą turėtų toleruoti gerai. Tyrimų su moterimis, kurioms yra sunkus kepenų funkcijos sutrikimas (C klasės pagal </w:t>
      </w:r>
      <w:proofErr w:type="spellStart"/>
      <w:r w:rsidRPr="00273A3E">
        <w:rPr>
          <w:rFonts w:ascii="Times New Roman" w:hAnsi="Times New Roman"/>
          <w:i/>
          <w:lang w:val="lt-LT"/>
        </w:rPr>
        <w:t>Child-Pugh</w:t>
      </w:r>
      <w:proofErr w:type="spellEnd"/>
      <w:r w:rsidRPr="00273A3E">
        <w:rPr>
          <w:rFonts w:ascii="Times New Roman" w:hAnsi="Times New Roman"/>
          <w:lang w:val="lt-LT"/>
        </w:rPr>
        <w:t>), neatlikta.</w:t>
      </w:r>
    </w:p>
    <w:p w14:paraId="1C50202F" w14:textId="77777777" w:rsidR="001E5C66" w:rsidRPr="00273A3E" w:rsidRDefault="001E5C66" w:rsidP="009F71ED">
      <w:pPr>
        <w:tabs>
          <w:tab w:val="left" w:pos="567"/>
        </w:tabs>
        <w:spacing w:after="0" w:line="240" w:lineRule="auto"/>
        <w:rPr>
          <w:rFonts w:ascii="Times New Roman" w:hAnsi="Times New Roman"/>
          <w:lang w:val="lt-LT"/>
        </w:rPr>
      </w:pPr>
    </w:p>
    <w:p w14:paraId="48EF5F13" w14:textId="77777777" w:rsidR="001E5C66" w:rsidRPr="00273A3E" w:rsidRDefault="001E5C66" w:rsidP="009F71ED">
      <w:pPr>
        <w:tabs>
          <w:tab w:val="left" w:pos="567"/>
        </w:tabs>
        <w:spacing w:after="0" w:line="240" w:lineRule="auto"/>
        <w:rPr>
          <w:rFonts w:ascii="Times New Roman" w:hAnsi="Times New Roman"/>
          <w:i/>
          <w:lang w:val="lt-LT"/>
        </w:rPr>
      </w:pPr>
      <w:r w:rsidRPr="00273A3E">
        <w:rPr>
          <w:rFonts w:ascii="Times New Roman" w:hAnsi="Times New Roman"/>
          <w:i/>
          <w:lang w:val="lt-LT"/>
        </w:rPr>
        <w:t>Vaikų populiacija</w:t>
      </w:r>
    </w:p>
    <w:p w14:paraId="221F37FE"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farmakokinetika buvo įvertinta klinikinio tyrimo, kuriame dalyvavusioms 30</w:t>
      </w:r>
      <w:r w:rsidR="007F07DF" w:rsidRPr="00273A3E">
        <w:rPr>
          <w:rFonts w:ascii="Times New Roman" w:hAnsi="Times New Roman"/>
          <w:lang w:val="lt-LT"/>
        </w:rPr>
        <w:t> </w:t>
      </w:r>
      <w:r w:rsidRPr="00273A3E">
        <w:rPr>
          <w:rFonts w:ascii="Times New Roman" w:hAnsi="Times New Roman"/>
          <w:lang w:val="lt-LT"/>
        </w:rPr>
        <w:t xml:space="preserve">mergaičių buvo nustatytas progresuojantis priešlaikinis brendimas, susijęs su </w:t>
      </w:r>
      <w:proofErr w:type="spellStart"/>
      <w:r w:rsidRPr="00273A3E">
        <w:rPr>
          <w:rFonts w:ascii="Times New Roman" w:hAnsi="Times New Roman"/>
          <w:i/>
          <w:lang w:val="lt-LT"/>
        </w:rPr>
        <w:t>McCune</w:t>
      </w:r>
      <w:proofErr w:type="spellEnd"/>
      <w:r w:rsidRPr="00273A3E">
        <w:rPr>
          <w:rFonts w:ascii="Times New Roman" w:hAnsi="Times New Roman"/>
          <w:i/>
          <w:lang w:val="lt-LT"/>
        </w:rPr>
        <w:t xml:space="preserve"> </w:t>
      </w:r>
      <w:proofErr w:type="spellStart"/>
      <w:r w:rsidRPr="00273A3E">
        <w:rPr>
          <w:rFonts w:ascii="Times New Roman" w:hAnsi="Times New Roman"/>
          <w:i/>
          <w:lang w:val="lt-LT"/>
        </w:rPr>
        <w:t>Albright</w:t>
      </w:r>
      <w:proofErr w:type="spellEnd"/>
      <w:r w:rsidRPr="00273A3E">
        <w:rPr>
          <w:rFonts w:ascii="Times New Roman" w:hAnsi="Times New Roman"/>
          <w:lang w:val="lt-LT"/>
        </w:rPr>
        <w:t xml:space="preserve"> sindromu,</w:t>
      </w:r>
      <w:r w:rsidR="007F07DF"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u (žr. 5.1</w:t>
      </w:r>
      <w:r w:rsidR="00FF0074" w:rsidRPr="00273A3E">
        <w:rPr>
          <w:rFonts w:ascii="Times New Roman" w:hAnsi="Times New Roman"/>
          <w:lang w:val="lt-LT"/>
        </w:rPr>
        <w:t> skyri</w:t>
      </w:r>
      <w:r w:rsidRPr="00273A3E">
        <w:rPr>
          <w:rFonts w:ascii="Times New Roman" w:hAnsi="Times New Roman"/>
          <w:lang w:val="lt-LT"/>
        </w:rPr>
        <w:t>ų). Pediatrinio amžiaus (nuo 1 iki 8</w:t>
      </w:r>
      <w:r w:rsidR="00FF0074" w:rsidRPr="00273A3E">
        <w:rPr>
          <w:rFonts w:ascii="Times New Roman" w:hAnsi="Times New Roman"/>
          <w:lang w:val="lt-LT"/>
        </w:rPr>
        <w:t> met</w:t>
      </w:r>
      <w:r w:rsidRPr="00273A3E">
        <w:rPr>
          <w:rFonts w:ascii="Times New Roman" w:hAnsi="Times New Roman"/>
          <w:lang w:val="lt-LT"/>
        </w:rPr>
        <w:t>ų) pacientėms kas mėnesį buvo leidžiama po 4</w:t>
      </w:r>
      <w:r w:rsidR="00FF0074" w:rsidRPr="00273A3E">
        <w:rPr>
          <w:rFonts w:ascii="Times New Roman" w:hAnsi="Times New Roman"/>
          <w:lang w:val="lt-LT"/>
        </w:rPr>
        <w:t> mg</w:t>
      </w:r>
      <w:r w:rsidRPr="00273A3E">
        <w:rPr>
          <w:rFonts w:ascii="Times New Roman" w:hAnsi="Times New Roman"/>
          <w:lang w:val="lt-LT"/>
        </w:rPr>
        <w:t xml:space="preserve">/kg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į raumenis. Minimalios koncentracijos esant </w:t>
      </w:r>
      <w:proofErr w:type="spellStart"/>
      <w:r w:rsidRPr="00273A3E">
        <w:rPr>
          <w:rFonts w:ascii="Times New Roman" w:hAnsi="Times New Roman"/>
          <w:lang w:val="lt-LT"/>
        </w:rPr>
        <w:t>pusiausvyrinei</w:t>
      </w:r>
      <w:proofErr w:type="spellEnd"/>
      <w:r w:rsidRPr="00273A3E">
        <w:rPr>
          <w:rFonts w:ascii="Times New Roman" w:hAnsi="Times New Roman"/>
          <w:lang w:val="lt-LT"/>
        </w:rPr>
        <w:t xml:space="preserve"> apykaitai (</w:t>
      </w:r>
      <w:proofErr w:type="spellStart"/>
      <w:r w:rsidRPr="00273A3E">
        <w:rPr>
          <w:rFonts w:ascii="Times New Roman" w:hAnsi="Times New Roman"/>
          <w:lang w:val="lt-LT"/>
        </w:rPr>
        <w:t>C</w:t>
      </w:r>
      <w:r w:rsidRPr="00273A3E">
        <w:rPr>
          <w:rFonts w:ascii="Times New Roman" w:hAnsi="Times New Roman"/>
          <w:vertAlign w:val="subscript"/>
          <w:lang w:val="lt-LT"/>
        </w:rPr>
        <w:t>min,ss</w:t>
      </w:r>
      <w:proofErr w:type="spellEnd"/>
      <w:r w:rsidRPr="00273A3E">
        <w:rPr>
          <w:rFonts w:ascii="Times New Roman" w:hAnsi="Times New Roman"/>
          <w:lang w:val="lt-LT"/>
        </w:rPr>
        <w:t>) geometrinis vidurkis (standartinis nuokrypis) buvo 4,2 (0,9)</w:t>
      </w:r>
      <w:r w:rsidR="00614C49" w:rsidRPr="00273A3E">
        <w:rPr>
          <w:rFonts w:ascii="Times New Roman" w:hAnsi="Times New Roman"/>
          <w:lang w:val="lt-LT"/>
        </w:rPr>
        <w:t> </w:t>
      </w:r>
      <w:proofErr w:type="spellStart"/>
      <w:r w:rsidRPr="00273A3E">
        <w:rPr>
          <w:rFonts w:ascii="Times New Roman" w:hAnsi="Times New Roman"/>
          <w:lang w:val="lt-LT"/>
        </w:rPr>
        <w:t>ng</w:t>
      </w:r>
      <w:proofErr w:type="spellEnd"/>
      <w:r w:rsidRPr="00273A3E">
        <w:rPr>
          <w:rFonts w:ascii="Times New Roman" w:hAnsi="Times New Roman"/>
          <w:lang w:val="lt-LT"/>
        </w:rPr>
        <w:t xml:space="preserve">/ml ir </w:t>
      </w:r>
      <w:r w:rsidR="00B7296D" w:rsidRPr="00273A3E">
        <w:rPr>
          <w:rFonts w:ascii="Times New Roman" w:hAnsi="Times New Roman"/>
          <w:lang w:val="lt-LT"/>
        </w:rPr>
        <w:t xml:space="preserve">atitinkamai </w:t>
      </w:r>
      <w:proofErr w:type="spellStart"/>
      <w:r w:rsidRPr="00273A3E">
        <w:rPr>
          <w:rFonts w:ascii="Times New Roman" w:hAnsi="Times New Roman"/>
          <w:lang w:val="lt-LT"/>
        </w:rPr>
        <w:t>AUC</w:t>
      </w:r>
      <w:r w:rsidRPr="00273A3E">
        <w:rPr>
          <w:rFonts w:ascii="Times New Roman" w:hAnsi="Times New Roman"/>
          <w:vertAlign w:val="subscript"/>
          <w:lang w:val="lt-LT"/>
        </w:rPr>
        <w:t>ss</w:t>
      </w:r>
      <w:proofErr w:type="spellEnd"/>
      <w:r w:rsidRPr="00273A3E">
        <w:rPr>
          <w:rFonts w:ascii="Times New Roman" w:hAnsi="Times New Roman"/>
          <w:lang w:val="lt-LT"/>
        </w:rPr>
        <w:t xml:space="preserve"> – 3680 (1020)</w:t>
      </w:r>
      <w:r w:rsidR="00614C49" w:rsidRPr="00273A3E">
        <w:rPr>
          <w:rFonts w:ascii="Times New Roman" w:hAnsi="Times New Roman"/>
          <w:lang w:val="lt-LT"/>
        </w:rPr>
        <w:t> </w:t>
      </w:r>
      <w:proofErr w:type="spellStart"/>
      <w:r w:rsidRPr="00273A3E">
        <w:rPr>
          <w:rFonts w:ascii="Times New Roman" w:hAnsi="Times New Roman"/>
          <w:lang w:val="lt-LT"/>
        </w:rPr>
        <w:t>ng</w:t>
      </w:r>
      <w:proofErr w:type="spellEnd"/>
      <w:r w:rsidRPr="00273A3E">
        <w:rPr>
          <w:rFonts w:ascii="Times New Roman" w:hAnsi="Times New Roman"/>
          <w:lang w:val="lt-LT"/>
        </w:rPr>
        <w:t xml:space="preserve">*val./ml. Nors duomenų gauta nedaug, tačiau jie rodo, kad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minimalios koncentracijos esant </w:t>
      </w:r>
      <w:proofErr w:type="spellStart"/>
      <w:r w:rsidRPr="00273A3E">
        <w:rPr>
          <w:rFonts w:ascii="Times New Roman" w:hAnsi="Times New Roman"/>
          <w:lang w:val="lt-LT"/>
        </w:rPr>
        <w:t>pusiausvyrinei</w:t>
      </w:r>
      <w:proofErr w:type="spellEnd"/>
      <w:r w:rsidRPr="00273A3E">
        <w:rPr>
          <w:rFonts w:ascii="Times New Roman" w:hAnsi="Times New Roman"/>
          <w:lang w:val="lt-LT"/>
        </w:rPr>
        <w:t xml:space="preserve"> apykaitai vaikams atitinka nustatytas suaugusiesiems.</w:t>
      </w:r>
    </w:p>
    <w:p w14:paraId="22B3C7D1" w14:textId="77777777" w:rsidR="001E5C66" w:rsidRPr="00273A3E" w:rsidRDefault="001E5C66" w:rsidP="009F71ED">
      <w:pPr>
        <w:tabs>
          <w:tab w:val="left" w:pos="567"/>
        </w:tabs>
        <w:spacing w:after="0" w:line="240" w:lineRule="auto"/>
        <w:rPr>
          <w:rFonts w:ascii="Times New Roman" w:hAnsi="Times New Roman"/>
          <w:b/>
          <w:lang w:val="lt-LT"/>
        </w:rPr>
      </w:pPr>
    </w:p>
    <w:p w14:paraId="66056DC5"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5.3</w:t>
      </w:r>
      <w:r w:rsidRPr="00273A3E">
        <w:rPr>
          <w:rFonts w:ascii="Times New Roman" w:hAnsi="Times New Roman"/>
          <w:b/>
          <w:lang w:val="lt-LT"/>
        </w:rPr>
        <w:tab/>
      </w:r>
      <w:proofErr w:type="spellStart"/>
      <w:r w:rsidRPr="00273A3E">
        <w:rPr>
          <w:rFonts w:ascii="Times New Roman" w:hAnsi="Times New Roman"/>
          <w:b/>
          <w:lang w:val="lt-LT"/>
        </w:rPr>
        <w:t>Ikiklinikinių</w:t>
      </w:r>
      <w:proofErr w:type="spellEnd"/>
      <w:r w:rsidRPr="00273A3E">
        <w:rPr>
          <w:rFonts w:ascii="Times New Roman" w:hAnsi="Times New Roman"/>
          <w:b/>
          <w:lang w:val="lt-LT"/>
        </w:rPr>
        <w:t xml:space="preserve"> saugumo tyrimų duomenys</w:t>
      </w:r>
    </w:p>
    <w:p w14:paraId="79511E64"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3807DDE3"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ūminis toksinis poveikis yra mažas.</w:t>
      </w:r>
    </w:p>
    <w:p w14:paraId="20D8152C" w14:textId="77777777" w:rsidR="001E5C66" w:rsidRPr="00273A3E" w:rsidRDefault="001E5C66" w:rsidP="009F71ED">
      <w:pPr>
        <w:tabs>
          <w:tab w:val="left" w:pos="567"/>
        </w:tabs>
        <w:spacing w:after="0" w:line="240" w:lineRule="auto"/>
        <w:rPr>
          <w:rFonts w:ascii="Times New Roman" w:hAnsi="Times New Roman"/>
          <w:lang w:val="lt-LT"/>
        </w:rPr>
      </w:pPr>
    </w:p>
    <w:p w14:paraId="1CB10C4F"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Gyvūnai gerai toleravo </w:t>
      </w:r>
      <w:r w:rsidR="00632252" w:rsidRPr="00273A3E">
        <w:rPr>
          <w:rFonts w:ascii="Times New Roman" w:hAnsi="Times New Roman"/>
          <w:lang w:val="lt-LT"/>
        </w:rPr>
        <w:t xml:space="preserve">daugkartines </w:t>
      </w:r>
      <w:proofErr w:type="spellStart"/>
      <w:r w:rsidR="00C109CA" w:rsidRPr="00273A3E">
        <w:rPr>
          <w:rFonts w:ascii="Times New Roman" w:hAnsi="Times New Roman"/>
          <w:lang w:val="lt-LT"/>
        </w:rPr>
        <w:t>fulvestrant</w:t>
      </w:r>
      <w:r w:rsidR="00632252" w:rsidRPr="00273A3E">
        <w:rPr>
          <w:rFonts w:ascii="Times New Roman" w:hAnsi="Times New Roman"/>
          <w:lang w:val="lt-LT"/>
        </w:rPr>
        <w:t>o</w:t>
      </w:r>
      <w:proofErr w:type="spellEnd"/>
      <w:r w:rsidR="00632252" w:rsidRPr="00273A3E">
        <w:rPr>
          <w:rFonts w:ascii="Times New Roman" w:hAnsi="Times New Roman"/>
          <w:lang w:val="lt-LT"/>
        </w:rPr>
        <w:t xml:space="preserve"> dozes</w:t>
      </w:r>
      <w:r w:rsidRPr="00273A3E">
        <w:rPr>
          <w:rFonts w:ascii="Times New Roman" w:hAnsi="Times New Roman"/>
          <w:lang w:val="lt-LT"/>
        </w:rPr>
        <w:t>. Lokalios reakcijos</w:t>
      </w:r>
      <w:r w:rsidR="00FD0BDB" w:rsidRPr="00273A3E">
        <w:rPr>
          <w:rFonts w:ascii="Times New Roman" w:hAnsi="Times New Roman"/>
          <w:lang w:val="lt-LT"/>
        </w:rPr>
        <w:t>, įskaitant</w:t>
      </w:r>
      <w:r w:rsidR="007957A2" w:rsidRPr="00273A3E">
        <w:rPr>
          <w:rFonts w:ascii="Times New Roman" w:hAnsi="Times New Roman"/>
          <w:lang w:val="lt-LT"/>
        </w:rPr>
        <w:t xml:space="preserve"> </w:t>
      </w:r>
      <w:proofErr w:type="spellStart"/>
      <w:r w:rsidRPr="00273A3E">
        <w:rPr>
          <w:rFonts w:ascii="Times New Roman" w:hAnsi="Times New Roman"/>
          <w:lang w:val="lt-LT"/>
        </w:rPr>
        <w:t>miozit</w:t>
      </w:r>
      <w:r w:rsidR="007957A2" w:rsidRPr="00273A3E">
        <w:rPr>
          <w:rFonts w:ascii="Times New Roman" w:hAnsi="Times New Roman"/>
          <w:lang w:val="lt-LT"/>
        </w:rPr>
        <w:t>ą</w:t>
      </w:r>
      <w:proofErr w:type="spellEnd"/>
      <w:r w:rsidRPr="00273A3E">
        <w:rPr>
          <w:rFonts w:ascii="Times New Roman" w:hAnsi="Times New Roman"/>
          <w:lang w:val="lt-LT"/>
        </w:rPr>
        <w:t xml:space="preserve"> ir </w:t>
      </w:r>
      <w:proofErr w:type="spellStart"/>
      <w:r w:rsidRPr="00273A3E">
        <w:rPr>
          <w:rFonts w:ascii="Times New Roman" w:hAnsi="Times New Roman"/>
          <w:lang w:val="lt-LT"/>
        </w:rPr>
        <w:t>granulom</w:t>
      </w:r>
      <w:r w:rsidR="007957A2" w:rsidRPr="00273A3E">
        <w:rPr>
          <w:rFonts w:ascii="Times New Roman" w:hAnsi="Times New Roman"/>
          <w:lang w:val="lt-LT"/>
        </w:rPr>
        <w:t>as</w:t>
      </w:r>
      <w:proofErr w:type="spellEnd"/>
      <w:r w:rsidRPr="00273A3E">
        <w:rPr>
          <w:rFonts w:ascii="Times New Roman" w:hAnsi="Times New Roman"/>
          <w:lang w:val="lt-LT"/>
        </w:rPr>
        <w:t xml:space="preserve"> injekcijos vietoje</w:t>
      </w:r>
      <w:r w:rsidR="007957A2" w:rsidRPr="00273A3E">
        <w:rPr>
          <w:rFonts w:ascii="Times New Roman" w:hAnsi="Times New Roman"/>
          <w:lang w:val="lt-LT"/>
        </w:rPr>
        <w:t>,</w:t>
      </w:r>
      <w:r w:rsidRPr="00273A3E">
        <w:rPr>
          <w:rFonts w:ascii="Times New Roman" w:hAnsi="Times New Roman"/>
          <w:lang w:val="lt-LT"/>
        </w:rPr>
        <w:t xml:space="preserve"> buvo susijusios su pagalbinėmis medžiagomis, tačiau triušiams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sukėlė sunkesnį </w:t>
      </w:r>
      <w:proofErr w:type="spellStart"/>
      <w:r w:rsidRPr="00273A3E">
        <w:rPr>
          <w:rFonts w:ascii="Times New Roman" w:hAnsi="Times New Roman"/>
          <w:lang w:val="lt-LT"/>
        </w:rPr>
        <w:t>miozitą</w:t>
      </w:r>
      <w:proofErr w:type="spellEnd"/>
      <w:r w:rsidRPr="00273A3E">
        <w:rPr>
          <w:rFonts w:ascii="Times New Roman" w:hAnsi="Times New Roman"/>
          <w:lang w:val="lt-LT"/>
        </w:rPr>
        <w:t xml:space="preserve">, negu kontrolinis natrio chlorido tirpalas. Tiriant daug kartų į raumenis leidžiamo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toksiškumą žiurkėms ir šunims, daugumą pastebėtų poveikių (labiausiai – patelių lytinei sistemai, bet taip pat kitiems hormonams jautriems abiejų lyčių organams) pasireiškė dėl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w:t>
      </w:r>
      <w:proofErr w:type="spellStart"/>
      <w:r w:rsidRPr="00273A3E">
        <w:rPr>
          <w:rFonts w:ascii="Times New Roman" w:hAnsi="Times New Roman"/>
          <w:lang w:val="lt-LT"/>
        </w:rPr>
        <w:t>antiestrogeninio</w:t>
      </w:r>
      <w:proofErr w:type="spellEnd"/>
      <w:r w:rsidRPr="00273A3E">
        <w:rPr>
          <w:rFonts w:ascii="Times New Roman" w:hAnsi="Times New Roman"/>
          <w:lang w:val="lt-LT"/>
        </w:rPr>
        <w:t xml:space="preserve"> aktyvumo. Ilgai (12 mėn.) davus šio vaistinio preparato kai kuriems šunims įvairiuose audiniuose pastebėtas </w:t>
      </w:r>
      <w:proofErr w:type="spellStart"/>
      <w:r w:rsidRPr="00273A3E">
        <w:rPr>
          <w:rFonts w:ascii="Times New Roman" w:hAnsi="Times New Roman"/>
          <w:lang w:val="lt-LT"/>
        </w:rPr>
        <w:t>arteritas</w:t>
      </w:r>
      <w:proofErr w:type="spellEnd"/>
      <w:r w:rsidRPr="00273A3E">
        <w:rPr>
          <w:rFonts w:ascii="Times New Roman" w:hAnsi="Times New Roman"/>
          <w:lang w:val="lt-LT"/>
        </w:rPr>
        <w:t>.</w:t>
      </w:r>
    </w:p>
    <w:p w14:paraId="4F31E593" w14:textId="77777777" w:rsidR="001E5C66" w:rsidRPr="00273A3E" w:rsidRDefault="001E5C66" w:rsidP="009F71ED">
      <w:pPr>
        <w:tabs>
          <w:tab w:val="left" w:pos="567"/>
        </w:tabs>
        <w:spacing w:after="0" w:line="240" w:lineRule="auto"/>
        <w:rPr>
          <w:rFonts w:ascii="Times New Roman" w:hAnsi="Times New Roman"/>
          <w:lang w:val="lt-LT"/>
        </w:rPr>
      </w:pPr>
    </w:p>
    <w:p w14:paraId="48411F0E"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Tyrimų</w:t>
      </w:r>
      <w:r w:rsidR="00827670" w:rsidRPr="00273A3E">
        <w:rPr>
          <w:rFonts w:ascii="Times New Roman" w:hAnsi="Times New Roman"/>
          <w:lang w:val="lt-LT"/>
        </w:rPr>
        <w:t xml:space="preserve"> </w:t>
      </w:r>
      <w:r w:rsidR="00FF0074" w:rsidRPr="00273A3E">
        <w:rPr>
          <w:rFonts w:ascii="Times New Roman" w:hAnsi="Times New Roman"/>
          <w:lang w:val="lt-LT"/>
        </w:rPr>
        <w:t>met</w:t>
      </w:r>
      <w:r w:rsidRPr="00273A3E">
        <w:rPr>
          <w:rFonts w:ascii="Times New Roman" w:hAnsi="Times New Roman"/>
          <w:lang w:val="lt-LT"/>
        </w:rPr>
        <w:t xml:space="preserve">u skiriant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per </w:t>
      </w:r>
      <w:r w:rsidR="00CB1A56" w:rsidRPr="00273A3E">
        <w:rPr>
          <w:rFonts w:ascii="Times New Roman" w:hAnsi="Times New Roman"/>
          <w:lang w:val="lt-LT"/>
        </w:rPr>
        <w:t>burną</w:t>
      </w:r>
      <w:r w:rsidRPr="00273A3E">
        <w:rPr>
          <w:rFonts w:ascii="Times New Roman" w:hAnsi="Times New Roman"/>
          <w:lang w:val="lt-LT"/>
        </w:rPr>
        <w:t xml:space="preserve"> ir į veną, pastebėta poveikių šunų širdies ir kraujagyslių sistemai: nežymus ST segmento EKG pakilimas (</w:t>
      </w:r>
      <w:r w:rsidR="00597932" w:rsidRPr="00273A3E">
        <w:rPr>
          <w:rFonts w:ascii="Times New Roman" w:hAnsi="Times New Roman"/>
          <w:lang w:val="lt-LT"/>
        </w:rPr>
        <w:t>skiriant per burną</w:t>
      </w:r>
      <w:r w:rsidRPr="00273A3E">
        <w:rPr>
          <w:rFonts w:ascii="Times New Roman" w:hAnsi="Times New Roman"/>
          <w:lang w:val="lt-LT"/>
        </w:rPr>
        <w:t xml:space="preserve">) bei (vienam šuniui) sinusinio mazgo veiklos sustojimas (į veną). Šių sutrikimų gyvūnams pasireiškė tada, kai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ekspozicija buvo didesnė negu pacientėms (</w:t>
      </w:r>
      <w:proofErr w:type="spellStart"/>
      <w:r w:rsidRPr="00273A3E">
        <w:rPr>
          <w:rFonts w:ascii="Times New Roman" w:hAnsi="Times New Roman"/>
          <w:lang w:val="lt-LT"/>
        </w:rPr>
        <w:t>C</w:t>
      </w:r>
      <w:r w:rsidRPr="00273A3E">
        <w:rPr>
          <w:rFonts w:ascii="Times New Roman" w:hAnsi="Times New Roman"/>
          <w:vertAlign w:val="subscript"/>
          <w:lang w:val="lt-LT"/>
        </w:rPr>
        <w:t>max</w:t>
      </w:r>
      <w:proofErr w:type="spellEnd"/>
      <w:r w:rsidRPr="00273A3E">
        <w:rPr>
          <w:rFonts w:ascii="Times New Roman" w:hAnsi="Times New Roman"/>
          <w:lang w:val="lt-LT"/>
        </w:rPr>
        <w:t xml:space="preserve"> – </w:t>
      </w:r>
      <w:r w:rsidR="007F6B3F" w:rsidRPr="00273A3E">
        <w:rPr>
          <w:rFonts w:ascii="Times New Roman" w:hAnsi="Times New Roman"/>
          <w:noProof/>
          <w:lang w:val="lt-LT"/>
        </w:rPr>
        <w:t>&gt; </w:t>
      </w:r>
      <w:r w:rsidRPr="00273A3E">
        <w:rPr>
          <w:rFonts w:ascii="Times New Roman" w:hAnsi="Times New Roman"/>
          <w:lang w:val="lt-LT"/>
        </w:rPr>
        <w:t>15 kartų) ir tikriausiai jų reikšmingumas klinikinę dozę vartojančio žmogaus saugumui yra ribotas.</w:t>
      </w:r>
    </w:p>
    <w:p w14:paraId="05513016" w14:textId="77777777" w:rsidR="001E5C66" w:rsidRPr="00273A3E" w:rsidRDefault="001E5C66" w:rsidP="009F71ED">
      <w:pPr>
        <w:tabs>
          <w:tab w:val="left" w:pos="567"/>
        </w:tabs>
        <w:spacing w:after="0" w:line="240" w:lineRule="auto"/>
        <w:rPr>
          <w:rFonts w:ascii="Times New Roman" w:hAnsi="Times New Roman"/>
          <w:lang w:val="lt-LT"/>
        </w:rPr>
      </w:pPr>
    </w:p>
    <w:p w14:paraId="16AE60DC"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Potencialaus </w:t>
      </w:r>
      <w:proofErr w:type="spellStart"/>
      <w:r w:rsidRPr="00273A3E">
        <w:rPr>
          <w:rFonts w:ascii="Times New Roman" w:hAnsi="Times New Roman"/>
          <w:lang w:val="lt-LT"/>
        </w:rPr>
        <w:t>genotoksinio</w:t>
      </w:r>
      <w:proofErr w:type="spellEnd"/>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poveikio nenustatyta.</w:t>
      </w:r>
    </w:p>
    <w:p w14:paraId="3AC6997C" w14:textId="77777777" w:rsidR="001E5C66" w:rsidRPr="00273A3E" w:rsidRDefault="001E5C66" w:rsidP="009F71ED">
      <w:pPr>
        <w:tabs>
          <w:tab w:val="left" w:pos="567"/>
        </w:tabs>
        <w:spacing w:after="0" w:line="240" w:lineRule="auto"/>
        <w:rPr>
          <w:rFonts w:ascii="Times New Roman" w:hAnsi="Times New Roman"/>
          <w:lang w:val="lt-LT"/>
        </w:rPr>
      </w:pPr>
    </w:p>
    <w:p w14:paraId="6FFB0169"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Panašiomis į gydomąją dozėmis duotas </w:t>
      </w:r>
      <w:proofErr w:type="spellStart"/>
      <w:r w:rsidRPr="00273A3E">
        <w:rPr>
          <w:rFonts w:ascii="Times New Roman" w:hAnsi="Times New Roman"/>
          <w:lang w:val="lt-LT"/>
        </w:rPr>
        <w:t>fulvestrantas</w:t>
      </w:r>
      <w:proofErr w:type="spellEnd"/>
      <w:r w:rsidRPr="00273A3E">
        <w:rPr>
          <w:rFonts w:ascii="Times New Roman" w:hAnsi="Times New Roman"/>
          <w:lang w:val="lt-LT"/>
        </w:rPr>
        <w:t xml:space="preserve"> veikė reprodukciją ir embriono (vaisiaus) vystymąsi taip, kaip ir reikėtų tikėtis žinant apie jo </w:t>
      </w:r>
      <w:proofErr w:type="spellStart"/>
      <w:r w:rsidRPr="00273A3E">
        <w:rPr>
          <w:rFonts w:ascii="Times New Roman" w:hAnsi="Times New Roman"/>
          <w:lang w:val="lt-LT"/>
        </w:rPr>
        <w:t>antiestrogeninį</w:t>
      </w:r>
      <w:proofErr w:type="spellEnd"/>
      <w:r w:rsidRPr="00273A3E">
        <w:rPr>
          <w:rFonts w:ascii="Times New Roman" w:hAnsi="Times New Roman"/>
          <w:lang w:val="lt-LT"/>
        </w:rPr>
        <w:t xml:space="preserve"> aktyvumą. Žiurkėms pastebėtas laikinas patelių vaisingumo sumažėjimas, embrionų išgyvenamumo sumažėjimas, </w:t>
      </w:r>
      <w:proofErr w:type="spellStart"/>
      <w:r w:rsidRPr="00273A3E">
        <w:rPr>
          <w:rFonts w:ascii="Times New Roman" w:hAnsi="Times New Roman"/>
          <w:lang w:val="lt-LT"/>
        </w:rPr>
        <w:t>distocija</w:t>
      </w:r>
      <w:proofErr w:type="spellEnd"/>
      <w:r w:rsidRPr="00273A3E">
        <w:rPr>
          <w:rFonts w:ascii="Times New Roman" w:hAnsi="Times New Roman"/>
          <w:lang w:val="lt-LT"/>
        </w:rPr>
        <w:t xml:space="preserve">, vaisiaus apsigimimų, įskaitant čiurnos linkį, padažnėjimas. Duodant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triušių patelėms, nutrūkdavo nėštumas. Padidėjo placentų svoris, padažnėjo embrionų žuvimas po implantacijos. Triušių vaisiams padaugėjo anatominių variacijų (dubens lanko pasislinkimas atgal ir 27 </w:t>
      </w:r>
      <w:proofErr w:type="spellStart"/>
      <w:r w:rsidRPr="00273A3E">
        <w:rPr>
          <w:rFonts w:ascii="Times New Roman" w:hAnsi="Times New Roman"/>
          <w:lang w:val="lt-LT"/>
        </w:rPr>
        <w:t>presakraliniai</w:t>
      </w:r>
      <w:proofErr w:type="spellEnd"/>
      <w:r w:rsidRPr="00273A3E">
        <w:rPr>
          <w:rFonts w:ascii="Times New Roman" w:hAnsi="Times New Roman"/>
          <w:lang w:val="lt-LT"/>
        </w:rPr>
        <w:t xml:space="preserve"> slanksteliai).</w:t>
      </w:r>
    </w:p>
    <w:p w14:paraId="0B721168" w14:textId="77777777" w:rsidR="001E5C66" w:rsidRPr="00273A3E" w:rsidRDefault="001E5C66" w:rsidP="009F71ED">
      <w:pPr>
        <w:tabs>
          <w:tab w:val="left" w:pos="567"/>
        </w:tabs>
        <w:spacing w:after="0" w:line="240" w:lineRule="auto"/>
        <w:rPr>
          <w:rFonts w:ascii="Times New Roman" w:hAnsi="Times New Roman"/>
          <w:lang w:val="lt-LT"/>
        </w:rPr>
      </w:pPr>
    </w:p>
    <w:p w14:paraId="32128ACA" w14:textId="77777777" w:rsidR="001E5C66" w:rsidRPr="00273A3E" w:rsidRDefault="00143A5D"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Dviejų </w:t>
      </w:r>
      <w:r w:rsidR="00FF0074" w:rsidRPr="00273A3E">
        <w:rPr>
          <w:rFonts w:ascii="Times New Roman" w:hAnsi="Times New Roman"/>
          <w:lang w:val="lt-LT"/>
        </w:rPr>
        <w:t>met</w:t>
      </w:r>
      <w:r w:rsidR="001E5C66" w:rsidRPr="00273A3E">
        <w:rPr>
          <w:rFonts w:ascii="Times New Roman" w:hAnsi="Times New Roman"/>
          <w:lang w:val="lt-LT"/>
        </w:rPr>
        <w:t xml:space="preserve">ų trukmės </w:t>
      </w:r>
      <w:proofErr w:type="spellStart"/>
      <w:r w:rsidR="001E5C66" w:rsidRPr="00273A3E">
        <w:rPr>
          <w:rFonts w:ascii="Times New Roman" w:hAnsi="Times New Roman"/>
          <w:lang w:val="lt-LT"/>
        </w:rPr>
        <w:t>onkogeninio</w:t>
      </w:r>
      <w:proofErr w:type="spellEnd"/>
      <w:r w:rsidR="001E5C66" w:rsidRPr="00273A3E">
        <w:rPr>
          <w:rFonts w:ascii="Times New Roman" w:hAnsi="Times New Roman"/>
          <w:lang w:val="lt-LT"/>
        </w:rPr>
        <w:t xml:space="preserve"> poveikio žiurkėms tyrimas, kurio</w:t>
      </w:r>
      <w:r w:rsidR="00D33E07" w:rsidRPr="00273A3E">
        <w:rPr>
          <w:rFonts w:ascii="Times New Roman" w:hAnsi="Times New Roman"/>
          <w:lang w:val="lt-LT"/>
        </w:rPr>
        <w:t xml:space="preserve"> </w:t>
      </w:r>
      <w:r w:rsidR="00FF0074" w:rsidRPr="00273A3E">
        <w:rPr>
          <w:rFonts w:ascii="Times New Roman" w:hAnsi="Times New Roman"/>
          <w:lang w:val="lt-LT"/>
        </w:rPr>
        <w:t>met</w:t>
      </w:r>
      <w:r w:rsidR="001E5C66" w:rsidRPr="00273A3E">
        <w:rPr>
          <w:rFonts w:ascii="Times New Roman" w:hAnsi="Times New Roman"/>
          <w:lang w:val="lt-LT"/>
        </w:rPr>
        <w:t xml:space="preserve">u </w:t>
      </w:r>
      <w:proofErr w:type="spellStart"/>
      <w:r w:rsidR="001E5C66" w:rsidRPr="00273A3E">
        <w:rPr>
          <w:rFonts w:ascii="Times New Roman" w:hAnsi="Times New Roman"/>
          <w:lang w:val="lt-LT"/>
        </w:rPr>
        <w:t>fulvestranto</w:t>
      </w:r>
      <w:proofErr w:type="spellEnd"/>
      <w:r w:rsidR="001E5C66" w:rsidRPr="00273A3E">
        <w:rPr>
          <w:rFonts w:ascii="Times New Roman" w:hAnsi="Times New Roman"/>
          <w:lang w:val="lt-LT"/>
        </w:rPr>
        <w:t xml:space="preserve"> leista į raumenis, parodė kiaušidžių </w:t>
      </w:r>
      <w:proofErr w:type="spellStart"/>
      <w:r w:rsidR="001E5C66" w:rsidRPr="00273A3E">
        <w:rPr>
          <w:rFonts w:ascii="Times New Roman" w:hAnsi="Times New Roman"/>
          <w:lang w:val="lt-LT"/>
        </w:rPr>
        <w:t>granulozinių</w:t>
      </w:r>
      <w:proofErr w:type="spellEnd"/>
      <w:r w:rsidR="001E5C66" w:rsidRPr="00273A3E">
        <w:rPr>
          <w:rFonts w:ascii="Times New Roman" w:hAnsi="Times New Roman"/>
          <w:lang w:val="lt-LT"/>
        </w:rPr>
        <w:t xml:space="preserve"> ląstelių gerybinių navikų padažnėjimą didelės dozės (10</w:t>
      </w:r>
      <w:r w:rsidR="00FF0074" w:rsidRPr="00273A3E">
        <w:rPr>
          <w:rFonts w:ascii="Times New Roman" w:hAnsi="Times New Roman"/>
          <w:lang w:val="lt-LT"/>
        </w:rPr>
        <w:t> mg</w:t>
      </w:r>
      <w:r w:rsidR="001E5C66" w:rsidRPr="00273A3E">
        <w:rPr>
          <w:rFonts w:ascii="Times New Roman" w:hAnsi="Times New Roman"/>
          <w:lang w:val="lt-LT"/>
        </w:rPr>
        <w:t xml:space="preserve"> kas 15 dienų) grupės patelėms ir sėklidžių </w:t>
      </w:r>
      <w:proofErr w:type="spellStart"/>
      <w:r w:rsidR="001E5C66" w:rsidRPr="00273A3E">
        <w:rPr>
          <w:rFonts w:ascii="Times New Roman" w:hAnsi="Times New Roman"/>
          <w:lang w:val="lt-LT"/>
        </w:rPr>
        <w:t>Leidigo</w:t>
      </w:r>
      <w:proofErr w:type="spellEnd"/>
      <w:r w:rsidR="001E5C66" w:rsidRPr="00273A3E">
        <w:rPr>
          <w:rFonts w:ascii="Times New Roman" w:hAnsi="Times New Roman"/>
          <w:lang w:val="lt-LT"/>
        </w:rPr>
        <w:t xml:space="preserve"> ląstelių navikų padažnėjimą patinams. </w:t>
      </w:r>
      <w:r w:rsidR="00DF494E" w:rsidRPr="00273A3E">
        <w:rPr>
          <w:rFonts w:ascii="Times New Roman" w:hAnsi="Times New Roman"/>
          <w:lang w:val="lt-LT"/>
        </w:rPr>
        <w:t xml:space="preserve">Dviejų </w:t>
      </w:r>
      <w:r w:rsidR="00FF0074" w:rsidRPr="00273A3E">
        <w:rPr>
          <w:rFonts w:ascii="Times New Roman" w:hAnsi="Times New Roman"/>
          <w:lang w:val="lt-LT"/>
        </w:rPr>
        <w:t>met</w:t>
      </w:r>
      <w:r w:rsidR="001E5C66" w:rsidRPr="00273A3E">
        <w:rPr>
          <w:rFonts w:ascii="Times New Roman" w:hAnsi="Times New Roman"/>
          <w:lang w:val="lt-LT"/>
        </w:rPr>
        <w:t xml:space="preserve">ų </w:t>
      </w:r>
      <w:proofErr w:type="spellStart"/>
      <w:r w:rsidR="001E5C66" w:rsidRPr="00273A3E">
        <w:rPr>
          <w:rFonts w:ascii="Times New Roman" w:hAnsi="Times New Roman"/>
          <w:lang w:val="lt-LT"/>
        </w:rPr>
        <w:t>onkogeninio</w:t>
      </w:r>
      <w:proofErr w:type="spellEnd"/>
      <w:r w:rsidR="001E5C66" w:rsidRPr="00273A3E">
        <w:rPr>
          <w:rFonts w:ascii="Times New Roman" w:hAnsi="Times New Roman"/>
          <w:lang w:val="lt-LT"/>
        </w:rPr>
        <w:t xml:space="preserve"> poveikio tyrimo</w:t>
      </w:r>
      <w:r w:rsidR="00ED764D" w:rsidRPr="00273A3E">
        <w:rPr>
          <w:rFonts w:ascii="Times New Roman" w:hAnsi="Times New Roman"/>
          <w:lang w:val="lt-LT"/>
        </w:rPr>
        <w:t xml:space="preserve"> </w:t>
      </w:r>
      <w:r w:rsidR="00FF0074" w:rsidRPr="00273A3E">
        <w:rPr>
          <w:rFonts w:ascii="Times New Roman" w:hAnsi="Times New Roman"/>
          <w:lang w:val="lt-LT"/>
        </w:rPr>
        <w:t>met</w:t>
      </w:r>
      <w:r w:rsidR="001E5C66" w:rsidRPr="00273A3E">
        <w:rPr>
          <w:rFonts w:ascii="Times New Roman" w:hAnsi="Times New Roman"/>
          <w:lang w:val="lt-LT"/>
        </w:rPr>
        <w:t>u kasdien duodant šio vaistinio preparato pelėms per burną, 150</w:t>
      </w:r>
      <w:r w:rsidR="00FF0074" w:rsidRPr="00273A3E">
        <w:rPr>
          <w:rFonts w:ascii="Times New Roman" w:hAnsi="Times New Roman"/>
          <w:lang w:val="lt-LT"/>
        </w:rPr>
        <w:t> mg</w:t>
      </w:r>
      <w:r w:rsidR="001E5C66" w:rsidRPr="00273A3E">
        <w:rPr>
          <w:rFonts w:ascii="Times New Roman" w:hAnsi="Times New Roman"/>
          <w:lang w:val="lt-LT"/>
        </w:rPr>
        <w:t>/kg ir 500</w:t>
      </w:r>
      <w:r w:rsidR="00FF0074" w:rsidRPr="00273A3E">
        <w:rPr>
          <w:rFonts w:ascii="Times New Roman" w:hAnsi="Times New Roman"/>
          <w:lang w:val="lt-LT"/>
        </w:rPr>
        <w:t> mg</w:t>
      </w:r>
      <w:r w:rsidR="001E5C66" w:rsidRPr="00273A3E">
        <w:rPr>
          <w:rFonts w:ascii="Times New Roman" w:hAnsi="Times New Roman"/>
          <w:lang w:val="lt-LT"/>
        </w:rPr>
        <w:t xml:space="preserve">/kg paros dozių grupėse padažnėjo kiaušidžių </w:t>
      </w:r>
      <w:proofErr w:type="spellStart"/>
      <w:r w:rsidR="001E5C66" w:rsidRPr="00273A3E">
        <w:rPr>
          <w:rFonts w:ascii="Times New Roman" w:hAnsi="Times New Roman"/>
          <w:lang w:val="lt-LT"/>
        </w:rPr>
        <w:t>stromos</w:t>
      </w:r>
      <w:proofErr w:type="spellEnd"/>
      <w:r w:rsidR="001E5C66" w:rsidRPr="00273A3E">
        <w:rPr>
          <w:rFonts w:ascii="Times New Roman" w:hAnsi="Times New Roman"/>
          <w:lang w:val="lt-LT"/>
        </w:rPr>
        <w:t xml:space="preserve"> gerybinių ir piktybinių navikų.</w:t>
      </w:r>
      <w:r w:rsidR="007A1508" w:rsidRPr="00273A3E">
        <w:rPr>
          <w:rFonts w:ascii="Times New Roman" w:hAnsi="Times New Roman"/>
          <w:lang w:val="lt-LT"/>
        </w:rPr>
        <w:t xml:space="preserve"> </w:t>
      </w:r>
      <w:r w:rsidR="001E5C66" w:rsidRPr="00273A3E">
        <w:rPr>
          <w:rFonts w:ascii="Times New Roman" w:hAnsi="Times New Roman"/>
          <w:lang w:val="lt-LT"/>
        </w:rPr>
        <w:t xml:space="preserve">Esant poveikio (šių navikų padažnėjimo) nesukeliančioms koncentracijoms, sisteminė ekspozicija (AUC) žiurkėms atitiko maždaug 1,5 tikėtinos ekspozicijos moterims ir maždaug 0,8 tikėtinos ekspozicijos vyrams, o pelėms – maždaug 0,8 tikėtinos ekspozicijos žmonėms (vyrams ir moterims). Šių navikų padažnėjimas atitinka </w:t>
      </w:r>
      <w:proofErr w:type="spellStart"/>
      <w:r w:rsidR="001E5C66" w:rsidRPr="00273A3E">
        <w:rPr>
          <w:rFonts w:ascii="Times New Roman" w:hAnsi="Times New Roman"/>
          <w:lang w:val="lt-LT"/>
        </w:rPr>
        <w:t>antiestrogenų</w:t>
      </w:r>
      <w:proofErr w:type="spellEnd"/>
      <w:r w:rsidR="001E5C66" w:rsidRPr="00273A3E">
        <w:rPr>
          <w:rFonts w:ascii="Times New Roman" w:hAnsi="Times New Roman"/>
          <w:lang w:val="lt-LT"/>
        </w:rPr>
        <w:t xml:space="preserve"> sukeliamus farmakologinius endokrininio grįžtamojo ryšio pokyčius, gyvūnams pasireiškiančius pakitusiomis </w:t>
      </w:r>
      <w:proofErr w:type="spellStart"/>
      <w:r w:rsidR="001E5C66" w:rsidRPr="00273A3E">
        <w:rPr>
          <w:rFonts w:ascii="Times New Roman" w:hAnsi="Times New Roman"/>
          <w:lang w:val="lt-LT"/>
        </w:rPr>
        <w:t>gonadotropinų</w:t>
      </w:r>
      <w:proofErr w:type="spellEnd"/>
      <w:r w:rsidR="001E5C66" w:rsidRPr="00273A3E">
        <w:rPr>
          <w:rFonts w:ascii="Times New Roman" w:hAnsi="Times New Roman"/>
          <w:lang w:val="lt-LT"/>
        </w:rPr>
        <w:t xml:space="preserve"> koncentracijomis ciklo</w:t>
      </w:r>
      <w:r w:rsidR="007F07DF" w:rsidRPr="00273A3E">
        <w:rPr>
          <w:rFonts w:ascii="Times New Roman" w:hAnsi="Times New Roman"/>
          <w:lang w:val="lt-LT"/>
        </w:rPr>
        <w:t xml:space="preserve"> </w:t>
      </w:r>
      <w:r w:rsidR="00FF0074" w:rsidRPr="00273A3E">
        <w:rPr>
          <w:rFonts w:ascii="Times New Roman" w:hAnsi="Times New Roman"/>
          <w:lang w:val="lt-LT"/>
        </w:rPr>
        <w:t>met</w:t>
      </w:r>
      <w:r w:rsidR="001E5C66" w:rsidRPr="00273A3E">
        <w:rPr>
          <w:rFonts w:ascii="Times New Roman" w:hAnsi="Times New Roman"/>
          <w:lang w:val="lt-LT"/>
        </w:rPr>
        <w:t xml:space="preserve">u. Dėl to manoma, kad </w:t>
      </w:r>
      <w:proofErr w:type="spellStart"/>
      <w:r w:rsidR="001E5C66" w:rsidRPr="00273A3E">
        <w:rPr>
          <w:rFonts w:ascii="Times New Roman" w:hAnsi="Times New Roman"/>
          <w:lang w:val="lt-LT"/>
        </w:rPr>
        <w:t>fulvestranto</w:t>
      </w:r>
      <w:proofErr w:type="spellEnd"/>
      <w:r w:rsidR="001E5C66" w:rsidRPr="00273A3E">
        <w:rPr>
          <w:rFonts w:ascii="Times New Roman" w:hAnsi="Times New Roman"/>
          <w:lang w:val="lt-LT"/>
        </w:rPr>
        <w:t xml:space="preserve"> vartojimui, progresavusiu krūties vėžiu sergančioms moterims po menopauzės, šie duomenys yra nereikšmingi.</w:t>
      </w:r>
    </w:p>
    <w:p w14:paraId="0C633037" w14:textId="77777777" w:rsidR="001E5C66" w:rsidRPr="00273A3E" w:rsidRDefault="001E5C66" w:rsidP="009F71ED">
      <w:pPr>
        <w:tabs>
          <w:tab w:val="left" w:pos="567"/>
        </w:tabs>
        <w:spacing w:after="0" w:line="240" w:lineRule="auto"/>
        <w:rPr>
          <w:rFonts w:ascii="Times New Roman" w:hAnsi="Times New Roman"/>
          <w:lang w:val="lt-LT"/>
        </w:rPr>
      </w:pPr>
    </w:p>
    <w:p w14:paraId="543D76BC" w14:textId="77777777" w:rsidR="001E5C66" w:rsidRPr="00273A3E" w:rsidRDefault="001E5C66" w:rsidP="009F71ED">
      <w:pPr>
        <w:tabs>
          <w:tab w:val="left" w:pos="567"/>
        </w:tabs>
        <w:autoSpaceDE w:val="0"/>
        <w:autoSpaceDN w:val="0"/>
        <w:adjustRightInd w:val="0"/>
        <w:spacing w:after="0" w:line="240" w:lineRule="auto"/>
        <w:rPr>
          <w:rFonts w:ascii="Times New Roman" w:eastAsia="Batang" w:hAnsi="Times New Roman"/>
          <w:u w:val="single"/>
          <w:lang w:val="lt-LT"/>
        </w:rPr>
      </w:pPr>
      <w:r w:rsidRPr="00273A3E">
        <w:rPr>
          <w:rFonts w:ascii="Times New Roman" w:eastAsia="Batang" w:hAnsi="Times New Roman"/>
          <w:u w:val="single"/>
          <w:lang w:val="lt-LT"/>
        </w:rPr>
        <w:t>Pavojaus aplinkai vertinimas (PAV)</w:t>
      </w:r>
    </w:p>
    <w:p w14:paraId="5500F272" w14:textId="77777777" w:rsidR="001E5C66" w:rsidRPr="00273A3E" w:rsidRDefault="001E5C66" w:rsidP="009F71ED">
      <w:pPr>
        <w:tabs>
          <w:tab w:val="left" w:pos="567"/>
        </w:tabs>
        <w:autoSpaceDE w:val="0"/>
        <w:autoSpaceDN w:val="0"/>
        <w:adjustRightInd w:val="0"/>
        <w:spacing w:after="0" w:line="240" w:lineRule="auto"/>
        <w:rPr>
          <w:rFonts w:ascii="Times New Roman" w:eastAsia="Batang" w:hAnsi="Times New Roman"/>
          <w:lang w:val="lt-LT"/>
        </w:rPr>
      </w:pPr>
      <w:r w:rsidRPr="00273A3E">
        <w:rPr>
          <w:rFonts w:ascii="Times New Roman" w:eastAsia="Batang" w:hAnsi="Times New Roman"/>
          <w:lang w:val="lt-LT"/>
        </w:rPr>
        <w:t xml:space="preserve">Pavojaus aplinkai vertinimo tyrimai parodė, kad </w:t>
      </w:r>
      <w:proofErr w:type="spellStart"/>
      <w:r w:rsidRPr="00273A3E">
        <w:rPr>
          <w:rFonts w:ascii="Times New Roman" w:eastAsia="Batang" w:hAnsi="Times New Roman"/>
          <w:lang w:val="lt-LT"/>
        </w:rPr>
        <w:t>fulvestrantas</w:t>
      </w:r>
      <w:proofErr w:type="spellEnd"/>
      <w:r w:rsidRPr="00273A3E">
        <w:rPr>
          <w:rFonts w:ascii="Times New Roman" w:eastAsia="Batang" w:hAnsi="Times New Roman"/>
          <w:lang w:val="lt-LT"/>
        </w:rPr>
        <w:t xml:space="preserve"> gali </w:t>
      </w:r>
      <w:r w:rsidR="00705183" w:rsidRPr="00273A3E">
        <w:rPr>
          <w:rFonts w:ascii="Times New Roman" w:eastAsia="Batang" w:hAnsi="Times New Roman"/>
          <w:lang w:val="lt-LT"/>
        </w:rPr>
        <w:t>sukelti</w:t>
      </w:r>
      <w:r w:rsidRPr="00273A3E">
        <w:rPr>
          <w:rFonts w:ascii="Times New Roman" w:eastAsia="Batang" w:hAnsi="Times New Roman"/>
          <w:lang w:val="lt-LT"/>
        </w:rPr>
        <w:t xml:space="preserve"> nepageidaujam</w:t>
      </w:r>
      <w:r w:rsidR="00FA214C" w:rsidRPr="00273A3E">
        <w:rPr>
          <w:rFonts w:ascii="Times New Roman" w:eastAsia="Batang" w:hAnsi="Times New Roman"/>
          <w:lang w:val="lt-LT"/>
        </w:rPr>
        <w:t>ą</w:t>
      </w:r>
      <w:r w:rsidRPr="00273A3E">
        <w:rPr>
          <w:rFonts w:ascii="Times New Roman" w:eastAsia="Batang" w:hAnsi="Times New Roman"/>
          <w:lang w:val="lt-LT"/>
        </w:rPr>
        <w:t xml:space="preserve"> poveik</w:t>
      </w:r>
      <w:r w:rsidR="00FA214C" w:rsidRPr="00273A3E">
        <w:rPr>
          <w:rFonts w:ascii="Times New Roman" w:eastAsia="Batang" w:hAnsi="Times New Roman"/>
          <w:lang w:val="lt-LT"/>
        </w:rPr>
        <w:t>į</w:t>
      </w:r>
      <w:r w:rsidRPr="00273A3E">
        <w:rPr>
          <w:rFonts w:ascii="Times New Roman" w:eastAsia="Batang" w:hAnsi="Times New Roman"/>
          <w:lang w:val="lt-LT"/>
        </w:rPr>
        <w:t xml:space="preserve"> </w:t>
      </w:r>
      <w:r w:rsidR="00FA214C" w:rsidRPr="00273A3E">
        <w:rPr>
          <w:rFonts w:ascii="Times New Roman" w:eastAsia="Batang" w:hAnsi="Times New Roman"/>
          <w:lang w:val="lt-LT"/>
        </w:rPr>
        <w:t>aplinkai (</w:t>
      </w:r>
      <w:r w:rsidRPr="00273A3E">
        <w:rPr>
          <w:rFonts w:ascii="Times New Roman" w:eastAsia="Batang" w:hAnsi="Times New Roman"/>
          <w:lang w:val="lt-LT"/>
        </w:rPr>
        <w:t>vandeni</w:t>
      </w:r>
      <w:r w:rsidR="00FA214C" w:rsidRPr="00273A3E">
        <w:rPr>
          <w:rFonts w:ascii="Times New Roman" w:eastAsia="Batang" w:hAnsi="Times New Roman"/>
          <w:lang w:val="lt-LT"/>
        </w:rPr>
        <w:t>ui)</w:t>
      </w:r>
      <w:r w:rsidRPr="00273A3E">
        <w:rPr>
          <w:rFonts w:ascii="Times New Roman" w:eastAsia="Batang" w:hAnsi="Times New Roman"/>
          <w:lang w:val="lt-LT"/>
        </w:rPr>
        <w:t xml:space="preserve"> (žr. 6.6</w:t>
      </w:r>
      <w:r w:rsidR="00FF0074" w:rsidRPr="00273A3E">
        <w:rPr>
          <w:rFonts w:ascii="Times New Roman" w:eastAsia="Batang" w:hAnsi="Times New Roman"/>
          <w:lang w:val="lt-LT"/>
        </w:rPr>
        <w:t> skyri</w:t>
      </w:r>
      <w:r w:rsidRPr="00273A3E">
        <w:rPr>
          <w:rFonts w:ascii="Times New Roman" w:eastAsia="Batang" w:hAnsi="Times New Roman"/>
          <w:lang w:val="lt-LT"/>
        </w:rPr>
        <w:t>ų).</w:t>
      </w:r>
    </w:p>
    <w:p w14:paraId="2061EBB0" w14:textId="77777777" w:rsidR="00024FEA" w:rsidRPr="00273A3E" w:rsidRDefault="00024FEA" w:rsidP="009F71ED">
      <w:pPr>
        <w:tabs>
          <w:tab w:val="left" w:pos="567"/>
        </w:tabs>
        <w:spacing w:after="0" w:line="240" w:lineRule="auto"/>
        <w:rPr>
          <w:rFonts w:ascii="Times New Roman" w:hAnsi="Times New Roman"/>
          <w:b/>
          <w:lang w:val="lt-LT"/>
        </w:rPr>
      </w:pPr>
    </w:p>
    <w:p w14:paraId="679B8478" w14:textId="77777777" w:rsidR="00024FEA" w:rsidRPr="00273A3E" w:rsidRDefault="00024FEA" w:rsidP="009F71ED">
      <w:pPr>
        <w:tabs>
          <w:tab w:val="left" w:pos="567"/>
        </w:tabs>
        <w:spacing w:after="0" w:line="240" w:lineRule="auto"/>
        <w:rPr>
          <w:rFonts w:ascii="Times New Roman" w:hAnsi="Times New Roman"/>
          <w:b/>
          <w:lang w:val="lt-LT"/>
        </w:rPr>
      </w:pPr>
    </w:p>
    <w:p w14:paraId="5435DF03"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6.</w:t>
      </w:r>
      <w:r w:rsidRPr="00273A3E">
        <w:rPr>
          <w:rFonts w:ascii="Times New Roman" w:hAnsi="Times New Roman"/>
          <w:b/>
          <w:lang w:val="lt-LT"/>
        </w:rPr>
        <w:tab/>
        <w:t>FARMACINĖ INFORMACIJA</w:t>
      </w:r>
    </w:p>
    <w:p w14:paraId="31B953C0"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2DCEC88A"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6.1</w:t>
      </w:r>
      <w:r w:rsidRPr="00273A3E">
        <w:rPr>
          <w:rFonts w:ascii="Times New Roman" w:hAnsi="Times New Roman"/>
          <w:b/>
          <w:lang w:val="lt-LT"/>
        </w:rPr>
        <w:tab/>
        <w:t>Pagalbinių medžiagų sąrašas</w:t>
      </w:r>
    </w:p>
    <w:p w14:paraId="70F01D2A" w14:textId="77777777" w:rsidR="001E5C66" w:rsidRPr="00273A3E" w:rsidRDefault="001E5C66" w:rsidP="009F71ED">
      <w:pPr>
        <w:tabs>
          <w:tab w:val="left" w:pos="567"/>
        </w:tabs>
        <w:spacing w:after="0" w:line="240" w:lineRule="auto"/>
        <w:rPr>
          <w:rFonts w:ascii="Times New Roman" w:hAnsi="Times New Roman"/>
          <w:b/>
          <w:lang w:val="lt-LT"/>
        </w:rPr>
      </w:pPr>
    </w:p>
    <w:p w14:paraId="469BB597"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Etanolis (96 %)</w:t>
      </w:r>
    </w:p>
    <w:p w14:paraId="5E9239E5"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Benzilo</w:t>
      </w:r>
      <w:proofErr w:type="spellEnd"/>
      <w:r w:rsidRPr="00273A3E">
        <w:rPr>
          <w:rFonts w:ascii="Times New Roman" w:hAnsi="Times New Roman"/>
          <w:lang w:val="lt-LT"/>
        </w:rPr>
        <w:t xml:space="preserve"> alkoholis</w:t>
      </w:r>
    </w:p>
    <w:p w14:paraId="2AC3F071" w14:textId="77777777" w:rsidR="001E5C66" w:rsidRPr="00273A3E" w:rsidRDefault="001E5C66"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Benzilbenzoatas</w:t>
      </w:r>
      <w:proofErr w:type="spellEnd"/>
    </w:p>
    <w:p w14:paraId="39EBE842"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Rafinuotas ricinos aliejus </w:t>
      </w:r>
    </w:p>
    <w:p w14:paraId="2A39F136" w14:textId="77777777" w:rsidR="001E5C66" w:rsidRPr="00273A3E" w:rsidRDefault="001E5C66" w:rsidP="009F71ED">
      <w:pPr>
        <w:tabs>
          <w:tab w:val="left" w:pos="567"/>
        </w:tabs>
        <w:spacing w:after="0" w:line="240" w:lineRule="auto"/>
        <w:rPr>
          <w:rFonts w:ascii="Times New Roman" w:hAnsi="Times New Roman"/>
          <w:b/>
          <w:lang w:val="lt-LT"/>
        </w:rPr>
      </w:pPr>
    </w:p>
    <w:p w14:paraId="0BE7782A" w14:textId="77777777" w:rsidR="001E5C66" w:rsidRPr="00273A3E" w:rsidRDefault="001E5C66" w:rsidP="009F71ED">
      <w:pPr>
        <w:keepNext/>
        <w:keepLines/>
        <w:tabs>
          <w:tab w:val="left" w:pos="567"/>
        </w:tabs>
        <w:spacing w:after="0" w:line="240" w:lineRule="auto"/>
        <w:rPr>
          <w:rFonts w:ascii="Times New Roman" w:hAnsi="Times New Roman"/>
          <w:b/>
          <w:lang w:val="lt-LT"/>
        </w:rPr>
      </w:pPr>
      <w:r w:rsidRPr="00273A3E">
        <w:rPr>
          <w:rFonts w:ascii="Times New Roman" w:hAnsi="Times New Roman"/>
          <w:b/>
          <w:lang w:val="lt-LT"/>
        </w:rPr>
        <w:lastRenderedPageBreak/>
        <w:t>6.2</w:t>
      </w:r>
      <w:r w:rsidRPr="00273A3E">
        <w:rPr>
          <w:rFonts w:ascii="Times New Roman" w:hAnsi="Times New Roman"/>
          <w:b/>
          <w:lang w:val="lt-LT"/>
        </w:rPr>
        <w:tab/>
        <w:t>Nesuderinamumas</w:t>
      </w:r>
    </w:p>
    <w:p w14:paraId="49F9AB0A" w14:textId="77777777" w:rsidR="001E5C66" w:rsidRPr="00273A3E" w:rsidRDefault="001E5C66" w:rsidP="009F71ED">
      <w:pPr>
        <w:keepNext/>
        <w:keepLines/>
        <w:tabs>
          <w:tab w:val="left" w:pos="567"/>
        </w:tabs>
        <w:spacing w:after="0" w:line="240" w:lineRule="auto"/>
        <w:rPr>
          <w:rFonts w:ascii="Times New Roman" w:hAnsi="Times New Roman"/>
          <w:lang w:val="lt-LT"/>
        </w:rPr>
      </w:pPr>
    </w:p>
    <w:p w14:paraId="0A2378ED" w14:textId="77777777" w:rsidR="001E5C66" w:rsidRPr="00273A3E" w:rsidRDefault="001E5C66" w:rsidP="009F71ED">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Suderinamumo tyrimų neatlikta, todėl šio vaistinio preparato maišyti su kitais negalima.</w:t>
      </w:r>
    </w:p>
    <w:p w14:paraId="0DE2CADB" w14:textId="77777777" w:rsidR="001E5C66" w:rsidRPr="00273A3E" w:rsidRDefault="001E5C66" w:rsidP="009F71ED">
      <w:pPr>
        <w:tabs>
          <w:tab w:val="left" w:pos="567"/>
        </w:tabs>
        <w:spacing w:after="0" w:line="240" w:lineRule="auto"/>
        <w:rPr>
          <w:rFonts w:ascii="Times New Roman" w:hAnsi="Times New Roman"/>
          <w:lang w:val="lt-LT"/>
        </w:rPr>
      </w:pPr>
    </w:p>
    <w:p w14:paraId="508CF439" w14:textId="77777777" w:rsidR="001E5C66" w:rsidRPr="00273A3E" w:rsidRDefault="001E5C66" w:rsidP="00914779">
      <w:pPr>
        <w:keepNext/>
        <w:tabs>
          <w:tab w:val="left" w:pos="567"/>
        </w:tabs>
        <w:spacing w:after="0" w:line="240" w:lineRule="auto"/>
        <w:rPr>
          <w:rFonts w:ascii="Times New Roman" w:hAnsi="Times New Roman"/>
          <w:b/>
          <w:lang w:val="lt-LT"/>
        </w:rPr>
      </w:pPr>
      <w:r w:rsidRPr="00273A3E">
        <w:rPr>
          <w:rFonts w:ascii="Times New Roman" w:hAnsi="Times New Roman"/>
          <w:b/>
          <w:lang w:val="lt-LT"/>
        </w:rPr>
        <w:t>6.3</w:t>
      </w:r>
      <w:r w:rsidRPr="00273A3E">
        <w:rPr>
          <w:rFonts w:ascii="Times New Roman" w:hAnsi="Times New Roman"/>
          <w:b/>
          <w:lang w:val="lt-LT"/>
        </w:rPr>
        <w:tab/>
        <w:t>Tinkamumo laikas</w:t>
      </w:r>
    </w:p>
    <w:p w14:paraId="4A81FF2E" w14:textId="77777777" w:rsidR="001E5C66" w:rsidRPr="00273A3E" w:rsidRDefault="001E5C66" w:rsidP="009F71ED">
      <w:pPr>
        <w:keepNext/>
        <w:tabs>
          <w:tab w:val="left" w:pos="567"/>
        </w:tabs>
        <w:spacing w:after="0" w:line="240" w:lineRule="auto"/>
        <w:rPr>
          <w:rFonts w:ascii="Times New Roman" w:hAnsi="Times New Roman"/>
          <w:b/>
          <w:lang w:val="lt-LT"/>
        </w:rPr>
      </w:pPr>
    </w:p>
    <w:p w14:paraId="782764B2" w14:textId="77777777" w:rsidR="001E5C66" w:rsidRPr="00273A3E" w:rsidRDefault="00D97680" w:rsidP="009F71ED">
      <w:pPr>
        <w:keepNext/>
        <w:tabs>
          <w:tab w:val="left" w:pos="567"/>
        </w:tabs>
        <w:spacing w:after="0" w:line="240" w:lineRule="auto"/>
        <w:rPr>
          <w:rFonts w:ascii="Times New Roman" w:hAnsi="Times New Roman"/>
          <w:lang w:val="lt-LT"/>
        </w:rPr>
      </w:pPr>
      <w:r w:rsidRPr="00273A3E">
        <w:rPr>
          <w:rFonts w:ascii="Times New Roman" w:hAnsi="Times New Roman"/>
          <w:lang w:val="lt-LT"/>
        </w:rPr>
        <w:t>3</w:t>
      </w:r>
      <w:r w:rsidR="00FF0074" w:rsidRPr="00273A3E">
        <w:rPr>
          <w:rFonts w:ascii="Times New Roman" w:hAnsi="Times New Roman"/>
          <w:lang w:val="lt-LT"/>
        </w:rPr>
        <w:t> met</w:t>
      </w:r>
      <w:r w:rsidR="001E5C66" w:rsidRPr="00273A3E">
        <w:rPr>
          <w:rFonts w:ascii="Times New Roman" w:hAnsi="Times New Roman"/>
          <w:lang w:val="lt-LT"/>
        </w:rPr>
        <w:t>ai.</w:t>
      </w:r>
    </w:p>
    <w:p w14:paraId="1A4EEA77" w14:textId="77777777" w:rsidR="001E5C66" w:rsidRPr="00273A3E" w:rsidRDefault="001E5C66" w:rsidP="009F71ED">
      <w:pPr>
        <w:tabs>
          <w:tab w:val="left" w:pos="567"/>
        </w:tabs>
        <w:spacing w:after="0" w:line="240" w:lineRule="auto"/>
        <w:rPr>
          <w:rFonts w:ascii="Times New Roman" w:hAnsi="Times New Roman"/>
          <w:lang w:val="lt-LT"/>
        </w:rPr>
      </w:pPr>
    </w:p>
    <w:p w14:paraId="60859CFD"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6.4</w:t>
      </w:r>
      <w:r w:rsidRPr="00273A3E">
        <w:rPr>
          <w:rFonts w:ascii="Times New Roman" w:hAnsi="Times New Roman"/>
          <w:b/>
          <w:lang w:val="lt-LT"/>
        </w:rPr>
        <w:tab/>
        <w:t>Specialiosios laikymo sąlygos</w:t>
      </w:r>
    </w:p>
    <w:p w14:paraId="00E473E0" w14:textId="77777777" w:rsidR="001E5C66" w:rsidRPr="00273A3E" w:rsidRDefault="001E5C66" w:rsidP="009F71ED">
      <w:pPr>
        <w:tabs>
          <w:tab w:val="left" w:pos="567"/>
        </w:tabs>
        <w:autoSpaceDE w:val="0"/>
        <w:autoSpaceDN w:val="0"/>
        <w:adjustRightInd w:val="0"/>
        <w:spacing w:after="0" w:line="240" w:lineRule="auto"/>
        <w:rPr>
          <w:rFonts w:ascii="Times New Roman" w:eastAsia="TimesNewRoman" w:hAnsi="Times New Roman"/>
          <w:lang w:val="lt-LT"/>
        </w:rPr>
      </w:pPr>
    </w:p>
    <w:p w14:paraId="573E034F" w14:textId="77777777" w:rsidR="001E5C66" w:rsidRPr="00273A3E" w:rsidRDefault="001E5C66" w:rsidP="009F71ED">
      <w:pPr>
        <w:tabs>
          <w:tab w:val="left" w:pos="567"/>
        </w:tabs>
        <w:autoSpaceDE w:val="0"/>
        <w:autoSpaceDN w:val="0"/>
        <w:adjustRightInd w:val="0"/>
        <w:spacing w:after="0" w:line="240" w:lineRule="auto"/>
        <w:rPr>
          <w:rFonts w:ascii="Times New Roman" w:eastAsia="TimesNewRoman" w:hAnsi="Times New Roman"/>
          <w:lang w:val="lt-LT"/>
        </w:rPr>
      </w:pPr>
      <w:r w:rsidRPr="00273A3E">
        <w:rPr>
          <w:rFonts w:ascii="Times New Roman" w:eastAsia="TimesNewRoman" w:hAnsi="Times New Roman"/>
          <w:lang w:val="lt-LT"/>
        </w:rPr>
        <w:t xml:space="preserve">Laikyti ir transportuoti </w:t>
      </w:r>
      <w:r w:rsidR="00D16DE2" w:rsidRPr="00273A3E">
        <w:rPr>
          <w:rFonts w:ascii="Times New Roman" w:eastAsia="TimesNewRoman" w:hAnsi="Times New Roman"/>
          <w:lang w:val="lt-LT"/>
        </w:rPr>
        <w:t>šal</w:t>
      </w:r>
      <w:r w:rsidR="00D97680" w:rsidRPr="00273A3E">
        <w:rPr>
          <w:rFonts w:ascii="Times New Roman" w:eastAsia="TimesNewRoman" w:hAnsi="Times New Roman"/>
          <w:lang w:val="lt-LT"/>
        </w:rPr>
        <w:t>dytuve</w:t>
      </w:r>
      <w:r w:rsidRPr="00273A3E">
        <w:rPr>
          <w:rFonts w:ascii="Times New Roman" w:eastAsia="TimesNewRoman" w:hAnsi="Times New Roman"/>
          <w:lang w:val="lt-LT"/>
        </w:rPr>
        <w:t xml:space="preserve"> (2</w:t>
      </w:r>
      <w:r w:rsidR="00614C49" w:rsidRPr="00273A3E">
        <w:rPr>
          <w:rFonts w:ascii="Times New Roman" w:eastAsia="TimesNewRoman" w:hAnsi="Times New Roman"/>
          <w:lang w:val="lt-LT"/>
        </w:rPr>
        <w:t> </w:t>
      </w:r>
      <w:r w:rsidRPr="00273A3E">
        <w:rPr>
          <w:rFonts w:ascii="Times New Roman" w:eastAsia="TimesNewRoman" w:hAnsi="Times New Roman"/>
          <w:lang w:val="lt-LT"/>
        </w:rPr>
        <w:t>°C</w:t>
      </w:r>
      <w:r w:rsidR="007F07DF" w:rsidRPr="00273A3E">
        <w:rPr>
          <w:rFonts w:ascii="Times New Roman" w:eastAsia="TimesNewRoman" w:hAnsi="Times New Roman"/>
          <w:lang w:val="lt-LT"/>
        </w:rPr>
        <w:t> </w:t>
      </w:r>
      <w:r w:rsidRPr="00273A3E">
        <w:rPr>
          <w:rFonts w:ascii="Times New Roman" w:eastAsia="TimesNewRoman" w:hAnsi="Times New Roman"/>
          <w:lang w:val="lt-LT"/>
        </w:rPr>
        <w:t>–</w:t>
      </w:r>
      <w:r w:rsidR="007F07DF" w:rsidRPr="00273A3E">
        <w:rPr>
          <w:rFonts w:ascii="Times New Roman" w:eastAsia="TimesNewRoman" w:hAnsi="Times New Roman"/>
          <w:lang w:val="lt-LT"/>
        </w:rPr>
        <w:t> </w:t>
      </w:r>
      <w:r w:rsidRPr="00273A3E">
        <w:rPr>
          <w:rFonts w:ascii="Times New Roman" w:eastAsia="TimesNewRoman" w:hAnsi="Times New Roman"/>
          <w:lang w:val="lt-LT"/>
        </w:rPr>
        <w:t>8</w:t>
      </w:r>
      <w:r w:rsidR="00614C49" w:rsidRPr="00273A3E">
        <w:rPr>
          <w:rFonts w:ascii="Times New Roman" w:eastAsia="TimesNewRoman" w:hAnsi="Times New Roman"/>
          <w:lang w:val="lt-LT"/>
        </w:rPr>
        <w:t> </w:t>
      </w:r>
      <w:r w:rsidRPr="00273A3E">
        <w:rPr>
          <w:rFonts w:ascii="Times New Roman" w:eastAsia="TimesNewRoman" w:hAnsi="Times New Roman"/>
          <w:lang w:val="lt-LT"/>
        </w:rPr>
        <w:t>°C).</w:t>
      </w:r>
    </w:p>
    <w:p w14:paraId="0111CA9E" w14:textId="77777777" w:rsidR="001E5C66" w:rsidRPr="00273A3E" w:rsidRDefault="001E5C66" w:rsidP="009F71ED">
      <w:pPr>
        <w:tabs>
          <w:tab w:val="left" w:pos="567"/>
        </w:tabs>
        <w:autoSpaceDE w:val="0"/>
        <w:autoSpaceDN w:val="0"/>
        <w:adjustRightInd w:val="0"/>
        <w:spacing w:after="0" w:line="240" w:lineRule="auto"/>
        <w:rPr>
          <w:rFonts w:ascii="Times New Roman" w:eastAsia="TimesNewRoman" w:hAnsi="Times New Roman"/>
          <w:lang w:val="lt-LT"/>
        </w:rPr>
      </w:pPr>
    </w:p>
    <w:p w14:paraId="2296B0F8" w14:textId="77777777" w:rsidR="00D97680" w:rsidRPr="00273A3E" w:rsidRDefault="00D97680"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Užpildytą švirkštą laikyti gamintojo pakuotėje, kad vaistinis preparatas būtų apsaugotas nuo šviesos.</w:t>
      </w:r>
    </w:p>
    <w:p w14:paraId="0A0FDBF6" w14:textId="77777777" w:rsidR="001E5C66" w:rsidRPr="00273A3E" w:rsidRDefault="001E5C66" w:rsidP="009F71ED">
      <w:pPr>
        <w:tabs>
          <w:tab w:val="left" w:pos="567"/>
        </w:tabs>
        <w:spacing w:after="0" w:line="240" w:lineRule="auto"/>
        <w:rPr>
          <w:rFonts w:ascii="Times New Roman" w:hAnsi="Times New Roman"/>
          <w:lang w:val="lt-LT"/>
        </w:rPr>
      </w:pPr>
    </w:p>
    <w:p w14:paraId="1D761E62"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6.5</w:t>
      </w:r>
      <w:r w:rsidRPr="00273A3E">
        <w:rPr>
          <w:rFonts w:ascii="Times New Roman" w:hAnsi="Times New Roman"/>
          <w:b/>
          <w:lang w:val="lt-LT"/>
        </w:rPr>
        <w:tab/>
      </w:r>
      <w:proofErr w:type="spellStart"/>
      <w:r w:rsidRPr="00273A3E">
        <w:rPr>
          <w:rFonts w:ascii="Times New Roman" w:hAnsi="Times New Roman"/>
          <w:b/>
          <w:lang w:val="lt-LT"/>
        </w:rPr>
        <w:t>Talpyklės</w:t>
      </w:r>
      <w:proofErr w:type="spellEnd"/>
      <w:r w:rsidRPr="00273A3E">
        <w:rPr>
          <w:rFonts w:ascii="Times New Roman" w:hAnsi="Times New Roman"/>
          <w:b/>
          <w:lang w:val="lt-LT"/>
        </w:rPr>
        <w:t xml:space="preserve"> pobūdis ir jos turinys</w:t>
      </w:r>
    </w:p>
    <w:p w14:paraId="577865A9" w14:textId="77777777" w:rsidR="001E5C66" w:rsidRPr="00273A3E" w:rsidRDefault="001E5C66" w:rsidP="009F71ED">
      <w:pPr>
        <w:tabs>
          <w:tab w:val="left" w:pos="567"/>
        </w:tabs>
        <w:spacing w:after="0" w:line="240" w:lineRule="auto"/>
        <w:rPr>
          <w:rFonts w:ascii="Times New Roman" w:hAnsi="Times New Roman"/>
          <w:b/>
          <w:lang w:val="lt-LT"/>
        </w:rPr>
      </w:pPr>
    </w:p>
    <w:p w14:paraId="40E0F49A" w14:textId="77777777" w:rsidR="00403E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Užpildyto švirkšto </w:t>
      </w:r>
      <w:r w:rsidR="00685511" w:rsidRPr="00273A3E">
        <w:rPr>
          <w:rFonts w:ascii="Times New Roman" w:hAnsi="Times New Roman"/>
          <w:lang w:val="lt-LT"/>
        </w:rPr>
        <w:t xml:space="preserve">(5 ml) </w:t>
      </w:r>
      <w:r w:rsidRPr="00273A3E">
        <w:rPr>
          <w:rFonts w:ascii="Times New Roman" w:hAnsi="Times New Roman"/>
          <w:lang w:val="lt-LT"/>
        </w:rPr>
        <w:t>pakuotę sudaro:</w:t>
      </w:r>
    </w:p>
    <w:p w14:paraId="11147ED5" w14:textId="77777777" w:rsidR="00403E66" w:rsidRPr="00273A3E" w:rsidRDefault="00403E66" w:rsidP="009F71ED">
      <w:pPr>
        <w:tabs>
          <w:tab w:val="left" w:pos="567"/>
        </w:tabs>
        <w:autoSpaceDE w:val="0"/>
        <w:autoSpaceDN w:val="0"/>
        <w:adjustRightInd w:val="0"/>
        <w:spacing w:after="0" w:line="240" w:lineRule="auto"/>
        <w:rPr>
          <w:rFonts w:ascii="Times New Roman" w:hAnsi="Times New Roman"/>
          <w:lang w:val="lt-LT"/>
        </w:rPr>
      </w:pPr>
    </w:p>
    <w:p w14:paraId="5A525E69" w14:textId="77777777" w:rsidR="00914779" w:rsidRPr="00273A3E" w:rsidRDefault="00045848"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Vienas </w:t>
      </w:r>
      <w:r w:rsidR="00685511" w:rsidRPr="00273A3E">
        <w:rPr>
          <w:rFonts w:ascii="Times New Roman" w:hAnsi="Times New Roman"/>
          <w:lang w:val="lt-LT"/>
        </w:rPr>
        <w:t xml:space="preserve">vienkartinis </w:t>
      </w:r>
      <w:r w:rsidRPr="00273A3E">
        <w:rPr>
          <w:rFonts w:ascii="Times New Roman" w:hAnsi="Times New Roman"/>
          <w:lang w:val="lt-LT"/>
        </w:rPr>
        <w:t>užpildytas švirkštas</w:t>
      </w:r>
      <w:r w:rsidR="00685511" w:rsidRPr="00273A3E">
        <w:rPr>
          <w:rFonts w:ascii="Times New Roman" w:hAnsi="Times New Roman"/>
          <w:lang w:val="lt-LT"/>
        </w:rPr>
        <w:t xml:space="preserve">, kurį sudaro 1 tipo </w:t>
      </w:r>
      <w:proofErr w:type="spellStart"/>
      <w:r w:rsidR="00685511" w:rsidRPr="00273A3E">
        <w:rPr>
          <w:rFonts w:ascii="Times New Roman" w:hAnsi="Times New Roman"/>
          <w:lang w:val="lt-LT"/>
        </w:rPr>
        <w:t>silikonizuoto</w:t>
      </w:r>
      <w:proofErr w:type="spellEnd"/>
      <w:r w:rsidR="00685511" w:rsidRPr="00273A3E">
        <w:rPr>
          <w:rFonts w:ascii="Times New Roman" w:hAnsi="Times New Roman"/>
          <w:lang w:val="lt-LT"/>
        </w:rPr>
        <w:t xml:space="preserve"> stiklo korpusas </w:t>
      </w:r>
      <w:r w:rsidRPr="00273A3E">
        <w:rPr>
          <w:rFonts w:ascii="Times New Roman" w:hAnsi="Times New Roman"/>
          <w:lang w:val="lt-LT"/>
        </w:rPr>
        <w:t xml:space="preserve">su </w:t>
      </w:r>
      <w:r w:rsidR="008018DC" w:rsidRPr="00273A3E">
        <w:rPr>
          <w:rFonts w:ascii="Times New Roman" w:hAnsi="Times New Roman"/>
          <w:lang w:val="lt-LT"/>
        </w:rPr>
        <w:t>pirmojo atidarymo kontrolės uždoriu /</w:t>
      </w:r>
      <w:r w:rsidR="008018DC" w:rsidRPr="00273A3E">
        <w:rPr>
          <w:rFonts w:ascii="Times New Roman" w:hAnsi="Times New Roman"/>
          <w:i/>
          <w:iCs/>
          <w:lang w:val="lt-LT"/>
        </w:rPr>
        <w:t xml:space="preserve"> </w:t>
      </w:r>
      <w:proofErr w:type="spellStart"/>
      <w:r w:rsidRPr="00273A3E">
        <w:rPr>
          <w:rFonts w:ascii="Times New Roman" w:hAnsi="Times New Roman"/>
          <w:i/>
          <w:iCs/>
          <w:lang w:val="lt-LT"/>
        </w:rPr>
        <w:t>Luer</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Lock</w:t>
      </w:r>
      <w:proofErr w:type="spellEnd"/>
      <w:r w:rsidRPr="00273A3E">
        <w:rPr>
          <w:rFonts w:ascii="Times New Roman" w:hAnsi="Times New Roman"/>
          <w:lang w:val="lt-LT"/>
        </w:rPr>
        <w:t xml:space="preserve"> </w:t>
      </w:r>
      <w:r w:rsidR="008018DC" w:rsidRPr="00273A3E">
        <w:rPr>
          <w:rFonts w:ascii="Times New Roman" w:hAnsi="Times New Roman"/>
          <w:lang w:val="lt-LT"/>
        </w:rPr>
        <w:t xml:space="preserve">jungtimi, </w:t>
      </w:r>
      <w:proofErr w:type="spellStart"/>
      <w:r w:rsidR="008018DC" w:rsidRPr="00273A3E">
        <w:rPr>
          <w:rFonts w:ascii="Times New Roman" w:hAnsi="Times New Roman"/>
          <w:lang w:val="lt-LT"/>
        </w:rPr>
        <w:t>bromobutilo</w:t>
      </w:r>
      <w:proofErr w:type="spellEnd"/>
      <w:r w:rsidR="008018DC" w:rsidRPr="00273A3E">
        <w:rPr>
          <w:rFonts w:ascii="Times New Roman" w:hAnsi="Times New Roman"/>
          <w:lang w:val="lt-LT"/>
        </w:rPr>
        <w:t xml:space="preserve"> gumos stūmokliu</w:t>
      </w:r>
      <w:r w:rsidR="00F23341" w:rsidRPr="00273A3E">
        <w:rPr>
          <w:rFonts w:ascii="Times New Roman" w:hAnsi="Times New Roman"/>
          <w:lang w:val="lt-LT"/>
        </w:rPr>
        <w:t xml:space="preserve">, padengtu </w:t>
      </w:r>
      <w:proofErr w:type="spellStart"/>
      <w:r w:rsidR="00F23341" w:rsidRPr="00273A3E">
        <w:rPr>
          <w:rFonts w:ascii="Times New Roman" w:hAnsi="Times New Roman"/>
          <w:i/>
          <w:iCs/>
          <w:lang w:val="lt-LT"/>
        </w:rPr>
        <w:t>FluroTec</w:t>
      </w:r>
      <w:proofErr w:type="spellEnd"/>
      <w:r w:rsidR="00F23341" w:rsidRPr="00273A3E">
        <w:rPr>
          <w:rFonts w:ascii="Times New Roman" w:hAnsi="Times New Roman"/>
          <w:lang w:val="lt-LT"/>
        </w:rPr>
        <w:t xml:space="preserve">, </w:t>
      </w:r>
      <w:proofErr w:type="spellStart"/>
      <w:r w:rsidR="008018DC" w:rsidRPr="00273A3E">
        <w:rPr>
          <w:rFonts w:ascii="Times New Roman" w:hAnsi="Times New Roman"/>
          <w:lang w:val="lt-LT"/>
        </w:rPr>
        <w:t>stireno</w:t>
      </w:r>
      <w:r w:rsidR="00F23341" w:rsidRPr="00273A3E">
        <w:rPr>
          <w:rFonts w:ascii="Times New Roman" w:hAnsi="Times New Roman"/>
          <w:lang w:val="lt-LT"/>
        </w:rPr>
        <w:t>-</w:t>
      </w:r>
      <w:r w:rsidR="008018DC" w:rsidRPr="00273A3E">
        <w:rPr>
          <w:rFonts w:ascii="Times New Roman" w:hAnsi="Times New Roman"/>
          <w:lang w:val="lt-LT"/>
        </w:rPr>
        <w:t>butadieno</w:t>
      </w:r>
      <w:proofErr w:type="spellEnd"/>
      <w:r w:rsidR="008018DC" w:rsidRPr="00273A3E">
        <w:rPr>
          <w:rFonts w:ascii="Times New Roman" w:hAnsi="Times New Roman"/>
          <w:lang w:val="lt-LT"/>
        </w:rPr>
        <w:t xml:space="preserve"> gumos antgalio dangteliu, </w:t>
      </w:r>
      <w:proofErr w:type="spellStart"/>
      <w:r w:rsidR="008018DC" w:rsidRPr="00273A3E">
        <w:rPr>
          <w:rFonts w:ascii="Times New Roman" w:hAnsi="Times New Roman"/>
          <w:lang w:val="lt-LT"/>
        </w:rPr>
        <w:t>polistireniniu</w:t>
      </w:r>
      <w:proofErr w:type="spellEnd"/>
      <w:r w:rsidR="008018DC" w:rsidRPr="00273A3E">
        <w:rPr>
          <w:rFonts w:ascii="Times New Roman" w:hAnsi="Times New Roman"/>
          <w:lang w:val="lt-LT"/>
        </w:rPr>
        <w:t xml:space="preserve"> stūmoklio kotu ir </w:t>
      </w:r>
      <w:proofErr w:type="spellStart"/>
      <w:r w:rsidR="008018DC" w:rsidRPr="00273A3E">
        <w:rPr>
          <w:rFonts w:ascii="Times New Roman" w:hAnsi="Times New Roman"/>
          <w:lang w:val="lt-LT"/>
        </w:rPr>
        <w:t>polipropileniniu</w:t>
      </w:r>
      <w:proofErr w:type="spellEnd"/>
      <w:r w:rsidR="008018DC" w:rsidRPr="00273A3E">
        <w:rPr>
          <w:rFonts w:ascii="Times New Roman" w:hAnsi="Times New Roman"/>
          <w:lang w:val="lt-LT"/>
        </w:rPr>
        <w:t xml:space="preserve"> atbulinės eigos </w:t>
      </w:r>
      <w:r w:rsidR="00F23341" w:rsidRPr="00273A3E">
        <w:rPr>
          <w:rFonts w:ascii="Times New Roman" w:hAnsi="Times New Roman"/>
          <w:lang w:val="lt-LT"/>
        </w:rPr>
        <w:t>ribotuvu</w:t>
      </w:r>
      <w:r w:rsidR="008018DC" w:rsidRPr="00273A3E">
        <w:rPr>
          <w:rFonts w:ascii="Times New Roman" w:hAnsi="Times New Roman"/>
          <w:lang w:val="lt-LT"/>
        </w:rPr>
        <w:t xml:space="preserve">. </w:t>
      </w:r>
      <w:r w:rsidR="00914779" w:rsidRPr="00273A3E">
        <w:rPr>
          <w:rFonts w:ascii="Times New Roman" w:hAnsi="Times New Roman"/>
          <w:lang w:val="lt-LT"/>
        </w:rPr>
        <w:t>Pakuotėje taip pat yra saugioji adata (</w:t>
      </w:r>
      <w:r w:rsidR="00914779" w:rsidRPr="00273A3E">
        <w:rPr>
          <w:rFonts w:ascii="Times New Roman" w:hAnsi="Times New Roman"/>
          <w:i/>
          <w:iCs/>
          <w:lang w:val="lt-LT"/>
        </w:rPr>
        <w:t xml:space="preserve">BD </w:t>
      </w:r>
      <w:proofErr w:type="spellStart"/>
      <w:r w:rsidR="00914779" w:rsidRPr="00273A3E">
        <w:rPr>
          <w:rFonts w:ascii="Times New Roman" w:hAnsi="Times New Roman"/>
          <w:i/>
          <w:iCs/>
          <w:lang w:val="lt-LT"/>
        </w:rPr>
        <w:t>SafetyGlide</w:t>
      </w:r>
      <w:proofErr w:type="spellEnd"/>
      <w:r w:rsidR="00914779" w:rsidRPr="00273A3E">
        <w:rPr>
          <w:rFonts w:ascii="Times New Roman" w:hAnsi="Times New Roman"/>
          <w:lang w:val="lt-LT"/>
        </w:rPr>
        <w:t>), skirta prijungti prie korpuso.</w:t>
      </w:r>
    </w:p>
    <w:p w14:paraId="24FCC25B" w14:textId="77777777" w:rsidR="008018DC" w:rsidRPr="00273A3E" w:rsidRDefault="008018DC" w:rsidP="009F71ED">
      <w:pPr>
        <w:tabs>
          <w:tab w:val="left" w:pos="567"/>
        </w:tabs>
        <w:autoSpaceDE w:val="0"/>
        <w:autoSpaceDN w:val="0"/>
        <w:adjustRightInd w:val="0"/>
        <w:spacing w:after="0" w:line="240" w:lineRule="auto"/>
        <w:rPr>
          <w:rFonts w:ascii="Times New Roman" w:hAnsi="Times New Roman"/>
          <w:lang w:val="lt-LT"/>
        </w:rPr>
      </w:pPr>
    </w:p>
    <w:p w14:paraId="0FB8D93B" w14:textId="77777777" w:rsidR="00914779" w:rsidRPr="00273A3E" w:rsidRDefault="00914779"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arba</w:t>
      </w:r>
    </w:p>
    <w:p w14:paraId="41725A71" w14:textId="77777777" w:rsidR="00914779" w:rsidRPr="00273A3E" w:rsidRDefault="00914779" w:rsidP="009F71ED">
      <w:pPr>
        <w:tabs>
          <w:tab w:val="left" w:pos="567"/>
        </w:tabs>
        <w:autoSpaceDE w:val="0"/>
        <w:autoSpaceDN w:val="0"/>
        <w:adjustRightInd w:val="0"/>
        <w:spacing w:after="0" w:line="240" w:lineRule="auto"/>
        <w:rPr>
          <w:rFonts w:ascii="Times New Roman" w:hAnsi="Times New Roman"/>
          <w:lang w:val="lt-LT"/>
        </w:rPr>
      </w:pPr>
    </w:p>
    <w:p w14:paraId="5B0468C1" w14:textId="77777777" w:rsidR="00914779" w:rsidRPr="00273A3E" w:rsidRDefault="00A30B59"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Du vienkartiniai užpildyti švirkštai, kuriuos sudaro 1 tipo </w:t>
      </w:r>
      <w:proofErr w:type="spellStart"/>
      <w:r w:rsidRPr="00273A3E">
        <w:rPr>
          <w:rFonts w:ascii="Times New Roman" w:hAnsi="Times New Roman"/>
          <w:lang w:val="lt-LT"/>
        </w:rPr>
        <w:t>silikonizuoto</w:t>
      </w:r>
      <w:proofErr w:type="spellEnd"/>
      <w:r w:rsidRPr="00273A3E">
        <w:rPr>
          <w:rFonts w:ascii="Times New Roman" w:hAnsi="Times New Roman"/>
          <w:lang w:val="lt-LT"/>
        </w:rPr>
        <w:t xml:space="preserve"> stiklo korpusas su pirmojo atidarymo kontrolės uždoriu /</w:t>
      </w:r>
      <w:r w:rsidRPr="00273A3E">
        <w:rPr>
          <w:rFonts w:ascii="Times New Roman" w:hAnsi="Times New Roman"/>
          <w:i/>
          <w:iCs/>
          <w:lang w:val="lt-LT"/>
        </w:rPr>
        <w:t xml:space="preserve"> </w:t>
      </w:r>
      <w:proofErr w:type="spellStart"/>
      <w:r w:rsidRPr="00273A3E">
        <w:rPr>
          <w:rFonts w:ascii="Times New Roman" w:hAnsi="Times New Roman"/>
          <w:i/>
          <w:iCs/>
          <w:lang w:val="lt-LT"/>
        </w:rPr>
        <w:t>Luer</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Lock</w:t>
      </w:r>
      <w:proofErr w:type="spellEnd"/>
      <w:r w:rsidRPr="00273A3E">
        <w:rPr>
          <w:rFonts w:ascii="Times New Roman" w:hAnsi="Times New Roman"/>
          <w:lang w:val="lt-LT"/>
        </w:rPr>
        <w:t xml:space="preserve"> jungtimi, </w:t>
      </w:r>
      <w:proofErr w:type="spellStart"/>
      <w:r w:rsidRPr="00273A3E">
        <w:rPr>
          <w:rFonts w:ascii="Times New Roman" w:hAnsi="Times New Roman"/>
          <w:lang w:val="lt-LT"/>
        </w:rPr>
        <w:t>bromobutilo</w:t>
      </w:r>
      <w:proofErr w:type="spellEnd"/>
      <w:r w:rsidRPr="00273A3E">
        <w:rPr>
          <w:rFonts w:ascii="Times New Roman" w:hAnsi="Times New Roman"/>
          <w:lang w:val="lt-LT"/>
        </w:rPr>
        <w:t xml:space="preserve"> gumos stūmokliu, padengtu </w:t>
      </w:r>
      <w:proofErr w:type="spellStart"/>
      <w:r w:rsidRPr="00273A3E">
        <w:rPr>
          <w:rFonts w:ascii="Times New Roman" w:hAnsi="Times New Roman"/>
          <w:i/>
          <w:iCs/>
          <w:lang w:val="lt-LT"/>
        </w:rPr>
        <w:t>FluroTec</w:t>
      </w:r>
      <w:proofErr w:type="spellEnd"/>
      <w:r w:rsidRPr="00273A3E">
        <w:rPr>
          <w:rFonts w:ascii="Times New Roman" w:hAnsi="Times New Roman"/>
          <w:lang w:val="lt-LT"/>
        </w:rPr>
        <w:t xml:space="preserve">, </w:t>
      </w:r>
      <w:proofErr w:type="spellStart"/>
      <w:r w:rsidRPr="00273A3E">
        <w:rPr>
          <w:rFonts w:ascii="Times New Roman" w:hAnsi="Times New Roman"/>
          <w:lang w:val="lt-LT"/>
        </w:rPr>
        <w:t>stireno-butadieno</w:t>
      </w:r>
      <w:proofErr w:type="spellEnd"/>
      <w:r w:rsidRPr="00273A3E">
        <w:rPr>
          <w:rFonts w:ascii="Times New Roman" w:hAnsi="Times New Roman"/>
          <w:lang w:val="lt-LT"/>
        </w:rPr>
        <w:t xml:space="preserve"> gumos antgalio dangteliu, </w:t>
      </w:r>
      <w:proofErr w:type="spellStart"/>
      <w:r w:rsidRPr="00273A3E">
        <w:rPr>
          <w:rFonts w:ascii="Times New Roman" w:hAnsi="Times New Roman"/>
          <w:lang w:val="lt-LT"/>
        </w:rPr>
        <w:t>polistireniniu</w:t>
      </w:r>
      <w:proofErr w:type="spellEnd"/>
      <w:r w:rsidRPr="00273A3E">
        <w:rPr>
          <w:rFonts w:ascii="Times New Roman" w:hAnsi="Times New Roman"/>
          <w:lang w:val="lt-LT"/>
        </w:rPr>
        <w:t xml:space="preserve"> stūmoklio kotu ir </w:t>
      </w:r>
      <w:proofErr w:type="spellStart"/>
      <w:r w:rsidRPr="00273A3E">
        <w:rPr>
          <w:rFonts w:ascii="Times New Roman" w:hAnsi="Times New Roman"/>
          <w:lang w:val="lt-LT"/>
        </w:rPr>
        <w:t>polipropileniniu</w:t>
      </w:r>
      <w:proofErr w:type="spellEnd"/>
      <w:r w:rsidRPr="00273A3E">
        <w:rPr>
          <w:rFonts w:ascii="Times New Roman" w:hAnsi="Times New Roman"/>
          <w:lang w:val="lt-LT"/>
        </w:rPr>
        <w:t xml:space="preserve"> atbulinės eigos ribotuvu. </w:t>
      </w:r>
      <w:r w:rsidR="00914779" w:rsidRPr="00273A3E">
        <w:rPr>
          <w:rFonts w:ascii="Times New Roman" w:hAnsi="Times New Roman"/>
          <w:lang w:val="lt-LT"/>
        </w:rPr>
        <w:t>Pakuotėje taip pat yra saugiųjų adatų (</w:t>
      </w:r>
      <w:r w:rsidR="00914779" w:rsidRPr="00273A3E">
        <w:rPr>
          <w:rFonts w:ascii="Times New Roman" w:hAnsi="Times New Roman"/>
          <w:i/>
          <w:iCs/>
          <w:lang w:val="lt-LT"/>
        </w:rPr>
        <w:t xml:space="preserve">BD </w:t>
      </w:r>
      <w:proofErr w:type="spellStart"/>
      <w:r w:rsidR="00914779" w:rsidRPr="00273A3E">
        <w:rPr>
          <w:rFonts w:ascii="Times New Roman" w:hAnsi="Times New Roman"/>
          <w:i/>
          <w:iCs/>
          <w:lang w:val="lt-LT"/>
        </w:rPr>
        <w:t>SafetyGlide</w:t>
      </w:r>
      <w:proofErr w:type="spellEnd"/>
      <w:r w:rsidR="00914779" w:rsidRPr="00273A3E">
        <w:rPr>
          <w:rFonts w:ascii="Times New Roman" w:hAnsi="Times New Roman"/>
          <w:lang w:val="lt-LT"/>
        </w:rPr>
        <w:t>), skirtų prijungti prie korpuso.</w:t>
      </w:r>
    </w:p>
    <w:p w14:paraId="5333ADCC" w14:textId="77777777" w:rsidR="00914779" w:rsidRPr="00273A3E" w:rsidRDefault="00914779" w:rsidP="009F71ED">
      <w:pPr>
        <w:tabs>
          <w:tab w:val="left" w:pos="567"/>
        </w:tabs>
        <w:autoSpaceDE w:val="0"/>
        <w:autoSpaceDN w:val="0"/>
        <w:adjustRightInd w:val="0"/>
        <w:spacing w:after="0" w:line="240" w:lineRule="auto"/>
        <w:rPr>
          <w:rFonts w:ascii="Times New Roman" w:hAnsi="Times New Roman"/>
          <w:lang w:val="lt-LT"/>
        </w:rPr>
      </w:pPr>
    </w:p>
    <w:p w14:paraId="009F445A" w14:textId="77777777" w:rsidR="00914779" w:rsidRPr="00273A3E" w:rsidRDefault="00914779"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arba</w:t>
      </w:r>
    </w:p>
    <w:p w14:paraId="790DF0FB" w14:textId="77777777" w:rsidR="00914779" w:rsidRPr="00273A3E" w:rsidRDefault="00914779" w:rsidP="009F71ED">
      <w:pPr>
        <w:tabs>
          <w:tab w:val="left" w:pos="567"/>
        </w:tabs>
        <w:autoSpaceDE w:val="0"/>
        <w:autoSpaceDN w:val="0"/>
        <w:adjustRightInd w:val="0"/>
        <w:spacing w:after="0" w:line="240" w:lineRule="auto"/>
        <w:rPr>
          <w:rFonts w:ascii="Times New Roman" w:hAnsi="Times New Roman"/>
          <w:lang w:val="lt-LT"/>
        </w:rPr>
      </w:pPr>
    </w:p>
    <w:p w14:paraId="26E2C78B" w14:textId="77777777" w:rsidR="0081508A" w:rsidRPr="00273A3E" w:rsidRDefault="0081508A" w:rsidP="0081508A">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Keturi vienkartiniai užpildyti švirkštai, kuriuos sudaro 1 tipo </w:t>
      </w:r>
      <w:proofErr w:type="spellStart"/>
      <w:r w:rsidRPr="00273A3E">
        <w:rPr>
          <w:rFonts w:ascii="Times New Roman" w:hAnsi="Times New Roman"/>
          <w:lang w:val="lt-LT"/>
        </w:rPr>
        <w:t>silikonizuoto</w:t>
      </w:r>
      <w:proofErr w:type="spellEnd"/>
      <w:r w:rsidRPr="00273A3E">
        <w:rPr>
          <w:rFonts w:ascii="Times New Roman" w:hAnsi="Times New Roman"/>
          <w:lang w:val="lt-LT"/>
        </w:rPr>
        <w:t xml:space="preserve"> stiklo korpusas su pirmojo atidarymo kontrolės uždoriu /</w:t>
      </w:r>
      <w:r w:rsidRPr="00273A3E">
        <w:rPr>
          <w:rFonts w:ascii="Times New Roman" w:hAnsi="Times New Roman"/>
          <w:i/>
          <w:iCs/>
          <w:lang w:val="lt-LT"/>
        </w:rPr>
        <w:t xml:space="preserve"> </w:t>
      </w:r>
      <w:proofErr w:type="spellStart"/>
      <w:r w:rsidRPr="00273A3E">
        <w:rPr>
          <w:rFonts w:ascii="Times New Roman" w:hAnsi="Times New Roman"/>
          <w:i/>
          <w:iCs/>
          <w:lang w:val="lt-LT"/>
        </w:rPr>
        <w:t>Luer</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Lock</w:t>
      </w:r>
      <w:proofErr w:type="spellEnd"/>
      <w:r w:rsidRPr="00273A3E">
        <w:rPr>
          <w:rFonts w:ascii="Times New Roman" w:hAnsi="Times New Roman"/>
          <w:lang w:val="lt-LT"/>
        </w:rPr>
        <w:t xml:space="preserve"> jungtimi, </w:t>
      </w:r>
      <w:proofErr w:type="spellStart"/>
      <w:r w:rsidRPr="00273A3E">
        <w:rPr>
          <w:rFonts w:ascii="Times New Roman" w:hAnsi="Times New Roman"/>
          <w:lang w:val="lt-LT"/>
        </w:rPr>
        <w:t>bromobutilo</w:t>
      </w:r>
      <w:proofErr w:type="spellEnd"/>
      <w:r w:rsidRPr="00273A3E">
        <w:rPr>
          <w:rFonts w:ascii="Times New Roman" w:hAnsi="Times New Roman"/>
          <w:lang w:val="lt-LT"/>
        </w:rPr>
        <w:t xml:space="preserve"> gumos stūmokliu, padengtu </w:t>
      </w:r>
      <w:proofErr w:type="spellStart"/>
      <w:r w:rsidRPr="00273A3E">
        <w:rPr>
          <w:rFonts w:ascii="Times New Roman" w:hAnsi="Times New Roman"/>
          <w:i/>
          <w:iCs/>
          <w:lang w:val="lt-LT"/>
        </w:rPr>
        <w:t>FluroTec</w:t>
      </w:r>
      <w:proofErr w:type="spellEnd"/>
      <w:r w:rsidRPr="00273A3E">
        <w:rPr>
          <w:rFonts w:ascii="Times New Roman" w:hAnsi="Times New Roman"/>
          <w:lang w:val="lt-LT"/>
        </w:rPr>
        <w:t xml:space="preserve">, </w:t>
      </w:r>
      <w:proofErr w:type="spellStart"/>
      <w:r w:rsidRPr="00273A3E">
        <w:rPr>
          <w:rFonts w:ascii="Times New Roman" w:hAnsi="Times New Roman"/>
          <w:lang w:val="lt-LT"/>
        </w:rPr>
        <w:t>stireno-butadieno</w:t>
      </w:r>
      <w:proofErr w:type="spellEnd"/>
      <w:r w:rsidRPr="00273A3E">
        <w:rPr>
          <w:rFonts w:ascii="Times New Roman" w:hAnsi="Times New Roman"/>
          <w:lang w:val="lt-LT"/>
        </w:rPr>
        <w:t xml:space="preserve"> gumos antgalio dangteliu, </w:t>
      </w:r>
      <w:proofErr w:type="spellStart"/>
      <w:r w:rsidRPr="00273A3E">
        <w:rPr>
          <w:rFonts w:ascii="Times New Roman" w:hAnsi="Times New Roman"/>
          <w:lang w:val="lt-LT"/>
        </w:rPr>
        <w:t>polistireniniu</w:t>
      </w:r>
      <w:proofErr w:type="spellEnd"/>
      <w:r w:rsidRPr="00273A3E">
        <w:rPr>
          <w:rFonts w:ascii="Times New Roman" w:hAnsi="Times New Roman"/>
          <w:lang w:val="lt-LT"/>
        </w:rPr>
        <w:t xml:space="preserve"> stūmoklio kotu ir </w:t>
      </w:r>
      <w:proofErr w:type="spellStart"/>
      <w:r w:rsidRPr="00273A3E">
        <w:rPr>
          <w:rFonts w:ascii="Times New Roman" w:hAnsi="Times New Roman"/>
          <w:lang w:val="lt-LT"/>
        </w:rPr>
        <w:t>polipropileniniu</w:t>
      </w:r>
      <w:proofErr w:type="spellEnd"/>
      <w:r w:rsidRPr="00273A3E">
        <w:rPr>
          <w:rFonts w:ascii="Times New Roman" w:hAnsi="Times New Roman"/>
          <w:lang w:val="lt-LT"/>
        </w:rPr>
        <w:t xml:space="preserve"> atbulinės eigos ribotuvu. Pakuotėje taip pat yra saugiųjų adatų (</w:t>
      </w:r>
      <w:r w:rsidRPr="00273A3E">
        <w:rPr>
          <w:rFonts w:ascii="Times New Roman" w:hAnsi="Times New Roman"/>
          <w:i/>
          <w:iCs/>
          <w:lang w:val="lt-LT"/>
        </w:rPr>
        <w:t xml:space="preserve">BD </w:t>
      </w:r>
      <w:proofErr w:type="spellStart"/>
      <w:r w:rsidRPr="00273A3E">
        <w:rPr>
          <w:rFonts w:ascii="Times New Roman" w:hAnsi="Times New Roman"/>
          <w:i/>
          <w:iCs/>
          <w:lang w:val="lt-LT"/>
        </w:rPr>
        <w:t>SafetyGlide</w:t>
      </w:r>
      <w:proofErr w:type="spellEnd"/>
      <w:r w:rsidRPr="00273A3E">
        <w:rPr>
          <w:rFonts w:ascii="Times New Roman" w:hAnsi="Times New Roman"/>
          <w:lang w:val="lt-LT"/>
        </w:rPr>
        <w:t>), skirtų prijungti prie korpuso.</w:t>
      </w:r>
    </w:p>
    <w:p w14:paraId="650DF656" w14:textId="77777777" w:rsidR="00914779" w:rsidRPr="00273A3E" w:rsidRDefault="00914779" w:rsidP="009F71ED">
      <w:pPr>
        <w:tabs>
          <w:tab w:val="left" w:pos="567"/>
        </w:tabs>
        <w:autoSpaceDE w:val="0"/>
        <w:autoSpaceDN w:val="0"/>
        <w:adjustRightInd w:val="0"/>
        <w:spacing w:after="0" w:line="240" w:lineRule="auto"/>
        <w:rPr>
          <w:rFonts w:ascii="Times New Roman" w:hAnsi="Times New Roman"/>
          <w:lang w:val="lt-LT"/>
        </w:rPr>
      </w:pPr>
    </w:p>
    <w:p w14:paraId="63B02F16" w14:textId="77777777" w:rsidR="00914779" w:rsidRPr="00273A3E" w:rsidRDefault="00914779"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arba</w:t>
      </w:r>
    </w:p>
    <w:p w14:paraId="790B43C5" w14:textId="77777777" w:rsidR="00914779" w:rsidRPr="00273A3E" w:rsidRDefault="00914779" w:rsidP="009F71ED">
      <w:pPr>
        <w:tabs>
          <w:tab w:val="left" w:pos="567"/>
        </w:tabs>
        <w:autoSpaceDE w:val="0"/>
        <w:autoSpaceDN w:val="0"/>
        <w:adjustRightInd w:val="0"/>
        <w:spacing w:after="0" w:line="240" w:lineRule="auto"/>
        <w:rPr>
          <w:rFonts w:ascii="Times New Roman" w:hAnsi="Times New Roman"/>
          <w:lang w:val="lt-LT"/>
        </w:rPr>
      </w:pPr>
    </w:p>
    <w:p w14:paraId="4033C22B" w14:textId="77777777" w:rsidR="0081508A" w:rsidRPr="00273A3E" w:rsidRDefault="0081508A" w:rsidP="0081508A">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Šeši vienkartiniai užpildyti švirkštai, kuriuos sudaro 1 tipo </w:t>
      </w:r>
      <w:proofErr w:type="spellStart"/>
      <w:r w:rsidRPr="00273A3E">
        <w:rPr>
          <w:rFonts w:ascii="Times New Roman" w:hAnsi="Times New Roman"/>
          <w:lang w:val="lt-LT"/>
        </w:rPr>
        <w:t>silikonizuoto</w:t>
      </w:r>
      <w:proofErr w:type="spellEnd"/>
      <w:r w:rsidRPr="00273A3E">
        <w:rPr>
          <w:rFonts w:ascii="Times New Roman" w:hAnsi="Times New Roman"/>
          <w:lang w:val="lt-LT"/>
        </w:rPr>
        <w:t xml:space="preserve"> stiklo korpusas su pirmojo atidarymo kontrolės uždoriu /</w:t>
      </w:r>
      <w:r w:rsidRPr="00273A3E">
        <w:rPr>
          <w:rFonts w:ascii="Times New Roman" w:hAnsi="Times New Roman"/>
          <w:i/>
          <w:iCs/>
          <w:lang w:val="lt-LT"/>
        </w:rPr>
        <w:t xml:space="preserve"> </w:t>
      </w:r>
      <w:proofErr w:type="spellStart"/>
      <w:r w:rsidRPr="00273A3E">
        <w:rPr>
          <w:rFonts w:ascii="Times New Roman" w:hAnsi="Times New Roman"/>
          <w:i/>
          <w:iCs/>
          <w:lang w:val="lt-LT"/>
        </w:rPr>
        <w:t>Luer</w:t>
      </w:r>
      <w:proofErr w:type="spellEnd"/>
      <w:r w:rsidRPr="00273A3E">
        <w:rPr>
          <w:rFonts w:ascii="Times New Roman" w:hAnsi="Times New Roman"/>
          <w:i/>
          <w:iCs/>
          <w:lang w:val="lt-LT"/>
        </w:rPr>
        <w:t xml:space="preserve"> </w:t>
      </w:r>
      <w:proofErr w:type="spellStart"/>
      <w:r w:rsidRPr="00273A3E">
        <w:rPr>
          <w:rFonts w:ascii="Times New Roman" w:hAnsi="Times New Roman"/>
          <w:i/>
          <w:iCs/>
          <w:lang w:val="lt-LT"/>
        </w:rPr>
        <w:t>Lock</w:t>
      </w:r>
      <w:proofErr w:type="spellEnd"/>
      <w:r w:rsidRPr="00273A3E">
        <w:rPr>
          <w:rFonts w:ascii="Times New Roman" w:hAnsi="Times New Roman"/>
          <w:lang w:val="lt-LT"/>
        </w:rPr>
        <w:t xml:space="preserve"> jungtimi, </w:t>
      </w:r>
      <w:proofErr w:type="spellStart"/>
      <w:r w:rsidRPr="00273A3E">
        <w:rPr>
          <w:rFonts w:ascii="Times New Roman" w:hAnsi="Times New Roman"/>
          <w:lang w:val="lt-LT"/>
        </w:rPr>
        <w:t>bromobutilo</w:t>
      </w:r>
      <w:proofErr w:type="spellEnd"/>
      <w:r w:rsidRPr="00273A3E">
        <w:rPr>
          <w:rFonts w:ascii="Times New Roman" w:hAnsi="Times New Roman"/>
          <w:lang w:val="lt-LT"/>
        </w:rPr>
        <w:t xml:space="preserve"> gumos stūmokliu, padengtu </w:t>
      </w:r>
      <w:proofErr w:type="spellStart"/>
      <w:r w:rsidRPr="00273A3E">
        <w:rPr>
          <w:rFonts w:ascii="Times New Roman" w:hAnsi="Times New Roman"/>
          <w:i/>
          <w:iCs/>
          <w:lang w:val="lt-LT"/>
        </w:rPr>
        <w:t>FluroTec</w:t>
      </w:r>
      <w:proofErr w:type="spellEnd"/>
      <w:r w:rsidRPr="00273A3E">
        <w:rPr>
          <w:rFonts w:ascii="Times New Roman" w:hAnsi="Times New Roman"/>
          <w:lang w:val="lt-LT"/>
        </w:rPr>
        <w:t xml:space="preserve">, </w:t>
      </w:r>
      <w:proofErr w:type="spellStart"/>
      <w:r w:rsidRPr="00273A3E">
        <w:rPr>
          <w:rFonts w:ascii="Times New Roman" w:hAnsi="Times New Roman"/>
          <w:lang w:val="lt-LT"/>
        </w:rPr>
        <w:t>stireno-butadieno</w:t>
      </w:r>
      <w:proofErr w:type="spellEnd"/>
      <w:r w:rsidRPr="00273A3E">
        <w:rPr>
          <w:rFonts w:ascii="Times New Roman" w:hAnsi="Times New Roman"/>
          <w:lang w:val="lt-LT"/>
        </w:rPr>
        <w:t xml:space="preserve"> gumos antgalio dangteliu, </w:t>
      </w:r>
      <w:proofErr w:type="spellStart"/>
      <w:r w:rsidRPr="00273A3E">
        <w:rPr>
          <w:rFonts w:ascii="Times New Roman" w:hAnsi="Times New Roman"/>
          <w:lang w:val="lt-LT"/>
        </w:rPr>
        <w:t>polistireniniu</w:t>
      </w:r>
      <w:proofErr w:type="spellEnd"/>
      <w:r w:rsidRPr="00273A3E">
        <w:rPr>
          <w:rFonts w:ascii="Times New Roman" w:hAnsi="Times New Roman"/>
          <w:lang w:val="lt-LT"/>
        </w:rPr>
        <w:t xml:space="preserve"> stūmoklio kotu ir </w:t>
      </w:r>
      <w:proofErr w:type="spellStart"/>
      <w:r w:rsidRPr="00273A3E">
        <w:rPr>
          <w:rFonts w:ascii="Times New Roman" w:hAnsi="Times New Roman"/>
          <w:lang w:val="lt-LT"/>
        </w:rPr>
        <w:t>polipropileniniu</w:t>
      </w:r>
      <w:proofErr w:type="spellEnd"/>
      <w:r w:rsidRPr="00273A3E">
        <w:rPr>
          <w:rFonts w:ascii="Times New Roman" w:hAnsi="Times New Roman"/>
          <w:lang w:val="lt-LT"/>
        </w:rPr>
        <w:t xml:space="preserve"> atbulinės eigos ribotuvu. Pakuotėje taip pat yra saugiųjų adatų (</w:t>
      </w:r>
      <w:r w:rsidRPr="00273A3E">
        <w:rPr>
          <w:rFonts w:ascii="Times New Roman" w:hAnsi="Times New Roman"/>
          <w:i/>
          <w:iCs/>
          <w:lang w:val="lt-LT"/>
        </w:rPr>
        <w:t xml:space="preserve">BD </w:t>
      </w:r>
      <w:proofErr w:type="spellStart"/>
      <w:r w:rsidRPr="00273A3E">
        <w:rPr>
          <w:rFonts w:ascii="Times New Roman" w:hAnsi="Times New Roman"/>
          <w:i/>
          <w:iCs/>
          <w:lang w:val="lt-LT"/>
        </w:rPr>
        <w:t>SafetyGlide</w:t>
      </w:r>
      <w:proofErr w:type="spellEnd"/>
      <w:r w:rsidRPr="00273A3E">
        <w:rPr>
          <w:rFonts w:ascii="Times New Roman" w:hAnsi="Times New Roman"/>
          <w:lang w:val="lt-LT"/>
        </w:rPr>
        <w:t>), skirtų prijungti prie korpuso.</w:t>
      </w:r>
    </w:p>
    <w:p w14:paraId="1CACD127" w14:textId="77777777" w:rsidR="00914779" w:rsidRPr="00273A3E" w:rsidRDefault="00914779" w:rsidP="009F71ED">
      <w:pPr>
        <w:tabs>
          <w:tab w:val="left" w:pos="567"/>
        </w:tabs>
        <w:autoSpaceDE w:val="0"/>
        <w:autoSpaceDN w:val="0"/>
        <w:adjustRightInd w:val="0"/>
        <w:spacing w:after="0" w:line="240" w:lineRule="auto"/>
        <w:rPr>
          <w:rFonts w:ascii="Times New Roman" w:hAnsi="Times New Roman"/>
          <w:lang w:val="lt-LT"/>
        </w:rPr>
      </w:pPr>
    </w:p>
    <w:p w14:paraId="2CE07D5E"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bookmarkStart w:id="2" w:name="_Hlk97476868"/>
      <w:r w:rsidRPr="00273A3E">
        <w:rPr>
          <w:rFonts w:ascii="Times New Roman" w:hAnsi="Times New Roman"/>
          <w:lang w:val="lt-LT"/>
        </w:rPr>
        <w:t>Gali būti tiekiamos ne visų dydžių pakuotės.</w:t>
      </w:r>
    </w:p>
    <w:bookmarkEnd w:id="2"/>
    <w:p w14:paraId="3B363B77"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2A94268A"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6.6</w:t>
      </w:r>
      <w:r w:rsidRPr="00273A3E">
        <w:rPr>
          <w:rFonts w:ascii="Times New Roman" w:hAnsi="Times New Roman"/>
          <w:b/>
          <w:lang w:val="lt-LT"/>
        </w:rPr>
        <w:tab/>
        <w:t>Specialūs reikalavimai atliekoms tvarkyti ir vaistiniam preparatui ruošti</w:t>
      </w:r>
    </w:p>
    <w:p w14:paraId="10973B9A" w14:textId="77777777" w:rsidR="00E306CA" w:rsidRPr="00273A3E" w:rsidRDefault="00E306CA" w:rsidP="009F71ED">
      <w:pPr>
        <w:tabs>
          <w:tab w:val="left" w:pos="567"/>
        </w:tabs>
        <w:spacing w:after="0" w:line="240" w:lineRule="auto"/>
        <w:rPr>
          <w:rFonts w:ascii="Times New Roman" w:hAnsi="Times New Roman"/>
          <w:lang w:val="lt-LT"/>
        </w:rPr>
      </w:pPr>
    </w:p>
    <w:p w14:paraId="14D630A8" w14:textId="77777777" w:rsidR="00E306CA" w:rsidRPr="00273A3E" w:rsidRDefault="00E306CA" w:rsidP="009F71ED">
      <w:pPr>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Vartojimo instrukcijos</w:t>
      </w:r>
    </w:p>
    <w:p w14:paraId="781548DC"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Injekciją atlikite </w:t>
      </w:r>
      <w:r w:rsidR="00E0350C" w:rsidRPr="00273A3E">
        <w:rPr>
          <w:rFonts w:ascii="Times New Roman" w:hAnsi="Times New Roman"/>
          <w:lang w:val="lt-LT"/>
        </w:rPr>
        <w:t>laikydamiesi vietinių rekomendacijų</w:t>
      </w:r>
      <w:r w:rsidRPr="00273A3E">
        <w:rPr>
          <w:rFonts w:ascii="Times New Roman" w:hAnsi="Times New Roman"/>
          <w:lang w:val="lt-LT"/>
        </w:rPr>
        <w:t xml:space="preserve">, kaip </w:t>
      </w:r>
      <w:r w:rsidR="00E0350C" w:rsidRPr="00273A3E">
        <w:rPr>
          <w:rFonts w:ascii="Times New Roman" w:hAnsi="Times New Roman"/>
          <w:lang w:val="lt-LT"/>
        </w:rPr>
        <w:t xml:space="preserve">atlikti </w:t>
      </w:r>
      <w:r w:rsidRPr="00273A3E">
        <w:rPr>
          <w:rFonts w:ascii="Times New Roman" w:hAnsi="Times New Roman"/>
          <w:lang w:val="lt-LT"/>
        </w:rPr>
        <w:t>didelių tūrių injekcij</w:t>
      </w:r>
      <w:r w:rsidR="00E0350C" w:rsidRPr="00273A3E">
        <w:rPr>
          <w:rFonts w:ascii="Times New Roman" w:hAnsi="Times New Roman"/>
          <w:lang w:val="lt-LT"/>
        </w:rPr>
        <w:t>as</w:t>
      </w:r>
      <w:r w:rsidRPr="00273A3E">
        <w:rPr>
          <w:rFonts w:ascii="Times New Roman" w:hAnsi="Times New Roman"/>
          <w:lang w:val="lt-LT"/>
        </w:rPr>
        <w:t xml:space="preserve"> į raumenis.</w:t>
      </w:r>
    </w:p>
    <w:p w14:paraId="63992A16"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05F08C1A"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PASTABA:</w:t>
      </w:r>
      <w:r w:rsidR="00914779" w:rsidRPr="00273A3E">
        <w:rPr>
          <w:rFonts w:ascii="Times New Roman" w:hAnsi="Times New Roman"/>
          <w:lang w:val="lt-LT"/>
        </w:rPr>
        <w:t xml:space="preserve"> </w:t>
      </w:r>
      <w:proofErr w:type="spellStart"/>
      <w:r w:rsidR="00914779" w:rsidRPr="00273A3E">
        <w:rPr>
          <w:rFonts w:ascii="Times New Roman" w:hAnsi="Times New Roman"/>
          <w:lang w:val="lt-LT"/>
        </w:rPr>
        <w:t>Fulvestrant</w:t>
      </w:r>
      <w:proofErr w:type="spellEnd"/>
      <w:r w:rsidR="00914779" w:rsidRPr="00273A3E" w:rsidDel="00914779">
        <w:rPr>
          <w:rFonts w:ascii="Times New Roman" w:hAnsi="Times New Roman"/>
          <w:lang w:val="lt-LT"/>
        </w:rPr>
        <w:t xml:space="preserve"> </w:t>
      </w:r>
      <w:proofErr w:type="spellStart"/>
      <w:r w:rsidR="00914779" w:rsidRPr="00273A3E">
        <w:rPr>
          <w:rFonts w:ascii="Times New Roman" w:hAnsi="Times New Roman"/>
          <w:lang w:val="lt-LT"/>
        </w:rPr>
        <w:t>Orion</w:t>
      </w:r>
      <w:proofErr w:type="spellEnd"/>
      <w:r w:rsidR="00914779" w:rsidRPr="00273A3E">
        <w:rPr>
          <w:rFonts w:ascii="Times New Roman" w:hAnsi="Times New Roman"/>
          <w:lang w:val="lt-LT"/>
        </w:rPr>
        <w:t xml:space="preserve"> </w:t>
      </w:r>
      <w:r w:rsidR="00D81425" w:rsidRPr="00273A3E">
        <w:rPr>
          <w:rFonts w:ascii="Times New Roman" w:hAnsi="Times New Roman"/>
          <w:lang w:val="lt-LT"/>
        </w:rPr>
        <w:t>injekciją</w:t>
      </w:r>
      <w:r w:rsidRPr="00273A3E">
        <w:rPr>
          <w:rFonts w:ascii="Times New Roman" w:hAnsi="Times New Roman"/>
          <w:lang w:val="lt-LT"/>
        </w:rPr>
        <w:t xml:space="preserve"> į nugarinę sėdmens dalį reikia </w:t>
      </w:r>
      <w:r w:rsidR="00D81425" w:rsidRPr="00273A3E">
        <w:rPr>
          <w:rFonts w:ascii="Times New Roman" w:hAnsi="Times New Roman"/>
          <w:lang w:val="lt-LT"/>
        </w:rPr>
        <w:t>atlikti</w:t>
      </w:r>
      <w:r w:rsidR="00E7087F" w:rsidRPr="00273A3E">
        <w:rPr>
          <w:rFonts w:ascii="Times New Roman" w:hAnsi="Times New Roman"/>
          <w:lang w:val="lt-LT"/>
        </w:rPr>
        <w:t xml:space="preserve"> </w:t>
      </w:r>
      <w:r w:rsidRPr="00273A3E">
        <w:rPr>
          <w:rFonts w:ascii="Times New Roman" w:hAnsi="Times New Roman"/>
          <w:lang w:val="lt-LT"/>
        </w:rPr>
        <w:t>atsargiai, kadangi arti yra sėdmens nervas (žr. 4.4</w:t>
      </w:r>
      <w:r w:rsidR="00FF0074" w:rsidRPr="00273A3E">
        <w:rPr>
          <w:rFonts w:ascii="Times New Roman" w:hAnsi="Times New Roman"/>
          <w:lang w:val="lt-LT"/>
        </w:rPr>
        <w:t> skyri</w:t>
      </w:r>
      <w:r w:rsidRPr="00273A3E">
        <w:rPr>
          <w:rFonts w:ascii="Times New Roman" w:hAnsi="Times New Roman"/>
          <w:lang w:val="lt-LT"/>
        </w:rPr>
        <w:t>ų).</w:t>
      </w:r>
    </w:p>
    <w:p w14:paraId="783B6974" w14:textId="77777777" w:rsidR="006C2076" w:rsidRPr="00273A3E" w:rsidRDefault="006C2076" w:rsidP="009F71ED">
      <w:pPr>
        <w:tabs>
          <w:tab w:val="left" w:pos="567"/>
        </w:tabs>
        <w:autoSpaceDE w:val="0"/>
        <w:autoSpaceDN w:val="0"/>
        <w:adjustRightInd w:val="0"/>
        <w:spacing w:after="0" w:line="240" w:lineRule="auto"/>
        <w:rPr>
          <w:rFonts w:ascii="Times New Roman" w:hAnsi="Times New Roman"/>
          <w:lang w:val="lt-LT"/>
        </w:rPr>
      </w:pPr>
    </w:p>
    <w:p w14:paraId="1A498732"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Įspėjimas: prieš </w:t>
      </w:r>
      <w:r w:rsidR="00A32DAE" w:rsidRPr="00273A3E">
        <w:rPr>
          <w:rFonts w:ascii="Times New Roman" w:hAnsi="Times New Roman"/>
          <w:lang w:val="lt-LT"/>
        </w:rPr>
        <w:t>naudojimą</w:t>
      </w:r>
      <w:r w:rsidRPr="00273A3E">
        <w:rPr>
          <w:rFonts w:ascii="Times New Roman" w:hAnsi="Times New Roman"/>
          <w:lang w:val="lt-LT"/>
        </w:rPr>
        <w:t xml:space="preserve"> saugiosios adatos (</w:t>
      </w:r>
      <w:r w:rsidRPr="00273A3E">
        <w:rPr>
          <w:rFonts w:ascii="Times New Roman" w:hAnsi="Times New Roman"/>
          <w:i/>
          <w:iCs/>
          <w:lang w:val="lt-LT"/>
        </w:rPr>
        <w:t xml:space="preserve">BD </w:t>
      </w:r>
      <w:proofErr w:type="spellStart"/>
      <w:r w:rsidRPr="00273A3E">
        <w:rPr>
          <w:rFonts w:ascii="Times New Roman" w:hAnsi="Times New Roman"/>
          <w:i/>
          <w:iCs/>
          <w:lang w:val="lt-LT"/>
        </w:rPr>
        <w:t>SafetyGlide</w:t>
      </w:r>
      <w:proofErr w:type="spellEnd"/>
      <w:r w:rsidRPr="00273A3E">
        <w:rPr>
          <w:rFonts w:ascii="Times New Roman" w:hAnsi="Times New Roman"/>
          <w:lang w:val="lt-LT"/>
        </w:rPr>
        <w:t xml:space="preserve"> </w:t>
      </w:r>
      <w:proofErr w:type="spellStart"/>
      <w:r w:rsidR="00D81425" w:rsidRPr="00273A3E">
        <w:rPr>
          <w:rFonts w:ascii="Times New Roman" w:hAnsi="Times New Roman"/>
          <w:lang w:val="lt-LT"/>
        </w:rPr>
        <w:t>hipoderminės</w:t>
      </w:r>
      <w:proofErr w:type="spellEnd"/>
      <w:r w:rsidRPr="00273A3E">
        <w:rPr>
          <w:rFonts w:ascii="Times New Roman" w:hAnsi="Times New Roman"/>
          <w:lang w:val="lt-LT"/>
        </w:rPr>
        <w:t xml:space="preserve"> adatos</w:t>
      </w:r>
      <w:r w:rsidR="003B6D1D" w:rsidRPr="00273A3E">
        <w:rPr>
          <w:rFonts w:ascii="Times New Roman" w:hAnsi="Times New Roman"/>
          <w:lang w:val="lt-LT"/>
        </w:rPr>
        <w:t xml:space="preserve"> su apsauga</w:t>
      </w:r>
      <w:r w:rsidRPr="00273A3E">
        <w:rPr>
          <w:rFonts w:ascii="Times New Roman" w:hAnsi="Times New Roman"/>
          <w:lang w:val="lt-LT"/>
        </w:rPr>
        <w:t xml:space="preserve">) </w:t>
      </w:r>
      <w:proofErr w:type="spellStart"/>
      <w:r w:rsidRPr="00273A3E">
        <w:rPr>
          <w:rFonts w:ascii="Times New Roman" w:hAnsi="Times New Roman"/>
          <w:lang w:val="lt-LT"/>
        </w:rPr>
        <w:t>autoklavuoti</w:t>
      </w:r>
      <w:proofErr w:type="spellEnd"/>
      <w:r w:rsidRPr="00273A3E">
        <w:rPr>
          <w:rFonts w:ascii="Times New Roman" w:hAnsi="Times New Roman"/>
          <w:lang w:val="lt-LT"/>
        </w:rPr>
        <w:t xml:space="preserve"> negalima. </w:t>
      </w:r>
      <w:r w:rsidR="00665C7F" w:rsidRPr="00273A3E">
        <w:rPr>
          <w:rFonts w:ascii="Times New Roman" w:hAnsi="Times New Roman"/>
          <w:lang w:val="lt-LT"/>
        </w:rPr>
        <w:t>Naudojimo ir šalinimo</w:t>
      </w:r>
      <w:r w:rsidR="00D81425" w:rsidRPr="00273A3E">
        <w:rPr>
          <w:rFonts w:ascii="Times New Roman" w:hAnsi="Times New Roman"/>
          <w:lang w:val="lt-LT"/>
        </w:rPr>
        <w:t xml:space="preserve"> </w:t>
      </w:r>
      <w:r w:rsidR="00FF0074" w:rsidRPr="00273A3E">
        <w:rPr>
          <w:rFonts w:ascii="Times New Roman" w:hAnsi="Times New Roman"/>
          <w:lang w:val="lt-LT"/>
        </w:rPr>
        <w:t>met</w:t>
      </w:r>
      <w:r w:rsidR="00665C7F" w:rsidRPr="00273A3E">
        <w:rPr>
          <w:rFonts w:ascii="Times New Roman" w:hAnsi="Times New Roman"/>
          <w:lang w:val="lt-LT"/>
        </w:rPr>
        <w:t>u rankos visada turi likti už adatos.</w:t>
      </w:r>
    </w:p>
    <w:p w14:paraId="11D44CFA"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bookmarkStart w:id="3" w:name="_Hlk48336188"/>
    </w:p>
    <w:p w14:paraId="1899D50F" w14:textId="77777777" w:rsidR="006C207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Kiekvienam iš dviejų švirkštų</w:t>
      </w:r>
      <w:r w:rsidR="00D81425" w:rsidRPr="00273A3E">
        <w:rPr>
          <w:rFonts w:ascii="Times New Roman" w:hAnsi="Times New Roman"/>
          <w:lang w:val="lt-LT"/>
        </w:rPr>
        <w:t>:</w:t>
      </w:r>
    </w:p>
    <w:p w14:paraId="608F69CD" w14:textId="77777777" w:rsidR="00914779" w:rsidRPr="00273A3E" w:rsidRDefault="00914779" w:rsidP="00914779">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3644"/>
      </w:tblGrid>
      <w:tr w:rsidR="0011295D" w:rsidRPr="00490319" w14:paraId="5961B195" w14:textId="77777777" w:rsidTr="00ED28CB">
        <w:trPr>
          <w:trHeight w:val="3597"/>
        </w:trPr>
        <w:tc>
          <w:tcPr>
            <w:tcW w:w="4987" w:type="dxa"/>
          </w:tcPr>
          <w:p w14:paraId="78DAD701" w14:textId="77777777" w:rsidR="00914779" w:rsidRPr="00273A3E" w:rsidRDefault="00914779" w:rsidP="00ED28CB">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hAnsi="Times New Roman"/>
                <w:lang w:val="lt-LT"/>
              </w:rPr>
              <w:t>Išimkite stiklinį švirkšto korpusą iš dėklo ir patikrinkite, ar jis nepažeistas.</w:t>
            </w:r>
          </w:p>
          <w:p w14:paraId="7E773307" w14:textId="77777777" w:rsidR="00914779" w:rsidRPr="00273A3E" w:rsidRDefault="00914779" w:rsidP="00ED28CB">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hAnsi="Times New Roman"/>
                <w:lang w:val="lt-LT"/>
              </w:rPr>
              <w:t>Atplėškite saugiosios adatos (</w:t>
            </w:r>
            <w:proofErr w:type="spellStart"/>
            <w:r w:rsidRPr="00273A3E">
              <w:rPr>
                <w:rFonts w:ascii="Times New Roman" w:hAnsi="Times New Roman"/>
                <w:i/>
                <w:iCs/>
                <w:lang w:val="lt-LT"/>
              </w:rPr>
              <w:t>SafetyGlide</w:t>
            </w:r>
            <w:proofErr w:type="spellEnd"/>
            <w:r w:rsidRPr="00273A3E">
              <w:rPr>
                <w:rFonts w:ascii="Times New Roman" w:hAnsi="Times New Roman"/>
                <w:lang w:val="lt-LT"/>
              </w:rPr>
              <w:t>) išorinę pakuotę.</w:t>
            </w:r>
          </w:p>
          <w:p w14:paraId="3DED8283" w14:textId="77777777" w:rsidR="00914779" w:rsidRPr="00273A3E" w:rsidRDefault="00914779" w:rsidP="00ED28CB">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hAnsi="Times New Roman"/>
                <w:lang w:val="lt-LT"/>
              </w:rPr>
              <w:t xml:space="preserve">Prieš vartojant </w:t>
            </w:r>
            <w:proofErr w:type="spellStart"/>
            <w:r w:rsidRPr="00273A3E">
              <w:rPr>
                <w:rFonts w:ascii="Times New Roman" w:hAnsi="Times New Roman"/>
                <w:lang w:val="lt-LT"/>
              </w:rPr>
              <w:t>parenterinius</w:t>
            </w:r>
            <w:proofErr w:type="spellEnd"/>
            <w:r w:rsidRPr="00273A3E">
              <w:rPr>
                <w:rFonts w:ascii="Times New Roman" w:hAnsi="Times New Roman"/>
                <w:lang w:val="lt-LT"/>
              </w:rPr>
              <w:t xml:space="preserve"> tirpalus būtina apžiūrėti, ar nėra kietųjų dalelių ir ar nepakitusi tirpalo spalva.</w:t>
            </w:r>
          </w:p>
          <w:p w14:paraId="5BB4B5E1" w14:textId="77777777" w:rsidR="00B93274" w:rsidRPr="00273A3E" w:rsidRDefault="00914779" w:rsidP="00ED28CB">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hAnsi="Times New Roman"/>
                <w:lang w:val="lt-LT"/>
              </w:rPr>
              <w:t xml:space="preserve">Laikykite švirkštą vertikaliai už </w:t>
            </w:r>
            <w:proofErr w:type="spellStart"/>
            <w:r w:rsidRPr="00273A3E">
              <w:rPr>
                <w:rFonts w:ascii="Times New Roman" w:hAnsi="Times New Roman"/>
                <w:lang w:val="lt-LT"/>
              </w:rPr>
              <w:t>briaunuotos</w:t>
            </w:r>
            <w:proofErr w:type="spellEnd"/>
            <w:r w:rsidRPr="00273A3E">
              <w:rPr>
                <w:rFonts w:ascii="Times New Roman" w:hAnsi="Times New Roman"/>
                <w:lang w:val="lt-LT"/>
              </w:rPr>
              <w:t xml:space="preserve"> dalies (C). Kita ranka </w:t>
            </w:r>
            <w:r w:rsidR="00B93274" w:rsidRPr="00273A3E">
              <w:rPr>
                <w:rFonts w:ascii="Times New Roman" w:hAnsi="Times New Roman"/>
                <w:lang w:val="lt-LT" w:eastAsia="en-GB"/>
              </w:rPr>
              <w:t>suimkite</w:t>
            </w:r>
            <w:r w:rsidRPr="00273A3E">
              <w:rPr>
                <w:rFonts w:ascii="Times New Roman" w:hAnsi="Times New Roman"/>
                <w:lang w:val="lt-LT"/>
              </w:rPr>
              <w:t xml:space="preserve"> dangtel</w:t>
            </w:r>
            <w:r w:rsidR="00B93274" w:rsidRPr="00273A3E">
              <w:rPr>
                <w:rFonts w:ascii="Times New Roman" w:hAnsi="Times New Roman"/>
                <w:lang w:val="lt-LT" w:eastAsia="en-GB"/>
              </w:rPr>
              <w:t>į</w:t>
            </w:r>
            <w:r w:rsidRPr="00273A3E">
              <w:rPr>
                <w:rFonts w:ascii="Times New Roman" w:hAnsi="Times New Roman"/>
                <w:lang w:val="lt-LT"/>
              </w:rPr>
              <w:t xml:space="preserve"> (A)</w:t>
            </w:r>
            <w:r w:rsidR="00B93274" w:rsidRPr="00273A3E">
              <w:rPr>
                <w:rFonts w:ascii="Times New Roman" w:hAnsi="Times New Roman"/>
                <w:lang w:val="lt-LT" w:eastAsia="en-GB"/>
              </w:rPr>
              <w:t xml:space="preserve"> ir </w:t>
            </w:r>
            <w:r w:rsidRPr="00273A3E">
              <w:rPr>
                <w:rFonts w:ascii="Times New Roman" w:hAnsi="Times New Roman"/>
                <w:lang w:val="lt-LT"/>
              </w:rPr>
              <w:t xml:space="preserve">atsargiai jį </w:t>
            </w:r>
            <w:r w:rsidR="00B93274" w:rsidRPr="00273A3E">
              <w:rPr>
                <w:rFonts w:ascii="Times New Roman" w:hAnsi="Times New Roman"/>
                <w:lang w:val="lt-LT" w:eastAsia="en-GB"/>
              </w:rPr>
              <w:t>judinkite atgal ir pirmyn kol jis atsikabins ir bus galima nuimti, nesukite (žr. 1 pav.).</w:t>
            </w:r>
          </w:p>
        </w:tc>
        <w:tc>
          <w:tcPr>
            <w:tcW w:w="3644" w:type="dxa"/>
            <w:vAlign w:val="center"/>
          </w:tcPr>
          <w:p w14:paraId="3EB24DDB" w14:textId="77777777" w:rsidR="00914779" w:rsidRPr="00273A3E" w:rsidRDefault="0003368A" w:rsidP="00ED28CB">
            <w:pPr>
              <w:numPr>
                <w:ilvl w:val="12"/>
                <w:numId w:val="0"/>
              </w:numPr>
              <w:tabs>
                <w:tab w:val="left" w:pos="567"/>
              </w:tabs>
              <w:spacing w:after="0" w:line="240" w:lineRule="auto"/>
              <w:ind w:right="-2"/>
              <w:jc w:val="center"/>
              <w:rPr>
                <w:rFonts w:ascii="Times New Roman" w:eastAsia="Times New Roman" w:hAnsi="Times New Roman"/>
                <w:noProof/>
                <w:lang w:val="lt-LT" w:eastAsia="en-GB"/>
              </w:rPr>
            </w:pPr>
            <w:r w:rsidRPr="00273A3E">
              <w:rPr>
                <w:rFonts w:ascii="Times New Roman" w:eastAsia="Times New Roman" w:hAnsi="Times New Roman"/>
                <w:noProof/>
                <w:lang w:val="lt-LT" w:eastAsia="en-GB"/>
              </w:rPr>
              <mc:AlternateContent>
                <mc:Choice Requires="wps">
                  <w:drawing>
                    <wp:anchor distT="45720" distB="45720" distL="114300" distR="114300" simplePos="0" relativeHeight="251652608" behindDoc="0" locked="0" layoutInCell="1" allowOverlap="1" wp14:anchorId="0AFC3FF1" wp14:editId="4D35C59F">
                      <wp:simplePos x="0" y="0"/>
                      <wp:positionH relativeFrom="column">
                        <wp:posOffset>269240</wp:posOffset>
                      </wp:positionH>
                      <wp:positionV relativeFrom="paragraph">
                        <wp:posOffset>303530</wp:posOffset>
                      </wp:positionV>
                      <wp:extent cx="944880" cy="330835"/>
                      <wp:effectExtent l="2540" t="3175" r="0" b="0"/>
                      <wp:wrapSquare wrapText="bothSides"/>
                      <wp:docPr id="1717455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74FB6" w14:textId="77777777" w:rsidR="00ED28CB" w:rsidRPr="009F71ED" w:rsidRDefault="00ED28CB">
                                  <w:pPr>
                                    <w:rPr>
                                      <w:rFonts w:ascii="Times New Roman" w:hAnsi="Times New Roman"/>
                                    </w:rPr>
                                  </w:pPr>
                                  <w:r w:rsidRPr="009F71ED">
                                    <w:rPr>
                                      <w:rFonts w:ascii="Times New Roman" w:hAnsi="Times New Roman"/>
                                    </w:rPr>
                                    <w:t>1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1.2pt;margin-top:23.9pt;width:74.4pt;height:26.0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" stroked="f">
                      <v:textbox>
                        <w:txbxContent>
                          <w:p w14:paraId="1B20877B" w14:textId="77777777" w:rsidR="00ED28CB" w:rsidRPr="009F71ED" w:rsidRDefault="00ED28CB">
                            <w:pPr>
                              <w:rPr>
                                <w:rFonts w:ascii="Times New Roman" w:hAnsi="Times New Roman"/>
                              </w:rPr>
                            </w:pPr>
                            <w:r w:rsidRPr="009F71ED">
                              <w:rPr>
                                <w:rFonts w:ascii="Times New Roman" w:hAnsi="Times New Roman"/>
                              </w:rPr>
                              <w:t>1 pav.</w:t>
                            </w:r>
                          </w:p>
                        </w:txbxContent>
                      </v:textbox>
                      <w10:wrap type="square"/>
                    </v:shape>
                  </w:pict>
                </mc:Fallback>
              </mc:AlternateContent>
            </w:r>
            <w:r w:rsidRPr="00273A3E">
              <w:rPr>
                <w:rFonts w:ascii="Times New Roman" w:eastAsia="Times New Roman" w:hAnsi="Times New Roman"/>
                <w:noProof/>
                <w:lang w:val="lt-LT" w:eastAsia="en-GB"/>
              </w:rPr>
              <w:drawing>
                <wp:anchor distT="0" distB="0" distL="114300" distR="114300" simplePos="0" relativeHeight="251651584" behindDoc="0" locked="0" layoutInCell="1" allowOverlap="1" wp14:anchorId="0A2DB408" wp14:editId="0CF5FA58">
                  <wp:simplePos x="0" y="0"/>
                  <wp:positionH relativeFrom="column">
                    <wp:posOffset>5080</wp:posOffset>
                  </wp:positionH>
                  <wp:positionV relativeFrom="paragraph">
                    <wp:posOffset>116205</wp:posOffset>
                  </wp:positionV>
                  <wp:extent cx="2047875" cy="1939290"/>
                  <wp:effectExtent l="0" t="0" r="0" b="0"/>
                  <wp:wrapNone/>
                  <wp:docPr id="25" name="Picture 1" descr="A diagram of a hand hold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hand holding a nee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7875" cy="19392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3E697F8" w14:textId="77777777" w:rsidR="00914779" w:rsidRPr="00273A3E" w:rsidRDefault="00914779" w:rsidP="00914779">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704"/>
      </w:tblGrid>
      <w:tr w:rsidR="0011295D" w:rsidRPr="00490319" w14:paraId="4084A0EA" w14:textId="77777777" w:rsidTr="00ED28CB">
        <w:trPr>
          <w:trHeight w:val="2779"/>
        </w:trPr>
        <w:tc>
          <w:tcPr>
            <w:tcW w:w="4957" w:type="dxa"/>
            <w:vAlign w:val="center"/>
          </w:tcPr>
          <w:p w14:paraId="1060BBB8" w14:textId="77777777" w:rsidR="00914779" w:rsidRPr="00273A3E" w:rsidRDefault="00914779" w:rsidP="00ED28CB">
            <w:pPr>
              <w:numPr>
                <w:ilvl w:val="0"/>
                <w:numId w:val="23"/>
              </w:numPr>
              <w:tabs>
                <w:tab w:val="left" w:pos="567"/>
              </w:tabs>
              <w:ind w:left="567" w:hanging="567"/>
              <w:rPr>
                <w:rFonts w:ascii="Times New Roman" w:eastAsia="Times New Roman" w:hAnsi="Times New Roman"/>
                <w:noProof/>
                <w:lang w:val="lt-LT" w:eastAsia="en-GB"/>
              </w:rPr>
            </w:pPr>
            <w:r w:rsidRPr="00273A3E">
              <w:rPr>
                <w:rFonts w:ascii="Times New Roman" w:eastAsia="Times New Roman" w:hAnsi="Times New Roman"/>
                <w:noProof/>
                <w:lang w:val="lt-LT" w:eastAsia="en-GB"/>
              </w:rPr>
              <w:t xml:space="preserve">Nuimkite dangtelį (A) jį laikydami nukreiptą į viršų. Kad liktų sterilu, nelieskite švirkšto </w:t>
            </w:r>
            <w:r w:rsidR="00617736" w:rsidRPr="00273A3E">
              <w:rPr>
                <w:rFonts w:ascii="Times New Roman" w:eastAsia="Times New Roman" w:hAnsi="Times New Roman"/>
                <w:noProof/>
                <w:lang w:val="lt-LT" w:eastAsia="en-GB"/>
              </w:rPr>
              <w:t xml:space="preserve">antgalio </w:t>
            </w:r>
            <w:r w:rsidRPr="00273A3E">
              <w:rPr>
                <w:rFonts w:ascii="Times New Roman" w:eastAsia="Times New Roman" w:hAnsi="Times New Roman"/>
                <w:noProof/>
                <w:lang w:val="lt-LT" w:eastAsia="en-GB"/>
              </w:rPr>
              <w:t>(B) (žr. 2 pav</w:t>
            </w:r>
            <w:r w:rsidR="00617736" w:rsidRPr="00273A3E">
              <w:rPr>
                <w:rFonts w:ascii="Times New Roman" w:eastAsia="Times New Roman" w:hAnsi="Times New Roman"/>
                <w:noProof/>
                <w:lang w:val="lt-LT" w:eastAsia="en-GB"/>
              </w:rPr>
              <w:t>.</w:t>
            </w:r>
            <w:r w:rsidRPr="00273A3E">
              <w:rPr>
                <w:rFonts w:ascii="Times New Roman" w:eastAsia="Times New Roman" w:hAnsi="Times New Roman"/>
                <w:noProof/>
                <w:lang w:val="lt-LT" w:eastAsia="en-GB"/>
              </w:rPr>
              <w:t>).</w:t>
            </w:r>
          </w:p>
        </w:tc>
        <w:tc>
          <w:tcPr>
            <w:tcW w:w="3704" w:type="dxa"/>
          </w:tcPr>
          <w:p w14:paraId="6A0E4547" w14:textId="77777777" w:rsidR="00914779" w:rsidRPr="00273A3E" w:rsidRDefault="0003368A" w:rsidP="00ED28CB">
            <w:pPr>
              <w:numPr>
                <w:ilvl w:val="12"/>
                <w:numId w:val="0"/>
              </w:numPr>
              <w:tabs>
                <w:tab w:val="left" w:pos="567"/>
              </w:tabs>
              <w:spacing w:after="0" w:line="240" w:lineRule="auto"/>
              <w:ind w:right="-2"/>
              <w:rPr>
                <w:rFonts w:ascii="Times New Roman" w:eastAsia="Times New Roman" w:hAnsi="Times New Roman"/>
                <w:noProof/>
                <w:lang w:val="lt-LT" w:eastAsia="en-GB"/>
              </w:rPr>
            </w:pPr>
            <w:r w:rsidRPr="00273A3E">
              <w:rPr>
                <w:rFonts w:ascii="Times New Roman" w:eastAsia="Times New Roman" w:hAnsi="Times New Roman"/>
                <w:noProof/>
                <w:lang w:val="lt-LT" w:eastAsia="en-GB"/>
              </w:rPr>
              <mc:AlternateContent>
                <mc:Choice Requires="wps">
                  <w:drawing>
                    <wp:anchor distT="45720" distB="45720" distL="114300" distR="114300" simplePos="0" relativeHeight="251653632" behindDoc="0" locked="0" layoutInCell="1" allowOverlap="1" wp14:anchorId="16604238" wp14:editId="2961F262">
                      <wp:simplePos x="0" y="0"/>
                      <wp:positionH relativeFrom="column">
                        <wp:posOffset>288290</wp:posOffset>
                      </wp:positionH>
                      <wp:positionV relativeFrom="paragraph">
                        <wp:posOffset>176530</wp:posOffset>
                      </wp:positionV>
                      <wp:extent cx="944880" cy="330835"/>
                      <wp:effectExtent l="2540" t="0" r="0" b="2540"/>
                      <wp:wrapSquare wrapText="bothSides"/>
                      <wp:docPr id="1964074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8DD05" w14:textId="77777777" w:rsidR="0011295D" w:rsidRPr="009F71ED" w:rsidRDefault="0011295D" w:rsidP="0011295D">
                                  <w:pPr>
                                    <w:rPr>
                                      <w:rFonts w:ascii="Times New Roman" w:hAnsi="Times New Roman"/>
                                    </w:rPr>
                                  </w:pPr>
                                  <w:r>
                                    <w:rPr>
                                      <w:rFonts w:ascii="Times New Roman" w:hAnsi="Times New Roman"/>
                                    </w:rPr>
                                    <w:t>2 </w:t>
                                  </w:r>
                                  <w:proofErr w:type="gramStart"/>
                                  <w:r w:rsidRPr="009F71ED">
                                    <w:rPr>
                                      <w:rFonts w:ascii="Times New Roman" w:hAnsi="Times New Roman"/>
                                    </w:rPr>
                                    <w:t>pav</w:t>
                                  </w:r>
                                  <w:proofErr w:type="gramEnd"/>
                                  <w:r w:rsidRPr="009F71ED">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7pt;margin-top:13.9pt;width:74.4pt;height:26.0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" stroked="f">
                      <v:textbox>
                        <w:txbxContent>
                          <w:p w14:paraId="20918DD1" w14:textId="77777777" w:rsidR="0011295D" w:rsidRPr="009F71ED" w:rsidRDefault="0011295D" w:rsidP="0011295D">
                            <w:pPr>
                              <w:rPr>
                                <w:rFonts w:ascii="Times New Roman" w:hAnsi="Times New Roman"/>
                              </w:rPr>
                            </w:pPr>
                            <w:r>
                              <w:rPr>
                                <w:rFonts w:ascii="Times New Roman" w:hAnsi="Times New Roman"/>
                              </w:rPr>
                              <w:t>2 </w:t>
                            </w:r>
                            <w:r w:rsidRPr="009F71ED">
                              <w:rPr>
                                <w:rFonts w:ascii="Times New Roman" w:hAnsi="Times New Roman"/>
                              </w:rPr>
                              <w:t>pav.</w:t>
                            </w:r>
                          </w:p>
                        </w:txbxContent>
                      </v:textbox>
                      <w10:wrap type="square"/>
                    </v:shape>
                  </w:pict>
                </mc:Fallback>
              </mc:AlternateContent>
            </w:r>
            <w:r w:rsidRPr="00273A3E">
              <w:rPr>
                <w:rFonts w:ascii="Times New Roman" w:eastAsia="Times New Roman" w:hAnsi="Times New Roman"/>
                <w:noProof/>
                <w:lang w:val="lt-LT" w:eastAsia="en-GB"/>
              </w:rPr>
              <w:drawing>
                <wp:anchor distT="0" distB="0" distL="114300" distR="114300" simplePos="0" relativeHeight="251649536" behindDoc="0" locked="0" layoutInCell="1" allowOverlap="1" wp14:anchorId="05D91160" wp14:editId="5D231A48">
                  <wp:simplePos x="0" y="0"/>
                  <wp:positionH relativeFrom="column">
                    <wp:posOffset>-1905</wp:posOffset>
                  </wp:positionH>
                  <wp:positionV relativeFrom="paragraph">
                    <wp:posOffset>75565</wp:posOffset>
                  </wp:positionV>
                  <wp:extent cx="2113915" cy="1849755"/>
                  <wp:effectExtent l="0" t="0" r="0" b="0"/>
                  <wp:wrapTight wrapText="bothSides">
                    <wp:wrapPolygon edited="0">
                      <wp:start x="0" y="0"/>
                      <wp:lineTo x="0" y="21355"/>
                      <wp:lineTo x="21412" y="21355"/>
                      <wp:lineTo x="21412" y="0"/>
                      <wp:lineTo x="0" y="0"/>
                    </wp:wrapPolygon>
                  </wp:wrapTight>
                  <wp:docPr id="20" name="Picture 3" descr="A diagram of a hand hold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hand holding a need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391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B1E0EF8" w14:textId="77777777" w:rsidR="00914779" w:rsidRPr="00273A3E" w:rsidRDefault="00914779" w:rsidP="00914779">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75"/>
      </w:tblGrid>
      <w:tr w:rsidR="0011295D" w:rsidRPr="00490319" w14:paraId="49EA7F2E" w14:textId="77777777" w:rsidTr="00ED28CB">
        <w:trPr>
          <w:trHeight w:val="3470"/>
        </w:trPr>
        <w:tc>
          <w:tcPr>
            <w:tcW w:w="4957" w:type="dxa"/>
            <w:vAlign w:val="center"/>
          </w:tcPr>
          <w:p w14:paraId="0B311165" w14:textId="77777777" w:rsidR="00914779" w:rsidRPr="00273A3E" w:rsidRDefault="00914779" w:rsidP="00ED28CB">
            <w:pPr>
              <w:pStyle w:val="Sraopastraipa"/>
              <w:numPr>
                <w:ilvl w:val="0"/>
                <w:numId w:val="23"/>
              </w:numPr>
              <w:tabs>
                <w:tab w:val="left" w:pos="567"/>
              </w:tabs>
              <w:autoSpaceDE w:val="0"/>
              <w:autoSpaceDN w:val="0"/>
              <w:adjustRightInd w:val="0"/>
              <w:ind w:left="567" w:hanging="567"/>
              <w:contextualSpacing w:val="0"/>
              <w:rPr>
                <w:noProof/>
                <w:szCs w:val="22"/>
                <w:lang w:eastAsia="es-ES"/>
              </w:rPr>
            </w:pPr>
            <w:r w:rsidRPr="00273A3E">
              <w:rPr>
                <w:rFonts w:eastAsia="Calibri"/>
                <w:szCs w:val="22"/>
              </w:rPr>
              <w:t xml:space="preserve">Prijunkite saugiąją adatą prie </w:t>
            </w:r>
            <w:proofErr w:type="spellStart"/>
            <w:r w:rsidRPr="00273A3E">
              <w:rPr>
                <w:rFonts w:eastAsia="Calibri"/>
                <w:i/>
                <w:iCs/>
                <w:szCs w:val="22"/>
              </w:rPr>
              <w:t>Luer</w:t>
            </w:r>
            <w:proofErr w:type="spellEnd"/>
            <w:r w:rsidR="00617736" w:rsidRPr="00273A3E">
              <w:rPr>
                <w:rFonts w:eastAsia="Calibri"/>
                <w:i/>
                <w:iCs/>
                <w:szCs w:val="22"/>
              </w:rPr>
              <w:t xml:space="preserve"> </w:t>
            </w:r>
            <w:proofErr w:type="spellStart"/>
            <w:r w:rsidR="00617736" w:rsidRPr="00273A3E">
              <w:rPr>
                <w:i/>
                <w:iCs/>
                <w:szCs w:val="22"/>
              </w:rPr>
              <w:t>Lock</w:t>
            </w:r>
            <w:proofErr w:type="spellEnd"/>
            <w:r w:rsidR="00617736" w:rsidRPr="00273A3E">
              <w:rPr>
                <w:szCs w:val="22"/>
              </w:rPr>
              <w:t xml:space="preserve"> </w:t>
            </w:r>
            <w:r w:rsidRPr="00273A3E">
              <w:rPr>
                <w:rFonts w:eastAsia="Calibri"/>
                <w:szCs w:val="22"/>
              </w:rPr>
              <w:t xml:space="preserve">mechanizmo ir pasukite, kol tvirtai užsifiksuos </w:t>
            </w:r>
            <w:r w:rsidRPr="00273A3E">
              <w:rPr>
                <w:rFonts w:eastAsia="Calibri"/>
                <w:szCs w:val="22"/>
                <w:lang w:eastAsia="en-US"/>
              </w:rPr>
              <w:t>(žr. 3 pav</w:t>
            </w:r>
            <w:r w:rsidR="00617736" w:rsidRPr="00273A3E">
              <w:rPr>
                <w:rFonts w:eastAsia="Calibri"/>
                <w:szCs w:val="22"/>
                <w:lang w:eastAsia="en-US"/>
              </w:rPr>
              <w:t>.</w:t>
            </w:r>
            <w:r w:rsidRPr="00273A3E">
              <w:rPr>
                <w:rFonts w:eastAsia="Calibri"/>
                <w:szCs w:val="22"/>
                <w:lang w:eastAsia="en-US"/>
              </w:rPr>
              <w:t>).</w:t>
            </w:r>
          </w:p>
          <w:p w14:paraId="7475063D" w14:textId="77777777" w:rsidR="00914779" w:rsidRPr="00273A3E" w:rsidRDefault="00914779" w:rsidP="00ED28CB">
            <w:pPr>
              <w:pStyle w:val="Sraopastraipa"/>
              <w:numPr>
                <w:ilvl w:val="0"/>
                <w:numId w:val="23"/>
              </w:numPr>
              <w:tabs>
                <w:tab w:val="left" w:pos="567"/>
              </w:tabs>
              <w:autoSpaceDE w:val="0"/>
              <w:autoSpaceDN w:val="0"/>
              <w:adjustRightInd w:val="0"/>
              <w:ind w:left="567" w:hanging="567"/>
              <w:contextualSpacing w:val="0"/>
              <w:rPr>
                <w:rFonts w:eastAsia="Calibri"/>
                <w:szCs w:val="22"/>
                <w:lang w:eastAsia="en-US"/>
              </w:rPr>
            </w:pPr>
            <w:r w:rsidRPr="00273A3E">
              <w:rPr>
                <w:rFonts w:eastAsia="Calibri"/>
                <w:szCs w:val="22"/>
                <w:lang w:eastAsia="en-US"/>
              </w:rPr>
              <w:t xml:space="preserve">Prieš pakeisdami vertikalią padėtį, patikrinkite, ar adata prisirakinusi prie </w:t>
            </w:r>
            <w:proofErr w:type="spellStart"/>
            <w:r w:rsidRPr="00273A3E">
              <w:rPr>
                <w:rFonts w:eastAsia="Calibri"/>
                <w:i/>
                <w:iCs/>
                <w:szCs w:val="22"/>
                <w:lang w:eastAsia="en-US"/>
              </w:rPr>
              <w:t>Luer</w:t>
            </w:r>
            <w:proofErr w:type="spellEnd"/>
            <w:r w:rsidRPr="00273A3E">
              <w:rPr>
                <w:rFonts w:eastAsia="Calibri"/>
                <w:i/>
                <w:iCs/>
                <w:szCs w:val="22"/>
                <w:lang w:eastAsia="en-US"/>
              </w:rPr>
              <w:t xml:space="preserve"> </w:t>
            </w:r>
            <w:r w:rsidRPr="00273A3E">
              <w:rPr>
                <w:rFonts w:eastAsia="Calibri"/>
                <w:szCs w:val="22"/>
                <w:lang w:eastAsia="en-US"/>
              </w:rPr>
              <w:t>jungties.</w:t>
            </w:r>
          </w:p>
          <w:p w14:paraId="487D34FE" w14:textId="77777777" w:rsidR="00914779" w:rsidRPr="00273A3E" w:rsidRDefault="00914779" w:rsidP="00ED28CB">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eastAsia="Times New Roman" w:hAnsi="Times New Roman"/>
                <w:noProof/>
                <w:lang w:val="lt-LT" w:eastAsia="en-GB"/>
              </w:rPr>
              <w:t xml:space="preserve">Užpildytą švirkštą nuneškite </w:t>
            </w:r>
            <w:r w:rsidR="00617736" w:rsidRPr="00273A3E">
              <w:rPr>
                <w:rFonts w:ascii="Times New Roman" w:eastAsia="Times New Roman" w:hAnsi="Times New Roman"/>
                <w:noProof/>
                <w:lang w:val="lt-LT" w:eastAsia="en-GB"/>
              </w:rPr>
              <w:t>į</w:t>
            </w:r>
            <w:r w:rsidRPr="00273A3E">
              <w:rPr>
                <w:rFonts w:ascii="Times New Roman" w:eastAsia="Times New Roman" w:hAnsi="Times New Roman"/>
                <w:noProof/>
                <w:lang w:val="lt-LT" w:eastAsia="en-GB"/>
              </w:rPr>
              <w:t xml:space="preserve"> injekcijos </w:t>
            </w:r>
            <w:r w:rsidR="00617736" w:rsidRPr="00273A3E">
              <w:rPr>
                <w:rFonts w:ascii="Times New Roman" w:eastAsia="Times New Roman" w:hAnsi="Times New Roman"/>
                <w:noProof/>
                <w:lang w:val="lt-LT" w:eastAsia="en-GB"/>
              </w:rPr>
              <w:t xml:space="preserve">atlikimo </w:t>
            </w:r>
            <w:r w:rsidRPr="00273A3E">
              <w:rPr>
                <w:rFonts w:ascii="Times New Roman" w:eastAsia="Times New Roman" w:hAnsi="Times New Roman"/>
                <w:noProof/>
                <w:lang w:val="lt-LT" w:eastAsia="en-GB"/>
              </w:rPr>
              <w:t>viet</w:t>
            </w:r>
            <w:r w:rsidR="00617736" w:rsidRPr="00273A3E">
              <w:rPr>
                <w:rFonts w:ascii="Times New Roman" w:eastAsia="Times New Roman" w:hAnsi="Times New Roman"/>
                <w:noProof/>
                <w:lang w:val="lt-LT" w:eastAsia="en-GB"/>
              </w:rPr>
              <w:t>ą</w:t>
            </w:r>
            <w:r w:rsidRPr="00273A3E">
              <w:rPr>
                <w:rFonts w:ascii="Times New Roman" w:eastAsia="Times New Roman" w:hAnsi="Times New Roman"/>
                <w:noProof/>
                <w:lang w:val="lt-LT" w:eastAsia="en-GB"/>
              </w:rPr>
              <w:t>.</w:t>
            </w:r>
          </w:p>
          <w:p w14:paraId="0666BE3B" w14:textId="77777777" w:rsidR="0046242B" w:rsidRPr="00273A3E" w:rsidRDefault="0046242B" w:rsidP="0046242B">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eastAsia="Times New Roman" w:hAnsi="Times New Roman"/>
                <w:noProof/>
                <w:lang w:val="lt-LT" w:eastAsia="en-GB"/>
              </w:rPr>
              <w:t>Numaukite adatos gaubtelį, traukdami jį tiesiai, kad nepažeistumėte adatos smaigalio.</w:t>
            </w:r>
          </w:p>
          <w:p w14:paraId="2E9C9BA0" w14:textId="77777777" w:rsidR="00914779" w:rsidRPr="00273A3E" w:rsidRDefault="00914779" w:rsidP="00ED28CB">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eastAsia="Times New Roman" w:hAnsi="Times New Roman"/>
                <w:noProof/>
                <w:lang w:val="lt-LT" w:eastAsia="en-GB"/>
              </w:rPr>
              <w:t>Iš švirkšto išstumkite dujų perteklių.</w:t>
            </w:r>
          </w:p>
        </w:tc>
        <w:tc>
          <w:tcPr>
            <w:tcW w:w="3675" w:type="dxa"/>
            <w:vAlign w:val="center"/>
          </w:tcPr>
          <w:p w14:paraId="490B19D3" w14:textId="77777777" w:rsidR="00914779" w:rsidRPr="00273A3E" w:rsidRDefault="0003368A" w:rsidP="00ED28CB">
            <w:pPr>
              <w:numPr>
                <w:ilvl w:val="12"/>
                <w:numId w:val="0"/>
              </w:numPr>
              <w:tabs>
                <w:tab w:val="left" w:pos="567"/>
              </w:tabs>
              <w:spacing w:after="0" w:line="240" w:lineRule="auto"/>
              <w:ind w:right="-2"/>
              <w:rPr>
                <w:rFonts w:ascii="Times New Roman" w:eastAsia="Times New Roman" w:hAnsi="Times New Roman"/>
                <w:noProof/>
                <w:lang w:val="lt-LT" w:eastAsia="en-GB"/>
              </w:rPr>
            </w:pPr>
            <w:r w:rsidRPr="00273A3E">
              <w:rPr>
                <w:rFonts w:ascii="Times New Roman" w:eastAsia="Times New Roman" w:hAnsi="Times New Roman"/>
                <w:noProof/>
                <w:lang w:val="lt-LT" w:eastAsia="en-GB"/>
              </w:rPr>
              <mc:AlternateContent>
                <mc:Choice Requires="wps">
                  <w:drawing>
                    <wp:anchor distT="45720" distB="45720" distL="114300" distR="114300" simplePos="0" relativeHeight="251654656" behindDoc="0" locked="0" layoutInCell="1" allowOverlap="1" wp14:anchorId="737C37BC" wp14:editId="57B8B957">
                      <wp:simplePos x="0" y="0"/>
                      <wp:positionH relativeFrom="column">
                        <wp:posOffset>551180</wp:posOffset>
                      </wp:positionH>
                      <wp:positionV relativeFrom="paragraph">
                        <wp:posOffset>292735</wp:posOffset>
                      </wp:positionV>
                      <wp:extent cx="944880" cy="330835"/>
                      <wp:effectExtent l="0" t="0" r="0" b="0"/>
                      <wp:wrapSquare wrapText="bothSides"/>
                      <wp:docPr id="621547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3B23E" w14:textId="77777777" w:rsidR="0011295D" w:rsidRPr="009F71ED" w:rsidRDefault="0011295D" w:rsidP="0011295D">
                                  <w:pPr>
                                    <w:rPr>
                                      <w:rFonts w:ascii="Times New Roman" w:hAnsi="Times New Roman"/>
                                    </w:rPr>
                                  </w:pPr>
                                  <w:r>
                                    <w:rPr>
                                      <w:rFonts w:ascii="Times New Roman" w:hAnsi="Times New Roman"/>
                                    </w:rPr>
                                    <w:t>3 </w:t>
                                  </w:r>
                                  <w:proofErr w:type="gramStart"/>
                                  <w:r w:rsidRPr="009F71ED">
                                    <w:rPr>
                                      <w:rFonts w:ascii="Times New Roman" w:hAnsi="Times New Roman"/>
                                    </w:rPr>
                                    <w:t>pav</w:t>
                                  </w:r>
                                  <w:proofErr w:type="gramEnd"/>
                                  <w:r w:rsidRPr="009F71ED">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4pt;margin-top:23.05pt;width:74.4pt;height:26.0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" stroked="f">
                      <v:textbox>
                        <w:txbxContent>
                          <w:p w14:paraId="3CF0EA53" w14:textId="77777777" w:rsidR="0011295D" w:rsidRPr="009F71ED" w:rsidRDefault="0011295D" w:rsidP="0011295D">
                            <w:pPr>
                              <w:rPr>
                                <w:rFonts w:ascii="Times New Roman" w:hAnsi="Times New Roman"/>
                              </w:rPr>
                            </w:pPr>
                            <w:r>
                              <w:rPr>
                                <w:rFonts w:ascii="Times New Roman" w:hAnsi="Times New Roman"/>
                              </w:rPr>
                              <w:t>3 </w:t>
                            </w:r>
                            <w:r w:rsidRPr="009F71ED">
                              <w:rPr>
                                <w:rFonts w:ascii="Times New Roman" w:hAnsi="Times New Roman"/>
                              </w:rPr>
                              <w:t>pav.</w:t>
                            </w:r>
                          </w:p>
                        </w:txbxContent>
                      </v:textbox>
                      <w10:wrap type="square"/>
                    </v:shape>
                  </w:pict>
                </mc:Fallback>
              </mc:AlternateContent>
            </w:r>
            <w:r w:rsidRPr="00273A3E">
              <w:rPr>
                <w:rFonts w:ascii="Times New Roman" w:eastAsia="Times New Roman" w:hAnsi="Times New Roman"/>
                <w:noProof/>
                <w:lang w:val="lt-LT" w:eastAsia="en-GB"/>
              </w:rPr>
              <w:drawing>
                <wp:anchor distT="0" distB="0" distL="114300" distR="114300" simplePos="0" relativeHeight="251650560" behindDoc="0" locked="0" layoutInCell="1" allowOverlap="1" wp14:anchorId="7F731969" wp14:editId="70274F1D">
                  <wp:simplePos x="0" y="0"/>
                  <wp:positionH relativeFrom="column">
                    <wp:posOffset>100330</wp:posOffset>
                  </wp:positionH>
                  <wp:positionV relativeFrom="paragraph">
                    <wp:posOffset>132715</wp:posOffset>
                  </wp:positionV>
                  <wp:extent cx="1821180" cy="2019935"/>
                  <wp:effectExtent l="0" t="0" r="0" b="0"/>
                  <wp:wrapNone/>
                  <wp:docPr id="24" name="Picture 4" descr="A drawing of a person hold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rawing of a person holding a need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1180" cy="2019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41DE526" w14:textId="77777777" w:rsidR="00914779" w:rsidRPr="00273A3E" w:rsidRDefault="00914779" w:rsidP="00914779">
      <w:pPr>
        <w:tabs>
          <w:tab w:val="left" w:pos="567"/>
        </w:tabs>
        <w:spacing w:after="0" w:line="240" w:lineRule="auto"/>
        <w:rPr>
          <w:rFonts w:ascii="Times New Roman" w:eastAsia="Times New Roman" w:hAnsi="Times New Roman"/>
          <w:lang w:val="lt-LT"/>
        </w:rPr>
      </w:pP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116"/>
      </w:tblGrid>
      <w:tr w:rsidR="0011295D" w:rsidRPr="00490319" w14:paraId="30C18F86" w14:textId="77777777" w:rsidTr="00ED28CB">
        <w:trPr>
          <w:trHeight w:val="2987"/>
        </w:trPr>
        <w:tc>
          <w:tcPr>
            <w:tcW w:w="4669" w:type="dxa"/>
            <w:vAlign w:val="center"/>
          </w:tcPr>
          <w:p w14:paraId="49ECA9B0" w14:textId="77777777" w:rsidR="00914779" w:rsidRPr="00273A3E" w:rsidRDefault="00914779" w:rsidP="00ED28CB">
            <w:pPr>
              <w:numPr>
                <w:ilvl w:val="0"/>
                <w:numId w:val="23"/>
              </w:numPr>
              <w:tabs>
                <w:tab w:val="left" w:pos="567"/>
              </w:tabs>
              <w:ind w:left="567" w:hanging="567"/>
              <w:rPr>
                <w:rFonts w:ascii="Times New Roman" w:eastAsia="Times New Roman" w:hAnsi="Times New Roman"/>
                <w:noProof/>
                <w:lang w:val="lt-LT" w:eastAsia="en-GB"/>
              </w:rPr>
            </w:pPr>
            <w:r w:rsidRPr="00273A3E">
              <w:rPr>
                <w:rFonts w:ascii="Times New Roman" w:eastAsia="Times New Roman" w:hAnsi="Times New Roman"/>
                <w:noProof/>
                <w:lang w:val="lt-LT" w:eastAsia="en-GB"/>
              </w:rPr>
              <w:lastRenderedPageBreak/>
              <w:t>Suleiskite lėtai (per 1–2</w:t>
            </w:r>
            <w:r w:rsidR="00B93274" w:rsidRPr="00273A3E">
              <w:rPr>
                <w:rFonts w:ascii="Times New Roman" w:eastAsia="Times New Roman" w:hAnsi="Times New Roman"/>
                <w:noProof/>
                <w:lang w:val="lt-LT" w:eastAsia="en-GB"/>
              </w:rPr>
              <w:t> </w:t>
            </w:r>
            <w:r w:rsidRPr="00273A3E">
              <w:rPr>
                <w:rFonts w:ascii="Times New Roman" w:eastAsia="Times New Roman" w:hAnsi="Times New Roman"/>
                <w:noProof/>
                <w:lang w:val="lt-LT" w:eastAsia="en-GB"/>
              </w:rPr>
              <w:t>min.) į sėdmens raumenį (sėdmenų srityje). Kad adata būtų patogiau naudotis, jos smaigalio nuožulnuma yra toje pačioje pusėje kaip svirtelė (žr. 4 pav</w:t>
            </w:r>
            <w:r w:rsidR="00617736" w:rsidRPr="00273A3E">
              <w:rPr>
                <w:rFonts w:ascii="Times New Roman" w:eastAsia="Times New Roman" w:hAnsi="Times New Roman"/>
                <w:noProof/>
                <w:lang w:val="lt-LT" w:eastAsia="en-GB"/>
              </w:rPr>
              <w:t>.</w:t>
            </w:r>
            <w:r w:rsidRPr="00273A3E">
              <w:rPr>
                <w:rFonts w:ascii="Times New Roman" w:eastAsia="Times New Roman" w:hAnsi="Times New Roman"/>
                <w:noProof/>
                <w:lang w:val="lt-LT" w:eastAsia="en-GB"/>
              </w:rPr>
              <w:t>).</w:t>
            </w:r>
          </w:p>
          <w:p w14:paraId="17369856" w14:textId="77777777" w:rsidR="00914779" w:rsidRPr="00273A3E" w:rsidRDefault="00914779" w:rsidP="00ED28CB">
            <w:pPr>
              <w:tabs>
                <w:tab w:val="left" w:pos="567"/>
              </w:tabs>
              <w:spacing w:after="0" w:line="240" w:lineRule="auto"/>
              <w:ind w:right="-2"/>
              <w:contextualSpacing/>
              <w:rPr>
                <w:rFonts w:ascii="Times New Roman" w:eastAsia="Times New Roman" w:hAnsi="Times New Roman"/>
                <w:noProof/>
                <w:lang w:val="lt-LT" w:eastAsia="en-GB"/>
              </w:rPr>
            </w:pPr>
          </w:p>
        </w:tc>
        <w:tc>
          <w:tcPr>
            <w:tcW w:w="4116" w:type="dxa"/>
          </w:tcPr>
          <w:p w14:paraId="247ED517" w14:textId="77777777" w:rsidR="00914779" w:rsidRPr="00273A3E" w:rsidRDefault="0003368A" w:rsidP="00ED28CB">
            <w:pPr>
              <w:numPr>
                <w:ilvl w:val="12"/>
                <w:numId w:val="0"/>
              </w:numPr>
              <w:tabs>
                <w:tab w:val="left" w:pos="567"/>
              </w:tabs>
              <w:spacing w:after="0" w:line="240" w:lineRule="auto"/>
              <w:ind w:right="-2"/>
              <w:rPr>
                <w:rFonts w:ascii="Times New Roman" w:eastAsia="Times New Roman" w:hAnsi="Times New Roman"/>
                <w:noProof/>
                <w:lang w:val="lt-LT" w:eastAsia="en-GB"/>
              </w:rPr>
            </w:pPr>
            <w:r w:rsidRPr="00273A3E">
              <w:rPr>
                <w:rFonts w:ascii="Times New Roman" w:eastAsia="Times New Roman" w:hAnsi="Times New Roman"/>
                <w:noProof/>
                <w:lang w:val="lt-LT" w:eastAsia="en-GB"/>
              </w:rPr>
              <mc:AlternateContent>
                <mc:Choice Requires="wps">
                  <w:drawing>
                    <wp:anchor distT="45720" distB="45720" distL="114300" distR="114300" simplePos="0" relativeHeight="251655680" behindDoc="0" locked="0" layoutInCell="1" allowOverlap="1" wp14:anchorId="7DA2C38E" wp14:editId="24A4CC62">
                      <wp:simplePos x="0" y="0"/>
                      <wp:positionH relativeFrom="column">
                        <wp:posOffset>425450</wp:posOffset>
                      </wp:positionH>
                      <wp:positionV relativeFrom="paragraph">
                        <wp:posOffset>321310</wp:posOffset>
                      </wp:positionV>
                      <wp:extent cx="944880" cy="330835"/>
                      <wp:effectExtent l="4445" t="0" r="3175" b="2540"/>
                      <wp:wrapSquare wrapText="bothSides"/>
                      <wp:docPr id="312985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7BAB2" w14:textId="77777777" w:rsidR="0011295D" w:rsidRPr="009F71ED" w:rsidRDefault="0011295D" w:rsidP="0011295D">
                                  <w:pPr>
                                    <w:rPr>
                                      <w:rFonts w:ascii="Times New Roman" w:hAnsi="Times New Roman"/>
                                    </w:rPr>
                                  </w:pPr>
                                  <w:r>
                                    <w:rPr>
                                      <w:rFonts w:ascii="Times New Roman" w:hAnsi="Times New Roman"/>
                                    </w:rPr>
                                    <w:t>4 </w:t>
                                  </w:r>
                                  <w:proofErr w:type="gramStart"/>
                                  <w:r w:rsidRPr="009F71ED">
                                    <w:rPr>
                                      <w:rFonts w:ascii="Times New Roman" w:hAnsi="Times New Roman"/>
                                    </w:rPr>
                                    <w:t>pav</w:t>
                                  </w:r>
                                  <w:proofErr w:type="gramEnd"/>
                                  <w:r w:rsidRPr="009F71ED">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3.5pt;margin-top:25.3pt;width:74.4pt;height:26.0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" stroked="f">
                      <v:textbox>
                        <w:txbxContent>
                          <w:p w14:paraId="7E42168A" w14:textId="77777777" w:rsidR="0011295D" w:rsidRPr="009F71ED" w:rsidRDefault="0011295D" w:rsidP="0011295D">
                            <w:pPr>
                              <w:rPr>
                                <w:rFonts w:ascii="Times New Roman" w:hAnsi="Times New Roman"/>
                              </w:rPr>
                            </w:pPr>
                            <w:r>
                              <w:rPr>
                                <w:rFonts w:ascii="Times New Roman" w:hAnsi="Times New Roman"/>
                              </w:rPr>
                              <w:t>4 </w:t>
                            </w:r>
                            <w:r w:rsidRPr="009F71ED">
                              <w:rPr>
                                <w:rFonts w:ascii="Times New Roman" w:hAnsi="Times New Roman"/>
                              </w:rPr>
                              <w:t>pav.</w:t>
                            </w:r>
                          </w:p>
                        </w:txbxContent>
                      </v:textbox>
                      <w10:wrap type="square"/>
                    </v:shape>
                  </w:pict>
                </mc:Fallback>
              </mc:AlternateContent>
            </w:r>
            <w:r w:rsidRPr="00273A3E">
              <w:rPr>
                <w:rFonts w:ascii="Times New Roman" w:eastAsia="Times New Roman" w:hAnsi="Times New Roman"/>
                <w:noProof/>
                <w:lang w:val="lt-LT" w:eastAsia="en-GB"/>
              </w:rPr>
              <w:drawing>
                <wp:anchor distT="0" distB="0" distL="114300" distR="114300" simplePos="0" relativeHeight="251648512" behindDoc="0" locked="0" layoutInCell="1" allowOverlap="1" wp14:anchorId="68352CDF" wp14:editId="490057D4">
                  <wp:simplePos x="0" y="0"/>
                  <wp:positionH relativeFrom="column">
                    <wp:posOffset>181610</wp:posOffset>
                  </wp:positionH>
                  <wp:positionV relativeFrom="paragraph">
                    <wp:posOffset>48895</wp:posOffset>
                  </wp:positionV>
                  <wp:extent cx="2068195" cy="1704340"/>
                  <wp:effectExtent l="0" t="0" r="0" b="0"/>
                  <wp:wrapNone/>
                  <wp:docPr id="18" name="Picture 5"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rawing of a machin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8195" cy="1704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CABDC0D" w14:textId="77777777" w:rsidR="00914779" w:rsidRPr="00273A3E" w:rsidRDefault="00914779" w:rsidP="00914779">
      <w:pPr>
        <w:tabs>
          <w:tab w:val="left" w:pos="567"/>
        </w:tabs>
        <w:spacing w:after="0" w:line="240" w:lineRule="auto"/>
        <w:rPr>
          <w:rFonts w:ascii="Times New Roman" w:eastAsia="Times New Roman" w:hAnsi="Times New Roman"/>
          <w:lang w:val="lt-LT"/>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3921"/>
      </w:tblGrid>
      <w:tr w:rsidR="0011295D" w:rsidRPr="00490319" w14:paraId="3A5654F7" w14:textId="77777777" w:rsidTr="00ED28CB">
        <w:trPr>
          <w:trHeight w:val="2886"/>
        </w:trPr>
        <w:tc>
          <w:tcPr>
            <w:tcW w:w="4837" w:type="dxa"/>
            <w:vAlign w:val="center"/>
          </w:tcPr>
          <w:p w14:paraId="3825A66E" w14:textId="77777777" w:rsidR="00914779" w:rsidRPr="00273A3E" w:rsidRDefault="00914779" w:rsidP="009F71ED">
            <w:pPr>
              <w:pStyle w:val="Sraopastraipa"/>
              <w:numPr>
                <w:ilvl w:val="0"/>
                <w:numId w:val="23"/>
              </w:numPr>
              <w:tabs>
                <w:tab w:val="left" w:pos="567"/>
              </w:tabs>
              <w:autoSpaceDE w:val="0"/>
              <w:autoSpaceDN w:val="0"/>
              <w:adjustRightInd w:val="0"/>
              <w:ind w:left="567" w:hanging="567"/>
              <w:contextualSpacing w:val="0"/>
              <w:rPr>
                <w:noProof/>
                <w:szCs w:val="22"/>
                <w:lang w:eastAsia="es-ES"/>
              </w:rPr>
            </w:pPr>
            <w:r w:rsidRPr="00273A3E">
              <w:rPr>
                <w:rFonts w:eastAsia="Calibri"/>
                <w:szCs w:val="22"/>
              </w:rPr>
              <w:t xml:space="preserve">Po injekcijos tuoj pat suaktyvinkite adatos apsaugos mechanizmą – vienu pirštu spragtelėkite aktyvavimo </w:t>
            </w:r>
            <w:r w:rsidRPr="00273A3E">
              <w:rPr>
                <w:rFonts w:eastAsia="Calibri"/>
                <w:szCs w:val="22"/>
                <w:lang w:eastAsia="en-US"/>
              </w:rPr>
              <w:t>svirtelę (žr. 5 pav</w:t>
            </w:r>
            <w:r w:rsidR="00227945" w:rsidRPr="00273A3E">
              <w:rPr>
                <w:rFonts w:eastAsia="Calibri"/>
                <w:szCs w:val="22"/>
                <w:lang w:eastAsia="en-US"/>
              </w:rPr>
              <w:t>.</w:t>
            </w:r>
            <w:r w:rsidRPr="00273A3E">
              <w:rPr>
                <w:rFonts w:eastAsia="Calibri"/>
                <w:szCs w:val="22"/>
                <w:lang w:eastAsia="en-US"/>
              </w:rPr>
              <w:t>).</w:t>
            </w:r>
          </w:p>
          <w:p w14:paraId="176E9D49" w14:textId="77777777" w:rsidR="00914779" w:rsidRPr="00273A3E" w:rsidRDefault="00914779" w:rsidP="00ED28CB">
            <w:pPr>
              <w:pStyle w:val="Sraopastraipa"/>
              <w:tabs>
                <w:tab w:val="left" w:pos="567"/>
              </w:tabs>
              <w:autoSpaceDE w:val="0"/>
              <w:autoSpaceDN w:val="0"/>
              <w:adjustRightInd w:val="0"/>
              <w:ind w:left="0"/>
              <w:contextualSpacing w:val="0"/>
              <w:rPr>
                <w:noProof/>
                <w:szCs w:val="22"/>
                <w:lang w:eastAsia="es-ES"/>
              </w:rPr>
            </w:pPr>
          </w:p>
          <w:p w14:paraId="0994AC66" w14:textId="77777777" w:rsidR="00914779" w:rsidRPr="00273A3E" w:rsidRDefault="00914779" w:rsidP="00ED28CB">
            <w:pPr>
              <w:tabs>
                <w:tab w:val="left" w:pos="567"/>
              </w:tabs>
              <w:spacing w:after="0" w:line="240" w:lineRule="auto"/>
              <w:ind w:right="-2"/>
              <w:contextualSpacing/>
              <w:rPr>
                <w:rFonts w:ascii="Times New Roman" w:eastAsia="Times New Roman" w:hAnsi="Times New Roman"/>
                <w:noProof/>
                <w:lang w:val="lt-LT" w:eastAsia="en-GB"/>
              </w:rPr>
            </w:pPr>
            <w:r w:rsidRPr="00273A3E">
              <w:rPr>
                <w:rFonts w:ascii="Times New Roman" w:eastAsia="Times New Roman" w:hAnsi="Times New Roman"/>
                <w:lang w:val="lt-LT" w:eastAsia="en-GB"/>
              </w:rPr>
              <w:t>PASTABA: suaktyvinkite atitraukę nuo savęs ir kitų žmonių. Išgirskite spragtelėjimą ir vizualiai įsitikinkite, kad adatos viršūnė visiškai uždengta</w:t>
            </w:r>
          </w:p>
        </w:tc>
        <w:tc>
          <w:tcPr>
            <w:tcW w:w="3921" w:type="dxa"/>
            <w:vAlign w:val="center"/>
          </w:tcPr>
          <w:p w14:paraId="27A68558" w14:textId="77777777" w:rsidR="00914779" w:rsidRPr="00273A3E" w:rsidRDefault="0003368A" w:rsidP="00ED28CB">
            <w:pPr>
              <w:numPr>
                <w:ilvl w:val="12"/>
                <w:numId w:val="0"/>
              </w:numPr>
              <w:tabs>
                <w:tab w:val="left" w:pos="567"/>
              </w:tabs>
              <w:spacing w:after="0" w:line="240" w:lineRule="auto"/>
              <w:ind w:right="-2"/>
              <w:rPr>
                <w:rFonts w:ascii="Times New Roman" w:eastAsia="Times New Roman" w:hAnsi="Times New Roman"/>
                <w:noProof/>
                <w:lang w:val="lt-LT" w:eastAsia="en-GB"/>
              </w:rPr>
            </w:pPr>
            <w:r w:rsidRPr="00273A3E">
              <w:rPr>
                <w:rFonts w:ascii="Times New Roman" w:hAnsi="Times New Roman"/>
                <w:noProof/>
                <w:lang w:val="lt-LT"/>
              </w:rPr>
              <w:drawing>
                <wp:anchor distT="0" distB="0" distL="114300" distR="114300" simplePos="0" relativeHeight="251656704" behindDoc="0" locked="0" layoutInCell="1" allowOverlap="1" wp14:anchorId="5B0764D1" wp14:editId="6A96BC90">
                  <wp:simplePos x="0" y="0"/>
                  <wp:positionH relativeFrom="column">
                    <wp:posOffset>24130</wp:posOffset>
                  </wp:positionH>
                  <wp:positionV relativeFrom="paragraph">
                    <wp:posOffset>171450</wp:posOffset>
                  </wp:positionV>
                  <wp:extent cx="1934210" cy="1636395"/>
                  <wp:effectExtent l="0" t="0" r="0" b="0"/>
                  <wp:wrapNone/>
                  <wp:docPr id="3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4210" cy="1636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A3E">
              <w:rPr>
                <w:rFonts w:ascii="Times New Roman" w:eastAsia="Times New Roman" w:hAnsi="Times New Roman"/>
                <w:noProof/>
                <w:lang w:val="lt-LT" w:eastAsia="en-GB"/>
              </w:rPr>
              <mc:AlternateContent>
                <mc:Choice Requires="wps">
                  <w:drawing>
                    <wp:anchor distT="45720" distB="45720" distL="114300" distR="114300" simplePos="0" relativeHeight="251657728" behindDoc="0" locked="0" layoutInCell="1" allowOverlap="1" wp14:anchorId="45B37ECA" wp14:editId="021B4DCE">
                      <wp:simplePos x="0" y="0"/>
                      <wp:positionH relativeFrom="column">
                        <wp:posOffset>446405</wp:posOffset>
                      </wp:positionH>
                      <wp:positionV relativeFrom="paragraph">
                        <wp:posOffset>-4445</wp:posOffset>
                      </wp:positionV>
                      <wp:extent cx="944880" cy="534035"/>
                      <wp:effectExtent l="0" t="0" r="0" b="3175"/>
                      <wp:wrapSquare wrapText="bothSides"/>
                      <wp:docPr id="55492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FB20C" w14:textId="77777777" w:rsidR="0011295D" w:rsidRPr="009F71ED" w:rsidRDefault="0011295D" w:rsidP="0011295D">
                                  <w:pPr>
                                    <w:rPr>
                                      <w:rFonts w:ascii="Times New Roman" w:hAnsi="Times New Roman"/>
                                    </w:rPr>
                                  </w:pPr>
                                  <w:r>
                                    <w:rPr>
                                      <w:rFonts w:ascii="Times New Roman" w:hAnsi="Times New Roman"/>
                                    </w:rPr>
                                    <w:t>5 </w:t>
                                  </w:r>
                                  <w:proofErr w:type="gramStart"/>
                                  <w:r w:rsidRPr="009F71ED">
                                    <w:rPr>
                                      <w:rFonts w:ascii="Times New Roman" w:hAnsi="Times New Roman"/>
                                    </w:rPr>
                                    <w:t>pav</w:t>
                                  </w:r>
                                  <w:proofErr w:type="gramEnd"/>
                                  <w:r w:rsidRPr="009F71ED">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15pt;margin-top:-.35pt;width:74.4pt;height:42.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" stroked="f">
                      <v:textbox>
                        <w:txbxContent>
                          <w:p w14:paraId="4BE0E13D" w14:textId="77777777" w:rsidR="0011295D" w:rsidRPr="009F71ED" w:rsidRDefault="0011295D" w:rsidP="0011295D">
                            <w:pPr>
                              <w:rPr>
                                <w:rFonts w:ascii="Times New Roman" w:hAnsi="Times New Roman"/>
                              </w:rPr>
                            </w:pPr>
                            <w:r>
                              <w:rPr>
                                <w:rFonts w:ascii="Times New Roman" w:hAnsi="Times New Roman"/>
                              </w:rPr>
                              <w:t>5 </w:t>
                            </w:r>
                            <w:r w:rsidRPr="009F71ED">
                              <w:rPr>
                                <w:rFonts w:ascii="Times New Roman" w:hAnsi="Times New Roman"/>
                              </w:rPr>
                              <w:t>pav.</w:t>
                            </w:r>
                          </w:p>
                        </w:txbxContent>
                      </v:textbox>
                      <w10:wrap type="square"/>
                    </v:shape>
                  </w:pict>
                </mc:Fallback>
              </mc:AlternateContent>
            </w:r>
          </w:p>
        </w:tc>
      </w:tr>
    </w:tbl>
    <w:p w14:paraId="1D0652F6" w14:textId="77777777" w:rsidR="0011295D" w:rsidRPr="00273A3E" w:rsidRDefault="0011295D" w:rsidP="009F71ED">
      <w:pPr>
        <w:pStyle w:val="Sraopastraipa"/>
        <w:tabs>
          <w:tab w:val="left" w:pos="567"/>
        </w:tabs>
        <w:autoSpaceDE w:val="0"/>
        <w:autoSpaceDN w:val="0"/>
        <w:adjustRightInd w:val="0"/>
        <w:ind w:left="0"/>
        <w:contextualSpacing w:val="0"/>
        <w:rPr>
          <w:rFonts w:eastAsia="Calibri"/>
          <w:szCs w:val="22"/>
          <w:lang w:eastAsia="en-US"/>
        </w:rPr>
      </w:pPr>
    </w:p>
    <w:p w14:paraId="7C2B49D3"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u w:val="single"/>
          <w:lang w:val="lt-LT"/>
        </w:rPr>
      </w:pPr>
      <w:r w:rsidRPr="00273A3E">
        <w:rPr>
          <w:rFonts w:ascii="Times New Roman" w:hAnsi="Times New Roman"/>
          <w:u w:val="single"/>
          <w:lang w:val="lt-LT"/>
        </w:rPr>
        <w:t>Atliekų tvarkymas</w:t>
      </w:r>
    </w:p>
    <w:p w14:paraId="23BC1BEA"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Užpildyti švirkštai yra skirti </w:t>
      </w:r>
      <w:r w:rsidRPr="00273A3E">
        <w:rPr>
          <w:rFonts w:ascii="Times New Roman" w:hAnsi="Times New Roman"/>
          <w:b/>
          <w:bCs/>
          <w:lang w:val="lt-LT"/>
        </w:rPr>
        <w:t xml:space="preserve">tik </w:t>
      </w:r>
      <w:r w:rsidRPr="00273A3E">
        <w:rPr>
          <w:rFonts w:ascii="Times New Roman" w:hAnsi="Times New Roman"/>
          <w:lang w:val="lt-LT"/>
        </w:rPr>
        <w:t>vienkartiniam vartojimui.</w:t>
      </w:r>
    </w:p>
    <w:p w14:paraId="0287A805"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Šis </w:t>
      </w:r>
      <w:r w:rsidR="00A1353F" w:rsidRPr="00273A3E">
        <w:rPr>
          <w:rFonts w:ascii="Times New Roman" w:hAnsi="Times New Roman"/>
          <w:lang w:val="lt-LT"/>
        </w:rPr>
        <w:t>vaistini</w:t>
      </w:r>
      <w:r w:rsidR="00B041F4" w:rsidRPr="00273A3E">
        <w:rPr>
          <w:rFonts w:ascii="Times New Roman" w:hAnsi="Times New Roman"/>
          <w:lang w:val="lt-LT"/>
        </w:rPr>
        <w:t>s preparatas</w:t>
      </w:r>
      <w:r w:rsidRPr="00273A3E">
        <w:rPr>
          <w:rFonts w:ascii="Times New Roman" w:hAnsi="Times New Roman"/>
          <w:lang w:val="lt-LT"/>
        </w:rPr>
        <w:t xml:space="preserve"> gali kelti pavojų aplinkai (vandeniui). Nesuvartotą vaistinį preparatą ar atliekas reikia</w:t>
      </w:r>
      <w:r w:rsidR="00B041F4" w:rsidRPr="00273A3E">
        <w:rPr>
          <w:rFonts w:ascii="Times New Roman" w:hAnsi="Times New Roman"/>
          <w:lang w:val="lt-LT"/>
        </w:rPr>
        <w:t xml:space="preserve"> </w:t>
      </w:r>
      <w:r w:rsidRPr="00273A3E">
        <w:rPr>
          <w:rFonts w:ascii="Times New Roman" w:hAnsi="Times New Roman"/>
          <w:lang w:val="lt-LT"/>
        </w:rPr>
        <w:t>tvarkyti laikantis vietinių reikalavimų</w:t>
      </w:r>
      <w:bookmarkEnd w:id="3"/>
      <w:r w:rsidRPr="00273A3E">
        <w:rPr>
          <w:rFonts w:ascii="Times New Roman" w:hAnsi="Times New Roman"/>
          <w:lang w:val="lt-LT"/>
        </w:rPr>
        <w:t xml:space="preserve"> (žr. 5.3</w:t>
      </w:r>
      <w:r w:rsidR="00FF0074" w:rsidRPr="00273A3E">
        <w:rPr>
          <w:rFonts w:ascii="Times New Roman" w:hAnsi="Times New Roman"/>
          <w:lang w:val="lt-LT"/>
        </w:rPr>
        <w:t> skyri</w:t>
      </w:r>
      <w:r w:rsidRPr="00273A3E">
        <w:rPr>
          <w:rFonts w:ascii="Times New Roman" w:hAnsi="Times New Roman"/>
          <w:lang w:val="lt-LT"/>
        </w:rPr>
        <w:t>ų).</w:t>
      </w:r>
    </w:p>
    <w:p w14:paraId="29456A49"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670B3B46"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34EDEB96"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7.</w:t>
      </w:r>
      <w:r w:rsidRPr="00273A3E">
        <w:rPr>
          <w:rFonts w:ascii="Times New Roman" w:hAnsi="Times New Roman"/>
          <w:b/>
          <w:lang w:val="lt-LT"/>
        </w:rPr>
        <w:tab/>
        <w:t>REGISTRUOTOJAS</w:t>
      </w:r>
    </w:p>
    <w:p w14:paraId="26739656" w14:textId="77777777" w:rsidR="001E5C66" w:rsidRPr="00273A3E" w:rsidRDefault="001E5C66" w:rsidP="009F71ED">
      <w:pPr>
        <w:tabs>
          <w:tab w:val="left" w:pos="567"/>
        </w:tabs>
        <w:spacing w:after="0" w:line="240" w:lineRule="auto"/>
        <w:rPr>
          <w:rFonts w:ascii="Times New Roman" w:hAnsi="Times New Roman"/>
          <w:lang w:val="lt-LT"/>
        </w:rPr>
      </w:pPr>
    </w:p>
    <w:p w14:paraId="3B5B279A" w14:textId="77777777" w:rsidR="00BA11D2" w:rsidRPr="00273A3E" w:rsidRDefault="00BA11D2" w:rsidP="00BA11D2">
      <w:pPr>
        <w:widowControl w:val="0"/>
        <w:tabs>
          <w:tab w:val="left" w:pos="567"/>
        </w:tabs>
        <w:autoSpaceDE w:val="0"/>
        <w:autoSpaceDN w:val="0"/>
        <w:adjustRightInd w:val="0"/>
        <w:spacing w:after="0" w:line="240" w:lineRule="auto"/>
        <w:rPr>
          <w:rFonts w:ascii="Times New Roman" w:hAnsi="Times New Roman"/>
          <w:lang w:val="lt-LT"/>
        </w:rPr>
      </w:pP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proofErr w:type="spellStart"/>
      <w:r w:rsidRPr="00273A3E">
        <w:rPr>
          <w:rFonts w:ascii="Times New Roman" w:hAnsi="Times New Roman"/>
          <w:lang w:val="lt-LT"/>
        </w:rPr>
        <w:t>Corporation</w:t>
      </w:r>
      <w:proofErr w:type="spellEnd"/>
    </w:p>
    <w:p w14:paraId="330B07ED" w14:textId="77777777" w:rsidR="00BA11D2" w:rsidRPr="00273A3E" w:rsidRDefault="00BA11D2" w:rsidP="00BA11D2">
      <w:pPr>
        <w:widowControl w:val="0"/>
        <w:tabs>
          <w:tab w:val="left" w:pos="567"/>
        </w:tabs>
        <w:autoSpaceDE w:val="0"/>
        <w:autoSpaceDN w:val="0"/>
        <w:adjustRightInd w:val="0"/>
        <w:spacing w:after="0" w:line="240" w:lineRule="auto"/>
        <w:rPr>
          <w:rFonts w:ascii="Times New Roman" w:hAnsi="Times New Roman"/>
          <w:lang w:val="lt-LT"/>
        </w:rPr>
      </w:pPr>
      <w:proofErr w:type="spellStart"/>
      <w:r w:rsidRPr="00273A3E">
        <w:rPr>
          <w:rFonts w:ascii="Times New Roman" w:hAnsi="Times New Roman"/>
          <w:lang w:val="lt-LT"/>
        </w:rPr>
        <w:t>Orionintie</w:t>
      </w:r>
      <w:proofErr w:type="spellEnd"/>
      <w:r w:rsidRPr="00273A3E">
        <w:rPr>
          <w:rFonts w:ascii="Times New Roman" w:hAnsi="Times New Roman"/>
          <w:lang w:val="lt-LT"/>
        </w:rPr>
        <w:t xml:space="preserve"> 1</w:t>
      </w:r>
    </w:p>
    <w:p w14:paraId="493BE5CA" w14:textId="77777777" w:rsidR="00BA11D2" w:rsidRPr="00273A3E" w:rsidRDefault="00BA11D2" w:rsidP="00BA11D2">
      <w:pPr>
        <w:widowControl w:val="0"/>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FI-02200 </w:t>
      </w:r>
      <w:proofErr w:type="spellStart"/>
      <w:r w:rsidRPr="00273A3E">
        <w:rPr>
          <w:rFonts w:ascii="Times New Roman" w:hAnsi="Times New Roman"/>
          <w:lang w:val="lt-LT"/>
        </w:rPr>
        <w:t>Espoo</w:t>
      </w:r>
      <w:proofErr w:type="spellEnd"/>
    </w:p>
    <w:p w14:paraId="19EB564B" w14:textId="77777777" w:rsidR="00A562EA" w:rsidRPr="00273A3E" w:rsidRDefault="00BA11D2" w:rsidP="00BA11D2">
      <w:pPr>
        <w:widowControl w:val="0"/>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Suomija</w:t>
      </w:r>
    </w:p>
    <w:p w14:paraId="745A41E7" w14:textId="77777777" w:rsidR="00BA11D2" w:rsidRPr="00273A3E" w:rsidRDefault="00BA11D2" w:rsidP="009F71ED">
      <w:pPr>
        <w:widowControl w:val="0"/>
        <w:tabs>
          <w:tab w:val="left" w:pos="567"/>
        </w:tabs>
        <w:autoSpaceDE w:val="0"/>
        <w:autoSpaceDN w:val="0"/>
        <w:adjustRightInd w:val="0"/>
        <w:spacing w:after="0" w:line="240" w:lineRule="auto"/>
        <w:rPr>
          <w:rFonts w:ascii="Times New Roman" w:hAnsi="Times New Roman"/>
          <w:lang w:val="lt-LT"/>
        </w:rPr>
      </w:pPr>
    </w:p>
    <w:p w14:paraId="459F1FC5" w14:textId="77777777" w:rsidR="00873A69" w:rsidRPr="00273A3E" w:rsidRDefault="00873A69" w:rsidP="009F71ED">
      <w:pPr>
        <w:widowControl w:val="0"/>
        <w:tabs>
          <w:tab w:val="left" w:pos="567"/>
        </w:tabs>
        <w:autoSpaceDE w:val="0"/>
        <w:autoSpaceDN w:val="0"/>
        <w:adjustRightInd w:val="0"/>
        <w:spacing w:after="0" w:line="240" w:lineRule="auto"/>
        <w:rPr>
          <w:rFonts w:ascii="Times New Roman" w:hAnsi="Times New Roman"/>
          <w:lang w:val="lt-LT"/>
        </w:rPr>
      </w:pPr>
    </w:p>
    <w:p w14:paraId="0492B54B" w14:textId="77777777" w:rsidR="000C3EF5" w:rsidRPr="00273A3E" w:rsidRDefault="00873A69" w:rsidP="00914779">
      <w:pPr>
        <w:keepNext/>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b/>
          <w:lang w:val="lt-LT"/>
        </w:rPr>
        <w:t>8.</w:t>
      </w:r>
      <w:r w:rsidRPr="00273A3E">
        <w:rPr>
          <w:rFonts w:ascii="Times New Roman" w:hAnsi="Times New Roman"/>
          <w:b/>
          <w:lang w:val="lt-LT"/>
        </w:rPr>
        <w:tab/>
        <w:t>REGISTRACIJOS PAŽYMĖJIMO NUMERIS (-IAI)</w:t>
      </w:r>
    </w:p>
    <w:p w14:paraId="0B41A0DE" w14:textId="77777777" w:rsidR="00560BB4" w:rsidRPr="00273A3E" w:rsidRDefault="00560BB4" w:rsidP="009F71ED">
      <w:pPr>
        <w:keepNext/>
        <w:tabs>
          <w:tab w:val="left" w:pos="567"/>
        </w:tabs>
        <w:autoSpaceDE w:val="0"/>
        <w:autoSpaceDN w:val="0"/>
        <w:adjustRightInd w:val="0"/>
        <w:spacing w:after="0" w:line="240" w:lineRule="auto"/>
        <w:rPr>
          <w:rFonts w:ascii="Times New Roman" w:hAnsi="Times New Roman"/>
          <w:lang w:val="lt-LT"/>
        </w:rPr>
      </w:pPr>
    </w:p>
    <w:p w14:paraId="3D172765" w14:textId="77777777" w:rsidR="00490319" w:rsidRPr="00490319" w:rsidRDefault="00490319" w:rsidP="00490319">
      <w:pPr>
        <w:keepNext/>
        <w:tabs>
          <w:tab w:val="left" w:pos="567"/>
        </w:tabs>
        <w:autoSpaceDE w:val="0"/>
        <w:autoSpaceDN w:val="0"/>
        <w:adjustRightInd w:val="0"/>
        <w:spacing w:after="0" w:line="240" w:lineRule="auto"/>
        <w:rPr>
          <w:rFonts w:ascii="Times New Roman" w:hAnsi="Times New Roman"/>
          <w:lang w:val="lt-LT"/>
        </w:rPr>
      </w:pPr>
      <w:r w:rsidRPr="00490319">
        <w:rPr>
          <w:rFonts w:ascii="Times New Roman" w:hAnsi="Times New Roman"/>
          <w:lang w:val="lt-LT"/>
        </w:rPr>
        <w:t>LT/1/26/6045/001 – N1</w:t>
      </w:r>
    </w:p>
    <w:p w14:paraId="3C4F12DA" w14:textId="77777777" w:rsidR="00490319" w:rsidRPr="00490319" w:rsidRDefault="00490319" w:rsidP="00490319">
      <w:pPr>
        <w:keepNext/>
        <w:tabs>
          <w:tab w:val="left" w:pos="567"/>
        </w:tabs>
        <w:autoSpaceDE w:val="0"/>
        <w:autoSpaceDN w:val="0"/>
        <w:adjustRightInd w:val="0"/>
        <w:spacing w:after="0" w:line="240" w:lineRule="auto"/>
        <w:rPr>
          <w:rFonts w:ascii="Times New Roman" w:hAnsi="Times New Roman"/>
          <w:lang w:val="lt-LT"/>
        </w:rPr>
      </w:pPr>
      <w:r w:rsidRPr="00490319">
        <w:rPr>
          <w:rFonts w:ascii="Times New Roman" w:hAnsi="Times New Roman"/>
          <w:lang w:val="lt-LT"/>
        </w:rPr>
        <w:t>LT/1/26/6045/002 – N2</w:t>
      </w:r>
    </w:p>
    <w:p w14:paraId="409301C6" w14:textId="77777777" w:rsidR="00490319" w:rsidRPr="00490319" w:rsidRDefault="00490319" w:rsidP="00490319">
      <w:pPr>
        <w:keepNext/>
        <w:tabs>
          <w:tab w:val="left" w:pos="567"/>
        </w:tabs>
        <w:autoSpaceDE w:val="0"/>
        <w:autoSpaceDN w:val="0"/>
        <w:adjustRightInd w:val="0"/>
        <w:spacing w:after="0" w:line="240" w:lineRule="auto"/>
        <w:rPr>
          <w:rFonts w:ascii="Times New Roman" w:hAnsi="Times New Roman"/>
          <w:lang w:val="lt-LT"/>
        </w:rPr>
      </w:pPr>
      <w:r w:rsidRPr="00490319">
        <w:rPr>
          <w:rFonts w:ascii="Times New Roman" w:hAnsi="Times New Roman"/>
          <w:lang w:val="lt-LT"/>
        </w:rPr>
        <w:t>LT/1/26/6045/003 – N4</w:t>
      </w:r>
    </w:p>
    <w:p w14:paraId="6FC514F9" w14:textId="62B7D4D5" w:rsidR="00873A69" w:rsidRDefault="00490319" w:rsidP="00490319">
      <w:pPr>
        <w:keepNext/>
        <w:tabs>
          <w:tab w:val="left" w:pos="567"/>
        </w:tabs>
        <w:autoSpaceDE w:val="0"/>
        <w:autoSpaceDN w:val="0"/>
        <w:adjustRightInd w:val="0"/>
        <w:spacing w:after="0" w:line="240" w:lineRule="auto"/>
        <w:rPr>
          <w:rFonts w:ascii="Times New Roman" w:hAnsi="Times New Roman"/>
          <w:lang w:val="lt-LT"/>
        </w:rPr>
      </w:pPr>
      <w:r w:rsidRPr="00490319">
        <w:rPr>
          <w:rFonts w:ascii="Times New Roman" w:hAnsi="Times New Roman"/>
          <w:lang w:val="lt-LT"/>
        </w:rPr>
        <w:t>LT/1/26/6045/004 – N6</w:t>
      </w:r>
    </w:p>
    <w:p w14:paraId="05731AE4" w14:textId="77777777" w:rsidR="00490319" w:rsidRPr="00273A3E" w:rsidRDefault="00490319" w:rsidP="00490319">
      <w:pPr>
        <w:keepNext/>
        <w:tabs>
          <w:tab w:val="left" w:pos="567"/>
        </w:tabs>
        <w:autoSpaceDE w:val="0"/>
        <w:autoSpaceDN w:val="0"/>
        <w:adjustRightInd w:val="0"/>
        <w:spacing w:after="0" w:line="240" w:lineRule="auto"/>
        <w:rPr>
          <w:rFonts w:ascii="Times New Roman" w:hAnsi="Times New Roman"/>
          <w:lang w:val="lt-LT"/>
        </w:rPr>
      </w:pPr>
    </w:p>
    <w:p w14:paraId="76C29ABA" w14:textId="77777777" w:rsidR="00873A69" w:rsidRPr="00273A3E" w:rsidRDefault="00873A69" w:rsidP="009F71ED">
      <w:pPr>
        <w:keepNext/>
        <w:tabs>
          <w:tab w:val="left" w:pos="567"/>
        </w:tabs>
        <w:autoSpaceDE w:val="0"/>
        <w:autoSpaceDN w:val="0"/>
        <w:adjustRightInd w:val="0"/>
        <w:spacing w:after="0" w:line="240" w:lineRule="auto"/>
        <w:rPr>
          <w:rFonts w:ascii="Times New Roman" w:hAnsi="Times New Roman"/>
          <w:lang w:val="lt-LT"/>
        </w:rPr>
      </w:pPr>
    </w:p>
    <w:p w14:paraId="22B6BE98" w14:textId="77777777" w:rsidR="001E5C66" w:rsidRPr="00273A3E" w:rsidRDefault="001E5C66" w:rsidP="00914779">
      <w:pPr>
        <w:keepNext/>
        <w:keepLines/>
        <w:tabs>
          <w:tab w:val="left" w:pos="567"/>
        </w:tabs>
        <w:spacing w:after="0" w:line="240" w:lineRule="auto"/>
        <w:rPr>
          <w:rFonts w:ascii="Times New Roman" w:hAnsi="Times New Roman"/>
          <w:b/>
          <w:lang w:val="lt-LT"/>
        </w:rPr>
      </w:pPr>
      <w:r w:rsidRPr="00273A3E">
        <w:rPr>
          <w:rFonts w:ascii="Times New Roman" w:hAnsi="Times New Roman"/>
          <w:b/>
          <w:lang w:val="lt-LT"/>
        </w:rPr>
        <w:t>9.</w:t>
      </w:r>
      <w:r w:rsidRPr="00273A3E">
        <w:rPr>
          <w:rFonts w:ascii="Times New Roman" w:hAnsi="Times New Roman"/>
          <w:b/>
          <w:lang w:val="lt-LT"/>
        </w:rPr>
        <w:tab/>
        <w:t>REGISTRAVIMO / PERREGISTRAVIMO DATA</w:t>
      </w:r>
    </w:p>
    <w:p w14:paraId="57BA8BC8" w14:textId="77777777" w:rsidR="001E5C66" w:rsidRPr="00273A3E" w:rsidRDefault="001E5C66" w:rsidP="009F71ED">
      <w:pPr>
        <w:tabs>
          <w:tab w:val="left" w:pos="567"/>
        </w:tabs>
        <w:spacing w:after="0" w:line="240" w:lineRule="auto"/>
        <w:rPr>
          <w:rFonts w:ascii="Times New Roman" w:hAnsi="Times New Roman"/>
          <w:lang w:val="lt-LT"/>
        </w:rPr>
      </w:pPr>
    </w:p>
    <w:p w14:paraId="2A916B33" w14:textId="62F9A17E" w:rsidR="00560BB4" w:rsidRPr="00273A3E" w:rsidRDefault="00560BB4" w:rsidP="009F71ED">
      <w:pPr>
        <w:pStyle w:val="Pagrindinistekstas"/>
        <w:tabs>
          <w:tab w:val="left" w:pos="567"/>
        </w:tabs>
        <w:spacing w:after="0"/>
        <w:rPr>
          <w:szCs w:val="22"/>
        </w:rPr>
      </w:pPr>
      <w:r w:rsidRPr="00273A3E">
        <w:rPr>
          <w:szCs w:val="22"/>
        </w:rPr>
        <w:t>Registravimo</w:t>
      </w:r>
      <w:r w:rsidRPr="00273A3E">
        <w:rPr>
          <w:spacing w:val="-6"/>
          <w:szCs w:val="22"/>
        </w:rPr>
        <w:t xml:space="preserve"> </w:t>
      </w:r>
      <w:r w:rsidRPr="00273A3E">
        <w:rPr>
          <w:szCs w:val="22"/>
        </w:rPr>
        <w:t xml:space="preserve">data </w:t>
      </w:r>
      <w:r w:rsidR="00490319">
        <w:rPr>
          <w:szCs w:val="22"/>
        </w:rPr>
        <w:t>2026 m. birželio 4 d.</w:t>
      </w:r>
    </w:p>
    <w:p w14:paraId="27CA3A74" w14:textId="77777777" w:rsidR="00CA4972" w:rsidRPr="00273A3E" w:rsidRDefault="00CA4972" w:rsidP="009F71ED">
      <w:pPr>
        <w:tabs>
          <w:tab w:val="left" w:pos="567"/>
        </w:tabs>
        <w:spacing w:after="0" w:line="240" w:lineRule="auto"/>
        <w:rPr>
          <w:rFonts w:ascii="Times New Roman" w:hAnsi="Times New Roman"/>
          <w:lang w:val="lt-LT"/>
        </w:rPr>
      </w:pPr>
    </w:p>
    <w:p w14:paraId="14312D17" w14:textId="77777777" w:rsidR="001E5C66" w:rsidRPr="00273A3E" w:rsidRDefault="001E5C66" w:rsidP="009F71ED">
      <w:pPr>
        <w:tabs>
          <w:tab w:val="left" w:pos="567"/>
        </w:tabs>
        <w:spacing w:after="0" w:line="240" w:lineRule="auto"/>
        <w:rPr>
          <w:rFonts w:ascii="Times New Roman" w:hAnsi="Times New Roman"/>
          <w:lang w:val="lt-LT"/>
        </w:rPr>
      </w:pPr>
    </w:p>
    <w:p w14:paraId="3D9B80A1" w14:textId="77777777" w:rsidR="001E5C66" w:rsidRPr="00273A3E" w:rsidRDefault="001E5C66" w:rsidP="00914779">
      <w:pPr>
        <w:keepNext/>
        <w:keepLines/>
        <w:tabs>
          <w:tab w:val="left" w:pos="567"/>
        </w:tabs>
        <w:spacing w:after="0" w:line="240" w:lineRule="auto"/>
        <w:rPr>
          <w:rFonts w:ascii="Times New Roman" w:hAnsi="Times New Roman"/>
          <w:b/>
          <w:lang w:val="lt-LT"/>
        </w:rPr>
      </w:pPr>
      <w:r w:rsidRPr="00273A3E">
        <w:rPr>
          <w:rFonts w:ascii="Times New Roman" w:hAnsi="Times New Roman"/>
          <w:b/>
          <w:lang w:val="lt-LT"/>
        </w:rPr>
        <w:lastRenderedPageBreak/>
        <w:t>10.</w:t>
      </w:r>
      <w:r w:rsidRPr="00273A3E">
        <w:rPr>
          <w:rFonts w:ascii="Times New Roman" w:hAnsi="Times New Roman"/>
          <w:b/>
          <w:lang w:val="lt-LT"/>
        </w:rPr>
        <w:tab/>
        <w:t>TEKSTO PERŽIŪROS DATA</w:t>
      </w:r>
    </w:p>
    <w:p w14:paraId="11A27FF3" w14:textId="77777777" w:rsidR="00E461E4" w:rsidRPr="00273A3E" w:rsidRDefault="00E461E4" w:rsidP="00914779">
      <w:pPr>
        <w:keepNext/>
        <w:keepLines/>
        <w:tabs>
          <w:tab w:val="left" w:pos="567"/>
        </w:tabs>
        <w:spacing w:after="0" w:line="240" w:lineRule="auto"/>
        <w:rPr>
          <w:rFonts w:ascii="Times New Roman" w:hAnsi="Times New Roman"/>
          <w:b/>
          <w:lang w:val="lt-LT"/>
        </w:rPr>
      </w:pPr>
    </w:p>
    <w:p w14:paraId="2213507D" w14:textId="19007860" w:rsidR="00227945" w:rsidRPr="00273A3E" w:rsidRDefault="00490319" w:rsidP="009F71ED">
      <w:pPr>
        <w:pStyle w:val="Pagrindinistekstas"/>
        <w:tabs>
          <w:tab w:val="left" w:pos="567"/>
        </w:tabs>
        <w:spacing w:after="0"/>
        <w:rPr>
          <w:szCs w:val="22"/>
        </w:rPr>
      </w:pPr>
      <w:r>
        <w:rPr>
          <w:szCs w:val="22"/>
        </w:rPr>
        <w:t>2026 m. birželio 4 d.</w:t>
      </w:r>
    </w:p>
    <w:p w14:paraId="5A03A2A0" w14:textId="77777777" w:rsidR="00560BB4" w:rsidRPr="00273A3E" w:rsidRDefault="00560BB4" w:rsidP="009F71ED">
      <w:pPr>
        <w:pStyle w:val="Pagrindinistekstas"/>
        <w:tabs>
          <w:tab w:val="left" w:pos="567"/>
        </w:tabs>
        <w:spacing w:after="0"/>
        <w:rPr>
          <w:szCs w:val="22"/>
        </w:rPr>
      </w:pPr>
    </w:p>
    <w:p w14:paraId="5882BE72" w14:textId="77777777" w:rsidR="00560BB4" w:rsidRPr="00273A3E" w:rsidRDefault="00560BB4" w:rsidP="009F71ED">
      <w:pPr>
        <w:tabs>
          <w:tab w:val="left" w:pos="567"/>
          <w:tab w:val="left" w:pos="5954"/>
          <w:tab w:val="left" w:pos="6237"/>
          <w:tab w:val="left" w:pos="6663"/>
          <w:tab w:val="left" w:pos="6946"/>
        </w:tabs>
        <w:spacing w:after="0" w:line="240" w:lineRule="auto"/>
        <w:rPr>
          <w:rFonts w:ascii="Times New Roman" w:eastAsia="SimSun" w:hAnsi="Times New Roman"/>
          <w:color w:val="0000FF"/>
          <w:u w:val="single"/>
          <w:lang w:val="lt-LT"/>
        </w:rPr>
      </w:pPr>
      <w:r w:rsidRPr="00273A3E">
        <w:rPr>
          <w:rFonts w:ascii="Times New Roman" w:eastAsia="SimSun" w:hAnsi="Times New Roman"/>
          <w:lang w:val="lt-LT"/>
        </w:rPr>
        <w:t>Išsami informacija apie šį vaistinį preparatą pateikiama Valstybinės vaistų kontrolės tarnybos prie Lietuvos Respublikos sveikatos apsaugos ministerijos tinklalapyje</w:t>
      </w:r>
      <w:r w:rsidRPr="00273A3E">
        <w:rPr>
          <w:rFonts w:ascii="Times New Roman" w:eastAsia="SimSun" w:hAnsi="Times New Roman"/>
          <w:i/>
          <w:lang w:val="lt-LT"/>
        </w:rPr>
        <w:t xml:space="preserve"> </w:t>
      </w:r>
      <w:r w:rsidR="00C54CF6" w:rsidRPr="00273A3E">
        <w:rPr>
          <w:rFonts w:ascii="Times New Roman" w:hAnsi="Times New Roman"/>
          <w:color w:val="0000EE"/>
          <w:u w:val="single"/>
          <w:lang w:val="lt-LT" w:eastAsia="lt-LT"/>
        </w:rPr>
        <w:t>https://vvkt.lrv.lt/lt/</w:t>
      </w:r>
    </w:p>
    <w:p w14:paraId="2AD111F4" w14:textId="77777777" w:rsidR="00560BB4" w:rsidRPr="00273A3E" w:rsidRDefault="00560BB4" w:rsidP="009F71ED">
      <w:pPr>
        <w:tabs>
          <w:tab w:val="left" w:pos="567"/>
          <w:tab w:val="left" w:pos="5954"/>
          <w:tab w:val="left" w:pos="6237"/>
          <w:tab w:val="left" w:pos="6663"/>
          <w:tab w:val="left" w:pos="6946"/>
        </w:tabs>
        <w:spacing w:after="0" w:line="240" w:lineRule="auto"/>
        <w:rPr>
          <w:rFonts w:ascii="Times New Roman" w:hAnsi="Times New Roman"/>
          <w:lang w:val="lt-LT"/>
        </w:rPr>
      </w:pPr>
    </w:p>
    <w:p w14:paraId="31AA7EC1" w14:textId="77777777" w:rsidR="00560BB4" w:rsidRPr="00273A3E" w:rsidRDefault="001E5C66" w:rsidP="009F71ED">
      <w:pPr>
        <w:tabs>
          <w:tab w:val="left" w:pos="567"/>
        </w:tabs>
        <w:rPr>
          <w:rFonts w:ascii="Times New Roman" w:eastAsia="Times New Roman" w:hAnsi="Times New Roman"/>
          <w:lang w:val="lt-LT" w:eastAsia="lt-LT"/>
        </w:rPr>
      </w:pPr>
      <w:r w:rsidRPr="00273A3E">
        <w:rPr>
          <w:rFonts w:ascii="Times New Roman" w:hAnsi="Times New Roman"/>
          <w:spacing w:val="-3"/>
          <w:lang w:val="lt-LT"/>
        </w:rPr>
        <w:br w:type="page"/>
      </w:r>
    </w:p>
    <w:p w14:paraId="74CD8608"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0B9BCB88"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72DBE629"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7919B737"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6A96B0CA"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3209204F"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232931E5"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7E6BE4B2"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0C317DF3"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61B97B5D"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23BE7F72"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5E2BF807"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57D7068C"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6F23192D"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3089B7E7"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2E60E9C4"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56F4DDAB"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0AE8BE51"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1DD9F10F" w14:textId="77777777" w:rsidR="00560BB4" w:rsidRPr="00273A3E" w:rsidRDefault="00560BB4" w:rsidP="009F71ED">
      <w:pPr>
        <w:widowControl w:val="0"/>
        <w:tabs>
          <w:tab w:val="left" w:pos="567"/>
        </w:tabs>
        <w:autoSpaceDE w:val="0"/>
        <w:autoSpaceDN w:val="0"/>
        <w:adjustRightInd w:val="0"/>
        <w:spacing w:after="0" w:line="240" w:lineRule="auto"/>
        <w:jc w:val="center"/>
        <w:rPr>
          <w:rFonts w:ascii="Times New Roman" w:eastAsia="Times New Roman" w:hAnsi="Times New Roman"/>
          <w:b/>
          <w:lang w:val="lt-LT" w:eastAsia="lt-LT"/>
        </w:rPr>
      </w:pPr>
      <w:r w:rsidRPr="00273A3E">
        <w:rPr>
          <w:rFonts w:ascii="Times New Roman" w:eastAsia="Times New Roman" w:hAnsi="Times New Roman"/>
          <w:b/>
          <w:lang w:val="lt-LT" w:eastAsia="lt-LT"/>
        </w:rPr>
        <w:t>II</w:t>
      </w:r>
      <w:r w:rsidRPr="00273A3E">
        <w:rPr>
          <w:rFonts w:ascii="Times New Roman" w:eastAsia="Times New Roman" w:hAnsi="Times New Roman"/>
          <w:b/>
          <w:spacing w:val="-2"/>
          <w:lang w:val="lt-LT" w:eastAsia="lt-LT"/>
        </w:rPr>
        <w:t xml:space="preserve"> PRIEDAS</w:t>
      </w:r>
    </w:p>
    <w:p w14:paraId="4D0198CD"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514FCDD5" w14:textId="77777777" w:rsidR="00560BB4" w:rsidRPr="00273A3E" w:rsidRDefault="00560BB4" w:rsidP="00BA11D2">
      <w:pPr>
        <w:widowControl w:val="0"/>
        <w:tabs>
          <w:tab w:val="left" w:pos="567"/>
          <w:tab w:val="left" w:pos="2694"/>
        </w:tabs>
        <w:autoSpaceDE w:val="0"/>
        <w:autoSpaceDN w:val="0"/>
        <w:adjustRightInd w:val="0"/>
        <w:spacing w:after="0" w:line="260" w:lineRule="exact"/>
        <w:jc w:val="center"/>
        <w:rPr>
          <w:rFonts w:ascii="Times New Roman" w:eastAsia="Times New Roman" w:hAnsi="Times New Roman"/>
          <w:i/>
          <w:lang w:val="lt-LT" w:eastAsia="lt-LT"/>
        </w:rPr>
      </w:pPr>
      <w:r w:rsidRPr="00273A3E">
        <w:rPr>
          <w:rFonts w:ascii="Times New Roman" w:eastAsia="Times New Roman" w:hAnsi="Times New Roman"/>
          <w:b/>
          <w:lang w:val="lt-LT" w:eastAsia="lt-LT"/>
        </w:rPr>
        <w:t>REGISTRACIJOS SĄLYGOS</w:t>
      </w:r>
    </w:p>
    <w:p w14:paraId="7D984AA7" w14:textId="77777777" w:rsidR="00560BB4" w:rsidRPr="00273A3E" w:rsidRDefault="00560BB4" w:rsidP="009F71ED">
      <w:pPr>
        <w:widowControl w:val="0"/>
        <w:tabs>
          <w:tab w:val="left" w:pos="567"/>
        </w:tabs>
        <w:autoSpaceDE w:val="0"/>
        <w:autoSpaceDN w:val="0"/>
        <w:adjustRightInd w:val="0"/>
        <w:spacing w:after="0" w:line="260" w:lineRule="exact"/>
        <w:jc w:val="center"/>
        <w:rPr>
          <w:rFonts w:ascii="Times New Roman" w:eastAsia="Times New Roman" w:hAnsi="Times New Roman"/>
          <w:lang w:val="lt-LT" w:eastAsia="lt-LT"/>
        </w:rPr>
      </w:pPr>
    </w:p>
    <w:p w14:paraId="5674E68C" w14:textId="77777777" w:rsidR="00560BB4" w:rsidRPr="00273A3E" w:rsidRDefault="00560BB4" w:rsidP="009F71ED">
      <w:pPr>
        <w:widowControl w:val="0"/>
        <w:numPr>
          <w:ilvl w:val="0"/>
          <w:numId w:val="18"/>
        </w:numPr>
        <w:tabs>
          <w:tab w:val="left" w:pos="567"/>
          <w:tab w:val="left" w:pos="2268"/>
        </w:tabs>
        <w:autoSpaceDE w:val="0"/>
        <w:autoSpaceDN w:val="0"/>
        <w:adjustRightInd w:val="0"/>
        <w:spacing w:after="0" w:line="260" w:lineRule="exact"/>
        <w:ind w:left="0" w:right="567" w:firstLine="0"/>
        <w:jc w:val="center"/>
        <w:rPr>
          <w:rFonts w:ascii="Times New Roman" w:eastAsia="Times New Roman" w:hAnsi="Times New Roman"/>
          <w:b/>
          <w:lang w:val="lt-LT" w:eastAsia="lt-LT"/>
        </w:rPr>
      </w:pPr>
      <w:r w:rsidRPr="00273A3E">
        <w:rPr>
          <w:rFonts w:ascii="Times New Roman" w:eastAsia="Times New Roman" w:hAnsi="Times New Roman"/>
          <w:b/>
          <w:lang w:val="lt-LT" w:eastAsia="lt-LT"/>
        </w:rPr>
        <w:t>GAMINTOJAS (-AI), ATSAKINGAS (-I) UŽ SERIJŲ IŠLEIDIMĄ</w:t>
      </w:r>
    </w:p>
    <w:p w14:paraId="5DBD68B1" w14:textId="77777777" w:rsidR="00560BB4" w:rsidRPr="00273A3E" w:rsidRDefault="00560BB4" w:rsidP="009F71ED">
      <w:pPr>
        <w:widowControl w:val="0"/>
        <w:tabs>
          <w:tab w:val="left" w:pos="567"/>
          <w:tab w:val="left" w:pos="1701"/>
        </w:tabs>
        <w:autoSpaceDE w:val="0"/>
        <w:autoSpaceDN w:val="0"/>
        <w:adjustRightInd w:val="0"/>
        <w:spacing w:after="0" w:line="260" w:lineRule="exact"/>
        <w:ind w:right="567"/>
        <w:jc w:val="center"/>
        <w:rPr>
          <w:rFonts w:ascii="Times New Roman" w:eastAsia="Times New Roman" w:hAnsi="Times New Roman"/>
          <w:lang w:val="lt-LT" w:eastAsia="lt-LT"/>
        </w:rPr>
      </w:pPr>
    </w:p>
    <w:p w14:paraId="4666345A" w14:textId="77777777" w:rsidR="00560BB4" w:rsidRPr="00273A3E" w:rsidRDefault="00560BB4" w:rsidP="009F71ED">
      <w:pPr>
        <w:widowControl w:val="0"/>
        <w:numPr>
          <w:ilvl w:val="0"/>
          <w:numId w:val="18"/>
        </w:numPr>
        <w:tabs>
          <w:tab w:val="left" w:pos="567"/>
          <w:tab w:val="left" w:pos="1701"/>
        </w:tabs>
        <w:autoSpaceDE w:val="0"/>
        <w:autoSpaceDN w:val="0"/>
        <w:adjustRightInd w:val="0"/>
        <w:spacing w:after="0" w:line="260" w:lineRule="exact"/>
        <w:ind w:left="0" w:right="567" w:firstLine="0"/>
        <w:jc w:val="center"/>
        <w:rPr>
          <w:rFonts w:ascii="Times New Roman" w:eastAsia="Times New Roman" w:hAnsi="Times New Roman"/>
          <w:b/>
          <w:lang w:val="lt-LT" w:eastAsia="lt-LT"/>
        </w:rPr>
      </w:pPr>
      <w:r w:rsidRPr="00273A3E">
        <w:rPr>
          <w:rFonts w:ascii="Times New Roman" w:eastAsia="Times New Roman" w:hAnsi="Times New Roman"/>
          <w:b/>
          <w:lang w:val="lt-LT" w:eastAsia="lt-LT"/>
        </w:rPr>
        <w:t>TIEKIMO IR VARTOJIMO SĄLYGOS AR APRIBOJIMAI</w:t>
      </w:r>
    </w:p>
    <w:p w14:paraId="59F349AB"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655E1151" w14:textId="77777777" w:rsidR="00560BB4" w:rsidRPr="00273A3E" w:rsidRDefault="00560BB4" w:rsidP="009F71ED">
      <w:pPr>
        <w:tabs>
          <w:tab w:val="left" w:pos="567"/>
        </w:tabs>
        <w:spacing w:line="260" w:lineRule="exact"/>
        <w:rPr>
          <w:rFonts w:ascii="Times New Roman" w:eastAsia="Times New Roman" w:hAnsi="Times New Roman"/>
          <w:b/>
          <w:lang w:val="lt-LT" w:eastAsia="lt-LT"/>
        </w:rPr>
      </w:pPr>
      <w:r w:rsidRPr="00273A3E">
        <w:rPr>
          <w:rFonts w:ascii="Times New Roman" w:eastAsia="Times New Roman" w:hAnsi="Times New Roman"/>
          <w:b/>
          <w:lang w:val="lt-LT" w:eastAsia="lt-LT"/>
        </w:rPr>
        <w:br w:type="page"/>
      </w:r>
      <w:r w:rsidRPr="00273A3E">
        <w:rPr>
          <w:rFonts w:ascii="Times New Roman" w:eastAsia="Times New Roman" w:hAnsi="Times New Roman"/>
          <w:b/>
          <w:lang w:val="lt-LT" w:eastAsia="lt-LT"/>
        </w:rPr>
        <w:lastRenderedPageBreak/>
        <w:t>A.</w:t>
      </w:r>
      <w:r w:rsidRPr="00273A3E">
        <w:rPr>
          <w:rFonts w:ascii="Times New Roman" w:eastAsia="Times New Roman" w:hAnsi="Times New Roman"/>
          <w:b/>
          <w:lang w:val="lt-LT" w:eastAsia="lt-LT"/>
        </w:rPr>
        <w:tab/>
        <w:t>GAMINTOJAS (-AI), ATSAKINGAS (-I) UŽ SERIJŲ IŠLEIDIMĄ</w:t>
      </w:r>
    </w:p>
    <w:p w14:paraId="64CB355A" w14:textId="77777777" w:rsidR="00560BB4" w:rsidRPr="00273A3E" w:rsidRDefault="00560BB4"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p>
    <w:p w14:paraId="62CAB13C" w14:textId="77777777" w:rsidR="00560BB4" w:rsidRPr="00273A3E" w:rsidRDefault="00560BB4" w:rsidP="00914779">
      <w:pPr>
        <w:widowControl w:val="0"/>
        <w:tabs>
          <w:tab w:val="left" w:pos="567"/>
        </w:tabs>
        <w:autoSpaceDE w:val="0"/>
        <w:autoSpaceDN w:val="0"/>
        <w:adjustRightInd w:val="0"/>
        <w:spacing w:after="0" w:line="240" w:lineRule="auto"/>
        <w:jc w:val="both"/>
        <w:rPr>
          <w:rFonts w:ascii="Times New Roman" w:eastAsia="Times New Roman" w:hAnsi="Times New Roman"/>
          <w:lang w:val="lt-LT" w:eastAsia="lt-LT"/>
        </w:rPr>
      </w:pPr>
      <w:r w:rsidRPr="00273A3E">
        <w:rPr>
          <w:rFonts w:ascii="Times New Roman" w:eastAsia="Times New Roman" w:hAnsi="Times New Roman"/>
          <w:u w:val="single"/>
          <w:lang w:val="lt-LT" w:eastAsia="lt-LT"/>
        </w:rPr>
        <w:t>Gamintojo (-ų), atsakingo (-ų) už serijų išleidimą, pavadinimas (-ai) ir adresas (-ai)</w:t>
      </w:r>
    </w:p>
    <w:p w14:paraId="14FE2816" w14:textId="77777777" w:rsidR="00560BB4" w:rsidRPr="00273A3E" w:rsidRDefault="00560BB4"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p>
    <w:p w14:paraId="75548CEF"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 Corporation Orion Pharma</w:t>
      </w:r>
    </w:p>
    <w:p w14:paraId="47AFAED3"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Orionintie 1</w:t>
      </w:r>
    </w:p>
    <w:p w14:paraId="39D2B430"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FI-02200 Espoo</w:t>
      </w:r>
    </w:p>
    <w:p w14:paraId="63575F9D"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Suomija</w:t>
      </w:r>
    </w:p>
    <w:p w14:paraId="29FC037F"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p>
    <w:p w14:paraId="441EE379"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arba</w:t>
      </w:r>
    </w:p>
    <w:p w14:paraId="7009659B"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p>
    <w:p w14:paraId="338BE48B"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 Corporation Orion Pharma</w:t>
      </w:r>
    </w:p>
    <w:p w14:paraId="18CB7E71"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Joensuunkatu 7</w:t>
      </w:r>
    </w:p>
    <w:p w14:paraId="51BE75A3"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FI-24100 Salo</w:t>
      </w:r>
    </w:p>
    <w:p w14:paraId="12B3DE16"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Suomija</w:t>
      </w:r>
    </w:p>
    <w:p w14:paraId="195BACBD" w14:textId="77777777" w:rsidR="00493123" w:rsidRPr="00273A3E" w:rsidRDefault="00493123"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p>
    <w:p w14:paraId="6CFE91B8" w14:textId="77777777" w:rsidR="00560BB4" w:rsidRPr="00273A3E" w:rsidRDefault="00615A2D"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r w:rsidRPr="00273A3E">
        <w:rPr>
          <w:rFonts w:ascii="Times New Roman" w:hAnsi="Times New Roman"/>
          <w:noProof/>
          <w:snapToGrid w:val="0"/>
          <w:lang w:val="lt-LT"/>
        </w:rPr>
        <w:t>Su pakuote pateikiamame lapelyje nurodomas gamintojo, atsakingo už konkrečios serijos išleidimą, pavadinimas ir adresas.</w:t>
      </w:r>
    </w:p>
    <w:p w14:paraId="7D292F7C" w14:textId="77777777" w:rsidR="00615A2D" w:rsidRPr="00273A3E" w:rsidRDefault="00615A2D"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p>
    <w:p w14:paraId="300F9AC3" w14:textId="77777777" w:rsidR="00615A2D" w:rsidRPr="00273A3E" w:rsidRDefault="00615A2D"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p>
    <w:p w14:paraId="61B10846"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r w:rsidRPr="00273A3E">
        <w:rPr>
          <w:rFonts w:ascii="Times New Roman" w:eastAsia="Times New Roman" w:hAnsi="Times New Roman"/>
          <w:b/>
          <w:lang w:val="lt-LT" w:eastAsia="lt-LT"/>
        </w:rPr>
        <w:t>B.</w:t>
      </w:r>
      <w:r w:rsidRPr="00273A3E">
        <w:rPr>
          <w:rFonts w:ascii="Times New Roman" w:eastAsia="Times New Roman" w:hAnsi="Times New Roman"/>
          <w:b/>
          <w:lang w:val="lt-LT" w:eastAsia="lt-LT"/>
        </w:rPr>
        <w:tab/>
        <w:t>TIEKIMO IR VARTOJIMO SĄLYGOS AR APRIBOJIMAI</w:t>
      </w:r>
    </w:p>
    <w:p w14:paraId="5F9752AC" w14:textId="77777777" w:rsidR="00560BB4" w:rsidRPr="00273A3E" w:rsidRDefault="00560BB4"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p>
    <w:p w14:paraId="4B4B8A3E" w14:textId="77777777" w:rsidR="00560BB4" w:rsidRPr="00273A3E" w:rsidRDefault="00560BB4"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r w:rsidRPr="00273A3E">
        <w:rPr>
          <w:rFonts w:ascii="Times New Roman" w:eastAsia="Times New Roman" w:hAnsi="Times New Roman"/>
          <w:lang w:val="lt-LT" w:eastAsia="lt-LT"/>
        </w:rPr>
        <w:t>Receptinis vaistinis preparatas.</w:t>
      </w:r>
    </w:p>
    <w:p w14:paraId="2C034CBC" w14:textId="77777777" w:rsidR="00560BB4" w:rsidRPr="00273A3E" w:rsidRDefault="00560BB4"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p>
    <w:p w14:paraId="15A38478"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3D1D9D9A" w14:textId="77777777" w:rsidR="00560BB4" w:rsidRPr="00273A3E" w:rsidRDefault="00560BB4" w:rsidP="009F71ED">
      <w:pPr>
        <w:tabs>
          <w:tab w:val="left" w:pos="567"/>
        </w:tabs>
        <w:rPr>
          <w:rFonts w:ascii="Times New Roman" w:eastAsia="Times New Roman" w:hAnsi="Times New Roman"/>
          <w:lang w:val="lt-LT" w:eastAsia="lt-LT"/>
        </w:rPr>
      </w:pPr>
      <w:r w:rsidRPr="00273A3E">
        <w:rPr>
          <w:rFonts w:ascii="Times New Roman" w:eastAsia="Times New Roman" w:hAnsi="Times New Roman"/>
          <w:lang w:val="lt-LT" w:eastAsia="lt-LT"/>
        </w:rPr>
        <w:br w:type="page"/>
      </w:r>
    </w:p>
    <w:p w14:paraId="3433E4A7"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45D7ADFD"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7E3A9C25"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29854475"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78A010A5"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2FAB8978"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62C5A06D"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52A85BA6"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1FD0D848"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2A0607FE"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446D59D7"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321C5A48"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04C05972"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6234235C"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053D5C10"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1E018AE9"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3C3ACFDB"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3744DBC7"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67B02540"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6B91FEC9" w14:textId="77777777" w:rsidR="00560BB4" w:rsidRPr="00273A3E" w:rsidRDefault="00560BB4" w:rsidP="00914779">
      <w:pPr>
        <w:keepNext/>
        <w:widowControl w:val="0"/>
        <w:tabs>
          <w:tab w:val="left" w:pos="567"/>
        </w:tabs>
        <w:autoSpaceDE w:val="0"/>
        <w:autoSpaceDN w:val="0"/>
        <w:adjustRightInd w:val="0"/>
        <w:spacing w:after="0" w:line="240" w:lineRule="auto"/>
        <w:jc w:val="center"/>
        <w:outlineLvl w:val="1"/>
        <w:rPr>
          <w:rFonts w:ascii="Times New Roman" w:eastAsia="Times New Roman" w:hAnsi="Times New Roman"/>
          <w:i/>
          <w:lang w:val="lt-LT" w:eastAsia="lt-LT"/>
        </w:rPr>
      </w:pPr>
      <w:r w:rsidRPr="00273A3E">
        <w:rPr>
          <w:rFonts w:ascii="Times New Roman" w:eastAsia="Times New Roman" w:hAnsi="Times New Roman"/>
          <w:b/>
          <w:lang w:val="lt-LT" w:eastAsia="lt-LT"/>
        </w:rPr>
        <w:t>III PRIEDAS</w:t>
      </w:r>
    </w:p>
    <w:p w14:paraId="5AE84C7F" w14:textId="77777777" w:rsidR="00560BB4" w:rsidRPr="00273A3E" w:rsidRDefault="00560BB4"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p>
    <w:p w14:paraId="1CCB7822" w14:textId="77777777" w:rsidR="00560BB4" w:rsidRPr="00273A3E" w:rsidRDefault="00560BB4" w:rsidP="00914779">
      <w:pPr>
        <w:keepNext/>
        <w:widowControl w:val="0"/>
        <w:tabs>
          <w:tab w:val="left" w:pos="567"/>
        </w:tabs>
        <w:autoSpaceDE w:val="0"/>
        <w:autoSpaceDN w:val="0"/>
        <w:adjustRightInd w:val="0"/>
        <w:spacing w:after="0" w:line="240" w:lineRule="auto"/>
        <w:jc w:val="center"/>
        <w:outlineLvl w:val="1"/>
        <w:rPr>
          <w:rFonts w:ascii="Times New Roman" w:eastAsia="Times New Roman" w:hAnsi="Times New Roman"/>
          <w:i/>
          <w:lang w:val="lt-LT" w:eastAsia="lt-LT"/>
        </w:rPr>
      </w:pPr>
      <w:r w:rsidRPr="00273A3E">
        <w:rPr>
          <w:rFonts w:ascii="Times New Roman" w:eastAsia="Times New Roman" w:hAnsi="Times New Roman"/>
          <w:b/>
          <w:lang w:val="lt-LT" w:eastAsia="lt-LT"/>
        </w:rPr>
        <w:t>ŽENKLINIMAS IR PAKUOTĖS LAPELIS</w:t>
      </w:r>
    </w:p>
    <w:p w14:paraId="44CC7B94"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73ADC4B0"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6C5F91AA" w14:textId="77777777" w:rsidR="001E5C66" w:rsidRPr="00273A3E" w:rsidRDefault="00560BB4" w:rsidP="009F71ED">
      <w:pPr>
        <w:widowControl w:val="0"/>
        <w:tabs>
          <w:tab w:val="left" w:pos="567"/>
        </w:tabs>
        <w:autoSpaceDE w:val="0"/>
        <w:autoSpaceDN w:val="0"/>
        <w:adjustRightInd w:val="0"/>
        <w:spacing w:after="0" w:line="240" w:lineRule="auto"/>
        <w:rPr>
          <w:rFonts w:ascii="Times New Roman" w:hAnsi="Times New Roman"/>
          <w:lang w:val="lt-LT"/>
        </w:rPr>
      </w:pPr>
      <w:r w:rsidRPr="00273A3E">
        <w:rPr>
          <w:rFonts w:ascii="Times New Roman" w:eastAsia="Times New Roman" w:hAnsi="Times New Roman"/>
          <w:lang w:val="lt-LT" w:eastAsia="lt-LT"/>
        </w:rPr>
        <w:br w:type="page"/>
      </w:r>
    </w:p>
    <w:p w14:paraId="29641F2B" w14:textId="77777777" w:rsidR="001E5C66" w:rsidRPr="00273A3E" w:rsidRDefault="001E5C66" w:rsidP="009F71ED">
      <w:pPr>
        <w:tabs>
          <w:tab w:val="left" w:pos="567"/>
        </w:tabs>
        <w:spacing w:after="0" w:line="240" w:lineRule="auto"/>
        <w:rPr>
          <w:rFonts w:ascii="Times New Roman" w:hAnsi="Times New Roman"/>
          <w:lang w:val="lt-LT"/>
        </w:rPr>
      </w:pPr>
    </w:p>
    <w:p w14:paraId="010C8A91" w14:textId="77777777" w:rsidR="001E5C66" w:rsidRPr="00273A3E" w:rsidRDefault="001E5C66" w:rsidP="009F71ED">
      <w:pPr>
        <w:tabs>
          <w:tab w:val="left" w:pos="567"/>
        </w:tabs>
        <w:spacing w:after="0" w:line="240" w:lineRule="auto"/>
        <w:rPr>
          <w:rFonts w:ascii="Times New Roman" w:hAnsi="Times New Roman"/>
          <w:lang w:val="lt-LT"/>
        </w:rPr>
      </w:pPr>
    </w:p>
    <w:p w14:paraId="592C9D43" w14:textId="77777777" w:rsidR="001E5C66" w:rsidRPr="00273A3E" w:rsidRDefault="001E5C66" w:rsidP="009F71ED">
      <w:pPr>
        <w:tabs>
          <w:tab w:val="left" w:pos="567"/>
        </w:tabs>
        <w:spacing w:after="0" w:line="240" w:lineRule="auto"/>
        <w:rPr>
          <w:rFonts w:ascii="Times New Roman" w:hAnsi="Times New Roman"/>
          <w:lang w:val="lt-LT"/>
        </w:rPr>
      </w:pPr>
    </w:p>
    <w:p w14:paraId="1F9A0336" w14:textId="77777777" w:rsidR="001E5C66" w:rsidRPr="00273A3E" w:rsidRDefault="001E5C66" w:rsidP="009F71ED">
      <w:pPr>
        <w:tabs>
          <w:tab w:val="left" w:pos="567"/>
        </w:tabs>
        <w:spacing w:after="0" w:line="240" w:lineRule="auto"/>
        <w:rPr>
          <w:rFonts w:ascii="Times New Roman" w:hAnsi="Times New Roman"/>
          <w:lang w:val="lt-LT"/>
        </w:rPr>
      </w:pPr>
    </w:p>
    <w:p w14:paraId="7279F4D2"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4BB2240F"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0C1E3263"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7D7FB8C2"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27DFDE8B"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52693BE8"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2A2C2313"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7A4A6A0A"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13D2EF2E"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1E2E80C5"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790EBCDC"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45704613"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7F3D0E01"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644F4B06"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50FE1F63"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4006FC9F"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67162990" w14:textId="77777777" w:rsidR="00560BB4" w:rsidRPr="00273A3E" w:rsidRDefault="00560BB4"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
    <w:p w14:paraId="5845764B" w14:textId="77777777" w:rsidR="00560BB4" w:rsidRPr="00273A3E" w:rsidRDefault="00560BB4" w:rsidP="00914779">
      <w:pPr>
        <w:widowControl w:val="0"/>
        <w:tabs>
          <w:tab w:val="left" w:pos="567"/>
        </w:tabs>
        <w:autoSpaceDE w:val="0"/>
        <w:autoSpaceDN w:val="0"/>
        <w:adjustRightInd w:val="0"/>
        <w:spacing w:after="0" w:line="260" w:lineRule="exact"/>
        <w:rPr>
          <w:rFonts w:ascii="Times New Roman" w:eastAsia="Times New Roman" w:hAnsi="Times New Roman"/>
          <w:lang w:val="lt-LT" w:eastAsia="lt-LT"/>
        </w:rPr>
      </w:pPr>
    </w:p>
    <w:p w14:paraId="7BD7F42F" w14:textId="77777777" w:rsidR="00560BB4" w:rsidRPr="00273A3E" w:rsidRDefault="00560BB4" w:rsidP="00914779">
      <w:pPr>
        <w:keepNext/>
        <w:widowControl w:val="0"/>
        <w:tabs>
          <w:tab w:val="left" w:pos="567"/>
        </w:tabs>
        <w:autoSpaceDE w:val="0"/>
        <w:autoSpaceDN w:val="0"/>
        <w:adjustRightInd w:val="0"/>
        <w:spacing w:after="0" w:line="240" w:lineRule="auto"/>
        <w:jc w:val="center"/>
        <w:outlineLvl w:val="1"/>
        <w:rPr>
          <w:rFonts w:ascii="Times New Roman" w:eastAsia="Times New Roman" w:hAnsi="Times New Roman"/>
          <w:i/>
          <w:lang w:val="lt-LT" w:eastAsia="lt-LT"/>
        </w:rPr>
      </w:pPr>
      <w:r w:rsidRPr="00273A3E">
        <w:rPr>
          <w:rFonts w:ascii="Times New Roman" w:eastAsia="Times New Roman" w:hAnsi="Times New Roman"/>
          <w:b/>
          <w:lang w:val="lt-LT" w:eastAsia="lt-LT"/>
        </w:rPr>
        <w:t>A. ŽENKLINIMAS</w:t>
      </w:r>
    </w:p>
    <w:p w14:paraId="26BFA038" w14:textId="77777777" w:rsidR="001E5C66" w:rsidRPr="00273A3E" w:rsidRDefault="00560BB4" w:rsidP="009F71E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eastAsia="Times New Roman" w:hAnsi="Times New Roman"/>
          <w:lang w:val="lt-LT" w:eastAsia="lt-LT"/>
        </w:rPr>
        <w:br w:type="page"/>
      </w:r>
      <w:r w:rsidR="001E5C66" w:rsidRPr="00273A3E">
        <w:rPr>
          <w:rFonts w:ascii="Times New Roman" w:hAnsi="Times New Roman"/>
          <w:b/>
          <w:lang w:val="lt-LT"/>
        </w:rPr>
        <w:lastRenderedPageBreak/>
        <w:t>INFORMACIJA ANT IŠORINĖS PAKUOTĖS</w:t>
      </w:r>
    </w:p>
    <w:p w14:paraId="2072429D" w14:textId="77777777" w:rsidR="001E5C66" w:rsidRPr="00273A3E" w:rsidRDefault="001E5C66" w:rsidP="009F71E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5A723256" w14:textId="77777777" w:rsidR="001E5C66" w:rsidRPr="00273A3E" w:rsidRDefault="001E5C66" w:rsidP="009F71E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iCs/>
          <w:lang w:val="lt-LT"/>
        </w:rPr>
      </w:pPr>
      <w:r w:rsidRPr="00273A3E">
        <w:rPr>
          <w:rFonts w:ascii="Times New Roman" w:hAnsi="Times New Roman"/>
          <w:b/>
          <w:lang w:val="lt-LT"/>
        </w:rPr>
        <w:t>KARTONO DĖŽUTĖ</w:t>
      </w:r>
    </w:p>
    <w:p w14:paraId="6A01FB03" w14:textId="77777777" w:rsidR="001E5C66" w:rsidRPr="00273A3E" w:rsidRDefault="001E5C66" w:rsidP="009F71ED">
      <w:pPr>
        <w:tabs>
          <w:tab w:val="left" w:pos="567"/>
        </w:tabs>
        <w:spacing w:after="0" w:line="240" w:lineRule="auto"/>
        <w:rPr>
          <w:rFonts w:ascii="Times New Roman" w:hAnsi="Times New Roman"/>
          <w:lang w:val="lt-LT"/>
        </w:rPr>
      </w:pPr>
    </w:p>
    <w:p w14:paraId="69077FE6" w14:textId="77777777" w:rsidR="001E5C66" w:rsidRPr="00273A3E" w:rsidRDefault="001E5C66" w:rsidP="009F71ED">
      <w:pPr>
        <w:tabs>
          <w:tab w:val="left" w:pos="567"/>
        </w:tabs>
        <w:spacing w:after="0" w:line="240" w:lineRule="auto"/>
        <w:rPr>
          <w:rFonts w:ascii="Times New Roman" w:hAnsi="Times New Roman"/>
          <w:lang w:val="lt-LT"/>
        </w:rPr>
      </w:pPr>
    </w:p>
    <w:p w14:paraId="5FC28447"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1.</w:t>
      </w:r>
      <w:r w:rsidRPr="00273A3E">
        <w:rPr>
          <w:rFonts w:ascii="Times New Roman" w:hAnsi="Times New Roman"/>
          <w:b/>
          <w:lang w:val="lt-LT"/>
        </w:rPr>
        <w:tab/>
        <w:t>VAISTINIO PREPARATO PAVADINIMAS</w:t>
      </w:r>
    </w:p>
    <w:p w14:paraId="44597CF2" w14:textId="77777777" w:rsidR="001E5C66" w:rsidRPr="00273A3E" w:rsidRDefault="001E5C66" w:rsidP="009F71ED">
      <w:pPr>
        <w:tabs>
          <w:tab w:val="left" w:pos="567"/>
        </w:tabs>
        <w:spacing w:after="0" w:line="240" w:lineRule="auto"/>
        <w:rPr>
          <w:rFonts w:ascii="Times New Roman" w:hAnsi="Times New Roman"/>
          <w:lang w:val="lt-LT"/>
        </w:rPr>
      </w:pPr>
    </w:p>
    <w:p w14:paraId="381B31FF" w14:textId="77777777" w:rsidR="006F4147" w:rsidRPr="00273A3E" w:rsidRDefault="00C86E9E"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1E5C66" w:rsidRPr="00273A3E">
        <w:rPr>
          <w:rFonts w:ascii="Times New Roman" w:hAnsi="Times New Roman"/>
          <w:lang w:val="lt-LT"/>
        </w:rPr>
        <w:t>250</w:t>
      </w:r>
      <w:r w:rsidR="00FF0074" w:rsidRPr="00273A3E">
        <w:rPr>
          <w:rFonts w:ascii="Times New Roman" w:hAnsi="Times New Roman"/>
          <w:lang w:val="lt-LT"/>
        </w:rPr>
        <w:t> mg</w:t>
      </w:r>
      <w:r w:rsidR="0046242B" w:rsidRPr="00273A3E">
        <w:rPr>
          <w:rFonts w:ascii="Times New Roman" w:hAnsi="Times New Roman"/>
          <w:lang w:val="lt-LT"/>
        </w:rPr>
        <w:t xml:space="preserve"> </w:t>
      </w:r>
      <w:r w:rsidR="001E5C66" w:rsidRPr="00273A3E">
        <w:rPr>
          <w:rFonts w:ascii="Times New Roman" w:hAnsi="Times New Roman"/>
          <w:lang w:val="lt-LT"/>
        </w:rPr>
        <w:t>injekcinis tirpalas užpildytame švirkšte</w:t>
      </w:r>
    </w:p>
    <w:p w14:paraId="0659D490" w14:textId="77777777" w:rsidR="001E5C66" w:rsidRPr="00273A3E" w:rsidRDefault="00227945"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fulvestrantas</w:t>
      </w:r>
      <w:proofErr w:type="spellEnd"/>
    </w:p>
    <w:p w14:paraId="3F3C5262" w14:textId="77777777" w:rsidR="001E5C66" w:rsidRPr="00273A3E" w:rsidRDefault="001E5C66" w:rsidP="00914779">
      <w:pPr>
        <w:tabs>
          <w:tab w:val="left" w:pos="567"/>
        </w:tabs>
        <w:spacing w:after="0" w:line="240" w:lineRule="auto"/>
        <w:rPr>
          <w:rFonts w:ascii="Times New Roman" w:hAnsi="Times New Roman"/>
          <w:lang w:val="lt-LT"/>
        </w:rPr>
      </w:pPr>
    </w:p>
    <w:p w14:paraId="08314AAD" w14:textId="77777777" w:rsidR="00227945" w:rsidRPr="00273A3E" w:rsidRDefault="00227945" w:rsidP="009F71ED">
      <w:pPr>
        <w:tabs>
          <w:tab w:val="left" w:pos="567"/>
        </w:tabs>
        <w:spacing w:after="0" w:line="240" w:lineRule="auto"/>
        <w:rPr>
          <w:rFonts w:ascii="Times New Roman" w:hAnsi="Times New Roman"/>
          <w:lang w:val="lt-LT"/>
        </w:rPr>
      </w:pPr>
    </w:p>
    <w:p w14:paraId="660A96DA"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2.</w:t>
      </w:r>
      <w:r w:rsidRPr="00273A3E">
        <w:rPr>
          <w:rFonts w:ascii="Times New Roman" w:hAnsi="Times New Roman"/>
          <w:b/>
          <w:lang w:val="lt-LT"/>
        </w:rPr>
        <w:tab/>
        <w:t>VEIKLIOJI (-IOS) MEDŽIAGA (-OS) IR JOS (-Ų) KIEKIS (-IAI)</w:t>
      </w:r>
    </w:p>
    <w:p w14:paraId="3F4A1864" w14:textId="77777777" w:rsidR="001E5C66" w:rsidRPr="00273A3E" w:rsidRDefault="001E5C66" w:rsidP="009F71ED">
      <w:pPr>
        <w:tabs>
          <w:tab w:val="left" w:pos="567"/>
        </w:tabs>
        <w:spacing w:after="0" w:line="240" w:lineRule="auto"/>
        <w:rPr>
          <w:rFonts w:ascii="Times New Roman" w:hAnsi="Times New Roman"/>
          <w:lang w:val="lt-LT"/>
        </w:rPr>
      </w:pPr>
    </w:p>
    <w:p w14:paraId="18967D16" w14:textId="77777777" w:rsidR="00615A2D" w:rsidRPr="00273A3E" w:rsidRDefault="00227945" w:rsidP="009F71ED">
      <w:pPr>
        <w:tabs>
          <w:tab w:val="left" w:pos="567"/>
        </w:tabs>
        <w:spacing w:after="0" w:line="240" w:lineRule="auto"/>
        <w:rPr>
          <w:rFonts w:ascii="Times New Roman" w:hAnsi="Times New Roman"/>
          <w:lang w:val="lt-LT"/>
        </w:rPr>
      </w:pPr>
      <w:r w:rsidRPr="00273A3E">
        <w:rPr>
          <w:rFonts w:ascii="Times New Roman" w:hAnsi="Times New Roman"/>
          <w:lang w:val="lt-LT"/>
        </w:rPr>
        <w:t>V</w:t>
      </w:r>
      <w:r w:rsidR="001E5C66" w:rsidRPr="00273A3E">
        <w:rPr>
          <w:rFonts w:ascii="Times New Roman" w:hAnsi="Times New Roman"/>
          <w:lang w:val="lt-LT"/>
        </w:rPr>
        <w:t xml:space="preserve">iename užpildytame švirkšte </w:t>
      </w:r>
      <w:r w:rsidR="00591C7F" w:rsidRPr="00273A3E">
        <w:rPr>
          <w:rFonts w:ascii="Times New Roman" w:hAnsi="Times New Roman"/>
          <w:lang w:val="lt-LT"/>
        </w:rPr>
        <w:t>(5</w:t>
      </w:r>
      <w:r w:rsidR="00FF0074" w:rsidRPr="00273A3E">
        <w:rPr>
          <w:rFonts w:ascii="Times New Roman" w:hAnsi="Times New Roman"/>
          <w:lang w:val="lt-LT"/>
        </w:rPr>
        <w:t> ml</w:t>
      </w:r>
      <w:r w:rsidR="00591C7F" w:rsidRPr="00273A3E">
        <w:rPr>
          <w:rFonts w:ascii="Times New Roman" w:hAnsi="Times New Roman"/>
          <w:lang w:val="lt-LT"/>
        </w:rPr>
        <w:t xml:space="preserve"> tirpalo) </w:t>
      </w:r>
      <w:r w:rsidR="000C6D6B" w:rsidRPr="00273A3E">
        <w:rPr>
          <w:rFonts w:ascii="Times New Roman" w:hAnsi="Times New Roman"/>
          <w:lang w:val="lt-LT"/>
        </w:rPr>
        <w:t xml:space="preserve">yra </w:t>
      </w:r>
      <w:r w:rsidR="001E5C66" w:rsidRPr="00273A3E">
        <w:rPr>
          <w:rFonts w:ascii="Times New Roman" w:hAnsi="Times New Roman"/>
          <w:lang w:val="lt-LT"/>
        </w:rPr>
        <w:t>250</w:t>
      </w:r>
      <w:r w:rsidR="00FF0074" w:rsidRPr="00273A3E">
        <w:rPr>
          <w:rFonts w:ascii="Times New Roman" w:hAnsi="Times New Roman"/>
          <w:lang w:val="lt-LT"/>
        </w:rPr>
        <w:t> mg</w:t>
      </w:r>
      <w:r w:rsidR="001E5C66" w:rsidRPr="00273A3E">
        <w:rPr>
          <w:rFonts w:ascii="Times New Roman" w:hAnsi="Times New Roman"/>
          <w:lang w:val="lt-LT"/>
        </w:rPr>
        <w:t xml:space="preserve"> </w:t>
      </w:r>
      <w:proofErr w:type="spellStart"/>
      <w:r w:rsidR="001E5C66" w:rsidRPr="00273A3E">
        <w:rPr>
          <w:rFonts w:ascii="Times New Roman" w:hAnsi="Times New Roman"/>
          <w:lang w:val="lt-LT"/>
        </w:rPr>
        <w:t>fulvestranto</w:t>
      </w:r>
      <w:proofErr w:type="spellEnd"/>
      <w:r w:rsidR="001E5C66" w:rsidRPr="00273A3E">
        <w:rPr>
          <w:rFonts w:ascii="Times New Roman" w:hAnsi="Times New Roman"/>
          <w:lang w:val="lt-LT"/>
        </w:rPr>
        <w:t>.</w:t>
      </w:r>
      <w:r w:rsidR="00DD5E1F" w:rsidRPr="00273A3E">
        <w:rPr>
          <w:rFonts w:ascii="Times New Roman" w:hAnsi="Times New Roman"/>
          <w:lang w:val="lt-LT"/>
        </w:rPr>
        <w:t xml:space="preserve"> </w:t>
      </w:r>
      <w:bookmarkStart w:id="4" w:name="_Hlk173391947"/>
    </w:p>
    <w:bookmarkEnd w:id="4"/>
    <w:p w14:paraId="604976C7" w14:textId="77777777" w:rsidR="001E5C66" w:rsidRPr="00273A3E" w:rsidRDefault="001E5C66" w:rsidP="009F71ED">
      <w:pPr>
        <w:tabs>
          <w:tab w:val="left" w:pos="567"/>
        </w:tabs>
        <w:spacing w:after="0" w:line="240" w:lineRule="auto"/>
        <w:rPr>
          <w:rFonts w:ascii="Times New Roman" w:hAnsi="Times New Roman"/>
          <w:lang w:val="lt-LT"/>
        </w:rPr>
      </w:pPr>
    </w:p>
    <w:p w14:paraId="7D5E9C90" w14:textId="77777777" w:rsidR="001E5C66" w:rsidRPr="00273A3E" w:rsidRDefault="001E5C66" w:rsidP="009F71ED">
      <w:pPr>
        <w:tabs>
          <w:tab w:val="left" w:pos="567"/>
        </w:tabs>
        <w:spacing w:after="0" w:line="240" w:lineRule="auto"/>
        <w:rPr>
          <w:rFonts w:ascii="Times New Roman" w:hAnsi="Times New Roman"/>
          <w:lang w:val="lt-LT"/>
        </w:rPr>
      </w:pPr>
    </w:p>
    <w:p w14:paraId="31A92C36"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3.</w:t>
      </w:r>
      <w:r w:rsidRPr="00273A3E">
        <w:rPr>
          <w:rFonts w:ascii="Times New Roman" w:hAnsi="Times New Roman"/>
          <w:b/>
          <w:lang w:val="lt-LT"/>
        </w:rPr>
        <w:tab/>
        <w:t>PAGALBINIŲ MEDŽIAGŲ SĄRAŠAS</w:t>
      </w:r>
    </w:p>
    <w:p w14:paraId="4211DCAC" w14:textId="77777777" w:rsidR="001E5C66" w:rsidRPr="00273A3E" w:rsidRDefault="001E5C66" w:rsidP="009F71ED">
      <w:pPr>
        <w:tabs>
          <w:tab w:val="left" w:pos="567"/>
        </w:tabs>
        <w:spacing w:after="0" w:line="240" w:lineRule="auto"/>
        <w:rPr>
          <w:rFonts w:ascii="Times New Roman" w:hAnsi="Times New Roman"/>
          <w:lang w:val="lt-LT"/>
        </w:rPr>
      </w:pPr>
    </w:p>
    <w:p w14:paraId="424B9025" w14:textId="77777777" w:rsidR="001E5C66" w:rsidRPr="00273A3E" w:rsidRDefault="00227945" w:rsidP="009F71ED">
      <w:pPr>
        <w:tabs>
          <w:tab w:val="left" w:pos="567"/>
        </w:tabs>
        <w:spacing w:after="0" w:line="240" w:lineRule="auto"/>
        <w:rPr>
          <w:rFonts w:ascii="Times New Roman" w:hAnsi="Times New Roman"/>
          <w:iCs/>
          <w:lang w:val="lt-LT"/>
        </w:rPr>
      </w:pPr>
      <w:r w:rsidRPr="00273A3E">
        <w:rPr>
          <w:rFonts w:ascii="Times New Roman" w:hAnsi="Times New Roman"/>
          <w:lang w:val="lt-LT"/>
        </w:rPr>
        <w:t>E</w:t>
      </w:r>
      <w:r w:rsidR="001E5C66" w:rsidRPr="00273A3E">
        <w:rPr>
          <w:rFonts w:ascii="Times New Roman" w:hAnsi="Times New Roman"/>
          <w:lang w:val="lt-LT"/>
        </w:rPr>
        <w:t>tanoli</w:t>
      </w:r>
      <w:r w:rsidRPr="00273A3E">
        <w:rPr>
          <w:rFonts w:ascii="Times New Roman" w:hAnsi="Times New Roman"/>
          <w:lang w:val="lt-LT"/>
        </w:rPr>
        <w:t>s</w:t>
      </w:r>
      <w:r w:rsidR="00FB7A2A" w:rsidRPr="00273A3E">
        <w:rPr>
          <w:rFonts w:ascii="Times New Roman" w:hAnsi="Times New Roman"/>
          <w:lang w:val="lt-LT"/>
        </w:rPr>
        <w:t xml:space="preserve"> (96 %)</w:t>
      </w:r>
      <w:r w:rsidR="001E5C66" w:rsidRPr="00273A3E">
        <w:rPr>
          <w:rFonts w:ascii="Times New Roman" w:hAnsi="Times New Roman"/>
          <w:lang w:val="lt-LT"/>
        </w:rPr>
        <w:t xml:space="preserve">, </w:t>
      </w:r>
      <w:proofErr w:type="spellStart"/>
      <w:r w:rsidR="001E5C66" w:rsidRPr="00273A3E">
        <w:rPr>
          <w:rFonts w:ascii="Times New Roman" w:hAnsi="Times New Roman"/>
          <w:lang w:val="lt-LT"/>
        </w:rPr>
        <w:t>benzilo</w:t>
      </w:r>
      <w:proofErr w:type="spellEnd"/>
      <w:r w:rsidR="001E5C66" w:rsidRPr="00273A3E">
        <w:rPr>
          <w:rFonts w:ascii="Times New Roman" w:hAnsi="Times New Roman"/>
          <w:lang w:val="lt-LT"/>
        </w:rPr>
        <w:t xml:space="preserve"> alkoholi</w:t>
      </w:r>
      <w:r w:rsidRPr="00273A3E">
        <w:rPr>
          <w:rFonts w:ascii="Times New Roman" w:hAnsi="Times New Roman"/>
          <w:lang w:val="lt-LT"/>
        </w:rPr>
        <w:t>s</w:t>
      </w:r>
      <w:r w:rsidR="001E5C66" w:rsidRPr="00273A3E">
        <w:rPr>
          <w:rFonts w:ascii="Times New Roman" w:hAnsi="Times New Roman"/>
          <w:lang w:val="lt-LT"/>
        </w:rPr>
        <w:t xml:space="preserve">, </w:t>
      </w:r>
      <w:proofErr w:type="spellStart"/>
      <w:r w:rsidR="001E5C66" w:rsidRPr="00273A3E">
        <w:rPr>
          <w:rFonts w:ascii="Times New Roman" w:hAnsi="Times New Roman"/>
          <w:lang w:val="lt-LT"/>
        </w:rPr>
        <w:t>benzilbenzoat</w:t>
      </w:r>
      <w:r w:rsidRPr="00273A3E">
        <w:rPr>
          <w:rFonts w:ascii="Times New Roman" w:hAnsi="Times New Roman"/>
          <w:lang w:val="lt-LT"/>
        </w:rPr>
        <w:t>as</w:t>
      </w:r>
      <w:proofErr w:type="spellEnd"/>
      <w:r w:rsidR="00FB7A2A" w:rsidRPr="00273A3E">
        <w:rPr>
          <w:rFonts w:ascii="Times New Roman" w:hAnsi="Times New Roman"/>
          <w:lang w:val="lt-LT"/>
        </w:rPr>
        <w:t xml:space="preserve"> </w:t>
      </w:r>
      <w:r w:rsidR="001E5C66" w:rsidRPr="00273A3E">
        <w:rPr>
          <w:rFonts w:ascii="Times New Roman" w:hAnsi="Times New Roman"/>
          <w:lang w:val="lt-LT"/>
        </w:rPr>
        <w:t>ir rafinuot</w:t>
      </w:r>
      <w:r w:rsidRPr="00273A3E">
        <w:rPr>
          <w:rFonts w:ascii="Times New Roman" w:hAnsi="Times New Roman"/>
          <w:lang w:val="lt-LT"/>
        </w:rPr>
        <w:t>as</w:t>
      </w:r>
      <w:r w:rsidR="001E5C66" w:rsidRPr="00273A3E">
        <w:rPr>
          <w:rFonts w:ascii="Times New Roman" w:hAnsi="Times New Roman"/>
          <w:lang w:val="lt-LT"/>
        </w:rPr>
        <w:t xml:space="preserve"> ricinos aliej</w:t>
      </w:r>
      <w:r w:rsidR="00FB7A2A" w:rsidRPr="00273A3E">
        <w:rPr>
          <w:rFonts w:ascii="Times New Roman" w:hAnsi="Times New Roman"/>
          <w:lang w:val="lt-LT"/>
        </w:rPr>
        <w:t>u</w:t>
      </w:r>
      <w:r w:rsidR="001E5C66" w:rsidRPr="00273A3E">
        <w:rPr>
          <w:rFonts w:ascii="Times New Roman" w:hAnsi="Times New Roman"/>
          <w:lang w:val="lt-LT"/>
        </w:rPr>
        <w:t>s</w:t>
      </w:r>
      <w:r w:rsidR="001E5C66" w:rsidRPr="00273A3E">
        <w:rPr>
          <w:rFonts w:ascii="Times New Roman" w:hAnsi="Times New Roman"/>
          <w:i/>
          <w:lang w:val="lt-LT"/>
        </w:rPr>
        <w:t>.</w:t>
      </w:r>
      <w:r w:rsidR="00FB7A2A" w:rsidRPr="00273A3E">
        <w:rPr>
          <w:rFonts w:ascii="Times New Roman" w:hAnsi="Times New Roman"/>
          <w:i/>
          <w:lang w:val="lt-LT"/>
        </w:rPr>
        <w:t xml:space="preserve"> </w:t>
      </w:r>
      <w:r w:rsidR="00FB7A2A" w:rsidRPr="00273A3E">
        <w:rPr>
          <w:rFonts w:ascii="Times New Roman" w:hAnsi="Times New Roman"/>
          <w:iCs/>
          <w:highlight w:val="lightGray"/>
          <w:lang w:val="lt-LT"/>
        </w:rPr>
        <w:t xml:space="preserve">Daugiau informacijos </w:t>
      </w:r>
      <w:r w:rsidR="00BA11D2" w:rsidRPr="00273A3E">
        <w:rPr>
          <w:rFonts w:ascii="Times New Roman" w:hAnsi="Times New Roman"/>
          <w:iCs/>
          <w:highlight w:val="lightGray"/>
          <w:lang w:val="lt-LT"/>
        </w:rPr>
        <w:t xml:space="preserve">žr. </w:t>
      </w:r>
      <w:r w:rsidR="00FB7A2A" w:rsidRPr="00273A3E">
        <w:rPr>
          <w:rFonts w:ascii="Times New Roman" w:hAnsi="Times New Roman"/>
          <w:iCs/>
          <w:highlight w:val="lightGray"/>
          <w:lang w:val="lt-LT"/>
        </w:rPr>
        <w:t>pakuotės lapelyje.</w:t>
      </w:r>
    </w:p>
    <w:p w14:paraId="67E5B73A" w14:textId="77777777" w:rsidR="001E5C66" w:rsidRPr="00273A3E" w:rsidRDefault="001E5C66" w:rsidP="009F71ED">
      <w:pPr>
        <w:tabs>
          <w:tab w:val="left" w:pos="567"/>
        </w:tabs>
        <w:spacing w:after="0" w:line="240" w:lineRule="auto"/>
        <w:rPr>
          <w:rFonts w:ascii="Times New Roman" w:hAnsi="Times New Roman"/>
          <w:lang w:val="lt-LT"/>
        </w:rPr>
      </w:pPr>
    </w:p>
    <w:p w14:paraId="72B31976" w14:textId="77777777" w:rsidR="00635A1A" w:rsidRPr="00273A3E" w:rsidRDefault="00635A1A" w:rsidP="009F71ED">
      <w:pPr>
        <w:tabs>
          <w:tab w:val="left" w:pos="567"/>
        </w:tabs>
        <w:spacing w:after="0" w:line="240" w:lineRule="auto"/>
        <w:rPr>
          <w:rFonts w:ascii="Times New Roman" w:hAnsi="Times New Roman"/>
          <w:lang w:val="lt-LT"/>
        </w:rPr>
      </w:pPr>
    </w:p>
    <w:p w14:paraId="5BE4CB90"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4.</w:t>
      </w:r>
      <w:r w:rsidRPr="00273A3E">
        <w:rPr>
          <w:rFonts w:ascii="Times New Roman" w:hAnsi="Times New Roman"/>
          <w:b/>
          <w:lang w:val="lt-LT"/>
        </w:rPr>
        <w:tab/>
        <w:t>FARMACINĖ FORMA IR KIEKIS PAKUOTĖJE</w:t>
      </w:r>
    </w:p>
    <w:p w14:paraId="73622B5A" w14:textId="77777777" w:rsidR="001E5C66" w:rsidRPr="00273A3E" w:rsidRDefault="001E5C66" w:rsidP="009F71ED">
      <w:pPr>
        <w:tabs>
          <w:tab w:val="left" w:pos="567"/>
        </w:tabs>
        <w:spacing w:after="0" w:line="240" w:lineRule="auto"/>
        <w:rPr>
          <w:rFonts w:ascii="Times New Roman" w:hAnsi="Times New Roman"/>
          <w:lang w:val="lt-LT"/>
        </w:rPr>
      </w:pPr>
    </w:p>
    <w:p w14:paraId="182605F2"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highlight w:val="lightGray"/>
          <w:lang w:val="lt-LT"/>
        </w:rPr>
        <w:t>Injekcinis tirpalas</w:t>
      </w:r>
      <w:r w:rsidR="00363B73" w:rsidRPr="00273A3E">
        <w:rPr>
          <w:rFonts w:ascii="Times New Roman" w:hAnsi="Times New Roman"/>
          <w:highlight w:val="lightGray"/>
          <w:lang w:val="lt-LT"/>
        </w:rPr>
        <w:t xml:space="preserve"> užpildytame švirkšte</w:t>
      </w:r>
    </w:p>
    <w:p w14:paraId="05BEDE46" w14:textId="77777777" w:rsidR="001E5C66" w:rsidRPr="00273A3E" w:rsidRDefault="001E5C66" w:rsidP="009F71ED">
      <w:pPr>
        <w:tabs>
          <w:tab w:val="left" w:pos="567"/>
        </w:tabs>
        <w:spacing w:after="0" w:line="240" w:lineRule="auto"/>
        <w:rPr>
          <w:rFonts w:ascii="Times New Roman" w:hAnsi="Times New Roman"/>
          <w:lang w:val="lt-LT"/>
        </w:rPr>
      </w:pPr>
    </w:p>
    <w:p w14:paraId="0661D03E" w14:textId="77777777" w:rsidR="00FB7A2A"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1</w:t>
      </w:r>
      <w:r w:rsidR="00363B73" w:rsidRPr="00273A3E">
        <w:rPr>
          <w:rFonts w:ascii="Times New Roman" w:hAnsi="Times New Roman"/>
          <w:lang w:val="lt-LT"/>
        </w:rPr>
        <w:t> </w:t>
      </w:r>
      <w:r w:rsidRPr="00273A3E">
        <w:rPr>
          <w:rFonts w:ascii="Times New Roman" w:hAnsi="Times New Roman"/>
          <w:lang w:val="lt-LT"/>
        </w:rPr>
        <w:t>užpildytas švirkštas (5</w:t>
      </w:r>
      <w:r w:rsidR="00FF0074" w:rsidRPr="00273A3E">
        <w:rPr>
          <w:rFonts w:ascii="Times New Roman" w:hAnsi="Times New Roman"/>
          <w:lang w:val="lt-LT"/>
        </w:rPr>
        <w:t> ml</w:t>
      </w:r>
      <w:r w:rsidRPr="00273A3E">
        <w:rPr>
          <w:rFonts w:ascii="Times New Roman" w:hAnsi="Times New Roman"/>
          <w:lang w:val="lt-LT"/>
        </w:rPr>
        <w:t>)</w:t>
      </w:r>
    </w:p>
    <w:p w14:paraId="717E7F76"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1</w:t>
      </w:r>
      <w:r w:rsidR="00363B73" w:rsidRPr="00273A3E">
        <w:rPr>
          <w:rFonts w:ascii="Times New Roman" w:hAnsi="Times New Roman"/>
          <w:lang w:val="lt-LT"/>
        </w:rPr>
        <w:t> </w:t>
      </w:r>
      <w:r w:rsidRPr="00273A3E">
        <w:rPr>
          <w:rFonts w:ascii="Times New Roman" w:hAnsi="Times New Roman"/>
          <w:lang w:val="lt-LT"/>
        </w:rPr>
        <w:t>saugioji adata</w:t>
      </w:r>
    </w:p>
    <w:p w14:paraId="1CECC0C3" w14:textId="77777777" w:rsidR="00536CB8" w:rsidRPr="00273A3E" w:rsidRDefault="00536CB8" w:rsidP="009F71ED">
      <w:pPr>
        <w:tabs>
          <w:tab w:val="left" w:pos="567"/>
        </w:tabs>
        <w:spacing w:after="0" w:line="240" w:lineRule="auto"/>
        <w:rPr>
          <w:rFonts w:ascii="Times New Roman" w:hAnsi="Times New Roman"/>
          <w:lang w:val="lt-LT"/>
        </w:rPr>
      </w:pPr>
    </w:p>
    <w:p w14:paraId="41ABCC16" w14:textId="77777777" w:rsidR="00FB7A2A" w:rsidRPr="00273A3E" w:rsidRDefault="001E5C66" w:rsidP="009F71ED">
      <w:pPr>
        <w:tabs>
          <w:tab w:val="left" w:pos="567"/>
        </w:tabs>
        <w:spacing w:after="0" w:line="240" w:lineRule="auto"/>
        <w:rPr>
          <w:rFonts w:ascii="Times New Roman" w:hAnsi="Times New Roman"/>
          <w:highlight w:val="lightGray"/>
          <w:lang w:val="lt-LT"/>
        </w:rPr>
      </w:pPr>
      <w:bookmarkStart w:id="5" w:name="_Hlk138919739"/>
      <w:r w:rsidRPr="00273A3E">
        <w:rPr>
          <w:rFonts w:ascii="Times New Roman" w:hAnsi="Times New Roman"/>
          <w:highlight w:val="lightGray"/>
          <w:lang w:val="lt-LT"/>
        </w:rPr>
        <w:t>2</w:t>
      </w:r>
      <w:r w:rsidR="00363B73" w:rsidRPr="00273A3E">
        <w:rPr>
          <w:rFonts w:ascii="Times New Roman" w:hAnsi="Times New Roman"/>
          <w:highlight w:val="lightGray"/>
          <w:lang w:val="lt-LT"/>
        </w:rPr>
        <w:t> </w:t>
      </w:r>
      <w:r w:rsidRPr="00273A3E">
        <w:rPr>
          <w:rFonts w:ascii="Times New Roman" w:hAnsi="Times New Roman"/>
          <w:highlight w:val="lightGray"/>
          <w:lang w:val="lt-LT"/>
        </w:rPr>
        <w:t>užpildyti švirkštai (po 5</w:t>
      </w:r>
      <w:r w:rsidR="00FF0074" w:rsidRPr="00273A3E">
        <w:rPr>
          <w:rFonts w:ascii="Times New Roman" w:hAnsi="Times New Roman"/>
          <w:highlight w:val="lightGray"/>
          <w:lang w:val="lt-LT"/>
        </w:rPr>
        <w:t> ml</w:t>
      </w:r>
      <w:r w:rsidRPr="00273A3E">
        <w:rPr>
          <w:rFonts w:ascii="Times New Roman" w:hAnsi="Times New Roman"/>
          <w:highlight w:val="lightGray"/>
          <w:lang w:val="lt-LT"/>
        </w:rPr>
        <w:t>)</w:t>
      </w:r>
    </w:p>
    <w:p w14:paraId="76C13A43" w14:textId="77777777" w:rsidR="001E5C66" w:rsidRPr="00273A3E" w:rsidRDefault="001E5C66" w:rsidP="009F71ED">
      <w:pPr>
        <w:tabs>
          <w:tab w:val="left" w:pos="567"/>
        </w:tabs>
        <w:spacing w:after="0" w:line="240" w:lineRule="auto"/>
        <w:rPr>
          <w:rFonts w:ascii="Times New Roman" w:hAnsi="Times New Roman"/>
          <w:highlight w:val="lightGray"/>
          <w:lang w:val="lt-LT"/>
        </w:rPr>
      </w:pPr>
      <w:r w:rsidRPr="00273A3E">
        <w:rPr>
          <w:rFonts w:ascii="Times New Roman" w:hAnsi="Times New Roman"/>
          <w:highlight w:val="lightGray"/>
          <w:lang w:val="lt-LT"/>
        </w:rPr>
        <w:t>2</w:t>
      </w:r>
      <w:r w:rsidR="00363B73" w:rsidRPr="00273A3E">
        <w:rPr>
          <w:rFonts w:ascii="Times New Roman" w:hAnsi="Times New Roman"/>
          <w:highlight w:val="lightGray"/>
          <w:lang w:val="lt-LT"/>
        </w:rPr>
        <w:t> </w:t>
      </w:r>
      <w:r w:rsidRPr="00273A3E">
        <w:rPr>
          <w:rFonts w:ascii="Times New Roman" w:hAnsi="Times New Roman"/>
          <w:highlight w:val="lightGray"/>
          <w:lang w:val="lt-LT"/>
        </w:rPr>
        <w:t>saugiosios adatos</w:t>
      </w:r>
    </w:p>
    <w:p w14:paraId="6DE5071C" w14:textId="77777777" w:rsidR="00536CB8" w:rsidRPr="00273A3E" w:rsidRDefault="00536CB8" w:rsidP="009F71ED">
      <w:pPr>
        <w:tabs>
          <w:tab w:val="left" w:pos="567"/>
        </w:tabs>
        <w:spacing w:after="0" w:line="240" w:lineRule="auto"/>
        <w:rPr>
          <w:rFonts w:ascii="Times New Roman" w:hAnsi="Times New Roman"/>
          <w:highlight w:val="lightGray"/>
          <w:lang w:val="lt-LT"/>
        </w:rPr>
      </w:pPr>
    </w:p>
    <w:bookmarkEnd w:id="5"/>
    <w:p w14:paraId="064EB73C" w14:textId="77777777" w:rsidR="00FB7A2A" w:rsidRPr="00273A3E" w:rsidRDefault="00F17EF1" w:rsidP="009F71ED">
      <w:pPr>
        <w:tabs>
          <w:tab w:val="left" w:pos="567"/>
        </w:tabs>
        <w:spacing w:after="0" w:line="240" w:lineRule="auto"/>
        <w:rPr>
          <w:rFonts w:ascii="Times New Roman" w:hAnsi="Times New Roman"/>
          <w:highlight w:val="lightGray"/>
          <w:lang w:val="lt-LT"/>
        </w:rPr>
      </w:pPr>
      <w:r w:rsidRPr="00273A3E">
        <w:rPr>
          <w:rFonts w:ascii="Times New Roman" w:hAnsi="Times New Roman"/>
          <w:highlight w:val="lightGray"/>
          <w:lang w:val="lt-LT"/>
        </w:rPr>
        <w:t>4</w:t>
      </w:r>
      <w:r w:rsidR="00363B73" w:rsidRPr="00273A3E">
        <w:rPr>
          <w:rFonts w:ascii="Times New Roman" w:hAnsi="Times New Roman"/>
          <w:highlight w:val="lightGray"/>
          <w:lang w:val="lt-LT"/>
        </w:rPr>
        <w:t> </w:t>
      </w:r>
      <w:r w:rsidRPr="00273A3E">
        <w:rPr>
          <w:rFonts w:ascii="Times New Roman" w:hAnsi="Times New Roman"/>
          <w:highlight w:val="lightGray"/>
          <w:lang w:val="lt-LT"/>
        </w:rPr>
        <w:t>užpildyti švirkštai (po 5</w:t>
      </w:r>
      <w:r w:rsidR="00FF0074" w:rsidRPr="00273A3E">
        <w:rPr>
          <w:rFonts w:ascii="Times New Roman" w:hAnsi="Times New Roman"/>
          <w:highlight w:val="lightGray"/>
          <w:lang w:val="lt-LT"/>
        </w:rPr>
        <w:t> ml</w:t>
      </w:r>
      <w:r w:rsidRPr="00273A3E">
        <w:rPr>
          <w:rFonts w:ascii="Times New Roman" w:hAnsi="Times New Roman"/>
          <w:highlight w:val="lightGray"/>
          <w:lang w:val="lt-LT"/>
        </w:rPr>
        <w:t>)</w:t>
      </w:r>
    </w:p>
    <w:p w14:paraId="14D8283B" w14:textId="77777777" w:rsidR="00F17EF1" w:rsidRPr="00273A3E" w:rsidRDefault="00F17EF1" w:rsidP="009F71ED">
      <w:pPr>
        <w:tabs>
          <w:tab w:val="left" w:pos="567"/>
        </w:tabs>
        <w:spacing w:after="0" w:line="240" w:lineRule="auto"/>
        <w:rPr>
          <w:rFonts w:ascii="Times New Roman" w:hAnsi="Times New Roman"/>
          <w:highlight w:val="lightGray"/>
          <w:lang w:val="lt-LT"/>
        </w:rPr>
      </w:pPr>
      <w:r w:rsidRPr="00273A3E">
        <w:rPr>
          <w:rFonts w:ascii="Times New Roman" w:hAnsi="Times New Roman"/>
          <w:highlight w:val="lightGray"/>
          <w:lang w:val="lt-LT"/>
        </w:rPr>
        <w:t>4</w:t>
      </w:r>
      <w:r w:rsidR="00363B73" w:rsidRPr="00273A3E">
        <w:rPr>
          <w:rFonts w:ascii="Times New Roman" w:hAnsi="Times New Roman"/>
          <w:highlight w:val="lightGray"/>
          <w:lang w:val="lt-LT"/>
        </w:rPr>
        <w:t> </w:t>
      </w:r>
      <w:r w:rsidRPr="00273A3E">
        <w:rPr>
          <w:rFonts w:ascii="Times New Roman" w:hAnsi="Times New Roman"/>
          <w:highlight w:val="lightGray"/>
          <w:lang w:val="lt-LT"/>
        </w:rPr>
        <w:t>saugiosios adatos</w:t>
      </w:r>
    </w:p>
    <w:p w14:paraId="438C1216" w14:textId="77777777" w:rsidR="00536CB8" w:rsidRPr="00273A3E" w:rsidRDefault="00536CB8" w:rsidP="009F71ED">
      <w:pPr>
        <w:tabs>
          <w:tab w:val="left" w:pos="567"/>
        </w:tabs>
        <w:spacing w:after="0" w:line="240" w:lineRule="auto"/>
        <w:rPr>
          <w:rFonts w:ascii="Times New Roman" w:hAnsi="Times New Roman"/>
          <w:highlight w:val="lightGray"/>
          <w:lang w:val="lt-LT"/>
        </w:rPr>
      </w:pPr>
    </w:p>
    <w:p w14:paraId="6F9EA7BD" w14:textId="77777777" w:rsidR="00FB7A2A" w:rsidRPr="00273A3E" w:rsidRDefault="00081C49" w:rsidP="009F71ED">
      <w:pPr>
        <w:tabs>
          <w:tab w:val="left" w:pos="567"/>
        </w:tabs>
        <w:spacing w:after="0" w:line="240" w:lineRule="auto"/>
        <w:rPr>
          <w:rFonts w:ascii="Times New Roman" w:hAnsi="Times New Roman"/>
          <w:highlight w:val="lightGray"/>
          <w:lang w:val="lt-LT"/>
        </w:rPr>
      </w:pPr>
      <w:r w:rsidRPr="00273A3E">
        <w:rPr>
          <w:rFonts w:ascii="Times New Roman" w:hAnsi="Times New Roman"/>
          <w:highlight w:val="lightGray"/>
          <w:lang w:val="lt-LT"/>
        </w:rPr>
        <w:t>6</w:t>
      </w:r>
      <w:r w:rsidR="00363B73" w:rsidRPr="00273A3E">
        <w:rPr>
          <w:rFonts w:ascii="Times New Roman" w:hAnsi="Times New Roman"/>
          <w:highlight w:val="lightGray"/>
          <w:lang w:val="lt-LT"/>
        </w:rPr>
        <w:t> </w:t>
      </w:r>
      <w:r w:rsidRPr="00273A3E">
        <w:rPr>
          <w:rFonts w:ascii="Times New Roman" w:hAnsi="Times New Roman"/>
          <w:highlight w:val="lightGray"/>
          <w:lang w:val="lt-LT"/>
        </w:rPr>
        <w:t>užpildyti švirkštai (po 5</w:t>
      </w:r>
      <w:r w:rsidR="00FF0074" w:rsidRPr="00273A3E">
        <w:rPr>
          <w:rFonts w:ascii="Times New Roman" w:hAnsi="Times New Roman"/>
          <w:highlight w:val="lightGray"/>
          <w:lang w:val="lt-LT"/>
        </w:rPr>
        <w:t> ml</w:t>
      </w:r>
      <w:r w:rsidRPr="00273A3E">
        <w:rPr>
          <w:rFonts w:ascii="Times New Roman" w:hAnsi="Times New Roman"/>
          <w:highlight w:val="lightGray"/>
          <w:lang w:val="lt-LT"/>
        </w:rPr>
        <w:t>)</w:t>
      </w:r>
    </w:p>
    <w:p w14:paraId="3495DE05" w14:textId="77777777" w:rsidR="00081C49" w:rsidRPr="00273A3E" w:rsidRDefault="00081C49" w:rsidP="009F71ED">
      <w:pPr>
        <w:tabs>
          <w:tab w:val="left" w:pos="567"/>
        </w:tabs>
        <w:spacing w:after="0" w:line="240" w:lineRule="auto"/>
        <w:rPr>
          <w:rFonts w:ascii="Times New Roman" w:hAnsi="Times New Roman"/>
          <w:lang w:val="lt-LT"/>
        </w:rPr>
      </w:pPr>
      <w:r w:rsidRPr="00273A3E">
        <w:rPr>
          <w:rFonts w:ascii="Times New Roman" w:hAnsi="Times New Roman"/>
          <w:highlight w:val="lightGray"/>
          <w:lang w:val="lt-LT"/>
        </w:rPr>
        <w:t>6</w:t>
      </w:r>
      <w:r w:rsidR="00363B73" w:rsidRPr="00273A3E">
        <w:rPr>
          <w:rFonts w:ascii="Times New Roman" w:hAnsi="Times New Roman"/>
          <w:highlight w:val="lightGray"/>
          <w:lang w:val="lt-LT"/>
        </w:rPr>
        <w:t> </w:t>
      </w:r>
      <w:r w:rsidRPr="00273A3E">
        <w:rPr>
          <w:rFonts w:ascii="Times New Roman" w:hAnsi="Times New Roman"/>
          <w:highlight w:val="lightGray"/>
          <w:lang w:val="lt-LT"/>
        </w:rPr>
        <w:t>saugiosios adatos</w:t>
      </w:r>
    </w:p>
    <w:p w14:paraId="74733011" w14:textId="77777777" w:rsidR="001E5C66" w:rsidRPr="00273A3E" w:rsidRDefault="001E5C66" w:rsidP="009F71ED">
      <w:pPr>
        <w:tabs>
          <w:tab w:val="left" w:pos="567"/>
        </w:tabs>
        <w:spacing w:after="0" w:line="240" w:lineRule="auto"/>
        <w:rPr>
          <w:rFonts w:ascii="Times New Roman" w:hAnsi="Times New Roman"/>
          <w:b/>
          <w:lang w:val="lt-LT"/>
        </w:rPr>
      </w:pPr>
    </w:p>
    <w:p w14:paraId="0207FC9B" w14:textId="77777777" w:rsidR="001E5C66" w:rsidRPr="00273A3E" w:rsidRDefault="001E5C66" w:rsidP="009F71ED">
      <w:pPr>
        <w:tabs>
          <w:tab w:val="left" w:pos="567"/>
        </w:tabs>
        <w:spacing w:after="0" w:line="240" w:lineRule="auto"/>
        <w:rPr>
          <w:rFonts w:ascii="Times New Roman" w:hAnsi="Times New Roman"/>
          <w:lang w:val="lt-LT"/>
        </w:rPr>
      </w:pPr>
    </w:p>
    <w:p w14:paraId="077286AD"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5.</w:t>
      </w:r>
      <w:r w:rsidRPr="00273A3E">
        <w:rPr>
          <w:rFonts w:ascii="Times New Roman" w:hAnsi="Times New Roman"/>
          <w:b/>
          <w:lang w:val="lt-LT"/>
        </w:rPr>
        <w:tab/>
        <w:t>VARTOJIMO</w:t>
      </w:r>
      <w:r w:rsidR="00FB7A2A" w:rsidRPr="00273A3E">
        <w:rPr>
          <w:rFonts w:ascii="Times New Roman" w:hAnsi="Times New Roman"/>
          <w:b/>
          <w:lang w:val="lt-LT"/>
        </w:rPr>
        <w:t xml:space="preserve"> METO</w:t>
      </w:r>
      <w:r w:rsidRPr="00273A3E">
        <w:rPr>
          <w:rFonts w:ascii="Times New Roman" w:hAnsi="Times New Roman"/>
          <w:b/>
          <w:lang w:val="lt-LT"/>
        </w:rPr>
        <w:t>DAS IR BŪDAS (-AI)</w:t>
      </w:r>
    </w:p>
    <w:p w14:paraId="4FA54F73" w14:textId="77777777" w:rsidR="001E5C66" w:rsidRPr="00273A3E" w:rsidRDefault="001E5C66" w:rsidP="009F71ED">
      <w:pPr>
        <w:tabs>
          <w:tab w:val="left" w:pos="567"/>
        </w:tabs>
        <w:spacing w:after="0" w:line="240" w:lineRule="auto"/>
        <w:rPr>
          <w:rFonts w:ascii="Times New Roman" w:hAnsi="Times New Roman"/>
          <w:lang w:val="lt-LT"/>
        </w:rPr>
      </w:pPr>
    </w:p>
    <w:p w14:paraId="13E5CCE2"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Prieš vartojimą perskaitykite pakuotės lapelį.</w:t>
      </w:r>
    </w:p>
    <w:p w14:paraId="71F1A3AF" w14:textId="77777777" w:rsidR="00363B73" w:rsidRPr="00273A3E" w:rsidRDefault="00363B73" w:rsidP="009F71ED">
      <w:pPr>
        <w:tabs>
          <w:tab w:val="left" w:pos="567"/>
        </w:tabs>
        <w:spacing w:after="0" w:line="240" w:lineRule="auto"/>
        <w:rPr>
          <w:rFonts w:ascii="Times New Roman" w:hAnsi="Times New Roman"/>
          <w:lang w:val="lt-LT"/>
        </w:rPr>
      </w:pPr>
      <w:r w:rsidRPr="00273A3E">
        <w:rPr>
          <w:rFonts w:ascii="Times New Roman" w:hAnsi="Times New Roman"/>
          <w:lang w:val="lt-LT"/>
        </w:rPr>
        <w:t>Leisti į raumenis.</w:t>
      </w:r>
    </w:p>
    <w:p w14:paraId="5E216982"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Tik vienkartiniam vartojimui.</w:t>
      </w:r>
    </w:p>
    <w:p w14:paraId="42D980A9" w14:textId="77777777" w:rsidR="00FB7A2A" w:rsidRPr="00273A3E" w:rsidRDefault="00FB7A2A" w:rsidP="009F71ED">
      <w:pPr>
        <w:tabs>
          <w:tab w:val="left" w:pos="567"/>
        </w:tabs>
        <w:spacing w:after="0" w:line="240" w:lineRule="auto"/>
        <w:rPr>
          <w:rFonts w:ascii="Times New Roman" w:hAnsi="Times New Roman"/>
          <w:lang w:val="lt-LT"/>
        </w:rPr>
      </w:pPr>
      <w:bookmarkStart w:id="6" w:name="_Hlk173392738"/>
      <w:r w:rsidRPr="00273A3E">
        <w:rPr>
          <w:rFonts w:ascii="Times New Roman" w:hAnsi="Times New Roman"/>
          <w:lang w:val="lt-LT"/>
        </w:rPr>
        <w:t>Išsami</w:t>
      </w:r>
      <w:r w:rsidR="008E7F59" w:rsidRPr="00273A3E">
        <w:rPr>
          <w:rFonts w:ascii="Times New Roman" w:hAnsi="Times New Roman"/>
          <w:lang w:val="lt-LT"/>
        </w:rPr>
        <w:t>o</w:t>
      </w:r>
      <w:r w:rsidRPr="00273A3E">
        <w:rPr>
          <w:rFonts w:ascii="Times New Roman" w:hAnsi="Times New Roman"/>
          <w:lang w:val="lt-LT"/>
        </w:rPr>
        <w:t xml:space="preserve">s </w:t>
      </w:r>
      <w:proofErr w:type="spellStart"/>
      <w:r w:rsidR="00C86E9E" w:rsidRPr="00273A3E">
        <w:rPr>
          <w:rFonts w:ascii="Times New Roman" w:hAnsi="Times New Roman"/>
          <w:lang w:val="lt-LT"/>
        </w:rPr>
        <w:t>Fulvestrant</w:t>
      </w:r>
      <w:proofErr w:type="spellEnd"/>
      <w:r w:rsidR="00C86E9E" w:rsidRPr="00273A3E">
        <w:rPr>
          <w:rFonts w:ascii="Times New Roman" w:hAnsi="Times New Roman"/>
          <w:lang w:val="lt-LT"/>
        </w:rPr>
        <w:t xml:space="preserve"> </w:t>
      </w:r>
      <w:proofErr w:type="spellStart"/>
      <w:r w:rsidR="00C86E9E" w:rsidRPr="00273A3E">
        <w:rPr>
          <w:rFonts w:ascii="Times New Roman" w:hAnsi="Times New Roman"/>
          <w:lang w:val="lt-LT"/>
        </w:rPr>
        <w:t>Orion</w:t>
      </w:r>
      <w:proofErr w:type="spellEnd"/>
      <w:r w:rsidR="00C86E9E" w:rsidRPr="00273A3E">
        <w:rPr>
          <w:rFonts w:ascii="Times New Roman" w:hAnsi="Times New Roman"/>
          <w:lang w:val="lt-LT"/>
        </w:rPr>
        <w:t xml:space="preserve"> </w:t>
      </w:r>
      <w:r w:rsidRPr="00273A3E">
        <w:rPr>
          <w:rFonts w:ascii="Times New Roman" w:hAnsi="Times New Roman"/>
          <w:lang w:val="lt-LT"/>
        </w:rPr>
        <w:t xml:space="preserve">vartojimo ir saugiosios adatos naudojimo instrukcijos pateiktos </w:t>
      </w:r>
      <w:r w:rsidR="0046242B" w:rsidRPr="00273A3E">
        <w:rPr>
          <w:rFonts w:ascii="Times New Roman" w:hAnsi="Times New Roman"/>
          <w:lang w:val="lt-LT"/>
        </w:rPr>
        <w:t xml:space="preserve">pakuotės lapelyje esančiose </w:t>
      </w:r>
      <w:r w:rsidRPr="00273A3E">
        <w:rPr>
          <w:rFonts w:ascii="Times New Roman" w:hAnsi="Times New Roman"/>
          <w:lang w:val="lt-LT"/>
        </w:rPr>
        <w:t>vartojimo instrukcijose.</w:t>
      </w:r>
    </w:p>
    <w:p w14:paraId="2D29A478" w14:textId="77777777" w:rsidR="001E5C66" w:rsidRPr="00273A3E" w:rsidRDefault="008E7F59" w:rsidP="009F71ED">
      <w:pPr>
        <w:tabs>
          <w:tab w:val="left" w:pos="567"/>
        </w:tabs>
        <w:spacing w:after="0" w:line="240" w:lineRule="auto"/>
        <w:rPr>
          <w:rFonts w:ascii="Times New Roman" w:hAnsi="Times New Roman"/>
          <w:lang w:val="lt-LT"/>
        </w:rPr>
      </w:pPr>
      <w:r w:rsidRPr="00273A3E">
        <w:rPr>
          <w:rFonts w:ascii="Times New Roman" w:hAnsi="Times New Roman"/>
          <w:lang w:val="lt-LT"/>
        </w:rPr>
        <w:t>R</w:t>
      </w:r>
      <w:r w:rsidR="00FB7A2A" w:rsidRPr="00273A3E">
        <w:rPr>
          <w:rFonts w:ascii="Times New Roman" w:hAnsi="Times New Roman"/>
          <w:lang w:val="lt-LT"/>
        </w:rPr>
        <w:t>ekomenduojam</w:t>
      </w:r>
      <w:r w:rsidRPr="00273A3E">
        <w:rPr>
          <w:rFonts w:ascii="Times New Roman" w:hAnsi="Times New Roman"/>
          <w:lang w:val="lt-LT"/>
        </w:rPr>
        <w:t>ai</w:t>
      </w:r>
      <w:r w:rsidR="00FB7A2A" w:rsidRPr="00273A3E">
        <w:rPr>
          <w:rFonts w:ascii="Times New Roman" w:hAnsi="Times New Roman"/>
          <w:lang w:val="lt-LT"/>
        </w:rPr>
        <w:t xml:space="preserve"> mėnesio doz</w:t>
      </w:r>
      <w:r w:rsidRPr="00273A3E">
        <w:rPr>
          <w:rFonts w:ascii="Times New Roman" w:hAnsi="Times New Roman"/>
          <w:lang w:val="lt-LT"/>
        </w:rPr>
        <w:t xml:space="preserve">ei </w:t>
      </w:r>
      <w:r w:rsidR="0077205F" w:rsidRPr="00273A3E">
        <w:rPr>
          <w:rFonts w:ascii="Times New Roman" w:hAnsi="Times New Roman"/>
          <w:lang w:val="lt-LT"/>
        </w:rPr>
        <w:t xml:space="preserve">(500 mg) </w:t>
      </w:r>
      <w:r w:rsidRPr="00273A3E">
        <w:rPr>
          <w:rFonts w:ascii="Times New Roman" w:hAnsi="Times New Roman"/>
          <w:lang w:val="lt-LT"/>
        </w:rPr>
        <w:t xml:space="preserve">gauti </w:t>
      </w:r>
      <w:r w:rsidR="00FB7A2A" w:rsidRPr="00273A3E">
        <w:rPr>
          <w:rFonts w:ascii="Times New Roman" w:hAnsi="Times New Roman"/>
          <w:lang w:val="lt-LT"/>
        </w:rPr>
        <w:t>reikia su</w:t>
      </w:r>
      <w:r w:rsidRPr="00273A3E">
        <w:rPr>
          <w:rFonts w:ascii="Times New Roman" w:hAnsi="Times New Roman"/>
          <w:lang w:val="lt-LT"/>
        </w:rPr>
        <w:t>leis</w:t>
      </w:r>
      <w:r w:rsidR="00FB7A2A" w:rsidRPr="00273A3E">
        <w:rPr>
          <w:rFonts w:ascii="Times New Roman" w:hAnsi="Times New Roman"/>
          <w:lang w:val="lt-LT"/>
        </w:rPr>
        <w:t>ti d</w:t>
      </w:r>
      <w:r w:rsidR="0077205F" w:rsidRPr="00273A3E">
        <w:rPr>
          <w:rFonts w:ascii="Times New Roman" w:hAnsi="Times New Roman"/>
          <w:lang w:val="lt-LT"/>
        </w:rPr>
        <w:t>viejų</w:t>
      </w:r>
      <w:r w:rsidR="00FB7A2A" w:rsidRPr="00273A3E">
        <w:rPr>
          <w:rFonts w:ascii="Times New Roman" w:hAnsi="Times New Roman"/>
          <w:lang w:val="lt-LT"/>
        </w:rPr>
        <w:t xml:space="preserve"> švirkšt</w:t>
      </w:r>
      <w:r w:rsidR="0077205F" w:rsidRPr="00273A3E">
        <w:rPr>
          <w:rFonts w:ascii="Times New Roman" w:hAnsi="Times New Roman"/>
          <w:lang w:val="lt-LT"/>
        </w:rPr>
        <w:t>ų turinį</w:t>
      </w:r>
      <w:r w:rsidR="00FB7A2A" w:rsidRPr="00273A3E">
        <w:rPr>
          <w:rFonts w:ascii="Times New Roman" w:hAnsi="Times New Roman"/>
          <w:lang w:val="lt-LT"/>
        </w:rPr>
        <w:t>.</w:t>
      </w:r>
    </w:p>
    <w:bookmarkEnd w:id="6"/>
    <w:p w14:paraId="3197579A" w14:textId="77777777" w:rsidR="001E5C66" w:rsidRPr="00273A3E" w:rsidRDefault="001E5C66" w:rsidP="009F71ED">
      <w:pPr>
        <w:tabs>
          <w:tab w:val="left" w:pos="567"/>
        </w:tabs>
        <w:spacing w:after="0" w:line="240" w:lineRule="auto"/>
        <w:rPr>
          <w:rFonts w:ascii="Times New Roman" w:hAnsi="Times New Roman"/>
          <w:lang w:val="lt-LT"/>
        </w:rPr>
      </w:pPr>
    </w:p>
    <w:p w14:paraId="160877C7" w14:textId="77777777" w:rsidR="00FB7A2A" w:rsidRPr="00273A3E" w:rsidRDefault="00FB7A2A" w:rsidP="009F71ED">
      <w:pPr>
        <w:tabs>
          <w:tab w:val="left" w:pos="567"/>
        </w:tabs>
        <w:spacing w:after="0" w:line="240" w:lineRule="auto"/>
        <w:rPr>
          <w:rFonts w:ascii="Times New Roman" w:hAnsi="Times New Roman"/>
          <w:lang w:val="lt-LT"/>
        </w:rPr>
      </w:pPr>
    </w:p>
    <w:p w14:paraId="5DE7D60C" w14:textId="77777777" w:rsidR="001E5C66" w:rsidRPr="00273A3E" w:rsidRDefault="001E5C66" w:rsidP="009F71E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lastRenderedPageBreak/>
        <w:t>6.</w:t>
      </w:r>
      <w:r w:rsidRPr="00273A3E">
        <w:rPr>
          <w:rFonts w:ascii="Times New Roman" w:hAnsi="Times New Roman"/>
          <w:b/>
          <w:lang w:val="lt-LT"/>
        </w:rPr>
        <w:tab/>
        <w:t>SPECIALUS ĮSPĖJIMAS, KAD VAISTINĮ PREPARATĄ BŪTINA LAIKYTI VAIKAMS NEPASTEBIMOJE IR NEPASIEKIAMOJE VIETOJE</w:t>
      </w:r>
    </w:p>
    <w:p w14:paraId="220B7283" w14:textId="77777777" w:rsidR="001E5C66" w:rsidRPr="00273A3E" w:rsidRDefault="001E5C66" w:rsidP="009F71ED">
      <w:pPr>
        <w:tabs>
          <w:tab w:val="left" w:pos="567"/>
        </w:tabs>
        <w:spacing w:after="0" w:line="240" w:lineRule="auto"/>
        <w:rPr>
          <w:rFonts w:ascii="Times New Roman" w:hAnsi="Times New Roman"/>
          <w:lang w:val="lt-LT"/>
        </w:rPr>
      </w:pPr>
    </w:p>
    <w:p w14:paraId="2C34D180"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Laikyti vaikams nepastebimoje ir nepasiekiamoje vietoje.</w:t>
      </w:r>
    </w:p>
    <w:p w14:paraId="0155E10A" w14:textId="77777777" w:rsidR="00703013" w:rsidRPr="00273A3E" w:rsidRDefault="00703013" w:rsidP="009F71ED">
      <w:pPr>
        <w:tabs>
          <w:tab w:val="left" w:pos="567"/>
        </w:tabs>
        <w:spacing w:after="0" w:line="240" w:lineRule="auto"/>
        <w:rPr>
          <w:rFonts w:ascii="Times New Roman" w:hAnsi="Times New Roman"/>
          <w:lang w:val="lt-LT"/>
        </w:rPr>
      </w:pPr>
    </w:p>
    <w:p w14:paraId="56A6DF53" w14:textId="77777777" w:rsidR="001E5C66" w:rsidRPr="00273A3E" w:rsidRDefault="001E5C66" w:rsidP="009F71ED">
      <w:pPr>
        <w:tabs>
          <w:tab w:val="left" w:pos="567"/>
        </w:tabs>
        <w:spacing w:after="0" w:line="240" w:lineRule="auto"/>
        <w:rPr>
          <w:rFonts w:ascii="Times New Roman" w:hAnsi="Times New Roman"/>
          <w:lang w:val="lt-LT"/>
        </w:rPr>
      </w:pPr>
    </w:p>
    <w:p w14:paraId="5AD250D0"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7.</w:t>
      </w:r>
      <w:r w:rsidRPr="00273A3E">
        <w:rPr>
          <w:rFonts w:ascii="Times New Roman" w:hAnsi="Times New Roman"/>
          <w:b/>
          <w:lang w:val="lt-LT"/>
        </w:rPr>
        <w:tab/>
        <w:t>KITAS (-I) SPECIALUS (-ŪS) ĮSPĖJIMAS (-AI) (JEI REIKIA)</w:t>
      </w:r>
    </w:p>
    <w:p w14:paraId="517322D0" w14:textId="77777777" w:rsidR="001E5C66" w:rsidRPr="00273A3E" w:rsidRDefault="001E5C66" w:rsidP="009F71ED">
      <w:pPr>
        <w:tabs>
          <w:tab w:val="left" w:pos="567"/>
        </w:tabs>
        <w:spacing w:after="0" w:line="240" w:lineRule="auto"/>
        <w:rPr>
          <w:rFonts w:ascii="Times New Roman" w:hAnsi="Times New Roman"/>
          <w:lang w:val="lt-LT"/>
        </w:rPr>
      </w:pPr>
    </w:p>
    <w:p w14:paraId="490B6AF1" w14:textId="77777777" w:rsidR="006053AF" w:rsidRPr="00273A3E" w:rsidRDefault="006053AF" w:rsidP="009F71ED">
      <w:pPr>
        <w:tabs>
          <w:tab w:val="left" w:pos="567"/>
        </w:tabs>
        <w:spacing w:after="0" w:line="240" w:lineRule="auto"/>
        <w:rPr>
          <w:rFonts w:ascii="Times New Roman" w:hAnsi="Times New Roman"/>
          <w:lang w:val="lt-LT"/>
        </w:rPr>
      </w:pPr>
    </w:p>
    <w:p w14:paraId="5612702C"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8.</w:t>
      </w:r>
      <w:r w:rsidRPr="00273A3E">
        <w:rPr>
          <w:rFonts w:ascii="Times New Roman" w:hAnsi="Times New Roman"/>
          <w:b/>
          <w:lang w:val="lt-LT"/>
        </w:rPr>
        <w:tab/>
        <w:t>TINKAMUMO LAIKAS</w:t>
      </w:r>
    </w:p>
    <w:p w14:paraId="1C6632E9" w14:textId="77777777" w:rsidR="001E5C66" w:rsidRPr="00273A3E" w:rsidRDefault="001E5C66" w:rsidP="009F71ED">
      <w:pPr>
        <w:tabs>
          <w:tab w:val="left" w:pos="567"/>
        </w:tabs>
        <w:spacing w:after="0" w:line="240" w:lineRule="auto"/>
        <w:rPr>
          <w:rFonts w:ascii="Times New Roman" w:hAnsi="Times New Roman"/>
          <w:lang w:val="lt-LT"/>
        </w:rPr>
      </w:pPr>
    </w:p>
    <w:p w14:paraId="17BBCFD7" w14:textId="77777777" w:rsidR="001E5C66" w:rsidRPr="00273A3E" w:rsidRDefault="00363B73" w:rsidP="009F71ED">
      <w:pPr>
        <w:tabs>
          <w:tab w:val="left" w:pos="567"/>
        </w:tabs>
        <w:spacing w:after="0" w:line="240" w:lineRule="auto"/>
        <w:rPr>
          <w:rFonts w:ascii="Times New Roman" w:hAnsi="Times New Roman"/>
          <w:lang w:val="lt-LT"/>
        </w:rPr>
      </w:pPr>
      <w:r w:rsidRPr="00273A3E">
        <w:rPr>
          <w:rFonts w:ascii="Times New Roman" w:hAnsi="Times New Roman"/>
          <w:lang w:val="lt-LT"/>
        </w:rPr>
        <w:t>Tinka iki</w:t>
      </w:r>
      <w:r w:rsidR="003E0557" w:rsidRPr="00273A3E">
        <w:rPr>
          <w:rFonts w:ascii="Times New Roman" w:hAnsi="Times New Roman"/>
          <w:lang w:val="lt-LT"/>
        </w:rPr>
        <w:t xml:space="preserve"> </w:t>
      </w:r>
      <w:r w:rsidR="00432799" w:rsidRPr="00273A3E">
        <w:rPr>
          <w:rFonts w:ascii="Times New Roman" w:hAnsi="Times New Roman"/>
          <w:highlight w:val="lightGray"/>
          <w:lang w:val="lt-LT"/>
        </w:rPr>
        <w:t>{mm/MMMM}</w:t>
      </w:r>
    </w:p>
    <w:p w14:paraId="1B21319E" w14:textId="77777777" w:rsidR="0077205F" w:rsidRPr="00273A3E" w:rsidRDefault="0077205F" w:rsidP="009F71ED">
      <w:pPr>
        <w:tabs>
          <w:tab w:val="left" w:pos="567"/>
        </w:tabs>
        <w:spacing w:after="0" w:line="240" w:lineRule="auto"/>
        <w:rPr>
          <w:rFonts w:ascii="Times New Roman" w:hAnsi="Times New Roman"/>
          <w:lang w:val="lt-LT"/>
        </w:rPr>
      </w:pPr>
    </w:p>
    <w:p w14:paraId="63792AF3" w14:textId="77777777" w:rsidR="001E5C66" w:rsidRPr="00273A3E" w:rsidRDefault="001E5C66" w:rsidP="009F71ED">
      <w:pPr>
        <w:tabs>
          <w:tab w:val="left" w:pos="567"/>
        </w:tabs>
        <w:spacing w:after="0" w:line="240" w:lineRule="auto"/>
        <w:rPr>
          <w:rFonts w:ascii="Times New Roman" w:hAnsi="Times New Roman"/>
          <w:lang w:val="lt-LT"/>
        </w:rPr>
      </w:pPr>
    </w:p>
    <w:p w14:paraId="3A71A117" w14:textId="77777777" w:rsidR="001E5C66" w:rsidRPr="00273A3E" w:rsidRDefault="001E5C66" w:rsidP="009F71ED">
      <w:pPr>
        <w:tabs>
          <w:tab w:val="left" w:pos="567"/>
        </w:tabs>
        <w:spacing w:after="0" w:line="240" w:lineRule="auto"/>
        <w:rPr>
          <w:rFonts w:ascii="Times New Roman" w:hAnsi="Times New Roman"/>
          <w:lang w:val="lt-LT"/>
        </w:rPr>
      </w:pPr>
    </w:p>
    <w:p w14:paraId="343DD004"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9.</w:t>
      </w:r>
      <w:r w:rsidRPr="00273A3E">
        <w:rPr>
          <w:rFonts w:ascii="Times New Roman" w:hAnsi="Times New Roman"/>
          <w:b/>
          <w:lang w:val="lt-LT"/>
        </w:rPr>
        <w:tab/>
        <w:t>SPECIALIOS LAIKYMO SĄLYGOS</w:t>
      </w:r>
    </w:p>
    <w:p w14:paraId="4261E911" w14:textId="77777777" w:rsidR="0077205F" w:rsidRPr="00273A3E" w:rsidRDefault="0077205F" w:rsidP="009F71ED">
      <w:pPr>
        <w:tabs>
          <w:tab w:val="left" w:pos="567"/>
        </w:tabs>
        <w:spacing w:after="0" w:line="240" w:lineRule="auto"/>
        <w:rPr>
          <w:rFonts w:ascii="Times New Roman" w:hAnsi="Times New Roman"/>
          <w:lang w:val="lt-LT"/>
        </w:rPr>
      </w:pPr>
    </w:p>
    <w:p w14:paraId="4137132F" w14:textId="77777777" w:rsidR="0077205F" w:rsidRPr="00273A3E" w:rsidRDefault="0077205F" w:rsidP="009F71ED">
      <w:pPr>
        <w:tabs>
          <w:tab w:val="left" w:pos="567"/>
        </w:tabs>
        <w:spacing w:after="0" w:line="240" w:lineRule="auto"/>
        <w:rPr>
          <w:rFonts w:ascii="Times New Roman" w:hAnsi="Times New Roman"/>
          <w:lang w:val="lt-LT"/>
        </w:rPr>
      </w:pPr>
      <w:r w:rsidRPr="00273A3E">
        <w:rPr>
          <w:rFonts w:ascii="Times New Roman" w:hAnsi="Times New Roman"/>
          <w:lang w:val="lt-LT"/>
        </w:rPr>
        <w:t>Laikyti ir transportuoti šaldytuve</w:t>
      </w:r>
      <w:r w:rsidR="00363B73" w:rsidRPr="00273A3E">
        <w:rPr>
          <w:rFonts w:ascii="Times New Roman" w:hAnsi="Times New Roman"/>
          <w:lang w:val="lt-LT"/>
        </w:rPr>
        <w:t>.</w:t>
      </w:r>
    </w:p>
    <w:p w14:paraId="78E7BC06"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Užpildytą švirkštą laikyti gamintojo pakuotėje, kad vaistas būtų apsaugotas nuo šviesos.</w:t>
      </w:r>
      <w:r w:rsidR="00077992" w:rsidRPr="00273A3E">
        <w:rPr>
          <w:rFonts w:ascii="Times New Roman" w:hAnsi="Times New Roman"/>
          <w:lang w:val="lt-LT"/>
        </w:rPr>
        <w:t xml:space="preserve"> </w:t>
      </w:r>
      <w:bookmarkStart w:id="7" w:name="_Hlk173392821"/>
    </w:p>
    <w:bookmarkEnd w:id="7"/>
    <w:p w14:paraId="6D253D18" w14:textId="77777777" w:rsidR="001E5C66" w:rsidRPr="00273A3E" w:rsidRDefault="001E5C66" w:rsidP="009F71ED">
      <w:pPr>
        <w:tabs>
          <w:tab w:val="left" w:pos="567"/>
        </w:tabs>
        <w:spacing w:after="0" w:line="240" w:lineRule="auto"/>
        <w:rPr>
          <w:rFonts w:ascii="Times New Roman" w:hAnsi="Times New Roman"/>
          <w:lang w:val="lt-LT"/>
        </w:rPr>
      </w:pPr>
    </w:p>
    <w:p w14:paraId="48A5B8EE" w14:textId="77777777" w:rsidR="001E5C66" w:rsidRPr="00273A3E" w:rsidRDefault="001E5C66" w:rsidP="009F71ED">
      <w:pPr>
        <w:tabs>
          <w:tab w:val="left" w:pos="567"/>
        </w:tabs>
        <w:spacing w:after="0" w:line="240" w:lineRule="auto"/>
        <w:rPr>
          <w:rFonts w:ascii="Times New Roman" w:hAnsi="Times New Roman"/>
          <w:lang w:val="lt-LT"/>
        </w:rPr>
      </w:pPr>
    </w:p>
    <w:p w14:paraId="18B45C01" w14:textId="77777777" w:rsidR="001E5C66" w:rsidRPr="00273A3E" w:rsidRDefault="001E5C66" w:rsidP="009F71E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10.</w:t>
      </w:r>
      <w:r w:rsidRPr="00273A3E">
        <w:rPr>
          <w:rFonts w:ascii="Times New Roman" w:hAnsi="Times New Roman"/>
          <w:b/>
          <w:lang w:val="lt-LT"/>
        </w:rPr>
        <w:tab/>
        <w:t>SPECIALIOS ATSARGUMO PRIEMONĖS DĖL NESUVARTOTO VAISTINIO PREPARATO AR JO ATLIEKŲ TVARKYMO (JEI REIKIA)</w:t>
      </w:r>
    </w:p>
    <w:p w14:paraId="5A3A4829" w14:textId="77777777" w:rsidR="001E5C66" w:rsidRPr="00273A3E" w:rsidRDefault="001E5C66" w:rsidP="009F71ED">
      <w:pPr>
        <w:tabs>
          <w:tab w:val="left" w:pos="567"/>
        </w:tabs>
        <w:spacing w:after="0" w:line="240" w:lineRule="auto"/>
        <w:rPr>
          <w:rFonts w:ascii="Times New Roman" w:hAnsi="Times New Roman"/>
          <w:lang w:val="lt-LT"/>
        </w:rPr>
      </w:pPr>
    </w:p>
    <w:p w14:paraId="08EF36C6" w14:textId="77777777" w:rsidR="006053AF" w:rsidRPr="00273A3E" w:rsidRDefault="006053AF" w:rsidP="009F71ED">
      <w:pPr>
        <w:tabs>
          <w:tab w:val="left" w:pos="567"/>
        </w:tabs>
        <w:spacing w:after="0" w:line="240" w:lineRule="auto"/>
        <w:rPr>
          <w:rFonts w:ascii="Times New Roman" w:hAnsi="Times New Roman"/>
          <w:lang w:val="lt-LT"/>
        </w:rPr>
      </w:pPr>
    </w:p>
    <w:p w14:paraId="5C14F04B"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11.</w:t>
      </w:r>
      <w:r w:rsidRPr="00273A3E">
        <w:rPr>
          <w:rFonts w:ascii="Times New Roman" w:hAnsi="Times New Roman"/>
          <w:b/>
          <w:lang w:val="lt-LT"/>
        </w:rPr>
        <w:tab/>
      </w:r>
      <w:r w:rsidRPr="00273A3E">
        <w:rPr>
          <w:rFonts w:ascii="Times New Roman" w:hAnsi="Times New Roman"/>
          <w:b/>
          <w:caps/>
          <w:lang w:val="lt-LT"/>
        </w:rPr>
        <w:t>rEGISTRUOTOJO</w:t>
      </w:r>
      <w:r w:rsidRPr="00273A3E">
        <w:rPr>
          <w:rFonts w:ascii="Times New Roman" w:hAnsi="Times New Roman"/>
          <w:b/>
          <w:lang w:val="lt-LT"/>
        </w:rPr>
        <w:t xml:space="preserve"> PAVADINIMAS IR ADRESAS</w:t>
      </w:r>
    </w:p>
    <w:p w14:paraId="2A534716" w14:textId="77777777" w:rsidR="001E5C66" w:rsidRPr="00273A3E" w:rsidRDefault="001E5C66" w:rsidP="009F71ED">
      <w:pPr>
        <w:tabs>
          <w:tab w:val="left" w:pos="567"/>
        </w:tabs>
        <w:spacing w:after="0" w:line="240" w:lineRule="auto"/>
        <w:rPr>
          <w:rFonts w:ascii="Times New Roman" w:hAnsi="Times New Roman"/>
          <w:lang w:val="lt-LT"/>
        </w:rPr>
      </w:pPr>
    </w:p>
    <w:p w14:paraId="57DAE8AA" w14:textId="77777777" w:rsidR="00363B73" w:rsidRPr="00273A3E" w:rsidRDefault="00363B73" w:rsidP="00363B73">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 Corporation</w:t>
      </w:r>
    </w:p>
    <w:p w14:paraId="041C9B27" w14:textId="77777777" w:rsidR="00363B73" w:rsidRPr="00273A3E" w:rsidRDefault="00363B73" w:rsidP="00363B73">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Orionintie 1</w:t>
      </w:r>
    </w:p>
    <w:p w14:paraId="5878CF07" w14:textId="77777777" w:rsidR="00363B73" w:rsidRPr="00273A3E" w:rsidRDefault="00363B73" w:rsidP="00363B73">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FI-02200 Espoo</w:t>
      </w:r>
    </w:p>
    <w:p w14:paraId="2DAB31A9" w14:textId="77777777" w:rsidR="00363B73" w:rsidRPr="00273A3E" w:rsidRDefault="00363B73" w:rsidP="00363B73">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Suomija</w:t>
      </w:r>
    </w:p>
    <w:p w14:paraId="1B9CEC60" w14:textId="77777777" w:rsidR="00751015" w:rsidRPr="00273A3E" w:rsidRDefault="00751015" w:rsidP="009F71ED">
      <w:pPr>
        <w:tabs>
          <w:tab w:val="left" w:pos="567"/>
        </w:tabs>
        <w:spacing w:after="0" w:line="240" w:lineRule="auto"/>
        <w:rPr>
          <w:rFonts w:ascii="Times New Roman" w:hAnsi="Times New Roman"/>
          <w:color w:val="000000"/>
          <w:lang w:val="lt-LT"/>
        </w:rPr>
      </w:pPr>
    </w:p>
    <w:p w14:paraId="6E24D964" w14:textId="77777777" w:rsidR="001E5C66" w:rsidRPr="00273A3E" w:rsidRDefault="001E5C66" w:rsidP="009F71ED">
      <w:pPr>
        <w:tabs>
          <w:tab w:val="left" w:pos="567"/>
        </w:tabs>
        <w:spacing w:after="0" w:line="240" w:lineRule="auto"/>
        <w:rPr>
          <w:rFonts w:ascii="Times New Roman" w:hAnsi="Times New Roman"/>
          <w:lang w:val="lt-LT"/>
        </w:rPr>
      </w:pPr>
    </w:p>
    <w:p w14:paraId="16B4CC37"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12.</w:t>
      </w:r>
      <w:r w:rsidRPr="00273A3E">
        <w:rPr>
          <w:rFonts w:ascii="Times New Roman" w:hAnsi="Times New Roman"/>
          <w:b/>
          <w:lang w:val="lt-LT"/>
        </w:rPr>
        <w:tab/>
      </w:r>
      <w:r w:rsidRPr="00273A3E">
        <w:rPr>
          <w:rFonts w:ascii="Times New Roman" w:hAnsi="Times New Roman"/>
          <w:b/>
          <w:caps/>
          <w:lang w:val="lt-LT"/>
        </w:rPr>
        <w:t xml:space="preserve">rEGISTRACIJOS PAŽYMĖJIMO </w:t>
      </w:r>
      <w:r w:rsidRPr="00273A3E">
        <w:rPr>
          <w:rFonts w:ascii="Times New Roman" w:hAnsi="Times New Roman"/>
          <w:b/>
          <w:lang w:val="lt-LT"/>
        </w:rPr>
        <w:t>NUMERIS (-IAI)</w:t>
      </w:r>
    </w:p>
    <w:p w14:paraId="310B0943" w14:textId="77777777" w:rsidR="001E5C66" w:rsidRPr="00273A3E" w:rsidRDefault="001E5C66" w:rsidP="009F71ED">
      <w:pPr>
        <w:tabs>
          <w:tab w:val="left" w:pos="567"/>
        </w:tabs>
        <w:spacing w:after="0" w:line="240" w:lineRule="auto"/>
        <w:rPr>
          <w:rFonts w:ascii="Times New Roman" w:hAnsi="Times New Roman"/>
          <w:lang w:val="lt-LT"/>
        </w:rPr>
      </w:pPr>
    </w:p>
    <w:p w14:paraId="79FE8C3B" w14:textId="77777777" w:rsidR="00490319" w:rsidRPr="00490319" w:rsidRDefault="00490319" w:rsidP="00490319">
      <w:pPr>
        <w:tabs>
          <w:tab w:val="left" w:pos="567"/>
        </w:tabs>
        <w:spacing w:after="0" w:line="240" w:lineRule="auto"/>
        <w:rPr>
          <w:rFonts w:ascii="Times New Roman" w:hAnsi="Times New Roman"/>
          <w:highlight w:val="lightGray"/>
          <w:lang w:val="lt-LT"/>
        </w:rPr>
      </w:pPr>
      <w:r w:rsidRPr="00490319">
        <w:rPr>
          <w:rFonts w:ascii="Times New Roman" w:hAnsi="Times New Roman"/>
          <w:lang w:val="lt-LT"/>
        </w:rPr>
        <w:t xml:space="preserve">LT/1/26/6045/001 </w:t>
      </w:r>
      <w:r w:rsidRPr="00490319">
        <w:rPr>
          <w:rFonts w:ascii="Times New Roman" w:hAnsi="Times New Roman"/>
          <w:highlight w:val="lightGray"/>
          <w:lang w:val="lt-LT"/>
        </w:rPr>
        <w:t>– N1</w:t>
      </w:r>
    </w:p>
    <w:p w14:paraId="3556BDE7" w14:textId="77777777" w:rsidR="00490319" w:rsidRPr="00490319" w:rsidRDefault="00490319" w:rsidP="00490319">
      <w:pPr>
        <w:tabs>
          <w:tab w:val="left" w:pos="567"/>
        </w:tabs>
        <w:spacing w:after="0" w:line="240" w:lineRule="auto"/>
        <w:rPr>
          <w:rFonts w:ascii="Times New Roman" w:hAnsi="Times New Roman"/>
          <w:highlight w:val="lightGray"/>
          <w:lang w:val="lt-LT"/>
        </w:rPr>
      </w:pPr>
      <w:r w:rsidRPr="00490319">
        <w:rPr>
          <w:rFonts w:ascii="Times New Roman" w:hAnsi="Times New Roman"/>
          <w:highlight w:val="lightGray"/>
          <w:lang w:val="lt-LT"/>
        </w:rPr>
        <w:t>LT/1/26/6045/002 – N2</w:t>
      </w:r>
    </w:p>
    <w:p w14:paraId="5BC0142B" w14:textId="77777777" w:rsidR="00490319" w:rsidRPr="00490319" w:rsidRDefault="00490319" w:rsidP="00490319">
      <w:pPr>
        <w:tabs>
          <w:tab w:val="left" w:pos="567"/>
        </w:tabs>
        <w:spacing w:after="0" w:line="240" w:lineRule="auto"/>
        <w:rPr>
          <w:rFonts w:ascii="Times New Roman" w:hAnsi="Times New Roman"/>
          <w:highlight w:val="lightGray"/>
          <w:lang w:val="lt-LT"/>
        </w:rPr>
      </w:pPr>
      <w:r w:rsidRPr="00490319">
        <w:rPr>
          <w:rFonts w:ascii="Times New Roman" w:hAnsi="Times New Roman"/>
          <w:highlight w:val="lightGray"/>
          <w:lang w:val="lt-LT"/>
        </w:rPr>
        <w:t>LT/1/26/6045/003 – N4</w:t>
      </w:r>
    </w:p>
    <w:p w14:paraId="0F6F1A6C" w14:textId="72D299DF" w:rsidR="00810ECA" w:rsidRDefault="00490319" w:rsidP="00490319">
      <w:pPr>
        <w:tabs>
          <w:tab w:val="left" w:pos="567"/>
        </w:tabs>
        <w:spacing w:after="0" w:line="240" w:lineRule="auto"/>
        <w:rPr>
          <w:rFonts w:ascii="Times New Roman" w:hAnsi="Times New Roman"/>
          <w:lang w:val="lt-LT"/>
        </w:rPr>
      </w:pPr>
      <w:r w:rsidRPr="00490319">
        <w:rPr>
          <w:rFonts w:ascii="Times New Roman" w:hAnsi="Times New Roman"/>
          <w:highlight w:val="lightGray"/>
          <w:lang w:val="lt-LT"/>
        </w:rPr>
        <w:t>LT/1/26/6045/004 – N6</w:t>
      </w:r>
    </w:p>
    <w:p w14:paraId="2856CD67" w14:textId="77777777" w:rsidR="00490319" w:rsidRPr="00273A3E" w:rsidRDefault="00490319" w:rsidP="00490319">
      <w:pPr>
        <w:tabs>
          <w:tab w:val="left" w:pos="567"/>
        </w:tabs>
        <w:spacing w:after="0" w:line="240" w:lineRule="auto"/>
        <w:rPr>
          <w:rFonts w:ascii="Times New Roman" w:hAnsi="Times New Roman"/>
          <w:lang w:val="lt-LT"/>
        </w:rPr>
      </w:pPr>
    </w:p>
    <w:p w14:paraId="345554DC" w14:textId="77777777" w:rsidR="001E5C66" w:rsidRPr="00273A3E" w:rsidRDefault="001E5C66" w:rsidP="009F71ED">
      <w:pPr>
        <w:tabs>
          <w:tab w:val="left" w:pos="567"/>
        </w:tabs>
        <w:spacing w:after="0" w:line="240" w:lineRule="auto"/>
        <w:rPr>
          <w:rFonts w:ascii="Times New Roman" w:hAnsi="Times New Roman"/>
          <w:lang w:val="lt-LT"/>
        </w:rPr>
      </w:pPr>
    </w:p>
    <w:p w14:paraId="48A55B88"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13.</w:t>
      </w:r>
      <w:r w:rsidRPr="00273A3E">
        <w:rPr>
          <w:rFonts w:ascii="Times New Roman" w:hAnsi="Times New Roman"/>
          <w:b/>
          <w:lang w:val="lt-LT"/>
        </w:rPr>
        <w:tab/>
        <w:t>SERIJOS NUMERIS</w:t>
      </w:r>
    </w:p>
    <w:p w14:paraId="0AB5418F" w14:textId="77777777" w:rsidR="001E5C66" w:rsidRPr="00273A3E" w:rsidRDefault="001E5C66" w:rsidP="009F71ED">
      <w:pPr>
        <w:tabs>
          <w:tab w:val="left" w:pos="567"/>
        </w:tabs>
        <w:spacing w:after="0" w:line="240" w:lineRule="auto"/>
        <w:rPr>
          <w:rFonts w:ascii="Times New Roman" w:hAnsi="Times New Roman"/>
          <w:lang w:val="lt-LT"/>
        </w:rPr>
      </w:pPr>
    </w:p>
    <w:p w14:paraId="66A0B38F" w14:textId="77777777" w:rsidR="00046773" w:rsidRPr="00273A3E" w:rsidRDefault="00363B73" w:rsidP="00914779">
      <w:pPr>
        <w:tabs>
          <w:tab w:val="left" w:pos="567"/>
        </w:tabs>
        <w:spacing w:after="0" w:line="240" w:lineRule="auto"/>
        <w:rPr>
          <w:rFonts w:ascii="Times New Roman" w:hAnsi="Times New Roman"/>
          <w:lang w:val="lt-LT"/>
        </w:rPr>
      </w:pPr>
      <w:r w:rsidRPr="00273A3E">
        <w:rPr>
          <w:rFonts w:ascii="Times New Roman" w:hAnsi="Times New Roman"/>
          <w:lang w:val="lt-LT"/>
        </w:rPr>
        <w:t xml:space="preserve">Serija </w:t>
      </w:r>
      <w:r w:rsidR="00046773" w:rsidRPr="00273A3E">
        <w:rPr>
          <w:rFonts w:ascii="Times New Roman" w:hAnsi="Times New Roman"/>
          <w:highlight w:val="lightGray"/>
          <w:lang w:val="lt-LT"/>
        </w:rPr>
        <w:t>{numeris}</w:t>
      </w:r>
    </w:p>
    <w:p w14:paraId="3E156006" w14:textId="77777777" w:rsidR="001E5C66" w:rsidRPr="00273A3E" w:rsidRDefault="001E5C66" w:rsidP="009F71ED">
      <w:pPr>
        <w:tabs>
          <w:tab w:val="left" w:pos="567"/>
        </w:tabs>
        <w:spacing w:after="0" w:line="240" w:lineRule="auto"/>
        <w:rPr>
          <w:rFonts w:ascii="Times New Roman" w:hAnsi="Times New Roman"/>
          <w:lang w:val="lt-LT"/>
        </w:rPr>
      </w:pPr>
    </w:p>
    <w:p w14:paraId="55118F4F" w14:textId="77777777" w:rsidR="001E5C66" w:rsidRPr="00273A3E" w:rsidRDefault="001E5C66" w:rsidP="009F71ED">
      <w:pPr>
        <w:tabs>
          <w:tab w:val="left" w:pos="567"/>
        </w:tabs>
        <w:spacing w:after="0" w:line="240" w:lineRule="auto"/>
        <w:rPr>
          <w:rFonts w:ascii="Times New Roman" w:hAnsi="Times New Roman"/>
          <w:lang w:val="lt-LT"/>
        </w:rPr>
      </w:pPr>
    </w:p>
    <w:p w14:paraId="1DB3AE55"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14.</w:t>
      </w:r>
      <w:r w:rsidRPr="00273A3E">
        <w:rPr>
          <w:rFonts w:ascii="Times New Roman" w:hAnsi="Times New Roman"/>
          <w:b/>
          <w:lang w:val="lt-LT"/>
        </w:rPr>
        <w:tab/>
        <w:t>PARDAVIMO (IŠDAVIMO) TVARKA</w:t>
      </w:r>
    </w:p>
    <w:p w14:paraId="1133A42F" w14:textId="77777777" w:rsidR="001E5C66" w:rsidRPr="00273A3E" w:rsidRDefault="001E5C66" w:rsidP="009F71ED">
      <w:pPr>
        <w:tabs>
          <w:tab w:val="left" w:pos="567"/>
        </w:tabs>
        <w:spacing w:after="0" w:line="240" w:lineRule="auto"/>
        <w:rPr>
          <w:rFonts w:ascii="Times New Roman" w:hAnsi="Times New Roman"/>
          <w:lang w:val="lt-LT"/>
        </w:rPr>
      </w:pPr>
    </w:p>
    <w:p w14:paraId="052E667C"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t>Receptinis vaistas.</w:t>
      </w:r>
    </w:p>
    <w:p w14:paraId="601E5A7E" w14:textId="77777777" w:rsidR="001E5C66" w:rsidRPr="00273A3E" w:rsidRDefault="001E5C66" w:rsidP="009F71ED">
      <w:pPr>
        <w:tabs>
          <w:tab w:val="left" w:pos="567"/>
        </w:tabs>
        <w:spacing w:after="0" w:line="240" w:lineRule="auto"/>
        <w:rPr>
          <w:rFonts w:ascii="Times New Roman" w:hAnsi="Times New Roman"/>
          <w:lang w:val="lt-LT"/>
        </w:rPr>
      </w:pPr>
    </w:p>
    <w:p w14:paraId="07827D80" w14:textId="77777777" w:rsidR="001E5C66" w:rsidRPr="00273A3E" w:rsidRDefault="001E5C66" w:rsidP="009F71ED">
      <w:pPr>
        <w:tabs>
          <w:tab w:val="left" w:pos="567"/>
        </w:tabs>
        <w:spacing w:after="0" w:line="240" w:lineRule="auto"/>
        <w:rPr>
          <w:rFonts w:ascii="Times New Roman" w:hAnsi="Times New Roman"/>
          <w:lang w:val="lt-LT"/>
        </w:rPr>
      </w:pPr>
    </w:p>
    <w:p w14:paraId="3415564A"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lastRenderedPageBreak/>
        <w:t>15.</w:t>
      </w:r>
      <w:r w:rsidRPr="00273A3E">
        <w:rPr>
          <w:rFonts w:ascii="Times New Roman" w:hAnsi="Times New Roman"/>
          <w:b/>
          <w:lang w:val="lt-LT"/>
        </w:rPr>
        <w:tab/>
        <w:t>VARTOJIMO INSTRUKCIJA</w:t>
      </w:r>
    </w:p>
    <w:p w14:paraId="319C36F7" w14:textId="77777777" w:rsidR="001E5C66" w:rsidRPr="00273A3E" w:rsidRDefault="001E5C66" w:rsidP="009F71ED">
      <w:pPr>
        <w:tabs>
          <w:tab w:val="left" w:pos="567"/>
        </w:tabs>
        <w:spacing w:after="0" w:line="240" w:lineRule="auto"/>
        <w:rPr>
          <w:rFonts w:ascii="Times New Roman" w:hAnsi="Times New Roman"/>
          <w:lang w:val="lt-LT"/>
        </w:rPr>
      </w:pPr>
    </w:p>
    <w:p w14:paraId="50F572A7" w14:textId="77777777" w:rsidR="006053AF" w:rsidRPr="00273A3E" w:rsidRDefault="006053AF" w:rsidP="009F71ED">
      <w:pPr>
        <w:tabs>
          <w:tab w:val="left" w:pos="567"/>
        </w:tabs>
        <w:spacing w:after="0" w:line="240" w:lineRule="auto"/>
        <w:rPr>
          <w:rFonts w:ascii="Times New Roman" w:hAnsi="Times New Roman"/>
          <w:lang w:val="lt-LT"/>
        </w:rPr>
      </w:pPr>
    </w:p>
    <w:p w14:paraId="733C5119" w14:textId="77777777" w:rsidR="001E5C66" w:rsidRPr="00273A3E" w:rsidRDefault="001E5C66" w:rsidP="009147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16.</w:t>
      </w:r>
      <w:r w:rsidRPr="00273A3E">
        <w:rPr>
          <w:rFonts w:ascii="Times New Roman" w:hAnsi="Times New Roman"/>
          <w:b/>
          <w:lang w:val="lt-LT"/>
        </w:rPr>
        <w:tab/>
        <w:t>INFORMACIJA BRAILIO RAŠTU</w:t>
      </w:r>
    </w:p>
    <w:p w14:paraId="6C002384" w14:textId="77777777" w:rsidR="001E5C66" w:rsidRPr="00273A3E" w:rsidRDefault="001E5C66" w:rsidP="009F71ED">
      <w:pPr>
        <w:tabs>
          <w:tab w:val="left" w:pos="567"/>
        </w:tabs>
        <w:spacing w:after="0" w:line="240" w:lineRule="auto"/>
        <w:rPr>
          <w:rFonts w:ascii="Times New Roman" w:hAnsi="Times New Roman"/>
          <w:b/>
          <w:lang w:val="lt-LT"/>
        </w:rPr>
      </w:pPr>
    </w:p>
    <w:p w14:paraId="5C5F6D79" w14:textId="77777777" w:rsidR="001E5C66" w:rsidRPr="00273A3E" w:rsidRDefault="001E5C66" w:rsidP="009F71ED">
      <w:pPr>
        <w:tabs>
          <w:tab w:val="left" w:pos="567"/>
        </w:tabs>
        <w:spacing w:after="0" w:line="240" w:lineRule="auto"/>
        <w:rPr>
          <w:rFonts w:ascii="Times New Roman" w:hAnsi="Times New Roman"/>
          <w:highlight w:val="lightGray"/>
          <w:lang w:val="lt-LT"/>
        </w:rPr>
      </w:pPr>
      <w:r w:rsidRPr="00273A3E">
        <w:rPr>
          <w:rFonts w:ascii="Times New Roman" w:hAnsi="Times New Roman"/>
          <w:highlight w:val="lightGray"/>
          <w:lang w:val="lt-LT"/>
        </w:rPr>
        <w:t>Priimtas pagrindimas informacijos Brailio raštu nepateikti.</w:t>
      </w:r>
    </w:p>
    <w:p w14:paraId="53F791CC" w14:textId="77777777" w:rsidR="001E5C66" w:rsidRPr="00273A3E" w:rsidRDefault="001E5C66" w:rsidP="009F71ED">
      <w:pPr>
        <w:tabs>
          <w:tab w:val="left" w:pos="567"/>
        </w:tabs>
        <w:spacing w:after="0" w:line="240" w:lineRule="auto"/>
        <w:rPr>
          <w:rFonts w:ascii="Times New Roman" w:hAnsi="Times New Roman"/>
          <w:highlight w:val="lightGray"/>
          <w:lang w:val="lt-LT"/>
        </w:rPr>
      </w:pPr>
    </w:p>
    <w:p w14:paraId="5BA12CF4" w14:textId="77777777" w:rsidR="001E5C66" w:rsidRPr="00273A3E" w:rsidRDefault="001E5C66" w:rsidP="009F71ED">
      <w:pPr>
        <w:tabs>
          <w:tab w:val="left" w:pos="567"/>
        </w:tabs>
        <w:spacing w:after="0" w:line="240" w:lineRule="auto"/>
        <w:rPr>
          <w:rFonts w:ascii="Times New Roman" w:hAnsi="Times New Roman"/>
          <w:highlight w:val="lightGray"/>
          <w:lang w:val="lt-LT"/>
        </w:rPr>
      </w:pPr>
    </w:p>
    <w:p w14:paraId="5146716B"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lang w:val="lt-LT"/>
        </w:rPr>
      </w:pPr>
      <w:r w:rsidRPr="00273A3E">
        <w:rPr>
          <w:rFonts w:ascii="Times New Roman" w:hAnsi="Times New Roman"/>
          <w:b/>
          <w:lang w:val="lt-LT"/>
        </w:rPr>
        <w:t>17.</w:t>
      </w:r>
      <w:r w:rsidRPr="00273A3E">
        <w:rPr>
          <w:rFonts w:ascii="Times New Roman" w:hAnsi="Times New Roman"/>
          <w:b/>
          <w:lang w:val="lt-LT"/>
        </w:rPr>
        <w:tab/>
        <w:t>UNIKALUS IDENTIFIKATORIUS – 2D BRŪKŠNINIS KODAS</w:t>
      </w:r>
    </w:p>
    <w:p w14:paraId="1679FB7A" w14:textId="77777777" w:rsidR="001E5C66" w:rsidRPr="00273A3E" w:rsidRDefault="001E5C66" w:rsidP="009F71ED">
      <w:pPr>
        <w:tabs>
          <w:tab w:val="left" w:pos="567"/>
        </w:tabs>
        <w:spacing w:after="0" w:line="240" w:lineRule="auto"/>
        <w:rPr>
          <w:rFonts w:ascii="Times New Roman" w:hAnsi="Times New Roman"/>
          <w:lang w:val="lt-LT"/>
        </w:rPr>
      </w:pPr>
    </w:p>
    <w:p w14:paraId="60B1367C" w14:textId="77777777" w:rsidR="001E5C66" w:rsidRPr="00273A3E" w:rsidRDefault="001E5C66" w:rsidP="00914779">
      <w:pPr>
        <w:tabs>
          <w:tab w:val="left" w:pos="567"/>
        </w:tabs>
        <w:spacing w:after="0" w:line="240" w:lineRule="auto"/>
        <w:rPr>
          <w:rFonts w:ascii="Times New Roman" w:hAnsi="Times New Roman"/>
          <w:shd w:val="clear" w:color="auto" w:fill="CCCCCC"/>
          <w:lang w:val="lt-LT"/>
        </w:rPr>
      </w:pPr>
      <w:r w:rsidRPr="00273A3E">
        <w:rPr>
          <w:rFonts w:ascii="Times New Roman" w:hAnsi="Times New Roman"/>
          <w:highlight w:val="lightGray"/>
          <w:lang w:val="lt-LT"/>
        </w:rPr>
        <w:t>2D brūkšninis kodas su nurodytu unikaliu identifikatoriumi.</w:t>
      </w:r>
    </w:p>
    <w:p w14:paraId="0984119C" w14:textId="77777777" w:rsidR="001E5C66" w:rsidRPr="00273A3E" w:rsidRDefault="001E5C66" w:rsidP="00914779">
      <w:pPr>
        <w:tabs>
          <w:tab w:val="left" w:pos="567"/>
        </w:tabs>
        <w:spacing w:after="0" w:line="240" w:lineRule="auto"/>
        <w:rPr>
          <w:rFonts w:ascii="Times New Roman" w:hAnsi="Times New Roman"/>
          <w:shd w:val="clear" w:color="auto" w:fill="CCCCCC"/>
          <w:lang w:val="lt-LT"/>
        </w:rPr>
      </w:pPr>
    </w:p>
    <w:p w14:paraId="2AA449FE" w14:textId="77777777" w:rsidR="001E5C66" w:rsidRPr="00273A3E" w:rsidRDefault="001E5C66" w:rsidP="009F71ED">
      <w:pPr>
        <w:tabs>
          <w:tab w:val="left" w:pos="567"/>
        </w:tabs>
        <w:spacing w:after="0" w:line="240" w:lineRule="auto"/>
        <w:rPr>
          <w:rFonts w:ascii="Times New Roman" w:hAnsi="Times New Roman"/>
          <w:lang w:val="lt-LT"/>
        </w:rPr>
      </w:pPr>
    </w:p>
    <w:p w14:paraId="7BB75136" w14:textId="77777777" w:rsidR="001E5C66" w:rsidRPr="00273A3E" w:rsidRDefault="001E5C66" w:rsidP="009147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lang w:val="lt-LT"/>
        </w:rPr>
      </w:pPr>
      <w:r w:rsidRPr="00273A3E">
        <w:rPr>
          <w:rFonts w:ascii="Times New Roman" w:hAnsi="Times New Roman"/>
          <w:b/>
          <w:lang w:val="lt-LT"/>
        </w:rPr>
        <w:t>18.</w:t>
      </w:r>
      <w:r w:rsidRPr="00273A3E">
        <w:rPr>
          <w:rFonts w:ascii="Times New Roman" w:hAnsi="Times New Roman"/>
          <w:b/>
          <w:lang w:val="lt-LT"/>
        </w:rPr>
        <w:tab/>
        <w:t>UNIKALUS IDENTIFIKATORIUS – ŽMONĖMS SUPRANTAMI DUOMENYS</w:t>
      </w:r>
    </w:p>
    <w:p w14:paraId="42B390CF" w14:textId="77777777" w:rsidR="001E5C66" w:rsidRPr="00273A3E" w:rsidRDefault="001E5C66" w:rsidP="009F71ED">
      <w:pPr>
        <w:tabs>
          <w:tab w:val="left" w:pos="567"/>
        </w:tabs>
        <w:spacing w:after="0" w:line="240" w:lineRule="auto"/>
        <w:rPr>
          <w:rFonts w:ascii="Times New Roman" w:hAnsi="Times New Roman"/>
          <w:lang w:val="lt-LT"/>
        </w:rPr>
      </w:pPr>
    </w:p>
    <w:p w14:paraId="7DC72957" w14:textId="77777777" w:rsidR="00432799" w:rsidRPr="00273A3E" w:rsidRDefault="00432799"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PC </w:t>
      </w:r>
      <w:r w:rsidRPr="00273A3E">
        <w:rPr>
          <w:rFonts w:ascii="Times New Roman" w:hAnsi="Times New Roman"/>
          <w:highlight w:val="lightGray"/>
          <w:lang w:val="lt-LT"/>
        </w:rPr>
        <w:t>{numeris}</w:t>
      </w:r>
    </w:p>
    <w:p w14:paraId="5C89EE22" w14:textId="77777777" w:rsidR="00432799" w:rsidRPr="00273A3E" w:rsidRDefault="00432799"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SN </w:t>
      </w:r>
      <w:r w:rsidRPr="00273A3E">
        <w:rPr>
          <w:rFonts w:ascii="Times New Roman" w:hAnsi="Times New Roman"/>
          <w:highlight w:val="lightGray"/>
          <w:lang w:val="lt-LT"/>
        </w:rPr>
        <w:t>{numeris}</w:t>
      </w:r>
    </w:p>
    <w:p w14:paraId="32816E30" w14:textId="77777777" w:rsidR="00432799" w:rsidRPr="00273A3E" w:rsidRDefault="00432799" w:rsidP="009F71ED">
      <w:pPr>
        <w:tabs>
          <w:tab w:val="left" w:pos="567"/>
        </w:tabs>
        <w:spacing w:after="0" w:line="240" w:lineRule="auto"/>
        <w:rPr>
          <w:rFonts w:ascii="Times New Roman" w:hAnsi="Times New Roman"/>
          <w:highlight w:val="lightGray"/>
          <w:lang w:val="lt-LT"/>
        </w:rPr>
      </w:pPr>
      <w:r w:rsidRPr="00273A3E">
        <w:rPr>
          <w:rFonts w:ascii="Times New Roman" w:hAnsi="Times New Roman"/>
          <w:highlight w:val="lightGray"/>
          <w:lang w:val="lt-LT"/>
        </w:rPr>
        <w:t>NN {numeris}</w:t>
      </w:r>
    </w:p>
    <w:p w14:paraId="2A6CE721" w14:textId="77777777" w:rsidR="000909D6" w:rsidRPr="00273A3E" w:rsidRDefault="000909D6" w:rsidP="009F71ED">
      <w:pPr>
        <w:tabs>
          <w:tab w:val="left" w:pos="567"/>
        </w:tabs>
        <w:spacing w:after="0" w:line="240" w:lineRule="auto"/>
        <w:rPr>
          <w:rFonts w:ascii="Times New Roman" w:hAnsi="Times New Roman"/>
          <w:highlight w:val="lightGray"/>
          <w:lang w:val="lt-LT"/>
        </w:rPr>
      </w:pPr>
      <w:r w:rsidRPr="00273A3E">
        <w:rPr>
          <w:rFonts w:ascii="Times New Roman" w:hAnsi="Times New Roman"/>
          <w:highlight w:val="lightGray"/>
          <w:lang w:val="lt-LT"/>
        </w:rPr>
        <w:br w:type="page"/>
      </w:r>
    </w:p>
    <w:p w14:paraId="2EEB9F9A" w14:textId="77777777" w:rsidR="001E5C66" w:rsidRPr="00273A3E" w:rsidRDefault="001E5C66" w:rsidP="009F71E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lastRenderedPageBreak/>
        <w:t>MINIMALI INFORMACIJA ANT MAŽŲ VIDINIŲ PAKUOČIŲ</w:t>
      </w:r>
    </w:p>
    <w:p w14:paraId="20569CC8" w14:textId="77777777" w:rsidR="001E5C66" w:rsidRPr="00273A3E" w:rsidRDefault="001E5C66" w:rsidP="009147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35C96339" w14:textId="77777777" w:rsidR="001E5C66" w:rsidRPr="00273A3E" w:rsidRDefault="001E5C66" w:rsidP="009F71E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lt-LT"/>
        </w:rPr>
      </w:pPr>
      <w:r w:rsidRPr="00273A3E">
        <w:rPr>
          <w:rFonts w:ascii="Times New Roman" w:hAnsi="Times New Roman"/>
          <w:b/>
          <w:lang w:val="lt-LT"/>
        </w:rPr>
        <w:t>UŽPILDYT</w:t>
      </w:r>
      <w:r w:rsidR="009E75C9" w:rsidRPr="00273A3E">
        <w:rPr>
          <w:rFonts w:ascii="Times New Roman" w:hAnsi="Times New Roman"/>
          <w:b/>
          <w:lang w:val="lt-LT"/>
        </w:rPr>
        <w:t>O</w:t>
      </w:r>
      <w:r w:rsidRPr="00273A3E">
        <w:rPr>
          <w:rFonts w:ascii="Times New Roman" w:hAnsi="Times New Roman"/>
          <w:b/>
          <w:lang w:val="lt-LT"/>
        </w:rPr>
        <w:t xml:space="preserve"> ŠVIRKŠT</w:t>
      </w:r>
      <w:r w:rsidR="009E75C9" w:rsidRPr="00273A3E">
        <w:rPr>
          <w:rFonts w:ascii="Times New Roman" w:hAnsi="Times New Roman"/>
          <w:b/>
          <w:lang w:val="lt-LT"/>
        </w:rPr>
        <w:t>O ETIKETĖ</w:t>
      </w:r>
    </w:p>
    <w:p w14:paraId="09F04EE3" w14:textId="77777777" w:rsidR="001E5C66" w:rsidRPr="00273A3E" w:rsidRDefault="001E5C66" w:rsidP="00914779">
      <w:pPr>
        <w:tabs>
          <w:tab w:val="left" w:pos="567"/>
        </w:tabs>
        <w:spacing w:after="0" w:line="240" w:lineRule="auto"/>
        <w:rPr>
          <w:rFonts w:ascii="Times New Roman" w:hAnsi="Times New Roman"/>
          <w:lang w:val="lt-LT"/>
        </w:rPr>
      </w:pPr>
    </w:p>
    <w:p w14:paraId="630F1163" w14:textId="77777777" w:rsidR="001E5C66" w:rsidRPr="00273A3E" w:rsidRDefault="001E5C66" w:rsidP="00914779">
      <w:pPr>
        <w:tabs>
          <w:tab w:val="left" w:pos="567"/>
        </w:tabs>
        <w:spacing w:after="0" w:line="240" w:lineRule="auto"/>
        <w:rPr>
          <w:rFonts w:ascii="Times New Roman" w:hAnsi="Times New Roman"/>
          <w:lang w:val="lt-LT"/>
        </w:rPr>
      </w:pPr>
    </w:p>
    <w:p w14:paraId="541AE246" w14:textId="77777777" w:rsidR="001E5C66" w:rsidRPr="00273A3E" w:rsidRDefault="001E5C66" w:rsidP="009147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1.</w:t>
      </w:r>
      <w:r w:rsidRPr="00273A3E">
        <w:rPr>
          <w:rFonts w:ascii="Times New Roman" w:hAnsi="Times New Roman"/>
          <w:b/>
          <w:lang w:val="lt-LT"/>
        </w:rPr>
        <w:tab/>
      </w:r>
      <w:r w:rsidRPr="00273A3E">
        <w:rPr>
          <w:rFonts w:ascii="Times New Roman" w:hAnsi="Times New Roman"/>
          <w:b/>
          <w:caps/>
          <w:lang w:val="lt-LT"/>
        </w:rPr>
        <w:t>Vaistinio preparato pavadinimas ir vartojimo būdas (-ai)</w:t>
      </w:r>
    </w:p>
    <w:p w14:paraId="26677312" w14:textId="77777777" w:rsidR="001E5C66" w:rsidRPr="00273A3E" w:rsidRDefault="001E5C66" w:rsidP="00914779">
      <w:pPr>
        <w:tabs>
          <w:tab w:val="left" w:pos="567"/>
        </w:tabs>
        <w:spacing w:after="0" w:line="240" w:lineRule="auto"/>
        <w:rPr>
          <w:rFonts w:ascii="Times New Roman" w:hAnsi="Times New Roman"/>
          <w:lang w:val="lt-LT"/>
        </w:rPr>
      </w:pPr>
    </w:p>
    <w:p w14:paraId="69B632A2" w14:textId="77777777" w:rsidR="00363B73" w:rsidRPr="00273A3E" w:rsidRDefault="00363B73" w:rsidP="00363B73">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250 mg</w:t>
      </w:r>
      <w:r w:rsidR="0046242B" w:rsidRPr="00273A3E">
        <w:rPr>
          <w:rFonts w:ascii="Times New Roman" w:hAnsi="Times New Roman"/>
          <w:lang w:val="lt-LT"/>
        </w:rPr>
        <w:t xml:space="preserve"> </w:t>
      </w:r>
      <w:r w:rsidRPr="00273A3E">
        <w:rPr>
          <w:rFonts w:ascii="Times New Roman" w:hAnsi="Times New Roman"/>
          <w:lang w:val="lt-LT"/>
        </w:rPr>
        <w:t xml:space="preserve">injekcinis tirpalas </w:t>
      </w:r>
    </w:p>
    <w:p w14:paraId="0DC15A6E" w14:textId="77777777" w:rsidR="00363B73" w:rsidRPr="00273A3E" w:rsidRDefault="00363B73"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fulvestrantas</w:t>
      </w:r>
      <w:proofErr w:type="spellEnd"/>
    </w:p>
    <w:p w14:paraId="4DB6DED0"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 xml:space="preserve">i. </w:t>
      </w:r>
      <w:r w:rsidR="008F7217" w:rsidRPr="00273A3E">
        <w:rPr>
          <w:rFonts w:ascii="Times New Roman" w:hAnsi="Times New Roman"/>
          <w:lang w:val="lt-LT"/>
        </w:rPr>
        <w:t>m</w:t>
      </w:r>
      <w:r w:rsidRPr="00273A3E">
        <w:rPr>
          <w:rFonts w:ascii="Times New Roman" w:hAnsi="Times New Roman"/>
          <w:lang w:val="lt-LT"/>
        </w:rPr>
        <w:t>.</w:t>
      </w:r>
    </w:p>
    <w:p w14:paraId="7B8EBBE2" w14:textId="77777777" w:rsidR="001E5C66" w:rsidRPr="00273A3E" w:rsidRDefault="001E5C66" w:rsidP="00914779">
      <w:pPr>
        <w:tabs>
          <w:tab w:val="left" w:pos="567"/>
        </w:tabs>
        <w:spacing w:after="0" w:line="240" w:lineRule="auto"/>
        <w:rPr>
          <w:rFonts w:ascii="Times New Roman" w:hAnsi="Times New Roman"/>
          <w:lang w:val="lt-LT"/>
        </w:rPr>
      </w:pPr>
    </w:p>
    <w:p w14:paraId="2DCAC3A4" w14:textId="77777777" w:rsidR="0083232D" w:rsidRPr="00273A3E" w:rsidRDefault="0083232D" w:rsidP="00914779">
      <w:pPr>
        <w:tabs>
          <w:tab w:val="left" w:pos="567"/>
        </w:tabs>
        <w:spacing w:after="0" w:line="240" w:lineRule="auto"/>
        <w:rPr>
          <w:rFonts w:ascii="Times New Roman" w:hAnsi="Times New Roman"/>
          <w:lang w:val="lt-LT"/>
        </w:rPr>
      </w:pPr>
    </w:p>
    <w:p w14:paraId="56C02BD7" w14:textId="77777777" w:rsidR="001E5C66" w:rsidRPr="00273A3E" w:rsidRDefault="001E5C66" w:rsidP="009147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2.</w:t>
      </w:r>
      <w:r w:rsidRPr="00273A3E">
        <w:rPr>
          <w:rFonts w:ascii="Times New Roman" w:hAnsi="Times New Roman"/>
          <w:b/>
          <w:lang w:val="lt-LT"/>
        </w:rPr>
        <w:tab/>
        <w:t>VARTOJIMO</w:t>
      </w:r>
      <w:r w:rsidR="00F822A6" w:rsidRPr="00273A3E">
        <w:rPr>
          <w:rFonts w:ascii="Times New Roman" w:hAnsi="Times New Roman"/>
          <w:b/>
          <w:lang w:val="lt-LT"/>
        </w:rPr>
        <w:t xml:space="preserve"> MET</w:t>
      </w:r>
      <w:r w:rsidRPr="00273A3E">
        <w:rPr>
          <w:rFonts w:ascii="Times New Roman" w:hAnsi="Times New Roman"/>
          <w:b/>
          <w:lang w:val="lt-LT"/>
        </w:rPr>
        <w:t>ODAS</w:t>
      </w:r>
    </w:p>
    <w:p w14:paraId="255EB8F7" w14:textId="77777777" w:rsidR="001E5C66" w:rsidRPr="00273A3E" w:rsidRDefault="001E5C66" w:rsidP="00914779">
      <w:pPr>
        <w:tabs>
          <w:tab w:val="left" w:pos="567"/>
        </w:tabs>
        <w:spacing w:after="0" w:line="240" w:lineRule="auto"/>
        <w:rPr>
          <w:rFonts w:ascii="Times New Roman" w:hAnsi="Times New Roman"/>
          <w:lang w:val="lt-LT"/>
        </w:rPr>
      </w:pPr>
    </w:p>
    <w:p w14:paraId="3DEA97C0" w14:textId="77777777" w:rsidR="001E5C66" w:rsidRPr="00273A3E" w:rsidRDefault="001E5C66" w:rsidP="00914779">
      <w:pPr>
        <w:tabs>
          <w:tab w:val="left" w:pos="567"/>
        </w:tabs>
        <w:spacing w:after="0" w:line="240" w:lineRule="auto"/>
        <w:rPr>
          <w:rFonts w:ascii="Times New Roman" w:hAnsi="Times New Roman"/>
          <w:lang w:val="lt-LT"/>
        </w:rPr>
      </w:pPr>
    </w:p>
    <w:p w14:paraId="6BCC672E" w14:textId="77777777" w:rsidR="001E5C66" w:rsidRPr="00273A3E" w:rsidRDefault="001E5C66" w:rsidP="009147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3.</w:t>
      </w:r>
      <w:r w:rsidRPr="00273A3E">
        <w:rPr>
          <w:rFonts w:ascii="Times New Roman" w:hAnsi="Times New Roman"/>
          <w:b/>
          <w:lang w:val="lt-LT"/>
        </w:rPr>
        <w:tab/>
        <w:t>TINKAMUMO LAIKAS</w:t>
      </w:r>
    </w:p>
    <w:p w14:paraId="1B9F4606" w14:textId="77777777" w:rsidR="001E5C66" w:rsidRPr="00273A3E" w:rsidRDefault="001E5C66" w:rsidP="00914779">
      <w:pPr>
        <w:tabs>
          <w:tab w:val="left" w:pos="567"/>
        </w:tabs>
        <w:spacing w:after="0" w:line="240" w:lineRule="auto"/>
        <w:rPr>
          <w:rFonts w:ascii="Times New Roman" w:hAnsi="Times New Roman"/>
          <w:lang w:val="lt-LT"/>
        </w:rPr>
      </w:pPr>
    </w:p>
    <w:p w14:paraId="484E26D3"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EXP</w:t>
      </w:r>
      <w:r w:rsidR="00432799" w:rsidRPr="00273A3E">
        <w:rPr>
          <w:rFonts w:ascii="Times New Roman" w:hAnsi="Times New Roman"/>
          <w:lang w:val="lt-LT"/>
        </w:rPr>
        <w:t xml:space="preserve"> </w:t>
      </w:r>
      <w:r w:rsidR="00432799" w:rsidRPr="00273A3E">
        <w:rPr>
          <w:rFonts w:ascii="Times New Roman" w:hAnsi="Times New Roman"/>
          <w:highlight w:val="lightGray"/>
          <w:lang w:val="lt-LT"/>
        </w:rPr>
        <w:t>{mm/MMMM}</w:t>
      </w:r>
    </w:p>
    <w:p w14:paraId="793453E6" w14:textId="77777777" w:rsidR="001E5C66" w:rsidRPr="00273A3E" w:rsidRDefault="001E5C66" w:rsidP="00914779">
      <w:pPr>
        <w:tabs>
          <w:tab w:val="left" w:pos="567"/>
        </w:tabs>
        <w:spacing w:after="0" w:line="240" w:lineRule="auto"/>
        <w:rPr>
          <w:rFonts w:ascii="Times New Roman" w:hAnsi="Times New Roman"/>
          <w:lang w:val="lt-LT"/>
        </w:rPr>
      </w:pPr>
    </w:p>
    <w:p w14:paraId="6783AA4B" w14:textId="77777777" w:rsidR="001E5C66" w:rsidRPr="00273A3E" w:rsidRDefault="001E5C66" w:rsidP="00914779">
      <w:pPr>
        <w:tabs>
          <w:tab w:val="left" w:pos="567"/>
        </w:tabs>
        <w:spacing w:after="0" w:line="240" w:lineRule="auto"/>
        <w:rPr>
          <w:rFonts w:ascii="Times New Roman" w:hAnsi="Times New Roman"/>
          <w:lang w:val="lt-LT"/>
        </w:rPr>
      </w:pPr>
    </w:p>
    <w:p w14:paraId="4128F64F" w14:textId="77777777" w:rsidR="001E5C66" w:rsidRPr="00273A3E" w:rsidRDefault="001E5C66" w:rsidP="0091477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4.</w:t>
      </w:r>
      <w:r w:rsidRPr="00273A3E">
        <w:rPr>
          <w:rFonts w:ascii="Times New Roman" w:hAnsi="Times New Roman"/>
          <w:b/>
          <w:lang w:val="lt-LT"/>
        </w:rPr>
        <w:tab/>
        <w:t xml:space="preserve">SERIJOS NUMERIS </w:t>
      </w:r>
    </w:p>
    <w:p w14:paraId="5B7E003A" w14:textId="77777777" w:rsidR="001E5C66" w:rsidRPr="00273A3E" w:rsidRDefault="001E5C66" w:rsidP="00914779">
      <w:pPr>
        <w:tabs>
          <w:tab w:val="left" w:pos="567"/>
        </w:tabs>
        <w:spacing w:after="0" w:line="240" w:lineRule="auto"/>
        <w:rPr>
          <w:rFonts w:ascii="Times New Roman" w:hAnsi="Times New Roman"/>
          <w:lang w:val="lt-LT"/>
        </w:rPr>
      </w:pPr>
    </w:p>
    <w:p w14:paraId="0BDB8E82" w14:textId="77777777" w:rsidR="001E5C66" w:rsidRPr="00273A3E" w:rsidRDefault="00046773" w:rsidP="00914779">
      <w:pPr>
        <w:tabs>
          <w:tab w:val="left" w:pos="567"/>
        </w:tabs>
        <w:spacing w:after="0" w:line="240" w:lineRule="auto"/>
        <w:rPr>
          <w:rFonts w:ascii="Times New Roman" w:hAnsi="Times New Roman"/>
          <w:lang w:val="lt-LT"/>
        </w:rPr>
      </w:pPr>
      <w:r w:rsidRPr="00273A3E">
        <w:rPr>
          <w:rFonts w:ascii="Times New Roman" w:hAnsi="Times New Roman"/>
          <w:lang w:val="lt-LT"/>
        </w:rPr>
        <w:t xml:space="preserve">Lot </w:t>
      </w:r>
      <w:r w:rsidRPr="00273A3E">
        <w:rPr>
          <w:rFonts w:ascii="Times New Roman" w:hAnsi="Times New Roman"/>
          <w:highlight w:val="lightGray"/>
          <w:lang w:val="lt-LT"/>
        </w:rPr>
        <w:t>{numeris}</w:t>
      </w:r>
    </w:p>
    <w:p w14:paraId="00F6D81D" w14:textId="77777777" w:rsidR="00046773" w:rsidRPr="00273A3E" w:rsidRDefault="00046773" w:rsidP="00914779">
      <w:pPr>
        <w:tabs>
          <w:tab w:val="left" w:pos="567"/>
        </w:tabs>
        <w:spacing w:after="0" w:line="240" w:lineRule="auto"/>
        <w:rPr>
          <w:rFonts w:ascii="Times New Roman" w:hAnsi="Times New Roman"/>
          <w:lang w:val="lt-LT"/>
        </w:rPr>
      </w:pPr>
    </w:p>
    <w:p w14:paraId="18CD7D92" w14:textId="77777777" w:rsidR="001E5C66" w:rsidRPr="00273A3E" w:rsidRDefault="001E5C66" w:rsidP="00914779">
      <w:pPr>
        <w:tabs>
          <w:tab w:val="left" w:pos="567"/>
        </w:tabs>
        <w:spacing w:after="0" w:line="240" w:lineRule="auto"/>
        <w:rPr>
          <w:rFonts w:ascii="Times New Roman" w:hAnsi="Times New Roman"/>
          <w:lang w:val="lt-LT"/>
        </w:rPr>
      </w:pPr>
    </w:p>
    <w:p w14:paraId="1E5703E3" w14:textId="77777777" w:rsidR="001E5C66" w:rsidRPr="00273A3E" w:rsidRDefault="001E5C66" w:rsidP="009147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5.</w:t>
      </w:r>
      <w:r w:rsidRPr="00273A3E">
        <w:rPr>
          <w:rFonts w:ascii="Times New Roman" w:hAnsi="Times New Roman"/>
          <w:b/>
          <w:lang w:val="lt-LT"/>
        </w:rPr>
        <w:tab/>
        <w:t>KIEKIS (MASĖ, TŪRIS ARBA VIENETAI)</w:t>
      </w:r>
    </w:p>
    <w:p w14:paraId="0B3CE323" w14:textId="77777777" w:rsidR="001E5C66" w:rsidRPr="00273A3E" w:rsidRDefault="001E5C66" w:rsidP="00914779">
      <w:pPr>
        <w:tabs>
          <w:tab w:val="left" w:pos="567"/>
        </w:tabs>
        <w:spacing w:after="0" w:line="240" w:lineRule="auto"/>
        <w:rPr>
          <w:rFonts w:ascii="Times New Roman" w:hAnsi="Times New Roman"/>
          <w:lang w:val="lt-LT"/>
        </w:rPr>
      </w:pPr>
    </w:p>
    <w:p w14:paraId="39E2725F"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5</w:t>
      </w:r>
      <w:r w:rsidR="00FF0074" w:rsidRPr="00273A3E">
        <w:rPr>
          <w:rFonts w:ascii="Times New Roman" w:hAnsi="Times New Roman"/>
          <w:lang w:val="lt-LT"/>
        </w:rPr>
        <w:t> ml</w:t>
      </w:r>
    </w:p>
    <w:p w14:paraId="3F4A6EA1" w14:textId="77777777" w:rsidR="001E5C66" w:rsidRPr="00273A3E" w:rsidRDefault="001E5C66" w:rsidP="00914779">
      <w:pPr>
        <w:tabs>
          <w:tab w:val="left" w:pos="567"/>
        </w:tabs>
        <w:spacing w:after="0" w:line="240" w:lineRule="auto"/>
        <w:rPr>
          <w:rFonts w:ascii="Times New Roman" w:hAnsi="Times New Roman"/>
          <w:lang w:val="lt-LT"/>
        </w:rPr>
      </w:pPr>
    </w:p>
    <w:p w14:paraId="2582FCFE" w14:textId="77777777" w:rsidR="001E5C66" w:rsidRPr="00273A3E" w:rsidRDefault="001E5C66" w:rsidP="00914779">
      <w:pPr>
        <w:tabs>
          <w:tab w:val="left" w:pos="567"/>
        </w:tabs>
        <w:spacing w:after="0" w:line="240" w:lineRule="auto"/>
        <w:rPr>
          <w:rFonts w:ascii="Times New Roman" w:hAnsi="Times New Roman"/>
          <w:lang w:val="lt-LT"/>
        </w:rPr>
      </w:pPr>
    </w:p>
    <w:p w14:paraId="2D306255" w14:textId="77777777" w:rsidR="001E5C66" w:rsidRPr="00273A3E" w:rsidRDefault="001E5C66" w:rsidP="009147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73A3E">
        <w:rPr>
          <w:rFonts w:ascii="Times New Roman" w:hAnsi="Times New Roman"/>
          <w:b/>
          <w:lang w:val="lt-LT"/>
        </w:rPr>
        <w:t>6.</w:t>
      </w:r>
      <w:r w:rsidRPr="00273A3E">
        <w:rPr>
          <w:rFonts w:ascii="Times New Roman" w:hAnsi="Times New Roman"/>
          <w:b/>
          <w:lang w:val="lt-LT"/>
        </w:rPr>
        <w:tab/>
        <w:t>KITA</w:t>
      </w:r>
    </w:p>
    <w:p w14:paraId="34392A5A" w14:textId="77777777" w:rsidR="001E5C66" w:rsidRPr="00273A3E" w:rsidRDefault="001E5C66" w:rsidP="00914779">
      <w:pPr>
        <w:tabs>
          <w:tab w:val="left" w:pos="567"/>
        </w:tabs>
        <w:spacing w:after="0" w:line="240" w:lineRule="auto"/>
        <w:rPr>
          <w:rFonts w:ascii="Times New Roman" w:hAnsi="Times New Roman"/>
          <w:lang w:val="lt-LT"/>
        </w:rPr>
      </w:pPr>
    </w:p>
    <w:p w14:paraId="101A7F83" w14:textId="77777777" w:rsidR="00F822A6" w:rsidRPr="00273A3E" w:rsidRDefault="0046242B"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proofErr w:type="spellStart"/>
      <w:r w:rsidRPr="00273A3E">
        <w:rPr>
          <w:rFonts w:ascii="Times New Roman" w:hAnsi="Times New Roman"/>
          <w:lang w:val="lt-LT"/>
        </w:rPr>
        <w:t>Corporation</w:t>
      </w:r>
      <w:proofErr w:type="spellEnd"/>
      <w:r w:rsidRPr="00273A3E">
        <w:rPr>
          <w:rFonts w:ascii="Times New Roman" w:hAnsi="Times New Roman"/>
          <w:lang w:val="lt-LT"/>
        </w:rPr>
        <w:t xml:space="preserve">, </w:t>
      </w:r>
      <w:proofErr w:type="spellStart"/>
      <w:r w:rsidRPr="00273A3E">
        <w:rPr>
          <w:rFonts w:ascii="Times New Roman" w:hAnsi="Times New Roman"/>
          <w:lang w:val="lt-LT"/>
        </w:rPr>
        <w:t>Espoo</w:t>
      </w:r>
      <w:proofErr w:type="spellEnd"/>
      <w:r w:rsidRPr="00273A3E">
        <w:rPr>
          <w:rFonts w:ascii="Times New Roman" w:hAnsi="Times New Roman"/>
          <w:lang w:val="lt-LT"/>
        </w:rPr>
        <w:t>, Suomija</w:t>
      </w:r>
    </w:p>
    <w:p w14:paraId="639A7CA2" w14:textId="77777777" w:rsidR="001E5C66" w:rsidRPr="00273A3E" w:rsidRDefault="001E5C66" w:rsidP="009F71ED">
      <w:pPr>
        <w:tabs>
          <w:tab w:val="left" w:pos="567"/>
        </w:tabs>
        <w:spacing w:after="0" w:line="240" w:lineRule="auto"/>
        <w:rPr>
          <w:rFonts w:ascii="Times New Roman" w:hAnsi="Times New Roman"/>
          <w:lang w:val="lt-LT"/>
        </w:rPr>
      </w:pPr>
      <w:r w:rsidRPr="00273A3E">
        <w:rPr>
          <w:rFonts w:ascii="Times New Roman" w:hAnsi="Times New Roman"/>
          <w:lang w:val="lt-LT"/>
        </w:rPr>
        <w:br w:type="page"/>
      </w:r>
    </w:p>
    <w:p w14:paraId="38AC4DF6" w14:textId="77777777" w:rsidR="001E5C66" w:rsidRPr="00273A3E" w:rsidRDefault="001E5C66" w:rsidP="009F71ED">
      <w:pPr>
        <w:tabs>
          <w:tab w:val="left" w:pos="567"/>
        </w:tabs>
        <w:spacing w:after="0" w:line="240" w:lineRule="auto"/>
        <w:rPr>
          <w:rFonts w:ascii="Times New Roman" w:hAnsi="Times New Roman"/>
          <w:lang w:val="lt-LT"/>
        </w:rPr>
      </w:pPr>
    </w:p>
    <w:p w14:paraId="45379A8D" w14:textId="77777777" w:rsidR="001E5C66" w:rsidRPr="00273A3E" w:rsidRDefault="001E5C66" w:rsidP="009F71ED">
      <w:pPr>
        <w:tabs>
          <w:tab w:val="left" w:pos="567"/>
        </w:tabs>
        <w:spacing w:after="0" w:line="240" w:lineRule="auto"/>
        <w:rPr>
          <w:rFonts w:ascii="Times New Roman" w:hAnsi="Times New Roman"/>
          <w:lang w:val="lt-LT"/>
        </w:rPr>
      </w:pPr>
    </w:p>
    <w:p w14:paraId="0130F84E" w14:textId="77777777" w:rsidR="001E5C66" w:rsidRPr="00273A3E" w:rsidRDefault="001E5C66" w:rsidP="009F71ED">
      <w:pPr>
        <w:tabs>
          <w:tab w:val="left" w:pos="567"/>
        </w:tabs>
        <w:spacing w:after="0" w:line="240" w:lineRule="auto"/>
        <w:rPr>
          <w:rFonts w:ascii="Times New Roman" w:hAnsi="Times New Roman"/>
          <w:lang w:val="lt-LT"/>
        </w:rPr>
      </w:pPr>
    </w:p>
    <w:p w14:paraId="4EB27D16" w14:textId="77777777" w:rsidR="001E5C66" w:rsidRPr="00273A3E" w:rsidRDefault="001E5C66" w:rsidP="009F71ED">
      <w:pPr>
        <w:tabs>
          <w:tab w:val="left" w:pos="567"/>
        </w:tabs>
        <w:spacing w:after="0" w:line="240" w:lineRule="auto"/>
        <w:rPr>
          <w:rFonts w:ascii="Times New Roman" w:hAnsi="Times New Roman"/>
          <w:lang w:val="lt-LT"/>
        </w:rPr>
      </w:pPr>
    </w:p>
    <w:p w14:paraId="30758A0A" w14:textId="77777777" w:rsidR="001E5C66" w:rsidRPr="00273A3E" w:rsidRDefault="001E5C66" w:rsidP="009F71ED">
      <w:pPr>
        <w:tabs>
          <w:tab w:val="left" w:pos="567"/>
        </w:tabs>
        <w:spacing w:after="0" w:line="240" w:lineRule="auto"/>
        <w:rPr>
          <w:rFonts w:ascii="Times New Roman" w:hAnsi="Times New Roman"/>
          <w:lang w:val="lt-LT"/>
        </w:rPr>
      </w:pPr>
    </w:p>
    <w:p w14:paraId="283D66CB" w14:textId="77777777" w:rsidR="001E5C66" w:rsidRPr="00273A3E" w:rsidRDefault="001E5C66" w:rsidP="009F71ED">
      <w:pPr>
        <w:tabs>
          <w:tab w:val="left" w:pos="567"/>
        </w:tabs>
        <w:spacing w:after="0" w:line="240" w:lineRule="auto"/>
        <w:rPr>
          <w:rFonts w:ascii="Times New Roman" w:hAnsi="Times New Roman"/>
          <w:lang w:val="lt-LT"/>
        </w:rPr>
      </w:pPr>
    </w:p>
    <w:p w14:paraId="569D4652" w14:textId="77777777" w:rsidR="001E5C66" w:rsidRPr="00273A3E" w:rsidRDefault="001E5C66" w:rsidP="009F71ED">
      <w:pPr>
        <w:tabs>
          <w:tab w:val="left" w:pos="567"/>
        </w:tabs>
        <w:spacing w:after="0" w:line="240" w:lineRule="auto"/>
        <w:rPr>
          <w:rFonts w:ascii="Times New Roman" w:hAnsi="Times New Roman"/>
          <w:lang w:val="lt-LT"/>
        </w:rPr>
      </w:pPr>
    </w:p>
    <w:p w14:paraId="6A9FAA0D" w14:textId="77777777" w:rsidR="001E5C66" w:rsidRPr="00273A3E" w:rsidRDefault="001E5C66" w:rsidP="009F71ED">
      <w:pPr>
        <w:tabs>
          <w:tab w:val="left" w:pos="567"/>
        </w:tabs>
        <w:spacing w:after="0" w:line="240" w:lineRule="auto"/>
        <w:rPr>
          <w:rFonts w:ascii="Times New Roman" w:hAnsi="Times New Roman"/>
          <w:lang w:val="lt-LT"/>
        </w:rPr>
      </w:pPr>
    </w:p>
    <w:p w14:paraId="0A4BB501" w14:textId="77777777" w:rsidR="001E5C66" w:rsidRPr="00273A3E" w:rsidRDefault="001E5C66" w:rsidP="009F71ED">
      <w:pPr>
        <w:tabs>
          <w:tab w:val="left" w:pos="567"/>
        </w:tabs>
        <w:spacing w:after="0" w:line="240" w:lineRule="auto"/>
        <w:rPr>
          <w:rFonts w:ascii="Times New Roman" w:hAnsi="Times New Roman"/>
          <w:lang w:val="lt-LT"/>
        </w:rPr>
      </w:pPr>
    </w:p>
    <w:p w14:paraId="156B99A5" w14:textId="77777777" w:rsidR="001E5C66" w:rsidRPr="00273A3E" w:rsidRDefault="001E5C66" w:rsidP="009F71ED">
      <w:pPr>
        <w:tabs>
          <w:tab w:val="left" w:pos="567"/>
        </w:tabs>
        <w:spacing w:after="0" w:line="240" w:lineRule="auto"/>
        <w:rPr>
          <w:rFonts w:ascii="Times New Roman" w:hAnsi="Times New Roman"/>
          <w:lang w:val="lt-LT"/>
        </w:rPr>
      </w:pPr>
    </w:p>
    <w:p w14:paraId="5BF1FDD8" w14:textId="77777777" w:rsidR="001E5C66" w:rsidRPr="00273A3E" w:rsidRDefault="001E5C66" w:rsidP="009F71ED">
      <w:pPr>
        <w:tabs>
          <w:tab w:val="left" w:pos="567"/>
        </w:tabs>
        <w:spacing w:after="0" w:line="240" w:lineRule="auto"/>
        <w:rPr>
          <w:rFonts w:ascii="Times New Roman" w:hAnsi="Times New Roman"/>
          <w:lang w:val="lt-LT"/>
        </w:rPr>
      </w:pPr>
    </w:p>
    <w:p w14:paraId="6DA43C6E" w14:textId="77777777" w:rsidR="001E5C66" w:rsidRPr="00273A3E" w:rsidRDefault="001E5C66" w:rsidP="009F71ED">
      <w:pPr>
        <w:tabs>
          <w:tab w:val="left" w:pos="567"/>
        </w:tabs>
        <w:spacing w:after="0" w:line="240" w:lineRule="auto"/>
        <w:rPr>
          <w:rFonts w:ascii="Times New Roman" w:hAnsi="Times New Roman"/>
          <w:lang w:val="lt-LT"/>
        </w:rPr>
      </w:pPr>
    </w:p>
    <w:p w14:paraId="50AF368E" w14:textId="77777777" w:rsidR="001E5C66" w:rsidRPr="00273A3E" w:rsidRDefault="001E5C66" w:rsidP="009F71ED">
      <w:pPr>
        <w:tabs>
          <w:tab w:val="left" w:pos="567"/>
        </w:tabs>
        <w:spacing w:after="0" w:line="240" w:lineRule="auto"/>
        <w:rPr>
          <w:rFonts w:ascii="Times New Roman" w:hAnsi="Times New Roman"/>
          <w:lang w:val="lt-LT"/>
        </w:rPr>
      </w:pPr>
    </w:p>
    <w:p w14:paraId="6CCCC352" w14:textId="77777777" w:rsidR="001E5C66" w:rsidRPr="00273A3E" w:rsidRDefault="001E5C66" w:rsidP="009F71ED">
      <w:pPr>
        <w:tabs>
          <w:tab w:val="left" w:pos="567"/>
        </w:tabs>
        <w:spacing w:after="0" w:line="240" w:lineRule="auto"/>
        <w:rPr>
          <w:rFonts w:ascii="Times New Roman" w:hAnsi="Times New Roman"/>
          <w:lang w:val="lt-LT"/>
        </w:rPr>
      </w:pPr>
    </w:p>
    <w:p w14:paraId="066E038C" w14:textId="77777777" w:rsidR="001E5C66" w:rsidRPr="00273A3E" w:rsidRDefault="001E5C66" w:rsidP="009F71ED">
      <w:pPr>
        <w:tabs>
          <w:tab w:val="left" w:pos="567"/>
        </w:tabs>
        <w:spacing w:after="0" w:line="240" w:lineRule="auto"/>
        <w:rPr>
          <w:rFonts w:ascii="Times New Roman" w:hAnsi="Times New Roman"/>
          <w:lang w:val="lt-LT"/>
        </w:rPr>
      </w:pPr>
    </w:p>
    <w:p w14:paraId="458AD4EC" w14:textId="77777777" w:rsidR="001E5C66" w:rsidRPr="00273A3E" w:rsidRDefault="001E5C66" w:rsidP="009F71ED">
      <w:pPr>
        <w:tabs>
          <w:tab w:val="left" w:pos="567"/>
        </w:tabs>
        <w:spacing w:after="0" w:line="240" w:lineRule="auto"/>
        <w:rPr>
          <w:rFonts w:ascii="Times New Roman" w:hAnsi="Times New Roman"/>
          <w:lang w:val="lt-LT"/>
        </w:rPr>
      </w:pPr>
    </w:p>
    <w:p w14:paraId="7A172B03" w14:textId="77777777" w:rsidR="001E5C66" w:rsidRPr="00273A3E" w:rsidRDefault="001E5C66" w:rsidP="009F71ED">
      <w:pPr>
        <w:tabs>
          <w:tab w:val="left" w:pos="567"/>
        </w:tabs>
        <w:spacing w:after="0" w:line="240" w:lineRule="auto"/>
        <w:rPr>
          <w:rFonts w:ascii="Times New Roman" w:hAnsi="Times New Roman"/>
          <w:lang w:val="lt-LT"/>
        </w:rPr>
      </w:pPr>
    </w:p>
    <w:p w14:paraId="65DA04A7" w14:textId="77777777" w:rsidR="001E5C66" w:rsidRPr="00273A3E" w:rsidRDefault="001E5C66" w:rsidP="009F71ED">
      <w:pPr>
        <w:tabs>
          <w:tab w:val="left" w:pos="567"/>
        </w:tabs>
        <w:spacing w:after="0" w:line="240" w:lineRule="auto"/>
        <w:rPr>
          <w:rFonts w:ascii="Times New Roman" w:hAnsi="Times New Roman"/>
          <w:lang w:val="lt-LT"/>
        </w:rPr>
      </w:pPr>
    </w:p>
    <w:p w14:paraId="77F17087" w14:textId="77777777" w:rsidR="001E5C66" w:rsidRPr="00273A3E" w:rsidRDefault="001E5C66" w:rsidP="009F71ED">
      <w:pPr>
        <w:tabs>
          <w:tab w:val="left" w:pos="567"/>
        </w:tabs>
        <w:spacing w:after="0" w:line="240" w:lineRule="auto"/>
        <w:rPr>
          <w:rFonts w:ascii="Times New Roman" w:hAnsi="Times New Roman"/>
          <w:lang w:val="lt-LT"/>
        </w:rPr>
      </w:pPr>
    </w:p>
    <w:p w14:paraId="0476E089" w14:textId="77777777" w:rsidR="001E5C66" w:rsidRPr="00273A3E" w:rsidRDefault="001E5C66" w:rsidP="009F71ED">
      <w:pPr>
        <w:tabs>
          <w:tab w:val="left" w:pos="567"/>
        </w:tabs>
        <w:spacing w:after="0" w:line="240" w:lineRule="auto"/>
        <w:rPr>
          <w:rFonts w:ascii="Times New Roman" w:hAnsi="Times New Roman"/>
          <w:lang w:val="lt-LT"/>
        </w:rPr>
      </w:pPr>
    </w:p>
    <w:p w14:paraId="5F90940D" w14:textId="77777777" w:rsidR="001E5C66" w:rsidRPr="00273A3E" w:rsidRDefault="001E5C66" w:rsidP="009F71ED">
      <w:pPr>
        <w:tabs>
          <w:tab w:val="left" w:pos="567"/>
        </w:tabs>
        <w:spacing w:after="0" w:line="240" w:lineRule="auto"/>
        <w:rPr>
          <w:rFonts w:ascii="Times New Roman" w:hAnsi="Times New Roman"/>
          <w:lang w:val="lt-LT"/>
        </w:rPr>
      </w:pPr>
    </w:p>
    <w:p w14:paraId="488C9DF9" w14:textId="77777777" w:rsidR="001E5C66" w:rsidRPr="00273A3E" w:rsidRDefault="001E5C66" w:rsidP="009F71ED">
      <w:pPr>
        <w:tabs>
          <w:tab w:val="left" w:pos="567"/>
        </w:tabs>
        <w:spacing w:after="0" w:line="240" w:lineRule="auto"/>
        <w:rPr>
          <w:rFonts w:ascii="Times New Roman" w:hAnsi="Times New Roman"/>
          <w:lang w:val="lt-LT"/>
        </w:rPr>
      </w:pPr>
    </w:p>
    <w:p w14:paraId="55953ED6" w14:textId="77777777" w:rsidR="001E5C66" w:rsidRPr="00273A3E" w:rsidRDefault="001E5C66" w:rsidP="009F71ED">
      <w:pPr>
        <w:tabs>
          <w:tab w:val="left" w:pos="567"/>
        </w:tabs>
        <w:spacing w:after="0" w:line="240" w:lineRule="auto"/>
        <w:rPr>
          <w:rFonts w:ascii="Times New Roman" w:hAnsi="Times New Roman"/>
          <w:lang w:val="lt-LT"/>
        </w:rPr>
      </w:pPr>
    </w:p>
    <w:p w14:paraId="5998685D" w14:textId="77777777" w:rsidR="001E5C66" w:rsidRPr="00273A3E" w:rsidRDefault="001E5C66" w:rsidP="009F71ED">
      <w:pPr>
        <w:tabs>
          <w:tab w:val="left" w:pos="567"/>
        </w:tabs>
        <w:spacing w:after="0" w:line="240" w:lineRule="auto"/>
        <w:jc w:val="center"/>
        <w:rPr>
          <w:rFonts w:ascii="Times New Roman" w:hAnsi="Times New Roman"/>
          <w:b/>
          <w:kern w:val="28"/>
          <w:lang w:val="lt-LT"/>
        </w:rPr>
      </w:pPr>
      <w:r w:rsidRPr="00273A3E">
        <w:rPr>
          <w:rFonts w:ascii="Times New Roman" w:hAnsi="Times New Roman"/>
          <w:b/>
          <w:kern w:val="28"/>
          <w:lang w:val="lt-LT"/>
        </w:rPr>
        <w:t>B. PAKUOTĖS LAPELIS</w:t>
      </w:r>
    </w:p>
    <w:p w14:paraId="46E8A2B5" w14:textId="77777777" w:rsidR="001E5C66" w:rsidRPr="00273A3E" w:rsidRDefault="001E5C66" w:rsidP="009F71ED">
      <w:pPr>
        <w:tabs>
          <w:tab w:val="left" w:pos="567"/>
        </w:tabs>
        <w:spacing w:after="0" w:line="240" w:lineRule="auto"/>
        <w:jc w:val="center"/>
        <w:rPr>
          <w:rFonts w:ascii="Times New Roman" w:hAnsi="Times New Roman"/>
          <w:b/>
          <w:lang w:val="lt-LT"/>
        </w:rPr>
      </w:pPr>
      <w:r w:rsidRPr="00273A3E">
        <w:rPr>
          <w:rFonts w:ascii="Times New Roman" w:hAnsi="Times New Roman"/>
          <w:lang w:val="lt-LT"/>
        </w:rPr>
        <w:br w:type="page"/>
      </w:r>
      <w:r w:rsidRPr="00273A3E">
        <w:rPr>
          <w:rFonts w:ascii="Times New Roman" w:hAnsi="Times New Roman"/>
          <w:b/>
          <w:lang w:val="lt-LT"/>
        </w:rPr>
        <w:lastRenderedPageBreak/>
        <w:t xml:space="preserve">Pakuotės lapelis: informacija </w:t>
      </w:r>
      <w:r w:rsidR="001654ED" w:rsidRPr="00273A3E">
        <w:rPr>
          <w:rFonts w:ascii="Times New Roman" w:hAnsi="Times New Roman"/>
          <w:b/>
          <w:lang w:val="lt-LT"/>
        </w:rPr>
        <w:t>vartotojui</w:t>
      </w:r>
    </w:p>
    <w:p w14:paraId="65B6DB4F" w14:textId="77777777" w:rsidR="001E5C66" w:rsidRPr="00273A3E" w:rsidRDefault="001E5C66" w:rsidP="009F71ED">
      <w:pPr>
        <w:tabs>
          <w:tab w:val="left" w:pos="567"/>
        </w:tabs>
        <w:spacing w:after="0" w:line="240" w:lineRule="auto"/>
        <w:jc w:val="center"/>
        <w:rPr>
          <w:rFonts w:ascii="Times New Roman" w:hAnsi="Times New Roman"/>
          <w:b/>
          <w:lang w:val="lt-LT"/>
        </w:rPr>
      </w:pPr>
    </w:p>
    <w:p w14:paraId="33085292" w14:textId="77777777" w:rsidR="001E5C66" w:rsidRPr="00273A3E" w:rsidRDefault="00C86E9E" w:rsidP="009F71ED">
      <w:pPr>
        <w:tabs>
          <w:tab w:val="left" w:pos="567"/>
        </w:tabs>
        <w:spacing w:after="0" w:line="240" w:lineRule="auto"/>
        <w:jc w:val="center"/>
        <w:rPr>
          <w:rFonts w:ascii="Times New Roman" w:hAnsi="Times New Roman"/>
          <w:b/>
          <w:lang w:val="lt-LT"/>
        </w:rPr>
      </w:pPr>
      <w:proofErr w:type="spellStart"/>
      <w:r w:rsidRPr="00273A3E">
        <w:rPr>
          <w:rFonts w:ascii="Times New Roman" w:hAnsi="Times New Roman"/>
          <w:b/>
          <w:lang w:val="lt-LT"/>
        </w:rPr>
        <w:t>Fulvestrant</w:t>
      </w:r>
      <w:proofErr w:type="spellEnd"/>
      <w:r w:rsidRPr="00273A3E">
        <w:rPr>
          <w:rFonts w:ascii="Times New Roman" w:hAnsi="Times New Roman"/>
          <w:b/>
          <w:lang w:val="lt-LT"/>
        </w:rPr>
        <w:t xml:space="preserve"> </w:t>
      </w:r>
      <w:proofErr w:type="spellStart"/>
      <w:r w:rsidRPr="00273A3E">
        <w:rPr>
          <w:rFonts w:ascii="Times New Roman" w:hAnsi="Times New Roman"/>
          <w:b/>
          <w:lang w:val="lt-LT"/>
        </w:rPr>
        <w:t>Orion</w:t>
      </w:r>
      <w:proofErr w:type="spellEnd"/>
      <w:r w:rsidRPr="00273A3E">
        <w:rPr>
          <w:rFonts w:ascii="Times New Roman" w:hAnsi="Times New Roman"/>
          <w:b/>
          <w:lang w:val="lt-LT"/>
        </w:rPr>
        <w:t xml:space="preserve"> </w:t>
      </w:r>
      <w:r w:rsidR="001E5C66" w:rsidRPr="00273A3E">
        <w:rPr>
          <w:rFonts w:ascii="Times New Roman" w:hAnsi="Times New Roman"/>
          <w:b/>
          <w:lang w:val="lt-LT"/>
        </w:rPr>
        <w:t>250</w:t>
      </w:r>
      <w:r w:rsidR="00FF0074" w:rsidRPr="00273A3E">
        <w:rPr>
          <w:rFonts w:ascii="Times New Roman" w:hAnsi="Times New Roman"/>
          <w:b/>
          <w:lang w:val="lt-LT"/>
        </w:rPr>
        <w:t> mg</w:t>
      </w:r>
      <w:r w:rsidR="0046242B" w:rsidRPr="00273A3E">
        <w:rPr>
          <w:rFonts w:ascii="Times New Roman" w:hAnsi="Times New Roman"/>
          <w:b/>
          <w:lang w:val="lt-LT"/>
        </w:rPr>
        <w:t xml:space="preserve"> </w:t>
      </w:r>
      <w:r w:rsidR="001E5C66" w:rsidRPr="00273A3E">
        <w:rPr>
          <w:rFonts w:ascii="Times New Roman" w:hAnsi="Times New Roman"/>
          <w:b/>
          <w:lang w:val="lt-LT"/>
        </w:rPr>
        <w:t>injekcinis tirpalas užpildytame švirkšte</w:t>
      </w:r>
    </w:p>
    <w:p w14:paraId="615481F4" w14:textId="77777777" w:rsidR="001E5C66" w:rsidRPr="00273A3E" w:rsidRDefault="00D23E01" w:rsidP="00914779">
      <w:pPr>
        <w:tabs>
          <w:tab w:val="left" w:pos="567"/>
        </w:tabs>
        <w:spacing w:after="0" w:line="240" w:lineRule="auto"/>
        <w:jc w:val="center"/>
        <w:rPr>
          <w:rFonts w:ascii="Times New Roman" w:hAnsi="Times New Roman"/>
          <w:b/>
          <w:lang w:val="lt-LT"/>
        </w:rPr>
      </w:pPr>
      <w:proofErr w:type="spellStart"/>
      <w:r w:rsidRPr="00273A3E">
        <w:rPr>
          <w:rFonts w:ascii="Times New Roman" w:hAnsi="Times New Roman"/>
          <w:lang w:val="lt-LT"/>
        </w:rPr>
        <w:t>f</w:t>
      </w:r>
      <w:r w:rsidR="001E5C66" w:rsidRPr="00273A3E">
        <w:rPr>
          <w:rFonts w:ascii="Times New Roman" w:hAnsi="Times New Roman"/>
          <w:lang w:val="lt-LT"/>
        </w:rPr>
        <w:t>ulvestrantas</w:t>
      </w:r>
      <w:proofErr w:type="spellEnd"/>
    </w:p>
    <w:p w14:paraId="020A6275" w14:textId="77777777" w:rsidR="001E5C66" w:rsidRPr="00273A3E" w:rsidRDefault="001E5C66" w:rsidP="009F71ED">
      <w:pPr>
        <w:tabs>
          <w:tab w:val="left" w:pos="567"/>
        </w:tabs>
        <w:spacing w:after="0" w:line="240" w:lineRule="auto"/>
        <w:rPr>
          <w:rFonts w:ascii="Times New Roman" w:hAnsi="Times New Roman"/>
          <w:spacing w:val="-3"/>
          <w:lang w:val="lt-LT"/>
        </w:rPr>
      </w:pPr>
    </w:p>
    <w:p w14:paraId="636FDCCC" w14:textId="77777777" w:rsidR="001E5C66" w:rsidRPr="00273A3E" w:rsidRDefault="001E5C66" w:rsidP="009F71ED">
      <w:pPr>
        <w:tabs>
          <w:tab w:val="left" w:pos="567"/>
        </w:tabs>
        <w:suppressAutoHyphens/>
        <w:spacing w:after="0" w:line="240" w:lineRule="auto"/>
        <w:rPr>
          <w:rFonts w:ascii="Times New Roman" w:hAnsi="Times New Roman"/>
          <w:lang w:val="lt-LT"/>
        </w:rPr>
      </w:pPr>
      <w:r w:rsidRPr="00273A3E">
        <w:rPr>
          <w:rFonts w:ascii="Times New Roman" w:hAnsi="Times New Roman"/>
          <w:b/>
          <w:lang w:val="lt-LT"/>
        </w:rPr>
        <w:t>Atidžiai perskaitykite visą šį lapelį, prieš pradėdami vartoti vaistą, nes jame pateikiama Jums svarbi informacija.</w:t>
      </w:r>
    </w:p>
    <w:p w14:paraId="55766417" w14:textId="77777777" w:rsidR="001E5C66" w:rsidRPr="00273A3E" w:rsidRDefault="001E5C66" w:rsidP="009F71ED">
      <w:pPr>
        <w:numPr>
          <w:ilvl w:val="0"/>
          <w:numId w:val="11"/>
        </w:num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Neišmeskite šio lapelio, nes vėl gali prireikti jį perskaityti.</w:t>
      </w:r>
    </w:p>
    <w:p w14:paraId="39EA9901" w14:textId="77777777" w:rsidR="001E5C66" w:rsidRPr="00273A3E" w:rsidRDefault="001E5C66" w:rsidP="009F71ED">
      <w:pPr>
        <w:numPr>
          <w:ilvl w:val="0"/>
          <w:numId w:val="11"/>
        </w:num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Jeigu kiltų daugiau klausimų, kreipkitės į gydytoją, vaistininką arba slaugytoją.</w:t>
      </w:r>
    </w:p>
    <w:p w14:paraId="77FC7C40" w14:textId="77777777" w:rsidR="00363B73" w:rsidRPr="00273A3E" w:rsidRDefault="00363B73" w:rsidP="009F71ED">
      <w:pPr>
        <w:numPr>
          <w:ilvl w:val="0"/>
          <w:numId w:val="11"/>
        </w:num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Šis vaistas skirtas tik Jums, todėl kitiems žmonėms jo duoti negalima. Vaistas gali jiems pakenkti (net tiems, kurių ligos požymiai yra tokie patys kaip Jūsų).</w:t>
      </w:r>
    </w:p>
    <w:p w14:paraId="2C3788A1" w14:textId="77777777" w:rsidR="001E5C66" w:rsidRPr="00273A3E" w:rsidRDefault="001E5C66" w:rsidP="00363B73">
      <w:pPr>
        <w:numPr>
          <w:ilvl w:val="0"/>
          <w:numId w:val="11"/>
        </w:num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Jeigu pasireiškė šalutinis poveikis (net jeigu jis šiame lapelyje nenurodytas), kreipkitės į gydytoją, vaistininką arba slaugytoją. Žr. 4</w:t>
      </w:r>
      <w:r w:rsidR="00FF0074" w:rsidRPr="00273A3E">
        <w:rPr>
          <w:rFonts w:ascii="Times New Roman" w:hAnsi="Times New Roman"/>
          <w:lang w:val="lt-LT"/>
        </w:rPr>
        <w:t> skyri</w:t>
      </w:r>
      <w:r w:rsidRPr="00273A3E">
        <w:rPr>
          <w:rFonts w:ascii="Times New Roman" w:hAnsi="Times New Roman"/>
          <w:lang w:val="lt-LT"/>
        </w:rPr>
        <w:t>ų.</w:t>
      </w:r>
    </w:p>
    <w:p w14:paraId="6981592F" w14:textId="77777777" w:rsidR="001E5C66" w:rsidRPr="00273A3E" w:rsidRDefault="001E5C66" w:rsidP="00914779">
      <w:pPr>
        <w:tabs>
          <w:tab w:val="left" w:pos="567"/>
        </w:tabs>
        <w:spacing w:after="0" w:line="240" w:lineRule="auto"/>
        <w:rPr>
          <w:rFonts w:ascii="Times New Roman" w:hAnsi="Times New Roman"/>
          <w:lang w:val="lt-LT"/>
        </w:rPr>
      </w:pPr>
    </w:p>
    <w:p w14:paraId="224751F8" w14:textId="77777777" w:rsidR="001E5C66" w:rsidRPr="00273A3E" w:rsidRDefault="001E5C66" w:rsidP="009F71ED">
      <w:pPr>
        <w:keepNext/>
        <w:tabs>
          <w:tab w:val="left" w:pos="567"/>
        </w:tabs>
        <w:spacing w:after="0" w:line="240" w:lineRule="auto"/>
        <w:rPr>
          <w:rFonts w:ascii="Times New Roman" w:hAnsi="Times New Roman"/>
          <w:b/>
          <w:lang w:val="lt-LT"/>
        </w:rPr>
      </w:pPr>
      <w:r w:rsidRPr="00273A3E">
        <w:rPr>
          <w:rFonts w:ascii="Times New Roman" w:hAnsi="Times New Roman"/>
          <w:b/>
          <w:lang w:val="lt-LT"/>
        </w:rPr>
        <w:t>Apie ką rašoma šiame lapelyje?</w:t>
      </w:r>
    </w:p>
    <w:p w14:paraId="25204E2B" w14:textId="77777777" w:rsidR="001E5C66" w:rsidRPr="00273A3E" w:rsidRDefault="001E5C66" w:rsidP="009F71ED">
      <w:pPr>
        <w:tabs>
          <w:tab w:val="left" w:pos="567"/>
        </w:tabs>
        <w:spacing w:after="0" w:line="240" w:lineRule="auto"/>
        <w:rPr>
          <w:rFonts w:ascii="Times New Roman" w:hAnsi="Times New Roman"/>
          <w:lang w:val="lt-LT"/>
        </w:rPr>
      </w:pPr>
    </w:p>
    <w:p w14:paraId="63638E80"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1.</w:t>
      </w:r>
      <w:r w:rsidRPr="00273A3E">
        <w:rPr>
          <w:rFonts w:ascii="Times New Roman" w:hAnsi="Times New Roman"/>
          <w:b/>
          <w:lang w:val="lt-LT"/>
        </w:rPr>
        <w:tab/>
      </w:r>
      <w:r w:rsidRPr="00273A3E">
        <w:rPr>
          <w:rFonts w:ascii="Times New Roman" w:hAnsi="Times New Roman"/>
          <w:lang w:val="lt-LT"/>
        </w:rPr>
        <w:t xml:space="preserve">Kas yra </w:t>
      </w:r>
      <w:proofErr w:type="spellStart"/>
      <w:r w:rsidR="00C86E9E" w:rsidRPr="00273A3E">
        <w:rPr>
          <w:rFonts w:ascii="Times New Roman" w:hAnsi="Times New Roman"/>
          <w:lang w:val="lt-LT"/>
        </w:rPr>
        <w:t>Fulvestrant</w:t>
      </w:r>
      <w:proofErr w:type="spellEnd"/>
      <w:r w:rsidR="00C86E9E" w:rsidRPr="00273A3E">
        <w:rPr>
          <w:rFonts w:ascii="Times New Roman" w:hAnsi="Times New Roman"/>
          <w:lang w:val="lt-LT"/>
        </w:rPr>
        <w:t xml:space="preserve"> </w:t>
      </w:r>
      <w:proofErr w:type="spellStart"/>
      <w:r w:rsidR="00C86E9E" w:rsidRPr="00273A3E">
        <w:rPr>
          <w:rFonts w:ascii="Times New Roman" w:hAnsi="Times New Roman"/>
          <w:lang w:val="lt-LT"/>
        </w:rPr>
        <w:t>Orion</w:t>
      </w:r>
      <w:proofErr w:type="spellEnd"/>
      <w:r w:rsidR="00C86E9E" w:rsidRPr="00273A3E">
        <w:rPr>
          <w:rFonts w:ascii="Times New Roman" w:hAnsi="Times New Roman"/>
          <w:lang w:val="lt-LT"/>
        </w:rPr>
        <w:t xml:space="preserve"> </w:t>
      </w:r>
      <w:r w:rsidRPr="00273A3E">
        <w:rPr>
          <w:rFonts w:ascii="Times New Roman" w:hAnsi="Times New Roman"/>
          <w:lang w:val="lt-LT"/>
        </w:rPr>
        <w:t>ir kam jis vartojamas</w:t>
      </w:r>
    </w:p>
    <w:p w14:paraId="7D5EBE41"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2.</w:t>
      </w:r>
      <w:r w:rsidRPr="00273A3E">
        <w:rPr>
          <w:rFonts w:ascii="Times New Roman" w:hAnsi="Times New Roman"/>
          <w:b/>
          <w:lang w:val="lt-LT"/>
        </w:rPr>
        <w:tab/>
      </w:r>
      <w:r w:rsidRPr="00273A3E">
        <w:rPr>
          <w:rFonts w:ascii="Times New Roman" w:hAnsi="Times New Roman"/>
          <w:lang w:val="lt-LT"/>
        </w:rPr>
        <w:t xml:space="preserve">Kas žinotina </w:t>
      </w:r>
      <w:r w:rsidR="00882628" w:rsidRPr="00273A3E">
        <w:rPr>
          <w:rFonts w:ascii="Times New Roman" w:hAnsi="Times New Roman"/>
          <w:lang w:val="lt-LT"/>
        </w:rPr>
        <w:t>prieš vartojant</w:t>
      </w:r>
      <w:r w:rsidRPr="00273A3E">
        <w:rPr>
          <w:rFonts w:ascii="Times New Roman" w:hAnsi="Times New Roman"/>
          <w:lang w:val="lt-LT"/>
        </w:rPr>
        <w:t xml:space="preserve"> </w:t>
      </w:r>
      <w:proofErr w:type="spellStart"/>
      <w:r w:rsidR="009D7D8C" w:rsidRPr="00273A3E">
        <w:rPr>
          <w:rFonts w:ascii="Times New Roman" w:hAnsi="Times New Roman"/>
          <w:lang w:val="lt-LT"/>
        </w:rPr>
        <w:t>Fulvestrant</w:t>
      </w:r>
      <w:proofErr w:type="spellEnd"/>
      <w:r w:rsidR="009D7D8C" w:rsidRPr="00273A3E">
        <w:rPr>
          <w:rFonts w:ascii="Times New Roman" w:hAnsi="Times New Roman"/>
          <w:lang w:val="lt-LT"/>
        </w:rPr>
        <w:t xml:space="preserve"> </w:t>
      </w:r>
      <w:proofErr w:type="spellStart"/>
      <w:r w:rsidR="00ED28CB" w:rsidRPr="00273A3E">
        <w:rPr>
          <w:rFonts w:ascii="Times New Roman" w:hAnsi="Times New Roman"/>
          <w:lang w:val="lt-LT"/>
        </w:rPr>
        <w:t>Orion</w:t>
      </w:r>
      <w:proofErr w:type="spellEnd"/>
    </w:p>
    <w:p w14:paraId="36B5CA2F"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3.</w:t>
      </w:r>
      <w:r w:rsidRPr="00273A3E">
        <w:rPr>
          <w:rFonts w:ascii="Times New Roman" w:hAnsi="Times New Roman"/>
          <w:lang w:val="lt-LT"/>
        </w:rPr>
        <w:tab/>
        <w:t xml:space="preserve">Kaip </w:t>
      </w:r>
      <w:r w:rsidR="00882628" w:rsidRPr="00273A3E">
        <w:rPr>
          <w:rFonts w:ascii="Times New Roman" w:hAnsi="Times New Roman"/>
          <w:lang w:val="lt-LT"/>
        </w:rPr>
        <w:t>vartoti</w:t>
      </w:r>
      <w:r w:rsidRPr="00273A3E">
        <w:rPr>
          <w:rFonts w:ascii="Times New Roman" w:hAnsi="Times New Roman"/>
          <w:lang w:val="lt-LT"/>
        </w:rPr>
        <w:t xml:space="preserve"> </w:t>
      </w:r>
      <w:proofErr w:type="spellStart"/>
      <w:r w:rsidR="009D7D8C" w:rsidRPr="00273A3E">
        <w:rPr>
          <w:rFonts w:ascii="Times New Roman" w:hAnsi="Times New Roman"/>
          <w:lang w:val="lt-LT"/>
        </w:rPr>
        <w:t>Fulvestrant</w:t>
      </w:r>
      <w:proofErr w:type="spellEnd"/>
      <w:r w:rsidR="009D7D8C" w:rsidRPr="00273A3E">
        <w:rPr>
          <w:rFonts w:ascii="Times New Roman" w:hAnsi="Times New Roman"/>
          <w:lang w:val="lt-LT"/>
        </w:rPr>
        <w:t xml:space="preserve"> </w:t>
      </w:r>
      <w:proofErr w:type="spellStart"/>
      <w:r w:rsidR="00ED28CB" w:rsidRPr="00273A3E">
        <w:rPr>
          <w:rFonts w:ascii="Times New Roman" w:hAnsi="Times New Roman"/>
          <w:lang w:val="lt-LT"/>
        </w:rPr>
        <w:t>Orion</w:t>
      </w:r>
      <w:proofErr w:type="spellEnd"/>
    </w:p>
    <w:p w14:paraId="771A4F9A"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4.</w:t>
      </w:r>
      <w:r w:rsidRPr="00273A3E">
        <w:rPr>
          <w:rFonts w:ascii="Times New Roman" w:hAnsi="Times New Roman"/>
          <w:lang w:val="lt-LT"/>
        </w:rPr>
        <w:tab/>
        <w:t>Galimas šalutinis poveikis</w:t>
      </w:r>
    </w:p>
    <w:p w14:paraId="476CC1AE"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5.</w:t>
      </w:r>
      <w:r w:rsidRPr="00273A3E">
        <w:rPr>
          <w:rFonts w:ascii="Times New Roman" w:hAnsi="Times New Roman"/>
          <w:lang w:val="lt-LT"/>
        </w:rPr>
        <w:tab/>
        <w:t xml:space="preserve">Kaip laikyti </w:t>
      </w:r>
      <w:proofErr w:type="spellStart"/>
      <w:r w:rsidR="009D7D8C" w:rsidRPr="00273A3E">
        <w:rPr>
          <w:rFonts w:ascii="Times New Roman" w:hAnsi="Times New Roman"/>
          <w:lang w:val="lt-LT"/>
        </w:rPr>
        <w:t>Fulvestrant</w:t>
      </w:r>
      <w:proofErr w:type="spellEnd"/>
      <w:r w:rsidR="009D7D8C" w:rsidRPr="00273A3E">
        <w:rPr>
          <w:rFonts w:ascii="Times New Roman" w:hAnsi="Times New Roman"/>
          <w:lang w:val="lt-LT"/>
        </w:rPr>
        <w:t xml:space="preserve"> </w:t>
      </w:r>
      <w:proofErr w:type="spellStart"/>
      <w:r w:rsidR="00ED28CB" w:rsidRPr="00273A3E">
        <w:rPr>
          <w:rFonts w:ascii="Times New Roman" w:hAnsi="Times New Roman"/>
          <w:lang w:val="lt-LT"/>
        </w:rPr>
        <w:t>Orion</w:t>
      </w:r>
      <w:proofErr w:type="spellEnd"/>
    </w:p>
    <w:p w14:paraId="324EF811"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6.</w:t>
      </w:r>
      <w:r w:rsidRPr="00273A3E">
        <w:rPr>
          <w:rFonts w:ascii="Times New Roman" w:hAnsi="Times New Roman"/>
          <w:lang w:val="lt-LT"/>
        </w:rPr>
        <w:tab/>
        <w:t>Pakuotės turinys ir kita informacija</w:t>
      </w:r>
    </w:p>
    <w:p w14:paraId="1A8F856F" w14:textId="77777777" w:rsidR="001E5C66" w:rsidRPr="00273A3E" w:rsidRDefault="001E5C66" w:rsidP="00914779">
      <w:pPr>
        <w:tabs>
          <w:tab w:val="left" w:pos="567"/>
        </w:tabs>
        <w:spacing w:after="0" w:line="240" w:lineRule="auto"/>
        <w:rPr>
          <w:rFonts w:ascii="Times New Roman" w:hAnsi="Times New Roman"/>
          <w:lang w:val="lt-LT"/>
        </w:rPr>
      </w:pPr>
    </w:p>
    <w:p w14:paraId="0EFEC453" w14:textId="77777777" w:rsidR="001E5C66" w:rsidRPr="00273A3E" w:rsidRDefault="001E5C66" w:rsidP="00914779">
      <w:pPr>
        <w:tabs>
          <w:tab w:val="left" w:pos="567"/>
        </w:tabs>
        <w:spacing w:after="0" w:line="240" w:lineRule="auto"/>
        <w:rPr>
          <w:rFonts w:ascii="Times New Roman" w:hAnsi="Times New Roman"/>
          <w:lang w:val="lt-LT"/>
        </w:rPr>
      </w:pPr>
    </w:p>
    <w:p w14:paraId="5EBE6530" w14:textId="77777777" w:rsidR="001E5C66" w:rsidRPr="00273A3E" w:rsidRDefault="001E5C66" w:rsidP="00914779">
      <w:pPr>
        <w:keepNext/>
        <w:tabs>
          <w:tab w:val="left" w:pos="567"/>
        </w:tabs>
        <w:spacing w:after="0" w:line="240" w:lineRule="auto"/>
        <w:rPr>
          <w:rFonts w:ascii="Times New Roman" w:hAnsi="Times New Roman"/>
          <w:b/>
          <w:lang w:val="lt-LT"/>
        </w:rPr>
      </w:pPr>
      <w:r w:rsidRPr="00273A3E">
        <w:rPr>
          <w:rFonts w:ascii="Times New Roman" w:hAnsi="Times New Roman"/>
          <w:b/>
          <w:lang w:val="lt-LT"/>
        </w:rPr>
        <w:t>1.</w:t>
      </w:r>
      <w:r w:rsidRPr="00273A3E">
        <w:rPr>
          <w:rFonts w:ascii="Times New Roman" w:hAnsi="Times New Roman"/>
          <w:b/>
          <w:lang w:val="lt-LT"/>
        </w:rPr>
        <w:tab/>
        <w:t xml:space="preserve">Kas yra </w:t>
      </w:r>
      <w:proofErr w:type="spellStart"/>
      <w:r w:rsidR="00C86E9E" w:rsidRPr="00273A3E">
        <w:rPr>
          <w:rFonts w:ascii="Times New Roman" w:hAnsi="Times New Roman"/>
          <w:b/>
          <w:lang w:val="lt-LT"/>
        </w:rPr>
        <w:t>Fulvestrant</w:t>
      </w:r>
      <w:proofErr w:type="spellEnd"/>
      <w:r w:rsidR="00C86E9E" w:rsidRPr="00273A3E">
        <w:rPr>
          <w:rFonts w:ascii="Times New Roman" w:hAnsi="Times New Roman"/>
          <w:b/>
          <w:lang w:val="lt-LT"/>
        </w:rPr>
        <w:t xml:space="preserve"> </w:t>
      </w:r>
      <w:proofErr w:type="spellStart"/>
      <w:r w:rsidR="00C86E9E" w:rsidRPr="00273A3E">
        <w:rPr>
          <w:rFonts w:ascii="Times New Roman" w:hAnsi="Times New Roman"/>
          <w:b/>
          <w:lang w:val="lt-LT"/>
        </w:rPr>
        <w:t>Orion</w:t>
      </w:r>
      <w:proofErr w:type="spellEnd"/>
      <w:r w:rsidR="00C86E9E" w:rsidRPr="00273A3E">
        <w:rPr>
          <w:rFonts w:ascii="Times New Roman" w:hAnsi="Times New Roman"/>
          <w:b/>
          <w:lang w:val="lt-LT"/>
        </w:rPr>
        <w:t xml:space="preserve"> </w:t>
      </w:r>
      <w:r w:rsidRPr="00273A3E">
        <w:rPr>
          <w:rFonts w:ascii="Times New Roman" w:hAnsi="Times New Roman"/>
          <w:b/>
          <w:lang w:val="lt-LT"/>
        </w:rPr>
        <w:t>ir kam jis vartojamas</w:t>
      </w:r>
    </w:p>
    <w:p w14:paraId="493CD5C0"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3DE1157F" w14:textId="77777777" w:rsidR="001E5C66" w:rsidRPr="00273A3E" w:rsidRDefault="00C86E9E" w:rsidP="009F71ED">
      <w:pPr>
        <w:tabs>
          <w:tab w:val="left" w:pos="0"/>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1E5C66" w:rsidRPr="00273A3E">
        <w:rPr>
          <w:rFonts w:ascii="Times New Roman" w:hAnsi="Times New Roman"/>
          <w:lang w:val="lt-LT"/>
        </w:rPr>
        <w:t xml:space="preserve">sudėtyje yra veikliosios medžiagos </w:t>
      </w:r>
      <w:proofErr w:type="spellStart"/>
      <w:r w:rsidR="001E5C66" w:rsidRPr="00273A3E">
        <w:rPr>
          <w:rFonts w:ascii="Times New Roman" w:hAnsi="Times New Roman"/>
          <w:lang w:val="lt-LT"/>
        </w:rPr>
        <w:t>fulvestranto</w:t>
      </w:r>
      <w:proofErr w:type="spellEnd"/>
      <w:r w:rsidR="001E5C66" w:rsidRPr="00273A3E">
        <w:rPr>
          <w:rFonts w:ascii="Times New Roman" w:hAnsi="Times New Roman"/>
          <w:lang w:val="lt-LT"/>
        </w:rPr>
        <w:t>, kuri priklauso estrogenų receptorius blokuojančių vaistų grupei.</w:t>
      </w:r>
      <w:r w:rsidR="00873A69" w:rsidRPr="00273A3E">
        <w:rPr>
          <w:rFonts w:ascii="Times New Roman" w:hAnsi="Times New Roman"/>
          <w:lang w:val="lt-LT"/>
        </w:rPr>
        <w:t xml:space="preserve"> </w:t>
      </w:r>
      <w:r w:rsidR="001E5C66" w:rsidRPr="00273A3E">
        <w:rPr>
          <w:rFonts w:ascii="Times New Roman" w:hAnsi="Times New Roman"/>
          <w:lang w:val="lt-LT"/>
        </w:rPr>
        <w:t>Estrogenai, moteriškų lytinių hormonų grupė, kai kuriais atvejais gali būti susiję su krūties vėžio augimu.</w:t>
      </w:r>
    </w:p>
    <w:p w14:paraId="7F026E71" w14:textId="77777777" w:rsidR="001E5C66" w:rsidRPr="00273A3E" w:rsidRDefault="001E5C66" w:rsidP="009F71ED">
      <w:pPr>
        <w:tabs>
          <w:tab w:val="left" w:pos="0"/>
          <w:tab w:val="left" w:pos="567"/>
        </w:tabs>
        <w:spacing w:after="0" w:line="240" w:lineRule="auto"/>
        <w:rPr>
          <w:rFonts w:ascii="Times New Roman" w:hAnsi="Times New Roman"/>
          <w:lang w:val="lt-LT"/>
        </w:rPr>
      </w:pPr>
    </w:p>
    <w:p w14:paraId="1B53E5EE" w14:textId="77777777" w:rsidR="001E5C66" w:rsidRPr="00273A3E" w:rsidRDefault="00C86E9E" w:rsidP="009F71ED">
      <w:pPr>
        <w:tabs>
          <w:tab w:val="left" w:pos="0"/>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1E5C66" w:rsidRPr="00273A3E">
        <w:rPr>
          <w:rFonts w:ascii="Times New Roman" w:hAnsi="Times New Roman"/>
          <w:lang w:val="lt-LT"/>
        </w:rPr>
        <w:t>vartojamas arba:</w:t>
      </w:r>
    </w:p>
    <w:p w14:paraId="7CA89F1E" w14:textId="77777777" w:rsidR="001E5C66" w:rsidRPr="00273A3E" w:rsidRDefault="001E5C66" w:rsidP="00363B73">
      <w:pPr>
        <w:pStyle w:val="Sraopastraipa"/>
        <w:numPr>
          <w:ilvl w:val="0"/>
          <w:numId w:val="12"/>
        </w:numPr>
        <w:tabs>
          <w:tab w:val="left" w:pos="567"/>
        </w:tabs>
        <w:ind w:left="567" w:hanging="567"/>
        <w:contextualSpacing w:val="0"/>
        <w:rPr>
          <w:szCs w:val="22"/>
        </w:rPr>
      </w:pPr>
      <w:r w:rsidRPr="00273A3E">
        <w:rPr>
          <w:szCs w:val="22"/>
        </w:rPr>
        <w:t>vienas: gydyti moterims po menopauzės, sergančioms tam tikru (estrogenų receptoriams teigiamu) krūties vėžiu, kuris yra lokaliai progresavęs ar išplitęs į kitas organizmo vietas (</w:t>
      </w:r>
      <w:proofErr w:type="spellStart"/>
      <w:r w:rsidRPr="00273A3E">
        <w:rPr>
          <w:szCs w:val="22"/>
        </w:rPr>
        <w:t>metastazavęs</w:t>
      </w:r>
      <w:proofErr w:type="spellEnd"/>
      <w:r w:rsidRPr="00273A3E">
        <w:rPr>
          <w:szCs w:val="22"/>
        </w:rPr>
        <w:t>), arba</w:t>
      </w:r>
    </w:p>
    <w:p w14:paraId="6BED42EC" w14:textId="77777777" w:rsidR="00873A69" w:rsidRPr="00273A3E" w:rsidRDefault="00873A69" w:rsidP="009F71ED">
      <w:pPr>
        <w:pStyle w:val="Sraopastraipa"/>
        <w:tabs>
          <w:tab w:val="left" w:pos="567"/>
        </w:tabs>
        <w:ind w:left="567" w:hanging="567"/>
        <w:contextualSpacing w:val="0"/>
        <w:rPr>
          <w:szCs w:val="22"/>
        </w:rPr>
      </w:pPr>
    </w:p>
    <w:p w14:paraId="082D4FD9" w14:textId="77777777" w:rsidR="001E5C66" w:rsidRPr="00273A3E" w:rsidRDefault="001E5C66" w:rsidP="00363B73">
      <w:pPr>
        <w:pStyle w:val="Sraopastraipa"/>
        <w:numPr>
          <w:ilvl w:val="0"/>
          <w:numId w:val="12"/>
        </w:numPr>
        <w:tabs>
          <w:tab w:val="left" w:pos="567"/>
        </w:tabs>
        <w:ind w:left="567" w:hanging="567"/>
        <w:contextualSpacing w:val="0"/>
        <w:rPr>
          <w:szCs w:val="22"/>
        </w:rPr>
      </w:pPr>
      <w:r w:rsidRPr="00273A3E">
        <w:rPr>
          <w:szCs w:val="22"/>
        </w:rPr>
        <w:t xml:space="preserve">kartu su </w:t>
      </w:r>
      <w:proofErr w:type="spellStart"/>
      <w:r w:rsidRPr="00273A3E">
        <w:rPr>
          <w:szCs w:val="22"/>
        </w:rPr>
        <w:t>palbociklibu</w:t>
      </w:r>
      <w:proofErr w:type="spellEnd"/>
      <w:r w:rsidRPr="00273A3E">
        <w:rPr>
          <w:szCs w:val="22"/>
        </w:rPr>
        <w:t>: gydyti moterims, sergančioms tam tikru (hormonų receptoriams teigiamu, žmogaus epidermio augimo faktoriaus receptoriams 2 neigiamu) krūties vėžiu, kuris yra lokaliai progresavęs arba išplitęs į kitas organizmo vietas (</w:t>
      </w:r>
      <w:proofErr w:type="spellStart"/>
      <w:r w:rsidRPr="00273A3E">
        <w:rPr>
          <w:szCs w:val="22"/>
        </w:rPr>
        <w:t>metastazavęs</w:t>
      </w:r>
      <w:proofErr w:type="spellEnd"/>
      <w:r w:rsidRPr="00273A3E">
        <w:rPr>
          <w:szCs w:val="22"/>
        </w:rPr>
        <w:t xml:space="preserve">). Moterims, kurioms dar nėra menopauzės, kartu skiriama vaisto, vadinamo </w:t>
      </w:r>
      <w:proofErr w:type="spellStart"/>
      <w:r w:rsidRPr="00273A3E">
        <w:rPr>
          <w:szCs w:val="22"/>
        </w:rPr>
        <w:t>liuteinizuojantį</w:t>
      </w:r>
      <w:proofErr w:type="spellEnd"/>
      <w:r w:rsidRPr="00273A3E">
        <w:rPr>
          <w:szCs w:val="22"/>
        </w:rPr>
        <w:t xml:space="preserve"> hormoną atpalaiduojančio hormono (LHAH) </w:t>
      </w:r>
      <w:proofErr w:type="spellStart"/>
      <w:r w:rsidRPr="00273A3E">
        <w:rPr>
          <w:szCs w:val="22"/>
        </w:rPr>
        <w:t>agonistu</w:t>
      </w:r>
      <w:proofErr w:type="spellEnd"/>
      <w:r w:rsidRPr="00273A3E">
        <w:rPr>
          <w:szCs w:val="22"/>
        </w:rPr>
        <w:t>.</w:t>
      </w:r>
    </w:p>
    <w:p w14:paraId="4D5CF1E7" w14:textId="77777777" w:rsidR="001E5C66" w:rsidRPr="00273A3E" w:rsidRDefault="001E5C66" w:rsidP="009F71ED">
      <w:pPr>
        <w:tabs>
          <w:tab w:val="left" w:pos="0"/>
          <w:tab w:val="left" w:pos="567"/>
        </w:tabs>
        <w:spacing w:after="0" w:line="240" w:lineRule="auto"/>
        <w:rPr>
          <w:rFonts w:ascii="Times New Roman" w:hAnsi="Times New Roman"/>
          <w:lang w:val="lt-LT"/>
        </w:rPr>
      </w:pPr>
    </w:p>
    <w:p w14:paraId="01B8FBFF" w14:textId="77777777" w:rsidR="001E5C66" w:rsidRPr="00273A3E" w:rsidRDefault="001E5C66" w:rsidP="009F71ED">
      <w:pPr>
        <w:tabs>
          <w:tab w:val="left" w:pos="0"/>
          <w:tab w:val="left" w:pos="567"/>
        </w:tabs>
        <w:spacing w:after="0" w:line="240" w:lineRule="auto"/>
        <w:rPr>
          <w:rFonts w:ascii="Times New Roman" w:hAnsi="Times New Roman"/>
          <w:lang w:val="lt-LT"/>
        </w:rPr>
      </w:pPr>
      <w:r w:rsidRPr="00273A3E">
        <w:rPr>
          <w:rFonts w:ascii="Times New Roman" w:hAnsi="Times New Roman"/>
          <w:lang w:val="lt-LT"/>
        </w:rPr>
        <w:t xml:space="preserve">Vartojant </w:t>
      </w:r>
      <w:proofErr w:type="spellStart"/>
      <w:r w:rsidR="00363B73" w:rsidRPr="00273A3E">
        <w:rPr>
          <w:rFonts w:ascii="Times New Roman" w:hAnsi="Times New Roman"/>
          <w:lang w:val="lt-LT"/>
        </w:rPr>
        <w:t>fulvestranto</w:t>
      </w:r>
      <w:proofErr w:type="spellEnd"/>
      <w:r w:rsidR="00363B73" w:rsidRPr="00273A3E">
        <w:rPr>
          <w:rFonts w:ascii="Times New Roman" w:hAnsi="Times New Roman"/>
          <w:lang w:val="lt-LT"/>
        </w:rPr>
        <w:t xml:space="preserve"> </w:t>
      </w:r>
      <w:r w:rsidRPr="00273A3E">
        <w:rPr>
          <w:rFonts w:ascii="Times New Roman" w:hAnsi="Times New Roman"/>
          <w:lang w:val="lt-LT"/>
        </w:rPr>
        <w:t xml:space="preserve">kartu su </w:t>
      </w:r>
      <w:proofErr w:type="spellStart"/>
      <w:r w:rsidRPr="00273A3E">
        <w:rPr>
          <w:rFonts w:ascii="Times New Roman" w:hAnsi="Times New Roman"/>
          <w:lang w:val="lt-LT"/>
        </w:rPr>
        <w:t>palbociklibu</w:t>
      </w:r>
      <w:proofErr w:type="spellEnd"/>
      <w:r w:rsidRPr="00273A3E">
        <w:rPr>
          <w:rFonts w:ascii="Times New Roman" w:hAnsi="Times New Roman"/>
          <w:lang w:val="lt-LT"/>
        </w:rPr>
        <w:t xml:space="preserve">, </w:t>
      </w:r>
      <w:r w:rsidR="00631F4C" w:rsidRPr="00273A3E">
        <w:rPr>
          <w:rFonts w:ascii="Times New Roman" w:hAnsi="Times New Roman"/>
          <w:lang w:val="lt-LT"/>
        </w:rPr>
        <w:t xml:space="preserve">taip pat </w:t>
      </w:r>
      <w:r w:rsidRPr="00273A3E">
        <w:rPr>
          <w:rFonts w:ascii="Times New Roman" w:hAnsi="Times New Roman"/>
          <w:lang w:val="lt-LT"/>
        </w:rPr>
        <w:t xml:space="preserve">svarbu perskaityti </w:t>
      </w:r>
      <w:proofErr w:type="spellStart"/>
      <w:r w:rsidRPr="00273A3E">
        <w:rPr>
          <w:rFonts w:ascii="Times New Roman" w:hAnsi="Times New Roman"/>
          <w:lang w:val="lt-LT"/>
        </w:rPr>
        <w:t>palbociklibo</w:t>
      </w:r>
      <w:proofErr w:type="spellEnd"/>
      <w:r w:rsidRPr="00273A3E">
        <w:rPr>
          <w:rFonts w:ascii="Times New Roman" w:hAnsi="Times New Roman"/>
          <w:lang w:val="lt-LT"/>
        </w:rPr>
        <w:t xml:space="preserve"> pakuotės lapelį. Jeigu kiltų bet kokių klausimų dėl </w:t>
      </w:r>
      <w:proofErr w:type="spellStart"/>
      <w:r w:rsidRPr="00273A3E">
        <w:rPr>
          <w:rFonts w:ascii="Times New Roman" w:hAnsi="Times New Roman"/>
          <w:lang w:val="lt-LT"/>
        </w:rPr>
        <w:t>palbociklibo</w:t>
      </w:r>
      <w:proofErr w:type="spellEnd"/>
      <w:r w:rsidRPr="00273A3E">
        <w:rPr>
          <w:rFonts w:ascii="Times New Roman" w:hAnsi="Times New Roman"/>
          <w:lang w:val="lt-LT"/>
        </w:rPr>
        <w:t>, klaus</w:t>
      </w:r>
      <w:r w:rsidR="002E236B" w:rsidRPr="00273A3E">
        <w:rPr>
          <w:rFonts w:ascii="Times New Roman" w:hAnsi="Times New Roman"/>
          <w:lang w:val="lt-LT"/>
        </w:rPr>
        <w:t>kite</w:t>
      </w:r>
      <w:r w:rsidRPr="00273A3E">
        <w:rPr>
          <w:rFonts w:ascii="Times New Roman" w:hAnsi="Times New Roman"/>
          <w:lang w:val="lt-LT"/>
        </w:rPr>
        <w:t xml:space="preserve"> gydytojo.</w:t>
      </w:r>
    </w:p>
    <w:p w14:paraId="30A80748" w14:textId="77777777" w:rsidR="001E5C66" w:rsidRPr="00273A3E" w:rsidRDefault="001E5C66" w:rsidP="00914779">
      <w:pPr>
        <w:tabs>
          <w:tab w:val="left" w:pos="567"/>
        </w:tabs>
        <w:spacing w:after="0" w:line="240" w:lineRule="auto"/>
        <w:rPr>
          <w:rFonts w:ascii="Times New Roman" w:hAnsi="Times New Roman"/>
          <w:lang w:val="lt-LT"/>
        </w:rPr>
      </w:pPr>
    </w:p>
    <w:p w14:paraId="392C1DFD" w14:textId="77777777" w:rsidR="001E5C66" w:rsidRPr="00273A3E" w:rsidRDefault="001E5C66" w:rsidP="00914779">
      <w:pPr>
        <w:tabs>
          <w:tab w:val="left" w:pos="567"/>
        </w:tabs>
        <w:spacing w:after="0" w:line="240" w:lineRule="auto"/>
        <w:rPr>
          <w:rFonts w:ascii="Times New Roman" w:hAnsi="Times New Roman"/>
          <w:lang w:val="lt-LT"/>
        </w:rPr>
      </w:pPr>
    </w:p>
    <w:p w14:paraId="6C8752AB" w14:textId="77777777" w:rsidR="001E5C66" w:rsidRPr="00273A3E" w:rsidRDefault="001E5C66" w:rsidP="00914779">
      <w:pPr>
        <w:keepNext/>
        <w:tabs>
          <w:tab w:val="left" w:pos="567"/>
        </w:tabs>
        <w:spacing w:after="0" w:line="240" w:lineRule="auto"/>
        <w:rPr>
          <w:rFonts w:ascii="Times New Roman" w:hAnsi="Times New Roman"/>
          <w:b/>
          <w:lang w:val="lt-LT"/>
        </w:rPr>
      </w:pPr>
      <w:r w:rsidRPr="00273A3E">
        <w:rPr>
          <w:rFonts w:ascii="Times New Roman" w:hAnsi="Times New Roman"/>
          <w:b/>
          <w:lang w:val="lt-LT"/>
        </w:rPr>
        <w:t>2.</w:t>
      </w:r>
      <w:r w:rsidRPr="00273A3E">
        <w:rPr>
          <w:rFonts w:ascii="Times New Roman" w:hAnsi="Times New Roman"/>
          <w:b/>
          <w:lang w:val="lt-LT"/>
        </w:rPr>
        <w:tab/>
        <w:t xml:space="preserve">Kas žinotina prieš </w:t>
      </w:r>
      <w:r w:rsidR="002E236B" w:rsidRPr="00273A3E">
        <w:rPr>
          <w:rFonts w:ascii="Times New Roman" w:hAnsi="Times New Roman"/>
          <w:b/>
          <w:lang w:val="lt-LT"/>
        </w:rPr>
        <w:t>Jums skiriant</w:t>
      </w:r>
      <w:r w:rsidRPr="00273A3E">
        <w:rPr>
          <w:rFonts w:ascii="Times New Roman" w:hAnsi="Times New Roman"/>
          <w:b/>
          <w:lang w:val="lt-LT"/>
        </w:rPr>
        <w:t xml:space="preserve"> </w:t>
      </w:r>
      <w:proofErr w:type="spellStart"/>
      <w:r w:rsidR="009D7D8C" w:rsidRPr="00273A3E">
        <w:rPr>
          <w:rFonts w:ascii="Times New Roman" w:hAnsi="Times New Roman"/>
          <w:b/>
          <w:lang w:val="lt-LT"/>
        </w:rPr>
        <w:t>Fulvestrant</w:t>
      </w:r>
      <w:proofErr w:type="spellEnd"/>
      <w:r w:rsidR="009D7D8C" w:rsidRPr="00273A3E">
        <w:rPr>
          <w:rFonts w:ascii="Times New Roman" w:hAnsi="Times New Roman"/>
          <w:b/>
          <w:lang w:val="lt-LT"/>
        </w:rPr>
        <w:t xml:space="preserve"> </w:t>
      </w:r>
      <w:proofErr w:type="spellStart"/>
      <w:r w:rsidR="00ED28CB" w:rsidRPr="00273A3E">
        <w:rPr>
          <w:rFonts w:ascii="Times New Roman" w:hAnsi="Times New Roman"/>
          <w:b/>
          <w:lang w:val="lt-LT"/>
        </w:rPr>
        <w:t>Orion</w:t>
      </w:r>
      <w:proofErr w:type="spellEnd"/>
    </w:p>
    <w:p w14:paraId="1E7B4935" w14:textId="77777777" w:rsidR="001E5C66" w:rsidRPr="00273A3E" w:rsidRDefault="001E5C66" w:rsidP="00914779">
      <w:pPr>
        <w:keepNext/>
        <w:tabs>
          <w:tab w:val="left" w:pos="567"/>
        </w:tabs>
        <w:spacing w:after="0" w:line="240" w:lineRule="auto"/>
        <w:rPr>
          <w:rFonts w:ascii="Times New Roman" w:hAnsi="Times New Roman"/>
          <w:b/>
          <w:lang w:val="lt-LT"/>
        </w:rPr>
      </w:pPr>
    </w:p>
    <w:p w14:paraId="7AB43D0F" w14:textId="77777777" w:rsidR="001E5C66" w:rsidRPr="00273A3E" w:rsidRDefault="00C86E9E" w:rsidP="009F71ED">
      <w:pPr>
        <w:keepNext/>
        <w:tabs>
          <w:tab w:val="left" w:pos="567"/>
        </w:tabs>
        <w:spacing w:after="0" w:line="240" w:lineRule="auto"/>
        <w:rPr>
          <w:rFonts w:ascii="Times New Roman" w:hAnsi="Times New Roman"/>
          <w:b/>
          <w:lang w:val="lt-LT"/>
        </w:rPr>
      </w:pPr>
      <w:proofErr w:type="spellStart"/>
      <w:r w:rsidRPr="00273A3E">
        <w:rPr>
          <w:rFonts w:ascii="Times New Roman" w:hAnsi="Times New Roman"/>
          <w:b/>
          <w:lang w:val="lt-LT"/>
        </w:rPr>
        <w:t>Fulvestrant</w:t>
      </w:r>
      <w:proofErr w:type="spellEnd"/>
      <w:r w:rsidRPr="00273A3E">
        <w:rPr>
          <w:rFonts w:ascii="Times New Roman" w:hAnsi="Times New Roman"/>
          <w:b/>
          <w:lang w:val="lt-LT"/>
        </w:rPr>
        <w:t xml:space="preserve"> </w:t>
      </w:r>
      <w:proofErr w:type="spellStart"/>
      <w:r w:rsidRPr="00273A3E">
        <w:rPr>
          <w:rFonts w:ascii="Times New Roman" w:hAnsi="Times New Roman"/>
          <w:b/>
          <w:lang w:val="lt-LT"/>
        </w:rPr>
        <w:t>Orion</w:t>
      </w:r>
      <w:proofErr w:type="spellEnd"/>
      <w:r w:rsidRPr="00273A3E">
        <w:rPr>
          <w:rFonts w:ascii="Times New Roman" w:hAnsi="Times New Roman"/>
          <w:b/>
          <w:lang w:val="lt-LT"/>
        </w:rPr>
        <w:t xml:space="preserve"> </w:t>
      </w:r>
      <w:r w:rsidR="001E5C66" w:rsidRPr="00273A3E">
        <w:rPr>
          <w:rFonts w:ascii="Times New Roman" w:hAnsi="Times New Roman"/>
          <w:b/>
          <w:lang w:val="lt-LT"/>
        </w:rPr>
        <w:t xml:space="preserve">vartoti </w:t>
      </w:r>
      <w:r w:rsidR="00ED228C" w:rsidRPr="00273A3E">
        <w:rPr>
          <w:rFonts w:ascii="Times New Roman" w:hAnsi="Times New Roman"/>
          <w:b/>
          <w:lang w:val="lt-LT"/>
        </w:rPr>
        <w:t>draudžiama</w:t>
      </w:r>
      <w:r w:rsidR="001E5C66" w:rsidRPr="00273A3E">
        <w:rPr>
          <w:rFonts w:ascii="Times New Roman" w:hAnsi="Times New Roman"/>
          <w:b/>
          <w:lang w:val="lt-LT"/>
        </w:rPr>
        <w:t>:</w:t>
      </w:r>
    </w:p>
    <w:p w14:paraId="6F975B3D" w14:textId="77777777" w:rsidR="001E5C66" w:rsidRPr="00273A3E" w:rsidRDefault="001E5C66" w:rsidP="00363B73">
      <w:pPr>
        <w:numPr>
          <w:ilvl w:val="0"/>
          <w:numId w:val="20"/>
        </w:num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 xml:space="preserve">jeigu yra alergija </w:t>
      </w:r>
      <w:proofErr w:type="spellStart"/>
      <w:r w:rsidRPr="00273A3E">
        <w:rPr>
          <w:rFonts w:ascii="Times New Roman" w:hAnsi="Times New Roman"/>
          <w:lang w:val="lt-LT"/>
        </w:rPr>
        <w:t>fulvestrantui</w:t>
      </w:r>
      <w:proofErr w:type="spellEnd"/>
      <w:r w:rsidRPr="00273A3E">
        <w:rPr>
          <w:rFonts w:ascii="Times New Roman" w:hAnsi="Times New Roman"/>
          <w:lang w:val="lt-LT"/>
        </w:rPr>
        <w:t xml:space="preserve"> arba bet kuriai pagalbinei šio vaisto medžiagai (jos išvardytos 6</w:t>
      </w:r>
      <w:r w:rsidR="00FF0074" w:rsidRPr="00273A3E">
        <w:rPr>
          <w:rFonts w:ascii="Times New Roman" w:hAnsi="Times New Roman"/>
          <w:lang w:val="lt-LT"/>
        </w:rPr>
        <w:t> skyri</w:t>
      </w:r>
      <w:r w:rsidRPr="00273A3E">
        <w:rPr>
          <w:rFonts w:ascii="Times New Roman" w:hAnsi="Times New Roman"/>
          <w:lang w:val="lt-LT"/>
        </w:rPr>
        <w:t>uje);</w:t>
      </w:r>
    </w:p>
    <w:p w14:paraId="1C94177E" w14:textId="77777777" w:rsidR="001E5C66" w:rsidRPr="00273A3E" w:rsidRDefault="001E5C66" w:rsidP="00363B73">
      <w:pPr>
        <w:numPr>
          <w:ilvl w:val="0"/>
          <w:numId w:val="20"/>
        </w:num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jeigu esate nėščia arba žind</w:t>
      </w:r>
      <w:r w:rsidR="002E236B" w:rsidRPr="00273A3E">
        <w:rPr>
          <w:rFonts w:ascii="Times New Roman" w:hAnsi="Times New Roman"/>
          <w:lang w:val="lt-LT"/>
        </w:rPr>
        <w:t>ote</w:t>
      </w:r>
      <w:r w:rsidR="00363B73" w:rsidRPr="00273A3E">
        <w:rPr>
          <w:rFonts w:ascii="Times New Roman" w:hAnsi="Times New Roman"/>
          <w:lang w:val="lt-LT"/>
        </w:rPr>
        <w:t xml:space="preserve"> (žr. skyrių „Nėštumas ir žindymo laikotarpis“)</w:t>
      </w:r>
      <w:r w:rsidRPr="00273A3E">
        <w:rPr>
          <w:rFonts w:ascii="Times New Roman" w:hAnsi="Times New Roman"/>
          <w:lang w:val="lt-LT"/>
        </w:rPr>
        <w:t>;</w:t>
      </w:r>
    </w:p>
    <w:p w14:paraId="7855F8A3" w14:textId="77777777" w:rsidR="001E5C66" w:rsidRPr="00273A3E" w:rsidRDefault="001E5C66" w:rsidP="00363B73">
      <w:pPr>
        <w:numPr>
          <w:ilvl w:val="0"/>
          <w:numId w:val="20"/>
        </w:num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 xml:space="preserve">jeigu </w:t>
      </w:r>
      <w:r w:rsidR="002E236B" w:rsidRPr="00273A3E">
        <w:rPr>
          <w:rFonts w:ascii="Times New Roman" w:hAnsi="Times New Roman"/>
          <w:lang w:val="lt-LT"/>
        </w:rPr>
        <w:t xml:space="preserve">Jums yra sunkus </w:t>
      </w:r>
      <w:r w:rsidRPr="00273A3E">
        <w:rPr>
          <w:rFonts w:ascii="Times New Roman" w:hAnsi="Times New Roman"/>
          <w:lang w:val="lt-LT"/>
        </w:rPr>
        <w:t>kepenų</w:t>
      </w:r>
      <w:r w:rsidR="002E236B" w:rsidRPr="00273A3E">
        <w:rPr>
          <w:rFonts w:ascii="Times New Roman" w:hAnsi="Times New Roman"/>
          <w:lang w:val="lt-LT"/>
        </w:rPr>
        <w:t xml:space="preserve"> funkcijos sutrikimas</w:t>
      </w:r>
      <w:r w:rsidR="0053514B" w:rsidRPr="00273A3E">
        <w:rPr>
          <w:rFonts w:ascii="Times New Roman" w:hAnsi="Times New Roman"/>
          <w:lang w:val="lt-LT"/>
        </w:rPr>
        <w:t>.</w:t>
      </w:r>
    </w:p>
    <w:p w14:paraId="15308A71" w14:textId="77777777" w:rsidR="001E5C66" w:rsidRPr="00273A3E" w:rsidRDefault="001E5C66" w:rsidP="00914779">
      <w:pPr>
        <w:tabs>
          <w:tab w:val="left" w:pos="567"/>
        </w:tabs>
        <w:spacing w:after="0" w:line="240" w:lineRule="auto"/>
        <w:rPr>
          <w:rFonts w:ascii="Times New Roman" w:hAnsi="Times New Roman"/>
          <w:lang w:val="lt-LT"/>
        </w:rPr>
      </w:pPr>
    </w:p>
    <w:p w14:paraId="023BC308" w14:textId="77777777" w:rsidR="001E5C66" w:rsidRPr="00273A3E" w:rsidRDefault="001E5C66" w:rsidP="009F71ED">
      <w:pPr>
        <w:keepNext/>
        <w:tabs>
          <w:tab w:val="left" w:pos="567"/>
        </w:tabs>
        <w:spacing w:after="0" w:line="240" w:lineRule="auto"/>
        <w:rPr>
          <w:rFonts w:ascii="Times New Roman" w:hAnsi="Times New Roman"/>
          <w:b/>
          <w:lang w:val="lt-LT"/>
        </w:rPr>
      </w:pPr>
      <w:r w:rsidRPr="00273A3E">
        <w:rPr>
          <w:rFonts w:ascii="Times New Roman" w:hAnsi="Times New Roman"/>
          <w:b/>
          <w:lang w:val="lt-LT"/>
        </w:rPr>
        <w:lastRenderedPageBreak/>
        <w:t xml:space="preserve">Įspėjimai ir atsargumo priemonės </w:t>
      </w:r>
    </w:p>
    <w:p w14:paraId="49B5C34D" w14:textId="77777777" w:rsidR="001E5C66" w:rsidRPr="00273A3E" w:rsidRDefault="001E5C66" w:rsidP="009F71ED">
      <w:pPr>
        <w:numPr>
          <w:ilvl w:val="12"/>
          <w:numId w:val="0"/>
        </w:numPr>
        <w:tabs>
          <w:tab w:val="left" w:pos="0"/>
          <w:tab w:val="left" w:pos="567"/>
        </w:tabs>
        <w:spacing w:after="0" w:line="240" w:lineRule="auto"/>
        <w:rPr>
          <w:rFonts w:ascii="Times New Roman" w:hAnsi="Times New Roman"/>
          <w:lang w:val="lt-LT"/>
        </w:rPr>
      </w:pPr>
      <w:r w:rsidRPr="00273A3E">
        <w:rPr>
          <w:rFonts w:ascii="Times New Roman" w:hAnsi="Times New Roman"/>
          <w:lang w:val="lt-LT"/>
        </w:rPr>
        <w:t xml:space="preserve">Pasitarkite su gydytoju, vaistininku arba slaugytoju, prieš pradėdami vartoti </w:t>
      </w:r>
      <w:proofErr w:type="spellStart"/>
      <w:r w:rsidR="009D7D8C" w:rsidRPr="00273A3E">
        <w:rPr>
          <w:rFonts w:ascii="Times New Roman" w:hAnsi="Times New Roman"/>
          <w:lang w:val="lt-LT"/>
        </w:rPr>
        <w:t>Fulvestrant</w:t>
      </w:r>
      <w:proofErr w:type="spellEnd"/>
      <w:r w:rsidR="009D7D8C" w:rsidRPr="00273A3E">
        <w:rPr>
          <w:rFonts w:ascii="Times New Roman" w:hAnsi="Times New Roman"/>
          <w:lang w:val="lt-LT"/>
        </w:rPr>
        <w:t xml:space="preserve"> </w:t>
      </w:r>
      <w:proofErr w:type="spellStart"/>
      <w:r w:rsidR="00ED28CB" w:rsidRPr="00273A3E">
        <w:rPr>
          <w:rFonts w:ascii="Times New Roman" w:hAnsi="Times New Roman"/>
          <w:lang w:val="lt-LT"/>
        </w:rPr>
        <w:t>Orion</w:t>
      </w:r>
      <w:proofErr w:type="spellEnd"/>
      <w:r w:rsidRPr="00273A3E">
        <w:rPr>
          <w:rFonts w:ascii="Times New Roman" w:hAnsi="Times New Roman"/>
          <w:lang w:val="lt-LT"/>
        </w:rPr>
        <w:t>, jeigu Jums tinka bet kuri iš šių situacijų:</w:t>
      </w:r>
    </w:p>
    <w:p w14:paraId="5D12400F" w14:textId="77777777" w:rsidR="001E5C66" w:rsidRPr="00273A3E" w:rsidRDefault="001E5C66" w:rsidP="009F71ED">
      <w:pPr>
        <w:numPr>
          <w:ilvl w:val="0"/>
          <w:numId w:val="21"/>
        </w:numPr>
        <w:tabs>
          <w:tab w:val="left" w:pos="0"/>
          <w:tab w:val="left" w:pos="567"/>
        </w:tabs>
        <w:spacing w:after="0" w:line="240" w:lineRule="auto"/>
        <w:ind w:left="0" w:firstLine="0"/>
        <w:rPr>
          <w:rFonts w:ascii="Times New Roman" w:hAnsi="Times New Roman"/>
          <w:lang w:val="lt-LT"/>
        </w:rPr>
      </w:pPr>
      <w:r w:rsidRPr="00273A3E">
        <w:rPr>
          <w:rFonts w:ascii="Times New Roman" w:hAnsi="Times New Roman"/>
          <w:lang w:val="lt-LT"/>
        </w:rPr>
        <w:t xml:space="preserve">inkstų arba kepenų </w:t>
      </w:r>
      <w:r w:rsidR="00995010" w:rsidRPr="00273A3E">
        <w:rPr>
          <w:rFonts w:ascii="Times New Roman" w:hAnsi="Times New Roman"/>
          <w:lang w:val="lt-LT"/>
        </w:rPr>
        <w:t>sutrikimai</w:t>
      </w:r>
      <w:r w:rsidRPr="00273A3E">
        <w:rPr>
          <w:rFonts w:ascii="Times New Roman" w:hAnsi="Times New Roman"/>
          <w:lang w:val="lt-LT"/>
        </w:rPr>
        <w:t>;</w:t>
      </w:r>
    </w:p>
    <w:p w14:paraId="20305D30" w14:textId="77777777" w:rsidR="001E5C66" w:rsidRPr="00273A3E" w:rsidRDefault="006A672A" w:rsidP="009F71ED">
      <w:pPr>
        <w:numPr>
          <w:ilvl w:val="0"/>
          <w:numId w:val="21"/>
        </w:numPr>
        <w:tabs>
          <w:tab w:val="left" w:pos="0"/>
          <w:tab w:val="left" w:pos="567"/>
        </w:tabs>
        <w:spacing w:after="0" w:line="240" w:lineRule="auto"/>
        <w:ind w:left="0" w:firstLine="0"/>
        <w:rPr>
          <w:rFonts w:ascii="Times New Roman" w:hAnsi="Times New Roman"/>
          <w:lang w:val="lt-LT"/>
        </w:rPr>
      </w:pPr>
      <w:r w:rsidRPr="00273A3E">
        <w:rPr>
          <w:rFonts w:ascii="Times New Roman" w:hAnsi="Times New Roman"/>
          <w:lang w:val="lt-LT"/>
        </w:rPr>
        <w:t>kraujyje mažai</w:t>
      </w:r>
      <w:r w:rsidR="001E5C66" w:rsidRPr="00273A3E">
        <w:rPr>
          <w:rFonts w:ascii="Times New Roman" w:hAnsi="Times New Roman"/>
          <w:lang w:val="lt-LT"/>
        </w:rPr>
        <w:t xml:space="preserve"> trombocitų</w:t>
      </w:r>
      <w:r w:rsidR="001654ED" w:rsidRPr="00273A3E">
        <w:rPr>
          <w:rFonts w:ascii="Times New Roman" w:hAnsi="Times New Roman"/>
          <w:lang w:val="lt-LT"/>
        </w:rPr>
        <w:t xml:space="preserve"> (kraujo plokštelių,</w:t>
      </w:r>
      <w:r w:rsidR="001E5C66" w:rsidRPr="00273A3E">
        <w:rPr>
          <w:rFonts w:ascii="Times New Roman" w:hAnsi="Times New Roman"/>
          <w:lang w:val="lt-LT"/>
        </w:rPr>
        <w:t xml:space="preserve"> </w:t>
      </w:r>
      <w:r w:rsidRPr="00273A3E">
        <w:rPr>
          <w:rFonts w:ascii="Times New Roman" w:hAnsi="Times New Roman"/>
          <w:lang w:val="lt-LT"/>
        </w:rPr>
        <w:t>jie</w:t>
      </w:r>
      <w:r w:rsidR="001E5C66" w:rsidRPr="00273A3E">
        <w:rPr>
          <w:rFonts w:ascii="Times New Roman" w:hAnsi="Times New Roman"/>
          <w:lang w:val="lt-LT"/>
        </w:rPr>
        <w:t xml:space="preserve"> padeda kraujui krešėti) ar kraujavimo sutrikimai;</w:t>
      </w:r>
    </w:p>
    <w:p w14:paraId="7A73B6D4" w14:textId="77777777" w:rsidR="001E5C66" w:rsidRPr="00273A3E" w:rsidRDefault="005E7032" w:rsidP="009F71ED">
      <w:pPr>
        <w:numPr>
          <w:ilvl w:val="0"/>
          <w:numId w:val="21"/>
        </w:numPr>
        <w:tabs>
          <w:tab w:val="left" w:pos="0"/>
          <w:tab w:val="left" w:pos="567"/>
        </w:tabs>
        <w:spacing w:after="0" w:line="240" w:lineRule="auto"/>
        <w:ind w:left="0" w:firstLine="0"/>
        <w:rPr>
          <w:rFonts w:ascii="Times New Roman" w:hAnsi="Times New Roman"/>
          <w:lang w:val="lt-LT"/>
        </w:rPr>
      </w:pPr>
      <w:r w:rsidRPr="00273A3E">
        <w:rPr>
          <w:rFonts w:ascii="Times New Roman" w:hAnsi="Times New Roman"/>
          <w:lang w:val="lt-LT"/>
        </w:rPr>
        <w:t xml:space="preserve">anksčiau </w:t>
      </w:r>
      <w:r w:rsidR="001E5C66" w:rsidRPr="00273A3E">
        <w:rPr>
          <w:rFonts w:ascii="Times New Roman" w:hAnsi="Times New Roman"/>
          <w:lang w:val="lt-LT"/>
        </w:rPr>
        <w:t>buv</w:t>
      </w:r>
      <w:r w:rsidR="001E7DF5" w:rsidRPr="00273A3E">
        <w:rPr>
          <w:rFonts w:ascii="Times New Roman" w:hAnsi="Times New Roman"/>
          <w:lang w:val="lt-LT"/>
        </w:rPr>
        <w:t>ę</w:t>
      </w:r>
      <w:r w:rsidR="001E5C66" w:rsidRPr="00273A3E">
        <w:rPr>
          <w:rFonts w:ascii="Times New Roman" w:hAnsi="Times New Roman"/>
          <w:lang w:val="lt-LT"/>
        </w:rPr>
        <w:t xml:space="preserve"> </w:t>
      </w:r>
      <w:r w:rsidR="00AF1F3C" w:rsidRPr="00273A3E">
        <w:rPr>
          <w:rFonts w:ascii="Times New Roman" w:hAnsi="Times New Roman"/>
          <w:lang w:val="lt-LT"/>
        </w:rPr>
        <w:t xml:space="preserve">sutrikimai dėl </w:t>
      </w:r>
      <w:r w:rsidR="001E5C66" w:rsidRPr="00273A3E">
        <w:rPr>
          <w:rFonts w:ascii="Times New Roman" w:hAnsi="Times New Roman"/>
          <w:lang w:val="lt-LT"/>
        </w:rPr>
        <w:t>kraujo krešulių;</w:t>
      </w:r>
    </w:p>
    <w:p w14:paraId="4439CC4A" w14:textId="77777777" w:rsidR="001E5C66" w:rsidRPr="00273A3E" w:rsidRDefault="001E5C66" w:rsidP="009F71ED">
      <w:pPr>
        <w:numPr>
          <w:ilvl w:val="0"/>
          <w:numId w:val="21"/>
        </w:numPr>
        <w:tabs>
          <w:tab w:val="left" w:pos="0"/>
          <w:tab w:val="left" w:pos="567"/>
        </w:tabs>
        <w:spacing w:after="0" w:line="240" w:lineRule="auto"/>
        <w:ind w:left="0" w:firstLine="0"/>
        <w:rPr>
          <w:rFonts w:ascii="Times New Roman" w:hAnsi="Times New Roman"/>
          <w:lang w:val="lt-LT"/>
        </w:rPr>
      </w:pPr>
      <w:r w:rsidRPr="00273A3E">
        <w:rPr>
          <w:rFonts w:ascii="Times New Roman" w:hAnsi="Times New Roman"/>
          <w:lang w:val="lt-LT"/>
        </w:rPr>
        <w:t xml:space="preserve">osteoporozė (kaulų tankio </w:t>
      </w:r>
      <w:r w:rsidR="00AB0A8F" w:rsidRPr="00273A3E">
        <w:rPr>
          <w:rFonts w:ascii="Times New Roman" w:hAnsi="Times New Roman"/>
          <w:lang w:val="lt-LT"/>
        </w:rPr>
        <w:t>sumažėjimas</w:t>
      </w:r>
      <w:r w:rsidRPr="00273A3E">
        <w:rPr>
          <w:rFonts w:ascii="Times New Roman" w:hAnsi="Times New Roman"/>
          <w:lang w:val="lt-LT"/>
        </w:rPr>
        <w:t>);</w:t>
      </w:r>
    </w:p>
    <w:p w14:paraId="785F14A9" w14:textId="77777777" w:rsidR="001E5C66" w:rsidRPr="00273A3E" w:rsidRDefault="001E5C66" w:rsidP="009F71ED">
      <w:pPr>
        <w:numPr>
          <w:ilvl w:val="0"/>
          <w:numId w:val="21"/>
        </w:numPr>
        <w:tabs>
          <w:tab w:val="left" w:pos="0"/>
          <w:tab w:val="left" w:pos="567"/>
        </w:tabs>
        <w:spacing w:after="0" w:line="240" w:lineRule="auto"/>
        <w:ind w:left="0" w:firstLine="0"/>
        <w:rPr>
          <w:rFonts w:ascii="Times New Roman" w:hAnsi="Times New Roman"/>
          <w:lang w:val="lt-LT"/>
        </w:rPr>
      </w:pPr>
      <w:r w:rsidRPr="00273A3E">
        <w:rPr>
          <w:rFonts w:ascii="Times New Roman" w:hAnsi="Times New Roman"/>
          <w:lang w:val="lt-LT"/>
        </w:rPr>
        <w:t>alkoholizmas</w:t>
      </w:r>
      <w:r w:rsidR="00363B73" w:rsidRPr="00273A3E">
        <w:rPr>
          <w:rFonts w:ascii="Times New Roman" w:hAnsi="Times New Roman"/>
          <w:lang w:val="lt-LT"/>
        </w:rPr>
        <w:t xml:space="preserve"> (žr. skyrių „</w:t>
      </w:r>
      <w:proofErr w:type="spellStart"/>
      <w:r w:rsidR="00363B73" w:rsidRPr="00273A3E">
        <w:rPr>
          <w:rFonts w:ascii="Times New Roman" w:hAnsi="Times New Roman"/>
          <w:lang w:val="lt-LT"/>
        </w:rPr>
        <w:t>Fulvestrant</w:t>
      </w:r>
      <w:proofErr w:type="spellEnd"/>
      <w:r w:rsidR="00363B73" w:rsidRPr="00273A3E">
        <w:rPr>
          <w:rFonts w:ascii="Times New Roman" w:hAnsi="Times New Roman"/>
          <w:lang w:val="lt-LT"/>
        </w:rPr>
        <w:t xml:space="preserve"> </w:t>
      </w:r>
      <w:proofErr w:type="spellStart"/>
      <w:r w:rsidR="00363B73" w:rsidRPr="00273A3E">
        <w:rPr>
          <w:rFonts w:ascii="Times New Roman" w:hAnsi="Times New Roman"/>
          <w:lang w:val="lt-LT"/>
        </w:rPr>
        <w:t>Orion</w:t>
      </w:r>
      <w:proofErr w:type="spellEnd"/>
      <w:r w:rsidR="00363B73" w:rsidRPr="00273A3E">
        <w:rPr>
          <w:rFonts w:ascii="Times New Roman" w:hAnsi="Times New Roman"/>
          <w:lang w:val="lt-LT"/>
        </w:rPr>
        <w:t xml:space="preserve"> sudėtyje yra </w:t>
      </w:r>
      <w:r w:rsidR="00404F08" w:rsidRPr="00273A3E">
        <w:rPr>
          <w:rFonts w:ascii="Times New Roman" w:hAnsi="Times New Roman"/>
          <w:lang w:val="lt-LT"/>
        </w:rPr>
        <w:t>96 % etanolio (alkoholio)).</w:t>
      </w:r>
    </w:p>
    <w:p w14:paraId="72A8992B" w14:textId="77777777" w:rsidR="001E5C66" w:rsidRPr="00273A3E" w:rsidRDefault="001E5C66" w:rsidP="00914779">
      <w:pPr>
        <w:tabs>
          <w:tab w:val="left" w:pos="0"/>
          <w:tab w:val="left" w:pos="567"/>
        </w:tabs>
        <w:spacing w:after="0" w:line="240" w:lineRule="auto"/>
        <w:rPr>
          <w:rFonts w:ascii="Times New Roman" w:hAnsi="Times New Roman"/>
          <w:b/>
          <w:lang w:val="lt-LT"/>
        </w:rPr>
      </w:pPr>
    </w:p>
    <w:p w14:paraId="4908F78A" w14:textId="77777777" w:rsidR="001E5C66" w:rsidRPr="00273A3E" w:rsidRDefault="001E5C66" w:rsidP="009F71ED">
      <w:pPr>
        <w:numPr>
          <w:ilvl w:val="12"/>
          <w:numId w:val="0"/>
        </w:numPr>
        <w:tabs>
          <w:tab w:val="left" w:pos="0"/>
          <w:tab w:val="left" w:pos="567"/>
        </w:tabs>
        <w:spacing w:after="0" w:line="240" w:lineRule="auto"/>
        <w:rPr>
          <w:rFonts w:ascii="Times New Roman" w:hAnsi="Times New Roman"/>
          <w:b/>
          <w:lang w:val="lt-LT"/>
        </w:rPr>
      </w:pPr>
      <w:r w:rsidRPr="00273A3E">
        <w:rPr>
          <w:rFonts w:ascii="Times New Roman" w:hAnsi="Times New Roman"/>
          <w:b/>
          <w:lang w:val="lt-LT"/>
        </w:rPr>
        <w:t>Vaikams ir paaugliams</w:t>
      </w:r>
    </w:p>
    <w:p w14:paraId="780D38C7" w14:textId="77777777" w:rsidR="001E5C66" w:rsidRPr="00273A3E" w:rsidRDefault="00C86E9E" w:rsidP="009F71ED">
      <w:pPr>
        <w:numPr>
          <w:ilvl w:val="12"/>
          <w:numId w:val="0"/>
        </w:numPr>
        <w:tabs>
          <w:tab w:val="left" w:pos="0"/>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404F08" w:rsidRPr="00273A3E">
        <w:rPr>
          <w:rFonts w:ascii="Times New Roman" w:hAnsi="Times New Roman"/>
          <w:lang w:val="lt-LT"/>
        </w:rPr>
        <w:t>netinka vaikams ir jaun</w:t>
      </w:r>
      <w:r w:rsidR="00597717" w:rsidRPr="00273A3E">
        <w:rPr>
          <w:rFonts w:ascii="Times New Roman" w:hAnsi="Times New Roman"/>
          <w:lang w:val="lt-LT"/>
        </w:rPr>
        <w:t>esnėms</w:t>
      </w:r>
      <w:r w:rsidR="00404F08" w:rsidRPr="00273A3E">
        <w:rPr>
          <w:rFonts w:ascii="Times New Roman" w:hAnsi="Times New Roman"/>
          <w:lang w:val="lt-LT"/>
        </w:rPr>
        <w:t xml:space="preserve"> kaip 18</w:t>
      </w:r>
      <w:r w:rsidR="00597717" w:rsidRPr="00273A3E">
        <w:rPr>
          <w:rFonts w:ascii="Times New Roman" w:hAnsi="Times New Roman"/>
          <w:lang w:val="lt-LT"/>
        </w:rPr>
        <w:t> </w:t>
      </w:r>
      <w:r w:rsidR="00404F08" w:rsidRPr="00273A3E">
        <w:rPr>
          <w:rFonts w:ascii="Times New Roman" w:hAnsi="Times New Roman"/>
          <w:lang w:val="lt-LT"/>
        </w:rPr>
        <w:t>metų amžiaus paaugl</w:t>
      </w:r>
      <w:r w:rsidR="00597717" w:rsidRPr="00273A3E">
        <w:rPr>
          <w:rFonts w:ascii="Times New Roman" w:hAnsi="Times New Roman"/>
          <w:lang w:val="lt-LT"/>
        </w:rPr>
        <w:t>ėms</w:t>
      </w:r>
      <w:r w:rsidR="00404F08" w:rsidRPr="00273A3E">
        <w:rPr>
          <w:rFonts w:ascii="Times New Roman" w:hAnsi="Times New Roman"/>
          <w:lang w:val="lt-LT"/>
        </w:rPr>
        <w:t xml:space="preserve"> gydyti.</w:t>
      </w:r>
    </w:p>
    <w:p w14:paraId="2E482DB8" w14:textId="77777777" w:rsidR="001E5C66" w:rsidRPr="00273A3E" w:rsidRDefault="001E5C66" w:rsidP="00914779">
      <w:pPr>
        <w:tabs>
          <w:tab w:val="left" w:pos="567"/>
        </w:tabs>
        <w:spacing w:after="0" w:line="240" w:lineRule="auto"/>
        <w:rPr>
          <w:rFonts w:ascii="Times New Roman" w:hAnsi="Times New Roman"/>
          <w:lang w:val="lt-LT"/>
        </w:rPr>
      </w:pPr>
    </w:p>
    <w:p w14:paraId="220EB666" w14:textId="77777777" w:rsidR="001E5C66" w:rsidRPr="00273A3E" w:rsidRDefault="001E5C66" w:rsidP="009F71ED">
      <w:pPr>
        <w:keepNext/>
        <w:tabs>
          <w:tab w:val="left" w:pos="567"/>
        </w:tabs>
        <w:spacing w:after="0" w:line="240" w:lineRule="auto"/>
        <w:rPr>
          <w:rFonts w:ascii="Times New Roman" w:hAnsi="Times New Roman"/>
          <w:b/>
          <w:lang w:val="lt-LT"/>
        </w:rPr>
      </w:pPr>
      <w:r w:rsidRPr="00273A3E">
        <w:rPr>
          <w:rFonts w:ascii="Times New Roman" w:hAnsi="Times New Roman"/>
          <w:b/>
          <w:lang w:val="lt-LT"/>
        </w:rPr>
        <w:t xml:space="preserve">Kiti vaistai ir </w:t>
      </w:r>
      <w:proofErr w:type="spellStart"/>
      <w:r w:rsidR="009D7D8C" w:rsidRPr="00273A3E">
        <w:rPr>
          <w:rFonts w:ascii="Times New Roman" w:hAnsi="Times New Roman"/>
          <w:b/>
          <w:lang w:val="lt-LT"/>
        </w:rPr>
        <w:t>Fulvestrant</w:t>
      </w:r>
      <w:proofErr w:type="spellEnd"/>
      <w:r w:rsidR="009D7D8C" w:rsidRPr="00273A3E">
        <w:rPr>
          <w:rFonts w:ascii="Times New Roman" w:hAnsi="Times New Roman"/>
          <w:b/>
          <w:lang w:val="lt-LT"/>
        </w:rPr>
        <w:t xml:space="preserve"> </w:t>
      </w:r>
      <w:proofErr w:type="spellStart"/>
      <w:r w:rsidR="00ED28CB" w:rsidRPr="00273A3E">
        <w:rPr>
          <w:rFonts w:ascii="Times New Roman" w:hAnsi="Times New Roman"/>
          <w:b/>
          <w:lang w:val="lt-LT"/>
        </w:rPr>
        <w:t>Orion</w:t>
      </w:r>
      <w:proofErr w:type="spellEnd"/>
    </w:p>
    <w:p w14:paraId="297836A1"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Jeigu vartojate ar neseniai vartojote kitų vaistų arba dėl to nesate tikri, apie tai pasakykite gydytojui arba vaistininkui.</w:t>
      </w:r>
    </w:p>
    <w:p w14:paraId="03D49496" w14:textId="77777777" w:rsidR="008911A5" w:rsidRPr="00273A3E" w:rsidRDefault="008911A5" w:rsidP="00914779">
      <w:pPr>
        <w:tabs>
          <w:tab w:val="left" w:pos="567"/>
        </w:tabs>
        <w:spacing w:after="0" w:line="240" w:lineRule="auto"/>
        <w:rPr>
          <w:rFonts w:ascii="Times New Roman" w:hAnsi="Times New Roman"/>
          <w:lang w:val="lt-LT"/>
        </w:rPr>
      </w:pPr>
    </w:p>
    <w:p w14:paraId="0D54E6A8"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Ypač svarbu pasakyti gydytojui, jeigu vartojate antikoaguliantų (vaistų, neleidžiančių atsirasti kraujo krešuliams).</w:t>
      </w:r>
    </w:p>
    <w:p w14:paraId="0D217C4C" w14:textId="77777777" w:rsidR="001E5C66" w:rsidRPr="00273A3E" w:rsidRDefault="001E5C66" w:rsidP="009F71ED">
      <w:pPr>
        <w:tabs>
          <w:tab w:val="left" w:pos="567"/>
        </w:tabs>
        <w:spacing w:after="0" w:line="240" w:lineRule="auto"/>
        <w:rPr>
          <w:rFonts w:ascii="Times New Roman" w:hAnsi="Times New Roman"/>
          <w:lang w:val="lt-LT"/>
        </w:rPr>
      </w:pPr>
    </w:p>
    <w:p w14:paraId="58AA2B1A" w14:textId="77777777" w:rsidR="001E5C66" w:rsidRPr="00273A3E" w:rsidRDefault="001E5C66" w:rsidP="009F71ED">
      <w:pPr>
        <w:keepNext/>
        <w:tabs>
          <w:tab w:val="left" w:pos="567"/>
        </w:tabs>
        <w:spacing w:after="0" w:line="240" w:lineRule="auto"/>
        <w:rPr>
          <w:rFonts w:ascii="Times New Roman" w:hAnsi="Times New Roman"/>
          <w:b/>
          <w:lang w:val="lt-LT"/>
        </w:rPr>
      </w:pPr>
      <w:r w:rsidRPr="00273A3E">
        <w:rPr>
          <w:rFonts w:ascii="Times New Roman" w:hAnsi="Times New Roman"/>
          <w:b/>
          <w:lang w:val="lt-LT"/>
        </w:rPr>
        <w:t>Nėštumas ir žindymo laikotarpis</w:t>
      </w:r>
    </w:p>
    <w:p w14:paraId="134466D4" w14:textId="77777777" w:rsidR="001E5C66" w:rsidRPr="00273A3E" w:rsidRDefault="00C86E9E"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A42123" w:rsidRPr="00273A3E">
        <w:rPr>
          <w:rFonts w:ascii="Times New Roman" w:hAnsi="Times New Roman"/>
          <w:lang w:val="lt-LT"/>
        </w:rPr>
        <w:t>draudžiama</w:t>
      </w:r>
      <w:r w:rsidR="001E5C66" w:rsidRPr="00273A3E">
        <w:rPr>
          <w:rFonts w:ascii="Times New Roman" w:hAnsi="Times New Roman"/>
          <w:lang w:val="lt-LT"/>
        </w:rPr>
        <w:t xml:space="preserve"> vartoti, jeigu esate nėščia. </w:t>
      </w:r>
      <w:r w:rsidR="0068057E" w:rsidRPr="00273A3E">
        <w:rPr>
          <w:rFonts w:ascii="Times New Roman" w:hAnsi="Times New Roman"/>
          <w:lang w:val="lt-LT"/>
        </w:rPr>
        <w:t xml:space="preserve">Jeigu </w:t>
      </w:r>
      <w:r w:rsidR="00E22C3F" w:rsidRPr="00273A3E">
        <w:rPr>
          <w:rFonts w:ascii="Times New Roman" w:hAnsi="Times New Roman"/>
          <w:lang w:val="lt-LT"/>
        </w:rPr>
        <w:t xml:space="preserve">yra </w:t>
      </w:r>
      <w:r w:rsidR="00996858" w:rsidRPr="00273A3E">
        <w:rPr>
          <w:rFonts w:ascii="Times New Roman" w:hAnsi="Times New Roman"/>
          <w:lang w:val="lt-LT"/>
        </w:rPr>
        <w:t>tikimybė</w:t>
      </w:r>
      <w:r w:rsidR="0068057E" w:rsidRPr="00273A3E">
        <w:rPr>
          <w:rFonts w:ascii="Times New Roman" w:hAnsi="Times New Roman"/>
          <w:lang w:val="lt-LT"/>
        </w:rPr>
        <w:t xml:space="preserve"> pastoti,</w:t>
      </w:r>
      <w:r w:rsidR="00060201" w:rsidRPr="00273A3E">
        <w:rPr>
          <w:rFonts w:ascii="Times New Roman" w:hAnsi="Times New Roman"/>
          <w:lang w:val="lt-LT"/>
        </w:rPr>
        <w:t xml:space="preserve"> </w:t>
      </w:r>
      <w:r w:rsidR="001E5C66" w:rsidRPr="00273A3E">
        <w:rPr>
          <w:rFonts w:ascii="Times New Roman" w:hAnsi="Times New Roman"/>
          <w:lang w:val="lt-LT"/>
        </w:rPr>
        <w:t xml:space="preserve">gydymo </w:t>
      </w: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1E5C66" w:rsidRPr="00273A3E">
        <w:rPr>
          <w:rFonts w:ascii="Times New Roman" w:hAnsi="Times New Roman"/>
          <w:lang w:val="lt-LT"/>
        </w:rPr>
        <w:t>laikotarpiu ir 2</w:t>
      </w:r>
      <w:r w:rsidR="00FF0074" w:rsidRPr="00273A3E">
        <w:rPr>
          <w:rFonts w:ascii="Times New Roman" w:hAnsi="Times New Roman"/>
          <w:lang w:val="lt-LT"/>
        </w:rPr>
        <w:t> met</w:t>
      </w:r>
      <w:r w:rsidR="001E5C66" w:rsidRPr="00273A3E">
        <w:rPr>
          <w:rFonts w:ascii="Times New Roman" w:hAnsi="Times New Roman"/>
          <w:lang w:val="lt-LT"/>
        </w:rPr>
        <w:t>us po paskutinės jo dozės</w:t>
      </w:r>
      <w:r w:rsidR="00060201" w:rsidRPr="00273A3E">
        <w:rPr>
          <w:rFonts w:ascii="Times New Roman" w:hAnsi="Times New Roman"/>
          <w:lang w:val="lt-LT"/>
        </w:rPr>
        <w:t xml:space="preserve"> suvartojimo</w:t>
      </w:r>
      <w:r w:rsidR="00BF139E" w:rsidRPr="00273A3E">
        <w:rPr>
          <w:rFonts w:ascii="Times New Roman" w:hAnsi="Times New Roman"/>
          <w:lang w:val="lt-LT"/>
        </w:rPr>
        <w:t>,</w:t>
      </w:r>
      <w:r w:rsidR="001E5C66" w:rsidRPr="00273A3E">
        <w:rPr>
          <w:rFonts w:ascii="Times New Roman" w:hAnsi="Times New Roman"/>
          <w:lang w:val="lt-LT"/>
        </w:rPr>
        <w:t xml:space="preserve"> turi</w:t>
      </w:r>
      <w:r w:rsidR="00091073" w:rsidRPr="00273A3E">
        <w:rPr>
          <w:rFonts w:ascii="Times New Roman" w:hAnsi="Times New Roman"/>
          <w:lang w:val="lt-LT"/>
        </w:rPr>
        <w:t>te</w:t>
      </w:r>
      <w:r w:rsidR="001E5C66" w:rsidRPr="00273A3E">
        <w:rPr>
          <w:rFonts w:ascii="Times New Roman" w:hAnsi="Times New Roman"/>
          <w:lang w:val="lt-LT"/>
        </w:rPr>
        <w:t xml:space="preserve"> taikyti veiksmingą kontracepcij</w:t>
      </w:r>
      <w:r w:rsidR="00E22C3F" w:rsidRPr="00273A3E">
        <w:rPr>
          <w:rFonts w:ascii="Times New Roman" w:hAnsi="Times New Roman"/>
          <w:lang w:val="lt-LT"/>
        </w:rPr>
        <w:t>ą</w:t>
      </w:r>
      <w:r w:rsidR="001E5C66" w:rsidRPr="00273A3E">
        <w:rPr>
          <w:rFonts w:ascii="Times New Roman" w:hAnsi="Times New Roman"/>
          <w:lang w:val="lt-LT"/>
        </w:rPr>
        <w:t>.</w:t>
      </w:r>
    </w:p>
    <w:p w14:paraId="42299973" w14:textId="77777777" w:rsidR="001E5C66" w:rsidRPr="00273A3E" w:rsidRDefault="001E5C66" w:rsidP="009F71ED">
      <w:pPr>
        <w:tabs>
          <w:tab w:val="left" w:pos="567"/>
        </w:tabs>
        <w:spacing w:after="0" w:line="240" w:lineRule="auto"/>
        <w:rPr>
          <w:rFonts w:ascii="Times New Roman" w:hAnsi="Times New Roman"/>
          <w:lang w:val="lt-LT"/>
        </w:rPr>
      </w:pPr>
    </w:p>
    <w:p w14:paraId="50F0A0BA" w14:textId="77777777" w:rsidR="001E5C66" w:rsidRPr="00273A3E" w:rsidRDefault="00631F4C" w:rsidP="009F71ED">
      <w:pPr>
        <w:tabs>
          <w:tab w:val="left" w:pos="567"/>
        </w:tabs>
        <w:spacing w:after="0" w:line="240" w:lineRule="auto"/>
        <w:rPr>
          <w:rFonts w:ascii="Times New Roman" w:hAnsi="Times New Roman"/>
          <w:lang w:val="lt-LT"/>
        </w:rPr>
      </w:pPr>
      <w:r w:rsidRPr="00273A3E">
        <w:rPr>
          <w:rFonts w:ascii="Times New Roman" w:hAnsi="Times New Roman"/>
          <w:lang w:val="lt-LT"/>
        </w:rPr>
        <w:t>Žindyti draudžiama,</w:t>
      </w:r>
      <w:r w:rsidR="001E5C66" w:rsidRPr="00273A3E">
        <w:rPr>
          <w:rFonts w:ascii="Times New Roman" w:hAnsi="Times New Roman"/>
          <w:lang w:val="lt-LT"/>
        </w:rPr>
        <w:t xml:space="preserve"> kol taikomas gydymas </w:t>
      </w:r>
      <w:proofErr w:type="spellStart"/>
      <w:r w:rsidR="009D7D8C" w:rsidRPr="00273A3E">
        <w:rPr>
          <w:rFonts w:ascii="Times New Roman" w:hAnsi="Times New Roman"/>
          <w:lang w:val="lt-LT"/>
        </w:rPr>
        <w:t>Fulvestrant</w:t>
      </w:r>
      <w:proofErr w:type="spellEnd"/>
      <w:r w:rsidR="009D7D8C" w:rsidRPr="00273A3E">
        <w:rPr>
          <w:rFonts w:ascii="Times New Roman" w:hAnsi="Times New Roman"/>
          <w:lang w:val="lt-LT"/>
        </w:rPr>
        <w:t xml:space="preserve"> </w:t>
      </w:r>
      <w:proofErr w:type="spellStart"/>
      <w:r w:rsidR="00ED28CB" w:rsidRPr="00273A3E">
        <w:rPr>
          <w:rFonts w:ascii="Times New Roman" w:hAnsi="Times New Roman"/>
          <w:lang w:val="lt-LT"/>
        </w:rPr>
        <w:t>Orion</w:t>
      </w:r>
      <w:proofErr w:type="spellEnd"/>
      <w:r w:rsidR="001E5C66" w:rsidRPr="00273A3E">
        <w:rPr>
          <w:rFonts w:ascii="Times New Roman" w:hAnsi="Times New Roman"/>
          <w:lang w:val="lt-LT"/>
        </w:rPr>
        <w:t>.</w:t>
      </w:r>
    </w:p>
    <w:p w14:paraId="3A52D224" w14:textId="77777777" w:rsidR="001E5C66" w:rsidRPr="00273A3E" w:rsidRDefault="001E5C66" w:rsidP="009F71ED">
      <w:pPr>
        <w:tabs>
          <w:tab w:val="left" w:pos="567"/>
        </w:tabs>
        <w:spacing w:after="0" w:line="240" w:lineRule="auto"/>
        <w:rPr>
          <w:rFonts w:ascii="Times New Roman" w:hAnsi="Times New Roman"/>
          <w:lang w:val="lt-LT"/>
        </w:rPr>
      </w:pPr>
    </w:p>
    <w:p w14:paraId="16548F5D" w14:textId="77777777" w:rsidR="001E5C66" w:rsidRPr="00273A3E" w:rsidRDefault="001E5C66" w:rsidP="009F71ED">
      <w:pPr>
        <w:tabs>
          <w:tab w:val="left" w:pos="567"/>
        </w:tabs>
        <w:spacing w:after="0" w:line="240" w:lineRule="auto"/>
        <w:rPr>
          <w:rFonts w:ascii="Times New Roman" w:hAnsi="Times New Roman"/>
          <w:b/>
          <w:lang w:val="lt-LT"/>
        </w:rPr>
      </w:pPr>
      <w:r w:rsidRPr="00273A3E">
        <w:rPr>
          <w:rFonts w:ascii="Times New Roman" w:hAnsi="Times New Roman"/>
          <w:b/>
          <w:lang w:val="lt-LT"/>
        </w:rPr>
        <w:t>Vairavimas ir mechanizmų valdymas</w:t>
      </w:r>
    </w:p>
    <w:p w14:paraId="450CA5EC" w14:textId="77777777" w:rsidR="001E5C66" w:rsidRPr="00273A3E" w:rsidRDefault="00C86E9E"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1E5C66" w:rsidRPr="00273A3E">
        <w:rPr>
          <w:rFonts w:ascii="Times New Roman" w:hAnsi="Times New Roman"/>
          <w:lang w:val="lt-LT"/>
        </w:rPr>
        <w:t>gebėjimo vairuoti ir valdyti mechanizmus ne</w:t>
      </w:r>
      <w:r w:rsidR="00337835" w:rsidRPr="00273A3E">
        <w:rPr>
          <w:rFonts w:ascii="Times New Roman" w:hAnsi="Times New Roman"/>
          <w:lang w:val="lt-LT"/>
        </w:rPr>
        <w:t>veikia arba veikia nereikšmingai</w:t>
      </w:r>
      <w:r w:rsidR="001E5C66" w:rsidRPr="00273A3E">
        <w:rPr>
          <w:rFonts w:ascii="Times New Roman" w:hAnsi="Times New Roman"/>
          <w:lang w:val="lt-LT"/>
        </w:rPr>
        <w:t>. Vis dėlto, jeigu po gydymo jaučiate nuovargį, nevairuokite ir nevaldykite mechanizmų.</w:t>
      </w:r>
    </w:p>
    <w:p w14:paraId="11461EFC" w14:textId="77777777" w:rsidR="001E5C66" w:rsidRPr="00273A3E" w:rsidRDefault="001E5C66" w:rsidP="009F71ED">
      <w:pPr>
        <w:tabs>
          <w:tab w:val="left" w:pos="567"/>
        </w:tabs>
        <w:spacing w:after="0" w:line="240" w:lineRule="auto"/>
        <w:rPr>
          <w:rFonts w:ascii="Times New Roman" w:hAnsi="Times New Roman"/>
          <w:b/>
          <w:lang w:val="lt-LT"/>
        </w:rPr>
      </w:pPr>
    </w:p>
    <w:p w14:paraId="4A1F71A1" w14:textId="77777777" w:rsidR="00882628" w:rsidRPr="00273A3E" w:rsidRDefault="00C86E9E" w:rsidP="00914779">
      <w:pPr>
        <w:tabs>
          <w:tab w:val="left" w:pos="567"/>
        </w:tabs>
        <w:autoSpaceDE w:val="0"/>
        <w:autoSpaceDN w:val="0"/>
        <w:adjustRightInd w:val="0"/>
        <w:spacing w:after="0" w:line="240" w:lineRule="auto"/>
        <w:rPr>
          <w:rFonts w:ascii="Times New Roman" w:hAnsi="Times New Roman"/>
          <w:b/>
          <w:lang w:val="lt-LT"/>
        </w:rPr>
      </w:pPr>
      <w:bookmarkStart w:id="8" w:name="_Hlk173395900"/>
      <w:proofErr w:type="spellStart"/>
      <w:r w:rsidRPr="00273A3E">
        <w:rPr>
          <w:rFonts w:ascii="Times New Roman" w:hAnsi="Times New Roman"/>
          <w:b/>
          <w:lang w:val="lt-LT"/>
        </w:rPr>
        <w:t>Fulvestrant</w:t>
      </w:r>
      <w:proofErr w:type="spellEnd"/>
      <w:r w:rsidRPr="00273A3E">
        <w:rPr>
          <w:rFonts w:ascii="Times New Roman" w:hAnsi="Times New Roman"/>
          <w:b/>
          <w:lang w:val="lt-LT"/>
        </w:rPr>
        <w:t xml:space="preserve"> </w:t>
      </w:r>
      <w:proofErr w:type="spellStart"/>
      <w:r w:rsidRPr="00273A3E">
        <w:rPr>
          <w:rFonts w:ascii="Times New Roman" w:hAnsi="Times New Roman"/>
          <w:b/>
          <w:lang w:val="lt-LT"/>
        </w:rPr>
        <w:t>Orion</w:t>
      </w:r>
      <w:proofErr w:type="spellEnd"/>
      <w:r w:rsidRPr="00273A3E">
        <w:rPr>
          <w:rFonts w:ascii="Times New Roman" w:hAnsi="Times New Roman"/>
          <w:b/>
          <w:lang w:val="lt-LT"/>
        </w:rPr>
        <w:t xml:space="preserve"> </w:t>
      </w:r>
      <w:r w:rsidR="00404F08" w:rsidRPr="00273A3E">
        <w:rPr>
          <w:rFonts w:ascii="Times New Roman" w:hAnsi="Times New Roman"/>
          <w:b/>
          <w:lang w:val="lt-LT"/>
        </w:rPr>
        <w:t>sudėtyje yra 96 % etanolio (alkoholio)</w:t>
      </w:r>
      <w:bookmarkEnd w:id="8"/>
    </w:p>
    <w:p w14:paraId="3356FD4A" w14:textId="77777777" w:rsidR="00404F08" w:rsidRPr="00273A3E" w:rsidRDefault="00404F08" w:rsidP="00404F08">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Kiekviename </w:t>
      </w: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užpildytame švirkšte (5 ml) yra iki 500 mg alkoholio (etanolio), tai atitinka 100 mg/ml. Toks vienoje šio vaisto dozėje (t. y. dvejuose užpildytuose švirkštuose) esantis alkoholio kiekis atitinka mažiau kaip 24 ml alaus ar 10 ml vyno.</w:t>
      </w:r>
    </w:p>
    <w:p w14:paraId="2B3FC485" w14:textId="77777777" w:rsidR="002216B2" w:rsidRPr="00273A3E" w:rsidRDefault="002216B2" w:rsidP="00404F08">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Šio vaisto sudėtyje esantis alkoholio kiekis greičiausiai neturės poveikio suaugusi</w:t>
      </w:r>
      <w:r w:rsidR="00597717" w:rsidRPr="00273A3E">
        <w:rPr>
          <w:rFonts w:ascii="Times New Roman" w:hAnsi="Times New Roman"/>
          <w:lang w:val="lt-LT"/>
        </w:rPr>
        <w:t>oms moterims</w:t>
      </w:r>
      <w:r w:rsidRPr="00273A3E">
        <w:rPr>
          <w:rFonts w:ascii="Times New Roman" w:hAnsi="Times New Roman"/>
          <w:lang w:val="lt-LT"/>
        </w:rPr>
        <w:t xml:space="preserve"> ir paaug</w:t>
      </w:r>
      <w:r w:rsidR="00597717" w:rsidRPr="00273A3E">
        <w:rPr>
          <w:rFonts w:ascii="Times New Roman" w:hAnsi="Times New Roman"/>
          <w:lang w:val="lt-LT"/>
        </w:rPr>
        <w:t>lėms</w:t>
      </w:r>
      <w:r w:rsidRPr="00273A3E">
        <w:rPr>
          <w:rFonts w:ascii="Times New Roman" w:hAnsi="Times New Roman"/>
          <w:lang w:val="lt-LT"/>
        </w:rPr>
        <w:t>.</w:t>
      </w:r>
    </w:p>
    <w:p w14:paraId="4862E47A" w14:textId="77777777" w:rsidR="002216B2" w:rsidRPr="00273A3E" w:rsidRDefault="002216B2" w:rsidP="00404F08">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Alkoholio kiekis, esantis šio vaisto sudėtyje, gali keisti kitų vaistų poveikį. Jeigu vartojate kitų vaistų, pasitarkite su gydytoju arba vaistininku.</w:t>
      </w:r>
    </w:p>
    <w:p w14:paraId="14E40513" w14:textId="77777777" w:rsidR="002216B2" w:rsidRPr="00273A3E" w:rsidRDefault="002216B2" w:rsidP="00404F08">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Jeigu esate priklausom</w:t>
      </w:r>
      <w:r w:rsidR="00631F4C" w:rsidRPr="00273A3E">
        <w:rPr>
          <w:rFonts w:ascii="Times New Roman" w:hAnsi="Times New Roman"/>
          <w:lang w:val="lt-LT"/>
        </w:rPr>
        <w:t xml:space="preserve">a </w:t>
      </w:r>
      <w:r w:rsidRPr="00273A3E">
        <w:rPr>
          <w:rFonts w:ascii="Times New Roman" w:hAnsi="Times New Roman"/>
          <w:lang w:val="lt-LT"/>
        </w:rPr>
        <w:t>nuo alkoholio, prieš vartodam</w:t>
      </w:r>
      <w:r w:rsidR="00631F4C" w:rsidRPr="00273A3E">
        <w:rPr>
          <w:rFonts w:ascii="Times New Roman" w:hAnsi="Times New Roman"/>
          <w:lang w:val="lt-LT"/>
        </w:rPr>
        <w:t>a</w:t>
      </w:r>
      <w:r w:rsidRPr="00273A3E">
        <w:rPr>
          <w:rFonts w:ascii="Times New Roman" w:hAnsi="Times New Roman"/>
          <w:lang w:val="lt-LT"/>
        </w:rPr>
        <w:t xml:space="preserve"> šį vaistą pasitarkite su gydytoju arba vaistininku.</w:t>
      </w:r>
    </w:p>
    <w:p w14:paraId="0AA35AD6" w14:textId="77777777" w:rsidR="00331E7B" w:rsidRPr="00273A3E" w:rsidRDefault="00331E7B" w:rsidP="009F71ED">
      <w:pPr>
        <w:tabs>
          <w:tab w:val="left" w:pos="567"/>
        </w:tabs>
        <w:autoSpaceDE w:val="0"/>
        <w:autoSpaceDN w:val="0"/>
        <w:adjustRightInd w:val="0"/>
        <w:spacing w:after="0" w:line="240" w:lineRule="auto"/>
        <w:rPr>
          <w:rFonts w:ascii="Times New Roman" w:hAnsi="Times New Roman"/>
          <w:u w:val="single"/>
          <w:lang w:val="lt-LT"/>
        </w:rPr>
      </w:pPr>
    </w:p>
    <w:p w14:paraId="37E0684F" w14:textId="77777777" w:rsidR="00882628" w:rsidRPr="00273A3E" w:rsidRDefault="00C86E9E" w:rsidP="009F71ED">
      <w:pPr>
        <w:tabs>
          <w:tab w:val="left" w:pos="567"/>
        </w:tabs>
        <w:autoSpaceDE w:val="0"/>
        <w:autoSpaceDN w:val="0"/>
        <w:adjustRightInd w:val="0"/>
        <w:spacing w:after="0" w:line="240" w:lineRule="auto"/>
        <w:rPr>
          <w:rFonts w:ascii="Times New Roman" w:hAnsi="Times New Roman"/>
          <w:lang w:val="lt-LT"/>
        </w:rPr>
      </w:pPr>
      <w:proofErr w:type="spellStart"/>
      <w:r w:rsidRPr="00273A3E">
        <w:rPr>
          <w:rFonts w:ascii="Times New Roman" w:hAnsi="Times New Roman"/>
          <w:b/>
          <w:lang w:val="lt-LT"/>
        </w:rPr>
        <w:t>Fulvestrant</w:t>
      </w:r>
      <w:proofErr w:type="spellEnd"/>
      <w:r w:rsidRPr="00273A3E">
        <w:rPr>
          <w:rFonts w:ascii="Times New Roman" w:hAnsi="Times New Roman"/>
          <w:b/>
          <w:lang w:val="lt-LT"/>
        </w:rPr>
        <w:t xml:space="preserve"> </w:t>
      </w:r>
      <w:proofErr w:type="spellStart"/>
      <w:r w:rsidRPr="00273A3E">
        <w:rPr>
          <w:rFonts w:ascii="Times New Roman" w:hAnsi="Times New Roman"/>
          <w:b/>
          <w:lang w:val="lt-LT"/>
        </w:rPr>
        <w:t>Orion</w:t>
      </w:r>
      <w:proofErr w:type="spellEnd"/>
      <w:r w:rsidRPr="00273A3E">
        <w:rPr>
          <w:rFonts w:ascii="Times New Roman" w:hAnsi="Times New Roman"/>
          <w:b/>
          <w:lang w:val="lt-LT"/>
        </w:rPr>
        <w:t xml:space="preserve"> </w:t>
      </w:r>
      <w:r w:rsidR="00BF139E" w:rsidRPr="00273A3E">
        <w:rPr>
          <w:rFonts w:ascii="Times New Roman" w:hAnsi="Times New Roman"/>
          <w:b/>
          <w:lang w:val="lt-LT"/>
        </w:rPr>
        <w:t>sudėtyje yra</w:t>
      </w:r>
      <w:r w:rsidR="00BF139E" w:rsidRPr="00273A3E">
        <w:rPr>
          <w:rFonts w:ascii="Times New Roman" w:hAnsi="Times New Roman"/>
          <w:lang w:val="lt-LT"/>
        </w:rPr>
        <w:t xml:space="preserve"> </w:t>
      </w:r>
      <w:proofErr w:type="spellStart"/>
      <w:r w:rsidR="00BF139E" w:rsidRPr="00273A3E">
        <w:rPr>
          <w:rFonts w:ascii="Times New Roman" w:hAnsi="Times New Roman"/>
          <w:b/>
          <w:bCs/>
          <w:lang w:val="lt-LT"/>
        </w:rPr>
        <w:t>benzilo</w:t>
      </w:r>
      <w:proofErr w:type="spellEnd"/>
      <w:r w:rsidR="00BF139E" w:rsidRPr="00273A3E">
        <w:rPr>
          <w:rFonts w:ascii="Times New Roman" w:hAnsi="Times New Roman"/>
          <w:b/>
          <w:bCs/>
          <w:lang w:val="lt-LT"/>
        </w:rPr>
        <w:t xml:space="preserve"> alkoholio</w:t>
      </w:r>
      <w:r w:rsidR="00BF139E" w:rsidRPr="00273A3E">
        <w:rPr>
          <w:rFonts w:ascii="Times New Roman" w:hAnsi="Times New Roman"/>
          <w:lang w:val="lt-LT"/>
        </w:rPr>
        <w:t xml:space="preserve"> </w:t>
      </w:r>
    </w:p>
    <w:p w14:paraId="370E6AC1" w14:textId="77777777" w:rsidR="002216B2" w:rsidRPr="00273A3E" w:rsidRDefault="002216B2" w:rsidP="00914779">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Kiekviename </w:t>
      </w: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užpildytame švirkšte (5 ml) yra 500 mg </w:t>
      </w:r>
      <w:proofErr w:type="spellStart"/>
      <w:r w:rsidRPr="00273A3E">
        <w:rPr>
          <w:rFonts w:ascii="Times New Roman" w:hAnsi="Times New Roman"/>
          <w:lang w:val="lt-LT"/>
        </w:rPr>
        <w:t>benzilo</w:t>
      </w:r>
      <w:proofErr w:type="spellEnd"/>
      <w:r w:rsidRPr="00273A3E">
        <w:rPr>
          <w:rFonts w:ascii="Times New Roman" w:hAnsi="Times New Roman"/>
          <w:lang w:val="lt-LT"/>
        </w:rPr>
        <w:t xml:space="preserve"> alkoholio, tai atitinka 100 mg/ml.</w:t>
      </w:r>
    </w:p>
    <w:p w14:paraId="3F222F9A" w14:textId="77777777" w:rsidR="002216B2" w:rsidRPr="00273A3E" w:rsidRDefault="00331E7B" w:rsidP="00914779">
      <w:pPr>
        <w:tabs>
          <w:tab w:val="left" w:pos="567"/>
        </w:tabs>
        <w:autoSpaceDE w:val="0"/>
        <w:autoSpaceDN w:val="0"/>
        <w:adjustRightInd w:val="0"/>
        <w:spacing w:after="0" w:line="240" w:lineRule="auto"/>
        <w:rPr>
          <w:rFonts w:ascii="Times New Roman" w:hAnsi="Times New Roman"/>
          <w:lang w:val="lt-LT"/>
        </w:rPr>
      </w:pPr>
      <w:proofErr w:type="spellStart"/>
      <w:r w:rsidRPr="00273A3E">
        <w:rPr>
          <w:rFonts w:ascii="Times New Roman" w:hAnsi="Times New Roman"/>
          <w:lang w:val="lt-LT"/>
        </w:rPr>
        <w:t>Benzilo</w:t>
      </w:r>
      <w:proofErr w:type="spellEnd"/>
      <w:r w:rsidRPr="00273A3E">
        <w:rPr>
          <w:rFonts w:ascii="Times New Roman" w:hAnsi="Times New Roman"/>
          <w:lang w:val="lt-LT"/>
        </w:rPr>
        <w:t xml:space="preserve"> alkoholis gali sukelti alerginių reakcijų. </w:t>
      </w:r>
    </w:p>
    <w:p w14:paraId="1D88F759" w14:textId="77777777" w:rsidR="00B11D6D" w:rsidRPr="00273A3E" w:rsidRDefault="00331E7B"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Pasitarkite su gydytoju arba vaistininku, jeigu sergate kepenų arba inkstų ligomis, kadangi didelis </w:t>
      </w:r>
      <w:proofErr w:type="spellStart"/>
      <w:r w:rsidRPr="00273A3E">
        <w:rPr>
          <w:rFonts w:ascii="Times New Roman" w:hAnsi="Times New Roman"/>
          <w:lang w:val="lt-LT"/>
        </w:rPr>
        <w:t>benzilo</w:t>
      </w:r>
      <w:proofErr w:type="spellEnd"/>
      <w:r w:rsidRPr="00273A3E">
        <w:rPr>
          <w:rFonts w:ascii="Times New Roman" w:hAnsi="Times New Roman"/>
          <w:lang w:val="lt-LT"/>
        </w:rPr>
        <w:t xml:space="preserve"> alkoholio kiekis gali kauptis Jūsų organizme ir sukelti šalutinį poveikį (vadinamąją </w:t>
      </w:r>
      <w:proofErr w:type="spellStart"/>
      <w:r w:rsidRPr="00273A3E">
        <w:rPr>
          <w:rFonts w:ascii="Times New Roman" w:hAnsi="Times New Roman"/>
          <w:lang w:val="lt-LT"/>
        </w:rPr>
        <w:t>metabolinę</w:t>
      </w:r>
      <w:proofErr w:type="spellEnd"/>
      <w:r w:rsidRPr="00273A3E">
        <w:rPr>
          <w:rFonts w:ascii="Times New Roman" w:hAnsi="Times New Roman"/>
          <w:lang w:val="lt-LT"/>
        </w:rPr>
        <w:t xml:space="preserve"> </w:t>
      </w:r>
      <w:proofErr w:type="spellStart"/>
      <w:r w:rsidRPr="00273A3E">
        <w:rPr>
          <w:rFonts w:ascii="Times New Roman" w:hAnsi="Times New Roman"/>
          <w:lang w:val="lt-LT"/>
        </w:rPr>
        <w:t>acidozę</w:t>
      </w:r>
      <w:proofErr w:type="spellEnd"/>
      <w:r w:rsidRPr="00273A3E">
        <w:rPr>
          <w:rFonts w:ascii="Times New Roman" w:hAnsi="Times New Roman"/>
          <w:lang w:val="lt-LT"/>
        </w:rPr>
        <w:t>).</w:t>
      </w:r>
    </w:p>
    <w:p w14:paraId="2A85C0FD" w14:textId="77777777" w:rsidR="00331E7B" w:rsidRPr="00273A3E" w:rsidRDefault="00331E7B" w:rsidP="009F71ED">
      <w:pPr>
        <w:tabs>
          <w:tab w:val="left" w:pos="567"/>
        </w:tabs>
        <w:spacing w:after="0" w:line="240" w:lineRule="auto"/>
        <w:rPr>
          <w:rFonts w:ascii="Times New Roman" w:hAnsi="Times New Roman"/>
          <w:lang w:val="lt-LT"/>
        </w:rPr>
      </w:pPr>
    </w:p>
    <w:p w14:paraId="68497177" w14:textId="77777777" w:rsidR="00882628" w:rsidRPr="00273A3E" w:rsidRDefault="00C86E9E" w:rsidP="009F71ED">
      <w:pPr>
        <w:tabs>
          <w:tab w:val="left" w:pos="567"/>
        </w:tabs>
        <w:spacing w:after="0" w:line="240" w:lineRule="auto"/>
        <w:rPr>
          <w:rFonts w:ascii="Times New Roman" w:hAnsi="Times New Roman"/>
          <w:b/>
          <w:bCs/>
          <w:lang w:val="lt-LT"/>
        </w:rPr>
      </w:pPr>
      <w:proofErr w:type="spellStart"/>
      <w:r w:rsidRPr="00273A3E">
        <w:rPr>
          <w:rFonts w:ascii="Times New Roman" w:hAnsi="Times New Roman"/>
          <w:b/>
          <w:bCs/>
          <w:lang w:val="lt-LT"/>
        </w:rPr>
        <w:t>Fulvestrant</w:t>
      </w:r>
      <w:proofErr w:type="spellEnd"/>
      <w:r w:rsidRPr="00273A3E">
        <w:rPr>
          <w:rFonts w:ascii="Times New Roman" w:hAnsi="Times New Roman"/>
          <w:b/>
          <w:bCs/>
          <w:lang w:val="lt-LT"/>
        </w:rPr>
        <w:t xml:space="preserve"> </w:t>
      </w:r>
      <w:proofErr w:type="spellStart"/>
      <w:r w:rsidRPr="00273A3E">
        <w:rPr>
          <w:rFonts w:ascii="Times New Roman" w:hAnsi="Times New Roman"/>
          <w:b/>
          <w:bCs/>
          <w:lang w:val="lt-LT"/>
        </w:rPr>
        <w:t>Orion</w:t>
      </w:r>
      <w:proofErr w:type="spellEnd"/>
      <w:r w:rsidRPr="00273A3E">
        <w:rPr>
          <w:rFonts w:ascii="Times New Roman" w:hAnsi="Times New Roman"/>
          <w:b/>
          <w:bCs/>
          <w:lang w:val="lt-LT"/>
        </w:rPr>
        <w:t xml:space="preserve"> </w:t>
      </w:r>
      <w:r w:rsidR="00BF139E" w:rsidRPr="00273A3E">
        <w:rPr>
          <w:rFonts w:ascii="Times New Roman" w:hAnsi="Times New Roman"/>
          <w:b/>
          <w:bCs/>
          <w:lang w:val="lt-LT"/>
        </w:rPr>
        <w:t xml:space="preserve">sudėtyje yra </w:t>
      </w:r>
      <w:proofErr w:type="spellStart"/>
      <w:r w:rsidR="00BF139E" w:rsidRPr="00273A3E">
        <w:rPr>
          <w:rFonts w:ascii="Times New Roman" w:hAnsi="Times New Roman"/>
          <w:b/>
          <w:bCs/>
          <w:lang w:val="lt-LT"/>
        </w:rPr>
        <w:t>benzilbenzoato</w:t>
      </w:r>
      <w:proofErr w:type="spellEnd"/>
    </w:p>
    <w:p w14:paraId="6492CDFA" w14:textId="77777777" w:rsidR="00751E20" w:rsidRPr="00273A3E" w:rsidRDefault="002216B2" w:rsidP="009F71ED">
      <w:pPr>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331E7B" w:rsidRPr="00273A3E">
        <w:rPr>
          <w:rFonts w:ascii="Times New Roman" w:hAnsi="Times New Roman"/>
          <w:lang w:val="lt-LT"/>
        </w:rPr>
        <w:t xml:space="preserve">injekcijoje yra </w:t>
      </w:r>
      <w:r w:rsidR="00F07B7F" w:rsidRPr="00273A3E">
        <w:rPr>
          <w:rFonts w:ascii="Times New Roman" w:hAnsi="Times New Roman"/>
          <w:lang w:val="lt-LT"/>
        </w:rPr>
        <w:t>750</w:t>
      </w:r>
      <w:r w:rsidR="00331E7B" w:rsidRPr="00273A3E">
        <w:rPr>
          <w:rFonts w:ascii="Times New Roman" w:hAnsi="Times New Roman"/>
          <w:lang w:val="lt-LT"/>
        </w:rPr>
        <w:t xml:space="preserve"> mg </w:t>
      </w:r>
      <w:proofErr w:type="spellStart"/>
      <w:r w:rsidR="00F07B7F" w:rsidRPr="00273A3E">
        <w:rPr>
          <w:rFonts w:ascii="Times New Roman" w:hAnsi="Times New Roman"/>
          <w:lang w:val="lt-LT"/>
        </w:rPr>
        <w:t>benzilbenzoato</w:t>
      </w:r>
      <w:proofErr w:type="spellEnd"/>
      <w:r w:rsidR="00331E7B" w:rsidRPr="00273A3E">
        <w:rPr>
          <w:rFonts w:ascii="Times New Roman" w:hAnsi="Times New Roman"/>
          <w:lang w:val="lt-LT"/>
        </w:rPr>
        <w:t>, tai atitinka 1</w:t>
      </w:r>
      <w:r w:rsidR="00F07B7F" w:rsidRPr="00273A3E">
        <w:rPr>
          <w:rFonts w:ascii="Times New Roman" w:hAnsi="Times New Roman"/>
          <w:lang w:val="lt-LT"/>
        </w:rPr>
        <w:t>5</w:t>
      </w:r>
      <w:r w:rsidR="00331E7B" w:rsidRPr="00273A3E">
        <w:rPr>
          <w:rFonts w:ascii="Times New Roman" w:hAnsi="Times New Roman"/>
          <w:lang w:val="lt-LT"/>
        </w:rPr>
        <w:t>0 mg/ml.</w:t>
      </w:r>
    </w:p>
    <w:p w14:paraId="6EF4D14D" w14:textId="77777777" w:rsidR="00B11D6D" w:rsidRPr="00273A3E" w:rsidRDefault="00B11D6D" w:rsidP="009F71ED">
      <w:pPr>
        <w:tabs>
          <w:tab w:val="left" w:pos="567"/>
        </w:tabs>
        <w:spacing w:after="0" w:line="240" w:lineRule="auto"/>
        <w:rPr>
          <w:rFonts w:ascii="Times New Roman" w:hAnsi="Times New Roman"/>
          <w:lang w:val="lt-LT"/>
        </w:rPr>
      </w:pPr>
    </w:p>
    <w:p w14:paraId="410E5CE0" w14:textId="77777777" w:rsidR="00631F4C" w:rsidRPr="00273A3E" w:rsidRDefault="00631F4C" w:rsidP="009F71ED">
      <w:pPr>
        <w:keepNext/>
        <w:keepLines/>
        <w:tabs>
          <w:tab w:val="left" w:pos="567"/>
        </w:tabs>
        <w:spacing w:after="0" w:line="240" w:lineRule="auto"/>
        <w:rPr>
          <w:rFonts w:ascii="Times New Roman" w:hAnsi="Times New Roman"/>
          <w:lang w:val="lt-LT"/>
        </w:rPr>
      </w:pPr>
    </w:p>
    <w:p w14:paraId="5F0DD869" w14:textId="77777777" w:rsidR="001E5C66" w:rsidRPr="00273A3E" w:rsidRDefault="001E5C66" w:rsidP="00685118">
      <w:pPr>
        <w:keepNext/>
        <w:keepLines/>
        <w:tabs>
          <w:tab w:val="left" w:pos="567"/>
        </w:tabs>
        <w:spacing w:after="0" w:line="240" w:lineRule="auto"/>
        <w:rPr>
          <w:rFonts w:ascii="Times New Roman" w:hAnsi="Times New Roman"/>
          <w:b/>
          <w:lang w:val="lt-LT"/>
        </w:rPr>
      </w:pPr>
      <w:r w:rsidRPr="00273A3E">
        <w:rPr>
          <w:rFonts w:ascii="Times New Roman" w:hAnsi="Times New Roman"/>
          <w:b/>
          <w:lang w:val="lt-LT"/>
        </w:rPr>
        <w:t>3.</w:t>
      </w:r>
      <w:r w:rsidRPr="00273A3E">
        <w:rPr>
          <w:rFonts w:ascii="Times New Roman" w:hAnsi="Times New Roman"/>
          <w:b/>
          <w:lang w:val="lt-LT"/>
        </w:rPr>
        <w:tab/>
        <w:t xml:space="preserve">Kaip </w:t>
      </w:r>
      <w:r w:rsidR="00F07B7F" w:rsidRPr="00273A3E">
        <w:rPr>
          <w:rFonts w:ascii="Times New Roman" w:hAnsi="Times New Roman"/>
          <w:b/>
          <w:lang w:val="lt-LT"/>
        </w:rPr>
        <w:t>skiriamas</w:t>
      </w:r>
      <w:r w:rsidRPr="00273A3E">
        <w:rPr>
          <w:rFonts w:ascii="Times New Roman" w:hAnsi="Times New Roman"/>
          <w:b/>
          <w:lang w:val="lt-LT"/>
        </w:rPr>
        <w:t xml:space="preserve"> </w:t>
      </w:r>
      <w:proofErr w:type="spellStart"/>
      <w:r w:rsidR="009D7D8C" w:rsidRPr="00273A3E">
        <w:rPr>
          <w:rFonts w:ascii="Times New Roman" w:hAnsi="Times New Roman"/>
          <w:b/>
          <w:lang w:val="lt-LT"/>
        </w:rPr>
        <w:t>Fulvestrant</w:t>
      </w:r>
      <w:proofErr w:type="spellEnd"/>
      <w:r w:rsidR="009D7D8C" w:rsidRPr="00273A3E">
        <w:rPr>
          <w:rFonts w:ascii="Times New Roman" w:hAnsi="Times New Roman"/>
          <w:b/>
          <w:lang w:val="lt-LT"/>
        </w:rPr>
        <w:t xml:space="preserve"> </w:t>
      </w:r>
      <w:proofErr w:type="spellStart"/>
      <w:r w:rsidR="00ED28CB" w:rsidRPr="00273A3E">
        <w:rPr>
          <w:rFonts w:ascii="Times New Roman" w:hAnsi="Times New Roman"/>
          <w:b/>
          <w:lang w:val="lt-LT"/>
        </w:rPr>
        <w:t>Orion</w:t>
      </w:r>
      <w:proofErr w:type="spellEnd"/>
    </w:p>
    <w:p w14:paraId="31342896" w14:textId="77777777" w:rsidR="001E5C66" w:rsidRPr="00273A3E" w:rsidRDefault="001E5C66" w:rsidP="00685118">
      <w:pPr>
        <w:keepNext/>
        <w:keepLines/>
        <w:tabs>
          <w:tab w:val="left" w:pos="567"/>
        </w:tabs>
        <w:spacing w:after="0" w:line="240" w:lineRule="auto"/>
        <w:rPr>
          <w:rFonts w:ascii="Times New Roman" w:hAnsi="Times New Roman"/>
          <w:lang w:val="lt-LT"/>
        </w:rPr>
      </w:pPr>
    </w:p>
    <w:p w14:paraId="3905C04F" w14:textId="77777777" w:rsidR="002216B2" w:rsidRPr="00273A3E" w:rsidRDefault="002216B2" w:rsidP="00685118">
      <w:pPr>
        <w:keepNext/>
        <w:keepLines/>
        <w:tabs>
          <w:tab w:val="left" w:pos="567"/>
        </w:tabs>
        <w:spacing w:after="0" w:line="240" w:lineRule="auto"/>
        <w:rPr>
          <w:rFonts w:ascii="Times New Roman" w:hAnsi="Times New Roman"/>
          <w:lang w:val="lt-LT"/>
        </w:rPr>
      </w:pPr>
      <w:r w:rsidRPr="00273A3E">
        <w:rPr>
          <w:rFonts w:ascii="Times New Roman" w:hAnsi="Times New Roman"/>
          <w:lang w:val="lt-LT"/>
        </w:rPr>
        <w:t>Visada vartokite šį vaistą tiksliai, kaip nurodė gydytojas arba vaistininkas. Jeigu abejojate, kreipkitės į gydytoją arba vaistininką.</w:t>
      </w:r>
    </w:p>
    <w:p w14:paraId="2CAF6AEC" w14:textId="77777777" w:rsidR="002216B2" w:rsidRPr="00273A3E" w:rsidRDefault="002216B2" w:rsidP="00914779">
      <w:pPr>
        <w:tabs>
          <w:tab w:val="left" w:pos="567"/>
        </w:tabs>
        <w:spacing w:after="0" w:line="240" w:lineRule="auto"/>
        <w:rPr>
          <w:rFonts w:ascii="Times New Roman" w:hAnsi="Times New Roman"/>
          <w:lang w:val="lt-LT"/>
        </w:rPr>
      </w:pPr>
    </w:p>
    <w:p w14:paraId="60A59981" w14:textId="77777777" w:rsidR="009707FF" w:rsidRPr="00273A3E" w:rsidRDefault="009707FF" w:rsidP="009F71ED">
      <w:pPr>
        <w:tabs>
          <w:tab w:val="left" w:pos="567"/>
        </w:tabs>
        <w:spacing w:after="0" w:line="240" w:lineRule="auto"/>
        <w:rPr>
          <w:rFonts w:ascii="Times New Roman" w:hAnsi="Times New Roman"/>
          <w:lang w:val="lt-LT"/>
        </w:rPr>
      </w:pPr>
      <w:r w:rsidRPr="00273A3E">
        <w:rPr>
          <w:rFonts w:ascii="Times New Roman" w:hAnsi="Times New Roman"/>
          <w:lang w:val="lt-LT"/>
        </w:rPr>
        <w:t xml:space="preserve">Rekomenduojama dozė yra 500 mg </w:t>
      </w:r>
      <w:proofErr w:type="spellStart"/>
      <w:r w:rsidRPr="00273A3E">
        <w:rPr>
          <w:rFonts w:ascii="Times New Roman" w:hAnsi="Times New Roman"/>
          <w:lang w:val="lt-LT"/>
        </w:rPr>
        <w:t>fulvestranto</w:t>
      </w:r>
      <w:proofErr w:type="spellEnd"/>
      <w:r w:rsidRPr="00273A3E">
        <w:rPr>
          <w:rFonts w:ascii="Times New Roman" w:hAnsi="Times New Roman"/>
          <w:lang w:val="lt-LT"/>
        </w:rPr>
        <w:t xml:space="preserve"> (dvi injekcijos po 250 mg/5 ml), skiriamo 1 kartą per mėnesį kartu su papildoma 500 mg doze, skiriama praėjus 2 savaitėms po pradinės dozės.</w:t>
      </w:r>
    </w:p>
    <w:p w14:paraId="4BFEC56D" w14:textId="77777777" w:rsidR="009707FF" w:rsidRPr="00273A3E" w:rsidRDefault="009707FF" w:rsidP="009F71ED">
      <w:pPr>
        <w:tabs>
          <w:tab w:val="left" w:pos="567"/>
        </w:tabs>
        <w:spacing w:after="0" w:line="240" w:lineRule="auto"/>
        <w:rPr>
          <w:rFonts w:ascii="Times New Roman" w:hAnsi="Times New Roman"/>
          <w:lang w:val="lt-LT"/>
        </w:rPr>
      </w:pPr>
    </w:p>
    <w:p w14:paraId="07E8BF17" w14:textId="77777777" w:rsidR="009707FF" w:rsidRPr="00273A3E" w:rsidRDefault="009707FF" w:rsidP="009F71ED">
      <w:pPr>
        <w:tabs>
          <w:tab w:val="left" w:pos="0"/>
          <w:tab w:val="left" w:pos="567"/>
        </w:tabs>
        <w:spacing w:after="0" w:line="240" w:lineRule="auto"/>
        <w:rPr>
          <w:rFonts w:ascii="Times New Roman" w:hAnsi="Times New Roman"/>
          <w:lang w:val="lt-LT"/>
        </w:rPr>
      </w:pPr>
      <w:r w:rsidRPr="00273A3E">
        <w:rPr>
          <w:rFonts w:ascii="Times New Roman" w:hAnsi="Times New Roman"/>
          <w:lang w:val="lt-LT"/>
        </w:rPr>
        <w:t xml:space="preserve">Gydytojas arba slaugytojas lėtai į raumenis suleis </w:t>
      </w:r>
      <w:r w:rsidR="003E1D17" w:rsidRPr="00273A3E">
        <w:rPr>
          <w:rFonts w:ascii="Times New Roman" w:hAnsi="Times New Roman"/>
          <w:lang w:val="lt-LT"/>
        </w:rPr>
        <w:t xml:space="preserve">po </w:t>
      </w:r>
      <w:r w:rsidRPr="00273A3E">
        <w:rPr>
          <w:rFonts w:ascii="Times New Roman" w:hAnsi="Times New Roman"/>
          <w:lang w:val="lt-LT"/>
        </w:rPr>
        <w:t xml:space="preserve">vieną </w:t>
      </w:r>
      <w:proofErr w:type="spellStart"/>
      <w:r w:rsidR="00C86E9E" w:rsidRPr="00273A3E">
        <w:rPr>
          <w:rFonts w:ascii="Times New Roman" w:hAnsi="Times New Roman"/>
          <w:lang w:val="lt-LT"/>
        </w:rPr>
        <w:t>Fulvestrant</w:t>
      </w:r>
      <w:proofErr w:type="spellEnd"/>
      <w:r w:rsidR="00C86E9E" w:rsidRPr="00273A3E">
        <w:rPr>
          <w:rFonts w:ascii="Times New Roman" w:hAnsi="Times New Roman"/>
          <w:lang w:val="lt-LT"/>
        </w:rPr>
        <w:t xml:space="preserve"> </w:t>
      </w:r>
      <w:proofErr w:type="spellStart"/>
      <w:r w:rsidR="00C86E9E" w:rsidRPr="00273A3E">
        <w:rPr>
          <w:rFonts w:ascii="Times New Roman" w:hAnsi="Times New Roman"/>
          <w:lang w:val="lt-LT"/>
        </w:rPr>
        <w:t>Orion</w:t>
      </w:r>
      <w:proofErr w:type="spellEnd"/>
      <w:r w:rsidR="00C86E9E" w:rsidRPr="00273A3E">
        <w:rPr>
          <w:rFonts w:ascii="Times New Roman" w:hAnsi="Times New Roman"/>
          <w:lang w:val="lt-LT"/>
        </w:rPr>
        <w:t xml:space="preserve"> </w:t>
      </w:r>
      <w:r w:rsidRPr="00273A3E">
        <w:rPr>
          <w:rFonts w:ascii="Times New Roman" w:hAnsi="Times New Roman"/>
          <w:lang w:val="lt-LT"/>
        </w:rPr>
        <w:t>injekciją į kiekvieną Jūsų sėdmenį.</w:t>
      </w:r>
    </w:p>
    <w:p w14:paraId="06F79CB1" w14:textId="77777777" w:rsidR="009707FF" w:rsidRPr="00273A3E" w:rsidRDefault="009707FF" w:rsidP="009F71ED">
      <w:pPr>
        <w:tabs>
          <w:tab w:val="left" w:pos="567"/>
        </w:tabs>
        <w:spacing w:after="0" w:line="240" w:lineRule="auto"/>
        <w:rPr>
          <w:rFonts w:ascii="Times New Roman" w:hAnsi="Times New Roman"/>
          <w:lang w:val="lt-LT"/>
        </w:rPr>
      </w:pPr>
    </w:p>
    <w:p w14:paraId="6442E2C7" w14:textId="77777777" w:rsidR="001E5C66" w:rsidRPr="00273A3E" w:rsidRDefault="001E5C66" w:rsidP="009F71ED">
      <w:pPr>
        <w:tabs>
          <w:tab w:val="left" w:pos="0"/>
          <w:tab w:val="left" w:pos="567"/>
        </w:tabs>
        <w:spacing w:after="0" w:line="240" w:lineRule="auto"/>
        <w:rPr>
          <w:rFonts w:ascii="Times New Roman" w:hAnsi="Times New Roman"/>
          <w:lang w:val="lt-LT"/>
        </w:rPr>
      </w:pPr>
      <w:r w:rsidRPr="00273A3E">
        <w:rPr>
          <w:rFonts w:ascii="Times New Roman" w:hAnsi="Times New Roman"/>
          <w:lang w:val="lt-LT"/>
        </w:rPr>
        <w:t>Jeigu kiltų daugiau klausimų dėl šio vaisto vartojimo, kreipkitės į gydytoją, vaistininką arba</w:t>
      </w:r>
      <w:r w:rsidR="009707FF" w:rsidRPr="00273A3E">
        <w:rPr>
          <w:rFonts w:ascii="Times New Roman" w:hAnsi="Times New Roman"/>
          <w:lang w:val="lt-LT"/>
        </w:rPr>
        <w:t xml:space="preserve"> </w:t>
      </w:r>
      <w:r w:rsidRPr="00273A3E">
        <w:rPr>
          <w:rFonts w:ascii="Times New Roman" w:hAnsi="Times New Roman"/>
          <w:lang w:val="lt-LT"/>
        </w:rPr>
        <w:t>slaugytoją.</w:t>
      </w:r>
    </w:p>
    <w:p w14:paraId="7502DA23"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0977557F"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p>
    <w:p w14:paraId="4217A874" w14:textId="77777777" w:rsidR="001E5C66" w:rsidRPr="00273A3E" w:rsidRDefault="001E5C66" w:rsidP="00914779">
      <w:pPr>
        <w:keepNext/>
        <w:tabs>
          <w:tab w:val="left" w:pos="567"/>
        </w:tabs>
        <w:spacing w:after="0" w:line="240" w:lineRule="auto"/>
        <w:rPr>
          <w:rFonts w:ascii="Times New Roman" w:hAnsi="Times New Roman"/>
          <w:b/>
          <w:lang w:val="lt-LT"/>
        </w:rPr>
      </w:pPr>
      <w:r w:rsidRPr="00273A3E">
        <w:rPr>
          <w:rFonts w:ascii="Times New Roman" w:hAnsi="Times New Roman"/>
          <w:b/>
          <w:lang w:val="lt-LT"/>
        </w:rPr>
        <w:t>4.</w:t>
      </w:r>
      <w:r w:rsidRPr="00273A3E">
        <w:rPr>
          <w:rFonts w:ascii="Times New Roman" w:hAnsi="Times New Roman"/>
          <w:b/>
          <w:lang w:val="lt-LT"/>
        </w:rPr>
        <w:tab/>
        <w:t>Galimas šalutinis poveikis</w:t>
      </w:r>
    </w:p>
    <w:p w14:paraId="20A63047" w14:textId="77777777" w:rsidR="001E5C66" w:rsidRPr="00273A3E" w:rsidRDefault="001E5C66" w:rsidP="00914779">
      <w:pPr>
        <w:keepNext/>
        <w:tabs>
          <w:tab w:val="left" w:pos="567"/>
        </w:tabs>
        <w:spacing w:after="0" w:line="240" w:lineRule="auto"/>
        <w:rPr>
          <w:rFonts w:ascii="Times New Roman" w:hAnsi="Times New Roman"/>
          <w:lang w:val="lt-LT"/>
        </w:rPr>
      </w:pPr>
    </w:p>
    <w:p w14:paraId="2296C7DF" w14:textId="77777777" w:rsidR="001E5C66" w:rsidRPr="00273A3E" w:rsidRDefault="001E5C66" w:rsidP="00914779">
      <w:pPr>
        <w:keepNext/>
        <w:tabs>
          <w:tab w:val="left" w:pos="567"/>
        </w:tabs>
        <w:spacing w:after="0" w:line="240" w:lineRule="auto"/>
        <w:rPr>
          <w:rFonts w:ascii="Times New Roman" w:hAnsi="Times New Roman"/>
          <w:lang w:val="lt-LT"/>
        </w:rPr>
      </w:pPr>
      <w:r w:rsidRPr="00273A3E">
        <w:rPr>
          <w:rFonts w:ascii="Times New Roman" w:hAnsi="Times New Roman"/>
          <w:lang w:val="lt-LT"/>
        </w:rPr>
        <w:t>Šis vaistas, kaip ir visi kiti, gali sukelti šalutinį poveikį, nors jis pasireiškia ne visiems žmonėms.</w:t>
      </w:r>
    </w:p>
    <w:p w14:paraId="0D7E72B5" w14:textId="77777777" w:rsidR="002216B2" w:rsidRPr="00273A3E" w:rsidRDefault="002216B2" w:rsidP="009F71ED">
      <w:pPr>
        <w:tabs>
          <w:tab w:val="left" w:pos="567"/>
        </w:tabs>
        <w:autoSpaceDE w:val="0"/>
        <w:autoSpaceDN w:val="0"/>
        <w:adjustRightInd w:val="0"/>
        <w:spacing w:after="0" w:line="240" w:lineRule="auto"/>
        <w:rPr>
          <w:rFonts w:ascii="Times New Roman" w:hAnsi="Times New Roman"/>
          <w:lang w:val="lt-LT"/>
        </w:rPr>
      </w:pPr>
    </w:p>
    <w:p w14:paraId="4703422D" w14:textId="77777777" w:rsidR="002216B2" w:rsidRPr="00273A3E" w:rsidRDefault="002216B2" w:rsidP="002216B2">
      <w:pPr>
        <w:tabs>
          <w:tab w:val="left" w:pos="567"/>
        </w:tabs>
        <w:spacing w:after="0" w:line="240" w:lineRule="auto"/>
        <w:rPr>
          <w:rFonts w:ascii="Times New Roman" w:hAnsi="Times New Roman"/>
          <w:b/>
          <w:lang w:val="lt-LT" w:eastAsia="sl-SI"/>
        </w:rPr>
      </w:pPr>
      <w:r w:rsidRPr="00273A3E">
        <w:rPr>
          <w:rFonts w:ascii="Times New Roman" w:hAnsi="Times New Roman"/>
          <w:b/>
          <w:lang w:val="lt-LT" w:eastAsia="sl-SI"/>
        </w:rPr>
        <w:t>Jums gali prireikti skubaus medicininio gydymo, jeigu Jums pasireiškia kuris nors toliau išvardytas šalutinis poveikis:</w:t>
      </w:r>
    </w:p>
    <w:p w14:paraId="630E8991" w14:textId="77777777" w:rsidR="00316CFD" w:rsidRPr="00273A3E" w:rsidRDefault="00316CFD" w:rsidP="00316CFD">
      <w:pPr>
        <w:numPr>
          <w:ilvl w:val="0"/>
          <w:numId w:val="24"/>
        </w:numPr>
        <w:tabs>
          <w:tab w:val="left" w:pos="567"/>
        </w:tabs>
        <w:spacing w:after="0" w:line="240" w:lineRule="auto"/>
        <w:ind w:left="567" w:hanging="567"/>
        <w:rPr>
          <w:rFonts w:ascii="Times New Roman" w:hAnsi="Times New Roman"/>
          <w:lang w:val="lt-LT" w:eastAsia="sl-SI"/>
        </w:rPr>
      </w:pPr>
      <w:r w:rsidRPr="00273A3E">
        <w:rPr>
          <w:rFonts w:ascii="Times New Roman" w:hAnsi="Times New Roman"/>
          <w:lang w:val="lt-LT" w:eastAsia="sl-SI"/>
        </w:rPr>
        <w:t>alerginė (padidėjusio jautrumo) reakcija, įskaitant veido, lūpų, liežuvio ir (arba) gerklės (ryklės) patinimą – tai gali būti anafilaksinių reakcijų požymiai;</w:t>
      </w:r>
    </w:p>
    <w:p w14:paraId="3FC07BFB" w14:textId="77777777" w:rsidR="00316CFD" w:rsidRPr="00273A3E" w:rsidRDefault="00316CFD" w:rsidP="00316CFD">
      <w:pPr>
        <w:numPr>
          <w:ilvl w:val="0"/>
          <w:numId w:val="24"/>
        </w:numPr>
        <w:tabs>
          <w:tab w:val="left" w:pos="567"/>
        </w:tabs>
        <w:spacing w:after="0" w:line="240" w:lineRule="auto"/>
        <w:ind w:left="567" w:hanging="567"/>
        <w:rPr>
          <w:rFonts w:ascii="Times New Roman" w:hAnsi="Times New Roman"/>
          <w:lang w:val="lt-LT" w:eastAsia="sl-SI"/>
        </w:rPr>
      </w:pPr>
      <w:r w:rsidRPr="00273A3E">
        <w:rPr>
          <w:rFonts w:ascii="Times New Roman" w:hAnsi="Times New Roman"/>
          <w:lang w:val="lt-LT" w:eastAsia="sl-SI"/>
        </w:rPr>
        <w:t>tromboembolija (padidėjusi kraujo krešulių rizika)*;</w:t>
      </w:r>
    </w:p>
    <w:p w14:paraId="56613322" w14:textId="77777777" w:rsidR="00316CFD" w:rsidRPr="00273A3E" w:rsidRDefault="00316CFD" w:rsidP="00316CFD">
      <w:pPr>
        <w:numPr>
          <w:ilvl w:val="0"/>
          <w:numId w:val="24"/>
        </w:numPr>
        <w:tabs>
          <w:tab w:val="left" w:pos="567"/>
        </w:tabs>
        <w:spacing w:after="0" w:line="240" w:lineRule="auto"/>
        <w:ind w:left="567" w:hanging="567"/>
        <w:rPr>
          <w:rFonts w:ascii="Times New Roman" w:hAnsi="Times New Roman"/>
          <w:lang w:val="lt-LT" w:eastAsia="sl-SI"/>
        </w:rPr>
      </w:pPr>
      <w:r w:rsidRPr="00273A3E">
        <w:rPr>
          <w:rFonts w:ascii="Times New Roman" w:hAnsi="Times New Roman"/>
          <w:lang w:val="lt-LT" w:eastAsia="sl-SI"/>
        </w:rPr>
        <w:t>kepenų uždegimas (hepatitas);</w:t>
      </w:r>
    </w:p>
    <w:p w14:paraId="69F38F38" w14:textId="77777777" w:rsidR="00316CFD" w:rsidRPr="00273A3E" w:rsidRDefault="00316CFD" w:rsidP="00316CFD">
      <w:pPr>
        <w:numPr>
          <w:ilvl w:val="0"/>
          <w:numId w:val="24"/>
        </w:numPr>
        <w:tabs>
          <w:tab w:val="left" w:pos="567"/>
        </w:tabs>
        <w:spacing w:after="0" w:line="240" w:lineRule="auto"/>
        <w:ind w:left="567" w:hanging="567"/>
        <w:rPr>
          <w:rFonts w:ascii="Times New Roman" w:hAnsi="Times New Roman"/>
          <w:lang w:val="lt-LT" w:eastAsia="sl-SI"/>
        </w:rPr>
      </w:pPr>
      <w:r w:rsidRPr="00273A3E">
        <w:rPr>
          <w:rFonts w:ascii="Times New Roman" w:hAnsi="Times New Roman"/>
          <w:lang w:val="lt-LT" w:eastAsia="sl-SI"/>
        </w:rPr>
        <w:t>kepenų nepakankamumas.</w:t>
      </w:r>
    </w:p>
    <w:p w14:paraId="3FCA3873" w14:textId="77777777" w:rsidR="001E5C66" w:rsidRPr="00273A3E" w:rsidRDefault="001E5C66" w:rsidP="00914779">
      <w:pPr>
        <w:tabs>
          <w:tab w:val="left" w:pos="567"/>
        </w:tabs>
        <w:spacing w:after="0" w:line="240" w:lineRule="auto"/>
        <w:rPr>
          <w:rFonts w:ascii="Times New Roman" w:hAnsi="Times New Roman"/>
          <w:lang w:val="lt-LT"/>
        </w:rPr>
      </w:pPr>
    </w:p>
    <w:p w14:paraId="4BE47D33" w14:textId="77777777" w:rsidR="001E5C66" w:rsidRPr="00273A3E" w:rsidRDefault="001E5C66" w:rsidP="00914779">
      <w:pPr>
        <w:tabs>
          <w:tab w:val="left" w:pos="567"/>
        </w:tabs>
        <w:spacing w:after="0" w:line="240" w:lineRule="auto"/>
        <w:rPr>
          <w:rFonts w:ascii="Times New Roman" w:hAnsi="Times New Roman"/>
          <w:b/>
          <w:lang w:val="lt-LT"/>
        </w:rPr>
      </w:pPr>
      <w:r w:rsidRPr="00273A3E">
        <w:rPr>
          <w:rFonts w:ascii="Times New Roman" w:hAnsi="Times New Roman"/>
          <w:b/>
          <w:lang w:val="lt-LT"/>
        </w:rPr>
        <w:t>Pasakykite gydytojui, vaistininkui arba slaugytojui, jeigu pastebite kurį nors iš šių šalutinių poveikių:</w:t>
      </w:r>
    </w:p>
    <w:p w14:paraId="17A3FD2C" w14:textId="77777777" w:rsidR="001E5C66" w:rsidRPr="00273A3E" w:rsidRDefault="001E5C66" w:rsidP="00914779">
      <w:pPr>
        <w:tabs>
          <w:tab w:val="left" w:pos="567"/>
        </w:tabs>
        <w:spacing w:after="0" w:line="240" w:lineRule="auto"/>
        <w:rPr>
          <w:rFonts w:ascii="Times New Roman" w:hAnsi="Times New Roman"/>
          <w:b/>
          <w:lang w:val="lt-LT"/>
        </w:rPr>
      </w:pPr>
    </w:p>
    <w:p w14:paraId="09344D31" w14:textId="77777777" w:rsidR="001E5C66" w:rsidRPr="00273A3E" w:rsidRDefault="001E5C66" w:rsidP="00914779">
      <w:pPr>
        <w:tabs>
          <w:tab w:val="left" w:pos="567"/>
        </w:tabs>
        <w:spacing w:after="0" w:line="240" w:lineRule="auto"/>
        <w:rPr>
          <w:rFonts w:ascii="Times New Roman" w:hAnsi="Times New Roman"/>
          <w:bCs/>
          <w:lang w:val="lt-LT"/>
        </w:rPr>
      </w:pPr>
      <w:r w:rsidRPr="00273A3E">
        <w:rPr>
          <w:rFonts w:ascii="Times New Roman" w:hAnsi="Times New Roman"/>
          <w:bCs/>
          <w:u w:val="single"/>
          <w:lang w:val="lt-LT"/>
        </w:rPr>
        <w:t>Labai dažn</w:t>
      </w:r>
      <w:r w:rsidR="0030744C" w:rsidRPr="00273A3E">
        <w:rPr>
          <w:rFonts w:ascii="Times New Roman" w:hAnsi="Times New Roman"/>
          <w:bCs/>
          <w:u w:val="single"/>
          <w:lang w:val="lt-LT"/>
        </w:rPr>
        <w:t>i</w:t>
      </w:r>
      <w:r w:rsidRPr="00273A3E">
        <w:rPr>
          <w:rFonts w:ascii="Times New Roman" w:hAnsi="Times New Roman"/>
          <w:bCs/>
          <w:u w:val="single"/>
          <w:lang w:val="lt-LT"/>
        </w:rPr>
        <w:t xml:space="preserve"> šalutini</w:t>
      </w:r>
      <w:r w:rsidR="0030744C" w:rsidRPr="00273A3E">
        <w:rPr>
          <w:rFonts w:ascii="Times New Roman" w:hAnsi="Times New Roman"/>
          <w:bCs/>
          <w:u w:val="single"/>
          <w:lang w:val="lt-LT"/>
        </w:rPr>
        <w:t>o</w:t>
      </w:r>
      <w:r w:rsidRPr="00273A3E">
        <w:rPr>
          <w:rFonts w:ascii="Times New Roman" w:hAnsi="Times New Roman"/>
          <w:bCs/>
          <w:u w:val="single"/>
          <w:lang w:val="lt-LT"/>
        </w:rPr>
        <w:t xml:space="preserve"> poveiki</w:t>
      </w:r>
      <w:r w:rsidR="00B46E82" w:rsidRPr="00273A3E">
        <w:rPr>
          <w:rFonts w:ascii="Times New Roman" w:hAnsi="Times New Roman"/>
          <w:bCs/>
          <w:u w:val="single"/>
          <w:lang w:val="lt-LT"/>
        </w:rPr>
        <w:t>o reiškiniai</w:t>
      </w:r>
      <w:r w:rsidRPr="00273A3E">
        <w:rPr>
          <w:rFonts w:ascii="Times New Roman" w:hAnsi="Times New Roman"/>
          <w:bCs/>
          <w:lang w:val="lt-LT"/>
        </w:rPr>
        <w:t xml:space="preserve"> (</w:t>
      </w:r>
      <w:r w:rsidRPr="00273A3E">
        <w:rPr>
          <w:rFonts w:ascii="Times New Roman" w:hAnsi="Times New Roman"/>
          <w:bCs/>
          <w:i/>
          <w:iCs/>
          <w:lang w:val="lt-LT"/>
        </w:rPr>
        <w:t xml:space="preserve">gali pasireikšti </w:t>
      </w:r>
      <w:r w:rsidR="007714FD" w:rsidRPr="00273A3E">
        <w:rPr>
          <w:rFonts w:ascii="Times New Roman" w:hAnsi="Times New Roman"/>
          <w:bCs/>
          <w:i/>
          <w:iCs/>
          <w:lang w:val="lt-LT"/>
        </w:rPr>
        <w:t>ne rečiau kaip 1 iš 10</w:t>
      </w:r>
      <w:r w:rsidR="00F11576" w:rsidRPr="00273A3E">
        <w:rPr>
          <w:rFonts w:ascii="Times New Roman" w:hAnsi="Times New Roman"/>
          <w:bCs/>
          <w:i/>
          <w:iCs/>
          <w:lang w:val="lt-LT"/>
        </w:rPr>
        <w:t> </w:t>
      </w:r>
      <w:r w:rsidR="007714FD" w:rsidRPr="00273A3E">
        <w:rPr>
          <w:rFonts w:ascii="Times New Roman" w:hAnsi="Times New Roman"/>
          <w:bCs/>
          <w:i/>
          <w:iCs/>
          <w:lang w:val="lt-LT"/>
        </w:rPr>
        <w:t>asmenų</w:t>
      </w:r>
      <w:r w:rsidRPr="00273A3E">
        <w:rPr>
          <w:rFonts w:ascii="Times New Roman" w:hAnsi="Times New Roman"/>
          <w:bCs/>
          <w:lang w:val="lt-LT"/>
        </w:rPr>
        <w:t>):</w:t>
      </w:r>
    </w:p>
    <w:p w14:paraId="3681F9DD"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reakcijos injekcijos vietoje, pvz., skausmas ir (arba) uždegimas;</w:t>
      </w:r>
    </w:p>
    <w:p w14:paraId="335B5B71"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nenormalus kepenų fermentų aktyvumas (nustatomas tiriant kraują)*;</w:t>
      </w:r>
    </w:p>
    <w:p w14:paraId="52CFD4D1"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pykinimas (šleikštulys);</w:t>
      </w:r>
    </w:p>
    <w:p w14:paraId="0A243CCE"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silpnumas, nuovargis*;</w:t>
      </w:r>
    </w:p>
    <w:p w14:paraId="2B3D6D60"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sąnarių ir griaučių raumenų skausmas;</w:t>
      </w:r>
    </w:p>
    <w:p w14:paraId="6E99BABD"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karščio pylimas;</w:t>
      </w:r>
    </w:p>
    <w:p w14:paraId="1A9DCDB6" w14:textId="77777777" w:rsidR="001E5C66" w:rsidRPr="00273A3E" w:rsidRDefault="00A76C46" w:rsidP="00914779">
      <w:pPr>
        <w:numPr>
          <w:ilvl w:val="0"/>
          <w:numId w:val="15"/>
        </w:numPr>
        <w:tabs>
          <w:tab w:val="left" w:pos="567"/>
        </w:tabs>
        <w:spacing w:after="0" w:line="240" w:lineRule="auto"/>
        <w:ind w:left="0" w:firstLine="0"/>
        <w:rPr>
          <w:rFonts w:ascii="Times New Roman" w:hAnsi="Times New Roman"/>
          <w:b/>
          <w:lang w:val="lt-LT"/>
        </w:rPr>
      </w:pPr>
      <w:r w:rsidRPr="00273A3E">
        <w:rPr>
          <w:rFonts w:ascii="Times New Roman" w:hAnsi="Times New Roman"/>
          <w:lang w:val="lt-LT"/>
        </w:rPr>
        <w:t>iš</w:t>
      </w:r>
      <w:r w:rsidR="0034331B" w:rsidRPr="00273A3E">
        <w:rPr>
          <w:rFonts w:ascii="Times New Roman" w:hAnsi="Times New Roman"/>
          <w:lang w:val="lt-LT"/>
        </w:rPr>
        <w:t>bėrimas</w:t>
      </w:r>
      <w:r w:rsidR="00316CFD" w:rsidRPr="00273A3E">
        <w:rPr>
          <w:rFonts w:ascii="Times New Roman" w:hAnsi="Times New Roman"/>
          <w:lang w:val="lt-LT"/>
        </w:rPr>
        <w:t>;</w:t>
      </w:r>
    </w:p>
    <w:p w14:paraId="32E98C12" w14:textId="77777777" w:rsidR="00316CFD" w:rsidRPr="00273A3E" w:rsidRDefault="00316CFD" w:rsidP="009F71ED">
      <w:pPr>
        <w:numPr>
          <w:ilvl w:val="0"/>
          <w:numId w:val="15"/>
        </w:num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alerginės (padidėjusio jautrumo) reakcijos, įskaitant veido, lūpų, liežuvio ir (arba) gerklės (ryklės) patinimą.</w:t>
      </w:r>
    </w:p>
    <w:p w14:paraId="44AF56EB" w14:textId="77777777" w:rsidR="001E5C66" w:rsidRPr="00273A3E" w:rsidRDefault="001E5C66" w:rsidP="00914779">
      <w:pPr>
        <w:tabs>
          <w:tab w:val="left" w:pos="567"/>
        </w:tabs>
        <w:spacing w:after="0" w:line="240" w:lineRule="auto"/>
        <w:rPr>
          <w:rFonts w:ascii="Times New Roman" w:hAnsi="Times New Roman"/>
          <w:lang w:val="lt-LT"/>
        </w:rPr>
      </w:pPr>
    </w:p>
    <w:p w14:paraId="15A6610C" w14:textId="77777777" w:rsidR="001E5C66" w:rsidRPr="00273A3E" w:rsidRDefault="001E5C66" w:rsidP="00914779">
      <w:pPr>
        <w:tabs>
          <w:tab w:val="left" w:pos="567"/>
        </w:tabs>
        <w:spacing w:after="0" w:line="240" w:lineRule="auto"/>
        <w:rPr>
          <w:rFonts w:ascii="Times New Roman" w:hAnsi="Times New Roman"/>
          <w:b/>
          <w:bCs/>
          <w:lang w:val="lt-LT"/>
        </w:rPr>
      </w:pPr>
      <w:r w:rsidRPr="00273A3E">
        <w:rPr>
          <w:rFonts w:ascii="Times New Roman" w:hAnsi="Times New Roman"/>
          <w:b/>
          <w:bCs/>
          <w:lang w:val="lt-LT"/>
        </w:rPr>
        <w:t>Visi kiti šalutiniai poveikiai</w:t>
      </w:r>
      <w:r w:rsidR="00F11576" w:rsidRPr="00273A3E">
        <w:rPr>
          <w:rFonts w:ascii="Times New Roman" w:hAnsi="Times New Roman"/>
          <w:b/>
          <w:bCs/>
          <w:lang w:val="lt-LT"/>
        </w:rPr>
        <w:t>:</w:t>
      </w:r>
    </w:p>
    <w:p w14:paraId="2AE5BD83" w14:textId="77777777" w:rsidR="001E5C66" w:rsidRPr="00273A3E" w:rsidRDefault="001E5C66" w:rsidP="00914779">
      <w:pPr>
        <w:tabs>
          <w:tab w:val="left" w:pos="567"/>
        </w:tabs>
        <w:spacing w:after="0" w:line="240" w:lineRule="auto"/>
        <w:rPr>
          <w:rFonts w:ascii="Times New Roman" w:hAnsi="Times New Roman"/>
          <w:b/>
          <w:bCs/>
          <w:lang w:val="lt-LT"/>
        </w:rPr>
      </w:pPr>
    </w:p>
    <w:p w14:paraId="4AA40E40" w14:textId="77777777" w:rsidR="001E5C66" w:rsidRPr="00273A3E" w:rsidRDefault="007F37F8" w:rsidP="00914779">
      <w:pPr>
        <w:tabs>
          <w:tab w:val="left" w:pos="567"/>
        </w:tabs>
        <w:spacing w:after="0" w:line="240" w:lineRule="auto"/>
        <w:rPr>
          <w:rFonts w:ascii="Times New Roman" w:hAnsi="Times New Roman"/>
          <w:b/>
          <w:lang w:val="lt-LT"/>
        </w:rPr>
      </w:pPr>
      <w:r w:rsidRPr="00273A3E">
        <w:rPr>
          <w:rFonts w:ascii="Times New Roman" w:hAnsi="Times New Roman"/>
          <w:bCs/>
          <w:u w:val="single"/>
          <w:lang w:val="lt-LT"/>
        </w:rPr>
        <w:t>Dažni šalutinio poveikio reiškiniai</w:t>
      </w:r>
      <w:r w:rsidRPr="00273A3E">
        <w:rPr>
          <w:rFonts w:ascii="Times New Roman" w:hAnsi="Times New Roman"/>
          <w:b/>
          <w:lang w:val="lt-LT"/>
        </w:rPr>
        <w:t xml:space="preserve"> </w:t>
      </w:r>
      <w:r w:rsidR="001E5C66" w:rsidRPr="00273A3E">
        <w:rPr>
          <w:rFonts w:ascii="Times New Roman" w:hAnsi="Times New Roman"/>
          <w:lang w:val="lt-LT"/>
        </w:rPr>
        <w:t>(</w:t>
      </w:r>
      <w:r w:rsidR="001E5C66" w:rsidRPr="00273A3E">
        <w:rPr>
          <w:rFonts w:ascii="Times New Roman" w:hAnsi="Times New Roman"/>
          <w:i/>
          <w:iCs/>
          <w:lang w:val="lt-LT"/>
        </w:rPr>
        <w:t>gali pasireikšti rečiau kaip 1</w:t>
      </w:r>
      <w:r w:rsidR="00C0150F" w:rsidRPr="00273A3E">
        <w:rPr>
          <w:rFonts w:ascii="Times New Roman" w:hAnsi="Times New Roman"/>
          <w:i/>
          <w:iCs/>
          <w:lang w:val="lt-LT"/>
        </w:rPr>
        <w:t xml:space="preserve"> </w:t>
      </w:r>
      <w:r w:rsidR="001E5C66" w:rsidRPr="00273A3E">
        <w:rPr>
          <w:rFonts w:ascii="Times New Roman" w:hAnsi="Times New Roman"/>
          <w:i/>
          <w:iCs/>
          <w:lang w:val="lt-LT"/>
        </w:rPr>
        <w:t>iš 10</w:t>
      </w:r>
      <w:r w:rsidR="00F11576" w:rsidRPr="00273A3E">
        <w:rPr>
          <w:rFonts w:ascii="Times New Roman" w:hAnsi="Times New Roman"/>
          <w:i/>
          <w:iCs/>
          <w:lang w:val="lt-LT"/>
        </w:rPr>
        <w:t> </w:t>
      </w:r>
      <w:r w:rsidR="00654766" w:rsidRPr="00273A3E">
        <w:rPr>
          <w:rFonts w:ascii="Times New Roman" w:hAnsi="Times New Roman"/>
          <w:i/>
          <w:iCs/>
          <w:lang w:val="lt-LT"/>
        </w:rPr>
        <w:t>asmenų</w:t>
      </w:r>
      <w:r w:rsidR="001E5C66" w:rsidRPr="00273A3E">
        <w:rPr>
          <w:rFonts w:ascii="Times New Roman" w:hAnsi="Times New Roman"/>
          <w:lang w:val="lt-LT"/>
        </w:rPr>
        <w:t>):</w:t>
      </w:r>
    </w:p>
    <w:p w14:paraId="12C387EB" w14:textId="77777777" w:rsidR="001E5C66" w:rsidRPr="00273A3E" w:rsidRDefault="001E5C66" w:rsidP="009F71ED">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galvos skausmas;</w:t>
      </w:r>
    </w:p>
    <w:p w14:paraId="7241ED9A" w14:textId="77777777" w:rsidR="001E5C66" w:rsidRPr="00273A3E" w:rsidRDefault="001E5C66" w:rsidP="009F71ED">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vėmimas</w:t>
      </w:r>
      <w:r w:rsidR="00F11576" w:rsidRPr="00273A3E">
        <w:rPr>
          <w:rFonts w:ascii="Times New Roman" w:hAnsi="Times New Roman"/>
          <w:lang w:val="lt-LT"/>
        </w:rPr>
        <w:t xml:space="preserve"> (šleikštulys)</w:t>
      </w:r>
      <w:r w:rsidRPr="00273A3E">
        <w:rPr>
          <w:rFonts w:ascii="Times New Roman" w:hAnsi="Times New Roman"/>
          <w:lang w:val="lt-LT"/>
        </w:rPr>
        <w:t>, viduriavimas ar apetito stoka*;</w:t>
      </w:r>
    </w:p>
    <w:p w14:paraId="664525BA" w14:textId="77777777" w:rsidR="001E5C66" w:rsidRPr="00273A3E" w:rsidRDefault="001E5C66" w:rsidP="009F71ED">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šlapimo takų infekcijos;</w:t>
      </w:r>
    </w:p>
    <w:p w14:paraId="05C54949" w14:textId="77777777" w:rsidR="001E5C66" w:rsidRPr="00273A3E" w:rsidRDefault="001E5C66" w:rsidP="009F71ED">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nugaros skausmas*;</w:t>
      </w:r>
    </w:p>
    <w:p w14:paraId="7C991A88"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 xml:space="preserve">padidėjęs </w:t>
      </w:r>
      <w:proofErr w:type="spellStart"/>
      <w:r w:rsidRPr="00273A3E">
        <w:rPr>
          <w:rFonts w:ascii="Times New Roman" w:hAnsi="Times New Roman"/>
          <w:lang w:val="lt-LT"/>
        </w:rPr>
        <w:t>bilirubino</w:t>
      </w:r>
      <w:proofErr w:type="spellEnd"/>
      <w:r w:rsidRPr="00273A3E">
        <w:rPr>
          <w:rFonts w:ascii="Times New Roman" w:hAnsi="Times New Roman"/>
          <w:lang w:val="lt-LT"/>
        </w:rPr>
        <w:t xml:space="preserve"> (kepenų gaminamo tulžies pigmento) kiekis;</w:t>
      </w:r>
    </w:p>
    <w:p w14:paraId="189BC945" w14:textId="77777777" w:rsidR="00316CFD" w:rsidRPr="00273A3E" w:rsidRDefault="00316CFD" w:rsidP="00316CFD">
      <w:pPr>
        <w:numPr>
          <w:ilvl w:val="0"/>
          <w:numId w:val="15"/>
        </w:num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tromboembolija (kraujo krešulių susidarymo pavojaus padidėjimas)*;</w:t>
      </w:r>
    </w:p>
    <w:p w14:paraId="2B852B44" w14:textId="77777777" w:rsidR="00F11576" w:rsidRPr="00273A3E" w:rsidRDefault="00F11576" w:rsidP="009F71ED">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sumažėjęs kraujo plokštelių kiekis (</w:t>
      </w:r>
      <w:proofErr w:type="spellStart"/>
      <w:r w:rsidRPr="00273A3E">
        <w:rPr>
          <w:rFonts w:ascii="Times New Roman" w:hAnsi="Times New Roman"/>
          <w:lang w:val="lt-LT"/>
        </w:rPr>
        <w:t>trombocitopenija</w:t>
      </w:r>
      <w:proofErr w:type="spellEnd"/>
      <w:r w:rsidRPr="00273A3E">
        <w:rPr>
          <w:rFonts w:ascii="Times New Roman" w:hAnsi="Times New Roman"/>
          <w:lang w:val="lt-LT"/>
        </w:rPr>
        <w:t>);</w:t>
      </w:r>
    </w:p>
    <w:p w14:paraId="2ED9A952" w14:textId="77777777" w:rsidR="00F11576" w:rsidRPr="00273A3E" w:rsidRDefault="00F11576" w:rsidP="009F71ED">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kraujavimas iš makšties;</w:t>
      </w:r>
    </w:p>
    <w:p w14:paraId="6F416B8E" w14:textId="77777777" w:rsidR="00F11576" w:rsidRPr="00273A3E" w:rsidRDefault="00F11576" w:rsidP="009F71ED">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lastRenderedPageBreak/>
        <w:t>apatinės nugaros dalies skausmas, plintantis į koją vienoje pusėje (</w:t>
      </w:r>
      <w:proofErr w:type="spellStart"/>
      <w:r w:rsidRPr="00273A3E">
        <w:rPr>
          <w:rFonts w:ascii="Times New Roman" w:hAnsi="Times New Roman"/>
          <w:lang w:val="lt-LT"/>
        </w:rPr>
        <w:t>išialgija</w:t>
      </w:r>
      <w:proofErr w:type="spellEnd"/>
      <w:r w:rsidRPr="00273A3E">
        <w:rPr>
          <w:rFonts w:ascii="Times New Roman" w:hAnsi="Times New Roman"/>
          <w:lang w:val="lt-LT"/>
        </w:rPr>
        <w:t>);</w:t>
      </w:r>
    </w:p>
    <w:p w14:paraId="3BC80C57" w14:textId="77777777" w:rsidR="001E5C66" w:rsidRPr="00273A3E" w:rsidRDefault="001E5C66" w:rsidP="00316CFD">
      <w:pPr>
        <w:numPr>
          <w:ilvl w:val="0"/>
          <w:numId w:val="15"/>
        </w:num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staigus kojos silpnumas, tirpimas, dilgčiojimas arba kojos judėjimo praradimas, ypač tik vienoje kūno pusėje, netikėtas sunkumas vaikščioti ar palaikyti pusiausvyrą (periferinė neuropatija).</w:t>
      </w:r>
    </w:p>
    <w:p w14:paraId="048E32DC" w14:textId="77777777" w:rsidR="001E5C66" w:rsidRPr="00273A3E" w:rsidRDefault="001E5C66" w:rsidP="00914779">
      <w:pPr>
        <w:tabs>
          <w:tab w:val="left" w:pos="567"/>
        </w:tabs>
        <w:spacing w:after="0" w:line="240" w:lineRule="auto"/>
        <w:rPr>
          <w:rFonts w:ascii="Times New Roman" w:hAnsi="Times New Roman"/>
          <w:lang w:val="lt-LT"/>
        </w:rPr>
      </w:pPr>
    </w:p>
    <w:p w14:paraId="5E41DFD0" w14:textId="77777777" w:rsidR="001E5C66" w:rsidRPr="00273A3E" w:rsidRDefault="00A010D4" w:rsidP="00914779">
      <w:pPr>
        <w:tabs>
          <w:tab w:val="left" w:pos="567"/>
        </w:tabs>
        <w:spacing w:after="0" w:line="240" w:lineRule="auto"/>
        <w:rPr>
          <w:rFonts w:ascii="Times New Roman" w:hAnsi="Times New Roman"/>
          <w:b/>
          <w:lang w:val="lt-LT"/>
        </w:rPr>
      </w:pPr>
      <w:r w:rsidRPr="00273A3E">
        <w:rPr>
          <w:rFonts w:ascii="Times New Roman" w:hAnsi="Times New Roman"/>
          <w:bCs/>
          <w:u w:val="single"/>
          <w:lang w:val="lt-LT"/>
        </w:rPr>
        <w:t>Nedažni šalutinio poveikio reiškiniai</w:t>
      </w:r>
      <w:r w:rsidRPr="00273A3E">
        <w:rPr>
          <w:rFonts w:ascii="Times New Roman" w:hAnsi="Times New Roman"/>
          <w:b/>
          <w:lang w:val="lt-LT"/>
        </w:rPr>
        <w:t xml:space="preserve"> </w:t>
      </w:r>
      <w:r w:rsidR="001E5C66" w:rsidRPr="00273A3E">
        <w:rPr>
          <w:rFonts w:ascii="Times New Roman" w:hAnsi="Times New Roman"/>
          <w:lang w:val="lt-LT"/>
        </w:rPr>
        <w:t>(</w:t>
      </w:r>
      <w:r w:rsidR="001E5C66" w:rsidRPr="00273A3E">
        <w:rPr>
          <w:rFonts w:ascii="Times New Roman" w:hAnsi="Times New Roman"/>
          <w:i/>
          <w:iCs/>
          <w:lang w:val="lt-LT"/>
        </w:rPr>
        <w:t>gali pasireikšti rečiau kaip 1</w:t>
      </w:r>
      <w:r w:rsidR="00E33606" w:rsidRPr="00273A3E">
        <w:rPr>
          <w:rFonts w:ascii="Times New Roman" w:hAnsi="Times New Roman"/>
          <w:i/>
          <w:iCs/>
          <w:lang w:val="lt-LT"/>
        </w:rPr>
        <w:t xml:space="preserve"> i</w:t>
      </w:r>
      <w:r w:rsidR="001E5C66" w:rsidRPr="00273A3E">
        <w:rPr>
          <w:rFonts w:ascii="Times New Roman" w:hAnsi="Times New Roman"/>
          <w:i/>
          <w:iCs/>
          <w:lang w:val="lt-LT"/>
        </w:rPr>
        <w:t>š 100</w:t>
      </w:r>
      <w:r w:rsidR="00F11576" w:rsidRPr="00273A3E">
        <w:rPr>
          <w:rFonts w:ascii="Times New Roman" w:hAnsi="Times New Roman"/>
          <w:i/>
          <w:iCs/>
          <w:lang w:val="lt-LT"/>
        </w:rPr>
        <w:t> </w:t>
      </w:r>
      <w:r w:rsidR="00E33606" w:rsidRPr="00273A3E">
        <w:rPr>
          <w:rFonts w:ascii="Times New Roman" w:hAnsi="Times New Roman"/>
          <w:i/>
          <w:iCs/>
          <w:lang w:val="lt-LT"/>
        </w:rPr>
        <w:t>asmenų</w:t>
      </w:r>
      <w:r w:rsidR="001E5C66" w:rsidRPr="00273A3E">
        <w:rPr>
          <w:rFonts w:ascii="Times New Roman" w:hAnsi="Times New Roman"/>
          <w:lang w:val="lt-LT"/>
        </w:rPr>
        <w:t>)</w:t>
      </w:r>
      <w:r w:rsidR="001E5C66" w:rsidRPr="00273A3E">
        <w:rPr>
          <w:rFonts w:ascii="Times New Roman" w:hAnsi="Times New Roman"/>
          <w:bCs/>
          <w:lang w:val="lt-LT"/>
        </w:rPr>
        <w:t>:</w:t>
      </w:r>
    </w:p>
    <w:p w14:paraId="203409C1"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 xml:space="preserve">tirštos balkšvos išskyros iš makšties ir </w:t>
      </w:r>
      <w:proofErr w:type="spellStart"/>
      <w:r w:rsidRPr="00273A3E">
        <w:rPr>
          <w:rFonts w:ascii="Times New Roman" w:hAnsi="Times New Roman"/>
          <w:lang w:val="lt-LT"/>
        </w:rPr>
        <w:t>kandidozė</w:t>
      </w:r>
      <w:proofErr w:type="spellEnd"/>
      <w:r w:rsidRPr="00273A3E">
        <w:rPr>
          <w:rFonts w:ascii="Times New Roman" w:hAnsi="Times New Roman"/>
          <w:lang w:val="lt-LT"/>
        </w:rPr>
        <w:t xml:space="preserve"> (infekcija);</w:t>
      </w:r>
    </w:p>
    <w:p w14:paraId="0766E6C4"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kraujosruvos ir kraujavimas injekcijos vietoje;</w:t>
      </w:r>
    </w:p>
    <w:p w14:paraId="11AFA2C8" w14:textId="77777777" w:rsidR="00316CFD" w:rsidRPr="00273A3E" w:rsidRDefault="001E5C66" w:rsidP="00316CFD">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padidėjęs gama-GT (kepenų fermento) aktyvumas (nustatomas tiriant kraują);</w:t>
      </w:r>
    </w:p>
    <w:p w14:paraId="1A048144" w14:textId="77777777" w:rsidR="00316CFD" w:rsidRPr="00273A3E" w:rsidRDefault="00316CFD" w:rsidP="00316CFD">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kepenų uždegimas (hepatitas);</w:t>
      </w:r>
    </w:p>
    <w:p w14:paraId="39DFC06E" w14:textId="77777777" w:rsidR="00316CFD" w:rsidRPr="00273A3E" w:rsidRDefault="00316CFD" w:rsidP="00316CFD">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kepenų nepakankamumas;</w:t>
      </w:r>
    </w:p>
    <w:p w14:paraId="57E614AD"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tirpimas, dilgčiojimas ir skausmas;</w:t>
      </w:r>
    </w:p>
    <w:p w14:paraId="30B40D16" w14:textId="77777777" w:rsidR="001E5C66" w:rsidRPr="00273A3E" w:rsidRDefault="001E5C66" w:rsidP="00914779">
      <w:pPr>
        <w:numPr>
          <w:ilvl w:val="0"/>
          <w:numId w:val="15"/>
        </w:numPr>
        <w:tabs>
          <w:tab w:val="left" w:pos="567"/>
        </w:tabs>
        <w:spacing w:after="0" w:line="240" w:lineRule="auto"/>
        <w:ind w:left="0" w:firstLine="0"/>
        <w:rPr>
          <w:rFonts w:ascii="Times New Roman" w:hAnsi="Times New Roman"/>
          <w:lang w:val="lt-LT"/>
        </w:rPr>
      </w:pPr>
      <w:r w:rsidRPr="00273A3E">
        <w:rPr>
          <w:rFonts w:ascii="Times New Roman" w:hAnsi="Times New Roman"/>
          <w:lang w:val="lt-LT"/>
        </w:rPr>
        <w:t>anafilaksinės reakcijos.</w:t>
      </w:r>
    </w:p>
    <w:p w14:paraId="0666CF7A" w14:textId="77777777" w:rsidR="001E5C66" w:rsidRPr="00273A3E" w:rsidRDefault="001E5C66" w:rsidP="00914779">
      <w:pPr>
        <w:tabs>
          <w:tab w:val="left" w:pos="567"/>
        </w:tabs>
        <w:spacing w:after="0" w:line="240" w:lineRule="auto"/>
        <w:rPr>
          <w:rFonts w:ascii="Times New Roman" w:hAnsi="Times New Roman"/>
          <w:lang w:val="lt-LT"/>
        </w:rPr>
      </w:pPr>
    </w:p>
    <w:p w14:paraId="31321D90"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 xml:space="preserve">* Įskaitant šalutinio poveikio </w:t>
      </w:r>
      <w:r w:rsidR="00F11576" w:rsidRPr="00273A3E">
        <w:rPr>
          <w:rFonts w:ascii="Times New Roman" w:hAnsi="Times New Roman"/>
          <w:lang w:val="lt-LT"/>
        </w:rPr>
        <w:t>reiškinius</w:t>
      </w:r>
      <w:r w:rsidRPr="00273A3E">
        <w:rPr>
          <w:rFonts w:ascii="Times New Roman" w:hAnsi="Times New Roman"/>
          <w:lang w:val="lt-LT"/>
        </w:rPr>
        <w:t xml:space="preserve">, kurių pasireiškimui </w:t>
      </w:r>
      <w:proofErr w:type="spellStart"/>
      <w:r w:rsidR="00316CFD" w:rsidRPr="00273A3E">
        <w:rPr>
          <w:rFonts w:ascii="Times New Roman" w:hAnsi="Times New Roman"/>
          <w:lang w:val="lt-LT"/>
        </w:rPr>
        <w:t>f</w:t>
      </w:r>
      <w:r w:rsidR="00C86E9E" w:rsidRPr="00273A3E">
        <w:rPr>
          <w:rFonts w:ascii="Times New Roman" w:hAnsi="Times New Roman"/>
          <w:lang w:val="lt-LT"/>
        </w:rPr>
        <w:t>ulvestrant</w:t>
      </w:r>
      <w:r w:rsidR="00316CFD" w:rsidRPr="00273A3E">
        <w:rPr>
          <w:rFonts w:ascii="Times New Roman" w:hAnsi="Times New Roman"/>
          <w:lang w:val="lt-LT"/>
        </w:rPr>
        <w:t>o</w:t>
      </w:r>
      <w:proofErr w:type="spellEnd"/>
      <w:r w:rsidR="00C86E9E" w:rsidRPr="00273A3E">
        <w:rPr>
          <w:rFonts w:ascii="Times New Roman" w:hAnsi="Times New Roman"/>
          <w:lang w:val="lt-LT"/>
        </w:rPr>
        <w:t xml:space="preserve"> </w:t>
      </w:r>
      <w:r w:rsidRPr="00273A3E">
        <w:rPr>
          <w:rFonts w:ascii="Times New Roman" w:hAnsi="Times New Roman"/>
          <w:lang w:val="lt-LT"/>
        </w:rPr>
        <w:t>vaidmuo tiksliai negali būti įvertintas dėl pagrindinės ligos.</w:t>
      </w:r>
    </w:p>
    <w:p w14:paraId="6AA4F786" w14:textId="77777777" w:rsidR="00316CFD" w:rsidRPr="00273A3E" w:rsidRDefault="00316CFD" w:rsidP="00914779">
      <w:pPr>
        <w:tabs>
          <w:tab w:val="left" w:pos="567"/>
        </w:tabs>
        <w:spacing w:after="0" w:line="240" w:lineRule="auto"/>
        <w:rPr>
          <w:rFonts w:ascii="Times New Roman" w:hAnsi="Times New Roman"/>
          <w:lang w:val="lt-LT"/>
        </w:rPr>
      </w:pPr>
    </w:p>
    <w:p w14:paraId="55B8C431" w14:textId="77777777" w:rsidR="0000617D" w:rsidRPr="00273A3E" w:rsidRDefault="0000617D" w:rsidP="009F71ED">
      <w:pPr>
        <w:keepNext/>
        <w:keepLines/>
        <w:tabs>
          <w:tab w:val="left" w:pos="567"/>
        </w:tabs>
        <w:spacing w:after="0" w:line="240" w:lineRule="auto"/>
        <w:rPr>
          <w:rFonts w:ascii="Times New Roman" w:eastAsia="Times New Roman" w:hAnsi="Times New Roman"/>
          <w:b/>
          <w:lang w:val="lt-LT"/>
        </w:rPr>
      </w:pPr>
      <w:r w:rsidRPr="00273A3E">
        <w:rPr>
          <w:rFonts w:ascii="Times New Roman" w:eastAsia="Times New Roman" w:hAnsi="Times New Roman"/>
          <w:b/>
          <w:lang w:val="lt-LT"/>
        </w:rPr>
        <w:t>Pranešimas apie šalutinį poveikį</w:t>
      </w:r>
    </w:p>
    <w:p w14:paraId="2C4B76F3" w14:textId="77777777" w:rsidR="001E5C66" w:rsidRPr="00273A3E" w:rsidRDefault="0000617D" w:rsidP="009F71ED">
      <w:pPr>
        <w:keepNext/>
        <w:keepLines/>
        <w:tabs>
          <w:tab w:val="left" w:pos="567"/>
        </w:tabs>
        <w:spacing w:after="0"/>
        <w:jc w:val="both"/>
        <w:rPr>
          <w:rFonts w:ascii="Times New Roman" w:eastAsia="Times New Roman" w:hAnsi="Times New Roman"/>
          <w:lang w:val="lt-LT" w:eastAsia="lt-LT"/>
        </w:rPr>
      </w:pPr>
      <w:r w:rsidRPr="00273A3E">
        <w:rPr>
          <w:rFonts w:ascii="Times New Roman" w:eastAsia="Times New Roman" w:hAnsi="Times New Roman"/>
          <w:lang w:val="lt-LT"/>
        </w:rPr>
        <w:t xml:space="preserve">Jeigu pasireiškė šalutinis poveikis, įskaitant šiame lapelyje nenurodytą, pasakykite gydytojui, vaistininkui arba slaugytojui. </w:t>
      </w:r>
      <w:r w:rsidR="00C54CF6" w:rsidRPr="00273A3E">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C54CF6" w:rsidRPr="00273A3E">
        <w:rPr>
          <w:rFonts w:ascii="Times New Roman" w:eastAsia="Times New Roman" w:hAnsi="Times New Roman"/>
          <w:color w:val="0000EE"/>
          <w:u w:val="single"/>
          <w:lang w:val="lt-LT" w:eastAsia="lt-LT"/>
        </w:rPr>
        <w:t>https://vvkt.lrv.lt/lt/</w:t>
      </w:r>
      <w:r w:rsidR="00C54CF6" w:rsidRPr="00273A3E">
        <w:rPr>
          <w:rFonts w:ascii="Times New Roman" w:eastAsia="Times New Roman" w:hAnsi="Times New Roman"/>
          <w:lang w:val="lt-LT" w:eastAsia="lt-LT"/>
        </w:rPr>
        <w:t xml:space="preserve"> nurodytais būdais arba paskambinti nemokamu telefonu </w:t>
      </w:r>
      <w:r w:rsidR="00ED28CB" w:rsidRPr="00273A3E">
        <w:rPr>
          <w:rFonts w:ascii="Times New Roman" w:eastAsia="Times New Roman" w:hAnsi="Times New Roman"/>
          <w:lang w:val="lt-LT" w:eastAsia="lt-LT"/>
        </w:rPr>
        <w:t>+370</w:t>
      </w:r>
      <w:r w:rsidR="00C54CF6" w:rsidRPr="00273A3E">
        <w:rPr>
          <w:rFonts w:ascii="Times New Roman" w:eastAsia="Times New Roman" w:hAnsi="Times New Roman"/>
          <w:lang w:val="lt-LT" w:eastAsia="lt-LT"/>
        </w:rPr>
        <w:t xml:space="preserve"> 800 73 568. Pranešdami apie šalutinį poveikį galite mums padėti gauti daugiau informacijos apie šio vaisto saugumą.</w:t>
      </w:r>
    </w:p>
    <w:p w14:paraId="661F1860" w14:textId="77777777" w:rsidR="001E5C66" w:rsidRPr="00273A3E" w:rsidRDefault="001E5C66" w:rsidP="009F71ED">
      <w:pPr>
        <w:tabs>
          <w:tab w:val="left" w:pos="567"/>
        </w:tabs>
        <w:spacing w:after="0" w:line="240" w:lineRule="auto"/>
        <w:rPr>
          <w:rFonts w:ascii="Times New Roman" w:hAnsi="Times New Roman"/>
          <w:lang w:val="lt-LT"/>
        </w:rPr>
      </w:pPr>
    </w:p>
    <w:p w14:paraId="51F6FB62" w14:textId="77777777" w:rsidR="009F71ED" w:rsidRPr="00273A3E" w:rsidRDefault="009F71ED" w:rsidP="009F71ED">
      <w:pPr>
        <w:tabs>
          <w:tab w:val="left" w:pos="567"/>
        </w:tabs>
        <w:spacing w:after="0" w:line="240" w:lineRule="auto"/>
        <w:rPr>
          <w:rFonts w:ascii="Times New Roman" w:hAnsi="Times New Roman"/>
          <w:lang w:val="lt-LT"/>
        </w:rPr>
      </w:pPr>
    </w:p>
    <w:p w14:paraId="0B16B6A5" w14:textId="77777777" w:rsidR="001E5C66" w:rsidRPr="00273A3E" w:rsidRDefault="001E5C66" w:rsidP="00914779">
      <w:pPr>
        <w:keepNext/>
        <w:tabs>
          <w:tab w:val="left" w:pos="567"/>
        </w:tabs>
        <w:spacing w:after="0" w:line="240" w:lineRule="auto"/>
        <w:rPr>
          <w:rFonts w:ascii="Times New Roman" w:hAnsi="Times New Roman"/>
          <w:b/>
          <w:lang w:val="lt-LT"/>
        </w:rPr>
      </w:pPr>
      <w:r w:rsidRPr="00273A3E">
        <w:rPr>
          <w:rFonts w:ascii="Times New Roman" w:hAnsi="Times New Roman"/>
          <w:b/>
          <w:lang w:val="lt-LT"/>
        </w:rPr>
        <w:t>5.</w:t>
      </w:r>
      <w:r w:rsidRPr="00273A3E">
        <w:rPr>
          <w:rFonts w:ascii="Times New Roman" w:hAnsi="Times New Roman"/>
          <w:b/>
          <w:lang w:val="lt-LT"/>
        </w:rPr>
        <w:tab/>
        <w:t xml:space="preserve">Kaip laikyti </w:t>
      </w:r>
      <w:proofErr w:type="spellStart"/>
      <w:r w:rsidR="009D7D8C" w:rsidRPr="00273A3E">
        <w:rPr>
          <w:rFonts w:ascii="Times New Roman" w:hAnsi="Times New Roman"/>
          <w:b/>
          <w:lang w:val="lt-LT"/>
        </w:rPr>
        <w:t>Fulvestrant</w:t>
      </w:r>
      <w:proofErr w:type="spellEnd"/>
      <w:r w:rsidR="009D7D8C" w:rsidRPr="00273A3E">
        <w:rPr>
          <w:rFonts w:ascii="Times New Roman" w:hAnsi="Times New Roman"/>
          <w:b/>
          <w:lang w:val="lt-LT"/>
        </w:rPr>
        <w:t xml:space="preserve"> </w:t>
      </w:r>
      <w:proofErr w:type="spellStart"/>
      <w:r w:rsidR="00ED28CB" w:rsidRPr="00273A3E">
        <w:rPr>
          <w:rFonts w:ascii="Times New Roman" w:hAnsi="Times New Roman"/>
          <w:b/>
          <w:lang w:val="lt-LT"/>
        </w:rPr>
        <w:t>Orion</w:t>
      </w:r>
      <w:proofErr w:type="spellEnd"/>
    </w:p>
    <w:p w14:paraId="01699BD5" w14:textId="77777777" w:rsidR="001E5C66" w:rsidRPr="00273A3E" w:rsidRDefault="001E5C66" w:rsidP="00914779">
      <w:pPr>
        <w:keepNext/>
        <w:tabs>
          <w:tab w:val="left" w:pos="567"/>
        </w:tabs>
        <w:spacing w:after="0" w:line="240" w:lineRule="auto"/>
        <w:rPr>
          <w:rFonts w:ascii="Times New Roman" w:hAnsi="Times New Roman"/>
          <w:b/>
          <w:lang w:val="lt-LT"/>
        </w:rPr>
      </w:pPr>
    </w:p>
    <w:p w14:paraId="4B8BDD38"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Šį vaistą laikykite vaikams nepastebimoje ir nepasiekiamoje vietoje.</w:t>
      </w:r>
    </w:p>
    <w:p w14:paraId="4FB298F1" w14:textId="77777777" w:rsidR="009C1A16" w:rsidRPr="00273A3E" w:rsidRDefault="009C1A16" w:rsidP="009F71ED">
      <w:pPr>
        <w:tabs>
          <w:tab w:val="left" w:pos="567"/>
        </w:tabs>
        <w:autoSpaceDE w:val="0"/>
        <w:autoSpaceDN w:val="0"/>
        <w:adjustRightInd w:val="0"/>
        <w:spacing w:after="0" w:line="240" w:lineRule="auto"/>
        <w:rPr>
          <w:rFonts w:ascii="Times New Roman" w:hAnsi="Times New Roman"/>
          <w:lang w:val="lt-LT"/>
        </w:rPr>
      </w:pPr>
    </w:p>
    <w:p w14:paraId="11A23490" w14:textId="77777777" w:rsidR="009C1A16" w:rsidRPr="00273A3E" w:rsidRDefault="009C1A1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Ant dėžutės ir švirkšto etiketės po „</w:t>
      </w:r>
      <w:r w:rsidR="00ED28CB" w:rsidRPr="00273A3E">
        <w:rPr>
          <w:rFonts w:ascii="Times New Roman" w:hAnsi="Times New Roman"/>
          <w:lang w:val="lt-LT"/>
        </w:rPr>
        <w:t>Tinka iki/</w:t>
      </w:r>
      <w:r w:rsidRPr="00273A3E">
        <w:rPr>
          <w:rFonts w:ascii="Times New Roman" w:hAnsi="Times New Roman"/>
          <w:lang w:val="lt-LT"/>
        </w:rPr>
        <w:t>EXP“ nurodytam tinkamumo laikui pasibaigus, šio vaisto vartoti negalima. Vaistas tinkamas vartoti iki paskutinės nurodyto mėnesio dienos.</w:t>
      </w:r>
    </w:p>
    <w:p w14:paraId="16C73814" w14:textId="77777777" w:rsidR="001E5C66" w:rsidRPr="00273A3E" w:rsidRDefault="001E5C66" w:rsidP="00914779">
      <w:pPr>
        <w:keepNext/>
        <w:tabs>
          <w:tab w:val="left" w:pos="567"/>
        </w:tabs>
        <w:spacing w:after="0" w:line="240" w:lineRule="auto"/>
        <w:rPr>
          <w:rFonts w:ascii="Times New Roman" w:hAnsi="Times New Roman"/>
          <w:b/>
          <w:lang w:val="lt-LT"/>
        </w:rPr>
      </w:pPr>
    </w:p>
    <w:p w14:paraId="73BF20D8" w14:textId="77777777" w:rsidR="00ED28CB" w:rsidRPr="00273A3E" w:rsidRDefault="00ED28CB" w:rsidP="00914779">
      <w:pPr>
        <w:keepNext/>
        <w:tabs>
          <w:tab w:val="left" w:pos="567"/>
        </w:tabs>
        <w:spacing w:after="0" w:line="240" w:lineRule="auto"/>
        <w:rPr>
          <w:rFonts w:ascii="Times New Roman" w:hAnsi="Times New Roman"/>
          <w:bCs/>
          <w:lang w:val="lt-LT"/>
        </w:rPr>
      </w:pPr>
      <w:r w:rsidRPr="00273A3E">
        <w:rPr>
          <w:rFonts w:ascii="Times New Roman" w:hAnsi="Times New Roman"/>
          <w:bCs/>
          <w:lang w:val="lt-LT"/>
        </w:rPr>
        <w:t>Pastebėjus dalelių ar spalvos pokyčių, šio vaisto vartoti negalima.</w:t>
      </w:r>
    </w:p>
    <w:p w14:paraId="065BE68C" w14:textId="77777777" w:rsidR="00ED28CB" w:rsidRPr="00273A3E" w:rsidRDefault="00ED28CB" w:rsidP="00914779">
      <w:pPr>
        <w:keepNext/>
        <w:tabs>
          <w:tab w:val="left" w:pos="567"/>
        </w:tabs>
        <w:spacing w:after="0" w:line="240" w:lineRule="auto"/>
        <w:rPr>
          <w:rFonts w:ascii="Times New Roman" w:hAnsi="Times New Roman"/>
          <w:b/>
          <w:lang w:val="lt-LT"/>
        </w:rPr>
      </w:pPr>
    </w:p>
    <w:p w14:paraId="0EA847E1" w14:textId="77777777" w:rsidR="00D647F5" w:rsidRPr="00273A3E" w:rsidRDefault="00D647F5" w:rsidP="009F71ED">
      <w:pPr>
        <w:tabs>
          <w:tab w:val="left" w:pos="567"/>
        </w:tabs>
        <w:autoSpaceDE w:val="0"/>
        <w:autoSpaceDN w:val="0"/>
        <w:adjustRightInd w:val="0"/>
        <w:spacing w:after="0" w:line="240" w:lineRule="auto"/>
        <w:rPr>
          <w:rFonts w:ascii="Times New Roman" w:eastAsia="TimesNewRoman" w:hAnsi="Times New Roman"/>
          <w:lang w:val="lt-LT"/>
        </w:rPr>
      </w:pPr>
      <w:r w:rsidRPr="00273A3E">
        <w:rPr>
          <w:rFonts w:ascii="Times New Roman" w:eastAsia="TimesNewRoman" w:hAnsi="Times New Roman"/>
          <w:lang w:val="lt-LT"/>
        </w:rPr>
        <w:t>Laikyti ir transportuoti šal</w:t>
      </w:r>
      <w:r w:rsidR="009C1A16" w:rsidRPr="00273A3E">
        <w:rPr>
          <w:rFonts w:ascii="Times New Roman" w:eastAsia="TimesNewRoman" w:hAnsi="Times New Roman"/>
          <w:lang w:val="lt-LT"/>
        </w:rPr>
        <w:t>dytuve</w:t>
      </w:r>
      <w:r w:rsidRPr="00273A3E">
        <w:rPr>
          <w:rFonts w:ascii="Times New Roman" w:eastAsia="TimesNewRoman" w:hAnsi="Times New Roman"/>
          <w:lang w:val="lt-LT"/>
        </w:rPr>
        <w:t xml:space="preserve"> (2 °C</w:t>
      </w:r>
      <w:r w:rsidR="009C1A16" w:rsidRPr="00273A3E">
        <w:rPr>
          <w:rFonts w:ascii="Times New Roman" w:eastAsia="TimesNewRoman" w:hAnsi="Times New Roman"/>
          <w:lang w:val="lt-LT"/>
        </w:rPr>
        <w:t> </w:t>
      </w:r>
      <w:r w:rsidRPr="00273A3E">
        <w:rPr>
          <w:rFonts w:ascii="Times New Roman" w:eastAsia="TimesNewRoman" w:hAnsi="Times New Roman"/>
          <w:lang w:val="lt-LT"/>
        </w:rPr>
        <w:t>–</w:t>
      </w:r>
      <w:r w:rsidR="009C1A16" w:rsidRPr="00273A3E">
        <w:rPr>
          <w:rFonts w:ascii="Times New Roman" w:eastAsia="TimesNewRoman" w:hAnsi="Times New Roman"/>
          <w:lang w:val="lt-LT"/>
        </w:rPr>
        <w:t> </w:t>
      </w:r>
      <w:r w:rsidRPr="00273A3E">
        <w:rPr>
          <w:rFonts w:ascii="Times New Roman" w:eastAsia="TimesNewRoman" w:hAnsi="Times New Roman"/>
          <w:lang w:val="lt-LT"/>
        </w:rPr>
        <w:t>8 °C).</w:t>
      </w:r>
    </w:p>
    <w:p w14:paraId="68DA2CFF" w14:textId="77777777" w:rsidR="00911603" w:rsidRPr="00273A3E" w:rsidRDefault="00911603" w:rsidP="009F71ED">
      <w:pPr>
        <w:tabs>
          <w:tab w:val="left" w:pos="567"/>
        </w:tabs>
        <w:autoSpaceDE w:val="0"/>
        <w:autoSpaceDN w:val="0"/>
        <w:adjustRightInd w:val="0"/>
        <w:spacing w:after="0" w:line="240" w:lineRule="auto"/>
        <w:rPr>
          <w:rFonts w:ascii="Times New Roman" w:hAnsi="Times New Roman"/>
          <w:lang w:val="lt-LT"/>
        </w:rPr>
      </w:pPr>
    </w:p>
    <w:p w14:paraId="14FD1D90" w14:textId="77777777" w:rsidR="00911603" w:rsidRPr="00273A3E" w:rsidRDefault="00911603"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Užpildytą švirkštą laikyti gamintojo pakuotėje, kad vaistas būtų apsaugotas nuo šviesos.</w:t>
      </w:r>
    </w:p>
    <w:p w14:paraId="4D63D881" w14:textId="77777777" w:rsidR="00911603" w:rsidRPr="00273A3E" w:rsidRDefault="00911603" w:rsidP="009F71ED">
      <w:pPr>
        <w:tabs>
          <w:tab w:val="left" w:pos="567"/>
        </w:tabs>
        <w:autoSpaceDE w:val="0"/>
        <w:autoSpaceDN w:val="0"/>
        <w:adjustRightInd w:val="0"/>
        <w:spacing w:after="0" w:line="240" w:lineRule="auto"/>
        <w:rPr>
          <w:rFonts w:ascii="Times New Roman" w:eastAsia="TimesNewRoman" w:hAnsi="Times New Roman"/>
          <w:lang w:val="lt-LT"/>
        </w:rPr>
      </w:pPr>
    </w:p>
    <w:p w14:paraId="0A75B9BD" w14:textId="77777777" w:rsidR="001E5C66" w:rsidRPr="00273A3E" w:rsidRDefault="001E5C66" w:rsidP="00914779">
      <w:pPr>
        <w:tabs>
          <w:tab w:val="left" w:pos="567"/>
        </w:tabs>
        <w:spacing w:after="0" w:line="240" w:lineRule="auto"/>
        <w:rPr>
          <w:rFonts w:ascii="Times New Roman" w:hAnsi="Times New Roman"/>
          <w:lang w:val="lt-LT"/>
        </w:rPr>
      </w:pPr>
      <w:r w:rsidRPr="00273A3E">
        <w:rPr>
          <w:rFonts w:ascii="Times New Roman" w:hAnsi="Times New Roman"/>
          <w:lang w:val="lt-LT"/>
        </w:rPr>
        <w:t xml:space="preserve">Jūsų sveikatos priežiūros specialistas bus atsakingas už tinkamą </w:t>
      </w:r>
      <w:proofErr w:type="spellStart"/>
      <w:r w:rsidR="00C86E9E" w:rsidRPr="00273A3E">
        <w:rPr>
          <w:rFonts w:ascii="Times New Roman" w:hAnsi="Times New Roman"/>
          <w:lang w:val="lt-LT"/>
        </w:rPr>
        <w:t>Fulvestrant</w:t>
      </w:r>
      <w:proofErr w:type="spellEnd"/>
      <w:r w:rsidR="00C86E9E" w:rsidRPr="00273A3E">
        <w:rPr>
          <w:rFonts w:ascii="Times New Roman" w:hAnsi="Times New Roman"/>
          <w:lang w:val="lt-LT"/>
        </w:rPr>
        <w:t xml:space="preserve"> </w:t>
      </w:r>
      <w:proofErr w:type="spellStart"/>
      <w:r w:rsidR="00C86E9E" w:rsidRPr="00273A3E">
        <w:rPr>
          <w:rFonts w:ascii="Times New Roman" w:hAnsi="Times New Roman"/>
          <w:lang w:val="lt-LT"/>
        </w:rPr>
        <w:t>Orion</w:t>
      </w:r>
      <w:proofErr w:type="spellEnd"/>
      <w:r w:rsidR="00C86E9E" w:rsidRPr="00273A3E">
        <w:rPr>
          <w:rFonts w:ascii="Times New Roman" w:hAnsi="Times New Roman"/>
          <w:lang w:val="lt-LT"/>
        </w:rPr>
        <w:t xml:space="preserve"> </w:t>
      </w:r>
      <w:r w:rsidRPr="00273A3E">
        <w:rPr>
          <w:rFonts w:ascii="Times New Roman" w:hAnsi="Times New Roman"/>
          <w:lang w:val="lt-LT"/>
        </w:rPr>
        <w:t>saugojimą, naudojimą bei atliekų tvarkymą.</w:t>
      </w:r>
    </w:p>
    <w:p w14:paraId="61633836" w14:textId="77777777" w:rsidR="001E5C66" w:rsidRPr="00273A3E" w:rsidRDefault="001E5C66" w:rsidP="00914779">
      <w:pPr>
        <w:tabs>
          <w:tab w:val="left" w:pos="567"/>
        </w:tabs>
        <w:spacing w:after="0" w:line="240" w:lineRule="auto"/>
        <w:rPr>
          <w:rFonts w:ascii="Times New Roman" w:hAnsi="Times New Roman"/>
          <w:b/>
          <w:bCs/>
          <w:lang w:val="lt-LT"/>
        </w:rPr>
      </w:pPr>
    </w:p>
    <w:p w14:paraId="3670646E"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Šis vaistas gali kelti pavojų aplinkai (vandeniui). Vaistų negalima išmesti į kanalizaciją arba su</w:t>
      </w:r>
      <w:r w:rsidR="00911603" w:rsidRPr="00273A3E">
        <w:rPr>
          <w:rFonts w:ascii="Times New Roman" w:hAnsi="Times New Roman"/>
          <w:lang w:val="lt-LT"/>
        </w:rPr>
        <w:t xml:space="preserve"> </w:t>
      </w:r>
      <w:r w:rsidRPr="00273A3E">
        <w:rPr>
          <w:rFonts w:ascii="Times New Roman" w:hAnsi="Times New Roman"/>
          <w:lang w:val="lt-LT"/>
        </w:rPr>
        <w:t>buitinėmis atliekomis. Kaip išmesti nereikalingus vaistus, klauskite vaistininko. Šios priemonės padės</w:t>
      </w:r>
      <w:r w:rsidR="00911603" w:rsidRPr="00273A3E">
        <w:rPr>
          <w:rFonts w:ascii="Times New Roman" w:hAnsi="Times New Roman"/>
          <w:lang w:val="lt-LT"/>
        </w:rPr>
        <w:t xml:space="preserve"> </w:t>
      </w:r>
      <w:r w:rsidRPr="00273A3E">
        <w:rPr>
          <w:rFonts w:ascii="Times New Roman" w:hAnsi="Times New Roman"/>
          <w:lang w:val="lt-LT"/>
        </w:rPr>
        <w:t>apsaugoti aplinką.</w:t>
      </w:r>
    </w:p>
    <w:p w14:paraId="10C9B09F" w14:textId="77777777" w:rsidR="001E5C66" w:rsidRPr="00273A3E" w:rsidRDefault="001E5C66" w:rsidP="00914779">
      <w:pPr>
        <w:tabs>
          <w:tab w:val="left" w:pos="567"/>
        </w:tabs>
        <w:spacing w:after="0" w:line="240" w:lineRule="auto"/>
        <w:rPr>
          <w:rFonts w:ascii="Times New Roman" w:hAnsi="Times New Roman"/>
          <w:lang w:val="lt-LT"/>
        </w:rPr>
      </w:pPr>
    </w:p>
    <w:p w14:paraId="24898361" w14:textId="77777777" w:rsidR="005D5627" w:rsidRPr="00273A3E" w:rsidRDefault="005D5627" w:rsidP="00914779">
      <w:pPr>
        <w:tabs>
          <w:tab w:val="left" w:pos="567"/>
        </w:tabs>
        <w:spacing w:after="0" w:line="240" w:lineRule="auto"/>
        <w:rPr>
          <w:rFonts w:ascii="Times New Roman" w:hAnsi="Times New Roman"/>
          <w:lang w:val="lt-LT"/>
        </w:rPr>
      </w:pPr>
    </w:p>
    <w:p w14:paraId="4A81DBE2" w14:textId="77777777" w:rsidR="001E5C66" w:rsidRPr="00273A3E" w:rsidRDefault="001E5C66" w:rsidP="00914779">
      <w:pPr>
        <w:keepNext/>
        <w:tabs>
          <w:tab w:val="left" w:pos="567"/>
        </w:tabs>
        <w:spacing w:after="0" w:line="240" w:lineRule="auto"/>
        <w:rPr>
          <w:rFonts w:ascii="Times New Roman" w:hAnsi="Times New Roman"/>
          <w:b/>
          <w:lang w:val="lt-LT"/>
        </w:rPr>
      </w:pPr>
      <w:r w:rsidRPr="00273A3E">
        <w:rPr>
          <w:rFonts w:ascii="Times New Roman" w:hAnsi="Times New Roman"/>
          <w:b/>
          <w:lang w:val="lt-LT"/>
        </w:rPr>
        <w:t>6.</w:t>
      </w:r>
      <w:r w:rsidRPr="00273A3E">
        <w:rPr>
          <w:rFonts w:ascii="Times New Roman" w:hAnsi="Times New Roman"/>
          <w:lang w:val="lt-LT"/>
        </w:rPr>
        <w:tab/>
      </w:r>
      <w:r w:rsidRPr="00273A3E">
        <w:rPr>
          <w:rFonts w:ascii="Times New Roman" w:hAnsi="Times New Roman"/>
          <w:b/>
          <w:lang w:val="lt-LT"/>
        </w:rPr>
        <w:t>Pakuotės turinys ir kita informacija</w:t>
      </w:r>
    </w:p>
    <w:p w14:paraId="72DD370E" w14:textId="77777777" w:rsidR="001E5C66" w:rsidRPr="00273A3E" w:rsidRDefault="001E5C66" w:rsidP="00914779">
      <w:pPr>
        <w:tabs>
          <w:tab w:val="left" w:pos="567"/>
        </w:tabs>
        <w:spacing w:after="0" w:line="240" w:lineRule="auto"/>
        <w:rPr>
          <w:rFonts w:ascii="Times New Roman" w:hAnsi="Times New Roman"/>
          <w:lang w:val="lt-LT"/>
        </w:rPr>
      </w:pPr>
    </w:p>
    <w:p w14:paraId="2B95F8A4" w14:textId="77777777" w:rsidR="001E5C66" w:rsidRPr="00273A3E" w:rsidRDefault="00C86E9E" w:rsidP="009F71ED">
      <w:pPr>
        <w:keepNext/>
        <w:tabs>
          <w:tab w:val="left" w:pos="567"/>
        </w:tabs>
        <w:spacing w:after="0" w:line="240" w:lineRule="auto"/>
        <w:rPr>
          <w:rFonts w:ascii="Times New Roman" w:hAnsi="Times New Roman"/>
          <w:b/>
          <w:lang w:val="lt-LT"/>
        </w:rPr>
      </w:pPr>
      <w:proofErr w:type="spellStart"/>
      <w:r w:rsidRPr="00273A3E">
        <w:rPr>
          <w:rFonts w:ascii="Times New Roman" w:hAnsi="Times New Roman"/>
          <w:b/>
          <w:lang w:val="lt-LT"/>
        </w:rPr>
        <w:t>Fulvestrant</w:t>
      </w:r>
      <w:proofErr w:type="spellEnd"/>
      <w:r w:rsidRPr="00273A3E">
        <w:rPr>
          <w:rFonts w:ascii="Times New Roman" w:hAnsi="Times New Roman"/>
          <w:b/>
          <w:lang w:val="lt-LT"/>
        </w:rPr>
        <w:t xml:space="preserve"> </w:t>
      </w:r>
      <w:proofErr w:type="spellStart"/>
      <w:r w:rsidRPr="00273A3E">
        <w:rPr>
          <w:rFonts w:ascii="Times New Roman" w:hAnsi="Times New Roman"/>
          <w:b/>
          <w:lang w:val="lt-LT"/>
        </w:rPr>
        <w:t>Orion</w:t>
      </w:r>
      <w:proofErr w:type="spellEnd"/>
      <w:r w:rsidRPr="00273A3E">
        <w:rPr>
          <w:rFonts w:ascii="Times New Roman" w:hAnsi="Times New Roman"/>
          <w:b/>
          <w:lang w:val="lt-LT"/>
        </w:rPr>
        <w:t xml:space="preserve"> </w:t>
      </w:r>
      <w:r w:rsidR="001E5C66" w:rsidRPr="00273A3E">
        <w:rPr>
          <w:rFonts w:ascii="Times New Roman" w:hAnsi="Times New Roman"/>
          <w:b/>
          <w:lang w:val="lt-LT"/>
        </w:rPr>
        <w:t>sudėtis</w:t>
      </w:r>
    </w:p>
    <w:p w14:paraId="33707C6D"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w:t>
      </w:r>
      <w:r w:rsidRPr="00273A3E">
        <w:rPr>
          <w:rFonts w:ascii="Times New Roman" w:hAnsi="Times New Roman"/>
          <w:lang w:val="lt-LT"/>
        </w:rPr>
        <w:tab/>
        <w:t xml:space="preserve">Veiklioji medžiaga yra </w:t>
      </w:r>
      <w:proofErr w:type="spellStart"/>
      <w:r w:rsidRPr="00273A3E">
        <w:rPr>
          <w:rFonts w:ascii="Times New Roman" w:hAnsi="Times New Roman"/>
          <w:lang w:val="lt-LT"/>
        </w:rPr>
        <w:t>fulvestrantas</w:t>
      </w:r>
      <w:proofErr w:type="spellEnd"/>
      <w:r w:rsidRPr="00273A3E">
        <w:rPr>
          <w:rFonts w:ascii="Times New Roman" w:hAnsi="Times New Roman"/>
          <w:lang w:val="lt-LT"/>
        </w:rPr>
        <w:t>. Kiekviename užpildytame švirkšte (5</w:t>
      </w:r>
      <w:r w:rsidR="00FF0074" w:rsidRPr="00273A3E">
        <w:rPr>
          <w:rFonts w:ascii="Times New Roman" w:hAnsi="Times New Roman"/>
          <w:lang w:val="lt-LT"/>
        </w:rPr>
        <w:t> ml</w:t>
      </w:r>
      <w:r w:rsidRPr="00273A3E">
        <w:rPr>
          <w:rFonts w:ascii="Times New Roman" w:hAnsi="Times New Roman"/>
          <w:lang w:val="lt-LT"/>
        </w:rPr>
        <w:t>) yra 250</w:t>
      </w:r>
      <w:r w:rsidR="00FF0074" w:rsidRPr="00273A3E">
        <w:rPr>
          <w:rFonts w:ascii="Times New Roman" w:hAnsi="Times New Roman"/>
          <w:lang w:val="lt-LT"/>
        </w:rPr>
        <w:t> mg</w:t>
      </w:r>
      <w:r w:rsidRPr="00273A3E">
        <w:rPr>
          <w:rFonts w:ascii="Times New Roman" w:hAnsi="Times New Roman"/>
          <w:lang w:val="lt-LT"/>
        </w:rPr>
        <w:t xml:space="preserve"> </w:t>
      </w:r>
      <w:proofErr w:type="spellStart"/>
      <w:r w:rsidRPr="00273A3E">
        <w:rPr>
          <w:rFonts w:ascii="Times New Roman" w:hAnsi="Times New Roman"/>
          <w:lang w:val="lt-LT"/>
        </w:rPr>
        <w:t>fulvestranto</w:t>
      </w:r>
      <w:proofErr w:type="spellEnd"/>
      <w:r w:rsidRPr="00273A3E">
        <w:rPr>
          <w:rFonts w:ascii="Times New Roman" w:hAnsi="Times New Roman"/>
          <w:lang w:val="lt-LT"/>
        </w:rPr>
        <w:t>.</w:t>
      </w:r>
      <w:r w:rsidR="0046014F" w:rsidRPr="00273A3E">
        <w:rPr>
          <w:rFonts w:ascii="Times New Roman" w:hAnsi="Times New Roman"/>
          <w:lang w:val="lt-LT"/>
        </w:rPr>
        <w:t xml:space="preserve"> </w:t>
      </w:r>
    </w:p>
    <w:p w14:paraId="7D623B0F" w14:textId="77777777" w:rsidR="001E5C66" w:rsidRPr="00273A3E" w:rsidRDefault="001E5C66" w:rsidP="009F71ED">
      <w:pPr>
        <w:tabs>
          <w:tab w:val="left" w:pos="567"/>
        </w:tabs>
        <w:spacing w:after="0" w:line="240" w:lineRule="auto"/>
        <w:ind w:left="567" w:hanging="567"/>
        <w:rPr>
          <w:rFonts w:ascii="Times New Roman" w:hAnsi="Times New Roman"/>
          <w:lang w:val="lt-LT"/>
        </w:rPr>
      </w:pPr>
      <w:r w:rsidRPr="00273A3E">
        <w:rPr>
          <w:rFonts w:ascii="Times New Roman" w:hAnsi="Times New Roman"/>
          <w:lang w:val="lt-LT"/>
        </w:rPr>
        <w:t>-</w:t>
      </w:r>
      <w:r w:rsidRPr="00273A3E">
        <w:rPr>
          <w:rFonts w:ascii="Times New Roman" w:hAnsi="Times New Roman"/>
          <w:lang w:val="lt-LT"/>
        </w:rPr>
        <w:tab/>
        <w:t xml:space="preserve">Pagalbinės medžiagos yra etanolis (96 %), </w:t>
      </w:r>
      <w:proofErr w:type="spellStart"/>
      <w:r w:rsidRPr="00273A3E">
        <w:rPr>
          <w:rFonts w:ascii="Times New Roman" w:hAnsi="Times New Roman"/>
          <w:lang w:val="lt-LT"/>
        </w:rPr>
        <w:t>benzilo</w:t>
      </w:r>
      <w:proofErr w:type="spellEnd"/>
      <w:r w:rsidRPr="00273A3E">
        <w:rPr>
          <w:rFonts w:ascii="Times New Roman" w:hAnsi="Times New Roman"/>
          <w:lang w:val="lt-LT"/>
        </w:rPr>
        <w:t xml:space="preserve"> alkoholis, </w:t>
      </w:r>
      <w:proofErr w:type="spellStart"/>
      <w:r w:rsidRPr="00273A3E">
        <w:rPr>
          <w:rFonts w:ascii="Times New Roman" w:hAnsi="Times New Roman"/>
          <w:lang w:val="lt-LT"/>
        </w:rPr>
        <w:t>benzilbenzoatas</w:t>
      </w:r>
      <w:proofErr w:type="spellEnd"/>
      <w:r w:rsidRPr="00273A3E">
        <w:rPr>
          <w:rFonts w:ascii="Times New Roman" w:hAnsi="Times New Roman"/>
          <w:lang w:val="lt-LT"/>
        </w:rPr>
        <w:t xml:space="preserve"> ir rafinuotas ricinos aliejus.</w:t>
      </w:r>
    </w:p>
    <w:p w14:paraId="3C80AA02" w14:textId="77777777" w:rsidR="001E5C66" w:rsidRPr="00273A3E" w:rsidRDefault="001E5C66" w:rsidP="009F71ED">
      <w:pPr>
        <w:numPr>
          <w:ilvl w:val="12"/>
          <w:numId w:val="0"/>
        </w:numPr>
        <w:tabs>
          <w:tab w:val="left" w:pos="567"/>
        </w:tabs>
        <w:spacing w:after="0" w:line="240" w:lineRule="auto"/>
        <w:rPr>
          <w:rFonts w:ascii="Times New Roman" w:hAnsi="Times New Roman"/>
          <w:lang w:val="lt-LT"/>
        </w:rPr>
      </w:pPr>
    </w:p>
    <w:p w14:paraId="2F06D66F" w14:textId="77777777" w:rsidR="001E5C66" w:rsidRPr="00273A3E" w:rsidRDefault="00C86E9E" w:rsidP="009F71ED">
      <w:pPr>
        <w:keepNext/>
        <w:tabs>
          <w:tab w:val="left" w:pos="567"/>
        </w:tabs>
        <w:spacing w:after="0" w:line="240" w:lineRule="auto"/>
        <w:rPr>
          <w:rFonts w:ascii="Times New Roman" w:hAnsi="Times New Roman"/>
          <w:b/>
          <w:lang w:val="lt-LT"/>
        </w:rPr>
      </w:pPr>
      <w:proofErr w:type="spellStart"/>
      <w:r w:rsidRPr="00273A3E">
        <w:rPr>
          <w:rFonts w:ascii="Times New Roman" w:hAnsi="Times New Roman"/>
          <w:b/>
          <w:lang w:val="lt-LT"/>
        </w:rPr>
        <w:t>Fulvestrant</w:t>
      </w:r>
      <w:proofErr w:type="spellEnd"/>
      <w:r w:rsidRPr="00273A3E">
        <w:rPr>
          <w:rFonts w:ascii="Times New Roman" w:hAnsi="Times New Roman"/>
          <w:b/>
          <w:lang w:val="lt-LT"/>
        </w:rPr>
        <w:t xml:space="preserve"> </w:t>
      </w:r>
      <w:proofErr w:type="spellStart"/>
      <w:r w:rsidRPr="00273A3E">
        <w:rPr>
          <w:rFonts w:ascii="Times New Roman" w:hAnsi="Times New Roman"/>
          <w:b/>
          <w:lang w:val="lt-LT"/>
        </w:rPr>
        <w:t>Orion</w:t>
      </w:r>
      <w:proofErr w:type="spellEnd"/>
      <w:r w:rsidRPr="00273A3E">
        <w:rPr>
          <w:rFonts w:ascii="Times New Roman" w:hAnsi="Times New Roman"/>
          <w:b/>
          <w:lang w:val="lt-LT"/>
        </w:rPr>
        <w:t xml:space="preserve"> </w:t>
      </w:r>
      <w:r w:rsidR="001E5C66" w:rsidRPr="00273A3E">
        <w:rPr>
          <w:rFonts w:ascii="Times New Roman" w:hAnsi="Times New Roman"/>
          <w:b/>
          <w:lang w:val="lt-LT"/>
        </w:rPr>
        <w:t>išvaizda ir kiekis pakuotėje</w:t>
      </w:r>
    </w:p>
    <w:p w14:paraId="345D33A5" w14:textId="77777777" w:rsidR="00F368C1" w:rsidRPr="00273A3E" w:rsidRDefault="00C86E9E" w:rsidP="009F71ED">
      <w:pPr>
        <w:keepNext/>
        <w:tabs>
          <w:tab w:val="left" w:pos="567"/>
        </w:tabs>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F368C1" w:rsidRPr="00273A3E">
        <w:rPr>
          <w:rFonts w:ascii="Times New Roman" w:hAnsi="Times New Roman"/>
          <w:lang w:val="lt-LT"/>
        </w:rPr>
        <w:t xml:space="preserve">yra skaidrus, nuo bespalvio iki geltonos spalvos, klampus </w:t>
      </w:r>
      <w:r w:rsidR="00ED28CB" w:rsidRPr="00273A3E">
        <w:rPr>
          <w:rFonts w:ascii="Times New Roman" w:hAnsi="Times New Roman"/>
          <w:lang w:val="lt-LT"/>
        </w:rPr>
        <w:t xml:space="preserve">skystis </w:t>
      </w:r>
      <w:r w:rsidR="00F368C1" w:rsidRPr="00273A3E">
        <w:rPr>
          <w:rFonts w:ascii="Times New Roman" w:hAnsi="Times New Roman"/>
          <w:lang w:val="lt-LT"/>
        </w:rPr>
        <w:t xml:space="preserve">užpildytame švirkšte </w:t>
      </w:r>
      <w:r w:rsidR="00ED28CB" w:rsidRPr="00273A3E">
        <w:rPr>
          <w:rFonts w:ascii="Times New Roman" w:hAnsi="Times New Roman"/>
          <w:lang w:val="lt-LT"/>
        </w:rPr>
        <w:t>su apsauginiu pirmojo atidarymo kontrolės uždoriu, švirkšte yra 5</w:t>
      </w:r>
      <w:r w:rsidR="009F71ED" w:rsidRPr="00273A3E">
        <w:rPr>
          <w:rFonts w:ascii="Times New Roman" w:hAnsi="Times New Roman"/>
          <w:lang w:val="lt-LT"/>
        </w:rPr>
        <w:t> </w:t>
      </w:r>
      <w:r w:rsidR="00ED28CB" w:rsidRPr="00273A3E">
        <w:rPr>
          <w:rFonts w:ascii="Times New Roman" w:hAnsi="Times New Roman"/>
          <w:lang w:val="lt-LT"/>
        </w:rPr>
        <w:t xml:space="preserve">ml injekcinio tirpalo. </w:t>
      </w:r>
      <w:r w:rsidR="00F368C1" w:rsidRPr="00273A3E">
        <w:rPr>
          <w:rFonts w:ascii="Times New Roman" w:hAnsi="Times New Roman"/>
          <w:lang w:val="lt-LT"/>
        </w:rPr>
        <w:t>Norint gauti rekomenduojamą 500 mg mėnesio dozę, reikia suleisti d</w:t>
      </w:r>
      <w:r w:rsidR="00882628" w:rsidRPr="00273A3E">
        <w:rPr>
          <w:rFonts w:ascii="Times New Roman" w:hAnsi="Times New Roman"/>
          <w:lang w:val="lt-LT"/>
        </w:rPr>
        <w:t>viejų</w:t>
      </w:r>
      <w:r w:rsidR="00F368C1" w:rsidRPr="00273A3E">
        <w:rPr>
          <w:rFonts w:ascii="Times New Roman" w:hAnsi="Times New Roman"/>
          <w:lang w:val="lt-LT"/>
        </w:rPr>
        <w:t xml:space="preserve"> švirkšt</w:t>
      </w:r>
      <w:r w:rsidR="00882628" w:rsidRPr="00273A3E">
        <w:rPr>
          <w:rFonts w:ascii="Times New Roman" w:hAnsi="Times New Roman"/>
          <w:lang w:val="lt-LT"/>
        </w:rPr>
        <w:t>ų turinį</w:t>
      </w:r>
      <w:r w:rsidR="00F368C1" w:rsidRPr="00273A3E">
        <w:rPr>
          <w:rFonts w:ascii="Times New Roman" w:hAnsi="Times New Roman"/>
          <w:lang w:val="lt-LT"/>
        </w:rPr>
        <w:t>.</w:t>
      </w:r>
    </w:p>
    <w:p w14:paraId="76931A2E" w14:textId="77777777" w:rsidR="00F368C1" w:rsidRPr="00273A3E" w:rsidRDefault="00F368C1" w:rsidP="009F71ED">
      <w:pPr>
        <w:keepNext/>
        <w:tabs>
          <w:tab w:val="left" w:pos="567"/>
        </w:tabs>
        <w:spacing w:after="0" w:line="240" w:lineRule="auto"/>
        <w:rPr>
          <w:rFonts w:ascii="Times New Roman" w:hAnsi="Times New Roman"/>
          <w:lang w:val="lt-LT"/>
        </w:rPr>
      </w:pPr>
    </w:p>
    <w:p w14:paraId="04603D5E" w14:textId="77777777" w:rsidR="00F368C1" w:rsidRPr="00273A3E" w:rsidRDefault="00C86E9E" w:rsidP="009F71ED">
      <w:pPr>
        <w:tabs>
          <w:tab w:val="left" w:pos="567"/>
        </w:tabs>
        <w:autoSpaceDE w:val="0"/>
        <w:autoSpaceDN w:val="0"/>
        <w:adjustRightInd w:val="0"/>
        <w:spacing w:after="0" w:line="240" w:lineRule="auto"/>
        <w:rPr>
          <w:rFonts w:ascii="Times New Roman" w:hAnsi="Times New Roman"/>
          <w:lang w:val="lt-LT"/>
        </w:rPr>
      </w:pPr>
      <w:proofErr w:type="spellStart"/>
      <w:r w:rsidRPr="00273A3E">
        <w:rPr>
          <w:rFonts w:ascii="Times New Roman" w:hAnsi="Times New Roman"/>
          <w:lang w:val="lt-LT"/>
        </w:rPr>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F368C1" w:rsidRPr="00273A3E">
        <w:rPr>
          <w:rFonts w:ascii="Times New Roman" w:hAnsi="Times New Roman"/>
          <w:lang w:val="lt-LT"/>
        </w:rPr>
        <w:t>tiekiamas pakuotėse</w:t>
      </w:r>
      <w:r w:rsidR="00893D15" w:rsidRPr="00273A3E">
        <w:rPr>
          <w:rFonts w:ascii="Times New Roman" w:hAnsi="Times New Roman"/>
          <w:lang w:val="lt-LT"/>
        </w:rPr>
        <w:t xml:space="preserve">, </w:t>
      </w:r>
      <w:r w:rsidR="00F368C1" w:rsidRPr="00273A3E">
        <w:rPr>
          <w:rFonts w:ascii="Times New Roman" w:hAnsi="Times New Roman"/>
          <w:lang w:val="lt-LT"/>
        </w:rPr>
        <w:t>kurio</w:t>
      </w:r>
      <w:r w:rsidR="00893D15" w:rsidRPr="00273A3E">
        <w:rPr>
          <w:rFonts w:ascii="Times New Roman" w:hAnsi="Times New Roman"/>
          <w:lang w:val="lt-LT"/>
        </w:rPr>
        <w:t>s</w:t>
      </w:r>
      <w:r w:rsidR="00F368C1" w:rsidRPr="00273A3E">
        <w:rPr>
          <w:rFonts w:ascii="Times New Roman" w:hAnsi="Times New Roman"/>
          <w:lang w:val="lt-LT"/>
        </w:rPr>
        <w:t>e yra 1</w:t>
      </w:r>
      <w:r w:rsidR="00893D15" w:rsidRPr="00273A3E">
        <w:rPr>
          <w:rFonts w:ascii="Times New Roman" w:hAnsi="Times New Roman"/>
          <w:lang w:val="lt-LT"/>
        </w:rPr>
        <w:t>, 2, 4 arba 6</w:t>
      </w:r>
      <w:r w:rsidR="00F368C1" w:rsidRPr="00273A3E">
        <w:rPr>
          <w:rFonts w:ascii="Times New Roman" w:hAnsi="Times New Roman"/>
          <w:lang w:val="lt-LT"/>
        </w:rPr>
        <w:t xml:space="preserve"> stiklini</w:t>
      </w:r>
      <w:r w:rsidR="00893D15" w:rsidRPr="00273A3E">
        <w:rPr>
          <w:rFonts w:ascii="Times New Roman" w:hAnsi="Times New Roman"/>
          <w:lang w:val="lt-LT"/>
        </w:rPr>
        <w:t>ai</w:t>
      </w:r>
      <w:r w:rsidR="00F368C1" w:rsidRPr="00273A3E">
        <w:rPr>
          <w:rFonts w:ascii="Times New Roman" w:hAnsi="Times New Roman"/>
          <w:lang w:val="lt-LT"/>
        </w:rPr>
        <w:t xml:space="preserve"> užpildyt</w:t>
      </w:r>
      <w:r w:rsidR="00893D15" w:rsidRPr="00273A3E">
        <w:rPr>
          <w:rFonts w:ascii="Times New Roman" w:hAnsi="Times New Roman"/>
          <w:lang w:val="lt-LT"/>
        </w:rPr>
        <w:t>i</w:t>
      </w:r>
      <w:r w:rsidR="00F368C1" w:rsidRPr="00273A3E">
        <w:rPr>
          <w:rFonts w:ascii="Times New Roman" w:hAnsi="Times New Roman"/>
          <w:lang w:val="lt-LT"/>
        </w:rPr>
        <w:t xml:space="preserve"> švirkšta</w:t>
      </w:r>
      <w:r w:rsidR="00893D15" w:rsidRPr="00273A3E">
        <w:rPr>
          <w:rFonts w:ascii="Times New Roman" w:hAnsi="Times New Roman"/>
          <w:lang w:val="lt-LT"/>
        </w:rPr>
        <w:t>i.</w:t>
      </w:r>
      <w:r w:rsidR="00F368C1" w:rsidRPr="00273A3E">
        <w:rPr>
          <w:rFonts w:ascii="Times New Roman" w:hAnsi="Times New Roman"/>
          <w:lang w:val="lt-LT"/>
        </w:rPr>
        <w:t xml:space="preserve"> </w:t>
      </w:r>
      <w:r w:rsidR="00893D15" w:rsidRPr="00273A3E">
        <w:rPr>
          <w:rFonts w:ascii="Times New Roman" w:hAnsi="Times New Roman"/>
          <w:lang w:val="lt-LT"/>
        </w:rPr>
        <w:t>Kiekvienoje p</w:t>
      </w:r>
      <w:r w:rsidR="00F368C1" w:rsidRPr="00273A3E">
        <w:rPr>
          <w:rFonts w:ascii="Times New Roman" w:hAnsi="Times New Roman"/>
          <w:lang w:val="lt-LT"/>
        </w:rPr>
        <w:t>akuotėje taip pat yra saugiosios adatos (</w:t>
      </w:r>
      <w:r w:rsidR="00F368C1" w:rsidRPr="00273A3E">
        <w:rPr>
          <w:rFonts w:ascii="Times New Roman" w:hAnsi="Times New Roman"/>
          <w:i/>
          <w:iCs/>
          <w:lang w:val="lt-LT"/>
        </w:rPr>
        <w:t xml:space="preserve">BD </w:t>
      </w:r>
      <w:proofErr w:type="spellStart"/>
      <w:r w:rsidR="00F368C1" w:rsidRPr="00273A3E">
        <w:rPr>
          <w:rFonts w:ascii="Times New Roman" w:hAnsi="Times New Roman"/>
          <w:i/>
          <w:iCs/>
          <w:lang w:val="lt-LT"/>
        </w:rPr>
        <w:t>SafetyGlide</w:t>
      </w:r>
      <w:proofErr w:type="spellEnd"/>
      <w:r w:rsidR="00F368C1" w:rsidRPr="00273A3E">
        <w:rPr>
          <w:rFonts w:ascii="Times New Roman" w:hAnsi="Times New Roman"/>
          <w:lang w:val="lt-LT"/>
        </w:rPr>
        <w:t>), skirtos prijungti prie kiekvieno korpuso.</w:t>
      </w:r>
    </w:p>
    <w:p w14:paraId="7B1EECED" w14:textId="77777777" w:rsidR="00C76AFB" w:rsidRPr="00273A3E" w:rsidRDefault="00C76AFB" w:rsidP="009F71ED">
      <w:pPr>
        <w:pStyle w:val="Sraopastraipa"/>
        <w:tabs>
          <w:tab w:val="left" w:pos="567"/>
        </w:tabs>
        <w:autoSpaceDE w:val="0"/>
        <w:autoSpaceDN w:val="0"/>
        <w:adjustRightInd w:val="0"/>
        <w:ind w:left="0"/>
        <w:contextualSpacing w:val="0"/>
        <w:rPr>
          <w:rFonts w:eastAsia="Calibri"/>
          <w:szCs w:val="22"/>
          <w:lang w:eastAsia="en-US"/>
        </w:rPr>
      </w:pPr>
    </w:p>
    <w:p w14:paraId="6C743FA0" w14:textId="77777777" w:rsidR="00C76AFB" w:rsidRPr="00273A3E" w:rsidRDefault="00C76AFB" w:rsidP="009F71E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Gali būti tiekiamos ne visų dydžių pakuotės.</w:t>
      </w:r>
    </w:p>
    <w:p w14:paraId="42B9BCF5" w14:textId="77777777" w:rsidR="001E5C66" w:rsidRPr="00273A3E" w:rsidRDefault="001E5C66" w:rsidP="009F71ED">
      <w:pPr>
        <w:tabs>
          <w:tab w:val="left" w:pos="567"/>
        </w:tabs>
        <w:spacing w:after="0" w:line="240" w:lineRule="auto"/>
        <w:rPr>
          <w:rFonts w:ascii="Times New Roman" w:hAnsi="Times New Roman"/>
          <w:lang w:val="lt-LT"/>
        </w:rPr>
      </w:pPr>
    </w:p>
    <w:p w14:paraId="6A92E921" w14:textId="77777777" w:rsidR="003E787C" w:rsidRPr="00273A3E" w:rsidRDefault="003E787C" w:rsidP="009F71ED">
      <w:pPr>
        <w:keepNext/>
        <w:keepLines/>
        <w:widowControl w:val="0"/>
        <w:tabs>
          <w:tab w:val="left" w:pos="567"/>
        </w:tabs>
        <w:autoSpaceDE w:val="0"/>
        <w:autoSpaceDN w:val="0"/>
        <w:adjustRightInd w:val="0"/>
        <w:spacing w:after="0" w:line="240" w:lineRule="auto"/>
        <w:rPr>
          <w:rFonts w:ascii="Times New Roman" w:eastAsia="Times New Roman" w:hAnsi="Times New Roman"/>
          <w:b/>
          <w:lang w:val="lt-LT" w:eastAsia="sl-SI"/>
        </w:rPr>
      </w:pPr>
      <w:r w:rsidRPr="00273A3E">
        <w:rPr>
          <w:rFonts w:ascii="Times New Roman" w:eastAsia="Times New Roman" w:hAnsi="Times New Roman"/>
          <w:b/>
          <w:lang w:val="lt-LT" w:eastAsia="sl-SI"/>
        </w:rPr>
        <w:t>Registruotojas ir gamintojas</w:t>
      </w:r>
    </w:p>
    <w:p w14:paraId="210686EF" w14:textId="77777777" w:rsidR="003E787C" w:rsidRPr="00273A3E" w:rsidRDefault="003E787C" w:rsidP="009F71ED">
      <w:pPr>
        <w:keepNext/>
        <w:keepLines/>
        <w:widowControl w:val="0"/>
        <w:tabs>
          <w:tab w:val="left" w:pos="567"/>
        </w:tabs>
        <w:autoSpaceDE w:val="0"/>
        <w:autoSpaceDN w:val="0"/>
        <w:adjustRightInd w:val="0"/>
        <w:spacing w:after="0" w:line="240" w:lineRule="auto"/>
        <w:rPr>
          <w:rFonts w:ascii="Times New Roman" w:eastAsia="Times New Roman" w:hAnsi="Times New Roman"/>
          <w:lang w:val="lt-LT" w:eastAsia="sl-SI"/>
        </w:rPr>
      </w:pPr>
    </w:p>
    <w:p w14:paraId="1273408A" w14:textId="77777777" w:rsidR="003E787C" w:rsidRPr="00273A3E" w:rsidRDefault="003E787C" w:rsidP="009F71ED">
      <w:pPr>
        <w:keepNext/>
        <w:keepLines/>
        <w:widowControl w:val="0"/>
        <w:tabs>
          <w:tab w:val="left" w:pos="567"/>
          <w:tab w:val="left" w:pos="1296"/>
        </w:tabs>
        <w:autoSpaceDE w:val="0"/>
        <w:autoSpaceDN w:val="0"/>
        <w:adjustRightInd w:val="0"/>
        <w:snapToGrid w:val="0"/>
        <w:spacing w:after="0" w:line="240" w:lineRule="auto"/>
        <w:rPr>
          <w:rFonts w:ascii="Times New Roman" w:eastAsia="Times New Roman" w:hAnsi="Times New Roman"/>
          <w:i/>
          <w:lang w:val="lt-LT" w:eastAsia="lt-LT"/>
        </w:rPr>
      </w:pPr>
      <w:r w:rsidRPr="00273A3E">
        <w:rPr>
          <w:rFonts w:ascii="Times New Roman" w:eastAsia="Times New Roman" w:hAnsi="Times New Roman"/>
          <w:i/>
          <w:lang w:val="lt-LT" w:eastAsia="lt-LT"/>
        </w:rPr>
        <w:t>Registruotojas</w:t>
      </w:r>
    </w:p>
    <w:p w14:paraId="6A7FAD12" w14:textId="77777777" w:rsidR="00ED28CB" w:rsidRPr="00273A3E" w:rsidRDefault="00ED28CB" w:rsidP="009F71ED">
      <w:pPr>
        <w:keepNext/>
        <w:keepLines/>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 Corporation</w:t>
      </w:r>
    </w:p>
    <w:p w14:paraId="3F1F7B8F" w14:textId="77777777" w:rsidR="00ED28CB" w:rsidRPr="00273A3E" w:rsidRDefault="00ED28CB" w:rsidP="009F71ED">
      <w:pPr>
        <w:keepNext/>
        <w:keepLines/>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Orionintie 1</w:t>
      </w:r>
    </w:p>
    <w:p w14:paraId="35D3E5A1" w14:textId="77777777" w:rsidR="00ED28CB" w:rsidRPr="00273A3E" w:rsidRDefault="00ED28CB" w:rsidP="009F71ED">
      <w:pPr>
        <w:keepNext/>
        <w:keepLines/>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FI-02200 Espoo</w:t>
      </w:r>
    </w:p>
    <w:p w14:paraId="1D1D32AC" w14:textId="77777777" w:rsidR="00ED28CB" w:rsidRPr="00273A3E" w:rsidRDefault="00ED28CB" w:rsidP="009F71ED">
      <w:pPr>
        <w:keepNext/>
        <w:keepLines/>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w:t>
      </w:r>
    </w:p>
    <w:p w14:paraId="042DBA84" w14:textId="77777777" w:rsidR="003E787C" w:rsidRPr="00273A3E" w:rsidRDefault="003E787C" w:rsidP="009F71ED">
      <w:pPr>
        <w:widowControl w:val="0"/>
        <w:tabs>
          <w:tab w:val="left" w:pos="567"/>
        </w:tabs>
        <w:kinsoku w:val="0"/>
        <w:overflowPunct w:val="0"/>
        <w:autoSpaceDE w:val="0"/>
        <w:autoSpaceDN w:val="0"/>
        <w:adjustRightInd w:val="0"/>
        <w:spacing w:after="0" w:line="240" w:lineRule="auto"/>
        <w:rPr>
          <w:rFonts w:ascii="Times New Roman" w:eastAsia="Times New Roman" w:hAnsi="Times New Roman"/>
          <w:lang w:val="lt-LT" w:eastAsia="lt-LT"/>
        </w:rPr>
      </w:pPr>
    </w:p>
    <w:p w14:paraId="69591F1C" w14:textId="77777777" w:rsidR="003E787C" w:rsidRPr="00273A3E" w:rsidRDefault="003E787C" w:rsidP="009F71ED">
      <w:pPr>
        <w:keepNext/>
        <w:widowControl w:val="0"/>
        <w:numPr>
          <w:ilvl w:val="12"/>
          <w:numId w:val="0"/>
        </w:numPr>
        <w:tabs>
          <w:tab w:val="left" w:pos="567"/>
          <w:tab w:val="left" w:pos="1296"/>
        </w:tabs>
        <w:autoSpaceDE w:val="0"/>
        <w:autoSpaceDN w:val="0"/>
        <w:adjustRightInd w:val="0"/>
        <w:snapToGrid w:val="0"/>
        <w:spacing w:after="0" w:line="240" w:lineRule="auto"/>
        <w:rPr>
          <w:rFonts w:ascii="Times New Roman" w:eastAsia="Times New Roman" w:hAnsi="Times New Roman"/>
          <w:i/>
          <w:lang w:val="lt-LT" w:eastAsia="lt-LT"/>
        </w:rPr>
      </w:pPr>
      <w:r w:rsidRPr="00273A3E">
        <w:rPr>
          <w:rFonts w:ascii="Times New Roman" w:eastAsia="Times New Roman" w:hAnsi="Times New Roman"/>
          <w:i/>
          <w:lang w:val="lt-LT" w:eastAsia="lt-LT"/>
        </w:rPr>
        <w:t>Gamintojas</w:t>
      </w:r>
    </w:p>
    <w:p w14:paraId="1B0B681D"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 Corporation Orion Pharma</w:t>
      </w:r>
    </w:p>
    <w:p w14:paraId="1FA5EC71"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Orionintie 1</w:t>
      </w:r>
    </w:p>
    <w:p w14:paraId="3B6C5E9A"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FI-02200 Espoo</w:t>
      </w:r>
    </w:p>
    <w:p w14:paraId="47761296"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Suomija</w:t>
      </w:r>
    </w:p>
    <w:p w14:paraId="17B3D9C3"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p>
    <w:p w14:paraId="69B5DC70"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arba</w:t>
      </w:r>
    </w:p>
    <w:p w14:paraId="00D6A349"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p>
    <w:p w14:paraId="4542DEE4"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Orion Corporation Orion Pharma</w:t>
      </w:r>
    </w:p>
    <w:p w14:paraId="316DB396"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Joensuunkatu 7</w:t>
      </w:r>
    </w:p>
    <w:p w14:paraId="588F4FDE"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FI-24100 Salo</w:t>
      </w:r>
    </w:p>
    <w:p w14:paraId="0CF7D157" w14:textId="77777777" w:rsidR="00227945" w:rsidRPr="00273A3E" w:rsidRDefault="00227945" w:rsidP="00227945">
      <w:pPr>
        <w:numPr>
          <w:ilvl w:val="12"/>
          <w:numId w:val="0"/>
        </w:numPr>
        <w:spacing w:after="0" w:line="240" w:lineRule="auto"/>
        <w:ind w:right="-2"/>
        <w:rPr>
          <w:rFonts w:ascii="Times New Roman" w:eastAsia="Times New Roman" w:hAnsi="Times New Roman"/>
          <w:noProof/>
          <w:lang w:val="lt-LT"/>
        </w:rPr>
      </w:pPr>
      <w:r w:rsidRPr="00273A3E">
        <w:rPr>
          <w:rFonts w:ascii="Times New Roman" w:eastAsia="Times New Roman" w:hAnsi="Times New Roman"/>
          <w:noProof/>
          <w:lang w:val="lt-LT"/>
        </w:rPr>
        <w:t>Suomija</w:t>
      </w:r>
    </w:p>
    <w:p w14:paraId="1A26BA58" w14:textId="77777777" w:rsidR="00493123" w:rsidRPr="00273A3E" w:rsidRDefault="00493123"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p>
    <w:p w14:paraId="5AC77D3C" w14:textId="77777777" w:rsidR="003E787C" w:rsidRPr="00273A3E" w:rsidRDefault="003E787C" w:rsidP="009F71ED">
      <w:pPr>
        <w:widowControl w:val="0"/>
        <w:tabs>
          <w:tab w:val="left" w:pos="567"/>
        </w:tabs>
        <w:kinsoku w:val="0"/>
        <w:overflowPunct w:val="0"/>
        <w:autoSpaceDE w:val="0"/>
        <w:autoSpaceDN w:val="0"/>
        <w:adjustRightInd w:val="0"/>
        <w:spacing w:after="0" w:line="240" w:lineRule="auto"/>
        <w:rPr>
          <w:rFonts w:ascii="Times New Roman" w:eastAsia="Times New Roman" w:hAnsi="Times New Roman"/>
          <w:lang w:val="lt-LT" w:eastAsia="lt-LT"/>
        </w:rPr>
      </w:pPr>
      <w:r w:rsidRPr="00273A3E">
        <w:rPr>
          <w:rFonts w:ascii="Times New Roman" w:eastAsia="Times New Roman" w:hAnsi="Times New Roman"/>
          <w:lang w:val="lt-LT" w:eastAsia="lt-LT"/>
        </w:rPr>
        <w:t>Jeigu apie šį vaistą norite sužinoti daugiau, kreipkitės į vietinį registruotojo atstovą:</w:t>
      </w:r>
    </w:p>
    <w:p w14:paraId="321C5AA3" w14:textId="77777777" w:rsidR="009F71ED" w:rsidRPr="00273A3E" w:rsidRDefault="009F71ED" w:rsidP="009F71ED">
      <w:pPr>
        <w:widowControl w:val="0"/>
        <w:tabs>
          <w:tab w:val="left" w:pos="567"/>
        </w:tabs>
        <w:kinsoku w:val="0"/>
        <w:overflowPunct w:val="0"/>
        <w:autoSpaceDE w:val="0"/>
        <w:autoSpaceDN w:val="0"/>
        <w:adjustRightInd w:val="0"/>
        <w:spacing w:after="0" w:line="240" w:lineRule="auto"/>
        <w:rPr>
          <w:rFonts w:ascii="Times New Roman" w:eastAsia="Times New Roman" w:hAnsi="Times New Roman"/>
          <w:lang w:val="lt-LT" w:eastAsia="lt-LT"/>
        </w:rPr>
      </w:pPr>
      <w:r w:rsidRPr="00273A3E">
        <w:rPr>
          <w:rFonts w:ascii="Times New Roman" w:eastAsia="Times New Roman" w:hAnsi="Times New Roman"/>
          <w:lang w:val="lt-LT" w:eastAsia="lt-LT"/>
        </w:rPr>
        <w:t>UAB „ORION PHARMA“</w:t>
      </w:r>
    </w:p>
    <w:p w14:paraId="04CDF204" w14:textId="77777777" w:rsidR="009F71ED" w:rsidRPr="00273A3E" w:rsidRDefault="009F71ED" w:rsidP="009F71ED">
      <w:pPr>
        <w:widowControl w:val="0"/>
        <w:tabs>
          <w:tab w:val="left" w:pos="567"/>
        </w:tabs>
        <w:kinsoku w:val="0"/>
        <w:overflowPunct w:val="0"/>
        <w:autoSpaceDE w:val="0"/>
        <w:autoSpaceDN w:val="0"/>
        <w:adjustRightInd w:val="0"/>
        <w:spacing w:after="0" w:line="240" w:lineRule="auto"/>
        <w:rPr>
          <w:rFonts w:ascii="Times New Roman" w:eastAsia="Times New Roman" w:hAnsi="Times New Roman"/>
          <w:lang w:val="lt-LT" w:eastAsia="lt-LT"/>
        </w:rPr>
      </w:pPr>
      <w:r w:rsidRPr="00273A3E">
        <w:rPr>
          <w:rFonts w:ascii="Times New Roman" w:eastAsia="Times New Roman" w:hAnsi="Times New Roman"/>
          <w:lang w:val="lt-LT" w:eastAsia="lt-LT"/>
        </w:rPr>
        <w:t>Tel. +370 5 2769 499</w:t>
      </w:r>
    </w:p>
    <w:p w14:paraId="6BCA2BE9" w14:textId="77777777" w:rsidR="003E787C" w:rsidRPr="00273A3E" w:rsidRDefault="009F71ED" w:rsidP="009F71ED">
      <w:pPr>
        <w:widowControl w:val="0"/>
        <w:tabs>
          <w:tab w:val="left" w:pos="567"/>
        </w:tabs>
        <w:kinsoku w:val="0"/>
        <w:overflowPunct w:val="0"/>
        <w:autoSpaceDE w:val="0"/>
        <w:autoSpaceDN w:val="0"/>
        <w:adjustRightInd w:val="0"/>
        <w:spacing w:after="0" w:line="240" w:lineRule="auto"/>
        <w:rPr>
          <w:rFonts w:ascii="Times New Roman" w:eastAsia="Times New Roman" w:hAnsi="Times New Roman"/>
          <w:lang w:val="lt-LT" w:eastAsia="lt-LT"/>
        </w:rPr>
      </w:pPr>
      <w:r w:rsidRPr="00273A3E">
        <w:rPr>
          <w:rFonts w:ascii="Times New Roman" w:eastAsia="Times New Roman" w:hAnsi="Times New Roman"/>
          <w:lang w:val="lt-LT" w:eastAsia="lt-LT"/>
        </w:rPr>
        <w:t xml:space="preserve">El. paštas: </w:t>
      </w:r>
      <w:hyperlink r:id="rId22" w:history="1">
        <w:r w:rsidRPr="00273A3E">
          <w:rPr>
            <w:rStyle w:val="Hipersaitas"/>
            <w:rFonts w:eastAsia="Times New Roman"/>
            <w:lang w:val="lt-LT" w:eastAsia="lt-LT"/>
          </w:rPr>
          <w:t>info@orionpharma.lt</w:t>
        </w:r>
      </w:hyperlink>
    </w:p>
    <w:p w14:paraId="46038D25" w14:textId="77777777" w:rsidR="009F71ED" w:rsidRPr="00273A3E" w:rsidRDefault="009F71ED" w:rsidP="009F71ED">
      <w:pPr>
        <w:widowControl w:val="0"/>
        <w:tabs>
          <w:tab w:val="left" w:pos="567"/>
        </w:tabs>
        <w:kinsoku w:val="0"/>
        <w:overflowPunct w:val="0"/>
        <w:autoSpaceDE w:val="0"/>
        <w:autoSpaceDN w:val="0"/>
        <w:adjustRightInd w:val="0"/>
        <w:spacing w:after="0" w:line="240" w:lineRule="auto"/>
        <w:rPr>
          <w:rFonts w:ascii="Times New Roman" w:eastAsia="Times New Roman" w:hAnsi="Times New Roman"/>
          <w:lang w:val="lt-LT" w:eastAsia="lt-LT"/>
        </w:rPr>
      </w:pPr>
    </w:p>
    <w:p w14:paraId="114A95E4" w14:textId="77777777" w:rsidR="003E787C" w:rsidRPr="00273A3E" w:rsidRDefault="00ED28CB" w:rsidP="009F71ED">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r w:rsidRPr="00273A3E">
        <w:rPr>
          <w:rFonts w:ascii="Times New Roman" w:eastAsia="Times New Roman" w:hAnsi="Times New Roman"/>
          <w:b/>
          <w:lang w:val="lt-LT" w:eastAsia="lt-LT"/>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4706"/>
      </w:tblGrid>
      <w:tr w:rsidR="004352C5" w:rsidRPr="00273A3E" w14:paraId="5C3F7C5F" w14:textId="77777777" w:rsidTr="00540135">
        <w:tc>
          <w:tcPr>
            <w:tcW w:w="4810" w:type="dxa"/>
          </w:tcPr>
          <w:p w14:paraId="7565104F" w14:textId="77777777" w:rsidR="004352C5" w:rsidRPr="00273A3E" w:rsidRDefault="004352C5" w:rsidP="00540135">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r w:rsidRPr="00273A3E">
              <w:rPr>
                <w:rFonts w:ascii="Times New Roman" w:eastAsia="Times New Roman" w:hAnsi="Times New Roman"/>
                <w:bCs/>
                <w:lang w:val="lt-LT" w:eastAsia="lt-LT"/>
              </w:rPr>
              <w:t>Portugalija, Danija</w:t>
            </w:r>
          </w:p>
        </w:tc>
        <w:tc>
          <w:tcPr>
            <w:tcW w:w="4810" w:type="dxa"/>
          </w:tcPr>
          <w:p w14:paraId="412FA7A7" w14:textId="77777777" w:rsidR="004352C5" w:rsidRPr="00273A3E" w:rsidRDefault="004352C5" w:rsidP="00540135">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roofErr w:type="spellStart"/>
            <w:r w:rsidRPr="00273A3E">
              <w:rPr>
                <w:rFonts w:ascii="Times New Roman" w:eastAsia="Times New Roman" w:hAnsi="Times New Roman"/>
                <w:bCs/>
                <w:lang w:val="lt-LT" w:eastAsia="lt-LT"/>
              </w:rPr>
              <w:t>Fulvestrant</w:t>
            </w:r>
            <w:proofErr w:type="spellEnd"/>
            <w:r w:rsidRPr="00273A3E">
              <w:rPr>
                <w:rFonts w:ascii="Times New Roman" w:eastAsia="Times New Roman" w:hAnsi="Times New Roman"/>
                <w:bCs/>
                <w:lang w:val="lt-LT" w:eastAsia="lt-LT"/>
              </w:rPr>
              <w:t xml:space="preserve"> </w:t>
            </w:r>
            <w:proofErr w:type="spellStart"/>
            <w:r w:rsidRPr="00273A3E">
              <w:rPr>
                <w:rFonts w:ascii="Times New Roman" w:eastAsia="Times New Roman" w:hAnsi="Times New Roman"/>
                <w:bCs/>
                <w:lang w:val="lt-LT" w:eastAsia="lt-LT"/>
              </w:rPr>
              <w:t>Orion</w:t>
            </w:r>
            <w:proofErr w:type="spellEnd"/>
          </w:p>
        </w:tc>
      </w:tr>
      <w:tr w:rsidR="004352C5" w:rsidRPr="00273A3E" w14:paraId="42573C2E" w14:textId="77777777" w:rsidTr="00540135">
        <w:tc>
          <w:tcPr>
            <w:tcW w:w="4810" w:type="dxa"/>
          </w:tcPr>
          <w:p w14:paraId="0A932607" w14:textId="77777777" w:rsidR="004352C5" w:rsidRPr="00273A3E" w:rsidRDefault="004352C5" w:rsidP="00540135">
            <w:pPr>
              <w:widowControl w:val="0"/>
              <w:tabs>
                <w:tab w:val="left" w:pos="567"/>
              </w:tabs>
              <w:autoSpaceDE w:val="0"/>
              <w:autoSpaceDN w:val="0"/>
              <w:adjustRightInd w:val="0"/>
              <w:spacing w:after="0" w:line="240" w:lineRule="auto"/>
              <w:rPr>
                <w:rFonts w:ascii="Times New Roman" w:eastAsia="Times New Roman" w:hAnsi="Times New Roman"/>
                <w:bCs/>
                <w:lang w:val="lt-LT" w:eastAsia="lt-LT"/>
              </w:rPr>
            </w:pPr>
            <w:r w:rsidRPr="00273A3E">
              <w:rPr>
                <w:rFonts w:ascii="Times New Roman" w:eastAsia="Times New Roman" w:hAnsi="Times New Roman"/>
                <w:bCs/>
                <w:lang w:val="lt-LT" w:eastAsia="lt-LT"/>
              </w:rPr>
              <w:t>Suomija, Švedija, Italija, Vokietija</w:t>
            </w:r>
          </w:p>
        </w:tc>
        <w:tc>
          <w:tcPr>
            <w:tcW w:w="4810" w:type="dxa"/>
          </w:tcPr>
          <w:p w14:paraId="4A268208" w14:textId="77777777" w:rsidR="004352C5" w:rsidRPr="00273A3E" w:rsidRDefault="004352C5" w:rsidP="00540135">
            <w:pPr>
              <w:widowControl w:val="0"/>
              <w:tabs>
                <w:tab w:val="left" w:pos="567"/>
              </w:tabs>
              <w:autoSpaceDE w:val="0"/>
              <w:autoSpaceDN w:val="0"/>
              <w:adjustRightInd w:val="0"/>
              <w:spacing w:after="0" w:line="240" w:lineRule="auto"/>
              <w:rPr>
                <w:rFonts w:ascii="Times New Roman" w:eastAsia="Times New Roman" w:hAnsi="Times New Roman"/>
                <w:bCs/>
                <w:lang w:val="lt-LT" w:eastAsia="lt-LT"/>
              </w:rPr>
            </w:pPr>
            <w:proofErr w:type="spellStart"/>
            <w:r w:rsidRPr="00273A3E">
              <w:rPr>
                <w:rFonts w:ascii="Times New Roman" w:eastAsia="Times New Roman" w:hAnsi="Times New Roman"/>
                <w:bCs/>
                <w:lang w:val="lt-LT" w:eastAsia="lt-LT"/>
              </w:rPr>
              <w:t>Fulvestrant</w:t>
            </w:r>
            <w:proofErr w:type="spellEnd"/>
            <w:r w:rsidRPr="00273A3E">
              <w:rPr>
                <w:rFonts w:ascii="Times New Roman" w:eastAsia="Times New Roman" w:hAnsi="Times New Roman"/>
                <w:bCs/>
                <w:lang w:val="lt-LT" w:eastAsia="lt-LT"/>
              </w:rPr>
              <w:t xml:space="preserve"> </w:t>
            </w:r>
            <w:proofErr w:type="spellStart"/>
            <w:r w:rsidRPr="00273A3E">
              <w:rPr>
                <w:rFonts w:ascii="Times New Roman" w:eastAsia="Times New Roman" w:hAnsi="Times New Roman"/>
                <w:bCs/>
                <w:lang w:val="lt-LT" w:eastAsia="lt-LT"/>
              </w:rPr>
              <w:t>Orion</w:t>
            </w:r>
            <w:proofErr w:type="spellEnd"/>
            <w:r w:rsidRPr="00273A3E">
              <w:rPr>
                <w:rFonts w:ascii="Times New Roman" w:eastAsia="Times New Roman" w:hAnsi="Times New Roman"/>
                <w:bCs/>
                <w:lang w:val="lt-LT" w:eastAsia="lt-LT"/>
              </w:rPr>
              <w:t xml:space="preserve"> 250 mg</w:t>
            </w:r>
          </w:p>
        </w:tc>
      </w:tr>
      <w:tr w:rsidR="004352C5" w:rsidRPr="00273A3E" w14:paraId="438BA8BE" w14:textId="77777777" w:rsidTr="00540135">
        <w:tc>
          <w:tcPr>
            <w:tcW w:w="4810" w:type="dxa"/>
          </w:tcPr>
          <w:p w14:paraId="27AC914C" w14:textId="77777777" w:rsidR="004352C5" w:rsidRPr="00273A3E" w:rsidRDefault="004352C5" w:rsidP="00540135">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r w:rsidRPr="00273A3E">
              <w:rPr>
                <w:rFonts w:ascii="Times New Roman" w:eastAsia="Times New Roman" w:hAnsi="Times New Roman"/>
                <w:bCs/>
                <w:lang w:val="lt-LT" w:eastAsia="lt-LT"/>
              </w:rPr>
              <w:t>Prancūzija</w:t>
            </w:r>
          </w:p>
        </w:tc>
        <w:tc>
          <w:tcPr>
            <w:tcW w:w="4810" w:type="dxa"/>
          </w:tcPr>
          <w:p w14:paraId="224EC942" w14:textId="77777777" w:rsidR="004352C5" w:rsidRPr="00273A3E" w:rsidRDefault="00913E5F" w:rsidP="00540135">
            <w:pPr>
              <w:widowControl w:val="0"/>
              <w:tabs>
                <w:tab w:val="left" w:pos="567"/>
              </w:tabs>
              <w:autoSpaceDE w:val="0"/>
              <w:autoSpaceDN w:val="0"/>
              <w:adjustRightInd w:val="0"/>
              <w:spacing w:after="0" w:line="240" w:lineRule="auto"/>
              <w:rPr>
                <w:rFonts w:ascii="Times New Roman" w:eastAsia="Times New Roman" w:hAnsi="Times New Roman"/>
                <w:bCs/>
                <w:lang w:val="lt-LT" w:eastAsia="lt-LT"/>
              </w:rPr>
            </w:pPr>
            <w:r w:rsidRPr="00273A3E">
              <w:rPr>
                <w:rFonts w:ascii="Times New Roman" w:eastAsia="Times New Roman" w:hAnsi="Times New Roman"/>
                <w:bCs/>
                <w:lang w:val="lt-LT" w:eastAsia="lt-LT"/>
              </w:rPr>
              <w:t xml:space="preserve">FULVESTRANT ORION 250 mg, </w:t>
            </w:r>
            <w:proofErr w:type="spellStart"/>
            <w:r w:rsidRPr="00273A3E">
              <w:rPr>
                <w:rFonts w:ascii="Times New Roman" w:eastAsia="Times New Roman" w:hAnsi="Times New Roman"/>
                <w:bCs/>
                <w:lang w:val="lt-LT" w:eastAsia="lt-LT"/>
              </w:rPr>
              <w:t>solution</w:t>
            </w:r>
            <w:proofErr w:type="spellEnd"/>
            <w:r w:rsidRPr="00273A3E">
              <w:rPr>
                <w:rFonts w:ascii="Times New Roman" w:eastAsia="Times New Roman" w:hAnsi="Times New Roman"/>
                <w:bCs/>
                <w:lang w:val="lt-LT" w:eastAsia="lt-LT"/>
              </w:rPr>
              <w:t xml:space="preserve"> </w:t>
            </w:r>
            <w:proofErr w:type="spellStart"/>
            <w:r w:rsidRPr="00273A3E">
              <w:rPr>
                <w:rFonts w:ascii="Times New Roman" w:eastAsia="Times New Roman" w:hAnsi="Times New Roman"/>
                <w:bCs/>
                <w:lang w:val="lt-LT" w:eastAsia="lt-LT"/>
              </w:rPr>
              <w:t>injectable</w:t>
            </w:r>
            <w:proofErr w:type="spellEnd"/>
            <w:r w:rsidRPr="00273A3E">
              <w:rPr>
                <w:rFonts w:ascii="Times New Roman" w:eastAsia="Times New Roman" w:hAnsi="Times New Roman"/>
                <w:bCs/>
                <w:lang w:val="lt-LT" w:eastAsia="lt-LT"/>
              </w:rPr>
              <w:t xml:space="preserve"> </w:t>
            </w:r>
            <w:proofErr w:type="spellStart"/>
            <w:r w:rsidRPr="00273A3E">
              <w:rPr>
                <w:rFonts w:ascii="Times New Roman" w:eastAsia="Times New Roman" w:hAnsi="Times New Roman"/>
                <w:bCs/>
                <w:lang w:val="lt-LT" w:eastAsia="lt-LT"/>
              </w:rPr>
              <w:t>en</w:t>
            </w:r>
            <w:proofErr w:type="spellEnd"/>
            <w:r w:rsidRPr="00273A3E">
              <w:rPr>
                <w:rFonts w:ascii="Times New Roman" w:eastAsia="Times New Roman" w:hAnsi="Times New Roman"/>
                <w:bCs/>
                <w:lang w:val="lt-LT" w:eastAsia="lt-LT"/>
              </w:rPr>
              <w:t xml:space="preserve"> </w:t>
            </w:r>
            <w:proofErr w:type="spellStart"/>
            <w:r w:rsidRPr="00273A3E">
              <w:rPr>
                <w:rFonts w:ascii="Times New Roman" w:eastAsia="Times New Roman" w:hAnsi="Times New Roman"/>
                <w:bCs/>
                <w:lang w:val="lt-LT" w:eastAsia="lt-LT"/>
              </w:rPr>
              <w:t>seringue</w:t>
            </w:r>
            <w:proofErr w:type="spellEnd"/>
            <w:r w:rsidRPr="00273A3E">
              <w:rPr>
                <w:rFonts w:ascii="Times New Roman" w:eastAsia="Times New Roman" w:hAnsi="Times New Roman"/>
                <w:bCs/>
                <w:lang w:val="lt-LT" w:eastAsia="lt-LT"/>
              </w:rPr>
              <w:t xml:space="preserve"> </w:t>
            </w:r>
            <w:proofErr w:type="spellStart"/>
            <w:r w:rsidRPr="00273A3E">
              <w:rPr>
                <w:rFonts w:ascii="Times New Roman" w:eastAsia="Times New Roman" w:hAnsi="Times New Roman"/>
                <w:bCs/>
                <w:lang w:val="lt-LT" w:eastAsia="lt-LT"/>
              </w:rPr>
              <w:t>préremplie</w:t>
            </w:r>
            <w:proofErr w:type="spellEnd"/>
          </w:p>
        </w:tc>
      </w:tr>
      <w:tr w:rsidR="004352C5" w:rsidRPr="00273A3E" w14:paraId="3AA14B1F" w14:textId="77777777" w:rsidTr="00540135">
        <w:tc>
          <w:tcPr>
            <w:tcW w:w="4810" w:type="dxa"/>
          </w:tcPr>
          <w:p w14:paraId="5FD54A9A" w14:textId="77777777" w:rsidR="004352C5" w:rsidRPr="00273A3E" w:rsidRDefault="004352C5" w:rsidP="00540135">
            <w:pPr>
              <w:widowControl w:val="0"/>
              <w:tabs>
                <w:tab w:val="left" w:pos="567"/>
              </w:tabs>
              <w:autoSpaceDE w:val="0"/>
              <w:autoSpaceDN w:val="0"/>
              <w:adjustRightInd w:val="0"/>
              <w:spacing w:after="0" w:line="240" w:lineRule="auto"/>
              <w:rPr>
                <w:rFonts w:ascii="Times New Roman" w:eastAsia="Times New Roman" w:hAnsi="Times New Roman"/>
                <w:bCs/>
                <w:lang w:val="lt-LT" w:eastAsia="lt-LT"/>
              </w:rPr>
            </w:pPr>
            <w:r w:rsidRPr="00273A3E">
              <w:rPr>
                <w:rFonts w:ascii="Times New Roman" w:eastAsia="Times New Roman" w:hAnsi="Times New Roman"/>
                <w:bCs/>
                <w:lang w:val="lt-LT" w:eastAsia="lt-LT"/>
              </w:rPr>
              <w:t>Lietuva</w:t>
            </w:r>
          </w:p>
        </w:tc>
        <w:tc>
          <w:tcPr>
            <w:tcW w:w="4810" w:type="dxa"/>
          </w:tcPr>
          <w:p w14:paraId="149BDE06" w14:textId="77777777" w:rsidR="004352C5" w:rsidRPr="00273A3E" w:rsidRDefault="004352C5" w:rsidP="00540135">
            <w:pPr>
              <w:widowControl w:val="0"/>
              <w:tabs>
                <w:tab w:val="left" w:pos="567"/>
              </w:tabs>
              <w:autoSpaceDE w:val="0"/>
              <w:autoSpaceDN w:val="0"/>
              <w:adjustRightInd w:val="0"/>
              <w:spacing w:after="0" w:line="240" w:lineRule="auto"/>
              <w:rPr>
                <w:rFonts w:ascii="Times New Roman" w:eastAsia="Times New Roman" w:hAnsi="Times New Roman"/>
                <w:b/>
                <w:lang w:val="lt-LT" w:eastAsia="lt-LT"/>
              </w:rPr>
            </w:pPr>
            <w:proofErr w:type="spellStart"/>
            <w:r w:rsidRPr="00273A3E">
              <w:rPr>
                <w:rFonts w:ascii="Times New Roman" w:eastAsia="Times New Roman" w:hAnsi="Times New Roman"/>
                <w:bCs/>
                <w:lang w:val="lt-LT" w:eastAsia="lt-LT"/>
              </w:rPr>
              <w:t>Fulvestrant</w:t>
            </w:r>
            <w:proofErr w:type="spellEnd"/>
            <w:r w:rsidRPr="00273A3E">
              <w:rPr>
                <w:rFonts w:ascii="Times New Roman" w:eastAsia="Times New Roman" w:hAnsi="Times New Roman"/>
                <w:bCs/>
                <w:lang w:val="lt-LT" w:eastAsia="lt-LT"/>
              </w:rPr>
              <w:t xml:space="preserve"> </w:t>
            </w:r>
            <w:proofErr w:type="spellStart"/>
            <w:r w:rsidRPr="00273A3E">
              <w:rPr>
                <w:rFonts w:ascii="Times New Roman" w:eastAsia="Times New Roman" w:hAnsi="Times New Roman"/>
                <w:bCs/>
                <w:lang w:val="lt-LT" w:eastAsia="lt-LT"/>
              </w:rPr>
              <w:t>Orion</w:t>
            </w:r>
            <w:proofErr w:type="spellEnd"/>
            <w:r w:rsidRPr="00273A3E">
              <w:rPr>
                <w:rFonts w:ascii="Times New Roman" w:eastAsia="Times New Roman" w:hAnsi="Times New Roman"/>
                <w:bCs/>
                <w:lang w:val="lt-LT" w:eastAsia="lt-LT"/>
              </w:rPr>
              <w:t xml:space="preserve"> 250 mg injekcinis tirpalas užpildytame švirkšte</w:t>
            </w:r>
          </w:p>
        </w:tc>
      </w:tr>
    </w:tbl>
    <w:p w14:paraId="58CBADEA" w14:textId="77777777" w:rsidR="004352C5" w:rsidRPr="00273A3E" w:rsidRDefault="004352C5" w:rsidP="009F71ED">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b/>
          <w:lang w:val="lt-LT" w:eastAsia="sl-SI"/>
        </w:rPr>
      </w:pPr>
    </w:p>
    <w:p w14:paraId="18DBD90E" w14:textId="3C7B5DE3" w:rsidR="003E787C" w:rsidRPr="00273A3E" w:rsidRDefault="003E787C" w:rsidP="009F71ED">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b/>
          <w:lang w:val="lt-LT" w:eastAsia="sl-SI"/>
        </w:rPr>
      </w:pPr>
      <w:r w:rsidRPr="00273A3E">
        <w:rPr>
          <w:rFonts w:ascii="Times New Roman" w:eastAsia="Times New Roman" w:hAnsi="Times New Roman"/>
          <w:b/>
          <w:lang w:val="lt-LT" w:eastAsia="sl-SI"/>
        </w:rPr>
        <w:t xml:space="preserve">Šis pakuotės lapelis paskutinį kartą peržiūrėtas </w:t>
      </w:r>
      <w:r w:rsidR="00490319">
        <w:rPr>
          <w:rFonts w:ascii="Times New Roman" w:eastAsia="Times New Roman" w:hAnsi="Times New Roman"/>
          <w:b/>
          <w:lang w:val="lt-LT" w:eastAsia="sl-SI"/>
        </w:rPr>
        <w:t>2026-06-04</w:t>
      </w:r>
    </w:p>
    <w:p w14:paraId="4522A8E8" w14:textId="77777777" w:rsidR="003E787C" w:rsidRPr="00273A3E" w:rsidRDefault="003E787C" w:rsidP="009F71ED">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lang w:val="lt-LT" w:eastAsia="sl-SI"/>
        </w:rPr>
      </w:pPr>
    </w:p>
    <w:p w14:paraId="5DB6964F" w14:textId="77777777" w:rsidR="00C54CF6" w:rsidRPr="00273A3E" w:rsidRDefault="003E787C" w:rsidP="009F71ED">
      <w:pPr>
        <w:widowControl w:val="0"/>
        <w:tabs>
          <w:tab w:val="left" w:pos="567"/>
        </w:tabs>
        <w:autoSpaceDE w:val="0"/>
        <w:autoSpaceDN w:val="0"/>
        <w:adjustRightInd w:val="0"/>
        <w:spacing w:after="0" w:line="240" w:lineRule="auto"/>
        <w:rPr>
          <w:rFonts w:ascii="Times New Roman" w:eastAsia="Times New Roman" w:hAnsi="Times New Roman"/>
          <w:lang w:val="lt-LT" w:eastAsia="lt-LT"/>
        </w:rPr>
      </w:pPr>
      <w:r w:rsidRPr="00273A3E">
        <w:rPr>
          <w:rFonts w:ascii="Times New Roman" w:eastAsia="Times New Roman" w:hAnsi="Times New Roman"/>
          <w:lang w:val="lt-LT" w:eastAsia="sl-SI"/>
        </w:rPr>
        <w:t>Išsami informacija apie šį vaistą pateikiama Valstybinės vaistų kontrolės tarnybos prie Lietuvos Respublikos sveikatos apsaugos ministerijos tinklalapyje</w:t>
      </w:r>
      <w:r w:rsidRPr="00273A3E">
        <w:rPr>
          <w:rFonts w:ascii="Times New Roman" w:eastAsia="Times New Roman" w:hAnsi="Times New Roman"/>
          <w:i/>
          <w:lang w:val="lt-LT" w:eastAsia="sl-SI"/>
        </w:rPr>
        <w:t xml:space="preserve"> </w:t>
      </w:r>
      <w:hyperlink r:id="rId23" w:history="1">
        <w:r w:rsidR="00C54CF6" w:rsidRPr="00273A3E">
          <w:rPr>
            <w:rStyle w:val="Hipersaitas"/>
            <w:rFonts w:eastAsia="Times New Roman"/>
            <w:lang w:val="lt-LT" w:eastAsia="lt-LT"/>
          </w:rPr>
          <w:t>https://vvkt.lrv.lt/lt/</w:t>
        </w:r>
      </w:hyperlink>
      <w:r w:rsidR="00C54CF6" w:rsidRPr="00273A3E">
        <w:rPr>
          <w:rFonts w:ascii="Times New Roman" w:eastAsia="Times New Roman" w:hAnsi="Times New Roman"/>
          <w:lang w:val="lt-LT" w:eastAsia="lt-LT"/>
        </w:rPr>
        <w:t>.</w:t>
      </w:r>
    </w:p>
    <w:p w14:paraId="40B14039" w14:textId="77777777" w:rsidR="00456629" w:rsidRPr="00273A3E" w:rsidRDefault="00F368C1" w:rsidP="009F71ED">
      <w:pPr>
        <w:tabs>
          <w:tab w:val="left" w:pos="567"/>
        </w:tabs>
        <w:spacing w:after="0" w:line="240" w:lineRule="auto"/>
        <w:rPr>
          <w:rFonts w:ascii="Times New Roman" w:hAnsi="Times New Roman"/>
          <w:lang w:val="lt-LT"/>
        </w:rPr>
      </w:pPr>
      <w:r w:rsidRPr="00273A3E">
        <w:rPr>
          <w:rFonts w:ascii="Times New Roman" w:hAnsi="Times New Roman"/>
          <w:lang w:val="lt-LT"/>
        </w:rPr>
        <w:t>---------------------------------------------------------------------------------------------------------------------------</w:t>
      </w:r>
    </w:p>
    <w:p w14:paraId="6AF99748" w14:textId="77777777" w:rsidR="00F368C1" w:rsidRPr="00273A3E" w:rsidRDefault="00F368C1" w:rsidP="009F71ED">
      <w:pPr>
        <w:tabs>
          <w:tab w:val="left" w:pos="567"/>
        </w:tabs>
        <w:spacing w:after="0" w:line="240" w:lineRule="auto"/>
        <w:rPr>
          <w:rFonts w:ascii="Times New Roman" w:hAnsi="Times New Roman"/>
          <w:b/>
          <w:lang w:val="lt-LT"/>
        </w:rPr>
      </w:pPr>
    </w:p>
    <w:p w14:paraId="042D976D" w14:textId="77777777" w:rsidR="001E5C66" w:rsidRPr="00273A3E" w:rsidRDefault="001E5C66" w:rsidP="009F71ED">
      <w:pPr>
        <w:tabs>
          <w:tab w:val="left" w:pos="567"/>
        </w:tabs>
        <w:spacing w:after="0" w:line="240" w:lineRule="auto"/>
        <w:rPr>
          <w:rFonts w:ascii="Times New Roman" w:hAnsi="Times New Roman"/>
          <w:b/>
          <w:bCs/>
          <w:lang w:val="lt-LT"/>
        </w:rPr>
      </w:pPr>
      <w:r w:rsidRPr="00273A3E">
        <w:rPr>
          <w:rFonts w:ascii="Times New Roman" w:hAnsi="Times New Roman"/>
          <w:b/>
          <w:bCs/>
          <w:lang w:val="lt-LT"/>
        </w:rPr>
        <w:t>Toliau pateikta informacija skirta tik sveikatos priežiūros specialistams</w:t>
      </w:r>
      <w:r w:rsidR="00F368C1" w:rsidRPr="00273A3E">
        <w:rPr>
          <w:rFonts w:ascii="Times New Roman" w:hAnsi="Times New Roman"/>
          <w:b/>
          <w:bCs/>
          <w:lang w:val="lt-LT"/>
        </w:rPr>
        <w:t>.</w:t>
      </w:r>
    </w:p>
    <w:p w14:paraId="6416E439" w14:textId="77777777" w:rsidR="001E5C66" w:rsidRPr="00273A3E" w:rsidRDefault="001E5C66" w:rsidP="009F71ED">
      <w:pPr>
        <w:tabs>
          <w:tab w:val="left" w:pos="567"/>
        </w:tabs>
        <w:autoSpaceDE w:val="0"/>
        <w:autoSpaceDN w:val="0"/>
        <w:adjustRightInd w:val="0"/>
        <w:spacing w:after="0" w:line="240" w:lineRule="auto"/>
        <w:rPr>
          <w:rFonts w:ascii="Times New Roman" w:hAnsi="Times New Roman"/>
          <w:b/>
          <w:bCs/>
          <w:lang w:val="lt-LT"/>
        </w:rPr>
      </w:pPr>
    </w:p>
    <w:p w14:paraId="5D3E3E50" w14:textId="77777777" w:rsidR="001E5C66" w:rsidRPr="00273A3E" w:rsidRDefault="00C86E9E" w:rsidP="009F71ED">
      <w:pPr>
        <w:tabs>
          <w:tab w:val="left" w:pos="567"/>
        </w:tabs>
        <w:autoSpaceDE w:val="0"/>
        <w:autoSpaceDN w:val="0"/>
        <w:adjustRightInd w:val="0"/>
        <w:spacing w:after="0" w:line="240" w:lineRule="auto"/>
        <w:rPr>
          <w:rFonts w:ascii="Times New Roman" w:hAnsi="Times New Roman"/>
          <w:lang w:val="lt-LT"/>
        </w:rPr>
      </w:pPr>
      <w:proofErr w:type="spellStart"/>
      <w:r w:rsidRPr="00273A3E">
        <w:rPr>
          <w:rFonts w:ascii="Times New Roman" w:hAnsi="Times New Roman"/>
          <w:lang w:val="lt-LT"/>
        </w:rPr>
        <w:lastRenderedPageBreak/>
        <w:t>Fulvestrant</w:t>
      </w:r>
      <w:proofErr w:type="spellEnd"/>
      <w:r w:rsidRPr="00273A3E">
        <w:rPr>
          <w:rFonts w:ascii="Times New Roman" w:hAnsi="Times New Roman"/>
          <w:lang w:val="lt-LT"/>
        </w:rPr>
        <w:t xml:space="preserve"> </w:t>
      </w:r>
      <w:proofErr w:type="spellStart"/>
      <w:r w:rsidRPr="00273A3E">
        <w:rPr>
          <w:rFonts w:ascii="Times New Roman" w:hAnsi="Times New Roman"/>
          <w:lang w:val="lt-LT"/>
        </w:rPr>
        <w:t>Orion</w:t>
      </w:r>
      <w:proofErr w:type="spellEnd"/>
      <w:r w:rsidRPr="00273A3E">
        <w:rPr>
          <w:rFonts w:ascii="Times New Roman" w:hAnsi="Times New Roman"/>
          <w:lang w:val="lt-LT"/>
        </w:rPr>
        <w:t xml:space="preserve"> </w:t>
      </w:r>
      <w:r w:rsidR="00FA6703" w:rsidRPr="00273A3E">
        <w:rPr>
          <w:rFonts w:ascii="Times New Roman" w:hAnsi="Times New Roman"/>
          <w:lang w:val="lt-LT"/>
        </w:rPr>
        <w:t>500 mg (2 x 250 mg/5 ml injekcinio tirpalo</w:t>
      </w:r>
      <w:r w:rsidR="00ED28CB" w:rsidRPr="00273A3E">
        <w:rPr>
          <w:rFonts w:ascii="Times New Roman" w:hAnsi="Times New Roman"/>
          <w:lang w:val="lt-LT"/>
        </w:rPr>
        <w:t xml:space="preserve"> užpildytame švirkšte</w:t>
      </w:r>
      <w:r w:rsidR="00FA6703" w:rsidRPr="00273A3E">
        <w:rPr>
          <w:rFonts w:ascii="Times New Roman" w:hAnsi="Times New Roman"/>
          <w:lang w:val="lt-LT"/>
        </w:rPr>
        <w:t xml:space="preserve">) </w:t>
      </w:r>
      <w:r w:rsidR="004871AF" w:rsidRPr="00273A3E">
        <w:rPr>
          <w:rFonts w:ascii="Times New Roman" w:hAnsi="Times New Roman"/>
          <w:lang w:val="lt-LT"/>
        </w:rPr>
        <w:t xml:space="preserve">dozei suleisti </w:t>
      </w:r>
      <w:r w:rsidR="001E5C66" w:rsidRPr="00273A3E">
        <w:rPr>
          <w:rFonts w:ascii="Times New Roman" w:hAnsi="Times New Roman"/>
          <w:lang w:val="lt-LT"/>
        </w:rPr>
        <w:t>reikia naudo</w:t>
      </w:r>
      <w:r w:rsidR="004871AF" w:rsidRPr="00273A3E">
        <w:rPr>
          <w:rFonts w:ascii="Times New Roman" w:hAnsi="Times New Roman"/>
          <w:lang w:val="lt-LT"/>
        </w:rPr>
        <w:t>ti</w:t>
      </w:r>
      <w:r w:rsidR="001E5C66" w:rsidRPr="00273A3E">
        <w:rPr>
          <w:rFonts w:ascii="Times New Roman" w:hAnsi="Times New Roman"/>
          <w:lang w:val="lt-LT"/>
        </w:rPr>
        <w:t xml:space="preserve"> du užpildytus švirkštus, žr. 3</w:t>
      </w:r>
      <w:r w:rsidR="00FF0074" w:rsidRPr="00273A3E">
        <w:rPr>
          <w:rFonts w:ascii="Times New Roman" w:hAnsi="Times New Roman"/>
          <w:lang w:val="lt-LT"/>
        </w:rPr>
        <w:t> skyri</w:t>
      </w:r>
      <w:r w:rsidR="001E5C66" w:rsidRPr="00273A3E">
        <w:rPr>
          <w:rFonts w:ascii="Times New Roman" w:hAnsi="Times New Roman"/>
          <w:lang w:val="lt-LT"/>
        </w:rPr>
        <w:t>ų.</w:t>
      </w:r>
    </w:p>
    <w:p w14:paraId="37E97A93" w14:textId="77777777" w:rsidR="00581B39" w:rsidRPr="00273A3E" w:rsidRDefault="00581B39" w:rsidP="009F71ED">
      <w:pPr>
        <w:tabs>
          <w:tab w:val="left" w:pos="567"/>
        </w:tabs>
        <w:autoSpaceDE w:val="0"/>
        <w:autoSpaceDN w:val="0"/>
        <w:adjustRightInd w:val="0"/>
        <w:spacing w:after="0" w:line="240" w:lineRule="auto"/>
        <w:rPr>
          <w:rFonts w:ascii="Times New Roman" w:hAnsi="Times New Roman"/>
          <w:lang w:val="lt-LT"/>
        </w:rPr>
      </w:pPr>
    </w:p>
    <w:p w14:paraId="13102861" w14:textId="77777777" w:rsidR="00F368C1" w:rsidRPr="00273A3E" w:rsidRDefault="00F368C1" w:rsidP="009F71ED">
      <w:pPr>
        <w:keepNext/>
        <w:tabs>
          <w:tab w:val="left" w:pos="567"/>
        </w:tabs>
        <w:spacing w:after="0" w:line="240" w:lineRule="auto"/>
        <w:rPr>
          <w:rFonts w:ascii="Times New Roman" w:hAnsi="Times New Roman"/>
          <w:u w:val="single"/>
          <w:lang w:val="lt-LT"/>
        </w:rPr>
      </w:pPr>
      <w:r w:rsidRPr="00273A3E">
        <w:rPr>
          <w:rFonts w:ascii="Times New Roman" w:hAnsi="Times New Roman"/>
          <w:u w:val="single"/>
          <w:lang w:val="lt-LT"/>
        </w:rPr>
        <w:t>Vartojimo instrukcijos</w:t>
      </w:r>
    </w:p>
    <w:p w14:paraId="6DE9D5F2" w14:textId="77777777" w:rsidR="00F368C1" w:rsidRPr="00273A3E" w:rsidRDefault="00F368C1" w:rsidP="009F71ED">
      <w:pPr>
        <w:keepNext/>
        <w:tabs>
          <w:tab w:val="left" w:pos="567"/>
        </w:tabs>
        <w:autoSpaceDE w:val="0"/>
        <w:autoSpaceDN w:val="0"/>
        <w:adjustRightInd w:val="0"/>
        <w:spacing w:after="0" w:line="240" w:lineRule="auto"/>
        <w:rPr>
          <w:rFonts w:ascii="Times New Roman" w:hAnsi="Times New Roman"/>
          <w:lang w:val="lt-LT"/>
        </w:rPr>
      </w:pPr>
    </w:p>
    <w:p w14:paraId="3EC19468" w14:textId="77777777" w:rsidR="00F368C1" w:rsidRPr="00273A3E" w:rsidRDefault="00F368C1" w:rsidP="009F71ED">
      <w:pPr>
        <w:keepNext/>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Įspėjimas: prieš naudojimą saugiosios adatos (</w:t>
      </w:r>
      <w:r w:rsidRPr="00273A3E">
        <w:rPr>
          <w:rFonts w:ascii="Times New Roman" w:hAnsi="Times New Roman"/>
          <w:i/>
          <w:iCs/>
          <w:lang w:val="lt-LT"/>
        </w:rPr>
        <w:t xml:space="preserve">BD </w:t>
      </w:r>
      <w:proofErr w:type="spellStart"/>
      <w:r w:rsidRPr="00273A3E">
        <w:rPr>
          <w:rFonts w:ascii="Times New Roman" w:hAnsi="Times New Roman"/>
          <w:i/>
          <w:iCs/>
          <w:lang w:val="lt-LT"/>
        </w:rPr>
        <w:t>SafetyGlide</w:t>
      </w:r>
      <w:proofErr w:type="spellEnd"/>
      <w:r w:rsidRPr="00273A3E">
        <w:rPr>
          <w:rFonts w:ascii="Times New Roman" w:hAnsi="Times New Roman"/>
          <w:lang w:val="lt-LT"/>
        </w:rPr>
        <w:t xml:space="preserve"> </w:t>
      </w:r>
      <w:proofErr w:type="spellStart"/>
      <w:r w:rsidRPr="00273A3E">
        <w:rPr>
          <w:rFonts w:ascii="Times New Roman" w:hAnsi="Times New Roman"/>
          <w:lang w:val="lt-LT"/>
        </w:rPr>
        <w:t>hipoderminės</w:t>
      </w:r>
      <w:proofErr w:type="spellEnd"/>
      <w:r w:rsidRPr="00273A3E">
        <w:rPr>
          <w:rFonts w:ascii="Times New Roman" w:hAnsi="Times New Roman"/>
          <w:lang w:val="lt-LT"/>
        </w:rPr>
        <w:t xml:space="preserve"> adatos</w:t>
      </w:r>
      <w:r w:rsidR="003B6D1D" w:rsidRPr="00273A3E">
        <w:rPr>
          <w:rFonts w:ascii="Times New Roman" w:hAnsi="Times New Roman"/>
          <w:lang w:val="lt-LT"/>
        </w:rPr>
        <w:t xml:space="preserve"> su apsauga</w:t>
      </w:r>
      <w:r w:rsidRPr="00273A3E">
        <w:rPr>
          <w:rFonts w:ascii="Times New Roman" w:hAnsi="Times New Roman"/>
          <w:lang w:val="lt-LT"/>
        </w:rPr>
        <w:t xml:space="preserve">) </w:t>
      </w:r>
      <w:proofErr w:type="spellStart"/>
      <w:r w:rsidRPr="00273A3E">
        <w:rPr>
          <w:rFonts w:ascii="Times New Roman" w:hAnsi="Times New Roman"/>
          <w:lang w:val="lt-LT"/>
        </w:rPr>
        <w:t>autoklavuoti</w:t>
      </w:r>
      <w:proofErr w:type="spellEnd"/>
      <w:r w:rsidRPr="00273A3E">
        <w:rPr>
          <w:rFonts w:ascii="Times New Roman" w:hAnsi="Times New Roman"/>
          <w:lang w:val="lt-LT"/>
        </w:rPr>
        <w:t xml:space="preserve"> negalima. Naudojimo ir </w:t>
      </w:r>
      <w:r w:rsidR="004871AF" w:rsidRPr="00273A3E">
        <w:rPr>
          <w:rFonts w:ascii="Times New Roman" w:hAnsi="Times New Roman"/>
          <w:lang w:val="lt-LT"/>
        </w:rPr>
        <w:t>šalinimo</w:t>
      </w:r>
      <w:r w:rsidRPr="00273A3E">
        <w:rPr>
          <w:rFonts w:ascii="Times New Roman" w:hAnsi="Times New Roman"/>
          <w:lang w:val="lt-LT"/>
        </w:rPr>
        <w:t xml:space="preserve"> metu rankos visada turi likti už adatos.</w:t>
      </w:r>
    </w:p>
    <w:p w14:paraId="23673E69" w14:textId="77777777" w:rsidR="00F368C1" w:rsidRPr="00273A3E" w:rsidRDefault="00F368C1" w:rsidP="009F71ED">
      <w:pPr>
        <w:tabs>
          <w:tab w:val="left" w:pos="567"/>
        </w:tabs>
        <w:autoSpaceDE w:val="0"/>
        <w:autoSpaceDN w:val="0"/>
        <w:adjustRightInd w:val="0"/>
        <w:spacing w:after="0" w:line="240" w:lineRule="auto"/>
        <w:rPr>
          <w:rFonts w:ascii="Times New Roman" w:hAnsi="Times New Roman"/>
          <w:lang w:val="lt-LT"/>
        </w:rPr>
      </w:pPr>
    </w:p>
    <w:p w14:paraId="4AD219CF" w14:textId="77777777" w:rsidR="00F368C1" w:rsidRPr="00273A3E" w:rsidRDefault="00F368C1" w:rsidP="00914779">
      <w:pPr>
        <w:tabs>
          <w:tab w:val="left" w:pos="567"/>
        </w:tabs>
        <w:spacing w:after="0" w:line="240" w:lineRule="auto"/>
        <w:rPr>
          <w:rFonts w:ascii="Times New Roman" w:hAnsi="Times New Roman"/>
          <w:lang w:val="lt-LT"/>
        </w:rPr>
      </w:pPr>
      <w:r w:rsidRPr="00273A3E">
        <w:rPr>
          <w:rFonts w:ascii="Times New Roman" w:hAnsi="Times New Roman"/>
          <w:lang w:val="lt-LT"/>
        </w:rPr>
        <w:t>Kiekvienam iš dviejų švirkštų:</w:t>
      </w:r>
    </w:p>
    <w:p w14:paraId="793507F7" w14:textId="77777777" w:rsidR="0011295D" w:rsidRPr="00273A3E" w:rsidRDefault="0011295D" w:rsidP="0011295D">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3644"/>
      </w:tblGrid>
      <w:tr w:rsidR="0011295D" w:rsidRPr="00490319" w14:paraId="59C00CA1" w14:textId="77777777" w:rsidTr="00BF3A68">
        <w:trPr>
          <w:trHeight w:val="3597"/>
        </w:trPr>
        <w:tc>
          <w:tcPr>
            <w:tcW w:w="4987" w:type="dxa"/>
          </w:tcPr>
          <w:p w14:paraId="027F92E8" w14:textId="77777777" w:rsidR="0011295D" w:rsidRPr="00273A3E" w:rsidRDefault="0011295D" w:rsidP="00BF3A68">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hAnsi="Times New Roman"/>
                <w:lang w:val="lt-LT"/>
              </w:rPr>
              <w:t>Išimkite stiklinį švirkšto korpusą iš dėklo ir patikrinkite, ar jis nepažeistas.</w:t>
            </w:r>
          </w:p>
          <w:p w14:paraId="733391A4" w14:textId="77777777" w:rsidR="0011295D" w:rsidRPr="00273A3E" w:rsidRDefault="0011295D" w:rsidP="00BF3A68">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hAnsi="Times New Roman"/>
                <w:lang w:val="lt-LT"/>
              </w:rPr>
              <w:t>Atplėškite saugiosios adatos (</w:t>
            </w:r>
            <w:proofErr w:type="spellStart"/>
            <w:r w:rsidRPr="00273A3E">
              <w:rPr>
                <w:rFonts w:ascii="Times New Roman" w:hAnsi="Times New Roman"/>
                <w:i/>
                <w:iCs/>
                <w:lang w:val="lt-LT"/>
              </w:rPr>
              <w:t>SafetyGlide</w:t>
            </w:r>
            <w:proofErr w:type="spellEnd"/>
            <w:r w:rsidRPr="00273A3E">
              <w:rPr>
                <w:rFonts w:ascii="Times New Roman" w:hAnsi="Times New Roman"/>
                <w:lang w:val="lt-LT"/>
              </w:rPr>
              <w:t>) išorinę pakuotę.</w:t>
            </w:r>
          </w:p>
          <w:p w14:paraId="1C6725BC" w14:textId="77777777" w:rsidR="0011295D" w:rsidRPr="00273A3E" w:rsidRDefault="0011295D" w:rsidP="00BF3A68">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hAnsi="Times New Roman"/>
                <w:lang w:val="lt-LT"/>
              </w:rPr>
              <w:t xml:space="preserve">Prieš vartojant </w:t>
            </w:r>
            <w:proofErr w:type="spellStart"/>
            <w:r w:rsidRPr="00273A3E">
              <w:rPr>
                <w:rFonts w:ascii="Times New Roman" w:hAnsi="Times New Roman"/>
                <w:lang w:val="lt-LT"/>
              </w:rPr>
              <w:t>parenterinius</w:t>
            </w:r>
            <w:proofErr w:type="spellEnd"/>
            <w:r w:rsidRPr="00273A3E">
              <w:rPr>
                <w:rFonts w:ascii="Times New Roman" w:hAnsi="Times New Roman"/>
                <w:lang w:val="lt-LT"/>
              </w:rPr>
              <w:t xml:space="preserve"> tirpalus būtina apžiūrėti, ar nėra kietųjų dalelių ir ar nepakitusi tirpalo spalva.</w:t>
            </w:r>
          </w:p>
          <w:p w14:paraId="3C1F7018" w14:textId="77777777" w:rsidR="0011295D" w:rsidRPr="00273A3E" w:rsidRDefault="0011295D" w:rsidP="00BF3A68">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hAnsi="Times New Roman"/>
                <w:lang w:val="lt-LT"/>
              </w:rPr>
              <w:t xml:space="preserve">Laikykite švirkštą vertikaliai už </w:t>
            </w:r>
            <w:proofErr w:type="spellStart"/>
            <w:r w:rsidRPr="00273A3E">
              <w:rPr>
                <w:rFonts w:ascii="Times New Roman" w:hAnsi="Times New Roman"/>
                <w:lang w:val="lt-LT"/>
              </w:rPr>
              <w:t>briaunuotos</w:t>
            </w:r>
            <w:proofErr w:type="spellEnd"/>
            <w:r w:rsidRPr="00273A3E">
              <w:rPr>
                <w:rFonts w:ascii="Times New Roman" w:hAnsi="Times New Roman"/>
                <w:lang w:val="lt-LT"/>
              </w:rPr>
              <w:t xml:space="preserve"> dalies (C). Kita ranka </w:t>
            </w:r>
            <w:r w:rsidRPr="00273A3E">
              <w:rPr>
                <w:rFonts w:ascii="Times New Roman" w:hAnsi="Times New Roman"/>
                <w:lang w:val="lt-LT" w:eastAsia="en-GB"/>
              </w:rPr>
              <w:t>suimkite</w:t>
            </w:r>
            <w:r w:rsidRPr="00273A3E">
              <w:rPr>
                <w:rFonts w:ascii="Times New Roman" w:hAnsi="Times New Roman"/>
                <w:lang w:val="lt-LT"/>
              </w:rPr>
              <w:t xml:space="preserve"> dangtel</w:t>
            </w:r>
            <w:r w:rsidRPr="00273A3E">
              <w:rPr>
                <w:rFonts w:ascii="Times New Roman" w:hAnsi="Times New Roman"/>
                <w:lang w:val="lt-LT" w:eastAsia="en-GB"/>
              </w:rPr>
              <w:t>į</w:t>
            </w:r>
            <w:r w:rsidRPr="00273A3E">
              <w:rPr>
                <w:rFonts w:ascii="Times New Roman" w:hAnsi="Times New Roman"/>
                <w:lang w:val="lt-LT"/>
              </w:rPr>
              <w:t xml:space="preserve"> (A)</w:t>
            </w:r>
            <w:r w:rsidRPr="00273A3E">
              <w:rPr>
                <w:rFonts w:ascii="Times New Roman" w:hAnsi="Times New Roman"/>
                <w:lang w:val="lt-LT" w:eastAsia="en-GB"/>
              </w:rPr>
              <w:t xml:space="preserve"> ir </w:t>
            </w:r>
            <w:r w:rsidRPr="00273A3E">
              <w:rPr>
                <w:rFonts w:ascii="Times New Roman" w:hAnsi="Times New Roman"/>
                <w:lang w:val="lt-LT"/>
              </w:rPr>
              <w:t xml:space="preserve">atsargiai jį </w:t>
            </w:r>
            <w:r w:rsidRPr="00273A3E">
              <w:rPr>
                <w:rFonts w:ascii="Times New Roman" w:hAnsi="Times New Roman"/>
                <w:lang w:val="lt-LT" w:eastAsia="en-GB"/>
              </w:rPr>
              <w:t>judinkite atgal ir pirmyn kol jis atsikabins ir bus galima nuimti, nesukite (žr. 1 pav.).</w:t>
            </w:r>
          </w:p>
        </w:tc>
        <w:tc>
          <w:tcPr>
            <w:tcW w:w="3644" w:type="dxa"/>
            <w:vAlign w:val="center"/>
          </w:tcPr>
          <w:p w14:paraId="1D1C178C" w14:textId="77777777" w:rsidR="0011295D" w:rsidRPr="00273A3E" w:rsidRDefault="0003368A" w:rsidP="00BF3A68">
            <w:pPr>
              <w:numPr>
                <w:ilvl w:val="12"/>
                <w:numId w:val="0"/>
              </w:numPr>
              <w:tabs>
                <w:tab w:val="left" w:pos="567"/>
              </w:tabs>
              <w:spacing w:after="0" w:line="240" w:lineRule="auto"/>
              <w:ind w:right="-2"/>
              <w:jc w:val="center"/>
              <w:rPr>
                <w:rFonts w:ascii="Times New Roman" w:eastAsia="Times New Roman" w:hAnsi="Times New Roman"/>
                <w:noProof/>
                <w:lang w:val="lt-LT" w:eastAsia="en-GB"/>
              </w:rPr>
            </w:pPr>
            <w:r w:rsidRPr="00273A3E">
              <w:rPr>
                <w:rFonts w:ascii="Times New Roman" w:eastAsia="Times New Roman" w:hAnsi="Times New Roman"/>
                <w:noProof/>
                <w:lang w:val="lt-LT" w:eastAsia="en-GB"/>
              </w:rPr>
              <mc:AlternateContent>
                <mc:Choice Requires="wps">
                  <w:drawing>
                    <wp:anchor distT="45720" distB="45720" distL="114300" distR="114300" simplePos="0" relativeHeight="251662848" behindDoc="0" locked="0" layoutInCell="1" allowOverlap="1" wp14:anchorId="1213F58F" wp14:editId="69C77C62">
                      <wp:simplePos x="0" y="0"/>
                      <wp:positionH relativeFrom="column">
                        <wp:posOffset>269240</wp:posOffset>
                      </wp:positionH>
                      <wp:positionV relativeFrom="paragraph">
                        <wp:posOffset>303530</wp:posOffset>
                      </wp:positionV>
                      <wp:extent cx="944880" cy="330835"/>
                      <wp:effectExtent l="2540" t="0" r="0" b="4445"/>
                      <wp:wrapSquare wrapText="bothSides"/>
                      <wp:docPr id="159300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B43DF" w14:textId="77777777" w:rsidR="0011295D" w:rsidRPr="00CB5E50" w:rsidRDefault="0011295D" w:rsidP="0011295D">
                                  <w:pPr>
                                    <w:rPr>
                                      <w:rFonts w:ascii="Times New Roman" w:hAnsi="Times New Roman"/>
                                    </w:rPr>
                                  </w:pPr>
                                  <w:r w:rsidRPr="00CB5E50">
                                    <w:rPr>
                                      <w:rFonts w:ascii="Times New Roman" w:hAnsi="Times New Roman"/>
                                    </w:rPr>
                                    <w:t>1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1.2pt;margin-top:23.9pt;width:74.4pt;height:26.0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" stroked="f">
                      <v:textbox>
                        <w:txbxContent>
                          <w:p w14:paraId="2E0CE4F1" w14:textId="77777777" w:rsidR="0011295D" w:rsidRPr="00CB5E50" w:rsidRDefault="0011295D" w:rsidP="0011295D">
                            <w:pPr>
                              <w:rPr>
                                <w:rFonts w:ascii="Times New Roman" w:hAnsi="Times New Roman"/>
                              </w:rPr>
                            </w:pPr>
                            <w:r w:rsidRPr="00CB5E50">
                              <w:rPr>
                                <w:rFonts w:ascii="Times New Roman" w:hAnsi="Times New Roman"/>
                              </w:rPr>
                              <w:t>1 pav.</w:t>
                            </w:r>
                          </w:p>
                        </w:txbxContent>
                      </v:textbox>
                      <w10:wrap type="square"/>
                    </v:shape>
                  </w:pict>
                </mc:Fallback>
              </mc:AlternateContent>
            </w:r>
            <w:r w:rsidRPr="00273A3E">
              <w:rPr>
                <w:rFonts w:ascii="Times New Roman" w:eastAsia="Times New Roman" w:hAnsi="Times New Roman"/>
                <w:noProof/>
                <w:lang w:val="lt-LT" w:eastAsia="en-GB"/>
              </w:rPr>
              <w:drawing>
                <wp:anchor distT="0" distB="0" distL="114300" distR="114300" simplePos="0" relativeHeight="251661824" behindDoc="0" locked="0" layoutInCell="1" allowOverlap="1" wp14:anchorId="22C03130" wp14:editId="48A56A90">
                  <wp:simplePos x="0" y="0"/>
                  <wp:positionH relativeFrom="column">
                    <wp:posOffset>5080</wp:posOffset>
                  </wp:positionH>
                  <wp:positionV relativeFrom="paragraph">
                    <wp:posOffset>116205</wp:posOffset>
                  </wp:positionV>
                  <wp:extent cx="2047875" cy="1939290"/>
                  <wp:effectExtent l="0" t="0" r="0" b="0"/>
                  <wp:wrapNone/>
                  <wp:docPr id="36" name="Picture 1" descr="A diagram of a hand hold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hand holding a nee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7875" cy="19392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7B17439" w14:textId="77777777" w:rsidR="0011295D" w:rsidRPr="00273A3E" w:rsidRDefault="0011295D" w:rsidP="0011295D">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704"/>
      </w:tblGrid>
      <w:tr w:rsidR="0011295D" w:rsidRPr="00490319" w14:paraId="33428C25" w14:textId="77777777" w:rsidTr="00BF3A68">
        <w:trPr>
          <w:trHeight w:val="2779"/>
        </w:trPr>
        <w:tc>
          <w:tcPr>
            <w:tcW w:w="4957" w:type="dxa"/>
            <w:vAlign w:val="center"/>
          </w:tcPr>
          <w:p w14:paraId="2DC49296" w14:textId="77777777" w:rsidR="0011295D" w:rsidRPr="00273A3E" w:rsidRDefault="0011295D" w:rsidP="00BF3A68">
            <w:pPr>
              <w:numPr>
                <w:ilvl w:val="0"/>
                <w:numId w:val="23"/>
              </w:numPr>
              <w:tabs>
                <w:tab w:val="left" w:pos="567"/>
              </w:tabs>
              <w:ind w:left="567" w:hanging="567"/>
              <w:rPr>
                <w:rFonts w:ascii="Times New Roman" w:eastAsia="Times New Roman" w:hAnsi="Times New Roman"/>
                <w:noProof/>
                <w:lang w:val="lt-LT" w:eastAsia="en-GB"/>
              </w:rPr>
            </w:pPr>
            <w:r w:rsidRPr="00273A3E">
              <w:rPr>
                <w:rFonts w:ascii="Times New Roman" w:eastAsia="Times New Roman" w:hAnsi="Times New Roman"/>
                <w:noProof/>
                <w:lang w:val="lt-LT" w:eastAsia="en-GB"/>
              </w:rPr>
              <w:t>Nuimkite dangtelį (A) jį laikydami nukreiptą į viršų. Kad liktų sterilu, nelieskite švirkšto antgalio (B) (žr. 2 pav.).</w:t>
            </w:r>
          </w:p>
        </w:tc>
        <w:tc>
          <w:tcPr>
            <w:tcW w:w="3704" w:type="dxa"/>
          </w:tcPr>
          <w:p w14:paraId="69386333" w14:textId="77777777" w:rsidR="0011295D" w:rsidRPr="00273A3E" w:rsidRDefault="0003368A" w:rsidP="00BF3A68">
            <w:pPr>
              <w:numPr>
                <w:ilvl w:val="12"/>
                <w:numId w:val="0"/>
              </w:numPr>
              <w:tabs>
                <w:tab w:val="left" w:pos="567"/>
              </w:tabs>
              <w:spacing w:after="0" w:line="240" w:lineRule="auto"/>
              <w:ind w:right="-2"/>
              <w:rPr>
                <w:rFonts w:ascii="Times New Roman" w:eastAsia="Times New Roman" w:hAnsi="Times New Roman"/>
                <w:noProof/>
                <w:lang w:val="lt-LT" w:eastAsia="en-GB"/>
              </w:rPr>
            </w:pPr>
            <w:r w:rsidRPr="00273A3E">
              <w:rPr>
                <w:rFonts w:ascii="Times New Roman" w:eastAsia="Times New Roman" w:hAnsi="Times New Roman"/>
                <w:noProof/>
                <w:lang w:val="lt-LT" w:eastAsia="en-GB"/>
              </w:rPr>
              <mc:AlternateContent>
                <mc:Choice Requires="wps">
                  <w:drawing>
                    <wp:anchor distT="45720" distB="45720" distL="114300" distR="114300" simplePos="0" relativeHeight="251663872" behindDoc="0" locked="0" layoutInCell="1" allowOverlap="1" wp14:anchorId="422BC7CB" wp14:editId="1D7AA198">
                      <wp:simplePos x="0" y="0"/>
                      <wp:positionH relativeFrom="column">
                        <wp:posOffset>288290</wp:posOffset>
                      </wp:positionH>
                      <wp:positionV relativeFrom="paragraph">
                        <wp:posOffset>176530</wp:posOffset>
                      </wp:positionV>
                      <wp:extent cx="944880" cy="330835"/>
                      <wp:effectExtent l="2540" t="4445" r="0" b="0"/>
                      <wp:wrapSquare wrapText="bothSides"/>
                      <wp:docPr id="746966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34840" w14:textId="77777777" w:rsidR="0011295D" w:rsidRPr="00CB5E50" w:rsidRDefault="0011295D" w:rsidP="0011295D">
                                  <w:pPr>
                                    <w:rPr>
                                      <w:rFonts w:ascii="Times New Roman" w:hAnsi="Times New Roman"/>
                                    </w:rPr>
                                  </w:pPr>
                                  <w:r>
                                    <w:rPr>
                                      <w:rFonts w:ascii="Times New Roman" w:hAnsi="Times New Roman"/>
                                    </w:rPr>
                                    <w:t>2 </w:t>
                                  </w:r>
                                  <w:proofErr w:type="gramStart"/>
                                  <w:r w:rsidRPr="00CB5E50">
                                    <w:rPr>
                                      <w:rFonts w:ascii="Times New Roman" w:hAnsi="Times New Roman"/>
                                    </w:rPr>
                                    <w:t>pav</w:t>
                                  </w:r>
                                  <w:proofErr w:type="gramEnd"/>
                                  <w:r w:rsidRPr="00CB5E50">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7pt;margin-top:13.9pt;width:74.4pt;height:26.0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" stroked="f">
                      <v:textbox>
                        <w:txbxContent>
                          <w:p w14:paraId="06538BEA" w14:textId="77777777" w:rsidR="0011295D" w:rsidRPr="00CB5E50" w:rsidRDefault="0011295D" w:rsidP="0011295D">
                            <w:pPr>
                              <w:rPr>
                                <w:rFonts w:ascii="Times New Roman" w:hAnsi="Times New Roman"/>
                              </w:rPr>
                            </w:pPr>
                            <w:r>
                              <w:rPr>
                                <w:rFonts w:ascii="Times New Roman" w:hAnsi="Times New Roman"/>
                              </w:rPr>
                              <w:t>2 </w:t>
                            </w:r>
                            <w:r w:rsidRPr="00CB5E50">
                              <w:rPr>
                                <w:rFonts w:ascii="Times New Roman" w:hAnsi="Times New Roman"/>
                              </w:rPr>
                              <w:t>pav.</w:t>
                            </w:r>
                          </w:p>
                        </w:txbxContent>
                      </v:textbox>
                      <w10:wrap type="square"/>
                    </v:shape>
                  </w:pict>
                </mc:Fallback>
              </mc:AlternateContent>
            </w:r>
            <w:r w:rsidRPr="00273A3E">
              <w:rPr>
                <w:rFonts w:ascii="Times New Roman" w:eastAsia="Times New Roman" w:hAnsi="Times New Roman"/>
                <w:noProof/>
                <w:lang w:val="lt-LT" w:eastAsia="en-GB"/>
              </w:rPr>
              <w:drawing>
                <wp:anchor distT="0" distB="0" distL="114300" distR="114300" simplePos="0" relativeHeight="251659776" behindDoc="0" locked="0" layoutInCell="1" allowOverlap="1" wp14:anchorId="249C89EB" wp14:editId="1F38D2CC">
                  <wp:simplePos x="0" y="0"/>
                  <wp:positionH relativeFrom="column">
                    <wp:posOffset>-1905</wp:posOffset>
                  </wp:positionH>
                  <wp:positionV relativeFrom="paragraph">
                    <wp:posOffset>75565</wp:posOffset>
                  </wp:positionV>
                  <wp:extent cx="2113915" cy="1849755"/>
                  <wp:effectExtent l="0" t="0" r="0" b="0"/>
                  <wp:wrapTight wrapText="bothSides">
                    <wp:wrapPolygon edited="0">
                      <wp:start x="0" y="0"/>
                      <wp:lineTo x="0" y="21355"/>
                      <wp:lineTo x="21412" y="21355"/>
                      <wp:lineTo x="21412" y="0"/>
                      <wp:lineTo x="0" y="0"/>
                    </wp:wrapPolygon>
                  </wp:wrapTight>
                  <wp:docPr id="34" name="Picture 3" descr="A diagram of a hand hold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hand holding a need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391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B074182" w14:textId="77777777" w:rsidR="0011295D" w:rsidRPr="00273A3E" w:rsidRDefault="0011295D" w:rsidP="0011295D">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75"/>
      </w:tblGrid>
      <w:tr w:rsidR="0011295D" w:rsidRPr="00490319" w14:paraId="5518EE03" w14:textId="77777777" w:rsidTr="00BF3A68">
        <w:trPr>
          <w:trHeight w:val="3470"/>
        </w:trPr>
        <w:tc>
          <w:tcPr>
            <w:tcW w:w="4957" w:type="dxa"/>
            <w:vAlign w:val="center"/>
          </w:tcPr>
          <w:p w14:paraId="0068D872" w14:textId="77777777" w:rsidR="0011295D" w:rsidRPr="00273A3E" w:rsidRDefault="0011295D" w:rsidP="00BF3A68">
            <w:pPr>
              <w:pStyle w:val="Sraopastraipa"/>
              <w:numPr>
                <w:ilvl w:val="0"/>
                <w:numId w:val="23"/>
              </w:numPr>
              <w:tabs>
                <w:tab w:val="left" w:pos="567"/>
              </w:tabs>
              <w:autoSpaceDE w:val="0"/>
              <w:autoSpaceDN w:val="0"/>
              <w:adjustRightInd w:val="0"/>
              <w:ind w:left="567" w:hanging="567"/>
              <w:contextualSpacing w:val="0"/>
              <w:rPr>
                <w:noProof/>
                <w:szCs w:val="22"/>
                <w:lang w:eastAsia="es-ES"/>
              </w:rPr>
            </w:pPr>
            <w:r w:rsidRPr="00273A3E">
              <w:rPr>
                <w:rFonts w:eastAsia="Calibri"/>
                <w:szCs w:val="22"/>
              </w:rPr>
              <w:t xml:space="preserve">Prijunkite saugiąją adatą prie </w:t>
            </w:r>
            <w:proofErr w:type="spellStart"/>
            <w:r w:rsidRPr="00273A3E">
              <w:rPr>
                <w:rFonts w:eastAsia="Calibri"/>
                <w:i/>
                <w:iCs/>
                <w:szCs w:val="22"/>
              </w:rPr>
              <w:t>Luer</w:t>
            </w:r>
            <w:proofErr w:type="spellEnd"/>
            <w:r w:rsidRPr="00273A3E">
              <w:rPr>
                <w:rFonts w:eastAsia="Calibri"/>
                <w:i/>
                <w:iCs/>
                <w:szCs w:val="22"/>
              </w:rPr>
              <w:t xml:space="preserve"> </w:t>
            </w:r>
            <w:proofErr w:type="spellStart"/>
            <w:r w:rsidRPr="00273A3E">
              <w:rPr>
                <w:i/>
                <w:iCs/>
                <w:szCs w:val="22"/>
              </w:rPr>
              <w:t>Lock</w:t>
            </w:r>
            <w:proofErr w:type="spellEnd"/>
            <w:r w:rsidRPr="00273A3E">
              <w:rPr>
                <w:szCs w:val="22"/>
              </w:rPr>
              <w:t xml:space="preserve"> </w:t>
            </w:r>
            <w:r w:rsidRPr="00273A3E">
              <w:rPr>
                <w:rFonts w:eastAsia="Calibri"/>
                <w:szCs w:val="22"/>
              </w:rPr>
              <w:t xml:space="preserve">mechanizmo ir pasukite, kol tvirtai užsifiksuos </w:t>
            </w:r>
            <w:r w:rsidRPr="00273A3E">
              <w:rPr>
                <w:rFonts w:eastAsia="Calibri"/>
                <w:szCs w:val="22"/>
                <w:lang w:eastAsia="en-US"/>
              </w:rPr>
              <w:t>(žr. 3 pav.).</w:t>
            </w:r>
          </w:p>
          <w:p w14:paraId="51443414" w14:textId="77777777" w:rsidR="0011295D" w:rsidRPr="00273A3E" w:rsidRDefault="0011295D" w:rsidP="00BF3A68">
            <w:pPr>
              <w:pStyle w:val="Sraopastraipa"/>
              <w:numPr>
                <w:ilvl w:val="0"/>
                <w:numId w:val="23"/>
              </w:numPr>
              <w:tabs>
                <w:tab w:val="left" w:pos="567"/>
              </w:tabs>
              <w:autoSpaceDE w:val="0"/>
              <w:autoSpaceDN w:val="0"/>
              <w:adjustRightInd w:val="0"/>
              <w:ind w:left="567" w:hanging="567"/>
              <w:contextualSpacing w:val="0"/>
              <w:rPr>
                <w:rFonts w:eastAsia="Calibri"/>
                <w:szCs w:val="22"/>
                <w:lang w:eastAsia="en-US"/>
              </w:rPr>
            </w:pPr>
            <w:r w:rsidRPr="00273A3E">
              <w:rPr>
                <w:rFonts w:eastAsia="Calibri"/>
                <w:szCs w:val="22"/>
                <w:lang w:eastAsia="en-US"/>
              </w:rPr>
              <w:t xml:space="preserve">Prieš pakeisdami vertikalią padėtį, patikrinkite, ar adata prisirakinusi prie </w:t>
            </w:r>
            <w:proofErr w:type="spellStart"/>
            <w:r w:rsidRPr="00273A3E">
              <w:rPr>
                <w:rFonts w:eastAsia="Calibri"/>
                <w:i/>
                <w:iCs/>
                <w:szCs w:val="22"/>
                <w:lang w:eastAsia="en-US"/>
              </w:rPr>
              <w:t>Luer</w:t>
            </w:r>
            <w:proofErr w:type="spellEnd"/>
            <w:r w:rsidRPr="00273A3E">
              <w:rPr>
                <w:rFonts w:eastAsia="Calibri"/>
                <w:i/>
                <w:iCs/>
                <w:szCs w:val="22"/>
                <w:lang w:eastAsia="en-US"/>
              </w:rPr>
              <w:t xml:space="preserve"> </w:t>
            </w:r>
            <w:r w:rsidRPr="00273A3E">
              <w:rPr>
                <w:rFonts w:eastAsia="Calibri"/>
                <w:szCs w:val="22"/>
                <w:lang w:eastAsia="en-US"/>
              </w:rPr>
              <w:t>jungties.</w:t>
            </w:r>
          </w:p>
          <w:p w14:paraId="408EB29E" w14:textId="77777777" w:rsidR="0011295D" w:rsidRPr="00273A3E" w:rsidRDefault="0011295D" w:rsidP="00BF3A68">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eastAsia="Times New Roman" w:hAnsi="Times New Roman"/>
                <w:noProof/>
                <w:lang w:val="lt-LT" w:eastAsia="en-GB"/>
              </w:rPr>
              <w:t>Užpildytą švirkštą nuneškite į injekcijos atlikimo vietą.</w:t>
            </w:r>
          </w:p>
          <w:p w14:paraId="3D6726F9" w14:textId="77777777" w:rsidR="00155BD8" w:rsidRPr="00273A3E" w:rsidRDefault="00155BD8" w:rsidP="00155BD8">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eastAsia="Times New Roman" w:hAnsi="Times New Roman"/>
                <w:noProof/>
                <w:lang w:val="lt-LT" w:eastAsia="en-GB"/>
              </w:rPr>
              <w:t>Numaukite adatos gaubtelį, traukdami jį tiesiai, kad nepažeistumėte adatos smaigalio.</w:t>
            </w:r>
          </w:p>
          <w:p w14:paraId="394EF48D" w14:textId="77777777" w:rsidR="0011295D" w:rsidRPr="00273A3E" w:rsidRDefault="0011295D" w:rsidP="00BF3A68">
            <w:pPr>
              <w:numPr>
                <w:ilvl w:val="0"/>
                <w:numId w:val="23"/>
              </w:numPr>
              <w:tabs>
                <w:tab w:val="left" w:pos="567"/>
              </w:tabs>
              <w:spacing w:after="0" w:line="240" w:lineRule="auto"/>
              <w:ind w:left="567" w:right="-2" w:hanging="567"/>
              <w:contextualSpacing/>
              <w:rPr>
                <w:rFonts w:ascii="Times New Roman" w:eastAsia="Times New Roman" w:hAnsi="Times New Roman"/>
                <w:noProof/>
                <w:lang w:val="lt-LT" w:eastAsia="en-GB"/>
              </w:rPr>
            </w:pPr>
            <w:r w:rsidRPr="00273A3E">
              <w:rPr>
                <w:rFonts w:ascii="Times New Roman" w:eastAsia="Times New Roman" w:hAnsi="Times New Roman"/>
                <w:noProof/>
                <w:lang w:val="lt-LT" w:eastAsia="en-GB"/>
              </w:rPr>
              <w:t>Iš švirkšto išstumkite dujų perteklių.</w:t>
            </w:r>
          </w:p>
        </w:tc>
        <w:tc>
          <w:tcPr>
            <w:tcW w:w="3675" w:type="dxa"/>
            <w:vAlign w:val="center"/>
          </w:tcPr>
          <w:p w14:paraId="250893C0" w14:textId="77777777" w:rsidR="0011295D" w:rsidRPr="00273A3E" w:rsidRDefault="0003368A" w:rsidP="00BF3A68">
            <w:pPr>
              <w:numPr>
                <w:ilvl w:val="12"/>
                <w:numId w:val="0"/>
              </w:numPr>
              <w:tabs>
                <w:tab w:val="left" w:pos="567"/>
              </w:tabs>
              <w:spacing w:after="0" w:line="240" w:lineRule="auto"/>
              <w:ind w:right="-2"/>
              <w:rPr>
                <w:rFonts w:ascii="Times New Roman" w:eastAsia="Times New Roman" w:hAnsi="Times New Roman"/>
                <w:noProof/>
                <w:lang w:val="lt-LT" w:eastAsia="en-GB"/>
              </w:rPr>
            </w:pPr>
            <w:r w:rsidRPr="00273A3E">
              <w:rPr>
                <w:rFonts w:ascii="Times New Roman" w:eastAsia="Times New Roman" w:hAnsi="Times New Roman"/>
                <w:noProof/>
                <w:lang w:val="lt-LT" w:eastAsia="en-GB"/>
              </w:rPr>
              <mc:AlternateContent>
                <mc:Choice Requires="wps">
                  <w:drawing>
                    <wp:anchor distT="45720" distB="45720" distL="114300" distR="114300" simplePos="0" relativeHeight="251664896" behindDoc="0" locked="0" layoutInCell="1" allowOverlap="1" wp14:anchorId="2463C7AD" wp14:editId="59F9E23B">
                      <wp:simplePos x="0" y="0"/>
                      <wp:positionH relativeFrom="column">
                        <wp:posOffset>551180</wp:posOffset>
                      </wp:positionH>
                      <wp:positionV relativeFrom="paragraph">
                        <wp:posOffset>292735</wp:posOffset>
                      </wp:positionV>
                      <wp:extent cx="944880" cy="330835"/>
                      <wp:effectExtent l="0" t="635" r="0" b="1905"/>
                      <wp:wrapSquare wrapText="bothSides"/>
                      <wp:docPr id="1101117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C5C89" w14:textId="77777777" w:rsidR="0011295D" w:rsidRPr="00CB5E50" w:rsidRDefault="0011295D" w:rsidP="0011295D">
                                  <w:pPr>
                                    <w:rPr>
                                      <w:rFonts w:ascii="Times New Roman" w:hAnsi="Times New Roman"/>
                                    </w:rPr>
                                  </w:pPr>
                                  <w:r>
                                    <w:rPr>
                                      <w:rFonts w:ascii="Times New Roman" w:hAnsi="Times New Roman"/>
                                    </w:rPr>
                                    <w:t>3 </w:t>
                                  </w:r>
                                  <w:proofErr w:type="gramStart"/>
                                  <w:r w:rsidRPr="00CB5E50">
                                    <w:rPr>
                                      <w:rFonts w:ascii="Times New Roman" w:hAnsi="Times New Roman"/>
                                    </w:rPr>
                                    <w:t>pav</w:t>
                                  </w:r>
                                  <w:proofErr w:type="gramEnd"/>
                                  <w:r w:rsidRPr="00CB5E50">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3.4pt;margin-top:23.05pt;width:74.4pt;height:26.0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" stroked="f">
                      <v:textbox>
                        <w:txbxContent>
                          <w:p w14:paraId="6AD77417" w14:textId="77777777" w:rsidR="0011295D" w:rsidRPr="00CB5E50" w:rsidRDefault="0011295D" w:rsidP="0011295D">
                            <w:pPr>
                              <w:rPr>
                                <w:rFonts w:ascii="Times New Roman" w:hAnsi="Times New Roman"/>
                              </w:rPr>
                            </w:pPr>
                            <w:r>
                              <w:rPr>
                                <w:rFonts w:ascii="Times New Roman" w:hAnsi="Times New Roman"/>
                              </w:rPr>
                              <w:t>3 </w:t>
                            </w:r>
                            <w:r w:rsidRPr="00CB5E50">
                              <w:rPr>
                                <w:rFonts w:ascii="Times New Roman" w:hAnsi="Times New Roman"/>
                              </w:rPr>
                              <w:t>pav.</w:t>
                            </w:r>
                          </w:p>
                        </w:txbxContent>
                      </v:textbox>
                      <w10:wrap type="square"/>
                    </v:shape>
                  </w:pict>
                </mc:Fallback>
              </mc:AlternateContent>
            </w:r>
            <w:r w:rsidRPr="00273A3E">
              <w:rPr>
                <w:rFonts w:ascii="Times New Roman" w:eastAsia="Times New Roman" w:hAnsi="Times New Roman"/>
                <w:noProof/>
                <w:lang w:val="lt-LT" w:eastAsia="en-GB"/>
              </w:rPr>
              <w:drawing>
                <wp:anchor distT="0" distB="0" distL="114300" distR="114300" simplePos="0" relativeHeight="251660800" behindDoc="0" locked="0" layoutInCell="1" allowOverlap="1" wp14:anchorId="22F00061" wp14:editId="7148EEF1">
                  <wp:simplePos x="0" y="0"/>
                  <wp:positionH relativeFrom="column">
                    <wp:posOffset>100330</wp:posOffset>
                  </wp:positionH>
                  <wp:positionV relativeFrom="paragraph">
                    <wp:posOffset>132715</wp:posOffset>
                  </wp:positionV>
                  <wp:extent cx="1821180" cy="2019935"/>
                  <wp:effectExtent l="0" t="0" r="0" b="0"/>
                  <wp:wrapNone/>
                  <wp:docPr id="35" name="Picture 4" descr="A drawing of a person hold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rawing of a person holding a need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1180" cy="2019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86FCAF2" w14:textId="77777777" w:rsidR="0011295D" w:rsidRPr="00273A3E" w:rsidRDefault="0011295D" w:rsidP="0011295D">
      <w:pPr>
        <w:tabs>
          <w:tab w:val="left" w:pos="567"/>
        </w:tabs>
        <w:spacing w:after="0" w:line="240" w:lineRule="auto"/>
        <w:rPr>
          <w:rFonts w:ascii="Times New Roman" w:eastAsia="Times New Roman" w:hAnsi="Times New Roman"/>
          <w:lang w:val="lt-LT"/>
        </w:rPr>
      </w:pP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116"/>
      </w:tblGrid>
      <w:tr w:rsidR="0011295D" w:rsidRPr="00490319" w14:paraId="14FA397D" w14:textId="77777777" w:rsidTr="00BF3A68">
        <w:trPr>
          <w:trHeight w:val="2987"/>
        </w:trPr>
        <w:tc>
          <w:tcPr>
            <w:tcW w:w="4669" w:type="dxa"/>
            <w:vAlign w:val="center"/>
          </w:tcPr>
          <w:p w14:paraId="33C9884C" w14:textId="77777777" w:rsidR="0011295D" w:rsidRPr="00273A3E" w:rsidRDefault="0011295D" w:rsidP="00BF3A68">
            <w:pPr>
              <w:numPr>
                <w:ilvl w:val="0"/>
                <w:numId w:val="23"/>
              </w:numPr>
              <w:tabs>
                <w:tab w:val="left" w:pos="567"/>
              </w:tabs>
              <w:ind w:left="567" w:hanging="567"/>
              <w:rPr>
                <w:rFonts w:ascii="Times New Roman" w:eastAsia="Times New Roman" w:hAnsi="Times New Roman"/>
                <w:noProof/>
                <w:lang w:val="lt-LT" w:eastAsia="en-GB"/>
              </w:rPr>
            </w:pPr>
            <w:r w:rsidRPr="00273A3E">
              <w:rPr>
                <w:rFonts w:ascii="Times New Roman" w:eastAsia="Times New Roman" w:hAnsi="Times New Roman"/>
                <w:noProof/>
                <w:lang w:val="lt-LT" w:eastAsia="en-GB"/>
              </w:rPr>
              <w:t>Suleiskite lėtai (per 1–2 min.) į sėdmens raumenį (sėdmenų srityje). Kad adata būtų patogiau naudotis, jos smaigalio nuožulnuma yra toje pačioje pusėje kaip svirtelė (žr. 4 pav.).</w:t>
            </w:r>
          </w:p>
          <w:p w14:paraId="557E920A" w14:textId="77777777" w:rsidR="0011295D" w:rsidRPr="00273A3E" w:rsidRDefault="0011295D" w:rsidP="00BF3A68">
            <w:pPr>
              <w:tabs>
                <w:tab w:val="left" w:pos="567"/>
              </w:tabs>
              <w:spacing w:after="0" w:line="240" w:lineRule="auto"/>
              <w:ind w:right="-2"/>
              <w:contextualSpacing/>
              <w:rPr>
                <w:rFonts w:ascii="Times New Roman" w:eastAsia="Times New Roman" w:hAnsi="Times New Roman"/>
                <w:noProof/>
                <w:lang w:val="lt-LT" w:eastAsia="en-GB"/>
              </w:rPr>
            </w:pPr>
          </w:p>
        </w:tc>
        <w:tc>
          <w:tcPr>
            <w:tcW w:w="4116" w:type="dxa"/>
          </w:tcPr>
          <w:p w14:paraId="73B57FF1" w14:textId="77777777" w:rsidR="0011295D" w:rsidRPr="00273A3E" w:rsidRDefault="0003368A" w:rsidP="00BF3A68">
            <w:pPr>
              <w:numPr>
                <w:ilvl w:val="12"/>
                <w:numId w:val="0"/>
              </w:numPr>
              <w:tabs>
                <w:tab w:val="left" w:pos="567"/>
              </w:tabs>
              <w:spacing w:after="0" w:line="240" w:lineRule="auto"/>
              <w:ind w:right="-2"/>
              <w:rPr>
                <w:rFonts w:ascii="Times New Roman" w:eastAsia="Times New Roman" w:hAnsi="Times New Roman"/>
                <w:noProof/>
                <w:lang w:val="lt-LT" w:eastAsia="en-GB"/>
              </w:rPr>
            </w:pPr>
            <w:r w:rsidRPr="00273A3E">
              <w:rPr>
                <w:rFonts w:ascii="Times New Roman" w:eastAsia="Times New Roman" w:hAnsi="Times New Roman"/>
                <w:noProof/>
                <w:lang w:val="lt-LT" w:eastAsia="en-GB"/>
              </w:rPr>
              <mc:AlternateContent>
                <mc:Choice Requires="wps">
                  <w:drawing>
                    <wp:anchor distT="45720" distB="45720" distL="114300" distR="114300" simplePos="0" relativeHeight="251665920" behindDoc="0" locked="0" layoutInCell="1" allowOverlap="1" wp14:anchorId="6C4B5C7B" wp14:editId="6985AB57">
                      <wp:simplePos x="0" y="0"/>
                      <wp:positionH relativeFrom="column">
                        <wp:posOffset>425450</wp:posOffset>
                      </wp:positionH>
                      <wp:positionV relativeFrom="paragraph">
                        <wp:posOffset>321310</wp:posOffset>
                      </wp:positionV>
                      <wp:extent cx="944880" cy="330835"/>
                      <wp:effectExtent l="4445" t="0" r="3175" b="3810"/>
                      <wp:wrapSquare wrapText="bothSides"/>
                      <wp:docPr id="992903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6A734" w14:textId="77777777" w:rsidR="0011295D" w:rsidRPr="00CB5E50" w:rsidRDefault="0011295D" w:rsidP="0011295D">
                                  <w:pPr>
                                    <w:rPr>
                                      <w:rFonts w:ascii="Times New Roman" w:hAnsi="Times New Roman"/>
                                    </w:rPr>
                                  </w:pPr>
                                  <w:r>
                                    <w:rPr>
                                      <w:rFonts w:ascii="Times New Roman" w:hAnsi="Times New Roman"/>
                                    </w:rPr>
                                    <w:t>4 </w:t>
                                  </w:r>
                                  <w:proofErr w:type="gramStart"/>
                                  <w:r w:rsidRPr="00CB5E50">
                                    <w:rPr>
                                      <w:rFonts w:ascii="Times New Roman" w:hAnsi="Times New Roman"/>
                                    </w:rPr>
                                    <w:t>pav</w:t>
                                  </w:r>
                                  <w:proofErr w:type="gramEnd"/>
                                  <w:r w:rsidRPr="00CB5E50">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3.5pt;margin-top:25.3pt;width:74.4pt;height:26.0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" stroked="f">
                      <v:textbox>
                        <w:txbxContent>
                          <w:p w14:paraId="5E6039F1" w14:textId="77777777" w:rsidR="0011295D" w:rsidRPr="00CB5E50" w:rsidRDefault="0011295D" w:rsidP="0011295D">
                            <w:pPr>
                              <w:rPr>
                                <w:rFonts w:ascii="Times New Roman" w:hAnsi="Times New Roman"/>
                              </w:rPr>
                            </w:pPr>
                            <w:r>
                              <w:rPr>
                                <w:rFonts w:ascii="Times New Roman" w:hAnsi="Times New Roman"/>
                              </w:rPr>
                              <w:t>4 </w:t>
                            </w:r>
                            <w:r w:rsidRPr="00CB5E50">
                              <w:rPr>
                                <w:rFonts w:ascii="Times New Roman" w:hAnsi="Times New Roman"/>
                              </w:rPr>
                              <w:t>pav.</w:t>
                            </w:r>
                          </w:p>
                        </w:txbxContent>
                      </v:textbox>
                      <w10:wrap type="square"/>
                    </v:shape>
                  </w:pict>
                </mc:Fallback>
              </mc:AlternateContent>
            </w:r>
            <w:r w:rsidRPr="00273A3E">
              <w:rPr>
                <w:rFonts w:ascii="Times New Roman" w:eastAsia="Times New Roman" w:hAnsi="Times New Roman"/>
                <w:noProof/>
                <w:lang w:val="lt-LT" w:eastAsia="en-GB"/>
              </w:rPr>
              <w:drawing>
                <wp:anchor distT="0" distB="0" distL="114300" distR="114300" simplePos="0" relativeHeight="251658752" behindDoc="0" locked="0" layoutInCell="1" allowOverlap="1" wp14:anchorId="2227D352" wp14:editId="1A2ADF67">
                  <wp:simplePos x="0" y="0"/>
                  <wp:positionH relativeFrom="column">
                    <wp:posOffset>181610</wp:posOffset>
                  </wp:positionH>
                  <wp:positionV relativeFrom="paragraph">
                    <wp:posOffset>48895</wp:posOffset>
                  </wp:positionV>
                  <wp:extent cx="2068195" cy="1704340"/>
                  <wp:effectExtent l="0" t="0" r="0" b="0"/>
                  <wp:wrapNone/>
                  <wp:docPr id="33" name="Picture 5"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rawing of a machin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8195" cy="1704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E7C2A7A" w14:textId="77777777" w:rsidR="0011295D" w:rsidRPr="00273A3E" w:rsidRDefault="0011295D" w:rsidP="0011295D">
      <w:pPr>
        <w:tabs>
          <w:tab w:val="left" w:pos="567"/>
        </w:tabs>
        <w:spacing w:after="0" w:line="240" w:lineRule="auto"/>
        <w:rPr>
          <w:rFonts w:ascii="Times New Roman" w:eastAsia="Times New Roman" w:hAnsi="Times New Roman"/>
          <w:lang w:val="lt-LT"/>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3921"/>
      </w:tblGrid>
      <w:tr w:rsidR="0011295D" w:rsidRPr="00490319" w14:paraId="6B14E1EC" w14:textId="77777777" w:rsidTr="00BF3A68">
        <w:trPr>
          <w:trHeight w:val="2886"/>
        </w:trPr>
        <w:tc>
          <w:tcPr>
            <w:tcW w:w="4837" w:type="dxa"/>
            <w:vAlign w:val="center"/>
          </w:tcPr>
          <w:p w14:paraId="5C7681C1" w14:textId="77777777" w:rsidR="0011295D" w:rsidRPr="00273A3E" w:rsidRDefault="0011295D" w:rsidP="009F71ED">
            <w:pPr>
              <w:pStyle w:val="Sraopastraipa"/>
              <w:numPr>
                <w:ilvl w:val="0"/>
                <w:numId w:val="23"/>
              </w:numPr>
              <w:tabs>
                <w:tab w:val="left" w:pos="567"/>
              </w:tabs>
              <w:autoSpaceDE w:val="0"/>
              <w:autoSpaceDN w:val="0"/>
              <w:adjustRightInd w:val="0"/>
              <w:ind w:left="567" w:hanging="567"/>
              <w:contextualSpacing w:val="0"/>
              <w:rPr>
                <w:noProof/>
                <w:szCs w:val="22"/>
                <w:lang w:eastAsia="es-ES"/>
              </w:rPr>
            </w:pPr>
            <w:r w:rsidRPr="00273A3E">
              <w:rPr>
                <w:rFonts w:eastAsia="Calibri"/>
                <w:szCs w:val="22"/>
              </w:rPr>
              <w:t xml:space="preserve">Po injekcijos tuoj pat suaktyvinkite adatos apsaugos mechanizmą – vienu pirštu spragtelėkite aktyvavimo </w:t>
            </w:r>
            <w:r w:rsidRPr="00273A3E">
              <w:rPr>
                <w:rFonts w:eastAsia="Calibri"/>
                <w:szCs w:val="22"/>
                <w:lang w:eastAsia="en-US"/>
              </w:rPr>
              <w:t>svirtelę (žr. 5 pav.).</w:t>
            </w:r>
          </w:p>
          <w:p w14:paraId="495CB77B" w14:textId="77777777" w:rsidR="0011295D" w:rsidRPr="00273A3E" w:rsidRDefault="0011295D" w:rsidP="00BF3A68">
            <w:pPr>
              <w:pStyle w:val="Sraopastraipa"/>
              <w:tabs>
                <w:tab w:val="left" w:pos="567"/>
              </w:tabs>
              <w:autoSpaceDE w:val="0"/>
              <w:autoSpaceDN w:val="0"/>
              <w:adjustRightInd w:val="0"/>
              <w:ind w:left="0"/>
              <w:contextualSpacing w:val="0"/>
              <w:rPr>
                <w:noProof/>
                <w:szCs w:val="22"/>
                <w:lang w:eastAsia="es-ES"/>
              </w:rPr>
            </w:pPr>
          </w:p>
          <w:p w14:paraId="04F7D8E2" w14:textId="77777777" w:rsidR="0011295D" w:rsidRPr="00273A3E" w:rsidRDefault="0011295D" w:rsidP="00BF3A68">
            <w:pPr>
              <w:tabs>
                <w:tab w:val="left" w:pos="567"/>
              </w:tabs>
              <w:spacing w:after="0" w:line="240" w:lineRule="auto"/>
              <w:ind w:right="-2"/>
              <w:contextualSpacing/>
              <w:rPr>
                <w:rFonts w:ascii="Times New Roman" w:eastAsia="Times New Roman" w:hAnsi="Times New Roman"/>
                <w:noProof/>
                <w:lang w:val="lt-LT" w:eastAsia="en-GB"/>
              </w:rPr>
            </w:pPr>
            <w:r w:rsidRPr="00273A3E">
              <w:rPr>
                <w:rFonts w:ascii="Times New Roman" w:eastAsia="Times New Roman" w:hAnsi="Times New Roman"/>
                <w:lang w:val="lt-LT" w:eastAsia="en-GB"/>
              </w:rPr>
              <w:t>PASTABA: suaktyvinkite atitraukę nuo savęs ir kitų žmonių. Išgirskite spragtelėjimą ir vizualiai įsitikinkite, kad adatos viršūnė visiškai uždengta</w:t>
            </w:r>
          </w:p>
        </w:tc>
        <w:tc>
          <w:tcPr>
            <w:tcW w:w="3921" w:type="dxa"/>
            <w:vAlign w:val="center"/>
          </w:tcPr>
          <w:p w14:paraId="3347F87F" w14:textId="77777777" w:rsidR="0011295D" w:rsidRPr="00273A3E" w:rsidRDefault="0003368A" w:rsidP="00BF3A68">
            <w:pPr>
              <w:numPr>
                <w:ilvl w:val="12"/>
                <w:numId w:val="0"/>
              </w:numPr>
              <w:tabs>
                <w:tab w:val="left" w:pos="567"/>
              </w:tabs>
              <w:spacing w:after="0" w:line="240" w:lineRule="auto"/>
              <w:ind w:right="-2"/>
              <w:rPr>
                <w:rFonts w:ascii="Times New Roman" w:eastAsia="Times New Roman" w:hAnsi="Times New Roman"/>
                <w:noProof/>
                <w:lang w:val="lt-LT" w:eastAsia="en-GB"/>
              </w:rPr>
            </w:pPr>
            <w:r w:rsidRPr="00273A3E">
              <w:rPr>
                <w:rFonts w:ascii="Times New Roman" w:hAnsi="Times New Roman"/>
                <w:noProof/>
                <w:lang w:val="lt-LT"/>
              </w:rPr>
              <w:drawing>
                <wp:anchor distT="0" distB="0" distL="114300" distR="114300" simplePos="0" relativeHeight="251666944" behindDoc="0" locked="0" layoutInCell="1" allowOverlap="1" wp14:anchorId="6CE2B559" wp14:editId="7F5DC846">
                  <wp:simplePos x="0" y="0"/>
                  <wp:positionH relativeFrom="column">
                    <wp:posOffset>24130</wp:posOffset>
                  </wp:positionH>
                  <wp:positionV relativeFrom="paragraph">
                    <wp:posOffset>171450</wp:posOffset>
                  </wp:positionV>
                  <wp:extent cx="1934210" cy="1636395"/>
                  <wp:effectExtent l="0" t="0" r="0" b="0"/>
                  <wp:wrapNone/>
                  <wp:docPr id="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4210" cy="1636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A3E">
              <w:rPr>
                <w:rFonts w:ascii="Times New Roman" w:eastAsia="Times New Roman" w:hAnsi="Times New Roman"/>
                <w:noProof/>
                <w:lang w:val="lt-LT" w:eastAsia="en-GB"/>
              </w:rPr>
              <mc:AlternateContent>
                <mc:Choice Requires="wps">
                  <w:drawing>
                    <wp:anchor distT="45720" distB="45720" distL="114300" distR="114300" simplePos="0" relativeHeight="251667968" behindDoc="0" locked="0" layoutInCell="1" allowOverlap="1" wp14:anchorId="5053F8E3" wp14:editId="6B39DC83">
                      <wp:simplePos x="0" y="0"/>
                      <wp:positionH relativeFrom="column">
                        <wp:posOffset>446405</wp:posOffset>
                      </wp:positionH>
                      <wp:positionV relativeFrom="paragraph">
                        <wp:posOffset>-4445</wp:posOffset>
                      </wp:positionV>
                      <wp:extent cx="944880" cy="534035"/>
                      <wp:effectExtent l="0" t="4445" r="0" b="4445"/>
                      <wp:wrapSquare wrapText="bothSides"/>
                      <wp:docPr id="219616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F2623" w14:textId="77777777" w:rsidR="0011295D" w:rsidRPr="00CB5E50" w:rsidRDefault="0011295D" w:rsidP="0011295D">
                                  <w:pPr>
                                    <w:rPr>
                                      <w:rFonts w:ascii="Times New Roman" w:hAnsi="Times New Roman"/>
                                    </w:rPr>
                                  </w:pPr>
                                  <w:r>
                                    <w:rPr>
                                      <w:rFonts w:ascii="Times New Roman" w:hAnsi="Times New Roman"/>
                                    </w:rPr>
                                    <w:t>5 </w:t>
                                  </w:r>
                                  <w:proofErr w:type="gramStart"/>
                                  <w:r w:rsidRPr="00CB5E50">
                                    <w:rPr>
                                      <w:rFonts w:ascii="Times New Roman" w:hAnsi="Times New Roman"/>
                                    </w:rPr>
                                    <w:t>pav</w:t>
                                  </w:r>
                                  <w:proofErr w:type="gramEnd"/>
                                  <w:r w:rsidRPr="00CB5E50">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5.15pt;margin-top:-.35pt;width:74.4pt;height:42.0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" stroked="f">
                      <v:textbox>
                        <w:txbxContent>
                          <w:p w14:paraId="6E2547FC" w14:textId="77777777" w:rsidR="0011295D" w:rsidRPr="00CB5E50" w:rsidRDefault="0011295D" w:rsidP="0011295D">
                            <w:pPr>
                              <w:rPr>
                                <w:rFonts w:ascii="Times New Roman" w:hAnsi="Times New Roman"/>
                              </w:rPr>
                            </w:pPr>
                            <w:r>
                              <w:rPr>
                                <w:rFonts w:ascii="Times New Roman" w:hAnsi="Times New Roman"/>
                              </w:rPr>
                              <w:t>5 </w:t>
                            </w:r>
                            <w:r w:rsidRPr="00CB5E50">
                              <w:rPr>
                                <w:rFonts w:ascii="Times New Roman" w:hAnsi="Times New Roman"/>
                              </w:rPr>
                              <w:t>pav.</w:t>
                            </w:r>
                          </w:p>
                        </w:txbxContent>
                      </v:textbox>
                      <w10:wrap type="square"/>
                    </v:shape>
                  </w:pict>
                </mc:Fallback>
              </mc:AlternateContent>
            </w:r>
          </w:p>
        </w:tc>
      </w:tr>
    </w:tbl>
    <w:p w14:paraId="1B2C0702" w14:textId="77777777" w:rsidR="0011295D" w:rsidRPr="00273A3E" w:rsidRDefault="0011295D" w:rsidP="0011295D">
      <w:pPr>
        <w:tabs>
          <w:tab w:val="left" w:pos="567"/>
        </w:tabs>
        <w:autoSpaceDE w:val="0"/>
        <w:autoSpaceDN w:val="0"/>
        <w:adjustRightInd w:val="0"/>
        <w:spacing w:after="0" w:line="240" w:lineRule="auto"/>
        <w:rPr>
          <w:rFonts w:ascii="Times New Roman" w:hAnsi="Times New Roman"/>
          <w:lang w:val="lt-LT"/>
        </w:rPr>
      </w:pPr>
    </w:p>
    <w:p w14:paraId="03159D57" w14:textId="77777777" w:rsidR="0011295D" w:rsidRPr="00273A3E" w:rsidRDefault="0011295D" w:rsidP="0011295D">
      <w:pPr>
        <w:tabs>
          <w:tab w:val="left" w:pos="567"/>
        </w:tabs>
        <w:autoSpaceDE w:val="0"/>
        <w:autoSpaceDN w:val="0"/>
        <w:adjustRightInd w:val="0"/>
        <w:spacing w:after="0" w:line="240" w:lineRule="auto"/>
        <w:rPr>
          <w:rFonts w:ascii="Times New Roman" w:hAnsi="Times New Roman"/>
          <w:u w:val="single"/>
          <w:lang w:val="lt-LT"/>
        </w:rPr>
      </w:pPr>
      <w:r w:rsidRPr="00273A3E">
        <w:rPr>
          <w:rFonts w:ascii="Times New Roman" w:hAnsi="Times New Roman"/>
          <w:u w:val="single"/>
          <w:lang w:val="lt-LT"/>
        </w:rPr>
        <w:t>Atliekų tvarkymas</w:t>
      </w:r>
    </w:p>
    <w:p w14:paraId="6F41BC43" w14:textId="77777777" w:rsidR="0011295D" w:rsidRPr="00273A3E" w:rsidRDefault="0011295D" w:rsidP="0011295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 xml:space="preserve">Užpildyti švirkštai yra skirti </w:t>
      </w:r>
      <w:r w:rsidRPr="00273A3E">
        <w:rPr>
          <w:rFonts w:ascii="Times New Roman" w:hAnsi="Times New Roman"/>
          <w:b/>
          <w:bCs/>
          <w:lang w:val="lt-LT"/>
        </w:rPr>
        <w:t xml:space="preserve">tik </w:t>
      </w:r>
      <w:r w:rsidRPr="00273A3E">
        <w:rPr>
          <w:rFonts w:ascii="Times New Roman" w:hAnsi="Times New Roman"/>
          <w:lang w:val="lt-LT"/>
        </w:rPr>
        <w:t>vienkartiniam vartojimui.</w:t>
      </w:r>
    </w:p>
    <w:p w14:paraId="47E0563F" w14:textId="77777777" w:rsidR="0011295D" w:rsidRPr="00273A3E" w:rsidRDefault="0011295D" w:rsidP="0011295D">
      <w:pPr>
        <w:tabs>
          <w:tab w:val="left" w:pos="567"/>
        </w:tabs>
        <w:autoSpaceDE w:val="0"/>
        <w:autoSpaceDN w:val="0"/>
        <w:adjustRightInd w:val="0"/>
        <w:spacing w:after="0" w:line="240" w:lineRule="auto"/>
        <w:rPr>
          <w:rFonts w:ascii="Times New Roman" w:hAnsi="Times New Roman"/>
          <w:lang w:val="lt-LT"/>
        </w:rPr>
      </w:pPr>
      <w:r w:rsidRPr="00273A3E">
        <w:rPr>
          <w:rFonts w:ascii="Times New Roman" w:hAnsi="Times New Roman"/>
          <w:lang w:val="lt-LT"/>
        </w:rPr>
        <w:t>Šis vaistinis preparatas gali kelti pavojų aplinkai (vandeniui). Nesuvartotą vaistinį preparatą ar atliekas reikia tvarkyti laikantis vietinių reikalavimų (žr. 5.3 skyrių).</w:t>
      </w:r>
    </w:p>
    <w:p w14:paraId="04597BB1" w14:textId="77777777" w:rsidR="00951A18" w:rsidRPr="00273A3E" w:rsidRDefault="00951A18" w:rsidP="009F71ED">
      <w:pPr>
        <w:tabs>
          <w:tab w:val="left" w:pos="567"/>
        </w:tabs>
        <w:spacing w:after="0" w:line="240" w:lineRule="auto"/>
        <w:rPr>
          <w:rFonts w:ascii="Times New Roman" w:hAnsi="Times New Roman"/>
          <w:lang w:val="lt-LT"/>
        </w:rPr>
      </w:pPr>
    </w:p>
    <w:sectPr w:rsidR="00951A18" w:rsidRPr="00273A3E" w:rsidSect="00560BB4">
      <w:headerReference w:type="default" r:id="rId24"/>
      <w:footerReference w:type="default" r:id="rId25"/>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EF10" w14:textId="77777777" w:rsidR="00A61198" w:rsidRDefault="00A61198">
      <w:pPr>
        <w:spacing w:after="0" w:line="240" w:lineRule="auto"/>
      </w:pPr>
      <w:r>
        <w:separator/>
      </w:r>
    </w:p>
  </w:endnote>
  <w:endnote w:type="continuationSeparator" w:id="0">
    <w:p w14:paraId="52D204F1" w14:textId="77777777" w:rsidR="00A61198" w:rsidRDefault="00A61198">
      <w:pPr>
        <w:spacing w:after="0" w:line="240" w:lineRule="auto"/>
      </w:pPr>
      <w:r>
        <w:continuationSeparator/>
      </w:r>
    </w:p>
  </w:endnote>
  <w:endnote w:type="continuationNotice" w:id="1">
    <w:p w14:paraId="5231B870" w14:textId="77777777" w:rsidR="00A61198" w:rsidRDefault="00A61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7" w:usb1="08070000" w:usb2="00000010" w:usb3="00000000" w:csb0="0002008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409B" w14:textId="77777777" w:rsidR="001825E5" w:rsidRDefault="001825E5">
    <w:pPr>
      <w:pStyle w:val="Porat"/>
      <w:jc w:val="center"/>
    </w:pPr>
    <w:r>
      <w:fldChar w:fldCharType="begin"/>
    </w:r>
    <w:r>
      <w:instrText xml:space="preserve"> PAGE   \* MERGEFORMAT </w:instrText>
    </w:r>
    <w:r>
      <w:fldChar w:fldCharType="separate"/>
    </w:r>
    <w:r w:rsidR="00810ECA">
      <w:rPr>
        <w:noProof/>
      </w:rPr>
      <w:t>3</w:t>
    </w:r>
    <w:r w:rsidR="00810ECA">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D61F" w14:textId="77777777" w:rsidR="00A61198" w:rsidRDefault="00A61198">
      <w:pPr>
        <w:spacing w:after="0" w:line="240" w:lineRule="auto"/>
      </w:pPr>
      <w:r>
        <w:separator/>
      </w:r>
    </w:p>
  </w:footnote>
  <w:footnote w:type="continuationSeparator" w:id="0">
    <w:p w14:paraId="6EC00A89" w14:textId="77777777" w:rsidR="00A61198" w:rsidRDefault="00A61198">
      <w:pPr>
        <w:spacing w:after="0" w:line="240" w:lineRule="auto"/>
      </w:pPr>
      <w:r>
        <w:continuationSeparator/>
      </w:r>
    </w:p>
  </w:footnote>
  <w:footnote w:type="continuationNotice" w:id="1">
    <w:p w14:paraId="1E21BA6B" w14:textId="77777777" w:rsidR="00A61198" w:rsidRDefault="00A61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8D43" w14:textId="77777777" w:rsidR="00CE4A70" w:rsidRDefault="00CE4A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791"/>
    <w:multiLevelType w:val="hybridMultilevel"/>
    <w:tmpl w:val="D7B03D6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667512"/>
    <w:multiLevelType w:val="hybridMultilevel"/>
    <w:tmpl w:val="48321F84"/>
    <w:lvl w:ilvl="0" w:tplc="687A9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90E76"/>
    <w:multiLevelType w:val="hybridMultilevel"/>
    <w:tmpl w:val="F488A47E"/>
    <w:lvl w:ilvl="0" w:tplc="03E47A94">
      <w:numFmt w:val="bullet"/>
      <w:lvlText w:val="-"/>
      <w:lvlJc w:val="left"/>
      <w:pPr>
        <w:ind w:left="1854" w:hanging="360"/>
      </w:pPr>
      <w:rPr>
        <w:rFonts w:ascii="Times New Roman" w:hAnsi="Times New Roman" w:cs="Times New Roman" w:hint="default"/>
        <w:sz w:val="22"/>
      </w:rPr>
    </w:lvl>
    <w:lvl w:ilvl="1" w:tplc="912A9372">
      <w:numFmt w:val="bullet"/>
      <w:lvlText w:val="-"/>
      <w:lvlJc w:val="left"/>
      <w:pPr>
        <w:ind w:left="2574" w:hanging="360"/>
      </w:pPr>
      <w:rPr>
        <w:rFonts w:ascii="Times New Roman" w:eastAsia="Times New Roman" w:hAnsi="Times New Roman" w:cs="Times New Roman" w:hint="default"/>
        <w:b w:val="0"/>
        <w:sz w:val="24"/>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 w15:restartNumberingAfterBreak="0">
    <w:nsid w:val="0C717203"/>
    <w:multiLevelType w:val="hybridMultilevel"/>
    <w:tmpl w:val="34AAB1C2"/>
    <w:lvl w:ilvl="0" w:tplc="03E47A94">
      <w:numFmt w:val="bullet"/>
      <w:lvlText w:val="-"/>
      <w:lvlJc w:val="left"/>
      <w:pPr>
        <w:ind w:left="1854" w:hanging="360"/>
      </w:pPr>
      <w:rPr>
        <w:rFonts w:ascii="Times New Roman" w:hAnsi="Times New Roman" w:cs="Times New Roman" w:hint="default"/>
        <w:sz w:val="22"/>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 w15:restartNumberingAfterBreak="0">
    <w:nsid w:val="15EA6B76"/>
    <w:multiLevelType w:val="hybridMultilevel"/>
    <w:tmpl w:val="B1DCB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CD3272"/>
    <w:multiLevelType w:val="hybridMultilevel"/>
    <w:tmpl w:val="FAEA76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A642399"/>
    <w:multiLevelType w:val="hybridMultilevel"/>
    <w:tmpl w:val="D4F0B844"/>
    <w:lvl w:ilvl="0" w:tplc="313AD3F8">
      <w:start w:val="1"/>
      <w:numFmt w:val="bullet"/>
      <w:lvlText w:val="-"/>
      <w:lvlJc w:val="left"/>
      <w:pPr>
        <w:ind w:left="720" w:hanging="360"/>
      </w:pPr>
      <w:rPr>
        <w:rFonts w:ascii="Times New Roman" w:hAnsi="Times New Roman" w:hint="default"/>
        <w:b w:val="0"/>
        <w:i w:val="0"/>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FD97A94"/>
    <w:multiLevelType w:val="hybridMultilevel"/>
    <w:tmpl w:val="C2FEF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5BA136E"/>
    <w:multiLevelType w:val="hybridMultilevel"/>
    <w:tmpl w:val="4230817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DA2C19"/>
    <w:multiLevelType w:val="hybridMultilevel"/>
    <w:tmpl w:val="F12A9E6A"/>
    <w:lvl w:ilvl="0" w:tplc="29ECAFFC">
      <w:start w:val="1"/>
      <w:numFmt w:val="bullet"/>
      <w:lvlText w:val="-"/>
      <w:lvlJc w:val="left"/>
      <w:pPr>
        <w:ind w:left="36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182A46"/>
    <w:multiLevelType w:val="hybridMultilevel"/>
    <w:tmpl w:val="D236018E"/>
    <w:lvl w:ilvl="0" w:tplc="912A9372">
      <w:numFmt w:val="bullet"/>
      <w:lvlText w:val="-"/>
      <w:lvlJc w:val="left"/>
      <w:pPr>
        <w:ind w:left="1080" w:hanging="360"/>
      </w:pPr>
      <w:rPr>
        <w:rFonts w:ascii="Times New Roman" w:eastAsia="Times New Roman" w:hAnsi="Times New Roman" w:cs="Times New Roman" w:hint="default"/>
        <w:b w:val="0"/>
        <w:sz w:val="24"/>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316C36BA"/>
    <w:multiLevelType w:val="hybridMultilevel"/>
    <w:tmpl w:val="C0E6F3B2"/>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66651"/>
    <w:multiLevelType w:val="hybridMultilevel"/>
    <w:tmpl w:val="3A66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663C2"/>
    <w:multiLevelType w:val="hybridMultilevel"/>
    <w:tmpl w:val="14AECA8C"/>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A0E9B"/>
    <w:multiLevelType w:val="hybridMultilevel"/>
    <w:tmpl w:val="FC20EFB8"/>
    <w:lvl w:ilvl="0" w:tplc="2952837C">
      <w:start w:val="1"/>
      <w:numFmt w:val="decimal"/>
      <w:lvlText w:val="%1)"/>
      <w:lvlJc w:val="left"/>
      <w:pPr>
        <w:ind w:left="1020" w:hanging="360"/>
      </w:pPr>
    </w:lvl>
    <w:lvl w:ilvl="1" w:tplc="C6ECC2E6">
      <w:start w:val="1"/>
      <w:numFmt w:val="decimal"/>
      <w:lvlText w:val="%2)"/>
      <w:lvlJc w:val="left"/>
      <w:pPr>
        <w:ind w:left="1020" w:hanging="360"/>
      </w:pPr>
    </w:lvl>
    <w:lvl w:ilvl="2" w:tplc="A70CF31E">
      <w:start w:val="1"/>
      <w:numFmt w:val="decimal"/>
      <w:lvlText w:val="%3)"/>
      <w:lvlJc w:val="left"/>
      <w:pPr>
        <w:ind w:left="1020" w:hanging="360"/>
      </w:pPr>
    </w:lvl>
    <w:lvl w:ilvl="3" w:tplc="893EB5B8">
      <w:start w:val="1"/>
      <w:numFmt w:val="decimal"/>
      <w:lvlText w:val="%4)"/>
      <w:lvlJc w:val="left"/>
      <w:pPr>
        <w:ind w:left="1020" w:hanging="360"/>
      </w:pPr>
    </w:lvl>
    <w:lvl w:ilvl="4" w:tplc="F8FC60FC">
      <w:start w:val="1"/>
      <w:numFmt w:val="decimal"/>
      <w:lvlText w:val="%5)"/>
      <w:lvlJc w:val="left"/>
      <w:pPr>
        <w:ind w:left="1020" w:hanging="360"/>
      </w:pPr>
    </w:lvl>
    <w:lvl w:ilvl="5" w:tplc="F6EC75F2">
      <w:start w:val="1"/>
      <w:numFmt w:val="decimal"/>
      <w:lvlText w:val="%6)"/>
      <w:lvlJc w:val="left"/>
      <w:pPr>
        <w:ind w:left="1020" w:hanging="360"/>
      </w:pPr>
    </w:lvl>
    <w:lvl w:ilvl="6" w:tplc="4E5ECB0E">
      <w:start w:val="1"/>
      <w:numFmt w:val="decimal"/>
      <w:lvlText w:val="%7)"/>
      <w:lvlJc w:val="left"/>
      <w:pPr>
        <w:ind w:left="1020" w:hanging="360"/>
      </w:pPr>
    </w:lvl>
    <w:lvl w:ilvl="7" w:tplc="8528E0C4">
      <w:start w:val="1"/>
      <w:numFmt w:val="decimal"/>
      <w:lvlText w:val="%8)"/>
      <w:lvlJc w:val="left"/>
      <w:pPr>
        <w:ind w:left="1020" w:hanging="360"/>
      </w:pPr>
    </w:lvl>
    <w:lvl w:ilvl="8" w:tplc="5D5601F8">
      <w:start w:val="1"/>
      <w:numFmt w:val="decimal"/>
      <w:lvlText w:val="%9)"/>
      <w:lvlJc w:val="left"/>
      <w:pPr>
        <w:ind w:left="1020" w:hanging="360"/>
      </w:pPr>
    </w:lvl>
  </w:abstractNum>
  <w:abstractNum w:abstractNumId="15" w15:restartNumberingAfterBreak="0">
    <w:nsid w:val="3A377FE9"/>
    <w:multiLevelType w:val="hybridMultilevel"/>
    <w:tmpl w:val="E8048CE2"/>
    <w:lvl w:ilvl="0" w:tplc="04270001">
      <w:start w:val="1"/>
      <w:numFmt w:val="bullet"/>
      <w:lvlText w:val=""/>
      <w:lvlJc w:val="left"/>
      <w:pPr>
        <w:ind w:left="1080" w:hanging="360"/>
      </w:pPr>
      <w:rPr>
        <w:rFonts w:ascii="Symbol" w:hAnsi="Symbol" w:hint="default"/>
        <w:b w:val="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C6A5E76"/>
    <w:multiLevelType w:val="hybridMultilevel"/>
    <w:tmpl w:val="5E58F03A"/>
    <w:lvl w:ilvl="0" w:tplc="29ECAFFC">
      <w:start w:val="1"/>
      <w:numFmt w:val="bullet"/>
      <w:lvlText w:val="-"/>
      <w:lvlJc w:val="left"/>
      <w:pPr>
        <w:ind w:left="1080" w:hanging="360"/>
      </w:pPr>
      <w:rPr>
        <w:rFonts w:ascii="Times New Roman" w:hAnsi="Times New Roman" w:cs="Times New Roman" w:hint="default"/>
        <w:b w:val="0"/>
        <w:caps w:val="0"/>
        <w:strike w:val="0"/>
        <w:dstrike w:val="0"/>
        <w:vanish w:val="0"/>
        <w:color w:val="auto"/>
        <w:sz w:val="24"/>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59D48A3"/>
    <w:multiLevelType w:val="hybridMultilevel"/>
    <w:tmpl w:val="B7DE69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B3BE2"/>
    <w:multiLevelType w:val="hybridMultilevel"/>
    <w:tmpl w:val="32FC5424"/>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25A6C"/>
    <w:multiLevelType w:val="hybridMultilevel"/>
    <w:tmpl w:val="260E4BD6"/>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21" w15:restartNumberingAfterBreak="0">
    <w:nsid w:val="5D6C3863"/>
    <w:multiLevelType w:val="hybridMultilevel"/>
    <w:tmpl w:val="C0E6EE88"/>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54E2B4E"/>
    <w:multiLevelType w:val="hybridMultilevel"/>
    <w:tmpl w:val="34121C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B961BA"/>
    <w:multiLevelType w:val="hybridMultilevel"/>
    <w:tmpl w:val="515A45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F0F32C2"/>
    <w:multiLevelType w:val="hybridMultilevel"/>
    <w:tmpl w:val="FDA0730C"/>
    <w:lvl w:ilvl="0" w:tplc="8C3433B6">
      <w:numFmt w:val="bullet"/>
      <w:lvlText w:val=""/>
      <w:lvlJc w:val="left"/>
      <w:pPr>
        <w:ind w:left="720" w:hanging="360"/>
      </w:pPr>
      <w:rPr>
        <w:rFonts w:ascii="Symbol" w:hAnsi="Symbol" w:cs="Times New Roman" w:hint="default"/>
        <w:sz w:val="22"/>
      </w:rPr>
    </w:lvl>
    <w:lvl w:ilvl="1" w:tplc="18D4F138">
      <w:numFmt w:val="bullet"/>
      <w:lvlText w:val="-"/>
      <w:lvlJc w:val="left"/>
      <w:pPr>
        <w:ind w:left="1440" w:hanging="360"/>
      </w:pPr>
      <w:rPr>
        <w:rFonts w:ascii="Times New Roman" w:eastAsia="Batang"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362992">
    <w:abstractNumId w:val="5"/>
  </w:num>
  <w:num w:numId="2" w16cid:durableId="1993485376">
    <w:abstractNumId w:val="24"/>
  </w:num>
  <w:num w:numId="3" w16cid:durableId="1374426802">
    <w:abstractNumId w:val="3"/>
  </w:num>
  <w:num w:numId="4" w16cid:durableId="1530609198">
    <w:abstractNumId w:val="2"/>
  </w:num>
  <w:num w:numId="5" w16cid:durableId="965351130">
    <w:abstractNumId w:val="22"/>
  </w:num>
  <w:num w:numId="6" w16cid:durableId="1424953237">
    <w:abstractNumId w:val="13"/>
  </w:num>
  <w:num w:numId="7" w16cid:durableId="1958828810">
    <w:abstractNumId w:val="11"/>
  </w:num>
  <w:num w:numId="8" w16cid:durableId="1247038462">
    <w:abstractNumId w:val="18"/>
  </w:num>
  <w:num w:numId="9" w16cid:durableId="235672962">
    <w:abstractNumId w:val="19"/>
  </w:num>
  <w:num w:numId="10" w16cid:durableId="1603998263">
    <w:abstractNumId w:val="1"/>
  </w:num>
  <w:num w:numId="11" w16cid:durableId="1876503115">
    <w:abstractNumId w:val="10"/>
  </w:num>
  <w:num w:numId="12" w16cid:durableId="685250596">
    <w:abstractNumId w:val="4"/>
  </w:num>
  <w:num w:numId="13" w16cid:durableId="1577785510">
    <w:abstractNumId w:val="23"/>
  </w:num>
  <w:num w:numId="14" w16cid:durableId="1260989967">
    <w:abstractNumId w:val="15"/>
  </w:num>
  <w:num w:numId="15" w16cid:durableId="777262157">
    <w:abstractNumId w:val="7"/>
  </w:num>
  <w:num w:numId="16" w16cid:durableId="354575343">
    <w:abstractNumId w:val="17"/>
  </w:num>
  <w:num w:numId="17" w16cid:durableId="138739814">
    <w:abstractNumId w:val="12"/>
  </w:num>
  <w:num w:numId="18" w16cid:durableId="2121794772">
    <w:abstractNumId w:val="20"/>
  </w:num>
  <w:num w:numId="19" w16cid:durableId="1772359048">
    <w:abstractNumId w:val="8"/>
  </w:num>
  <w:num w:numId="20" w16cid:durableId="1273706917">
    <w:abstractNumId w:val="0"/>
  </w:num>
  <w:num w:numId="21" w16cid:durableId="1023558983">
    <w:abstractNumId w:val="16"/>
  </w:num>
  <w:num w:numId="22" w16cid:durableId="158624069">
    <w:abstractNumId w:val="9"/>
  </w:num>
  <w:num w:numId="23" w16cid:durableId="1273131505">
    <w:abstractNumId w:val="6"/>
  </w:num>
  <w:num w:numId="24" w16cid:durableId="2144615513">
    <w:abstractNumId w:val="21"/>
  </w:num>
  <w:num w:numId="25" w16cid:durableId="1898398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66"/>
    <w:rsid w:val="0000617D"/>
    <w:rsid w:val="00010A37"/>
    <w:rsid w:val="00011D81"/>
    <w:rsid w:val="0001295C"/>
    <w:rsid w:val="00012E5C"/>
    <w:rsid w:val="00013DE8"/>
    <w:rsid w:val="0001759C"/>
    <w:rsid w:val="00017AA1"/>
    <w:rsid w:val="000209A2"/>
    <w:rsid w:val="00021A01"/>
    <w:rsid w:val="00023345"/>
    <w:rsid w:val="00024FEA"/>
    <w:rsid w:val="00030CFA"/>
    <w:rsid w:val="0003245B"/>
    <w:rsid w:val="0003368A"/>
    <w:rsid w:val="00034220"/>
    <w:rsid w:val="00034DF8"/>
    <w:rsid w:val="00035386"/>
    <w:rsid w:val="00035A23"/>
    <w:rsid w:val="00037B34"/>
    <w:rsid w:val="00037BD5"/>
    <w:rsid w:val="000427F2"/>
    <w:rsid w:val="00042CF4"/>
    <w:rsid w:val="00042F0B"/>
    <w:rsid w:val="000437FF"/>
    <w:rsid w:val="000444C5"/>
    <w:rsid w:val="000455F5"/>
    <w:rsid w:val="00045848"/>
    <w:rsid w:val="00046773"/>
    <w:rsid w:val="000520DF"/>
    <w:rsid w:val="000571C1"/>
    <w:rsid w:val="00057743"/>
    <w:rsid w:val="00060201"/>
    <w:rsid w:val="0006096A"/>
    <w:rsid w:val="0006370C"/>
    <w:rsid w:val="00065F76"/>
    <w:rsid w:val="00071973"/>
    <w:rsid w:val="000754EE"/>
    <w:rsid w:val="0007775F"/>
    <w:rsid w:val="00077992"/>
    <w:rsid w:val="00080719"/>
    <w:rsid w:val="00080CB1"/>
    <w:rsid w:val="00080DD5"/>
    <w:rsid w:val="0008127B"/>
    <w:rsid w:val="000812F4"/>
    <w:rsid w:val="00081C49"/>
    <w:rsid w:val="0008538B"/>
    <w:rsid w:val="00086E99"/>
    <w:rsid w:val="00087240"/>
    <w:rsid w:val="000909D6"/>
    <w:rsid w:val="00091073"/>
    <w:rsid w:val="000968A9"/>
    <w:rsid w:val="000A59C5"/>
    <w:rsid w:val="000A7C1A"/>
    <w:rsid w:val="000A7D40"/>
    <w:rsid w:val="000B2571"/>
    <w:rsid w:val="000B305B"/>
    <w:rsid w:val="000C3EF5"/>
    <w:rsid w:val="000C4C6D"/>
    <w:rsid w:val="000C6D6B"/>
    <w:rsid w:val="000D3065"/>
    <w:rsid w:val="000D6B8D"/>
    <w:rsid w:val="000D7847"/>
    <w:rsid w:val="000E0087"/>
    <w:rsid w:val="000E06B8"/>
    <w:rsid w:val="000E11D0"/>
    <w:rsid w:val="000E225D"/>
    <w:rsid w:val="000E246E"/>
    <w:rsid w:val="000E2BD4"/>
    <w:rsid w:val="000E3CC2"/>
    <w:rsid w:val="000E4F5F"/>
    <w:rsid w:val="000F1352"/>
    <w:rsid w:val="000F74D9"/>
    <w:rsid w:val="001019A5"/>
    <w:rsid w:val="00103847"/>
    <w:rsid w:val="00104853"/>
    <w:rsid w:val="00105B7D"/>
    <w:rsid w:val="00105FE8"/>
    <w:rsid w:val="0011295D"/>
    <w:rsid w:val="001142B3"/>
    <w:rsid w:val="00115BE1"/>
    <w:rsid w:val="00117743"/>
    <w:rsid w:val="00121041"/>
    <w:rsid w:val="0012142E"/>
    <w:rsid w:val="001309F5"/>
    <w:rsid w:val="00130BF8"/>
    <w:rsid w:val="00130DAF"/>
    <w:rsid w:val="00135843"/>
    <w:rsid w:val="00135F73"/>
    <w:rsid w:val="001365D9"/>
    <w:rsid w:val="001367BE"/>
    <w:rsid w:val="00137560"/>
    <w:rsid w:val="00137957"/>
    <w:rsid w:val="001406A6"/>
    <w:rsid w:val="00140845"/>
    <w:rsid w:val="00140A28"/>
    <w:rsid w:val="00140DD0"/>
    <w:rsid w:val="001427D9"/>
    <w:rsid w:val="00143A5D"/>
    <w:rsid w:val="001455A0"/>
    <w:rsid w:val="0014572F"/>
    <w:rsid w:val="0015039B"/>
    <w:rsid w:val="00151D85"/>
    <w:rsid w:val="00154CBB"/>
    <w:rsid w:val="00155BD8"/>
    <w:rsid w:val="00157DAF"/>
    <w:rsid w:val="00160FC4"/>
    <w:rsid w:val="00161AEB"/>
    <w:rsid w:val="001620DD"/>
    <w:rsid w:val="00162793"/>
    <w:rsid w:val="00163434"/>
    <w:rsid w:val="00164AB6"/>
    <w:rsid w:val="001654ED"/>
    <w:rsid w:val="00165E09"/>
    <w:rsid w:val="001746DA"/>
    <w:rsid w:val="00180399"/>
    <w:rsid w:val="001825E5"/>
    <w:rsid w:val="00187573"/>
    <w:rsid w:val="00190F5F"/>
    <w:rsid w:val="00195269"/>
    <w:rsid w:val="00197B2C"/>
    <w:rsid w:val="001A07CD"/>
    <w:rsid w:val="001A0CAC"/>
    <w:rsid w:val="001A0F81"/>
    <w:rsid w:val="001A1291"/>
    <w:rsid w:val="001A34C4"/>
    <w:rsid w:val="001A501A"/>
    <w:rsid w:val="001A70EF"/>
    <w:rsid w:val="001A7F8F"/>
    <w:rsid w:val="001B0511"/>
    <w:rsid w:val="001B6EB1"/>
    <w:rsid w:val="001B73A0"/>
    <w:rsid w:val="001C0771"/>
    <w:rsid w:val="001C0C49"/>
    <w:rsid w:val="001C1269"/>
    <w:rsid w:val="001C18C7"/>
    <w:rsid w:val="001C4703"/>
    <w:rsid w:val="001C510A"/>
    <w:rsid w:val="001D3C5B"/>
    <w:rsid w:val="001D5B5B"/>
    <w:rsid w:val="001E0DC3"/>
    <w:rsid w:val="001E0F4D"/>
    <w:rsid w:val="001E2002"/>
    <w:rsid w:val="001E239D"/>
    <w:rsid w:val="001E269B"/>
    <w:rsid w:val="001E3FCA"/>
    <w:rsid w:val="001E4056"/>
    <w:rsid w:val="001E5C66"/>
    <w:rsid w:val="001E6402"/>
    <w:rsid w:val="001E65F3"/>
    <w:rsid w:val="001E7DF5"/>
    <w:rsid w:val="001F0FC3"/>
    <w:rsid w:val="001F146C"/>
    <w:rsid w:val="001F1F25"/>
    <w:rsid w:val="002011A5"/>
    <w:rsid w:val="002051AE"/>
    <w:rsid w:val="00207612"/>
    <w:rsid w:val="002101CB"/>
    <w:rsid w:val="002108C6"/>
    <w:rsid w:val="00210902"/>
    <w:rsid w:val="002111D5"/>
    <w:rsid w:val="00211550"/>
    <w:rsid w:val="00211992"/>
    <w:rsid w:val="00212E36"/>
    <w:rsid w:val="002136D0"/>
    <w:rsid w:val="00220056"/>
    <w:rsid w:val="0022143E"/>
    <w:rsid w:val="002216B2"/>
    <w:rsid w:val="00222DA2"/>
    <w:rsid w:val="00225CF5"/>
    <w:rsid w:val="00227945"/>
    <w:rsid w:val="00230BCB"/>
    <w:rsid w:val="0023183B"/>
    <w:rsid w:val="00231C36"/>
    <w:rsid w:val="00235A02"/>
    <w:rsid w:val="00240F03"/>
    <w:rsid w:val="00240FC5"/>
    <w:rsid w:val="00242B27"/>
    <w:rsid w:val="0024571C"/>
    <w:rsid w:val="00250596"/>
    <w:rsid w:val="00251CDC"/>
    <w:rsid w:val="0025467A"/>
    <w:rsid w:val="002576EE"/>
    <w:rsid w:val="00257A43"/>
    <w:rsid w:val="00257F58"/>
    <w:rsid w:val="002605E5"/>
    <w:rsid w:val="002613B2"/>
    <w:rsid w:val="00264B09"/>
    <w:rsid w:val="002652C4"/>
    <w:rsid w:val="0026551B"/>
    <w:rsid w:val="00266D32"/>
    <w:rsid w:val="0026737D"/>
    <w:rsid w:val="002674EC"/>
    <w:rsid w:val="00271169"/>
    <w:rsid w:val="00271C62"/>
    <w:rsid w:val="002725C6"/>
    <w:rsid w:val="00273A3E"/>
    <w:rsid w:val="00274A7A"/>
    <w:rsid w:val="00276CA5"/>
    <w:rsid w:val="00277281"/>
    <w:rsid w:val="00277BF2"/>
    <w:rsid w:val="00277F92"/>
    <w:rsid w:val="0028584D"/>
    <w:rsid w:val="00286DAC"/>
    <w:rsid w:val="00287ED5"/>
    <w:rsid w:val="00290342"/>
    <w:rsid w:val="00291F3F"/>
    <w:rsid w:val="00293C64"/>
    <w:rsid w:val="00294BF8"/>
    <w:rsid w:val="002A0800"/>
    <w:rsid w:val="002A1609"/>
    <w:rsid w:val="002A4000"/>
    <w:rsid w:val="002A460C"/>
    <w:rsid w:val="002A5418"/>
    <w:rsid w:val="002B36E2"/>
    <w:rsid w:val="002B6044"/>
    <w:rsid w:val="002B6367"/>
    <w:rsid w:val="002B6E36"/>
    <w:rsid w:val="002C2BCB"/>
    <w:rsid w:val="002C3CB0"/>
    <w:rsid w:val="002C5151"/>
    <w:rsid w:val="002C7ADF"/>
    <w:rsid w:val="002D31AA"/>
    <w:rsid w:val="002D4CE3"/>
    <w:rsid w:val="002E1928"/>
    <w:rsid w:val="002E236B"/>
    <w:rsid w:val="002E5160"/>
    <w:rsid w:val="002E6E31"/>
    <w:rsid w:val="002E6F8F"/>
    <w:rsid w:val="002E7EB2"/>
    <w:rsid w:val="002F2111"/>
    <w:rsid w:val="002F2AF2"/>
    <w:rsid w:val="002F6672"/>
    <w:rsid w:val="002F6D3F"/>
    <w:rsid w:val="002F74C4"/>
    <w:rsid w:val="003008E6"/>
    <w:rsid w:val="00301FBD"/>
    <w:rsid w:val="003058B5"/>
    <w:rsid w:val="0030744C"/>
    <w:rsid w:val="003103B4"/>
    <w:rsid w:val="0031103D"/>
    <w:rsid w:val="003133F9"/>
    <w:rsid w:val="00313A4B"/>
    <w:rsid w:val="003150F0"/>
    <w:rsid w:val="00315A6C"/>
    <w:rsid w:val="00316746"/>
    <w:rsid w:val="00316CFD"/>
    <w:rsid w:val="0031793C"/>
    <w:rsid w:val="00322989"/>
    <w:rsid w:val="00323080"/>
    <w:rsid w:val="003232A3"/>
    <w:rsid w:val="00324DFF"/>
    <w:rsid w:val="00327EE0"/>
    <w:rsid w:val="003303B4"/>
    <w:rsid w:val="00331E7B"/>
    <w:rsid w:val="00334B33"/>
    <w:rsid w:val="0033519E"/>
    <w:rsid w:val="00337835"/>
    <w:rsid w:val="00342647"/>
    <w:rsid w:val="0034331B"/>
    <w:rsid w:val="00350791"/>
    <w:rsid w:val="00351760"/>
    <w:rsid w:val="0035297C"/>
    <w:rsid w:val="00353512"/>
    <w:rsid w:val="00355C46"/>
    <w:rsid w:val="00363B73"/>
    <w:rsid w:val="00364D2E"/>
    <w:rsid w:val="00367A26"/>
    <w:rsid w:val="00371DE9"/>
    <w:rsid w:val="00372EF5"/>
    <w:rsid w:val="00373CDE"/>
    <w:rsid w:val="003743E0"/>
    <w:rsid w:val="00375C68"/>
    <w:rsid w:val="00377269"/>
    <w:rsid w:val="0038683D"/>
    <w:rsid w:val="00387D5B"/>
    <w:rsid w:val="00392D35"/>
    <w:rsid w:val="00396A08"/>
    <w:rsid w:val="00397966"/>
    <w:rsid w:val="003A0770"/>
    <w:rsid w:val="003A1184"/>
    <w:rsid w:val="003A59FF"/>
    <w:rsid w:val="003B133C"/>
    <w:rsid w:val="003B42AC"/>
    <w:rsid w:val="003B4324"/>
    <w:rsid w:val="003B53AB"/>
    <w:rsid w:val="003B6D1D"/>
    <w:rsid w:val="003C089B"/>
    <w:rsid w:val="003D099D"/>
    <w:rsid w:val="003D2F8A"/>
    <w:rsid w:val="003D41FA"/>
    <w:rsid w:val="003D49C9"/>
    <w:rsid w:val="003D4CD0"/>
    <w:rsid w:val="003D4ECA"/>
    <w:rsid w:val="003D5AC9"/>
    <w:rsid w:val="003D6914"/>
    <w:rsid w:val="003D7B30"/>
    <w:rsid w:val="003D7B40"/>
    <w:rsid w:val="003D7F22"/>
    <w:rsid w:val="003E0557"/>
    <w:rsid w:val="003E1D17"/>
    <w:rsid w:val="003E7013"/>
    <w:rsid w:val="003E753E"/>
    <w:rsid w:val="003E787C"/>
    <w:rsid w:val="003F0857"/>
    <w:rsid w:val="003F0CA1"/>
    <w:rsid w:val="003F1F5B"/>
    <w:rsid w:val="003F2980"/>
    <w:rsid w:val="003F40D4"/>
    <w:rsid w:val="003F43F5"/>
    <w:rsid w:val="003F4EAA"/>
    <w:rsid w:val="003F6404"/>
    <w:rsid w:val="00400B7F"/>
    <w:rsid w:val="0040200C"/>
    <w:rsid w:val="00403A98"/>
    <w:rsid w:val="00403E66"/>
    <w:rsid w:val="00404E76"/>
    <w:rsid w:val="00404F08"/>
    <w:rsid w:val="004066E0"/>
    <w:rsid w:val="004073A1"/>
    <w:rsid w:val="00411EE6"/>
    <w:rsid w:val="004121BF"/>
    <w:rsid w:val="00412787"/>
    <w:rsid w:val="0041319C"/>
    <w:rsid w:val="00413F24"/>
    <w:rsid w:val="004224E9"/>
    <w:rsid w:val="00425D49"/>
    <w:rsid w:val="00427F3D"/>
    <w:rsid w:val="00432799"/>
    <w:rsid w:val="004327CD"/>
    <w:rsid w:val="004336EC"/>
    <w:rsid w:val="004352C5"/>
    <w:rsid w:val="0043625E"/>
    <w:rsid w:val="00451643"/>
    <w:rsid w:val="00456629"/>
    <w:rsid w:val="00457A72"/>
    <w:rsid w:val="0046014F"/>
    <w:rsid w:val="004604AA"/>
    <w:rsid w:val="00460E8E"/>
    <w:rsid w:val="0046242B"/>
    <w:rsid w:val="00462E53"/>
    <w:rsid w:val="00463178"/>
    <w:rsid w:val="00473FC4"/>
    <w:rsid w:val="00476011"/>
    <w:rsid w:val="00481211"/>
    <w:rsid w:val="00482E5D"/>
    <w:rsid w:val="00483D02"/>
    <w:rsid w:val="0048670B"/>
    <w:rsid w:val="004871AF"/>
    <w:rsid w:val="00490319"/>
    <w:rsid w:val="00493123"/>
    <w:rsid w:val="004A1054"/>
    <w:rsid w:val="004A27CE"/>
    <w:rsid w:val="004A44F2"/>
    <w:rsid w:val="004A4807"/>
    <w:rsid w:val="004A4923"/>
    <w:rsid w:val="004B12CD"/>
    <w:rsid w:val="004B289B"/>
    <w:rsid w:val="004B3F6B"/>
    <w:rsid w:val="004B4136"/>
    <w:rsid w:val="004B4A59"/>
    <w:rsid w:val="004B56D5"/>
    <w:rsid w:val="004B6292"/>
    <w:rsid w:val="004B6673"/>
    <w:rsid w:val="004C1635"/>
    <w:rsid w:val="004D444E"/>
    <w:rsid w:val="004D7AD4"/>
    <w:rsid w:val="004D7F94"/>
    <w:rsid w:val="004E249E"/>
    <w:rsid w:val="004E3F26"/>
    <w:rsid w:val="004E796A"/>
    <w:rsid w:val="004E7ACA"/>
    <w:rsid w:val="004F6109"/>
    <w:rsid w:val="005000A9"/>
    <w:rsid w:val="005144FD"/>
    <w:rsid w:val="00521445"/>
    <w:rsid w:val="00521933"/>
    <w:rsid w:val="00523B96"/>
    <w:rsid w:val="00531824"/>
    <w:rsid w:val="00531BA3"/>
    <w:rsid w:val="0053415A"/>
    <w:rsid w:val="0053514B"/>
    <w:rsid w:val="005364D1"/>
    <w:rsid w:val="00536CB8"/>
    <w:rsid w:val="00537494"/>
    <w:rsid w:val="00540135"/>
    <w:rsid w:val="0054571C"/>
    <w:rsid w:val="005467C0"/>
    <w:rsid w:val="00547247"/>
    <w:rsid w:val="00551383"/>
    <w:rsid w:val="005536F2"/>
    <w:rsid w:val="00560BB4"/>
    <w:rsid w:val="0056273D"/>
    <w:rsid w:val="00567258"/>
    <w:rsid w:val="005738BE"/>
    <w:rsid w:val="00575CB6"/>
    <w:rsid w:val="00581B39"/>
    <w:rsid w:val="0058239D"/>
    <w:rsid w:val="0058440E"/>
    <w:rsid w:val="00584CF2"/>
    <w:rsid w:val="00586F8C"/>
    <w:rsid w:val="00587A19"/>
    <w:rsid w:val="00591C7F"/>
    <w:rsid w:val="005930BC"/>
    <w:rsid w:val="005931BB"/>
    <w:rsid w:val="00594077"/>
    <w:rsid w:val="00595FF8"/>
    <w:rsid w:val="00597717"/>
    <w:rsid w:val="00597932"/>
    <w:rsid w:val="005A1768"/>
    <w:rsid w:val="005A5563"/>
    <w:rsid w:val="005B6773"/>
    <w:rsid w:val="005B771B"/>
    <w:rsid w:val="005B7886"/>
    <w:rsid w:val="005C0361"/>
    <w:rsid w:val="005C28E2"/>
    <w:rsid w:val="005C50D6"/>
    <w:rsid w:val="005D0AB3"/>
    <w:rsid w:val="005D1E25"/>
    <w:rsid w:val="005D41E0"/>
    <w:rsid w:val="005D54A7"/>
    <w:rsid w:val="005D5627"/>
    <w:rsid w:val="005D6034"/>
    <w:rsid w:val="005E07D9"/>
    <w:rsid w:val="005E7032"/>
    <w:rsid w:val="005E7893"/>
    <w:rsid w:val="005F04BF"/>
    <w:rsid w:val="005F1DB9"/>
    <w:rsid w:val="005F299B"/>
    <w:rsid w:val="005F2E6A"/>
    <w:rsid w:val="005F3950"/>
    <w:rsid w:val="00604C9A"/>
    <w:rsid w:val="006053AF"/>
    <w:rsid w:val="00605FB8"/>
    <w:rsid w:val="006109B2"/>
    <w:rsid w:val="00612D3E"/>
    <w:rsid w:val="00614C49"/>
    <w:rsid w:val="00615A2D"/>
    <w:rsid w:val="00617736"/>
    <w:rsid w:val="00622D12"/>
    <w:rsid w:val="0062340D"/>
    <w:rsid w:val="00624669"/>
    <w:rsid w:val="00624E03"/>
    <w:rsid w:val="00631F4C"/>
    <w:rsid w:val="0063206E"/>
    <w:rsid w:val="00632252"/>
    <w:rsid w:val="00635A1A"/>
    <w:rsid w:val="006366D4"/>
    <w:rsid w:val="00641C72"/>
    <w:rsid w:val="00643918"/>
    <w:rsid w:val="006464B9"/>
    <w:rsid w:val="006474EB"/>
    <w:rsid w:val="00647DE9"/>
    <w:rsid w:val="00651916"/>
    <w:rsid w:val="00651A2D"/>
    <w:rsid w:val="00652151"/>
    <w:rsid w:val="00654219"/>
    <w:rsid w:val="00654343"/>
    <w:rsid w:val="00654766"/>
    <w:rsid w:val="006557AC"/>
    <w:rsid w:val="006625F9"/>
    <w:rsid w:val="00663135"/>
    <w:rsid w:val="00663881"/>
    <w:rsid w:val="00665C7F"/>
    <w:rsid w:val="006675D2"/>
    <w:rsid w:val="0067570A"/>
    <w:rsid w:val="0068057E"/>
    <w:rsid w:val="006839A5"/>
    <w:rsid w:val="00685118"/>
    <w:rsid w:val="00685511"/>
    <w:rsid w:val="006859D8"/>
    <w:rsid w:val="00690873"/>
    <w:rsid w:val="00694B8C"/>
    <w:rsid w:val="006A34B2"/>
    <w:rsid w:val="006A672A"/>
    <w:rsid w:val="006B3CA4"/>
    <w:rsid w:val="006B3ED4"/>
    <w:rsid w:val="006C0DE9"/>
    <w:rsid w:val="006C0F58"/>
    <w:rsid w:val="006C2076"/>
    <w:rsid w:val="006C35D4"/>
    <w:rsid w:val="006C4C9E"/>
    <w:rsid w:val="006D0079"/>
    <w:rsid w:val="006D0126"/>
    <w:rsid w:val="006D0DAD"/>
    <w:rsid w:val="006E1888"/>
    <w:rsid w:val="006E450E"/>
    <w:rsid w:val="006E5C84"/>
    <w:rsid w:val="006F4147"/>
    <w:rsid w:val="006F55FF"/>
    <w:rsid w:val="006F7886"/>
    <w:rsid w:val="006F7DCC"/>
    <w:rsid w:val="00701C8F"/>
    <w:rsid w:val="0070234D"/>
    <w:rsid w:val="00703013"/>
    <w:rsid w:val="00703AAB"/>
    <w:rsid w:val="00703C4D"/>
    <w:rsid w:val="00704AE3"/>
    <w:rsid w:val="00705183"/>
    <w:rsid w:val="00706154"/>
    <w:rsid w:val="00711194"/>
    <w:rsid w:val="00711E87"/>
    <w:rsid w:val="007144A9"/>
    <w:rsid w:val="00714DB6"/>
    <w:rsid w:val="00714F53"/>
    <w:rsid w:val="0071785B"/>
    <w:rsid w:val="00726611"/>
    <w:rsid w:val="0072739D"/>
    <w:rsid w:val="0073103F"/>
    <w:rsid w:val="007326E6"/>
    <w:rsid w:val="00732B00"/>
    <w:rsid w:val="00733F56"/>
    <w:rsid w:val="007340DF"/>
    <w:rsid w:val="007349CF"/>
    <w:rsid w:val="00734DEE"/>
    <w:rsid w:val="00737699"/>
    <w:rsid w:val="00741290"/>
    <w:rsid w:val="00751015"/>
    <w:rsid w:val="00751E20"/>
    <w:rsid w:val="007521CA"/>
    <w:rsid w:val="00754E50"/>
    <w:rsid w:val="00757514"/>
    <w:rsid w:val="00760020"/>
    <w:rsid w:val="007611ED"/>
    <w:rsid w:val="00761C67"/>
    <w:rsid w:val="0076205B"/>
    <w:rsid w:val="00762601"/>
    <w:rsid w:val="00764299"/>
    <w:rsid w:val="007649E9"/>
    <w:rsid w:val="00764D30"/>
    <w:rsid w:val="00766AB3"/>
    <w:rsid w:val="00766F6F"/>
    <w:rsid w:val="00767049"/>
    <w:rsid w:val="00767D91"/>
    <w:rsid w:val="007714FD"/>
    <w:rsid w:val="007715CF"/>
    <w:rsid w:val="0077205F"/>
    <w:rsid w:val="00777D8A"/>
    <w:rsid w:val="00780D04"/>
    <w:rsid w:val="007852FB"/>
    <w:rsid w:val="00786181"/>
    <w:rsid w:val="00787A92"/>
    <w:rsid w:val="0079066E"/>
    <w:rsid w:val="00790ED8"/>
    <w:rsid w:val="0079150C"/>
    <w:rsid w:val="0079322C"/>
    <w:rsid w:val="00795258"/>
    <w:rsid w:val="007957A2"/>
    <w:rsid w:val="00795EA3"/>
    <w:rsid w:val="00796D27"/>
    <w:rsid w:val="007A1508"/>
    <w:rsid w:val="007A1F58"/>
    <w:rsid w:val="007A2148"/>
    <w:rsid w:val="007A4381"/>
    <w:rsid w:val="007A671B"/>
    <w:rsid w:val="007B2198"/>
    <w:rsid w:val="007B3398"/>
    <w:rsid w:val="007B7479"/>
    <w:rsid w:val="007C103C"/>
    <w:rsid w:val="007C12FC"/>
    <w:rsid w:val="007C5B7C"/>
    <w:rsid w:val="007C7AC8"/>
    <w:rsid w:val="007D5325"/>
    <w:rsid w:val="007F07DF"/>
    <w:rsid w:val="007F17D4"/>
    <w:rsid w:val="007F1B51"/>
    <w:rsid w:val="007F37F8"/>
    <w:rsid w:val="007F47FF"/>
    <w:rsid w:val="007F6B3F"/>
    <w:rsid w:val="008005E0"/>
    <w:rsid w:val="00800F68"/>
    <w:rsid w:val="008018DC"/>
    <w:rsid w:val="00801A4F"/>
    <w:rsid w:val="0080262C"/>
    <w:rsid w:val="00802F7C"/>
    <w:rsid w:val="0080356C"/>
    <w:rsid w:val="00806870"/>
    <w:rsid w:val="00810ECA"/>
    <w:rsid w:val="00811CE4"/>
    <w:rsid w:val="0081409D"/>
    <w:rsid w:val="0081508A"/>
    <w:rsid w:val="00820D24"/>
    <w:rsid w:val="008211A7"/>
    <w:rsid w:val="00823E91"/>
    <w:rsid w:val="008248EE"/>
    <w:rsid w:val="00825E2E"/>
    <w:rsid w:val="00827670"/>
    <w:rsid w:val="00827F54"/>
    <w:rsid w:val="0083086A"/>
    <w:rsid w:val="008315C9"/>
    <w:rsid w:val="0083232D"/>
    <w:rsid w:val="0083267B"/>
    <w:rsid w:val="0083271D"/>
    <w:rsid w:val="00833765"/>
    <w:rsid w:val="008348AD"/>
    <w:rsid w:val="00834DD0"/>
    <w:rsid w:val="00837BED"/>
    <w:rsid w:val="008439BD"/>
    <w:rsid w:val="00844121"/>
    <w:rsid w:val="00844D2E"/>
    <w:rsid w:val="00846813"/>
    <w:rsid w:val="00850801"/>
    <w:rsid w:val="00854644"/>
    <w:rsid w:val="00854C41"/>
    <w:rsid w:val="0085683F"/>
    <w:rsid w:val="00857B56"/>
    <w:rsid w:val="00862BD9"/>
    <w:rsid w:val="00863B90"/>
    <w:rsid w:val="0086573B"/>
    <w:rsid w:val="00865DFA"/>
    <w:rsid w:val="008669A5"/>
    <w:rsid w:val="00866ABA"/>
    <w:rsid w:val="008670ED"/>
    <w:rsid w:val="0087101E"/>
    <w:rsid w:val="00873A69"/>
    <w:rsid w:val="00874C4F"/>
    <w:rsid w:val="00876B50"/>
    <w:rsid w:val="00881EF0"/>
    <w:rsid w:val="00882628"/>
    <w:rsid w:val="00887773"/>
    <w:rsid w:val="00887C53"/>
    <w:rsid w:val="00890311"/>
    <w:rsid w:val="008911A5"/>
    <w:rsid w:val="00893D15"/>
    <w:rsid w:val="00894C99"/>
    <w:rsid w:val="00895935"/>
    <w:rsid w:val="0089624D"/>
    <w:rsid w:val="00897D7D"/>
    <w:rsid w:val="008A0BF8"/>
    <w:rsid w:val="008A2555"/>
    <w:rsid w:val="008A5B2B"/>
    <w:rsid w:val="008A71B8"/>
    <w:rsid w:val="008B247C"/>
    <w:rsid w:val="008B4A19"/>
    <w:rsid w:val="008C656B"/>
    <w:rsid w:val="008C6E79"/>
    <w:rsid w:val="008C75E7"/>
    <w:rsid w:val="008D2853"/>
    <w:rsid w:val="008D350B"/>
    <w:rsid w:val="008D523A"/>
    <w:rsid w:val="008D5FD6"/>
    <w:rsid w:val="008D79EA"/>
    <w:rsid w:val="008E18B6"/>
    <w:rsid w:val="008E21D3"/>
    <w:rsid w:val="008E7F59"/>
    <w:rsid w:val="008F06D0"/>
    <w:rsid w:val="008F6018"/>
    <w:rsid w:val="008F650A"/>
    <w:rsid w:val="008F6FA8"/>
    <w:rsid w:val="008F7217"/>
    <w:rsid w:val="00901367"/>
    <w:rsid w:val="009072DA"/>
    <w:rsid w:val="00910569"/>
    <w:rsid w:val="00911603"/>
    <w:rsid w:val="00912174"/>
    <w:rsid w:val="00913E5F"/>
    <w:rsid w:val="00914779"/>
    <w:rsid w:val="00915814"/>
    <w:rsid w:val="00915F19"/>
    <w:rsid w:val="009179CF"/>
    <w:rsid w:val="0092027F"/>
    <w:rsid w:val="00933B43"/>
    <w:rsid w:val="0093527A"/>
    <w:rsid w:val="009372E8"/>
    <w:rsid w:val="009409A7"/>
    <w:rsid w:val="00941696"/>
    <w:rsid w:val="009452F1"/>
    <w:rsid w:val="00945747"/>
    <w:rsid w:val="00946E1F"/>
    <w:rsid w:val="00947138"/>
    <w:rsid w:val="00947BC9"/>
    <w:rsid w:val="009519B2"/>
    <w:rsid w:val="00951A18"/>
    <w:rsid w:val="00953035"/>
    <w:rsid w:val="00954BCC"/>
    <w:rsid w:val="00956BC9"/>
    <w:rsid w:val="009609D2"/>
    <w:rsid w:val="00962511"/>
    <w:rsid w:val="009641A6"/>
    <w:rsid w:val="00964617"/>
    <w:rsid w:val="00966617"/>
    <w:rsid w:val="009678C6"/>
    <w:rsid w:val="00967CBB"/>
    <w:rsid w:val="009707FF"/>
    <w:rsid w:val="009733B4"/>
    <w:rsid w:val="0097599A"/>
    <w:rsid w:val="009814BE"/>
    <w:rsid w:val="00983A7A"/>
    <w:rsid w:val="0098486E"/>
    <w:rsid w:val="00987086"/>
    <w:rsid w:val="00993879"/>
    <w:rsid w:val="00995010"/>
    <w:rsid w:val="00996858"/>
    <w:rsid w:val="009A0DA4"/>
    <w:rsid w:val="009A48C6"/>
    <w:rsid w:val="009A545D"/>
    <w:rsid w:val="009A5670"/>
    <w:rsid w:val="009A772A"/>
    <w:rsid w:val="009B4485"/>
    <w:rsid w:val="009B4F58"/>
    <w:rsid w:val="009B69AE"/>
    <w:rsid w:val="009B6E44"/>
    <w:rsid w:val="009C08AF"/>
    <w:rsid w:val="009C1A16"/>
    <w:rsid w:val="009C243C"/>
    <w:rsid w:val="009C4051"/>
    <w:rsid w:val="009C4D9B"/>
    <w:rsid w:val="009C6148"/>
    <w:rsid w:val="009C6895"/>
    <w:rsid w:val="009C6B47"/>
    <w:rsid w:val="009D2E99"/>
    <w:rsid w:val="009D444F"/>
    <w:rsid w:val="009D4B86"/>
    <w:rsid w:val="009D7D8C"/>
    <w:rsid w:val="009E1AB7"/>
    <w:rsid w:val="009E20AB"/>
    <w:rsid w:val="009E75C9"/>
    <w:rsid w:val="009F0B3D"/>
    <w:rsid w:val="009F1741"/>
    <w:rsid w:val="009F2C79"/>
    <w:rsid w:val="009F5240"/>
    <w:rsid w:val="009F5822"/>
    <w:rsid w:val="009F6129"/>
    <w:rsid w:val="009F6E80"/>
    <w:rsid w:val="009F71ED"/>
    <w:rsid w:val="00A010D4"/>
    <w:rsid w:val="00A0231C"/>
    <w:rsid w:val="00A02F38"/>
    <w:rsid w:val="00A0441E"/>
    <w:rsid w:val="00A06293"/>
    <w:rsid w:val="00A10A36"/>
    <w:rsid w:val="00A11323"/>
    <w:rsid w:val="00A1353F"/>
    <w:rsid w:val="00A17A9E"/>
    <w:rsid w:val="00A20451"/>
    <w:rsid w:val="00A21DC3"/>
    <w:rsid w:val="00A23691"/>
    <w:rsid w:val="00A242D9"/>
    <w:rsid w:val="00A26F05"/>
    <w:rsid w:val="00A30B59"/>
    <w:rsid w:val="00A32DAE"/>
    <w:rsid w:val="00A336B2"/>
    <w:rsid w:val="00A376D6"/>
    <w:rsid w:val="00A37997"/>
    <w:rsid w:val="00A37D2C"/>
    <w:rsid w:val="00A42123"/>
    <w:rsid w:val="00A43049"/>
    <w:rsid w:val="00A4320B"/>
    <w:rsid w:val="00A44881"/>
    <w:rsid w:val="00A44FFA"/>
    <w:rsid w:val="00A500CF"/>
    <w:rsid w:val="00A5183E"/>
    <w:rsid w:val="00A52292"/>
    <w:rsid w:val="00A53094"/>
    <w:rsid w:val="00A54C0A"/>
    <w:rsid w:val="00A562EA"/>
    <w:rsid w:val="00A60F2B"/>
    <w:rsid w:val="00A61198"/>
    <w:rsid w:val="00A625B1"/>
    <w:rsid w:val="00A62D1C"/>
    <w:rsid w:val="00A633B7"/>
    <w:rsid w:val="00A67411"/>
    <w:rsid w:val="00A70641"/>
    <w:rsid w:val="00A70F63"/>
    <w:rsid w:val="00A7418E"/>
    <w:rsid w:val="00A76C46"/>
    <w:rsid w:val="00A81BE3"/>
    <w:rsid w:val="00A81FF0"/>
    <w:rsid w:val="00A82AA5"/>
    <w:rsid w:val="00A847CE"/>
    <w:rsid w:val="00A8714D"/>
    <w:rsid w:val="00A93FF1"/>
    <w:rsid w:val="00AA3467"/>
    <w:rsid w:val="00AA3848"/>
    <w:rsid w:val="00AA62FE"/>
    <w:rsid w:val="00AA68B8"/>
    <w:rsid w:val="00AB07E4"/>
    <w:rsid w:val="00AB0A8F"/>
    <w:rsid w:val="00AB1566"/>
    <w:rsid w:val="00AB19B2"/>
    <w:rsid w:val="00AB3089"/>
    <w:rsid w:val="00AB6D77"/>
    <w:rsid w:val="00AB7B04"/>
    <w:rsid w:val="00AC2B44"/>
    <w:rsid w:val="00AC7499"/>
    <w:rsid w:val="00AC7803"/>
    <w:rsid w:val="00AD3637"/>
    <w:rsid w:val="00AD5795"/>
    <w:rsid w:val="00AD75DD"/>
    <w:rsid w:val="00AE0ACB"/>
    <w:rsid w:val="00AE0C15"/>
    <w:rsid w:val="00AE5625"/>
    <w:rsid w:val="00AE73DF"/>
    <w:rsid w:val="00AE7EE7"/>
    <w:rsid w:val="00AF04B7"/>
    <w:rsid w:val="00AF1F31"/>
    <w:rsid w:val="00AF1F3C"/>
    <w:rsid w:val="00AF5F7F"/>
    <w:rsid w:val="00AF7467"/>
    <w:rsid w:val="00AF7763"/>
    <w:rsid w:val="00B03339"/>
    <w:rsid w:val="00B03436"/>
    <w:rsid w:val="00B041F4"/>
    <w:rsid w:val="00B06B20"/>
    <w:rsid w:val="00B11D6D"/>
    <w:rsid w:val="00B12A29"/>
    <w:rsid w:val="00B1512E"/>
    <w:rsid w:val="00B15F4D"/>
    <w:rsid w:val="00B17268"/>
    <w:rsid w:val="00B17321"/>
    <w:rsid w:val="00B17699"/>
    <w:rsid w:val="00B2098C"/>
    <w:rsid w:val="00B20B57"/>
    <w:rsid w:val="00B24644"/>
    <w:rsid w:val="00B25D99"/>
    <w:rsid w:val="00B2721B"/>
    <w:rsid w:val="00B274B1"/>
    <w:rsid w:val="00B277EC"/>
    <w:rsid w:val="00B305C0"/>
    <w:rsid w:val="00B3236C"/>
    <w:rsid w:val="00B404C3"/>
    <w:rsid w:val="00B420BE"/>
    <w:rsid w:val="00B436BC"/>
    <w:rsid w:val="00B46E82"/>
    <w:rsid w:val="00B4798B"/>
    <w:rsid w:val="00B50315"/>
    <w:rsid w:val="00B51D5B"/>
    <w:rsid w:val="00B52AA7"/>
    <w:rsid w:val="00B53691"/>
    <w:rsid w:val="00B554D0"/>
    <w:rsid w:val="00B6013E"/>
    <w:rsid w:val="00B64404"/>
    <w:rsid w:val="00B66F3E"/>
    <w:rsid w:val="00B67678"/>
    <w:rsid w:val="00B70B3C"/>
    <w:rsid w:val="00B7296D"/>
    <w:rsid w:val="00B81D36"/>
    <w:rsid w:val="00B82B0B"/>
    <w:rsid w:val="00B8371A"/>
    <w:rsid w:val="00B86752"/>
    <w:rsid w:val="00B93274"/>
    <w:rsid w:val="00B943B7"/>
    <w:rsid w:val="00B96056"/>
    <w:rsid w:val="00B96651"/>
    <w:rsid w:val="00B96DEB"/>
    <w:rsid w:val="00B96F7D"/>
    <w:rsid w:val="00B974FB"/>
    <w:rsid w:val="00BA11D2"/>
    <w:rsid w:val="00BA285E"/>
    <w:rsid w:val="00BA393C"/>
    <w:rsid w:val="00BA3E08"/>
    <w:rsid w:val="00BA4742"/>
    <w:rsid w:val="00BA4ECC"/>
    <w:rsid w:val="00BA522F"/>
    <w:rsid w:val="00BB13DA"/>
    <w:rsid w:val="00BB2CE0"/>
    <w:rsid w:val="00BB4475"/>
    <w:rsid w:val="00BB59F3"/>
    <w:rsid w:val="00BB7BF6"/>
    <w:rsid w:val="00BC12A7"/>
    <w:rsid w:val="00BD2DB4"/>
    <w:rsid w:val="00BD77C3"/>
    <w:rsid w:val="00BE2AC7"/>
    <w:rsid w:val="00BE2DAB"/>
    <w:rsid w:val="00BE4C06"/>
    <w:rsid w:val="00BE52B7"/>
    <w:rsid w:val="00BE7E4F"/>
    <w:rsid w:val="00BF139E"/>
    <w:rsid w:val="00BF3A68"/>
    <w:rsid w:val="00C00985"/>
    <w:rsid w:val="00C00D4A"/>
    <w:rsid w:val="00C0150F"/>
    <w:rsid w:val="00C109CA"/>
    <w:rsid w:val="00C160F4"/>
    <w:rsid w:val="00C17F8E"/>
    <w:rsid w:val="00C2009F"/>
    <w:rsid w:val="00C2366D"/>
    <w:rsid w:val="00C23C59"/>
    <w:rsid w:val="00C24D30"/>
    <w:rsid w:val="00C25F13"/>
    <w:rsid w:val="00C3047B"/>
    <w:rsid w:val="00C31506"/>
    <w:rsid w:val="00C31C07"/>
    <w:rsid w:val="00C35D6F"/>
    <w:rsid w:val="00C370E2"/>
    <w:rsid w:val="00C40C2F"/>
    <w:rsid w:val="00C43D2D"/>
    <w:rsid w:val="00C45101"/>
    <w:rsid w:val="00C514F8"/>
    <w:rsid w:val="00C51950"/>
    <w:rsid w:val="00C53407"/>
    <w:rsid w:val="00C539FE"/>
    <w:rsid w:val="00C54218"/>
    <w:rsid w:val="00C54529"/>
    <w:rsid w:val="00C5485B"/>
    <w:rsid w:val="00C54CF6"/>
    <w:rsid w:val="00C56242"/>
    <w:rsid w:val="00C56AD5"/>
    <w:rsid w:val="00C57224"/>
    <w:rsid w:val="00C66702"/>
    <w:rsid w:val="00C7148B"/>
    <w:rsid w:val="00C71552"/>
    <w:rsid w:val="00C72C45"/>
    <w:rsid w:val="00C752A5"/>
    <w:rsid w:val="00C76AFB"/>
    <w:rsid w:val="00C76F16"/>
    <w:rsid w:val="00C800EE"/>
    <w:rsid w:val="00C817C4"/>
    <w:rsid w:val="00C82971"/>
    <w:rsid w:val="00C8313B"/>
    <w:rsid w:val="00C8467F"/>
    <w:rsid w:val="00C8548C"/>
    <w:rsid w:val="00C858E4"/>
    <w:rsid w:val="00C85EA3"/>
    <w:rsid w:val="00C86D88"/>
    <w:rsid w:val="00C86E9E"/>
    <w:rsid w:val="00C907FC"/>
    <w:rsid w:val="00C90E35"/>
    <w:rsid w:val="00C97A03"/>
    <w:rsid w:val="00CA3CA6"/>
    <w:rsid w:val="00CA4972"/>
    <w:rsid w:val="00CA4EF5"/>
    <w:rsid w:val="00CA609F"/>
    <w:rsid w:val="00CA7A31"/>
    <w:rsid w:val="00CB1A56"/>
    <w:rsid w:val="00CB37FB"/>
    <w:rsid w:val="00CB3984"/>
    <w:rsid w:val="00CB4292"/>
    <w:rsid w:val="00CC17F6"/>
    <w:rsid w:val="00CC21C2"/>
    <w:rsid w:val="00CC2ED5"/>
    <w:rsid w:val="00CD42B3"/>
    <w:rsid w:val="00CD5136"/>
    <w:rsid w:val="00CD675E"/>
    <w:rsid w:val="00CD74E8"/>
    <w:rsid w:val="00CE49A9"/>
    <w:rsid w:val="00CE4A70"/>
    <w:rsid w:val="00CE7C9E"/>
    <w:rsid w:val="00CF0A3C"/>
    <w:rsid w:val="00CF5829"/>
    <w:rsid w:val="00CF59D9"/>
    <w:rsid w:val="00CF5B17"/>
    <w:rsid w:val="00CF66A4"/>
    <w:rsid w:val="00D02A69"/>
    <w:rsid w:val="00D0599A"/>
    <w:rsid w:val="00D110D5"/>
    <w:rsid w:val="00D12A97"/>
    <w:rsid w:val="00D13F5E"/>
    <w:rsid w:val="00D15EAD"/>
    <w:rsid w:val="00D16DE2"/>
    <w:rsid w:val="00D23E01"/>
    <w:rsid w:val="00D27790"/>
    <w:rsid w:val="00D30C6C"/>
    <w:rsid w:val="00D33A90"/>
    <w:rsid w:val="00D33E07"/>
    <w:rsid w:val="00D350B3"/>
    <w:rsid w:val="00D43D9B"/>
    <w:rsid w:val="00D44105"/>
    <w:rsid w:val="00D50075"/>
    <w:rsid w:val="00D51AC7"/>
    <w:rsid w:val="00D52886"/>
    <w:rsid w:val="00D531DD"/>
    <w:rsid w:val="00D557E6"/>
    <w:rsid w:val="00D56D94"/>
    <w:rsid w:val="00D60472"/>
    <w:rsid w:val="00D619B8"/>
    <w:rsid w:val="00D647F5"/>
    <w:rsid w:val="00D64A8F"/>
    <w:rsid w:val="00D65273"/>
    <w:rsid w:val="00D654F8"/>
    <w:rsid w:val="00D66554"/>
    <w:rsid w:val="00D70E3A"/>
    <w:rsid w:val="00D743BB"/>
    <w:rsid w:val="00D76B02"/>
    <w:rsid w:val="00D81425"/>
    <w:rsid w:val="00D81E91"/>
    <w:rsid w:val="00D836CC"/>
    <w:rsid w:val="00D927B1"/>
    <w:rsid w:val="00D95643"/>
    <w:rsid w:val="00D97680"/>
    <w:rsid w:val="00DA243A"/>
    <w:rsid w:val="00DA7A73"/>
    <w:rsid w:val="00DB3802"/>
    <w:rsid w:val="00DB5DA1"/>
    <w:rsid w:val="00DB637A"/>
    <w:rsid w:val="00DB721F"/>
    <w:rsid w:val="00DC2558"/>
    <w:rsid w:val="00DC637D"/>
    <w:rsid w:val="00DD31AB"/>
    <w:rsid w:val="00DD3B27"/>
    <w:rsid w:val="00DD484E"/>
    <w:rsid w:val="00DD5A88"/>
    <w:rsid w:val="00DD5E1F"/>
    <w:rsid w:val="00DD6D8E"/>
    <w:rsid w:val="00DD7475"/>
    <w:rsid w:val="00DE2512"/>
    <w:rsid w:val="00DE56A8"/>
    <w:rsid w:val="00DF0E09"/>
    <w:rsid w:val="00DF494E"/>
    <w:rsid w:val="00DF6807"/>
    <w:rsid w:val="00DF6A80"/>
    <w:rsid w:val="00DF79DE"/>
    <w:rsid w:val="00E01E79"/>
    <w:rsid w:val="00E03302"/>
    <w:rsid w:val="00E0350C"/>
    <w:rsid w:val="00E048A6"/>
    <w:rsid w:val="00E07C82"/>
    <w:rsid w:val="00E10B72"/>
    <w:rsid w:val="00E11A37"/>
    <w:rsid w:val="00E12A2E"/>
    <w:rsid w:val="00E143E0"/>
    <w:rsid w:val="00E16078"/>
    <w:rsid w:val="00E171C7"/>
    <w:rsid w:val="00E2194B"/>
    <w:rsid w:val="00E227FB"/>
    <w:rsid w:val="00E22C3F"/>
    <w:rsid w:val="00E2487B"/>
    <w:rsid w:val="00E306CA"/>
    <w:rsid w:val="00E32535"/>
    <w:rsid w:val="00E33606"/>
    <w:rsid w:val="00E34284"/>
    <w:rsid w:val="00E34EE8"/>
    <w:rsid w:val="00E37D1D"/>
    <w:rsid w:val="00E37F13"/>
    <w:rsid w:val="00E461E4"/>
    <w:rsid w:val="00E46D26"/>
    <w:rsid w:val="00E46E93"/>
    <w:rsid w:val="00E50FC4"/>
    <w:rsid w:val="00E5528A"/>
    <w:rsid w:val="00E57710"/>
    <w:rsid w:val="00E6040F"/>
    <w:rsid w:val="00E6066F"/>
    <w:rsid w:val="00E63210"/>
    <w:rsid w:val="00E66202"/>
    <w:rsid w:val="00E66945"/>
    <w:rsid w:val="00E7087F"/>
    <w:rsid w:val="00E71A00"/>
    <w:rsid w:val="00E71C7B"/>
    <w:rsid w:val="00E7209E"/>
    <w:rsid w:val="00E73856"/>
    <w:rsid w:val="00E7704C"/>
    <w:rsid w:val="00E83910"/>
    <w:rsid w:val="00E95405"/>
    <w:rsid w:val="00E96326"/>
    <w:rsid w:val="00EA0B99"/>
    <w:rsid w:val="00EA3F3B"/>
    <w:rsid w:val="00EA4B5B"/>
    <w:rsid w:val="00EA592E"/>
    <w:rsid w:val="00EA72EF"/>
    <w:rsid w:val="00EB4838"/>
    <w:rsid w:val="00EC15CB"/>
    <w:rsid w:val="00EC170E"/>
    <w:rsid w:val="00EC1871"/>
    <w:rsid w:val="00EC298A"/>
    <w:rsid w:val="00EC4828"/>
    <w:rsid w:val="00EC6090"/>
    <w:rsid w:val="00EC7D4B"/>
    <w:rsid w:val="00ED2042"/>
    <w:rsid w:val="00ED228C"/>
    <w:rsid w:val="00ED28CB"/>
    <w:rsid w:val="00ED70E2"/>
    <w:rsid w:val="00ED764D"/>
    <w:rsid w:val="00EE306B"/>
    <w:rsid w:val="00EF3005"/>
    <w:rsid w:val="00EF5DCD"/>
    <w:rsid w:val="00EF5DD5"/>
    <w:rsid w:val="00F00934"/>
    <w:rsid w:val="00F00D6F"/>
    <w:rsid w:val="00F05314"/>
    <w:rsid w:val="00F07B7F"/>
    <w:rsid w:val="00F07FC7"/>
    <w:rsid w:val="00F101FF"/>
    <w:rsid w:val="00F11576"/>
    <w:rsid w:val="00F11F4D"/>
    <w:rsid w:val="00F120C4"/>
    <w:rsid w:val="00F12888"/>
    <w:rsid w:val="00F1328C"/>
    <w:rsid w:val="00F14955"/>
    <w:rsid w:val="00F154E9"/>
    <w:rsid w:val="00F17CC1"/>
    <w:rsid w:val="00F17EF1"/>
    <w:rsid w:val="00F2125D"/>
    <w:rsid w:val="00F229EE"/>
    <w:rsid w:val="00F23341"/>
    <w:rsid w:val="00F244FB"/>
    <w:rsid w:val="00F25B84"/>
    <w:rsid w:val="00F27C06"/>
    <w:rsid w:val="00F368C1"/>
    <w:rsid w:val="00F40B31"/>
    <w:rsid w:val="00F439F4"/>
    <w:rsid w:val="00F43E95"/>
    <w:rsid w:val="00F5467C"/>
    <w:rsid w:val="00F56789"/>
    <w:rsid w:val="00F640B2"/>
    <w:rsid w:val="00F66CA6"/>
    <w:rsid w:val="00F70749"/>
    <w:rsid w:val="00F715ED"/>
    <w:rsid w:val="00F72B40"/>
    <w:rsid w:val="00F73FFF"/>
    <w:rsid w:val="00F81C95"/>
    <w:rsid w:val="00F822A6"/>
    <w:rsid w:val="00F83B20"/>
    <w:rsid w:val="00F84318"/>
    <w:rsid w:val="00F917A7"/>
    <w:rsid w:val="00F91B50"/>
    <w:rsid w:val="00F9354F"/>
    <w:rsid w:val="00F93EDA"/>
    <w:rsid w:val="00F95CFA"/>
    <w:rsid w:val="00F96636"/>
    <w:rsid w:val="00FA1216"/>
    <w:rsid w:val="00FA214C"/>
    <w:rsid w:val="00FA2ECB"/>
    <w:rsid w:val="00FA6527"/>
    <w:rsid w:val="00FA6703"/>
    <w:rsid w:val="00FA6B9E"/>
    <w:rsid w:val="00FA7875"/>
    <w:rsid w:val="00FB126B"/>
    <w:rsid w:val="00FB7A2A"/>
    <w:rsid w:val="00FD0BDB"/>
    <w:rsid w:val="00FD372F"/>
    <w:rsid w:val="00FD3D01"/>
    <w:rsid w:val="00FD404E"/>
    <w:rsid w:val="00FD54AD"/>
    <w:rsid w:val="00FE017C"/>
    <w:rsid w:val="00FE120A"/>
    <w:rsid w:val="00FE71FE"/>
    <w:rsid w:val="00FF0074"/>
    <w:rsid w:val="00FF3463"/>
    <w:rsid w:val="00FF4671"/>
    <w:rsid w:val="00FF6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CCBE"/>
  <w15:docId w15:val="{9B31E003-399B-49D1-B377-35A57655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7945"/>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autoRedefine/>
    <w:qFormat/>
    <w:rsid w:val="001E5C66"/>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link w:val="Pavadinimas"/>
    <w:rsid w:val="001E5C66"/>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1E5C66"/>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rsid w:val="001E5C66"/>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1E5C66"/>
    <w:pPr>
      <w:spacing w:after="0" w:line="240" w:lineRule="auto"/>
      <w:ind w:left="720"/>
      <w:contextualSpacing/>
    </w:pPr>
    <w:rPr>
      <w:rFonts w:ascii="Times New Roman" w:eastAsia="Times New Roman" w:hAnsi="Times New Roman"/>
      <w:szCs w:val="20"/>
      <w:lang w:val="lt-LT" w:eastAsia="lt-LT"/>
    </w:rPr>
  </w:style>
  <w:style w:type="paragraph" w:styleId="Antrats">
    <w:name w:val="header"/>
    <w:basedOn w:val="prastasis"/>
    <w:link w:val="AntratsDiagrama"/>
    <w:uiPriority w:val="99"/>
    <w:unhideWhenUsed/>
    <w:rsid w:val="001E5C66"/>
    <w:pPr>
      <w:tabs>
        <w:tab w:val="center" w:pos="4680"/>
        <w:tab w:val="right" w:pos="9360"/>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link w:val="Antrats"/>
    <w:uiPriority w:val="99"/>
    <w:rsid w:val="001E5C66"/>
    <w:rPr>
      <w:rFonts w:ascii="Times New Roman" w:eastAsia="Times New Roman" w:hAnsi="Times New Roman" w:cs="Times New Roman"/>
      <w:szCs w:val="20"/>
      <w:lang w:val="lt-LT" w:eastAsia="lt-LT"/>
    </w:rPr>
  </w:style>
  <w:style w:type="paragraph" w:styleId="Porat">
    <w:name w:val="footer"/>
    <w:basedOn w:val="prastasis"/>
    <w:link w:val="PoratDiagrama"/>
    <w:uiPriority w:val="99"/>
    <w:unhideWhenUsed/>
    <w:rsid w:val="001E5C66"/>
    <w:pPr>
      <w:tabs>
        <w:tab w:val="center" w:pos="4680"/>
        <w:tab w:val="right" w:pos="9360"/>
      </w:tabs>
      <w:spacing w:after="0" w:line="240" w:lineRule="auto"/>
    </w:pPr>
    <w:rPr>
      <w:rFonts w:ascii="Times New Roman" w:eastAsia="Times New Roman" w:hAnsi="Times New Roman"/>
      <w:szCs w:val="20"/>
      <w:lang w:val="lt-LT" w:eastAsia="lt-LT"/>
    </w:rPr>
  </w:style>
  <w:style w:type="character" w:customStyle="1" w:styleId="PoratDiagrama">
    <w:name w:val="Poraštė Diagrama"/>
    <w:link w:val="Porat"/>
    <w:uiPriority w:val="99"/>
    <w:rsid w:val="001E5C66"/>
    <w:rPr>
      <w:rFonts w:ascii="Times New Roman" w:eastAsia="Times New Roman" w:hAnsi="Times New Roman" w:cs="Times New Roman"/>
      <w:szCs w:val="20"/>
      <w:lang w:val="lt-LT" w:eastAsia="lt-LT"/>
    </w:rPr>
  </w:style>
  <w:style w:type="paragraph" w:customStyle="1" w:styleId="Default">
    <w:name w:val="Default"/>
    <w:rsid w:val="001E5C66"/>
    <w:pPr>
      <w:autoSpaceDE w:val="0"/>
      <w:autoSpaceDN w:val="0"/>
      <w:adjustRightInd w:val="0"/>
    </w:pPr>
    <w:rPr>
      <w:rFonts w:ascii="Arial" w:hAnsi="Arial" w:cs="Arial"/>
      <w:color w:val="000000"/>
      <w:sz w:val="24"/>
      <w:szCs w:val="24"/>
      <w:lang w:val="en-US" w:eastAsia="en-US"/>
    </w:rPr>
  </w:style>
  <w:style w:type="character" w:styleId="Hipersaitas">
    <w:name w:val="Hyperlink"/>
    <w:unhideWhenUsed/>
    <w:rsid w:val="001E5C66"/>
    <w:rPr>
      <w:rFonts w:ascii="Times New Roman" w:hAnsi="Times New Roman" w:cs="Times New Roman" w:hint="default"/>
      <w:color w:val="0000FF"/>
      <w:u w:val="single"/>
    </w:rPr>
  </w:style>
  <w:style w:type="paragraph" w:styleId="Debesliotekstas">
    <w:name w:val="Balloon Text"/>
    <w:basedOn w:val="prastasis"/>
    <w:link w:val="DebesliotekstasDiagrama"/>
    <w:uiPriority w:val="99"/>
    <w:semiHidden/>
    <w:unhideWhenUsed/>
    <w:rsid w:val="001E5C66"/>
    <w:pPr>
      <w:spacing w:after="0" w:line="240" w:lineRule="auto"/>
    </w:pPr>
    <w:rPr>
      <w:rFonts w:ascii="Segoe UI" w:eastAsia="Times New Roman" w:hAnsi="Segoe UI" w:cs="Segoe UI"/>
      <w:sz w:val="18"/>
      <w:szCs w:val="18"/>
      <w:lang w:val="lt-LT" w:eastAsia="lt-LT"/>
    </w:rPr>
  </w:style>
  <w:style w:type="character" w:customStyle="1" w:styleId="DebesliotekstasDiagrama">
    <w:name w:val="Debesėlio tekstas Diagrama"/>
    <w:link w:val="Debesliotekstas"/>
    <w:uiPriority w:val="99"/>
    <w:semiHidden/>
    <w:rsid w:val="001E5C66"/>
    <w:rPr>
      <w:rFonts w:ascii="Segoe UI" w:eastAsia="Times New Roman" w:hAnsi="Segoe UI" w:cs="Segoe UI"/>
      <w:sz w:val="18"/>
      <w:szCs w:val="18"/>
      <w:lang w:val="lt-LT" w:eastAsia="lt-LT"/>
    </w:rPr>
  </w:style>
  <w:style w:type="character" w:styleId="Komentaronuoroda">
    <w:name w:val="annotation reference"/>
    <w:uiPriority w:val="99"/>
    <w:semiHidden/>
    <w:unhideWhenUsed/>
    <w:rsid w:val="008F06D0"/>
    <w:rPr>
      <w:sz w:val="16"/>
      <w:szCs w:val="16"/>
    </w:rPr>
  </w:style>
  <w:style w:type="paragraph" w:styleId="Komentarotekstas">
    <w:name w:val="annotation text"/>
    <w:basedOn w:val="prastasis"/>
    <w:link w:val="KomentarotekstasDiagrama"/>
    <w:uiPriority w:val="99"/>
    <w:unhideWhenUsed/>
    <w:rsid w:val="008F06D0"/>
    <w:pPr>
      <w:spacing w:line="240" w:lineRule="auto"/>
    </w:pPr>
    <w:rPr>
      <w:sz w:val="20"/>
      <w:szCs w:val="20"/>
    </w:rPr>
  </w:style>
  <w:style w:type="character" w:customStyle="1" w:styleId="KomentarotekstasDiagrama">
    <w:name w:val="Komentaro tekstas Diagrama"/>
    <w:link w:val="Komentarotekstas"/>
    <w:uiPriority w:val="99"/>
    <w:rsid w:val="008F06D0"/>
    <w:rPr>
      <w:sz w:val="20"/>
      <w:szCs w:val="20"/>
    </w:rPr>
  </w:style>
  <w:style w:type="paragraph" w:styleId="Komentarotema">
    <w:name w:val="annotation subject"/>
    <w:basedOn w:val="Komentarotekstas"/>
    <w:next w:val="Komentarotekstas"/>
    <w:link w:val="KomentarotemaDiagrama"/>
    <w:uiPriority w:val="99"/>
    <w:semiHidden/>
    <w:unhideWhenUsed/>
    <w:rsid w:val="008F06D0"/>
    <w:rPr>
      <w:b/>
      <w:bCs/>
    </w:rPr>
  </w:style>
  <w:style w:type="character" w:customStyle="1" w:styleId="KomentarotemaDiagrama">
    <w:name w:val="Komentaro tema Diagrama"/>
    <w:link w:val="Komentarotema"/>
    <w:uiPriority w:val="99"/>
    <w:semiHidden/>
    <w:rsid w:val="008F06D0"/>
    <w:rPr>
      <w:b/>
      <w:bCs/>
      <w:sz w:val="20"/>
      <w:szCs w:val="20"/>
    </w:rPr>
  </w:style>
  <w:style w:type="paragraph" w:styleId="Pataisymai">
    <w:name w:val="Revision"/>
    <w:hidden/>
    <w:uiPriority w:val="99"/>
    <w:semiHidden/>
    <w:rsid w:val="00C8313B"/>
    <w:rPr>
      <w:sz w:val="22"/>
      <w:szCs w:val="22"/>
      <w:lang w:val="en-US" w:eastAsia="en-US"/>
    </w:rPr>
  </w:style>
  <w:style w:type="character" w:customStyle="1" w:styleId="UnresolvedMention1">
    <w:name w:val="Unresolved Mention1"/>
    <w:uiPriority w:val="99"/>
    <w:semiHidden/>
    <w:unhideWhenUsed/>
    <w:rsid w:val="00483D02"/>
    <w:rPr>
      <w:color w:val="605E5C"/>
      <w:shd w:val="clear" w:color="auto" w:fill="E1DFDD"/>
    </w:rPr>
  </w:style>
  <w:style w:type="character" w:styleId="Grietas">
    <w:name w:val="Strong"/>
    <w:aliases w:val="Fließtext (2) + 9 pt"/>
    <w:uiPriority w:val="22"/>
    <w:qFormat/>
    <w:rsid w:val="00A0441E"/>
    <w:rPr>
      <w:b/>
      <w:bCs/>
    </w:rPr>
  </w:style>
  <w:style w:type="character" w:customStyle="1" w:styleId="UnresolvedMention2">
    <w:name w:val="Unresolved Mention2"/>
    <w:uiPriority w:val="99"/>
    <w:semiHidden/>
    <w:unhideWhenUsed/>
    <w:rsid w:val="00E07C82"/>
    <w:rPr>
      <w:color w:val="605E5C"/>
      <w:shd w:val="clear" w:color="auto" w:fill="E1DFDD"/>
    </w:rPr>
  </w:style>
  <w:style w:type="character" w:customStyle="1" w:styleId="UnresolvedMention3">
    <w:name w:val="Unresolved Mention3"/>
    <w:uiPriority w:val="99"/>
    <w:semiHidden/>
    <w:unhideWhenUsed/>
    <w:rsid w:val="00AE73DF"/>
    <w:rPr>
      <w:color w:val="605E5C"/>
      <w:shd w:val="clear" w:color="auto" w:fill="E1DFDD"/>
    </w:rPr>
  </w:style>
  <w:style w:type="character" w:customStyle="1" w:styleId="UnresolvedMention4">
    <w:name w:val="Unresolved Mention4"/>
    <w:uiPriority w:val="99"/>
    <w:semiHidden/>
    <w:unhideWhenUsed/>
    <w:rsid w:val="00F439F4"/>
    <w:rPr>
      <w:color w:val="605E5C"/>
      <w:shd w:val="clear" w:color="auto" w:fill="E1DFDD"/>
    </w:rPr>
  </w:style>
  <w:style w:type="character" w:customStyle="1" w:styleId="Neapdorotaspaminjimas1">
    <w:name w:val="Neapdorotas paminėjimas1"/>
    <w:uiPriority w:val="99"/>
    <w:semiHidden/>
    <w:unhideWhenUsed/>
    <w:rsid w:val="002136D0"/>
    <w:rPr>
      <w:color w:val="605E5C"/>
      <w:shd w:val="clear" w:color="auto" w:fill="E1DFDD"/>
    </w:rPr>
  </w:style>
  <w:style w:type="character" w:styleId="Neapdorotaspaminjimas">
    <w:name w:val="Unresolved Mention"/>
    <w:uiPriority w:val="99"/>
    <w:semiHidden/>
    <w:unhideWhenUsed/>
    <w:rsid w:val="00560BB4"/>
    <w:rPr>
      <w:color w:val="605E5C"/>
      <w:shd w:val="clear" w:color="auto" w:fill="E1DFDD"/>
    </w:rPr>
  </w:style>
  <w:style w:type="table" w:styleId="Lentelstinklelis">
    <w:name w:val="Table Grid"/>
    <w:basedOn w:val="prastojilentel"/>
    <w:uiPriority w:val="39"/>
    <w:rsid w:val="00C51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914779"/>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0299">
      <w:bodyDiv w:val="1"/>
      <w:marLeft w:val="0"/>
      <w:marRight w:val="0"/>
      <w:marTop w:val="0"/>
      <w:marBottom w:val="0"/>
      <w:divBdr>
        <w:top w:val="none" w:sz="0" w:space="0" w:color="auto"/>
        <w:left w:val="none" w:sz="0" w:space="0" w:color="auto"/>
        <w:bottom w:val="none" w:sz="0" w:space="0" w:color="auto"/>
        <w:right w:val="none" w:sz="0" w:space="0" w:color="auto"/>
      </w:divBdr>
    </w:div>
    <w:div w:id="838080179">
      <w:bodyDiv w:val="1"/>
      <w:marLeft w:val="0"/>
      <w:marRight w:val="0"/>
      <w:marTop w:val="0"/>
      <w:marBottom w:val="0"/>
      <w:divBdr>
        <w:top w:val="none" w:sz="0" w:space="0" w:color="auto"/>
        <w:left w:val="none" w:sz="0" w:space="0" w:color="auto"/>
        <w:bottom w:val="none" w:sz="0" w:space="0" w:color="auto"/>
        <w:right w:val="none" w:sz="0" w:space="0" w:color="auto"/>
      </w:divBdr>
    </w:div>
    <w:div w:id="946817087">
      <w:bodyDiv w:val="1"/>
      <w:marLeft w:val="0"/>
      <w:marRight w:val="0"/>
      <w:marTop w:val="0"/>
      <w:marBottom w:val="0"/>
      <w:divBdr>
        <w:top w:val="none" w:sz="0" w:space="0" w:color="auto"/>
        <w:left w:val="none" w:sz="0" w:space="0" w:color="auto"/>
        <w:bottom w:val="none" w:sz="0" w:space="0" w:color="auto"/>
        <w:right w:val="none" w:sz="0" w:space="0" w:color="auto"/>
      </w:divBdr>
    </w:div>
    <w:div w:id="124853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vvkt.lrv.lt/lt/" TargetMode="External"/><Relationship Id="rId10" Type="http://schemas.openxmlformats.org/officeDocument/2006/relationships/webSettings" Target="webSetting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mailto:info@orionpharma.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2CDEF-9363-42B7-B71F-60405701C121}">
  <ds:schemaRefs>
    <ds:schemaRef ds:uri="http://schemas.microsoft.com/sharepoint/v3/contenttype/forms"/>
  </ds:schemaRefs>
</ds:datastoreItem>
</file>

<file path=customXml/itemProps2.xml><?xml version="1.0" encoding="utf-8"?>
<ds:datastoreItem xmlns:ds="http://schemas.openxmlformats.org/officeDocument/2006/customXml" ds:itemID="{1882BDD9-79E0-407B-B1B8-741F2A64E7D7}">
  <ds:schemaRefs>
    <ds:schemaRef ds:uri="http://schemas.openxmlformats.org/officeDocument/2006/bibliography"/>
  </ds:schemaRefs>
</ds:datastoreItem>
</file>

<file path=customXml/itemProps3.xml><?xml version="1.0" encoding="utf-8"?>
<ds:datastoreItem xmlns:ds="http://schemas.openxmlformats.org/officeDocument/2006/customXml" ds:itemID="{E0913EAA-DA5D-4195-8E59-5805E0413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7C3F7-F6EA-4DC1-B4F1-1226F23FE737}">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5.xml><?xml version="1.0" encoding="utf-8"?>
<ds:datastoreItem xmlns:ds="http://schemas.openxmlformats.org/officeDocument/2006/customXml" ds:itemID="{95B63ABF-5C26-45E5-B62C-9BA396CB60B4}">
  <ds:schemaRefs>
    <ds:schemaRef ds:uri="http://schemas.microsoft.com/sharepoint/v3/contenttype/forms"/>
  </ds:schemaRefs>
</ds:datastoreItem>
</file>

<file path=customXml/itemProps6.xml><?xml version="1.0" encoding="utf-8"?>
<ds:datastoreItem xmlns:ds="http://schemas.openxmlformats.org/officeDocument/2006/customXml" ds:itemID="{C956D592-109B-4764-8C33-3D35A1011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44724</Words>
  <Characters>25494</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70078</CharactersWithSpaces>
  <SharedDoc>false</SharedDoc>
  <HLinks>
    <vt:vector size="18" baseType="variant">
      <vt:variant>
        <vt:i4>4063287</vt:i4>
      </vt:variant>
      <vt:variant>
        <vt:i4>6</vt:i4>
      </vt:variant>
      <vt:variant>
        <vt:i4>0</vt:i4>
      </vt:variant>
      <vt:variant>
        <vt:i4>5</vt:i4>
      </vt:variant>
      <vt:variant>
        <vt:lpwstr>https://vvkt.lrv.lt/lt/</vt:lpwstr>
      </vt:variant>
      <vt:variant>
        <vt:lpwstr/>
      </vt:variant>
      <vt:variant>
        <vt:i4>1441844</vt:i4>
      </vt:variant>
      <vt:variant>
        <vt:i4>3</vt:i4>
      </vt:variant>
      <vt:variant>
        <vt:i4>0</vt:i4>
      </vt:variant>
      <vt:variant>
        <vt:i4>5</vt:i4>
      </vt:variant>
      <vt:variant>
        <vt:lpwstr>mailto:info@orionpharma.lt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Butkevičiūtė</dc:creator>
  <cp:keywords/>
  <cp:lastModifiedBy>Birutė Valkauskaitė</cp:lastModifiedBy>
  <cp:revision>2</cp:revision>
  <dcterms:created xsi:type="dcterms:W3CDTF">2026-06-04T06:18:00Z</dcterms:created>
  <dcterms:modified xsi:type="dcterms:W3CDTF">2026-06-04T06:18:00Z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