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27E56" w14:textId="77777777" w:rsidR="00492E2F" w:rsidRDefault="00492E2F">
      <w:pPr>
        <w:widowControl w:val="0"/>
        <w:spacing w:after="0" w:line="240" w:lineRule="auto"/>
        <w:rPr>
          <w:rFonts w:ascii="Times New Roman" w:hAnsi="Times New Roman"/>
          <w:color w:val="008000"/>
        </w:rPr>
      </w:pPr>
    </w:p>
    <w:p w14:paraId="41B59AAF" w14:textId="77777777" w:rsidR="00492E2F" w:rsidRDefault="00492E2F">
      <w:pPr>
        <w:tabs>
          <w:tab w:val="left" w:pos="-1440"/>
          <w:tab w:val="left" w:pos="-720"/>
        </w:tabs>
        <w:spacing w:after="0"/>
        <w:rPr>
          <w:rFonts w:ascii="Times New Roman" w:hAnsi="Times New Roman"/>
          <w:b/>
        </w:rPr>
      </w:pPr>
    </w:p>
    <w:p w14:paraId="6EFC05B6" w14:textId="77777777" w:rsidR="00492E2F" w:rsidRDefault="00492E2F">
      <w:pPr>
        <w:tabs>
          <w:tab w:val="left" w:pos="-1440"/>
          <w:tab w:val="left" w:pos="-720"/>
        </w:tabs>
        <w:spacing w:after="0"/>
        <w:rPr>
          <w:rFonts w:ascii="Times New Roman" w:hAnsi="Times New Roman"/>
          <w:b/>
        </w:rPr>
      </w:pPr>
    </w:p>
    <w:p w14:paraId="557404A9" w14:textId="77777777" w:rsidR="00492E2F" w:rsidRDefault="00492E2F">
      <w:pPr>
        <w:tabs>
          <w:tab w:val="left" w:pos="-1440"/>
          <w:tab w:val="left" w:pos="-720"/>
        </w:tabs>
        <w:spacing w:after="0"/>
        <w:rPr>
          <w:rFonts w:ascii="Times New Roman" w:hAnsi="Times New Roman"/>
          <w:b/>
        </w:rPr>
      </w:pPr>
    </w:p>
    <w:p w14:paraId="5EE3B6D0" w14:textId="77777777" w:rsidR="00492E2F" w:rsidRDefault="00492E2F">
      <w:pPr>
        <w:tabs>
          <w:tab w:val="left" w:pos="-1440"/>
          <w:tab w:val="left" w:pos="-720"/>
        </w:tabs>
        <w:spacing w:after="0"/>
        <w:rPr>
          <w:rFonts w:ascii="Times New Roman" w:hAnsi="Times New Roman"/>
          <w:b/>
        </w:rPr>
      </w:pPr>
    </w:p>
    <w:p w14:paraId="60E92739" w14:textId="77777777" w:rsidR="00492E2F" w:rsidRDefault="00492E2F">
      <w:pPr>
        <w:tabs>
          <w:tab w:val="left" w:pos="-1440"/>
          <w:tab w:val="left" w:pos="-720"/>
        </w:tabs>
        <w:spacing w:after="0"/>
        <w:rPr>
          <w:rFonts w:ascii="Times New Roman" w:hAnsi="Times New Roman"/>
          <w:b/>
        </w:rPr>
      </w:pPr>
    </w:p>
    <w:p w14:paraId="6B92917E" w14:textId="77777777" w:rsidR="00492E2F" w:rsidRDefault="00492E2F">
      <w:pPr>
        <w:tabs>
          <w:tab w:val="left" w:pos="-1440"/>
          <w:tab w:val="left" w:pos="-720"/>
        </w:tabs>
        <w:spacing w:after="0"/>
        <w:rPr>
          <w:rFonts w:ascii="Times New Roman" w:hAnsi="Times New Roman"/>
          <w:b/>
        </w:rPr>
      </w:pPr>
    </w:p>
    <w:p w14:paraId="70E47C2B" w14:textId="77777777" w:rsidR="00492E2F" w:rsidRDefault="00492E2F">
      <w:pPr>
        <w:tabs>
          <w:tab w:val="left" w:pos="-1440"/>
          <w:tab w:val="left" w:pos="-720"/>
        </w:tabs>
        <w:spacing w:after="0"/>
        <w:rPr>
          <w:rFonts w:ascii="Times New Roman" w:hAnsi="Times New Roman"/>
          <w:b/>
        </w:rPr>
      </w:pPr>
    </w:p>
    <w:p w14:paraId="087C5EF5" w14:textId="77777777" w:rsidR="00492E2F" w:rsidRDefault="00492E2F">
      <w:pPr>
        <w:tabs>
          <w:tab w:val="left" w:pos="-1440"/>
          <w:tab w:val="left" w:pos="-720"/>
        </w:tabs>
        <w:spacing w:after="0"/>
        <w:rPr>
          <w:rFonts w:ascii="Times New Roman" w:hAnsi="Times New Roman"/>
          <w:b/>
        </w:rPr>
      </w:pPr>
    </w:p>
    <w:p w14:paraId="26538EAF" w14:textId="77777777" w:rsidR="00492E2F" w:rsidRDefault="00492E2F">
      <w:pPr>
        <w:tabs>
          <w:tab w:val="left" w:pos="-1440"/>
          <w:tab w:val="left" w:pos="-720"/>
        </w:tabs>
        <w:spacing w:after="0"/>
        <w:rPr>
          <w:rFonts w:ascii="Times New Roman" w:hAnsi="Times New Roman"/>
          <w:b/>
        </w:rPr>
      </w:pPr>
    </w:p>
    <w:p w14:paraId="6E959375" w14:textId="77777777" w:rsidR="00492E2F" w:rsidRDefault="00492E2F">
      <w:pPr>
        <w:tabs>
          <w:tab w:val="left" w:pos="-1440"/>
          <w:tab w:val="left" w:pos="-720"/>
        </w:tabs>
        <w:spacing w:after="0"/>
        <w:rPr>
          <w:rFonts w:ascii="Times New Roman" w:hAnsi="Times New Roman"/>
          <w:b/>
        </w:rPr>
      </w:pPr>
    </w:p>
    <w:p w14:paraId="7B46DF12" w14:textId="77777777" w:rsidR="00492E2F" w:rsidRDefault="00492E2F">
      <w:pPr>
        <w:tabs>
          <w:tab w:val="left" w:pos="-1440"/>
          <w:tab w:val="left" w:pos="-720"/>
        </w:tabs>
        <w:spacing w:after="0"/>
        <w:rPr>
          <w:rFonts w:ascii="Times New Roman" w:hAnsi="Times New Roman"/>
          <w:b/>
        </w:rPr>
      </w:pPr>
    </w:p>
    <w:p w14:paraId="68E8A135" w14:textId="77777777" w:rsidR="00492E2F" w:rsidRDefault="00492E2F">
      <w:pPr>
        <w:tabs>
          <w:tab w:val="left" w:pos="-1440"/>
          <w:tab w:val="left" w:pos="-720"/>
        </w:tabs>
        <w:spacing w:after="0"/>
        <w:rPr>
          <w:rFonts w:ascii="Times New Roman" w:hAnsi="Times New Roman"/>
          <w:b/>
        </w:rPr>
      </w:pPr>
    </w:p>
    <w:p w14:paraId="3F7D6F35" w14:textId="77777777" w:rsidR="00492E2F" w:rsidRDefault="00492E2F">
      <w:pPr>
        <w:tabs>
          <w:tab w:val="left" w:pos="-1440"/>
          <w:tab w:val="left" w:pos="-720"/>
        </w:tabs>
        <w:spacing w:after="0"/>
        <w:rPr>
          <w:rFonts w:ascii="Times New Roman" w:hAnsi="Times New Roman"/>
          <w:b/>
        </w:rPr>
      </w:pPr>
    </w:p>
    <w:p w14:paraId="4A200EE2" w14:textId="77777777" w:rsidR="00492E2F" w:rsidRDefault="00492E2F">
      <w:pPr>
        <w:tabs>
          <w:tab w:val="left" w:pos="-1440"/>
          <w:tab w:val="left" w:pos="-720"/>
        </w:tabs>
        <w:spacing w:after="0"/>
        <w:rPr>
          <w:rFonts w:ascii="Times New Roman" w:hAnsi="Times New Roman"/>
          <w:b/>
        </w:rPr>
      </w:pPr>
    </w:p>
    <w:p w14:paraId="4AE7CAA5" w14:textId="77777777" w:rsidR="00492E2F" w:rsidRDefault="00492E2F">
      <w:pPr>
        <w:tabs>
          <w:tab w:val="left" w:pos="-1440"/>
          <w:tab w:val="left" w:pos="-720"/>
        </w:tabs>
        <w:spacing w:after="0"/>
        <w:rPr>
          <w:rFonts w:ascii="Times New Roman" w:hAnsi="Times New Roman"/>
          <w:b/>
        </w:rPr>
      </w:pPr>
    </w:p>
    <w:p w14:paraId="3955EDEA" w14:textId="77777777" w:rsidR="00492E2F" w:rsidRDefault="00492E2F">
      <w:pPr>
        <w:tabs>
          <w:tab w:val="left" w:pos="-1440"/>
          <w:tab w:val="left" w:pos="-720"/>
        </w:tabs>
        <w:spacing w:after="0"/>
        <w:rPr>
          <w:rFonts w:ascii="Times New Roman" w:hAnsi="Times New Roman"/>
          <w:b/>
        </w:rPr>
      </w:pPr>
    </w:p>
    <w:p w14:paraId="3094F8E9" w14:textId="77777777" w:rsidR="00492E2F" w:rsidRDefault="00492E2F">
      <w:pPr>
        <w:tabs>
          <w:tab w:val="left" w:pos="-1440"/>
          <w:tab w:val="left" w:pos="-720"/>
        </w:tabs>
        <w:spacing w:after="0"/>
        <w:rPr>
          <w:rFonts w:ascii="Times New Roman" w:hAnsi="Times New Roman"/>
          <w:b/>
        </w:rPr>
      </w:pPr>
    </w:p>
    <w:p w14:paraId="5E1DC062" w14:textId="77777777" w:rsidR="00492E2F" w:rsidRDefault="00492E2F">
      <w:pPr>
        <w:tabs>
          <w:tab w:val="left" w:pos="-1440"/>
          <w:tab w:val="left" w:pos="-720"/>
        </w:tabs>
        <w:spacing w:after="0"/>
        <w:rPr>
          <w:rFonts w:ascii="Times New Roman" w:hAnsi="Times New Roman"/>
          <w:b/>
        </w:rPr>
      </w:pPr>
    </w:p>
    <w:p w14:paraId="366A6338" w14:textId="77777777" w:rsidR="00492E2F" w:rsidRDefault="00492E2F">
      <w:pPr>
        <w:pStyle w:val="Antrat2"/>
        <w:spacing w:before="0" w:after="0" w:line="240" w:lineRule="auto"/>
        <w:jc w:val="center"/>
        <w:rPr>
          <w:rFonts w:ascii="Times New Roman" w:hAnsi="Times New Roman"/>
          <w:i w:val="0"/>
          <w:sz w:val="22"/>
          <w:szCs w:val="22"/>
        </w:rPr>
      </w:pPr>
    </w:p>
    <w:p w14:paraId="2A6D193C" w14:textId="77777777" w:rsidR="00492E2F" w:rsidRDefault="00492E2F">
      <w:pPr>
        <w:pStyle w:val="Antrat2"/>
        <w:spacing w:before="0" w:after="0" w:line="240" w:lineRule="auto"/>
        <w:jc w:val="center"/>
        <w:rPr>
          <w:rFonts w:ascii="Times New Roman" w:hAnsi="Times New Roman"/>
          <w:i w:val="0"/>
          <w:sz w:val="22"/>
          <w:szCs w:val="22"/>
        </w:rPr>
      </w:pPr>
    </w:p>
    <w:p w14:paraId="366DEDFC" w14:textId="77777777" w:rsidR="00492E2F" w:rsidRDefault="00492E2F">
      <w:pPr>
        <w:pStyle w:val="Antrat2"/>
        <w:spacing w:before="0" w:after="0" w:line="240" w:lineRule="auto"/>
        <w:jc w:val="center"/>
        <w:rPr>
          <w:rFonts w:ascii="Times New Roman" w:hAnsi="Times New Roman"/>
          <w:i w:val="0"/>
          <w:sz w:val="22"/>
          <w:szCs w:val="22"/>
        </w:rPr>
      </w:pPr>
    </w:p>
    <w:p w14:paraId="324FB88F" w14:textId="77777777" w:rsidR="00492E2F" w:rsidRDefault="00492E2F">
      <w:pPr>
        <w:pStyle w:val="Antrat2"/>
        <w:spacing w:before="0" w:after="0" w:line="240" w:lineRule="auto"/>
        <w:jc w:val="center"/>
        <w:rPr>
          <w:rFonts w:ascii="Times New Roman" w:hAnsi="Times New Roman"/>
          <w:i w:val="0"/>
          <w:sz w:val="22"/>
          <w:szCs w:val="22"/>
        </w:rPr>
      </w:pPr>
    </w:p>
    <w:p w14:paraId="376821E3" w14:textId="77777777" w:rsidR="00492E2F" w:rsidRDefault="003B68F9">
      <w:pPr>
        <w:pStyle w:val="Antrat2"/>
        <w:spacing w:before="0" w:after="0" w:line="240" w:lineRule="auto"/>
        <w:jc w:val="center"/>
        <w:rPr>
          <w:rFonts w:ascii="Times New Roman" w:hAnsi="Times New Roman"/>
          <w:bCs w:val="0"/>
          <w:i w:val="0"/>
          <w:iCs w:val="0"/>
          <w:sz w:val="22"/>
          <w:szCs w:val="22"/>
          <w:lang w:val="pt-PT"/>
        </w:rPr>
      </w:pPr>
      <w:r>
        <w:rPr>
          <w:rFonts w:ascii="Times New Roman" w:hAnsi="Times New Roman"/>
          <w:i w:val="0"/>
          <w:sz w:val="22"/>
          <w:szCs w:val="22"/>
          <w:lang w:val="pt-PT"/>
        </w:rPr>
        <w:t>I PRIEDAS</w:t>
      </w:r>
    </w:p>
    <w:p w14:paraId="30E8D66F" w14:textId="77777777" w:rsidR="00492E2F" w:rsidRDefault="00492E2F">
      <w:pPr>
        <w:spacing w:after="0" w:line="240" w:lineRule="auto"/>
        <w:rPr>
          <w:rFonts w:ascii="Times New Roman" w:hAnsi="Times New Roman"/>
        </w:rPr>
      </w:pPr>
    </w:p>
    <w:p w14:paraId="6F773969" w14:textId="77777777" w:rsidR="00492E2F" w:rsidRDefault="003B68F9">
      <w:pPr>
        <w:tabs>
          <w:tab w:val="left" w:pos="-1440"/>
          <w:tab w:val="left" w:pos="-720"/>
        </w:tabs>
        <w:spacing w:after="0"/>
        <w:jc w:val="center"/>
        <w:rPr>
          <w:rFonts w:ascii="Times New Roman" w:hAnsi="Times New Roman"/>
          <w:b/>
        </w:rPr>
      </w:pPr>
      <w:r>
        <w:rPr>
          <w:rFonts w:ascii="Times New Roman" w:hAnsi="Times New Roman"/>
          <w:b/>
        </w:rPr>
        <w:t>PREPARATO CHARAKTERISTIKŲ SANTRAUKA</w:t>
      </w:r>
    </w:p>
    <w:p w14:paraId="4BE27039" w14:textId="77777777" w:rsidR="00492E2F" w:rsidRDefault="003B68F9">
      <w:pPr>
        <w:spacing w:after="0"/>
        <w:ind w:left="567" w:hanging="567"/>
        <w:rPr>
          <w:rFonts w:ascii="Times New Roman" w:hAnsi="Times New Roman"/>
          <w:b/>
          <w:bCs/>
        </w:rPr>
      </w:pPr>
      <w:r>
        <w:rPr>
          <w:rFonts w:ascii="Times New Roman" w:hAnsi="Times New Roman"/>
          <w:lang w:eastAsia="zh-CN"/>
        </w:rPr>
        <w:br w:type="page"/>
      </w:r>
      <w:r>
        <w:rPr>
          <w:rFonts w:ascii="Times New Roman" w:hAnsi="Times New Roman"/>
          <w:b/>
          <w:bCs/>
        </w:rPr>
        <w:lastRenderedPageBreak/>
        <w:t>1.</w:t>
      </w:r>
      <w:r>
        <w:rPr>
          <w:rFonts w:ascii="Times New Roman" w:hAnsi="Times New Roman"/>
          <w:b/>
          <w:bCs/>
        </w:rPr>
        <w:tab/>
        <w:t>VAISTINIO PREPARATO PAVADINIMAS</w:t>
      </w:r>
    </w:p>
    <w:p w14:paraId="48F816F2" w14:textId="77777777" w:rsidR="00492E2F" w:rsidRDefault="00492E2F">
      <w:pPr>
        <w:spacing w:after="0"/>
        <w:rPr>
          <w:rFonts w:ascii="Times New Roman" w:hAnsi="Times New Roman"/>
        </w:rPr>
      </w:pPr>
    </w:p>
    <w:p w14:paraId="70950C64" w14:textId="674E9704" w:rsidR="00492E2F" w:rsidRDefault="002F33BE">
      <w:pPr>
        <w:spacing w:after="0" w:line="240" w:lineRule="auto"/>
        <w:jc w:val="both"/>
        <w:rPr>
          <w:rFonts w:ascii="Times New Roman" w:hAnsi="Times New Roman"/>
        </w:rPr>
      </w:pPr>
      <w:r>
        <w:rPr>
          <w:rFonts w:ascii="Times New Roman" w:hAnsi="Times New Roman"/>
        </w:rPr>
        <w:t>Axigalu</w:t>
      </w:r>
      <w:r w:rsidR="003B68F9">
        <w:rPr>
          <w:rFonts w:ascii="Times New Roman" w:hAnsi="Times New Roman"/>
        </w:rPr>
        <w:t xml:space="preserve"> </w:t>
      </w:r>
      <w:r w:rsidR="00D35343">
        <w:rPr>
          <w:rFonts w:ascii="Times New Roman" w:hAnsi="Times New Roman"/>
        </w:rPr>
        <w:t>100</w:t>
      </w:r>
      <w:r w:rsidR="003B68F9">
        <w:rPr>
          <w:rFonts w:ascii="Times New Roman" w:hAnsi="Times New Roman"/>
        </w:rPr>
        <w:t> mg/</w:t>
      </w:r>
      <w:r w:rsidR="00D35343">
        <w:rPr>
          <w:rFonts w:ascii="Times New Roman" w:hAnsi="Times New Roman"/>
        </w:rPr>
        <w:t>10</w:t>
      </w:r>
      <w:r w:rsidR="003B68F9">
        <w:rPr>
          <w:rFonts w:ascii="Times New Roman" w:hAnsi="Times New Roman"/>
        </w:rPr>
        <w:t> mg plėvele dengtos tabletės</w:t>
      </w:r>
    </w:p>
    <w:p w14:paraId="2109474D" w14:textId="2DA96B49" w:rsidR="00492E2F" w:rsidRDefault="00492E2F">
      <w:pPr>
        <w:spacing w:after="0"/>
        <w:rPr>
          <w:rFonts w:ascii="Times New Roman" w:hAnsi="Times New Roman"/>
        </w:rPr>
      </w:pPr>
    </w:p>
    <w:p w14:paraId="5785A0D1" w14:textId="77777777" w:rsidR="0075122E" w:rsidRDefault="0075122E">
      <w:pPr>
        <w:spacing w:after="0"/>
        <w:rPr>
          <w:rFonts w:ascii="Times New Roman" w:hAnsi="Times New Roman"/>
        </w:rPr>
      </w:pPr>
    </w:p>
    <w:p w14:paraId="7C0108E5" w14:textId="77777777" w:rsidR="00492E2F" w:rsidRPr="0030702D" w:rsidRDefault="003B68F9">
      <w:pPr>
        <w:widowControl w:val="0"/>
        <w:tabs>
          <w:tab w:val="left" w:pos="567"/>
        </w:tabs>
        <w:spacing w:after="0" w:line="240" w:lineRule="auto"/>
        <w:rPr>
          <w:rFonts w:ascii="Times New Roman" w:eastAsia="Times New Roman" w:hAnsi="Times New Roman"/>
          <w:lang w:eastAsia="sl-SI"/>
        </w:rPr>
      </w:pPr>
      <w:r w:rsidRPr="0030702D">
        <w:rPr>
          <w:rFonts w:ascii="Times New Roman" w:eastAsia="Times New Roman" w:hAnsi="Times New Roman"/>
          <w:b/>
          <w:lang w:eastAsia="sl-SI"/>
        </w:rPr>
        <w:t>2.</w:t>
      </w:r>
      <w:r w:rsidRPr="0030702D">
        <w:rPr>
          <w:rFonts w:ascii="Times New Roman" w:eastAsia="Times New Roman" w:hAnsi="Times New Roman"/>
          <w:b/>
          <w:lang w:eastAsia="sl-SI"/>
        </w:rPr>
        <w:tab/>
        <w:t>KOKYBINĖ IR KIEKYBINĖ SUDĖTIS</w:t>
      </w:r>
    </w:p>
    <w:p w14:paraId="4EBF34AC" w14:textId="77777777" w:rsidR="00492E2F" w:rsidRDefault="00492E2F">
      <w:pPr>
        <w:tabs>
          <w:tab w:val="left" w:pos="426"/>
        </w:tabs>
        <w:spacing w:after="0" w:line="240" w:lineRule="auto"/>
        <w:rPr>
          <w:rFonts w:ascii="Times New Roman" w:eastAsia="Arial Unicode MS" w:hAnsi="Times New Roman"/>
          <w:bCs/>
          <w:noProof/>
          <w:color w:val="000000"/>
        </w:rPr>
      </w:pPr>
    </w:p>
    <w:p w14:paraId="18549183" w14:textId="748FBC91" w:rsidR="00492E2F" w:rsidRDefault="00731169">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 xml:space="preserve">Kiekvienoje </w:t>
      </w:r>
      <w:r w:rsidR="003B68F9">
        <w:rPr>
          <w:rFonts w:ascii="Times New Roman" w:eastAsia="Arial Unicode MS" w:hAnsi="Times New Roman"/>
          <w:bCs/>
          <w:noProof/>
          <w:color w:val="000000"/>
        </w:rPr>
        <w:t xml:space="preserve">plėvele dengtoje tabletėje yra </w:t>
      </w:r>
      <w:bookmarkStart w:id="0" w:name="_Hlk190770713"/>
      <w:r w:rsidR="00D35343">
        <w:rPr>
          <w:rFonts w:ascii="Times New Roman" w:eastAsia="Arial Unicode MS" w:hAnsi="Times New Roman"/>
          <w:bCs/>
          <w:noProof/>
          <w:color w:val="000000"/>
        </w:rPr>
        <w:t>100</w:t>
      </w:r>
      <w:r w:rsidR="003B68F9">
        <w:rPr>
          <w:rFonts w:ascii="Times New Roman" w:eastAsia="Arial Unicode MS" w:hAnsi="Times New Roman"/>
          <w:bCs/>
          <w:noProof/>
          <w:color w:val="000000"/>
        </w:rPr>
        <w:t xml:space="preserve"> mg </w:t>
      </w:r>
      <w:r w:rsidR="00D35343">
        <w:rPr>
          <w:rFonts w:ascii="Times New Roman" w:eastAsia="Arial Unicode MS" w:hAnsi="Times New Roman"/>
          <w:bCs/>
          <w:noProof/>
          <w:color w:val="000000"/>
        </w:rPr>
        <w:t>sitagliptino</w:t>
      </w:r>
      <w:r w:rsidR="003B68F9">
        <w:rPr>
          <w:rFonts w:ascii="Times New Roman" w:eastAsia="Arial Unicode MS" w:hAnsi="Times New Roman"/>
          <w:bCs/>
          <w:noProof/>
          <w:color w:val="000000"/>
        </w:rPr>
        <w:t xml:space="preserve"> </w:t>
      </w:r>
      <w:r w:rsidR="00D35343">
        <w:rPr>
          <w:rFonts w:ascii="Times New Roman" w:eastAsia="Arial Unicode MS" w:hAnsi="Times New Roman"/>
          <w:bCs/>
          <w:noProof/>
          <w:color w:val="000000"/>
        </w:rPr>
        <w:t>(</w:t>
      </w:r>
      <w:r w:rsidR="00D35343" w:rsidRPr="00D35343">
        <w:rPr>
          <w:rFonts w:ascii="Times New Roman" w:eastAsia="Arial Unicode MS" w:hAnsi="Times New Roman"/>
          <w:bCs/>
          <w:noProof/>
          <w:color w:val="000000"/>
        </w:rPr>
        <w:t>sitagliptino fosfato monohidrato pavidalu</w:t>
      </w:r>
      <w:r w:rsidR="00D35343">
        <w:rPr>
          <w:rFonts w:ascii="Times New Roman" w:eastAsia="Arial Unicode MS" w:hAnsi="Times New Roman"/>
          <w:bCs/>
          <w:noProof/>
          <w:color w:val="000000"/>
        </w:rPr>
        <w:t>)</w:t>
      </w:r>
      <w:r w:rsidR="00D35343" w:rsidRPr="00D35343">
        <w:rPr>
          <w:rFonts w:ascii="Times New Roman" w:eastAsia="Arial Unicode MS" w:hAnsi="Times New Roman"/>
          <w:bCs/>
          <w:noProof/>
          <w:color w:val="000000"/>
        </w:rPr>
        <w:t xml:space="preserve"> </w:t>
      </w:r>
      <w:r w:rsidR="00A415F1">
        <w:rPr>
          <w:rFonts w:ascii="Times New Roman" w:eastAsia="Arial Unicode MS" w:hAnsi="Times New Roman"/>
          <w:bCs/>
          <w:noProof/>
          <w:color w:val="000000"/>
        </w:rPr>
        <w:t xml:space="preserve">ir </w:t>
      </w:r>
      <w:r w:rsidR="00D35343">
        <w:rPr>
          <w:rFonts w:ascii="Times New Roman" w:eastAsia="Arial Unicode MS" w:hAnsi="Times New Roman"/>
          <w:bCs/>
          <w:noProof/>
          <w:color w:val="000000"/>
        </w:rPr>
        <w:t>10</w:t>
      </w:r>
      <w:r w:rsidR="003B68F9">
        <w:rPr>
          <w:rFonts w:ascii="Times New Roman" w:eastAsia="Arial Unicode MS" w:hAnsi="Times New Roman"/>
          <w:bCs/>
          <w:noProof/>
          <w:color w:val="000000"/>
        </w:rPr>
        <w:t> mg d</w:t>
      </w:r>
      <w:r w:rsidR="00D35343">
        <w:rPr>
          <w:rFonts w:ascii="Times New Roman" w:eastAsia="Arial Unicode MS" w:hAnsi="Times New Roman"/>
          <w:bCs/>
          <w:noProof/>
          <w:color w:val="000000"/>
        </w:rPr>
        <w:t>apagliflozino</w:t>
      </w:r>
      <w:r w:rsidR="003B68F9">
        <w:rPr>
          <w:rFonts w:ascii="Times New Roman" w:eastAsia="Arial Unicode MS" w:hAnsi="Times New Roman"/>
          <w:bCs/>
          <w:noProof/>
          <w:color w:val="000000"/>
        </w:rPr>
        <w:t xml:space="preserve"> (</w:t>
      </w:r>
      <w:r w:rsidR="00D35343" w:rsidRPr="00D35343">
        <w:rPr>
          <w:rFonts w:ascii="Times New Roman" w:eastAsia="Arial Unicode MS" w:hAnsi="Times New Roman"/>
          <w:bCs/>
          <w:noProof/>
          <w:color w:val="000000"/>
        </w:rPr>
        <w:t xml:space="preserve">dapagliflozino propandiolio monohidrato </w:t>
      </w:r>
      <w:r w:rsidR="00F81743">
        <w:rPr>
          <w:rFonts w:ascii="Times New Roman" w:eastAsia="Arial Unicode MS" w:hAnsi="Times New Roman"/>
          <w:bCs/>
          <w:noProof/>
          <w:color w:val="000000"/>
        </w:rPr>
        <w:t>pavidalu</w:t>
      </w:r>
      <w:r w:rsidR="003B68F9">
        <w:rPr>
          <w:rFonts w:ascii="Times New Roman" w:eastAsia="Arial Unicode MS" w:hAnsi="Times New Roman"/>
          <w:bCs/>
          <w:noProof/>
          <w:color w:val="000000"/>
        </w:rPr>
        <w:t>).</w:t>
      </w:r>
      <w:bookmarkEnd w:id="0"/>
    </w:p>
    <w:p w14:paraId="7F5F1F0F" w14:textId="77777777" w:rsidR="00492E2F" w:rsidRDefault="00492E2F">
      <w:pPr>
        <w:tabs>
          <w:tab w:val="left" w:pos="426"/>
        </w:tabs>
        <w:spacing w:after="0" w:line="240" w:lineRule="auto"/>
        <w:rPr>
          <w:rFonts w:ascii="Times New Roman" w:eastAsia="Arial Unicode MS" w:hAnsi="Times New Roman"/>
          <w:bCs/>
          <w:noProof/>
          <w:color w:val="000000"/>
        </w:rPr>
      </w:pPr>
    </w:p>
    <w:p w14:paraId="7F3785CC" w14:textId="77777777" w:rsidR="00492E2F" w:rsidRDefault="003B68F9">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Visos pagalbinės medžiagos išvardytos 6.1 skyriuje.</w:t>
      </w:r>
    </w:p>
    <w:p w14:paraId="1014CCFC" w14:textId="77777777" w:rsidR="00492E2F" w:rsidRDefault="00492E2F">
      <w:pPr>
        <w:spacing w:after="0"/>
        <w:rPr>
          <w:rFonts w:ascii="Times New Roman" w:hAnsi="Times New Roman"/>
        </w:rPr>
      </w:pPr>
    </w:p>
    <w:p w14:paraId="0908AC5A" w14:textId="77777777" w:rsidR="00492E2F" w:rsidRDefault="00492E2F">
      <w:pPr>
        <w:spacing w:after="0"/>
        <w:rPr>
          <w:rFonts w:ascii="Times New Roman" w:hAnsi="Times New Roman"/>
        </w:rPr>
      </w:pPr>
    </w:p>
    <w:p w14:paraId="2CC8B324" w14:textId="77777777" w:rsidR="00492E2F" w:rsidRDefault="003B68F9">
      <w:pPr>
        <w:widowControl w:val="0"/>
        <w:spacing w:after="0" w:line="240" w:lineRule="auto"/>
        <w:ind w:left="567" w:hanging="567"/>
        <w:rPr>
          <w:rFonts w:ascii="Times New Roman" w:eastAsia="Times New Roman" w:hAnsi="Times New Roman"/>
          <w:b/>
          <w:caps/>
          <w:lang w:eastAsia="sl-SI"/>
        </w:rPr>
      </w:pPr>
      <w:r>
        <w:rPr>
          <w:rFonts w:ascii="Times New Roman" w:eastAsia="Times New Roman" w:hAnsi="Times New Roman"/>
          <w:b/>
          <w:lang w:eastAsia="sl-SI"/>
        </w:rPr>
        <w:t>3.</w:t>
      </w:r>
      <w:r>
        <w:rPr>
          <w:rFonts w:ascii="Times New Roman" w:eastAsia="Times New Roman" w:hAnsi="Times New Roman"/>
          <w:b/>
          <w:lang w:eastAsia="sl-SI"/>
        </w:rPr>
        <w:tab/>
        <w:t>FARMACINĖ FORMA</w:t>
      </w:r>
    </w:p>
    <w:p w14:paraId="2A8D39A1" w14:textId="77777777" w:rsidR="00492E2F" w:rsidRDefault="00492E2F">
      <w:pPr>
        <w:widowControl w:val="0"/>
        <w:spacing w:after="0" w:line="240" w:lineRule="auto"/>
        <w:rPr>
          <w:rFonts w:ascii="Times New Roman" w:eastAsia="Times New Roman" w:hAnsi="Times New Roman"/>
          <w:lang w:eastAsia="sl-SI"/>
        </w:rPr>
      </w:pPr>
    </w:p>
    <w:p w14:paraId="06E8AF42"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Plėvele dengta tabletė (tabletė)</w:t>
      </w:r>
    </w:p>
    <w:p w14:paraId="27981B52" w14:textId="77777777" w:rsidR="00492E2F" w:rsidRDefault="00492E2F">
      <w:pPr>
        <w:widowControl w:val="0"/>
        <w:spacing w:after="0" w:line="240" w:lineRule="auto"/>
        <w:rPr>
          <w:rFonts w:ascii="Times New Roman" w:eastAsia="Times New Roman" w:hAnsi="Times New Roman"/>
          <w:lang w:eastAsia="sl-SI"/>
        </w:rPr>
      </w:pPr>
    </w:p>
    <w:p w14:paraId="115CCFF1" w14:textId="74A5EAD2" w:rsidR="00492E2F" w:rsidRDefault="008353F9">
      <w:pPr>
        <w:widowControl w:val="0"/>
        <w:spacing w:after="0" w:line="240" w:lineRule="auto"/>
        <w:rPr>
          <w:rFonts w:ascii="Times New Roman" w:eastAsia="Times New Roman" w:hAnsi="Times New Roman"/>
          <w:lang w:eastAsia="sl-SI"/>
        </w:rPr>
      </w:pPr>
      <w:r w:rsidRPr="008353F9">
        <w:rPr>
          <w:rFonts w:ascii="Times New Roman" w:eastAsia="Times New Roman" w:hAnsi="Times New Roman"/>
          <w:lang w:eastAsia="sl-SI"/>
        </w:rPr>
        <w:t xml:space="preserve">Rusvai geltonos, ovalios, abipus išgaubtos, plėvele dengtos tabletės. Tabletės </w:t>
      </w:r>
      <w:r>
        <w:rPr>
          <w:rFonts w:ascii="Times New Roman" w:eastAsia="Times New Roman" w:hAnsi="Times New Roman"/>
          <w:lang w:eastAsia="sl-SI"/>
        </w:rPr>
        <w:t>matmenys</w:t>
      </w:r>
      <w:r w:rsidRPr="008353F9">
        <w:rPr>
          <w:rFonts w:ascii="Times New Roman" w:eastAsia="Times New Roman" w:hAnsi="Times New Roman"/>
          <w:lang w:eastAsia="sl-SI"/>
        </w:rPr>
        <w:t>: maždaug 15</w:t>
      </w:r>
      <w:r>
        <w:rPr>
          <w:rFonts w:ascii="Times New Roman" w:eastAsia="Times New Roman" w:hAnsi="Times New Roman"/>
          <w:lang w:eastAsia="sl-SI"/>
        </w:rPr>
        <w:t> mm </w:t>
      </w:r>
      <w:r w:rsidRPr="008353F9">
        <w:rPr>
          <w:rFonts w:ascii="Times New Roman" w:eastAsia="Times New Roman" w:hAnsi="Times New Roman"/>
          <w:lang w:eastAsia="sl-SI"/>
        </w:rPr>
        <w:t>x</w:t>
      </w:r>
      <w:r>
        <w:rPr>
          <w:rFonts w:ascii="Times New Roman" w:eastAsia="Times New Roman" w:hAnsi="Times New Roman"/>
          <w:lang w:eastAsia="sl-SI"/>
        </w:rPr>
        <w:t> </w:t>
      </w:r>
      <w:r w:rsidRPr="008353F9">
        <w:rPr>
          <w:rFonts w:ascii="Times New Roman" w:eastAsia="Times New Roman" w:hAnsi="Times New Roman"/>
          <w:lang w:eastAsia="sl-SI"/>
        </w:rPr>
        <w:t>7</w:t>
      </w:r>
      <w:r>
        <w:rPr>
          <w:rFonts w:ascii="Times New Roman" w:eastAsia="Times New Roman" w:hAnsi="Times New Roman"/>
          <w:lang w:eastAsia="sl-SI"/>
        </w:rPr>
        <w:t> </w:t>
      </w:r>
      <w:r w:rsidRPr="008353F9">
        <w:rPr>
          <w:rFonts w:ascii="Times New Roman" w:eastAsia="Times New Roman" w:hAnsi="Times New Roman"/>
          <w:lang w:eastAsia="sl-SI"/>
        </w:rPr>
        <w:t>mm.</w:t>
      </w:r>
    </w:p>
    <w:p w14:paraId="53550711" w14:textId="7CF0B794" w:rsidR="00492E2F" w:rsidRDefault="00492E2F">
      <w:pPr>
        <w:spacing w:after="0" w:line="240" w:lineRule="auto"/>
        <w:rPr>
          <w:rFonts w:ascii="Times New Roman" w:hAnsi="Times New Roman"/>
        </w:rPr>
      </w:pPr>
    </w:p>
    <w:p w14:paraId="39BFA2AD" w14:textId="77777777" w:rsidR="00AC5296" w:rsidRDefault="00AC5296">
      <w:pPr>
        <w:spacing w:after="0" w:line="240" w:lineRule="auto"/>
        <w:rPr>
          <w:rFonts w:ascii="Times New Roman" w:hAnsi="Times New Roman"/>
        </w:rPr>
      </w:pPr>
    </w:p>
    <w:p w14:paraId="29544686" w14:textId="77777777" w:rsidR="003124CB" w:rsidRPr="003124CB" w:rsidRDefault="003124CB" w:rsidP="003124CB">
      <w:pPr>
        <w:widowControl w:val="0"/>
        <w:tabs>
          <w:tab w:val="left" w:pos="567"/>
        </w:tabs>
        <w:spacing w:after="0" w:line="240" w:lineRule="auto"/>
        <w:ind w:left="567" w:hanging="567"/>
        <w:outlineLvl w:val="1"/>
        <w:rPr>
          <w:rFonts w:ascii="Times New Roman" w:eastAsia="Times New Roman" w:hAnsi="Times New Roman"/>
          <w:b/>
        </w:rPr>
      </w:pPr>
      <w:r w:rsidRPr="003124CB">
        <w:rPr>
          <w:rFonts w:ascii="Times New Roman" w:eastAsia="Times New Roman" w:hAnsi="Times New Roman"/>
          <w:b/>
        </w:rPr>
        <w:t>4.</w:t>
      </w:r>
      <w:r w:rsidRPr="003124CB">
        <w:rPr>
          <w:rFonts w:ascii="Times New Roman" w:eastAsia="Times New Roman" w:hAnsi="Times New Roman"/>
          <w:b/>
        </w:rPr>
        <w:tab/>
        <w:t>KLINIKINĖ INFORMACIJA</w:t>
      </w:r>
    </w:p>
    <w:p w14:paraId="21224D16"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3BF406A1"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4.1</w:t>
      </w:r>
      <w:r w:rsidRPr="003124CB">
        <w:rPr>
          <w:rFonts w:ascii="Times New Roman" w:eastAsia="Times New Roman" w:hAnsi="Times New Roman"/>
          <w:b/>
          <w:kern w:val="28"/>
        </w:rPr>
        <w:tab/>
        <w:t>Terapinės indikacijos</w:t>
      </w:r>
    </w:p>
    <w:p w14:paraId="1BAF2CD3"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2A57686E" w14:textId="4A3ED148" w:rsidR="003124CB" w:rsidRPr="003124CB" w:rsidRDefault="002F33BE" w:rsidP="003124CB">
      <w:pPr>
        <w:widowControl w:val="0"/>
        <w:tabs>
          <w:tab w:val="left" w:pos="567"/>
        </w:tabs>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Axigalu</w:t>
      </w:r>
      <w:proofErr w:type="spellEnd"/>
      <w:r w:rsidR="003124CB" w:rsidRPr="003124CB">
        <w:rPr>
          <w:rFonts w:ascii="Times New Roman" w:eastAsia="Times New Roman" w:hAnsi="Times New Roman"/>
          <w:lang w:eastAsia="sl-SI"/>
        </w:rPr>
        <w:t xml:space="preserve"> </w:t>
      </w:r>
      <w:r w:rsidR="003935FE">
        <w:rPr>
          <w:rFonts w:ascii="Times New Roman" w:eastAsia="Times New Roman" w:hAnsi="Times New Roman"/>
          <w:lang w:eastAsia="sl-SI"/>
        </w:rPr>
        <w:t>skirtas</w:t>
      </w:r>
      <w:r w:rsidR="003124CB" w:rsidRPr="003124CB">
        <w:rPr>
          <w:rFonts w:ascii="Times New Roman" w:eastAsia="Times New Roman" w:hAnsi="Times New Roman"/>
          <w:lang w:eastAsia="sl-SI"/>
        </w:rPr>
        <w:t xml:space="preserve"> gydyti 18 metų ir vyresni</w:t>
      </w:r>
      <w:r w:rsidR="000C4A27">
        <w:rPr>
          <w:rFonts w:ascii="Times New Roman" w:eastAsia="Times New Roman" w:hAnsi="Times New Roman"/>
          <w:lang w:eastAsia="sl-SI"/>
        </w:rPr>
        <w:t>ų</w:t>
      </w:r>
      <w:r w:rsidR="003124CB" w:rsidRPr="003124CB">
        <w:rPr>
          <w:rFonts w:ascii="Times New Roman" w:eastAsia="Times New Roman" w:hAnsi="Times New Roman"/>
          <w:lang w:eastAsia="sl-SI"/>
        </w:rPr>
        <w:t xml:space="preserve"> suaugusi</w:t>
      </w:r>
      <w:r w:rsidR="000C4A27">
        <w:rPr>
          <w:rFonts w:ascii="Times New Roman" w:eastAsia="Times New Roman" w:hAnsi="Times New Roman"/>
          <w:lang w:eastAsia="sl-SI"/>
        </w:rPr>
        <w:t xml:space="preserve">ųjų </w:t>
      </w:r>
      <w:r w:rsidR="000C4A27" w:rsidRPr="003124CB">
        <w:rPr>
          <w:rFonts w:ascii="Times New Roman" w:eastAsia="Times New Roman" w:hAnsi="Times New Roman"/>
          <w:lang w:eastAsia="sl-SI"/>
        </w:rPr>
        <w:t>2 tipo cukrini</w:t>
      </w:r>
      <w:r w:rsidR="000C4A27">
        <w:rPr>
          <w:rFonts w:ascii="Times New Roman" w:eastAsia="Times New Roman" w:hAnsi="Times New Roman"/>
          <w:lang w:eastAsia="sl-SI"/>
        </w:rPr>
        <w:t>o</w:t>
      </w:r>
      <w:r w:rsidR="000C4A27" w:rsidRPr="003124CB">
        <w:rPr>
          <w:rFonts w:ascii="Times New Roman" w:eastAsia="Times New Roman" w:hAnsi="Times New Roman"/>
          <w:lang w:eastAsia="sl-SI"/>
        </w:rPr>
        <w:t xml:space="preserve"> diabet</w:t>
      </w:r>
      <w:r w:rsidR="000C4A27">
        <w:rPr>
          <w:rFonts w:ascii="Times New Roman" w:eastAsia="Times New Roman" w:hAnsi="Times New Roman"/>
          <w:lang w:eastAsia="sl-SI"/>
        </w:rPr>
        <w:t>o</w:t>
      </w:r>
      <w:r w:rsidR="003124CB" w:rsidRPr="003124CB">
        <w:rPr>
          <w:rFonts w:ascii="Times New Roman" w:eastAsia="Times New Roman" w:hAnsi="Times New Roman"/>
          <w:lang w:eastAsia="sl-SI"/>
        </w:rPr>
        <w:t xml:space="preserve"> pakeičiam</w:t>
      </w:r>
      <w:r w:rsidR="000C4A27">
        <w:rPr>
          <w:rFonts w:ascii="Times New Roman" w:eastAsia="Times New Roman" w:hAnsi="Times New Roman"/>
          <w:lang w:eastAsia="sl-SI"/>
        </w:rPr>
        <w:t>ajam</w:t>
      </w:r>
      <w:r w:rsidR="003124CB" w:rsidRPr="003124CB">
        <w:rPr>
          <w:rFonts w:ascii="Times New Roman" w:eastAsia="Times New Roman" w:hAnsi="Times New Roman"/>
          <w:lang w:eastAsia="sl-SI"/>
        </w:rPr>
        <w:t xml:space="preserve"> gydym</w:t>
      </w:r>
      <w:r w:rsidR="00656EB3">
        <w:rPr>
          <w:rFonts w:ascii="Times New Roman" w:eastAsia="Times New Roman" w:hAnsi="Times New Roman"/>
          <w:lang w:eastAsia="sl-SI"/>
        </w:rPr>
        <w:t>ui</w:t>
      </w:r>
      <w:r w:rsidR="003124CB" w:rsidRPr="003124CB">
        <w:rPr>
          <w:rFonts w:ascii="Times New Roman" w:eastAsia="Times New Roman" w:hAnsi="Times New Roman"/>
          <w:lang w:eastAsia="sl-SI"/>
        </w:rPr>
        <w:t xml:space="preserve"> </w:t>
      </w:r>
      <w:r w:rsidR="00084E0C">
        <w:rPr>
          <w:rFonts w:ascii="Times New Roman" w:eastAsia="Times New Roman" w:hAnsi="Times New Roman"/>
          <w:lang w:eastAsia="sl-SI"/>
        </w:rPr>
        <w:t xml:space="preserve">kartu su dieta ir fiziniais pratimais </w:t>
      </w:r>
      <w:r w:rsidR="003124CB" w:rsidRPr="003124CB">
        <w:rPr>
          <w:rFonts w:ascii="Times New Roman" w:eastAsia="Times New Roman" w:hAnsi="Times New Roman"/>
          <w:lang w:eastAsia="sl-SI"/>
        </w:rPr>
        <w:t xml:space="preserve">pacientams, kurių būklė yra tinkamai </w:t>
      </w:r>
      <w:r w:rsidR="00604360">
        <w:rPr>
          <w:rFonts w:ascii="Times New Roman" w:eastAsia="Times New Roman" w:hAnsi="Times New Roman"/>
          <w:lang w:eastAsia="sl-SI"/>
        </w:rPr>
        <w:t>sureguliuota</w:t>
      </w:r>
      <w:r w:rsidR="00604360" w:rsidRPr="003124CB">
        <w:rPr>
          <w:rFonts w:ascii="Times New Roman" w:eastAsia="Times New Roman" w:hAnsi="Times New Roman"/>
          <w:lang w:eastAsia="sl-SI"/>
        </w:rPr>
        <w:t xml:space="preserve"> </w:t>
      </w:r>
      <w:r w:rsidR="003124CB" w:rsidRPr="003124CB">
        <w:rPr>
          <w:rFonts w:ascii="Times New Roman" w:eastAsia="Times New Roman" w:hAnsi="Times New Roman"/>
          <w:lang w:eastAsia="sl-SI"/>
        </w:rPr>
        <w:t>kartu vartojamais dapagliflozinu ir sitagliptinu tomis pačiomis dozėmis, kurios yra sudėtiniame vaistiniame preparate, bet atskiro</w:t>
      </w:r>
      <w:r w:rsidR="00656EB3">
        <w:rPr>
          <w:rFonts w:ascii="Times New Roman" w:eastAsia="Times New Roman" w:hAnsi="Times New Roman"/>
          <w:lang w:eastAsia="sl-SI"/>
        </w:rPr>
        <w:t>mi</w:t>
      </w:r>
      <w:r w:rsidR="003124CB" w:rsidRPr="003124CB">
        <w:rPr>
          <w:rFonts w:ascii="Times New Roman" w:eastAsia="Times New Roman" w:hAnsi="Times New Roman"/>
          <w:lang w:eastAsia="sl-SI"/>
        </w:rPr>
        <w:t>s tabletėmis.</w:t>
      </w:r>
    </w:p>
    <w:p w14:paraId="764E0C44"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p>
    <w:p w14:paraId="2B397169"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rPr>
      </w:pPr>
      <w:r w:rsidRPr="003124CB">
        <w:rPr>
          <w:rFonts w:ascii="Times New Roman" w:eastAsia="Times New Roman" w:hAnsi="Times New Roman"/>
          <w:b/>
          <w:kern w:val="28"/>
        </w:rPr>
        <w:t>4.2</w:t>
      </w:r>
      <w:r w:rsidRPr="003124CB">
        <w:rPr>
          <w:rFonts w:ascii="Times New Roman" w:eastAsia="Times New Roman" w:hAnsi="Times New Roman"/>
          <w:b/>
          <w:kern w:val="28"/>
        </w:rPr>
        <w:tab/>
        <w:t>Dozavimas ir vartojimo metodas</w:t>
      </w:r>
    </w:p>
    <w:p w14:paraId="55C0816A"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5531A928" w14:textId="77777777" w:rsidR="003124CB" w:rsidRPr="003124CB" w:rsidRDefault="003124CB" w:rsidP="003124CB">
      <w:pPr>
        <w:widowControl w:val="0"/>
        <w:spacing w:after="0" w:line="240" w:lineRule="auto"/>
        <w:rPr>
          <w:rFonts w:ascii="Times New Roman" w:eastAsia="Times New Roman" w:hAnsi="Times New Roman"/>
        </w:rPr>
      </w:pPr>
      <w:r w:rsidRPr="003124CB">
        <w:rPr>
          <w:rFonts w:ascii="Times New Roman" w:eastAsia="Times New Roman" w:hAnsi="Times New Roman"/>
          <w:u w:val="single"/>
        </w:rPr>
        <w:t>Dozavimas</w:t>
      </w:r>
    </w:p>
    <w:p w14:paraId="6D3341B7" w14:textId="77777777" w:rsidR="003124CB" w:rsidRPr="003124CB" w:rsidRDefault="003124CB" w:rsidP="003124CB">
      <w:pPr>
        <w:widowControl w:val="0"/>
        <w:spacing w:after="0" w:line="240" w:lineRule="auto"/>
        <w:rPr>
          <w:rFonts w:ascii="Times New Roman" w:eastAsia="Times New Roman" w:hAnsi="Times New Roman"/>
          <w:i/>
          <w:iCs/>
        </w:rPr>
      </w:pPr>
    </w:p>
    <w:p w14:paraId="626CEFAE" w14:textId="66EF8408" w:rsidR="003124CB" w:rsidRPr="003124CB" w:rsidRDefault="003124CB" w:rsidP="003124CB">
      <w:pPr>
        <w:widowControl w:val="0"/>
        <w:spacing w:after="0" w:line="240" w:lineRule="auto"/>
        <w:rPr>
          <w:rFonts w:ascii="Times New Roman" w:eastAsia="Times New Roman" w:hAnsi="Times New Roman"/>
        </w:rPr>
      </w:pPr>
      <w:r w:rsidRPr="003124CB">
        <w:rPr>
          <w:rFonts w:ascii="Times New Roman" w:eastAsia="Times New Roman" w:hAnsi="Times New Roman"/>
        </w:rPr>
        <w:t>Rekomenduojama dozė yra viena 100 mg</w:t>
      </w:r>
      <w:r w:rsidR="00D82AED">
        <w:rPr>
          <w:rFonts w:ascii="Times New Roman" w:eastAsia="Times New Roman" w:hAnsi="Times New Roman"/>
        </w:rPr>
        <w:t> </w:t>
      </w:r>
      <w:proofErr w:type="spellStart"/>
      <w:r w:rsidRPr="003124CB">
        <w:rPr>
          <w:rFonts w:ascii="Times New Roman" w:eastAsia="Times New Roman" w:hAnsi="Times New Roman"/>
        </w:rPr>
        <w:t>sitagliptino</w:t>
      </w:r>
      <w:proofErr w:type="spellEnd"/>
      <w:r w:rsidRPr="003124CB">
        <w:rPr>
          <w:rFonts w:ascii="Times New Roman" w:eastAsia="Times New Roman" w:hAnsi="Times New Roman"/>
        </w:rPr>
        <w:t>/10 mg </w:t>
      </w:r>
      <w:proofErr w:type="spellStart"/>
      <w:r w:rsidRPr="003124CB">
        <w:rPr>
          <w:rFonts w:ascii="Times New Roman" w:eastAsia="Times New Roman" w:hAnsi="Times New Roman"/>
        </w:rPr>
        <w:t>dapagliflozino</w:t>
      </w:r>
      <w:proofErr w:type="spellEnd"/>
      <w:r w:rsidRPr="003124CB">
        <w:rPr>
          <w:rFonts w:ascii="Times New Roman" w:eastAsia="Times New Roman" w:hAnsi="Times New Roman"/>
        </w:rPr>
        <w:t xml:space="preserve"> tabletė vieną kartą per parą (žr. 4.5 ir 4.8 skyrius).</w:t>
      </w:r>
    </w:p>
    <w:p w14:paraId="0833DD20" w14:textId="77777777" w:rsidR="003124CB" w:rsidRPr="003124CB" w:rsidRDefault="003124CB" w:rsidP="003124CB">
      <w:pPr>
        <w:widowControl w:val="0"/>
        <w:spacing w:after="0" w:line="240" w:lineRule="auto"/>
        <w:rPr>
          <w:rFonts w:ascii="Times New Roman" w:eastAsia="Times New Roman" w:hAnsi="Times New Roman"/>
          <w:u w:val="single"/>
        </w:rPr>
      </w:pPr>
    </w:p>
    <w:p w14:paraId="48B6D237" w14:textId="77777777" w:rsidR="003124CB" w:rsidRPr="003124CB" w:rsidRDefault="003124CB" w:rsidP="003124CB">
      <w:pPr>
        <w:widowControl w:val="0"/>
        <w:spacing w:after="0" w:line="240" w:lineRule="auto"/>
        <w:rPr>
          <w:rFonts w:ascii="Times New Roman" w:eastAsia="Times New Roman" w:hAnsi="Times New Roman"/>
          <w:u w:val="single"/>
        </w:rPr>
      </w:pPr>
      <w:r w:rsidRPr="003124CB">
        <w:rPr>
          <w:rFonts w:ascii="Times New Roman" w:eastAsia="Times New Roman" w:hAnsi="Times New Roman"/>
          <w:u w:val="single"/>
        </w:rPr>
        <w:t>Praleista dozė</w:t>
      </w:r>
    </w:p>
    <w:p w14:paraId="28AB6DA9" w14:textId="77777777" w:rsidR="003124CB" w:rsidRPr="003124CB" w:rsidRDefault="003124CB" w:rsidP="003124CB">
      <w:pPr>
        <w:widowControl w:val="0"/>
        <w:spacing w:after="0" w:line="240" w:lineRule="auto"/>
        <w:rPr>
          <w:rFonts w:ascii="Times New Roman" w:eastAsia="Times New Roman" w:hAnsi="Times New Roman"/>
          <w:u w:val="single"/>
        </w:rPr>
      </w:pPr>
    </w:p>
    <w:p w14:paraId="539AB287" w14:textId="77777777" w:rsidR="003124CB" w:rsidRPr="003124CB" w:rsidRDefault="003124CB" w:rsidP="003124CB">
      <w:pPr>
        <w:widowControl w:val="0"/>
        <w:spacing w:after="0" w:line="240" w:lineRule="auto"/>
        <w:rPr>
          <w:rFonts w:ascii="Times New Roman" w:eastAsia="Times New Roman" w:hAnsi="Times New Roman"/>
        </w:rPr>
      </w:pPr>
      <w:r w:rsidRPr="003124CB">
        <w:rPr>
          <w:rFonts w:ascii="Times New Roman" w:eastAsia="Times New Roman" w:hAnsi="Times New Roman"/>
        </w:rPr>
        <w:t>Jei praleidžiama dozė ir iki kitos dozės vartojimo liko ≥ 12 valandų, dozę reikia išgerti. Jei praleidžiama dozė ir iki kitos dozės vartojimo liko &lt; 12 valandų, praleistos dozės reikia nebegerti, o kitą dozę vartoti įprastu laiku.</w:t>
      </w:r>
    </w:p>
    <w:p w14:paraId="70BFBF7B" w14:textId="77777777" w:rsidR="003124CB" w:rsidRPr="003124CB" w:rsidRDefault="003124CB" w:rsidP="003124CB">
      <w:pPr>
        <w:widowControl w:val="0"/>
        <w:spacing w:after="0" w:line="240" w:lineRule="auto"/>
        <w:rPr>
          <w:rFonts w:ascii="Times New Roman" w:eastAsia="Times New Roman" w:hAnsi="Times New Roman"/>
          <w:i/>
          <w:iCs/>
        </w:rPr>
      </w:pPr>
    </w:p>
    <w:p w14:paraId="0721B4BE" w14:textId="77777777" w:rsidR="003124CB" w:rsidRPr="003124CB" w:rsidRDefault="003124CB" w:rsidP="003124CB">
      <w:pPr>
        <w:widowControl w:val="0"/>
        <w:spacing w:after="0" w:line="240" w:lineRule="auto"/>
        <w:rPr>
          <w:rFonts w:ascii="Times New Roman" w:eastAsia="Times New Roman" w:hAnsi="Times New Roman"/>
          <w:u w:val="single"/>
        </w:rPr>
      </w:pPr>
      <w:r w:rsidRPr="003124CB">
        <w:rPr>
          <w:rFonts w:ascii="Times New Roman" w:eastAsia="Times New Roman" w:hAnsi="Times New Roman"/>
          <w:u w:val="single"/>
        </w:rPr>
        <w:t>Ypatingos populiacijos</w:t>
      </w:r>
    </w:p>
    <w:p w14:paraId="331F9598" w14:textId="77777777" w:rsidR="003124CB" w:rsidRPr="003124CB" w:rsidRDefault="003124CB" w:rsidP="003124CB">
      <w:pPr>
        <w:widowControl w:val="0"/>
        <w:spacing w:after="0" w:line="240" w:lineRule="auto"/>
        <w:rPr>
          <w:rFonts w:ascii="Times New Roman" w:eastAsia="Times New Roman" w:hAnsi="Times New Roman"/>
          <w:i/>
          <w:iCs/>
        </w:rPr>
      </w:pPr>
    </w:p>
    <w:p w14:paraId="5DBAC760" w14:textId="0DA90EAF" w:rsidR="003124CB" w:rsidRPr="003124CB" w:rsidRDefault="0049446C" w:rsidP="003124CB">
      <w:pPr>
        <w:widowControl w:val="0"/>
        <w:tabs>
          <w:tab w:val="left" w:pos="567"/>
        </w:tabs>
        <w:spacing w:after="0" w:line="240" w:lineRule="auto"/>
        <w:rPr>
          <w:rFonts w:ascii="Times New Roman" w:eastAsia="Times New Roman" w:hAnsi="Times New Roman"/>
          <w:i/>
          <w:iCs/>
        </w:rPr>
      </w:pPr>
      <w:r>
        <w:rPr>
          <w:rFonts w:ascii="Times New Roman" w:eastAsia="Times New Roman" w:hAnsi="Times New Roman"/>
          <w:i/>
          <w:iCs/>
        </w:rPr>
        <w:t>Pacientams, kurių inkstų</w:t>
      </w:r>
      <w:r w:rsidR="00384A0D">
        <w:rPr>
          <w:rFonts w:ascii="Times New Roman" w:eastAsia="Times New Roman" w:hAnsi="Times New Roman"/>
          <w:i/>
          <w:iCs/>
        </w:rPr>
        <w:t xml:space="preserve"> funkcija sutrikusi</w:t>
      </w:r>
    </w:p>
    <w:p w14:paraId="617FA1F0" w14:textId="11E6BF91" w:rsidR="003124CB" w:rsidRPr="003124CB" w:rsidRDefault="002F33BE" w:rsidP="003124CB">
      <w:pPr>
        <w:widowControl w:val="0"/>
        <w:tabs>
          <w:tab w:val="left" w:pos="567"/>
        </w:tabs>
        <w:spacing w:after="0" w:line="240" w:lineRule="auto"/>
        <w:rPr>
          <w:rFonts w:ascii="Times New Roman" w:eastAsia="Times New Roman" w:hAnsi="Times New Roman"/>
          <w:iCs/>
        </w:rPr>
      </w:pPr>
      <w:r>
        <w:rPr>
          <w:rFonts w:ascii="Times New Roman" w:eastAsia="Times New Roman" w:hAnsi="Times New Roman"/>
          <w:iCs/>
        </w:rPr>
        <w:t>Axigalu</w:t>
      </w:r>
      <w:r w:rsidR="003124CB" w:rsidRPr="003124CB">
        <w:rPr>
          <w:rFonts w:ascii="Times New Roman" w:eastAsia="Times New Roman" w:hAnsi="Times New Roman"/>
          <w:iCs/>
        </w:rPr>
        <w:t xml:space="preserve"> negalima pradėti vartoti pacientams, kurių glomerulų filtracijos greitis (GFG) yra &lt; 60 ml/min., o jei GFG nuolat mažesnis nei 45 ml/min., jo vartojimą reikia nutraukti. Jo taip pat negalima vartoti pacientams, sergantiems galutinės stadijos inkstų liga (GSIL) (žr. 4.4 ir 5.2 skyrius).</w:t>
      </w:r>
    </w:p>
    <w:p w14:paraId="78745BE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22F5FC4B" w14:textId="29A51901" w:rsidR="003124CB" w:rsidRPr="003124CB" w:rsidRDefault="007A5E46" w:rsidP="003124CB">
      <w:pPr>
        <w:widowControl w:val="0"/>
        <w:tabs>
          <w:tab w:val="left" w:pos="567"/>
        </w:tabs>
        <w:spacing w:after="0" w:line="240" w:lineRule="auto"/>
        <w:rPr>
          <w:rFonts w:ascii="Times New Roman" w:eastAsia="Times New Roman" w:hAnsi="Times New Roman"/>
          <w:i/>
          <w:iCs/>
        </w:rPr>
      </w:pPr>
      <w:r>
        <w:rPr>
          <w:rFonts w:ascii="Times New Roman" w:eastAsia="Times New Roman" w:hAnsi="Times New Roman"/>
          <w:i/>
          <w:iCs/>
        </w:rPr>
        <w:t>Pacientams, kurių kepenų funkcija sutrikusi</w:t>
      </w:r>
    </w:p>
    <w:p w14:paraId="51DC8137"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Šį vaistinį preparatą galima vartoti pacientams, kuriems yra lengvas arba vidutinio sunkumo kepenų funkcijos sutrikimas. Prieš pradedant gydymą ir gydymo metu reikia vertinti pacientų, kuriems yra vidutinio sunkumo kepenų funkcijos sutrikimas, būklę. Šio vaistinio preparato nerekomenduojama vartoti pacientams, kuriems yra sunkus kepenų funkcijos sutrikimas (žr. 4.4 skyrių).</w:t>
      </w:r>
    </w:p>
    <w:p w14:paraId="13560F1F"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678EE091" w14:textId="3DBD1581" w:rsidR="003124CB" w:rsidRPr="003124CB" w:rsidRDefault="003124CB" w:rsidP="003124CB">
      <w:pPr>
        <w:widowControl w:val="0"/>
        <w:tabs>
          <w:tab w:val="left" w:pos="567"/>
        </w:tabs>
        <w:spacing w:after="0" w:line="240" w:lineRule="auto"/>
        <w:rPr>
          <w:rFonts w:ascii="Times New Roman" w:eastAsia="Times New Roman" w:hAnsi="Times New Roman"/>
          <w:i/>
        </w:rPr>
      </w:pPr>
      <w:r w:rsidRPr="003124CB">
        <w:rPr>
          <w:rFonts w:ascii="Times New Roman" w:eastAsia="Times New Roman" w:hAnsi="Times New Roman"/>
          <w:i/>
        </w:rPr>
        <w:lastRenderedPageBreak/>
        <w:t xml:space="preserve">Senyviems </w:t>
      </w:r>
      <w:r w:rsidR="00B54D56">
        <w:rPr>
          <w:rFonts w:ascii="Times New Roman" w:eastAsia="Times New Roman" w:hAnsi="Times New Roman"/>
          <w:i/>
        </w:rPr>
        <w:t>pacientams</w:t>
      </w:r>
    </w:p>
    <w:p w14:paraId="6F49FF60" w14:textId="19EEBD0C" w:rsidR="003124CB" w:rsidRPr="003124CB" w:rsidRDefault="003124CB" w:rsidP="003124CB">
      <w:pPr>
        <w:widowControl w:val="0"/>
        <w:spacing w:after="0" w:line="240" w:lineRule="auto"/>
        <w:rPr>
          <w:rFonts w:ascii="Times New Roman" w:eastAsia="Times New Roman" w:hAnsi="Times New Roman"/>
          <w:iCs/>
        </w:rPr>
      </w:pPr>
      <w:r w:rsidRPr="003124CB">
        <w:rPr>
          <w:rFonts w:ascii="Times New Roman" w:eastAsia="Times New Roman" w:hAnsi="Times New Roman"/>
          <w:iCs/>
        </w:rPr>
        <w:t xml:space="preserve">Su amžiumi susijusių dozės koregavimo rekomendacijų nėra. Reikia atsižvelgti į inkstų funkciją ir </w:t>
      </w:r>
      <w:r w:rsidR="003F148B">
        <w:rPr>
          <w:rFonts w:ascii="Times New Roman" w:eastAsia="Times New Roman" w:hAnsi="Times New Roman"/>
          <w:iCs/>
        </w:rPr>
        <w:t>kraujo tūrio</w:t>
      </w:r>
      <w:r w:rsidRPr="003124CB">
        <w:rPr>
          <w:rFonts w:ascii="Times New Roman" w:eastAsia="Times New Roman" w:hAnsi="Times New Roman"/>
          <w:iCs/>
        </w:rPr>
        <w:t xml:space="preserve"> organizme sumažėjimo riziką (žr. 4.4 ir 5.2 skyrius).</w:t>
      </w:r>
    </w:p>
    <w:p w14:paraId="04D70AE0" w14:textId="77777777" w:rsidR="003124CB" w:rsidRPr="003124CB" w:rsidRDefault="003124CB" w:rsidP="003124CB">
      <w:pPr>
        <w:widowControl w:val="0"/>
        <w:spacing w:after="0" w:line="240" w:lineRule="auto"/>
        <w:rPr>
          <w:rFonts w:ascii="Times New Roman" w:eastAsia="Times New Roman" w:hAnsi="Times New Roman"/>
          <w:i/>
          <w:iCs/>
        </w:rPr>
      </w:pPr>
    </w:p>
    <w:p w14:paraId="48C8F6BC" w14:textId="77777777" w:rsidR="003124CB" w:rsidRPr="003124CB" w:rsidRDefault="003124CB" w:rsidP="003124CB">
      <w:pPr>
        <w:widowControl w:val="0"/>
        <w:spacing w:after="0" w:line="240" w:lineRule="auto"/>
        <w:rPr>
          <w:rFonts w:ascii="Times New Roman" w:eastAsia="Times New Roman" w:hAnsi="Times New Roman"/>
          <w:i/>
          <w:iCs/>
        </w:rPr>
      </w:pPr>
      <w:r w:rsidRPr="003124CB">
        <w:rPr>
          <w:rFonts w:ascii="Times New Roman" w:eastAsia="Times New Roman" w:hAnsi="Times New Roman"/>
          <w:i/>
          <w:iCs/>
        </w:rPr>
        <w:t>Vaikų populiacija</w:t>
      </w:r>
    </w:p>
    <w:p w14:paraId="60AE6F73" w14:textId="77777777" w:rsidR="003124CB" w:rsidRPr="003124CB" w:rsidRDefault="003124CB" w:rsidP="003124CB">
      <w:pPr>
        <w:widowControl w:val="0"/>
        <w:spacing w:after="0" w:line="240" w:lineRule="auto"/>
        <w:rPr>
          <w:rFonts w:ascii="Times New Roman" w:eastAsia="Times New Roman" w:hAnsi="Times New Roman"/>
        </w:rPr>
      </w:pPr>
      <w:r w:rsidRPr="003124CB">
        <w:rPr>
          <w:rFonts w:ascii="Times New Roman" w:eastAsia="Times New Roman" w:hAnsi="Times New Roman"/>
          <w:snapToGrid w:val="0"/>
          <w:szCs w:val="20"/>
        </w:rPr>
        <w:t>Šio vaistinio preparato s</w:t>
      </w:r>
      <w:r w:rsidRPr="003124CB">
        <w:rPr>
          <w:rFonts w:ascii="Times New Roman" w:eastAsia="Times New Roman" w:hAnsi="Times New Roman"/>
        </w:rPr>
        <w:t>augumas ir veiksmingumas vaikams ir paaugliams, kurių amžius yra nuo 0 iki&lt; 18 metų, dar neištirti. Duomenų nėra.</w:t>
      </w:r>
    </w:p>
    <w:p w14:paraId="1EF670DC" w14:textId="77777777" w:rsidR="003124CB" w:rsidRPr="003124CB" w:rsidRDefault="003124CB" w:rsidP="003124CB">
      <w:pPr>
        <w:widowControl w:val="0"/>
        <w:spacing w:after="0" w:line="240" w:lineRule="auto"/>
        <w:rPr>
          <w:rFonts w:ascii="Times New Roman" w:eastAsia="Times New Roman" w:hAnsi="Times New Roman"/>
          <w:u w:val="single"/>
          <w:lang w:eastAsia="sl-SI"/>
        </w:rPr>
      </w:pPr>
    </w:p>
    <w:p w14:paraId="6F5478D8" w14:textId="77777777" w:rsidR="003124CB" w:rsidRPr="003124CB" w:rsidRDefault="003124CB" w:rsidP="003124CB">
      <w:pPr>
        <w:widowControl w:val="0"/>
        <w:spacing w:after="0" w:line="240" w:lineRule="auto"/>
        <w:rPr>
          <w:rFonts w:ascii="Times New Roman" w:eastAsia="Times New Roman" w:hAnsi="Times New Roman"/>
          <w:u w:val="single"/>
          <w:lang w:eastAsia="sl-SI"/>
        </w:rPr>
      </w:pPr>
      <w:r w:rsidRPr="003124CB">
        <w:rPr>
          <w:rFonts w:ascii="Times New Roman" w:eastAsia="Times New Roman" w:hAnsi="Times New Roman"/>
          <w:u w:val="single"/>
          <w:lang w:eastAsia="sl-SI"/>
        </w:rPr>
        <w:t>Vartojimo metodas</w:t>
      </w:r>
    </w:p>
    <w:p w14:paraId="16ACD6E8" w14:textId="77777777" w:rsidR="003124CB" w:rsidRPr="003124CB" w:rsidRDefault="003124CB" w:rsidP="003124CB">
      <w:pPr>
        <w:widowControl w:val="0"/>
        <w:spacing w:after="0" w:line="240" w:lineRule="auto"/>
        <w:rPr>
          <w:rFonts w:ascii="Times New Roman" w:eastAsia="Times New Roman" w:hAnsi="Times New Roman"/>
          <w:i/>
          <w:iCs/>
          <w:lang w:eastAsia="sl-SI"/>
        </w:rPr>
      </w:pPr>
    </w:p>
    <w:p w14:paraId="7FBD2D10" w14:textId="7DB88F98" w:rsidR="003124CB" w:rsidRPr="003124CB" w:rsidRDefault="002F33BE" w:rsidP="003124CB">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Axigalu</w:t>
      </w:r>
      <w:r w:rsidR="003124CB" w:rsidRPr="003124CB">
        <w:rPr>
          <w:rFonts w:ascii="Times New Roman" w:eastAsia="Times New Roman" w:hAnsi="Times New Roman"/>
          <w:lang w:eastAsia="sl-SI"/>
        </w:rPr>
        <w:t xml:space="preserve"> yra vartojamas per burną vieną kartą per parą. Jį galima vartoti bet kuriuo paros metu su maistu arba be jo. Tabletę reikia nuryti visą.</w:t>
      </w:r>
    </w:p>
    <w:p w14:paraId="1776B427"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3FEA0107"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4.3</w:t>
      </w:r>
      <w:r w:rsidRPr="003124CB">
        <w:rPr>
          <w:rFonts w:ascii="Times New Roman" w:eastAsia="Times New Roman" w:hAnsi="Times New Roman"/>
          <w:b/>
          <w:kern w:val="28"/>
        </w:rPr>
        <w:tab/>
        <w:t>Kontraindikacijos</w:t>
      </w:r>
    </w:p>
    <w:p w14:paraId="0F36409D" w14:textId="77777777" w:rsidR="003124CB" w:rsidRPr="003124CB" w:rsidRDefault="003124CB" w:rsidP="003124CB">
      <w:pPr>
        <w:widowControl w:val="0"/>
        <w:tabs>
          <w:tab w:val="left" w:pos="567"/>
        </w:tabs>
        <w:spacing w:after="0" w:line="260" w:lineRule="exact"/>
        <w:rPr>
          <w:rFonts w:ascii="Times New Roman" w:eastAsia="Times New Roman" w:hAnsi="Times New Roman"/>
          <w:snapToGrid w:val="0"/>
        </w:rPr>
      </w:pPr>
    </w:p>
    <w:p w14:paraId="2F597D0F" w14:textId="76D73E43" w:rsidR="003124CB" w:rsidRPr="003124CB" w:rsidRDefault="003124CB" w:rsidP="003124CB">
      <w:pPr>
        <w:widowControl w:val="0"/>
        <w:autoSpaceDE w:val="0"/>
        <w:autoSpaceDN w:val="0"/>
        <w:adjustRightInd w:val="0"/>
        <w:spacing w:after="0" w:line="240" w:lineRule="auto"/>
        <w:rPr>
          <w:rFonts w:ascii="Times New Roman" w:eastAsia="Times New Roman" w:hAnsi="Times New Roman"/>
          <w:snapToGrid w:val="0"/>
        </w:rPr>
      </w:pPr>
      <w:r w:rsidRPr="003124CB">
        <w:rPr>
          <w:rFonts w:ascii="Times New Roman" w:eastAsia="TimesNewRoman" w:hAnsi="Times New Roman"/>
        </w:rPr>
        <w:t>Padidėjęs jautrumas</w:t>
      </w:r>
      <w:r w:rsidR="006F35CD">
        <w:rPr>
          <w:rFonts w:ascii="Times New Roman" w:eastAsia="TimesNewRoman" w:hAnsi="Times New Roman"/>
        </w:rPr>
        <w:t xml:space="preserve"> bet kuriai</w:t>
      </w:r>
      <w:r w:rsidRPr="003124CB">
        <w:rPr>
          <w:rFonts w:ascii="Times New Roman" w:eastAsia="TimesNewRoman" w:hAnsi="Times New Roman"/>
        </w:rPr>
        <w:t xml:space="preserve"> </w:t>
      </w:r>
      <w:r w:rsidR="000774EF">
        <w:rPr>
          <w:rFonts w:ascii="Times New Roman" w:eastAsia="TimesNewRoman" w:hAnsi="Times New Roman"/>
        </w:rPr>
        <w:t>veikliajai</w:t>
      </w:r>
      <w:r w:rsidRPr="003124CB">
        <w:rPr>
          <w:rFonts w:ascii="Times New Roman" w:eastAsia="TimesNewRoman" w:hAnsi="Times New Roman"/>
        </w:rPr>
        <w:t xml:space="preserve"> arba bet kuriai 6.1 skyriuje nurodytai pagalbinei medžiagai</w:t>
      </w:r>
      <w:r w:rsidRPr="003124CB">
        <w:rPr>
          <w:rFonts w:ascii="Times New Roman" w:eastAsia="Times New Roman" w:hAnsi="Times New Roman"/>
          <w:snapToGrid w:val="0"/>
          <w:szCs w:val="20"/>
        </w:rPr>
        <w:t xml:space="preserve"> </w:t>
      </w:r>
      <w:r w:rsidRPr="003124CB">
        <w:rPr>
          <w:rFonts w:ascii="Times New Roman" w:eastAsia="TimesNewRoman" w:hAnsi="Times New Roman"/>
        </w:rPr>
        <w:t>arba buvusi sunki padidėjusio jautrumo reakcija, įskaitant anafilaksinę reakciją, anafilaksinį šoką ir angioneurozinę edemą, į bet kurį dipeptidilpeptidazės-4 (DPP-4) inhibitorių (žr. 4.4 ir 4.8 skyrius).</w:t>
      </w:r>
    </w:p>
    <w:p w14:paraId="171F80DE"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2E9F8503"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rPr>
      </w:pPr>
      <w:r w:rsidRPr="003124CB">
        <w:rPr>
          <w:rFonts w:ascii="Times New Roman" w:eastAsia="Times New Roman" w:hAnsi="Times New Roman"/>
          <w:b/>
          <w:kern w:val="28"/>
        </w:rPr>
        <w:t>4.4</w:t>
      </w:r>
      <w:r w:rsidRPr="003124CB">
        <w:rPr>
          <w:rFonts w:ascii="Times New Roman" w:eastAsia="Times New Roman" w:hAnsi="Times New Roman"/>
          <w:b/>
          <w:kern w:val="28"/>
        </w:rPr>
        <w:tab/>
        <w:t>Specialūs įspėjimai ir atsargumo priemonės</w:t>
      </w:r>
    </w:p>
    <w:p w14:paraId="38BE9F0E"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03E8A332" w14:textId="6EF954CA" w:rsidR="003124CB" w:rsidRPr="003124CB" w:rsidRDefault="002F33BE" w:rsidP="003124CB">
      <w:pPr>
        <w:widowControl w:val="0"/>
        <w:tabs>
          <w:tab w:val="left" w:pos="567"/>
        </w:tabs>
        <w:spacing w:after="0" w:line="240" w:lineRule="auto"/>
        <w:rPr>
          <w:rFonts w:ascii="Times New Roman" w:eastAsia="Times New Roman" w:hAnsi="Times New Roman"/>
          <w:bCs/>
        </w:rPr>
      </w:pPr>
      <w:r>
        <w:rPr>
          <w:rFonts w:ascii="Times New Roman" w:eastAsia="Times New Roman" w:hAnsi="Times New Roman"/>
          <w:bCs/>
          <w:iCs/>
        </w:rPr>
        <w:t>Axigalu</w:t>
      </w:r>
      <w:r w:rsidR="003124CB" w:rsidRPr="003124CB">
        <w:rPr>
          <w:rFonts w:ascii="Times New Roman" w:eastAsia="Times New Roman" w:hAnsi="Times New Roman"/>
          <w:bCs/>
          <w:iCs/>
        </w:rPr>
        <w:t xml:space="preserve"> negalima vartoti 1 tipo cukriniu diabetu sergantiems pacientams </w:t>
      </w:r>
      <w:r w:rsidR="003124CB" w:rsidRPr="003124CB">
        <w:rPr>
          <w:rFonts w:ascii="Times New Roman" w:eastAsia="Times New Roman" w:hAnsi="Times New Roman"/>
          <w:bCs/>
        </w:rPr>
        <w:t>(žr. „Diabetinė ketoacidozė“ 4.4 skyriuje).</w:t>
      </w:r>
    </w:p>
    <w:p w14:paraId="0EC9771B" w14:textId="77777777" w:rsidR="003124CB" w:rsidRPr="003124CB" w:rsidRDefault="003124CB" w:rsidP="003124CB">
      <w:pPr>
        <w:widowControl w:val="0"/>
        <w:tabs>
          <w:tab w:val="left" w:pos="567"/>
        </w:tabs>
        <w:spacing w:after="0" w:line="240" w:lineRule="auto"/>
        <w:rPr>
          <w:rFonts w:ascii="Times New Roman" w:eastAsia="Times New Roman" w:hAnsi="Times New Roman"/>
          <w:bCs/>
        </w:rPr>
      </w:pPr>
    </w:p>
    <w:p w14:paraId="61EAF44A"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Inkstų funkcijos sutrikimas</w:t>
      </w:r>
    </w:p>
    <w:p w14:paraId="0DAA9E8A" w14:textId="1B69C23C" w:rsidR="003124CB" w:rsidRPr="003124CB" w:rsidRDefault="003124CB" w:rsidP="003124CB">
      <w:pPr>
        <w:widowControl w:val="0"/>
        <w:tabs>
          <w:tab w:val="left" w:pos="567"/>
        </w:tabs>
        <w:spacing w:after="0" w:line="240" w:lineRule="auto"/>
        <w:rPr>
          <w:rFonts w:ascii="Times New Roman" w:eastAsia="Times New Roman" w:hAnsi="Times New Roman"/>
          <w:bCs/>
        </w:rPr>
      </w:pPr>
      <w:r w:rsidRPr="003124CB">
        <w:rPr>
          <w:rFonts w:ascii="Times New Roman" w:eastAsia="Times New Roman" w:hAnsi="Times New Roman"/>
          <w:bCs/>
        </w:rPr>
        <w:t>Glikemiją mažinančio dapagliflozino poveikio veiksmingumas priklauso nuo inkstų funkcijos; jei yra vidutinio sunkumo inkstų funkcijos sutrikimas, veiksmingumas sumažėja, o jei inkstų funkcijos sutrikimas yra sunkus, tikėtina, kad vaistinis preparatas bus neveiksmingas (žr. 4.2 skyrių). Tiriant asmenis, kuriems buvo vidutinio sunkumo inkstų funkcijos sutrikimas (GFG &lt; 60 ml/min.), didesnei daliai dapagliflozinu gydytų pacientų, palyginti su vartojusiais placebą, pasireiškė nepageidaujamos reakcijos</w:t>
      </w:r>
      <w:r w:rsidR="00C82280">
        <w:rPr>
          <w:rFonts w:ascii="Times New Roman" w:eastAsia="Times New Roman" w:hAnsi="Times New Roman"/>
          <w:bCs/>
        </w:rPr>
        <w:t>:</w:t>
      </w:r>
      <w:r w:rsidRPr="003124CB">
        <w:rPr>
          <w:rFonts w:ascii="Times New Roman" w:eastAsia="Times New Roman" w:hAnsi="Times New Roman"/>
          <w:bCs/>
        </w:rPr>
        <w:t xml:space="preserve"> kreatinino, fosforo ir parathormono koncentracijos padidėjimas bei hipotenzija. Šio vaistinio preparato </w:t>
      </w:r>
      <w:r w:rsidRPr="003124CB">
        <w:rPr>
          <w:rFonts w:ascii="Times New Roman" w:eastAsia="Times New Roman" w:hAnsi="Times New Roman"/>
          <w:iCs/>
        </w:rPr>
        <w:t xml:space="preserve">negalima pradėti vartoti pacientams, kurių GFG yra &lt; 60 ml/min., o jei GFG nuolat mažesnis nei 45 ml/min., jo vartojimą reikia nutraukti. </w:t>
      </w:r>
    </w:p>
    <w:p w14:paraId="6590DDEF" w14:textId="77777777" w:rsidR="003124CB" w:rsidRPr="003124CB" w:rsidRDefault="003124CB" w:rsidP="003124CB">
      <w:pPr>
        <w:widowControl w:val="0"/>
        <w:tabs>
          <w:tab w:val="left" w:pos="567"/>
        </w:tabs>
        <w:spacing w:after="0" w:line="240" w:lineRule="auto"/>
        <w:rPr>
          <w:rFonts w:ascii="Times New Roman" w:eastAsia="Times New Roman" w:hAnsi="Times New Roman"/>
          <w:bCs/>
        </w:rPr>
      </w:pPr>
    </w:p>
    <w:p w14:paraId="019F16CF" w14:textId="77777777" w:rsidR="003124CB" w:rsidRPr="003124CB" w:rsidRDefault="003124CB" w:rsidP="003124CB">
      <w:pPr>
        <w:widowControl w:val="0"/>
        <w:tabs>
          <w:tab w:val="left" w:pos="567"/>
        </w:tabs>
        <w:spacing w:after="0" w:line="240" w:lineRule="auto"/>
        <w:rPr>
          <w:rFonts w:ascii="Times New Roman" w:eastAsia="Times New Roman" w:hAnsi="Times New Roman"/>
          <w:bCs/>
        </w:rPr>
      </w:pPr>
      <w:r w:rsidRPr="003124CB">
        <w:rPr>
          <w:rFonts w:ascii="Times New Roman" w:eastAsia="Times New Roman" w:hAnsi="Times New Roman"/>
          <w:bCs/>
        </w:rPr>
        <w:t>Dapagliflozino/sitagliptino fiksuotos dozės derinys nebuvo tirtas su pacientais, kuriems yra sunkus inkstų funkcijos sutrikimas (GFR &lt; 30 ml/min.) ar kurie serga</w:t>
      </w:r>
      <w:r w:rsidRPr="003124CB">
        <w:rPr>
          <w:rFonts w:ascii="Times New Roman" w:eastAsia="Times New Roman" w:hAnsi="Times New Roman"/>
          <w:iCs/>
        </w:rPr>
        <w:t xml:space="preserve"> galutinės stadijos inkstų liga (GSIL)</w:t>
      </w:r>
      <w:r w:rsidRPr="003124CB">
        <w:rPr>
          <w:rFonts w:ascii="Times New Roman" w:eastAsia="Times New Roman" w:hAnsi="Times New Roman"/>
          <w:bCs/>
        </w:rPr>
        <w:t>.</w:t>
      </w:r>
    </w:p>
    <w:p w14:paraId="4F3AB5C6"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p w14:paraId="1A5C5E13"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Vartojimas pacientams, kurių kepenų funkcija sutrikusi</w:t>
      </w:r>
    </w:p>
    <w:p w14:paraId="6491C87B" w14:textId="77777777" w:rsidR="003124CB" w:rsidRPr="003124CB" w:rsidRDefault="003124CB" w:rsidP="003124CB">
      <w:pPr>
        <w:widowControl w:val="0"/>
        <w:tabs>
          <w:tab w:val="left" w:pos="567"/>
        </w:tabs>
        <w:spacing w:after="0" w:line="240" w:lineRule="auto"/>
        <w:rPr>
          <w:rFonts w:ascii="Times New Roman" w:eastAsia="Times New Roman" w:hAnsi="Times New Roman"/>
          <w:bCs/>
        </w:rPr>
      </w:pPr>
      <w:r w:rsidRPr="003124CB">
        <w:rPr>
          <w:rFonts w:ascii="Times New Roman" w:eastAsia="Times New Roman" w:hAnsi="Times New Roman"/>
          <w:bCs/>
        </w:rPr>
        <w:t>Klinikinių tyrimų su pacientais, kurių kepenų funkcija sutrikusi, patirties yra nedaug. Pacientams, kuriems yra sunkus kepenų funkcijos sutrikimas, dapagliflozino ekspozicija būna didesnė.</w:t>
      </w:r>
    </w:p>
    <w:p w14:paraId="20674526" w14:textId="18494660" w:rsidR="003D77BA" w:rsidRPr="003124CB" w:rsidRDefault="00565F26" w:rsidP="003124CB">
      <w:pPr>
        <w:widowControl w:val="0"/>
        <w:tabs>
          <w:tab w:val="left" w:pos="567"/>
        </w:tabs>
        <w:spacing w:after="0" w:line="240" w:lineRule="auto"/>
        <w:rPr>
          <w:rFonts w:ascii="Times New Roman" w:eastAsia="Times New Roman" w:hAnsi="Times New Roman"/>
        </w:rPr>
      </w:pPr>
      <w:r>
        <w:rPr>
          <w:rFonts w:ascii="Times New Roman" w:eastAsia="Times New Roman" w:hAnsi="Times New Roman"/>
          <w:bCs/>
        </w:rPr>
        <w:t>S</w:t>
      </w:r>
      <w:r w:rsidRPr="003124CB">
        <w:rPr>
          <w:rFonts w:ascii="Times New Roman" w:eastAsia="Times New Roman" w:hAnsi="Times New Roman"/>
          <w:bCs/>
        </w:rPr>
        <w:t>itagliptino</w:t>
      </w:r>
      <w:r>
        <w:rPr>
          <w:rFonts w:ascii="Times New Roman" w:eastAsia="Times New Roman" w:hAnsi="Times New Roman"/>
          <w:bCs/>
        </w:rPr>
        <w:t>/d</w:t>
      </w:r>
      <w:r w:rsidR="003124CB" w:rsidRPr="003124CB">
        <w:rPr>
          <w:rFonts w:ascii="Times New Roman" w:eastAsia="Times New Roman" w:hAnsi="Times New Roman"/>
          <w:bCs/>
        </w:rPr>
        <w:t>apagliflozino fiksuotos dozės derinį</w:t>
      </w:r>
      <w:r w:rsidR="003124CB" w:rsidRPr="003124CB">
        <w:rPr>
          <w:rFonts w:ascii="Times New Roman" w:eastAsia="Times New Roman" w:hAnsi="Times New Roman"/>
        </w:rPr>
        <w:t xml:space="preserve"> galima vartoti pacientams, kuriems yra lengvas arba vidutinio sunkumo kepenų funkcijos sutrikimas. Prieš pradedant gydymą ir gydymo metu reikia vertinti pacientų, kuriems yra vidutinio sunkumo kepenų funkcijos sutrikimas, būklę. Šio vaistinio preparato nerekomenduojama vartoti pacientams, kuriems yra sunkus kepenų funkcijos sutrikimas (žr. 4.2 skyrių).</w:t>
      </w:r>
    </w:p>
    <w:p w14:paraId="4A485930" w14:textId="77777777" w:rsidR="00EC717E" w:rsidRPr="003124CB" w:rsidRDefault="00EC717E" w:rsidP="003124CB">
      <w:pPr>
        <w:widowControl w:val="0"/>
        <w:tabs>
          <w:tab w:val="left" w:pos="567"/>
        </w:tabs>
        <w:spacing w:after="0" w:line="240" w:lineRule="auto"/>
        <w:rPr>
          <w:rFonts w:ascii="Times New Roman" w:eastAsia="Times New Roman" w:hAnsi="Times New Roman"/>
          <w:bCs/>
        </w:rPr>
      </w:pPr>
    </w:p>
    <w:p w14:paraId="7F44EB4F"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Ūminis pankreatitas</w:t>
      </w:r>
    </w:p>
    <w:p w14:paraId="120424D2" w14:textId="5298E98A" w:rsidR="003124CB" w:rsidRPr="003124CB" w:rsidRDefault="003124CB" w:rsidP="003124CB">
      <w:pPr>
        <w:widowControl w:val="0"/>
        <w:autoSpaceDE w:val="0"/>
        <w:autoSpaceDN w:val="0"/>
        <w:adjustRightInd w:val="0"/>
        <w:spacing w:after="0" w:line="240" w:lineRule="auto"/>
        <w:rPr>
          <w:rFonts w:ascii="Times New Roman" w:eastAsia="Times New Roman" w:hAnsi="Times New Roman"/>
          <w:bCs/>
        </w:rPr>
      </w:pPr>
      <w:r w:rsidRPr="003124CB">
        <w:rPr>
          <w:rFonts w:ascii="Times New Roman" w:eastAsia="TimesNewRoman" w:hAnsi="Times New Roman"/>
        </w:rPr>
        <w:t>DPP</w:t>
      </w:r>
      <w:r w:rsidRPr="003124CB">
        <w:rPr>
          <w:rFonts w:ascii="Times New Roman" w:eastAsia="TimesNewRoman" w:hAnsi="Times New Roman"/>
        </w:rPr>
        <w:noBreakHyphen/>
        <w:t xml:space="preserve">4 inhibitorių vartojimas yra susijęs su ūminio pankreatito pasireiškimo rizika (žr. 4.8 skyrių). Pacientus būtina informuoti, kad išliekantis ir stiprus pilvo skausmas yra būdingas ūminio pankreatito simptomas. Nutraukus sitagliptino vartojimą pankreatitas išnykdavo (taikant palaikomąjį gydymą arba jo netaikant), tačiau gauta pranešimų ir apie labai retus nekrozinio ar hemoraginio pankreatito ir (arba) mirties atvejus. Jeigu yra įtariamas pankreatitas, </w:t>
      </w:r>
      <w:r w:rsidR="002F33BE">
        <w:rPr>
          <w:rFonts w:ascii="Times New Roman" w:eastAsia="Times New Roman" w:hAnsi="Times New Roman"/>
        </w:rPr>
        <w:t>Axigalu</w:t>
      </w:r>
      <w:r w:rsidRPr="003124CB">
        <w:rPr>
          <w:rFonts w:ascii="Times New Roman" w:eastAsia="TimesNewRoman" w:hAnsi="Times New Roman"/>
        </w:rPr>
        <w:t xml:space="preserve"> ir kitų galimai pankreatitą sukėlusių vaistinių preparatų vartojimą reikia nutraukti; jeigu ūminis pankreatitas yra patvirtinamas, gydymo </w:t>
      </w:r>
      <w:r w:rsidR="002F33BE">
        <w:rPr>
          <w:rFonts w:ascii="Times New Roman" w:eastAsia="Times New Roman" w:hAnsi="Times New Roman"/>
        </w:rPr>
        <w:t>Axigalu</w:t>
      </w:r>
      <w:r w:rsidRPr="003124CB">
        <w:rPr>
          <w:rFonts w:ascii="Times New Roman" w:eastAsia="TimesNewRoman" w:hAnsi="Times New Roman"/>
        </w:rPr>
        <w:t xml:space="preserve"> atnaujinti negalima. Pankreatitu sirgusius pacientus reikia gydyti atsargiai.</w:t>
      </w:r>
    </w:p>
    <w:p w14:paraId="44054E27" w14:textId="77777777" w:rsidR="003124CB" w:rsidRPr="003124CB" w:rsidRDefault="003124CB" w:rsidP="003124CB">
      <w:pPr>
        <w:widowControl w:val="0"/>
        <w:tabs>
          <w:tab w:val="left" w:pos="567"/>
        </w:tabs>
        <w:spacing w:after="0" w:line="240" w:lineRule="auto"/>
        <w:rPr>
          <w:rFonts w:ascii="Times New Roman" w:eastAsia="Times New Roman" w:hAnsi="Times New Roman"/>
          <w:bCs/>
        </w:rPr>
      </w:pPr>
    </w:p>
    <w:p w14:paraId="1A93FB0C"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Skysčio tūrio sumažėjimas organizme ir (arba) hipotenzija</w:t>
      </w:r>
    </w:p>
    <w:p w14:paraId="3A12BCC6"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skatina diurezę, todėl gali sukelti nedidelį kraujospūdžio sumažėjimą, stebėtą klinikinių tyrimų metu (žr. 5.1 skyrių). Toks poveikis gali būti ryškesnis pacientams, kurių kraujyje gliukozės koncentracija yra labai didelė.</w:t>
      </w:r>
    </w:p>
    <w:p w14:paraId="7BE0C15B"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866C08F"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Jeigu dapagliflozino sukeltas kraujospūdžio sumažėjimas gali kelti riziką (pvz., jeigu antihipertenzinių vaistinių preparatų vartojančiam pacientui yra buvusi hipotenzija arba pacientas yra senyvas), reikia imtis atsargumo priemonių.</w:t>
      </w:r>
    </w:p>
    <w:p w14:paraId="18F61B92"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348C7FFD"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Jeigu pacientas serga gretutine liga (pvz., virškinimo trakto liga), dėl kurios gali sumažėti skysčio tūris organizme, rekomenduojama atidžiai stebėti skysčio kiekį organizme (pvz., atlikti fizinės būklės ištyrimą, matuoti kraujospūdį, daryti laboratorinius tyrimus, įskaitant hematokrito ir elektrolitų koncentracijos nustatymą). Pacientų, kurių organizme skysčio tūris sumažėja, gydymą šiuo vaistiniu preparatu rekomenduojama laikinai nutraukti, kol toks sumažėjimas bus koreguotas (žr. 4.8 skyrių).</w:t>
      </w:r>
    </w:p>
    <w:p w14:paraId="0D16DF7C" w14:textId="77777777" w:rsidR="003124CB" w:rsidRPr="003124CB" w:rsidRDefault="003124CB" w:rsidP="003124CB">
      <w:pPr>
        <w:widowControl w:val="0"/>
        <w:tabs>
          <w:tab w:val="left" w:pos="567"/>
        </w:tabs>
        <w:spacing w:after="0" w:line="240" w:lineRule="auto"/>
        <w:rPr>
          <w:rFonts w:ascii="Times New Roman" w:eastAsia="Times New Roman" w:hAnsi="Times New Roman"/>
          <w:b/>
        </w:rPr>
      </w:pPr>
    </w:p>
    <w:p w14:paraId="418851F7"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Diabetinė ketoacidozė</w:t>
      </w:r>
    </w:p>
    <w:p w14:paraId="25BD5A3B" w14:textId="563DE7A0" w:rsidR="003124CB" w:rsidRPr="003124CB" w:rsidRDefault="00BF60AB" w:rsidP="003124CB">
      <w:pPr>
        <w:autoSpaceDE w:val="0"/>
        <w:autoSpaceDN w:val="0"/>
        <w:adjustRightInd w:val="0"/>
        <w:spacing w:after="0" w:line="240" w:lineRule="auto"/>
        <w:rPr>
          <w:rFonts w:ascii="Times New Roman" w:eastAsia="TimesNewRoman" w:hAnsi="Times New Roman"/>
          <w:lang w:eastAsia="lt-LT"/>
        </w:rPr>
      </w:pPr>
      <w:r>
        <w:rPr>
          <w:rFonts w:ascii="Times New Roman" w:eastAsia="TimesNewRoman" w:hAnsi="Times New Roman"/>
          <w:lang w:eastAsia="lt-LT"/>
        </w:rPr>
        <w:t>Retai g</w:t>
      </w:r>
      <w:r w:rsidR="003124CB" w:rsidRPr="003124CB">
        <w:rPr>
          <w:rFonts w:ascii="Times New Roman" w:eastAsia="TimesNewRoman" w:hAnsi="Times New Roman"/>
          <w:lang w:eastAsia="lt-LT"/>
        </w:rPr>
        <w:t xml:space="preserve">auta pranešimų apie diabetinę </w:t>
      </w:r>
      <w:proofErr w:type="spellStart"/>
      <w:r w:rsidR="003124CB" w:rsidRPr="003124CB">
        <w:rPr>
          <w:rFonts w:ascii="Times New Roman" w:eastAsia="TimesNewRoman" w:hAnsi="Times New Roman"/>
          <w:lang w:eastAsia="lt-LT"/>
        </w:rPr>
        <w:t>ketoacidozę</w:t>
      </w:r>
      <w:proofErr w:type="spellEnd"/>
      <w:r w:rsidR="003124CB" w:rsidRPr="003124CB">
        <w:rPr>
          <w:rFonts w:ascii="Times New Roman" w:eastAsia="TimesNewRoman" w:hAnsi="Times New Roman"/>
          <w:lang w:eastAsia="lt-LT"/>
        </w:rPr>
        <w:t xml:space="preserve"> (DKA), įskaitant gyvybei pavojingus ir mirtinus atvejus, natrio ir gliukozės vienakrypčio nešiklio 2 (angl. </w:t>
      </w:r>
      <w:r w:rsidR="003124CB" w:rsidRPr="003124CB">
        <w:rPr>
          <w:rFonts w:ascii="Times New Roman" w:eastAsia="TimesNewRoman,Italic" w:hAnsi="Times New Roman"/>
          <w:i/>
          <w:iCs/>
          <w:lang w:eastAsia="lt-LT"/>
        </w:rPr>
        <w:t>sodium glucose co-transporter 2</w:t>
      </w:r>
      <w:r w:rsidR="003124CB" w:rsidRPr="003124CB">
        <w:rPr>
          <w:rFonts w:ascii="Times New Roman" w:eastAsia="TimesNewRoman" w:hAnsi="Times New Roman"/>
          <w:lang w:eastAsia="lt-LT"/>
        </w:rPr>
        <w:t>, SGLT2) inhibitorius, įskaitant dapaglifloziną, vartojusiems pacientams (žr. 4.8 skyrių). Kai kuriais atvejais tokia būklė buvo netipinė, t. y. gliukozės koncentracija kraujyje buvo padidėjusi tik vidutiniškai (buvo mažesnė kaip 14 mmol/l [250 mg/dl]).</w:t>
      </w:r>
    </w:p>
    <w:p w14:paraId="6C3B59A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3BEC56A8"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Diabetinę ketoacidozę reikia įtarti pasireiškus nespecifinių simptomų, tokių kaip pykinimas, vėmimas, anoreksija, pilvo skausmas, stiprus troškulys, pasunkėjęs kvėpavimas, sumišimas, neįprastas nuovargis ar mieguistumas. Jeigu atsiranda tokių simptomų, pacientą būtina nedelsiant ištirti, ar nėra ketoacidozės, neatsižvelgiant į gliukozės koncentraciją kraujyje. Įtarus arba diagnozavus DKA, gydymą šiuo vaistiniu preparatu būtina nutraukti nedelsiant.</w:t>
      </w:r>
    </w:p>
    <w:p w14:paraId="74C53AF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D7481C1"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Jeigu pacientas yra hospitalizuojamas didelės apimties operacijai arba jam susirgus sunkia ūmine liga, šio vaistinio preparato vartojimą reikia laikinai nutraukti. Tokiems pacientams rekomenduojama stebėti ketonų kiekį. Ketonų kiekį rekomenduojama nustatyti kraujyje, o ne šlapime. Gydymą dapagliflozinu galima atnaujinti tik tada, kai ketonų kiekis tampa normalus ir paciento būklė tampa stabili.</w:t>
      </w:r>
    </w:p>
    <w:p w14:paraId="09A2A98D"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04F30EF"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Prieš pradedant gydymą šiuo vaistiniu preparatu reikia atsižvelgti į paciento medicininėje istorijoje nurodytus veiksnius, kurie gali skatinti ketoacidozės pasireiškimą.</w:t>
      </w:r>
    </w:p>
    <w:p w14:paraId="391508D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7009C3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DKA rizika gali būti didesnė pacientams, kuriems yra mažas beta ląstelių funkcijos rezervas (pvz., pacientai, kurie serga 2 tipo cukriniu diabetu su maža C peptido koncentracija ar suaugusiųjų latentiniu autoimuniniu cukriniu diabetu arba yra sirgę pankreatitu), kuriems yra būklė, dėl kurios ribojamas maisto suvartojimas ar pasireiškia sunki dehidratacija, kuriems sumažinama insulino dozė arba padidėja insulino poreikis dėl ūminės ligos, operacijos ar piktnaudžiavimo alkoholiu. Tokie pacientai SGLT2 inhibitorių turi vartoti atsargiai.</w:t>
      </w:r>
    </w:p>
    <w:p w14:paraId="6D758C5F"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19700BC"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Jeigu vartojant SGLT2 inhibitorių buvo pasireiškusi DKA, vėl pradėti vartoti SGLT2 inhibitorių nerekomenduojama, nebent buvo identifikuotos ir pašalintos aiškios kitos ją sukėlusios priežastys.</w:t>
      </w:r>
    </w:p>
    <w:p w14:paraId="29041F9D"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1E3D926B" w14:textId="093D91EE" w:rsidR="003124CB" w:rsidRPr="003124CB" w:rsidRDefault="00FB53E0" w:rsidP="003124CB">
      <w:pPr>
        <w:autoSpaceDE w:val="0"/>
        <w:autoSpaceDN w:val="0"/>
        <w:adjustRightInd w:val="0"/>
        <w:spacing w:after="0" w:line="240" w:lineRule="auto"/>
        <w:rPr>
          <w:rFonts w:ascii="Times New Roman" w:eastAsia="TimesNewRoman" w:hAnsi="Times New Roman"/>
          <w:lang w:eastAsia="lt-LT"/>
        </w:rPr>
      </w:pPr>
      <w:r>
        <w:rPr>
          <w:rFonts w:ascii="Times New Roman" w:eastAsia="Times New Roman" w:hAnsi="Times New Roman"/>
          <w:bCs/>
        </w:rPr>
        <w:t>S</w:t>
      </w:r>
      <w:r w:rsidRPr="003124CB">
        <w:rPr>
          <w:rFonts w:ascii="Times New Roman" w:eastAsia="Times New Roman" w:hAnsi="Times New Roman"/>
          <w:bCs/>
        </w:rPr>
        <w:t>itagliptino/</w:t>
      </w:r>
      <w:r>
        <w:rPr>
          <w:rFonts w:ascii="Times New Roman" w:eastAsia="Times New Roman" w:hAnsi="Times New Roman"/>
          <w:bCs/>
        </w:rPr>
        <w:t>d</w:t>
      </w:r>
      <w:r w:rsidR="003124CB" w:rsidRPr="003124CB">
        <w:rPr>
          <w:rFonts w:ascii="Times New Roman" w:eastAsia="Times New Roman" w:hAnsi="Times New Roman"/>
          <w:bCs/>
        </w:rPr>
        <w:t>apagliflozino fiksuotos dozės derinio</w:t>
      </w:r>
      <w:r w:rsidR="003124CB" w:rsidRPr="003124CB">
        <w:rPr>
          <w:rFonts w:ascii="Times New Roman" w:eastAsia="TimesNewRoman" w:hAnsi="Times New Roman"/>
          <w:lang w:eastAsia="lt-LT"/>
        </w:rPr>
        <w:t xml:space="preserve"> saugumas ir veiksmingumas 1 tipo cukriniu diabetu sergantiems pacientams nebuvo nustatytas, todėl pacientų, kurie serga 1 tipo cukriniu diabetu, šiuo vaistiniu preparatu gydyti negalima. Dapagliflozino tyrimų su 1 tipo cukriniu diabetu sergančiais pacientais metu apie DKA pranešta dažnai.</w:t>
      </w:r>
    </w:p>
    <w:p w14:paraId="3B26D82E"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5C403739" w14:textId="4AFA2C39"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proofErr w:type="spellStart"/>
      <w:r w:rsidRPr="003124CB">
        <w:rPr>
          <w:rFonts w:ascii="Times New Roman" w:eastAsia="TimesNewRoman" w:hAnsi="Times New Roman"/>
          <w:u w:val="single"/>
          <w:lang w:eastAsia="lt-LT"/>
        </w:rPr>
        <w:t>Tarpvietės</w:t>
      </w:r>
      <w:proofErr w:type="spellEnd"/>
      <w:r w:rsidRPr="003124CB">
        <w:rPr>
          <w:rFonts w:ascii="Times New Roman" w:eastAsia="TimesNewRoman" w:hAnsi="Times New Roman"/>
          <w:u w:val="single"/>
          <w:lang w:eastAsia="lt-LT"/>
        </w:rPr>
        <w:t xml:space="preserve"> </w:t>
      </w:r>
      <w:proofErr w:type="spellStart"/>
      <w:r w:rsidRPr="003124CB">
        <w:rPr>
          <w:rFonts w:ascii="Times New Roman" w:eastAsia="TimesNewRoman" w:hAnsi="Times New Roman"/>
          <w:u w:val="single"/>
          <w:lang w:eastAsia="lt-LT"/>
        </w:rPr>
        <w:t>nekrozuojantis</w:t>
      </w:r>
      <w:proofErr w:type="spellEnd"/>
      <w:r w:rsidRPr="003124CB">
        <w:rPr>
          <w:rFonts w:ascii="Times New Roman" w:eastAsia="TimesNewRoman" w:hAnsi="Times New Roman"/>
          <w:u w:val="single"/>
          <w:lang w:eastAsia="lt-LT"/>
        </w:rPr>
        <w:t xml:space="preserve"> </w:t>
      </w:r>
      <w:proofErr w:type="spellStart"/>
      <w:r w:rsidRPr="003124CB">
        <w:rPr>
          <w:rFonts w:ascii="Times New Roman" w:eastAsia="TimesNewRoman" w:hAnsi="Times New Roman"/>
          <w:u w:val="single"/>
          <w:lang w:eastAsia="lt-LT"/>
        </w:rPr>
        <w:t>fascitas</w:t>
      </w:r>
      <w:proofErr w:type="spellEnd"/>
      <w:r w:rsidRPr="003124CB">
        <w:rPr>
          <w:rFonts w:ascii="Times New Roman" w:eastAsia="TimesNewRoman" w:hAnsi="Times New Roman"/>
          <w:u w:val="single"/>
          <w:lang w:eastAsia="lt-LT"/>
        </w:rPr>
        <w:t xml:space="preserve"> (</w:t>
      </w:r>
      <w:proofErr w:type="spellStart"/>
      <w:r w:rsidR="00A701F2" w:rsidRPr="0030702D">
        <w:rPr>
          <w:rFonts w:ascii="Times New Roman" w:eastAsia="TimesNewRoman" w:hAnsi="Times New Roman"/>
          <w:i/>
          <w:iCs/>
          <w:u w:val="single"/>
          <w:lang w:eastAsia="lt-LT"/>
        </w:rPr>
        <w:t>Fornjė</w:t>
      </w:r>
      <w:proofErr w:type="spellEnd"/>
      <w:r w:rsidR="00A701F2">
        <w:rPr>
          <w:rFonts w:ascii="Times New Roman" w:eastAsia="TimesNewRoman" w:hAnsi="Times New Roman"/>
          <w:u w:val="single"/>
          <w:lang w:eastAsia="lt-LT"/>
        </w:rPr>
        <w:t xml:space="preserve"> (</w:t>
      </w:r>
      <w:proofErr w:type="spellStart"/>
      <w:r w:rsidRPr="003124CB">
        <w:rPr>
          <w:rFonts w:ascii="Times New Roman" w:eastAsia="TimesNewRoman,Italic" w:hAnsi="Times New Roman"/>
          <w:i/>
          <w:iCs/>
          <w:u w:val="single"/>
          <w:lang w:eastAsia="lt-LT"/>
        </w:rPr>
        <w:t>Fournier</w:t>
      </w:r>
      <w:proofErr w:type="spellEnd"/>
      <w:r w:rsidR="00A701F2">
        <w:rPr>
          <w:rFonts w:ascii="Times New Roman" w:eastAsia="TimesNewRoman,Italic" w:hAnsi="Times New Roman"/>
          <w:i/>
          <w:iCs/>
          <w:u w:val="single"/>
          <w:lang w:eastAsia="lt-LT"/>
        </w:rPr>
        <w:t>)</w:t>
      </w:r>
      <w:r w:rsidRPr="003124CB">
        <w:rPr>
          <w:rFonts w:ascii="Times New Roman" w:eastAsia="TimesNewRoman,Italic" w:hAnsi="Times New Roman"/>
          <w:i/>
          <w:iCs/>
          <w:u w:val="single"/>
          <w:lang w:eastAsia="lt-LT"/>
        </w:rPr>
        <w:t xml:space="preserve"> </w:t>
      </w:r>
      <w:r w:rsidRPr="003124CB">
        <w:rPr>
          <w:rFonts w:ascii="Times New Roman" w:eastAsia="TimesNewRoman" w:hAnsi="Times New Roman"/>
          <w:u w:val="single"/>
          <w:lang w:eastAsia="lt-LT"/>
        </w:rPr>
        <w:t>gangrena)</w:t>
      </w:r>
    </w:p>
    <w:p w14:paraId="26936FBC"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Po SGLT2 inhibitorių pateikimo į rinką gauta pranešimų apie tarpvietės nekrozuojančio fascito (dar vadinamo </w:t>
      </w:r>
      <w:r w:rsidRPr="003124CB">
        <w:rPr>
          <w:rFonts w:ascii="Times New Roman" w:eastAsia="TimesNewRoman,Italic" w:hAnsi="Times New Roman"/>
          <w:i/>
          <w:iCs/>
          <w:lang w:eastAsia="lt-LT"/>
        </w:rPr>
        <w:t xml:space="preserve">Fournier </w:t>
      </w:r>
      <w:r w:rsidRPr="003124CB">
        <w:rPr>
          <w:rFonts w:ascii="Times New Roman" w:eastAsia="TimesNewRoman" w:hAnsi="Times New Roman"/>
          <w:lang w:eastAsia="lt-LT"/>
        </w:rPr>
        <w:t>gangrena) atvejus jų vartojusiems moterims ir vyrams (žr. 4.8 skyrių). Tai yra retas, bet sunkus ir galintis sukelti pavojų gyvybei reiškinys, kuriam pasireiškus būtina skubi chirurginė intervencija ir gydymas antibiotikais.</w:t>
      </w:r>
    </w:p>
    <w:p w14:paraId="0132339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DF2462D" w14:textId="1FEBD1C6"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Pacientus reikia įspėti, kad būtina kreiptis į medikus, jeigu pasireiškia tokių simptomų kaip skausmas, jautrumas, eritema ar patinimas lytinių organų arba </w:t>
      </w:r>
      <w:proofErr w:type="spellStart"/>
      <w:r w:rsidRPr="003124CB">
        <w:rPr>
          <w:rFonts w:ascii="Times New Roman" w:eastAsia="TimesNewRoman" w:hAnsi="Times New Roman"/>
          <w:lang w:eastAsia="lt-LT"/>
        </w:rPr>
        <w:t>tarpvietės</w:t>
      </w:r>
      <w:proofErr w:type="spellEnd"/>
      <w:r w:rsidRPr="003124CB">
        <w:rPr>
          <w:rFonts w:ascii="Times New Roman" w:eastAsia="TimesNewRoman" w:hAnsi="Times New Roman"/>
          <w:lang w:eastAsia="lt-LT"/>
        </w:rPr>
        <w:t xml:space="preserve"> srityje, kartu su karščiavimu ar bendruoju negalavimu. Būtina atkreipti dėmesį, kad nekrozuojantis fascitas gali pasireikšti po urogenitalinės infekcijos arba tarpvietės pūlinio. Įtarus </w:t>
      </w:r>
      <w:r w:rsidRPr="003124CB">
        <w:rPr>
          <w:rFonts w:ascii="Times New Roman" w:eastAsia="TimesNewRoman,Italic" w:hAnsi="Times New Roman"/>
          <w:i/>
          <w:iCs/>
          <w:lang w:eastAsia="lt-LT"/>
        </w:rPr>
        <w:t xml:space="preserve">Fournier </w:t>
      </w:r>
      <w:r w:rsidRPr="003124CB">
        <w:rPr>
          <w:rFonts w:ascii="Times New Roman" w:eastAsia="TimesNewRoman" w:hAnsi="Times New Roman"/>
          <w:lang w:eastAsia="lt-LT"/>
        </w:rPr>
        <w:t xml:space="preserve">gangreną, reikia nutraukti </w:t>
      </w:r>
      <w:r w:rsidR="002F33BE">
        <w:rPr>
          <w:rFonts w:ascii="Times New Roman" w:eastAsia="TimesNewRoman" w:hAnsi="Times New Roman"/>
          <w:lang w:eastAsia="lt-LT"/>
        </w:rPr>
        <w:t>Axigalu</w:t>
      </w:r>
      <w:r w:rsidRPr="003124CB">
        <w:rPr>
          <w:rFonts w:ascii="Times New Roman" w:eastAsia="TimesNewRoman" w:hAnsi="Times New Roman"/>
          <w:lang w:eastAsia="lt-LT"/>
        </w:rPr>
        <w:t xml:space="preserve"> vartojimą ir nedelsiant pradėti gydymą (skirti antibiotikų ir pašalinti pažeistus audinius chirurginiu būdu).</w:t>
      </w:r>
    </w:p>
    <w:p w14:paraId="527B2522"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594C673C"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u w:val="single"/>
        </w:rPr>
      </w:pPr>
      <w:r w:rsidRPr="003124CB">
        <w:rPr>
          <w:rFonts w:ascii="Times New Roman" w:eastAsia="TimesNewRoman" w:hAnsi="Times New Roman"/>
          <w:u w:val="single"/>
        </w:rPr>
        <w:t>Padidėjusio jautrumo reakcijos</w:t>
      </w:r>
    </w:p>
    <w:p w14:paraId="6321597D"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Šio vaistinio preparato negalima vartoti pacientams, kuriems buvo pasireiškusi sunki padidėjusio jautrumo reakcija į bet kokį DPP-4 inhibitorių (žr. 4.3 skyrių).</w:t>
      </w:r>
    </w:p>
    <w:p w14:paraId="1172F172" w14:textId="5C34420A" w:rsidR="003124CB" w:rsidRPr="003124CB" w:rsidRDefault="003124CB" w:rsidP="003124CB">
      <w:pPr>
        <w:widowControl w:val="0"/>
        <w:autoSpaceDE w:val="0"/>
        <w:autoSpaceDN w:val="0"/>
        <w:adjustRightInd w:val="0"/>
        <w:spacing w:after="0" w:line="240" w:lineRule="auto"/>
        <w:rPr>
          <w:rFonts w:ascii="Times New Roman" w:eastAsia="Times New Roman" w:hAnsi="Times New Roman"/>
          <w:u w:val="single"/>
        </w:rPr>
      </w:pPr>
      <w:r w:rsidRPr="003124CB">
        <w:rPr>
          <w:rFonts w:ascii="Times New Roman" w:eastAsia="TimesNewRoman" w:hAnsi="Times New Roman"/>
        </w:rPr>
        <w:t xml:space="preserve">Po vaistinio preparato pateikimo į rinką buvo pranešimų apie sunkių padidėjusio jautrumo reakcijų atvejus sitagliptinu gydytiems pacientams. Šios reakcijos pasireiškė kaip anafilaksija, angioneurozinė edema ir eksfoliaciniai odos sutrikimai, įskaitant </w:t>
      </w:r>
      <w:proofErr w:type="spellStart"/>
      <w:r w:rsidRPr="003124CB">
        <w:rPr>
          <w:rFonts w:ascii="Times New Roman" w:eastAsia="TimesNewRoman" w:hAnsi="Times New Roman"/>
        </w:rPr>
        <w:t>Stivenso</w:t>
      </w:r>
      <w:proofErr w:type="spellEnd"/>
      <w:r w:rsidRPr="003124CB">
        <w:rPr>
          <w:rFonts w:ascii="Times New Roman" w:eastAsia="TimesNewRoman" w:hAnsi="Times New Roman"/>
        </w:rPr>
        <w:noBreakHyphen/>
        <w:t>Džonsono (</w:t>
      </w:r>
      <w:proofErr w:type="spellStart"/>
      <w:r w:rsidRPr="003124CB">
        <w:rPr>
          <w:rFonts w:ascii="Times New Roman" w:eastAsia="TimesNewRoman,Italic" w:hAnsi="Times New Roman"/>
          <w:i/>
          <w:iCs/>
        </w:rPr>
        <w:t>Stevens</w:t>
      </w:r>
      <w:r w:rsidRPr="003124CB">
        <w:rPr>
          <w:rFonts w:ascii="Times New Roman" w:eastAsia="TimesNewRoman,Italic" w:hAnsi="Times New Roman"/>
          <w:i/>
          <w:iCs/>
        </w:rPr>
        <w:noBreakHyphen/>
        <w:t>Johnson</w:t>
      </w:r>
      <w:proofErr w:type="spellEnd"/>
      <w:r w:rsidRPr="003124CB">
        <w:rPr>
          <w:rFonts w:ascii="Times New Roman" w:eastAsia="TimesNewRoman,Italic" w:hAnsi="Times New Roman"/>
          <w:iCs/>
        </w:rPr>
        <w:t>)</w:t>
      </w:r>
      <w:r w:rsidRPr="003124CB">
        <w:rPr>
          <w:rFonts w:ascii="Times New Roman" w:eastAsia="TimesNewRoman,Italic" w:hAnsi="Times New Roman"/>
          <w:i/>
          <w:iCs/>
        </w:rPr>
        <w:t xml:space="preserve"> </w:t>
      </w:r>
      <w:r w:rsidRPr="003124CB">
        <w:rPr>
          <w:rFonts w:ascii="Times New Roman" w:eastAsia="TimesNewRoman" w:hAnsi="Times New Roman"/>
        </w:rPr>
        <w:t>sindromą</w:t>
      </w:r>
      <w:r w:rsidR="0051786A">
        <w:rPr>
          <w:rFonts w:ascii="Times New Roman" w:eastAsia="TimesNewRoman" w:hAnsi="Times New Roman"/>
        </w:rPr>
        <w:t xml:space="preserve"> (žr. 4.8 skyrių)</w:t>
      </w:r>
      <w:r w:rsidRPr="003124CB">
        <w:rPr>
          <w:rFonts w:ascii="Times New Roman" w:eastAsia="TimesNewRoman" w:hAnsi="Times New Roman"/>
        </w:rPr>
        <w:t xml:space="preserve">. Šios reakcijos pasireiškė per pirmuosius 3 mėnesius nuo gydymo pradžios, o kai kuriais atvejais – po pirmosios dozės pavartojimo. Įtarus padidėjusio jautrumo reakciją, </w:t>
      </w:r>
      <w:r w:rsidR="002F33BE">
        <w:rPr>
          <w:rFonts w:ascii="Times New Roman" w:eastAsia="Times New Roman" w:hAnsi="Times New Roman"/>
        </w:rPr>
        <w:t>Axigalu</w:t>
      </w:r>
      <w:r w:rsidRPr="003124CB">
        <w:rPr>
          <w:rFonts w:ascii="Times New Roman" w:eastAsia="TimesNewRoman" w:hAnsi="Times New Roman"/>
        </w:rPr>
        <w:t xml:space="preserve"> vartojimą reikia nutraukti. Būtina įvertinti kitas galimas reiškinio priežastis ir pradėti alternatyvų cukrinio diabeto gydymą.</w:t>
      </w:r>
    </w:p>
    <w:p w14:paraId="01A55E83"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40276EA1"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Šlapimo takų infekcijos</w:t>
      </w:r>
    </w:p>
    <w:p w14:paraId="43CBE251"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Gliukozės išskyrimas su šlapimu gali būti susijęs su padidėjusia šlapimo takų infekcijos rizika (žr. 4.8 skyrių); todėl gydant pielonefritą ar su šlapimo takais susijusį sepsį reikia apsvarstyti laikino šio vaistinio preparato vartojimo nutraukimo tikslingumą.</w:t>
      </w:r>
    </w:p>
    <w:p w14:paraId="7FB61BD5"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0856B57D"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Senyvi (≥ 65 metų) žmonės</w:t>
      </w:r>
    </w:p>
    <w:p w14:paraId="017D40AD"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Senyviems pacientams yra didesnė rizika, kad sumažės skysčio kiekis organizme, ir yra labiau tikėtina, kad jie bus gydomi diuretikais.</w:t>
      </w:r>
    </w:p>
    <w:p w14:paraId="3D26CC2B"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1473649E"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Senyviems pacientams yra didesnė tikimybė, kad bus sutrikusi inkstų funkcija ir (arba) jie bus gydomi antihipertenziniais vaistiniais preparatais, tokiais kaip angiotenziną konvertuojančio fermento inhibitoriai (AKF-I) ir angiotenzino-II 1 tipo receptorių blokatoriai (ARB), kurie gali sukelti inkstų funkcijos pokyčių. Senyviems pacientams taikomos tokios pačios rekomendacijos dėl inkstų funkcijos stebėjimo kaip ir visiems kitiems pacientams (žr. 4.2 ir 5.2 skyrius).</w:t>
      </w:r>
    </w:p>
    <w:p w14:paraId="29E7BBEB"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3A20FAE4" w14:textId="34DB5AF1" w:rsidR="003124CB" w:rsidRPr="003124CB" w:rsidRDefault="00040BB0" w:rsidP="003124CB">
      <w:pPr>
        <w:widowControl w:val="0"/>
        <w:autoSpaceDE w:val="0"/>
        <w:autoSpaceDN w:val="0"/>
        <w:adjustRightInd w:val="0"/>
        <w:spacing w:after="0" w:line="240" w:lineRule="auto"/>
        <w:rPr>
          <w:rFonts w:ascii="Times New Roman" w:eastAsia="TimesNewRoman" w:hAnsi="Times New Roman"/>
          <w:u w:val="single"/>
        </w:rPr>
      </w:pPr>
      <w:proofErr w:type="spellStart"/>
      <w:r>
        <w:rPr>
          <w:rFonts w:ascii="Times New Roman" w:eastAsia="TimesNewRoman" w:hAnsi="Times New Roman"/>
          <w:u w:val="single"/>
        </w:rPr>
        <w:t>Buliozinis</w:t>
      </w:r>
      <w:proofErr w:type="spellEnd"/>
      <w:r>
        <w:rPr>
          <w:rFonts w:ascii="Times New Roman" w:eastAsia="TimesNewRoman" w:hAnsi="Times New Roman"/>
          <w:u w:val="single"/>
        </w:rPr>
        <w:t xml:space="preserve"> (</w:t>
      </w:r>
      <w:proofErr w:type="spellStart"/>
      <w:r>
        <w:rPr>
          <w:rFonts w:ascii="Times New Roman" w:eastAsia="TimesNewRoman" w:hAnsi="Times New Roman"/>
          <w:u w:val="single"/>
        </w:rPr>
        <w:t>p</w:t>
      </w:r>
      <w:r w:rsidR="003124CB" w:rsidRPr="003124CB">
        <w:rPr>
          <w:rFonts w:ascii="Times New Roman" w:eastAsia="TimesNewRoman" w:hAnsi="Times New Roman"/>
          <w:u w:val="single"/>
        </w:rPr>
        <w:t>ūslinis</w:t>
      </w:r>
      <w:proofErr w:type="spellEnd"/>
      <w:r>
        <w:rPr>
          <w:rFonts w:ascii="Times New Roman" w:eastAsia="TimesNewRoman" w:hAnsi="Times New Roman"/>
          <w:u w:val="single"/>
        </w:rPr>
        <w:t>)</w:t>
      </w:r>
      <w:r w:rsidR="003124CB" w:rsidRPr="003124CB">
        <w:rPr>
          <w:rFonts w:ascii="Times New Roman" w:eastAsia="TimesNewRoman" w:hAnsi="Times New Roman"/>
          <w:u w:val="single"/>
        </w:rPr>
        <w:t xml:space="preserve"> </w:t>
      </w:r>
      <w:proofErr w:type="spellStart"/>
      <w:r w:rsidR="003124CB" w:rsidRPr="003124CB">
        <w:rPr>
          <w:rFonts w:ascii="Times New Roman" w:eastAsia="TimesNewRoman" w:hAnsi="Times New Roman"/>
          <w:u w:val="single"/>
        </w:rPr>
        <w:t>pemfigoidas</w:t>
      </w:r>
      <w:proofErr w:type="spellEnd"/>
    </w:p>
    <w:p w14:paraId="1E45D279" w14:textId="2D34DC44" w:rsidR="003124CB" w:rsidRPr="003124CB" w:rsidRDefault="003124CB" w:rsidP="003124CB">
      <w:pPr>
        <w:widowControl w:val="0"/>
        <w:autoSpaceDE w:val="0"/>
        <w:autoSpaceDN w:val="0"/>
        <w:adjustRightInd w:val="0"/>
        <w:spacing w:after="0" w:line="240" w:lineRule="auto"/>
        <w:rPr>
          <w:rFonts w:ascii="Times New Roman" w:eastAsia="Times New Roman" w:hAnsi="Times New Roman"/>
          <w:u w:val="single"/>
        </w:rPr>
      </w:pPr>
      <w:r w:rsidRPr="003124CB">
        <w:rPr>
          <w:rFonts w:ascii="Times New Roman" w:eastAsia="TimesNewRoman" w:hAnsi="Times New Roman"/>
        </w:rPr>
        <w:t>Po pateikimo į rinką gauta pranešimų apie pūslinio pemfigoido pasireiškimo atvejus pacientams, kurie vartojo DPP</w:t>
      </w:r>
      <w:r w:rsidRPr="003124CB">
        <w:rPr>
          <w:rFonts w:ascii="Times New Roman" w:eastAsia="TimesNewRoman" w:hAnsi="Times New Roman"/>
        </w:rPr>
        <w:noBreakHyphen/>
        <w:t xml:space="preserve">4 inhibitorių, įskaitant sitagliptiną. Jeigu įtariama, kad pasireiškė pūslinis pemfigoidas, </w:t>
      </w:r>
      <w:r w:rsidR="002F33BE">
        <w:rPr>
          <w:rFonts w:ascii="Times New Roman" w:eastAsia="Times New Roman" w:hAnsi="Times New Roman"/>
        </w:rPr>
        <w:t>Axigalu</w:t>
      </w:r>
      <w:r w:rsidRPr="003124CB">
        <w:rPr>
          <w:rFonts w:ascii="Times New Roman" w:eastAsia="TimesNewRoman" w:hAnsi="Times New Roman"/>
        </w:rPr>
        <w:t xml:space="preserve"> vartojimą reikia nutraukti.</w:t>
      </w:r>
    </w:p>
    <w:p w14:paraId="77A83708"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0B542E43"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Širdies nepakankamumas</w:t>
      </w:r>
    </w:p>
    <w:p w14:paraId="377F79A9"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Dapagliflozino vartojimo patirties IV NYHA klasės širdies nepakankamumu sergantiems pacientams yra nedaug.</w:t>
      </w:r>
    </w:p>
    <w:p w14:paraId="306B2083" w14:textId="77777777" w:rsidR="003124CB" w:rsidRPr="003124CB" w:rsidRDefault="003124CB" w:rsidP="003124CB">
      <w:pPr>
        <w:spacing w:after="0" w:line="240" w:lineRule="auto"/>
        <w:ind w:left="567" w:hanging="567"/>
        <w:rPr>
          <w:rFonts w:ascii="Times New Roman" w:eastAsia="TimesNewRoman" w:hAnsi="Times New Roman"/>
          <w:lang w:eastAsia="lt-LT"/>
        </w:rPr>
      </w:pPr>
    </w:p>
    <w:p w14:paraId="18CB0C72" w14:textId="77777777" w:rsidR="003124CB" w:rsidRPr="003124CB" w:rsidRDefault="003124CB" w:rsidP="003124CB">
      <w:pPr>
        <w:spacing w:after="0" w:line="240" w:lineRule="auto"/>
        <w:ind w:left="567" w:hanging="567"/>
        <w:rPr>
          <w:rFonts w:ascii="Times New Roman" w:eastAsia="TimesNewRoman" w:hAnsi="Times New Roman"/>
          <w:u w:val="single"/>
          <w:lang w:eastAsia="lt-LT"/>
        </w:rPr>
      </w:pPr>
      <w:r w:rsidRPr="003124CB">
        <w:rPr>
          <w:rFonts w:ascii="Times New Roman" w:eastAsia="TimesNewRoman" w:hAnsi="Times New Roman"/>
          <w:u w:val="single"/>
          <w:lang w:eastAsia="lt-LT"/>
        </w:rPr>
        <w:t>Infiltracinė kardiomiopatija</w:t>
      </w:r>
    </w:p>
    <w:p w14:paraId="40A93680"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Pacientai, sergantys infiltracine kardiomiopatija, nebuvo tirti.</w:t>
      </w:r>
    </w:p>
    <w:p w14:paraId="7E5613A7" w14:textId="77777777" w:rsidR="008D15BD" w:rsidRDefault="008D15BD" w:rsidP="008D15BD">
      <w:pPr>
        <w:autoSpaceDE w:val="0"/>
        <w:autoSpaceDN w:val="0"/>
        <w:adjustRightInd w:val="0"/>
        <w:spacing w:after="0" w:line="240" w:lineRule="auto"/>
        <w:rPr>
          <w:rFonts w:ascii="Times New Roman" w:eastAsia="TimesNewRoman" w:hAnsi="Times New Roman"/>
          <w:lang w:eastAsia="lt-LT"/>
        </w:rPr>
      </w:pPr>
    </w:p>
    <w:p w14:paraId="45B031CA" w14:textId="3A58DE54" w:rsidR="008D15BD" w:rsidRPr="008D15BD" w:rsidRDefault="008D15BD" w:rsidP="008D15BD">
      <w:pPr>
        <w:autoSpaceDE w:val="0"/>
        <w:autoSpaceDN w:val="0"/>
        <w:adjustRightInd w:val="0"/>
        <w:spacing w:after="0" w:line="240" w:lineRule="auto"/>
        <w:rPr>
          <w:rFonts w:ascii="Times New Roman" w:eastAsia="TimesNewRoman" w:hAnsi="Times New Roman"/>
          <w:u w:val="single"/>
          <w:lang w:eastAsia="lt-LT"/>
        </w:rPr>
      </w:pPr>
      <w:r w:rsidRPr="008D15BD">
        <w:rPr>
          <w:rFonts w:ascii="Times New Roman" w:eastAsia="TimesNewRoman" w:hAnsi="Times New Roman"/>
          <w:u w:val="single"/>
          <w:lang w:eastAsia="lt-LT"/>
        </w:rPr>
        <w:t>Padidėjęs hematokritas</w:t>
      </w:r>
    </w:p>
    <w:p w14:paraId="369C921C" w14:textId="473CF763" w:rsidR="003124CB" w:rsidRDefault="008D15BD" w:rsidP="008D15BD">
      <w:pPr>
        <w:autoSpaceDE w:val="0"/>
        <w:autoSpaceDN w:val="0"/>
        <w:adjustRightInd w:val="0"/>
        <w:spacing w:after="0" w:line="240" w:lineRule="auto"/>
        <w:rPr>
          <w:rFonts w:ascii="Times New Roman" w:eastAsia="TimesNewRoman" w:hAnsi="Times New Roman"/>
          <w:lang w:eastAsia="lt-LT"/>
        </w:rPr>
      </w:pPr>
      <w:r w:rsidRPr="008D15BD">
        <w:rPr>
          <w:rFonts w:ascii="Times New Roman" w:eastAsia="TimesNewRoman" w:hAnsi="Times New Roman"/>
          <w:lang w:eastAsia="lt-LT"/>
        </w:rPr>
        <w:t>Gydant dapagliflozinu, buvo pastebėtas hematokrito padidėjimas (žr. 4.8 skyrių). Pacientus, kuriems yra ryškus hematokrito padidėjimas, reikia stebėti ir ištirti, ar nėra pagrindinės hematologinės ligos.</w:t>
      </w:r>
    </w:p>
    <w:p w14:paraId="08EB656A" w14:textId="77777777" w:rsidR="008D15BD" w:rsidRPr="003124CB" w:rsidRDefault="008D15BD" w:rsidP="008D15BD">
      <w:pPr>
        <w:autoSpaceDE w:val="0"/>
        <w:autoSpaceDN w:val="0"/>
        <w:adjustRightInd w:val="0"/>
        <w:spacing w:after="0" w:line="240" w:lineRule="auto"/>
        <w:rPr>
          <w:rFonts w:ascii="Times New Roman" w:eastAsia="TimesNewRoman" w:hAnsi="Times New Roman"/>
          <w:lang w:eastAsia="lt-LT"/>
        </w:rPr>
      </w:pPr>
    </w:p>
    <w:p w14:paraId="2F9E0C32"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Kojų amputacijos</w:t>
      </w:r>
    </w:p>
    <w:p w14:paraId="5D46B3B4" w14:textId="5E3CAA5D" w:rsidR="003124CB" w:rsidRPr="003124CB" w:rsidRDefault="000D6249" w:rsidP="003124CB">
      <w:pPr>
        <w:autoSpaceDE w:val="0"/>
        <w:autoSpaceDN w:val="0"/>
        <w:adjustRightInd w:val="0"/>
        <w:spacing w:after="0" w:line="240" w:lineRule="auto"/>
        <w:rPr>
          <w:rFonts w:ascii="Times New Roman" w:eastAsia="TimesNewRoman" w:hAnsi="Times New Roman"/>
          <w:lang w:eastAsia="lt-LT"/>
        </w:rPr>
      </w:pPr>
      <w:r>
        <w:rPr>
          <w:rFonts w:ascii="Times New Roman" w:eastAsia="TimesNewRoman" w:hAnsi="Times New Roman"/>
          <w:lang w:eastAsia="lt-LT"/>
        </w:rPr>
        <w:t>Atliekant</w:t>
      </w:r>
      <w:r w:rsidRPr="003124CB">
        <w:rPr>
          <w:rFonts w:ascii="Times New Roman" w:eastAsia="TimesNewRoman" w:hAnsi="Times New Roman"/>
          <w:lang w:eastAsia="lt-LT"/>
        </w:rPr>
        <w:t xml:space="preserve"> </w:t>
      </w:r>
      <w:r w:rsidR="003124CB" w:rsidRPr="003124CB">
        <w:rPr>
          <w:rFonts w:ascii="Times New Roman" w:eastAsia="TimesNewRoman" w:hAnsi="Times New Roman"/>
          <w:lang w:eastAsia="lt-LT"/>
        </w:rPr>
        <w:t>ilgalaikių SGLT2 inhibitorių poveikio cukriniu diabetu sergantiems pacientams klinikinių tyrimų metu stebėtas kojų (pirmiausia kojos pirštų) amputacijų atvejų padažnėjimas. Ar toks poveikis yra būdingas visai šių vaistinių preparatų klasei, nėra žinoma. Visus cukriniu diabetu sergančius pacientus svarbu konsultuoti dėl įprastinės profilaktinės pėdų priežiūros.</w:t>
      </w:r>
    </w:p>
    <w:p w14:paraId="7C68DC8D"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5DE1F718"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Vartojimas su vaistiniais preparatais, kurie sukelia hipoglikemiją</w:t>
      </w:r>
    </w:p>
    <w:p w14:paraId="40D146E2" w14:textId="77777777" w:rsidR="003124CB" w:rsidRPr="003124CB" w:rsidRDefault="003124CB" w:rsidP="003124CB">
      <w:pPr>
        <w:widowControl w:val="0"/>
        <w:tabs>
          <w:tab w:val="left" w:pos="567"/>
        </w:tabs>
        <w:spacing w:after="0" w:line="240" w:lineRule="auto"/>
        <w:rPr>
          <w:rFonts w:ascii="Times New Roman" w:eastAsia="TimesNewRoman" w:hAnsi="Times New Roman"/>
        </w:rPr>
      </w:pPr>
      <w:r w:rsidRPr="003124CB">
        <w:rPr>
          <w:rFonts w:ascii="Times New Roman" w:eastAsia="TimesNewRoman" w:hAnsi="Times New Roman"/>
        </w:rPr>
        <w:t xml:space="preserve">Klinikinių tyrimų metu gydant vien </w:t>
      </w:r>
      <w:r w:rsidRPr="003124CB">
        <w:rPr>
          <w:rFonts w:ascii="Times New Roman" w:eastAsia="Times New Roman" w:hAnsi="Times New Roman"/>
        </w:rPr>
        <w:t>sitagliptinu</w:t>
      </w:r>
      <w:r w:rsidRPr="003124CB">
        <w:rPr>
          <w:rFonts w:ascii="Times New Roman" w:eastAsia="TimesNewRoman" w:hAnsi="Times New Roman"/>
        </w:rPr>
        <w:t xml:space="preserve"> arba juo kartu su vaistiniais preparatais, kurie nesukelia hipoglikemijos (t. y. metforminu ir (arba) PPARγ agonistu), sitagliptino vartojusiems pacientams hipoglikemijos dažnis buvo panašus į nustatytą vartojusiems placebo.</w:t>
      </w:r>
    </w:p>
    <w:p w14:paraId="37992CE9"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0A5CB433"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Tiek sitagliptinas, tiek dapagliflozinas, vartojami kartu su insulinu arba insulino sekreciją skatinančiu vaistiniu preparatu, gali padidinti hipoglikemijos riziką (žr. 4.8 skyrių). Jei šis vaistinis preparatas vartojamas kartu su insulinu arba insulino sekreciją skatinančiu vaistiniu preparatu (sulfonilkarbamidu), gali prireikti sumažinti insulino arba sulfonilkarbamido dozę, kad būtų sumažinta hipoglikemijos rizika.</w:t>
      </w:r>
    </w:p>
    <w:p w14:paraId="2179BBEE"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562B642A"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u w:val="single"/>
          <w:lang w:eastAsia="lt-LT"/>
        </w:rPr>
      </w:pPr>
      <w:r w:rsidRPr="003124CB">
        <w:rPr>
          <w:rFonts w:ascii="Times New Roman" w:eastAsia="TimesNewRoman" w:hAnsi="Times New Roman"/>
          <w:snapToGrid w:val="0"/>
          <w:u w:val="single"/>
          <w:lang w:eastAsia="lt-LT"/>
        </w:rPr>
        <w:t>Laboratoriniai šlapimo tyrimai</w:t>
      </w:r>
    </w:p>
    <w:p w14:paraId="59AE7CC4"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Dėl dapagliflozino veikimo mechanizmo gliukozės mėginys šį vaistinį preparatą vartojančių pacientų šlapime būna teigiamas.</w:t>
      </w:r>
    </w:p>
    <w:p w14:paraId="56E77430"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08614711"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4.5</w:t>
      </w:r>
      <w:r w:rsidRPr="003124CB">
        <w:rPr>
          <w:rFonts w:ascii="Times New Roman" w:eastAsia="Times New Roman" w:hAnsi="Times New Roman"/>
          <w:b/>
          <w:kern w:val="28"/>
        </w:rPr>
        <w:tab/>
        <w:t>Sąveika su kitais vaistiniais preparatais ir kitokia sąveika</w:t>
      </w:r>
    </w:p>
    <w:p w14:paraId="16F01871"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13E6628C"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Farmakodinaminė sąveika</w:t>
      </w:r>
    </w:p>
    <w:p w14:paraId="085F50E1"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p>
    <w:p w14:paraId="4BAE8E2C"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r w:rsidRPr="003124CB">
        <w:rPr>
          <w:rFonts w:ascii="Times New Roman" w:eastAsia="TimesNewRoman,Italic" w:hAnsi="Times New Roman"/>
          <w:i/>
          <w:iCs/>
          <w:lang w:eastAsia="lt-LT"/>
        </w:rPr>
        <w:t>Diuretikai</w:t>
      </w:r>
    </w:p>
    <w:p w14:paraId="0290FDF0"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gali sustiprinti tiazidinių bei Henlės kilpoje veikiančių diuretikų šlapimo išsiskyrimą skatinantį poveikį, todėl gali padidėti dehidratacijos ir hipotenzijos rizika (žr. 4.4 skyrių).</w:t>
      </w:r>
    </w:p>
    <w:p w14:paraId="0F6A8C66"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0598DEFB"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r w:rsidRPr="003124CB">
        <w:rPr>
          <w:rFonts w:ascii="Times New Roman" w:eastAsia="TimesNewRoman,Italic" w:hAnsi="Times New Roman"/>
          <w:i/>
          <w:iCs/>
          <w:lang w:eastAsia="lt-LT"/>
        </w:rPr>
        <w:t>Insulinas ir insulino sekreciją skatinantys vaistiniai preparatai</w:t>
      </w:r>
    </w:p>
    <w:p w14:paraId="54AEF6F5" w14:textId="043FC2D2"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Insulinas ir jo sekreciją skatinantys vaistiniai preparatai, pvz., sulfonilkarbamidai, sukelia hipoglikemiją. Dėl to, norint sumažinti hipoglikemijos riziką 2 tipo cukriniu diabetu sergantiems pacientams gali tekti sumažinti kartu su </w:t>
      </w:r>
      <w:r w:rsidR="002F33BE">
        <w:rPr>
          <w:rFonts w:ascii="Times New Roman" w:eastAsia="TimesNewRoman" w:hAnsi="Times New Roman"/>
          <w:lang w:eastAsia="lt-LT"/>
        </w:rPr>
        <w:t>Axigalu</w:t>
      </w:r>
      <w:r w:rsidRPr="003124CB">
        <w:rPr>
          <w:rFonts w:ascii="Times New Roman" w:eastAsia="TimesNewRoman" w:hAnsi="Times New Roman"/>
          <w:lang w:eastAsia="lt-LT"/>
        </w:rPr>
        <w:t xml:space="preserve"> vartojamo insulino ar jo sekreciją skatinančio vaistinio preparato dozę (žr. 4.4 ir 4.8 skyrius).</w:t>
      </w:r>
    </w:p>
    <w:p w14:paraId="5745028C"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0D7FA422"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Farmakokinetinė sąveika</w:t>
      </w:r>
    </w:p>
    <w:p w14:paraId="74C855B6"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p>
    <w:p w14:paraId="448D0B26"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daugiausia metabolizuojamas vykstant konjugacijai su glukuronidu, dalyvaujant UDF gliukuronoziltransferazei 1A9 (UGT1A9).</w:t>
      </w:r>
    </w:p>
    <w:p w14:paraId="71F17729"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7754F3D" w14:textId="58609151"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Italic" w:hAnsi="Times New Roman"/>
          <w:i/>
          <w:iCs/>
          <w:lang w:eastAsia="lt-LT"/>
        </w:rPr>
        <w:t xml:space="preserve">In vitro </w:t>
      </w:r>
      <w:r w:rsidRPr="003124CB">
        <w:rPr>
          <w:rFonts w:ascii="Times New Roman" w:eastAsia="TimesNewRoman" w:hAnsi="Times New Roman"/>
          <w:lang w:eastAsia="lt-LT"/>
        </w:rPr>
        <w:t xml:space="preserve">atliktų tyrimų metu </w:t>
      </w:r>
      <w:proofErr w:type="spellStart"/>
      <w:r w:rsidRPr="003124CB">
        <w:rPr>
          <w:rFonts w:ascii="Times New Roman" w:eastAsia="TimesNewRoman" w:hAnsi="Times New Roman"/>
          <w:lang w:eastAsia="lt-LT"/>
        </w:rPr>
        <w:t>dapagliflozinas</w:t>
      </w:r>
      <w:proofErr w:type="spellEnd"/>
      <w:r w:rsidRPr="003124CB">
        <w:rPr>
          <w:rFonts w:ascii="Times New Roman" w:eastAsia="TimesNewRoman" w:hAnsi="Times New Roman"/>
          <w:lang w:eastAsia="lt-LT"/>
        </w:rPr>
        <w:t xml:space="preserve"> neslopino </w:t>
      </w:r>
      <w:proofErr w:type="spellStart"/>
      <w:r w:rsidRPr="003124CB">
        <w:rPr>
          <w:rFonts w:ascii="Times New Roman" w:eastAsia="TimesNewRoman" w:hAnsi="Times New Roman"/>
          <w:lang w:eastAsia="lt-LT"/>
        </w:rPr>
        <w:t>citochromo</w:t>
      </w:r>
      <w:proofErr w:type="spellEnd"/>
      <w:r w:rsidRPr="003124CB">
        <w:rPr>
          <w:rFonts w:ascii="Times New Roman" w:eastAsia="TimesNewRoman" w:hAnsi="Times New Roman"/>
          <w:lang w:eastAsia="lt-LT"/>
        </w:rPr>
        <w:t xml:space="preserve"> P450 (CYP)1A2, CYP2A6, CYP2B6, CYP2C8, CYP2C9, CYP2C19, CYP2D6, CYP3A4 bei neindukavo CYP1A2, CYP2B6 ar CYP3A4. Dėl to nėra tikėtina, kad dapagliflozinas darytų įtaką kartu vartojamų šių fermentų metabolizuojamų vaistinių preparatų metaboliniam klirensui.</w:t>
      </w:r>
    </w:p>
    <w:p w14:paraId="4A6DAE00"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6CB923D8"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Kitų vaistinių preparatų poveikis dapagliflozinui ar sitagliptinui</w:t>
      </w:r>
    </w:p>
    <w:p w14:paraId="15A0FA40"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p>
    <w:p w14:paraId="5BAD2890"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r w:rsidRPr="003124CB">
        <w:rPr>
          <w:rFonts w:ascii="Times New Roman" w:eastAsia="Times New Roman" w:hAnsi="Times New Roman"/>
          <w:i/>
          <w:iCs/>
        </w:rPr>
        <w:t>Dapagliflozinas</w:t>
      </w:r>
    </w:p>
    <w:p w14:paraId="1CFA08D0"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Su sveikais savanoriais atliktų sąveikos tyrimų (dauguma jų buvo vienkartinės dozės struktūros) duomenys rodo, kad metforminas, pioglitazonas, sitagliptinas, glimepiridas, voglibozė, hidrochlorotiazidas, bumetanidas, valsartanas ir simvastatinas įtakos dapagliflozino farmakokinetikai nedaro.</w:t>
      </w:r>
    </w:p>
    <w:p w14:paraId="3F30C7A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D679B4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Dapaglifloziną vartojant kartu su rifampicinu (įvairių aktyvių nešiklių ir vaistinius preparatus metabolizuojančių fermentų induktorius), stebėtas dapagliflozino sisteminės ekspozicijos (AUC) sumažėjimas 22 %, tačiau kliniškai reikšmingo poveikio gliukozės išskyrimui su šlapimu 24 valandų laikotarpiu nepasireiškė. Dozės koreguoti nerekomenduojama. Taip pat nėra tikėtinas kliniškai reikšmingas kitų induktorių (pvz., karbamazepino, fenitoino, fenobarbitalio) poveikis.</w:t>
      </w:r>
    </w:p>
    <w:p w14:paraId="1ABC84D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D41706B"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Kartu su dapagliflozinu vartojant mefenamo rūgštį (UGT1A9 inhibitorių), nustatyta 55 % padidėjusi dapagliflozino sisteminė ekspozicija, tačiau kliniškai reikšmingo poveikio gliukozės išskyrimui su šlapimu 24 valandų laikotarpiu nepasireiškė. Dozės koreguoti nerekomenduojama.</w:t>
      </w:r>
    </w:p>
    <w:p w14:paraId="62828ED0"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45ADA884"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r w:rsidRPr="003124CB">
        <w:rPr>
          <w:rFonts w:ascii="Times New Roman" w:eastAsia="Times New Roman" w:hAnsi="Times New Roman"/>
          <w:i/>
          <w:iCs/>
        </w:rPr>
        <w:t>Sitagliptinas</w:t>
      </w:r>
    </w:p>
    <w:p w14:paraId="32269975"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Toliau pateikti klinikiniai duomenys rodo, kad kliniškai reikšmingos sitagliptino sąveikos su kartu vartojamais vaistiniais preparatais rizika yra maža.</w:t>
      </w:r>
    </w:p>
    <w:p w14:paraId="0DD9FE9D"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7F099018"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 xml:space="preserve">Tyrimai </w:t>
      </w:r>
      <w:r w:rsidRPr="003124CB">
        <w:rPr>
          <w:rFonts w:ascii="Times New Roman" w:eastAsia="TimesNewRoman,Italic" w:hAnsi="Times New Roman"/>
          <w:i/>
          <w:iCs/>
        </w:rPr>
        <w:t xml:space="preserve">in vitro </w:t>
      </w:r>
      <w:r w:rsidRPr="003124CB">
        <w:rPr>
          <w:rFonts w:ascii="Times New Roman" w:eastAsia="TimesNewRoman" w:hAnsi="Times New Roman"/>
        </w:rPr>
        <w:t>parodė, kad svarbiausias fermentas, vykdantis ribotą sitagliptino metabolizmą, yra CYP3A4, tačiau dalyvauja ir CYP2C8. Pacientų, kurių inkstų funkcija normali, organizme metabolizmas, įskaitant vykdomą CYP3A4, sitagliptino klirensui turi mažą įtaką. Metabolizmas sitagliptino eliminacijai gali būti reikšmingesnis esant sunkiam inkstų funkcijos sutrikimui arba galutinės stadijos inkstų ligai (GSIL). Dėl to įmanoma, kad stiprūs CYP3A4 inhibitoriai (t. y. ketokonazolas, itrakonazolas, ritonaviras, klaritromicinas) gali keisti sitagliptino farmakokinetiką pacientų, kuriems yra sunkus inkstų sutrikimas ar kurie serga GSIL, organizme. Stiprių CYP3A4 inhibitorių poveikis esant inkstų funkcijos sutrikimui klinikinio tyrimo metu vertintas nebuvo.</w:t>
      </w:r>
    </w:p>
    <w:p w14:paraId="2CE9D85D"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221E3424"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 xml:space="preserve">Pernašos tyrimai </w:t>
      </w:r>
      <w:r w:rsidRPr="003124CB">
        <w:rPr>
          <w:rFonts w:ascii="Times New Roman" w:eastAsia="TimesNewRoman,Italic" w:hAnsi="Times New Roman"/>
          <w:i/>
          <w:iCs/>
        </w:rPr>
        <w:t xml:space="preserve">in vitro </w:t>
      </w:r>
      <w:r w:rsidRPr="003124CB">
        <w:rPr>
          <w:rFonts w:ascii="Times New Roman" w:eastAsia="TimesNewRoman" w:hAnsi="Times New Roman"/>
        </w:rPr>
        <w:t>parodė, kad sitagliptinas yra p-glikoproteino ir organinių anijonų nešiklio</w:t>
      </w:r>
      <w:r w:rsidRPr="003124CB">
        <w:rPr>
          <w:rFonts w:ascii="Times New Roman" w:eastAsia="TimesNewRoman" w:hAnsi="Times New Roman"/>
        </w:rPr>
        <w:noBreakHyphen/>
        <w:t xml:space="preserve">3 (angl. </w:t>
      </w:r>
      <w:proofErr w:type="spellStart"/>
      <w:r w:rsidRPr="0030702D">
        <w:rPr>
          <w:rFonts w:ascii="Times New Roman" w:hAnsi="Times New Roman"/>
          <w:i/>
        </w:rPr>
        <w:t>organic</w:t>
      </w:r>
      <w:proofErr w:type="spellEnd"/>
      <w:r w:rsidRPr="0030702D">
        <w:rPr>
          <w:rFonts w:ascii="Times New Roman" w:hAnsi="Times New Roman"/>
          <w:i/>
        </w:rPr>
        <w:t xml:space="preserve"> </w:t>
      </w:r>
      <w:proofErr w:type="spellStart"/>
      <w:r w:rsidRPr="0030702D">
        <w:rPr>
          <w:rFonts w:ascii="Times New Roman" w:hAnsi="Times New Roman"/>
          <w:i/>
        </w:rPr>
        <w:t>anion</w:t>
      </w:r>
      <w:proofErr w:type="spellEnd"/>
      <w:r w:rsidRPr="0030702D">
        <w:rPr>
          <w:rFonts w:ascii="Times New Roman" w:hAnsi="Times New Roman"/>
          <w:i/>
        </w:rPr>
        <w:t xml:space="preserve"> transporter-3</w:t>
      </w:r>
      <w:r w:rsidRPr="0030702D">
        <w:rPr>
          <w:rFonts w:ascii="Times New Roman" w:hAnsi="Times New Roman"/>
        </w:rPr>
        <w:t xml:space="preserve">, </w:t>
      </w:r>
      <w:r w:rsidRPr="003124CB">
        <w:rPr>
          <w:rFonts w:ascii="Times New Roman" w:eastAsia="TimesNewRoman" w:hAnsi="Times New Roman"/>
        </w:rPr>
        <w:t xml:space="preserve">OAT3) substratas. </w:t>
      </w:r>
      <w:r w:rsidRPr="003124CB">
        <w:rPr>
          <w:rFonts w:ascii="Times New Roman" w:eastAsia="TimesNewRoman,Italic" w:hAnsi="Times New Roman"/>
          <w:i/>
          <w:iCs/>
        </w:rPr>
        <w:t xml:space="preserve">In vitro </w:t>
      </w:r>
      <w:r w:rsidRPr="003124CB">
        <w:rPr>
          <w:rFonts w:ascii="Times New Roman" w:eastAsia="TimesNewRoman" w:hAnsi="Times New Roman"/>
        </w:rPr>
        <w:t xml:space="preserve">sitagliptino pernašą, dalyvaujant OAT3, slopino probenecidas, tačiau manoma, kad kliniškai reikšmingos sąveikos rizika yra maža. Vartojimas kartu su OAT3 inhibitoriais </w:t>
      </w:r>
      <w:r w:rsidRPr="003124CB">
        <w:rPr>
          <w:rFonts w:ascii="Times New Roman" w:eastAsia="TimesNewRoman,Italic" w:hAnsi="Times New Roman"/>
          <w:i/>
          <w:iCs/>
        </w:rPr>
        <w:t xml:space="preserve">in vivo </w:t>
      </w:r>
      <w:r w:rsidRPr="003124CB">
        <w:rPr>
          <w:rFonts w:ascii="Times New Roman" w:eastAsia="TimesNewRoman" w:hAnsi="Times New Roman"/>
        </w:rPr>
        <w:t>netirtas.</w:t>
      </w:r>
    </w:p>
    <w:p w14:paraId="7BC30012"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02E6BF2F"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Italic" w:hAnsi="Times New Roman"/>
        </w:rPr>
        <w:t xml:space="preserve">Metforminas. </w:t>
      </w:r>
      <w:r w:rsidRPr="003124CB">
        <w:rPr>
          <w:rFonts w:ascii="Times New Roman" w:eastAsia="TimesNewRoman" w:hAnsi="Times New Roman"/>
        </w:rPr>
        <w:t>2 tipo cukriniu diabetu sirgusių pacientų, kartotinai vartojusių 1 000 mg metformino dozę du kartus per parą ir kartu 50 mg sitagliptino, organizme sitagliptino farmakokinetika reikšmingai nekito.</w:t>
      </w:r>
    </w:p>
    <w:p w14:paraId="69411F4D"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025AB3C8" w14:textId="77777777" w:rsidR="003124CB" w:rsidRPr="003124CB" w:rsidRDefault="003124CB" w:rsidP="003124CB">
      <w:pPr>
        <w:widowControl w:val="0"/>
        <w:tabs>
          <w:tab w:val="left" w:pos="567"/>
        </w:tabs>
        <w:spacing w:after="0" w:line="240" w:lineRule="auto"/>
        <w:rPr>
          <w:rFonts w:ascii="Times New Roman" w:eastAsia="TimesNewRoman" w:hAnsi="Times New Roman"/>
          <w:szCs w:val="24"/>
        </w:rPr>
      </w:pPr>
      <w:r w:rsidRPr="003124CB">
        <w:rPr>
          <w:rFonts w:ascii="Times New Roman" w:eastAsia="TimesNewRoman,Italic" w:hAnsi="Times New Roman"/>
        </w:rPr>
        <w:t xml:space="preserve">Ciklosporinas. </w:t>
      </w:r>
      <w:r w:rsidRPr="003124CB">
        <w:rPr>
          <w:rFonts w:ascii="Times New Roman" w:eastAsia="TimesNewRoman" w:hAnsi="Times New Roman"/>
        </w:rPr>
        <w:t xml:space="preserve">Buvo atliktas tyrimas, kurio metu buvo vertintas stipraus p-glikoproteino inhibitoriaus ciklosporino poveikis sitagliptino farmakokinetikai. Per burną kartu pavartojus vieną 100 mg sitagliptino dozę ir vieną 600 mg ciklosporino dozę, sitagliptino </w:t>
      </w:r>
      <w:r w:rsidRPr="003124CB">
        <w:rPr>
          <w:rFonts w:ascii="Times New Roman" w:eastAsia="TimesNewRoman" w:hAnsi="Times New Roman"/>
          <w:szCs w:val="24"/>
        </w:rPr>
        <w:t>AUC ir C</w:t>
      </w:r>
      <w:r w:rsidRPr="003124CB">
        <w:rPr>
          <w:rFonts w:ascii="Times New Roman" w:eastAsia="TimesNewRoman" w:hAnsi="Times New Roman"/>
          <w:szCs w:val="24"/>
          <w:vertAlign w:val="subscript"/>
        </w:rPr>
        <w:t>max</w:t>
      </w:r>
      <w:r w:rsidRPr="003124CB">
        <w:rPr>
          <w:rFonts w:ascii="Times New Roman" w:eastAsia="TimesNewRoman" w:hAnsi="Times New Roman"/>
          <w:szCs w:val="24"/>
        </w:rPr>
        <w:t xml:space="preserve"> padidėjo atitinkamai madaug 29 % ir 68 %. Šie sitagliptino farmakokinetikos pokyčiai nebuvo laikomi kliniškai reikšmingais. Sitagliptino inkstų klirensas reikšmingai nekito. Todėl reikšminga sąveika su kitais p-glikoproteino inhibitoriais nėra tikėtina.</w:t>
      </w:r>
    </w:p>
    <w:p w14:paraId="6CAFABDD"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p>
    <w:p w14:paraId="2A611D92"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r w:rsidRPr="003124CB">
        <w:rPr>
          <w:rFonts w:ascii="Times New Roman" w:eastAsia="Times New Roman" w:hAnsi="Times New Roman"/>
          <w:u w:val="single"/>
        </w:rPr>
        <w:t>Dapagliflozino ar sitagliptino poveikis kitiems vaistiniams preparatams</w:t>
      </w:r>
    </w:p>
    <w:p w14:paraId="6AB8442D"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p>
    <w:p w14:paraId="3A1C5FE5"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i/>
          <w:iCs/>
        </w:rPr>
        <w:t>Dapagliflozinas</w:t>
      </w:r>
    </w:p>
    <w:p w14:paraId="6D979D18" w14:textId="0BB3C0F9"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gali padidinti ličio išskyrimą per inkstus, todėl gali sumažėti ličio koncentracija kraujyje. Pradėjus vartoti dapagliflozin</w:t>
      </w:r>
      <w:r w:rsidR="009665D2">
        <w:rPr>
          <w:rFonts w:ascii="Times New Roman" w:eastAsia="TimesNewRoman" w:hAnsi="Times New Roman"/>
          <w:lang w:eastAsia="lt-LT"/>
        </w:rPr>
        <w:t>o</w:t>
      </w:r>
      <w:r w:rsidRPr="003124CB">
        <w:rPr>
          <w:rFonts w:ascii="Times New Roman" w:eastAsia="TimesNewRoman" w:hAnsi="Times New Roman"/>
          <w:lang w:eastAsia="lt-LT"/>
        </w:rPr>
        <w:t xml:space="preserve"> ar pakeitus jo dozę, reikia dažniau tirti ličio koncentraciją kraujo serume. Pacientą reikia nusiųsti ličio paskyrusio gydytojo konsultacijai, kad jis stebėtų ličio koncentraciją kraujo serume.</w:t>
      </w:r>
    </w:p>
    <w:p w14:paraId="6C7297C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03369DDF"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Su sveikais asmenimis atliktų sąveikos tyrimų (dauguma jų buvo vienkartinės dozės struktūros) metu dapagliflozinas nedarė įtakos metformino, pioglitazono, sitagliptino, glimepirido, hidrochlorotiazido, bumetanido, valsartano, digoksino (P-gp substrato) ir varfarino (S-varfarino, CYP2C9 substrato) farmakokinetikai bei nekeitė koaguliaciją slopinančio varfarino poveikio (vertinant pagal tarptautinį normalizuotą santykį, TNS). Kartu pavartojus vieną 20 mg dapagliflozino dozę ir simvastatino (CYP3A4 substrato), simvastatino AUC padidėjo 19 %, o simvastatino rūgšties AUC – 31 %. Šis simvastatino ir simvastatino rūgšties ekspozicijos padidėjimas nėra laikomas kliniškai reikšmingu.</w:t>
      </w:r>
    </w:p>
    <w:p w14:paraId="61531401"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B3359B5"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 w:hAnsi="Times New Roman"/>
          <w:u w:val="single"/>
          <w:lang w:eastAsia="lt-LT"/>
        </w:rPr>
        <w:t>Poveikis 1,5-anhidrogliucitolio (1,5-AG) tyrimo rezultatams</w:t>
      </w:r>
    </w:p>
    <w:p w14:paraId="0C056274"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59EAC9F"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1,5-AG tyrimas glikemijos kontrolei stebėti nėra rekomenduojamas, nes 1,5-AG matavimas nėra patikimas vertinant glikemijos kontrolę pacientams, kurie vartoja SGLT2 inhibitorių. Glikemijos kontrolę rekomenduojama stebėti kitais metodais.</w:t>
      </w:r>
    </w:p>
    <w:p w14:paraId="7351173E"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p w14:paraId="08F58A4E" w14:textId="77777777" w:rsidR="003124CB" w:rsidRPr="003124CB" w:rsidRDefault="003124CB" w:rsidP="003124CB">
      <w:pPr>
        <w:widowControl w:val="0"/>
        <w:spacing w:after="0" w:line="240" w:lineRule="auto"/>
        <w:rPr>
          <w:rFonts w:ascii="Times New Roman" w:eastAsia="Times New Roman" w:hAnsi="Times New Roman"/>
          <w:iCs/>
          <w:u w:val="single"/>
        </w:rPr>
      </w:pPr>
      <w:r w:rsidRPr="003124CB">
        <w:rPr>
          <w:rFonts w:ascii="Times New Roman" w:eastAsia="Times New Roman" w:hAnsi="Times New Roman"/>
          <w:iCs/>
          <w:u w:val="single"/>
        </w:rPr>
        <w:t>Vaikų populiacija</w:t>
      </w:r>
    </w:p>
    <w:p w14:paraId="4EC791A6" w14:textId="77777777" w:rsidR="003124CB" w:rsidRPr="003124CB" w:rsidRDefault="003124CB" w:rsidP="003124CB">
      <w:pPr>
        <w:widowControl w:val="0"/>
        <w:spacing w:after="0" w:line="240" w:lineRule="auto"/>
        <w:rPr>
          <w:rFonts w:ascii="Times New Roman" w:eastAsia="Times New Roman" w:hAnsi="Times New Roman"/>
          <w:iCs/>
          <w:u w:val="single"/>
        </w:rPr>
      </w:pPr>
    </w:p>
    <w:p w14:paraId="592B79CD"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Sąveikos tyrimai atlikti tik suaugusiesiems.</w:t>
      </w:r>
    </w:p>
    <w:p w14:paraId="73EC87E9"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5426D8B3" w14:textId="77777777" w:rsidR="003124CB" w:rsidRPr="003124CB" w:rsidRDefault="003124CB" w:rsidP="003124CB">
      <w:pPr>
        <w:widowControl w:val="0"/>
        <w:tabs>
          <w:tab w:val="left" w:pos="567"/>
        </w:tabs>
        <w:spacing w:after="0" w:line="240" w:lineRule="auto"/>
        <w:rPr>
          <w:rFonts w:ascii="Times New Roman" w:eastAsia="Times New Roman" w:hAnsi="Times New Roman"/>
          <w:i/>
          <w:iCs/>
        </w:rPr>
      </w:pPr>
      <w:r w:rsidRPr="003124CB">
        <w:rPr>
          <w:rFonts w:ascii="Times New Roman" w:eastAsia="Times New Roman" w:hAnsi="Times New Roman"/>
          <w:i/>
          <w:iCs/>
        </w:rPr>
        <w:t>Sitagliptinas</w:t>
      </w:r>
    </w:p>
    <w:p w14:paraId="715429F5"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Sitagliptinas šiek tiek paveikė digoksino koncentraciją kraujo plazmoje. 10 dienų kasdien vartojant po 0,25 mg digoksino kartu su 100 mg sitagliptino, digoksino AUC padidėjo vidutiniškai 11 %, C</w:t>
      </w:r>
      <w:r w:rsidRPr="003124CB">
        <w:rPr>
          <w:rFonts w:ascii="Times New Roman" w:eastAsia="TimesNewRoman" w:hAnsi="Times New Roman"/>
          <w:vertAlign w:val="subscript"/>
        </w:rPr>
        <w:t>max</w:t>
      </w:r>
      <w:r w:rsidRPr="003124CB">
        <w:rPr>
          <w:rFonts w:ascii="Times New Roman" w:eastAsia="TimesNewRoman" w:hAnsi="Times New Roman"/>
        </w:rPr>
        <w:t xml:space="preserve"> – vidutiniškai 18 %. Digoksino dozės koreguoti nerekomenduojama. Vis dėlto sitagliptino ir digoksino kartu vartojančius pacientus, kuriems yra digoksino toksinio poveikio rizika, dėl šios sąveikos reikia stebėti.</w:t>
      </w:r>
    </w:p>
    <w:p w14:paraId="44DAA187"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127385E6"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 xml:space="preserve">Tyrimų </w:t>
      </w:r>
      <w:r w:rsidRPr="003124CB">
        <w:rPr>
          <w:rFonts w:ascii="Times New Roman" w:eastAsia="TimesNewRoman,Italic" w:hAnsi="Times New Roman"/>
          <w:i/>
          <w:iCs/>
        </w:rPr>
        <w:t xml:space="preserve">in vitro </w:t>
      </w:r>
      <w:r w:rsidRPr="003124CB">
        <w:rPr>
          <w:rFonts w:ascii="Times New Roman" w:eastAsia="TimesNewRoman" w:hAnsi="Times New Roman"/>
        </w:rPr>
        <w:t xml:space="preserve">domenys rodo, kad sitagliptinas CYP450 izofermentų neslopina ir neindukuoja. Klinikinių tyrimų metu sitagliptinas metformino, gliburido, simvastatino, roziglitazono, varfarino ar geriamųjų kontraceptikų farmakokinetikos reikšmingai neveikė ir tai rodo, kad </w:t>
      </w:r>
      <w:r w:rsidRPr="003124CB">
        <w:rPr>
          <w:rFonts w:ascii="Times New Roman" w:eastAsia="TimesNewRoman,Italic" w:hAnsi="Times New Roman"/>
          <w:i/>
          <w:iCs/>
        </w:rPr>
        <w:t xml:space="preserve">in vivo </w:t>
      </w:r>
      <w:r w:rsidRPr="003124CB">
        <w:rPr>
          <w:rFonts w:ascii="Times New Roman" w:eastAsia="TimesNewRoman" w:hAnsi="Times New Roman"/>
        </w:rPr>
        <w:t xml:space="preserve">sąveikos su CYP3A4, CYP2C8 ar CYP2C9 substratais bei organinių katijonų nešikliu (angl. </w:t>
      </w:r>
      <w:proofErr w:type="spellStart"/>
      <w:r w:rsidRPr="0030702D">
        <w:rPr>
          <w:rFonts w:ascii="Times New Roman" w:eastAsia="Times New Roman" w:hAnsi="Times New Roman"/>
          <w:i/>
          <w:iCs/>
          <w:snapToGrid w:val="0"/>
        </w:rPr>
        <w:t>organic</w:t>
      </w:r>
      <w:proofErr w:type="spellEnd"/>
      <w:r w:rsidRPr="0030702D">
        <w:rPr>
          <w:rFonts w:ascii="Times New Roman" w:eastAsia="Times New Roman" w:hAnsi="Times New Roman"/>
          <w:i/>
          <w:iCs/>
          <w:snapToGrid w:val="0"/>
        </w:rPr>
        <w:t xml:space="preserve"> </w:t>
      </w:r>
      <w:proofErr w:type="spellStart"/>
      <w:r w:rsidRPr="0030702D">
        <w:rPr>
          <w:rFonts w:ascii="Times New Roman" w:eastAsia="Times New Roman" w:hAnsi="Times New Roman"/>
          <w:i/>
          <w:iCs/>
          <w:snapToGrid w:val="0"/>
        </w:rPr>
        <w:t>cationic</w:t>
      </w:r>
      <w:proofErr w:type="spellEnd"/>
      <w:r w:rsidRPr="0030702D">
        <w:rPr>
          <w:rFonts w:ascii="Times New Roman" w:eastAsia="Times New Roman" w:hAnsi="Times New Roman"/>
          <w:i/>
          <w:iCs/>
          <w:snapToGrid w:val="0"/>
        </w:rPr>
        <w:t xml:space="preserve"> </w:t>
      </w:r>
      <w:proofErr w:type="spellStart"/>
      <w:r w:rsidRPr="0030702D">
        <w:rPr>
          <w:rFonts w:ascii="Times New Roman" w:eastAsia="Times New Roman" w:hAnsi="Times New Roman"/>
          <w:i/>
          <w:iCs/>
          <w:snapToGrid w:val="0"/>
        </w:rPr>
        <w:t>transporter</w:t>
      </w:r>
      <w:proofErr w:type="spellEnd"/>
      <w:r w:rsidRPr="003124CB">
        <w:rPr>
          <w:rFonts w:ascii="Times New Roman" w:eastAsia="TimesNewRoman" w:hAnsi="Times New Roman"/>
        </w:rPr>
        <w:t xml:space="preserve">, OCT) rizika yra maža. Sitagliptinas gali </w:t>
      </w:r>
      <w:r w:rsidRPr="003124CB">
        <w:rPr>
          <w:rFonts w:ascii="Times New Roman" w:eastAsia="TimesNewRoman,Italic" w:hAnsi="Times New Roman"/>
          <w:i/>
          <w:iCs/>
        </w:rPr>
        <w:t xml:space="preserve">in vivo </w:t>
      </w:r>
      <w:r w:rsidRPr="003124CB">
        <w:rPr>
          <w:rFonts w:ascii="Times New Roman" w:eastAsia="TimesNewRoman,Italic" w:hAnsi="Times New Roman"/>
        </w:rPr>
        <w:t xml:space="preserve">gali </w:t>
      </w:r>
      <w:r w:rsidRPr="003124CB">
        <w:rPr>
          <w:rFonts w:ascii="Times New Roman" w:eastAsia="TimesNewRoman" w:hAnsi="Times New Roman"/>
        </w:rPr>
        <w:t>silpnai slopinti p-glikoproteiną.</w:t>
      </w:r>
    </w:p>
    <w:p w14:paraId="74E47176"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Cs/>
          <w:kern w:val="28"/>
        </w:rPr>
      </w:pPr>
    </w:p>
    <w:p w14:paraId="7AE1C2CF"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rPr>
      </w:pPr>
      <w:r w:rsidRPr="003124CB">
        <w:rPr>
          <w:rFonts w:ascii="Times New Roman" w:eastAsia="Times New Roman" w:hAnsi="Times New Roman"/>
          <w:b/>
          <w:kern w:val="28"/>
        </w:rPr>
        <w:t>4.6</w:t>
      </w:r>
      <w:r w:rsidRPr="003124CB">
        <w:rPr>
          <w:rFonts w:ascii="Times New Roman" w:eastAsia="Times New Roman" w:hAnsi="Times New Roman"/>
          <w:b/>
          <w:kern w:val="28"/>
        </w:rPr>
        <w:tab/>
        <w:t>Vaisingumas, nėštumo ir žindymo laikotarpis</w:t>
      </w:r>
    </w:p>
    <w:p w14:paraId="41FB84A6" w14:textId="77777777" w:rsidR="003124CB" w:rsidRPr="003124CB" w:rsidRDefault="003124CB" w:rsidP="003124CB">
      <w:pPr>
        <w:widowControl w:val="0"/>
        <w:spacing w:after="0" w:line="240" w:lineRule="auto"/>
        <w:rPr>
          <w:rFonts w:ascii="Times New Roman" w:eastAsia="Times New Roman" w:hAnsi="Times New Roman"/>
          <w:iCs/>
        </w:rPr>
      </w:pPr>
    </w:p>
    <w:p w14:paraId="691C9B1C"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r w:rsidRPr="003124CB">
        <w:rPr>
          <w:rFonts w:ascii="Times New Roman" w:eastAsia="Times New Roman" w:hAnsi="Times New Roman"/>
          <w:color w:val="000000"/>
          <w:u w:val="single"/>
          <w:lang w:eastAsia="sl-SI"/>
        </w:rPr>
        <w:t>Nėštumas</w:t>
      </w:r>
    </w:p>
    <w:p w14:paraId="097773F7"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46A888B2" w14:textId="752656DC"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r w:rsidRPr="003124CB">
        <w:rPr>
          <w:rFonts w:ascii="Times New Roman" w:eastAsia="Times New Roman" w:hAnsi="Times New Roman"/>
          <w:color w:val="000000"/>
          <w:lang w:eastAsia="sl-SI"/>
        </w:rPr>
        <w:t xml:space="preserve">Duomenų apie dapagliflozino ir sitagliptino vartojimą nėštumo metu nėra. </w:t>
      </w:r>
      <w:r w:rsidRPr="003124CB">
        <w:rPr>
          <w:rFonts w:ascii="Times New Roman" w:eastAsia="TimesNewRoman" w:hAnsi="Times New Roman"/>
          <w:lang w:eastAsia="lt-LT"/>
        </w:rPr>
        <w:t xml:space="preserve">Su žiurkėmis atlikti </w:t>
      </w:r>
      <w:r w:rsidRPr="003124CB">
        <w:rPr>
          <w:rFonts w:ascii="Times New Roman" w:eastAsia="Times New Roman" w:hAnsi="Times New Roman"/>
          <w:color w:val="000000"/>
          <w:lang w:eastAsia="sl-SI"/>
        </w:rPr>
        <w:t xml:space="preserve">dapagliflozino </w:t>
      </w:r>
      <w:r w:rsidRPr="003124CB">
        <w:rPr>
          <w:rFonts w:ascii="Times New Roman" w:eastAsia="TimesNewRoman" w:hAnsi="Times New Roman"/>
          <w:lang w:eastAsia="lt-LT"/>
        </w:rPr>
        <w:t>tyrimai parodė toksinį poveikį besivystantiems inkstams laikotarpiu, atitinkančiu antrą ir trečią žmogaus nėštumo trimestrus (žr. 5.3 skyrių).</w:t>
      </w:r>
      <w:r w:rsidRPr="003124CB">
        <w:rPr>
          <w:rFonts w:ascii="Times New Roman" w:eastAsia="Times New Roman" w:hAnsi="Times New Roman"/>
          <w:color w:val="000000"/>
          <w:lang w:eastAsia="sl-SI"/>
        </w:rPr>
        <w:t xml:space="preserve"> </w:t>
      </w:r>
      <w:r w:rsidRPr="003124CB">
        <w:rPr>
          <w:rFonts w:ascii="Times New Roman" w:eastAsia="TimesNewRoman" w:hAnsi="Times New Roman"/>
        </w:rPr>
        <w:t>Su gyvūnais atlikti tyrimai parodė toksinį didelių dozių poveikį reprodukcijai (žr. 5.3 skyrių)</w:t>
      </w:r>
      <w:r w:rsidRPr="003124CB">
        <w:rPr>
          <w:rFonts w:ascii="Times New Roman" w:eastAsia="Times New Roman" w:hAnsi="Times New Roman"/>
          <w:color w:val="000000"/>
          <w:lang w:eastAsia="sl-SI"/>
        </w:rPr>
        <w:t xml:space="preserve">. Galima rizika žmogui nežinoma. Dėl to </w:t>
      </w:r>
      <w:r w:rsidR="002F33BE">
        <w:rPr>
          <w:rFonts w:ascii="Times New Roman" w:eastAsia="Times New Roman" w:hAnsi="Times New Roman"/>
          <w:bCs/>
          <w:iCs/>
          <w:color w:val="000000"/>
          <w:lang w:eastAsia="sl-SI"/>
        </w:rPr>
        <w:t>Axigalu</w:t>
      </w:r>
      <w:r w:rsidRPr="003124CB">
        <w:rPr>
          <w:rFonts w:ascii="Times New Roman" w:eastAsia="Times New Roman" w:hAnsi="Times New Roman"/>
          <w:bCs/>
          <w:iCs/>
          <w:color w:val="000000"/>
          <w:lang w:eastAsia="sl-SI"/>
        </w:rPr>
        <w:t xml:space="preserve"> </w:t>
      </w:r>
      <w:r w:rsidRPr="003124CB">
        <w:rPr>
          <w:rFonts w:ascii="Times New Roman" w:eastAsia="Times New Roman" w:hAnsi="Times New Roman"/>
          <w:color w:val="000000"/>
          <w:lang w:eastAsia="sl-SI"/>
        </w:rPr>
        <w:t xml:space="preserve">nėštumo metu neturi būti vartojamas. Jeigu nustatomas nėštumas, gydymą </w:t>
      </w:r>
      <w:r w:rsidR="002F33BE">
        <w:rPr>
          <w:rFonts w:ascii="Times New Roman" w:eastAsia="Times New Roman" w:hAnsi="Times New Roman"/>
          <w:bCs/>
          <w:iCs/>
          <w:color w:val="000000"/>
          <w:lang w:eastAsia="sl-SI"/>
        </w:rPr>
        <w:t>Axigalu</w:t>
      </w:r>
      <w:r w:rsidRPr="003124CB">
        <w:rPr>
          <w:rFonts w:ascii="Times New Roman" w:eastAsia="Times New Roman" w:hAnsi="Times New Roman"/>
          <w:bCs/>
          <w:iCs/>
          <w:color w:val="000000"/>
          <w:lang w:eastAsia="sl-SI"/>
        </w:rPr>
        <w:t xml:space="preserve"> </w:t>
      </w:r>
      <w:r w:rsidRPr="003124CB">
        <w:rPr>
          <w:rFonts w:ascii="Times New Roman" w:eastAsia="Times New Roman" w:hAnsi="Times New Roman"/>
          <w:color w:val="000000"/>
          <w:lang w:eastAsia="sl-SI"/>
        </w:rPr>
        <w:t>vartojimą būtina nutraukti.</w:t>
      </w:r>
    </w:p>
    <w:p w14:paraId="4A90F6D2"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3659AE2E"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r w:rsidRPr="003124CB">
        <w:rPr>
          <w:rFonts w:ascii="Times New Roman" w:eastAsia="Times New Roman" w:hAnsi="Times New Roman"/>
          <w:color w:val="000000"/>
          <w:u w:val="single"/>
          <w:lang w:eastAsia="sl-SI"/>
        </w:rPr>
        <w:t>Žindymas</w:t>
      </w:r>
    </w:p>
    <w:p w14:paraId="297BF70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13C072A1" w14:textId="5B139C5D" w:rsidR="003124CB" w:rsidRPr="003124CB" w:rsidRDefault="002B0873" w:rsidP="003124CB">
      <w:pPr>
        <w:tabs>
          <w:tab w:val="left" w:pos="567"/>
        </w:tabs>
        <w:autoSpaceDE w:val="0"/>
        <w:autoSpaceDN w:val="0"/>
        <w:adjustRightInd w:val="0"/>
        <w:spacing w:after="0" w:line="260" w:lineRule="exact"/>
        <w:rPr>
          <w:rFonts w:ascii="Times New Roman" w:eastAsia="TimesNewRoman" w:hAnsi="Times New Roman"/>
          <w:lang w:eastAsia="lt-LT"/>
        </w:rPr>
      </w:pPr>
      <w:r>
        <w:rPr>
          <w:rFonts w:ascii="Times New Roman" w:eastAsia="TimesNewRoman" w:hAnsi="Times New Roman"/>
          <w:snapToGrid w:val="0"/>
          <w:lang w:eastAsia="lt-LT"/>
        </w:rPr>
        <w:t>Nežinoma, a</w:t>
      </w:r>
      <w:r w:rsidR="003124CB" w:rsidRPr="003124CB">
        <w:rPr>
          <w:rFonts w:ascii="Times New Roman" w:eastAsia="TimesNewRoman" w:hAnsi="Times New Roman"/>
          <w:snapToGrid w:val="0"/>
          <w:lang w:eastAsia="lt-LT"/>
        </w:rPr>
        <w:t xml:space="preserve">r </w:t>
      </w:r>
      <w:proofErr w:type="spellStart"/>
      <w:r w:rsidR="003124CB" w:rsidRPr="003124CB">
        <w:rPr>
          <w:rFonts w:ascii="Times New Roman" w:eastAsia="TimesNewRoman" w:hAnsi="Times New Roman"/>
          <w:snapToGrid w:val="0"/>
          <w:lang w:eastAsia="lt-LT"/>
        </w:rPr>
        <w:t>dapagliflozino</w:t>
      </w:r>
      <w:proofErr w:type="spellEnd"/>
      <w:r w:rsidR="003124CB" w:rsidRPr="003124CB">
        <w:rPr>
          <w:rFonts w:ascii="Times New Roman" w:eastAsia="TimesNewRoman" w:hAnsi="Times New Roman"/>
          <w:snapToGrid w:val="0"/>
          <w:lang w:eastAsia="lt-LT"/>
        </w:rPr>
        <w:t xml:space="preserve">, </w:t>
      </w:r>
      <w:proofErr w:type="spellStart"/>
      <w:r w:rsidR="003124CB" w:rsidRPr="003124CB">
        <w:rPr>
          <w:rFonts w:ascii="Times New Roman" w:eastAsia="TimesNewRoman" w:hAnsi="Times New Roman"/>
          <w:snapToGrid w:val="0"/>
          <w:lang w:eastAsia="lt-LT"/>
        </w:rPr>
        <w:t>sitagliptino</w:t>
      </w:r>
      <w:proofErr w:type="spellEnd"/>
      <w:r w:rsidR="003124CB" w:rsidRPr="003124CB">
        <w:rPr>
          <w:rFonts w:ascii="Times New Roman" w:eastAsia="TimesNewRoman" w:hAnsi="Times New Roman"/>
          <w:snapToGrid w:val="0"/>
          <w:lang w:eastAsia="lt-LT"/>
        </w:rPr>
        <w:t xml:space="preserve"> ir (arba) jų metabolitų išsiskiria į moter</w:t>
      </w:r>
      <w:r>
        <w:rPr>
          <w:rFonts w:ascii="Times New Roman" w:eastAsia="TimesNewRoman" w:hAnsi="Times New Roman"/>
          <w:snapToGrid w:val="0"/>
          <w:lang w:eastAsia="lt-LT"/>
        </w:rPr>
        <w:t>ų</w:t>
      </w:r>
      <w:r w:rsidR="003124CB" w:rsidRPr="003124CB">
        <w:rPr>
          <w:rFonts w:ascii="Times New Roman" w:eastAsia="TimesNewRoman" w:hAnsi="Times New Roman"/>
          <w:snapToGrid w:val="0"/>
          <w:lang w:eastAsia="lt-LT"/>
        </w:rPr>
        <w:t xml:space="preserve"> pieną.</w:t>
      </w:r>
      <w:r w:rsidR="003124CB" w:rsidRPr="003124CB">
        <w:rPr>
          <w:rFonts w:ascii="Times New Roman" w:eastAsia="Times New Roman" w:hAnsi="Times New Roman"/>
          <w:color w:val="000000"/>
          <w:lang w:eastAsia="sl-SI"/>
        </w:rPr>
        <w:t xml:space="preserve"> </w:t>
      </w:r>
      <w:r w:rsidR="003124CB" w:rsidRPr="003124CB">
        <w:rPr>
          <w:rFonts w:ascii="Times New Roman" w:eastAsia="TimesNewRoman" w:hAnsi="Times New Roman"/>
          <w:lang w:eastAsia="lt-LT"/>
        </w:rPr>
        <w:t xml:space="preserve">Turimi farmakodinamikos / toksikologinių gyvūnų tyrimų duomenys rodo dapagliflozino / metabolitų išskyrimą su pienu bei farmakologinio pobūdžio poveikį žindomiems jaunikliams (žr. 5.3 skyrių). Tyrimai su gyvūnais parodė, kad sitagliptino išsiskiria į pieną. </w:t>
      </w:r>
      <w:r w:rsidR="003124CB" w:rsidRPr="003124CB">
        <w:rPr>
          <w:rFonts w:ascii="Times New Roman" w:eastAsia="SimSun" w:hAnsi="Times New Roman"/>
          <w:snapToGrid w:val="0"/>
          <w:color w:val="000000"/>
          <w:lang w:eastAsia="zh-CN"/>
        </w:rPr>
        <w:t xml:space="preserve">Pavojaus žindomiems naujagimiams </w:t>
      </w:r>
      <w:r w:rsidR="003124CB" w:rsidRPr="003124CB">
        <w:rPr>
          <w:rFonts w:ascii="Times New Roman" w:eastAsia="SimSun" w:hAnsi="Times New Roman"/>
          <w:snapToGrid w:val="0"/>
          <w:lang w:eastAsia="zh-CN"/>
        </w:rPr>
        <w:t>ar</w:t>
      </w:r>
      <w:r w:rsidR="003124CB" w:rsidRPr="003124CB">
        <w:rPr>
          <w:rFonts w:ascii="Times New Roman" w:eastAsia="SimSun" w:hAnsi="Times New Roman"/>
          <w:i/>
          <w:iCs/>
          <w:snapToGrid w:val="0"/>
          <w:color w:val="000000"/>
          <w:lang w:eastAsia="zh-CN"/>
        </w:rPr>
        <w:t xml:space="preserve"> </w:t>
      </w:r>
      <w:r w:rsidR="003124CB" w:rsidRPr="003124CB">
        <w:rPr>
          <w:rFonts w:ascii="Times New Roman" w:eastAsia="SimSun" w:hAnsi="Times New Roman"/>
          <w:snapToGrid w:val="0"/>
          <w:color w:val="000000"/>
          <w:lang w:eastAsia="zh-CN"/>
        </w:rPr>
        <w:t>kūdikiams negalima atmesti</w:t>
      </w:r>
      <w:r w:rsidR="003124CB" w:rsidRPr="003124CB">
        <w:rPr>
          <w:rFonts w:ascii="Times New Roman" w:eastAsia="TimesNewRoman" w:hAnsi="Times New Roman"/>
          <w:lang w:eastAsia="lt-LT"/>
        </w:rPr>
        <w:t>. Žindymo laikotarpiu dapagliflozino vartoti negalima.</w:t>
      </w:r>
    </w:p>
    <w:p w14:paraId="58FA4EF9"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15B4810C" w14:textId="77777777" w:rsidR="003124CB" w:rsidRPr="003124CB" w:rsidRDefault="003124CB" w:rsidP="003124CB">
      <w:pPr>
        <w:widowControl w:val="0"/>
        <w:spacing w:after="0" w:line="240" w:lineRule="auto"/>
        <w:outlineLvl w:val="0"/>
        <w:rPr>
          <w:rFonts w:ascii="Times New Roman" w:eastAsia="Times New Roman" w:hAnsi="Times New Roman"/>
          <w:u w:val="single"/>
        </w:rPr>
      </w:pPr>
      <w:r w:rsidRPr="003124CB">
        <w:rPr>
          <w:rFonts w:ascii="Times New Roman" w:eastAsia="Times New Roman" w:hAnsi="Times New Roman"/>
          <w:u w:val="single"/>
        </w:rPr>
        <w:t>Vaisingumas</w:t>
      </w:r>
    </w:p>
    <w:p w14:paraId="48C773FD" w14:textId="77777777" w:rsidR="003124CB" w:rsidRPr="003124CB" w:rsidRDefault="003124CB" w:rsidP="003124CB">
      <w:pPr>
        <w:widowControl w:val="0"/>
        <w:spacing w:after="0" w:line="240" w:lineRule="auto"/>
        <w:outlineLvl w:val="0"/>
        <w:rPr>
          <w:rFonts w:ascii="Times New Roman" w:eastAsia="Times New Roman" w:hAnsi="Times New Roman"/>
          <w:u w:val="single"/>
        </w:rPr>
      </w:pPr>
    </w:p>
    <w:p w14:paraId="26B98774" w14:textId="77777777" w:rsidR="003124CB" w:rsidRPr="003124CB" w:rsidRDefault="003124CB" w:rsidP="003124CB">
      <w:pPr>
        <w:widowControl w:val="0"/>
        <w:spacing w:after="0" w:line="240" w:lineRule="auto"/>
        <w:outlineLvl w:val="0"/>
        <w:rPr>
          <w:rFonts w:ascii="Times New Roman" w:eastAsia="Times New Roman" w:hAnsi="Times New Roman"/>
        </w:rPr>
      </w:pPr>
      <w:r w:rsidRPr="003124CB">
        <w:rPr>
          <w:rFonts w:ascii="Times New Roman" w:eastAsia="Times New Roman" w:hAnsi="Times New Roman"/>
        </w:rPr>
        <w:t>Dapagliflozino ir sitagliptino poveikis žmonių vaisingumui netirtas. Tyrimų su gyvūnais duomenys dapagliflozino ar sitagliptino poveikio patinų ir patelių vaisingumui neparodė.</w:t>
      </w:r>
    </w:p>
    <w:p w14:paraId="368E3F1D"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0A180A70"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4.7</w:t>
      </w:r>
      <w:r w:rsidRPr="003124CB">
        <w:rPr>
          <w:rFonts w:ascii="Times New Roman" w:eastAsia="Times New Roman" w:hAnsi="Times New Roman"/>
          <w:b/>
          <w:kern w:val="28"/>
        </w:rPr>
        <w:tab/>
        <w:t>Poveikis gebėjimui vairuoti ir valdyti mechanizmus</w:t>
      </w:r>
    </w:p>
    <w:p w14:paraId="5755286D"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78FCD135" w14:textId="1A629506" w:rsidR="003124CB" w:rsidRPr="003124CB" w:rsidRDefault="002F33BE" w:rsidP="003124CB">
      <w:pPr>
        <w:widowControl w:val="0"/>
        <w:autoSpaceDE w:val="0"/>
        <w:autoSpaceDN w:val="0"/>
        <w:adjustRightInd w:val="0"/>
        <w:spacing w:after="0" w:line="240" w:lineRule="auto"/>
        <w:rPr>
          <w:rFonts w:ascii="Times New Roman" w:eastAsia="TimesNewRoman" w:hAnsi="Times New Roman"/>
        </w:rPr>
      </w:pPr>
      <w:r>
        <w:rPr>
          <w:rFonts w:ascii="Times New Roman" w:eastAsia="TimesNewRoman" w:hAnsi="Times New Roman"/>
        </w:rPr>
        <w:t>Axigalu</w:t>
      </w:r>
      <w:r w:rsidR="003124CB" w:rsidRPr="003124CB">
        <w:rPr>
          <w:rFonts w:ascii="Times New Roman" w:eastAsia="TimesNewRoman" w:hAnsi="Times New Roman"/>
        </w:rPr>
        <w:t xml:space="preserve"> </w:t>
      </w:r>
      <w:r w:rsidR="003124CB" w:rsidRPr="003124CB">
        <w:rPr>
          <w:rFonts w:ascii="Times New Roman" w:eastAsia="Times New Roman" w:hAnsi="Times New Roman"/>
          <w:lang w:eastAsia="sl-SI"/>
        </w:rPr>
        <w:t xml:space="preserve">gebėjimo vairuoti ir valdyti mechanizmus neveikia arba veikia nereikšmingai. Vairuojant ar valdant mechanizmus reikia </w:t>
      </w:r>
      <w:r w:rsidR="00BC05F4">
        <w:rPr>
          <w:rFonts w:ascii="Times New Roman" w:eastAsia="Times New Roman" w:hAnsi="Times New Roman"/>
          <w:lang w:eastAsia="sl-SI"/>
        </w:rPr>
        <w:t>atsižvelgti</w:t>
      </w:r>
      <w:r w:rsidR="003124CB" w:rsidRPr="003124CB">
        <w:rPr>
          <w:rFonts w:ascii="Times New Roman" w:eastAsia="Times New Roman" w:hAnsi="Times New Roman"/>
          <w:lang w:eastAsia="sl-SI"/>
        </w:rPr>
        <w:t xml:space="preserve">, kad </w:t>
      </w:r>
      <w:proofErr w:type="spellStart"/>
      <w:r w:rsidR="003124CB" w:rsidRPr="003124CB">
        <w:rPr>
          <w:rFonts w:ascii="Times New Roman" w:eastAsia="Times New Roman" w:hAnsi="Times New Roman"/>
          <w:lang w:eastAsia="sl-SI"/>
        </w:rPr>
        <w:t>sitagliptino</w:t>
      </w:r>
      <w:proofErr w:type="spellEnd"/>
      <w:r w:rsidR="003124CB" w:rsidRPr="003124CB">
        <w:rPr>
          <w:rFonts w:ascii="Times New Roman" w:eastAsia="Times New Roman" w:hAnsi="Times New Roman"/>
          <w:lang w:eastAsia="sl-SI"/>
        </w:rPr>
        <w:t xml:space="preserve"> tyrimų metu buvo pranešta apie svaigulio atvejus. Be to, pacientus reikia įspėti apie hipoglikemijos riziką, jei kartu vartojama kitų hipoglikemiją sukeliančių vaistinių preparatų nuo cukrinio diabeto (pvz., sulfonilkarbamidų arba insulino).</w:t>
      </w:r>
    </w:p>
    <w:p w14:paraId="15F2E8E0"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22DC8E5A"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4.8</w:t>
      </w:r>
      <w:r w:rsidRPr="003124CB">
        <w:rPr>
          <w:rFonts w:ascii="Times New Roman" w:eastAsia="Times New Roman" w:hAnsi="Times New Roman"/>
          <w:b/>
          <w:kern w:val="28"/>
        </w:rPr>
        <w:tab/>
        <w:t>Nepageidaujamas poveikis</w:t>
      </w:r>
    </w:p>
    <w:p w14:paraId="024DD64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7F225BD9"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r w:rsidRPr="003124CB">
        <w:rPr>
          <w:rFonts w:ascii="Times New Roman" w:eastAsia="Times New Roman" w:hAnsi="Times New Roman"/>
          <w:iCs/>
          <w:u w:val="single"/>
        </w:rPr>
        <w:t>Saugumo duomenų santrauka</w:t>
      </w:r>
    </w:p>
    <w:p w14:paraId="642A8FEA"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4FDFED22" w14:textId="77777777" w:rsidR="003124CB" w:rsidRPr="003124CB" w:rsidRDefault="003124CB" w:rsidP="003124CB">
      <w:pPr>
        <w:widowControl w:val="0"/>
        <w:tabs>
          <w:tab w:val="left" w:pos="567"/>
        </w:tabs>
        <w:spacing w:after="0" w:line="240" w:lineRule="auto"/>
        <w:rPr>
          <w:rFonts w:ascii="Times New Roman" w:eastAsia="Times New Roman" w:hAnsi="Times New Roman"/>
          <w:i/>
          <w:u w:val="single"/>
        </w:rPr>
      </w:pPr>
      <w:r w:rsidRPr="003124CB">
        <w:rPr>
          <w:rFonts w:ascii="Times New Roman" w:eastAsia="Times New Roman" w:hAnsi="Times New Roman"/>
          <w:i/>
          <w:u w:val="single"/>
        </w:rPr>
        <w:t>Dapagliflozinas</w:t>
      </w:r>
    </w:p>
    <w:p w14:paraId="5C99051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756652F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Klinikinių tyrimų metu dažniausiai praneštos nepageidaujamos reakcijos buvo lytinių organų infekcijos.</w:t>
      </w:r>
    </w:p>
    <w:p w14:paraId="7189023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30265B22" w14:textId="77777777" w:rsidR="003124CB" w:rsidRPr="003124CB" w:rsidRDefault="003124CB" w:rsidP="003124CB">
      <w:pPr>
        <w:widowControl w:val="0"/>
        <w:tabs>
          <w:tab w:val="left" w:pos="567"/>
        </w:tabs>
        <w:spacing w:after="0" w:line="240" w:lineRule="auto"/>
        <w:rPr>
          <w:rFonts w:ascii="Times New Roman" w:eastAsia="Times New Roman" w:hAnsi="Times New Roman"/>
          <w:i/>
          <w:u w:val="single"/>
        </w:rPr>
      </w:pPr>
      <w:r w:rsidRPr="003124CB">
        <w:rPr>
          <w:rFonts w:ascii="Times New Roman" w:eastAsia="Times New Roman" w:hAnsi="Times New Roman"/>
          <w:i/>
          <w:u w:val="single"/>
        </w:rPr>
        <w:t>Sitagliptinas</w:t>
      </w:r>
    </w:p>
    <w:p w14:paraId="4A8303E3"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1F3901D2" w14:textId="52FBB69C"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 xml:space="preserve">Buvo pranešta apie sunkias nepageidaujamas reakcijas, įskaitant pankreatitą ir padidėjusio jautrumo reakcijas. Gauta pranešimų apie hipoglikemiją </w:t>
      </w:r>
      <w:proofErr w:type="spellStart"/>
      <w:r w:rsidRPr="003124CB">
        <w:rPr>
          <w:rFonts w:ascii="Times New Roman" w:eastAsia="TimesNewRoman" w:hAnsi="Times New Roman"/>
        </w:rPr>
        <w:t>sitagliptin</w:t>
      </w:r>
      <w:r w:rsidR="00BC0CC6">
        <w:rPr>
          <w:rFonts w:ascii="Times New Roman" w:eastAsia="TimesNewRoman" w:hAnsi="Times New Roman"/>
        </w:rPr>
        <w:t>o</w:t>
      </w:r>
      <w:proofErr w:type="spellEnd"/>
      <w:r w:rsidRPr="003124CB">
        <w:rPr>
          <w:rFonts w:ascii="Times New Roman" w:eastAsia="TimesNewRoman" w:hAnsi="Times New Roman"/>
        </w:rPr>
        <w:t xml:space="preserve"> vartojant kartu su sulfonilkarbamidu (4,7</w:t>
      </w:r>
      <w:r w:rsidRPr="003124CB">
        <w:rPr>
          <w:rFonts w:ascii="Times New Roman" w:eastAsia="TimesNewRoman" w:hAnsi="Times New Roman"/>
        </w:rPr>
        <w:noBreakHyphen/>
        <w:t>13,8 %) ir insulinu (9,6 %) (žr. 4.4 skyrių).</w:t>
      </w:r>
    </w:p>
    <w:p w14:paraId="69078D6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61C8D0DB"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r w:rsidRPr="003124CB">
        <w:rPr>
          <w:rFonts w:ascii="Times New Roman" w:eastAsia="Times New Roman" w:hAnsi="Times New Roman"/>
          <w:iCs/>
          <w:u w:val="single"/>
        </w:rPr>
        <w:t>Nepageidaujamų reakcijų santrauka lentelėje</w:t>
      </w:r>
    </w:p>
    <w:p w14:paraId="700147FC"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7C3373FF"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Nepageidaujamos reakcijos yra išvardintos toliau, suskirstytos pagal dažnį ir organų sistemų klases (OSK). Nepageidaujamo poveikio dažnis apibūdinamas taip:</w:t>
      </w:r>
    </w:p>
    <w:p w14:paraId="5CF5FBBD"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labai dažnas (≥ 1/10),</w:t>
      </w:r>
    </w:p>
    <w:p w14:paraId="63C77679"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dažnas (nuo ≥ 1/100 iki &lt; 1/10),</w:t>
      </w:r>
    </w:p>
    <w:p w14:paraId="7618E09D"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nedažnas (nuo ≥ 1/1 000 iki &lt; 1/100),</w:t>
      </w:r>
    </w:p>
    <w:p w14:paraId="336DCD03"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retas (nuo ≥ 1/10 000 iki &lt; 1/1 000),</w:t>
      </w:r>
    </w:p>
    <w:p w14:paraId="165ECE2D"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labai retas (&lt; 1/10 000),</w:t>
      </w:r>
    </w:p>
    <w:p w14:paraId="4E183EE8" w14:textId="77777777" w:rsidR="003124CB" w:rsidRPr="003124CB" w:rsidRDefault="003124CB" w:rsidP="003124CB">
      <w:pPr>
        <w:widowControl w:val="0"/>
        <w:numPr>
          <w:ilvl w:val="0"/>
          <w:numId w:val="32"/>
        </w:numPr>
        <w:tabs>
          <w:tab w:val="left" w:pos="567"/>
        </w:tabs>
        <w:autoSpaceDE w:val="0"/>
        <w:autoSpaceDN w:val="0"/>
        <w:adjustRightInd w:val="0"/>
        <w:spacing w:after="0" w:line="240" w:lineRule="auto"/>
        <w:ind w:left="567" w:hanging="567"/>
        <w:rPr>
          <w:rFonts w:ascii="Times New Roman" w:eastAsia="TimesNewRoman" w:hAnsi="Times New Roman"/>
          <w:szCs w:val="24"/>
        </w:rPr>
      </w:pPr>
      <w:r w:rsidRPr="003124CB">
        <w:rPr>
          <w:rFonts w:ascii="Times New Roman" w:eastAsia="TimesNewRoman" w:hAnsi="Times New Roman"/>
          <w:szCs w:val="24"/>
        </w:rPr>
        <w:t>nežinomas (negali būti apskaičiuotas pagal turimus duomenis).</w:t>
      </w:r>
    </w:p>
    <w:p w14:paraId="13322AB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2113"/>
        <w:gridCol w:w="2303"/>
        <w:gridCol w:w="2087"/>
      </w:tblGrid>
      <w:tr w:rsidR="003124CB" w:rsidRPr="003124CB" w14:paraId="3B764D7B" w14:textId="77777777" w:rsidTr="00AB5D9C">
        <w:tc>
          <w:tcPr>
            <w:tcW w:w="1411" w:type="pct"/>
          </w:tcPr>
          <w:p w14:paraId="069D7F8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bookmarkStart w:id="1" w:name="_Hlk151553468"/>
          </w:p>
        </w:tc>
        <w:tc>
          <w:tcPr>
            <w:tcW w:w="1166" w:type="pct"/>
          </w:tcPr>
          <w:p w14:paraId="6333329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2423" w:type="pct"/>
            <w:gridSpan w:val="2"/>
          </w:tcPr>
          <w:p w14:paraId="3E28BA0D" w14:textId="77777777" w:rsidR="003124CB" w:rsidRPr="003124CB" w:rsidRDefault="003124CB" w:rsidP="003124CB">
            <w:pPr>
              <w:widowControl w:val="0"/>
              <w:tabs>
                <w:tab w:val="left" w:pos="567"/>
              </w:tabs>
              <w:spacing w:after="0" w:line="240" w:lineRule="auto"/>
              <w:jc w:val="center"/>
              <w:rPr>
                <w:rFonts w:ascii="Times New Roman" w:eastAsia="Times New Roman" w:hAnsi="Times New Roman"/>
                <w:iCs/>
              </w:rPr>
            </w:pPr>
            <w:r w:rsidRPr="003124CB">
              <w:rPr>
                <w:rFonts w:ascii="Times New Roman" w:eastAsia="Times New Roman" w:hAnsi="Times New Roman"/>
                <w:b/>
                <w:bCs/>
                <w:iCs/>
              </w:rPr>
              <w:t>Dažnis</w:t>
            </w:r>
          </w:p>
        </w:tc>
      </w:tr>
      <w:tr w:rsidR="003124CB" w:rsidRPr="003124CB" w14:paraId="698C213D" w14:textId="77777777" w:rsidTr="00AB5D9C">
        <w:tc>
          <w:tcPr>
            <w:tcW w:w="1411" w:type="pct"/>
            <w:vAlign w:val="center"/>
          </w:tcPr>
          <w:p w14:paraId="44872978"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r w:rsidRPr="003124CB">
              <w:rPr>
                <w:rFonts w:ascii="Times New Roman" w:eastAsia="Times New Roman" w:hAnsi="Times New Roman"/>
                <w:b/>
                <w:bCs/>
                <w:iCs/>
              </w:rPr>
              <w:t>MedDRA</w:t>
            </w:r>
          </w:p>
          <w:p w14:paraId="104ECCD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organų sistemų klasė</w:t>
            </w:r>
          </w:p>
        </w:tc>
        <w:tc>
          <w:tcPr>
            <w:tcW w:w="1166" w:type="pct"/>
            <w:vAlign w:val="center"/>
          </w:tcPr>
          <w:p w14:paraId="3A16262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Nepageidaujamas poveikis</w:t>
            </w:r>
          </w:p>
        </w:tc>
        <w:tc>
          <w:tcPr>
            <w:tcW w:w="1271" w:type="pct"/>
            <w:vAlign w:val="center"/>
          </w:tcPr>
          <w:p w14:paraId="7EC3A220"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Dapagliflozinas</w:t>
            </w:r>
          </w:p>
        </w:tc>
        <w:tc>
          <w:tcPr>
            <w:tcW w:w="1152" w:type="pct"/>
            <w:vAlign w:val="center"/>
          </w:tcPr>
          <w:p w14:paraId="322FA9A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Sitagliptinas</w:t>
            </w:r>
          </w:p>
        </w:tc>
      </w:tr>
      <w:tr w:rsidR="003124CB" w:rsidRPr="003124CB" w14:paraId="744E272E" w14:textId="77777777" w:rsidTr="00AB5D9C">
        <w:tc>
          <w:tcPr>
            <w:tcW w:w="1411" w:type="pct"/>
            <w:vMerge w:val="restart"/>
          </w:tcPr>
          <w:p w14:paraId="3FE41C7E"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r w:rsidRPr="003124CB">
              <w:rPr>
                <w:rFonts w:ascii="Times New Roman" w:eastAsia="Times New Roman" w:hAnsi="Times New Roman"/>
                <w:b/>
                <w:bCs/>
                <w:iCs/>
              </w:rPr>
              <w:t>Infekcijos ir infestacijos</w:t>
            </w:r>
          </w:p>
        </w:tc>
        <w:tc>
          <w:tcPr>
            <w:tcW w:w="1166" w:type="pct"/>
          </w:tcPr>
          <w:p w14:paraId="2D25E6D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Vulvovaginitas, balanitas ir susijusios lytinių organų infekcijos</w:t>
            </w:r>
            <w:r w:rsidRPr="003124CB">
              <w:rPr>
                <w:rFonts w:ascii="Times New Roman" w:eastAsia="Times New Roman" w:hAnsi="Times New Roman"/>
                <w:iCs/>
                <w:vertAlign w:val="superscript"/>
              </w:rPr>
              <w:t>*,1,2</w:t>
            </w:r>
          </w:p>
          <w:p w14:paraId="2216850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snapToGrid w:val="0"/>
              </w:rPr>
              <w:t>Šlapimo takų infekcija</w:t>
            </w:r>
            <w:r w:rsidRPr="003124CB">
              <w:rPr>
                <w:rFonts w:ascii="Times New Roman" w:eastAsia="Times New Roman" w:hAnsi="Times New Roman"/>
                <w:iCs/>
                <w:vertAlign w:val="superscript"/>
              </w:rPr>
              <w:t xml:space="preserve"> *,1,3</w:t>
            </w:r>
          </w:p>
        </w:tc>
        <w:tc>
          <w:tcPr>
            <w:tcW w:w="1271" w:type="pct"/>
          </w:tcPr>
          <w:p w14:paraId="54F92D3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764947A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6B42500C" w14:textId="77777777" w:rsidTr="00AB5D9C">
        <w:tc>
          <w:tcPr>
            <w:tcW w:w="1411" w:type="pct"/>
            <w:vMerge/>
          </w:tcPr>
          <w:p w14:paraId="7542105C"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p>
        </w:tc>
        <w:tc>
          <w:tcPr>
            <w:tcW w:w="1166" w:type="pct"/>
          </w:tcPr>
          <w:p w14:paraId="027A94FC" w14:textId="0D6A3474"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 xml:space="preserve">Grybelių </w:t>
            </w:r>
            <w:r w:rsidR="00EC5634">
              <w:rPr>
                <w:rFonts w:ascii="Times New Roman" w:eastAsia="Times New Roman" w:hAnsi="Times New Roman"/>
                <w:iCs/>
              </w:rPr>
              <w:t xml:space="preserve">sukelta </w:t>
            </w:r>
            <w:r w:rsidRPr="003124CB">
              <w:rPr>
                <w:rFonts w:ascii="Times New Roman" w:eastAsia="Times New Roman" w:hAnsi="Times New Roman"/>
                <w:iCs/>
              </w:rPr>
              <w:t>infekcija</w:t>
            </w:r>
            <w:r w:rsidRPr="003124CB">
              <w:rPr>
                <w:rFonts w:ascii="Times New Roman" w:eastAsia="Times New Roman" w:hAnsi="Times New Roman"/>
                <w:iCs/>
                <w:vertAlign w:val="superscript"/>
              </w:rPr>
              <w:t>**</w:t>
            </w:r>
          </w:p>
        </w:tc>
        <w:tc>
          <w:tcPr>
            <w:tcW w:w="1271" w:type="pct"/>
          </w:tcPr>
          <w:p w14:paraId="33B228E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54D7862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71E2F3FC" w14:textId="77777777" w:rsidTr="00AB5D9C">
        <w:tc>
          <w:tcPr>
            <w:tcW w:w="1411" w:type="pct"/>
            <w:vMerge/>
          </w:tcPr>
          <w:p w14:paraId="6A05B9F1"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p>
        </w:tc>
        <w:tc>
          <w:tcPr>
            <w:tcW w:w="1166" w:type="pct"/>
          </w:tcPr>
          <w:p w14:paraId="78BB4DC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Tarpvietės nekrozuojantis fascitas (</w:t>
            </w:r>
            <w:r w:rsidRPr="003124CB">
              <w:rPr>
                <w:rFonts w:ascii="Times New Roman" w:eastAsia="Times New Roman" w:hAnsi="Times New Roman"/>
                <w:i/>
              </w:rPr>
              <w:t>Fournier</w:t>
            </w:r>
            <w:r w:rsidRPr="003124CB">
              <w:rPr>
                <w:rFonts w:ascii="Times New Roman" w:eastAsia="Times New Roman" w:hAnsi="Times New Roman"/>
                <w:iCs/>
              </w:rPr>
              <w:t xml:space="preserve"> gangrena)</w:t>
            </w:r>
            <w:r w:rsidRPr="003124CB">
              <w:rPr>
                <w:rFonts w:ascii="Times New Roman" w:eastAsia="Times New Roman" w:hAnsi="Times New Roman"/>
                <w:iCs/>
                <w:vertAlign w:val="superscript"/>
              </w:rPr>
              <w:t>1,4</w:t>
            </w:r>
          </w:p>
        </w:tc>
        <w:tc>
          <w:tcPr>
            <w:tcW w:w="1271" w:type="pct"/>
          </w:tcPr>
          <w:p w14:paraId="44A4D05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Labai retas</w:t>
            </w:r>
          </w:p>
        </w:tc>
        <w:tc>
          <w:tcPr>
            <w:tcW w:w="1152" w:type="pct"/>
          </w:tcPr>
          <w:p w14:paraId="01D8B6A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3A569765" w14:textId="77777777" w:rsidTr="00AB5D9C">
        <w:tc>
          <w:tcPr>
            <w:tcW w:w="1411" w:type="pct"/>
          </w:tcPr>
          <w:p w14:paraId="2AB6FEEA"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Kraujo ir limfinės sistemos sutrikimai</w:t>
            </w:r>
          </w:p>
        </w:tc>
        <w:tc>
          <w:tcPr>
            <w:tcW w:w="1166" w:type="pct"/>
          </w:tcPr>
          <w:p w14:paraId="495E24D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Trombocitopenija</w:t>
            </w:r>
          </w:p>
        </w:tc>
        <w:tc>
          <w:tcPr>
            <w:tcW w:w="1271" w:type="pct"/>
          </w:tcPr>
          <w:p w14:paraId="3BB8DB3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3DBDEDB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Retas</w:t>
            </w:r>
          </w:p>
        </w:tc>
      </w:tr>
      <w:tr w:rsidR="003124CB" w:rsidRPr="003124CB" w14:paraId="13E00C40" w14:textId="77777777" w:rsidTr="00AB5D9C">
        <w:trPr>
          <w:trHeight w:val="152"/>
        </w:trPr>
        <w:tc>
          <w:tcPr>
            <w:tcW w:w="1411" w:type="pct"/>
          </w:tcPr>
          <w:p w14:paraId="26FAE3D2"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r w:rsidRPr="003124CB">
              <w:rPr>
                <w:rFonts w:ascii="Times New Roman" w:eastAsia="Times New Roman" w:hAnsi="Times New Roman"/>
                <w:b/>
                <w:bCs/>
                <w:iCs/>
              </w:rPr>
              <w:t>Imuninės sistemos sutrikimai</w:t>
            </w:r>
          </w:p>
        </w:tc>
        <w:tc>
          <w:tcPr>
            <w:tcW w:w="1166" w:type="pct"/>
          </w:tcPr>
          <w:p w14:paraId="0202B8D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Padidėjusio jautrumo reakcijos, įskaitant anafilaksiją</w:t>
            </w:r>
            <w:r w:rsidRPr="003124CB">
              <w:rPr>
                <w:rFonts w:ascii="Times New Roman" w:eastAsia="Times New Roman" w:hAnsi="Times New Roman"/>
                <w:iCs/>
                <w:vertAlign w:val="superscript"/>
              </w:rPr>
              <w:t>4,5</w:t>
            </w:r>
          </w:p>
        </w:tc>
        <w:tc>
          <w:tcPr>
            <w:tcW w:w="1271" w:type="pct"/>
          </w:tcPr>
          <w:p w14:paraId="3D7B04B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3371128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22DB8C54" w14:textId="77777777" w:rsidTr="00AB5D9C">
        <w:tc>
          <w:tcPr>
            <w:tcW w:w="1411" w:type="pct"/>
            <w:vMerge w:val="restart"/>
          </w:tcPr>
          <w:p w14:paraId="1542B2DE"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r w:rsidRPr="003124CB">
              <w:rPr>
                <w:rFonts w:ascii="Times New Roman" w:eastAsia="Times New Roman" w:hAnsi="Times New Roman"/>
                <w:b/>
                <w:bCs/>
                <w:iCs/>
              </w:rPr>
              <w:t>Metabolizmo ir mitybos sutrikimai</w:t>
            </w:r>
          </w:p>
        </w:tc>
        <w:tc>
          <w:tcPr>
            <w:tcW w:w="1166" w:type="pct"/>
          </w:tcPr>
          <w:p w14:paraId="3AD4AA4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Hipoglikemija (vartojant kartu su sulfonilkarbamidu ar insulinu)</w:t>
            </w:r>
            <w:r w:rsidRPr="003124CB">
              <w:rPr>
                <w:rFonts w:ascii="Times New Roman" w:eastAsia="Times New Roman" w:hAnsi="Times New Roman"/>
                <w:iCs/>
                <w:vertAlign w:val="superscript"/>
              </w:rPr>
              <w:t>1,4</w:t>
            </w:r>
          </w:p>
        </w:tc>
        <w:tc>
          <w:tcPr>
            <w:tcW w:w="1271" w:type="pct"/>
          </w:tcPr>
          <w:p w14:paraId="0B95C93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Labai dažnas</w:t>
            </w:r>
          </w:p>
        </w:tc>
        <w:tc>
          <w:tcPr>
            <w:tcW w:w="1152" w:type="pct"/>
          </w:tcPr>
          <w:p w14:paraId="0C548E1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r>
      <w:tr w:rsidR="003124CB" w:rsidRPr="003124CB" w14:paraId="1C2A8E20" w14:textId="77777777" w:rsidTr="00AB5D9C">
        <w:tc>
          <w:tcPr>
            <w:tcW w:w="1411" w:type="pct"/>
            <w:vMerge/>
          </w:tcPr>
          <w:p w14:paraId="5BA33E0B"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p>
        </w:tc>
        <w:tc>
          <w:tcPr>
            <w:tcW w:w="1166" w:type="pct"/>
          </w:tcPr>
          <w:p w14:paraId="2090096F" w14:textId="1D9957B0" w:rsidR="003124CB" w:rsidRPr="003124CB" w:rsidRDefault="003F148B" w:rsidP="003124CB">
            <w:pPr>
              <w:widowControl w:val="0"/>
              <w:tabs>
                <w:tab w:val="left" w:pos="567"/>
              </w:tabs>
              <w:spacing w:after="0" w:line="240" w:lineRule="auto"/>
              <w:rPr>
                <w:rFonts w:ascii="Times New Roman" w:eastAsia="Times New Roman" w:hAnsi="Times New Roman"/>
                <w:iCs/>
              </w:rPr>
            </w:pPr>
            <w:r>
              <w:rPr>
                <w:rFonts w:ascii="Times New Roman" w:eastAsia="Times New Roman" w:hAnsi="Times New Roman"/>
                <w:iCs/>
              </w:rPr>
              <w:t>Kraujo tūrio</w:t>
            </w:r>
            <w:r w:rsidR="003124CB" w:rsidRPr="003124CB">
              <w:rPr>
                <w:rFonts w:ascii="Times New Roman" w:eastAsia="Times New Roman" w:hAnsi="Times New Roman"/>
                <w:iCs/>
              </w:rPr>
              <w:t xml:space="preserve"> sumažėjimas</w:t>
            </w:r>
            <w:r w:rsidR="003124CB" w:rsidRPr="003124CB">
              <w:rPr>
                <w:rFonts w:ascii="Times New Roman" w:eastAsia="Times New Roman" w:hAnsi="Times New Roman"/>
                <w:iCs/>
                <w:vertAlign w:val="superscript"/>
              </w:rPr>
              <w:t>1,6</w:t>
            </w:r>
          </w:p>
          <w:p w14:paraId="50C6AE3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271" w:type="pct"/>
          </w:tcPr>
          <w:p w14:paraId="7115FAA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733D9283"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r w:rsidRPr="003124CB">
              <w:rPr>
                <w:rFonts w:ascii="Times New Roman" w:eastAsia="Times New Roman" w:hAnsi="Times New Roman"/>
                <w:b/>
                <w:bCs/>
                <w:iCs/>
              </w:rPr>
              <w:t>-</w:t>
            </w:r>
          </w:p>
        </w:tc>
      </w:tr>
      <w:tr w:rsidR="003124CB" w:rsidRPr="003124CB" w14:paraId="1E71835D" w14:textId="77777777" w:rsidTr="00AB5D9C">
        <w:tc>
          <w:tcPr>
            <w:tcW w:w="1411" w:type="pct"/>
            <w:vMerge/>
          </w:tcPr>
          <w:p w14:paraId="279B0FB5"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p>
        </w:tc>
        <w:tc>
          <w:tcPr>
            <w:tcW w:w="1166" w:type="pct"/>
          </w:tcPr>
          <w:p w14:paraId="02B6616F" w14:textId="77777777" w:rsidR="003124CB" w:rsidRPr="003124CB" w:rsidRDefault="003124CB" w:rsidP="003124CB">
            <w:pPr>
              <w:widowControl w:val="0"/>
              <w:tabs>
                <w:tab w:val="left" w:pos="567"/>
              </w:tabs>
              <w:spacing w:after="0" w:line="240" w:lineRule="auto"/>
              <w:ind w:left="567" w:hanging="567"/>
              <w:rPr>
                <w:rFonts w:ascii="Times New Roman" w:eastAsia="Times New Roman" w:hAnsi="Times New Roman"/>
                <w:iCs/>
              </w:rPr>
            </w:pPr>
            <w:r w:rsidRPr="003124CB">
              <w:rPr>
                <w:rFonts w:ascii="Times New Roman" w:eastAsia="Times New Roman" w:hAnsi="Times New Roman"/>
                <w:iCs/>
              </w:rPr>
              <w:t>Troškulys</w:t>
            </w:r>
          </w:p>
        </w:tc>
        <w:tc>
          <w:tcPr>
            <w:tcW w:w="1271" w:type="pct"/>
          </w:tcPr>
          <w:p w14:paraId="29C4882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73A86682" w14:textId="77777777" w:rsidR="003124CB" w:rsidRPr="003124CB" w:rsidRDefault="003124CB" w:rsidP="003124CB">
            <w:pPr>
              <w:widowControl w:val="0"/>
              <w:tabs>
                <w:tab w:val="left" w:pos="567"/>
              </w:tabs>
              <w:spacing w:after="0" w:line="240" w:lineRule="auto"/>
              <w:rPr>
                <w:rFonts w:ascii="Times New Roman" w:eastAsia="Times New Roman" w:hAnsi="Times New Roman"/>
                <w:b/>
                <w:bCs/>
                <w:iCs/>
              </w:rPr>
            </w:pPr>
          </w:p>
        </w:tc>
      </w:tr>
      <w:tr w:rsidR="003124CB" w:rsidRPr="003124CB" w14:paraId="690F7B28" w14:textId="77777777" w:rsidTr="00AB5D9C">
        <w:tc>
          <w:tcPr>
            <w:tcW w:w="1411" w:type="pct"/>
            <w:vMerge/>
          </w:tcPr>
          <w:p w14:paraId="03C93D4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5A3FE8D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Diabetinė ketoacidozė</w:t>
            </w:r>
            <w:r w:rsidRPr="003124CB">
              <w:rPr>
                <w:rFonts w:ascii="Times New Roman" w:eastAsia="Times New Roman" w:hAnsi="Times New Roman"/>
                <w:iCs/>
                <w:vertAlign w:val="superscript"/>
              </w:rPr>
              <w:t>1,4,7</w:t>
            </w:r>
          </w:p>
        </w:tc>
        <w:tc>
          <w:tcPr>
            <w:tcW w:w="1271" w:type="pct"/>
          </w:tcPr>
          <w:p w14:paraId="60D44E1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Retas</w:t>
            </w:r>
          </w:p>
        </w:tc>
        <w:tc>
          <w:tcPr>
            <w:tcW w:w="1152" w:type="pct"/>
          </w:tcPr>
          <w:p w14:paraId="4BC53F0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3A708268" w14:textId="77777777" w:rsidTr="00AB5D9C">
        <w:tc>
          <w:tcPr>
            <w:tcW w:w="1411" w:type="pct"/>
            <w:vMerge w:val="restart"/>
          </w:tcPr>
          <w:p w14:paraId="11F48D4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Nervų sistemos sutrikimai</w:t>
            </w:r>
          </w:p>
        </w:tc>
        <w:tc>
          <w:tcPr>
            <w:tcW w:w="1166" w:type="pct"/>
          </w:tcPr>
          <w:p w14:paraId="6DDD2EF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Svaigulys</w:t>
            </w:r>
          </w:p>
        </w:tc>
        <w:tc>
          <w:tcPr>
            <w:tcW w:w="1271" w:type="pct"/>
          </w:tcPr>
          <w:p w14:paraId="595FA6D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458FD87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r>
      <w:tr w:rsidR="003124CB" w:rsidRPr="003124CB" w14:paraId="330DEF9F" w14:textId="77777777" w:rsidTr="00AB5D9C">
        <w:tc>
          <w:tcPr>
            <w:tcW w:w="1411" w:type="pct"/>
            <w:vMerge/>
          </w:tcPr>
          <w:p w14:paraId="0947B19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1E73BCB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Galvos skausmas</w:t>
            </w:r>
          </w:p>
        </w:tc>
        <w:tc>
          <w:tcPr>
            <w:tcW w:w="1271" w:type="pct"/>
          </w:tcPr>
          <w:p w14:paraId="591BF61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20BDF93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r>
      <w:tr w:rsidR="003124CB" w:rsidRPr="003124CB" w14:paraId="03EA39B6" w14:textId="77777777" w:rsidTr="00AB5D9C">
        <w:tc>
          <w:tcPr>
            <w:tcW w:w="1411" w:type="pct"/>
          </w:tcPr>
          <w:p w14:paraId="38AE754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iCs/>
              </w:rPr>
              <w:t>Kvėpavimo sistemos, krūtinės ląstos ir tarpuplaučio sutrikimai</w:t>
            </w:r>
          </w:p>
        </w:tc>
        <w:tc>
          <w:tcPr>
            <w:tcW w:w="1166" w:type="pct"/>
          </w:tcPr>
          <w:p w14:paraId="17D6592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Intersticinė plaučių liga</w:t>
            </w:r>
            <w:r w:rsidRPr="003124CB">
              <w:rPr>
                <w:rFonts w:ascii="Times New Roman" w:eastAsia="Times New Roman" w:hAnsi="Times New Roman"/>
                <w:iCs/>
                <w:vertAlign w:val="superscript"/>
              </w:rPr>
              <w:t>5</w:t>
            </w:r>
          </w:p>
        </w:tc>
        <w:tc>
          <w:tcPr>
            <w:tcW w:w="1271" w:type="pct"/>
          </w:tcPr>
          <w:p w14:paraId="1526C24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0AF8BFF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00B521F8" w14:textId="77777777" w:rsidTr="00AB5D9C">
        <w:tc>
          <w:tcPr>
            <w:tcW w:w="1411" w:type="pct"/>
            <w:vMerge w:val="restart"/>
          </w:tcPr>
          <w:p w14:paraId="4BB4A4B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b/>
                <w:bCs/>
              </w:rPr>
              <w:t>Virškinimo trakto sutrikimai</w:t>
            </w:r>
          </w:p>
        </w:tc>
        <w:tc>
          <w:tcPr>
            <w:tcW w:w="1166" w:type="pct"/>
          </w:tcPr>
          <w:p w14:paraId="6C1F5FF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Vidurių užkietėjimas</w:t>
            </w:r>
            <w:r w:rsidRPr="003124CB">
              <w:rPr>
                <w:rFonts w:ascii="Times New Roman" w:eastAsia="Times New Roman" w:hAnsi="Times New Roman"/>
                <w:iCs/>
                <w:vertAlign w:val="superscript"/>
              </w:rPr>
              <w:t>**</w:t>
            </w:r>
          </w:p>
          <w:p w14:paraId="0AB140A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271" w:type="pct"/>
          </w:tcPr>
          <w:p w14:paraId="4D0A09E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1529D3F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r>
      <w:tr w:rsidR="003124CB" w:rsidRPr="003124CB" w14:paraId="3A644091" w14:textId="77777777" w:rsidTr="00AB5D9C">
        <w:tc>
          <w:tcPr>
            <w:tcW w:w="1411" w:type="pct"/>
            <w:vMerge/>
          </w:tcPr>
          <w:p w14:paraId="3FE4D0E7"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482F1565" w14:textId="1EC5CCB0" w:rsidR="003124CB" w:rsidRPr="003124CB" w:rsidRDefault="00941F71" w:rsidP="003124CB">
            <w:pPr>
              <w:widowControl w:val="0"/>
              <w:tabs>
                <w:tab w:val="left" w:pos="567"/>
              </w:tabs>
              <w:spacing w:after="0" w:line="240" w:lineRule="auto"/>
              <w:rPr>
                <w:rFonts w:ascii="Times New Roman" w:eastAsia="Times New Roman" w:hAnsi="Times New Roman"/>
                <w:iCs/>
              </w:rPr>
            </w:pPr>
            <w:r>
              <w:rPr>
                <w:rFonts w:ascii="Times New Roman" w:eastAsia="Times New Roman" w:hAnsi="Times New Roman"/>
                <w:iCs/>
              </w:rPr>
              <w:t>Sausa burna</w:t>
            </w:r>
            <w:r w:rsidR="003124CB" w:rsidRPr="003124CB">
              <w:rPr>
                <w:rFonts w:ascii="Times New Roman" w:eastAsia="Times New Roman" w:hAnsi="Times New Roman"/>
                <w:iCs/>
                <w:vertAlign w:val="superscript"/>
              </w:rPr>
              <w:t>**</w:t>
            </w:r>
          </w:p>
        </w:tc>
        <w:tc>
          <w:tcPr>
            <w:tcW w:w="1271" w:type="pct"/>
          </w:tcPr>
          <w:p w14:paraId="5154A31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3700F28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61060DDF" w14:textId="77777777" w:rsidTr="00AB5D9C">
        <w:tc>
          <w:tcPr>
            <w:tcW w:w="1411" w:type="pct"/>
            <w:vMerge/>
          </w:tcPr>
          <w:p w14:paraId="330DBE4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3148E40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Vėmimas</w:t>
            </w:r>
            <w:r w:rsidRPr="003124CB">
              <w:rPr>
                <w:rFonts w:ascii="Times New Roman" w:eastAsia="Times New Roman" w:hAnsi="Times New Roman"/>
                <w:iCs/>
                <w:vertAlign w:val="superscript"/>
              </w:rPr>
              <w:t>5</w:t>
            </w:r>
          </w:p>
        </w:tc>
        <w:tc>
          <w:tcPr>
            <w:tcW w:w="1271" w:type="pct"/>
          </w:tcPr>
          <w:p w14:paraId="546102F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28BC75F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20B93FEF" w14:textId="77777777" w:rsidTr="00AB5D9C">
        <w:tc>
          <w:tcPr>
            <w:tcW w:w="1411" w:type="pct"/>
            <w:vMerge/>
          </w:tcPr>
          <w:p w14:paraId="404F03F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32591B4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Ūminis pankreatitas</w:t>
            </w:r>
            <w:r w:rsidRPr="003124CB">
              <w:rPr>
                <w:rFonts w:ascii="Times New Roman" w:eastAsia="Times New Roman" w:hAnsi="Times New Roman"/>
                <w:iCs/>
                <w:vertAlign w:val="superscript"/>
              </w:rPr>
              <w:t>4,5,8</w:t>
            </w:r>
          </w:p>
        </w:tc>
        <w:tc>
          <w:tcPr>
            <w:tcW w:w="1271" w:type="pct"/>
          </w:tcPr>
          <w:p w14:paraId="1F77BA1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4F2A317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3BF5A0FF" w14:textId="77777777" w:rsidTr="00AB5D9C">
        <w:tc>
          <w:tcPr>
            <w:tcW w:w="1411" w:type="pct"/>
            <w:vMerge/>
          </w:tcPr>
          <w:p w14:paraId="7DD67E2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28B27F3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Mirtinas ar nemirtinas hemoraginis ar nekrozinis pankreatitas</w:t>
            </w:r>
            <w:r w:rsidRPr="003124CB">
              <w:rPr>
                <w:rFonts w:ascii="Times New Roman" w:eastAsia="Times New Roman" w:hAnsi="Times New Roman"/>
                <w:iCs/>
                <w:vertAlign w:val="superscript"/>
              </w:rPr>
              <w:t>4,5</w:t>
            </w:r>
          </w:p>
        </w:tc>
        <w:tc>
          <w:tcPr>
            <w:tcW w:w="1271" w:type="pct"/>
          </w:tcPr>
          <w:p w14:paraId="62C6AA0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7A76D5D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06C29EB8" w14:textId="77777777" w:rsidTr="00AB5D9C">
        <w:tc>
          <w:tcPr>
            <w:tcW w:w="1411" w:type="pct"/>
            <w:vMerge w:val="restart"/>
          </w:tcPr>
          <w:p w14:paraId="592E2A08"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Odos ir poodinio audinio sutrikimai</w:t>
            </w:r>
          </w:p>
        </w:tc>
        <w:tc>
          <w:tcPr>
            <w:tcW w:w="1166" w:type="pct"/>
          </w:tcPr>
          <w:p w14:paraId="5B0F551D" w14:textId="77777777" w:rsidR="003124CB" w:rsidRPr="003124CB" w:rsidRDefault="003124CB" w:rsidP="003124CB">
            <w:pPr>
              <w:widowControl w:val="0"/>
              <w:tabs>
                <w:tab w:val="left" w:pos="567"/>
              </w:tabs>
              <w:spacing w:after="0" w:line="240" w:lineRule="auto"/>
              <w:rPr>
                <w:rFonts w:ascii="Times New Roman" w:eastAsia="Times New Roman" w:hAnsi="Times New Roman"/>
                <w:iCs/>
                <w:vertAlign w:val="superscript"/>
              </w:rPr>
            </w:pPr>
            <w:r w:rsidRPr="003124CB">
              <w:rPr>
                <w:rFonts w:ascii="Times New Roman" w:eastAsia="Times New Roman" w:hAnsi="Times New Roman"/>
                <w:iCs/>
              </w:rPr>
              <w:t>Išbėrimas</w:t>
            </w:r>
            <w:r w:rsidRPr="003124CB">
              <w:rPr>
                <w:rFonts w:ascii="Times New Roman" w:eastAsia="Times New Roman" w:hAnsi="Times New Roman"/>
                <w:iCs/>
                <w:vertAlign w:val="superscript"/>
              </w:rPr>
              <w:t>4,5,9</w:t>
            </w:r>
          </w:p>
        </w:tc>
        <w:tc>
          <w:tcPr>
            <w:tcW w:w="1271" w:type="pct"/>
          </w:tcPr>
          <w:p w14:paraId="76411C10"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3ADE8C8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346EAF11" w14:textId="77777777" w:rsidTr="00AB5D9C">
        <w:tc>
          <w:tcPr>
            <w:tcW w:w="1411" w:type="pct"/>
            <w:vMerge/>
          </w:tcPr>
          <w:p w14:paraId="734FB3B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53AF2AA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Angioneurozinė edema</w:t>
            </w:r>
            <w:r w:rsidRPr="003124CB">
              <w:rPr>
                <w:rFonts w:ascii="Times New Roman" w:eastAsia="Times New Roman" w:hAnsi="Times New Roman"/>
                <w:vertAlign w:val="superscript"/>
                <w:lang w:eastAsia="sl-SI"/>
              </w:rPr>
              <w:t>4,5</w:t>
            </w:r>
          </w:p>
        </w:tc>
        <w:tc>
          <w:tcPr>
            <w:tcW w:w="1271" w:type="pct"/>
          </w:tcPr>
          <w:p w14:paraId="0204568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Labai retas</w:t>
            </w:r>
          </w:p>
        </w:tc>
        <w:tc>
          <w:tcPr>
            <w:tcW w:w="1152" w:type="pct"/>
          </w:tcPr>
          <w:p w14:paraId="7B778D2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4D4E2EFC" w14:textId="77777777" w:rsidTr="00AB5D9C">
        <w:tc>
          <w:tcPr>
            <w:tcW w:w="1411" w:type="pct"/>
            <w:vMerge/>
          </w:tcPr>
          <w:p w14:paraId="153EFBD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2C511B3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Niežėjimas</w:t>
            </w:r>
            <w:r w:rsidRPr="003124CB">
              <w:rPr>
                <w:rFonts w:ascii="Times New Roman" w:eastAsia="Times New Roman" w:hAnsi="Times New Roman"/>
                <w:iCs/>
                <w:vertAlign w:val="superscript"/>
              </w:rPr>
              <w:t>5</w:t>
            </w:r>
          </w:p>
        </w:tc>
        <w:tc>
          <w:tcPr>
            <w:tcW w:w="1271" w:type="pct"/>
          </w:tcPr>
          <w:p w14:paraId="3E8DBCD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5E93206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r>
      <w:tr w:rsidR="003124CB" w:rsidRPr="003124CB" w14:paraId="1E84A5B2" w14:textId="77777777" w:rsidTr="00AB5D9C">
        <w:tc>
          <w:tcPr>
            <w:tcW w:w="1411" w:type="pct"/>
            <w:vMerge/>
          </w:tcPr>
          <w:p w14:paraId="4B6D5C2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3D751F8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Dilgėlinė</w:t>
            </w:r>
            <w:r w:rsidRPr="003124CB">
              <w:rPr>
                <w:rFonts w:ascii="Times New Roman" w:eastAsia="Times New Roman" w:hAnsi="Times New Roman"/>
                <w:iCs/>
                <w:vertAlign w:val="superscript"/>
              </w:rPr>
              <w:t>4,5</w:t>
            </w:r>
          </w:p>
        </w:tc>
        <w:tc>
          <w:tcPr>
            <w:tcW w:w="1271" w:type="pct"/>
          </w:tcPr>
          <w:p w14:paraId="514681D0"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18EEDC4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79F847A3" w14:textId="77777777" w:rsidTr="00AB5D9C">
        <w:tc>
          <w:tcPr>
            <w:tcW w:w="1411" w:type="pct"/>
            <w:vMerge/>
          </w:tcPr>
          <w:p w14:paraId="61D56FB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542B6EF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Odos vaskulitas</w:t>
            </w:r>
            <w:r w:rsidRPr="003124CB">
              <w:rPr>
                <w:rFonts w:ascii="Times New Roman" w:eastAsia="Times New Roman" w:hAnsi="Times New Roman"/>
                <w:iCs/>
                <w:vertAlign w:val="superscript"/>
              </w:rPr>
              <w:t>4,5</w:t>
            </w:r>
          </w:p>
        </w:tc>
        <w:tc>
          <w:tcPr>
            <w:tcW w:w="1271" w:type="pct"/>
          </w:tcPr>
          <w:p w14:paraId="214D998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3907C40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23E6D5A1" w14:textId="77777777" w:rsidTr="00AB5D9C">
        <w:tc>
          <w:tcPr>
            <w:tcW w:w="1411" w:type="pct"/>
            <w:vMerge/>
          </w:tcPr>
          <w:p w14:paraId="44E1252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0C5B73E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Eksfoliacinės odos būklės, įskaitant Stivenso-Džonsono (</w:t>
            </w:r>
            <w:r w:rsidRPr="003124CB">
              <w:rPr>
                <w:rFonts w:ascii="Times New Roman" w:eastAsia="Times New Roman" w:hAnsi="Times New Roman"/>
                <w:i/>
              </w:rPr>
              <w:t>Stevens-Johnson</w:t>
            </w:r>
            <w:r w:rsidRPr="003124CB">
              <w:rPr>
                <w:rFonts w:ascii="Times New Roman" w:eastAsia="Times New Roman" w:hAnsi="Times New Roman"/>
                <w:iCs/>
              </w:rPr>
              <w:t>) sindromą</w:t>
            </w:r>
            <w:r w:rsidRPr="003124CB">
              <w:rPr>
                <w:rFonts w:ascii="Times New Roman" w:eastAsia="Times New Roman" w:hAnsi="Times New Roman"/>
                <w:iCs/>
                <w:vertAlign w:val="superscript"/>
              </w:rPr>
              <w:t>4,5</w:t>
            </w:r>
          </w:p>
        </w:tc>
        <w:tc>
          <w:tcPr>
            <w:tcW w:w="1271" w:type="pct"/>
          </w:tcPr>
          <w:p w14:paraId="2B7B49B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33C83D5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4A83CE48" w14:textId="77777777" w:rsidTr="00AB5D9C">
        <w:tc>
          <w:tcPr>
            <w:tcW w:w="1411" w:type="pct"/>
            <w:vMerge/>
          </w:tcPr>
          <w:p w14:paraId="699E47D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783718CF" w14:textId="254A35EF" w:rsidR="003124CB" w:rsidRPr="003124CB" w:rsidRDefault="00251645" w:rsidP="003124CB">
            <w:pPr>
              <w:widowControl w:val="0"/>
              <w:tabs>
                <w:tab w:val="left" w:pos="567"/>
              </w:tabs>
              <w:spacing w:after="0" w:line="240" w:lineRule="auto"/>
              <w:rPr>
                <w:rFonts w:ascii="Times New Roman" w:eastAsia="Times New Roman" w:hAnsi="Times New Roman"/>
                <w:iCs/>
              </w:rPr>
            </w:pPr>
            <w:proofErr w:type="spellStart"/>
            <w:r>
              <w:rPr>
                <w:rFonts w:ascii="Times New Roman" w:eastAsia="Times New Roman" w:hAnsi="Times New Roman"/>
                <w:iCs/>
              </w:rPr>
              <w:t>Buliozinis</w:t>
            </w:r>
            <w:proofErr w:type="spellEnd"/>
            <w:r>
              <w:rPr>
                <w:rFonts w:ascii="Times New Roman" w:eastAsia="Times New Roman" w:hAnsi="Times New Roman"/>
                <w:iCs/>
              </w:rPr>
              <w:t xml:space="preserve"> (</w:t>
            </w:r>
            <w:proofErr w:type="spellStart"/>
            <w:r>
              <w:rPr>
                <w:rFonts w:ascii="Times New Roman" w:eastAsia="Times New Roman" w:hAnsi="Times New Roman"/>
                <w:iCs/>
              </w:rPr>
              <w:t>p</w:t>
            </w:r>
            <w:r w:rsidR="003124CB" w:rsidRPr="003124CB">
              <w:rPr>
                <w:rFonts w:ascii="Times New Roman" w:eastAsia="Times New Roman" w:hAnsi="Times New Roman"/>
                <w:iCs/>
              </w:rPr>
              <w:t>ūslinis</w:t>
            </w:r>
            <w:proofErr w:type="spellEnd"/>
            <w:r>
              <w:rPr>
                <w:rFonts w:ascii="Times New Roman" w:eastAsia="Times New Roman" w:hAnsi="Times New Roman"/>
                <w:iCs/>
              </w:rPr>
              <w:t>)</w:t>
            </w:r>
            <w:r w:rsidR="003124CB" w:rsidRPr="003124CB">
              <w:rPr>
                <w:rFonts w:ascii="Times New Roman" w:eastAsia="Times New Roman" w:hAnsi="Times New Roman"/>
                <w:iCs/>
              </w:rPr>
              <w:t xml:space="preserve"> pemfigoidas</w:t>
            </w:r>
            <w:r w:rsidR="003124CB" w:rsidRPr="003124CB">
              <w:rPr>
                <w:rFonts w:ascii="Times New Roman" w:eastAsia="Times New Roman" w:hAnsi="Times New Roman"/>
                <w:iCs/>
                <w:vertAlign w:val="superscript"/>
              </w:rPr>
              <w:t>5</w:t>
            </w:r>
          </w:p>
        </w:tc>
        <w:tc>
          <w:tcPr>
            <w:tcW w:w="1271" w:type="pct"/>
          </w:tcPr>
          <w:p w14:paraId="74BFBA40"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7A592F98"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4529DB63" w14:textId="77777777" w:rsidTr="00AB5D9C">
        <w:tc>
          <w:tcPr>
            <w:tcW w:w="1411" w:type="pct"/>
            <w:vMerge w:val="restart"/>
          </w:tcPr>
          <w:p w14:paraId="3D8D87EF"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Skeleto, raumenų ir jungiamojo audinio sutrikimai</w:t>
            </w:r>
          </w:p>
        </w:tc>
        <w:tc>
          <w:tcPr>
            <w:tcW w:w="1166" w:type="pct"/>
          </w:tcPr>
          <w:p w14:paraId="79A4A540" w14:textId="77777777" w:rsidR="003124CB" w:rsidRPr="003124CB" w:rsidRDefault="003124CB" w:rsidP="003124CB">
            <w:pPr>
              <w:widowControl w:val="0"/>
              <w:tabs>
                <w:tab w:val="left" w:pos="567"/>
              </w:tabs>
              <w:spacing w:after="0" w:line="240" w:lineRule="auto"/>
              <w:rPr>
                <w:rFonts w:ascii="Times New Roman" w:eastAsia="Times New Roman" w:hAnsi="Times New Roman"/>
                <w:iCs/>
                <w:vertAlign w:val="superscript"/>
              </w:rPr>
            </w:pPr>
            <w:r w:rsidRPr="003124CB">
              <w:rPr>
                <w:rFonts w:ascii="Times New Roman" w:eastAsia="Times New Roman" w:hAnsi="Times New Roman"/>
                <w:iCs/>
              </w:rPr>
              <w:t>Nugaros skausmas</w:t>
            </w:r>
            <w:r w:rsidRPr="003124CB">
              <w:rPr>
                <w:rFonts w:ascii="Times New Roman" w:eastAsia="Times New Roman" w:hAnsi="Times New Roman"/>
                <w:iCs/>
                <w:vertAlign w:val="superscript"/>
              </w:rPr>
              <w:t>*,5</w:t>
            </w:r>
          </w:p>
        </w:tc>
        <w:tc>
          <w:tcPr>
            <w:tcW w:w="1271" w:type="pct"/>
          </w:tcPr>
          <w:p w14:paraId="3C6488C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77DF1B5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336D214A" w14:textId="77777777" w:rsidTr="00AB5D9C">
        <w:tc>
          <w:tcPr>
            <w:tcW w:w="1411" w:type="pct"/>
            <w:vMerge/>
          </w:tcPr>
          <w:p w14:paraId="71D230B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27A3CED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Artralgija</w:t>
            </w:r>
            <w:r w:rsidRPr="003124CB">
              <w:rPr>
                <w:rFonts w:ascii="Times New Roman" w:eastAsia="Times New Roman" w:hAnsi="Times New Roman"/>
                <w:iCs/>
                <w:vertAlign w:val="superscript"/>
              </w:rPr>
              <w:t>5</w:t>
            </w:r>
          </w:p>
        </w:tc>
        <w:tc>
          <w:tcPr>
            <w:tcW w:w="1271" w:type="pct"/>
          </w:tcPr>
          <w:p w14:paraId="52422F5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501E3F3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7166E99E" w14:textId="77777777" w:rsidTr="00AB5D9C">
        <w:tc>
          <w:tcPr>
            <w:tcW w:w="1411" w:type="pct"/>
            <w:vMerge/>
          </w:tcPr>
          <w:p w14:paraId="7CA2DFB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0F6D1C1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Mialgija</w:t>
            </w:r>
            <w:r w:rsidRPr="003124CB">
              <w:rPr>
                <w:rFonts w:ascii="Times New Roman" w:eastAsia="Times New Roman" w:hAnsi="Times New Roman"/>
                <w:iCs/>
                <w:vertAlign w:val="superscript"/>
              </w:rPr>
              <w:t>5</w:t>
            </w:r>
          </w:p>
        </w:tc>
        <w:tc>
          <w:tcPr>
            <w:tcW w:w="1271" w:type="pct"/>
          </w:tcPr>
          <w:p w14:paraId="67DA6EA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41D3B22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13069008" w14:textId="77777777" w:rsidTr="00AB5D9C">
        <w:tc>
          <w:tcPr>
            <w:tcW w:w="1411" w:type="pct"/>
            <w:vMerge/>
          </w:tcPr>
          <w:p w14:paraId="141D55F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447809C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Artropatija</w:t>
            </w:r>
            <w:r w:rsidRPr="003124CB">
              <w:rPr>
                <w:rFonts w:ascii="Times New Roman" w:eastAsia="Times New Roman" w:hAnsi="Times New Roman"/>
                <w:iCs/>
                <w:vertAlign w:val="superscript"/>
              </w:rPr>
              <w:t>5</w:t>
            </w:r>
          </w:p>
        </w:tc>
        <w:tc>
          <w:tcPr>
            <w:tcW w:w="1271" w:type="pct"/>
          </w:tcPr>
          <w:p w14:paraId="4C1CB6D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04A041B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7E219FC1" w14:textId="77777777" w:rsidTr="00AB5D9C">
        <w:tc>
          <w:tcPr>
            <w:tcW w:w="1411" w:type="pct"/>
            <w:vMerge w:val="restart"/>
          </w:tcPr>
          <w:p w14:paraId="7DD0485D"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Inkstų ir šlapimo takų sutrikimai</w:t>
            </w:r>
          </w:p>
        </w:tc>
        <w:tc>
          <w:tcPr>
            <w:tcW w:w="1166" w:type="pct"/>
          </w:tcPr>
          <w:p w14:paraId="3A75003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roofErr w:type="spellStart"/>
            <w:r w:rsidRPr="003124CB">
              <w:rPr>
                <w:rFonts w:ascii="Times New Roman" w:eastAsia="Times New Roman" w:hAnsi="Times New Roman"/>
                <w:iCs/>
              </w:rPr>
              <w:t>Dizurija</w:t>
            </w:r>
            <w:proofErr w:type="spellEnd"/>
          </w:p>
          <w:p w14:paraId="3596DFB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271" w:type="pct"/>
          </w:tcPr>
          <w:p w14:paraId="7811CBE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5DC8DF0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1A6288E7" w14:textId="77777777" w:rsidTr="00AB5D9C">
        <w:tc>
          <w:tcPr>
            <w:tcW w:w="1411" w:type="pct"/>
            <w:vMerge/>
          </w:tcPr>
          <w:p w14:paraId="6AFAAB7E"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2D91EEB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Poliurija</w:t>
            </w:r>
            <w:r w:rsidRPr="003124CB">
              <w:rPr>
                <w:rFonts w:ascii="Times New Roman" w:eastAsia="Times New Roman" w:hAnsi="Times New Roman"/>
                <w:iCs/>
                <w:vertAlign w:val="superscript"/>
              </w:rPr>
              <w:t>*,10</w:t>
            </w:r>
          </w:p>
        </w:tc>
        <w:tc>
          <w:tcPr>
            <w:tcW w:w="1271" w:type="pct"/>
          </w:tcPr>
          <w:p w14:paraId="527EE81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699BD5B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7724B7B8" w14:textId="77777777" w:rsidTr="00AB5D9C">
        <w:tc>
          <w:tcPr>
            <w:tcW w:w="1411" w:type="pct"/>
            <w:vMerge/>
          </w:tcPr>
          <w:p w14:paraId="512ABAF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6F5386A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Nikturija</w:t>
            </w:r>
            <w:r w:rsidRPr="003124CB">
              <w:rPr>
                <w:rFonts w:ascii="Times New Roman" w:eastAsia="Times New Roman" w:hAnsi="Times New Roman"/>
                <w:iCs/>
                <w:vertAlign w:val="superscript"/>
              </w:rPr>
              <w:t>**</w:t>
            </w:r>
          </w:p>
        </w:tc>
        <w:tc>
          <w:tcPr>
            <w:tcW w:w="1271" w:type="pct"/>
          </w:tcPr>
          <w:p w14:paraId="72615DE0"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1C5B56F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6455FC98" w14:textId="77777777" w:rsidTr="00AB5D9C">
        <w:trPr>
          <w:trHeight w:val="202"/>
        </w:trPr>
        <w:tc>
          <w:tcPr>
            <w:tcW w:w="1411" w:type="pct"/>
            <w:vMerge/>
          </w:tcPr>
          <w:p w14:paraId="56A8F43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2AAD00C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Tubulointersticinis nefritas</w:t>
            </w:r>
          </w:p>
        </w:tc>
        <w:tc>
          <w:tcPr>
            <w:tcW w:w="1271" w:type="pct"/>
          </w:tcPr>
          <w:p w14:paraId="4A047BC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Labai retas</w:t>
            </w:r>
          </w:p>
        </w:tc>
        <w:tc>
          <w:tcPr>
            <w:tcW w:w="1152" w:type="pct"/>
          </w:tcPr>
          <w:p w14:paraId="290C9FA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0C088C1E" w14:textId="77777777" w:rsidTr="00AB5D9C">
        <w:tc>
          <w:tcPr>
            <w:tcW w:w="1411" w:type="pct"/>
            <w:vMerge/>
          </w:tcPr>
          <w:p w14:paraId="51C84A2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0BD0B7F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Inkstų funkcijos sutrikimas</w:t>
            </w:r>
            <w:r w:rsidRPr="003124CB">
              <w:rPr>
                <w:rFonts w:ascii="Times New Roman" w:eastAsia="Times New Roman" w:hAnsi="Times New Roman"/>
                <w:iCs/>
                <w:vertAlign w:val="superscript"/>
              </w:rPr>
              <w:t>5</w:t>
            </w:r>
          </w:p>
        </w:tc>
        <w:tc>
          <w:tcPr>
            <w:tcW w:w="1271" w:type="pct"/>
          </w:tcPr>
          <w:p w14:paraId="612D7E3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2950639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62A42575" w14:textId="77777777" w:rsidTr="00AB5D9C">
        <w:tc>
          <w:tcPr>
            <w:tcW w:w="1411" w:type="pct"/>
            <w:vMerge/>
          </w:tcPr>
          <w:p w14:paraId="3EF4179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166" w:type="pct"/>
          </w:tcPr>
          <w:p w14:paraId="3539DAA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Ūminis inkstų nepakankamumas</w:t>
            </w:r>
            <w:r w:rsidRPr="003124CB">
              <w:rPr>
                <w:rFonts w:ascii="Times New Roman" w:eastAsia="Times New Roman" w:hAnsi="Times New Roman"/>
                <w:iCs/>
                <w:vertAlign w:val="superscript"/>
              </w:rPr>
              <w:t>5</w:t>
            </w:r>
          </w:p>
        </w:tc>
        <w:tc>
          <w:tcPr>
            <w:tcW w:w="1271" w:type="pct"/>
          </w:tcPr>
          <w:p w14:paraId="078596C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c>
          <w:tcPr>
            <w:tcW w:w="1152" w:type="pct"/>
          </w:tcPr>
          <w:p w14:paraId="2AF70C6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Dažnis nežinomas</w:t>
            </w:r>
          </w:p>
        </w:tc>
      </w:tr>
      <w:tr w:rsidR="003124CB" w:rsidRPr="003124CB" w14:paraId="5713D3B5" w14:textId="77777777" w:rsidTr="00AB5D9C">
        <w:tc>
          <w:tcPr>
            <w:tcW w:w="1411" w:type="pct"/>
          </w:tcPr>
          <w:p w14:paraId="4E3DE95F"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Lytinės sistemos ir krūties sutrikimai</w:t>
            </w:r>
          </w:p>
        </w:tc>
        <w:tc>
          <w:tcPr>
            <w:tcW w:w="1166" w:type="pct"/>
          </w:tcPr>
          <w:p w14:paraId="382EC29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Vulvovaginalinis niežėjimas</w:t>
            </w:r>
            <w:r w:rsidRPr="003124CB">
              <w:rPr>
                <w:rFonts w:ascii="Times New Roman" w:eastAsia="Times New Roman" w:hAnsi="Times New Roman"/>
                <w:iCs/>
                <w:vertAlign w:val="superscript"/>
              </w:rPr>
              <w:t>**</w:t>
            </w:r>
          </w:p>
          <w:p w14:paraId="74ED10D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Lytinių organų niežėjimas</w:t>
            </w:r>
            <w:r w:rsidRPr="003124CB">
              <w:rPr>
                <w:rFonts w:ascii="Times New Roman" w:eastAsia="Times New Roman" w:hAnsi="Times New Roman"/>
                <w:iCs/>
                <w:vertAlign w:val="superscript"/>
              </w:rPr>
              <w:t>**</w:t>
            </w:r>
          </w:p>
        </w:tc>
        <w:tc>
          <w:tcPr>
            <w:tcW w:w="1271" w:type="pct"/>
          </w:tcPr>
          <w:p w14:paraId="45AB37E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Nedažnas</w:t>
            </w:r>
          </w:p>
        </w:tc>
        <w:tc>
          <w:tcPr>
            <w:tcW w:w="1152" w:type="pct"/>
          </w:tcPr>
          <w:p w14:paraId="548D982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47AE63EF" w14:textId="77777777" w:rsidTr="00AB5D9C">
        <w:tc>
          <w:tcPr>
            <w:tcW w:w="1411" w:type="pct"/>
            <w:vMerge w:val="restart"/>
          </w:tcPr>
          <w:p w14:paraId="2EADAD08"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r w:rsidRPr="003124CB">
              <w:rPr>
                <w:rFonts w:ascii="Times New Roman" w:eastAsia="Times New Roman" w:hAnsi="Times New Roman"/>
                <w:b/>
                <w:bCs/>
              </w:rPr>
              <w:t>Tyrimai</w:t>
            </w:r>
          </w:p>
        </w:tc>
        <w:tc>
          <w:tcPr>
            <w:tcW w:w="1166" w:type="pct"/>
          </w:tcPr>
          <w:p w14:paraId="57D3E36C"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Padidėjęs hematokrito rodmuo</w:t>
            </w:r>
            <w:r w:rsidRPr="003124CB">
              <w:rPr>
                <w:rFonts w:ascii="Times New Roman" w:eastAsia="Times New Roman" w:hAnsi="Times New Roman"/>
                <w:iCs/>
                <w:vertAlign w:val="superscript"/>
              </w:rPr>
              <w:t>11</w:t>
            </w:r>
          </w:p>
          <w:p w14:paraId="76C88611"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271" w:type="pct"/>
          </w:tcPr>
          <w:p w14:paraId="05CC203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02FD3A3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41D2AC1D" w14:textId="77777777" w:rsidTr="00AB5D9C">
        <w:tc>
          <w:tcPr>
            <w:tcW w:w="1411" w:type="pct"/>
            <w:vMerge/>
          </w:tcPr>
          <w:p w14:paraId="083CA484"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19801A85"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Sumažėjęs kreatinino inkstų klirensas gydymo pradžioje</w:t>
            </w:r>
            <w:r w:rsidRPr="003124CB">
              <w:rPr>
                <w:rFonts w:ascii="Times New Roman" w:eastAsia="Times New Roman" w:hAnsi="Times New Roman"/>
                <w:iCs/>
                <w:vertAlign w:val="superscript"/>
              </w:rPr>
              <w:t>1</w:t>
            </w:r>
          </w:p>
          <w:p w14:paraId="62862D7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c>
          <w:tcPr>
            <w:tcW w:w="1271" w:type="pct"/>
          </w:tcPr>
          <w:p w14:paraId="508C180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2983D6C2"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r>
      <w:tr w:rsidR="003124CB" w:rsidRPr="003124CB" w14:paraId="201B63C0" w14:textId="77777777" w:rsidTr="00AB5D9C">
        <w:tc>
          <w:tcPr>
            <w:tcW w:w="1411" w:type="pct"/>
            <w:vMerge/>
          </w:tcPr>
          <w:p w14:paraId="4A21B3FE"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0A0300DA"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Dislipidemija</w:t>
            </w:r>
            <w:r w:rsidRPr="003124CB">
              <w:rPr>
                <w:rFonts w:ascii="Times New Roman" w:eastAsia="Times New Roman" w:hAnsi="Times New Roman"/>
                <w:iCs/>
                <w:vertAlign w:val="superscript"/>
              </w:rPr>
              <w:t>12</w:t>
            </w:r>
          </w:p>
        </w:tc>
        <w:tc>
          <w:tcPr>
            <w:tcW w:w="1271" w:type="pct"/>
          </w:tcPr>
          <w:p w14:paraId="30445C0D"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Dažnas</w:t>
            </w:r>
          </w:p>
        </w:tc>
        <w:tc>
          <w:tcPr>
            <w:tcW w:w="1152" w:type="pct"/>
          </w:tcPr>
          <w:p w14:paraId="498C22A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tc>
      </w:tr>
      <w:tr w:rsidR="003124CB" w:rsidRPr="003124CB" w14:paraId="07A14115" w14:textId="77777777" w:rsidTr="00AB5D9C">
        <w:tc>
          <w:tcPr>
            <w:tcW w:w="1411" w:type="pct"/>
            <w:vMerge/>
          </w:tcPr>
          <w:p w14:paraId="55CE7DDD"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6DBF5B3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Padidėjusi kreatinino koncentracija kraujyje gydymo pradžioje</w:t>
            </w:r>
            <w:r w:rsidRPr="003124CB">
              <w:rPr>
                <w:rFonts w:ascii="Times New Roman" w:eastAsia="Times New Roman" w:hAnsi="Times New Roman"/>
                <w:iCs/>
                <w:vertAlign w:val="superscript"/>
              </w:rPr>
              <w:t>**,1</w:t>
            </w:r>
          </w:p>
        </w:tc>
        <w:tc>
          <w:tcPr>
            <w:tcW w:w="1271" w:type="pct"/>
          </w:tcPr>
          <w:p w14:paraId="611AC483" w14:textId="77777777" w:rsidR="003124CB" w:rsidRPr="003124CB" w:rsidRDefault="003124CB" w:rsidP="003124CB">
            <w:pPr>
              <w:spacing w:after="0" w:line="240" w:lineRule="auto"/>
              <w:rPr>
                <w:rFonts w:ascii="Times New Roman" w:eastAsia="Times New Roman" w:hAnsi="Times New Roman"/>
              </w:rPr>
            </w:pPr>
            <w:r w:rsidRPr="003124CB">
              <w:rPr>
                <w:rFonts w:ascii="Times New Roman" w:eastAsia="Times New Roman" w:hAnsi="Times New Roman"/>
              </w:rPr>
              <w:t>Nedažnas</w:t>
            </w:r>
          </w:p>
        </w:tc>
        <w:tc>
          <w:tcPr>
            <w:tcW w:w="1152" w:type="pct"/>
          </w:tcPr>
          <w:p w14:paraId="5AF1C1B6"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07E3AFAE" w14:textId="77777777" w:rsidTr="00AB5D9C">
        <w:tc>
          <w:tcPr>
            <w:tcW w:w="1411" w:type="pct"/>
            <w:vMerge/>
          </w:tcPr>
          <w:p w14:paraId="504A6D90"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525A0A39"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Padidėjusi šlapalo koncentracija kraujyje</w:t>
            </w:r>
            <w:r w:rsidRPr="003124CB">
              <w:rPr>
                <w:rFonts w:ascii="Times New Roman" w:eastAsia="Times New Roman" w:hAnsi="Times New Roman"/>
                <w:iCs/>
                <w:vertAlign w:val="superscript"/>
              </w:rPr>
              <w:t>**</w:t>
            </w:r>
          </w:p>
        </w:tc>
        <w:tc>
          <w:tcPr>
            <w:tcW w:w="1271" w:type="pct"/>
          </w:tcPr>
          <w:p w14:paraId="63470F89" w14:textId="77777777" w:rsidR="003124CB" w:rsidRPr="003124CB" w:rsidRDefault="003124CB" w:rsidP="003124CB">
            <w:pPr>
              <w:spacing w:after="0" w:line="240" w:lineRule="auto"/>
              <w:rPr>
                <w:rFonts w:ascii="Times New Roman" w:eastAsia="Times New Roman" w:hAnsi="Times New Roman"/>
              </w:rPr>
            </w:pPr>
            <w:r w:rsidRPr="003124CB">
              <w:rPr>
                <w:rFonts w:ascii="Times New Roman" w:eastAsia="Times New Roman" w:hAnsi="Times New Roman"/>
              </w:rPr>
              <w:t>Nedažnas</w:t>
            </w:r>
          </w:p>
        </w:tc>
        <w:tc>
          <w:tcPr>
            <w:tcW w:w="1152" w:type="pct"/>
          </w:tcPr>
          <w:p w14:paraId="382BEB0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r w:rsidR="003124CB" w:rsidRPr="003124CB" w14:paraId="4B21F9AA" w14:textId="77777777" w:rsidTr="00AB5D9C">
        <w:tc>
          <w:tcPr>
            <w:tcW w:w="1411" w:type="pct"/>
            <w:vMerge/>
          </w:tcPr>
          <w:p w14:paraId="44D754AB" w14:textId="77777777" w:rsidR="003124CB" w:rsidRPr="003124CB" w:rsidRDefault="003124CB" w:rsidP="003124CB">
            <w:pPr>
              <w:widowControl w:val="0"/>
              <w:tabs>
                <w:tab w:val="left" w:pos="567"/>
              </w:tabs>
              <w:spacing w:after="0" w:line="240" w:lineRule="auto"/>
              <w:rPr>
                <w:rFonts w:ascii="Times New Roman" w:eastAsia="Times New Roman" w:hAnsi="Times New Roman"/>
                <w:b/>
                <w:bCs/>
              </w:rPr>
            </w:pPr>
          </w:p>
        </w:tc>
        <w:tc>
          <w:tcPr>
            <w:tcW w:w="1166" w:type="pct"/>
          </w:tcPr>
          <w:p w14:paraId="13D7EF47"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Kūno svorio sumažėjimas</w:t>
            </w:r>
            <w:r w:rsidRPr="003124CB">
              <w:rPr>
                <w:rFonts w:ascii="Times New Roman" w:eastAsia="Times New Roman" w:hAnsi="Times New Roman"/>
                <w:iCs/>
                <w:vertAlign w:val="superscript"/>
              </w:rPr>
              <w:t>**</w:t>
            </w:r>
          </w:p>
        </w:tc>
        <w:tc>
          <w:tcPr>
            <w:tcW w:w="1271" w:type="pct"/>
          </w:tcPr>
          <w:p w14:paraId="5E033163" w14:textId="77777777" w:rsidR="003124CB" w:rsidRPr="003124CB" w:rsidRDefault="003124CB" w:rsidP="003124CB">
            <w:pPr>
              <w:spacing w:after="0" w:line="240" w:lineRule="auto"/>
              <w:rPr>
                <w:rFonts w:ascii="Times New Roman" w:eastAsia="Times New Roman" w:hAnsi="Times New Roman"/>
              </w:rPr>
            </w:pPr>
            <w:r w:rsidRPr="003124CB">
              <w:rPr>
                <w:rFonts w:ascii="Times New Roman" w:eastAsia="Times New Roman" w:hAnsi="Times New Roman"/>
              </w:rPr>
              <w:t>Nedažnas</w:t>
            </w:r>
          </w:p>
        </w:tc>
        <w:tc>
          <w:tcPr>
            <w:tcW w:w="1152" w:type="pct"/>
          </w:tcPr>
          <w:p w14:paraId="3B8A7E7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rPr>
              <w:t>-</w:t>
            </w:r>
          </w:p>
        </w:tc>
      </w:tr>
    </w:tbl>
    <w:bookmarkEnd w:id="1"/>
    <w:p w14:paraId="7173BA35" w14:textId="2B03DBEE"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w:t>
      </w:r>
      <w:r w:rsidRPr="003124CB">
        <w:rPr>
          <w:rFonts w:ascii="Times New Roman" w:eastAsia="Times New Roman" w:hAnsi="Times New Roman"/>
          <w:iCs/>
          <w:sz w:val="20"/>
          <w:szCs w:val="20"/>
        </w:rPr>
        <w:tab/>
        <w:t>Pranešta ≥ 2 % asmenų ir ≥ 1 % bei bent 3 asmenims daugiau vartojant 10 mg dapagliflozino, negu vartojant placeb</w:t>
      </w:r>
      <w:r w:rsidR="0053411E">
        <w:rPr>
          <w:rFonts w:ascii="Times New Roman" w:eastAsia="Times New Roman" w:hAnsi="Times New Roman"/>
          <w:iCs/>
          <w:sz w:val="20"/>
          <w:szCs w:val="20"/>
        </w:rPr>
        <w:t>o</w:t>
      </w:r>
      <w:r w:rsidRPr="003124CB">
        <w:rPr>
          <w:rFonts w:ascii="Times New Roman" w:eastAsia="Times New Roman" w:hAnsi="Times New Roman"/>
          <w:iCs/>
          <w:sz w:val="20"/>
          <w:szCs w:val="20"/>
        </w:rPr>
        <w:t>.</w:t>
      </w:r>
    </w:p>
    <w:p w14:paraId="7FBB8015" w14:textId="4E190596"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w:t>
      </w:r>
      <w:r w:rsidRPr="003124CB">
        <w:rPr>
          <w:rFonts w:ascii="Times New Roman" w:eastAsia="Times New Roman" w:hAnsi="Times New Roman"/>
          <w:iCs/>
          <w:sz w:val="20"/>
          <w:szCs w:val="20"/>
          <w:vertAlign w:val="superscript"/>
        </w:rPr>
        <w:tab/>
      </w:r>
      <w:r w:rsidRPr="003124CB">
        <w:rPr>
          <w:rFonts w:ascii="Times New Roman" w:eastAsia="Times New Roman" w:hAnsi="Times New Roman"/>
          <w:iCs/>
          <w:sz w:val="20"/>
          <w:szCs w:val="20"/>
        </w:rPr>
        <w:t>Tyrėjų pranešti kaip galimai susiję, tikėtinai susiję arba susiję su tiriamuoju vaistiniu preparatu ir pranešta ≥ 0,2 % asmenų ir ≥ 0,1 % bei bent 3 asmenims daugiau vartojant 10 mg dapagliflozino, negu vartojant placeb</w:t>
      </w:r>
      <w:r w:rsidR="0053411E">
        <w:rPr>
          <w:rFonts w:ascii="Times New Roman" w:eastAsia="Times New Roman" w:hAnsi="Times New Roman"/>
          <w:iCs/>
          <w:sz w:val="20"/>
          <w:szCs w:val="20"/>
        </w:rPr>
        <w:t>o</w:t>
      </w:r>
      <w:r w:rsidRPr="003124CB">
        <w:rPr>
          <w:rFonts w:ascii="Times New Roman" w:eastAsia="Times New Roman" w:hAnsi="Times New Roman"/>
          <w:iCs/>
          <w:sz w:val="20"/>
          <w:szCs w:val="20"/>
        </w:rPr>
        <w:t>.</w:t>
      </w:r>
    </w:p>
    <w:p w14:paraId="572D9725"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1</w:t>
      </w:r>
      <w:r w:rsidRPr="003124CB">
        <w:rPr>
          <w:rFonts w:ascii="Times New Roman" w:eastAsia="Times New Roman" w:hAnsi="Times New Roman"/>
          <w:iCs/>
          <w:sz w:val="20"/>
          <w:szCs w:val="20"/>
        </w:rPr>
        <w:tab/>
        <w:t>Papildoma informacija pateikiama toliau esančiuose atitinkamuose poskyriuose.</w:t>
      </w:r>
    </w:p>
    <w:p w14:paraId="0B0C477A"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2</w:t>
      </w:r>
      <w:r w:rsidRPr="003124CB">
        <w:rPr>
          <w:rFonts w:ascii="Times New Roman" w:eastAsia="Times New Roman" w:hAnsi="Times New Roman"/>
          <w:iCs/>
          <w:sz w:val="20"/>
          <w:szCs w:val="20"/>
        </w:rPr>
        <w:tab/>
        <w:t>Vulvovaginitas, balanitas ir susijusios lytinių organų infekcijos apima, pvz., šiuos iš anksto numatytus rekomenduojamus terminus: vulvovaginalinė grybelinė infekcija, makšties infekcija, balanitas, grybelinė lytinių organų infekcija, vulvovaginalinė kandidozė, vulvovaginitas, kandidozinis balanitas, lytinių organų kandidozė, lytinių organų infekcija, vyrų lytinių organų infekcijos, varpos infekcija, vulvitas, bakterinis vaginitas, vulvos pūlinys.</w:t>
      </w:r>
    </w:p>
    <w:p w14:paraId="711ECF69"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3</w:t>
      </w:r>
      <w:r w:rsidRPr="003124CB">
        <w:rPr>
          <w:rFonts w:ascii="Times New Roman" w:eastAsia="Times New Roman" w:hAnsi="Times New Roman"/>
          <w:iCs/>
          <w:sz w:val="20"/>
          <w:szCs w:val="20"/>
        </w:rPr>
        <w:tab/>
      </w:r>
      <w:r w:rsidRPr="003124CB">
        <w:rPr>
          <w:rFonts w:ascii="Times New Roman" w:eastAsia="TimesNewRoman" w:hAnsi="Times New Roman"/>
          <w:sz w:val="20"/>
          <w:szCs w:val="20"/>
          <w:lang w:eastAsia="lt-LT"/>
        </w:rPr>
        <w:t xml:space="preserve">Šlapimo takų infekcija apima šiuos rekomenduojamus terminus, išvardytus pagal pranešimų dažnį: šlapimo takų infekcija, cistitas, </w:t>
      </w:r>
      <w:r w:rsidRPr="003124CB">
        <w:rPr>
          <w:rFonts w:ascii="Times New Roman" w:eastAsia="TimesNewRoman,Italic" w:hAnsi="Times New Roman"/>
          <w:i/>
          <w:iCs/>
          <w:sz w:val="20"/>
          <w:szCs w:val="20"/>
          <w:lang w:eastAsia="lt-LT"/>
        </w:rPr>
        <w:t xml:space="preserve">Escherichia </w:t>
      </w:r>
      <w:r w:rsidRPr="003124CB">
        <w:rPr>
          <w:rFonts w:ascii="Times New Roman" w:eastAsia="TimesNewRoman" w:hAnsi="Times New Roman"/>
          <w:sz w:val="20"/>
          <w:szCs w:val="20"/>
          <w:lang w:eastAsia="lt-LT"/>
        </w:rPr>
        <w:t>sukelta šlapimo takų infekcija, lytinių ir šlapimo takų infekcija, pielonefritas, trigonitas, uretritas, inkstų infekcija ir prostatitas</w:t>
      </w:r>
      <w:r w:rsidRPr="003124CB">
        <w:rPr>
          <w:rFonts w:ascii="Times New Roman" w:eastAsia="Times New Roman" w:hAnsi="Times New Roman"/>
          <w:iCs/>
          <w:sz w:val="20"/>
          <w:szCs w:val="20"/>
        </w:rPr>
        <w:t>.</w:t>
      </w:r>
    </w:p>
    <w:p w14:paraId="4607E2E9"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4</w:t>
      </w:r>
      <w:r w:rsidRPr="003124CB">
        <w:rPr>
          <w:rFonts w:ascii="Times New Roman" w:eastAsia="Times New Roman" w:hAnsi="Times New Roman"/>
          <w:iCs/>
          <w:sz w:val="20"/>
          <w:szCs w:val="20"/>
        </w:rPr>
        <w:tab/>
        <w:t>Žr. 4.4 skyrių.</w:t>
      </w:r>
    </w:p>
    <w:p w14:paraId="3798D08C"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5</w:t>
      </w:r>
      <w:r w:rsidRPr="003124CB">
        <w:rPr>
          <w:rFonts w:ascii="Times New Roman" w:eastAsia="Times New Roman" w:hAnsi="Times New Roman"/>
          <w:iCs/>
          <w:sz w:val="20"/>
          <w:szCs w:val="20"/>
        </w:rPr>
        <w:tab/>
        <w:t>Nepageidaujamos reakcijos buvo identifikuotos stebėjimo po pateikimo į rinką metu.</w:t>
      </w:r>
    </w:p>
    <w:p w14:paraId="7C8564C5" w14:textId="30F83A50"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6</w:t>
      </w:r>
      <w:r w:rsidRPr="003124CB">
        <w:rPr>
          <w:rFonts w:ascii="Times New Roman" w:eastAsia="Times New Roman" w:hAnsi="Times New Roman"/>
          <w:iCs/>
          <w:sz w:val="20"/>
          <w:szCs w:val="20"/>
        </w:rPr>
        <w:tab/>
      </w:r>
      <w:r w:rsidR="008846A8">
        <w:rPr>
          <w:rFonts w:ascii="Times New Roman" w:eastAsia="Times New Roman" w:hAnsi="Times New Roman"/>
          <w:iCs/>
          <w:sz w:val="20"/>
          <w:szCs w:val="20"/>
        </w:rPr>
        <w:t>Kraujo</w:t>
      </w:r>
      <w:r w:rsidR="008846A8" w:rsidRPr="003124CB">
        <w:rPr>
          <w:rFonts w:ascii="Times New Roman" w:eastAsia="Times New Roman" w:hAnsi="Times New Roman"/>
          <w:iCs/>
          <w:sz w:val="20"/>
          <w:szCs w:val="20"/>
        </w:rPr>
        <w:t xml:space="preserve"> </w:t>
      </w:r>
      <w:r w:rsidRPr="003124CB">
        <w:rPr>
          <w:rFonts w:ascii="Times New Roman" w:eastAsia="Times New Roman" w:hAnsi="Times New Roman"/>
          <w:iCs/>
          <w:sz w:val="20"/>
          <w:szCs w:val="20"/>
        </w:rPr>
        <w:t>tūrio sumažėjimas organizme apima, pvz., šiuos iš anksto numatytus rekomenduojamus terminus: dehidratacija, hipovolemija, hipotenzija.</w:t>
      </w:r>
    </w:p>
    <w:p w14:paraId="2477D892"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7</w:t>
      </w:r>
      <w:r w:rsidRPr="003124CB">
        <w:rPr>
          <w:rFonts w:ascii="Times New Roman" w:eastAsia="Times New Roman" w:hAnsi="Times New Roman"/>
          <w:iCs/>
          <w:sz w:val="20"/>
          <w:szCs w:val="20"/>
        </w:rPr>
        <w:tab/>
        <w:t>Pranešta poveikio kardiovaskulinėms komplikacijoms 2 tipo cukriniu diabetu sergantiems pacientams tyrimo (DECLARE) metu. Nurodytas dažnis per metus.</w:t>
      </w:r>
    </w:p>
    <w:p w14:paraId="24BC2E62"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8</w:t>
      </w:r>
      <w:r w:rsidRPr="003124CB">
        <w:rPr>
          <w:rFonts w:ascii="Times New Roman" w:eastAsia="Times New Roman" w:hAnsi="Times New Roman"/>
          <w:iCs/>
          <w:sz w:val="20"/>
          <w:szCs w:val="20"/>
        </w:rPr>
        <w:tab/>
        <w:t xml:space="preserve">Žr. </w:t>
      </w:r>
      <w:r w:rsidRPr="003124CB">
        <w:rPr>
          <w:rFonts w:ascii="Times New Roman" w:eastAsia="Times New Roman" w:hAnsi="Times New Roman"/>
          <w:i/>
          <w:iCs/>
          <w:sz w:val="20"/>
          <w:szCs w:val="20"/>
        </w:rPr>
        <w:t>TECOS kardiovaskulinio saugumo tyrimas</w:t>
      </w:r>
      <w:r w:rsidRPr="003124CB">
        <w:rPr>
          <w:rFonts w:ascii="Times New Roman" w:eastAsia="Times New Roman" w:hAnsi="Times New Roman"/>
          <w:iCs/>
          <w:sz w:val="20"/>
          <w:szCs w:val="20"/>
        </w:rPr>
        <w:t xml:space="preserve"> toliau.</w:t>
      </w:r>
    </w:p>
    <w:p w14:paraId="624C3B2B" w14:textId="256DB540"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9</w:t>
      </w:r>
      <w:r w:rsidRPr="003124CB">
        <w:rPr>
          <w:rFonts w:ascii="Times New Roman" w:eastAsia="Times New Roman" w:hAnsi="Times New Roman"/>
          <w:iCs/>
          <w:sz w:val="20"/>
          <w:szCs w:val="20"/>
        </w:rPr>
        <w:tab/>
        <w:t>Ši nepageidaujama reakcija buvo identifikuota stebėjimo po pateikimo į rinką metu. Išbėrimas apima šiuos rekomenduojamus terminus, išvardytus pagal dažnį klinikinių tyrimų metu: išbėrimas, išplitęs išbėrimas, niežtintis išbėrimas, makulinis išbėrimas, makulopapulinis išbėrimas, pustulinis išbėrimas, vezikulinis išbėrimas ir eriteminis išbėrimas. Aktyviai ir placebu kontroliuotų klinikinių tyrimų metu (dapagliflozinas: N = 5</w:t>
      </w:r>
      <w:r w:rsidR="0094546F">
        <w:rPr>
          <w:rFonts w:ascii="Times New Roman" w:eastAsia="Times New Roman" w:hAnsi="Times New Roman"/>
          <w:iCs/>
          <w:sz w:val="20"/>
          <w:szCs w:val="20"/>
        </w:rPr>
        <w:t> </w:t>
      </w:r>
      <w:r w:rsidRPr="003124CB">
        <w:rPr>
          <w:rFonts w:ascii="Times New Roman" w:eastAsia="Times New Roman" w:hAnsi="Times New Roman"/>
          <w:iCs/>
          <w:sz w:val="20"/>
          <w:szCs w:val="20"/>
        </w:rPr>
        <w:t>936, visi kontroliniai vaistiniai preparatai – N = 3 403) išbėrimo dažnis vartojant dapaglifloziną (1,4 %) ir visus kontrolinius vaistinius preparatus (1,4 %) buvo panašus.</w:t>
      </w:r>
    </w:p>
    <w:p w14:paraId="2186CB19" w14:textId="7777777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10</w:t>
      </w:r>
      <w:r w:rsidRPr="003124CB">
        <w:rPr>
          <w:rFonts w:ascii="Times New Roman" w:eastAsia="Times New Roman" w:hAnsi="Times New Roman"/>
          <w:iCs/>
          <w:sz w:val="20"/>
          <w:szCs w:val="20"/>
        </w:rPr>
        <w:tab/>
        <w:t>Poliurija apima šiuos rekomenduojamus terminus: polakiurija, poliurija, padidėjęs šlapimo išskyrimas.</w:t>
      </w:r>
    </w:p>
    <w:p w14:paraId="4B2A35D4" w14:textId="3DE1DB57"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11</w:t>
      </w:r>
      <w:r w:rsidRPr="003124CB">
        <w:rPr>
          <w:rFonts w:ascii="Times New Roman" w:eastAsia="Times New Roman" w:hAnsi="Times New Roman"/>
          <w:iCs/>
          <w:sz w:val="20"/>
          <w:szCs w:val="20"/>
          <w:vertAlign w:val="superscript"/>
        </w:rPr>
        <w:tab/>
      </w:r>
      <w:r w:rsidRPr="003124CB">
        <w:rPr>
          <w:rFonts w:ascii="Times New Roman" w:eastAsia="Times New Roman" w:hAnsi="Times New Roman"/>
          <w:iCs/>
          <w:sz w:val="20"/>
          <w:szCs w:val="20"/>
        </w:rPr>
        <w:t>Vidutinis hematokrito pokytis nuo pradinio rodmens buvo 2,30 % vartojant 10 mg dapagliflozino ir -0,33 % vartojant placeb</w:t>
      </w:r>
      <w:r w:rsidR="00E9468A">
        <w:rPr>
          <w:rFonts w:ascii="Times New Roman" w:eastAsia="Times New Roman" w:hAnsi="Times New Roman"/>
          <w:iCs/>
          <w:sz w:val="20"/>
          <w:szCs w:val="20"/>
        </w:rPr>
        <w:t>o</w:t>
      </w:r>
      <w:r w:rsidRPr="003124CB">
        <w:rPr>
          <w:rFonts w:ascii="Times New Roman" w:eastAsia="Times New Roman" w:hAnsi="Times New Roman"/>
          <w:iCs/>
          <w:sz w:val="20"/>
          <w:szCs w:val="20"/>
        </w:rPr>
        <w:t>. Hematokrito rodmuo &gt; 55 % buvo praneštas 1,3 % 10 mg dapagliflozino ir 0,4 % placebo vartojusių tiriamųjų.</w:t>
      </w:r>
    </w:p>
    <w:p w14:paraId="2D5FE540" w14:textId="1CA86F00" w:rsidR="003124CB" w:rsidRPr="003124CB" w:rsidRDefault="003124CB" w:rsidP="003124CB">
      <w:pPr>
        <w:widowControl w:val="0"/>
        <w:tabs>
          <w:tab w:val="left" w:pos="142"/>
        </w:tabs>
        <w:spacing w:after="0" w:line="240" w:lineRule="auto"/>
        <w:rPr>
          <w:rFonts w:ascii="Times New Roman" w:eastAsia="Times New Roman" w:hAnsi="Times New Roman"/>
          <w:iCs/>
          <w:sz w:val="20"/>
          <w:szCs w:val="20"/>
        </w:rPr>
      </w:pPr>
      <w:r w:rsidRPr="003124CB">
        <w:rPr>
          <w:rFonts w:ascii="Times New Roman" w:eastAsia="Times New Roman" w:hAnsi="Times New Roman"/>
          <w:iCs/>
          <w:sz w:val="20"/>
          <w:szCs w:val="20"/>
          <w:vertAlign w:val="superscript"/>
        </w:rPr>
        <w:t>12</w:t>
      </w:r>
      <w:r w:rsidRPr="003124CB">
        <w:rPr>
          <w:rFonts w:ascii="Times New Roman" w:eastAsia="Times New Roman" w:hAnsi="Times New Roman"/>
          <w:iCs/>
          <w:sz w:val="20"/>
          <w:szCs w:val="20"/>
        </w:rPr>
        <w:tab/>
        <w:t>Vidutinis procentinis pokytis nuo pradinio rodmens vartojant 10 mg dapagliflozino ir placeb</w:t>
      </w:r>
      <w:r w:rsidR="00BC0AC1">
        <w:rPr>
          <w:rFonts w:ascii="Times New Roman" w:eastAsia="Times New Roman" w:hAnsi="Times New Roman"/>
          <w:iCs/>
          <w:sz w:val="20"/>
          <w:szCs w:val="20"/>
        </w:rPr>
        <w:t>o</w:t>
      </w:r>
      <w:r w:rsidRPr="003124CB">
        <w:rPr>
          <w:rFonts w:ascii="Times New Roman" w:eastAsia="Times New Roman" w:hAnsi="Times New Roman"/>
          <w:iCs/>
          <w:sz w:val="20"/>
          <w:szCs w:val="20"/>
        </w:rPr>
        <w:t xml:space="preserve"> buvo: bendrojo cholesterolio – atitinkamai 2,5 % ir 0,0 %, DTL cholesterolio 6,0 % ir 2,7 %, MTL cholesterolio 2,9 % ir -1,0 %, trigliceridų -2,7 % ir -0,7 %.</w:t>
      </w:r>
    </w:p>
    <w:p w14:paraId="52EA9CEB"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0D92C6F4"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 New Roman" w:hAnsi="Times New Roman"/>
          <w:iCs/>
          <w:u w:val="single"/>
        </w:rPr>
        <w:t>Atrinktų nepageidaujamų reakcijų apibūdinimas</w:t>
      </w:r>
    </w:p>
    <w:p w14:paraId="52E7417A"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0CC7C010" w14:textId="77777777" w:rsidR="003124CB" w:rsidRPr="003124CB" w:rsidRDefault="003124CB" w:rsidP="003124CB">
      <w:pPr>
        <w:widowControl w:val="0"/>
        <w:tabs>
          <w:tab w:val="left" w:pos="567"/>
        </w:tabs>
        <w:spacing w:after="0" w:line="240" w:lineRule="auto"/>
        <w:rPr>
          <w:rFonts w:ascii="Times New Roman" w:eastAsia="Times New Roman" w:hAnsi="Times New Roman"/>
          <w:i/>
          <w:u w:val="single"/>
        </w:rPr>
      </w:pPr>
      <w:r w:rsidRPr="003124CB">
        <w:rPr>
          <w:rFonts w:ascii="Times New Roman" w:eastAsia="Times New Roman" w:hAnsi="Times New Roman"/>
          <w:i/>
          <w:u w:val="single"/>
        </w:rPr>
        <w:t>Dapagliflozinas</w:t>
      </w:r>
    </w:p>
    <w:p w14:paraId="661FD803"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6EAEDFC0"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r w:rsidRPr="003124CB">
        <w:rPr>
          <w:rFonts w:ascii="Times New Roman" w:eastAsia="TimesNewRoman,Italic" w:hAnsi="Times New Roman"/>
          <w:i/>
          <w:iCs/>
          <w:lang w:eastAsia="lt-LT"/>
        </w:rPr>
        <w:t>Vulvovaginitas, balanitas ir susijusios lytinių organų infekcijos</w:t>
      </w:r>
    </w:p>
    <w:p w14:paraId="45CAC1D6" w14:textId="523EE8F2"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Apibendrinus 13 tyrimų saugumo duomenis, nustatyta, kad </w:t>
      </w:r>
      <w:proofErr w:type="spellStart"/>
      <w:r w:rsidRPr="003124CB">
        <w:rPr>
          <w:rFonts w:ascii="Times New Roman" w:eastAsia="TimesNewRoman" w:hAnsi="Times New Roman"/>
          <w:lang w:eastAsia="lt-LT"/>
        </w:rPr>
        <w:t>vulvovaginitas</w:t>
      </w:r>
      <w:proofErr w:type="spellEnd"/>
      <w:r w:rsidRPr="003124CB">
        <w:rPr>
          <w:rFonts w:ascii="Times New Roman" w:eastAsia="TimesNewRoman" w:hAnsi="Times New Roman"/>
          <w:lang w:eastAsia="lt-LT"/>
        </w:rPr>
        <w:t>, balanitas ir susijusi</w:t>
      </w:r>
      <w:r w:rsidR="00D22BD5">
        <w:rPr>
          <w:rFonts w:ascii="Times New Roman" w:eastAsia="TimesNewRoman" w:hAnsi="Times New Roman"/>
          <w:lang w:eastAsia="lt-LT"/>
        </w:rPr>
        <w:t>os</w:t>
      </w:r>
      <w:r w:rsidRPr="003124CB">
        <w:rPr>
          <w:rFonts w:ascii="Times New Roman" w:eastAsia="TimesNewRoman" w:hAnsi="Times New Roman"/>
          <w:lang w:eastAsia="lt-LT"/>
        </w:rPr>
        <w:t xml:space="preserve"> lytinių organų infekcijos pasireiškė 5,5 % 10 mg dapagliflozino ir 0,6 % placeb</w:t>
      </w:r>
      <w:r w:rsidR="002E5C8D">
        <w:rPr>
          <w:rFonts w:ascii="Times New Roman" w:eastAsia="TimesNewRoman" w:hAnsi="Times New Roman"/>
          <w:lang w:eastAsia="lt-LT"/>
        </w:rPr>
        <w:t>o</w:t>
      </w:r>
      <w:r w:rsidRPr="003124CB">
        <w:rPr>
          <w:rFonts w:ascii="Times New Roman" w:eastAsia="TimesNewRoman" w:hAnsi="Times New Roman"/>
          <w:lang w:eastAsia="lt-LT"/>
        </w:rPr>
        <w:t xml:space="preserve"> vartojusių asmenų. Dauguma šių infekcijų buvo lengvos arba vidutinio sunkumo, jas patyrę tiriamieji reagavo į pradinį įprastinio gydymo kursą, dapagliflozino vartojimą dėl to teko nutraukti retai. Tokių infekcijų dažniau pasireiškė moterims (8,4 % vartojant dapagliflozin</w:t>
      </w:r>
      <w:r w:rsidR="00744D5A">
        <w:rPr>
          <w:rFonts w:ascii="Times New Roman" w:eastAsia="TimesNewRoman" w:hAnsi="Times New Roman"/>
          <w:lang w:eastAsia="lt-LT"/>
        </w:rPr>
        <w:t>o</w:t>
      </w:r>
      <w:r w:rsidRPr="003124CB">
        <w:rPr>
          <w:rFonts w:ascii="Times New Roman" w:eastAsia="TimesNewRoman" w:hAnsi="Times New Roman"/>
          <w:lang w:eastAsia="lt-LT"/>
        </w:rPr>
        <w:t xml:space="preserve"> ir 1,2 % vartojant placeb</w:t>
      </w:r>
      <w:r w:rsidR="00744D5A">
        <w:rPr>
          <w:rFonts w:ascii="Times New Roman" w:eastAsia="TimesNewRoman" w:hAnsi="Times New Roman"/>
          <w:lang w:eastAsia="lt-LT"/>
        </w:rPr>
        <w:t>o</w:t>
      </w:r>
      <w:r w:rsidRPr="003124CB">
        <w:rPr>
          <w:rFonts w:ascii="Times New Roman" w:eastAsia="TimesNewRoman" w:hAnsi="Times New Roman"/>
          <w:lang w:eastAsia="lt-LT"/>
        </w:rPr>
        <w:t>), ir tiriamiesiems, kuriems anksčiau jau buvo pasireiškusi infekcija, jos pasikartojimo tikimybė buvo didesnė.</w:t>
      </w:r>
    </w:p>
    <w:p w14:paraId="0E7AF69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1E532CD7" w14:textId="527B5A9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DECLARE tyrimo metu sunkių nepageidaujamų lytinių organų infekcijų </w:t>
      </w:r>
      <w:r w:rsidR="00726535" w:rsidRPr="003124CB">
        <w:rPr>
          <w:rFonts w:ascii="Times New Roman" w:eastAsia="TimesNewRoman" w:hAnsi="Times New Roman"/>
          <w:lang w:eastAsia="lt-LT"/>
        </w:rPr>
        <w:t xml:space="preserve">reiškinių </w:t>
      </w:r>
      <w:r w:rsidRPr="003124CB">
        <w:rPr>
          <w:rFonts w:ascii="Times New Roman" w:eastAsia="TimesNewRoman" w:hAnsi="Times New Roman"/>
          <w:lang w:eastAsia="lt-LT"/>
        </w:rPr>
        <w:t>atsirado nedideliam skaičiui pacientų ir pasiskirstymas dapagliflozino ir placebo grupėse buvo tolygus (po 2 pacientus).</w:t>
      </w:r>
    </w:p>
    <w:p w14:paraId="77EC051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348C9DD9"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Gauta pranešimų apie kartu su lytinių organų infekcijomis nustatytus fimozės ir (arba) įgytos fimozės atvejus; kai kuriais atvejais buvo reikalingas apipjaustymas.</w:t>
      </w:r>
    </w:p>
    <w:p w14:paraId="11905AC9"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69F79966"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r w:rsidRPr="003124CB">
        <w:rPr>
          <w:rFonts w:ascii="Times New Roman" w:eastAsia="TimesNewRoman,Italic" w:hAnsi="Times New Roman"/>
          <w:i/>
          <w:iCs/>
          <w:lang w:eastAsia="lt-LT"/>
        </w:rPr>
        <w:t>Tarpvietės nekrozuojantis fascitas (Fournier gangrena)</w:t>
      </w:r>
    </w:p>
    <w:p w14:paraId="5AC4C9BA" w14:textId="614F220E"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Po SGLT2 inhibitorių </w:t>
      </w:r>
      <w:r w:rsidR="00C312CA" w:rsidRPr="003124CB">
        <w:rPr>
          <w:rFonts w:ascii="Times New Roman" w:eastAsia="TimesNewRoman" w:hAnsi="Times New Roman"/>
          <w:lang w:eastAsia="lt-LT"/>
        </w:rPr>
        <w:t>(įskaitant dapaglifloziną)</w:t>
      </w:r>
      <w:r w:rsidR="00D762AB">
        <w:rPr>
          <w:rFonts w:ascii="Times New Roman" w:eastAsia="TimesNewRoman" w:hAnsi="Times New Roman"/>
          <w:lang w:eastAsia="lt-LT"/>
        </w:rPr>
        <w:t xml:space="preserve"> </w:t>
      </w:r>
      <w:r w:rsidRPr="003124CB">
        <w:rPr>
          <w:rFonts w:ascii="Times New Roman" w:eastAsia="TimesNewRoman" w:hAnsi="Times New Roman"/>
          <w:lang w:eastAsia="lt-LT"/>
        </w:rPr>
        <w:t xml:space="preserve">pateikimo į rinką gauta pranešimų apie </w:t>
      </w:r>
      <w:proofErr w:type="spellStart"/>
      <w:r w:rsidRPr="003124CB">
        <w:rPr>
          <w:rFonts w:ascii="Times New Roman" w:eastAsia="TimesNewRoman,Italic" w:hAnsi="Times New Roman"/>
          <w:i/>
          <w:iCs/>
          <w:lang w:eastAsia="lt-LT"/>
        </w:rPr>
        <w:t>Fournier</w:t>
      </w:r>
      <w:proofErr w:type="spellEnd"/>
      <w:r w:rsidRPr="003124CB">
        <w:rPr>
          <w:rFonts w:ascii="Times New Roman" w:eastAsia="TimesNewRoman,Italic" w:hAnsi="Times New Roman"/>
          <w:i/>
          <w:iCs/>
          <w:lang w:eastAsia="lt-LT"/>
        </w:rPr>
        <w:t xml:space="preserve"> </w:t>
      </w:r>
      <w:r w:rsidRPr="003124CB">
        <w:rPr>
          <w:rFonts w:ascii="Times New Roman" w:eastAsia="TimesNewRoman" w:hAnsi="Times New Roman"/>
          <w:lang w:eastAsia="lt-LT"/>
        </w:rPr>
        <w:t>gangrenos atvejus jų vartojusiems pacientams (žr. 4.4 skyrių).</w:t>
      </w:r>
    </w:p>
    <w:p w14:paraId="4A7BBF1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085E72A8"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DECLARE tyrime dalyvavo 17 160 pacientų, sirgusių 2 tipo cukriniu diabetu. Ekspozicijos trukmės mediana buvo 48 mėnesiai, iš viso pranešti 6 </w:t>
      </w:r>
      <w:r w:rsidRPr="003124CB">
        <w:rPr>
          <w:rFonts w:ascii="Times New Roman" w:eastAsia="TimesNewRoman,Italic" w:hAnsi="Times New Roman"/>
          <w:i/>
          <w:iCs/>
          <w:lang w:eastAsia="lt-LT"/>
        </w:rPr>
        <w:t xml:space="preserve">Fournier </w:t>
      </w:r>
      <w:r w:rsidRPr="003124CB">
        <w:rPr>
          <w:rFonts w:ascii="Times New Roman" w:eastAsia="TimesNewRoman" w:hAnsi="Times New Roman"/>
          <w:lang w:eastAsia="lt-LT"/>
        </w:rPr>
        <w:t>gangrenos atvejai (1 dapagliflozino grupėje ir 5 placebo grupėje).</w:t>
      </w:r>
    </w:p>
    <w:p w14:paraId="2A614B55"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p>
    <w:p w14:paraId="7193CD79"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r w:rsidRPr="003124CB">
        <w:rPr>
          <w:rFonts w:ascii="Times New Roman" w:eastAsia="TimesNewRoman,Italic" w:hAnsi="Times New Roman"/>
          <w:i/>
          <w:iCs/>
          <w:lang w:eastAsia="lt-LT"/>
        </w:rPr>
        <w:t>Hipoglikemija</w:t>
      </w:r>
    </w:p>
    <w:p w14:paraId="4E3E93B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Hipoglikemijos pasireiškimo dažnis priklausė nuo bazinio gydymo, skirto cukrinio diabeto klinikinių tyrimų metu.</w:t>
      </w:r>
    </w:p>
    <w:p w14:paraId="51B6B25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68E5B1E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Dapagliflozino monoterapijos, gydymo metforminu papildymo ir gydymo sitagliptinu papildymo (kartu dar vartojant metformino arba jo nevartojant) tyrimų metu lengvų hipoglikemijos epizodų dažnis visų gydymo grupių, įskaitant placebo, pacientams laikotarpiu iki 102 gydymo savaičių buvo panašus (&lt; 5 %). Visų tyrimų metu sunkių hipoglikemijos reiškinių atsirado nedažnai, jų dažnis dapagliflozino ir placebo grupių pacientams buvo panašus. Gydymo sulfonilkarbamidu ir insulinu papildymo tyrimų metu hipoglikemija pasireiškė dažniau (žr. 4.5 skyrių).</w:t>
      </w:r>
    </w:p>
    <w:p w14:paraId="4EE64754"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34B30A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Gydymo glimepiridu papildymo tyrimo metu lengvų hipoglikemijos epizodų per 24 ir 48 savaites 10 mg dapagliflozino ir glimepirido derinio grupės pacientams pasireiškė dažniau (atitinkamai 6 % ir 7,9 %), negu placebo ir glimepirido derinio grupės pacientams (atitinkamai 2,1 % ir 2,1 %).</w:t>
      </w:r>
    </w:p>
    <w:p w14:paraId="2695D63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D483008"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Gydymo insulinu papildymo tyrimo metu apie sunkius hipoglikemijos reiškinius per 24 ir 104 savaites pranešta atitinkamai 0,5 % ir 1 % 10 mg dapagliflozino ir insulino derinio grupės pacientų. Be to, per 24 ir 104 savaites tokių epizodų pranešta 0,5 % placebo ir insulino derinį vartojusių pacientų. Lengvų hipoglikemijos epizodų per 24 ir 104 savaites pranešta atitinkamai 40,3 % ir 53,1 % 10 mg dapagliflozino ir insulino derinio grupės pacientų; tokių pacientų placebo ir insulino derinio grupėje buvo atitinkamai 34,0 % ir 41,6 %.</w:t>
      </w:r>
    </w:p>
    <w:p w14:paraId="35678F41"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60EF7D1D"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Gydymo metforminu ir sulfonilkarbamidu papildymo tyrimo metu laikotarpiu iki 24 savaičių sunkių hipoglikemijos reiškinių nepranešta. Apie lengvos hipoglikemijos epizodus pranešta 12,8 % pacientų, vartojusių 10 mg dapagliflozino, metformino ir sulfonilkarbamido, bei 3,7 % pacientų, vartojusių placebo, metformino ir sulfonilkarbamido.</w:t>
      </w:r>
    </w:p>
    <w:p w14:paraId="5E9FACD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2EB6456A" w14:textId="7205AE48"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DECLARE tyrimo metu sunkių hipoglikemijos reiškinių rizikos padidėjimo vartojant dapagliflozin</w:t>
      </w:r>
      <w:r w:rsidR="00C15D05">
        <w:rPr>
          <w:rFonts w:ascii="Times New Roman" w:eastAsia="TimesNewRoman" w:hAnsi="Times New Roman"/>
          <w:lang w:eastAsia="lt-LT"/>
        </w:rPr>
        <w:t>o</w:t>
      </w:r>
      <w:r w:rsidRPr="003124CB">
        <w:rPr>
          <w:rFonts w:ascii="Times New Roman" w:eastAsia="TimesNewRoman" w:hAnsi="Times New Roman"/>
          <w:lang w:eastAsia="lt-LT"/>
        </w:rPr>
        <w:t xml:space="preserve"> (palyginti su placebu) nenustatyta. Apie sunkios hipoglikemijos reiškinius pranešta 58 (0,7 %) dapagliflozin</w:t>
      </w:r>
      <w:r w:rsidR="00C15D05">
        <w:rPr>
          <w:rFonts w:ascii="Times New Roman" w:eastAsia="TimesNewRoman" w:hAnsi="Times New Roman"/>
          <w:lang w:eastAsia="lt-LT"/>
        </w:rPr>
        <w:t>o</w:t>
      </w:r>
      <w:r w:rsidRPr="003124CB">
        <w:rPr>
          <w:rFonts w:ascii="Times New Roman" w:eastAsia="TimesNewRoman" w:hAnsi="Times New Roman"/>
          <w:lang w:eastAsia="lt-LT"/>
        </w:rPr>
        <w:t xml:space="preserve"> ir 83 (1,0 %) placeb</w:t>
      </w:r>
      <w:r w:rsidR="00C15D05">
        <w:rPr>
          <w:rFonts w:ascii="Times New Roman" w:eastAsia="TimesNewRoman" w:hAnsi="Times New Roman"/>
          <w:lang w:eastAsia="lt-LT"/>
        </w:rPr>
        <w:t>o</w:t>
      </w:r>
      <w:r w:rsidRPr="003124CB">
        <w:rPr>
          <w:rFonts w:ascii="Times New Roman" w:eastAsia="TimesNewRoman" w:hAnsi="Times New Roman"/>
          <w:lang w:eastAsia="lt-LT"/>
        </w:rPr>
        <w:t xml:space="preserve"> vartojusių pacientų.</w:t>
      </w:r>
    </w:p>
    <w:p w14:paraId="2191CBC7"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14343B8" w14:textId="5EFBF39F" w:rsidR="003124CB" w:rsidRPr="003124CB" w:rsidRDefault="00091FA8" w:rsidP="003124CB">
      <w:pPr>
        <w:autoSpaceDE w:val="0"/>
        <w:autoSpaceDN w:val="0"/>
        <w:adjustRightInd w:val="0"/>
        <w:spacing w:after="0" w:line="240" w:lineRule="auto"/>
        <w:rPr>
          <w:rFonts w:ascii="Times New Roman" w:eastAsia="TimesNewRoman,Italic" w:hAnsi="Times New Roman"/>
          <w:i/>
          <w:iCs/>
          <w:u w:val="single"/>
          <w:lang w:eastAsia="lt-LT"/>
        </w:rPr>
      </w:pPr>
      <w:r>
        <w:rPr>
          <w:rFonts w:ascii="Times New Roman" w:eastAsia="TimesNewRoman,Italic" w:hAnsi="Times New Roman"/>
          <w:i/>
          <w:iCs/>
          <w:u w:val="single"/>
          <w:lang w:eastAsia="lt-LT"/>
        </w:rPr>
        <w:t>Kraujo tūrio sumažėjimas</w:t>
      </w:r>
      <w:r w:rsidR="003124CB" w:rsidRPr="003124CB">
        <w:rPr>
          <w:rFonts w:ascii="Times New Roman" w:eastAsia="TimesNewRoman,Italic" w:hAnsi="Times New Roman"/>
          <w:i/>
          <w:iCs/>
          <w:u w:val="single"/>
          <w:lang w:eastAsia="lt-LT"/>
        </w:rPr>
        <w:t xml:space="preserve"> organizme</w:t>
      </w:r>
    </w:p>
    <w:p w14:paraId="3C89CD0D" w14:textId="02BDF128"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Apibendrinus 13 tyrimų saugumo duomenis, nustatyta, kad apie reakcijas, rodančias sumažėjusį </w:t>
      </w:r>
      <w:r w:rsidR="0065415E">
        <w:rPr>
          <w:rFonts w:ascii="Times New Roman" w:eastAsia="TimesNewRoman" w:hAnsi="Times New Roman"/>
          <w:lang w:eastAsia="lt-LT"/>
        </w:rPr>
        <w:t>kraujo</w:t>
      </w:r>
      <w:r w:rsidR="0065415E" w:rsidRPr="003124CB">
        <w:rPr>
          <w:rFonts w:ascii="Times New Roman" w:eastAsia="TimesNewRoman" w:hAnsi="Times New Roman"/>
          <w:lang w:eastAsia="lt-LT"/>
        </w:rPr>
        <w:t xml:space="preserve"> </w:t>
      </w:r>
      <w:r w:rsidRPr="003124CB">
        <w:rPr>
          <w:rFonts w:ascii="Times New Roman" w:eastAsia="TimesNewRoman" w:hAnsi="Times New Roman"/>
          <w:lang w:eastAsia="lt-LT"/>
        </w:rPr>
        <w:t>tūrį organizme (dehidrataciją, hipovolemiją arba hipotenziją), pranešta 1,1 % ir 0,7 % atitinkamai 10 mg dapagliflozino ir placebo vartojusių asmenų; sunkių reakcijų pasireiškė &lt; 0,2 % asmenų, jų dažnis 10 mg dapagliflozino ir placebo vartojusiems pacientams buvo panašus (žr. 4.4 skyrių).</w:t>
      </w:r>
    </w:p>
    <w:p w14:paraId="0D8C3215"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66A189C" w14:textId="6ACE44D1"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DECLARE tyrimo metu sumažėjusiam </w:t>
      </w:r>
      <w:r w:rsidR="00405C8C">
        <w:rPr>
          <w:rFonts w:ascii="Times New Roman" w:eastAsia="TimesNewRoman" w:hAnsi="Times New Roman"/>
          <w:lang w:eastAsia="lt-LT"/>
        </w:rPr>
        <w:t>kraujo</w:t>
      </w:r>
      <w:r w:rsidR="00405C8C" w:rsidRPr="003124CB">
        <w:rPr>
          <w:rFonts w:ascii="Times New Roman" w:eastAsia="TimesNewRoman" w:hAnsi="Times New Roman"/>
          <w:lang w:eastAsia="lt-LT"/>
        </w:rPr>
        <w:t xml:space="preserve"> </w:t>
      </w:r>
      <w:r w:rsidRPr="003124CB">
        <w:rPr>
          <w:rFonts w:ascii="Times New Roman" w:eastAsia="TimesNewRoman" w:hAnsi="Times New Roman"/>
          <w:lang w:eastAsia="lt-LT"/>
        </w:rPr>
        <w:t>tūrio organizme būdingų reiškinių skaičius gydymo grupėse buvo panašus: jų patyrė atitinkamai 213 (2,5 %) dapagliflozino ir 207 (2,4 %) placebo grupės pacientai. Sunkių nepageidaujamų reiškinių pranešta atitinkamai 81 (0,9 %) ir 70 (0,8 %) dapagliflozino ir placebo grupės pacientų. Šių reiškinių skaičius gydymo grupėse ir pagal amžių, diuretikų vartojimą, kraujospūdį bei angiotenziną konvertuojančio fermento inhibitorių (AKF-I) ar angiotenzino II 1 tipo receptorių blokatorių (ARB) vartojimą sudarytuose pogrupiuose buvo iš esmės panašus. Pacientams, kurių pradinis aGFG buvo &lt; 60 ml/min./1,73 m</w:t>
      </w:r>
      <w:r w:rsidRPr="003124CB">
        <w:rPr>
          <w:rFonts w:ascii="Times New Roman" w:eastAsia="TimesNewRoman" w:hAnsi="Times New Roman"/>
          <w:szCs w:val="24"/>
          <w:vertAlign w:val="superscript"/>
        </w:rPr>
        <w:t>2</w:t>
      </w:r>
      <w:r w:rsidRPr="003124CB">
        <w:rPr>
          <w:rFonts w:ascii="Times New Roman" w:eastAsia="TimesNewRoman" w:hAnsi="Times New Roman"/>
          <w:lang w:eastAsia="lt-LT"/>
        </w:rPr>
        <w:t xml:space="preserve">, </w:t>
      </w:r>
      <w:r w:rsidR="009C0F10">
        <w:rPr>
          <w:rFonts w:ascii="Times New Roman" w:eastAsia="TimesNewRoman" w:hAnsi="Times New Roman"/>
          <w:lang w:eastAsia="lt-LT"/>
        </w:rPr>
        <w:t>kraujo</w:t>
      </w:r>
      <w:r w:rsidR="009C0F10" w:rsidRPr="003124CB">
        <w:rPr>
          <w:rFonts w:ascii="Times New Roman" w:eastAsia="TimesNewRoman" w:hAnsi="Times New Roman"/>
          <w:lang w:eastAsia="lt-LT"/>
        </w:rPr>
        <w:t xml:space="preserve"> </w:t>
      </w:r>
      <w:r w:rsidRPr="003124CB">
        <w:rPr>
          <w:rFonts w:ascii="Times New Roman" w:eastAsia="TimesNewRoman" w:hAnsi="Times New Roman"/>
          <w:lang w:eastAsia="lt-LT"/>
        </w:rPr>
        <w:t>tūrio sumažėjimui organizme būdingų sunkių nepageidaujamų reiškinių nustatyta 19 dapagliflozino grupėje ir 13 placebo grupėje.</w:t>
      </w:r>
    </w:p>
    <w:p w14:paraId="3F3EEF5D"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p>
    <w:p w14:paraId="6C71A2B1"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u w:val="single"/>
          <w:lang w:eastAsia="lt-LT"/>
        </w:rPr>
      </w:pPr>
      <w:r w:rsidRPr="003124CB">
        <w:rPr>
          <w:rFonts w:ascii="Times New Roman" w:eastAsia="TimesNewRoman,Italic" w:hAnsi="Times New Roman"/>
          <w:i/>
          <w:iCs/>
          <w:u w:val="single"/>
          <w:lang w:eastAsia="lt-LT"/>
        </w:rPr>
        <w:t>Diabetinė ketoacidozė 2 tipo cukriniu diabetu sergantiems pacientams</w:t>
      </w:r>
    </w:p>
    <w:p w14:paraId="5E7B4D52" w14:textId="0633004A"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DECLARE tyrimo metu, kai ekspozicijos mediana buvo 48 mėnesiai, apie DKA reiškinius pranešta 27 pacientams dapagliflozino 10 mg grupėje ir 12 pacientų placebo grupėje. Pranešti reiškiniai tolygiai pasiskirstė tyrimo laikotarpiu. 22 iš 27 dapagliflozino grupės pacientų, patyrusių DKA reiškinių, tuo metu vartojo insulin</w:t>
      </w:r>
      <w:r w:rsidR="00901E3D">
        <w:rPr>
          <w:rFonts w:ascii="Times New Roman" w:eastAsia="TimesNewRoman" w:hAnsi="Times New Roman"/>
          <w:lang w:eastAsia="lt-LT"/>
        </w:rPr>
        <w:t>o</w:t>
      </w:r>
      <w:r w:rsidRPr="003124CB">
        <w:rPr>
          <w:rFonts w:ascii="Times New Roman" w:eastAsia="TimesNewRoman" w:hAnsi="Times New Roman"/>
          <w:lang w:eastAsia="lt-LT"/>
        </w:rPr>
        <w:t>. DKA pasireiškimą skatino veiksniai, kurie ir yra tikėtini 2 cukriniu diabetu sergančių pacientų populiacijoje (žr. 4.4 skyrių).</w:t>
      </w:r>
    </w:p>
    <w:p w14:paraId="3B5227B8"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9CA8B05"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u w:val="single"/>
          <w:lang w:eastAsia="lt-LT"/>
        </w:rPr>
      </w:pPr>
      <w:r w:rsidRPr="003124CB">
        <w:rPr>
          <w:rFonts w:ascii="Times New Roman" w:eastAsia="TimesNewRoman,Italic" w:hAnsi="Times New Roman"/>
          <w:i/>
          <w:iCs/>
          <w:u w:val="single"/>
          <w:lang w:eastAsia="lt-LT"/>
        </w:rPr>
        <w:t>Šlapimo takų infekcijos</w:t>
      </w:r>
    </w:p>
    <w:p w14:paraId="4A441C1A" w14:textId="6D9EBBD2"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Apibendrinus 13 tyrimų saugumo duomenis, nustatyta, kad pacientams, vartojusiems10 mg dapagliflozino, šlapimo takų infekcija pasireiškė dažniau negu vartojusiems placeb</w:t>
      </w:r>
      <w:r w:rsidR="0079437E">
        <w:rPr>
          <w:rFonts w:ascii="Times New Roman" w:eastAsia="TimesNewRoman" w:hAnsi="Times New Roman"/>
          <w:lang w:eastAsia="lt-LT"/>
        </w:rPr>
        <w:t>o</w:t>
      </w:r>
      <w:r w:rsidRPr="003124CB">
        <w:rPr>
          <w:rFonts w:ascii="Times New Roman" w:eastAsia="TimesNewRoman" w:hAnsi="Times New Roman"/>
          <w:lang w:eastAsia="lt-LT"/>
        </w:rPr>
        <w:t xml:space="preserve"> (atitinkamai 4,7 % ir 3,5 %, žr. 4.4 skyrių). Dauguma šių infekcijų buvo lengvos arba vidutinio sunkumo, jas patyrę tiriamieji reagavo į pradinį įprastinio gydymo kursą, dapagliflozino vartojimą dėl to teko nutraukti retai. Tokių infekcijų dažniau pasireiškė moterims; tiriamiesiems, kuriems anksčiau jau buvo pasireiškusi infekcija, jos pasikartojimo tikimybė buvo didesnė.</w:t>
      </w:r>
    </w:p>
    <w:p w14:paraId="31F6F0C1"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697EF7C0" w14:textId="7D98562E"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DECLARE tyrimo metu sunkių šlapimo takų infekcijų reiškinių 10 mg dapagliflozino vartojusiems pacientams pasireiškė rečiau negu vartojusiems placeb</w:t>
      </w:r>
      <w:r w:rsidR="0079437E">
        <w:rPr>
          <w:rFonts w:ascii="Times New Roman" w:eastAsia="TimesNewRoman" w:hAnsi="Times New Roman"/>
          <w:lang w:eastAsia="lt-LT"/>
        </w:rPr>
        <w:t>o</w:t>
      </w:r>
      <w:r w:rsidRPr="003124CB">
        <w:rPr>
          <w:rFonts w:ascii="Times New Roman" w:eastAsia="TimesNewRoman" w:hAnsi="Times New Roman"/>
          <w:lang w:eastAsia="lt-LT"/>
        </w:rPr>
        <w:t>: atitinkamai 79 (0,9 %) ir 109 (1,3 %) reiškiniai.</w:t>
      </w:r>
    </w:p>
    <w:p w14:paraId="46F36035" w14:textId="77777777" w:rsidR="003124CB" w:rsidRPr="003124CB" w:rsidRDefault="003124CB" w:rsidP="003124CB">
      <w:pPr>
        <w:autoSpaceDE w:val="0"/>
        <w:autoSpaceDN w:val="0"/>
        <w:adjustRightInd w:val="0"/>
        <w:spacing w:after="0" w:line="240" w:lineRule="auto"/>
        <w:rPr>
          <w:rFonts w:ascii="Times New Roman" w:eastAsia="TimesNewRoman,Italic" w:hAnsi="Times New Roman"/>
          <w:i/>
          <w:iCs/>
          <w:lang w:eastAsia="lt-LT"/>
        </w:rPr>
      </w:pPr>
    </w:p>
    <w:p w14:paraId="01BEBAD5" w14:textId="77777777" w:rsidR="003124CB" w:rsidRPr="003124CB" w:rsidRDefault="003124CB" w:rsidP="003124CB">
      <w:pPr>
        <w:autoSpaceDE w:val="0"/>
        <w:autoSpaceDN w:val="0"/>
        <w:adjustRightInd w:val="0"/>
        <w:spacing w:after="0" w:line="240" w:lineRule="auto"/>
        <w:rPr>
          <w:rFonts w:ascii="Times New Roman" w:eastAsia="TimesNewRoman" w:hAnsi="Times New Roman"/>
          <w:u w:val="single"/>
          <w:lang w:eastAsia="lt-LT"/>
        </w:rPr>
      </w:pPr>
      <w:r w:rsidRPr="003124CB">
        <w:rPr>
          <w:rFonts w:ascii="Times New Roman" w:eastAsia="TimesNewRoman,Italic" w:hAnsi="Times New Roman"/>
          <w:i/>
          <w:iCs/>
          <w:u w:val="single"/>
          <w:lang w:eastAsia="lt-LT"/>
        </w:rPr>
        <w:t>Kreatinino koncentracijos padidėjimas</w:t>
      </w:r>
    </w:p>
    <w:p w14:paraId="0D122E3C" w14:textId="225E4823"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Nepageidaujamos reakcijos, susijusios su kreatinino koncentracijos padidėjimu (pvz., sumažėjęs kreatinino inkstų klirensas, sutrikusi inkstų funkcija, padidėjusi kreatinino koncentracija kraujyje ir sumažėjęs glomerulų filtracijos greitis), buvo sugrupuotos. Apibendrinus 13 tyrimų saugumo duomenis, nustatyta, kad tokių sugrupuotų reakcijų pasireiškė 3,2 % ir 1,8 % atitinkamai 10 mg dapagliflozino ir placebo vartojusių pacientų. Vertinant pacientus, kurių inkstų funkcija buvo normali arba kuriems buvo lengvas inkstų funkcijos sutrikimas</w:t>
      </w:r>
      <w:r w:rsidR="00F31886">
        <w:rPr>
          <w:rFonts w:ascii="Times New Roman" w:eastAsia="TimesNewRoman" w:hAnsi="Times New Roman"/>
          <w:lang w:eastAsia="lt-LT"/>
        </w:rPr>
        <w:t xml:space="preserve"> </w:t>
      </w:r>
      <w:r w:rsidRPr="003124CB">
        <w:rPr>
          <w:rFonts w:ascii="Times New Roman" w:eastAsia="TimesNewRoman" w:hAnsi="Times New Roman"/>
          <w:lang w:eastAsia="lt-LT"/>
        </w:rPr>
        <w:t xml:space="preserve">(pradinis </w:t>
      </w:r>
      <w:proofErr w:type="spellStart"/>
      <w:r w:rsidRPr="003124CB">
        <w:rPr>
          <w:rFonts w:ascii="Times New Roman" w:eastAsia="TimesNewRoman" w:hAnsi="Times New Roman"/>
          <w:lang w:eastAsia="lt-LT"/>
        </w:rPr>
        <w:t>aGFG</w:t>
      </w:r>
      <w:proofErr w:type="spellEnd"/>
      <w:r w:rsidRPr="003124CB">
        <w:rPr>
          <w:rFonts w:ascii="Times New Roman" w:eastAsia="TimesNewRoman" w:hAnsi="Times New Roman"/>
          <w:lang w:eastAsia="lt-LT"/>
        </w:rPr>
        <w:t xml:space="preserve"> ≥ 60 ml/min./1,73 m</w:t>
      </w:r>
      <w:r w:rsidRPr="003124CB">
        <w:rPr>
          <w:rFonts w:ascii="Times New Roman" w:eastAsia="TimesNewRoman" w:hAnsi="Times New Roman"/>
          <w:szCs w:val="24"/>
          <w:vertAlign w:val="superscript"/>
        </w:rPr>
        <w:t>2</w:t>
      </w:r>
      <w:r w:rsidRPr="003124CB">
        <w:rPr>
          <w:rFonts w:ascii="Times New Roman" w:eastAsia="TimesNewRoman" w:hAnsi="Times New Roman"/>
          <w:lang w:eastAsia="lt-LT"/>
        </w:rPr>
        <w:t xml:space="preserve">), apie tokias sugrupuotas reakcijas pranešta 1,3 % ir 0,8 % pacientų, vartojusių atitinkamai 10 mg dapagliflozino ir placebo. Šios reakcijos buvo dažnesnės pacientams, kurių pradinis </w:t>
      </w:r>
      <w:proofErr w:type="spellStart"/>
      <w:r w:rsidRPr="003124CB">
        <w:rPr>
          <w:rFonts w:ascii="Times New Roman" w:eastAsia="TimesNewRoman" w:hAnsi="Times New Roman"/>
          <w:lang w:eastAsia="lt-LT"/>
        </w:rPr>
        <w:t>aGFG</w:t>
      </w:r>
      <w:proofErr w:type="spellEnd"/>
      <w:r w:rsidRPr="003124CB">
        <w:rPr>
          <w:rFonts w:ascii="Times New Roman" w:eastAsia="TimesNewRoman" w:hAnsi="Times New Roman"/>
          <w:lang w:eastAsia="lt-LT"/>
        </w:rPr>
        <w:t xml:space="preserve"> buvo ≥ 30</w:t>
      </w:r>
      <w:r w:rsidR="00514879">
        <w:rPr>
          <w:rFonts w:ascii="Times New Roman" w:eastAsia="TimesNewRoman" w:hAnsi="Times New Roman"/>
          <w:lang w:eastAsia="lt-LT"/>
        </w:rPr>
        <w:t xml:space="preserve"> ir </w:t>
      </w:r>
      <w:r w:rsidRPr="003124CB">
        <w:rPr>
          <w:rFonts w:ascii="Times New Roman" w:eastAsia="TimesNewRoman" w:hAnsi="Times New Roman"/>
          <w:lang w:eastAsia="lt-LT"/>
        </w:rPr>
        <w:t>&lt; 60 ml/min./1,73 m</w:t>
      </w:r>
      <w:r w:rsidRPr="003124CB">
        <w:rPr>
          <w:rFonts w:ascii="Times New Roman" w:eastAsia="TimesNewRoman" w:hAnsi="Times New Roman"/>
          <w:vertAlign w:val="superscript"/>
          <w:lang w:eastAsia="lt-LT"/>
        </w:rPr>
        <w:t>2</w:t>
      </w:r>
      <w:r w:rsidRPr="003124CB">
        <w:rPr>
          <w:rFonts w:ascii="Times New Roman" w:eastAsia="TimesNewRoman" w:hAnsi="Times New Roman"/>
          <w:lang w:eastAsia="lt-LT"/>
        </w:rPr>
        <w:t>(18,5 % vartojusių 10 mg dapagliflozino ir 9,3 % vartojusių placebo).</w:t>
      </w:r>
    </w:p>
    <w:p w14:paraId="0D8477C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2DF334A5" w14:textId="6E792AEC"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Tolesnis su inkstais susijusių nepageidaujamų reiškinių patyrusių pacientų vertinimas parodė, kad daugumai pacientų kreatinino koncentracijos kraujo serume pokytis nuo pradinio rodmens buvo ≤ 44 </w:t>
      </w:r>
      <w:proofErr w:type="spellStart"/>
      <w:r w:rsidRPr="003124CB">
        <w:rPr>
          <w:rFonts w:ascii="Times New Roman" w:eastAsia="TimesNewRoman" w:hAnsi="Times New Roman"/>
          <w:lang w:eastAsia="lt-LT"/>
        </w:rPr>
        <w:t>mikromoliai</w:t>
      </w:r>
      <w:proofErr w:type="spellEnd"/>
      <w:r w:rsidRPr="003124CB">
        <w:rPr>
          <w:rFonts w:ascii="Times New Roman" w:eastAsia="TimesNewRoman" w:hAnsi="Times New Roman"/>
          <w:lang w:eastAsia="lt-LT"/>
        </w:rPr>
        <w:t xml:space="preserve"> litre (</w:t>
      </w:r>
      <w:r w:rsidR="00441A20" w:rsidRPr="003124CB">
        <w:rPr>
          <w:rFonts w:ascii="Times New Roman" w:eastAsia="TimesNewRoman" w:hAnsi="Times New Roman"/>
          <w:lang w:eastAsia="lt-LT"/>
        </w:rPr>
        <w:t>≤ </w:t>
      </w:r>
      <w:r w:rsidRPr="003124CB">
        <w:rPr>
          <w:rFonts w:ascii="Times New Roman" w:eastAsia="TimesNewRoman" w:hAnsi="Times New Roman"/>
          <w:lang w:eastAsia="lt-LT"/>
        </w:rPr>
        <w:t>0,5 mg/dl). Kreatinino koncentracijos padidėjimas tęstinio gydymo metu dažniausiai būdavo laikinas arba išnykdavo gydymą nutraukus.</w:t>
      </w:r>
    </w:p>
    <w:p w14:paraId="66376D1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776167C1"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DECLARE tyrimo, kuriame dalyvavo senyvi pacientai ir pacientai, kurių inkstų funkcija buvo sutrikusi (aGFG &lt; 60 ml/min./1,73 m</w:t>
      </w:r>
      <w:r w:rsidRPr="003124CB">
        <w:rPr>
          <w:rFonts w:ascii="Times New Roman" w:eastAsia="TimesNewRoman" w:hAnsi="Times New Roman"/>
          <w:vertAlign w:val="superscript"/>
          <w:lang w:eastAsia="lt-LT"/>
        </w:rPr>
        <w:t>2</w:t>
      </w:r>
      <w:r w:rsidRPr="003124CB">
        <w:rPr>
          <w:rFonts w:ascii="Times New Roman" w:eastAsia="TimesNewRoman" w:hAnsi="Times New Roman"/>
          <w:lang w:eastAsia="lt-LT"/>
        </w:rPr>
        <w:t>), metu laikui bėgant aGFG mažėjo abejose grupėse. Dapagliflozino grupės pacientų vidutinis aGFG po 1 metų buvo šiek tiek mažesnis, o po 4 metų – šiek tiek didesnis, palyginti su placebo grupės pacientais.</w:t>
      </w:r>
    </w:p>
    <w:p w14:paraId="6ED64F72"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2EB2BDD4" w14:textId="77777777" w:rsidR="003124CB" w:rsidRPr="003124CB" w:rsidRDefault="003124CB" w:rsidP="003124CB">
      <w:pPr>
        <w:widowControl w:val="0"/>
        <w:tabs>
          <w:tab w:val="left" w:pos="567"/>
        </w:tabs>
        <w:spacing w:after="0" w:line="240" w:lineRule="auto"/>
        <w:rPr>
          <w:rFonts w:ascii="Times New Roman" w:eastAsia="Times New Roman" w:hAnsi="Times New Roman"/>
          <w:i/>
          <w:u w:val="single"/>
        </w:rPr>
      </w:pPr>
      <w:r w:rsidRPr="003124CB">
        <w:rPr>
          <w:rFonts w:ascii="Times New Roman" w:eastAsia="Times New Roman" w:hAnsi="Times New Roman"/>
          <w:i/>
          <w:u w:val="single"/>
        </w:rPr>
        <w:t>Sitagliptinas</w:t>
      </w:r>
    </w:p>
    <w:p w14:paraId="1A2939C5"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3A9A068B"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Be anksčiau aprašytų su vaistiniu preparatu susijusių nepageidaujamų reiškinių, nepageidaujami reiškiniai (neatsižvelgiant į priežastinį ryšį su vaistinio preparato vartojimu), kurių atsirado mažiausiai 5 % sitagliptinu gydytų pacientų ir dažniau atsirado sitagliptino vartojusiems pacientams, buvo viršutinių kvėpavimo takų infekcija ir nazofaringitas. Papildomi nepageidaujami reiškiniai (neatsižvelgiant į priežastinį ryšį su vaistinio preparato vartojimu), kurių dažniau pasireiškė sitagliptinu gydytiems pacientams (dažnis nesiekė 5 %, tačiau pasireiškė &gt; 0,5 % dažniau sitagliptino grupėje nei kontrolinėje grupėje), buvo osteoartritas ir galūnių skausmas.</w:t>
      </w:r>
    </w:p>
    <w:p w14:paraId="41F9E361"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2A94D4C2" w14:textId="7141EEBF"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 xml:space="preserve">Kai kurios nepageidaujamos reakcijos dažniau buvo stebėtos kombinuotojo gydymo sitagliptinu ir kitais antidiabetiniais vaistiniais preparatais klinikinių tyrimų metu nei sitagliptino monoterapijos tyrimų metu. Tokios reakcijos buvo hipoglikemija (labai dažna kartu vartojant </w:t>
      </w:r>
      <w:proofErr w:type="spellStart"/>
      <w:r w:rsidRPr="003124CB">
        <w:rPr>
          <w:rFonts w:ascii="Times New Roman" w:eastAsia="Times New Roman" w:hAnsi="Times New Roman"/>
        </w:rPr>
        <w:t>sulfonilkarbamid</w:t>
      </w:r>
      <w:r w:rsidR="005E0601">
        <w:rPr>
          <w:rFonts w:ascii="Times New Roman" w:eastAsia="Times New Roman" w:hAnsi="Times New Roman"/>
        </w:rPr>
        <w:t>o</w:t>
      </w:r>
      <w:proofErr w:type="spellEnd"/>
      <w:r w:rsidRPr="003124CB">
        <w:rPr>
          <w:rFonts w:ascii="Times New Roman" w:eastAsia="Times New Roman" w:hAnsi="Times New Roman"/>
        </w:rPr>
        <w:t xml:space="preserve"> ir </w:t>
      </w:r>
      <w:proofErr w:type="spellStart"/>
      <w:r w:rsidRPr="003124CB">
        <w:rPr>
          <w:rFonts w:ascii="Times New Roman" w:eastAsia="Times New Roman" w:hAnsi="Times New Roman"/>
        </w:rPr>
        <w:t>metformin</w:t>
      </w:r>
      <w:r w:rsidR="003377C4">
        <w:rPr>
          <w:rFonts w:ascii="Times New Roman" w:eastAsia="Times New Roman" w:hAnsi="Times New Roman"/>
        </w:rPr>
        <w:t>o</w:t>
      </w:r>
      <w:proofErr w:type="spellEnd"/>
      <w:r w:rsidRPr="003124CB">
        <w:rPr>
          <w:rFonts w:ascii="Times New Roman" w:eastAsia="Times New Roman" w:hAnsi="Times New Roman"/>
        </w:rPr>
        <w:t>), gripas (dažnas kartu vartojant insulin</w:t>
      </w:r>
      <w:r w:rsidR="003377C4">
        <w:rPr>
          <w:rFonts w:ascii="Times New Roman" w:eastAsia="Times New Roman" w:hAnsi="Times New Roman"/>
        </w:rPr>
        <w:t>o</w:t>
      </w:r>
      <w:r w:rsidRPr="003124CB">
        <w:rPr>
          <w:rFonts w:ascii="Times New Roman" w:eastAsia="Times New Roman" w:hAnsi="Times New Roman"/>
        </w:rPr>
        <w:t xml:space="preserve"> (kartu su </w:t>
      </w:r>
      <w:proofErr w:type="spellStart"/>
      <w:r w:rsidRPr="003124CB">
        <w:rPr>
          <w:rFonts w:ascii="Times New Roman" w:eastAsia="Times New Roman" w:hAnsi="Times New Roman"/>
        </w:rPr>
        <w:t>metforminu</w:t>
      </w:r>
      <w:proofErr w:type="spellEnd"/>
      <w:r w:rsidRPr="003124CB">
        <w:rPr>
          <w:rFonts w:ascii="Times New Roman" w:eastAsia="Times New Roman" w:hAnsi="Times New Roman"/>
        </w:rPr>
        <w:t xml:space="preserve"> arba be jo)), pykinimas ir vėmimas (dažnas kartu vartojant </w:t>
      </w:r>
      <w:proofErr w:type="spellStart"/>
      <w:r w:rsidRPr="003124CB">
        <w:rPr>
          <w:rFonts w:ascii="Times New Roman" w:eastAsia="Times New Roman" w:hAnsi="Times New Roman"/>
        </w:rPr>
        <w:t>metformin</w:t>
      </w:r>
      <w:r w:rsidR="003377C4">
        <w:rPr>
          <w:rFonts w:ascii="Times New Roman" w:eastAsia="Times New Roman" w:hAnsi="Times New Roman"/>
        </w:rPr>
        <w:t>o</w:t>
      </w:r>
      <w:proofErr w:type="spellEnd"/>
      <w:r w:rsidRPr="003124CB">
        <w:rPr>
          <w:rFonts w:ascii="Times New Roman" w:eastAsia="Times New Roman" w:hAnsi="Times New Roman"/>
        </w:rPr>
        <w:t xml:space="preserve">), dujų kaupimasis žarnyne (dažnas vartojant kartu su metforminu arba pioglitazonu), vidurių užkietėjimas (dažnas kartu vartojant </w:t>
      </w:r>
      <w:proofErr w:type="spellStart"/>
      <w:r w:rsidRPr="003124CB">
        <w:rPr>
          <w:rFonts w:ascii="Times New Roman" w:eastAsia="Times New Roman" w:hAnsi="Times New Roman"/>
        </w:rPr>
        <w:t>sulfonilkarbamid</w:t>
      </w:r>
      <w:r w:rsidR="003377C4">
        <w:rPr>
          <w:rFonts w:ascii="Times New Roman" w:eastAsia="Times New Roman" w:hAnsi="Times New Roman"/>
        </w:rPr>
        <w:t>o</w:t>
      </w:r>
      <w:proofErr w:type="spellEnd"/>
      <w:r w:rsidRPr="003124CB">
        <w:rPr>
          <w:rFonts w:ascii="Times New Roman" w:eastAsia="Times New Roman" w:hAnsi="Times New Roman"/>
        </w:rPr>
        <w:t xml:space="preserve"> ir </w:t>
      </w:r>
      <w:proofErr w:type="spellStart"/>
      <w:r w:rsidRPr="003124CB">
        <w:rPr>
          <w:rFonts w:ascii="Times New Roman" w:eastAsia="Times New Roman" w:hAnsi="Times New Roman"/>
        </w:rPr>
        <w:t>metformin</w:t>
      </w:r>
      <w:r w:rsidR="003377C4">
        <w:rPr>
          <w:rFonts w:ascii="Times New Roman" w:eastAsia="Times New Roman" w:hAnsi="Times New Roman"/>
        </w:rPr>
        <w:t>o</w:t>
      </w:r>
      <w:proofErr w:type="spellEnd"/>
      <w:r w:rsidRPr="003124CB">
        <w:rPr>
          <w:rFonts w:ascii="Times New Roman" w:eastAsia="Times New Roman" w:hAnsi="Times New Roman"/>
        </w:rPr>
        <w:t xml:space="preserve">), periferinė edema (dažna kartu vartojant </w:t>
      </w:r>
      <w:proofErr w:type="spellStart"/>
      <w:r w:rsidRPr="003124CB">
        <w:rPr>
          <w:rFonts w:ascii="Times New Roman" w:eastAsia="Times New Roman" w:hAnsi="Times New Roman"/>
        </w:rPr>
        <w:t>pioglitazon</w:t>
      </w:r>
      <w:r w:rsidR="00B76C56">
        <w:rPr>
          <w:rFonts w:ascii="Times New Roman" w:eastAsia="Times New Roman" w:hAnsi="Times New Roman"/>
        </w:rPr>
        <w:t>o</w:t>
      </w:r>
      <w:proofErr w:type="spellEnd"/>
      <w:r w:rsidRPr="003124CB">
        <w:rPr>
          <w:rFonts w:ascii="Times New Roman" w:eastAsia="Times New Roman" w:hAnsi="Times New Roman"/>
        </w:rPr>
        <w:t xml:space="preserve"> arba </w:t>
      </w:r>
      <w:proofErr w:type="spellStart"/>
      <w:r w:rsidRPr="003124CB">
        <w:rPr>
          <w:rFonts w:ascii="Times New Roman" w:eastAsia="Times New Roman" w:hAnsi="Times New Roman"/>
        </w:rPr>
        <w:t>pioglitazono</w:t>
      </w:r>
      <w:proofErr w:type="spellEnd"/>
      <w:r w:rsidRPr="003124CB">
        <w:rPr>
          <w:rFonts w:ascii="Times New Roman" w:eastAsia="Times New Roman" w:hAnsi="Times New Roman"/>
        </w:rPr>
        <w:t xml:space="preserve"> ir </w:t>
      </w:r>
      <w:proofErr w:type="spellStart"/>
      <w:r w:rsidRPr="003124CB">
        <w:rPr>
          <w:rFonts w:ascii="Times New Roman" w:eastAsia="Times New Roman" w:hAnsi="Times New Roman"/>
        </w:rPr>
        <w:t>metformino</w:t>
      </w:r>
      <w:proofErr w:type="spellEnd"/>
      <w:r w:rsidRPr="003124CB">
        <w:rPr>
          <w:rFonts w:ascii="Times New Roman" w:eastAsia="Times New Roman" w:hAnsi="Times New Roman"/>
        </w:rPr>
        <w:t xml:space="preserve"> derinį), </w:t>
      </w:r>
      <w:r w:rsidR="00285C78">
        <w:rPr>
          <w:rFonts w:ascii="Times New Roman" w:eastAsia="Times New Roman" w:hAnsi="Times New Roman"/>
        </w:rPr>
        <w:t>mieguistumas (</w:t>
      </w:r>
      <w:proofErr w:type="spellStart"/>
      <w:r w:rsidRPr="003124CB">
        <w:rPr>
          <w:rFonts w:ascii="Times New Roman" w:eastAsia="Times New Roman" w:hAnsi="Times New Roman"/>
        </w:rPr>
        <w:t>somnolencija</w:t>
      </w:r>
      <w:proofErr w:type="spellEnd"/>
      <w:r w:rsidR="00285C78">
        <w:rPr>
          <w:rFonts w:ascii="Times New Roman" w:eastAsia="Times New Roman" w:hAnsi="Times New Roman"/>
        </w:rPr>
        <w:t>)</w:t>
      </w:r>
      <w:r w:rsidRPr="003124CB">
        <w:rPr>
          <w:rFonts w:ascii="Times New Roman" w:eastAsia="Times New Roman" w:hAnsi="Times New Roman"/>
        </w:rPr>
        <w:t xml:space="preserve"> ir viduriavimas (nedažni kartu vartojant </w:t>
      </w:r>
      <w:proofErr w:type="spellStart"/>
      <w:r w:rsidRPr="003124CB">
        <w:rPr>
          <w:rFonts w:ascii="Times New Roman" w:eastAsia="Times New Roman" w:hAnsi="Times New Roman"/>
        </w:rPr>
        <w:t>metformin</w:t>
      </w:r>
      <w:r w:rsidR="00285C78">
        <w:rPr>
          <w:rFonts w:ascii="Times New Roman" w:eastAsia="Times New Roman" w:hAnsi="Times New Roman"/>
        </w:rPr>
        <w:t>o</w:t>
      </w:r>
      <w:proofErr w:type="spellEnd"/>
      <w:r w:rsidRPr="003124CB">
        <w:rPr>
          <w:rFonts w:ascii="Times New Roman" w:eastAsia="Times New Roman" w:hAnsi="Times New Roman"/>
        </w:rPr>
        <w:t>) bei burnos džiūvimas (nedažnas kartu vartojant insulin</w:t>
      </w:r>
      <w:r w:rsidR="001D41F8">
        <w:rPr>
          <w:rFonts w:ascii="Times New Roman" w:eastAsia="Times New Roman" w:hAnsi="Times New Roman"/>
        </w:rPr>
        <w:t>o</w:t>
      </w:r>
      <w:r w:rsidRPr="003124CB">
        <w:rPr>
          <w:rFonts w:ascii="Times New Roman" w:eastAsia="Times New Roman" w:hAnsi="Times New Roman"/>
        </w:rPr>
        <w:t xml:space="preserve"> (kartu su </w:t>
      </w:r>
      <w:proofErr w:type="spellStart"/>
      <w:r w:rsidRPr="003124CB">
        <w:rPr>
          <w:rFonts w:ascii="Times New Roman" w:eastAsia="Times New Roman" w:hAnsi="Times New Roman"/>
        </w:rPr>
        <w:t>metforminu</w:t>
      </w:r>
      <w:proofErr w:type="spellEnd"/>
      <w:r w:rsidRPr="003124CB">
        <w:rPr>
          <w:rFonts w:ascii="Times New Roman" w:eastAsia="Times New Roman" w:hAnsi="Times New Roman"/>
        </w:rPr>
        <w:t xml:space="preserve"> arba be jo)).</w:t>
      </w:r>
    </w:p>
    <w:p w14:paraId="2AB2EC1F"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2D192C57" w14:textId="77777777" w:rsidR="003124CB" w:rsidRPr="003124CB" w:rsidRDefault="003124CB" w:rsidP="003124CB">
      <w:pPr>
        <w:widowControl w:val="0"/>
        <w:autoSpaceDE w:val="0"/>
        <w:autoSpaceDN w:val="0"/>
        <w:adjustRightInd w:val="0"/>
        <w:spacing w:after="0" w:line="240" w:lineRule="auto"/>
        <w:rPr>
          <w:rFonts w:ascii="Times New Roman" w:eastAsia="TimesNewRoman,Italic" w:hAnsi="Times New Roman"/>
          <w:i/>
          <w:iCs/>
        </w:rPr>
      </w:pPr>
      <w:r w:rsidRPr="003124CB">
        <w:rPr>
          <w:rFonts w:ascii="Times New Roman" w:eastAsia="TimesNewRoman,Italic" w:hAnsi="Times New Roman"/>
          <w:i/>
          <w:iCs/>
        </w:rPr>
        <w:t>TECOS kardiovaskulinio saugumo tyrimas</w:t>
      </w:r>
    </w:p>
    <w:p w14:paraId="39C6DF98" w14:textId="4F7074F8" w:rsidR="003124CB" w:rsidRPr="003124CB" w:rsidRDefault="003124CB" w:rsidP="003124CB">
      <w:pPr>
        <w:widowControl w:val="0"/>
        <w:autoSpaceDE w:val="0"/>
        <w:autoSpaceDN w:val="0"/>
        <w:adjustRightInd w:val="0"/>
        <w:spacing w:after="0" w:line="240" w:lineRule="auto"/>
        <w:rPr>
          <w:rFonts w:ascii="Times New Roman" w:eastAsia="TimesNewRoman,Italic" w:hAnsi="Times New Roman"/>
        </w:rPr>
      </w:pPr>
      <w:r w:rsidRPr="003124CB">
        <w:rPr>
          <w:rFonts w:ascii="Times New Roman" w:eastAsia="TimesNewRoman,Italic" w:hAnsi="Times New Roman"/>
        </w:rPr>
        <w:t xml:space="preserve">Į kardiovaskulinių baigčių vartojant sitagliptino vertinimo tyrimo (angl. </w:t>
      </w:r>
      <w:r w:rsidRPr="003124CB">
        <w:rPr>
          <w:rFonts w:ascii="Times New Roman" w:eastAsia="TimesNewRoman,Italic" w:hAnsi="Times New Roman"/>
          <w:i/>
          <w:iCs/>
        </w:rPr>
        <w:t xml:space="preserve">Trial Evaluating Cardiovascular Outcomes with Sitagliptin, </w:t>
      </w:r>
      <w:r w:rsidRPr="003124CB">
        <w:rPr>
          <w:rFonts w:ascii="Times New Roman" w:eastAsia="TimesNewRoman,Italic" w:hAnsi="Times New Roman"/>
        </w:rPr>
        <w:t xml:space="preserve">TECOS) ketinimo gydyti (angl. </w:t>
      </w:r>
      <w:r w:rsidRPr="003124CB">
        <w:rPr>
          <w:rFonts w:ascii="Times New Roman" w:eastAsia="TimesNewRoman,Italic" w:hAnsi="Times New Roman"/>
          <w:i/>
          <w:iCs/>
        </w:rPr>
        <w:t>intention-to-treat</w:t>
      </w:r>
      <w:r w:rsidRPr="003124CB">
        <w:rPr>
          <w:rFonts w:ascii="Times New Roman" w:eastAsia="TimesNewRoman,Italic" w:hAnsi="Times New Roman"/>
        </w:rPr>
        <w:t>) populiaciją įtraukti 7 332 pacientai buvo gydyti sitagliptino 100 mg paros doze (arba 50 mg paros doze, jeigu pradinis aGFG buvo ≥ 30 ir &lt; 50 ml/min./1,73 m</w:t>
      </w:r>
      <w:r w:rsidRPr="003124CB">
        <w:rPr>
          <w:rFonts w:ascii="Times New Roman" w:eastAsia="TimesNewRoman,Italic" w:hAnsi="Times New Roman"/>
          <w:vertAlign w:val="superscript"/>
        </w:rPr>
        <w:t>2</w:t>
      </w:r>
      <w:r w:rsidRPr="003124CB">
        <w:rPr>
          <w:rFonts w:ascii="Times New Roman" w:eastAsia="TimesNewRoman,Italic" w:hAnsi="Times New Roman"/>
        </w:rPr>
        <w:t xml:space="preserve">), o 7 339 pacientai vartojo placebo. Ir </w:t>
      </w:r>
      <w:proofErr w:type="spellStart"/>
      <w:r w:rsidRPr="003124CB">
        <w:rPr>
          <w:rFonts w:ascii="Times New Roman" w:eastAsia="TimesNewRoman,Italic" w:hAnsi="Times New Roman"/>
        </w:rPr>
        <w:t>sitgaliptin</w:t>
      </w:r>
      <w:r w:rsidR="005B1BC0">
        <w:rPr>
          <w:rFonts w:ascii="Times New Roman" w:eastAsia="TimesNewRoman,Italic" w:hAnsi="Times New Roman"/>
        </w:rPr>
        <w:t>o</w:t>
      </w:r>
      <w:proofErr w:type="spellEnd"/>
      <w:r w:rsidRPr="003124CB">
        <w:rPr>
          <w:rFonts w:ascii="Times New Roman" w:eastAsia="TimesNewRoman,Italic" w:hAnsi="Times New Roman"/>
        </w:rPr>
        <w:t xml:space="preserve">, ir </w:t>
      </w:r>
      <w:proofErr w:type="spellStart"/>
      <w:r w:rsidRPr="003124CB">
        <w:rPr>
          <w:rFonts w:ascii="Times New Roman" w:eastAsia="TimesNewRoman,Italic" w:hAnsi="Times New Roman"/>
        </w:rPr>
        <w:t>placeb</w:t>
      </w:r>
      <w:r w:rsidR="005B1BC0">
        <w:rPr>
          <w:rFonts w:ascii="Times New Roman" w:eastAsia="TimesNewRoman,Italic" w:hAnsi="Times New Roman"/>
        </w:rPr>
        <w:t>o</w:t>
      </w:r>
      <w:proofErr w:type="spellEnd"/>
      <w:r w:rsidRPr="003124CB">
        <w:rPr>
          <w:rFonts w:ascii="Times New Roman" w:eastAsia="TimesNewRoman,Italic" w:hAnsi="Times New Roman"/>
        </w:rPr>
        <w:t xml:space="preserve"> buvo skirti jais papildant įprastinį gydymą, taikytą pagal regioninius HbA</w:t>
      </w:r>
      <w:r w:rsidRPr="003124CB">
        <w:rPr>
          <w:rFonts w:ascii="Times New Roman" w:eastAsia="TimesNewRoman,Italic" w:hAnsi="Times New Roman"/>
          <w:vertAlign w:val="subscript"/>
        </w:rPr>
        <w:t>1c</w:t>
      </w:r>
      <w:r w:rsidRPr="003124CB">
        <w:rPr>
          <w:rFonts w:ascii="Times New Roman" w:eastAsia="TimesNewRoman,Italic" w:hAnsi="Times New Roman"/>
        </w:rPr>
        <w:t xml:space="preserve"> ir kardiovaskulinių (KV) ligų rizikos veiksnių kontrolės standartus. Bendrasis sunkių nepageidaujamų reiškinių dažnis sitagliptino ir placebo vartojusiems pacientams buvo panašus.</w:t>
      </w:r>
    </w:p>
    <w:p w14:paraId="1D7CA9D4" w14:textId="77777777" w:rsidR="003124CB" w:rsidRPr="003124CB" w:rsidRDefault="003124CB" w:rsidP="003124CB">
      <w:pPr>
        <w:widowControl w:val="0"/>
        <w:autoSpaceDE w:val="0"/>
        <w:autoSpaceDN w:val="0"/>
        <w:adjustRightInd w:val="0"/>
        <w:spacing w:after="0" w:line="240" w:lineRule="auto"/>
        <w:rPr>
          <w:rFonts w:ascii="Times New Roman" w:eastAsia="TimesNewRoman,Italic" w:hAnsi="Times New Roman"/>
        </w:rPr>
      </w:pPr>
    </w:p>
    <w:p w14:paraId="528BFB2A" w14:textId="59133520" w:rsidR="003124CB" w:rsidRPr="003124CB" w:rsidRDefault="003124CB" w:rsidP="003124CB">
      <w:pPr>
        <w:widowControl w:val="0"/>
        <w:autoSpaceDE w:val="0"/>
        <w:autoSpaceDN w:val="0"/>
        <w:adjustRightInd w:val="0"/>
        <w:spacing w:after="0" w:line="240" w:lineRule="auto"/>
        <w:rPr>
          <w:rFonts w:ascii="Times New Roman" w:eastAsia="TimesNewRoman,Italic" w:hAnsi="Times New Roman"/>
        </w:rPr>
      </w:pPr>
      <w:r w:rsidRPr="003124CB">
        <w:rPr>
          <w:rFonts w:ascii="Times New Roman" w:eastAsia="TimesNewRoman,Italic" w:hAnsi="Times New Roman"/>
        </w:rPr>
        <w:t>Ketinimo gydyti populiacijoje tarp pacientų, kurie prieš pradedant tyrimą jau vartojo insulin</w:t>
      </w:r>
      <w:r w:rsidR="00653C38">
        <w:rPr>
          <w:rFonts w:ascii="Times New Roman" w:eastAsia="TimesNewRoman,Italic" w:hAnsi="Times New Roman"/>
        </w:rPr>
        <w:t>o</w:t>
      </w:r>
      <w:r w:rsidRPr="003124CB">
        <w:rPr>
          <w:rFonts w:ascii="Times New Roman" w:eastAsia="TimesNewRoman,Italic" w:hAnsi="Times New Roman"/>
        </w:rPr>
        <w:t xml:space="preserve"> ir (arba) </w:t>
      </w:r>
      <w:proofErr w:type="spellStart"/>
      <w:r w:rsidRPr="003124CB">
        <w:rPr>
          <w:rFonts w:ascii="Times New Roman" w:eastAsia="TimesNewRoman,Italic" w:hAnsi="Times New Roman"/>
        </w:rPr>
        <w:t>sulfonilkarbamid</w:t>
      </w:r>
      <w:r w:rsidR="00653C38">
        <w:rPr>
          <w:rFonts w:ascii="Times New Roman" w:eastAsia="TimesNewRoman,Italic" w:hAnsi="Times New Roman"/>
        </w:rPr>
        <w:t>o</w:t>
      </w:r>
      <w:proofErr w:type="spellEnd"/>
      <w:r w:rsidRPr="003124CB">
        <w:rPr>
          <w:rFonts w:ascii="Times New Roman" w:eastAsia="TimesNewRoman,Italic" w:hAnsi="Times New Roman"/>
        </w:rPr>
        <w:t>, sunkios hipoglikemijos dažnis sitagliptinu gydytų pacientų grupėje buvo 2,7 %, o placebo vartojusiųjų grupėje – 2,5 %. Tarp pacientų, kurie prieš pradedant tyrimą nevartojo insulino ir (arba) sulfonilkarbamido, sunkios hipoglikemijos dažnis sitagliptinu gydytų pacientų grupėje buvo 1,0 %, o placebo vartojusiųjų grupėje – 0,7 %. Patvirtinto pankreatito reiškinių dažnis sitagliptinu gydytų pacientų grupėje buvo 0,3 %, o placebo vartojusiųjų grupėje – 0,2 %.</w:t>
      </w:r>
    </w:p>
    <w:p w14:paraId="5F2F493B"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34194782"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r w:rsidRPr="003124CB">
        <w:rPr>
          <w:rFonts w:ascii="Times New Roman" w:eastAsia="Times New Roman" w:hAnsi="Times New Roman"/>
          <w:iCs/>
          <w:u w:val="single"/>
        </w:rPr>
        <w:t>Vaikų populiacija</w:t>
      </w:r>
    </w:p>
    <w:p w14:paraId="48D90F5B" w14:textId="77777777" w:rsidR="003124CB" w:rsidRPr="003124CB" w:rsidRDefault="003124CB" w:rsidP="003124CB">
      <w:pPr>
        <w:widowControl w:val="0"/>
        <w:tabs>
          <w:tab w:val="left" w:pos="567"/>
        </w:tabs>
        <w:spacing w:after="0" w:line="240" w:lineRule="auto"/>
        <w:rPr>
          <w:rFonts w:ascii="Times New Roman" w:eastAsia="Times New Roman" w:hAnsi="Times New Roman"/>
          <w:iCs/>
          <w:u w:val="single"/>
        </w:rPr>
      </w:pPr>
    </w:p>
    <w:p w14:paraId="4A2EFAB0"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Dapagliflozino saugumo savybės, nustatytos 10 metų ir vyresnių vaikų, sergančių 2 tipo cukriniu diabetu, klinikinio tyrimo metu (žr. 5.1 skyrių), buvo panašios į nustatytas suaugusiųjų tyrimo metu.</w:t>
      </w:r>
    </w:p>
    <w:p w14:paraId="0754099B"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p>
    <w:p w14:paraId="3E0146B7"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snapToGrid w:val="0"/>
          <w:szCs w:val="20"/>
        </w:rPr>
      </w:pPr>
      <w:r w:rsidRPr="003124CB">
        <w:rPr>
          <w:rFonts w:ascii="Times New Roman" w:eastAsia="Times New Roman" w:hAnsi="Times New Roman"/>
          <w:snapToGrid w:val="0"/>
          <w:szCs w:val="20"/>
        </w:rPr>
        <w:t>Sitagliptino klinikinių tyrimų su 2 tipo cukriniu diabetu sergančiais vaikais nuo 10 iki 17 metų duomenimis, nepageidaujamų reakcijų savybės buvo panašios į nustatytas suaugusiesiems.</w:t>
      </w:r>
    </w:p>
    <w:p w14:paraId="5202B84A" w14:textId="77777777" w:rsidR="003124CB" w:rsidRPr="003124CB" w:rsidRDefault="003124CB" w:rsidP="003124CB">
      <w:pPr>
        <w:widowControl w:val="0"/>
        <w:tabs>
          <w:tab w:val="left" w:pos="567"/>
        </w:tabs>
        <w:spacing w:after="0" w:line="260" w:lineRule="exact"/>
        <w:jc w:val="both"/>
        <w:rPr>
          <w:rFonts w:ascii="Times New Roman" w:eastAsia="Times New Roman" w:hAnsi="Times New Roman"/>
          <w:bCs/>
        </w:rPr>
      </w:pPr>
    </w:p>
    <w:p w14:paraId="4D64D89B" w14:textId="77777777" w:rsidR="003124CB" w:rsidRPr="003124CB" w:rsidRDefault="003124CB" w:rsidP="003124CB">
      <w:pPr>
        <w:widowControl w:val="0"/>
        <w:tabs>
          <w:tab w:val="left" w:pos="567"/>
        </w:tabs>
        <w:spacing w:after="0" w:line="260" w:lineRule="exact"/>
        <w:jc w:val="both"/>
        <w:rPr>
          <w:rFonts w:ascii="Times New Roman" w:eastAsia="Times New Roman" w:hAnsi="Times New Roman"/>
          <w:u w:val="single"/>
        </w:rPr>
      </w:pPr>
      <w:r w:rsidRPr="003124CB">
        <w:rPr>
          <w:rFonts w:ascii="Times New Roman" w:eastAsia="Times New Roman" w:hAnsi="Times New Roman"/>
          <w:u w:val="single"/>
        </w:rPr>
        <w:t>Pranešimas apie įtariamas nepageidaujamas reakcijas</w:t>
      </w:r>
    </w:p>
    <w:p w14:paraId="30D69777" w14:textId="77777777" w:rsidR="003124CB" w:rsidRPr="003124CB" w:rsidRDefault="003124CB" w:rsidP="003124CB">
      <w:pPr>
        <w:widowControl w:val="0"/>
        <w:tabs>
          <w:tab w:val="left" w:pos="567"/>
        </w:tabs>
        <w:spacing w:after="0" w:line="260" w:lineRule="exact"/>
        <w:jc w:val="both"/>
        <w:rPr>
          <w:rFonts w:ascii="Times New Roman" w:eastAsia="Times New Roman" w:hAnsi="Times New Roman"/>
          <w:szCs w:val="24"/>
        </w:rPr>
      </w:pPr>
      <w:r w:rsidRPr="003124CB">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124CB">
        <w:rPr>
          <w:rFonts w:ascii="Times New Roman" w:eastAsia="Times New Roman" w:hAnsi="Times New Roman"/>
          <w:u w:val="single"/>
        </w:rPr>
        <w:t>https://vvkt.lrv.lt/lt/</w:t>
      </w:r>
      <w:r w:rsidRPr="003124CB">
        <w:rPr>
          <w:rFonts w:ascii="Times New Roman" w:eastAsia="Times New Roman" w:hAnsi="Times New Roman"/>
        </w:rPr>
        <w:t xml:space="preserve"> nurodytais būdais.</w:t>
      </w:r>
    </w:p>
    <w:p w14:paraId="337D6BF3"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bCs/>
          <w:u w:val="single"/>
        </w:rPr>
      </w:pPr>
    </w:p>
    <w:p w14:paraId="6DA31A33"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4.9</w:t>
      </w:r>
      <w:r w:rsidRPr="003124CB">
        <w:rPr>
          <w:rFonts w:ascii="Times New Roman" w:eastAsia="Times New Roman" w:hAnsi="Times New Roman"/>
          <w:b/>
          <w:kern w:val="28"/>
        </w:rPr>
        <w:tab/>
        <w:t>Perdozavimas</w:t>
      </w:r>
    </w:p>
    <w:p w14:paraId="2530F6F6" w14:textId="77777777" w:rsidR="003124CB" w:rsidRPr="003124CB" w:rsidRDefault="003124CB" w:rsidP="003124CB">
      <w:pPr>
        <w:widowControl w:val="0"/>
        <w:tabs>
          <w:tab w:val="left" w:pos="540"/>
        </w:tabs>
        <w:autoSpaceDE w:val="0"/>
        <w:autoSpaceDN w:val="0"/>
        <w:adjustRightInd w:val="0"/>
        <w:spacing w:after="0" w:line="240" w:lineRule="auto"/>
        <w:rPr>
          <w:rFonts w:ascii="Times New Roman" w:eastAsia="Times New Roman" w:hAnsi="Times New Roman"/>
          <w:u w:val="single"/>
          <w:lang w:eastAsia="sl-SI"/>
        </w:rPr>
      </w:pPr>
    </w:p>
    <w:p w14:paraId="627F0C83"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Informacijos apie sitagliptino ir dapagliflozino fiksuotos dozės derinio perdozavimą nėra. Perdozavimo atveju reikia pradėti tinkamą palaikomąjį gydymą, atsižvelgiant į paciento klinikinę būklę.</w:t>
      </w:r>
    </w:p>
    <w:p w14:paraId="3F0FF2EE"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61E7592B" w14:textId="77777777" w:rsidR="003124CB" w:rsidRPr="003124CB" w:rsidRDefault="003124CB" w:rsidP="003124CB">
      <w:pPr>
        <w:widowControl w:val="0"/>
        <w:tabs>
          <w:tab w:val="left" w:pos="567"/>
        </w:tabs>
        <w:spacing w:after="0" w:line="240" w:lineRule="auto"/>
        <w:rPr>
          <w:rFonts w:ascii="Times New Roman" w:eastAsia="Times New Roman" w:hAnsi="Times New Roman"/>
          <w:i/>
          <w:iCs/>
          <w:u w:val="single"/>
        </w:rPr>
      </w:pPr>
      <w:r w:rsidRPr="003124CB">
        <w:rPr>
          <w:rFonts w:ascii="Times New Roman" w:eastAsia="Times New Roman" w:hAnsi="Times New Roman"/>
          <w:i/>
          <w:iCs/>
          <w:u w:val="single"/>
        </w:rPr>
        <w:t>Dapagliflozinas</w:t>
      </w:r>
    </w:p>
    <w:p w14:paraId="0354B61E" w14:textId="77777777" w:rsidR="003124CB" w:rsidRPr="003124CB" w:rsidRDefault="003124CB" w:rsidP="003124CB">
      <w:pPr>
        <w:widowControl w:val="0"/>
        <w:tabs>
          <w:tab w:val="left" w:pos="567"/>
        </w:tabs>
        <w:spacing w:after="0" w:line="240" w:lineRule="auto"/>
        <w:rPr>
          <w:rFonts w:ascii="Times New Roman" w:eastAsia="Times New Roman" w:hAnsi="Times New Roman"/>
          <w:i/>
          <w:iCs/>
          <w:u w:val="single"/>
        </w:rPr>
      </w:pPr>
    </w:p>
    <w:p w14:paraId="63DB5B29" w14:textId="42586F0C"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Vienkartinės per burną pavartotos iki 500 mg dapagliflozino dozės (50 kartų didesnės už didžiausią žmogui rekomenduojamą dozę) toksinio poveikio sveikiems asmenims nesukėlė. Per su doze susijusį laikotarpį (bent 5 dienas pavartojus 500 mg dozę) šių asmenų šlapime buvo randama gliukozės, pranešimų apie dehidrataciją, hipotenziją ar sutrikusią elektrolitų pusiausvyrą negauta, kliniškai reikšmingo poveikio koreguotam QTc intervalui nebuvo. Hipoglikemijos pasireiškimo dažnis buvo panašus kaip vartojant placeb</w:t>
      </w:r>
      <w:r w:rsidR="00FE27F3">
        <w:rPr>
          <w:rFonts w:ascii="Times New Roman" w:eastAsia="TimesNewRoman" w:hAnsi="Times New Roman"/>
          <w:lang w:eastAsia="lt-LT"/>
        </w:rPr>
        <w:t>o</w:t>
      </w:r>
      <w:r w:rsidRPr="003124CB">
        <w:rPr>
          <w:rFonts w:ascii="Times New Roman" w:eastAsia="TimesNewRoman" w:hAnsi="Times New Roman"/>
          <w:lang w:eastAsia="lt-LT"/>
        </w:rPr>
        <w:t xml:space="preserve">. Klinikinių tyrimų metu sveikiems ir 2 tipo cukriniu diabetu sergantiems asmenims </w:t>
      </w:r>
      <w:r w:rsidR="00D14CDC">
        <w:rPr>
          <w:rFonts w:ascii="Times New Roman" w:eastAsia="TimesNewRoman" w:hAnsi="Times New Roman"/>
          <w:lang w:eastAsia="lt-LT"/>
        </w:rPr>
        <w:t xml:space="preserve">2 savaites </w:t>
      </w:r>
      <w:r w:rsidRPr="003124CB">
        <w:rPr>
          <w:rFonts w:ascii="Times New Roman" w:eastAsia="TimesNewRoman" w:hAnsi="Times New Roman"/>
          <w:lang w:eastAsia="lt-LT"/>
        </w:rPr>
        <w:t>vartojus vienkartines iki 100 mg dozes (10 kartų didesnės už didžiausią žmogui rekomenduojamą dozę), hipoglikemijos pasireiškimo dažnis buvo šiek tiek didesnis negu vartojant placeb</w:t>
      </w:r>
      <w:r w:rsidR="00EF1C3E">
        <w:rPr>
          <w:rFonts w:ascii="Times New Roman" w:eastAsia="TimesNewRoman" w:hAnsi="Times New Roman"/>
          <w:lang w:eastAsia="lt-LT"/>
        </w:rPr>
        <w:t>o</w:t>
      </w:r>
      <w:r w:rsidRPr="003124CB">
        <w:rPr>
          <w:rFonts w:ascii="Times New Roman" w:eastAsia="TimesNewRoman" w:hAnsi="Times New Roman"/>
          <w:lang w:eastAsia="lt-LT"/>
        </w:rPr>
        <w:t xml:space="preserve"> ir nebuvo susijęs su doze. Nepageidaujamų reiškinių, įskaitant dehidrataciją ir hipotenziją, dažnis buvo panašus į nustatytą</w:t>
      </w:r>
      <w:r w:rsidRPr="003124CB">
        <w:rPr>
          <w:rFonts w:ascii="TimesNewRoman" w:eastAsia="TimesNewRoman" w:hAnsi="Times New Roman" w:cs="TimesNewRoman"/>
          <w:lang w:eastAsia="lt-LT"/>
        </w:rPr>
        <w:t xml:space="preserve"> </w:t>
      </w:r>
      <w:r w:rsidRPr="003124CB">
        <w:rPr>
          <w:rFonts w:ascii="Times New Roman" w:eastAsia="TimesNewRoman" w:hAnsi="Times New Roman"/>
          <w:lang w:eastAsia="lt-LT"/>
        </w:rPr>
        <w:t>vartojant placeb</w:t>
      </w:r>
      <w:r w:rsidR="00FE6942">
        <w:rPr>
          <w:rFonts w:ascii="Times New Roman" w:eastAsia="TimesNewRoman" w:hAnsi="Times New Roman"/>
          <w:lang w:eastAsia="lt-LT"/>
        </w:rPr>
        <w:t>o</w:t>
      </w:r>
      <w:r w:rsidRPr="003124CB">
        <w:rPr>
          <w:rFonts w:ascii="Times New Roman" w:eastAsia="TimesNewRoman" w:hAnsi="Times New Roman"/>
          <w:lang w:eastAsia="lt-LT"/>
        </w:rPr>
        <w:t>, kliniškai reikšmingų su doze susijusių laboratorinių rodmenų (elektrolitų koncentracijos kraujo serume ir biologinių inkstų funkcijos žymenų) pokyčių nebuvo.</w:t>
      </w:r>
    </w:p>
    <w:p w14:paraId="714531EC"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06992F8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Perdozavus reikia pradėti atitinkamą palaikomąjį gydymą, atsižvelgiant į paciento klinikinę būklę. Dapagliflozino šalinimas hemodialize nebuvo tirtas.</w:t>
      </w:r>
    </w:p>
    <w:p w14:paraId="3DC062F9"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p>
    <w:p w14:paraId="18A1AEA5" w14:textId="77777777" w:rsidR="003124CB" w:rsidRPr="003124CB" w:rsidRDefault="003124CB" w:rsidP="003124CB">
      <w:pPr>
        <w:widowControl w:val="0"/>
        <w:tabs>
          <w:tab w:val="left" w:pos="567"/>
        </w:tabs>
        <w:spacing w:after="0" w:line="240" w:lineRule="auto"/>
        <w:rPr>
          <w:rFonts w:ascii="Times New Roman" w:eastAsia="Times New Roman" w:hAnsi="Times New Roman"/>
          <w:i/>
          <w:iCs/>
          <w:u w:val="single"/>
        </w:rPr>
      </w:pPr>
      <w:r w:rsidRPr="003124CB">
        <w:rPr>
          <w:rFonts w:ascii="Times New Roman" w:eastAsia="Times New Roman" w:hAnsi="Times New Roman"/>
          <w:i/>
          <w:iCs/>
          <w:u w:val="single"/>
        </w:rPr>
        <w:t>Sitagliptinas</w:t>
      </w:r>
    </w:p>
    <w:p w14:paraId="0DB5AEA9"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p>
    <w:p w14:paraId="0DFA3E2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r w:rsidRPr="003124CB">
        <w:rPr>
          <w:rFonts w:ascii="Times New Roman" w:eastAsia="Times New Roman" w:hAnsi="Times New Roman"/>
        </w:rPr>
        <w:t>Kontroliuotų klinikinių tyrimų su sveikais asmenimis metu buvo skiriamos ne didesnės kaip 800 mg vienkartinės sitagliptino dozės. Vieno tyrimo metu 800 mg sitagliptino dozė minimaliai pailgino QT intervalą, tačiau pailgėjimas nelaikytas kliniškai reikšmingu. Didesnės kaip 800 mg dozės vartojimo patirties klinikinių tyrimų metu nėra. I fazės kartotinių dozių tyrimų metu vartojant ne didesnes kaip 600 mg sitagliptino paros dozes iki 10 dienų ir 400 mg paros dozes iki 28 dienų, su doze susijusių klinikinių nepageidaujamų reakcijų nenustatyta.</w:t>
      </w:r>
    </w:p>
    <w:p w14:paraId="542EE67C"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p>
    <w:p w14:paraId="264D031B"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r w:rsidRPr="003124CB">
        <w:rPr>
          <w:rFonts w:ascii="Times New Roman" w:eastAsia="Times New Roman" w:hAnsi="Times New Roman"/>
        </w:rPr>
        <w:t>Perdozavimo atveju reikia taikyti įprastas palaikomąsias priemones, pvz., šalinti neabsorbuotą vaistinį preparatą iš virškinimo trakto, stebėti klinikinę būklę (įskaitant elektrokardiogramos užrašymą) ir, jei reikia, skirti palaikomąjį gydymą.</w:t>
      </w:r>
    </w:p>
    <w:p w14:paraId="737CF76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szCs w:val="24"/>
        </w:rPr>
      </w:pPr>
    </w:p>
    <w:p w14:paraId="1C2C0708" w14:textId="01D2F4C0"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r w:rsidRPr="003124CB">
        <w:rPr>
          <w:rFonts w:ascii="Times New Roman" w:eastAsia="Times New Roman" w:hAnsi="Times New Roman"/>
        </w:rPr>
        <w:t>Dialize sitagliptino iš organizmo pašalinama nedaug. Klinikinių tyrimų metu vienos 3</w:t>
      </w:r>
      <w:r w:rsidRPr="003124CB">
        <w:rPr>
          <w:rFonts w:ascii="Times New Roman" w:eastAsia="Times New Roman" w:hAnsi="Times New Roman"/>
        </w:rPr>
        <w:noBreakHyphen/>
        <w:t xml:space="preserve">4 valandų trukmės hemodializės metu buvo pašalinta maždaug 13,5 % dozės. Jeigu yra klinikinių indikacijų, galima svarstyti ilgesnės trukmės hemodializės taikymą. Ar sitagliptino galima pašalinti iš organizmo </w:t>
      </w:r>
      <w:proofErr w:type="spellStart"/>
      <w:r w:rsidRPr="003124CB">
        <w:rPr>
          <w:rFonts w:ascii="Times New Roman" w:eastAsia="Times New Roman" w:hAnsi="Times New Roman"/>
        </w:rPr>
        <w:t>per</w:t>
      </w:r>
      <w:r w:rsidR="00F951A7">
        <w:rPr>
          <w:rFonts w:ascii="Times New Roman" w:eastAsia="Times New Roman" w:hAnsi="Times New Roman"/>
        </w:rPr>
        <w:t>i</w:t>
      </w:r>
      <w:r w:rsidRPr="003124CB">
        <w:rPr>
          <w:rFonts w:ascii="Times New Roman" w:eastAsia="Times New Roman" w:hAnsi="Times New Roman"/>
        </w:rPr>
        <w:t>tonine</w:t>
      </w:r>
      <w:proofErr w:type="spellEnd"/>
      <w:r w:rsidRPr="003124CB">
        <w:rPr>
          <w:rFonts w:ascii="Times New Roman" w:eastAsia="Times New Roman" w:hAnsi="Times New Roman"/>
        </w:rPr>
        <w:t xml:space="preserve"> dialize, nežinoma.</w:t>
      </w:r>
    </w:p>
    <w:p w14:paraId="601684DD"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5AF3ECA6"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5ACA7864" w14:textId="77777777" w:rsidR="003124CB" w:rsidRPr="003124CB" w:rsidRDefault="003124CB" w:rsidP="003124CB">
      <w:pPr>
        <w:widowControl w:val="0"/>
        <w:tabs>
          <w:tab w:val="left" w:pos="567"/>
        </w:tabs>
        <w:spacing w:after="0" w:line="240" w:lineRule="auto"/>
        <w:ind w:left="567" w:hanging="567"/>
        <w:outlineLvl w:val="1"/>
        <w:rPr>
          <w:rFonts w:ascii="Times New Roman" w:eastAsia="Times New Roman" w:hAnsi="Times New Roman"/>
          <w:b/>
        </w:rPr>
      </w:pPr>
      <w:r w:rsidRPr="003124CB">
        <w:rPr>
          <w:rFonts w:ascii="Times New Roman" w:eastAsia="Times New Roman" w:hAnsi="Times New Roman"/>
          <w:b/>
        </w:rPr>
        <w:t>5.</w:t>
      </w:r>
      <w:r w:rsidRPr="003124CB">
        <w:rPr>
          <w:rFonts w:ascii="Times New Roman" w:eastAsia="Times New Roman" w:hAnsi="Times New Roman"/>
          <w:b/>
        </w:rPr>
        <w:tab/>
        <w:t>FARMAKOLOGINĖS SAVYBĖS</w:t>
      </w:r>
    </w:p>
    <w:p w14:paraId="2479773C"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62E009A5"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5.1</w:t>
      </w:r>
      <w:r w:rsidRPr="003124CB">
        <w:rPr>
          <w:rFonts w:ascii="Times New Roman" w:eastAsia="Times New Roman" w:hAnsi="Times New Roman"/>
          <w:b/>
          <w:kern w:val="28"/>
        </w:rPr>
        <w:tab/>
        <w:t>Farmakodinaminės savybės</w:t>
      </w:r>
    </w:p>
    <w:p w14:paraId="47DED868" w14:textId="77777777" w:rsidR="003124CB" w:rsidRPr="003124CB" w:rsidRDefault="003124CB" w:rsidP="003124CB">
      <w:pPr>
        <w:widowControl w:val="0"/>
        <w:spacing w:after="0" w:line="240" w:lineRule="auto"/>
        <w:ind w:left="567" w:hanging="567"/>
        <w:rPr>
          <w:rFonts w:ascii="Times New Roman" w:eastAsia="Times New Roman" w:hAnsi="Times New Roman"/>
        </w:rPr>
      </w:pPr>
    </w:p>
    <w:p w14:paraId="4B20E2F9" w14:textId="55A905C9"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proofErr w:type="spellStart"/>
      <w:r w:rsidRPr="003124CB">
        <w:rPr>
          <w:rFonts w:ascii="Times New Roman" w:eastAsia="Times New Roman" w:hAnsi="Times New Roman"/>
        </w:rPr>
        <w:t>Farmakoterapinė</w:t>
      </w:r>
      <w:proofErr w:type="spellEnd"/>
      <w:r w:rsidRPr="003124CB">
        <w:rPr>
          <w:rFonts w:ascii="Times New Roman" w:eastAsia="Times New Roman" w:hAnsi="Times New Roman"/>
        </w:rPr>
        <w:t xml:space="preserve"> grupė </w:t>
      </w:r>
      <w:bookmarkStart w:id="2" w:name="_Hlk176620782"/>
      <w:r w:rsidRPr="003124CB">
        <w:rPr>
          <w:rFonts w:ascii="Times New Roman" w:eastAsia="Times New Roman" w:hAnsi="Times New Roman"/>
        </w:rPr>
        <w:t>–</w:t>
      </w:r>
      <w:bookmarkEnd w:id="2"/>
      <w:r w:rsidRPr="003124CB">
        <w:rPr>
          <w:rFonts w:ascii="Times New Roman" w:eastAsia="Times New Roman" w:hAnsi="Times New Roman"/>
        </w:rPr>
        <w:t xml:space="preserve"> </w:t>
      </w:r>
      <w:r w:rsidR="001D2CA5">
        <w:rPr>
          <w:rFonts w:ascii="Times New Roman" w:eastAsia="Times New Roman" w:hAnsi="Times New Roman"/>
        </w:rPr>
        <w:t xml:space="preserve">vaistiniai preparatai, skiriami </w:t>
      </w:r>
      <w:r w:rsidRPr="003124CB">
        <w:rPr>
          <w:rFonts w:ascii="Times New Roman" w:eastAsia="Times New Roman" w:hAnsi="Times New Roman"/>
        </w:rPr>
        <w:t>cukriniam diabetui gydyti, geriamųjų gliukozės koncentraciją kraujyje mažinančių vaistinių preparatų deriniai, ATC kodas – A10BD29.</w:t>
      </w:r>
    </w:p>
    <w:p w14:paraId="47B05874" w14:textId="77777777" w:rsidR="003124CB" w:rsidRPr="003124CB" w:rsidRDefault="003124CB" w:rsidP="003124CB">
      <w:pPr>
        <w:widowControl w:val="0"/>
        <w:spacing w:after="0" w:line="240" w:lineRule="auto"/>
        <w:rPr>
          <w:rFonts w:ascii="Times New Roman" w:eastAsia="Times New Roman" w:hAnsi="Times New Roman"/>
        </w:rPr>
      </w:pPr>
    </w:p>
    <w:p w14:paraId="533E267E"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u w:val="single"/>
        </w:rPr>
      </w:pPr>
      <w:r w:rsidRPr="003124CB">
        <w:rPr>
          <w:rFonts w:ascii="Times New Roman" w:eastAsia="Times New Roman" w:hAnsi="Times New Roman"/>
          <w:u w:val="single"/>
        </w:rPr>
        <w:t>Veikimo mechanizmas</w:t>
      </w:r>
    </w:p>
    <w:p w14:paraId="12578D23"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u w:val="single"/>
        </w:rPr>
      </w:pPr>
    </w:p>
    <w:p w14:paraId="43CE37A1"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i/>
          <w:iCs/>
          <w:color w:val="000000"/>
          <w:u w:val="single"/>
          <w:lang w:eastAsia="sl-SI"/>
        </w:rPr>
      </w:pPr>
      <w:r w:rsidRPr="003124CB">
        <w:rPr>
          <w:rFonts w:ascii="Times New Roman" w:eastAsia="Times New Roman" w:hAnsi="Times New Roman"/>
          <w:i/>
          <w:iCs/>
          <w:color w:val="000000"/>
          <w:u w:val="single"/>
          <w:lang w:eastAsia="sl-SI"/>
        </w:rPr>
        <w:t>Dapagliflozinas</w:t>
      </w:r>
    </w:p>
    <w:p w14:paraId="5938F301"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78CF4D32" w14:textId="504FD579"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yra labai stiprus (</w:t>
      </w:r>
      <w:proofErr w:type="spellStart"/>
      <w:r w:rsidRPr="003124CB">
        <w:rPr>
          <w:rFonts w:ascii="Times New Roman" w:eastAsia="TimesNewRoman" w:hAnsi="Times New Roman"/>
          <w:lang w:eastAsia="lt-LT"/>
        </w:rPr>
        <w:t>K</w:t>
      </w:r>
      <w:r w:rsidRPr="003124CB">
        <w:rPr>
          <w:rFonts w:ascii="Times New Roman" w:eastAsia="TimesNewRoman" w:hAnsi="Times New Roman"/>
          <w:sz w:val="14"/>
          <w:szCs w:val="14"/>
          <w:lang w:eastAsia="lt-LT"/>
        </w:rPr>
        <w:t>i</w:t>
      </w:r>
      <w:proofErr w:type="spellEnd"/>
      <w:r w:rsidRPr="003124CB">
        <w:rPr>
          <w:rFonts w:ascii="Times New Roman" w:eastAsia="TimesNewRoman" w:hAnsi="Times New Roman"/>
          <w:lang w:eastAsia="lt-LT"/>
        </w:rPr>
        <w:t>: 0,55</w:t>
      </w:r>
      <w:r w:rsidR="00162B8E">
        <w:rPr>
          <w:rFonts w:ascii="Times New Roman" w:eastAsia="TimesNewRoman" w:hAnsi="Times New Roman"/>
          <w:lang w:eastAsia="lt-LT"/>
        </w:rPr>
        <w:t> </w:t>
      </w:r>
      <w:proofErr w:type="spellStart"/>
      <w:r w:rsidRPr="003124CB">
        <w:rPr>
          <w:rFonts w:ascii="Times New Roman" w:eastAsia="TimesNewRoman" w:hAnsi="Times New Roman"/>
          <w:lang w:eastAsia="lt-LT"/>
        </w:rPr>
        <w:t>nM</w:t>
      </w:r>
      <w:proofErr w:type="spellEnd"/>
      <w:r w:rsidRPr="003124CB">
        <w:rPr>
          <w:rFonts w:ascii="Times New Roman" w:eastAsia="TimesNewRoman" w:hAnsi="Times New Roman"/>
          <w:lang w:eastAsia="lt-LT"/>
        </w:rPr>
        <w:t>), selektyvus ir laikino poveikio SGLT2 inhibitorius.</w:t>
      </w:r>
    </w:p>
    <w:p w14:paraId="43D15D37" w14:textId="21BD5A8D"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 kanalėlius;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 ir diastolinę funkciją bei padėti išsaugoti inkstų funkciją. Palankus dapagliflozino poveikis širdies ir inkstų </w:t>
      </w:r>
      <w:r w:rsidR="00513A8D">
        <w:rPr>
          <w:rFonts w:ascii="Times New Roman" w:eastAsia="TimesNewRoman" w:hAnsi="Times New Roman"/>
          <w:lang w:eastAsia="lt-LT"/>
        </w:rPr>
        <w:t>funkcijai</w:t>
      </w:r>
      <w:r w:rsidR="00513A8D" w:rsidRPr="003124CB">
        <w:rPr>
          <w:rFonts w:ascii="Times New Roman" w:eastAsia="TimesNewRoman" w:hAnsi="Times New Roman"/>
          <w:lang w:eastAsia="lt-LT"/>
        </w:rPr>
        <w:t xml:space="preserve"> </w:t>
      </w:r>
      <w:r w:rsidRPr="003124CB">
        <w:rPr>
          <w:rFonts w:ascii="Times New Roman" w:eastAsia="TimesNewRoman" w:hAnsi="Times New Roman"/>
          <w:lang w:eastAsia="lt-LT"/>
        </w:rPr>
        <w:t>priklauso ne vien nuo gliukozės koncentracijos kraujyje sumažėjimo. DAPA-HF, DELIVER ir DAPA-CKD tyrimų duomenimis, jis pasireiškia ir nesergant cukriniu diabetu. Kitas poveikis yra hematokrito padidėjimas ir kūno svorio sumažėjimas.</w:t>
      </w:r>
    </w:p>
    <w:p w14:paraId="51F1F01B"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49950F94" w14:textId="784793A8"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Dapagliflozinas mažina gliukozės reabsorbciją inkstuose ir sukelia jos išskyrimą su šlapimu, todėl mažina gliukozės koncentraciją kraujo plazmoje nevalgius ir po valgio. Šis gliukozės išskyrimas (gliukurezinis poveikis) pastebimas po pirmos dozės, tęsiasi visą 24 valandų dozavimo intervalą ir išlieka tol, kol taikomas gydymas. Tokiu būdu inkstų pašalinamas gliukozės kiekis priklauso nuo jos koncentracijos kraujyje ir glomerulų filtracijos greičio. Dėl to žmonėms, kurių kraujyje gliukozės koncentracija normali, dapagliflozino sukeliamos hipoglikemijos tikimybė yra maža. Dapagliflozinas netrikdo normalios endogeninės gliukozės gamybos reaguojant į hipoglikemiją, jo poveikis nepriklauso nuo insulino sekrecijos ir insulino veikimo. Dapagliflozino klinikinių tyrimų metu taip pat nustatytas beta ląstelių funkcijos homeostazės modelio (beta ląstelių HOMA) vertinimo pagerėjimas.</w:t>
      </w:r>
    </w:p>
    <w:p w14:paraId="76837D73"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2D709911" w14:textId="6CF89C53"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SGLT2 yra selektyviai </w:t>
      </w:r>
      <w:proofErr w:type="spellStart"/>
      <w:r w:rsidR="00782520">
        <w:rPr>
          <w:rFonts w:ascii="Times New Roman" w:eastAsia="TimesNewRoman" w:hAnsi="Times New Roman"/>
          <w:lang w:eastAsia="lt-LT"/>
        </w:rPr>
        <w:t>ekspresuojamas</w:t>
      </w:r>
      <w:proofErr w:type="spellEnd"/>
      <w:r w:rsidR="00782520" w:rsidRPr="003124CB">
        <w:rPr>
          <w:rFonts w:ascii="Times New Roman" w:eastAsia="TimesNewRoman" w:hAnsi="Times New Roman"/>
          <w:lang w:eastAsia="lt-LT"/>
        </w:rPr>
        <w:t xml:space="preserve"> </w:t>
      </w:r>
      <w:r w:rsidRPr="003124CB">
        <w:rPr>
          <w:rFonts w:ascii="Times New Roman" w:eastAsia="TimesNewRoman" w:hAnsi="Times New Roman"/>
          <w:lang w:eastAsia="lt-LT"/>
        </w:rPr>
        <w:t>inkstuose. Kitų gliukozės nešiklių, svarbių jos pernešimui į periferinius audinius, dapagliflozinas neslopina. Jo poveikis SGLT2 yra daugiau kaip 1 400 kartų selektyvesnis už poveikį pagrindiniam gliukozės absorbcijos nešikliui žarnyne SGLT1.</w:t>
      </w:r>
    </w:p>
    <w:p w14:paraId="53ACF76B"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2D9CA05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i/>
          <w:iCs/>
          <w:color w:val="000000"/>
          <w:u w:val="single"/>
          <w:lang w:eastAsia="sl-SI"/>
        </w:rPr>
      </w:pPr>
      <w:r w:rsidRPr="003124CB">
        <w:rPr>
          <w:rFonts w:ascii="Times New Roman" w:eastAsia="Times New Roman" w:hAnsi="Times New Roman"/>
          <w:i/>
          <w:iCs/>
          <w:color w:val="000000"/>
          <w:u w:val="single"/>
          <w:lang w:eastAsia="sl-SI"/>
        </w:rPr>
        <w:t>Sitagliptinas</w:t>
      </w:r>
    </w:p>
    <w:p w14:paraId="6CBFBC43"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12A638F3" w14:textId="70B1ED14"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r w:rsidRPr="003124CB">
        <w:rPr>
          <w:rFonts w:ascii="Times New Roman" w:eastAsia="Times New Roman" w:hAnsi="Times New Roman"/>
        </w:rPr>
        <w:t>Sitagliptinas priklauso per burną vartojamų hiperglikemiją mažinančių vaistinių preparatų klasei, kuri vadinama dipeptidilpeptidazės</w:t>
      </w:r>
      <w:r w:rsidRPr="003124CB">
        <w:rPr>
          <w:rFonts w:ascii="Times New Roman" w:eastAsia="Times New Roman" w:hAnsi="Times New Roman"/>
        </w:rPr>
        <w:noBreakHyphen/>
        <w:t>4 (DPP</w:t>
      </w:r>
      <w:r w:rsidRPr="003124CB">
        <w:rPr>
          <w:rFonts w:ascii="Times New Roman" w:eastAsia="Times New Roman" w:hAnsi="Times New Roman"/>
        </w:rPr>
        <w:noBreakHyphen/>
        <w:t xml:space="preserve">4) inhibitoriais. Glikemijos kontrolės pagerėjimas vartojant šio vaistinio preparato gali būti susijęs su aktyvių </w:t>
      </w:r>
      <w:proofErr w:type="spellStart"/>
      <w:r w:rsidRPr="003124CB">
        <w:rPr>
          <w:rFonts w:ascii="Times New Roman" w:eastAsia="Times New Roman" w:hAnsi="Times New Roman"/>
        </w:rPr>
        <w:t>inkretino</w:t>
      </w:r>
      <w:proofErr w:type="spellEnd"/>
      <w:r w:rsidRPr="003124CB">
        <w:rPr>
          <w:rFonts w:ascii="Times New Roman" w:eastAsia="Times New Roman" w:hAnsi="Times New Roman"/>
        </w:rPr>
        <w:t xml:space="preserve"> hormonų </w:t>
      </w:r>
      <w:r w:rsidR="006F0AEB">
        <w:rPr>
          <w:rFonts w:ascii="Times New Roman" w:eastAsia="Times New Roman" w:hAnsi="Times New Roman"/>
        </w:rPr>
        <w:t>koncentracijos</w:t>
      </w:r>
      <w:r w:rsidR="006F0AEB" w:rsidRPr="003124CB">
        <w:rPr>
          <w:rFonts w:ascii="Times New Roman" w:eastAsia="Times New Roman" w:hAnsi="Times New Roman"/>
        </w:rPr>
        <w:t xml:space="preserve"> </w:t>
      </w:r>
      <w:r w:rsidRPr="003124CB">
        <w:rPr>
          <w:rFonts w:ascii="Times New Roman" w:eastAsia="Times New Roman" w:hAnsi="Times New Roman"/>
        </w:rPr>
        <w:t>padidėjimu. Inkretino hormonai, įskaitant į gliukagoną panašų peptidą</w:t>
      </w:r>
      <w:r w:rsidRPr="003124CB">
        <w:rPr>
          <w:rFonts w:ascii="Times New Roman" w:eastAsia="Times New Roman" w:hAnsi="Times New Roman"/>
        </w:rPr>
        <w:noBreakHyphen/>
        <w:t xml:space="preserve">1 (angl. </w:t>
      </w:r>
      <w:r w:rsidRPr="003124CB">
        <w:rPr>
          <w:rFonts w:ascii="Times New Roman" w:eastAsia="Times New Roman" w:hAnsi="Times New Roman"/>
          <w:i/>
          <w:iCs/>
        </w:rPr>
        <w:t>glucagon-like peptide</w:t>
      </w:r>
      <w:r w:rsidRPr="003124CB">
        <w:rPr>
          <w:rFonts w:ascii="Times New Roman" w:eastAsia="Times New Roman" w:hAnsi="Times New Roman"/>
        </w:rPr>
        <w:t>, GLP</w:t>
      </w:r>
      <w:r w:rsidRPr="003124CB">
        <w:rPr>
          <w:rFonts w:ascii="Times New Roman" w:eastAsia="Times New Roman" w:hAnsi="Times New Roman"/>
        </w:rPr>
        <w:noBreakHyphen/>
        <w:t>1) ir nuo gliukozės priklausomą insulinotropinį polipeptidą (GIP), žarnyne yra išskiriami visą parą, o jų kiekis didėja kaip atsakas į maistą. Inkretinai yra endogeninės sistemos, kuri dalyvauja fiziologiniame gliukozės homeostazės reguliavime, dalis. Kai gliukozės koncentracija kraujyje yra normali arba padidėjusi, GLP</w:t>
      </w:r>
      <w:r w:rsidRPr="003124CB">
        <w:rPr>
          <w:rFonts w:ascii="Times New Roman" w:eastAsia="Times New Roman" w:hAnsi="Times New Roman"/>
        </w:rPr>
        <w:noBreakHyphen/>
        <w:t>1 ir GIP padidina insulino gamybą ir išskyrimą iš kasos beta</w:t>
      </w:r>
      <w:r w:rsidRPr="003124CB">
        <w:rPr>
          <w:rFonts w:ascii="Times New Roman" w:eastAsia="Times New Roman" w:hAnsi="Times New Roman"/>
        </w:rPr>
        <w:noBreakHyphen/>
        <w:t>ląstelių intraląsteliniu signaliniu keliu, dalyvaujant cikliniam adenozino monofosfatui (AMF). 2 tipo cukrinio diabeto gyvūnų modelių tyrimai rodo, kad veikiant GLP</w:t>
      </w:r>
      <w:r w:rsidRPr="003124CB">
        <w:rPr>
          <w:rFonts w:ascii="Times New Roman" w:eastAsia="Times New Roman" w:hAnsi="Times New Roman"/>
        </w:rPr>
        <w:noBreakHyphen/>
        <w:t>1 ar DPP</w:t>
      </w:r>
      <w:r w:rsidRPr="003124CB">
        <w:rPr>
          <w:rFonts w:ascii="Times New Roman" w:eastAsia="Times New Roman" w:hAnsi="Times New Roman"/>
        </w:rPr>
        <w:noBreakHyphen/>
        <w:t xml:space="preserve">4 </w:t>
      </w:r>
      <w:r w:rsidR="0083531E">
        <w:rPr>
          <w:rFonts w:ascii="Times New Roman" w:eastAsia="Times New Roman" w:hAnsi="Times New Roman"/>
        </w:rPr>
        <w:t xml:space="preserve">inhibitoriais </w:t>
      </w:r>
      <w:r w:rsidRPr="003124CB">
        <w:rPr>
          <w:rFonts w:ascii="Times New Roman" w:eastAsia="Times New Roman" w:hAnsi="Times New Roman"/>
        </w:rPr>
        <w:t>pagerėja beta</w:t>
      </w:r>
      <w:r w:rsidRPr="003124CB">
        <w:rPr>
          <w:rFonts w:ascii="Times New Roman" w:eastAsia="Times New Roman" w:hAnsi="Times New Roman"/>
        </w:rPr>
        <w:noBreakHyphen/>
        <w:t>ląstelių atsakas į gliukozę, stimuliuojama insulino gamyba ir išskyrimas. Esant didesniam insulino kiekiui, padidėja gliukozės patekimas į audinius. Be to, GLP</w:t>
      </w:r>
      <w:r w:rsidRPr="003124CB">
        <w:rPr>
          <w:rFonts w:ascii="Times New Roman" w:eastAsia="Times New Roman" w:hAnsi="Times New Roman"/>
        </w:rPr>
        <w:noBreakHyphen/>
        <w:t>1 sumažina gliukagono išsiskyrimą iš kasos alfa</w:t>
      </w:r>
      <w:r w:rsidRPr="003124CB">
        <w:rPr>
          <w:rFonts w:ascii="Times New Roman" w:eastAsia="Times New Roman" w:hAnsi="Times New Roman"/>
        </w:rPr>
        <w:noBreakHyphen/>
        <w:t xml:space="preserve">ląstelių. Dėl sumažėjusios gliukagono koncentracijos ir kartu padidėjusios insulino koncentracijos sumažėja gliukozės gamyba kepenyse, todėl sumažėja ir jos </w:t>
      </w:r>
      <w:r w:rsidR="007F19DD">
        <w:rPr>
          <w:rFonts w:ascii="Times New Roman" w:eastAsia="Times New Roman" w:hAnsi="Times New Roman"/>
        </w:rPr>
        <w:t>koncentracija</w:t>
      </w:r>
      <w:r w:rsidR="007F19DD" w:rsidRPr="003124CB">
        <w:rPr>
          <w:rFonts w:ascii="Times New Roman" w:eastAsia="Times New Roman" w:hAnsi="Times New Roman"/>
        </w:rPr>
        <w:t xml:space="preserve"> </w:t>
      </w:r>
      <w:r w:rsidRPr="003124CB">
        <w:rPr>
          <w:rFonts w:ascii="Times New Roman" w:eastAsia="Times New Roman" w:hAnsi="Times New Roman"/>
        </w:rPr>
        <w:t>kraujyje. GLP</w:t>
      </w:r>
      <w:r w:rsidRPr="003124CB">
        <w:rPr>
          <w:rFonts w:ascii="Times New Roman" w:eastAsia="Times New Roman" w:hAnsi="Times New Roman"/>
        </w:rPr>
        <w:noBreakHyphen/>
        <w:t>1 ir GIP poveikis priklauso nuo gliukozės, todėl tuo atveju, kai jos koncentracija kraujyje maža, GLP</w:t>
      </w:r>
      <w:r w:rsidRPr="003124CB">
        <w:rPr>
          <w:rFonts w:ascii="Times New Roman" w:eastAsia="Times New Roman" w:hAnsi="Times New Roman"/>
        </w:rPr>
        <w:noBreakHyphen/>
        <w:t>1 sukeliam</w:t>
      </w:r>
      <w:r w:rsidR="001B1B68">
        <w:rPr>
          <w:rFonts w:ascii="Times New Roman" w:eastAsia="Times New Roman" w:hAnsi="Times New Roman"/>
        </w:rPr>
        <w:t>as</w:t>
      </w:r>
      <w:r w:rsidRPr="003124CB">
        <w:rPr>
          <w:rFonts w:ascii="Times New Roman" w:eastAsia="Times New Roman" w:hAnsi="Times New Roman"/>
        </w:rPr>
        <w:t xml:space="preserve"> insulino išsiskyrimo stimuliavim</w:t>
      </w:r>
      <w:r w:rsidR="001B1B68">
        <w:rPr>
          <w:rFonts w:ascii="Times New Roman" w:eastAsia="Times New Roman" w:hAnsi="Times New Roman"/>
        </w:rPr>
        <w:t>as</w:t>
      </w:r>
      <w:r w:rsidRPr="003124CB">
        <w:rPr>
          <w:rFonts w:ascii="Times New Roman" w:eastAsia="Times New Roman" w:hAnsi="Times New Roman"/>
        </w:rPr>
        <w:t xml:space="preserve"> ir </w:t>
      </w:r>
      <w:proofErr w:type="spellStart"/>
      <w:r w:rsidRPr="003124CB">
        <w:rPr>
          <w:rFonts w:ascii="Times New Roman" w:eastAsia="Times New Roman" w:hAnsi="Times New Roman"/>
        </w:rPr>
        <w:t>gliukagono</w:t>
      </w:r>
      <w:proofErr w:type="spellEnd"/>
      <w:r w:rsidRPr="003124CB">
        <w:rPr>
          <w:rFonts w:ascii="Times New Roman" w:eastAsia="Times New Roman" w:hAnsi="Times New Roman"/>
        </w:rPr>
        <w:t xml:space="preserve"> sekrecijos slopinim</w:t>
      </w:r>
      <w:r w:rsidR="001B1B68">
        <w:rPr>
          <w:rFonts w:ascii="Times New Roman" w:eastAsia="Times New Roman" w:hAnsi="Times New Roman"/>
        </w:rPr>
        <w:t>as</w:t>
      </w:r>
      <w:r w:rsidRPr="003124CB">
        <w:rPr>
          <w:rFonts w:ascii="Times New Roman" w:eastAsia="Times New Roman" w:hAnsi="Times New Roman"/>
        </w:rPr>
        <w:t xml:space="preserve"> nepasireiškia. Kai gliukozės koncentracija tampa didesnė už normalią, sustiprėja tiek GLP</w:t>
      </w:r>
      <w:r w:rsidRPr="003124CB">
        <w:rPr>
          <w:rFonts w:ascii="Times New Roman" w:eastAsia="Times New Roman" w:hAnsi="Times New Roman"/>
        </w:rPr>
        <w:noBreakHyphen/>
        <w:t>1, tiek GIP</w:t>
      </w:r>
      <w:r w:rsidR="00683FE8">
        <w:rPr>
          <w:rFonts w:ascii="Times New Roman" w:eastAsia="Times New Roman" w:hAnsi="Times New Roman"/>
        </w:rPr>
        <w:t xml:space="preserve"> </w:t>
      </w:r>
      <w:r w:rsidRPr="003124CB">
        <w:rPr>
          <w:rFonts w:ascii="Times New Roman" w:eastAsia="Times New Roman" w:hAnsi="Times New Roman"/>
        </w:rPr>
        <w:t>sukeliamas insulino išsiskyrimo stimuliavimas. Be to, GLP</w:t>
      </w:r>
      <w:r w:rsidRPr="003124CB">
        <w:rPr>
          <w:rFonts w:ascii="Times New Roman" w:eastAsia="Times New Roman" w:hAnsi="Times New Roman"/>
        </w:rPr>
        <w:noBreakHyphen/>
        <w:t>1 netrikdo normalaus gliukagono atsako į hipoglikemiją. GLP</w:t>
      </w:r>
      <w:r w:rsidRPr="003124CB">
        <w:rPr>
          <w:rFonts w:ascii="Times New Roman" w:eastAsia="Times New Roman" w:hAnsi="Times New Roman"/>
        </w:rPr>
        <w:noBreakHyphen/>
        <w:t>1 ir GIP</w:t>
      </w:r>
      <w:r w:rsidR="0048076A">
        <w:rPr>
          <w:rFonts w:ascii="Times New Roman" w:eastAsia="Times New Roman" w:hAnsi="Times New Roman"/>
        </w:rPr>
        <w:t xml:space="preserve"> </w:t>
      </w:r>
      <w:r w:rsidRPr="003124CB">
        <w:rPr>
          <w:rFonts w:ascii="Times New Roman" w:eastAsia="Times New Roman" w:hAnsi="Times New Roman"/>
        </w:rPr>
        <w:t>aktyvumą riboja fermentas DPP</w:t>
      </w:r>
      <w:r w:rsidRPr="003124CB">
        <w:rPr>
          <w:rFonts w:ascii="Times New Roman" w:eastAsia="Times New Roman" w:hAnsi="Times New Roman"/>
        </w:rPr>
        <w:noBreakHyphen/>
        <w:t>4, kuris inkretino hormonus hidrolizės būdu greitai verčia neaktyviais dariniais. Sitagliptinas neleidžia fermentui DPP</w:t>
      </w:r>
      <w:r w:rsidRPr="003124CB">
        <w:rPr>
          <w:rFonts w:ascii="Times New Roman" w:eastAsia="Times New Roman" w:hAnsi="Times New Roman"/>
        </w:rPr>
        <w:noBreakHyphen/>
        <w:t xml:space="preserve">4 hidrolizuoti </w:t>
      </w:r>
      <w:proofErr w:type="spellStart"/>
      <w:r w:rsidRPr="003124CB">
        <w:rPr>
          <w:rFonts w:ascii="Times New Roman" w:eastAsia="Times New Roman" w:hAnsi="Times New Roman"/>
        </w:rPr>
        <w:t>inkretino</w:t>
      </w:r>
      <w:proofErr w:type="spellEnd"/>
      <w:r w:rsidRPr="003124CB">
        <w:rPr>
          <w:rFonts w:ascii="Times New Roman" w:eastAsia="Times New Roman" w:hAnsi="Times New Roman"/>
        </w:rPr>
        <w:t xml:space="preserve"> hormonų, todėl kraujo plazmoje padidėja aktyvių GLP</w:t>
      </w:r>
      <w:r w:rsidRPr="003124CB">
        <w:rPr>
          <w:rFonts w:ascii="Times New Roman" w:eastAsia="Times New Roman" w:hAnsi="Times New Roman"/>
        </w:rPr>
        <w:noBreakHyphen/>
        <w:t>1 ir GIP</w:t>
      </w:r>
      <w:r w:rsidR="00545B8B">
        <w:rPr>
          <w:rFonts w:ascii="Times New Roman" w:eastAsia="Times New Roman" w:hAnsi="Times New Roman"/>
        </w:rPr>
        <w:t xml:space="preserve"> </w:t>
      </w:r>
      <w:r w:rsidRPr="003124CB">
        <w:rPr>
          <w:rFonts w:ascii="Times New Roman" w:eastAsia="Times New Roman" w:hAnsi="Times New Roman"/>
        </w:rPr>
        <w:t xml:space="preserve">formų koncentracija. Didindamas aktyvaus </w:t>
      </w:r>
      <w:proofErr w:type="spellStart"/>
      <w:r w:rsidRPr="003124CB">
        <w:rPr>
          <w:rFonts w:ascii="Times New Roman" w:eastAsia="Times New Roman" w:hAnsi="Times New Roman"/>
        </w:rPr>
        <w:t>inkretino</w:t>
      </w:r>
      <w:proofErr w:type="spellEnd"/>
      <w:r w:rsidRPr="003124CB">
        <w:rPr>
          <w:rFonts w:ascii="Times New Roman" w:eastAsia="Times New Roman" w:hAnsi="Times New Roman"/>
        </w:rPr>
        <w:t xml:space="preserve"> </w:t>
      </w:r>
      <w:r w:rsidR="009E643C">
        <w:rPr>
          <w:rFonts w:ascii="Times New Roman" w:eastAsia="Times New Roman" w:hAnsi="Times New Roman"/>
        </w:rPr>
        <w:t>koncentraciją</w:t>
      </w:r>
      <w:r w:rsidRPr="003124CB">
        <w:rPr>
          <w:rFonts w:ascii="Times New Roman" w:eastAsia="Times New Roman" w:hAnsi="Times New Roman"/>
        </w:rPr>
        <w:t xml:space="preserve">, </w:t>
      </w:r>
      <w:proofErr w:type="spellStart"/>
      <w:r w:rsidRPr="003124CB">
        <w:rPr>
          <w:rFonts w:ascii="Times New Roman" w:eastAsia="Times New Roman" w:hAnsi="Times New Roman"/>
        </w:rPr>
        <w:t>sitagliptinas</w:t>
      </w:r>
      <w:proofErr w:type="spellEnd"/>
      <w:r w:rsidRPr="003124CB">
        <w:rPr>
          <w:rFonts w:ascii="Times New Roman" w:eastAsia="Times New Roman" w:hAnsi="Times New Roman"/>
        </w:rPr>
        <w:t xml:space="preserve"> didina insulino išskyrimą ir mažina </w:t>
      </w:r>
      <w:proofErr w:type="spellStart"/>
      <w:r w:rsidRPr="003124CB">
        <w:rPr>
          <w:rFonts w:ascii="Times New Roman" w:eastAsia="Times New Roman" w:hAnsi="Times New Roman"/>
        </w:rPr>
        <w:t>gliukagono</w:t>
      </w:r>
      <w:proofErr w:type="spellEnd"/>
      <w:r w:rsidRPr="003124CB">
        <w:rPr>
          <w:rFonts w:ascii="Times New Roman" w:eastAsia="Times New Roman" w:hAnsi="Times New Roman"/>
        </w:rPr>
        <w:t xml:space="preserve"> </w:t>
      </w:r>
      <w:r w:rsidR="009E643C">
        <w:rPr>
          <w:rFonts w:ascii="Times New Roman" w:eastAsia="Times New Roman" w:hAnsi="Times New Roman"/>
        </w:rPr>
        <w:t>koncentraciją</w:t>
      </w:r>
      <w:r w:rsidR="009E643C" w:rsidRPr="003124CB">
        <w:rPr>
          <w:rFonts w:ascii="Times New Roman" w:eastAsia="Times New Roman" w:hAnsi="Times New Roman"/>
        </w:rPr>
        <w:t xml:space="preserve"> </w:t>
      </w:r>
      <w:r w:rsidRPr="003124CB">
        <w:rPr>
          <w:rFonts w:ascii="Times New Roman" w:eastAsia="Times New Roman" w:hAnsi="Times New Roman"/>
        </w:rPr>
        <w:t xml:space="preserve">priklausomai nuo gliukozės </w:t>
      </w:r>
      <w:r w:rsidR="009E643C">
        <w:rPr>
          <w:rFonts w:ascii="Times New Roman" w:eastAsia="Times New Roman" w:hAnsi="Times New Roman"/>
        </w:rPr>
        <w:t>koncentracijos</w:t>
      </w:r>
      <w:r w:rsidRPr="003124CB">
        <w:rPr>
          <w:rFonts w:ascii="Times New Roman" w:eastAsia="Times New Roman" w:hAnsi="Times New Roman"/>
        </w:rPr>
        <w:t xml:space="preserve">. 2 tipo cukriniu diabetu sergantiems pacientams, kuriems yra hiperglikemija, šie insulino ir </w:t>
      </w:r>
      <w:proofErr w:type="spellStart"/>
      <w:r w:rsidRPr="003124CB">
        <w:rPr>
          <w:rFonts w:ascii="Times New Roman" w:eastAsia="Times New Roman" w:hAnsi="Times New Roman"/>
        </w:rPr>
        <w:t>gliukagono</w:t>
      </w:r>
      <w:proofErr w:type="spellEnd"/>
      <w:r w:rsidRPr="003124CB">
        <w:rPr>
          <w:rFonts w:ascii="Times New Roman" w:eastAsia="Times New Roman" w:hAnsi="Times New Roman"/>
        </w:rPr>
        <w:t xml:space="preserve"> </w:t>
      </w:r>
      <w:r w:rsidR="009E643C">
        <w:rPr>
          <w:rFonts w:ascii="Times New Roman" w:eastAsia="Times New Roman" w:hAnsi="Times New Roman"/>
        </w:rPr>
        <w:t>koncentracijos</w:t>
      </w:r>
      <w:r w:rsidR="009E643C" w:rsidRPr="003124CB">
        <w:rPr>
          <w:rFonts w:ascii="Times New Roman" w:eastAsia="Times New Roman" w:hAnsi="Times New Roman"/>
        </w:rPr>
        <w:t xml:space="preserve"> </w:t>
      </w:r>
      <w:r w:rsidRPr="003124CB">
        <w:rPr>
          <w:rFonts w:ascii="Times New Roman" w:eastAsia="Times New Roman" w:hAnsi="Times New Roman"/>
        </w:rPr>
        <w:t>pokyčiai lemia hemoglobino A</w:t>
      </w:r>
      <w:r w:rsidRPr="003124CB">
        <w:rPr>
          <w:rFonts w:ascii="Times New Roman" w:eastAsia="Times New Roman" w:hAnsi="Times New Roman"/>
          <w:vertAlign w:val="subscript"/>
        </w:rPr>
        <w:t>1c</w:t>
      </w:r>
      <w:r w:rsidRPr="003124CB">
        <w:rPr>
          <w:rFonts w:ascii="Times New Roman" w:eastAsia="Times New Roman" w:hAnsi="Times New Roman"/>
        </w:rPr>
        <w:t> (HbA</w:t>
      </w:r>
      <w:r w:rsidRPr="003124CB">
        <w:rPr>
          <w:rFonts w:ascii="Times New Roman" w:eastAsia="Times New Roman" w:hAnsi="Times New Roman"/>
          <w:vertAlign w:val="subscript"/>
        </w:rPr>
        <w:t>1c</w:t>
      </w:r>
      <w:r w:rsidRPr="003124CB">
        <w:rPr>
          <w:rFonts w:ascii="Times New Roman" w:eastAsia="Times New Roman" w:hAnsi="Times New Roman"/>
        </w:rPr>
        <w:t xml:space="preserve">) </w:t>
      </w:r>
      <w:r w:rsidR="00B36A6D">
        <w:rPr>
          <w:rFonts w:ascii="Times New Roman" w:eastAsia="Times New Roman" w:hAnsi="Times New Roman"/>
        </w:rPr>
        <w:t>koncentracijos</w:t>
      </w:r>
      <w:r w:rsidR="00B36A6D" w:rsidRPr="003124CB">
        <w:rPr>
          <w:rFonts w:ascii="Times New Roman" w:eastAsia="Times New Roman" w:hAnsi="Times New Roman"/>
        </w:rPr>
        <w:t xml:space="preserve"> </w:t>
      </w:r>
      <w:r w:rsidRPr="003124CB">
        <w:rPr>
          <w:rFonts w:ascii="Times New Roman" w:eastAsia="Times New Roman" w:hAnsi="Times New Roman"/>
        </w:rPr>
        <w:t xml:space="preserve">bei gliukozės koncentracijos nevalgius ir po valgio sumažėjimą. Nuo gliukozės priklausomas sitagliptino veikimo mechanizmas skiriasi nuo sulfonilkarbamidų veikimo mechanizmo, nes pastarieji didina insulino sekreciją net ir tuo atveju, kai gliukozės </w:t>
      </w:r>
      <w:r w:rsidR="00F044FA">
        <w:rPr>
          <w:rFonts w:ascii="Times New Roman" w:eastAsia="Times New Roman" w:hAnsi="Times New Roman"/>
        </w:rPr>
        <w:t>koncentracija</w:t>
      </w:r>
      <w:r w:rsidR="00F044FA" w:rsidRPr="003124CB">
        <w:rPr>
          <w:rFonts w:ascii="Times New Roman" w:eastAsia="Times New Roman" w:hAnsi="Times New Roman"/>
        </w:rPr>
        <w:t xml:space="preserve"> </w:t>
      </w:r>
      <w:r w:rsidRPr="003124CB">
        <w:rPr>
          <w:rFonts w:ascii="Times New Roman" w:eastAsia="Times New Roman" w:hAnsi="Times New Roman"/>
        </w:rPr>
        <w:t>yra maža, ir todėl gali sukelti hipoglikemiją tiek 2 tipo cukriniu diabetu sergantiems, tiek sveikiems asmenims. Sitagliptinas yra stiprus ir labai selektyvus fermento DPP</w:t>
      </w:r>
      <w:r w:rsidRPr="003124CB">
        <w:rPr>
          <w:rFonts w:ascii="Times New Roman" w:eastAsia="Times New Roman" w:hAnsi="Times New Roman"/>
        </w:rPr>
        <w:noBreakHyphen/>
        <w:t>4 inhibitorius ir neslopina į šį fermentą panašių DPP</w:t>
      </w:r>
      <w:r w:rsidRPr="003124CB">
        <w:rPr>
          <w:rFonts w:ascii="Times New Roman" w:eastAsia="Times New Roman" w:hAnsi="Times New Roman"/>
        </w:rPr>
        <w:noBreakHyphen/>
        <w:t>8 bei DPP</w:t>
      </w:r>
      <w:r w:rsidRPr="003124CB">
        <w:rPr>
          <w:rFonts w:ascii="Times New Roman" w:eastAsia="Times New Roman" w:hAnsi="Times New Roman"/>
        </w:rPr>
        <w:noBreakHyphen/>
        <w:t>9 fermentų, kai koncentracija yra terapinė.</w:t>
      </w:r>
    </w:p>
    <w:p w14:paraId="0DE37741"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6A62BC32"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r w:rsidRPr="003124CB">
        <w:rPr>
          <w:rFonts w:ascii="Times New Roman" w:eastAsia="Times New Roman" w:hAnsi="Times New Roman"/>
          <w:color w:val="000000"/>
          <w:u w:val="single"/>
          <w:lang w:eastAsia="sl-SI"/>
        </w:rPr>
        <w:t>Farmakodinaminis poveikis</w:t>
      </w:r>
    </w:p>
    <w:p w14:paraId="68DAC438"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2BA6946D"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i/>
          <w:iCs/>
          <w:color w:val="000000"/>
          <w:u w:val="single"/>
          <w:lang w:eastAsia="sl-SI"/>
        </w:rPr>
      </w:pPr>
      <w:r w:rsidRPr="003124CB">
        <w:rPr>
          <w:rFonts w:ascii="Times New Roman" w:eastAsia="Times New Roman" w:hAnsi="Times New Roman"/>
          <w:i/>
          <w:iCs/>
          <w:color w:val="000000"/>
          <w:u w:val="single"/>
          <w:lang w:eastAsia="sl-SI"/>
        </w:rPr>
        <w:t>Dapagliflozinas</w:t>
      </w:r>
    </w:p>
    <w:p w14:paraId="3098EBA5"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7594EECE" w14:textId="74E102E3"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Padidėjęs gliukozės kiekis buvo nustatytas sveikų asmenų ir 2 tipo cukriniu diabetu sergančių pacientų, vartojusių dapagliflozin</w:t>
      </w:r>
      <w:r w:rsidR="00436873">
        <w:rPr>
          <w:rFonts w:ascii="Times New Roman" w:eastAsia="TimesNewRoman" w:hAnsi="Times New Roman"/>
          <w:lang w:eastAsia="lt-LT"/>
        </w:rPr>
        <w:t>o</w:t>
      </w:r>
      <w:r w:rsidRPr="003124CB">
        <w:rPr>
          <w:rFonts w:ascii="Times New Roman" w:eastAsia="TimesNewRoman" w:hAnsi="Times New Roman"/>
          <w:lang w:eastAsia="lt-LT"/>
        </w:rPr>
        <w:t>, šlapime. 2 tipo cukriniu diabetu sergantiems asmenims 12 savaičių vartojus 10 mg dapagliflozino paros dozę, su šlapimu buvo išskiriama maždaug 70 g gliukozės (atitinka 280 kcal) per parą. Buvo įrodytas ilgalaikis (iki 2 metų) gliukozės išskyrimas su 2 tipo cukriniu diabetu sergančių asmenų, vartojančių 10 mg dapagliflozino per parą, šlapimu.</w:t>
      </w:r>
    </w:p>
    <w:p w14:paraId="6D9A5B2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55A8E7C6" w14:textId="2494E05D"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Gliukozės išskyrimas su šlapimu veikiant dapagliflozinui 2 tipo cukriniu diabetu sergantiems asmenims taip pat sukelia osmosinę diurezę ir didina išskiriamo šlapimo </w:t>
      </w:r>
      <w:r w:rsidR="00C00277">
        <w:rPr>
          <w:rFonts w:ascii="Times New Roman" w:eastAsia="TimesNewRoman" w:hAnsi="Times New Roman"/>
          <w:lang w:eastAsia="lt-LT"/>
        </w:rPr>
        <w:t>kiekį</w:t>
      </w:r>
      <w:r w:rsidRPr="003124CB">
        <w:rPr>
          <w:rFonts w:ascii="Times New Roman" w:eastAsia="TimesNewRoman" w:hAnsi="Times New Roman"/>
          <w:lang w:eastAsia="lt-LT"/>
        </w:rPr>
        <w:t xml:space="preserve">. Šlapimo </w:t>
      </w:r>
      <w:r w:rsidR="00BE75BF">
        <w:rPr>
          <w:rFonts w:ascii="Times New Roman" w:eastAsia="TimesNewRoman" w:hAnsi="Times New Roman"/>
          <w:lang w:eastAsia="lt-LT"/>
        </w:rPr>
        <w:t>kiekio</w:t>
      </w:r>
      <w:r w:rsidR="00BE75BF" w:rsidRPr="003124CB">
        <w:rPr>
          <w:rFonts w:ascii="Times New Roman" w:eastAsia="TimesNewRoman" w:hAnsi="Times New Roman"/>
          <w:lang w:eastAsia="lt-LT"/>
        </w:rPr>
        <w:t xml:space="preserve"> </w:t>
      </w:r>
      <w:r w:rsidRPr="003124CB">
        <w:rPr>
          <w:rFonts w:ascii="Times New Roman" w:eastAsia="TimesNewRoman" w:hAnsi="Times New Roman"/>
          <w:lang w:eastAsia="lt-LT"/>
        </w:rPr>
        <w:t xml:space="preserve">padidėjimas 2 tipo cukriniu diabetu sergantiems asmenims, kurie vartojo 10 mg dapagliflozino dozę, išliko padidėjęs 12 savaičių ir sudarė maždaug 375 ml per parą. Šlapimo </w:t>
      </w:r>
      <w:r w:rsidR="00FC6549">
        <w:rPr>
          <w:rFonts w:ascii="Times New Roman" w:eastAsia="TimesNewRoman" w:hAnsi="Times New Roman"/>
          <w:lang w:eastAsia="lt-LT"/>
        </w:rPr>
        <w:t>kiekio</w:t>
      </w:r>
      <w:r w:rsidR="00FC6549" w:rsidRPr="003124CB">
        <w:rPr>
          <w:rFonts w:ascii="Times New Roman" w:eastAsia="TimesNewRoman" w:hAnsi="Times New Roman"/>
          <w:lang w:eastAsia="lt-LT"/>
        </w:rPr>
        <w:t xml:space="preserve"> </w:t>
      </w:r>
      <w:r w:rsidRPr="003124CB">
        <w:rPr>
          <w:rFonts w:ascii="Times New Roman" w:eastAsia="TimesNewRoman" w:hAnsi="Times New Roman"/>
          <w:lang w:eastAsia="lt-LT"/>
        </w:rPr>
        <w:t>padidėjimas buvo susijęs su nežymiu ir laikinu natrio išskyrimo su šlapimu padidėjimu, kuris natrio koncentracijos kraujo serume pokyčių nesukėlė.</w:t>
      </w:r>
    </w:p>
    <w:p w14:paraId="4BD07EB4"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p>
    <w:p w14:paraId="1899AF30" w14:textId="118BF0BA"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Be to, laikinai (3-7 dienoms) padidėjo šlapimo rūgšties išskyrimas</w:t>
      </w:r>
      <w:r w:rsidR="002654C7">
        <w:rPr>
          <w:rFonts w:ascii="Times New Roman" w:eastAsia="TimesNewRoman" w:hAnsi="Times New Roman"/>
          <w:lang w:eastAsia="lt-LT"/>
        </w:rPr>
        <w:t xml:space="preserve"> su šlapimu</w:t>
      </w:r>
      <w:r w:rsidRPr="003124CB">
        <w:rPr>
          <w:rFonts w:ascii="Times New Roman" w:eastAsia="TimesNewRoman" w:hAnsi="Times New Roman"/>
          <w:lang w:eastAsia="lt-LT"/>
        </w:rPr>
        <w:t xml:space="preserve"> ir pasireiškė išliekantis jos koncentracijos sumažėjimas kraujo serume. Po 24 savaičių šlapimo rūgšties koncentracija kraujo serume buvo sumažėjusi nuo -48,3 iki -18,3 mikromolio/l (nuo -0,87 iki -0,</w:t>
      </w:r>
      <w:r w:rsidRPr="003124CB">
        <w:rPr>
          <w:rFonts w:ascii="Times New Roman" w:eastAsia="TimesNewRoman" w:hAnsi="Times New Roman"/>
          <w:szCs w:val="24"/>
        </w:rPr>
        <w:t>33 mg</w:t>
      </w:r>
      <w:r w:rsidRPr="003124CB">
        <w:rPr>
          <w:rFonts w:ascii="Times New Roman" w:eastAsia="TimesNewRoman" w:hAnsi="Times New Roman"/>
          <w:lang w:eastAsia="lt-LT"/>
        </w:rPr>
        <w:t>/dl).</w:t>
      </w:r>
    </w:p>
    <w:p w14:paraId="5AE2783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3D2A9D2A"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i/>
          <w:iCs/>
          <w:color w:val="000000"/>
          <w:u w:val="single"/>
          <w:lang w:eastAsia="sl-SI"/>
        </w:rPr>
      </w:pPr>
      <w:r w:rsidRPr="003124CB">
        <w:rPr>
          <w:rFonts w:ascii="Times New Roman" w:eastAsia="Times New Roman" w:hAnsi="Times New Roman"/>
          <w:i/>
          <w:iCs/>
          <w:color w:val="000000"/>
          <w:u w:val="single"/>
          <w:lang w:eastAsia="sl-SI"/>
        </w:rPr>
        <w:t>Sitagliptinas</w:t>
      </w:r>
    </w:p>
    <w:p w14:paraId="26DC1D2A"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p>
    <w:p w14:paraId="6557A3FB" w14:textId="7E7008A7" w:rsidR="003124CB" w:rsidRPr="003124CB" w:rsidRDefault="003124CB" w:rsidP="003124CB">
      <w:pPr>
        <w:widowControl w:val="0"/>
        <w:autoSpaceDE w:val="0"/>
        <w:autoSpaceDN w:val="0"/>
        <w:adjustRightInd w:val="0"/>
        <w:spacing w:after="0" w:line="240" w:lineRule="auto"/>
        <w:rPr>
          <w:rFonts w:ascii="Times New Roman" w:eastAsia="Times New Roman" w:hAnsi="Times New Roman"/>
        </w:rPr>
      </w:pPr>
      <w:r w:rsidRPr="003124CB">
        <w:rPr>
          <w:rFonts w:ascii="Times New Roman" w:eastAsia="Times New Roman" w:hAnsi="Times New Roman"/>
        </w:rPr>
        <w:t>Dviejų dienų trukmės tyrimo, kuriame dalyvavo sveiki tiriamieji, metu vartojant vien sitagliptino padidėjo aktyvaus GPP</w:t>
      </w:r>
      <w:r w:rsidRPr="003124CB">
        <w:rPr>
          <w:rFonts w:ascii="Times New Roman" w:eastAsia="Times New Roman" w:hAnsi="Times New Roman"/>
        </w:rPr>
        <w:noBreakHyphen/>
        <w:t>1 koncentracija, o vartojant vien metformino vienodai padidėjo aktyvaus ir bendroj</w:t>
      </w:r>
      <w:r w:rsidR="00082F6E">
        <w:rPr>
          <w:rFonts w:ascii="Times New Roman" w:eastAsia="Times New Roman" w:hAnsi="Times New Roman"/>
        </w:rPr>
        <w:t>o</w:t>
      </w:r>
      <w:r w:rsidRPr="003124CB">
        <w:rPr>
          <w:rFonts w:ascii="Times New Roman" w:eastAsia="Times New Roman" w:hAnsi="Times New Roman"/>
        </w:rPr>
        <w:t xml:space="preserve"> GPP</w:t>
      </w:r>
      <w:r w:rsidRPr="003124CB">
        <w:rPr>
          <w:rFonts w:ascii="Times New Roman" w:eastAsia="Times New Roman" w:hAnsi="Times New Roman"/>
        </w:rPr>
        <w:noBreakHyphen/>
        <w:t>1 koncentracija. Sitagliptino vartojant kartu su metforminu, nustatytas papildomas poveikis aktyvaus GPP</w:t>
      </w:r>
      <w:r w:rsidRPr="003124CB">
        <w:rPr>
          <w:rFonts w:ascii="Times New Roman" w:eastAsia="Times New Roman" w:hAnsi="Times New Roman"/>
        </w:rPr>
        <w:noBreakHyphen/>
        <w:t>1 koncentracijai. Sitagliptinas, bet ne metforminas, padidino aktyvaus GIP koncentraciją.</w:t>
      </w:r>
    </w:p>
    <w:p w14:paraId="6E3AB836"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5DB9DC43"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u w:val="single"/>
          <w:lang w:eastAsia="sl-SI"/>
        </w:rPr>
      </w:pPr>
      <w:r w:rsidRPr="003124CB">
        <w:rPr>
          <w:rFonts w:ascii="Times New Roman" w:eastAsia="Times New Roman" w:hAnsi="Times New Roman"/>
          <w:color w:val="000000"/>
          <w:u w:val="single"/>
          <w:lang w:eastAsia="sl-SI"/>
        </w:rPr>
        <w:t>Klinikinis veiksmingumas ir saugumas</w:t>
      </w:r>
    </w:p>
    <w:p w14:paraId="3E43DEDE" w14:textId="77777777"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p>
    <w:p w14:paraId="4CC9AD09" w14:textId="76C053BE" w:rsidR="003124CB" w:rsidRPr="003124CB" w:rsidRDefault="003124CB" w:rsidP="003124CB">
      <w:pPr>
        <w:widowControl w:val="0"/>
        <w:autoSpaceDE w:val="0"/>
        <w:autoSpaceDN w:val="0"/>
        <w:adjustRightInd w:val="0"/>
        <w:spacing w:after="0" w:line="240" w:lineRule="auto"/>
        <w:rPr>
          <w:rFonts w:ascii="Times New Roman" w:eastAsia="Times New Roman" w:hAnsi="Times New Roman"/>
          <w:color w:val="000000"/>
          <w:lang w:eastAsia="sl-SI"/>
        </w:rPr>
      </w:pPr>
      <w:r w:rsidRPr="003124CB">
        <w:rPr>
          <w:rFonts w:ascii="Times New Roman" w:eastAsia="Times New Roman" w:hAnsi="Times New Roman"/>
          <w:color w:val="000000"/>
          <w:lang w:eastAsia="sl-SI"/>
        </w:rPr>
        <w:t>24 savaičių trukmės atsitiktinių imčių, dvigubai koduoto, placebu kontroliuoto, lygiagrečių grupių 3 fazės klinikinio tyrimo su 24 savaičių pratęsimo laikotarpiu metu 432 cukriniu diabetu sergantys pacientai buvo atsitiktinės atrankos būdu buvo priskirti vartoti dapagliflozin</w:t>
      </w:r>
      <w:r w:rsidR="001E5ECD">
        <w:rPr>
          <w:rFonts w:ascii="Times New Roman" w:eastAsia="Times New Roman" w:hAnsi="Times New Roman"/>
          <w:color w:val="000000"/>
          <w:lang w:eastAsia="sl-SI"/>
        </w:rPr>
        <w:t>o</w:t>
      </w:r>
      <w:r w:rsidRPr="003124CB">
        <w:rPr>
          <w:rFonts w:ascii="Times New Roman" w:eastAsia="Times New Roman" w:hAnsi="Times New Roman"/>
          <w:color w:val="000000"/>
          <w:lang w:eastAsia="sl-SI"/>
        </w:rPr>
        <w:t xml:space="preserve"> po 10 mg per parą arba placeb</w:t>
      </w:r>
      <w:r w:rsidR="001E5ECD">
        <w:rPr>
          <w:rFonts w:ascii="Times New Roman" w:eastAsia="Times New Roman" w:hAnsi="Times New Roman"/>
          <w:color w:val="000000"/>
          <w:lang w:eastAsia="sl-SI"/>
        </w:rPr>
        <w:t>o</w:t>
      </w:r>
      <w:r w:rsidRPr="003124CB">
        <w:rPr>
          <w:rFonts w:ascii="Times New Roman" w:eastAsia="Times New Roman" w:hAnsi="Times New Roman"/>
          <w:color w:val="000000"/>
          <w:lang w:eastAsia="sl-SI"/>
        </w:rPr>
        <w:t xml:space="preserve">, jais papildant gydymą sitagliptino 100 mg paros doze kartu su </w:t>
      </w:r>
      <w:proofErr w:type="spellStart"/>
      <w:r w:rsidRPr="003124CB">
        <w:rPr>
          <w:rFonts w:ascii="Times New Roman" w:eastAsia="Times New Roman" w:hAnsi="Times New Roman"/>
          <w:color w:val="000000"/>
          <w:lang w:eastAsia="sl-SI"/>
        </w:rPr>
        <w:t>metforminu</w:t>
      </w:r>
      <w:proofErr w:type="spellEnd"/>
      <w:r w:rsidRPr="003124CB">
        <w:rPr>
          <w:rFonts w:ascii="Times New Roman" w:eastAsia="Times New Roman" w:hAnsi="Times New Roman"/>
          <w:color w:val="000000"/>
          <w:lang w:eastAsia="sl-SI"/>
        </w:rPr>
        <w:t xml:space="preserve"> (1</w:t>
      </w:r>
      <w:r w:rsidR="002A2578">
        <w:rPr>
          <w:rFonts w:ascii="Times New Roman" w:eastAsia="Times New Roman" w:hAnsi="Times New Roman"/>
          <w:color w:val="000000"/>
          <w:lang w:eastAsia="sl-SI"/>
        </w:rPr>
        <w:t> </w:t>
      </w:r>
      <w:r w:rsidRPr="003124CB">
        <w:rPr>
          <w:rFonts w:ascii="Times New Roman" w:eastAsia="Times New Roman" w:hAnsi="Times New Roman"/>
          <w:color w:val="000000"/>
          <w:lang w:eastAsia="sl-SI"/>
        </w:rPr>
        <w:t xml:space="preserve">500 mg per parą) arba be jo. Pacientų demografinės ir pradinės charakteristikos gydymo grupėse buvo panašios; vidutinis amžius buvo ~55 metai, 55 % tiriamųjų buvo vyrai, vidutinis kūno svoris buvo ~90 kg, vidutinė cukrinio diabeto trukmė - 5,7 metų. Pradinis HbA1c kiekis ir gliukozės koncentracija kraujo plazmoje nevalgius (angl. </w:t>
      </w:r>
      <w:proofErr w:type="spellStart"/>
      <w:r w:rsidRPr="0030702D">
        <w:rPr>
          <w:rFonts w:ascii="Times New Roman" w:eastAsia="Times New Roman" w:hAnsi="Times New Roman"/>
          <w:i/>
          <w:iCs/>
          <w:snapToGrid w:val="0"/>
          <w:color w:val="000000"/>
        </w:rPr>
        <w:t>fasting</w:t>
      </w:r>
      <w:proofErr w:type="spellEnd"/>
      <w:r w:rsidRPr="0030702D">
        <w:rPr>
          <w:rFonts w:ascii="Times New Roman" w:eastAsia="Times New Roman" w:hAnsi="Times New Roman"/>
          <w:i/>
          <w:iCs/>
          <w:snapToGrid w:val="0"/>
          <w:color w:val="000000"/>
        </w:rPr>
        <w:t xml:space="preserve"> </w:t>
      </w:r>
      <w:proofErr w:type="spellStart"/>
      <w:r w:rsidRPr="0030702D">
        <w:rPr>
          <w:rFonts w:ascii="Times New Roman" w:eastAsia="Times New Roman" w:hAnsi="Times New Roman"/>
          <w:i/>
          <w:iCs/>
          <w:snapToGrid w:val="0"/>
          <w:color w:val="000000"/>
        </w:rPr>
        <w:t>plasma</w:t>
      </w:r>
      <w:proofErr w:type="spellEnd"/>
      <w:r w:rsidRPr="0030702D">
        <w:rPr>
          <w:rFonts w:ascii="Times New Roman" w:eastAsia="Times New Roman" w:hAnsi="Times New Roman"/>
          <w:i/>
          <w:iCs/>
          <w:snapToGrid w:val="0"/>
          <w:color w:val="000000"/>
        </w:rPr>
        <w:t xml:space="preserve"> </w:t>
      </w:r>
      <w:proofErr w:type="spellStart"/>
      <w:r w:rsidRPr="0030702D">
        <w:rPr>
          <w:rFonts w:ascii="Times New Roman" w:eastAsia="Times New Roman" w:hAnsi="Times New Roman"/>
          <w:i/>
          <w:iCs/>
          <w:snapToGrid w:val="0"/>
          <w:color w:val="000000"/>
        </w:rPr>
        <w:t>glucose</w:t>
      </w:r>
      <w:proofErr w:type="spellEnd"/>
      <w:r w:rsidRPr="0030702D">
        <w:rPr>
          <w:rFonts w:ascii="Times New Roman" w:eastAsia="Times New Roman" w:hAnsi="Times New Roman"/>
          <w:snapToGrid w:val="0"/>
          <w:color w:val="000000"/>
        </w:rPr>
        <w:t xml:space="preserve">, </w:t>
      </w:r>
      <w:r w:rsidRPr="003124CB">
        <w:rPr>
          <w:rFonts w:ascii="Times New Roman" w:eastAsia="Times New Roman" w:hAnsi="Times New Roman"/>
          <w:color w:val="000000"/>
          <w:lang w:eastAsia="sl-SI"/>
        </w:rPr>
        <w:t>FPG) dapagliflozino grupėje buvo 7,9 % (63,0 mmol/mol) ir 162,2 mg/dl (9,0 mmol/l), placebo grupėje - 8,0 % (64,0 mmol/mol) ir 163 mg/dl (9,0 mmol/l). 24 savaitę dapagliflozinas reikšmingai sumažino vidutinį HbA1c kiekį (-0,5 % [-4,9 mmol/mol]), palyginti su placebu (0,0 % [+0,4 mmol/mol], skirtumas -0,5 % [-5,2 mmol/mol], p&lt;0001). Dapagliflozinas, palyginti su placebu, sumažino kūno svorį (-2,1 kg, palyginti su -0,3 kg) ir sumažino HbA1c kiekį pacientams, kurių pradinis rodmuo buvo ≥</w:t>
      </w:r>
      <w:r w:rsidR="007B7834">
        <w:rPr>
          <w:rFonts w:ascii="Times New Roman" w:eastAsia="Times New Roman" w:hAnsi="Times New Roman"/>
          <w:color w:val="000000"/>
          <w:lang w:eastAsia="sl-SI"/>
        </w:rPr>
        <w:t> </w:t>
      </w:r>
      <w:r w:rsidRPr="003124CB">
        <w:rPr>
          <w:rFonts w:ascii="Times New Roman" w:eastAsia="Times New Roman" w:hAnsi="Times New Roman"/>
          <w:color w:val="000000"/>
          <w:lang w:eastAsia="sl-SI"/>
        </w:rPr>
        <w:t>8,0 % (-0,8 % [8,7 </w:t>
      </w:r>
      <w:proofErr w:type="spellStart"/>
      <w:r w:rsidRPr="003124CB">
        <w:rPr>
          <w:rFonts w:ascii="Times New Roman" w:eastAsia="Times New Roman" w:hAnsi="Times New Roman"/>
          <w:color w:val="000000"/>
          <w:lang w:eastAsia="sl-SI"/>
        </w:rPr>
        <w:t>mmol</w:t>
      </w:r>
      <w:proofErr w:type="spellEnd"/>
      <w:r w:rsidRPr="003124CB">
        <w:rPr>
          <w:rFonts w:ascii="Times New Roman" w:eastAsia="Times New Roman" w:hAnsi="Times New Roman"/>
          <w:color w:val="000000"/>
          <w:lang w:eastAsia="sl-SI"/>
        </w:rPr>
        <w:t>/</w:t>
      </w:r>
      <w:proofErr w:type="spellStart"/>
      <w:r w:rsidRPr="003124CB">
        <w:rPr>
          <w:rFonts w:ascii="Times New Roman" w:eastAsia="Times New Roman" w:hAnsi="Times New Roman"/>
          <w:color w:val="000000"/>
          <w:lang w:eastAsia="sl-SI"/>
        </w:rPr>
        <w:t>mol</w:t>
      </w:r>
      <w:proofErr w:type="spellEnd"/>
      <w:r w:rsidRPr="003124CB">
        <w:rPr>
          <w:rFonts w:ascii="Times New Roman" w:eastAsia="Times New Roman" w:hAnsi="Times New Roman"/>
          <w:color w:val="000000"/>
          <w:lang w:eastAsia="sl-SI"/>
        </w:rPr>
        <w:t>], palyginti su 0,0 % [0,3 mmol/mol]), ir FPG (-24,1 mg/dl [-1,3 mmol/l], palyginti su 3,8 mg/dl [0,2 mmol/l]). Palankus poveikis glikemijai ir kūno svoriui, pastebėtas 24 savaitę, išliko iki 48 savaitės. Nepageidaujami reiškiniai grupėse pasireiškė panašiu dažniu išskyrus dažnesnius lytinių organų infekcijų simptomus, kai buvo vartojamas dapagliflozin</w:t>
      </w:r>
      <w:r w:rsidR="003166C9">
        <w:rPr>
          <w:rFonts w:ascii="Times New Roman" w:eastAsia="Times New Roman" w:hAnsi="Times New Roman"/>
          <w:color w:val="000000"/>
          <w:lang w:eastAsia="sl-SI"/>
        </w:rPr>
        <w:t>o</w:t>
      </w:r>
      <w:r w:rsidRPr="003124CB">
        <w:rPr>
          <w:rFonts w:ascii="Times New Roman" w:eastAsia="Times New Roman" w:hAnsi="Times New Roman"/>
          <w:color w:val="000000"/>
          <w:lang w:eastAsia="sl-SI"/>
        </w:rPr>
        <w:t xml:space="preserve"> (24 savaitę - 19/225 [8,4 %]; 48 savaitę - 22/225 [9,8 %]), palyginti su placebu (24 savaitę - 1/226 [0,4 %]; 48 savaitę - 1/226 [0,4 %]).</w:t>
      </w:r>
    </w:p>
    <w:p w14:paraId="7000098F" w14:textId="77777777" w:rsidR="003124CB" w:rsidRPr="003124CB" w:rsidRDefault="003124CB" w:rsidP="003124CB">
      <w:pPr>
        <w:widowControl w:val="0"/>
        <w:spacing w:after="0" w:line="240" w:lineRule="auto"/>
        <w:rPr>
          <w:rFonts w:ascii="Times New Roman" w:eastAsia="Times New Roman" w:hAnsi="Times New Roman"/>
          <w:color w:val="000000"/>
          <w:lang w:eastAsia="sl-SI"/>
        </w:rPr>
      </w:pPr>
    </w:p>
    <w:p w14:paraId="4C7BA43E" w14:textId="48BE88B5" w:rsidR="003124CB" w:rsidRPr="003124CB" w:rsidRDefault="003124CB" w:rsidP="003124CB">
      <w:pPr>
        <w:widowControl w:val="0"/>
        <w:spacing w:after="0" w:line="240" w:lineRule="auto"/>
        <w:rPr>
          <w:rFonts w:ascii="Times New Roman" w:eastAsia="Times New Roman" w:hAnsi="Times New Roman"/>
          <w:color w:val="000000"/>
          <w:lang w:eastAsia="sl-SI"/>
        </w:rPr>
      </w:pPr>
      <w:r w:rsidRPr="003124CB">
        <w:rPr>
          <w:rFonts w:ascii="Times New Roman" w:eastAsia="Times New Roman" w:hAnsi="Times New Roman"/>
          <w:color w:val="000000"/>
          <w:lang w:eastAsia="sl-SI"/>
        </w:rPr>
        <w:t>Atsitiktinių imčių, atvirame, aktyviai kontroliuotame, lygiagrečių grupių, 3 fazės klinikiniame tyrime dalyvavo suaugę cukriniu diabetu sergantys pacientai, kurių HbA1c buvo ≥</w:t>
      </w:r>
      <w:r w:rsidR="00137129">
        <w:rPr>
          <w:rFonts w:ascii="Times New Roman" w:eastAsia="Times New Roman" w:hAnsi="Times New Roman"/>
          <w:color w:val="000000"/>
          <w:lang w:eastAsia="sl-SI"/>
        </w:rPr>
        <w:t> </w:t>
      </w:r>
      <w:r w:rsidRPr="003124CB">
        <w:rPr>
          <w:rFonts w:ascii="Times New Roman" w:eastAsia="Times New Roman" w:hAnsi="Times New Roman"/>
          <w:color w:val="000000"/>
          <w:lang w:eastAsia="sl-SI"/>
        </w:rPr>
        <w:t>8 % (64 </w:t>
      </w:r>
      <w:proofErr w:type="spellStart"/>
      <w:r w:rsidRPr="003124CB">
        <w:rPr>
          <w:rFonts w:ascii="Times New Roman" w:eastAsia="Times New Roman" w:hAnsi="Times New Roman"/>
          <w:color w:val="000000"/>
          <w:lang w:eastAsia="sl-SI"/>
        </w:rPr>
        <w:t>mmol</w:t>
      </w:r>
      <w:proofErr w:type="spellEnd"/>
      <w:r w:rsidRPr="003124CB">
        <w:rPr>
          <w:rFonts w:ascii="Times New Roman" w:eastAsia="Times New Roman" w:hAnsi="Times New Roman"/>
          <w:color w:val="000000"/>
          <w:lang w:eastAsia="sl-SI"/>
        </w:rPr>
        <w:t>/</w:t>
      </w:r>
      <w:proofErr w:type="spellStart"/>
      <w:r w:rsidRPr="003124CB">
        <w:rPr>
          <w:rFonts w:ascii="Times New Roman" w:eastAsia="Times New Roman" w:hAnsi="Times New Roman"/>
          <w:color w:val="000000"/>
          <w:lang w:eastAsia="sl-SI"/>
        </w:rPr>
        <w:t>mol</w:t>
      </w:r>
      <w:proofErr w:type="spellEnd"/>
      <w:r w:rsidRPr="003124CB">
        <w:rPr>
          <w:rFonts w:ascii="Times New Roman" w:eastAsia="Times New Roman" w:hAnsi="Times New Roman"/>
          <w:color w:val="000000"/>
          <w:lang w:eastAsia="sl-SI"/>
        </w:rPr>
        <w:t>) ir ≤</w:t>
      </w:r>
      <w:r w:rsidR="00991723">
        <w:rPr>
          <w:rFonts w:ascii="Times New Roman" w:eastAsia="Times New Roman" w:hAnsi="Times New Roman"/>
          <w:color w:val="000000"/>
          <w:lang w:eastAsia="sl-SI"/>
        </w:rPr>
        <w:t> </w:t>
      </w:r>
      <w:r w:rsidRPr="003124CB">
        <w:rPr>
          <w:rFonts w:ascii="Times New Roman" w:eastAsia="Times New Roman" w:hAnsi="Times New Roman"/>
          <w:color w:val="000000"/>
          <w:lang w:eastAsia="sl-SI"/>
        </w:rPr>
        <w:t>11 % (97 </w:t>
      </w:r>
      <w:proofErr w:type="spellStart"/>
      <w:r w:rsidRPr="003124CB">
        <w:rPr>
          <w:rFonts w:ascii="Times New Roman" w:eastAsia="Times New Roman" w:hAnsi="Times New Roman"/>
          <w:color w:val="000000"/>
          <w:lang w:eastAsia="sl-SI"/>
        </w:rPr>
        <w:t>mmol</w:t>
      </w:r>
      <w:proofErr w:type="spellEnd"/>
      <w:r w:rsidRPr="003124CB">
        <w:rPr>
          <w:rFonts w:ascii="Times New Roman" w:eastAsia="Times New Roman" w:hAnsi="Times New Roman"/>
          <w:color w:val="000000"/>
          <w:lang w:eastAsia="sl-SI"/>
        </w:rPr>
        <w:t>/</w:t>
      </w:r>
      <w:proofErr w:type="spellStart"/>
      <w:r w:rsidRPr="003124CB">
        <w:rPr>
          <w:rFonts w:ascii="Times New Roman" w:eastAsia="Times New Roman" w:hAnsi="Times New Roman"/>
          <w:color w:val="000000"/>
          <w:lang w:eastAsia="sl-SI"/>
        </w:rPr>
        <w:t>mol</w:t>
      </w:r>
      <w:proofErr w:type="spellEnd"/>
      <w:r w:rsidRPr="003124CB">
        <w:rPr>
          <w:rFonts w:ascii="Times New Roman" w:eastAsia="Times New Roman" w:hAnsi="Times New Roman"/>
          <w:color w:val="000000"/>
          <w:lang w:eastAsia="sl-SI"/>
        </w:rPr>
        <w:t>). Pacientai (N = 415) buvo suskirstyti į atsitiktines imtis santykiu 1:1:1 ir kartą per parą vartojo arba dapagliflozino/sitagliptino/metformino (10 mg/100 mg/1000 mg), arba sitagliptino/metformino (100 mg/1000 mg), arba dapagliflozino/metformino (10 mg/1000 mg). Pagrindinė vertinamoji baigtis buvo vidutinis HbA1c pokytis nuo pradinio rodmens iki 16 savaitės. 16 savaitę pakoreguotas vidutinis HbA1c sumažėjimas nuo pradinio rodmens buvo reikšmingai didesnis taikant trigubą gydymą dapagliflozinu/sitagliptinu/metforminu (-1,73 % [-19,9 mmol/mol], palyginti su sitagliptinu/metforminu (-1,28 % [-14,1 mmol/mol], skirtumas -0,46 % [-5,1 mmol/mol], p&lt;0,001), ir palyginti su dapagliflozinu/metforminu (-1,33 % [-14,6 mmol/mol], skirtumas -0,4 % [-4,4 mmol/mol], p&lt;0,001). Visose trijose gydymo grupėse pacientų, kuriems pasireiškė bet koks nepageidaujamas reiškinys, dalis buvo panaši.</w:t>
      </w:r>
    </w:p>
    <w:p w14:paraId="3E58AA93" w14:textId="77777777" w:rsidR="003124CB" w:rsidRPr="003124CB" w:rsidRDefault="003124CB" w:rsidP="003124CB">
      <w:pPr>
        <w:widowControl w:val="0"/>
        <w:spacing w:after="0" w:line="240" w:lineRule="auto"/>
        <w:rPr>
          <w:rFonts w:ascii="Times New Roman" w:eastAsia="Arial Unicode MS" w:hAnsi="Times New Roman"/>
          <w:color w:val="000000"/>
          <w:szCs w:val="24"/>
          <w:lang w:bidi="en-US"/>
        </w:rPr>
      </w:pPr>
    </w:p>
    <w:p w14:paraId="6A94B140" w14:textId="77777777" w:rsidR="003124CB" w:rsidRPr="003124CB" w:rsidRDefault="003124CB" w:rsidP="003124CB">
      <w:pPr>
        <w:widowControl w:val="0"/>
        <w:spacing w:after="0" w:line="240" w:lineRule="auto"/>
        <w:rPr>
          <w:rFonts w:ascii="Times New Roman" w:eastAsia="Arial Unicode MS" w:hAnsi="Times New Roman"/>
          <w:color w:val="000000"/>
          <w:szCs w:val="24"/>
          <w:u w:val="single"/>
          <w:lang w:bidi="en-US"/>
        </w:rPr>
      </w:pPr>
      <w:r w:rsidRPr="003124CB">
        <w:rPr>
          <w:rFonts w:ascii="Times New Roman" w:eastAsia="Arial Unicode MS" w:hAnsi="Times New Roman"/>
          <w:color w:val="000000"/>
          <w:szCs w:val="24"/>
          <w:u w:val="single"/>
          <w:lang w:bidi="en-US"/>
        </w:rPr>
        <w:t>Vaikų populiacija</w:t>
      </w:r>
    </w:p>
    <w:p w14:paraId="6560DB02" w14:textId="0ADFF1E1" w:rsidR="003124CB" w:rsidRPr="003124CB" w:rsidRDefault="003124CB" w:rsidP="003124CB">
      <w:pPr>
        <w:widowControl w:val="0"/>
        <w:spacing w:after="0" w:line="240" w:lineRule="auto"/>
        <w:rPr>
          <w:rFonts w:ascii="Times New Roman" w:eastAsia="Arial Unicode MS" w:hAnsi="Times New Roman"/>
          <w:color w:val="000000"/>
          <w:szCs w:val="24"/>
          <w:lang w:bidi="en-US"/>
        </w:rPr>
      </w:pPr>
      <w:r w:rsidRPr="003124CB">
        <w:rPr>
          <w:rFonts w:ascii="Times New Roman" w:eastAsia="Arial Unicode MS" w:hAnsi="Times New Roman"/>
          <w:color w:val="000000"/>
          <w:szCs w:val="24"/>
          <w:lang w:bidi="en-US"/>
        </w:rPr>
        <w:t xml:space="preserve">Europos vaistų agentūra atleido nuo įpareigojimo pateikti </w:t>
      </w:r>
      <w:r w:rsidR="002F33BE">
        <w:rPr>
          <w:rFonts w:ascii="Times New Roman" w:eastAsia="Times New Roman" w:hAnsi="Times New Roman"/>
          <w:color w:val="000000"/>
          <w:lang w:eastAsia="sl-SI"/>
        </w:rPr>
        <w:t>Axigalu</w:t>
      </w:r>
      <w:r w:rsidRPr="003124CB">
        <w:rPr>
          <w:rFonts w:ascii="Times New Roman" w:eastAsia="Arial Unicode MS" w:hAnsi="Times New Roman"/>
          <w:color w:val="000000"/>
          <w:szCs w:val="24"/>
          <w:lang w:bidi="en-US"/>
        </w:rPr>
        <w:t xml:space="preserve"> tyrimų su visais vaikų populiacijos pogrupiais duomenis 2 tipo cukrinio diabeto indikacijai (vartojimo vaikams informacija pateikiama 4.2</w:t>
      </w:r>
      <w:r w:rsidRPr="003124CB">
        <w:rPr>
          <w:rFonts w:ascii="Times New Roman" w:eastAsia="Arial Unicode MS" w:hAnsi="Times New Roman"/>
          <w:snapToGrid w:val="0"/>
          <w:szCs w:val="20"/>
        </w:rPr>
        <w:t> </w:t>
      </w:r>
      <w:r w:rsidRPr="003124CB">
        <w:rPr>
          <w:rFonts w:ascii="Times New Roman" w:eastAsia="Arial Unicode MS" w:hAnsi="Times New Roman"/>
          <w:color w:val="000000"/>
          <w:szCs w:val="24"/>
          <w:lang w:bidi="en-US"/>
        </w:rPr>
        <w:t>skyriuje).</w:t>
      </w:r>
    </w:p>
    <w:p w14:paraId="4FBED81B"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677571BA"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5.2</w:t>
      </w:r>
      <w:r w:rsidRPr="003124CB">
        <w:rPr>
          <w:rFonts w:ascii="Times New Roman" w:eastAsia="Times New Roman" w:hAnsi="Times New Roman"/>
          <w:b/>
          <w:kern w:val="28"/>
        </w:rPr>
        <w:tab/>
        <w:t>Farmakokinetinės savybės</w:t>
      </w:r>
    </w:p>
    <w:p w14:paraId="1F98D852" w14:textId="77777777" w:rsidR="003124CB" w:rsidRPr="003124CB" w:rsidRDefault="003124CB" w:rsidP="003124CB">
      <w:pPr>
        <w:widowControl w:val="0"/>
        <w:spacing w:after="0" w:line="240" w:lineRule="auto"/>
        <w:ind w:left="567" w:hanging="567"/>
        <w:rPr>
          <w:rFonts w:ascii="Times New Roman" w:eastAsia="Times New Roman" w:hAnsi="Times New Roman"/>
          <w:bCs/>
        </w:rPr>
      </w:pPr>
    </w:p>
    <w:p w14:paraId="45AF7CE8"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Absorbcija</w:t>
      </w:r>
    </w:p>
    <w:p w14:paraId="7857B62E"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highlight w:val="yellow"/>
          <w:u w:val="single"/>
        </w:rPr>
      </w:pPr>
    </w:p>
    <w:p w14:paraId="57F5041C" w14:textId="79A6120D"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Per burną pavartotas dapagliflozinas absorbuojamas greitai ir gerai. Didžiausia nevalgius pavartoto dapagliflozino koncentracija kraujo plazmoje (C</w:t>
      </w:r>
      <w:r w:rsidRPr="003124CB">
        <w:rPr>
          <w:rFonts w:ascii="Times New Roman" w:eastAsia="TimesNewRoman" w:hAnsi="Times New Roman"/>
          <w:sz w:val="14"/>
          <w:szCs w:val="14"/>
          <w:lang w:eastAsia="lt-LT"/>
        </w:rPr>
        <w:t>max</w:t>
      </w:r>
      <w:r w:rsidRPr="003124CB">
        <w:rPr>
          <w:rFonts w:ascii="Times New Roman" w:eastAsia="TimesNewRoman" w:hAnsi="Times New Roman"/>
          <w:lang w:eastAsia="lt-LT"/>
        </w:rPr>
        <w:t>) paprastai susidaro per 2 valandas. Geometrinis dapagliflozino C</w:t>
      </w:r>
      <w:r w:rsidRPr="003124CB">
        <w:rPr>
          <w:rFonts w:ascii="Times New Roman" w:eastAsia="TimesNewRoman" w:hAnsi="Times New Roman"/>
          <w:sz w:val="14"/>
          <w:szCs w:val="14"/>
          <w:lang w:eastAsia="lt-LT"/>
        </w:rPr>
        <w:t xml:space="preserve">max </w:t>
      </w:r>
      <w:r w:rsidRPr="003124CB">
        <w:rPr>
          <w:rFonts w:ascii="Times New Roman" w:eastAsia="TimesNewRoman" w:hAnsi="Times New Roman"/>
          <w:lang w:eastAsia="lt-LT"/>
        </w:rPr>
        <w:t>ir AUC</w:t>
      </w:r>
      <w:r w:rsidRPr="003124CB">
        <w:rPr>
          <w:rFonts w:ascii="Times New Roman" w:eastAsia="TimesNewRoman" w:hAnsi="Times New Roman"/>
          <w:sz w:val="14"/>
          <w:szCs w:val="14"/>
          <w:lang w:eastAsia="lt-LT"/>
        </w:rPr>
        <w:t>τ</w:t>
      </w:r>
      <w:r w:rsidRPr="003124CB">
        <w:rPr>
          <w:rFonts w:ascii="Times New Roman" w:eastAsia="TimesNewRoman" w:hAnsi="Times New Roman"/>
          <w:lang w:eastAsia="lt-LT"/>
        </w:rPr>
        <w:t xml:space="preserve"> vidurkis vieną kartą per parą vartojant 10 mg dapagliflozino dozę ir nusistovėjus pusiausvyrinei apykaitai buvo atitinkamai 158 ng/ml ir 628 ng*val./ml. Absoliutus dapagliflozino biologinis prieinamumas pavartojus 10 mg dozę per burną yra 78 %. Su riebiu maistu vartojamo dapagliflozino C</w:t>
      </w:r>
      <w:r w:rsidRPr="003124CB">
        <w:rPr>
          <w:rFonts w:ascii="Times New Roman" w:eastAsia="TimesNewRoman" w:hAnsi="Times New Roman"/>
          <w:sz w:val="14"/>
          <w:szCs w:val="14"/>
          <w:lang w:eastAsia="lt-LT"/>
        </w:rPr>
        <w:t xml:space="preserve">max </w:t>
      </w:r>
      <w:r w:rsidRPr="003124CB">
        <w:rPr>
          <w:rFonts w:ascii="Times New Roman" w:eastAsia="TimesNewRoman" w:hAnsi="Times New Roman"/>
          <w:lang w:eastAsia="lt-LT"/>
        </w:rPr>
        <w:t>sumažėjo iki 50 % ir T</w:t>
      </w:r>
      <w:r w:rsidRPr="003124CB">
        <w:rPr>
          <w:rFonts w:ascii="Times New Roman" w:eastAsia="TimesNewRoman" w:hAnsi="Times New Roman"/>
          <w:sz w:val="14"/>
          <w:szCs w:val="14"/>
          <w:lang w:eastAsia="lt-LT"/>
        </w:rPr>
        <w:t xml:space="preserve">max </w:t>
      </w:r>
      <w:r w:rsidRPr="003124CB">
        <w:rPr>
          <w:rFonts w:ascii="Times New Roman" w:eastAsia="TimesNewRoman" w:hAnsi="Times New Roman"/>
          <w:lang w:eastAsia="lt-LT"/>
        </w:rPr>
        <w:t>pailgėjo maždaug 1 val., tačiau įtakos AUC nebūna (palyginti su rodmeniu nevalgius). Šie pokyčiai nelaikomi kliniškai reikšmingais, todėl dapagliflozino galima vartoti neatsižvelgiant į valgį.</w:t>
      </w:r>
    </w:p>
    <w:p w14:paraId="6DAB9AAF"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6B5A16B8" w14:textId="4B599FB3"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Sveikiems asmenims per burną pavartojus 100 mg dozę, sitagliptinas buvo greitai absorbuotas, didžiausia koncentracija kraujo plazmoje (T</w:t>
      </w:r>
      <w:r w:rsidRPr="003124CB">
        <w:rPr>
          <w:rFonts w:ascii="Times New Roman" w:eastAsia="TimesNewRoman" w:hAnsi="Times New Roman"/>
          <w:vertAlign w:val="subscript"/>
        </w:rPr>
        <w:t>max</w:t>
      </w:r>
      <w:r w:rsidRPr="003124CB">
        <w:rPr>
          <w:rFonts w:ascii="Times New Roman" w:eastAsia="TimesNewRoman" w:hAnsi="Times New Roman"/>
        </w:rPr>
        <w:t> mediana) atsirado praėjus 1</w:t>
      </w:r>
      <w:r w:rsidRPr="003124CB">
        <w:rPr>
          <w:rFonts w:ascii="Times New Roman" w:eastAsia="TimesNewRoman" w:hAnsi="Times New Roman"/>
        </w:rPr>
        <w:noBreakHyphen/>
        <w:t>4 valandoms po dozės pavartojimo, vidutinis sitagliptino AUC kraujo plazmoje buvo 8,52 µM</w:t>
      </w:r>
      <w:r w:rsidRPr="003124CB">
        <w:rPr>
          <w:rFonts w:ascii="Times New Roman" w:eastAsia="Times New Roman" w:hAnsi="Times New Roman"/>
          <w:iCs/>
          <w:snapToGrid w:val="0"/>
        </w:rPr>
        <w:t>•</w:t>
      </w:r>
      <w:r w:rsidRPr="003124CB">
        <w:rPr>
          <w:rFonts w:ascii="Times New Roman" w:eastAsia="TimesNewRoman" w:hAnsi="Times New Roman"/>
        </w:rPr>
        <w:t>val., C</w:t>
      </w:r>
      <w:r w:rsidRPr="003124CB">
        <w:rPr>
          <w:rFonts w:ascii="Times New Roman" w:eastAsia="TimesNewRoman" w:hAnsi="Times New Roman"/>
          <w:vertAlign w:val="subscript"/>
        </w:rPr>
        <w:t>max</w:t>
      </w:r>
      <w:r w:rsidRPr="003124CB">
        <w:rPr>
          <w:rFonts w:ascii="Times New Roman" w:eastAsia="TimesNewRoman" w:hAnsi="Times New Roman"/>
        </w:rPr>
        <w:t xml:space="preserve"> – 950 nM. Absoliutus sitagliptino biologinis prieinamumas yra maždaug 87 %. Labai riebus maistas kartu vartoto sitagliptino farmakokinetikai įtakos neturėjo, todėl </w:t>
      </w:r>
      <w:proofErr w:type="spellStart"/>
      <w:r w:rsidRPr="003124CB">
        <w:rPr>
          <w:rFonts w:ascii="Times New Roman" w:eastAsia="Times New Roman" w:hAnsi="Times New Roman"/>
        </w:rPr>
        <w:t>sitagliptin</w:t>
      </w:r>
      <w:r w:rsidR="00810FDC">
        <w:rPr>
          <w:rFonts w:ascii="Times New Roman" w:eastAsia="Times New Roman" w:hAnsi="Times New Roman"/>
        </w:rPr>
        <w:t>o</w:t>
      </w:r>
      <w:proofErr w:type="spellEnd"/>
      <w:r w:rsidRPr="003124CB">
        <w:rPr>
          <w:rFonts w:ascii="Times New Roman" w:eastAsia="TimesNewRoman" w:hAnsi="Times New Roman"/>
          <w:lang w:eastAsia="lt-LT"/>
        </w:rPr>
        <w:t xml:space="preserve"> galima vartoti neatsižvelgiant į valgį</w:t>
      </w:r>
      <w:r w:rsidRPr="003124CB">
        <w:rPr>
          <w:rFonts w:ascii="Times New Roman" w:eastAsia="TimesNewRoman" w:hAnsi="Times New Roman"/>
        </w:rPr>
        <w:t>.</w:t>
      </w:r>
    </w:p>
    <w:p w14:paraId="7A268774"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33275BA9"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Sitagliptino AUC kraujo plazmoje didėjo proporcingai dozei. C</w:t>
      </w:r>
      <w:r w:rsidRPr="003124CB">
        <w:rPr>
          <w:rFonts w:ascii="Times New Roman" w:eastAsia="TimesNewRoman" w:hAnsi="Times New Roman"/>
          <w:vertAlign w:val="subscript"/>
        </w:rPr>
        <w:t xml:space="preserve">max </w:t>
      </w:r>
      <w:r w:rsidRPr="003124CB">
        <w:rPr>
          <w:rFonts w:ascii="Times New Roman" w:eastAsia="TimesNewRoman" w:hAnsi="Times New Roman"/>
        </w:rPr>
        <w:t>ir C</w:t>
      </w:r>
      <w:r w:rsidRPr="003124CB">
        <w:rPr>
          <w:rFonts w:ascii="Times New Roman" w:eastAsia="TimesNewRoman" w:hAnsi="Times New Roman"/>
          <w:vertAlign w:val="subscript"/>
        </w:rPr>
        <w:t>24 val.</w:t>
      </w:r>
      <w:r w:rsidRPr="003124CB">
        <w:rPr>
          <w:rFonts w:ascii="Times New Roman" w:eastAsia="TimesNewRoman" w:hAnsi="Times New Roman"/>
        </w:rPr>
        <w:t xml:space="preserve"> proporcingumas dozei nebuvo patvirtinti (C</w:t>
      </w:r>
      <w:r w:rsidRPr="003124CB">
        <w:rPr>
          <w:rFonts w:ascii="Times New Roman" w:eastAsia="TimesNewRoman" w:hAnsi="Times New Roman"/>
          <w:vertAlign w:val="subscript"/>
        </w:rPr>
        <w:t>max</w:t>
      </w:r>
      <w:r w:rsidRPr="003124CB">
        <w:rPr>
          <w:rFonts w:ascii="Times New Roman" w:eastAsia="TimesNewRoman" w:hAnsi="Times New Roman"/>
        </w:rPr>
        <w:t xml:space="preserve"> didėjo daugiau negu proporcingai dozei, C</w:t>
      </w:r>
      <w:r w:rsidRPr="003124CB">
        <w:rPr>
          <w:rFonts w:ascii="Times New Roman" w:eastAsia="TimesNewRoman" w:hAnsi="Times New Roman"/>
          <w:vertAlign w:val="subscript"/>
        </w:rPr>
        <w:t>24 val.</w:t>
      </w:r>
      <w:r w:rsidRPr="003124CB">
        <w:rPr>
          <w:rFonts w:ascii="Times New Roman" w:eastAsia="TimesNewRoman" w:hAnsi="Times New Roman"/>
        </w:rPr>
        <w:t xml:space="preserve"> – mažiau negu proporcingai dozei).</w:t>
      </w:r>
    </w:p>
    <w:p w14:paraId="07F4393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3F44A0A4"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Pasiskirstymas</w:t>
      </w:r>
    </w:p>
    <w:p w14:paraId="46D3985B"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3E88C0A9"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 xml:space="preserve">Maždaug 91 % dapagliflozino būna prisijungusio prie plazmos baltymų. Sergant įvairiomis ligomis (pvz., sutrikus inkstų ar kepenų funkcijai), jungimasis prie baltymų nepakinta. Vidutinis dapagliflozino pasiskirstymo tūris </w:t>
      </w:r>
      <w:r w:rsidRPr="003124CB">
        <w:rPr>
          <w:rFonts w:ascii="Times New Roman" w:eastAsia="TimesNewRoman" w:hAnsi="Times New Roman"/>
        </w:rPr>
        <w:t>nusistovėjus pusiausvyrinei apykaitai</w:t>
      </w:r>
      <w:r w:rsidRPr="003124CB">
        <w:rPr>
          <w:rFonts w:ascii="Times New Roman" w:eastAsia="TimesNewRoman" w:hAnsi="Times New Roman"/>
          <w:snapToGrid w:val="0"/>
          <w:lang w:eastAsia="lt-LT"/>
        </w:rPr>
        <w:t xml:space="preserve"> yra 118 litrų.</w:t>
      </w:r>
    </w:p>
    <w:p w14:paraId="1F53F8E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7381544B"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Į veną suleidus vieną 100 mg sitagliptino dozę, sveikų asmenų organizme vidutinis pasiskirstymo tūris nusistovėjus pusiausvyrinei apykaitai buvo maždaug 198 litrai. Sitagliptino dalis, kuri grįžtamai prisijungia prie kraujo plazmos baltymų, yra maža (38 %).</w:t>
      </w:r>
    </w:p>
    <w:p w14:paraId="438BA3E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5F1C9D7A"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Biotransformacija</w:t>
      </w:r>
    </w:p>
    <w:p w14:paraId="67D23E1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07A5D4DA"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Dapagliflozinas yra ekstensyviai metabolizuojamas, daugiausia į neaktyvų metabolitą dapagliflozino 3-O-gliukuronidą. Dapagliflozino 3-O-gliukuronidas ir kiti metabolitai neturi įtakos gliukozės koncentraciją mažinančiam poveikiui. Dapagliflozino 3-O-gliukuronido susidarymą katalizuoja UGT1A9 (fermentas, kurio yra kepenyse ir inkstuose), o nuo CYP priklausomo metabolizmo klirensas žmogaus organizme yra nedidelis.</w:t>
      </w:r>
    </w:p>
    <w:p w14:paraId="7FE35B66"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50365EB3"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Sitagliptino metabolizuojama mažai, daugiausiai jis pašalinamas su šlapimu nepakitęs. Maždaug 79 % sitagliptino išsiskiria su šlapimu nepakitusia forma.</w:t>
      </w:r>
    </w:p>
    <w:p w14:paraId="50DBE29A"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1E91052A"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Per burną pavartojus [</w:t>
      </w:r>
      <w:r w:rsidRPr="003124CB">
        <w:rPr>
          <w:rFonts w:ascii="Times New Roman" w:eastAsia="TimesNewRoman" w:hAnsi="Times New Roman"/>
          <w:vertAlign w:val="superscript"/>
        </w:rPr>
        <w:t>14</w:t>
      </w:r>
      <w:r w:rsidRPr="003124CB">
        <w:rPr>
          <w:rFonts w:ascii="Times New Roman" w:eastAsia="TimesNewRoman" w:hAnsi="Times New Roman"/>
        </w:rPr>
        <w:t>C]</w:t>
      </w:r>
      <w:r w:rsidRPr="003124CB">
        <w:rPr>
          <w:rFonts w:ascii="Times New Roman" w:eastAsia="TimesNewRoman" w:hAnsi="Times New Roman"/>
        </w:rPr>
        <w:noBreakHyphen/>
        <w:t>sitagliptino dozę, maždaug 16 % radioaktyvumo buvo pašalinta sitagliptino metabolitų forma. Buvo aptikti šešių metabolitų pėdsakai ir nėra tikėtina, kad jie prisideda prie sitagliptino DPP</w:t>
      </w:r>
      <w:r w:rsidRPr="003124CB">
        <w:rPr>
          <w:rFonts w:ascii="Times New Roman" w:eastAsia="TimesNewRoman" w:hAnsi="Times New Roman"/>
        </w:rPr>
        <w:noBreakHyphen/>
        <w:t xml:space="preserve">4 slopinamojo aktyvumo kraujo plazmoje. Tyrimai </w:t>
      </w:r>
      <w:r w:rsidRPr="003124CB">
        <w:rPr>
          <w:rFonts w:ascii="Times New Roman" w:eastAsia="TimesNewRoman,Italic" w:hAnsi="Times New Roman"/>
          <w:i/>
          <w:iCs/>
        </w:rPr>
        <w:t xml:space="preserve">in vitro </w:t>
      </w:r>
      <w:r w:rsidRPr="003124CB">
        <w:rPr>
          <w:rFonts w:ascii="Times New Roman" w:eastAsia="TimesNewRoman" w:hAnsi="Times New Roman"/>
        </w:rPr>
        <w:t>parodė, kad svarbiausias fermentas, atsakingas už ribotą sitagliptino metabolizmą, yra CYP3A4, dalyvaujant ir CYP2C8.</w:t>
      </w:r>
    </w:p>
    <w:p w14:paraId="3C7FE038"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10C99485"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 xml:space="preserve">Tyrimų </w:t>
      </w:r>
      <w:r w:rsidRPr="003124CB">
        <w:rPr>
          <w:rFonts w:ascii="Times New Roman" w:eastAsia="TimesNewRoman,Italic" w:hAnsi="Times New Roman"/>
          <w:i/>
          <w:iCs/>
        </w:rPr>
        <w:t xml:space="preserve">in vitro </w:t>
      </w:r>
      <w:r w:rsidRPr="003124CB">
        <w:rPr>
          <w:rFonts w:ascii="Times New Roman" w:eastAsia="TimesNewRoman" w:hAnsi="Times New Roman"/>
        </w:rPr>
        <w:t>duomenys rodo, kad sitagliptinas CYP izofermentų CYP3A4, 2C8, 2C9, 2D6, 1A2, 2C19 bei 2B6 neslopina, o CYP3A4 ir CYP1A2 neindukuoja.</w:t>
      </w:r>
    </w:p>
    <w:p w14:paraId="2053736E"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3C8016E2"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Eliminacija</w:t>
      </w:r>
    </w:p>
    <w:p w14:paraId="18FAA05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61E6D577" w14:textId="485083A6"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Dapagliflozino vidutinis galutinis pusinės eliminacijos iš kraujo plazmos laikas (t</w:t>
      </w:r>
      <w:r w:rsidRPr="003124CB">
        <w:rPr>
          <w:rFonts w:ascii="Times New Roman" w:eastAsia="TimesNewRoman" w:hAnsi="Times New Roman"/>
          <w:sz w:val="14"/>
          <w:szCs w:val="14"/>
          <w:lang w:eastAsia="lt-LT"/>
        </w:rPr>
        <w:t>1/2</w:t>
      </w:r>
      <w:r w:rsidRPr="003124CB">
        <w:rPr>
          <w:rFonts w:ascii="Times New Roman" w:eastAsia="TimesNewRoman" w:hAnsi="Times New Roman"/>
          <w:lang w:eastAsia="lt-LT"/>
        </w:rPr>
        <w:t xml:space="preserve">) sveikiems asmenims per burną pavartojus vieną 10 mg dozę yra 12,9 val. Į veną </w:t>
      </w:r>
      <w:r w:rsidR="008F0CD2">
        <w:rPr>
          <w:rFonts w:ascii="Times New Roman" w:eastAsia="TimesNewRoman" w:hAnsi="Times New Roman"/>
          <w:lang w:eastAsia="lt-LT"/>
        </w:rPr>
        <w:t>suleisto</w:t>
      </w:r>
      <w:r w:rsidR="008F0CD2" w:rsidRPr="003124CB">
        <w:rPr>
          <w:rFonts w:ascii="Times New Roman" w:eastAsia="TimesNewRoman" w:hAnsi="Times New Roman"/>
          <w:lang w:eastAsia="lt-LT"/>
        </w:rPr>
        <w:t xml:space="preserve"> </w:t>
      </w:r>
      <w:r w:rsidRPr="003124CB">
        <w:rPr>
          <w:rFonts w:ascii="Times New Roman" w:eastAsia="TimesNewRoman" w:hAnsi="Times New Roman"/>
          <w:lang w:eastAsia="lt-LT"/>
        </w:rPr>
        <w:t xml:space="preserve">dapagliflozino vidutinis bendras sisteminis klirensas yra 207 ml/min. Daugiausia dapagliflozino ir su juo susijusių metabolitų šalinama išskiriant su šlapimu, nepakitusio dapagliflozino išskiriama mažiau nei 2 %. Pavartojus 50 mg </w:t>
      </w:r>
      <w:r w:rsidRPr="003124CB">
        <w:rPr>
          <w:rFonts w:ascii="Times New Roman" w:eastAsia="TimesNewRoman" w:hAnsi="Times New Roman"/>
        </w:rPr>
        <w:t>[</w:t>
      </w:r>
      <w:r w:rsidRPr="003124CB">
        <w:rPr>
          <w:rFonts w:ascii="Times New Roman" w:eastAsia="TimesNewRoman" w:hAnsi="Times New Roman"/>
          <w:vertAlign w:val="superscript"/>
        </w:rPr>
        <w:t>14</w:t>
      </w:r>
      <w:r w:rsidRPr="003124CB">
        <w:rPr>
          <w:rFonts w:ascii="Times New Roman" w:eastAsia="TimesNewRoman" w:hAnsi="Times New Roman"/>
        </w:rPr>
        <w:t>C]</w:t>
      </w:r>
      <w:r w:rsidRPr="003124CB">
        <w:rPr>
          <w:rFonts w:ascii="Times New Roman" w:eastAsia="TimesNewRoman" w:hAnsi="Times New Roman"/>
        </w:rPr>
        <w:noBreakHyphen/>
      </w:r>
      <w:r w:rsidRPr="003124CB">
        <w:rPr>
          <w:rFonts w:ascii="Times New Roman" w:eastAsia="TimesNewRoman" w:hAnsi="Times New Roman"/>
          <w:lang w:eastAsia="lt-LT"/>
        </w:rPr>
        <w:t>dapagliflozino dozę, buvo išskirta 96 % radioaktyvumo (75 % šlapime ir 21% išmatose). Su išmatomis nepakitusia forma išsiskyrė maždaug 15 % dozės.</w:t>
      </w:r>
    </w:p>
    <w:p w14:paraId="6F983395"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3CFFD6E9"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rPr>
        <w:t>Sveikiems asmenims per burną pavartojus 100 mg [</w:t>
      </w:r>
      <w:r w:rsidRPr="003124CB">
        <w:rPr>
          <w:rFonts w:ascii="Times New Roman" w:eastAsia="TimesNewRoman" w:hAnsi="Times New Roman"/>
          <w:vertAlign w:val="superscript"/>
        </w:rPr>
        <w:t>14</w:t>
      </w:r>
      <w:r w:rsidRPr="003124CB">
        <w:rPr>
          <w:rFonts w:ascii="Times New Roman" w:eastAsia="TimesNewRoman" w:hAnsi="Times New Roman"/>
        </w:rPr>
        <w:t>C]</w:t>
      </w:r>
      <w:r w:rsidRPr="003124CB">
        <w:rPr>
          <w:rFonts w:ascii="Times New Roman" w:eastAsia="TimesNewRoman" w:hAnsi="Times New Roman"/>
        </w:rPr>
        <w:noBreakHyphen/>
        <w:t>sitagliptino dozę, per savaitę išsiskyrė maždaug 100 % radioaktyvumo (13 % su išmatomis ir 87 % su šlapimu). Pavartojus per burną 100 mg sitagliptino dozę, tariamasis galutinis pusinės eliminacijos laikas (t</w:t>
      </w:r>
      <w:r w:rsidRPr="003124CB">
        <w:rPr>
          <w:rFonts w:ascii="Times New Roman" w:eastAsia="TimesNewRoman" w:hAnsi="Times New Roman"/>
          <w:vertAlign w:val="subscript"/>
        </w:rPr>
        <w:t>½</w:t>
      </w:r>
      <w:r w:rsidRPr="003124CB">
        <w:rPr>
          <w:rFonts w:ascii="Times New Roman" w:eastAsia="TimesNewRoman" w:hAnsi="Times New Roman"/>
        </w:rPr>
        <w:t xml:space="preserve">) buvo maždaug 12,4 valandos. </w:t>
      </w:r>
      <w:r w:rsidRPr="003124CB">
        <w:rPr>
          <w:rFonts w:ascii="Times New Roman" w:eastAsia="TimesNewRoman" w:hAnsi="Times New Roman"/>
          <w:szCs w:val="24"/>
        </w:rPr>
        <w:t>Vartojant kartotines dozes, sitagliptino organizme kaupiasi labai nedaug. Inkstų klirensas buvo maždaug 350 ml/min.</w:t>
      </w:r>
    </w:p>
    <w:p w14:paraId="3DE4852E"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02D61C11"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Sitagliptinas šalinamas daugiausiai per inkstus, vyksta aktyvi sekrecija į kanalėlius. Sitagliptinas yra žmogaus organinių anijonų nešiklio</w:t>
      </w:r>
      <w:r w:rsidRPr="003124CB">
        <w:rPr>
          <w:rFonts w:ascii="Times New Roman" w:eastAsia="TimesNewRoman" w:hAnsi="Times New Roman"/>
          <w:szCs w:val="24"/>
        </w:rPr>
        <w:noBreakHyphen/>
        <w:t>3 (angl.</w:t>
      </w:r>
      <w:r w:rsidRPr="003124CB">
        <w:rPr>
          <w:rFonts w:ascii="Times New Roman" w:eastAsia="TimesNewRoman" w:hAnsi="Times New Roman"/>
          <w:i/>
          <w:szCs w:val="24"/>
        </w:rPr>
        <w:t xml:space="preserve"> </w:t>
      </w:r>
      <w:r w:rsidRPr="003124CB">
        <w:rPr>
          <w:rFonts w:ascii="Times New Roman" w:eastAsia="Times New Roman" w:hAnsi="Times New Roman"/>
          <w:i/>
          <w:snapToGrid w:val="0"/>
        </w:rPr>
        <w:t>human organic anion transporter-3</w:t>
      </w:r>
      <w:r w:rsidRPr="003124CB">
        <w:rPr>
          <w:rFonts w:ascii="Times New Roman" w:eastAsia="Times New Roman" w:hAnsi="Times New Roman"/>
          <w:iCs/>
          <w:snapToGrid w:val="0"/>
        </w:rPr>
        <w:t xml:space="preserve">, </w:t>
      </w:r>
      <w:r w:rsidRPr="003124CB">
        <w:rPr>
          <w:rFonts w:ascii="Times New Roman" w:eastAsia="TimesNewRoman" w:hAnsi="Times New Roman"/>
          <w:szCs w:val="24"/>
        </w:rPr>
        <w:t>hOAT</w:t>
      </w:r>
      <w:r w:rsidRPr="003124CB">
        <w:rPr>
          <w:rFonts w:ascii="Times New Roman" w:eastAsia="TimesNewRoman" w:hAnsi="Times New Roman"/>
          <w:szCs w:val="24"/>
        </w:rPr>
        <w:noBreakHyphen/>
        <w:t>3), kuris galbūt dalyvauja ir sitagliptino šalinime per inkstus, substratas. Klinikinė hOAT</w:t>
      </w:r>
      <w:r w:rsidRPr="003124CB">
        <w:rPr>
          <w:rFonts w:ascii="Times New Roman" w:eastAsia="TimesNewRoman" w:hAnsi="Times New Roman"/>
          <w:szCs w:val="24"/>
        </w:rPr>
        <w:noBreakHyphen/>
        <w:t xml:space="preserve">3 dalyvavimo sitagliptino pernašoje reikšmė nenustatyta. Be to, sitagliptinas yra ir p-glikoproteino, taip pat galinčio dalyvauti sitagliptino šalinime per inkstus, substratas. Vis dėlto p-glikoproteino inhibitorius ciklosporinas sitagliptino inkstų klirenso nemažina. Sitagliptinas nėra nešiklių OCT2, OAT1 ar PEPT1/2 substratas. </w:t>
      </w:r>
      <w:r w:rsidRPr="003124CB">
        <w:rPr>
          <w:rFonts w:ascii="Times New Roman" w:eastAsia="TimesNewRoman,Italic" w:hAnsi="Times New Roman"/>
          <w:i/>
          <w:szCs w:val="24"/>
        </w:rPr>
        <w:t xml:space="preserve">In vitro, </w:t>
      </w:r>
      <w:r w:rsidRPr="003124CB">
        <w:rPr>
          <w:rFonts w:ascii="Times New Roman" w:eastAsia="TimesNewRoman" w:hAnsi="Times New Roman"/>
          <w:szCs w:val="24"/>
        </w:rPr>
        <w:t>esant terapiniu požiūriu reikšmingai sitagliptino koncentracijai, OAT3 (IC</w:t>
      </w:r>
      <w:r w:rsidRPr="003124CB">
        <w:rPr>
          <w:rFonts w:ascii="Times New Roman" w:eastAsia="TimesNewRoman" w:hAnsi="Times New Roman"/>
          <w:szCs w:val="24"/>
          <w:vertAlign w:val="subscript"/>
        </w:rPr>
        <w:t>50</w:t>
      </w:r>
      <w:r w:rsidRPr="003124CB">
        <w:rPr>
          <w:rFonts w:ascii="Times New Roman" w:eastAsia="TimesNewRoman" w:hAnsi="Times New Roman"/>
          <w:szCs w:val="24"/>
        </w:rPr>
        <w:t> = 160 µM) ar p-glikoproteino (iki 250 µM) vykdoma pernaša nebuvo slopinama. Klinikinio tyrimo metu sitagliptinas šiek tiek veikė digoksino koncentraciją kraujo plazmoje: tai rodo, kad sitagliptinas gali būti silpnas p-glikoproteino inhibitorius.</w:t>
      </w:r>
    </w:p>
    <w:p w14:paraId="6AFF704B"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6483EF52"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Tiesinis pobūdis</w:t>
      </w:r>
    </w:p>
    <w:p w14:paraId="34811A4C"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57DA929A"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Dapagliflozino ekspozicija didėja proporcingai jo dozės didinimui diapazone nuo 0,1 iki 500 mg; kartotinai vartojant paros dozes iki 24 savaičių, farmakokinetika bėgant laikui nepakito.</w:t>
      </w:r>
    </w:p>
    <w:p w14:paraId="7736F23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11F7F544"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r w:rsidRPr="003124CB">
        <w:rPr>
          <w:rFonts w:ascii="Times New Roman" w:eastAsia="Times New Roman" w:hAnsi="Times New Roman"/>
          <w:iCs/>
          <w:u w:val="single"/>
        </w:rPr>
        <w:t>Ypatingos populiacijos</w:t>
      </w:r>
    </w:p>
    <w:p w14:paraId="7088E2C7"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4E70EB85"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r w:rsidRPr="003124CB">
        <w:rPr>
          <w:rFonts w:ascii="Times New Roman" w:eastAsia="Times New Roman" w:hAnsi="Times New Roman"/>
          <w:iCs/>
        </w:rPr>
        <w:t>Sveikų asmenų ar pacientų, sirgusių 2 tipo cukriniu diabetu, organizme sitagliptino farmakokinetika apskritai buvo panaši.</w:t>
      </w:r>
    </w:p>
    <w:p w14:paraId="5D0837A3"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1F4B5EC1"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
          <w:iCs/>
        </w:rPr>
      </w:pPr>
      <w:r w:rsidRPr="003124CB">
        <w:rPr>
          <w:rFonts w:ascii="Times New Roman" w:eastAsia="Times New Roman" w:hAnsi="Times New Roman"/>
          <w:i/>
          <w:iCs/>
        </w:rPr>
        <w:t>Sutrikusi inkstų funkcija</w:t>
      </w:r>
    </w:p>
    <w:p w14:paraId="297ED33A" w14:textId="04D27B51"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Nusistovėjus pusiausvyrinei apykaitai (7 dienas vartojus 20 mg dapagliflozino vieną kartą per parą), 2 tipo cukriniu diabetu sirgusiems asmenims, kuriems buvo lengvas, vidutinio sunkumo ar sunkus inkstų funkcijos sutrikimas (pagal joheksolio kraujo plazmos klirensą), </w:t>
      </w:r>
      <w:r w:rsidR="00060F13">
        <w:rPr>
          <w:rFonts w:ascii="Times New Roman" w:eastAsia="TimesNewRoman" w:hAnsi="Times New Roman"/>
          <w:lang w:eastAsia="lt-LT"/>
        </w:rPr>
        <w:t xml:space="preserve">vidutinė </w:t>
      </w:r>
      <w:r w:rsidRPr="003124CB">
        <w:rPr>
          <w:rFonts w:ascii="Times New Roman" w:eastAsia="TimesNewRoman" w:hAnsi="Times New Roman"/>
          <w:lang w:eastAsia="lt-LT"/>
        </w:rPr>
        <w:t xml:space="preserve">sisteminė dapagliflozino ekspozicija buvo atitinkamai 32 %, 60 % ir 87 % didesnė negu nustatyta tiriamiesiems, kurie sirgo 2 tipo cukriniu diabetu ir kurių inkstų funkcija buvo normali. Gliukozės </w:t>
      </w:r>
      <w:r w:rsidR="00322421">
        <w:rPr>
          <w:rFonts w:ascii="Times New Roman" w:eastAsia="TimesNewRoman" w:hAnsi="Times New Roman"/>
          <w:lang w:eastAsia="lt-LT"/>
        </w:rPr>
        <w:t>koncentracija</w:t>
      </w:r>
      <w:r w:rsidR="00322421" w:rsidRPr="003124CB">
        <w:rPr>
          <w:rFonts w:ascii="Times New Roman" w:eastAsia="TimesNewRoman" w:hAnsi="Times New Roman"/>
          <w:lang w:eastAsia="lt-LT"/>
        </w:rPr>
        <w:t xml:space="preserve"> </w:t>
      </w:r>
      <w:r w:rsidRPr="003124CB">
        <w:rPr>
          <w:rFonts w:ascii="Times New Roman" w:eastAsia="TimesNewRoman" w:hAnsi="Times New Roman"/>
          <w:lang w:eastAsia="lt-LT"/>
        </w:rPr>
        <w:t>24 valandų laikotarpiu rinktame šlapime nusistovėjus pusiausvyrinei apykaitai labai priklausė nuo inkstų funkcijos: 2 tipo cukriniu diabetu sirgusių pacientų, kurių inkstų funkcija buvo normali ar kuriems buvo lengvas, vidutinio sunkumo ar sunkus inkstų funkcijos sutrikimas, paros šlapime buvo rasta atitinkamai 85 g, 52 g, 18 g ir 11 g gliukozės. Hemodializės įtaka dapagliflozino ekspozicijai nežinoma. Susilpnėjusios inkstų funkcijos poveikis sisteminei ekspozicijai vertintas naudojant populiacinės farmakokinetikos modelį. Kaip ir buvo tikėtasi atsižvelgiant į ankstesnius duomenis, sumodeliuotas AUC lėtine inkstų liga sergantiems pacientams buvo didesnis negu turintiems normalią inkstų funkciją; lėtinę inkstų ligą turintiems pacientams, kurie serga ir neserga 2 tipo cukriniu diabetu, jis reikšmingai nesiskyrė.</w:t>
      </w:r>
    </w:p>
    <w:p w14:paraId="017A2BFF"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46F67388"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Buvo atliktas vienos dozės atviras klinikinis tyrimas, kurio metu vertinta sumažintos sitagliptino dozės (50 mg) farmakokinetika pacientų, sirgusių įvairaus sunkumo lėtiniu inkstų funkcijos sutrikimu, organizme, palyginti su farmakokinetika sveikų kontrolinės grupės tiriamųjų organizme. Tyrime dalyvavo pacientai, kuriems buvo nustatytas lengvas, vidutinio sunkumo ar sunkus inkstų funkcijos sutrikimas, įskaitant GSIL sergančius ir hemodializėmis gydomus pacientus. Be to, inkstų funkcijos sutrikimo įtaka sitagliptino farmakokinetikai 2 tipo cukriniu diabetu sirgusiems pacientams, kuriems buvo lengvas, vidutinio sunkumo ar sunkus inkstų funkcijos sutrikimas (įskaitant GSIL), buvo įvertinta populiacinės farmakokinetikos analizės metodu.</w:t>
      </w:r>
    </w:p>
    <w:p w14:paraId="77BB1473"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5F0C8898"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Lyginant su sveikais kontrolinės grupės tiriamaisiais, pacientams, kuriems buvo lengvas inkstų funkcijos sutrikimas (GFG nuo ≥ 60 ml/min. iki &lt; 90 ml/min.) arba vidutinio sunkumo inkstų funkcijos sutrikimas (GFG nuo ≥ 45 ml/min. iki &lt; 60 ml/min.), sitagliptino AUC kraujo plazmoje buvo padidėjęs atitinkamai maždaug 1,2 karto ir 1,6 karto. Kadangi toks padidėjimas nėra kliniškai reikšmingas, tokiems pacientams dozės keisti nereikia.</w:t>
      </w:r>
    </w:p>
    <w:p w14:paraId="7EE12321"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1E0DA91E" w14:textId="77777777" w:rsidR="003124CB" w:rsidRPr="003124CB" w:rsidRDefault="003124CB" w:rsidP="003124CB">
      <w:pPr>
        <w:widowControl w:val="0"/>
        <w:tabs>
          <w:tab w:val="left" w:pos="567"/>
        </w:tabs>
        <w:spacing w:after="0" w:line="240" w:lineRule="auto"/>
        <w:rPr>
          <w:rFonts w:ascii="Times New Roman" w:eastAsia="Times New Roman" w:hAnsi="Times New Roman"/>
          <w:iCs/>
        </w:rPr>
      </w:pPr>
      <w:r w:rsidRPr="003124CB">
        <w:rPr>
          <w:rFonts w:ascii="Times New Roman" w:eastAsia="TimesNewRoman" w:hAnsi="Times New Roman"/>
          <w:szCs w:val="24"/>
        </w:rPr>
        <w:t>Pacientų, kuriems buvo vidutinio sunkumo inkstų funkcijos sutrikimas (GFG nuo ≥ 30 ml/min. iki &lt; 45 ml/min.), organizme sitagliptino AUC kraujo plazmoje buvo padidėjęs maždaug 2 kartus, o pacientų, kuriems buvo sunkus inkstų funkcijos sutrikimas (GFG &lt; 30 ml/min.), įskaitant GSIL sergančius ir hemodializėmis gydomus pacientus – maždaug 4 kartus. Hemodialize sitagliptino buvo pašalinta nedaug (13,5 % per 3</w:t>
      </w:r>
      <w:r w:rsidRPr="003124CB">
        <w:rPr>
          <w:rFonts w:ascii="Times New Roman" w:eastAsia="TimesNewRoman" w:hAnsi="Times New Roman"/>
          <w:szCs w:val="24"/>
        </w:rPr>
        <w:noBreakHyphen/>
        <w:t xml:space="preserve">4 valandų hemodializę, kuri buvo pradėta praėjus 4 val. po dozės pavartojimo). </w:t>
      </w:r>
      <w:r w:rsidRPr="003124CB">
        <w:rPr>
          <w:rFonts w:ascii="Times New Roman" w:eastAsia="Times New Roman" w:hAnsi="Times New Roman"/>
          <w:iCs/>
        </w:rPr>
        <w:t>Šio vaistinio preparato negalima pradėti vartoti pacientams, kurių GFG yra &lt; 60 ml/min., o jei GFG nuolat mažesnis nei 45 ml/min., jo vartojimą reikia nutraukti. Jo taip pat negalima vartoti pacientams, sergantiems GSIL (žr. 4.2 ir 4.4 skyrius).</w:t>
      </w:r>
    </w:p>
    <w:p w14:paraId="0D1DAEC1"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46C5E732"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
          <w:iCs/>
        </w:rPr>
      </w:pPr>
      <w:r w:rsidRPr="003124CB">
        <w:rPr>
          <w:rFonts w:ascii="Times New Roman" w:eastAsia="Times New Roman" w:hAnsi="Times New Roman"/>
          <w:i/>
          <w:iCs/>
        </w:rPr>
        <w:t>Sutrikusi kepenų funkcija</w:t>
      </w:r>
    </w:p>
    <w:p w14:paraId="31435523" w14:textId="4F6F4701"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 xml:space="preserve">Asmenų, kuriems yra lengvas arba vidutinio sunkumo kepenų funkcijos sutrikimas (A ir B klasė pagal </w:t>
      </w:r>
      <w:r w:rsidRPr="003124CB">
        <w:rPr>
          <w:rFonts w:ascii="Times New Roman" w:eastAsia="TimesNewRoman" w:hAnsi="Times New Roman"/>
          <w:i/>
          <w:iCs/>
          <w:snapToGrid w:val="0"/>
          <w:lang w:eastAsia="lt-LT"/>
        </w:rPr>
        <w:t>Child-Pugh</w:t>
      </w:r>
      <w:r w:rsidRPr="003124CB">
        <w:rPr>
          <w:rFonts w:ascii="Times New Roman" w:eastAsia="TimesNewRoman" w:hAnsi="Times New Roman"/>
          <w:snapToGrid w:val="0"/>
          <w:lang w:eastAsia="lt-LT"/>
        </w:rPr>
        <w:t>), dapagliflozino vidutinis C</w:t>
      </w:r>
      <w:r w:rsidRPr="003124CB">
        <w:rPr>
          <w:rFonts w:ascii="Times New Roman" w:eastAsia="TimesNewRoman" w:hAnsi="Times New Roman"/>
          <w:snapToGrid w:val="0"/>
          <w:sz w:val="14"/>
          <w:szCs w:val="14"/>
          <w:lang w:eastAsia="lt-LT"/>
        </w:rPr>
        <w:t xml:space="preserve">max </w:t>
      </w:r>
      <w:r w:rsidRPr="003124CB">
        <w:rPr>
          <w:rFonts w:ascii="Times New Roman" w:eastAsia="TimesNewRoman" w:hAnsi="Times New Roman"/>
          <w:snapToGrid w:val="0"/>
          <w:lang w:eastAsia="lt-LT"/>
        </w:rPr>
        <w:t xml:space="preserve">ir AUC buvo atitinkamai iki 12 % ir iki 36% didesni nei atitinkamiems sveikiems kontrolinės grupės asmenims nustatyti rodmenys. Šie skirtumai nebuvo laikomi kliniškai reikšmingais. Asmenims, kuriems yra sunkus kepenų funkcijos sutrikimas (C klasė pagal </w:t>
      </w:r>
      <w:r w:rsidRPr="003124CB">
        <w:rPr>
          <w:rFonts w:ascii="Times New Roman" w:eastAsia="TimesNewRoman" w:hAnsi="Times New Roman"/>
          <w:i/>
          <w:iCs/>
          <w:snapToGrid w:val="0"/>
          <w:lang w:eastAsia="lt-LT"/>
        </w:rPr>
        <w:t>Child-Pugh</w:t>
      </w:r>
      <w:r w:rsidRPr="003124CB">
        <w:rPr>
          <w:rFonts w:ascii="Times New Roman" w:eastAsia="TimesNewRoman" w:hAnsi="Times New Roman"/>
          <w:snapToGrid w:val="0"/>
          <w:lang w:eastAsia="lt-LT"/>
        </w:rPr>
        <w:t>), dapagliflozino vidutinis C</w:t>
      </w:r>
      <w:r w:rsidRPr="003124CB">
        <w:rPr>
          <w:rFonts w:ascii="Times New Roman" w:eastAsia="TimesNewRoman" w:hAnsi="Times New Roman"/>
          <w:snapToGrid w:val="0"/>
          <w:sz w:val="14"/>
          <w:szCs w:val="14"/>
          <w:lang w:eastAsia="lt-LT"/>
        </w:rPr>
        <w:t xml:space="preserve">max </w:t>
      </w:r>
      <w:r w:rsidRPr="003124CB">
        <w:rPr>
          <w:rFonts w:ascii="Times New Roman" w:eastAsia="TimesNewRoman" w:hAnsi="Times New Roman"/>
          <w:snapToGrid w:val="0"/>
          <w:lang w:eastAsia="lt-LT"/>
        </w:rPr>
        <w:t>ir AUC buvo atitinkamai 40 % ir 67 % didesni negu atitinkamiems sveikiems kontrolinės grupės asmenims nustatyti rodmenys.</w:t>
      </w:r>
    </w:p>
    <w:p w14:paraId="7F25EFBC"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6D6AFF32"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 xml:space="preserve">Pacientams, kuriems yra lengvas arba vidutinio sunkumo kepenų funkcijos sutrikimas (≤ 9 balai pagal </w:t>
      </w:r>
      <w:r w:rsidRPr="003124CB">
        <w:rPr>
          <w:rFonts w:ascii="Times New Roman" w:eastAsia="TimesNewRoman" w:hAnsi="Times New Roman"/>
          <w:i/>
          <w:szCs w:val="24"/>
        </w:rPr>
        <w:t>Child</w:t>
      </w:r>
      <w:r w:rsidRPr="003124CB">
        <w:rPr>
          <w:rFonts w:ascii="Times New Roman" w:eastAsia="TimesNewRoman" w:hAnsi="Times New Roman"/>
          <w:i/>
          <w:szCs w:val="24"/>
        </w:rPr>
        <w:noBreakHyphen/>
        <w:t>Pugh</w:t>
      </w:r>
      <w:r w:rsidRPr="003124CB">
        <w:rPr>
          <w:rFonts w:ascii="Times New Roman" w:eastAsia="TimesNewRoman" w:hAnsi="Times New Roman"/>
          <w:szCs w:val="24"/>
        </w:rPr>
        <w:t xml:space="preserve">), sitagliptino dozės keisti nereikia. Pacientų, kuriems yra sunkus kepenų funkcijos sutrikimas (&gt; 9 balai pagal </w:t>
      </w:r>
      <w:r w:rsidRPr="003124CB">
        <w:rPr>
          <w:rFonts w:ascii="Times New Roman" w:eastAsia="TimesNewRoman" w:hAnsi="Times New Roman"/>
          <w:i/>
          <w:szCs w:val="24"/>
        </w:rPr>
        <w:t>Child</w:t>
      </w:r>
      <w:r w:rsidRPr="003124CB">
        <w:rPr>
          <w:rFonts w:ascii="Times New Roman" w:eastAsia="TimesNewRoman" w:hAnsi="Times New Roman"/>
          <w:i/>
          <w:szCs w:val="24"/>
        </w:rPr>
        <w:noBreakHyphen/>
        <w:t>Pugh</w:t>
      </w:r>
      <w:r w:rsidRPr="003124CB">
        <w:rPr>
          <w:rFonts w:ascii="Times New Roman" w:eastAsia="TimesNewRoman" w:hAnsi="Times New Roman"/>
          <w:szCs w:val="24"/>
        </w:rPr>
        <w:t>), klinikinės gydymo patirties nėra. Vis dėlto nėra tikėtina, kad sunkus kepenų sutrikimas gali paveikti sitagliptino farmakokinetiką, nes daugiausiai sitagliptino pašalinama per inkstus.</w:t>
      </w:r>
    </w:p>
    <w:p w14:paraId="3CCD23C4"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24E1E0C2"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
          <w:iCs/>
        </w:rPr>
      </w:pPr>
      <w:r w:rsidRPr="003124CB">
        <w:rPr>
          <w:rFonts w:ascii="Times New Roman" w:eastAsia="Times New Roman" w:hAnsi="Times New Roman"/>
          <w:i/>
          <w:iCs/>
        </w:rPr>
        <w:t>Senyvi (≥ 65 metų) žmonės</w:t>
      </w:r>
    </w:p>
    <w:p w14:paraId="0878420E" w14:textId="77777777"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Vien dėl amžiaus asmenims iki 70 metų ekspozicija kliniškai reikšmingai nepadidėja. Vis dėlto galima tikėtis ekspozicijos padidėjimo dėl su amžiumi susijusio inkstų funkcijos silpnėjimo. Duomenų daryti išvadoms dėl </w:t>
      </w:r>
      <w:r w:rsidRPr="003124CB">
        <w:rPr>
          <w:rFonts w:ascii="Times New Roman" w:eastAsia="TimesNewRoman" w:hAnsi="Times New Roman"/>
          <w:snapToGrid w:val="0"/>
          <w:lang w:eastAsia="lt-LT"/>
        </w:rPr>
        <w:t xml:space="preserve">dapagliflozino </w:t>
      </w:r>
      <w:r w:rsidRPr="003124CB">
        <w:rPr>
          <w:rFonts w:ascii="Times New Roman" w:eastAsia="TimesNewRoman" w:hAnsi="Times New Roman"/>
          <w:lang w:eastAsia="lt-LT"/>
        </w:rPr>
        <w:t>ekspozicijos vyresniems kaip 70 metų pacientams nepakanka.</w:t>
      </w:r>
    </w:p>
    <w:p w14:paraId="088AC2D2"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4E609A73"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r w:rsidRPr="003124CB">
        <w:rPr>
          <w:rFonts w:ascii="Times New Roman" w:eastAsia="Times New Roman" w:hAnsi="Times New Roman"/>
          <w:iCs/>
        </w:rPr>
        <w:t>Atsižvelgiant į amžių, sitagliptino dozės keisti nereikia. Remiantis I ir II fazės tyrimų metu gautų duomenų populiacijos farmakokinetikos analize, amžius sitagliptino farmakokinetikai kliniškai reikšmingo poveikio nedarė. Senyvų (65-80 metų) asmenų kraujo plazmoje sitagliptino koncentracija buvo maždaug 19 % didesnė nei nustatyta jaunesnių asmenų kraujo plazmoje.</w:t>
      </w:r>
    </w:p>
    <w:p w14:paraId="6B121567"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2FCBF247"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
          <w:iCs/>
        </w:rPr>
      </w:pPr>
      <w:r w:rsidRPr="003124CB">
        <w:rPr>
          <w:rFonts w:ascii="Times New Roman" w:eastAsia="Times New Roman" w:hAnsi="Times New Roman"/>
          <w:i/>
          <w:iCs/>
        </w:rPr>
        <w:t>Vaikų populiacija</w:t>
      </w:r>
    </w:p>
    <w:p w14:paraId="3E1A49F6" w14:textId="77777777" w:rsidR="003124CB" w:rsidRPr="003124CB" w:rsidRDefault="003124CB" w:rsidP="003124CB">
      <w:pPr>
        <w:tabs>
          <w:tab w:val="left" w:pos="567"/>
        </w:tabs>
        <w:autoSpaceDE w:val="0"/>
        <w:autoSpaceDN w:val="0"/>
        <w:adjustRightInd w:val="0"/>
        <w:spacing w:after="0" w:line="260" w:lineRule="exact"/>
        <w:rPr>
          <w:rFonts w:ascii="Times New Roman" w:eastAsia="TimesNewRoman" w:hAnsi="Times New Roman"/>
          <w:snapToGrid w:val="0"/>
          <w:lang w:eastAsia="lt-LT"/>
        </w:rPr>
      </w:pPr>
      <w:r w:rsidRPr="003124CB">
        <w:rPr>
          <w:rFonts w:ascii="Times New Roman" w:eastAsia="TimesNewRoman" w:hAnsi="Times New Roman"/>
          <w:snapToGrid w:val="0"/>
          <w:lang w:eastAsia="lt-LT"/>
        </w:rPr>
        <w:t>Dapagliflozino farmakokinetika ir farmakodinamika (gliukozurija) 2 tipo cukriniu diabetu sirgusiems 10-17 metų vaikams buvo panaši į nustatytą 2 tipo cukriniu diabetu sirgusiems suaugusiesiems.</w:t>
      </w:r>
    </w:p>
    <w:p w14:paraId="119436BD"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7E04B85D" w14:textId="17A00E5C"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 xml:space="preserve">Buvo ištirtos sitagliptino (vienkartinių 50 mg, 100 mg ir 200 mg dozių) farmakokinetinės savybės 2 tipo cukriniu diabetu sergantiems vaikams (nuo 10 iki 17 metų). Šioje populiacijoje pagal dozę koreguotas sitagliptino AUC rodmuo kraujo plazmoje buvo maždaug 18 % mažesnis, lyginant su nustatytuoju rodmeniu 2 tipo cukriniu diabetu sergantiems suaugusiems pacientams, kurie vartojo 100 mg dozę. Šis skirtumas, lyginant su suaugusiais pacientais, nelaikomas kliniškai reikšmingu, atsižvelgiant į plokščią FK / FD </w:t>
      </w:r>
      <w:r w:rsidR="006A3E9E">
        <w:rPr>
          <w:rFonts w:ascii="Times New Roman" w:eastAsia="TimesNewRoman" w:hAnsi="Times New Roman"/>
          <w:szCs w:val="24"/>
        </w:rPr>
        <w:t>santykis</w:t>
      </w:r>
      <w:r w:rsidR="006A3E9E" w:rsidRPr="003124CB">
        <w:rPr>
          <w:rFonts w:ascii="Times New Roman" w:eastAsia="TimesNewRoman" w:hAnsi="Times New Roman"/>
          <w:szCs w:val="24"/>
        </w:rPr>
        <w:t xml:space="preserve"> </w:t>
      </w:r>
      <w:r w:rsidRPr="003124CB">
        <w:rPr>
          <w:rFonts w:ascii="Times New Roman" w:eastAsia="TimesNewRoman" w:hAnsi="Times New Roman"/>
          <w:szCs w:val="24"/>
        </w:rPr>
        <w:t>tarp 50 mg ir 100 mg dozių. Su jaunesniais kaip 10 metų vaikais klinikinių sitagliptino tyrimų neatlikta.</w:t>
      </w:r>
    </w:p>
    <w:p w14:paraId="1621C179"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p>
    <w:p w14:paraId="2807F1D6"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
          <w:iCs/>
        </w:rPr>
      </w:pPr>
      <w:r w:rsidRPr="003124CB">
        <w:rPr>
          <w:rFonts w:ascii="Times New Roman" w:eastAsia="Times New Roman" w:hAnsi="Times New Roman"/>
          <w:i/>
          <w:iCs/>
        </w:rPr>
        <w:t>Lytis, rasė ir kūno svoris</w:t>
      </w:r>
    </w:p>
    <w:p w14:paraId="53D55F08" w14:textId="77777777" w:rsidR="003124CB" w:rsidRPr="003124CB" w:rsidRDefault="003124CB" w:rsidP="003124CB">
      <w:pPr>
        <w:autoSpaceDE w:val="0"/>
        <w:autoSpaceDN w:val="0"/>
        <w:adjustRightInd w:val="0"/>
        <w:spacing w:after="0" w:line="240" w:lineRule="auto"/>
        <w:rPr>
          <w:rFonts w:ascii="Times New Roman" w:eastAsia="Times New Roman" w:hAnsi="Times New Roman"/>
          <w:iCs/>
        </w:rPr>
      </w:pPr>
      <w:r w:rsidRPr="003124CB">
        <w:rPr>
          <w:rFonts w:ascii="Times New Roman" w:eastAsia="TimesNewRoman" w:hAnsi="Times New Roman"/>
          <w:lang w:eastAsia="lt-LT"/>
        </w:rPr>
        <w:t>Apskaičiuotas vidutinis dapagliflozino AUC</w:t>
      </w:r>
      <w:r w:rsidRPr="003124CB">
        <w:rPr>
          <w:rFonts w:ascii="Times New Roman" w:eastAsia="TimesNewRoman" w:hAnsi="Times New Roman"/>
          <w:sz w:val="14"/>
          <w:szCs w:val="14"/>
          <w:lang w:eastAsia="lt-LT"/>
        </w:rPr>
        <w:t>ss</w:t>
      </w:r>
      <w:r w:rsidRPr="003124CB">
        <w:rPr>
          <w:rFonts w:ascii="Times New Roman" w:eastAsia="TimesNewRoman" w:hAnsi="Times New Roman"/>
          <w:lang w:eastAsia="lt-LT"/>
        </w:rPr>
        <w:t xml:space="preserve"> moterims yra maždaug 22 % didesnis negu vyrams. </w:t>
      </w:r>
      <w:r w:rsidRPr="003124CB">
        <w:rPr>
          <w:rFonts w:ascii="Times New Roman" w:eastAsia="Times New Roman" w:hAnsi="Times New Roman"/>
          <w:iCs/>
        </w:rPr>
        <w:t>Kliniškai reikšmingų dapagliflozino sisteminės ekspozicijos skirtumų tarp baltaodžių, juodaodžių ir azijiečių rasių nenustatyta.</w:t>
      </w:r>
    </w:p>
    <w:p w14:paraId="3BAB89E7"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rPr>
      </w:pPr>
      <w:r w:rsidRPr="003124CB">
        <w:rPr>
          <w:rFonts w:ascii="Times New Roman" w:eastAsia="Times New Roman" w:hAnsi="Times New Roman"/>
          <w:iCs/>
        </w:rPr>
        <w:t>Nustatyta, kad didėjant kūno svoriui dapagliflozino ekspozicija mažėja, todėl mažo kūno svorio pacientams ekspozicija gali būti šiek tiek didesnė, o didelio kūno svorio pacientams – šiek tiek mažesnė. Vis dėlto šie ekspozicijos skirtumai nebuvo laikomi kliniškai reikšmingais.</w:t>
      </w:r>
    </w:p>
    <w:p w14:paraId="3ED62E25" w14:textId="77777777" w:rsidR="003124CB" w:rsidRPr="003124CB" w:rsidRDefault="003124CB" w:rsidP="003124CB">
      <w:pPr>
        <w:widowControl w:val="0"/>
        <w:numPr>
          <w:ilvl w:val="12"/>
          <w:numId w:val="0"/>
        </w:numPr>
        <w:tabs>
          <w:tab w:val="left" w:pos="567"/>
        </w:tabs>
        <w:spacing w:after="0" w:line="240" w:lineRule="auto"/>
        <w:ind w:right="-2"/>
        <w:rPr>
          <w:rFonts w:ascii="Times New Roman" w:eastAsia="Times New Roman" w:hAnsi="Times New Roman"/>
          <w:iCs/>
          <w:u w:val="single"/>
        </w:rPr>
      </w:pPr>
    </w:p>
    <w:p w14:paraId="39B5295E"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r w:rsidRPr="003124CB">
        <w:rPr>
          <w:rFonts w:ascii="Times New Roman" w:eastAsia="TimesNewRoman" w:hAnsi="Times New Roman"/>
          <w:szCs w:val="24"/>
        </w:rPr>
        <w:t>Dėl lyties, rasės ar kūno masės indekso (KMI) sitagliptino dozės keisti nereikia. Remiantis bendra I fazės farmakokinetikos tyrimų duomenų ir populiacijos farmakokinetikos duomenų, gautų I ir II fazės tyrimų metu, analize, minėti veiksniai kliniškai reikšmingo poveikio sitagliptino farmakokinetikai neturėjo.</w:t>
      </w:r>
    </w:p>
    <w:p w14:paraId="7600D283"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szCs w:val="24"/>
        </w:rPr>
      </w:pPr>
    </w:p>
    <w:p w14:paraId="1898E3DA" w14:textId="77777777" w:rsidR="003124CB" w:rsidRPr="003124CB" w:rsidRDefault="003124CB" w:rsidP="003124CB">
      <w:pPr>
        <w:widowControl w:val="0"/>
        <w:tabs>
          <w:tab w:val="left" w:pos="567"/>
        </w:tabs>
        <w:spacing w:after="0" w:line="240" w:lineRule="auto"/>
        <w:ind w:left="567" w:hanging="567"/>
        <w:outlineLvl w:val="2"/>
        <w:rPr>
          <w:rFonts w:ascii="Times New Roman" w:eastAsia="Times New Roman" w:hAnsi="Times New Roman"/>
          <w:b/>
          <w:kern w:val="28"/>
        </w:rPr>
      </w:pPr>
      <w:r w:rsidRPr="003124CB">
        <w:rPr>
          <w:rFonts w:ascii="Times New Roman" w:eastAsia="Times New Roman" w:hAnsi="Times New Roman"/>
          <w:b/>
          <w:kern w:val="28"/>
        </w:rPr>
        <w:t>5.3</w:t>
      </w:r>
      <w:r w:rsidRPr="003124CB">
        <w:rPr>
          <w:rFonts w:ascii="Times New Roman" w:eastAsia="Times New Roman" w:hAnsi="Times New Roman"/>
          <w:b/>
          <w:kern w:val="28"/>
        </w:rPr>
        <w:tab/>
        <w:t>Ikiklinikinių saugumo tyrimų duomenys</w:t>
      </w:r>
    </w:p>
    <w:p w14:paraId="3C69EA34"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p>
    <w:p w14:paraId="464A95B9" w14:textId="77777777" w:rsidR="003124CB" w:rsidRPr="003124CB" w:rsidRDefault="003124CB" w:rsidP="003124CB">
      <w:pPr>
        <w:widowControl w:val="0"/>
        <w:tabs>
          <w:tab w:val="left" w:pos="567"/>
        </w:tabs>
        <w:spacing w:after="0" w:line="240" w:lineRule="auto"/>
        <w:rPr>
          <w:rFonts w:ascii="Times New Roman" w:eastAsia="Times New Roman" w:hAnsi="Times New Roman"/>
          <w:i/>
          <w:iCs/>
          <w:u w:val="single"/>
        </w:rPr>
      </w:pPr>
      <w:r w:rsidRPr="003124CB">
        <w:rPr>
          <w:rFonts w:ascii="Times New Roman" w:eastAsia="Times New Roman" w:hAnsi="Times New Roman"/>
          <w:i/>
          <w:iCs/>
          <w:u w:val="single"/>
        </w:rPr>
        <w:t>Dapagliflozinas</w:t>
      </w:r>
    </w:p>
    <w:p w14:paraId="365EA2F7" w14:textId="77777777" w:rsidR="003124CB" w:rsidRPr="003124CB" w:rsidRDefault="003124CB" w:rsidP="003124CB">
      <w:pPr>
        <w:widowControl w:val="0"/>
        <w:tabs>
          <w:tab w:val="left" w:pos="567"/>
        </w:tabs>
        <w:spacing w:after="0" w:line="240" w:lineRule="auto"/>
        <w:rPr>
          <w:rFonts w:ascii="Times New Roman" w:eastAsia="Times New Roman" w:hAnsi="Times New Roman"/>
          <w:u w:val="single"/>
        </w:rPr>
      </w:pPr>
    </w:p>
    <w:p w14:paraId="679E9F84"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Įprastų farmakologinio saugumo, kartotinių dozių toksiškumo, genotoksiškumo ir galimo kancerogeniškumo ikiklinikinių tyrimų duomenys specifinio pavojaus žmogui nerodo.</w:t>
      </w:r>
    </w:p>
    <w:p w14:paraId="4B5A7739"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689CB19A"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Tiesioginis dapagliflozino skyrimas nujunkomiems žiurkių jaunikliams, netiesioginė jo ekspozicija vaikingumo laikotarpio pabaigoje (antrąjį ir trečiąjį nėštumo trimestrus pagal žmogaus inkstų vystymąsi atitinkančiu laiku) ir laktacijos laikotarpiu buvo susijęs su inkstų geldelių ir kanalėlių išsiplėtimo padažnėjimu ir (arba) pasunkėjimu palikuoniams (kiekvienu iš šių atvejų).</w:t>
      </w:r>
    </w:p>
    <w:p w14:paraId="5E56505D"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3055DD72"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Toksinio poveikio jaunikliams tyrimo metu dapagliflozino skiriant tiesiogiai žiurkių jaunikliams nuo 21-os iki 90-os dienos po atsivedimo, išsiplėtusios inkstų geldelės ir išsiplėtę inkstų kanalėliai rasti visų dozių grupių gyvūnams; mažiausios tirtos dozės sukelta ekspozicija jaunikliams ≥ 15 kartų viršijo susidarančią žmogui vartojant didžiausią rekomenduojamą dozę. Šie radiniai visų dozių grupėse buvo susiję su nuo dozės priklausomu inkstų svorio padidėjimu ir makroskopiniu inkstų padidėjimu. Žiurkių jauniklių inkstų geldelių ir inkstų kanalėlių išsiplėtimas visiškai neišnyko maždaug 1 mėnesio trukmės laikotarpiu po vaistinio preparato skyrimo nutraukimo.</w:t>
      </w:r>
    </w:p>
    <w:p w14:paraId="691D3A33"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214EA3ED" w14:textId="72538CD3" w:rsidR="003124CB" w:rsidRPr="003124CB" w:rsidRDefault="003124CB" w:rsidP="003124CB">
      <w:pPr>
        <w:autoSpaceDE w:val="0"/>
        <w:autoSpaceDN w:val="0"/>
        <w:adjustRightInd w:val="0"/>
        <w:spacing w:after="0" w:line="240" w:lineRule="auto"/>
        <w:rPr>
          <w:rFonts w:ascii="Times New Roman" w:eastAsia="TimesNewRoman" w:hAnsi="Times New Roman"/>
          <w:lang w:eastAsia="lt-LT"/>
        </w:rPr>
      </w:pPr>
      <w:r w:rsidRPr="003124CB">
        <w:rPr>
          <w:rFonts w:ascii="Times New Roman" w:eastAsia="TimesNewRoman" w:hAnsi="Times New Roman"/>
          <w:lang w:eastAsia="lt-LT"/>
        </w:rPr>
        <w:t xml:space="preserve">Poveikio prenataliniam ir postnataliniam vystymuisi atskiro tyrimo metu vaikingoms žiurkių patelėms skirta dapagliflozino nuo 6-os vaikingumo dienos iki 21-os dienos po atsivedimo; tokiu būdu buvo sukelta netiesioginė jo ekspozicija palikuoniams </w:t>
      </w:r>
      <w:r w:rsidRPr="003124CB">
        <w:rPr>
          <w:rFonts w:ascii="Times New Roman" w:eastAsia="TimesNewRoman,Italic" w:hAnsi="Times New Roman"/>
          <w:i/>
          <w:iCs/>
          <w:lang w:eastAsia="lt-LT"/>
        </w:rPr>
        <w:t xml:space="preserve">in utero </w:t>
      </w:r>
      <w:r w:rsidRPr="003124CB">
        <w:rPr>
          <w:rFonts w:ascii="Times New Roman" w:eastAsia="TimesNewRoman" w:hAnsi="Times New Roman"/>
          <w:lang w:eastAsia="lt-LT"/>
        </w:rPr>
        <w:t xml:space="preserve">ir žindymo laikotarpiu. Dapagliflozino vartojusių patelių suaugusiems palikuoniams inkstų geldelių išsiplėtimas rastas dažniau ir (arba) sunkesnio laipsnio, tačiau tik didžiausios tirtos dozės grupėje, kai dapagliflozino ekspozicija patelėms 1 415 kartų, o jų palikuoniams – 137 kartus viršijo susidarančią žmogui vartojant didžiausią rekomenduojamą dozę. Papildomas toksinis poveikis vystymuisi pasireiškė tik su doze susijusiu palikuonių kūno svorio sumažėjimu, pasireiškusiu tik nuo ≥ 15 mg/kg paros dozių (palikuoniams ekspozicija tuomet ≥ 29 kartų viršijo susidarančią žmogui vartojant didžiausią rekomenduojamą dozę). Toksinis poveikis vaikingoms patelėms nustatytas tik skiriant didžiausią tirtą dozę ir pasireiškė tik laikinu kūno svorio ir ėdalo suvartojimo sumažėjimu. Tiriant toksinį poveikį </w:t>
      </w:r>
      <w:r w:rsidR="00DD5F0D">
        <w:rPr>
          <w:rFonts w:ascii="Times New Roman" w:eastAsia="TimesNewRoman" w:hAnsi="Times New Roman"/>
          <w:lang w:eastAsia="lt-LT"/>
        </w:rPr>
        <w:t>vystymuisi</w:t>
      </w:r>
      <w:r w:rsidR="00DD5F0D" w:rsidRPr="003124CB">
        <w:rPr>
          <w:rFonts w:ascii="Times New Roman" w:eastAsia="TimesNewRoman" w:hAnsi="Times New Roman"/>
          <w:lang w:eastAsia="lt-LT"/>
        </w:rPr>
        <w:t xml:space="preserve"> </w:t>
      </w:r>
      <w:r w:rsidRPr="003124CB">
        <w:rPr>
          <w:rFonts w:ascii="Times New Roman" w:eastAsia="TimesNewRoman" w:hAnsi="Times New Roman"/>
          <w:lang w:eastAsia="lt-LT"/>
        </w:rPr>
        <w:t xml:space="preserve">mažiausios kenksmingo poveikio nesukėlusios dozės (NOAEL, </w:t>
      </w:r>
      <w:r w:rsidRPr="003124CB">
        <w:rPr>
          <w:rFonts w:ascii="Times New Roman" w:eastAsia="TimesNewRoman,Italic" w:hAnsi="Times New Roman"/>
          <w:i/>
          <w:iCs/>
          <w:lang w:eastAsia="lt-LT"/>
        </w:rPr>
        <w:t>angl. no observed adverse effect level</w:t>
      </w:r>
      <w:r w:rsidRPr="003124CB">
        <w:rPr>
          <w:rFonts w:ascii="Times New Roman" w:eastAsia="TimesNewRoman" w:hAnsi="Times New Roman"/>
          <w:lang w:eastAsia="lt-LT"/>
        </w:rPr>
        <w:t>) sukelta sisteminė ekspozicija vaikingoms patelėms maždaug 19 kartų viršijo susidarančią žmogui vartojant didžiausią rekomenduojamą dozę.</w:t>
      </w:r>
    </w:p>
    <w:p w14:paraId="60F37611"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77054223" w14:textId="77777777" w:rsidR="003124CB" w:rsidRPr="003124CB" w:rsidRDefault="003124CB" w:rsidP="003124CB">
      <w:pPr>
        <w:widowControl w:val="0"/>
        <w:tabs>
          <w:tab w:val="left" w:pos="567"/>
        </w:tabs>
        <w:spacing w:after="0" w:line="240" w:lineRule="auto"/>
        <w:rPr>
          <w:rFonts w:ascii="Times New Roman" w:eastAsia="Times New Roman" w:hAnsi="Times New Roman"/>
          <w:i/>
          <w:iCs/>
          <w:u w:val="single"/>
        </w:rPr>
      </w:pPr>
      <w:r w:rsidRPr="003124CB">
        <w:rPr>
          <w:rFonts w:ascii="Times New Roman" w:eastAsia="Times New Roman" w:hAnsi="Times New Roman"/>
          <w:i/>
          <w:iCs/>
          <w:u w:val="single"/>
        </w:rPr>
        <w:t>Sitagliptinas</w:t>
      </w:r>
    </w:p>
    <w:p w14:paraId="1FC7425C"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3A4990D3" w14:textId="77777777" w:rsidR="003124CB" w:rsidRPr="003124CB" w:rsidRDefault="003124CB" w:rsidP="003124CB">
      <w:pPr>
        <w:widowControl w:val="0"/>
        <w:tabs>
          <w:tab w:val="left" w:pos="567"/>
        </w:tabs>
        <w:spacing w:after="0" w:line="240" w:lineRule="auto"/>
        <w:rPr>
          <w:rFonts w:ascii="Times New Roman" w:eastAsia="TimesNewRoman" w:hAnsi="Times New Roman"/>
        </w:rPr>
      </w:pPr>
      <w:r w:rsidRPr="003124CB">
        <w:rPr>
          <w:rFonts w:ascii="Times New Roman" w:eastAsia="TimesNewRoman" w:hAnsi="Times New Roman"/>
        </w:rPr>
        <w:t>Toksinis poveikis graužikų inkstams ir kepenims pasireiškė tada, kai vaistinio preparato ekspozicija jų organizme buvo 58 kartus didesnė už susidarančią žmogaus organizme. Poveikio nesukelianti ekspozicija graužikų organizme buvo 19 kartų didesnė už susidarančią žmogaus organizme. Žiurkėms, kurių organizme vaistinio preparato ekspozicija buvo 67 kartus didesnė už susidarančią žmogaus organizme, buvo priekinių dantų (kandžių) pokyčių; remiantis 14 savaičių trukmės tyrimais su žiurkėmis, šio poveikio nesukelianti ekspozicija buvo 58 kartus didesnė už susidarančią žmogaus organizme. Šių duomenų reikšmė žmogui nežinoma. Šunims, kurių organizme ekspozicija buvo 23 kartus didesnė už klinikinę ekspoziciją žmogaus organizme, pasireiškė laikinų su vaistiniu preparatu susijusių fizinių simptomų, kai kurie iš jų rodė toksinį poveikį nervų sistemai, pvz., kvėpavimas prasižiojus, seilėtekis, vėmimas baltomis putomis, ataksija, drebulys, aktyvumo sumažėjimas ir (arba) kūprinimasis. Be to, histologiniu tyrimu nustatyta labai lengva ar lengva skeleto raumenų degeneracija vartojant dozes, kai ekspozicija buvo maždaug 23 kartus didesnė už susidarančią žmogaus organizme. Šio pokyčio NOEL buvo 6 kartus didesnė už klinikinę ekspoziciją žmogaus organizme.</w:t>
      </w:r>
    </w:p>
    <w:p w14:paraId="3345BA7B"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150FD3A2"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r w:rsidRPr="003124CB">
        <w:rPr>
          <w:rFonts w:ascii="Times New Roman" w:eastAsia="Times New Roman" w:hAnsi="Times New Roman"/>
        </w:rPr>
        <w:t>Ikiklinikinių tyrimų metu sitagliptino genotoksinio poveikio nepastebėta. Pelėms sitagliptinas kancerogeninio poveikio nesukėlė. Žiurkėms, kurių organizme ekspozicija buvo 58 kartus didesnė už susidarančią žmogaus organizme, dažniau pasireiškė kepenų adenoma ar karcinoma. Įrodyta, jog žiurkėms toksinis poveikis kepenims koreliuoja su kepenų naviko pasireiškimu, todėl tikėtina, kad šis kepenų naviko padažnėjimas žiurkėms buvo antrinis dėl šios didelės dozės sukelto lėtinio toksinio poveikio kepenims. Nemanoma, kad pastebėti navikiniai pokyčiai gali būti reikšmingi žmonėms, nes saugumo ribos yra plačios (NOAEL viršijama 19 kartų).</w:t>
      </w:r>
    </w:p>
    <w:p w14:paraId="1B36A441" w14:textId="77777777" w:rsidR="003124CB" w:rsidRPr="003124CB" w:rsidRDefault="003124CB" w:rsidP="003124CB">
      <w:pPr>
        <w:widowControl w:val="0"/>
        <w:tabs>
          <w:tab w:val="left" w:pos="567"/>
        </w:tabs>
        <w:spacing w:after="0" w:line="240" w:lineRule="auto"/>
        <w:rPr>
          <w:rFonts w:ascii="Times New Roman" w:eastAsia="Times New Roman" w:hAnsi="Times New Roman"/>
        </w:rPr>
      </w:pPr>
    </w:p>
    <w:p w14:paraId="1A480025" w14:textId="77777777" w:rsidR="003124CB" w:rsidRPr="003124CB" w:rsidRDefault="003124CB" w:rsidP="003124CB">
      <w:pPr>
        <w:widowControl w:val="0"/>
        <w:autoSpaceDE w:val="0"/>
        <w:autoSpaceDN w:val="0"/>
        <w:adjustRightInd w:val="0"/>
        <w:spacing w:after="0" w:line="240" w:lineRule="auto"/>
        <w:rPr>
          <w:rFonts w:ascii="Times New Roman" w:eastAsia="TimesNewRoman" w:hAnsi="Times New Roman"/>
        </w:rPr>
      </w:pPr>
      <w:r w:rsidRPr="003124CB">
        <w:rPr>
          <w:rFonts w:ascii="Times New Roman" w:eastAsia="TimesNewRoman" w:hAnsi="Times New Roman"/>
        </w:rPr>
        <w:t>Toksinio poveikio reprodukcijai tyrimų metu žiurkių, kurių organizme sisteminė ekspozicija buvo daugiau kaip 29 kartus didesnė už susidarančią žmogaus organizme, palikuonims šiek tiek dažniau pasireiškė nuo vaistinio preparato priklausomų vaisiaus šonkaulių sklaidos trūkumų (šonkaulių trūkumas, hipoplastiški ar banguoti šonkauliai). Toksinis poveikis vaikingoms triušių patelėms pasireiškė tada, kai jų organizme ekspozicija buvo daugiau kaip 29 kartus didesnė už susidarančią žmogaus organizme. Kadangi saugumo ribos yra plačios, todėl šie duomenys reikšmingos rizikos žmogaus reprodukcinei funkcijai nerodo. Laktacijos laikotarpiu į žiurkių pieną sitagliptino išsiskiria reikšmingais kiekiais (koncentracijos piene ir kraujo plazmoje santykis yra 4:1).</w:t>
      </w:r>
    </w:p>
    <w:p w14:paraId="7FFCFA74" w14:textId="38100F37" w:rsidR="00492E2F" w:rsidRDefault="00492E2F">
      <w:pPr>
        <w:spacing w:after="0" w:line="240" w:lineRule="auto"/>
        <w:rPr>
          <w:rFonts w:ascii="Times New Roman" w:hAnsi="Times New Roman"/>
        </w:rPr>
      </w:pPr>
    </w:p>
    <w:p w14:paraId="5B248114" w14:textId="77777777" w:rsidR="003124CB" w:rsidRDefault="003124CB">
      <w:pPr>
        <w:spacing w:after="0" w:line="240" w:lineRule="auto"/>
        <w:rPr>
          <w:rFonts w:ascii="Times New Roman" w:hAnsi="Times New Roman"/>
        </w:rPr>
      </w:pPr>
    </w:p>
    <w:p w14:paraId="2721334C" w14:textId="77777777" w:rsidR="00492E2F" w:rsidRDefault="003B68F9">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6.</w:t>
      </w:r>
      <w:r>
        <w:rPr>
          <w:rFonts w:ascii="Times New Roman" w:eastAsia="Times New Roman" w:hAnsi="Times New Roman"/>
          <w:b/>
          <w:bCs/>
          <w:snapToGrid w:val="0"/>
          <w:lang w:eastAsia="lt-LT"/>
        </w:rPr>
        <w:tab/>
        <w:t>FARMACINĖ INFORMACIJA</w:t>
      </w:r>
    </w:p>
    <w:p w14:paraId="3FB9A787" w14:textId="77777777" w:rsidR="00492E2F" w:rsidRDefault="00492E2F">
      <w:pPr>
        <w:widowControl w:val="0"/>
        <w:spacing w:after="0" w:line="240" w:lineRule="auto"/>
        <w:rPr>
          <w:rFonts w:ascii="Times New Roman" w:eastAsia="Times New Roman" w:hAnsi="Times New Roman"/>
          <w:snapToGrid w:val="0"/>
        </w:rPr>
      </w:pPr>
    </w:p>
    <w:p w14:paraId="505CB35E"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6.1</w:t>
      </w:r>
      <w:r>
        <w:rPr>
          <w:rFonts w:ascii="Times New Roman" w:eastAsia="Times New Roman" w:hAnsi="Times New Roman"/>
          <w:b/>
          <w:bCs/>
          <w:snapToGrid w:val="0"/>
          <w:lang w:eastAsia="lt-LT"/>
        </w:rPr>
        <w:tab/>
        <w:t>Pagalbinių medžiagų sąrašas</w:t>
      </w:r>
    </w:p>
    <w:p w14:paraId="0F5A0860" w14:textId="77777777" w:rsidR="00492E2F" w:rsidRDefault="00492E2F">
      <w:pPr>
        <w:widowControl w:val="0"/>
        <w:spacing w:after="0" w:line="240" w:lineRule="auto"/>
        <w:rPr>
          <w:rFonts w:ascii="Times New Roman" w:eastAsia="Times New Roman" w:hAnsi="Times New Roman"/>
          <w:snapToGrid w:val="0"/>
        </w:rPr>
      </w:pPr>
    </w:p>
    <w:p w14:paraId="0BFFFB95" w14:textId="0A4E7DB5" w:rsidR="00492E2F" w:rsidRDefault="003B68F9">
      <w:pPr>
        <w:widowControl w:val="0"/>
        <w:spacing w:after="0" w:line="240" w:lineRule="auto"/>
        <w:rPr>
          <w:rFonts w:ascii="Times New Roman" w:eastAsia="Times New Roman" w:hAnsi="Times New Roman"/>
          <w:u w:val="single"/>
        </w:rPr>
      </w:pPr>
      <w:r>
        <w:rPr>
          <w:rFonts w:ascii="Times New Roman" w:eastAsia="Times New Roman" w:hAnsi="Times New Roman"/>
          <w:u w:val="single"/>
        </w:rPr>
        <w:t>Tabletės branduolys</w:t>
      </w:r>
    </w:p>
    <w:p w14:paraId="76633926" w14:textId="62C8F472" w:rsidR="00492E2F" w:rsidRDefault="003B68F9">
      <w:pPr>
        <w:widowControl w:val="0"/>
        <w:spacing w:after="0" w:line="240" w:lineRule="auto"/>
        <w:rPr>
          <w:rFonts w:ascii="Times New Roman" w:eastAsia="Times New Roman" w:hAnsi="Times New Roman"/>
        </w:rPr>
      </w:pPr>
      <w:bookmarkStart w:id="3" w:name="_Hlk190774534"/>
      <w:r>
        <w:rPr>
          <w:rFonts w:ascii="Times New Roman" w:eastAsia="Times New Roman" w:hAnsi="Times New Roman"/>
        </w:rPr>
        <w:t>Mikrokristalinė celiuliozė</w:t>
      </w:r>
    </w:p>
    <w:p w14:paraId="52569640" w14:textId="35889370" w:rsidR="00FE0C74" w:rsidRDefault="00FE0C74">
      <w:pPr>
        <w:widowControl w:val="0"/>
        <w:spacing w:after="0" w:line="240" w:lineRule="auto"/>
        <w:rPr>
          <w:rFonts w:ascii="Times New Roman" w:eastAsia="Times New Roman" w:hAnsi="Times New Roman"/>
        </w:rPr>
      </w:pPr>
      <w:r>
        <w:rPr>
          <w:rFonts w:ascii="Times New Roman" w:eastAsia="Times New Roman" w:hAnsi="Times New Roman"/>
        </w:rPr>
        <w:t>Manitolis</w:t>
      </w:r>
    </w:p>
    <w:p w14:paraId="6268EC18" w14:textId="6DC46AF4" w:rsidR="00FE0C74" w:rsidRDefault="00FE0C74">
      <w:pPr>
        <w:widowControl w:val="0"/>
        <w:spacing w:after="0" w:line="240" w:lineRule="auto"/>
        <w:rPr>
          <w:rFonts w:ascii="Times New Roman" w:eastAsia="Times New Roman" w:hAnsi="Times New Roman"/>
        </w:rPr>
      </w:pPr>
      <w:r w:rsidRPr="00FE0C74">
        <w:rPr>
          <w:rFonts w:ascii="Times New Roman" w:eastAsia="Times New Roman" w:hAnsi="Times New Roman"/>
        </w:rPr>
        <w:t>Hidroksipropilceliuliozė</w:t>
      </w:r>
    </w:p>
    <w:p w14:paraId="2347FC24" w14:textId="4DF0D151" w:rsidR="00FE0C74" w:rsidRDefault="00C60148">
      <w:pPr>
        <w:widowControl w:val="0"/>
        <w:spacing w:after="0" w:line="240" w:lineRule="auto"/>
        <w:rPr>
          <w:rFonts w:ascii="Times New Roman" w:eastAsia="Times New Roman" w:hAnsi="Times New Roman"/>
        </w:rPr>
      </w:pPr>
      <w:r w:rsidRPr="00C60148">
        <w:rPr>
          <w:rFonts w:ascii="Times New Roman" w:eastAsia="Times New Roman" w:hAnsi="Times New Roman"/>
        </w:rPr>
        <w:t>Krospovido</w:t>
      </w:r>
      <w:r>
        <w:rPr>
          <w:rFonts w:ascii="Times New Roman" w:eastAsia="Times New Roman" w:hAnsi="Times New Roman"/>
        </w:rPr>
        <w:t>n</w:t>
      </w:r>
      <w:r w:rsidRPr="00C60148">
        <w:rPr>
          <w:rFonts w:ascii="Times New Roman" w:eastAsia="Times New Roman" w:hAnsi="Times New Roman"/>
        </w:rPr>
        <w:t>as</w:t>
      </w:r>
      <w:r>
        <w:rPr>
          <w:rFonts w:ascii="Times New Roman" w:eastAsia="Times New Roman" w:hAnsi="Times New Roman"/>
        </w:rPr>
        <w:t xml:space="preserve"> (A tipo)</w:t>
      </w:r>
    </w:p>
    <w:p w14:paraId="4C68F4BC" w14:textId="2D02498A" w:rsidR="00C60148" w:rsidRDefault="00C60148">
      <w:pPr>
        <w:widowControl w:val="0"/>
        <w:spacing w:after="0" w:line="240" w:lineRule="auto"/>
        <w:rPr>
          <w:rFonts w:ascii="Times New Roman" w:eastAsia="Times New Roman" w:hAnsi="Times New Roman"/>
        </w:rPr>
      </w:pPr>
      <w:r w:rsidRPr="00C60148">
        <w:rPr>
          <w:rFonts w:ascii="Times New Roman" w:eastAsia="Times New Roman" w:hAnsi="Times New Roman"/>
        </w:rPr>
        <w:t xml:space="preserve">Koloidinis </w:t>
      </w:r>
      <w:r w:rsidR="002F454A" w:rsidRPr="00C60148">
        <w:rPr>
          <w:rFonts w:ascii="Times New Roman" w:eastAsia="Times New Roman" w:hAnsi="Times New Roman"/>
        </w:rPr>
        <w:t xml:space="preserve">bevandenis </w:t>
      </w:r>
      <w:r w:rsidRPr="00C60148">
        <w:rPr>
          <w:rFonts w:ascii="Times New Roman" w:eastAsia="Times New Roman" w:hAnsi="Times New Roman"/>
        </w:rPr>
        <w:t>silicio dioksidas</w:t>
      </w:r>
    </w:p>
    <w:p w14:paraId="5EAA0B85" w14:textId="72575124"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Magnio stearatas</w:t>
      </w:r>
    </w:p>
    <w:bookmarkEnd w:id="3"/>
    <w:p w14:paraId="3C88DAF0" w14:textId="77777777" w:rsidR="00492E2F" w:rsidRDefault="00492E2F">
      <w:pPr>
        <w:widowControl w:val="0"/>
        <w:spacing w:after="0" w:line="240" w:lineRule="auto"/>
        <w:rPr>
          <w:rFonts w:ascii="Times New Roman" w:eastAsia="Times New Roman" w:hAnsi="Times New Roman"/>
          <w:u w:val="single"/>
        </w:rPr>
      </w:pPr>
    </w:p>
    <w:p w14:paraId="6943F90F" w14:textId="4BCC0B79" w:rsidR="00492E2F" w:rsidRDefault="003B68F9">
      <w:pPr>
        <w:widowControl w:val="0"/>
        <w:spacing w:after="0" w:line="240" w:lineRule="auto"/>
        <w:rPr>
          <w:rFonts w:ascii="Times New Roman" w:eastAsia="Times New Roman" w:hAnsi="Times New Roman"/>
          <w:u w:val="single"/>
        </w:rPr>
      </w:pPr>
      <w:r>
        <w:rPr>
          <w:rFonts w:ascii="Times New Roman" w:eastAsia="Times New Roman" w:hAnsi="Times New Roman"/>
          <w:u w:val="single"/>
        </w:rPr>
        <w:t>Tabletės plėvelė</w:t>
      </w:r>
    </w:p>
    <w:p w14:paraId="6FB6A66A" w14:textId="4B28F575" w:rsidR="00492E2F" w:rsidRDefault="003B68F9">
      <w:pPr>
        <w:widowControl w:val="0"/>
        <w:spacing w:after="0" w:line="240" w:lineRule="auto"/>
        <w:rPr>
          <w:rFonts w:ascii="Times New Roman" w:eastAsia="Times New Roman" w:hAnsi="Times New Roman"/>
        </w:rPr>
      </w:pPr>
      <w:bookmarkStart w:id="4" w:name="_Hlk190775240"/>
      <w:r>
        <w:rPr>
          <w:rFonts w:ascii="Times New Roman" w:eastAsia="Times New Roman" w:hAnsi="Times New Roman"/>
        </w:rPr>
        <w:t>Polivinilo alkoholis</w:t>
      </w:r>
    </w:p>
    <w:p w14:paraId="4D1B14E9" w14:textId="2FD5C0A1"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Makrogolis 3350</w:t>
      </w:r>
    </w:p>
    <w:p w14:paraId="22FE17C5" w14:textId="02D2CB5A"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Titano dioksidas</w:t>
      </w:r>
      <w:r w:rsidR="002F454A">
        <w:rPr>
          <w:rFonts w:ascii="Times New Roman" w:eastAsia="Times New Roman" w:hAnsi="Times New Roman"/>
        </w:rPr>
        <w:t xml:space="preserve"> (E171)</w:t>
      </w:r>
    </w:p>
    <w:p w14:paraId="08E2B457" w14:textId="69627D01"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Talkas</w:t>
      </w:r>
    </w:p>
    <w:p w14:paraId="02627B90" w14:textId="6BFBF7A2" w:rsidR="00C60148" w:rsidRDefault="00C60148">
      <w:pPr>
        <w:widowControl w:val="0"/>
        <w:spacing w:after="0" w:line="240" w:lineRule="auto"/>
        <w:rPr>
          <w:rFonts w:ascii="Times New Roman" w:eastAsia="Times New Roman" w:hAnsi="Times New Roman"/>
        </w:rPr>
      </w:pPr>
      <w:r>
        <w:rPr>
          <w:rFonts w:ascii="Times New Roman" w:eastAsia="Times New Roman" w:hAnsi="Times New Roman"/>
        </w:rPr>
        <w:t>Geltonasis geležies oksidas</w:t>
      </w:r>
      <w:r w:rsidR="002F454A">
        <w:rPr>
          <w:rFonts w:ascii="Times New Roman" w:eastAsia="Times New Roman" w:hAnsi="Times New Roman"/>
        </w:rPr>
        <w:t xml:space="preserve"> (E172)</w:t>
      </w:r>
    </w:p>
    <w:bookmarkEnd w:id="4"/>
    <w:p w14:paraId="7851034F" w14:textId="77777777" w:rsidR="00C60148" w:rsidRDefault="00C60148">
      <w:pPr>
        <w:widowControl w:val="0"/>
        <w:spacing w:after="0" w:line="240" w:lineRule="auto"/>
        <w:rPr>
          <w:rFonts w:ascii="Times New Roman" w:eastAsia="Times New Roman" w:hAnsi="Times New Roman"/>
        </w:rPr>
      </w:pPr>
    </w:p>
    <w:p w14:paraId="6AC82F62"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6.2</w:t>
      </w:r>
      <w:r>
        <w:rPr>
          <w:rFonts w:ascii="Times New Roman" w:eastAsia="Times New Roman" w:hAnsi="Times New Roman"/>
          <w:b/>
          <w:bCs/>
          <w:snapToGrid w:val="0"/>
          <w:lang w:eastAsia="lt-LT"/>
        </w:rPr>
        <w:tab/>
        <w:t>Nesuderinamumas</w:t>
      </w:r>
    </w:p>
    <w:p w14:paraId="1CCEBF36" w14:textId="77777777" w:rsidR="00492E2F" w:rsidRDefault="00492E2F">
      <w:pPr>
        <w:widowControl w:val="0"/>
        <w:spacing w:after="0" w:line="240" w:lineRule="auto"/>
        <w:rPr>
          <w:rFonts w:ascii="Times New Roman" w:eastAsia="Times New Roman" w:hAnsi="Times New Roman"/>
          <w:snapToGrid w:val="0"/>
        </w:rPr>
      </w:pPr>
    </w:p>
    <w:p w14:paraId="428A30CA" w14:textId="77777777" w:rsidR="00492E2F" w:rsidRDefault="003B68F9">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Duomenys nebūtini.</w:t>
      </w:r>
    </w:p>
    <w:p w14:paraId="4A7E9BBC" w14:textId="77777777" w:rsidR="00492E2F" w:rsidRDefault="00492E2F">
      <w:pPr>
        <w:widowControl w:val="0"/>
        <w:spacing w:after="0" w:line="240" w:lineRule="auto"/>
        <w:rPr>
          <w:rFonts w:ascii="Times New Roman" w:eastAsia="Times New Roman" w:hAnsi="Times New Roman"/>
          <w:snapToGrid w:val="0"/>
        </w:rPr>
      </w:pPr>
    </w:p>
    <w:p w14:paraId="762959C7"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6.3</w:t>
      </w:r>
      <w:r>
        <w:rPr>
          <w:rFonts w:ascii="Times New Roman" w:eastAsia="Times New Roman" w:hAnsi="Times New Roman"/>
          <w:b/>
          <w:bCs/>
          <w:snapToGrid w:val="0"/>
          <w:lang w:eastAsia="lt-LT"/>
        </w:rPr>
        <w:tab/>
        <w:t>Tinkamumo laikas</w:t>
      </w:r>
    </w:p>
    <w:p w14:paraId="2B66295F" w14:textId="77777777" w:rsidR="00492E2F" w:rsidRDefault="00492E2F">
      <w:pPr>
        <w:widowControl w:val="0"/>
        <w:spacing w:after="0" w:line="240" w:lineRule="auto"/>
        <w:rPr>
          <w:rFonts w:ascii="Times New Roman" w:eastAsia="Times New Roman" w:hAnsi="Times New Roman"/>
          <w:snapToGrid w:val="0"/>
        </w:rPr>
      </w:pPr>
    </w:p>
    <w:p w14:paraId="094DE194" w14:textId="6FC9FADE" w:rsidR="00492E2F" w:rsidRDefault="00554D5B">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2</w:t>
      </w:r>
      <w:r w:rsidR="003B68F9">
        <w:rPr>
          <w:rFonts w:ascii="Times New Roman" w:eastAsia="Times New Roman" w:hAnsi="Times New Roman"/>
          <w:snapToGrid w:val="0"/>
        </w:rPr>
        <w:t> metai</w:t>
      </w:r>
    </w:p>
    <w:p w14:paraId="0BD3A9DC" w14:textId="77777777" w:rsidR="00492E2F" w:rsidRDefault="00492E2F">
      <w:pPr>
        <w:widowControl w:val="0"/>
        <w:spacing w:after="0" w:line="240" w:lineRule="auto"/>
        <w:rPr>
          <w:rFonts w:ascii="Times New Roman" w:eastAsia="Times New Roman" w:hAnsi="Times New Roman"/>
          <w:snapToGrid w:val="0"/>
        </w:rPr>
      </w:pPr>
    </w:p>
    <w:p w14:paraId="52280E26"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6.4</w:t>
      </w:r>
      <w:r>
        <w:rPr>
          <w:rFonts w:ascii="Times New Roman" w:eastAsia="Times New Roman" w:hAnsi="Times New Roman"/>
          <w:b/>
          <w:bCs/>
          <w:snapToGrid w:val="0"/>
          <w:lang w:eastAsia="lt-LT"/>
        </w:rPr>
        <w:tab/>
        <w:t>Specialios laikymo sąlygos</w:t>
      </w:r>
    </w:p>
    <w:p w14:paraId="65B3AE9B" w14:textId="77777777" w:rsidR="00492E2F" w:rsidRDefault="00492E2F">
      <w:pPr>
        <w:widowControl w:val="0"/>
        <w:spacing w:after="0" w:line="240" w:lineRule="auto"/>
        <w:rPr>
          <w:rFonts w:ascii="Times New Roman" w:eastAsia="Times New Roman" w:hAnsi="Times New Roman"/>
          <w:snapToGrid w:val="0"/>
        </w:rPr>
      </w:pPr>
    </w:p>
    <w:p w14:paraId="5C33A3AC" w14:textId="4365EDD3" w:rsidR="00B30F12" w:rsidRDefault="00B30F12" w:rsidP="00B30F12">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vaistinis preparatas būtų apsaugotas nuo drėgmės.</w:t>
      </w:r>
    </w:p>
    <w:p w14:paraId="393E523E" w14:textId="77777777" w:rsidR="00492E2F" w:rsidRDefault="003B68F9">
      <w:pPr>
        <w:spacing w:after="0"/>
        <w:rPr>
          <w:rFonts w:ascii="Times New Roman" w:hAnsi="Times New Roman"/>
        </w:rPr>
      </w:pPr>
      <w:r>
        <w:rPr>
          <w:rFonts w:ascii="Times New Roman" w:hAnsi="Times New Roman"/>
        </w:rPr>
        <w:t>Šio vaistinio preparato laikymui specialių temperatūros sąlygų nereikalaujama.</w:t>
      </w:r>
    </w:p>
    <w:p w14:paraId="5A897EE6" w14:textId="77777777" w:rsidR="00492E2F" w:rsidRDefault="00492E2F">
      <w:pPr>
        <w:widowControl w:val="0"/>
        <w:spacing w:after="0" w:line="240" w:lineRule="auto"/>
        <w:rPr>
          <w:rFonts w:ascii="Times New Roman" w:eastAsia="Times New Roman" w:hAnsi="Times New Roman"/>
          <w:snapToGrid w:val="0"/>
        </w:rPr>
      </w:pPr>
    </w:p>
    <w:p w14:paraId="67D6343D"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r>
        <w:rPr>
          <w:rFonts w:ascii="Times New Roman" w:eastAsia="Times New Roman" w:hAnsi="Times New Roman"/>
          <w:b/>
          <w:bCs/>
          <w:snapToGrid w:val="0"/>
          <w:lang w:eastAsia="lt-LT"/>
        </w:rPr>
        <w:t>6.5</w:t>
      </w:r>
      <w:r>
        <w:rPr>
          <w:rFonts w:ascii="Times New Roman" w:eastAsia="Times New Roman" w:hAnsi="Times New Roman"/>
          <w:b/>
          <w:bCs/>
          <w:snapToGrid w:val="0"/>
          <w:lang w:eastAsia="lt-LT"/>
        </w:rPr>
        <w:tab/>
        <w:t>Talpyklės pobūdis ir jos turinys</w:t>
      </w:r>
    </w:p>
    <w:p w14:paraId="1F9EFD93" w14:textId="77777777" w:rsidR="00492E2F" w:rsidRDefault="00492E2F">
      <w:pPr>
        <w:widowControl w:val="0"/>
        <w:spacing w:after="0" w:line="240" w:lineRule="auto"/>
        <w:rPr>
          <w:rFonts w:ascii="Times New Roman" w:eastAsia="Times New Roman" w:hAnsi="Times New Roman"/>
          <w:snapToGrid w:val="0"/>
        </w:rPr>
      </w:pPr>
    </w:p>
    <w:p w14:paraId="3172BC15" w14:textId="6DE10F19" w:rsidR="00492E2F" w:rsidRPr="0030702D" w:rsidRDefault="003B68F9">
      <w:pPr>
        <w:widowControl w:val="0"/>
        <w:spacing w:after="0" w:line="240" w:lineRule="auto"/>
        <w:rPr>
          <w:rFonts w:ascii="Times New Roman" w:eastAsia="Times New Roman" w:hAnsi="Times New Roman"/>
          <w:lang w:eastAsia="sl-SI"/>
        </w:rPr>
      </w:pPr>
      <w:bookmarkStart w:id="5" w:name="_Hlk190775593"/>
      <w:r>
        <w:rPr>
          <w:rFonts w:ascii="Times New Roman" w:eastAsia="Times New Roman" w:hAnsi="Times New Roman"/>
          <w:snapToGrid w:val="0"/>
        </w:rPr>
        <w:t>Lizdinė plokštelė (OPA/aliuminio/PVC//aliuminio):</w:t>
      </w:r>
      <w:r w:rsidRPr="0030702D">
        <w:rPr>
          <w:rFonts w:ascii="Times New Roman" w:eastAsia="Times New Roman" w:hAnsi="Times New Roman"/>
          <w:lang w:eastAsia="sl-SI"/>
        </w:rPr>
        <w:t xml:space="preserve"> 10, 1</w:t>
      </w:r>
      <w:r w:rsidR="00217AF8" w:rsidRPr="0030702D">
        <w:rPr>
          <w:rFonts w:ascii="Times New Roman" w:eastAsia="Times New Roman" w:hAnsi="Times New Roman"/>
          <w:lang w:eastAsia="sl-SI"/>
        </w:rPr>
        <w:t>4, 28, 30, 56, 60, 84, 90, 98</w:t>
      </w:r>
      <w:r w:rsidR="002F454A">
        <w:rPr>
          <w:rFonts w:ascii="Times New Roman" w:eastAsia="Times New Roman" w:hAnsi="Times New Roman"/>
          <w:lang w:eastAsia="sl-SI"/>
        </w:rPr>
        <w:t xml:space="preserve"> arba</w:t>
      </w:r>
      <w:r w:rsidR="00217AF8" w:rsidRPr="0030702D">
        <w:rPr>
          <w:rFonts w:ascii="Times New Roman" w:eastAsia="Times New Roman" w:hAnsi="Times New Roman"/>
          <w:lang w:eastAsia="sl-SI"/>
        </w:rPr>
        <w:t xml:space="preserve"> 100</w:t>
      </w:r>
      <w:r w:rsidRPr="0030702D">
        <w:rPr>
          <w:rFonts w:ascii="Times New Roman" w:eastAsia="Times New Roman" w:hAnsi="Times New Roman"/>
          <w:noProof/>
          <w:lang w:eastAsia="sl-SI"/>
        </w:rPr>
        <w:t xml:space="preserve"> plėvele dengtų tablečių dėžutėje.</w:t>
      </w:r>
    </w:p>
    <w:p w14:paraId="19A636A4" w14:textId="1BAA21D5" w:rsidR="00492E2F" w:rsidRPr="0030702D" w:rsidRDefault="00217AF8">
      <w:pPr>
        <w:widowControl w:val="0"/>
        <w:spacing w:after="0" w:line="240" w:lineRule="auto"/>
        <w:rPr>
          <w:rFonts w:ascii="Times New Roman" w:eastAsia="Times New Roman" w:hAnsi="Times New Roman"/>
          <w:noProof/>
          <w:lang w:eastAsia="sl-SI"/>
        </w:rPr>
      </w:pPr>
      <w:r>
        <w:rPr>
          <w:rFonts w:ascii="Times New Roman" w:eastAsia="Times New Roman" w:hAnsi="Times New Roman"/>
          <w:snapToGrid w:val="0"/>
        </w:rPr>
        <w:t>Kalendorinės pakuotės l</w:t>
      </w:r>
      <w:r w:rsidR="003B68F9">
        <w:rPr>
          <w:rFonts w:ascii="Times New Roman" w:eastAsia="Times New Roman" w:hAnsi="Times New Roman"/>
          <w:snapToGrid w:val="0"/>
        </w:rPr>
        <w:t>izdinė plokštelė (OPA/aliuminio/PVC//aliuminio):</w:t>
      </w:r>
      <w:r w:rsidR="003B68F9" w:rsidRPr="0030702D">
        <w:rPr>
          <w:rFonts w:ascii="Times New Roman" w:eastAsia="Times New Roman" w:hAnsi="Times New Roman"/>
          <w:lang w:eastAsia="sl-SI"/>
        </w:rPr>
        <w:t xml:space="preserve"> 1</w:t>
      </w:r>
      <w:r w:rsidR="0075122E" w:rsidRPr="0030702D">
        <w:rPr>
          <w:rFonts w:ascii="Times New Roman" w:eastAsia="Times New Roman" w:hAnsi="Times New Roman"/>
          <w:lang w:eastAsia="sl-SI"/>
        </w:rPr>
        <w:t>4, 28, 56, 84</w:t>
      </w:r>
      <w:r w:rsidR="003B68F9" w:rsidRPr="0030702D">
        <w:rPr>
          <w:rFonts w:ascii="Times New Roman" w:eastAsia="Times New Roman" w:hAnsi="Times New Roman"/>
          <w:lang w:eastAsia="sl-SI"/>
        </w:rPr>
        <w:t xml:space="preserve"> arba </w:t>
      </w:r>
      <w:r w:rsidR="0075122E" w:rsidRPr="0030702D">
        <w:rPr>
          <w:rFonts w:ascii="Times New Roman" w:eastAsia="Times New Roman" w:hAnsi="Times New Roman"/>
          <w:lang w:eastAsia="sl-SI"/>
        </w:rPr>
        <w:t>98</w:t>
      </w:r>
      <w:r w:rsidR="003B68F9" w:rsidRPr="0030702D">
        <w:rPr>
          <w:rFonts w:ascii="Times New Roman" w:eastAsia="Times New Roman" w:hAnsi="Times New Roman"/>
          <w:noProof/>
          <w:lang w:eastAsia="sl-SI"/>
        </w:rPr>
        <w:t xml:space="preserve"> plėvele dengt</w:t>
      </w:r>
      <w:r w:rsidR="004B2A00" w:rsidRPr="0030702D">
        <w:rPr>
          <w:rFonts w:ascii="Times New Roman" w:eastAsia="Times New Roman" w:hAnsi="Times New Roman"/>
          <w:noProof/>
          <w:lang w:eastAsia="sl-SI"/>
        </w:rPr>
        <w:t>os</w:t>
      </w:r>
      <w:r w:rsidR="003B68F9" w:rsidRPr="0030702D">
        <w:rPr>
          <w:rFonts w:ascii="Times New Roman" w:eastAsia="Times New Roman" w:hAnsi="Times New Roman"/>
          <w:noProof/>
          <w:lang w:eastAsia="sl-SI"/>
        </w:rPr>
        <w:t xml:space="preserve"> table</w:t>
      </w:r>
      <w:r w:rsidR="004B2A00" w:rsidRPr="0030702D">
        <w:rPr>
          <w:rFonts w:ascii="Times New Roman" w:eastAsia="Times New Roman" w:hAnsi="Times New Roman"/>
          <w:noProof/>
          <w:lang w:eastAsia="sl-SI"/>
        </w:rPr>
        <w:t>tės</w:t>
      </w:r>
      <w:r w:rsidR="003B68F9" w:rsidRPr="0030702D">
        <w:rPr>
          <w:rFonts w:ascii="Times New Roman" w:eastAsia="Times New Roman" w:hAnsi="Times New Roman"/>
          <w:noProof/>
          <w:lang w:eastAsia="sl-SI"/>
        </w:rPr>
        <w:t xml:space="preserve"> dėžutėje.</w:t>
      </w:r>
    </w:p>
    <w:p w14:paraId="188AF039" w14:textId="2BE91351" w:rsidR="00492E2F" w:rsidRPr="0030702D"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color w:val="000000"/>
          <w:lang w:eastAsia="ar-SA"/>
        </w:rPr>
        <w:t xml:space="preserve">Perforuota </w:t>
      </w:r>
      <w:proofErr w:type="spellStart"/>
      <w:r>
        <w:rPr>
          <w:rFonts w:ascii="Times New Roman" w:eastAsia="Times New Roman" w:hAnsi="Times New Roman"/>
          <w:color w:val="000000"/>
          <w:lang w:eastAsia="ar-SA"/>
        </w:rPr>
        <w:t>dalomoji</w:t>
      </w:r>
      <w:proofErr w:type="spellEnd"/>
      <w:r>
        <w:rPr>
          <w:rFonts w:ascii="Times New Roman" w:eastAsia="Times New Roman" w:hAnsi="Times New Roman"/>
          <w:color w:val="000000"/>
          <w:lang w:eastAsia="ar-SA"/>
        </w:rPr>
        <w:t xml:space="preserve"> lizdinė plokštelė</w:t>
      </w:r>
      <w:r w:rsidRPr="0030702D">
        <w:rPr>
          <w:rFonts w:ascii="Times New Roman" w:eastAsia="Times New Roman" w:hAnsi="Times New Roman"/>
          <w:lang w:eastAsia="sl-SI"/>
        </w:rPr>
        <w:t xml:space="preserve"> (OPA/aliuminio/PVC//aliuminio): 10 x 1, 1</w:t>
      </w:r>
      <w:r w:rsidR="0075122E" w:rsidRPr="0030702D">
        <w:rPr>
          <w:rFonts w:ascii="Times New Roman" w:eastAsia="Times New Roman" w:hAnsi="Times New Roman"/>
          <w:lang w:eastAsia="sl-SI"/>
        </w:rPr>
        <w:t>4</w:t>
      </w:r>
      <w:r w:rsidRPr="0030702D">
        <w:rPr>
          <w:rFonts w:ascii="Times New Roman" w:eastAsia="Times New Roman" w:hAnsi="Times New Roman"/>
          <w:lang w:eastAsia="sl-SI"/>
        </w:rPr>
        <w:t> x 1, 2</w:t>
      </w:r>
      <w:r w:rsidR="0075122E" w:rsidRPr="0030702D">
        <w:rPr>
          <w:rFonts w:ascii="Times New Roman" w:eastAsia="Times New Roman" w:hAnsi="Times New Roman"/>
          <w:lang w:eastAsia="sl-SI"/>
        </w:rPr>
        <w:t>8</w:t>
      </w:r>
      <w:r w:rsidRPr="0030702D">
        <w:rPr>
          <w:rFonts w:ascii="Times New Roman" w:eastAsia="Times New Roman" w:hAnsi="Times New Roman"/>
          <w:lang w:eastAsia="sl-SI"/>
        </w:rPr>
        <w:t xml:space="preserve"> x 1, </w:t>
      </w:r>
      <w:r w:rsidR="00F77D96">
        <w:rPr>
          <w:rFonts w:ascii="Times New Roman" w:eastAsia="Times New Roman" w:hAnsi="Times New Roman"/>
          <w:lang w:eastAsia="sl-SI"/>
        </w:rPr>
        <w:t xml:space="preserve">30 x 1, </w:t>
      </w:r>
      <w:r w:rsidR="008A42FA">
        <w:rPr>
          <w:rFonts w:ascii="Times New Roman" w:eastAsia="Times New Roman" w:hAnsi="Times New Roman"/>
          <w:lang w:eastAsia="sl-SI"/>
        </w:rPr>
        <w:t xml:space="preserve">56 x 1, </w:t>
      </w:r>
      <w:r w:rsidR="0075122E" w:rsidRPr="0030702D">
        <w:rPr>
          <w:rFonts w:ascii="Times New Roman" w:eastAsia="Times New Roman" w:hAnsi="Times New Roman"/>
          <w:lang w:eastAsia="sl-SI"/>
        </w:rPr>
        <w:t>6</w:t>
      </w:r>
      <w:r w:rsidRPr="0030702D">
        <w:rPr>
          <w:rFonts w:ascii="Times New Roman" w:eastAsia="Times New Roman" w:hAnsi="Times New Roman"/>
          <w:lang w:eastAsia="sl-SI"/>
        </w:rPr>
        <w:t>0 x 1</w:t>
      </w:r>
      <w:r w:rsidR="0075122E" w:rsidRPr="0030702D">
        <w:rPr>
          <w:rFonts w:ascii="Times New Roman" w:eastAsia="Times New Roman" w:hAnsi="Times New Roman"/>
          <w:lang w:eastAsia="sl-SI"/>
        </w:rPr>
        <w:t xml:space="preserve">, </w:t>
      </w:r>
      <w:r w:rsidR="0075122E" w:rsidRPr="0030702D">
        <w:rPr>
          <w:rFonts w:ascii="Times New Roman" w:eastAsia="Times New Roman" w:hAnsi="Times New Roman"/>
        </w:rPr>
        <w:t>84 x 1, 90 x 1, 98 x 1</w:t>
      </w:r>
      <w:r w:rsidRPr="0030702D">
        <w:rPr>
          <w:rFonts w:ascii="Times New Roman" w:eastAsia="Times New Roman" w:hAnsi="Times New Roman"/>
          <w:lang w:eastAsia="sl-SI"/>
        </w:rPr>
        <w:t xml:space="preserve"> </w:t>
      </w:r>
      <w:r w:rsidR="0075122E" w:rsidRPr="0030702D">
        <w:rPr>
          <w:rFonts w:ascii="Times New Roman" w:eastAsia="Times New Roman" w:hAnsi="Times New Roman"/>
          <w:lang w:eastAsia="sl-SI"/>
        </w:rPr>
        <w:t>a</w:t>
      </w:r>
      <w:r w:rsidRPr="0030702D">
        <w:rPr>
          <w:rFonts w:ascii="Times New Roman" w:eastAsia="Times New Roman" w:hAnsi="Times New Roman"/>
          <w:lang w:eastAsia="sl-SI"/>
        </w:rPr>
        <w:t>r</w:t>
      </w:r>
      <w:r w:rsidR="0075122E" w:rsidRPr="0030702D">
        <w:rPr>
          <w:rFonts w:ascii="Times New Roman" w:eastAsia="Times New Roman" w:hAnsi="Times New Roman"/>
          <w:lang w:eastAsia="sl-SI"/>
        </w:rPr>
        <w:t>ba</w:t>
      </w:r>
      <w:r w:rsidRPr="0030702D">
        <w:rPr>
          <w:rFonts w:ascii="Times New Roman" w:eastAsia="Times New Roman" w:hAnsi="Times New Roman"/>
          <w:lang w:eastAsia="sl-SI"/>
        </w:rPr>
        <w:t xml:space="preserve"> </w:t>
      </w:r>
      <w:r w:rsidR="0075122E" w:rsidRPr="0030702D">
        <w:rPr>
          <w:rFonts w:ascii="Times New Roman" w:eastAsia="Times New Roman" w:hAnsi="Times New Roman"/>
          <w:lang w:eastAsia="sl-SI"/>
        </w:rPr>
        <w:t>10</w:t>
      </w:r>
      <w:r w:rsidRPr="0030702D">
        <w:rPr>
          <w:rFonts w:ascii="Times New Roman" w:eastAsia="Times New Roman" w:hAnsi="Times New Roman"/>
          <w:lang w:eastAsia="sl-SI"/>
        </w:rPr>
        <w:t>0 x 1 plėvele dengta tabletė dėžutėje.</w:t>
      </w:r>
    </w:p>
    <w:p w14:paraId="252E687D" w14:textId="5F79D417" w:rsidR="00492E2F" w:rsidRPr="0030702D"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color w:val="000000"/>
          <w:lang w:eastAsia="ar-SA"/>
        </w:rPr>
        <w:t xml:space="preserve">Perforuota </w:t>
      </w:r>
      <w:proofErr w:type="spellStart"/>
      <w:r>
        <w:rPr>
          <w:rFonts w:ascii="Times New Roman" w:eastAsia="Times New Roman" w:hAnsi="Times New Roman"/>
          <w:color w:val="000000"/>
          <w:lang w:eastAsia="ar-SA"/>
        </w:rPr>
        <w:t>dalomoji</w:t>
      </w:r>
      <w:proofErr w:type="spellEnd"/>
      <w:r>
        <w:rPr>
          <w:rFonts w:ascii="Times New Roman" w:eastAsia="Times New Roman" w:hAnsi="Times New Roman"/>
          <w:color w:val="000000"/>
          <w:lang w:eastAsia="ar-SA"/>
        </w:rPr>
        <w:t xml:space="preserve"> </w:t>
      </w:r>
      <w:r w:rsidR="0075122E">
        <w:rPr>
          <w:rFonts w:ascii="Times New Roman" w:eastAsia="Times New Roman" w:hAnsi="Times New Roman"/>
          <w:color w:val="000000"/>
          <w:lang w:eastAsia="ar-SA"/>
        </w:rPr>
        <w:t xml:space="preserve">kalendorinės pakuotės </w:t>
      </w:r>
      <w:r>
        <w:rPr>
          <w:rFonts w:ascii="Times New Roman" w:eastAsia="Times New Roman" w:hAnsi="Times New Roman"/>
          <w:color w:val="000000"/>
          <w:lang w:eastAsia="ar-SA"/>
        </w:rPr>
        <w:t>lizdinė plokštelė</w:t>
      </w:r>
      <w:r w:rsidRPr="0030702D">
        <w:rPr>
          <w:rFonts w:ascii="Times New Roman" w:eastAsia="Times New Roman" w:hAnsi="Times New Roman"/>
          <w:lang w:eastAsia="sl-SI"/>
        </w:rPr>
        <w:t xml:space="preserve"> (OPA/aliuminio/PVC//aliuminio): </w:t>
      </w:r>
      <w:r w:rsidR="0075122E" w:rsidRPr="0030702D">
        <w:rPr>
          <w:rFonts w:ascii="Times New Roman" w:eastAsia="Times New Roman" w:hAnsi="Times New Roman"/>
        </w:rPr>
        <w:t>14 x 1, 28 x 1, 56 x 1, 84 x 1 arb</w:t>
      </w:r>
      <w:r w:rsidR="00E576C0" w:rsidRPr="0030702D">
        <w:rPr>
          <w:rFonts w:ascii="Times New Roman" w:eastAsia="Times New Roman" w:hAnsi="Times New Roman"/>
        </w:rPr>
        <w:t>a</w:t>
      </w:r>
      <w:r w:rsidR="0075122E" w:rsidRPr="0030702D">
        <w:rPr>
          <w:rFonts w:ascii="Times New Roman" w:eastAsia="Times New Roman" w:hAnsi="Times New Roman"/>
        </w:rPr>
        <w:t xml:space="preserve"> 98 x 1</w:t>
      </w:r>
      <w:r w:rsidRPr="0030702D">
        <w:rPr>
          <w:rFonts w:ascii="Times New Roman" w:eastAsia="Times New Roman" w:hAnsi="Times New Roman"/>
          <w:lang w:eastAsia="sl-SI"/>
        </w:rPr>
        <w:t xml:space="preserve"> plėvele dengta tabletė dėžutėje</w:t>
      </w:r>
      <w:r w:rsidR="00F77A04" w:rsidRPr="0030702D">
        <w:rPr>
          <w:rFonts w:ascii="Times New Roman" w:eastAsia="Times New Roman" w:hAnsi="Times New Roman"/>
          <w:lang w:eastAsia="sl-SI"/>
        </w:rPr>
        <w:t>.</w:t>
      </w:r>
    </w:p>
    <w:bookmarkEnd w:id="5"/>
    <w:p w14:paraId="006B5C94" w14:textId="77777777" w:rsidR="00492E2F" w:rsidRDefault="00492E2F">
      <w:pPr>
        <w:widowControl w:val="0"/>
        <w:spacing w:after="0" w:line="240" w:lineRule="auto"/>
        <w:rPr>
          <w:rFonts w:ascii="Times New Roman" w:eastAsia="Times New Roman" w:hAnsi="Times New Roman"/>
          <w:snapToGrid w:val="0"/>
        </w:rPr>
      </w:pPr>
    </w:p>
    <w:p w14:paraId="31CB5316" w14:textId="77777777" w:rsidR="00492E2F" w:rsidRDefault="003B68F9">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Gali būti tiekiamos ne visų dydžių pakuotės.</w:t>
      </w:r>
    </w:p>
    <w:p w14:paraId="603F4B1B" w14:textId="77777777" w:rsidR="00492E2F" w:rsidRDefault="00492E2F">
      <w:pPr>
        <w:widowControl w:val="0"/>
        <w:spacing w:after="0" w:line="240" w:lineRule="auto"/>
        <w:rPr>
          <w:rFonts w:ascii="Times New Roman" w:eastAsia="Times New Roman" w:hAnsi="Times New Roman"/>
          <w:snapToGrid w:val="0"/>
        </w:rPr>
      </w:pPr>
    </w:p>
    <w:p w14:paraId="77314786" w14:textId="77777777" w:rsidR="00492E2F" w:rsidRDefault="003B68F9">
      <w:pPr>
        <w:widowControl w:val="0"/>
        <w:tabs>
          <w:tab w:val="left" w:pos="567"/>
        </w:tabs>
        <w:spacing w:after="0" w:line="240" w:lineRule="auto"/>
        <w:jc w:val="both"/>
        <w:outlineLvl w:val="3"/>
        <w:rPr>
          <w:rFonts w:ascii="Times New Roman" w:eastAsia="Times New Roman" w:hAnsi="Times New Roman"/>
          <w:b/>
          <w:bCs/>
          <w:snapToGrid w:val="0"/>
          <w:lang w:eastAsia="lt-LT"/>
        </w:rPr>
      </w:pPr>
      <w:bookmarkStart w:id="6" w:name="OLE_LINK1"/>
      <w:r>
        <w:rPr>
          <w:rFonts w:ascii="Times New Roman" w:eastAsia="Times New Roman" w:hAnsi="Times New Roman"/>
          <w:b/>
          <w:bCs/>
          <w:snapToGrid w:val="0"/>
          <w:lang w:eastAsia="lt-LT"/>
        </w:rPr>
        <w:t>6.6</w:t>
      </w:r>
      <w:r>
        <w:rPr>
          <w:rFonts w:ascii="Times New Roman" w:eastAsia="Times New Roman" w:hAnsi="Times New Roman"/>
          <w:b/>
          <w:bCs/>
          <w:snapToGrid w:val="0"/>
          <w:lang w:eastAsia="lt-LT"/>
        </w:rPr>
        <w:tab/>
        <w:t>Specialūs reikalavimai atliekoms tvarkyti</w:t>
      </w:r>
    </w:p>
    <w:bookmarkEnd w:id="6"/>
    <w:p w14:paraId="3891D9D0" w14:textId="77777777" w:rsidR="00492E2F" w:rsidRDefault="00492E2F">
      <w:pPr>
        <w:widowControl w:val="0"/>
        <w:spacing w:after="0" w:line="240" w:lineRule="auto"/>
        <w:rPr>
          <w:rFonts w:ascii="Times New Roman" w:eastAsia="Times New Roman" w:hAnsi="Times New Roman"/>
          <w:snapToGrid w:val="0"/>
        </w:rPr>
      </w:pPr>
    </w:p>
    <w:p w14:paraId="4E5DDD66" w14:textId="6E0D32BB" w:rsidR="00492E2F" w:rsidRDefault="00180B38">
      <w:pPr>
        <w:widowControl w:val="0"/>
        <w:spacing w:after="0" w:line="240" w:lineRule="auto"/>
        <w:rPr>
          <w:rFonts w:ascii="Times New Roman" w:eastAsia="Times New Roman" w:hAnsi="Times New Roman"/>
          <w:snapToGrid w:val="0"/>
        </w:rPr>
      </w:pPr>
      <w:r w:rsidRPr="00180B38">
        <w:rPr>
          <w:rFonts w:ascii="Times New Roman" w:eastAsia="Times New Roman" w:hAnsi="Times New Roman"/>
          <w:snapToGrid w:val="0"/>
        </w:rPr>
        <w:t>Nesuvartotą vaistinį preparatą ar atliekas reikia tvarkyti laikantis vietinių reikalavimų.</w:t>
      </w:r>
    </w:p>
    <w:p w14:paraId="02036DEC" w14:textId="77777777" w:rsidR="00492E2F" w:rsidRDefault="00492E2F">
      <w:pPr>
        <w:widowControl w:val="0"/>
        <w:spacing w:after="0" w:line="240" w:lineRule="auto"/>
        <w:rPr>
          <w:rFonts w:ascii="Times New Roman" w:eastAsia="Times New Roman" w:hAnsi="Times New Roman"/>
          <w:snapToGrid w:val="0"/>
        </w:rPr>
      </w:pPr>
    </w:p>
    <w:p w14:paraId="589C9E5F" w14:textId="77777777" w:rsidR="00492E2F" w:rsidRDefault="00492E2F">
      <w:pPr>
        <w:widowControl w:val="0"/>
        <w:spacing w:after="0" w:line="240" w:lineRule="auto"/>
        <w:rPr>
          <w:rFonts w:ascii="Times New Roman" w:eastAsia="Times New Roman" w:hAnsi="Times New Roman"/>
          <w:snapToGrid w:val="0"/>
        </w:rPr>
      </w:pPr>
    </w:p>
    <w:p w14:paraId="0B747FBA" w14:textId="77777777" w:rsidR="00492E2F" w:rsidRDefault="003B68F9">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7.</w:t>
      </w:r>
      <w:r>
        <w:rPr>
          <w:rFonts w:ascii="Times New Roman" w:eastAsia="Times New Roman" w:hAnsi="Times New Roman"/>
          <w:b/>
          <w:bCs/>
          <w:snapToGrid w:val="0"/>
          <w:lang w:eastAsia="lt-LT"/>
        </w:rPr>
        <w:tab/>
        <w:t>REGISTRUOTOJAS</w:t>
      </w:r>
    </w:p>
    <w:p w14:paraId="0F54CB8E" w14:textId="77777777" w:rsidR="00492E2F" w:rsidRDefault="00492E2F">
      <w:pPr>
        <w:widowControl w:val="0"/>
        <w:spacing w:after="0" w:line="240" w:lineRule="auto"/>
        <w:rPr>
          <w:rFonts w:ascii="Times New Roman" w:eastAsia="Times New Roman" w:hAnsi="Times New Roman"/>
          <w:snapToGrid w:val="0"/>
        </w:rPr>
      </w:pPr>
    </w:p>
    <w:p w14:paraId="4311B6EA"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KRKA, d.d., Novo mesto</w:t>
      </w:r>
    </w:p>
    <w:p w14:paraId="19A30EEB"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Šmarješka cesta 6</w:t>
      </w:r>
    </w:p>
    <w:p w14:paraId="1F801408"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8501 Novo mesto</w:t>
      </w:r>
    </w:p>
    <w:p w14:paraId="0F8D3566"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Slovėnija</w:t>
      </w:r>
    </w:p>
    <w:p w14:paraId="37465043" w14:textId="77777777" w:rsidR="00492E2F" w:rsidRDefault="00492E2F">
      <w:pPr>
        <w:widowControl w:val="0"/>
        <w:spacing w:after="0" w:line="240" w:lineRule="auto"/>
        <w:rPr>
          <w:rFonts w:ascii="Times New Roman" w:eastAsia="Times New Roman" w:hAnsi="Times New Roman"/>
          <w:lang w:eastAsia="sl-SI"/>
        </w:rPr>
      </w:pPr>
    </w:p>
    <w:p w14:paraId="1F81FBC0" w14:textId="77777777" w:rsidR="00492E2F" w:rsidRDefault="00492E2F">
      <w:pPr>
        <w:widowControl w:val="0"/>
        <w:spacing w:after="0" w:line="240" w:lineRule="auto"/>
        <w:rPr>
          <w:rFonts w:ascii="Times New Roman" w:eastAsia="Times New Roman" w:hAnsi="Times New Roman"/>
          <w:snapToGrid w:val="0"/>
        </w:rPr>
      </w:pPr>
    </w:p>
    <w:p w14:paraId="58A3AD52" w14:textId="77777777" w:rsidR="00492E2F" w:rsidRDefault="003B68F9">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8.</w:t>
      </w:r>
      <w:r>
        <w:rPr>
          <w:rFonts w:ascii="Times New Roman" w:eastAsia="Times New Roman" w:hAnsi="Times New Roman"/>
          <w:b/>
          <w:bCs/>
          <w:snapToGrid w:val="0"/>
          <w:lang w:eastAsia="lt-LT"/>
        </w:rPr>
        <w:tab/>
        <w:t>REGISTRACIJOS PAŽYMĖJIMO NUMERIS (-IAI)</w:t>
      </w:r>
    </w:p>
    <w:p w14:paraId="1A3D01F3" w14:textId="7D345D67" w:rsidR="00492E2F" w:rsidRDefault="00492E2F">
      <w:pPr>
        <w:widowControl w:val="0"/>
        <w:tabs>
          <w:tab w:val="left" w:pos="567"/>
        </w:tabs>
        <w:spacing w:after="0" w:line="240" w:lineRule="auto"/>
        <w:outlineLvl w:val="2"/>
        <w:rPr>
          <w:rFonts w:ascii="Times New Roman" w:eastAsia="Times New Roman" w:hAnsi="Times New Roman"/>
          <w:b/>
          <w:bCs/>
          <w:snapToGrid w:val="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B5D9C" w14:paraId="095CC8F3" w14:textId="77777777" w:rsidTr="006E6365">
        <w:tc>
          <w:tcPr>
            <w:tcW w:w="4530" w:type="dxa"/>
          </w:tcPr>
          <w:p w14:paraId="503B2206" w14:textId="43AA9F2C" w:rsidR="00AB5D9C" w:rsidRPr="0037355B" w:rsidRDefault="0037355B">
            <w:pPr>
              <w:widowControl w:val="0"/>
              <w:tabs>
                <w:tab w:val="left" w:pos="567"/>
              </w:tabs>
              <w:spacing w:after="0" w:line="240" w:lineRule="auto"/>
              <w:outlineLvl w:val="2"/>
              <w:rPr>
                <w:rFonts w:eastAsia="Calibri"/>
                <w:u w:val="single"/>
                <w:lang w:val="en-US"/>
              </w:rPr>
            </w:pPr>
            <w:r>
              <w:rPr>
                <w:bCs/>
                <w:snapToGrid w:val="0"/>
                <w:u w:val="single"/>
                <w:lang w:eastAsia="lt-LT"/>
              </w:rPr>
              <w:t>l</w:t>
            </w:r>
            <w:r w:rsidR="00AB5D9C" w:rsidRPr="0037355B">
              <w:rPr>
                <w:bCs/>
                <w:snapToGrid w:val="0"/>
                <w:u w:val="single"/>
                <w:lang w:eastAsia="lt-LT"/>
              </w:rPr>
              <w:t xml:space="preserve">izdinė </w:t>
            </w:r>
            <w:proofErr w:type="spellStart"/>
            <w:r w:rsidR="00AB5D9C" w:rsidRPr="0037355B">
              <w:rPr>
                <w:rFonts w:eastAsia="Calibri"/>
                <w:u w:val="single"/>
                <w:lang w:val="en-US"/>
              </w:rPr>
              <w:t>plokštelė</w:t>
            </w:r>
            <w:proofErr w:type="spellEnd"/>
            <w:r w:rsidR="000B6850">
              <w:rPr>
                <w:rFonts w:eastAsia="Calibri"/>
                <w:u w:val="single"/>
                <w:lang w:val="en-US"/>
              </w:rPr>
              <w:t>:</w:t>
            </w:r>
          </w:p>
          <w:p w14:paraId="2B53B0A1"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LT/1/25/5781/001 – N10</w:t>
            </w:r>
          </w:p>
          <w:p w14:paraId="44ABD7AC"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LT/1/25/5781/002 – N14</w:t>
            </w:r>
          </w:p>
          <w:p w14:paraId="0F7DAA65"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LT/1/25/5781/003 – N28</w:t>
            </w:r>
          </w:p>
          <w:p w14:paraId="62FE8E0D"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LT/1/25/5781/004 – N30</w:t>
            </w:r>
          </w:p>
          <w:p w14:paraId="5A9C6CC0"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LT/1/25/5781/005 –</w:t>
            </w:r>
            <w:r>
              <w:rPr>
                <w:rFonts w:eastAsia="Calibri"/>
                <w:lang w:val="en-US"/>
              </w:rPr>
              <w:t xml:space="preserve"> </w:t>
            </w:r>
            <w:r w:rsidRPr="003F2C9C">
              <w:rPr>
                <w:rFonts w:eastAsia="Calibri"/>
                <w:lang w:val="en-US"/>
              </w:rPr>
              <w:t>N56</w:t>
            </w:r>
          </w:p>
          <w:p w14:paraId="3E04EE65"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LT/1/25/5781/006 – N60</w:t>
            </w:r>
          </w:p>
          <w:p w14:paraId="5E3A8111"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LT/1/25/5781/007 – N84</w:t>
            </w:r>
          </w:p>
          <w:p w14:paraId="057643FE"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LT/1/25/5781/008 – N90</w:t>
            </w:r>
          </w:p>
          <w:p w14:paraId="251B2072" w14:textId="77777777" w:rsidR="00AB5D9C" w:rsidRPr="003F2C9C" w:rsidRDefault="00AB5D9C" w:rsidP="006E6365">
            <w:pPr>
              <w:widowControl w:val="0"/>
              <w:tabs>
                <w:tab w:val="left" w:pos="567"/>
              </w:tabs>
              <w:spacing w:after="0" w:line="240" w:lineRule="auto"/>
              <w:outlineLvl w:val="2"/>
              <w:rPr>
                <w:rFonts w:eastAsia="Calibri"/>
                <w:lang w:val="en-US"/>
              </w:rPr>
            </w:pPr>
            <w:r w:rsidRPr="003F2C9C">
              <w:rPr>
                <w:rFonts w:eastAsia="Calibri"/>
                <w:lang w:val="en-US"/>
              </w:rPr>
              <w:t>LT/1/25/5781/009 – N98</w:t>
            </w:r>
          </w:p>
          <w:p w14:paraId="19CBDE69" w14:textId="6C9E91DB" w:rsidR="00AB5D9C" w:rsidRDefault="00AB5D9C" w:rsidP="006E6365">
            <w:pPr>
              <w:widowControl w:val="0"/>
              <w:tabs>
                <w:tab w:val="left" w:pos="567"/>
              </w:tabs>
              <w:spacing w:after="120" w:line="240" w:lineRule="auto"/>
              <w:outlineLvl w:val="2"/>
              <w:rPr>
                <w:bCs/>
                <w:snapToGrid w:val="0"/>
                <w:lang w:eastAsia="lt-LT"/>
              </w:rPr>
            </w:pPr>
            <w:r w:rsidRPr="003F2C9C">
              <w:rPr>
                <w:rFonts w:eastAsia="Calibri"/>
                <w:lang w:val="en-US"/>
              </w:rPr>
              <w:t>LT/1/25/5781/010 – N100</w:t>
            </w:r>
          </w:p>
          <w:p w14:paraId="0CA83588" w14:textId="39BA9627" w:rsidR="00AB5D9C" w:rsidRPr="0037355B" w:rsidRDefault="00AB5D9C">
            <w:pPr>
              <w:widowControl w:val="0"/>
              <w:tabs>
                <w:tab w:val="left" w:pos="567"/>
              </w:tabs>
              <w:spacing w:after="0" w:line="240" w:lineRule="auto"/>
              <w:outlineLvl w:val="2"/>
              <w:rPr>
                <w:bCs/>
                <w:snapToGrid w:val="0"/>
                <w:u w:val="single"/>
                <w:lang w:eastAsia="lt-LT"/>
              </w:rPr>
            </w:pPr>
            <w:proofErr w:type="spellStart"/>
            <w:r w:rsidRPr="0037355B">
              <w:rPr>
                <w:bCs/>
                <w:snapToGrid w:val="0"/>
                <w:u w:val="single"/>
                <w:lang w:eastAsia="lt-LT"/>
              </w:rPr>
              <w:t>kalendorinė</w:t>
            </w:r>
            <w:proofErr w:type="spellEnd"/>
            <w:r w:rsidRPr="0037355B">
              <w:rPr>
                <w:bCs/>
                <w:snapToGrid w:val="0"/>
                <w:u w:val="single"/>
                <w:lang w:eastAsia="lt-LT"/>
              </w:rPr>
              <w:t xml:space="preserve"> </w:t>
            </w:r>
            <w:proofErr w:type="spellStart"/>
            <w:r w:rsidRPr="0037355B">
              <w:rPr>
                <w:bCs/>
                <w:snapToGrid w:val="0"/>
                <w:u w:val="single"/>
                <w:lang w:eastAsia="lt-LT"/>
              </w:rPr>
              <w:t>pakuotė</w:t>
            </w:r>
            <w:proofErr w:type="spellEnd"/>
          </w:p>
          <w:p w14:paraId="224866F7"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LT/1/25/5781/021 – N14</w:t>
            </w:r>
          </w:p>
          <w:p w14:paraId="4EA2DD7B"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LT/1/25/5781/022 – N28</w:t>
            </w:r>
          </w:p>
          <w:p w14:paraId="5917AA06"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LT/1/25/5781/023 – N56</w:t>
            </w:r>
          </w:p>
          <w:p w14:paraId="7BE2890F"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LT/1/25/5781/024 – N84</w:t>
            </w:r>
          </w:p>
          <w:p w14:paraId="22D1EF46" w14:textId="4C38E878" w:rsidR="00AB5D9C" w:rsidRPr="00AB5D9C" w:rsidRDefault="006E6365" w:rsidP="006E6365">
            <w:pPr>
              <w:widowControl w:val="0"/>
              <w:tabs>
                <w:tab w:val="left" w:pos="567"/>
              </w:tabs>
              <w:spacing w:after="120" w:line="240" w:lineRule="auto"/>
              <w:outlineLvl w:val="2"/>
              <w:rPr>
                <w:bCs/>
                <w:snapToGrid w:val="0"/>
                <w:lang w:eastAsia="lt-LT"/>
              </w:rPr>
            </w:pPr>
            <w:r w:rsidRPr="006E6365">
              <w:rPr>
                <w:rFonts w:eastAsia="Calibri"/>
                <w:lang w:val="en-US"/>
              </w:rPr>
              <w:t>LT/1/25/5781/025 – N98</w:t>
            </w:r>
          </w:p>
        </w:tc>
        <w:tc>
          <w:tcPr>
            <w:tcW w:w="4530" w:type="dxa"/>
          </w:tcPr>
          <w:p w14:paraId="5A636D06" w14:textId="44AD898C" w:rsidR="00AB5D9C" w:rsidRPr="0037355B" w:rsidRDefault="0037355B">
            <w:pPr>
              <w:widowControl w:val="0"/>
              <w:tabs>
                <w:tab w:val="left" w:pos="567"/>
              </w:tabs>
              <w:spacing w:after="0" w:line="240" w:lineRule="auto"/>
              <w:outlineLvl w:val="2"/>
              <w:rPr>
                <w:bCs/>
                <w:snapToGrid w:val="0"/>
                <w:u w:val="single"/>
                <w:lang w:eastAsia="lt-LT"/>
              </w:rPr>
            </w:pPr>
            <w:proofErr w:type="spellStart"/>
            <w:r>
              <w:rPr>
                <w:bCs/>
                <w:snapToGrid w:val="0"/>
                <w:u w:val="single"/>
                <w:lang w:eastAsia="lt-LT"/>
              </w:rPr>
              <w:t>d</w:t>
            </w:r>
            <w:r w:rsidR="00AB5D9C" w:rsidRPr="0037355B">
              <w:rPr>
                <w:bCs/>
                <w:snapToGrid w:val="0"/>
                <w:u w:val="single"/>
                <w:lang w:eastAsia="lt-LT"/>
              </w:rPr>
              <w:t>alomoji</w:t>
            </w:r>
            <w:proofErr w:type="spellEnd"/>
            <w:r w:rsidR="00AB5D9C" w:rsidRPr="0037355B">
              <w:rPr>
                <w:bCs/>
                <w:snapToGrid w:val="0"/>
                <w:u w:val="single"/>
                <w:lang w:eastAsia="lt-LT"/>
              </w:rPr>
              <w:t xml:space="preserve"> lizdinė plokštelė</w:t>
            </w:r>
            <w:r w:rsidR="000B6850">
              <w:rPr>
                <w:bCs/>
                <w:snapToGrid w:val="0"/>
                <w:u w:val="single"/>
                <w:lang w:eastAsia="lt-LT"/>
              </w:rPr>
              <w:t>:</w:t>
            </w:r>
          </w:p>
          <w:p w14:paraId="2D8F3807"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LT/1/25/5781/011 – N10x1</w:t>
            </w:r>
          </w:p>
          <w:p w14:paraId="6A6539BC"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LT/1/25/5781/012 – N14x1</w:t>
            </w:r>
          </w:p>
          <w:p w14:paraId="4864CF4B"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LT/1/25/5781/013 – N28x1</w:t>
            </w:r>
          </w:p>
          <w:p w14:paraId="5E713C99"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LT/1/25/5781/014 – N30x1</w:t>
            </w:r>
          </w:p>
          <w:p w14:paraId="392E96F2"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LT/1/25/5781/015 – N56x1</w:t>
            </w:r>
          </w:p>
          <w:p w14:paraId="4B6181D4"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LT/1/25/5781/016 – N60x1</w:t>
            </w:r>
          </w:p>
          <w:p w14:paraId="76BE7987"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LT/1/25/5781/017 – N84x1</w:t>
            </w:r>
          </w:p>
          <w:p w14:paraId="0449363E"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LT/1/25/5781/018 – N90x1</w:t>
            </w:r>
          </w:p>
          <w:p w14:paraId="07B2A84B" w14:textId="77777777" w:rsidR="006E6365" w:rsidRPr="006E6365" w:rsidRDefault="006E6365" w:rsidP="006E6365">
            <w:pPr>
              <w:widowControl w:val="0"/>
              <w:tabs>
                <w:tab w:val="left" w:pos="567"/>
              </w:tabs>
              <w:spacing w:after="0" w:line="240" w:lineRule="auto"/>
              <w:outlineLvl w:val="2"/>
              <w:rPr>
                <w:rFonts w:eastAsia="Calibri"/>
                <w:lang w:val="en-US"/>
              </w:rPr>
            </w:pPr>
            <w:r w:rsidRPr="006E6365">
              <w:rPr>
                <w:rFonts w:eastAsia="Calibri"/>
                <w:lang w:val="en-US"/>
              </w:rPr>
              <w:t>LT/1/25/5781/019 – N98x1</w:t>
            </w:r>
          </w:p>
          <w:p w14:paraId="372A54BC" w14:textId="6BEEE876" w:rsidR="00AB5D9C" w:rsidRDefault="006E6365" w:rsidP="006E6365">
            <w:pPr>
              <w:widowControl w:val="0"/>
              <w:tabs>
                <w:tab w:val="left" w:pos="567"/>
              </w:tabs>
              <w:spacing w:after="120" w:line="240" w:lineRule="auto"/>
              <w:outlineLvl w:val="2"/>
              <w:rPr>
                <w:rFonts w:eastAsia="Calibri"/>
                <w:lang w:val="en-US"/>
              </w:rPr>
            </w:pPr>
            <w:r w:rsidRPr="006E6365">
              <w:rPr>
                <w:rFonts w:eastAsia="Calibri"/>
                <w:lang w:val="en-US"/>
              </w:rPr>
              <w:t>LT/1/25/5781/020 – N100x1</w:t>
            </w:r>
          </w:p>
          <w:p w14:paraId="0C083B3C" w14:textId="77777777" w:rsidR="00AB5D9C" w:rsidRPr="0037355B" w:rsidRDefault="00AB5D9C" w:rsidP="00AB5D9C">
            <w:pPr>
              <w:widowControl w:val="0"/>
              <w:tabs>
                <w:tab w:val="left" w:pos="567"/>
              </w:tabs>
              <w:spacing w:after="0" w:line="240" w:lineRule="auto"/>
              <w:outlineLvl w:val="2"/>
              <w:rPr>
                <w:bCs/>
                <w:snapToGrid w:val="0"/>
                <w:u w:val="single"/>
                <w:lang w:eastAsia="lt-LT"/>
              </w:rPr>
            </w:pPr>
            <w:proofErr w:type="spellStart"/>
            <w:r w:rsidRPr="0037355B">
              <w:rPr>
                <w:bCs/>
                <w:snapToGrid w:val="0"/>
                <w:u w:val="single"/>
                <w:lang w:eastAsia="lt-LT"/>
              </w:rPr>
              <w:t>kalendorinė</w:t>
            </w:r>
            <w:proofErr w:type="spellEnd"/>
            <w:r w:rsidRPr="0037355B">
              <w:rPr>
                <w:bCs/>
                <w:snapToGrid w:val="0"/>
                <w:u w:val="single"/>
                <w:lang w:eastAsia="lt-LT"/>
              </w:rPr>
              <w:t xml:space="preserve"> </w:t>
            </w:r>
            <w:proofErr w:type="spellStart"/>
            <w:r w:rsidRPr="0037355B">
              <w:rPr>
                <w:bCs/>
                <w:snapToGrid w:val="0"/>
                <w:u w:val="single"/>
                <w:lang w:eastAsia="lt-LT"/>
              </w:rPr>
              <w:t>pakuotė</w:t>
            </w:r>
            <w:proofErr w:type="spellEnd"/>
          </w:p>
          <w:p w14:paraId="400E3560" w14:textId="77777777" w:rsidR="006E6365" w:rsidRPr="006E6365" w:rsidRDefault="006E6365" w:rsidP="006E6365">
            <w:pPr>
              <w:widowControl w:val="0"/>
              <w:tabs>
                <w:tab w:val="left" w:pos="567"/>
              </w:tabs>
              <w:spacing w:after="0" w:line="240" w:lineRule="auto"/>
              <w:outlineLvl w:val="2"/>
              <w:rPr>
                <w:bCs/>
                <w:snapToGrid w:val="0"/>
                <w:lang w:eastAsia="lt-LT"/>
              </w:rPr>
            </w:pPr>
            <w:r w:rsidRPr="006E6365">
              <w:rPr>
                <w:bCs/>
                <w:snapToGrid w:val="0"/>
                <w:lang w:eastAsia="lt-LT"/>
              </w:rPr>
              <w:t>LT/1/25/5781/026 – N14x1</w:t>
            </w:r>
          </w:p>
          <w:p w14:paraId="7C22868D" w14:textId="77777777" w:rsidR="006E6365" w:rsidRPr="006E6365" w:rsidRDefault="006E6365" w:rsidP="006E6365">
            <w:pPr>
              <w:widowControl w:val="0"/>
              <w:tabs>
                <w:tab w:val="left" w:pos="567"/>
              </w:tabs>
              <w:spacing w:after="0" w:line="240" w:lineRule="auto"/>
              <w:outlineLvl w:val="2"/>
              <w:rPr>
                <w:bCs/>
                <w:snapToGrid w:val="0"/>
                <w:lang w:eastAsia="lt-LT"/>
              </w:rPr>
            </w:pPr>
            <w:r w:rsidRPr="006E6365">
              <w:rPr>
                <w:bCs/>
                <w:snapToGrid w:val="0"/>
                <w:lang w:eastAsia="lt-LT"/>
              </w:rPr>
              <w:t>LT/1/25/5781/027 – N28x1</w:t>
            </w:r>
          </w:p>
          <w:p w14:paraId="5390D7E4" w14:textId="77777777" w:rsidR="006E6365" w:rsidRPr="006E6365" w:rsidRDefault="006E6365" w:rsidP="006E6365">
            <w:pPr>
              <w:widowControl w:val="0"/>
              <w:tabs>
                <w:tab w:val="left" w:pos="567"/>
              </w:tabs>
              <w:spacing w:after="0" w:line="240" w:lineRule="auto"/>
              <w:outlineLvl w:val="2"/>
              <w:rPr>
                <w:bCs/>
                <w:snapToGrid w:val="0"/>
                <w:lang w:eastAsia="lt-LT"/>
              </w:rPr>
            </w:pPr>
            <w:r w:rsidRPr="006E6365">
              <w:rPr>
                <w:bCs/>
                <w:snapToGrid w:val="0"/>
                <w:lang w:eastAsia="lt-LT"/>
              </w:rPr>
              <w:t>LT/1/25/5781/028 – N56x1</w:t>
            </w:r>
          </w:p>
          <w:p w14:paraId="76B72BA7" w14:textId="77777777" w:rsidR="006E6365" w:rsidRPr="006E6365" w:rsidRDefault="006E6365" w:rsidP="006E6365">
            <w:pPr>
              <w:widowControl w:val="0"/>
              <w:tabs>
                <w:tab w:val="left" w:pos="567"/>
              </w:tabs>
              <w:spacing w:after="0" w:line="240" w:lineRule="auto"/>
              <w:outlineLvl w:val="2"/>
              <w:rPr>
                <w:bCs/>
                <w:snapToGrid w:val="0"/>
                <w:lang w:eastAsia="lt-LT"/>
              </w:rPr>
            </w:pPr>
            <w:r w:rsidRPr="006E6365">
              <w:rPr>
                <w:bCs/>
                <w:snapToGrid w:val="0"/>
                <w:lang w:eastAsia="lt-LT"/>
              </w:rPr>
              <w:t>LT/1/25/5781/029 – N84x1</w:t>
            </w:r>
          </w:p>
          <w:p w14:paraId="6AD5063A" w14:textId="6C12A019" w:rsidR="00AB5D9C" w:rsidRPr="00AB5D9C" w:rsidRDefault="006E6365" w:rsidP="006E6365">
            <w:pPr>
              <w:widowControl w:val="0"/>
              <w:tabs>
                <w:tab w:val="left" w:pos="567"/>
              </w:tabs>
              <w:spacing w:after="0" w:line="240" w:lineRule="auto"/>
              <w:outlineLvl w:val="2"/>
              <w:rPr>
                <w:bCs/>
                <w:snapToGrid w:val="0"/>
                <w:lang w:eastAsia="lt-LT"/>
              </w:rPr>
            </w:pPr>
            <w:r w:rsidRPr="006E6365">
              <w:rPr>
                <w:bCs/>
                <w:snapToGrid w:val="0"/>
                <w:lang w:eastAsia="lt-LT"/>
              </w:rPr>
              <w:t>LT/1/25/5781/030 – N98x1</w:t>
            </w:r>
          </w:p>
        </w:tc>
      </w:tr>
    </w:tbl>
    <w:p w14:paraId="5CF038B2" w14:textId="77777777" w:rsidR="00AB5D9C" w:rsidRDefault="00AB5D9C">
      <w:pPr>
        <w:widowControl w:val="0"/>
        <w:tabs>
          <w:tab w:val="left" w:pos="567"/>
        </w:tabs>
        <w:spacing w:after="0" w:line="240" w:lineRule="auto"/>
        <w:outlineLvl w:val="2"/>
        <w:rPr>
          <w:rFonts w:ascii="Times New Roman" w:eastAsia="Times New Roman" w:hAnsi="Times New Roman"/>
          <w:b/>
          <w:bCs/>
          <w:snapToGrid w:val="0"/>
          <w:lang w:eastAsia="lt-LT"/>
        </w:rPr>
      </w:pPr>
    </w:p>
    <w:p w14:paraId="2CE02286" w14:textId="77777777" w:rsidR="00492E2F" w:rsidRDefault="00492E2F">
      <w:pPr>
        <w:widowControl w:val="0"/>
        <w:spacing w:after="0" w:line="240" w:lineRule="auto"/>
        <w:rPr>
          <w:rFonts w:ascii="Times New Roman" w:eastAsia="Times New Roman" w:hAnsi="Times New Roman"/>
        </w:rPr>
      </w:pPr>
    </w:p>
    <w:p w14:paraId="2D993124" w14:textId="77777777" w:rsidR="00492E2F" w:rsidRDefault="003B68F9">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9.</w:t>
      </w:r>
      <w:r>
        <w:rPr>
          <w:rFonts w:ascii="Times New Roman" w:eastAsia="Times New Roman" w:hAnsi="Times New Roman"/>
          <w:b/>
          <w:bCs/>
          <w:snapToGrid w:val="0"/>
          <w:lang w:eastAsia="lt-LT"/>
        </w:rPr>
        <w:tab/>
        <w:t>REGISTRAVIMO / PERREGISTRAVIMO DATA</w:t>
      </w:r>
    </w:p>
    <w:p w14:paraId="68FF1056" w14:textId="77777777" w:rsidR="00492E2F" w:rsidRDefault="00492E2F">
      <w:pPr>
        <w:widowControl w:val="0"/>
        <w:spacing w:after="0" w:line="240" w:lineRule="auto"/>
        <w:rPr>
          <w:rFonts w:ascii="Times New Roman" w:eastAsia="Times New Roman" w:hAnsi="Times New Roman"/>
          <w:snapToGrid w:val="0"/>
        </w:rPr>
      </w:pPr>
    </w:p>
    <w:p w14:paraId="1C22A06A" w14:textId="7317F1CD" w:rsidR="00492E2F" w:rsidRDefault="003B68F9">
      <w:pPr>
        <w:widowControl w:val="0"/>
        <w:spacing w:after="0" w:line="240" w:lineRule="auto"/>
        <w:rPr>
          <w:rFonts w:ascii="Times New Roman" w:eastAsia="Times New Roman" w:hAnsi="Times New Roman"/>
          <w:snapToGrid w:val="0"/>
        </w:rPr>
      </w:pPr>
      <w:r>
        <w:rPr>
          <w:rFonts w:ascii="Times New Roman" w:eastAsia="Times New Roman" w:hAnsi="Times New Roman"/>
          <w:snapToGrid w:val="0"/>
        </w:rPr>
        <w:t>Registravimo data</w:t>
      </w:r>
      <w:r w:rsidR="0037355B">
        <w:rPr>
          <w:rFonts w:ascii="Times New Roman" w:eastAsia="Times New Roman" w:hAnsi="Times New Roman"/>
          <w:snapToGrid w:val="0"/>
        </w:rPr>
        <w:t xml:space="preserve"> 2025 m. gegužės 19 d.</w:t>
      </w:r>
    </w:p>
    <w:p w14:paraId="7770CEEE" w14:textId="77777777" w:rsidR="00492E2F" w:rsidRDefault="00492E2F">
      <w:pPr>
        <w:spacing w:after="0" w:line="240" w:lineRule="auto"/>
        <w:rPr>
          <w:rFonts w:ascii="Times New Roman" w:eastAsia="Times New Roman" w:hAnsi="Times New Roman"/>
          <w:snapToGrid w:val="0"/>
        </w:rPr>
      </w:pPr>
    </w:p>
    <w:p w14:paraId="3DBF8B27" w14:textId="77777777" w:rsidR="00492E2F" w:rsidRDefault="00492E2F">
      <w:pPr>
        <w:widowControl w:val="0"/>
        <w:spacing w:after="0" w:line="240" w:lineRule="auto"/>
        <w:rPr>
          <w:rFonts w:ascii="Times New Roman" w:eastAsia="Times New Roman" w:hAnsi="Times New Roman"/>
          <w:snapToGrid w:val="0"/>
        </w:rPr>
      </w:pPr>
    </w:p>
    <w:p w14:paraId="784A3965" w14:textId="41DDBCD4" w:rsidR="00492E2F" w:rsidRDefault="003B68F9">
      <w:pPr>
        <w:widowControl w:val="0"/>
        <w:tabs>
          <w:tab w:val="left" w:pos="567"/>
        </w:tabs>
        <w:spacing w:after="0" w:line="240" w:lineRule="auto"/>
        <w:outlineLvl w:val="2"/>
        <w:rPr>
          <w:rFonts w:ascii="Times New Roman" w:eastAsia="Times New Roman" w:hAnsi="Times New Roman"/>
          <w:b/>
          <w:bCs/>
          <w:snapToGrid w:val="0"/>
          <w:lang w:eastAsia="lt-LT"/>
        </w:rPr>
      </w:pPr>
      <w:r>
        <w:rPr>
          <w:rFonts w:ascii="Times New Roman" w:eastAsia="Times New Roman" w:hAnsi="Times New Roman"/>
          <w:b/>
          <w:bCs/>
          <w:snapToGrid w:val="0"/>
          <w:lang w:eastAsia="lt-LT"/>
        </w:rPr>
        <w:t>10.</w:t>
      </w:r>
      <w:r>
        <w:rPr>
          <w:rFonts w:ascii="Times New Roman" w:eastAsia="Times New Roman" w:hAnsi="Times New Roman"/>
          <w:b/>
          <w:bCs/>
          <w:snapToGrid w:val="0"/>
          <w:lang w:eastAsia="lt-LT"/>
        </w:rPr>
        <w:tab/>
        <w:t>TEKSTO PERŽIŪROS DATA</w:t>
      </w:r>
    </w:p>
    <w:p w14:paraId="72A1EBFA" w14:textId="2A8C2C0D" w:rsidR="00406E39" w:rsidRDefault="00406E39">
      <w:pPr>
        <w:widowControl w:val="0"/>
        <w:tabs>
          <w:tab w:val="left" w:pos="567"/>
        </w:tabs>
        <w:spacing w:after="0" w:line="240" w:lineRule="auto"/>
        <w:outlineLvl w:val="2"/>
        <w:rPr>
          <w:rFonts w:ascii="Times New Roman" w:eastAsia="Times New Roman" w:hAnsi="Times New Roman"/>
          <w:b/>
          <w:bCs/>
          <w:snapToGrid w:val="0"/>
          <w:lang w:eastAsia="lt-LT"/>
        </w:rPr>
      </w:pPr>
    </w:p>
    <w:p w14:paraId="5E82C437" w14:textId="388F324E" w:rsidR="00406E39" w:rsidRPr="00406E39" w:rsidRDefault="00406E39">
      <w:pPr>
        <w:widowControl w:val="0"/>
        <w:tabs>
          <w:tab w:val="left" w:pos="567"/>
        </w:tabs>
        <w:spacing w:after="0" w:line="240" w:lineRule="auto"/>
        <w:outlineLvl w:val="2"/>
        <w:rPr>
          <w:rFonts w:ascii="Times New Roman" w:eastAsia="Times New Roman" w:hAnsi="Times New Roman"/>
          <w:bCs/>
          <w:snapToGrid w:val="0"/>
          <w:lang w:eastAsia="lt-LT"/>
        </w:rPr>
      </w:pPr>
      <w:r w:rsidRPr="00406E39">
        <w:rPr>
          <w:rFonts w:ascii="Times New Roman" w:eastAsia="Times New Roman" w:hAnsi="Times New Roman"/>
          <w:bCs/>
          <w:snapToGrid w:val="0"/>
          <w:lang w:eastAsia="lt-LT"/>
        </w:rPr>
        <w:t>2025 m. gegužės 19 d.</w:t>
      </w:r>
    </w:p>
    <w:p w14:paraId="5288DCEA" w14:textId="77777777" w:rsidR="00492E2F" w:rsidRDefault="00492E2F">
      <w:pPr>
        <w:widowControl w:val="0"/>
        <w:spacing w:after="0" w:line="240" w:lineRule="auto"/>
        <w:rPr>
          <w:rFonts w:ascii="Times New Roman" w:eastAsia="Times New Roman" w:hAnsi="Times New Roman"/>
          <w:snapToGrid w:val="0"/>
        </w:rPr>
      </w:pPr>
    </w:p>
    <w:p w14:paraId="678FD559" w14:textId="77777777" w:rsidR="00492E2F" w:rsidRDefault="003B68F9">
      <w:pPr>
        <w:widowControl w:val="0"/>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rPr>
        <w:t>Išsami informacija apie šį vaistinį preparatą pateikiama Valstybinės vaistų kontrolės tarnybos prie Lietuvos Respublikos sveikatos apsaugos ministerijos tinklalapyje</w:t>
      </w:r>
      <w:r>
        <w:rPr>
          <w:rFonts w:ascii="Times New Roman" w:eastAsia="SimSun" w:hAnsi="Times New Roman"/>
          <w:i/>
        </w:rPr>
        <w:t xml:space="preserve"> </w:t>
      </w:r>
      <w:r w:rsidRPr="0030702D">
        <w:rPr>
          <w:rFonts w:ascii="Times New Roman" w:eastAsia="Times New Roman" w:hAnsi="Times New Roman"/>
          <w:snapToGrid w:val="0"/>
          <w:color w:val="0000EE"/>
          <w:u w:val="single"/>
          <w:lang w:eastAsia="lt-LT"/>
        </w:rPr>
        <w:t>https://vvkt.lrv.lt/lt/</w:t>
      </w:r>
      <w:r w:rsidRPr="0030702D">
        <w:rPr>
          <w:rFonts w:ascii="Times New Roman" w:eastAsia="Times New Roman" w:hAnsi="Times New Roman"/>
          <w:snapToGrid w:val="0"/>
          <w:lang w:eastAsia="lt-LT"/>
        </w:rPr>
        <w:t>.</w:t>
      </w:r>
    </w:p>
    <w:p w14:paraId="13F89718" w14:textId="77777777" w:rsidR="00492E2F" w:rsidRDefault="003B68F9">
      <w:pPr>
        <w:widowControl w:val="0"/>
        <w:tabs>
          <w:tab w:val="left" w:pos="4962"/>
        </w:tabs>
        <w:spacing w:after="0" w:line="240" w:lineRule="auto"/>
        <w:rPr>
          <w:rFonts w:ascii="Times New Roman" w:eastAsia="SimSun" w:hAnsi="Times New Roman"/>
        </w:rPr>
      </w:pPr>
      <w:r>
        <w:rPr>
          <w:rFonts w:ascii="Times New Roman" w:eastAsia="SimSun" w:hAnsi="Times New Roman"/>
        </w:rPr>
        <w:br w:type="page"/>
      </w:r>
    </w:p>
    <w:p w14:paraId="42C92C71" w14:textId="77777777" w:rsidR="00492E2F" w:rsidRDefault="00492E2F">
      <w:pPr>
        <w:spacing w:after="0" w:line="240" w:lineRule="auto"/>
        <w:rPr>
          <w:rFonts w:ascii="Times New Roman" w:hAnsi="Times New Roman"/>
        </w:rPr>
      </w:pPr>
    </w:p>
    <w:p w14:paraId="3ABAB1C9" w14:textId="77777777" w:rsidR="00492E2F" w:rsidRDefault="00492E2F">
      <w:pPr>
        <w:spacing w:after="0"/>
        <w:jc w:val="center"/>
        <w:rPr>
          <w:rFonts w:ascii="Times New Roman" w:hAnsi="Times New Roman"/>
          <w:b/>
        </w:rPr>
      </w:pPr>
    </w:p>
    <w:p w14:paraId="2743317B" w14:textId="77777777" w:rsidR="00492E2F" w:rsidRDefault="00492E2F">
      <w:pPr>
        <w:spacing w:after="0"/>
        <w:jc w:val="center"/>
        <w:rPr>
          <w:rFonts w:ascii="Times New Roman" w:hAnsi="Times New Roman"/>
          <w:b/>
        </w:rPr>
      </w:pPr>
    </w:p>
    <w:p w14:paraId="57CDFDC5" w14:textId="77777777" w:rsidR="00492E2F" w:rsidRDefault="00492E2F">
      <w:pPr>
        <w:spacing w:after="0"/>
        <w:jc w:val="center"/>
        <w:rPr>
          <w:rFonts w:ascii="Times New Roman" w:hAnsi="Times New Roman"/>
          <w:b/>
        </w:rPr>
      </w:pPr>
    </w:p>
    <w:p w14:paraId="148D505A" w14:textId="77777777" w:rsidR="00492E2F" w:rsidRDefault="00492E2F">
      <w:pPr>
        <w:spacing w:after="0"/>
        <w:jc w:val="center"/>
        <w:rPr>
          <w:rFonts w:ascii="Times New Roman" w:hAnsi="Times New Roman"/>
          <w:b/>
        </w:rPr>
      </w:pPr>
    </w:p>
    <w:p w14:paraId="0C5041BF" w14:textId="77777777" w:rsidR="00492E2F" w:rsidRDefault="00492E2F">
      <w:pPr>
        <w:spacing w:after="0"/>
        <w:jc w:val="center"/>
        <w:rPr>
          <w:rFonts w:ascii="Times New Roman" w:hAnsi="Times New Roman"/>
          <w:b/>
        </w:rPr>
      </w:pPr>
    </w:p>
    <w:p w14:paraId="7DF706F0" w14:textId="77777777" w:rsidR="00492E2F" w:rsidRDefault="00492E2F">
      <w:pPr>
        <w:spacing w:after="0"/>
        <w:jc w:val="center"/>
        <w:rPr>
          <w:rFonts w:ascii="Times New Roman" w:hAnsi="Times New Roman"/>
          <w:b/>
        </w:rPr>
      </w:pPr>
    </w:p>
    <w:p w14:paraId="08D21B21" w14:textId="77777777" w:rsidR="00492E2F" w:rsidRDefault="00492E2F">
      <w:pPr>
        <w:spacing w:after="0"/>
        <w:jc w:val="center"/>
        <w:rPr>
          <w:rFonts w:ascii="Times New Roman" w:hAnsi="Times New Roman"/>
          <w:b/>
        </w:rPr>
      </w:pPr>
    </w:p>
    <w:p w14:paraId="7F6770DD" w14:textId="77777777" w:rsidR="00492E2F" w:rsidRDefault="00492E2F">
      <w:pPr>
        <w:spacing w:after="0"/>
        <w:jc w:val="center"/>
        <w:rPr>
          <w:rFonts w:ascii="Times New Roman" w:hAnsi="Times New Roman"/>
          <w:b/>
        </w:rPr>
      </w:pPr>
    </w:p>
    <w:p w14:paraId="3E61D11C" w14:textId="77777777" w:rsidR="00492E2F" w:rsidRDefault="00492E2F">
      <w:pPr>
        <w:spacing w:after="0"/>
        <w:jc w:val="center"/>
        <w:rPr>
          <w:rFonts w:ascii="Times New Roman" w:hAnsi="Times New Roman"/>
          <w:b/>
        </w:rPr>
      </w:pPr>
    </w:p>
    <w:p w14:paraId="499FFEB5" w14:textId="77777777" w:rsidR="00492E2F" w:rsidRDefault="00492E2F">
      <w:pPr>
        <w:spacing w:after="0"/>
        <w:jc w:val="center"/>
        <w:rPr>
          <w:rFonts w:ascii="Times New Roman" w:hAnsi="Times New Roman"/>
          <w:b/>
        </w:rPr>
      </w:pPr>
    </w:p>
    <w:p w14:paraId="19FB2FF0" w14:textId="77777777" w:rsidR="00492E2F" w:rsidRDefault="00492E2F">
      <w:pPr>
        <w:spacing w:after="0"/>
        <w:jc w:val="center"/>
        <w:rPr>
          <w:rFonts w:ascii="Times New Roman" w:hAnsi="Times New Roman"/>
          <w:b/>
        </w:rPr>
      </w:pPr>
    </w:p>
    <w:p w14:paraId="546AB6EB" w14:textId="77777777" w:rsidR="00492E2F" w:rsidRDefault="00492E2F">
      <w:pPr>
        <w:spacing w:after="0"/>
        <w:jc w:val="center"/>
        <w:rPr>
          <w:rFonts w:ascii="Times New Roman" w:hAnsi="Times New Roman"/>
          <w:b/>
        </w:rPr>
      </w:pPr>
    </w:p>
    <w:p w14:paraId="1CF84012" w14:textId="77777777" w:rsidR="00492E2F" w:rsidRDefault="00492E2F">
      <w:pPr>
        <w:spacing w:after="0"/>
        <w:jc w:val="center"/>
        <w:rPr>
          <w:rFonts w:ascii="Times New Roman" w:hAnsi="Times New Roman"/>
          <w:b/>
        </w:rPr>
      </w:pPr>
    </w:p>
    <w:p w14:paraId="7ABEBF30" w14:textId="77777777" w:rsidR="00492E2F" w:rsidRDefault="00492E2F">
      <w:pPr>
        <w:spacing w:after="0"/>
        <w:jc w:val="center"/>
        <w:rPr>
          <w:rFonts w:ascii="Times New Roman" w:hAnsi="Times New Roman"/>
          <w:b/>
        </w:rPr>
      </w:pPr>
    </w:p>
    <w:p w14:paraId="02B98DAD" w14:textId="77777777" w:rsidR="00492E2F" w:rsidRDefault="00492E2F">
      <w:pPr>
        <w:spacing w:after="0"/>
        <w:jc w:val="center"/>
        <w:rPr>
          <w:rFonts w:ascii="Times New Roman" w:hAnsi="Times New Roman"/>
          <w:b/>
        </w:rPr>
      </w:pPr>
    </w:p>
    <w:p w14:paraId="237CD56E" w14:textId="77777777" w:rsidR="00492E2F" w:rsidRDefault="00492E2F">
      <w:pPr>
        <w:spacing w:after="0"/>
        <w:jc w:val="center"/>
        <w:rPr>
          <w:rFonts w:ascii="Times New Roman" w:hAnsi="Times New Roman"/>
          <w:b/>
        </w:rPr>
      </w:pPr>
    </w:p>
    <w:p w14:paraId="07149D8E" w14:textId="77777777" w:rsidR="00492E2F" w:rsidRDefault="00492E2F">
      <w:pPr>
        <w:spacing w:after="0"/>
        <w:jc w:val="center"/>
        <w:rPr>
          <w:rFonts w:ascii="Times New Roman" w:hAnsi="Times New Roman"/>
          <w:b/>
        </w:rPr>
      </w:pPr>
    </w:p>
    <w:p w14:paraId="3CED0ABB" w14:textId="77777777" w:rsidR="00492E2F" w:rsidRDefault="00492E2F">
      <w:pPr>
        <w:spacing w:after="0"/>
        <w:jc w:val="center"/>
        <w:rPr>
          <w:rFonts w:ascii="Times New Roman" w:hAnsi="Times New Roman"/>
          <w:b/>
        </w:rPr>
      </w:pPr>
    </w:p>
    <w:p w14:paraId="6CC17FF9" w14:textId="77777777" w:rsidR="00492E2F" w:rsidRDefault="00492E2F">
      <w:pPr>
        <w:spacing w:after="0"/>
        <w:jc w:val="center"/>
        <w:rPr>
          <w:rFonts w:ascii="Times New Roman" w:hAnsi="Times New Roman"/>
          <w:b/>
        </w:rPr>
      </w:pPr>
    </w:p>
    <w:p w14:paraId="56575DB4" w14:textId="77777777" w:rsidR="00492E2F" w:rsidRDefault="00492E2F">
      <w:pPr>
        <w:spacing w:after="0"/>
        <w:jc w:val="center"/>
        <w:rPr>
          <w:rFonts w:ascii="Times New Roman" w:hAnsi="Times New Roman"/>
          <w:b/>
        </w:rPr>
      </w:pPr>
    </w:p>
    <w:p w14:paraId="70B2B21B" w14:textId="77777777" w:rsidR="00492E2F" w:rsidRDefault="00492E2F">
      <w:pPr>
        <w:spacing w:after="0"/>
        <w:jc w:val="center"/>
        <w:rPr>
          <w:rFonts w:ascii="Times New Roman" w:hAnsi="Times New Roman"/>
          <w:b/>
        </w:rPr>
      </w:pPr>
    </w:p>
    <w:p w14:paraId="1267AF58" w14:textId="77777777" w:rsidR="00492E2F" w:rsidRDefault="00492E2F">
      <w:pPr>
        <w:spacing w:after="0"/>
        <w:jc w:val="center"/>
        <w:rPr>
          <w:rFonts w:ascii="Times New Roman" w:hAnsi="Times New Roman"/>
          <w:b/>
        </w:rPr>
      </w:pPr>
    </w:p>
    <w:p w14:paraId="2EBE8E6C" w14:textId="77777777" w:rsidR="00492E2F" w:rsidRDefault="00492E2F">
      <w:pPr>
        <w:spacing w:after="0"/>
        <w:jc w:val="center"/>
        <w:rPr>
          <w:rFonts w:ascii="Times New Roman" w:hAnsi="Times New Roman"/>
          <w:b/>
        </w:rPr>
      </w:pPr>
    </w:p>
    <w:p w14:paraId="5F6A9BB3" w14:textId="77777777" w:rsidR="00492E2F" w:rsidRDefault="003B68F9">
      <w:pPr>
        <w:spacing w:after="0"/>
        <w:jc w:val="center"/>
        <w:rPr>
          <w:rFonts w:ascii="Times New Roman" w:hAnsi="Times New Roman"/>
          <w:b/>
        </w:rPr>
      </w:pPr>
      <w:r>
        <w:rPr>
          <w:rFonts w:ascii="Times New Roman" w:hAnsi="Times New Roman"/>
          <w:b/>
        </w:rPr>
        <w:t>II PRIEDAS</w:t>
      </w:r>
    </w:p>
    <w:p w14:paraId="17E41366" w14:textId="77777777" w:rsidR="00492E2F" w:rsidRDefault="00492E2F">
      <w:pPr>
        <w:spacing w:after="0"/>
        <w:ind w:hanging="567"/>
        <w:jc w:val="center"/>
        <w:rPr>
          <w:rFonts w:ascii="Times New Roman" w:hAnsi="Times New Roman"/>
        </w:rPr>
      </w:pPr>
    </w:p>
    <w:p w14:paraId="23C8DCB7" w14:textId="77777777" w:rsidR="00492E2F" w:rsidRDefault="003B68F9">
      <w:pPr>
        <w:spacing w:after="0"/>
        <w:jc w:val="center"/>
        <w:rPr>
          <w:rFonts w:ascii="Times New Roman" w:hAnsi="Times New Roman"/>
          <w:i/>
        </w:rPr>
      </w:pPr>
      <w:r>
        <w:rPr>
          <w:rFonts w:ascii="Times New Roman" w:hAnsi="Times New Roman"/>
          <w:b/>
        </w:rPr>
        <w:t>REGISTRACIJOS SĄLYGOS</w:t>
      </w:r>
    </w:p>
    <w:p w14:paraId="6BC815D8" w14:textId="77777777" w:rsidR="00492E2F" w:rsidRDefault="00492E2F">
      <w:pPr>
        <w:spacing w:after="0"/>
        <w:rPr>
          <w:rFonts w:ascii="Times New Roman" w:hAnsi="Times New Roman"/>
        </w:rPr>
      </w:pPr>
    </w:p>
    <w:p w14:paraId="75FAF69A" w14:textId="77777777" w:rsidR="00492E2F" w:rsidRDefault="003B68F9">
      <w:pPr>
        <w:pStyle w:val="Sraopastraipa"/>
        <w:tabs>
          <w:tab w:val="left" w:pos="1701"/>
        </w:tabs>
        <w:spacing w:after="0"/>
        <w:ind w:left="1689" w:hanging="555"/>
        <w:rPr>
          <w:rFonts w:ascii="Times New Roman" w:hAnsi="Times New Roman"/>
          <w:b/>
          <w:noProof/>
        </w:rPr>
      </w:pPr>
      <w:r>
        <w:rPr>
          <w:rFonts w:ascii="Times New Roman" w:hAnsi="Times New Roman"/>
          <w:b/>
          <w:noProof/>
        </w:rPr>
        <w:t>A.</w:t>
      </w:r>
      <w:r>
        <w:rPr>
          <w:rFonts w:ascii="Times New Roman" w:hAnsi="Times New Roman"/>
          <w:b/>
          <w:noProof/>
        </w:rPr>
        <w:tab/>
        <w:t>GAMINTOJAS (-AI), ATSAKINGAS (-I) UŽ SERIJŲ IŠLEIDIMĄ</w:t>
      </w:r>
    </w:p>
    <w:p w14:paraId="37D36AF5" w14:textId="77777777" w:rsidR="00492E2F" w:rsidRDefault="00492E2F">
      <w:pPr>
        <w:tabs>
          <w:tab w:val="left" w:pos="1701"/>
        </w:tabs>
        <w:spacing w:after="0"/>
        <w:ind w:left="1701" w:hanging="567"/>
        <w:rPr>
          <w:rFonts w:ascii="Times New Roman" w:hAnsi="Times New Roman"/>
          <w:noProof/>
        </w:rPr>
      </w:pPr>
    </w:p>
    <w:p w14:paraId="44BAF9F7" w14:textId="77777777" w:rsidR="00492E2F" w:rsidRDefault="003B68F9">
      <w:pPr>
        <w:tabs>
          <w:tab w:val="left" w:pos="1701"/>
        </w:tabs>
        <w:spacing w:after="0"/>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54146513" w14:textId="77777777" w:rsidR="00492E2F" w:rsidRDefault="003B68F9">
      <w:pPr>
        <w:spacing w:after="0"/>
        <w:ind w:left="567" w:hanging="567"/>
        <w:rPr>
          <w:rFonts w:ascii="Times New Roman" w:hAnsi="Times New Roman"/>
          <w:b/>
        </w:rPr>
      </w:pPr>
      <w:r>
        <w:rPr>
          <w:rFonts w:ascii="Times New Roman" w:hAnsi="Times New Roman"/>
        </w:rPr>
        <w:br w:type="page"/>
      </w:r>
      <w:r>
        <w:rPr>
          <w:rFonts w:ascii="Times New Roman" w:hAnsi="Times New Roman"/>
          <w:b/>
        </w:rPr>
        <w:t>A.</w:t>
      </w:r>
      <w:r>
        <w:rPr>
          <w:rFonts w:ascii="Times New Roman" w:hAnsi="Times New Roman"/>
          <w:b/>
        </w:rPr>
        <w:tab/>
        <w:t>GAMINTOJAS (-AI), ATSAKINGAS (-I) UŽ SERIJŲ IŠLEIDIMĄ</w:t>
      </w:r>
    </w:p>
    <w:p w14:paraId="2D767CC5" w14:textId="77777777" w:rsidR="00492E2F" w:rsidRDefault="00492E2F">
      <w:pPr>
        <w:spacing w:after="0"/>
        <w:rPr>
          <w:rFonts w:ascii="Times New Roman" w:hAnsi="Times New Roman"/>
        </w:rPr>
      </w:pPr>
    </w:p>
    <w:p w14:paraId="359D5680" w14:textId="77777777" w:rsidR="00492E2F" w:rsidRDefault="003B68F9">
      <w:pPr>
        <w:spacing w:after="0" w:line="240" w:lineRule="auto"/>
        <w:rPr>
          <w:rFonts w:ascii="Times New Roman" w:hAnsi="Times New Roman"/>
        </w:rPr>
      </w:pPr>
      <w:r>
        <w:rPr>
          <w:rFonts w:ascii="Times New Roman" w:hAnsi="Times New Roman"/>
          <w:u w:val="single"/>
        </w:rPr>
        <w:t>Gamintojo (-ų), atsakingo (-ų) už serijų išleidimą, pavadinimas (-ai) ir adresas (-ai)</w:t>
      </w:r>
    </w:p>
    <w:p w14:paraId="700C4A88" w14:textId="77777777" w:rsidR="00492E2F" w:rsidRDefault="00492E2F">
      <w:pPr>
        <w:spacing w:after="0"/>
        <w:rPr>
          <w:rFonts w:ascii="Times New Roman" w:hAnsi="Times New Roman"/>
        </w:rPr>
      </w:pPr>
    </w:p>
    <w:p w14:paraId="2294420A" w14:textId="77777777" w:rsidR="00492E2F" w:rsidRDefault="003B68F9">
      <w:pPr>
        <w:widowControl w:val="0"/>
        <w:spacing w:after="0" w:line="240" w:lineRule="auto"/>
        <w:rPr>
          <w:rFonts w:ascii="Times New Roman" w:eastAsia="Times New Roman" w:hAnsi="Times New Roman"/>
          <w:b/>
          <w:lang w:eastAsia="sl-SI"/>
        </w:rPr>
      </w:pPr>
      <w:bookmarkStart w:id="7" w:name="_Hlk161231600"/>
      <w:r>
        <w:rPr>
          <w:rFonts w:ascii="Times New Roman" w:eastAsia="Times New Roman" w:hAnsi="Times New Roman"/>
          <w:lang w:eastAsia="sl-SI"/>
        </w:rPr>
        <w:t>KRKA, d.d., Novo mesto</w:t>
      </w:r>
    </w:p>
    <w:p w14:paraId="2CB62C36"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63CADE65"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78C2AD2B"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5F7A3AB6" w14:textId="77777777" w:rsidR="00492E2F" w:rsidRDefault="00492E2F">
      <w:pPr>
        <w:numPr>
          <w:ilvl w:val="12"/>
          <w:numId w:val="0"/>
        </w:numPr>
        <w:spacing w:after="0" w:line="240" w:lineRule="auto"/>
        <w:jc w:val="both"/>
        <w:rPr>
          <w:rFonts w:ascii="Times New Roman" w:hAnsi="Times New Roman"/>
          <w:noProof/>
        </w:rPr>
      </w:pPr>
    </w:p>
    <w:p w14:paraId="6F2B4E20" w14:textId="77777777" w:rsidR="00492E2F" w:rsidRDefault="003B68F9">
      <w:pPr>
        <w:numPr>
          <w:ilvl w:val="12"/>
          <w:numId w:val="0"/>
        </w:numPr>
        <w:spacing w:after="0" w:line="240" w:lineRule="auto"/>
        <w:jc w:val="both"/>
        <w:rPr>
          <w:rFonts w:ascii="Times New Roman" w:hAnsi="Times New Roman"/>
          <w:noProof/>
        </w:rPr>
      </w:pPr>
      <w:r>
        <w:rPr>
          <w:rFonts w:ascii="Times New Roman" w:hAnsi="Times New Roman"/>
          <w:noProof/>
        </w:rPr>
        <w:t>arba</w:t>
      </w:r>
    </w:p>
    <w:p w14:paraId="6B61250C" w14:textId="77777777" w:rsidR="00492E2F" w:rsidRDefault="00492E2F">
      <w:pPr>
        <w:numPr>
          <w:ilvl w:val="12"/>
          <w:numId w:val="0"/>
        </w:numPr>
        <w:spacing w:after="0" w:line="240" w:lineRule="auto"/>
        <w:jc w:val="both"/>
        <w:rPr>
          <w:rFonts w:ascii="Times New Roman" w:hAnsi="Times New Roman"/>
          <w:noProof/>
        </w:rPr>
      </w:pPr>
    </w:p>
    <w:p w14:paraId="08D72E48" w14:textId="77777777" w:rsidR="00492E2F" w:rsidRDefault="003B68F9">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42172971" w14:textId="77777777" w:rsidR="00492E2F" w:rsidRDefault="003B68F9">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0D9DB11D" w14:textId="77777777" w:rsidR="00492E2F" w:rsidRDefault="003B68F9">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75A06FF0" w14:textId="77777777" w:rsidR="00492E2F" w:rsidRDefault="003B68F9">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bookmarkEnd w:id="7"/>
    <w:p w14:paraId="26F33231" w14:textId="77777777" w:rsidR="00492E2F" w:rsidRDefault="00492E2F">
      <w:pPr>
        <w:spacing w:after="0"/>
        <w:rPr>
          <w:rFonts w:ascii="Times New Roman" w:hAnsi="Times New Roman"/>
        </w:rPr>
      </w:pPr>
    </w:p>
    <w:p w14:paraId="5AD939C5" w14:textId="77777777" w:rsidR="00492E2F" w:rsidRDefault="003B68F9">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5A8A2EB4" w14:textId="77777777" w:rsidR="00492E2F" w:rsidRDefault="00492E2F">
      <w:pPr>
        <w:spacing w:after="0"/>
        <w:rPr>
          <w:rFonts w:ascii="Times New Roman" w:hAnsi="Times New Roman"/>
        </w:rPr>
      </w:pPr>
    </w:p>
    <w:p w14:paraId="022E9E10" w14:textId="77777777" w:rsidR="00492E2F" w:rsidRDefault="00492E2F">
      <w:pPr>
        <w:spacing w:after="0"/>
        <w:rPr>
          <w:rFonts w:ascii="Times New Roman" w:hAnsi="Times New Roman"/>
        </w:rPr>
      </w:pPr>
    </w:p>
    <w:p w14:paraId="51728A27" w14:textId="77777777" w:rsidR="00492E2F" w:rsidRDefault="003B68F9">
      <w:pPr>
        <w:spacing w:after="0"/>
        <w:ind w:left="567" w:hanging="567"/>
        <w:rPr>
          <w:rFonts w:ascii="Times New Roman" w:hAnsi="Times New Roman"/>
        </w:rPr>
      </w:pPr>
      <w:r>
        <w:rPr>
          <w:rFonts w:ascii="Times New Roman" w:hAnsi="Times New Roman"/>
          <w:b/>
          <w:noProof/>
        </w:rPr>
        <w:t>B.</w:t>
      </w:r>
      <w:r>
        <w:rPr>
          <w:rFonts w:ascii="Times New Roman" w:hAnsi="Times New Roman"/>
          <w:b/>
        </w:rPr>
        <w:tab/>
      </w:r>
      <w:r>
        <w:rPr>
          <w:rFonts w:ascii="Times New Roman" w:hAnsi="Times New Roman"/>
          <w:b/>
          <w:noProof/>
        </w:rPr>
        <w:t>TIEKIMO IR VARTOJIMO SĄLYGOS AR APRIBOJIMAI</w:t>
      </w:r>
    </w:p>
    <w:p w14:paraId="322AD8CE" w14:textId="77777777" w:rsidR="00492E2F" w:rsidRDefault="00492E2F">
      <w:pPr>
        <w:spacing w:after="0"/>
        <w:rPr>
          <w:rFonts w:ascii="Times New Roman" w:hAnsi="Times New Roman"/>
        </w:rPr>
      </w:pPr>
    </w:p>
    <w:p w14:paraId="30CC3120" w14:textId="77777777" w:rsidR="00492E2F" w:rsidRDefault="003B68F9">
      <w:pPr>
        <w:spacing w:after="0"/>
        <w:rPr>
          <w:rFonts w:ascii="Times New Roman" w:hAnsi="Times New Roman"/>
        </w:rPr>
      </w:pPr>
      <w:r>
        <w:rPr>
          <w:rFonts w:ascii="Times New Roman" w:hAnsi="Times New Roman"/>
        </w:rPr>
        <w:t>Receptinis vaistinis preparatas.</w:t>
      </w:r>
    </w:p>
    <w:p w14:paraId="24856DBF" w14:textId="77777777" w:rsidR="00492E2F" w:rsidRDefault="003B68F9">
      <w:pPr>
        <w:spacing w:after="0"/>
        <w:rPr>
          <w:rFonts w:ascii="Times New Roman" w:hAnsi="Times New Roman"/>
        </w:rPr>
      </w:pPr>
      <w:r>
        <w:rPr>
          <w:rFonts w:ascii="Times New Roman" w:hAnsi="Times New Roman"/>
          <w:b/>
        </w:rPr>
        <w:br w:type="page"/>
      </w:r>
    </w:p>
    <w:p w14:paraId="2DCFF90D" w14:textId="77777777" w:rsidR="00492E2F" w:rsidRDefault="00492E2F">
      <w:pPr>
        <w:spacing w:after="0"/>
        <w:rPr>
          <w:rFonts w:ascii="Times New Roman" w:hAnsi="Times New Roman"/>
        </w:rPr>
      </w:pPr>
    </w:p>
    <w:p w14:paraId="1E923833" w14:textId="77777777" w:rsidR="00492E2F" w:rsidRDefault="00492E2F">
      <w:pPr>
        <w:spacing w:after="0"/>
        <w:rPr>
          <w:rFonts w:ascii="Times New Roman" w:hAnsi="Times New Roman"/>
        </w:rPr>
      </w:pPr>
    </w:p>
    <w:p w14:paraId="6A82B326" w14:textId="77777777" w:rsidR="00492E2F" w:rsidRDefault="00492E2F">
      <w:pPr>
        <w:spacing w:after="0"/>
        <w:rPr>
          <w:rFonts w:ascii="Times New Roman" w:hAnsi="Times New Roman"/>
        </w:rPr>
      </w:pPr>
    </w:p>
    <w:p w14:paraId="331FA29B" w14:textId="77777777" w:rsidR="00492E2F" w:rsidRDefault="00492E2F">
      <w:pPr>
        <w:spacing w:after="0"/>
        <w:rPr>
          <w:rFonts w:ascii="Times New Roman" w:hAnsi="Times New Roman"/>
        </w:rPr>
      </w:pPr>
    </w:p>
    <w:p w14:paraId="5FADDA11" w14:textId="77777777" w:rsidR="00492E2F" w:rsidRDefault="00492E2F">
      <w:pPr>
        <w:spacing w:after="0"/>
        <w:rPr>
          <w:rFonts w:ascii="Times New Roman" w:hAnsi="Times New Roman"/>
        </w:rPr>
      </w:pPr>
    </w:p>
    <w:p w14:paraId="2B939C23" w14:textId="77777777" w:rsidR="00492E2F" w:rsidRDefault="00492E2F">
      <w:pPr>
        <w:spacing w:after="0"/>
        <w:rPr>
          <w:rFonts w:ascii="Times New Roman" w:hAnsi="Times New Roman"/>
        </w:rPr>
      </w:pPr>
    </w:p>
    <w:p w14:paraId="58D9BC03" w14:textId="77777777" w:rsidR="00492E2F" w:rsidRDefault="00492E2F">
      <w:pPr>
        <w:spacing w:after="0"/>
        <w:rPr>
          <w:rFonts w:ascii="Times New Roman" w:hAnsi="Times New Roman"/>
        </w:rPr>
      </w:pPr>
    </w:p>
    <w:p w14:paraId="340E9C01" w14:textId="77777777" w:rsidR="00492E2F" w:rsidRDefault="00492E2F">
      <w:pPr>
        <w:spacing w:after="0"/>
        <w:rPr>
          <w:rFonts w:ascii="Times New Roman" w:hAnsi="Times New Roman"/>
        </w:rPr>
      </w:pPr>
    </w:p>
    <w:p w14:paraId="2F838ED5" w14:textId="77777777" w:rsidR="00492E2F" w:rsidRDefault="00492E2F">
      <w:pPr>
        <w:spacing w:after="0"/>
        <w:rPr>
          <w:rFonts w:ascii="Times New Roman" w:hAnsi="Times New Roman"/>
        </w:rPr>
      </w:pPr>
    </w:p>
    <w:p w14:paraId="650B4B42" w14:textId="77777777" w:rsidR="00492E2F" w:rsidRDefault="00492E2F">
      <w:pPr>
        <w:spacing w:after="0"/>
        <w:rPr>
          <w:rFonts w:ascii="Times New Roman" w:hAnsi="Times New Roman"/>
        </w:rPr>
      </w:pPr>
    </w:p>
    <w:p w14:paraId="7D53008F" w14:textId="77777777" w:rsidR="00492E2F" w:rsidRDefault="00492E2F">
      <w:pPr>
        <w:spacing w:after="0"/>
        <w:rPr>
          <w:rFonts w:ascii="Times New Roman" w:hAnsi="Times New Roman"/>
        </w:rPr>
      </w:pPr>
    </w:p>
    <w:p w14:paraId="74496921" w14:textId="77777777" w:rsidR="00492E2F" w:rsidRDefault="00492E2F">
      <w:pPr>
        <w:spacing w:after="0"/>
        <w:rPr>
          <w:rFonts w:ascii="Times New Roman" w:hAnsi="Times New Roman"/>
        </w:rPr>
      </w:pPr>
    </w:p>
    <w:p w14:paraId="3F530881" w14:textId="77777777" w:rsidR="00492E2F" w:rsidRDefault="00492E2F">
      <w:pPr>
        <w:spacing w:after="0"/>
        <w:rPr>
          <w:rFonts w:ascii="Times New Roman" w:hAnsi="Times New Roman"/>
        </w:rPr>
      </w:pPr>
    </w:p>
    <w:p w14:paraId="6F7A1DE5" w14:textId="77777777" w:rsidR="00492E2F" w:rsidRDefault="00492E2F">
      <w:pPr>
        <w:spacing w:after="0"/>
        <w:rPr>
          <w:rFonts w:ascii="Times New Roman" w:hAnsi="Times New Roman"/>
        </w:rPr>
      </w:pPr>
    </w:p>
    <w:p w14:paraId="3AD9BCA6" w14:textId="77777777" w:rsidR="00492E2F" w:rsidRDefault="00492E2F">
      <w:pPr>
        <w:spacing w:after="0"/>
        <w:rPr>
          <w:rFonts w:ascii="Times New Roman" w:hAnsi="Times New Roman"/>
        </w:rPr>
      </w:pPr>
    </w:p>
    <w:p w14:paraId="4E26F9DB" w14:textId="77777777" w:rsidR="00492E2F" w:rsidRDefault="00492E2F">
      <w:pPr>
        <w:spacing w:after="0"/>
        <w:rPr>
          <w:rFonts w:ascii="Times New Roman" w:hAnsi="Times New Roman"/>
        </w:rPr>
      </w:pPr>
    </w:p>
    <w:p w14:paraId="484C2053" w14:textId="77777777" w:rsidR="00492E2F" w:rsidRDefault="00492E2F">
      <w:pPr>
        <w:spacing w:after="0"/>
        <w:outlineLvl w:val="0"/>
        <w:rPr>
          <w:rFonts w:ascii="Times New Roman" w:hAnsi="Times New Roman"/>
          <w:b/>
        </w:rPr>
      </w:pPr>
    </w:p>
    <w:p w14:paraId="2B80DADC" w14:textId="77777777" w:rsidR="00492E2F" w:rsidRDefault="00492E2F">
      <w:pPr>
        <w:spacing w:after="0"/>
        <w:outlineLvl w:val="0"/>
        <w:rPr>
          <w:rFonts w:ascii="Times New Roman" w:hAnsi="Times New Roman"/>
          <w:b/>
        </w:rPr>
      </w:pPr>
    </w:p>
    <w:p w14:paraId="0958E113" w14:textId="77777777" w:rsidR="00492E2F" w:rsidRDefault="00492E2F">
      <w:pPr>
        <w:spacing w:after="0"/>
        <w:outlineLvl w:val="0"/>
        <w:rPr>
          <w:rFonts w:ascii="Times New Roman" w:hAnsi="Times New Roman"/>
          <w:b/>
        </w:rPr>
      </w:pPr>
    </w:p>
    <w:p w14:paraId="31BF3D64" w14:textId="77777777" w:rsidR="00492E2F" w:rsidRDefault="00492E2F">
      <w:pPr>
        <w:spacing w:after="0"/>
        <w:outlineLvl w:val="0"/>
        <w:rPr>
          <w:rFonts w:ascii="Times New Roman" w:hAnsi="Times New Roman"/>
          <w:b/>
        </w:rPr>
      </w:pPr>
    </w:p>
    <w:p w14:paraId="10A2F49B" w14:textId="77777777" w:rsidR="00492E2F" w:rsidRDefault="00492E2F">
      <w:pPr>
        <w:spacing w:after="0"/>
        <w:outlineLvl w:val="0"/>
        <w:rPr>
          <w:rFonts w:ascii="Times New Roman" w:hAnsi="Times New Roman"/>
          <w:b/>
        </w:rPr>
      </w:pPr>
    </w:p>
    <w:p w14:paraId="568E9887" w14:textId="77777777" w:rsidR="00492E2F" w:rsidRDefault="00492E2F">
      <w:pPr>
        <w:spacing w:after="0"/>
        <w:outlineLvl w:val="0"/>
        <w:rPr>
          <w:rFonts w:ascii="Times New Roman" w:hAnsi="Times New Roman"/>
          <w:b/>
        </w:rPr>
      </w:pPr>
    </w:p>
    <w:p w14:paraId="377E520E" w14:textId="77777777" w:rsidR="00492E2F" w:rsidRDefault="00492E2F">
      <w:pPr>
        <w:pStyle w:val="Antrat2"/>
        <w:spacing w:before="0" w:after="0" w:line="240" w:lineRule="auto"/>
        <w:jc w:val="center"/>
        <w:rPr>
          <w:rFonts w:ascii="Times New Roman" w:hAnsi="Times New Roman"/>
          <w:i w:val="0"/>
          <w:sz w:val="22"/>
          <w:szCs w:val="22"/>
          <w:lang w:val="lt-LT"/>
        </w:rPr>
      </w:pPr>
    </w:p>
    <w:p w14:paraId="041EA2DB" w14:textId="77777777" w:rsidR="00492E2F" w:rsidRDefault="003B68F9">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265A4EC7" w14:textId="77777777" w:rsidR="00492E2F" w:rsidRDefault="00492E2F">
      <w:pPr>
        <w:spacing w:after="0"/>
        <w:rPr>
          <w:rFonts w:ascii="Times New Roman" w:hAnsi="Times New Roman"/>
        </w:rPr>
      </w:pPr>
    </w:p>
    <w:p w14:paraId="718CEA01" w14:textId="77777777" w:rsidR="00492E2F" w:rsidRDefault="003B68F9">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45FA0DAB" w14:textId="77777777" w:rsidR="00492E2F" w:rsidRDefault="003B68F9">
      <w:pPr>
        <w:spacing w:after="0"/>
        <w:rPr>
          <w:rFonts w:ascii="Times New Roman" w:hAnsi="Times New Roman"/>
        </w:rPr>
      </w:pPr>
      <w:r>
        <w:rPr>
          <w:rFonts w:ascii="Times New Roman" w:hAnsi="Times New Roman"/>
        </w:rPr>
        <w:br w:type="page"/>
      </w:r>
    </w:p>
    <w:p w14:paraId="24EB22C7" w14:textId="77777777" w:rsidR="00492E2F" w:rsidRDefault="00492E2F">
      <w:pPr>
        <w:spacing w:after="0"/>
        <w:rPr>
          <w:rFonts w:ascii="Times New Roman" w:hAnsi="Times New Roman"/>
        </w:rPr>
      </w:pPr>
    </w:p>
    <w:p w14:paraId="6BA1F4F9" w14:textId="77777777" w:rsidR="00492E2F" w:rsidRDefault="00492E2F">
      <w:pPr>
        <w:spacing w:after="0"/>
        <w:rPr>
          <w:rFonts w:ascii="Times New Roman" w:hAnsi="Times New Roman"/>
        </w:rPr>
      </w:pPr>
    </w:p>
    <w:p w14:paraId="3F3FD5A4" w14:textId="77777777" w:rsidR="00492E2F" w:rsidRDefault="00492E2F">
      <w:pPr>
        <w:spacing w:after="0"/>
        <w:rPr>
          <w:rFonts w:ascii="Times New Roman" w:hAnsi="Times New Roman"/>
        </w:rPr>
      </w:pPr>
    </w:p>
    <w:p w14:paraId="0EF3BEAF" w14:textId="77777777" w:rsidR="00492E2F" w:rsidRDefault="00492E2F">
      <w:pPr>
        <w:spacing w:after="0"/>
        <w:rPr>
          <w:rFonts w:ascii="Times New Roman" w:hAnsi="Times New Roman"/>
        </w:rPr>
      </w:pPr>
    </w:p>
    <w:p w14:paraId="37E70BB4" w14:textId="77777777" w:rsidR="00492E2F" w:rsidRDefault="00492E2F">
      <w:pPr>
        <w:spacing w:after="0"/>
        <w:rPr>
          <w:rFonts w:ascii="Times New Roman" w:hAnsi="Times New Roman"/>
        </w:rPr>
      </w:pPr>
    </w:p>
    <w:p w14:paraId="35B8C0D9" w14:textId="77777777" w:rsidR="00492E2F" w:rsidRDefault="00492E2F">
      <w:pPr>
        <w:spacing w:after="0"/>
        <w:rPr>
          <w:rFonts w:ascii="Times New Roman" w:hAnsi="Times New Roman"/>
        </w:rPr>
      </w:pPr>
    </w:p>
    <w:p w14:paraId="0BCB111D" w14:textId="77777777" w:rsidR="00492E2F" w:rsidRDefault="00492E2F">
      <w:pPr>
        <w:spacing w:after="0"/>
        <w:rPr>
          <w:rFonts w:ascii="Times New Roman" w:hAnsi="Times New Roman"/>
        </w:rPr>
      </w:pPr>
    </w:p>
    <w:p w14:paraId="085C3591" w14:textId="77777777" w:rsidR="00492E2F" w:rsidRDefault="00492E2F">
      <w:pPr>
        <w:spacing w:after="0"/>
        <w:rPr>
          <w:rFonts w:ascii="Times New Roman" w:hAnsi="Times New Roman"/>
        </w:rPr>
      </w:pPr>
    </w:p>
    <w:p w14:paraId="547FBFB6" w14:textId="77777777" w:rsidR="00492E2F" w:rsidRDefault="00492E2F">
      <w:pPr>
        <w:spacing w:after="0"/>
        <w:rPr>
          <w:rFonts w:ascii="Times New Roman" w:hAnsi="Times New Roman"/>
        </w:rPr>
      </w:pPr>
    </w:p>
    <w:p w14:paraId="43EA8042" w14:textId="77777777" w:rsidR="00492E2F" w:rsidRDefault="00492E2F">
      <w:pPr>
        <w:spacing w:after="0"/>
        <w:rPr>
          <w:rFonts w:ascii="Times New Roman" w:hAnsi="Times New Roman"/>
        </w:rPr>
      </w:pPr>
    </w:p>
    <w:p w14:paraId="16474756" w14:textId="77777777" w:rsidR="00492E2F" w:rsidRDefault="00492E2F">
      <w:pPr>
        <w:spacing w:after="0"/>
        <w:rPr>
          <w:rFonts w:ascii="Times New Roman" w:hAnsi="Times New Roman"/>
        </w:rPr>
      </w:pPr>
    </w:p>
    <w:p w14:paraId="47885C2C" w14:textId="77777777" w:rsidR="00492E2F" w:rsidRDefault="00492E2F">
      <w:pPr>
        <w:spacing w:after="0"/>
        <w:rPr>
          <w:rFonts w:ascii="Times New Roman" w:hAnsi="Times New Roman"/>
        </w:rPr>
      </w:pPr>
    </w:p>
    <w:p w14:paraId="5544EB16" w14:textId="77777777" w:rsidR="00492E2F" w:rsidRDefault="00492E2F">
      <w:pPr>
        <w:spacing w:after="0"/>
        <w:rPr>
          <w:rFonts w:ascii="Times New Roman" w:hAnsi="Times New Roman"/>
        </w:rPr>
      </w:pPr>
    </w:p>
    <w:p w14:paraId="4FFB826F" w14:textId="77777777" w:rsidR="00492E2F" w:rsidRDefault="00492E2F">
      <w:pPr>
        <w:spacing w:after="0"/>
        <w:rPr>
          <w:rFonts w:ascii="Times New Roman" w:hAnsi="Times New Roman"/>
        </w:rPr>
      </w:pPr>
    </w:p>
    <w:p w14:paraId="7EC7B530" w14:textId="77777777" w:rsidR="00492E2F" w:rsidRDefault="00492E2F">
      <w:pPr>
        <w:spacing w:after="0"/>
        <w:rPr>
          <w:rFonts w:ascii="Times New Roman" w:hAnsi="Times New Roman"/>
        </w:rPr>
      </w:pPr>
    </w:p>
    <w:p w14:paraId="4E7EDC9C" w14:textId="77777777" w:rsidR="00492E2F" w:rsidRDefault="00492E2F">
      <w:pPr>
        <w:spacing w:after="0"/>
        <w:rPr>
          <w:rFonts w:ascii="Times New Roman" w:hAnsi="Times New Roman"/>
        </w:rPr>
      </w:pPr>
    </w:p>
    <w:p w14:paraId="73E23558" w14:textId="77777777" w:rsidR="00492E2F" w:rsidRDefault="00492E2F">
      <w:pPr>
        <w:spacing w:after="0"/>
        <w:rPr>
          <w:rFonts w:ascii="Times New Roman" w:hAnsi="Times New Roman"/>
        </w:rPr>
      </w:pPr>
    </w:p>
    <w:p w14:paraId="482567A8" w14:textId="77777777" w:rsidR="00492E2F" w:rsidRDefault="00492E2F">
      <w:pPr>
        <w:spacing w:after="0"/>
        <w:rPr>
          <w:rFonts w:ascii="Times New Roman" w:hAnsi="Times New Roman"/>
        </w:rPr>
      </w:pPr>
    </w:p>
    <w:p w14:paraId="5E066714" w14:textId="77777777" w:rsidR="00492E2F" w:rsidRDefault="00492E2F">
      <w:pPr>
        <w:spacing w:after="0"/>
        <w:rPr>
          <w:rFonts w:ascii="Times New Roman" w:hAnsi="Times New Roman"/>
        </w:rPr>
      </w:pPr>
    </w:p>
    <w:p w14:paraId="36AD5C4F" w14:textId="77777777" w:rsidR="00492E2F" w:rsidRDefault="00492E2F">
      <w:pPr>
        <w:spacing w:after="0"/>
        <w:rPr>
          <w:rFonts w:ascii="Times New Roman" w:hAnsi="Times New Roman"/>
        </w:rPr>
      </w:pPr>
    </w:p>
    <w:p w14:paraId="33BB07B6" w14:textId="77777777" w:rsidR="00492E2F" w:rsidRDefault="00492E2F">
      <w:pPr>
        <w:spacing w:after="0"/>
        <w:rPr>
          <w:rFonts w:ascii="Times New Roman" w:hAnsi="Times New Roman"/>
        </w:rPr>
      </w:pPr>
    </w:p>
    <w:p w14:paraId="29238FC2" w14:textId="77777777" w:rsidR="00492E2F" w:rsidRDefault="00492E2F">
      <w:pPr>
        <w:spacing w:after="0"/>
        <w:rPr>
          <w:rFonts w:ascii="Times New Roman" w:hAnsi="Times New Roman"/>
        </w:rPr>
      </w:pPr>
    </w:p>
    <w:p w14:paraId="544ED99F" w14:textId="77777777" w:rsidR="00492E2F" w:rsidRDefault="00492E2F">
      <w:pPr>
        <w:pStyle w:val="Antrat2"/>
        <w:spacing w:before="0" w:after="0" w:line="240" w:lineRule="auto"/>
        <w:jc w:val="center"/>
        <w:rPr>
          <w:rFonts w:ascii="Times New Roman" w:hAnsi="Times New Roman"/>
          <w:i w:val="0"/>
          <w:sz w:val="22"/>
          <w:szCs w:val="22"/>
          <w:lang w:val="lt-LT"/>
        </w:rPr>
      </w:pPr>
    </w:p>
    <w:p w14:paraId="6FFF81EC" w14:textId="77777777" w:rsidR="00492E2F" w:rsidRDefault="003B68F9">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382840C8"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rPr>
        <w:br w:type="page"/>
      </w:r>
      <w:r>
        <w:rPr>
          <w:rFonts w:ascii="Times New Roman" w:hAnsi="Times New Roman"/>
          <w:b/>
          <w:noProof/>
        </w:rPr>
        <w:t>INFORMACIJA ANT IŠORINĖS PAKUOTĖS</w:t>
      </w:r>
    </w:p>
    <w:p w14:paraId="7B4A10D8" w14:textId="77777777" w:rsidR="00492E2F" w:rsidRDefault="00492E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37526A7" w14:textId="274D819B" w:rsidR="00492E2F" w:rsidRDefault="00DC06E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zCs w:val="24"/>
        </w:rPr>
      </w:pPr>
      <w:r>
        <w:rPr>
          <w:rFonts w:ascii="Times New Roman" w:eastAsia="Times New Roman" w:hAnsi="Times New Roman"/>
          <w:b/>
          <w:szCs w:val="24"/>
        </w:rPr>
        <w:t xml:space="preserve">KARTONO </w:t>
      </w:r>
      <w:r w:rsidR="003B68F9">
        <w:rPr>
          <w:rFonts w:ascii="Times New Roman" w:eastAsia="Times New Roman" w:hAnsi="Times New Roman"/>
          <w:b/>
          <w:szCs w:val="24"/>
        </w:rPr>
        <w:t xml:space="preserve">DĖŽUTĖ </w:t>
      </w:r>
      <w:r w:rsidR="003B68F9">
        <w:rPr>
          <w:rFonts w:ascii="Times New Roman" w:eastAsia="Times New Roman" w:hAnsi="Times New Roman"/>
          <w:b/>
          <w:noProof/>
          <w:szCs w:val="24"/>
        </w:rPr>
        <w:t xml:space="preserve">- </w:t>
      </w:r>
      <w:r w:rsidR="00B551DA">
        <w:rPr>
          <w:rFonts w:ascii="Times New Roman" w:eastAsia="Times New Roman" w:hAnsi="Times New Roman"/>
          <w:b/>
          <w:noProof/>
          <w:szCs w:val="24"/>
        </w:rPr>
        <w:t xml:space="preserve">visas </w:t>
      </w:r>
      <w:r w:rsidR="003B68F9">
        <w:rPr>
          <w:rFonts w:ascii="Times New Roman" w:eastAsia="Times New Roman" w:hAnsi="Times New Roman"/>
          <w:b/>
          <w:noProof/>
          <w:szCs w:val="24"/>
        </w:rPr>
        <w:t>/</w:t>
      </w:r>
      <w:r w:rsidR="005D1F80">
        <w:rPr>
          <w:rFonts w:ascii="Times New Roman" w:eastAsia="Times New Roman" w:hAnsi="Times New Roman"/>
          <w:b/>
          <w:noProof/>
          <w:szCs w:val="24"/>
        </w:rPr>
        <w:t xml:space="preserve"> </w:t>
      </w:r>
      <w:r w:rsidR="000467CC" w:rsidRPr="000467CC">
        <w:rPr>
          <w:rFonts w:ascii="Times New Roman" w:eastAsia="Times New Roman" w:hAnsi="Times New Roman"/>
          <w:b/>
          <w:i/>
          <w:iCs/>
          <w:noProof/>
          <w:szCs w:val="24"/>
          <w:highlight w:val="darkGray"/>
        </w:rPr>
        <w:t>su</w:t>
      </w:r>
      <w:r w:rsidR="000467CC" w:rsidRPr="0030702D">
        <w:rPr>
          <w:rFonts w:ascii="Times New Roman" w:eastAsia="Times New Roman" w:hAnsi="Times New Roman"/>
          <w:b/>
          <w:i/>
          <w:iCs/>
          <w:noProof/>
          <w:szCs w:val="24"/>
          <w:highlight w:val="darkGray"/>
        </w:rPr>
        <w:t>trumpintas</w:t>
      </w:r>
      <w:r w:rsidR="000467CC">
        <w:rPr>
          <w:rFonts w:ascii="Times New Roman" w:eastAsia="Times New Roman" w:hAnsi="Times New Roman"/>
          <w:b/>
          <w:i/>
          <w:iCs/>
          <w:noProof/>
          <w:szCs w:val="24"/>
        </w:rPr>
        <w:t xml:space="preserve"> </w:t>
      </w:r>
      <w:r w:rsidR="00521E07">
        <w:rPr>
          <w:rFonts w:ascii="Times New Roman" w:eastAsia="Times New Roman" w:hAnsi="Times New Roman"/>
          <w:b/>
          <w:noProof/>
          <w:szCs w:val="24"/>
        </w:rPr>
        <w:t xml:space="preserve">ES </w:t>
      </w:r>
      <w:r w:rsidR="002A72A4">
        <w:rPr>
          <w:rFonts w:ascii="Times New Roman" w:eastAsia="Times New Roman" w:hAnsi="Times New Roman"/>
          <w:b/>
          <w:noProof/>
          <w:szCs w:val="24"/>
        </w:rPr>
        <w:t xml:space="preserve">harmonizuotas </w:t>
      </w:r>
      <w:r w:rsidR="003B68F9">
        <w:rPr>
          <w:rFonts w:ascii="Times New Roman" w:eastAsia="Times New Roman" w:hAnsi="Times New Roman"/>
          <w:b/>
          <w:noProof/>
          <w:szCs w:val="24"/>
        </w:rPr>
        <w:t>ženklinimo tekstas</w:t>
      </w:r>
    </w:p>
    <w:p w14:paraId="2058BBFF" w14:textId="77777777" w:rsidR="00492E2F" w:rsidRDefault="00492E2F">
      <w:pPr>
        <w:spacing w:after="0" w:line="240" w:lineRule="auto"/>
        <w:rPr>
          <w:rFonts w:ascii="Times New Roman" w:hAnsi="Times New Roman"/>
        </w:rPr>
      </w:pPr>
    </w:p>
    <w:p w14:paraId="0730EBA0" w14:textId="77777777" w:rsidR="00492E2F" w:rsidRDefault="00492E2F">
      <w:pPr>
        <w:spacing w:after="0" w:line="240" w:lineRule="auto"/>
        <w:rPr>
          <w:rFonts w:ascii="Times New Roman" w:hAnsi="Times New Roman"/>
        </w:rPr>
      </w:pPr>
    </w:p>
    <w:p w14:paraId="7ACBFF43"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7F0C98A2" w14:textId="77777777" w:rsidR="00492E2F" w:rsidRDefault="00492E2F">
      <w:pPr>
        <w:spacing w:after="0" w:line="240" w:lineRule="auto"/>
        <w:rPr>
          <w:rFonts w:ascii="Times New Roman" w:hAnsi="Times New Roman"/>
        </w:rPr>
      </w:pPr>
    </w:p>
    <w:p w14:paraId="21488341" w14:textId="0C028E40" w:rsidR="00492E2F" w:rsidRDefault="002F33BE">
      <w:pPr>
        <w:spacing w:after="0" w:line="240" w:lineRule="auto"/>
        <w:rPr>
          <w:rFonts w:ascii="Times New Roman" w:hAnsi="Times New Roman"/>
        </w:rPr>
      </w:pPr>
      <w:r>
        <w:rPr>
          <w:rFonts w:ascii="Times New Roman" w:hAnsi="Times New Roman"/>
        </w:rPr>
        <w:t>Axigalu</w:t>
      </w:r>
      <w:r w:rsidR="003B68F9">
        <w:rPr>
          <w:rFonts w:ascii="Times New Roman" w:hAnsi="Times New Roman"/>
        </w:rPr>
        <w:t xml:space="preserve"> </w:t>
      </w:r>
      <w:r w:rsidR="00F06176">
        <w:rPr>
          <w:rFonts w:ascii="Times New Roman" w:hAnsi="Times New Roman"/>
        </w:rPr>
        <w:t>100</w:t>
      </w:r>
      <w:r w:rsidR="003B68F9">
        <w:rPr>
          <w:rFonts w:ascii="Times New Roman" w:hAnsi="Times New Roman"/>
        </w:rPr>
        <w:t> mg/</w:t>
      </w:r>
      <w:r w:rsidR="00F06176">
        <w:rPr>
          <w:rFonts w:ascii="Times New Roman" w:hAnsi="Times New Roman"/>
        </w:rPr>
        <w:t>10</w:t>
      </w:r>
      <w:r w:rsidR="003B68F9">
        <w:rPr>
          <w:rFonts w:ascii="Times New Roman" w:hAnsi="Times New Roman"/>
        </w:rPr>
        <w:t> mg plėvele dengtos tabletės</w:t>
      </w:r>
    </w:p>
    <w:p w14:paraId="75E00696" w14:textId="77777777" w:rsidR="00492E2F" w:rsidRDefault="00492E2F">
      <w:pPr>
        <w:spacing w:after="0" w:line="240" w:lineRule="auto"/>
        <w:rPr>
          <w:rFonts w:ascii="Times New Roman" w:hAnsi="Times New Roman"/>
        </w:rPr>
      </w:pPr>
    </w:p>
    <w:p w14:paraId="2E69AE9E" w14:textId="7B2CE896" w:rsidR="00492E2F" w:rsidRDefault="00F06176">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sitagliptinas</w:t>
      </w:r>
      <w:r w:rsidR="003B68F9">
        <w:rPr>
          <w:rFonts w:ascii="Times New Roman" w:eastAsia="Arial Unicode MS" w:hAnsi="Times New Roman"/>
          <w:bCs/>
          <w:noProof/>
          <w:color w:val="000000"/>
        </w:rPr>
        <w:t>/d</w:t>
      </w:r>
      <w:r>
        <w:rPr>
          <w:rFonts w:ascii="Times New Roman" w:eastAsia="Arial Unicode MS" w:hAnsi="Times New Roman"/>
          <w:bCs/>
          <w:noProof/>
          <w:color w:val="000000"/>
        </w:rPr>
        <w:t>apagliflozinas</w:t>
      </w:r>
    </w:p>
    <w:p w14:paraId="275C9C45" w14:textId="77777777" w:rsidR="00492E2F" w:rsidRDefault="00492E2F">
      <w:pPr>
        <w:spacing w:after="0" w:line="240" w:lineRule="auto"/>
        <w:rPr>
          <w:rFonts w:ascii="Times New Roman" w:hAnsi="Times New Roman"/>
        </w:rPr>
      </w:pPr>
    </w:p>
    <w:p w14:paraId="26E3D7BD" w14:textId="77777777" w:rsidR="00492E2F" w:rsidRDefault="00492E2F">
      <w:pPr>
        <w:spacing w:after="0" w:line="240" w:lineRule="auto"/>
        <w:rPr>
          <w:rFonts w:ascii="Times New Roman" w:hAnsi="Times New Roman"/>
        </w:rPr>
      </w:pPr>
    </w:p>
    <w:p w14:paraId="0DD82AE1"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noProof/>
        </w:rPr>
        <w:t>VEIKLIOJI (-IOSIOS) MEDŽIAGA (-OS) IR JOS (-Ų) KIEKIS (-IAI)</w:t>
      </w:r>
    </w:p>
    <w:p w14:paraId="38F1BC93" w14:textId="77777777" w:rsidR="00492E2F" w:rsidRDefault="00492E2F">
      <w:pPr>
        <w:spacing w:after="0" w:line="240" w:lineRule="auto"/>
        <w:rPr>
          <w:rFonts w:ascii="Times New Roman" w:hAnsi="Times New Roman"/>
        </w:rPr>
      </w:pPr>
    </w:p>
    <w:p w14:paraId="15E2F3A5" w14:textId="2168DC94" w:rsidR="00492E2F" w:rsidRDefault="003B68F9">
      <w:pPr>
        <w:spacing w:after="0" w:line="240" w:lineRule="auto"/>
        <w:rPr>
          <w:rFonts w:ascii="Times New Roman" w:eastAsia="Arial Unicode MS" w:hAnsi="Times New Roman"/>
          <w:bCs/>
          <w:noProof/>
          <w:color w:val="000000"/>
        </w:rPr>
      </w:pPr>
      <w:r>
        <w:rPr>
          <w:rFonts w:ascii="Times New Roman" w:hAnsi="Times New Roman"/>
          <w:bCs/>
        </w:rPr>
        <w:t xml:space="preserve">Kiekvienoje </w:t>
      </w:r>
      <w:r w:rsidRPr="00F06176">
        <w:rPr>
          <w:rFonts w:ascii="Times New Roman" w:eastAsia="Arial Unicode MS" w:hAnsi="Times New Roman"/>
          <w:bCs/>
          <w:noProof/>
          <w:color w:val="000000"/>
        </w:rPr>
        <w:t>plėvele dengtoje</w:t>
      </w:r>
      <w:r>
        <w:rPr>
          <w:rFonts w:ascii="Times New Roman" w:eastAsia="Arial Unicode MS" w:hAnsi="Times New Roman"/>
          <w:bCs/>
          <w:noProof/>
          <w:color w:val="000000"/>
        </w:rPr>
        <w:t xml:space="preserve"> tabletėje </w:t>
      </w:r>
      <w:bookmarkStart w:id="8" w:name="_Hlk188884440"/>
      <w:r>
        <w:rPr>
          <w:rFonts w:ascii="Times New Roman" w:eastAsia="Arial Unicode MS" w:hAnsi="Times New Roman"/>
          <w:bCs/>
          <w:noProof/>
          <w:color w:val="000000"/>
        </w:rPr>
        <w:t xml:space="preserve">yra </w:t>
      </w:r>
      <w:bookmarkEnd w:id="8"/>
      <w:r w:rsidR="00F06176">
        <w:rPr>
          <w:rFonts w:ascii="Times New Roman" w:eastAsia="Arial Unicode MS" w:hAnsi="Times New Roman"/>
          <w:bCs/>
          <w:noProof/>
          <w:color w:val="000000"/>
        </w:rPr>
        <w:t>100 mg sitagliptino (</w:t>
      </w:r>
      <w:r w:rsidR="00F06176" w:rsidRPr="00D35343">
        <w:rPr>
          <w:rFonts w:ascii="Times New Roman" w:eastAsia="Arial Unicode MS" w:hAnsi="Times New Roman"/>
          <w:bCs/>
          <w:noProof/>
          <w:color w:val="000000"/>
        </w:rPr>
        <w:t>sitagliptino fosfato monohidrato pavidalu</w:t>
      </w:r>
      <w:r w:rsidR="00F06176">
        <w:rPr>
          <w:rFonts w:ascii="Times New Roman" w:eastAsia="Arial Unicode MS" w:hAnsi="Times New Roman"/>
          <w:bCs/>
          <w:noProof/>
          <w:color w:val="000000"/>
        </w:rPr>
        <w:t>)</w:t>
      </w:r>
      <w:r w:rsidR="00F06176" w:rsidRPr="00D35343">
        <w:rPr>
          <w:rFonts w:ascii="Times New Roman" w:eastAsia="Arial Unicode MS" w:hAnsi="Times New Roman"/>
          <w:bCs/>
          <w:noProof/>
          <w:color w:val="000000"/>
        </w:rPr>
        <w:t xml:space="preserve"> </w:t>
      </w:r>
      <w:r w:rsidR="000467CC">
        <w:rPr>
          <w:rFonts w:ascii="Times New Roman" w:eastAsia="Arial Unicode MS" w:hAnsi="Times New Roman"/>
          <w:bCs/>
          <w:noProof/>
          <w:color w:val="000000"/>
        </w:rPr>
        <w:t xml:space="preserve">ir </w:t>
      </w:r>
      <w:r w:rsidR="00F06176">
        <w:rPr>
          <w:rFonts w:ascii="Times New Roman" w:eastAsia="Arial Unicode MS" w:hAnsi="Times New Roman"/>
          <w:bCs/>
          <w:noProof/>
          <w:color w:val="000000"/>
        </w:rPr>
        <w:t>10 mg dapagliflozino (</w:t>
      </w:r>
      <w:r w:rsidR="00F06176" w:rsidRPr="00D35343">
        <w:rPr>
          <w:rFonts w:ascii="Times New Roman" w:eastAsia="Arial Unicode MS" w:hAnsi="Times New Roman"/>
          <w:bCs/>
          <w:noProof/>
          <w:color w:val="000000"/>
        </w:rPr>
        <w:t xml:space="preserve">dapagliflozino propandiolio monohidrato </w:t>
      </w:r>
      <w:r w:rsidR="002263DF">
        <w:rPr>
          <w:rFonts w:ascii="Times New Roman" w:eastAsia="Arial Unicode MS" w:hAnsi="Times New Roman"/>
          <w:bCs/>
          <w:noProof/>
          <w:color w:val="000000"/>
        </w:rPr>
        <w:t>pavidalu</w:t>
      </w:r>
      <w:r w:rsidR="00F06176">
        <w:rPr>
          <w:rFonts w:ascii="Times New Roman" w:eastAsia="Arial Unicode MS" w:hAnsi="Times New Roman"/>
          <w:bCs/>
          <w:noProof/>
          <w:color w:val="000000"/>
        </w:rPr>
        <w:t>).</w:t>
      </w:r>
    </w:p>
    <w:p w14:paraId="58882772" w14:textId="77777777" w:rsidR="00F06176" w:rsidRDefault="00F06176">
      <w:pPr>
        <w:spacing w:after="0" w:line="240" w:lineRule="auto"/>
        <w:rPr>
          <w:rFonts w:ascii="Times New Roman" w:hAnsi="Times New Roman"/>
        </w:rPr>
      </w:pPr>
    </w:p>
    <w:p w14:paraId="3EA9CF3E" w14:textId="77777777" w:rsidR="00492E2F" w:rsidRDefault="00492E2F">
      <w:pPr>
        <w:spacing w:after="0" w:line="240" w:lineRule="auto"/>
        <w:rPr>
          <w:rFonts w:ascii="Times New Roman" w:hAnsi="Times New Roman"/>
        </w:rPr>
      </w:pPr>
    </w:p>
    <w:p w14:paraId="1380503F"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noProof/>
        </w:rPr>
        <w:t>PAGALBINIŲ MEDŽIAGŲ SĄRAŠAS</w:t>
      </w:r>
    </w:p>
    <w:p w14:paraId="3C9348BE" w14:textId="77777777" w:rsidR="00492E2F" w:rsidRDefault="00492E2F">
      <w:pPr>
        <w:spacing w:after="0" w:line="240" w:lineRule="auto"/>
        <w:rPr>
          <w:rFonts w:ascii="Times New Roman" w:hAnsi="Times New Roman"/>
        </w:rPr>
      </w:pPr>
    </w:p>
    <w:p w14:paraId="795A8247" w14:textId="77777777" w:rsidR="00492E2F" w:rsidRDefault="00492E2F">
      <w:pPr>
        <w:spacing w:after="0" w:line="240" w:lineRule="auto"/>
        <w:rPr>
          <w:rFonts w:ascii="Times New Roman" w:hAnsi="Times New Roman"/>
        </w:rPr>
      </w:pPr>
    </w:p>
    <w:p w14:paraId="2044D528"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r>
      <w:r>
        <w:rPr>
          <w:rFonts w:ascii="Times New Roman" w:hAnsi="Times New Roman"/>
          <w:b/>
          <w:noProof/>
        </w:rPr>
        <w:t>FARMACINĖ FORMA IR KIEKIS PAKUOTĖJE</w:t>
      </w:r>
    </w:p>
    <w:p w14:paraId="0BB220A6" w14:textId="77777777" w:rsidR="00492E2F" w:rsidRDefault="00492E2F">
      <w:pPr>
        <w:spacing w:after="0" w:line="240" w:lineRule="auto"/>
        <w:rPr>
          <w:rFonts w:ascii="Times New Roman" w:hAnsi="Times New Roman"/>
        </w:rPr>
      </w:pPr>
    </w:p>
    <w:p w14:paraId="4B9B2DDC" w14:textId="4EE2E4FE" w:rsidR="00492E2F" w:rsidRPr="0030702D" w:rsidRDefault="005A009E">
      <w:pPr>
        <w:spacing w:after="0" w:line="240" w:lineRule="auto"/>
        <w:rPr>
          <w:rFonts w:ascii="Times New Roman" w:hAnsi="Times New Roman"/>
          <w:i/>
          <w:iCs/>
        </w:rPr>
      </w:pPr>
      <w:r w:rsidRPr="005A009E">
        <w:rPr>
          <w:rFonts w:ascii="Times New Roman" w:hAnsi="Times New Roman"/>
          <w:i/>
          <w:iCs/>
          <w:highlight w:val="darkGray"/>
        </w:rPr>
        <w:t xml:space="preserve">plėvele </w:t>
      </w:r>
      <w:r w:rsidR="003B68F9" w:rsidRPr="0030702D">
        <w:rPr>
          <w:rFonts w:ascii="Times New Roman" w:hAnsi="Times New Roman"/>
          <w:i/>
          <w:iCs/>
          <w:highlight w:val="darkGray"/>
        </w:rPr>
        <w:t>dengta tabletė</w:t>
      </w:r>
    </w:p>
    <w:p w14:paraId="1B3B3B8C" w14:textId="77777777" w:rsidR="00492E2F" w:rsidRDefault="00492E2F">
      <w:pPr>
        <w:spacing w:after="0" w:line="240" w:lineRule="auto"/>
        <w:rPr>
          <w:rFonts w:ascii="Times New Roman" w:hAnsi="Times New Roman"/>
          <w:sz w:val="16"/>
          <w:szCs w:val="16"/>
        </w:rPr>
      </w:pPr>
    </w:p>
    <w:p w14:paraId="4A682F8B" w14:textId="77777777" w:rsidR="00492E2F" w:rsidRDefault="003B68F9">
      <w:pPr>
        <w:spacing w:after="0" w:line="240" w:lineRule="auto"/>
        <w:rPr>
          <w:rFonts w:ascii="Times New Roman" w:hAnsi="Times New Roman"/>
        </w:rPr>
      </w:pPr>
      <w:r>
        <w:rPr>
          <w:rFonts w:ascii="Times New Roman" w:hAnsi="Times New Roman"/>
        </w:rPr>
        <w:t xml:space="preserve">10 </w:t>
      </w:r>
      <w:r>
        <w:rPr>
          <w:rFonts w:ascii="Times New Roman" w:hAnsi="Times New Roman"/>
          <w:i/>
          <w:iCs/>
          <w:highlight w:val="darkGray"/>
        </w:rPr>
        <w:t>plėvele dengtų</w:t>
      </w:r>
      <w:r>
        <w:rPr>
          <w:rFonts w:ascii="Times New Roman" w:hAnsi="Times New Roman"/>
        </w:rPr>
        <w:t xml:space="preserve"> tablečių</w:t>
      </w:r>
    </w:p>
    <w:p w14:paraId="19F4BE7E" w14:textId="1328DFB5" w:rsidR="00492E2F" w:rsidRDefault="003B68F9">
      <w:pPr>
        <w:spacing w:after="0" w:line="240" w:lineRule="auto"/>
        <w:rPr>
          <w:rFonts w:ascii="Times New Roman" w:hAnsi="Times New Roman"/>
          <w:highlight w:val="lightGray"/>
        </w:rPr>
      </w:pPr>
      <w:r>
        <w:rPr>
          <w:rFonts w:ascii="Times New Roman" w:hAnsi="Times New Roman"/>
          <w:highlight w:val="lightGray"/>
        </w:rPr>
        <w:t>1</w:t>
      </w:r>
      <w:r w:rsidR="00A10193">
        <w:rPr>
          <w:rFonts w:ascii="Times New Roman" w:hAnsi="Times New Roman"/>
          <w:highlight w:val="lightGray"/>
        </w:rPr>
        <w:t>4</w:t>
      </w:r>
      <w:r>
        <w:rPr>
          <w:rFonts w:ascii="Times New Roman" w:hAnsi="Times New Roman"/>
          <w:highlight w:val="lightGray"/>
        </w:rPr>
        <w:t xml:space="preserve"> </w:t>
      </w:r>
      <w:r>
        <w:rPr>
          <w:rFonts w:ascii="Times New Roman" w:hAnsi="Times New Roman"/>
          <w:i/>
          <w:iCs/>
          <w:highlight w:val="darkGray"/>
        </w:rPr>
        <w:t>plėvele dengtų</w:t>
      </w:r>
      <w:r>
        <w:rPr>
          <w:rFonts w:ascii="Times New Roman" w:hAnsi="Times New Roman"/>
          <w:highlight w:val="lightGray"/>
        </w:rPr>
        <w:t xml:space="preserve"> tablečių</w:t>
      </w:r>
    </w:p>
    <w:p w14:paraId="5D3C96D4" w14:textId="0142B84E" w:rsidR="00492E2F" w:rsidRDefault="003B68F9">
      <w:pPr>
        <w:spacing w:after="0" w:line="240" w:lineRule="auto"/>
        <w:rPr>
          <w:rFonts w:ascii="Times New Roman" w:hAnsi="Times New Roman"/>
          <w:highlight w:val="lightGray"/>
        </w:rPr>
      </w:pPr>
      <w:bookmarkStart w:id="9" w:name="_Hlk190770775"/>
      <w:r>
        <w:rPr>
          <w:rFonts w:ascii="Times New Roman" w:hAnsi="Times New Roman"/>
          <w:highlight w:val="lightGray"/>
        </w:rPr>
        <w:t>2</w:t>
      </w:r>
      <w:r w:rsidR="00A10193">
        <w:rPr>
          <w:rFonts w:ascii="Times New Roman" w:hAnsi="Times New Roman"/>
          <w:highlight w:val="lightGray"/>
        </w:rPr>
        <w:t>8</w:t>
      </w:r>
      <w:r>
        <w:rPr>
          <w:rFonts w:ascii="Times New Roman" w:hAnsi="Times New Roman"/>
          <w:highlight w:val="lightGray"/>
        </w:rPr>
        <w:t xml:space="preserve"> </w:t>
      </w:r>
      <w:r>
        <w:rPr>
          <w:rFonts w:ascii="Times New Roman" w:hAnsi="Times New Roman"/>
          <w:i/>
          <w:iCs/>
          <w:highlight w:val="darkGray"/>
        </w:rPr>
        <w:t>plėvele dengt</w:t>
      </w:r>
      <w:r w:rsidR="00A10193">
        <w:rPr>
          <w:rFonts w:ascii="Times New Roman" w:hAnsi="Times New Roman"/>
          <w:i/>
          <w:iCs/>
          <w:highlight w:val="darkGray"/>
        </w:rPr>
        <w:t>os</w:t>
      </w:r>
      <w:r>
        <w:rPr>
          <w:rFonts w:ascii="Times New Roman" w:hAnsi="Times New Roman"/>
          <w:highlight w:val="lightGray"/>
        </w:rPr>
        <w:t xml:space="preserve"> table</w:t>
      </w:r>
      <w:r w:rsidR="00A10193">
        <w:rPr>
          <w:rFonts w:ascii="Times New Roman" w:hAnsi="Times New Roman"/>
          <w:highlight w:val="lightGray"/>
        </w:rPr>
        <w:t>tės</w:t>
      </w:r>
    </w:p>
    <w:bookmarkEnd w:id="9"/>
    <w:p w14:paraId="78731F8D" w14:textId="77777777" w:rsidR="00492E2F" w:rsidRDefault="003B68F9">
      <w:pPr>
        <w:spacing w:after="0" w:line="240" w:lineRule="auto"/>
        <w:rPr>
          <w:rFonts w:ascii="Times New Roman" w:hAnsi="Times New Roman"/>
          <w:highlight w:val="lightGray"/>
        </w:rPr>
      </w:pPr>
      <w:r>
        <w:rPr>
          <w:rFonts w:ascii="Times New Roman" w:hAnsi="Times New Roman"/>
          <w:highlight w:val="lightGray"/>
        </w:rPr>
        <w:t xml:space="preserve">30 </w:t>
      </w:r>
      <w:r>
        <w:rPr>
          <w:rFonts w:ascii="Times New Roman" w:hAnsi="Times New Roman"/>
          <w:i/>
          <w:iCs/>
          <w:highlight w:val="darkGray"/>
        </w:rPr>
        <w:t>plėvele dengtų</w:t>
      </w:r>
      <w:r>
        <w:rPr>
          <w:rFonts w:ascii="Times New Roman" w:hAnsi="Times New Roman"/>
          <w:highlight w:val="lightGray"/>
        </w:rPr>
        <w:t xml:space="preserve"> tablečių</w:t>
      </w:r>
    </w:p>
    <w:p w14:paraId="0A8BE910" w14:textId="5AA8E0FF" w:rsidR="00A10193" w:rsidRDefault="00A10193" w:rsidP="00A10193">
      <w:pPr>
        <w:spacing w:after="0" w:line="240" w:lineRule="auto"/>
        <w:rPr>
          <w:rFonts w:ascii="Times New Roman" w:hAnsi="Times New Roman"/>
          <w:highlight w:val="lightGray"/>
        </w:rPr>
      </w:pPr>
      <w:r>
        <w:rPr>
          <w:rFonts w:ascii="Times New Roman" w:hAnsi="Times New Roman"/>
          <w:highlight w:val="lightGray"/>
        </w:rPr>
        <w:t xml:space="preserve">56 </w:t>
      </w:r>
      <w:r>
        <w:rPr>
          <w:rFonts w:ascii="Times New Roman" w:hAnsi="Times New Roman"/>
          <w:i/>
          <w:iCs/>
          <w:highlight w:val="darkGray"/>
        </w:rPr>
        <w:t>plėvele dengtos</w:t>
      </w:r>
      <w:r>
        <w:rPr>
          <w:rFonts w:ascii="Times New Roman" w:hAnsi="Times New Roman"/>
          <w:highlight w:val="lightGray"/>
        </w:rPr>
        <w:t xml:space="preserve"> tabletės</w:t>
      </w:r>
    </w:p>
    <w:p w14:paraId="738E4A92" w14:textId="11A134D8" w:rsidR="00492E2F" w:rsidRDefault="00A10193">
      <w:pPr>
        <w:spacing w:after="0" w:line="240" w:lineRule="auto"/>
        <w:rPr>
          <w:rFonts w:ascii="Times New Roman" w:hAnsi="Times New Roman"/>
          <w:highlight w:val="lightGray"/>
        </w:rPr>
      </w:pPr>
      <w:r>
        <w:rPr>
          <w:rFonts w:ascii="Times New Roman" w:hAnsi="Times New Roman"/>
          <w:highlight w:val="lightGray"/>
        </w:rPr>
        <w:t>6</w:t>
      </w:r>
      <w:r w:rsidR="003B68F9">
        <w:rPr>
          <w:rFonts w:ascii="Times New Roman" w:hAnsi="Times New Roman"/>
          <w:highlight w:val="lightGray"/>
        </w:rPr>
        <w:t xml:space="preserve">0 </w:t>
      </w:r>
      <w:r w:rsidR="003B68F9">
        <w:rPr>
          <w:rFonts w:ascii="Times New Roman" w:hAnsi="Times New Roman"/>
          <w:i/>
          <w:iCs/>
          <w:highlight w:val="darkGray"/>
        </w:rPr>
        <w:t>plėvele dengtų</w:t>
      </w:r>
      <w:r w:rsidR="003B68F9">
        <w:rPr>
          <w:rFonts w:ascii="Times New Roman" w:hAnsi="Times New Roman"/>
          <w:highlight w:val="lightGray"/>
        </w:rPr>
        <w:t xml:space="preserve"> tablečių</w:t>
      </w:r>
    </w:p>
    <w:p w14:paraId="511D8152" w14:textId="49410B35" w:rsidR="00A10193" w:rsidRDefault="00A10193" w:rsidP="00A10193">
      <w:pPr>
        <w:spacing w:after="0" w:line="240" w:lineRule="auto"/>
        <w:rPr>
          <w:rFonts w:ascii="Times New Roman" w:hAnsi="Times New Roman"/>
          <w:highlight w:val="lightGray"/>
        </w:rPr>
      </w:pPr>
      <w:r>
        <w:rPr>
          <w:rFonts w:ascii="Times New Roman" w:hAnsi="Times New Roman"/>
          <w:highlight w:val="lightGray"/>
        </w:rPr>
        <w:t xml:space="preserve">84 </w:t>
      </w:r>
      <w:r>
        <w:rPr>
          <w:rFonts w:ascii="Times New Roman" w:hAnsi="Times New Roman"/>
          <w:i/>
          <w:iCs/>
          <w:highlight w:val="darkGray"/>
        </w:rPr>
        <w:t>plėvele dengtos</w:t>
      </w:r>
      <w:r>
        <w:rPr>
          <w:rFonts w:ascii="Times New Roman" w:hAnsi="Times New Roman"/>
          <w:highlight w:val="lightGray"/>
        </w:rPr>
        <w:t xml:space="preserve"> tabletės</w:t>
      </w:r>
    </w:p>
    <w:p w14:paraId="2DC1031E" w14:textId="2BAD3E51" w:rsidR="00A10193" w:rsidRDefault="00A10193" w:rsidP="00A10193">
      <w:pPr>
        <w:spacing w:after="0" w:line="240" w:lineRule="auto"/>
        <w:rPr>
          <w:rFonts w:ascii="Times New Roman" w:hAnsi="Times New Roman"/>
          <w:highlight w:val="lightGray"/>
        </w:rPr>
      </w:pPr>
      <w:r>
        <w:rPr>
          <w:rFonts w:ascii="Times New Roman" w:hAnsi="Times New Roman"/>
          <w:highlight w:val="lightGray"/>
        </w:rPr>
        <w:t xml:space="preserve">90 </w:t>
      </w:r>
      <w:r>
        <w:rPr>
          <w:rFonts w:ascii="Times New Roman" w:hAnsi="Times New Roman"/>
          <w:i/>
          <w:iCs/>
          <w:highlight w:val="darkGray"/>
        </w:rPr>
        <w:t>plėvele dengtų</w:t>
      </w:r>
      <w:r>
        <w:rPr>
          <w:rFonts w:ascii="Times New Roman" w:hAnsi="Times New Roman"/>
          <w:highlight w:val="lightGray"/>
        </w:rPr>
        <w:t xml:space="preserve"> tablečių</w:t>
      </w:r>
    </w:p>
    <w:p w14:paraId="1B4E2758" w14:textId="66DB310F" w:rsidR="00A10193" w:rsidRDefault="00A10193" w:rsidP="00A10193">
      <w:pPr>
        <w:spacing w:after="0" w:line="240" w:lineRule="auto"/>
        <w:rPr>
          <w:rFonts w:ascii="Times New Roman" w:hAnsi="Times New Roman"/>
          <w:highlight w:val="lightGray"/>
        </w:rPr>
      </w:pPr>
      <w:r>
        <w:rPr>
          <w:rFonts w:ascii="Times New Roman" w:hAnsi="Times New Roman"/>
          <w:highlight w:val="lightGray"/>
        </w:rPr>
        <w:t xml:space="preserve">98 </w:t>
      </w:r>
      <w:r>
        <w:rPr>
          <w:rFonts w:ascii="Times New Roman" w:hAnsi="Times New Roman"/>
          <w:i/>
          <w:iCs/>
          <w:highlight w:val="darkGray"/>
        </w:rPr>
        <w:t>plėvele dengtos</w:t>
      </w:r>
      <w:r>
        <w:rPr>
          <w:rFonts w:ascii="Times New Roman" w:hAnsi="Times New Roman"/>
          <w:highlight w:val="lightGray"/>
        </w:rPr>
        <w:t xml:space="preserve"> tabletės</w:t>
      </w:r>
    </w:p>
    <w:p w14:paraId="56D1BA07" w14:textId="2979481A" w:rsidR="00A10193" w:rsidRDefault="00A10193" w:rsidP="00A10193">
      <w:pPr>
        <w:spacing w:after="0" w:line="240" w:lineRule="auto"/>
        <w:rPr>
          <w:rFonts w:ascii="Times New Roman" w:hAnsi="Times New Roman"/>
          <w:highlight w:val="lightGray"/>
        </w:rPr>
      </w:pPr>
      <w:r>
        <w:rPr>
          <w:rFonts w:ascii="Times New Roman" w:hAnsi="Times New Roman"/>
          <w:highlight w:val="lightGray"/>
        </w:rPr>
        <w:t xml:space="preserve">100 </w:t>
      </w:r>
      <w:r>
        <w:rPr>
          <w:rFonts w:ascii="Times New Roman" w:hAnsi="Times New Roman"/>
          <w:i/>
          <w:iCs/>
          <w:highlight w:val="darkGray"/>
        </w:rPr>
        <w:t>plėvele dengtų</w:t>
      </w:r>
      <w:r>
        <w:rPr>
          <w:rFonts w:ascii="Times New Roman" w:hAnsi="Times New Roman"/>
          <w:highlight w:val="lightGray"/>
        </w:rPr>
        <w:t xml:space="preserve"> tablečių</w:t>
      </w:r>
    </w:p>
    <w:p w14:paraId="34CFC80A" w14:textId="77777777" w:rsidR="00492E2F" w:rsidRDefault="003B68F9">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10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2239EAFF" w14:textId="63B21374" w:rsidR="00492E2F" w:rsidRDefault="003B68F9">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1</w:t>
      </w:r>
      <w:r w:rsidR="00B7062F">
        <w:rPr>
          <w:rFonts w:ascii="Times New Roman" w:eastAsia="Times New Roman" w:hAnsi="Times New Roman"/>
          <w:highlight w:val="lightGray"/>
          <w:lang w:val="en-GB" w:eastAsia="sl-SI"/>
        </w:rPr>
        <w:t>4</w:t>
      </w:r>
      <w:r>
        <w:rPr>
          <w:rFonts w:ascii="Times New Roman" w:eastAsia="Times New Roman" w:hAnsi="Times New Roman"/>
          <w:highlight w:val="lightGray"/>
          <w:lang w:val="en-GB" w:eastAsia="sl-SI"/>
        </w:rPr>
        <w:t xml:space="preserve">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22F8F76E" w14:textId="60B3273B" w:rsidR="00492E2F" w:rsidRDefault="003B68F9">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2</w:t>
      </w:r>
      <w:r w:rsidR="00B7062F">
        <w:rPr>
          <w:rFonts w:ascii="Times New Roman" w:eastAsia="Times New Roman" w:hAnsi="Times New Roman"/>
          <w:highlight w:val="lightGray"/>
          <w:lang w:val="en-GB" w:eastAsia="sl-SI"/>
        </w:rPr>
        <w:t>8</w:t>
      </w:r>
      <w:r>
        <w:rPr>
          <w:rFonts w:ascii="Times New Roman" w:eastAsia="Times New Roman" w:hAnsi="Times New Roman"/>
          <w:highlight w:val="lightGray"/>
          <w:lang w:val="en-GB" w:eastAsia="sl-SI"/>
        </w:rPr>
        <w:t xml:space="preserve">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4438F2AE" w14:textId="77777777" w:rsidR="00492E2F" w:rsidRDefault="003B68F9">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30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57C2CE22" w14:textId="74097738" w:rsidR="00492E2F" w:rsidRDefault="003B68F9">
      <w:pPr>
        <w:widowControl w:val="0"/>
        <w:spacing w:after="0" w:line="240" w:lineRule="auto"/>
        <w:rPr>
          <w:rFonts w:ascii="Times New Roman" w:eastAsia="Times New Roman" w:hAnsi="Times New Roman"/>
          <w:noProof/>
          <w:lang w:val="en-GB" w:eastAsia="sl-SI"/>
        </w:rPr>
      </w:pPr>
      <w:bookmarkStart w:id="10" w:name="_Hlk190770904"/>
      <w:r>
        <w:rPr>
          <w:rFonts w:ascii="Times New Roman" w:eastAsia="Times New Roman" w:hAnsi="Times New Roman"/>
          <w:highlight w:val="lightGray"/>
          <w:lang w:val="en-GB" w:eastAsia="sl-SI"/>
        </w:rPr>
        <w:t>5</w:t>
      </w:r>
      <w:r w:rsidR="00B7062F">
        <w:rPr>
          <w:rFonts w:ascii="Times New Roman" w:eastAsia="Times New Roman" w:hAnsi="Times New Roman"/>
          <w:highlight w:val="lightGray"/>
          <w:lang w:val="en-GB" w:eastAsia="sl-SI"/>
        </w:rPr>
        <w:t>6</w:t>
      </w:r>
      <w:r>
        <w:rPr>
          <w:rFonts w:ascii="Times New Roman" w:eastAsia="Times New Roman" w:hAnsi="Times New Roman"/>
          <w:highlight w:val="lightGray"/>
          <w:lang w:val="en-GB" w:eastAsia="sl-SI"/>
        </w:rPr>
        <w:t xml:space="preserve">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bookmarkEnd w:id="10"/>
    <w:p w14:paraId="50A58B0B" w14:textId="5503C7FE" w:rsidR="00B7062F" w:rsidRDefault="00B7062F" w:rsidP="00B7062F">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60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0D1C2DC6" w14:textId="0E47E45E" w:rsidR="00B7062F" w:rsidRDefault="00B7062F" w:rsidP="00B7062F">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84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77108FC3" w14:textId="1DC07106" w:rsidR="00B7062F" w:rsidRDefault="00B7062F" w:rsidP="00B7062F">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90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7ABCA3E1" w14:textId="1D6D3F18" w:rsidR="00B7062F" w:rsidRDefault="00B7062F" w:rsidP="00B7062F">
      <w:pPr>
        <w:widowControl w:val="0"/>
        <w:spacing w:after="0" w:line="240" w:lineRule="auto"/>
        <w:rPr>
          <w:rFonts w:ascii="Times New Roman" w:eastAsia="Times New Roman" w:hAnsi="Times New Roman"/>
          <w:noProof/>
          <w:lang w:val="en-GB" w:eastAsia="sl-SI"/>
        </w:rPr>
      </w:pPr>
      <w:r>
        <w:rPr>
          <w:rFonts w:ascii="Times New Roman" w:eastAsia="Times New Roman" w:hAnsi="Times New Roman"/>
          <w:highlight w:val="lightGray"/>
          <w:lang w:val="en-GB" w:eastAsia="sl-SI"/>
        </w:rPr>
        <w:t xml:space="preserve">98 x 1 </w:t>
      </w:r>
      <w:proofErr w:type="spellStart"/>
      <w:r>
        <w:rPr>
          <w:rFonts w:ascii="Times New Roman" w:eastAsia="Times New Roman" w:hAnsi="Times New Roman"/>
          <w:i/>
          <w:iCs/>
          <w:highlight w:val="darkGray"/>
          <w:lang w:val="en-GB" w:eastAsia="sl-SI"/>
        </w:rPr>
        <w:t>plėvele</w:t>
      </w:r>
      <w:proofErr w:type="spellEnd"/>
      <w:r>
        <w:rPr>
          <w:rFonts w:ascii="Times New Roman" w:eastAsia="Times New Roman" w:hAnsi="Times New Roman"/>
          <w:i/>
          <w:iCs/>
          <w:highlight w:val="darkGray"/>
          <w:lang w:val="en-GB" w:eastAsia="sl-SI"/>
        </w:rPr>
        <w:t xml:space="preserve"> </w:t>
      </w:r>
      <w:proofErr w:type="spellStart"/>
      <w:r>
        <w:rPr>
          <w:rFonts w:ascii="Times New Roman" w:eastAsia="Times New Roman" w:hAnsi="Times New Roman"/>
          <w:i/>
          <w:iCs/>
          <w:highlight w:val="darkGray"/>
          <w:lang w:val="en-GB" w:eastAsia="sl-SI"/>
        </w:rPr>
        <w:t>dengta</w:t>
      </w:r>
      <w:proofErr w:type="spellEnd"/>
      <w:r>
        <w:rPr>
          <w:rFonts w:ascii="Times New Roman" w:eastAsia="Times New Roman" w:hAnsi="Times New Roman"/>
          <w:highlight w:val="lightGray"/>
          <w:lang w:val="en-GB" w:eastAsia="sl-SI"/>
        </w:rPr>
        <w:t xml:space="preserve"> </w:t>
      </w:r>
      <w:proofErr w:type="spellStart"/>
      <w:r>
        <w:rPr>
          <w:rFonts w:ascii="Times New Roman" w:eastAsia="Times New Roman" w:hAnsi="Times New Roman"/>
          <w:highlight w:val="lightGray"/>
          <w:lang w:val="en-GB" w:eastAsia="sl-SI"/>
        </w:rPr>
        <w:t>tabletė</w:t>
      </w:r>
      <w:proofErr w:type="spellEnd"/>
    </w:p>
    <w:p w14:paraId="031A4334" w14:textId="7E5722BE" w:rsidR="00B7062F" w:rsidRPr="0030702D" w:rsidRDefault="00B7062F" w:rsidP="00B7062F">
      <w:pPr>
        <w:widowControl w:val="0"/>
        <w:spacing w:after="0" w:line="240" w:lineRule="auto"/>
        <w:rPr>
          <w:rFonts w:ascii="Times New Roman" w:hAnsi="Times New Roman"/>
          <w:lang w:val="pt-PT"/>
        </w:rPr>
      </w:pPr>
      <w:r w:rsidRPr="0030702D">
        <w:rPr>
          <w:rFonts w:ascii="Times New Roman" w:hAnsi="Times New Roman"/>
          <w:highlight w:val="lightGray"/>
          <w:lang w:val="pt-PT"/>
        </w:rPr>
        <w:t xml:space="preserve">100 x 1 </w:t>
      </w:r>
      <w:r w:rsidRPr="0030702D">
        <w:rPr>
          <w:rFonts w:ascii="Times New Roman" w:hAnsi="Times New Roman"/>
          <w:i/>
          <w:highlight w:val="darkGray"/>
          <w:lang w:val="pt-PT"/>
        </w:rPr>
        <w:t>plėvele dengta</w:t>
      </w:r>
      <w:r w:rsidRPr="0030702D">
        <w:rPr>
          <w:rFonts w:ascii="Times New Roman" w:hAnsi="Times New Roman"/>
          <w:highlight w:val="lightGray"/>
          <w:lang w:val="pt-PT"/>
        </w:rPr>
        <w:t xml:space="preserve"> tabletė</w:t>
      </w:r>
    </w:p>
    <w:p w14:paraId="676ACEC8" w14:textId="77777777" w:rsidR="00492E2F" w:rsidRDefault="00492E2F">
      <w:pPr>
        <w:spacing w:after="0" w:line="240" w:lineRule="auto"/>
        <w:rPr>
          <w:rFonts w:ascii="Times New Roman" w:hAnsi="Times New Roman"/>
        </w:rPr>
      </w:pPr>
    </w:p>
    <w:p w14:paraId="078BC619" w14:textId="77777777" w:rsidR="00492E2F" w:rsidRDefault="00492E2F">
      <w:pPr>
        <w:spacing w:after="0" w:line="240" w:lineRule="auto"/>
        <w:rPr>
          <w:rFonts w:ascii="Times New Roman" w:hAnsi="Times New Roman"/>
        </w:rPr>
      </w:pPr>
    </w:p>
    <w:p w14:paraId="183B4EBA"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noProof/>
        </w:rPr>
        <w:t>VARTOJIMO METODAS IR BŪDAS (-AI)</w:t>
      </w:r>
    </w:p>
    <w:p w14:paraId="3647FE67" w14:textId="77777777" w:rsidR="00492E2F" w:rsidRDefault="00492E2F">
      <w:pPr>
        <w:spacing w:after="0" w:line="240" w:lineRule="auto"/>
        <w:rPr>
          <w:rFonts w:ascii="Times New Roman" w:hAnsi="Times New Roman"/>
          <w:sz w:val="16"/>
          <w:szCs w:val="16"/>
        </w:rPr>
      </w:pPr>
    </w:p>
    <w:p w14:paraId="02F77E2D" w14:textId="77777777" w:rsidR="00492E2F" w:rsidRDefault="003B68F9">
      <w:pPr>
        <w:spacing w:after="0" w:line="240" w:lineRule="auto"/>
        <w:rPr>
          <w:rFonts w:ascii="Times New Roman" w:hAnsi="Times New Roman"/>
        </w:rPr>
      </w:pPr>
      <w:r>
        <w:rPr>
          <w:rFonts w:ascii="Times New Roman" w:hAnsi="Times New Roman"/>
          <w:noProof/>
        </w:rPr>
        <w:t>Prieš vartojimą perskaitykite pakuotės lapelį.</w:t>
      </w:r>
    </w:p>
    <w:p w14:paraId="1A0086CC" w14:textId="77777777" w:rsidR="003F3AFC" w:rsidRDefault="003F3AFC">
      <w:pPr>
        <w:spacing w:after="0" w:line="240" w:lineRule="auto"/>
        <w:rPr>
          <w:rFonts w:ascii="Times New Roman" w:hAnsi="Times New Roman"/>
          <w:i/>
          <w:iCs/>
          <w:highlight w:val="darkGray"/>
        </w:rPr>
      </w:pPr>
    </w:p>
    <w:p w14:paraId="6BB04622" w14:textId="18CA0A79" w:rsidR="00492E2F" w:rsidRDefault="003B68F9">
      <w:pPr>
        <w:spacing w:after="0" w:line="240" w:lineRule="auto"/>
        <w:rPr>
          <w:rFonts w:ascii="Times New Roman" w:hAnsi="Times New Roman"/>
          <w:i/>
          <w:iCs/>
        </w:rPr>
      </w:pPr>
      <w:r>
        <w:rPr>
          <w:rFonts w:ascii="Times New Roman" w:hAnsi="Times New Roman"/>
          <w:i/>
          <w:iCs/>
          <w:highlight w:val="darkGray"/>
        </w:rPr>
        <w:t>Vartoti per burną</w:t>
      </w:r>
      <w:r>
        <w:rPr>
          <w:rFonts w:ascii="Times New Roman" w:hAnsi="Times New Roman"/>
          <w:i/>
          <w:iCs/>
          <w:highlight w:val="lightGray"/>
        </w:rPr>
        <w:t>.</w:t>
      </w:r>
    </w:p>
    <w:p w14:paraId="647F72A0" w14:textId="77777777" w:rsidR="00492E2F" w:rsidRDefault="00492E2F">
      <w:pPr>
        <w:spacing w:after="0" w:line="240" w:lineRule="auto"/>
        <w:rPr>
          <w:rFonts w:ascii="Times New Roman" w:hAnsi="Times New Roman"/>
        </w:rPr>
      </w:pPr>
    </w:p>
    <w:p w14:paraId="085D40AA" w14:textId="77777777" w:rsidR="00492E2F" w:rsidRDefault="00492E2F">
      <w:pPr>
        <w:spacing w:after="0" w:line="240" w:lineRule="auto"/>
        <w:rPr>
          <w:rFonts w:ascii="Times New Roman" w:hAnsi="Times New Roman"/>
        </w:rPr>
      </w:pPr>
    </w:p>
    <w:p w14:paraId="7C8679BE"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noProof/>
        </w:rPr>
        <w:t>SPECIALUS ĮSPĖJIMAS, KAD VAISTINĮ PREPARATĄ BŪTINA LAIKYTI VAIKAMS NEPASTEBIMOJE IR NEPASIEKIAMOJE VIETOJE</w:t>
      </w:r>
    </w:p>
    <w:p w14:paraId="4DF972DF" w14:textId="77777777" w:rsidR="00492E2F" w:rsidRDefault="00492E2F">
      <w:pPr>
        <w:spacing w:after="0" w:line="240" w:lineRule="auto"/>
        <w:rPr>
          <w:rFonts w:ascii="Times New Roman" w:hAnsi="Times New Roman"/>
          <w:sz w:val="16"/>
          <w:szCs w:val="16"/>
        </w:rPr>
      </w:pPr>
    </w:p>
    <w:p w14:paraId="75B8B0CC" w14:textId="77777777" w:rsidR="00492E2F" w:rsidRDefault="003B68F9">
      <w:pPr>
        <w:spacing w:after="0" w:line="240" w:lineRule="auto"/>
        <w:rPr>
          <w:rFonts w:ascii="Times New Roman" w:hAnsi="Times New Roman"/>
        </w:rPr>
      </w:pPr>
      <w:r>
        <w:rPr>
          <w:rFonts w:ascii="Times New Roman" w:hAnsi="Times New Roman"/>
          <w:noProof/>
        </w:rPr>
        <w:t>Laikyti vaikams nepastebimoje ir nepasiekiamoje vietoje.</w:t>
      </w:r>
    </w:p>
    <w:p w14:paraId="49636F81" w14:textId="77777777" w:rsidR="00492E2F" w:rsidRDefault="00492E2F">
      <w:pPr>
        <w:spacing w:after="0" w:line="240" w:lineRule="auto"/>
        <w:rPr>
          <w:rFonts w:ascii="Times New Roman" w:hAnsi="Times New Roman"/>
        </w:rPr>
      </w:pPr>
    </w:p>
    <w:p w14:paraId="06B98933" w14:textId="77777777" w:rsidR="00492E2F" w:rsidRDefault="00492E2F">
      <w:pPr>
        <w:spacing w:after="0" w:line="240" w:lineRule="auto"/>
        <w:rPr>
          <w:rFonts w:ascii="Times New Roman" w:hAnsi="Times New Roman"/>
        </w:rPr>
      </w:pPr>
    </w:p>
    <w:p w14:paraId="16D11B22"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r>
      <w:r>
        <w:rPr>
          <w:rFonts w:ascii="Times New Roman" w:hAnsi="Times New Roman"/>
          <w:b/>
          <w:noProof/>
        </w:rPr>
        <w:t>KITAS (-I) SPECIALUS (-ŪS) ĮSPĖJIMAS (-AI) (JEI REIKIA)</w:t>
      </w:r>
    </w:p>
    <w:p w14:paraId="6F0AA444" w14:textId="77777777" w:rsidR="00492E2F" w:rsidRDefault="00492E2F">
      <w:pPr>
        <w:spacing w:after="0" w:line="240" w:lineRule="auto"/>
        <w:rPr>
          <w:rFonts w:ascii="Times New Roman" w:hAnsi="Times New Roman"/>
          <w:sz w:val="16"/>
          <w:szCs w:val="16"/>
        </w:rPr>
      </w:pPr>
    </w:p>
    <w:p w14:paraId="064CB865" w14:textId="77777777" w:rsidR="00492E2F" w:rsidRDefault="00492E2F">
      <w:pPr>
        <w:spacing w:after="0" w:line="240" w:lineRule="auto"/>
        <w:rPr>
          <w:rFonts w:ascii="Times New Roman" w:hAnsi="Times New Roman"/>
        </w:rPr>
      </w:pPr>
    </w:p>
    <w:p w14:paraId="484ABF8D"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noProof/>
        </w:rPr>
        <w:t>TINKAMUMO LAIKAS</w:t>
      </w:r>
    </w:p>
    <w:p w14:paraId="76A35B49" w14:textId="77777777" w:rsidR="00492E2F" w:rsidRDefault="00492E2F">
      <w:pPr>
        <w:spacing w:after="0" w:line="240" w:lineRule="auto"/>
        <w:rPr>
          <w:rFonts w:ascii="Times New Roman" w:hAnsi="Times New Roman"/>
        </w:rPr>
      </w:pPr>
    </w:p>
    <w:p w14:paraId="73F20244" w14:textId="77777777" w:rsidR="00492E2F" w:rsidRDefault="003B68F9">
      <w:pPr>
        <w:spacing w:after="0" w:line="240" w:lineRule="auto"/>
        <w:rPr>
          <w:rFonts w:ascii="Times New Roman" w:hAnsi="Times New Roman"/>
          <w:iCs/>
          <w:noProof/>
        </w:rPr>
      </w:pPr>
      <w:r>
        <w:rPr>
          <w:rFonts w:ascii="Times New Roman" w:hAnsi="Times New Roman"/>
        </w:rPr>
        <w:t xml:space="preserve">EXP </w:t>
      </w:r>
      <w:r>
        <w:rPr>
          <w:rFonts w:ascii="Times New Roman" w:hAnsi="Times New Roman"/>
          <w:iCs/>
          <w:noProof/>
        </w:rPr>
        <w:t>{mm/MMMM}</w:t>
      </w:r>
    </w:p>
    <w:p w14:paraId="264DE98F" w14:textId="77777777" w:rsidR="00492E2F" w:rsidRDefault="00492E2F">
      <w:pPr>
        <w:spacing w:after="0" w:line="240" w:lineRule="auto"/>
        <w:rPr>
          <w:rFonts w:ascii="Times New Roman" w:hAnsi="Times New Roman"/>
        </w:rPr>
      </w:pPr>
    </w:p>
    <w:p w14:paraId="1605DA5C" w14:textId="77777777" w:rsidR="00492E2F" w:rsidRDefault="00492E2F">
      <w:pPr>
        <w:spacing w:after="0" w:line="240" w:lineRule="auto"/>
        <w:rPr>
          <w:rFonts w:ascii="Times New Roman" w:hAnsi="Times New Roman"/>
        </w:rPr>
      </w:pPr>
    </w:p>
    <w:p w14:paraId="7996B2DE"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noProof/>
        </w:rPr>
        <w:t>SPECIALIOS LAIKYMO SĄLYGOS</w:t>
      </w:r>
    </w:p>
    <w:p w14:paraId="2558D860" w14:textId="77777777" w:rsidR="00492E2F" w:rsidRDefault="00492E2F">
      <w:pPr>
        <w:spacing w:after="0" w:line="240" w:lineRule="auto"/>
        <w:rPr>
          <w:rFonts w:ascii="Times New Roman" w:hAnsi="Times New Roman"/>
        </w:rPr>
      </w:pPr>
    </w:p>
    <w:p w14:paraId="5C7199BD" w14:textId="646FDB3E" w:rsidR="00492E2F" w:rsidRDefault="003B68F9">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drėgmės.</w:t>
      </w:r>
    </w:p>
    <w:p w14:paraId="0D23D0B7" w14:textId="77777777" w:rsidR="00492E2F" w:rsidRDefault="00492E2F">
      <w:pPr>
        <w:spacing w:after="0" w:line="240" w:lineRule="auto"/>
        <w:rPr>
          <w:rFonts w:ascii="Times New Roman" w:hAnsi="Times New Roman"/>
        </w:rPr>
      </w:pPr>
    </w:p>
    <w:p w14:paraId="320AA2EB" w14:textId="77777777" w:rsidR="00492E2F" w:rsidRDefault="00492E2F">
      <w:pPr>
        <w:spacing w:after="0" w:line="240" w:lineRule="auto"/>
        <w:rPr>
          <w:rFonts w:ascii="Times New Roman" w:hAnsi="Times New Roman"/>
        </w:rPr>
      </w:pPr>
    </w:p>
    <w:p w14:paraId="5D18F22D"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noProof/>
        </w:rPr>
        <w:t>SPECIALIOS ATSARGUMO PRIEMONĖS DĖL NESUVARTOTO VAISTINIO PREPARATO AR JO ATLIEKŲ TVARKYMO (JEI REIKIA)</w:t>
      </w:r>
    </w:p>
    <w:p w14:paraId="210F9C44" w14:textId="77777777" w:rsidR="00492E2F" w:rsidRDefault="00492E2F">
      <w:pPr>
        <w:spacing w:after="0" w:line="240" w:lineRule="auto"/>
        <w:rPr>
          <w:rFonts w:ascii="Times New Roman" w:hAnsi="Times New Roman"/>
        </w:rPr>
      </w:pPr>
    </w:p>
    <w:p w14:paraId="6EEA901A" w14:textId="77777777" w:rsidR="00492E2F" w:rsidRDefault="00492E2F">
      <w:pPr>
        <w:spacing w:after="0" w:line="240" w:lineRule="auto"/>
        <w:rPr>
          <w:rFonts w:ascii="Times New Roman" w:hAnsi="Times New Roman"/>
        </w:rPr>
      </w:pPr>
    </w:p>
    <w:p w14:paraId="37A72683"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noProof/>
        </w:rPr>
        <w:t>REGISTRUOTOJO PAVADINIMAS IR ADRESAS</w:t>
      </w:r>
    </w:p>
    <w:p w14:paraId="227D4D2D" w14:textId="77777777" w:rsidR="00492E2F" w:rsidRDefault="00492E2F">
      <w:pPr>
        <w:spacing w:after="0" w:line="240" w:lineRule="auto"/>
        <w:rPr>
          <w:rFonts w:ascii="Times New Roman" w:hAnsi="Times New Roman"/>
        </w:rPr>
      </w:pPr>
    </w:p>
    <w:p w14:paraId="3C068C2B"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623C18C6"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368F44E3"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315293F4"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4802C92A" w14:textId="77777777" w:rsidR="00492E2F" w:rsidRDefault="00492E2F">
      <w:pPr>
        <w:spacing w:after="0" w:line="240" w:lineRule="auto"/>
        <w:rPr>
          <w:rFonts w:ascii="Times New Roman" w:hAnsi="Times New Roman"/>
        </w:rPr>
      </w:pPr>
    </w:p>
    <w:p w14:paraId="2DEC1BB6" w14:textId="77777777" w:rsidR="00492E2F" w:rsidRDefault="00492E2F">
      <w:pPr>
        <w:spacing w:after="0" w:line="240" w:lineRule="auto"/>
        <w:rPr>
          <w:rFonts w:ascii="Times New Roman" w:hAnsi="Times New Roman"/>
        </w:rPr>
      </w:pPr>
    </w:p>
    <w:p w14:paraId="55EFEB95"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12.</w:t>
      </w:r>
      <w:r>
        <w:rPr>
          <w:rFonts w:ascii="Times New Roman" w:hAnsi="Times New Roman"/>
          <w:b/>
        </w:rPr>
        <w:tab/>
      </w:r>
      <w:r>
        <w:rPr>
          <w:rFonts w:ascii="Times New Roman" w:hAnsi="Times New Roman"/>
          <w:b/>
          <w:noProof/>
        </w:rPr>
        <w:t>REGISTRACIJOS PAŽYMĖJIMO NUMERIS (-IAI)</w:t>
      </w:r>
      <w:r>
        <w:rPr>
          <w:rFonts w:ascii="Times New Roman" w:hAnsi="Times New Roman"/>
          <w:b/>
        </w:rPr>
        <w:t xml:space="preserve"> </w:t>
      </w:r>
    </w:p>
    <w:p w14:paraId="702DA47E" w14:textId="3C610ADC" w:rsidR="00492E2F" w:rsidRDefault="00492E2F">
      <w:pPr>
        <w:spacing w:after="0" w:line="240" w:lineRule="auto"/>
        <w:rPr>
          <w:rFonts w:ascii="Times New Roman" w:hAnsi="Times New Roman"/>
        </w:rPr>
      </w:pPr>
    </w:p>
    <w:p w14:paraId="3408B98E" w14:textId="77777777" w:rsidR="00547D8F" w:rsidRPr="00547D8F" w:rsidRDefault="00547D8F" w:rsidP="00547D8F">
      <w:pPr>
        <w:spacing w:after="0" w:line="240" w:lineRule="auto"/>
        <w:rPr>
          <w:rFonts w:ascii="Times New Roman" w:hAnsi="Times New Roman"/>
        </w:rPr>
      </w:pPr>
      <w:r w:rsidRPr="00547D8F">
        <w:rPr>
          <w:rFonts w:ascii="Times New Roman" w:hAnsi="Times New Roman"/>
        </w:rPr>
        <w:t xml:space="preserve">LT/1/25/5781/001 </w:t>
      </w:r>
      <w:r w:rsidRPr="00332D91">
        <w:rPr>
          <w:rFonts w:ascii="Times New Roman" w:hAnsi="Times New Roman"/>
          <w:highlight w:val="lightGray"/>
        </w:rPr>
        <w:t>– N10</w:t>
      </w:r>
    </w:p>
    <w:p w14:paraId="4DC34664"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LT/1/25/5781/002 – N14</w:t>
      </w:r>
    </w:p>
    <w:p w14:paraId="2A5D4320" w14:textId="7C8F77C5" w:rsidR="006C37E5" w:rsidRPr="00332D91" w:rsidRDefault="006C37E5" w:rsidP="006C37E5">
      <w:pPr>
        <w:spacing w:after="0" w:line="240" w:lineRule="auto"/>
        <w:rPr>
          <w:rFonts w:ascii="Times New Roman" w:hAnsi="Times New Roman"/>
          <w:highlight w:val="lightGray"/>
        </w:rPr>
      </w:pPr>
      <w:r w:rsidRPr="00332D91">
        <w:rPr>
          <w:rFonts w:ascii="Times New Roman" w:hAnsi="Times New Roman"/>
          <w:highlight w:val="lightGray"/>
        </w:rPr>
        <w:t>LT/1/25/5781/021 – N14</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577040F2"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LT/1/25/5781/003 – N28</w:t>
      </w:r>
    </w:p>
    <w:p w14:paraId="71794968" w14:textId="24F8D907" w:rsidR="006C37E5" w:rsidRPr="00332D91" w:rsidRDefault="006C37E5" w:rsidP="006C37E5">
      <w:pPr>
        <w:spacing w:after="0" w:line="240" w:lineRule="auto"/>
        <w:rPr>
          <w:rFonts w:ascii="Times New Roman" w:hAnsi="Times New Roman"/>
          <w:highlight w:val="lightGray"/>
        </w:rPr>
      </w:pPr>
      <w:r w:rsidRPr="00332D91">
        <w:rPr>
          <w:rFonts w:ascii="Times New Roman" w:hAnsi="Times New Roman"/>
          <w:highlight w:val="lightGray"/>
        </w:rPr>
        <w:t>LT/1/25/5781/022 – N28</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08785CDC"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LT/1/25/5781/004 – N30</w:t>
      </w:r>
    </w:p>
    <w:p w14:paraId="0C8F0857"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LT/1/25/5781/005 – N56</w:t>
      </w:r>
    </w:p>
    <w:p w14:paraId="66133EC7" w14:textId="54377F8E" w:rsidR="006C37E5" w:rsidRPr="00332D91" w:rsidRDefault="006C37E5" w:rsidP="006C37E5">
      <w:pPr>
        <w:spacing w:after="0" w:line="240" w:lineRule="auto"/>
        <w:rPr>
          <w:rFonts w:ascii="Times New Roman" w:hAnsi="Times New Roman"/>
          <w:highlight w:val="lightGray"/>
        </w:rPr>
      </w:pPr>
      <w:r w:rsidRPr="00332D91">
        <w:rPr>
          <w:rFonts w:ascii="Times New Roman" w:hAnsi="Times New Roman"/>
          <w:highlight w:val="lightGray"/>
        </w:rPr>
        <w:t>LT/1/25/5781/023 – N56</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663FAFB8"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LT/1/25/5781/006 – N60</w:t>
      </w:r>
    </w:p>
    <w:p w14:paraId="344515F0"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LT/1/25/5781/007 – N84</w:t>
      </w:r>
    </w:p>
    <w:p w14:paraId="64F471B0" w14:textId="7839D480" w:rsidR="006C37E5" w:rsidRPr="00332D91" w:rsidRDefault="006C37E5" w:rsidP="006C37E5">
      <w:pPr>
        <w:spacing w:after="0" w:line="240" w:lineRule="auto"/>
        <w:rPr>
          <w:rFonts w:ascii="Times New Roman" w:hAnsi="Times New Roman"/>
          <w:highlight w:val="lightGray"/>
        </w:rPr>
      </w:pPr>
      <w:r w:rsidRPr="00332D91">
        <w:rPr>
          <w:rFonts w:ascii="Times New Roman" w:hAnsi="Times New Roman"/>
          <w:highlight w:val="lightGray"/>
        </w:rPr>
        <w:t>LT/1/25/5781/024 – N84</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596767D6"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LT/1/25/5781/008 – N90</w:t>
      </w:r>
    </w:p>
    <w:p w14:paraId="6F0759CD"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LT/1/25/5781/009 – N98</w:t>
      </w:r>
    </w:p>
    <w:p w14:paraId="3DAE0756" w14:textId="03295750" w:rsidR="006C37E5" w:rsidRPr="00332D91" w:rsidRDefault="006C37E5" w:rsidP="00547D8F">
      <w:pPr>
        <w:spacing w:after="0" w:line="240" w:lineRule="auto"/>
        <w:rPr>
          <w:rFonts w:ascii="Times New Roman" w:hAnsi="Times New Roman"/>
          <w:highlight w:val="lightGray"/>
        </w:rPr>
      </w:pPr>
      <w:r w:rsidRPr="00332D91">
        <w:rPr>
          <w:rFonts w:ascii="Times New Roman" w:hAnsi="Times New Roman"/>
          <w:highlight w:val="lightGray"/>
        </w:rPr>
        <w:t>LT/1/25/5781/025 – N98</w:t>
      </w:r>
      <w:r w:rsidR="00DC350A">
        <w:rPr>
          <w:rFonts w:ascii="Times New Roman" w:hAnsi="Times New Roman"/>
          <w:highlight w:val="lightGray"/>
        </w:rPr>
        <w:t xml:space="preserve"> </w:t>
      </w:r>
      <w:r w:rsidR="00DC350A" w:rsidRPr="00332D91">
        <w:rPr>
          <w:rFonts w:ascii="Times New Roman" w:hAnsi="Times New Roman"/>
          <w:highlight w:val="lightGray"/>
        </w:rPr>
        <w:t>(kalendorinė pakuotė)</w:t>
      </w:r>
    </w:p>
    <w:p w14:paraId="080CFE3E" w14:textId="450A7818"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LT/1/25/5781/010 – N100</w:t>
      </w:r>
    </w:p>
    <w:p w14:paraId="2A324998"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LT/1/25/5781/011 – N10x1</w:t>
      </w:r>
    </w:p>
    <w:p w14:paraId="663E18CB"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LT/1/25/5781/012 – N14x1</w:t>
      </w:r>
    </w:p>
    <w:p w14:paraId="0DEF2981" w14:textId="568994EA" w:rsidR="004A2F69" w:rsidRPr="00332D91" w:rsidRDefault="004A2F69" w:rsidP="004A2F69">
      <w:pPr>
        <w:spacing w:after="0" w:line="240" w:lineRule="auto"/>
        <w:rPr>
          <w:rFonts w:ascii="Times New Roman" w:hAnsi="Times New Roman"/>
          <w:highlight w:val="lightGray"/>
        </w:rPr>
      </w:pPr>
      <w:r w:rsidRPr="00332D91">
        <w:rPr>
          <w:rFonts w:ascii="Times New Roman" w:hAnsi="Times New Roman"/>
          <w:highlight w:val="lightGray"/>
        </w:rPr>
        <w:t>LT/1/25/5781/026 – N14x1</w:t>
      </w:r>
      <w:r w:rsidRPr="00332D91">
        <w:rPr>
          <w:rFonts w:ascii="Times New Roman" w:hAnsi="Times New Roman"/>
          <w:highlight w:val="lightGray"/>
        </w:rPr>
        <w:t xml:space="preserve"> (</w:t>
      </w:r>
      <w:r w:rsidRPr="00332D91">
        <w:rPr>
          <w:rFonts w:ascii="Times New Roman" w:hAnsi="Times New Roman"/>
          <w:highlight w:val="lightGray"/>
        </w:rPr>
        <w:t>kalendorinė pakuotė</w:t>
      </w:r>
      <w:r w:rsidRPr="00332D91">
        <w:rPr>
          <w:rFonts w:ascii="Times New Roman" w:hAnsi="Times New Roman"/>
          <w:highlight w:val="lightGray"/>
        </w:rPr>
        <w:t>)</w:t>
      </w:r>
    </w:p>
    <w:p w14:paraId="774A1602"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LT/1/25/5781/013 – N28x1</w:t>
      </w:r>
    </w:p>
    <w:p w14:paraId="5136BA71" w14:textId="3CAE076A" w:rsidR="004A2F69" w:rsidRPr="00332D91" w:rsidRDefault="004A2F69" w:rsidP="004A2F69">
      <w:pPr>
        <w:spacing w:after="0" w:line="240" w:lineRule="auto"/>
        <w:rPr>
          <w:rFonts w:ascii="Times New Roman" w:hAnsi="Times New Roman"/>
          <w:highlight w:val="lightGray"/>
        </w:rPr>
      </w:pPr>
      <w:r w:rsidRPr="00332D91">
        <w:rPr>
          <w:rFonts w:ascii="Times New Roman" w:hAnsi="Times New Roman"/>
          <w:highlight w:val="lightGray"/>
        </w:rPr>
        <w:t>LT/1/25/5781/027 – N28x1</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703B4B00"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LT/1/25/5781/014 – N30x1</w:t>
      </w:r>
    </w:p>
    <w:p w14:paraId="2DB93E01"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LT/1/25/5781/015 – N56x1</w:t>
      </w:r>
    </w:p>
    <w:p w14:paraId="2F9675EC" w14:textId="604A1634" w:rsidR="005E1F96" w:rsidRPr="00332D91" w:rsidRDefault="005E1F96" w:rsidP="005E1F96">
      <w:pPr>
        <w:spacing w:after="0" w:line="240" w:lineRule="auto"/>
        <w:rPr>
          <w:rFonts w:ascii="Times New Roman" w:hAnsi="Times New Roman"/>
          <w:highlight w:val="lightGray"/>
        </w:rPr>
      </w:pPr>
      <w:r w:rsidRPr="00332D91">
        <w:rPr>
          <w:rFonts w:ascii="Times New Roman" w:hAnsi="Times New Roman"/>
          <w:highlight w:val="lightGray"/>
        </w:rPr>
        <w:t>LT/1/25/5781/028 – N56x1</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368C81B5"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LT/1/25/5781/016 – N60x1</w:t>
      </w:r>
    </w:p>
    <w:p w14:paraId="4758D252"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LT/1/25/5781/017 – N84x1</w:t>
      </w:r>
    </w:p>
    <w:p w14:paraId="7C9079DC" w14:textId="2454C969" w:rsidR="005E1F96" w:rsidRPr="00332D91" w:rsidRDefault="005E1F96" w:rsidP="005E1F96">
      <w:pPr>
        <w:spacing w:after="0" w:line="240" w:lineRule="auto"/>
        <w:rPr>
          <w:rFonts w:ascii="Times New Roman" w:hAnsi="Times New Roman"/>
          <w:highlight w:val="lightGray"/>
        </w:rPr>
      </w:pPr>
      <w:r w:rsidRPr="00332D91">
        <w:rPr>
          <w:rFonts w:ascii="Times New Roman" w:hAnsi="Times New Roman"/>
          <w:highlight w:val="lightGray"/>
        </w:rPr>
        <w:t>LT/1/25/5781/029 – N84x1</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35897E43"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LT/1/25/5781/018 – N90x1</w:t>
      </w:r>
    </w:p>
    <w:p w14:paraId="76BDAE72" w14:textId="77777777" w:rsidR="00547D8F" w:rsidRPr="00332D91" w:rsidRDefault="00547D8F" w:rsidP="00547D8F">
      <w:pPr>
        <w:spacing w:after="0" w:line="240" w:lineRule="auto"/>
        <w:rPr>
          <w:rFonts w:ascii="Times New Roman" w:hAnsi="Times New Roman"/>
          <w:highlight w:val="lightGray"/>
        </w:rPr>
      </w:pPr>
      <w:r w:rsidRPr="00332D91">
        <w:rPr>
          <w:rFonts w:ascii="Times New Roman" w:hAnsi="Times New Roman"/>
          <w:highlight w:val="lightGray"/>
        </w:rPr>
        <w:t>LT/1/25/5781/019 – N98x1</w:t>
      </w:r>
    </w:p>
    <w:p w14:paraId="0865BD2B" w14:textId="29D9B1DE" w:rsidR="005E1F96" w:rsidRPr="00332D91" w:rsidRDefault="005E1F96" w:rsidP="005E1F96">
      <w:pPr>
        <w:spacing w:after="0" w:line="240" w:lineRule="auto"/>
        <w:rPr>
          <w:rFonts w:ascii="Times New Roman" w:hAnsi="Times New Roman"/>
          <w:highlight w:val="lightGray"/>
        </w:rPr>
      </w:pPr>
      <w:r w:rsidRPr="00332D91">
        <w:rPr>
          <w:rFonts w:ascii="Times New Roman" w:hAnsi="Times New Roman"/>
          <w:highlight w:val="lightGray"/>
        </w:rPr>
        <w:t>LT/1/25/5781/030 – N98x1</w:t>
      </w:r>
      <w:r w:rsidRPr="00332D91">
        <w:rPr>
          <w:rFonts w:ascii="Times New Roman" w:hAnsi="Times New Roman"/>
          <w:highlight w:val="lightGray"/>
        </w:rPr>
        <w:t xml:space="preserve"> </w:t>
      </w:r>
      <w:r w:rsidRPr="00332D91">
        <w:rPr>
          <w:rFonts w:ascii="Times New Roman" w:hAnsi="Times New Roman"/>
          <w:highlight w:val="lightGray"/>
        </w:rPr>
        <w:t>(kalendorinė pakuotė)</w:t>
      </w:r>
    </w:p>
    <w:p w14:paraId="65DA5102" w14:textId="77777777" w:rsidR="00547D8F" w:rsidRPr="00547D8F" w:rsidRDefault="00547D8F" w:rsidP="00547D8F">
      <w:pPr>
        <w:spacing w:after="0" w:line="240" w:lineRule="auto"/>
        <w:rPr>
          <w:rFonts w:ascii="Times New Roman" w:hAnsi="Times New Roman"/>
        </w:rPr>
      </w:pPr>
      <w:r w:rsidRPr="00332D91">
        <w:rPr>
          <w:rFonts w:ascii="Times New Roman" w:hAnsi="Times New Roman"/>
          <w:highlight w:val="lightGray"/>
        </w:rPr>
        <w:t>LT/1/25/5781/020 – N100x1</w:t>
      </w:r>
    </w:p>
    <w:p w14:paraId="220C6F29" w14:textId="77777777" w:rsidR="00492E2F" w:rsidRDefault="00492E2F">
      <w:pPr>
        <w:autoSpaceDE w:val="0"/>
        <w:autoSpaceDN w:val="0"/>
        <w:adjustRightInd w:val="0"/>
        <w:spacing w:after="0" w:line="240" w:lineRule="auto"/>
        <w:rPr>
          <w:rFonts w:ascii="Times New Roman" w:hAnsi="Times New Roman"/>
          <w:iCs/>
        </w:rPr>
      </w:pPr>
    </w:p>
    <w:p w14:paraId="52113543" w14:textId="77777777" w:rsidR="00492E2F" w:rsidRDefault="00492E2F">
      <w:pPr>
        <w:spacing w:after="0" w:line="240" w:lineRule="auto"/>
        <w:rPr>
          <w:rFonts w:ascii="Times New Roman" w:hAnsi="Times New Roman"/>
        </w:rPr>
      </w:pPr>
    </w:p>
    <w:p w14:paraId="79351C1C"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13.</w:t>
      </w:r>
      <w:r>
        <w:rPr>
          <w:rFonts w:ascii="Times New Roman" w:hAnsi="Times New Roman"/>
          <w:b/>
        </w:rPr>
        <w:tab/>
      </w:r>
      <w:r>
        <w:rPr>
          <w:rFonts w:ascii="Times New Roman" w:hAnsi="Times New Roman"/>
          <w:b/>
          <w:noProof/>
        </w:rPr>
        <w:t xml:space="preserve">SERIJOS NUMERIS </w:t>
      </w:r>
    </w:p>
    <w:p w14:paraId="05845709" w14:textId="77777777" w:rsidR="00492E2F" w:rsidRDefault="00492E2F">
      <w:pPr>
        <w:spacing w:after="0" w:line="240" w:lineRule="auto"/>
        <w:rPr>
          <w:rFonts w:ascii="Times New Roman" w:hAnsi="Times New Roman"/>
        </w:rPr>
      </w:pPr>
    </w:p>
    <w:p w14:paraId="410BA74C" w14:textId="77777777" w:rsidR="00492E2F" w:rsidRDefault="003B68F9">
      <w:pPr>
        <w:spacing w:after="0" w:line="240" w:lineRule="auto"/>
        <w:rPr>
          <w:rFonts w:ascii="Times New Roman" w:hAnsi="Times New Roman"/>
        </w:rPr>
      </w:pPr>
      <w:r>
        <w:rPr>
          <w:rFonts w:ascii="Times New Roman" w:hAnsi="Times New Roman"/>
        </w:rPr>
        <w:t>Lot</w:t>
      </w:r>
    </w:p>
    <w:p w14:paraId="771DDCD5" w14:textId="77777777" w:rsidR="00492E2F" w:rsidRDefault="00492E2F">
      <w:pPr>
        <w:spacing w:after="0" w:line="240" w:lineRule="auto"/>
        <w:rPr>
          <w:rFonts w:ascii="Times New Roman" w:hAnsi="Times New Roman"/>
        </w:rPr>
      </w:pPr>
    </w:p>
    <w:p w14:paraId="4FADC97E" w14:textId="77777777" w:rsidR="00492E2F" w:rsidRDefault="00492E2F">
      <w:pPr>
        <w:spacing w:after="0" w:line="240" w:lineRule="auto"/>
        <w:rPr>
          <w:rFonts w:ascii="Times New Roman" w:hAnsi="Times New Roman"/>
        </w:rPr>
      </w:pPr>
    </w:p>
    <w:p w14:paraId="5917D930"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14.</w:t>
      </w:r>
      <w:r>
        <w:rPr>
          <w:rFonts w:ascii="Times New Roman" w:hAnsi="Times New Roman"/>
          <w:b/>
        </w:rPr>
        <w:tab/>
      </w:r>
      <w:r>
        <w:rPr>
          <w:rFonts w:ascii="Times New Roman" w:hAnsi="Times New Roman"/>
          <w:b/>
          <w:noProof/>
        </w:rPr>
        <w:t>PARDAVIMO (IŠDAVIMO) TVARKA</w:t>
      </w:r>
    </w:p>
    <w:p w14:paraId="02F3EE4B" w14:textId="77777777" w:rsidR="00492E2F" w:rsidRDefault="00492E2F">
      <w:pPr>
        <w:spacing w:after="0" w:line="240" w:lineRule="auto"/>
        <w:rPr>
          <w:rFonts w:ascii="Times New Roman" w:hAnsi="Times New Roman"/>
        </w:rPr>
      </w:pPr>
    </w:p>
    <w:p w14:paraId="63095D47" w14:textId="77777777" w:rsidR="00492E2F" w:rsidRDefault="003B68F9">
      <w:pPr>
        <w:spacing w:after="0" w:line="240" w:lineRule="auto"/>
        <w:rPr>
          <w:rFonts w:ascii="Times New Roman" w:hAnsi="Times New Roman"/>
        </w:rPr>
      </w:pPr>
      <w:r>
        <w:rPr>
          <w:rFonts w:ascii="Times New Roman" w:hAnsi="Times New Roman"/>
        </w:rPr>
        <w:t>Receptinis vaistas</w:t>
      </w:r>
    </w:p>
    <w:p w14:paraId="794C692C" w14:textId="77777777" w:rsidR="00492E2F" w:rsidRDefault="00492E2F">
      <w:pPr>
        <w:spacing w:after="0" w:line="240" w:lineRule="auto"/>
        <w:rPr>
          <w:rFonts w:ascii="Times New Roman" w:hAnsi="Times New Roman"/>
        </w:rPr>
      </w:pPr>
    </w:p>
    <w:p w14:paraId="036BC1E9" w14:textId="77777777" w:rsidR="00492E2F" w:rsidRDefault="00492E2F">
      <w:pPr>
        <w:spacing w:after="0" w:line="240" w:lineRule="auto"/>
        <w:rPr>
          <w:rFonts w:ascii="Times New Roman" w:hAnsi="Times New Roman"/>
        </w:rPr>
      </w:pPr>
    </w:p>
    <w:p w14:paraId="57FAC41C"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noProof/>
        </w:rPr>
        <w:t>VARTOJIMO INSTRUKCIJA</w:t>
      </w:r>
    </w:p>
    <w:p w14:paraId="4A42566A" w14:textId="77777777" w:rsidR="00492E2F" w:rsidRDefault="00492E2F">
      <w:pPr>
        <w:spacing w:after="0" w:line="240" w:lineRule="auto"/>
        <w:rPr>
          <w:rFonts w:ascii="Times New Roman" w:hAnsi="Times New Roman"/>
        </w:rPr>
      </w:pPr>
    </w:p>
    <w:p w14:paraId="6DF9FE17" w14:textId="77777777" w:rsidR="00492E2F" w:rsidRDefault="00492E2F">
      <w:pPr>
        <w:spacing w:after="0" w:line="240" w:lineRule="auto"/>
        <w:rPr>
          <w:rFonts w:ascii="Times New Roman" w:hAnsi="Times New Roman"/>
        </w:rPr>
      </w:pPr>
    </w:p>
    <w:p w14:paraId="2A95B38A"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16.</w:t>
      </w:r>
      <w:r>
        <w:rPr>
          <w:rFonts w:ascii="Times New Roman" w:hAnsi="Times New Roman"/>
          <w:b/>
        </w:rPr>
        <w:tab/>
      </w:r>
      <w:r>
        <w:rPr>
          <w:rFonts w:ascii="Times New Roman" w:hAnsi="Times New Roman"/>
          <w:b/>
          <w:noProof/>
        </w:rPr>
        <w:t>INFORMACIJA BRAILIO RAŠTU</w:t>
      </w:r>
    </w:p>
    <w:p w14:paraId="4C158049" w14:textId="77777777" w:rsidR="00492E2F" w:rsidRDefault="00492E2F">
      <w:pPr>
        <w:spacing w:after="0" w:line="240" w:lineRule="auto"/>
        <w:rPr>
          <w:rFonts w:ascii="Times New Roman" w:hAnsi="Times New Roman"/>
        </w:rPr>
      </w:pPr>
    </w:p>
    <w:p w14:paraId="182D90CF" w14:textId="06C41256" w:rsidR="00492E2F" w:rsidRDefault="002F33BE">
      <w:pPr>
        <w:spacing w:after="0" w:line="240" w:lineRule="auto"/>
        <w:rPr>
          <w:rFonts w:ascii="Times New Roman" w:hAnsi="Times New Roman"/>
        </w:rPr>
      </w:pPr>
      <w:r>
        <w:rPr>
          <w:rFonts w:ascii="Times New Roman" w:hAnsi="Times New Roman"/>
        </w:rPr>
        <w:t>Axigalu</w:t>
      </w:r>
      <w:r w:rsidR="001666EF">
        <w:rPr>
          <w:rFonts w:ascii="Times New Roman" w:hAnsi="Times New Roman"/>
        </w:rPr>
        <w:t xml:space="preserve"> 100 mg/10 mg</w:t>
      </w:r>
    </w:p>
    <w:p w14:paraId="3137C829" w14:textId="77777777" w:rsidR="001666EF" w:rsidRDefault="001666EF">
      <w:pPr>
        <w:spacing w:after="0" w:line="240" w:lineRule="auto"/>
        <w:rPr>
          <w:rFonts w:ascii="Times New Roman" w:hAnsi="Times New Roman"/>
          <w:iCs/>
        </w:rPr>
      </w:pPr>
    </w:p>
    <w:p w14:paraId="271926CC" w14:textId="77777777" w:rsidR="00492E2F" w:rsidRDefault="00492E2F">
      <w:pPr>
        <w:spacing w:after="0" w:line="240" w:lineRule="auto"/>
        <w:rPr>
          <w:rFonts w:ascii="Times New Roman" w:hAnsi="Times New Roman"/>
          <w:iCs/>
        </w:rPr>
      </w:pPr>
    </w:p>
    <w:p w14:paraId="0AF23289"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17.</w:t>
      </w:r>
      <w:r>
        <w:rPr>
          <w:rFonts w:ascii="Times New Roman" w:hAnsi="Times New Roman"/>
          <w:b/>
        </w:rPr>
        <w:tab/>
      </w:r>
      <w:r>
        <w:rPr>
          <w:rFonts w:ascii="Times New Roman" w:hAnsi="Times New Roman"/>
          <w:b/>
          <w:noProof/>
        </w:rPr>
        <w:t>UNIKALUS IDENTIFIKATORIUS – 2D BRŪKŠNINIS KODAS</w:t>
      </w:r>
    </w:p>
    <w:p w14:paraId="08895DC2" w14:textId="77777777" w:rsidR="00492E2F" w:rsidRDefault="00492E2F">
      <w:pPr>
        <w:spacing w:after="0" w:line="240" w:lineRule="auto"/>
        <w:rPr>
          <w:rFonts w:ascii="Times New Roman" w:hAnsi="Times New Roman"/>
        </w:rPr>
      </w:pPr>
    </w:p>
    <w:p w14:paraId="18DE807E" w14:textId="77777777" w:rsidR="00492E2F" w:rsidRDefault="003B68F9">
      <w:pPr>
        <w:spacing w:after="0" w:line="240" w:lineRule="auto"/>
        <w:rPr>
          <w:rFonts w:ascii="Times New Roman" w:hAnsi="Times New Roman"/>
          <w:shd w:val="clear" w:color="auto" w:fill="CCCCCC"/>
        </w:rPr>
      </w:pPr>
      <w:r>
        <w:rPr>
          <w:rFonts w:ascii="Times New Roman" w:hAnsi="Times New Roman"/>
          <w:highlight w:val="lightGray"/>
        </w:rPr>
        <w:t>2D brūkšninis kodas su nurodytu unikaliu identifikatoriumi.</w:t>
      </w:r>
    </w:p>
    <w:p w14:paraId="2AF43146" w14:textId="77777777" w:rsidR="00492E2F" w:rsidRDefault="00492E2F">
      <w:pPr>
        <w:spacing w:after="0" w:line="240" w:lineRule="auto"/>
        <w:rPr>
          <w:rFonts w:ascii="Times New Roman" w:hAnsi="Times New Roman"/>
          <w:iCs/>
        </w:rPr>
      </w:pPr>
    </w:p>
    <w:p w14:paraId="7513198D" w14:textId="77777777" w:rsidR="00492E2F" w:rsidRDefault="00492E2F">
      <w:pPr>
        <w:spacing w:after="0" w:line="240" w:lineRule="auto"/>
        <w:rPr>
          <w:rFonts w:ascii="Times New Roman" w:hAnsi="Times New Roman"/>
          <w:iCs/>
        </w:rPr>
      </w:pPr>
    </w:p>
    <w:p w14:paraId="78C82F3B"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18.</w:t>
      </w:r>
      <w:r>
        <w:rPr>
          <w:rFonts w:ascii="Times New Roman" w:hAnsi="Times New Roman"/>
          <w:b/>
        </w:rPr>
        <w:tab/>
      </w:r>
      <w:r>
        <w:rPr>
          <w:rFonts w:ascii="Times New Roman" w:hAnsi="Times New Roman"/>
          <w:b/>
          <w:noProof/>
        </w:rPr>
        <w:t>UNIKALUS IDENTIFIKATORIUS – ŽMONĖMS SUPRANTAMI DUOMENYS</w:t>
      </w:r>
    </w:p>
    <w:p w14:paraId="32C8D1C3" w14:textId="77777777" w:rsidR="00492E2F" w:rsidRDefault="00492E2F">
      <w:pPr>
        <w:spacing w:after="0" w:line="240" w:lineRule="auto"/>
        <w:rPr>
          <w:rFonts w:ascii="Times New Roman" w:hAnsi="Times New Roman"/>
        </w:rPr>
      </w:pPr>
    </w:p>
    <w:p w14:paraId="5D23EBE5" w14:textId="77777777" w:rsidR="00492E2F" w:rsidRDefault="003B68F9">
      <w:pPr>
        <w:spacing w:after="0" w:line="240" w:lineRule="auto"/>
        <w:rPr>
          <w:rFonts w:ascii="Times New Roman" w:hAnsi="Times New Roman"/>
        </w:rPr>
      </w:pPr>
      <w:r>
        <w:rPr>
          <w:rFonts w:ascii="Times New Roman" w:hAnsi="Times New Roman"/>
        </w:rPr>
        <w:t>PC</w:t>
      </w:r>
    </w:p>
    <w:p w14:paraId="461DAA06" w14:textId="77777777" w:rsidR="00492E2F" w:rsidRDefault="003B68F9">
      <w:pPr>
        <w:spacing w:after="0" w:line="240" w:lineRule="auto"/>
        <w:rPr>
          <w:rFonts w:ascii="Times New Roman" w:hAnsi="Times New Roman"/>
        </w:rPr>
      </w:pPr>
      <w:r>
        <w:rPr>
          <w:rFonts w:ascii="Times New Roman" w:hAnsi="Times New Roman"/>
        </w:rPr>
        <w:t>SN</w:t>
      </w:r>
    </w:p>
    <w:p w14:paraId="7B108F5A" w14:textId="77777777" w:rsidR="00492E2F" w:rsidRDefault="003B68F9">
      <w:pPr>
        <w:spacing w:after="0" w:line="240" w:lineRule="auto"/>
        <w:rPr>
          <w:rFonts w:ascii="Times New Roman" w:hAnsi="Times New Roman"/>
        </w:rPr>
      </w:pPr>
      <w:r>
        <w:rPr>
          <w:rFonts w:ascii="Times New Roman" w:hAnsi="Times New Roman"/>
          <w:highlight w:val="lightGray"/>
        </w:rPr>
        <w:t>NN</w:t>
      </w:r>
    </w:p>
    <w:p w14:paraId="45587478" w14:textId="77777777" w:rsidR="00492E2F" w:rsidRDefault="00492E2F">
      <w:pPr>
        <w:spacing w:after="0" w:line="240" w:lineRule="auto"/>
        <w:rPr>
          <w:rFonts w:ascii="Times New Roman" w:hAnsi="Times New Roman"/>
        </w:rPr>
      </w:pPr>
    </w:p>
    <w:p w14:paraId="6D78F456" w14:textId="77777777" w:rsidR="00492E2F" w:rsidRDefault="003B68F9">
      <w:pPr>
        <w:spacing w:after="0" w:line="240" w:lineRule="auto"/>
        <w:rPr>
          <w:rFonts w:ascii="Times New Roman" w:hAnsi="Times New Roman"/>
        </w:rPr>
      </w:pPr>
      <w:r>
        <w:rPr>
          <w:rFonts w:ascii="Times New Roman" w:hAnsi="Times New Roman"/>
        </w:rPr>
        <w:br w:type="page"/>
      </w:r>
    </w:p>
    <w:p w14:paraId="544271CA"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MINIMALI INFORMACIJA ANT LIZDINIŲ PLOKŠTELIŲ ARBA DVISLUOKSNIŲ JUOSTELIŲ</w:t>
      </w:r>
    </w:p>
    <w:p w14:paraId="1414379D" w14:textId="77777777" w:rsidR="00492E2F" w:rsidRDefault="00492E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66A644B8" w14:textId="388CFE3D" w:rsidR="00492E2F" w:rsidRDefault="003B68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eastAsia="Times New Roman" w:hAnsi="Times New Roman"/>
          <w:b/>
          <w:noProof/>
          <w:szCs w:val="24"/>
        </w:rPr>
        <w:t>LIZDINĖ PLOKŠTELĖ - visas</w:t>
      </w:r>
      <w:r w:rsidR="00A85290">
        <w:rPr>
          <w:rFonts w:ascii="Times New Roman" w:eastAsia="Times New Roman" w:hAnsi="Times New Roman"/>
          <w:b/>
          <w:noProof/>
          <w:szCs w:val="24"/>
        </w:rPr>
        <w:t xml:space="preserve"> </w:t>
      </w:r>
      <w:r>
        <w:rPr>
          <w:rFonts w:ascii="Times New Roman" w:eastAsia="Times New Roman" w:hAnsi="Times New Roman"/>
          <w:b/>
          <w:noProof/>
          <w:szCs w:val="24"/>
        </w:rPr>
        <w:t>/</w:t>
      </w:r>
      <w:r w:rsidR="00A76280">
        <w:rPr>
          <w:rFonts w:ascii="Times New Roman" w:eastAsia="Times New Roman" w:hAnsi="Times New Roman"/>
          <w:b/>
          <w:noProof/>
          <w:szCs w:val="24"/>
        </w:rPr>
        <w:t xml:space="preserve"> </w:t>
      </w:r>
      <w:r>
        <w:rPr>
          <w:rFonts w:ascii="Times New Roman" w:eastAsia="Times New Roman" w:hAnsi="Times New Roman"/>
          <w:b/>
          <w:i/>
          <w:iCs/>
          <w:noProof/>
          <w:szCs w:val="24"/>
          <w:highlight w:val="darkGray"/>
        </w:rPr>
        <w:t>su</w:t>
      </w:r>
      <w:r w:rsidR="00A76280">
        <w:rPr>
          <w:rFonts w:ascii="Times New Roman" w:eastAsia="Times New Roman" w:hAnsi="Times New Roman"/>
          <w:b/>
          <w:i/>
          <w:iCs/>
          <w:noProof/>
          <w:szCs w:val="24"/>
          <w:highlight w:val="darkGray"/>
        </w:rPr>
        <w:t>trumpintas</w:t>
      </w:r>
      <w:r>
        <w:rPr>
          <w:rFonts w:ascii="Times New Roman" w:eastAsia="Times New Roman" w:hAnsi="Times New Roman"/>
          <w:b/>
          <w:noProof/>
          <w:szCs w:val="24"/>
        </w:rPr>
        <w:t xml:space="preserve"> </w:t>
      </w:r>
      <w:r w:rsidR="00B551DA">
        <w:rPr>
          <w:rFonts w:ascii="Times New Roman" w:eastAsia="Times New Roman" w:hAnsi="Times New Roman"/>
          <w:b/>
          <w:noProof/>
          <w:szCs w:val="24"/>
        </w:rPr>
        <w:t xml:space="preserve">ES </w:t>
      </w:r>
      <w:r w:rsidR="00CC7955">
        <w:rPr>
          <w:rFonts w:ascii="Times New Roman" w:eastAsia="Times New Roman" w:hAnsi="Times New Roman"/>
          <w:b/>
          <w:noProof/>
          <w:szCs w:val="24"/>
        </w:rPr>
        <w:t xml:space="preserve">harmonizuotas </w:t>
      </w:r>
      <w:r>
        <w:rPr>
          <w:rFonts w:ascii="Times New Roman" w:eastAsia="Times New Roman" w:hAnsi="Times New Roman"/>
          <w:b/>
          <w:noProof/>
          <w:szCs w:val="24"/>
        </w:rPr>
        <w:t>ženklinimo tekstas</w:t>
      </w:r>
    </w:p>
    <w:p w14:paraId="13A73A03" w14:textId="77777777" w:rsidR="00492E2F" w:rsidRDefault="00492E2F">
      <w:pPr>
        <w:spacing w:after="0" w:line="240" w:lineRule="auto"/>
        <w:rPr>
          <w:rFonts w:ascii="Times New Roman" w:hAnsi="Times New Roman"/>
        </w:rPr>
      </w:pPr>
    </w:p>
    <w:p w14:paraId="11693F89" w14:textId="77777777" w:rsidR="00492E2F" w:rsidRDefault="00492E2F">
      <w:pPr>
        <w:pStyle w:val="Porat"/>
        <w:tabs>
          <w:tab w:val="clear" w:pos="4536"/>
          <w:tab w:val="clear" w:pos="8306"/>
        </w:tabs>
        <w:spacing w:line="240" w:lineRule="auto"/>
        <w:rPr>
          <w:sz w:val="22"/>
          <w:szCs w:val="22"/>
          <w:lang w:val="lt-LT" w:eastAsia="en-US"/>
        </w:rPr>
      </w:pPr>
    </w:p>
    <w:p w14:paraId="0DB73853" w14:textId="77777777" w:rsidR="00492E2F" w:rsidRDefault="003B68F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48F87B8E" w14:textId="77777777" w:rsidR="00492E2F" w:rsidRDefault="00492E2F">
      <w:pPr>
        <w:spacing w:after="0" w:line="240" w:lineRule="auto"/>
        <w:rPr>
          <w:rFonts w:ascii="Times New Roman" w:hAnsi="Times New Roman"/>
        </w:rPr>
      </w:pPr>
    </w:p>
    <w:p w14:paraId="7FA8C149" w14:textId="40C2CFB2" w:rsidR="00492E2F" w:rsidRDefault="002F33BE">
      <w:pPr>
        <w:spacing w:after="0" w:line="240" w:lineRule="auto"/>
        <w:rPr>
          <w:rFonts w:ascii="Times New Roman" w:hAnsi="Times New Roman"/>
        </w:rPr>
      </w:pPr>
      <w:r>
        <w:rPr>
          <w:rFonts w:ascii="Times New Roman" w:hAnsi="Times New Roman"/>
        </w:rPr>
        <w:t>Axigalu</w:t>
      </w:r>
      <w:r w:rsidR="001666EF">
        <w:rPr>
          <w:rFonts w:ascii="Times New Roman" w:hAnsi="Times New Roman"/>
        </w:rPr>
        <w:t xml:space="preserve"> 100 mg/10 mg</w:t>
      </w:r>
      <w:r w:rsidR="003B68F9">
        <w:rPr>
          <w:rFonts w:ascii="Times New Roman" w:hAnsi="Times New Roman"/>
        </w:rPr>
        <w:t xml:space="preserve"> </w:t>
      </w:r>
      <w:r w:rsidR="003B68F9">
        <w:rPr>
          <w:rFonts w:ascii="Times New Roman" w:hAnsi="Times New Roman"/>
          <w:i/>
          <w:iCs/>
          <w:highlight w:val="darkGray"/>
        </w:rPr>
        <w:t>plėvele dengtos</w:t>
      </w:r>
      <w:r w:rsidR="003B68F9">
        <w:rPr>
          <w:rFonts w:ascii="Times New Roman" w:hAnsi="Times New Roman"/>
        </w:rPr>
        <w:t xml:space="preserve"> tabletės</w:t>
      </w:r>
    </w:p>
    <w:p w14:paraId="080C1166" w14:textId="77777777" w:rsidR="00492E2F" w:rsidRDefault="00492E2F">
      <w:pPr>
        <w:spacing w:after="0" w:line="240" w:lineRule="auto"/>
        <w:rPr>
          <w:rFonts w:ascii="Times New Roman" w:hAnsi="Times New Roman"/>
        </w:rPr>
      </w:pPr>
    </w:p>
    <w:p w14:paraId="787FC46A" w14:textId="77777777" w:rsidR="001666EF" w:rsidRDefault="001666EF" w:rsidP="001666EF">
      <w:pPr>
        <w:tabs>
          <w:tab w:val="left" w:pos="426"/>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sitagliptinas/dapagliflozinas</w:t>
      </w:r>
    </w:p>
    <w:p w14:paraId="02EE2CC6" w14:textId="77777777" w:rsidR="00492E2F" w:rsidRDefault="00492E2F">
      <w:pPr>
        <w:spacing w:after="0" w:line="240" w:lineRule="auto"/>
        <w:rPr>
          <w:rFonts w:ascii="Times New Roman" w:hAnsi="Times New Roman"/>
        </w:rPr>
      </w:pPr>
    </w:p>
    <w:p w14:paraId="06386227" w14:textId="77777777" w:rsidR="00492E2F" w:rsidRDefault="00492E2F">
      <w:pPr>
        <w:spacing w:after="0" w:line="240" w:lineRule="auto"/>
        <w:rPr>
          <w:rFonts w:ascii="Times New Roman" w:hAnsi="Times New Roman"/>
        </w:rPr>
      </w:pPr>
    </w:p>
    <w:p w14:paraId="3C1A2AD1" w14:textId="77777777" w:rsidR="00492E2F" w:rsidRDefault="003B68F9">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bCs/>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52E96AAF" w14:textId="77777777" w:rsidR="00492E2F" w:rsidRDefault="00492E2F">
      <w:pPr>
        <w:spacing w:after="0" w:line="240" w:lineRule="auto"/>
        <w:rPr>
          <w:rFonts w:ascii="Times New Roman" w:hAnsi="Times New Roman"/>
        </w:rPr>
      </w:pPr>
    </w:p>
    <w:p w14:paraId="5FAE932A" w14:textId="77777777" w:rsidR="00492E2F" w:rsidRDefault="003B68F9">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KRKA</w:t>
      </w:r>
    </w:p>
    <w:p w14:paraId="4750990F" w14:textId="77777777" w:rsidR="00492E2F" w:rsidRDefault="00492E2F">
      <w:pPr>
        <w:spacing w:after="0" w:line="240" w:lineRule="auto"/>
        <w:rPr>
          <w:rFonts w:ascii="Times New Roman" w:hAnsi="Times New Roman"/>
        </w:rPr>
      </w:pPr>
    </w:p>
    <w:p w14:paraId="7A0CB661" w14:textId="77777777" w:rsidR="00492E2F" w:rsidRDefault="00492E2F">
      <w:pPr>
        <w:spacing w:after="0" w:line="240" w:lineRule="auto"/>
        <w:rPr>
          <w:rFonts w:ascii="Times New Roman" w:hAnsi="Times New Roman"/>
        </w:rPr>
      </w:pPr>
    </w:p>
    <w:p w14:paraId="54BD9096" w14:textId="77777777" w:rsidR="00492E2F" w:rsidRDefault="003B68F9">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0760B352" w14:textId="77777777" w:rsidR="00492E2F" w:rsidRDefault="00492E2F">
      <w:pPr>
        <w:spacing w:after="0" w:line="240" w:lineRule="auto"/>
        <w:rPr>
          <w:rFonts w:ascii="Times New Roman" w:hAnsi="Times New Roman"/>
        </w:rPr>
      </w:pPr>
    </w:p>
    <w:p w14:paraId="23CC08B0" w14:textId="77777777" w:rsidR="00492E2F" w:rsidRDefault="003B68F9">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EXP (mm/MMMM)</w:t>
      </w:r>
    </w:p>
    <w:p w14:paraId="65760EBE" w14:textId="77777777" w:rsidR="00492E2F" w:rsidRDefault="00492E2F">
      <w:pPr>
        <w:spacing w:after="0" w:line="240" w:lineRule="auto"/>
        <w:rPr>
          <w:rFonts w:ascii="Times New Roman" w:hAnsi="Times New Roman"/>
        </w:rPr>
      </w:pPr>
    </w:p>
    <w:p w14:paraId="7D2081CF" w14:textId="77777777" w:rsidR="00492E2F" w:rsidRDefault="00492E2F">
      <w:pPr>
        <w:spacing w:after="0" w:line="240" w:lineRule="auto"/>
        <w:rPr>
          <w:rFonts w:ascii="Times New Roman" w:hAnsi="Times New Roman"/>
        </w:rPr>
      </w:pPr>
    </w:p>
    <w:p w14:paraId="6320ECE4" w14:textId="77777777" w:rsidR="00492E2F" w:rsidRDefault="003B68F9">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012CC910" w14:textId="77777777" w:rsidR="00492E2F" w:rsidRDefault="00492E2F">
      <w:pPr>
        <w:spacing w:after="0" w:line="240" w:lineRule="auto"/>
        <w:rPr>
          <w:rFonts w:ascii="Times New Roman" w:hAnsi="Times New Roman"/>
        </w:rPr>
      </w:pPr>
    </w:p>
    <w:p w14:paraId="2E2A234F" w14:textId="77777777" w:rsidR="00492E2F" w:rsidRDefault="003B68F9">
      <w:pPr>
        <w:spacing w:after="0" w:line="240" w:lineRule="auto"/>
        <w:rPr>
          <w:rFonts w:ascii="Times New Roman" w:hAnsi="Times New Roman"/>
          <w:highlight w:val="lightGray"/>
        </w:rPr>
      </w:pPr>
      <w:r>
        <w:rPr>
          <w:rFonts w:ascii="Times New Roman" w:hAnsi="Times New Roman"/>
        </w:rPr>
        <w:t>Lot</w:t>
      </w:r>
    </w:p>
    <w:p w14:paraId="219965E5" w14:textId="77777777" w:rsidR="00492E2F" w:rsidRDefault="00492E2F">
      <w:pPr>
        <w:spacing w:after="0" w:line="240" w:lineRule="auto"/>
        <w:rPr>
          <w:rFonts w:ascii="Times New Roman" w:hAnsi="Times New Roman"/>
        </w:rPr>
      </w:pPr>
    </w:p>
    <w:p w14:paraId="14E6B927" w14:textId="77777777" w:rsidR="00492E2F" w:rsidRDefault="00492E2F">
      <w:pPr>
        <w:widowControl w:val="0"/>
        <w:spacing w:after="0" w:line="240" w:lineRule="auto"/>
        <w:rPr>
          <w:rFonts w:ascii="Times New Roman" w:eastAsia="Times New Roman" w:hAnsi="Times New Roman"/>
          <w:b/>
          <w:bCs/>
          <w:lang w:eastAsia="sl-SI"/>
        </w:rPr>
      </w:pPr>
    </w:p>
    <w:p w14:paraId="7259DCC7" w14:textId="77777777" w:rsidR="00492E2F" w:rsidRDefault="003B68F9">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1C6967B3" w14:textId="77777777" w:rsidR="00F57580" w:rsidRDefault="00F57580" w:rsidP="00F57580">
      <w:pPr>
        <w:tabs>
          <w:tab w:val="left" w:pos="567"/>
        </w:tabs>
        <w:snapToGrid w:val="0"/>
        <w:spacing w:after="0" w:line="260" w:lineRule="exact"/>
        <w:rPr>
          <w:rFonts w:ascii="Times New Roman" w:eastAsia="Times New Roman" w:hAnsi="Times New Roman"/>
          <w:highlight w:val="lightGray"/>
        </w:rPr>
      </w:pPr>
    </w:p>
    <w:p w14:paraId="530C66EB" w14:textId="14024008" w:rsidR="00F57580" w:rsidRDefault="00F57580" w:rsidP="00F57580">
      <w:pPr>
        <w:tabs>
          <w:tab w:val="left" w:pos="567"/>
        </w:tabs>
        <w:snapToGrid w:val="0"/>
        <w:spacing w:after="0" w:line="260" w:lineRule="exact"/>
        <w:rPr>
          <w:rFonts w:ascii="Times New Roman" w:eastAsia="Times New Roman" w:hAnsi="Times New Roman"/>
          <w:highlight w:val="lightGray"/>
        </w:rPr>
      </w:pPr>
      <w:r>
        <w:rPr>
          <w:rFonts w:ascii="Times New Roman" w:eastAsia="Times New Roman" w:hAnsi="Times New Roman"/>
          <w:highlight w:val="lightGray"/>
        </w:rPr>
        <w:t>Kalendorinė pakuotė</w:t>
      </w:r>
    </w:p>
    <w:p w14:paraId="51AF9DB5" w14:textId="12BC0B5B"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P.</w:t>
      </w:r>
    </w:p>
    <w:p w14:paraId="594210E7"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A.</w:t>
      </w:r>
    </w:p>
    <w:p w14:paraId="568F5A30"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T.</w:t>
      </w:r>
    </w:p>
    <w:p w14:paraId="5483CF55"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K.</w:t>
      </w:r>
    </w:p>
    <w:p w14:paraId="5FB5DF4C"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Pn.</w:t>
      </w:r>
    </w:p>
    <w:p w14:paraId="5F444445"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Š.</w:t>
      </w:r>
    </w:p>
    <w:p w14:paraId="58FBE6DA" w14:textId="77777777" w:rsidR="00F57580" w:rsidRPr="00F57580" w:rsidRDefault="00F57580" w:rsidP="00F57580">
      <w:pPr>
        <w:tabs>
          <w:tab w:val="left" w:pos="567"/>
        </w:tabs>
        <w:snapToGrid w:val="0"/>
        <w:spacing w:after="0" w:line="260" w:lineRule="exact"/>
        <w:rPr>
          <w:rFonts w:ascii="Times New Roman" w:eastAsia="Times New Roman" w:hAnsi="Times New Roman"/>
          <w:highlight w:val="lightGray"/>
        </w:rPr>
      </w:pPr>
      <w:r w:rsidRPr="00F57580">
        <w:rPr>
          <w:rFonts w:ascii="Times New Roman" w:eastAsia="Times New Roman" w:hAnsi="Times New Roman"/>
          <w:highlight w:val="lightGray"/>
        </w:rPr>
        <w:t>S.</w:t>
      </w:r>
    </w:p>
    <w:p w14:paraId="7C77AB0C" w14:textId="77777777" w:rsidR="00492E2F" w:rsidRDefault="00492E2F">
      <w:pPr>
        <w:widowControl w:val="0"/>
        <w:spacing w:after="0" w:line="240" w:lineRule="auto"/>
        <w:rPr>
          <w:rFonts w:ascii="Times New Roman" w:eastAsia="Times New Roman" w:hAnsi="Times New Roman"/>
          <w:b/>
          <w:bCs/>
          <w:lang w:eastAsia="sl-SI"/>
        </w:rPr>
      </w:pPr>
    </w:p>
    <w:p w14:paraId="15E9F169"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br w:type="page"/>
      </w:r>
    </w:p>
    <w:p w14:paraId="4ADEFAF9" w14:textId="77777777" w:rsidR="00492E2F" w:rsidRDefault="00492E2F">
      <w:pPr>
        <w:spacing w:after="0"/>
        <w:outlineLvl w:val="0"/>
        <w:rPr>
          <w:rFonts w:ascii="Times New Roman" w:hAnsi="Times New Roman"/>
        </w:rPr>
      </w:pPr>
    </w:p>
    <w:p w14:paraId="674EF447" w14:textId="77777777" w:rsidR="00492E2F" w:rsidRDefault="00492E2F">
      <w:pPr>
        <w:spacing w:after="0"/>
        <w:outlineLvl w:val="0"/>
        <w:rPr>
          <w:rFonts w:ascii="Times New Roman" w:hAnsi="Times New Roman"/>
        </w:rPr>
      </w:pPr>
    </w:p>
    <w:p w14:paraId="5AFE2F1E" w14:textId="77777777" w:rsidR="00492E2F" w:rsidRDefault="00492E2F">
      <w:pPr>
        <w:spacing w:after="0"/>
        <w:outlineLvl w:val="0"/>
        <w:rPr>
          <w:rFonts w:ascii="Times New Roman" w:hAnsi="Times New Roman"/>
        </w:rPr>
      </w:pPr>
    </w:p>
    <w:p w14:paraId="64627E3E" w14:textId="77777777" w:rsidR="00492E2F" w:rsidRDefault="00492E2F">
      <w:pPr>
        <w:spacing w:after="0"/>
        <w:outlineLvl w:val="0"/>
        <w:rPr>
          <w:rFonts w:ascii="Times New Roman" w:hAnsi="Times New Roman"/>
        </w:rPr>
      </w:pPr>
    </w:p>
    <w:p w14:paraId="31920364" w14:textId="77777777" w:rsidR="00492E2F" w:rsidRDefault="00492E2F">
      <w:pPr>
        <w:spacing w:after="0"/>
        <w:outlineLvl w:val="0"/>
        <w:rPr>
          <w:rFonts w:ascii="Times New Roman" w:hAnsi="Times New Roman"/>
        </w:rPr>
      </w:pPr>
    </w:p>
    <w:p w14:paraId="4998D843" w14:textId="77777777" w:rsidR="00492E2F" w:rsidRDefault="00492E2F">
      <w:pPr>
        <w:spacing w:after="0"/>
        <w:outlineLvl w:val="0"/>
        <w:rPr>
          <w:rFonts w:ascii="Times New Roman" w:hAnsi="Times New Roman"/>
        </w:rPr>
      </w:pPr>
    </w:p>
    <w:p w14:paraId="07AD6061" w14:textId="77777777" w:rsidR="00492E2F" w:rsidRDefault="00492E2F">
      <w:pPr>
        <w:spacing w:after="0"/>
        <w:outlineLvl w:val="0"/>
        <w:rPr>
          <w:rFonts w:ascii="Times New Roman" w:hAnsi="Times New Roman"/>
        </w:rPr>
      </w:pPr>
    </w:p>
    <w:p w14:paraId="21571B25" w14:textId="77777777" w:rsidR="00492E2F" w:rsidRDefault="00492E2F">
      <w:pPr>
        <w:spacing w:after="0"/>
        <w:outlineLvl w:val="0"/>
        <w:rPr>
          <w:rFonts w:ascii="Times New Roman" w:hAnsi="Times New Roman"/>
        </w:rPr>
      </w:pPr>
    </w:p>
    <w:p w14:paraId="25B90CDF" w14:textId="77777777" w:rsidR="00492E2F" w:rsidRDefault="00492E2F">
      <w:pPr>
        <w:spacing w:after="0"/>
        <w:outlineLvl w:val="0"/>
        <w:rPr>
          <w:rFonts w:ascii="Times New Roman" w:hAnsi="Times New Roman"/>
        </w:rPr>
      </w:pPr>
    </w:p>
    <w:p w14:paraId="472F83DA" w14:textId="77777777" w:rsidR="00492E2F" w:rsidRDefault="00492E2F">
      <w:pPr>
        <w:spacing w:after="0"/>
        <w:outlineLvl w:val="0"/>
        <w:rPr>
          <w:rFonts w:ascii="Times New Roman" w:hAnsi="Times New Roman"/>
        </w:rPr>
      </w:pPr>
    </w:p>
    <w:p w14:paraId="04E22EEC" w14:textId="77777777" w:rsidR="00492E2F" w:rsidRDefault="00492E2F">
      <w:pPr>
        <w:spacing w:after="0"/>
        <w:outlineLvl w:val="0"/>
        <w:rPr>
          <w:rFonts w:ascii="Times New Roman" w:hAnsi="Times New Roman"/>
        </w:rPr>
      </w:pPr>
    </w:p>
    <w:p w14:paraId="742EB659" w14:textId="77777777" w:rsidR="00492E2F" w:rsidRDefault="00492E2F">
      <w:pPr>
        <w:spacing w:after="0"/>
        <w:outlineLvl w:val="0"/>
        <w:rPr>
          <w:rFonts w:ascii="Times New Roman" w:hAnsi="Times New Roman"/>
        </w:rPr>
      </w:pPr>
    </w:p>
    <w:p w14:paraId="3F167163" w14:textId="77777777" w:rsidR="00492E2F" w:rsidRDefault="00492E2F">
      <w:pPr>
        <w:spacing w:after="0"/>
        <w:outlineLvl w:val="0"/>
        <w:rPr>
          <w:rFonts w:ascii="Times New Roman" w:hAnsi="Times New Roman"/>
        </w:rPr>
      </w:pPr>
    </w:p>
    <w:p w14:paraId="5B08C2F2" w14:textId="77777777" w:rsidR="00492E2F" w:rsidRDefault="00492E2F">
      <w:pPr>
        <w:spacing w:after="0"/>
        <w:outlineLvl w:val="0"/>
        <w:rPr>
          <w:rFonts w:ascii="Times New Roman" w:hAnsi="Times New Roman"/>
        </w:rPr>
      </w:pPr>
    </w:p>
    <w:p w14:paraId="7A2BB1E6" w14:textId="77777777" w:rsidR="00492E2F" w:rsidRDefault="00492E2F">
      <w:pPr>
        <w:spacing w:after="0"/>
        <w:outlineLvl w:val="0"/>
        <w:rPr>
          <w:rFonts w:ascii="Times New Roman" w:hAnsi="Times New Roman"/>
        </w:rPr>
      </w:pPr>
    </w:p>
    <w:p w14:paraId="7954CBA6" w14:textId="77777777" w:rsidR="00492E2F" w:rsidRDefault="00492E2F">
      <w:pPr>
        <w:spacing w:after="0"/>
        <w:outlineLvl w:val="0"/>
        <w:rPr>
          <w:rFonts w:ascii="Times New Roman" w:hAnsi="Times New Roman"/>
        </w:rPr>
      </w:pPr>
    </w:p>
    <w:p w14:paraId="45158C53" w14:textId="77777777" w:rsidR="00492E2F" w:rsidRDefault="00492E2F">
      <w:pPr>
        <w:spacing w:after="0"/>
        <w:outlineLvl w:val="0"/>
        <w:rPr>
          <w:rFonts w:ascii="Times New Roman" w:hAnsi="Times New Roman"/>
        </w:rPr>
      </w:pPr>
    </w:p>
    <w:p w14:paraId="66B53114" w14:textId="77777777" w:rsidR="00492E2F" w:rsidRDefault="00492E2F">
      <w:pPr>
        <w:spacing w:after="0"/>
        <w:outlineLvl w:val="0"/>
        <w:rPr>
          <w:rFonts w:ascii="Times New Roman" w:hAnsi="Times New Roman"/>
        </w:rPr>
      </w:pPr>
    </w:p>
    <w:p w14:paraId="5028BFCE" w14:textId="77777777" w:rsidR="00492E2F" w:rsidRDefault="00492E2F">
      <w:pPr>
        <w:spacing w:after="0"/>
        <w:outlineLvl w:val="0"/>
        <w:rPr>
          <w:rFonts w:ascii="Times New Roman" w:hAnsi="Times New Roman"/>
        </w:rPr>
      </w:pPr>
    </w:p>
    <w:p w14:paraId="46531F1F" w14:textId="77777777" w:rsidR="00492E2F" w:rsidRDefault="00492E2F">
      <w:pPr>
        <w:spacing w:after="0"/>
        <w:outlineLvl w:val="0"/>
        <w:rPr>
          <w:rFonts w:ascii="Times New Roman" w:hAnsi="Times New Roman"/>
        </w:rPr>
      </w:pPr>
    </w:p>
    <w:p w14:paraId="7DDDC791" w14:textId="77777777" w:rsidR="00492E2F" w:rsidRDefault="00492E2F">
      <w:pPr>
        <w:spacing w:after="0"/>
        <w:jc w:val="center"/>
        <w:outlineLvl w:val="0"/>
        <w:rPr>
          <w:rFonts w:ascii="Times New Roman" w:hAnsi="Times New Roman"/>
          <w:b/>
        </w:rPr>
      </w:pPr>
    </w:p>
    <w:p w14:paraId="403E07AD" w14:textId="77777777" w:rsidR="00492E2F" w:rsidRDefault="00492E2F">
      <w:pPr>
        <w:spacing w:after="0"/>
        <w:jc w:val="center"/>
        <w:outlineLvl w:val="0"/>
        <w:rPr>
          <w:rFonts w:ascii="Times New Roman" w:hAnsi="Times New Roman"/>
          <w:b/>
        </w:rPr>
      </w:pPr>
    </w:p>
    <w:p w14:paraId="26B95762" w14:textId="77777777" w:rsidR="00492E2F" w:rsidRDefault="00492E2F">
      <w:pPr>
        <w:spacing w:after="0"/>
        <w:jc w:val="center"/>
        <w:outlineLvl w:val="0"/>
        <w:rPr>
          <w:rFonts w:ascii="Times New Roman" w:hAnsi="Times New Roman"/>
          <w:b/>
        </w:rPr>
      </w:pPr>
    </w:p>
    <w:p w14:paraId="2F5A14C8" w14:textId="77777777" w:rsidR="00492E2F" w:rsidRDefault="003B68F9">
      <w:pPr>
        <w:spacing w:after="0"/>
        <w:jc w:val="center"/>
        <w:outlineLvl w:val="0"/>
        <w:rPr>
          <w:rFonts w:ascii="Times New Roman" w:hAnsi="Times New Roman"/>
          <w:b/>
        </w:rPr>
      </w:pPr>
      <w:r>
        <w:rPr>
          <w:rFonts w:ascii="Times New Roman" w:hAnsi="Times New Roman"/>
          <w:b/>
        </w:rPr>
        <w:t>B. PAKUOTĖS LAPELIS</w:t>
      </w:r>
    </w:p>
    <w:p w14:paraId="2DDC0FC1" w14:textId="355F2C87" w:rsidR="00492E2F" w:rsidRDefault="003B68F9">
      <w:pPr>
        <w:widowControl w:val="0"/>
        <w:jc w:val="center"/>
        <w:outlineLvl w:val="0"/>
        <w:rPr>
          <w:rFonts w:ascii="Times New Roman" w:eastAsia="Times New Roman" w:hAnsi="Times New Roman"/>
          <w:b/>
          <w:lang w:eastAsia="sl-SI"/>
        </w:rPr>
      </w:pPr>
      <w:r>
        <w:rPr>
          <w:rFonts w:ascii="Times New Roman" w:hAnsi="Times New Roman"/>
        </w:rPr>
        <w:br w:type="page"/>
      </w:r>
      <w:r>
        <w:rPr>
          <w:rFonts w:ascii="Times New Roman" w:eastAsia="Times New Roman" w:hAnsi="Times New Roman"/>
          <w:b/>
          <w:bCs/>
          <w:lang w:eastAsia="sl-SI"/>
        </w:rPr>
        <w:t xml:space="preserve">Pakuotės lapelis: informacija </w:t>
      </w:r>
      <w:r w:rsidR="00CD7B91">
        <w:rPr>
          <w:rFonts w:ascii="Times New Roman" w:eastAsia="Times New Roman" w:hAnsi="Times New Roman"/>
          <w:b/>
          <w:bCs/>
          <w:lang w:eastAsia="sl-SI"/>
        </w:rPr>
        <w:t>pacientui</w:t>
      </w:r>
    </w:p>
    <w:p w14:paraId="6E552372" w14:textId="77777777" w:rsidR="00492E2F" w:rsidRDefault="00492E2F">
      <w:pPr>
        <w:widowControl w:val="0"/>
        <w:spacing w:after="0" w:line="240" w:lineRule="auto"/>
        <w:jc w:val="center"/>
        <w:outlineLvl w:val="0"/>
        <w:rPr>
          <w:rFonts w:ascii="Times New Roman" w:eastAsia="Times New Roman" w:hAnsi="Times New Roman"/>
          <w:b/>
          <w:lang w:eastAsia="sl-SI"/>
        </w:rPr>
      </w:pPr>
    </w:p>
    <w:p w14:paraId="533DBF6E" w14:textId="71640FD6" w:rsidR="00492E2F" w:rsidRDefault="002F33BE">
      <w:pPr>
        <w:spacing w:after="0" w:line="240" w:lineRule="auto"/>
        <w:jc w:val="center"/>
        <w:rPr>
          <w:rFonts w:ascii="Times New Roman" w:eastAsia="Times New Roman" w:hAnsi="Times New Roman"/>
          <w:b/>
          <w:lang w:eastAsia="lt-LT"/>
        </w:rPr>
      </w:pPr>
      <w:r>
        <w:rPr>
          <w:rFonts w:ascii="Times New Roman" w:eastAsia="Times New Roman" w:hAnsi="Times New Roman"/>
          <w:b/>
          <w:bCs/>
          <w:lang w:eastAsia="sl-SI"/>
        </w:rPr>
        <w:t>Axigalu</w:t>
      </w:r>
      <w:r w:rsidR="003B68F9">
        <w:rPr>
          <w:rFonts w:ascii="Times New Roman" w:eastAsia="Times New Roman" w:hAnsi="Times New Roman"/>
          <w:b/>
          <w:bCs/>
          <w:lang w:eastAsia="sl-SI"/>
        </w:rPr>
        <w:t xml:space="preserve"> </w:t>
      </w:r>
      <w:r w:rsidR="0091396C">
        <w:rPr>
          <w:rFonts w:ascii="Times New Roman" w:eastAsia="Times New Roman" w:hAnsi="Times New Roman"/>
          <w:b/>
          <w:bCs/>
          <w:lang w:eastAsia="sl-SI"/>
        </w:rPr>
        <w:t>100</w:t>
      </w:r>
      <w:r w:rsidR="003B68F9">
        <w:rPr>
          <w:rFonts w:ascii="Times New Roman" w:eastAsia="Times New Roman" w:hAnsi="Times New Roman"/>
          <w:b/>
          <w:bCs/>
          <w:lang w:eastAsia="sl-SI"/>
        </w:rPr>
        <w:t> mg/</w:t>
      </w:r>
      <w:r w:rsidR="0091396C">
        <w:rPr>
          <w:rFonts w:ascii="Times New Roman" w:eastAsia="Times New Roman" w:hAnsi="Times New Roman"/>
          <w:b/>
          <w:bCs/>
          <w:lang w:eastAsia="sl-SI"/>
        </w:rPr>
        <w:t>10</w:t>
      </w:r>
      <w:r w:rsidR="003B68F9">
        <w:rPr>
          <w:rFonts w:ascii="Times New Roman" w:eastAsia="Times New Roman" w:hAnsi="Times New Roman"/>
          <w:b/>
          <w:bCs/>
          <w:lang w:eastAsia="sl-SI"/>
        </w:rPr>
        <w:t xml:space="preserve"> mg </w:t>
      </w:r>
      <w:r w:rsidR="003B68F9">
        <w:rPr>
          <w:rFonts w:ascii="Times New Roman" w:eastAsia="Times New Roman" w:hAnsi="Times New Roman"/>
          <w:b/>
          <w:lang w:eastAsia="lt-LT"/>
        </w:rPr>
        <w:t>plėvele dengtos tabletės</w:t>
      </w:r>
    </w:p>
    <w:p w14:paraId="02E5B1E9" w14:textId="513E6790" w:rsidR="00492E2F" w:rsidRDefault="0091396C">
      <w:pPr>
        <w:widowControl w:val="0"/>
        <w:spacing w:after="0" w:line="240" w:lineRule="auto"/>
        <w:jc w:val="center"/>
        <w:rPr>
          <w:rFonts w:ascii="Times New Roman" w:eastAsia="Times New Roman" w:hAnsi="Times New Roman"/>
          <w:lang w:eastAsia="sl-SI"/>
        </w:rPr>
      </w:pPr>
      <w:r>
        <w:rPr>
          <w:rFonts w:ascii="Times New Roman" w:eastAsia="Times New Roman" w:hAnsi="Times New Roman"/>
          <w:lang w:eastAsia="lt-LT"/>
        </w:rPr>
        <w:t>sitagliptinas</w:t>
      </w:r>
      <w:r w:rsidR="003B68F9">
        <w:rPr>
          <w:rFonts w:ascii="Times New Roman" w:eastAsia="Times New Roman" w:hAnsi="Times New Roman"/>
          <w:lang w:eastAsia="lt-LT"/>
        </w:rPr>
        <w:t>/d</w:t>
      </w:r>
      <w:r>
        <w:rPr>
          <w:rFonts w:ascii="Times New Roman" w:eastAsia="Times New Roman" w:hAnsi="Times New Roman"/>
          <w:lang w:eastAsia="lt-LT"/>
        </w:rPr>
        <w:t>apagliflozinas</w:t>
      </w:r>
    </w:p>
    <w:p w14:paraId="40E6EE0B" w14:textId="77777777" w:rsidR="00492E2F" w:rsidRDefault="00492E2F">
      <w:pPr>
        <w:widowControl w:val="0"/>
        <w:spacing w:after="0" w:line="240" w:lineRule="auto"/>
        <w:jc w:val="center"/>
        <w:rPr>
          <w:rFonts w:ascii="Times New Roman" w:eastAsia="Times New Roman" w:hAnsi="Times New Roman"/>
          <w:lang w:eastAsia="sl-SI"/>
        </w:rPr>
      </w:pPr>
    </w:p>
    <w:p w14:paraId="7646F0E4" w14:textId="77777777" w:rsidR="00492E2F" w:rsidRDefault="003B68F9">
      <w:pPr>
        <w:spacing w:after="0" w:line="240" w:lineRule="auto"/>
        <w:rPr>
          <w:rFonts w:ascii="Times New Roman" w:eastAsia="Cambria" w:hAnsi="Times New Roman"/>
          <w:b/>
        </w:rPr>
      </w:pPr>
      <w:r>
        <w:rPr>
          <w:rFonts w:ascii="Times New Roman" w:eastAsia="Cambria" w:hAnsi="Times New Roman"/>
          <w:b/>
        </w:rPr>
        <w:t>Atidžiai perskaitykite visą šį lapelį, prieš pradėdami vartoti vaistą, nes jame pateikiama Jums svarbi informacija.</w:t>
      </w:r>
    </w:p>
    <w:p w14:paraId="1A9443F5"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Neišmeskite šio lapelio, nes vėl gali prireikti jį perskaityti.</w:t>
      </w:r>
    </w:p>
    <w:p w14:paraId="44FFBB7C" w14:textId="1F3C04AC"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kiltų daugiau klausimų, kreipkitės į gydytoją</w:t>
      </w:r>
      <w:r w:rsidR="0091180D">
        <w:rPr>
          <w:rFonts w:ascii="Times New Roman" w:eastAsia="Times New Roman" w:hAnsi="Times New Roman"/>
          <w:lang w:eastAsia="lt-LT"/>
        </w:rPr>
        <w:t>,</w:t>
      </w:r>
      <w:r>
        <w:rPr>
          <w:rFonts w:ascii="Times New Roman" w:eastAsia="Times New Roman" w:hAnsi="Times New Roman"/>
          <w:lang w:eastAsia="lt-LT"/>
        </w:rPr>
        <w:t xml:space="preserve"> vaistininką</w:t>
      </w:r>
      <w:r w:rsidR="0091180D">
        <w:rPr>
          <w:rFonts w:ascii="Times New Roman" w:eastAsia="Times New Roman" w:hAnsi="Times New Roman"/>
          <w:lang w:eastAsia="lt-LT"/>
        </w:rPr>
        <w:t xml:space="preserve"> arba slaugytoją</w:t>
      </w:r>
      <w:r>
        <w:rPr>
          <w:rFonts w:ascii="Times New Roman" w:eastAsia="Times New Roman" w:hAnsi="Times New Roman"/>
          <w:lang w:eastAsia="lt-LT"/>
        </w:rPr>
        <w:t>.</w:t>
      </w:r>
    </w:p>
    <w:p w14:paraId="21C867B4"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203F2E32" w14:textId="6096C3B2"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pasireiškė šalutinis poveikis (net jeigu jis šiame lapelyje nenurodytas), kreipkitės į gydytoją arba vaistininką. Žr. 4 skyrių.</w:t>
      </w:r>
    </w:p>
    <w:p w14:paraId="32DC0AC8" w14:textId="77777777" w:rsidR="00492E2F" w:rsidRDefault="00492E2F">
      <w:pPr>
        <w:spacing w:after="0" w:line="240" w:lineRule="auto"/>
        <w:rPr>
          <w:rFonts w:ascii="Times New Roman" w:eastAsia="Times New Roman" w:hAnsi="Times New Roman"/>
          <w:lang w:eastAsia="lt-LT"/>
        </w:rPr>
      </w:pPr>
    </w:p>
    <w:p w14:paraId="3E967399" w14:textId="77777777" w:rsidR="00492E2F" w:rsidRDefault="00492E2F">
      <w:pPr>
        <w:spacing w:after="0" w:line="240" w:lineRule="auto"/>
        <w:rPr>
          <w:rFonts w:ascii="Times New Roman" w:eastAsia="Times New Roman" w:hAnsi="Times New Roman"/>
          <w:lang w:eastAsia="lt-LT"/>
        </w:rPr>
      </w:pPr>
    </w:p>
    <w:p w14:paraId="2CDD7F5D" w14:textId="77777777" w:rsidR="00492E2F" w:rsidRDefault="003B68F9">
      <w:pPr>
        <w:spacing w:after="0" w:line="240" w:lineRule="auto"/>
        <w:rPr>
          <w:rFonts w:ascii="Times New Roman" w:eastAsia="Times New Roman" w:hAnsi="Times New Roman"/>
          <w:b/>
          <w:lang w:eastAsia="lt-LT"/>
        </w:rPr>
      </w:pPr>
      <w:r>
        <w:rPr>
          <w:rFonts w:ascii="Times New Roman" w:eastAsia="Times New Roman" w:hAnsi="Times New Roman"/>
          <w:b/>
          <w:lang w:eastAsia="lt-LT"/>
        </w:rPr>
        <w:t>Apie ką rašoma šiame lapelyje?</w:t>
      </w:r>
    </w:p>
    <w:p w14:paraId="486BD0E7" w14:textId="41E17349"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 xml:space="preserve">Kas yra </w:t>
      </w:r>
      <w:r w:rsidR="002F33BE">
        <w:rPr>
          <w:rFonts w:ascii="Times New Roman" w:eastAsia="Times New Roman" w:hAnsi="Times New Roman"/>
          <w:lang w:eastAsia="lt-LT"/>
        </w:rPr>
        <w:t>Axigalu</w:t>
      </w:r>
      <w:r>
        <w:rPr>
          <w:rFonts w:ascii="Times New Roman" w:eastAsia="Times New Roman" w:hAnsi="Times New Roman"/>
          <w:lang w:eastAsia="lt-LT"/>
        </w:rPr>
        <w:t xml:space="preserve"> ir kam jis vartojamas</w:t>
      </w:r>
    </w:p>
    <w:p w14:paraId="6B39F7A5" w14:textId="73E7651E"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 xml:space="preserve">Kas žinotina prieš vartojant </w:t>
      </w:r>
      <w:r w:rsidR="002F33BE">
        <w:rPr>
          <w:rFonts w:ascii="Times New Roman" w:eastAsia="Times New Roman" w:hAnsi="Times New Roman"/>
          <w:lang w:eastAsia="lt-LT"/>
        </w:rPr>
        <w:t>Axigalu</w:t>
      </w:r>
    </w:p>
    <w:p w14:paraId="29DE6AF5" w14:textId="37BF329A"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 xml:space="preserve">Kaip vartoti </w:t>
      </w:r>
      <w:r w:rsidR="002F33BE">
        <w:rPr>
          <w:rFonts w:ascii="Times New Roman" w:eastAsia="Times New Roman" w:hAnsi="Times New Roman"/>
          <w:lang w:eastAsia="lt-LT"/>
        </w:rPr>
        <w:t>Axigalu</w:t>
      </w:r>
    </w:p>
    <w:p w14:paraId="54B9EFC7"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14:paraId="7C3076A9" w14:textId="0485CD31"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 xml:space="preserve">Kaip laikyti </w:t>
      </w:r>
      <w:r w:rsidR="002F33BE">
        <w:rPr>
          <w:rFonts w:ascii="Times New Roman" w:eastAsia="Times New Roman" w:hAnsi="Times New Roman"/>
          <w:lang w:eastAsia="lt-LT"/>
        </w:rPr>
        <w:t>Axigalu</w:t>
      </w:r>
    </w:p>
    <w:p w14:paraId="6A453BA3"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14:paraId="7D0DBAFF" w14:textId="30907874" w:rsidR="00492E2F" w:rsidRDefault="00492E2F">
      <w:pPr>
        <w:widowControl w:val="0"/>
        <w:numPr>
          <w:ilvl w:val="12"/>
          <w:numId w:val="0"/>
        </w:numPr>
        <w:spacing w:after="0" w:line="240" w:lineRule="auto"/>
        <w:rPr>
          <w:rFonts w:ascii="Times New Roman" w:eastAsia="Times New Roman" w:hAnsi="Times New Roman"/>
          <w:lang w:eastAsia="sl-SI"/>
        </w:rPr>
      </w:pPr>
    </w:p>
    <w:p w14:paraId="3169C4EC" w14:textId="77777777" w:rsidR="00CE62CD" w:rsidRDefault="00CE62CD">
      <w:pPr>
        <w:widowControl w:val="0"/>
        <w:numPr>
          <w:ilvl w:val="12"/>
          <w:numId w:val="0"/>
        </w:numPr>
        <w:spacing w:after="0" w:line="240" w:lineRule="auto"/>
        <w:rPr>
          <w:rFonts w:ascii="Times New Roman" w:eastAsia="Times New Roman" w:hAnsi="Times New Roman"/>
          <w:lang w:eastAsia="sl-SI"/>
        </w:rPr>
      </w:pPr>
      <w:bookmarkStart w:id="11" w:name="_GoBack"/>
      <w:bookmarkEnd w:id="11"/>
    </w:p>
    <w:p w14:paraId="784B2A0C" w14:textId="32519603"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1.</w:t>
      </w:r>
      <w:r w:rsidRPr="0090144E">
        <w:rPr>
          <w:rFonts w:ascii="Times New Roman" w:eastAsia="Times New Roman" w:hAnsi="Times New Roman"/>
          <w:b/>
        </w:rPr>
        <w:tab/>
        <w:t xml:space="preserve">Kas yra </w:t>
      </w:r>
      <w:r w:rsidR="002F33BE">
        <w:rPr>
          <w:rFonts w:ascii="Times New Roman" w:eastAsia="Times New Roman" w:hAnsi="Times New Roman"/>
          <w:b/>
          <w:bCs/>
        </w:rPr>
        <w:t>Axigalu</w:t>
      </w:r>
      <w:r w:rsidRPr="0090144E">
        <w:rPr>
          <w:rFonts w:ascii="Times New Roman" w:eastAsia="Times New Roman" w:hAnsi="Times New Roman"/>
          <w:b/>
          <w:bCs/>
        </w:rPr>
        <w:t xml:space="preserve"> </w:t>
      </w:r>
      <w:r w:rsidRPr="0090144E">
        <w:rPr>
          <w:rFonts w:ascii="Times New Roman" w:eastAsia="Times New Roman" w:hAnsi="Times New Roman"/>
          <w:b/>
        </w:rPr>
        <w:t>ir kam jis vartojamas</w:t>
      </w:r>
    </w:p>
    <w:p w14:paraId="7698FBFA"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66079C21" w14:textId="0CB2E552"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sudėtyje yra veikliųjų medžiagų dapagliflozino ir sitagliptino. Kiekviena jų priklauso vaistų, vadinamų „geriamaisiais antidiabetiniais vaistais“, grupei.</w:t>
      </w:r>
    </w:p>
    <w:p w14:paraId="4CFD96FF"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7969BE4"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Dapagliflozinas priklauso vaistų, vadinamų „natrio gliukozės veinakrypčio nešiklio-2 (SGLT2) inhibitoriais“, grupei. Jie veikia blokuodami SGLT2 baltymą inkstuose. Blokuojant šį baltymą, cukrus (gliukozė), druska (natris) ir vanduo iš Jūsų organizmo pašalinami su šlapimu.</w:t>
      </w:r>
    </w:p>
    <w:p w14:paraId="27E738D8"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6C7C8717"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Sitagliptinas priklauso vaistų, vadinamų DPP-4 inhibitoriais (dipeptidilo peptidazės-4 inhibitoriais), grupei, tokie vaistai mažina cukraus kiekį kraujyje suaugusiems pacientams, sergantiems 2 tipo cukriniu diabetu.</w:t>
      </w:r>
    </w:p>
    <w:p w14:paraId="00576848"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4484D6D"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2 tipo cukrinis diabetas yra būklė, kai kasa negamina pakankamai insulino arba organizmas nesugeba tinkamai panaudoti gaminamo insulino. Dėl to kraujyje susidaro didelis cukraus kiekis, galintis sukelti rimtų sveikatos problemų.</w:t>
      </w:r>
    </w:p>
    <w:p w14:paraId="54CF1C13" w14:textId="125914AF"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sudėtyje esančios dvi veikliosios medžiagos veikia skirtingais būdais, padėdamos kontroliuoti cukraus kiekį kraujyje ir pašalinti cukraus perteklių iš organizmo su šlapimu.</w:t>
      </w:r>
    </w:p>
    <w:p w14:paraId="2874E616"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27ABA406" w14:textId="1CDE9063"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vartojamas suaugusiųjų 2 tipo cukriniam diabetui gydyti, </w:t>
      </w:r>
      <w:r w:rsidR="00BE39CC">
        <w:rPr>
          <w:rFonts w:ascii="Times New Roman" w:eastAsia="Times New Roman" w:hAnsi="Times New Roman"/>
        </w:rPr>
        <w:t xml:space="preserve">kaip dietos ir fizinio krūvio priedas, </w:t>
      </w:r>
      <w:r w:rsidR="0090144E" w:rsidRPr="0090144E">
        <w:rPr>
          <w:rFonts w:ascii="Times New Roman" w:eastAsia="Times New Roman" w:hAnsi="Times New Roman"/>
        </w:rPr>
        <w:t>kai jau esate gydomi atskiromis dapagliflozino ir sitagliptino tabletėmis. Gydytojas gali paprašyti Jūsų gydymą pakeisti į šį vaistą.</w:t>
      </w:r>
    </w:p>
    <w:p w14:paraId="7EC03F56"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04AB92F" w14:textId="77777777" w:rsidR="0090144E" w:rsidRPr="0090144E" w:rsidRDefault="0090144E" w:rsidP="0090144E">
      <w:pPr>
        <w:widowControl w:val="0"/>
        <w:tabs>
          <w:tab w:val="left" w:pos="0"/>
        </w:tabs>
        <w:spacing w:after="0" w:line="260" w:lineRule="exact"/>
        <w:rPr>
          <w:rFonts w:ascii="Times New Roman" w:eastAsia="Times New Roman" w:hAnsi="Times New Roman"/>
          <w:snapToGrid w:val="0"/>
        </w:rPr>
      </w:pPr>
      <w:r w:rsidRPr="0090144E">
        <w:rPr>
          <w:rFonts w:ascii="Times New Roman" w:eastAsia="Times New Roman" w:hAnsi="Times New Roman"/>
        </w:rPr>
        <w:t>Svarbu ir toliau laikytis gydytojo, vaistininko ar slaugytojo Jums duotų patarimų dėl dietos ir fizinio aktyvumo.</w:t>
      </w:r>
    </w:p>
    <w:p w14:paraId="3DAF0C20"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7F710F79" w14:textId="77777777" w:rsidR="0090144E" w:rsidRPr="0090144E" w:rsidRDefault="0090144E" w:rsidP="0090144E">
      <w:pPr>
        <w:widowControl w:val="0"/>
        <w:numPr>
          <w:ilvl w:val="12"/>
          <w:numId w:val="0"/>
        </w:numPr>
        <w:spacing w:after="0" w:line="240" w:lineRule="auto"/>
        <w:rPr>
          <w:rFonts w:ascii="Times New Roman" w:eastAsia="Times New Roman" w:hAnsi="Times New Roman"/>
        </w:rPr>
      </w:pPr>
    </w:p>
    <w:p w14:paraId="2F6B8BB8" w14:textId="547CDC22"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2.</w:t>
      </w:r>
      <w:r w:rsidRPr="0090144E">
        <w:rPr>
          <w:rFonts w:ascii="Times New Roman" w:eastAsia="Times New Roman" w:hAnsi="Times New Roman"/>
          <w:b/>
        </w:rPr>
        <w:tab/>
        <w:t xml:space="preserve">Kas žinotina prieš vartojant </w:t>
      </w:r>
      <w:r w:rsidR="002F33BE">
        <w:rPr>
          <w:rFonts w:ascii="Times New Roman" w:eastAsia="Times New Roman" w:hAnsi="Times New Roman"/>
          <w:b/>
          <w:bCs/>
        </w:rPr>
        <w:t>Axigalu</w:t>
      </w:r>
    </w:p>
    <w:p w14:paraId="4BDBE7F0"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4E5DB0B6" w14:textId="46C563C3" w:rsidR="0090144E" w:rsidRPr="0090144E" w:rsidRDefault="002F33BE" w:rsidP="0090144E">
      <w:pPr>
        <w:widowControl w:val="0"/>
        <w:spacing w:after="0" w:line="240" w:lineRule="auto"/>
        <w:ind w:left="567" w:hanging="567"/>
        <w:rPr>
          <w:rFonts w:ascii="Times New Roman" w:eastAsia="Times New Roman" w:hAnsi="Times New Roman"/>
          <w:b/>
          <w:bCs/>
          <w:caps/>
        </w:rPr>
      </w:pPr>
      <w:r>
        <w:rPr>
          <w:rFonts w:ascii="Times New Roman" w:eastAsia="Times New Roman" w:hAnsi="Times New Roman"/>
          <w:b/>
          <w:bCs/>
        </w:rPr>
        <w:t>Axigalu</w:t>
      </w:r>
      <w:r w:rsidR="0090144E" w:rsidRPr="0090144E">
        <w:rPr>
          <w:rFonts w:ascii="Times New Roman" w:eastAsia="Times New Roman" w:hAnsi="Times New Roman"/>
          <w:b/>
          <w:bCs/>
        </w:rPr>
        <w:t xml:space="preserve"> vartoti draudžiama:</w:t>
      </w:r>
    </w:p>
    <w:p w14:paraId="7B511DBD" w14:textId="77777777" w:rsidR="0090144E" w:rsidRPr="0090144E" w:rsidRDefault="0090144E" w:rsidP="0090144E">
      <w:pPr>
        <w:widowControl w:val="0"/>
        <w:numPr>
          <w:ilvl w:val="0"/>
          <w:numId w:val="31"/>
        </w:numPr>
        <w:tabs>
          <w:tab w:val="left" w:pos="567"/>
        </w:tabs>
        <w:autoSpaceDE w:val="0"/>
        <w:autoSpaceDN w:val="0"/>
        <w:adjustRightInd w:val="0"/>
        <w:spacing w:after="0" w:line="240" w:lineRule="auto"/>
        <w:ind w:left="567" w:hanging="567"/>
        <w:rPr>
          <w:rFonts w:ascii="Times New Roman" w:eastAsia="Times New Roman" w:hAnsi="Times New Roman"/>
        </w:rPr>
      </w:pPr>
      <w:r w:rsidRPr="0090144E">
        <w:rPr>
          <w:rFonts w:ascii="Times New Roman" w:eastAsia="Times New Roman" w:hAnsi="Times New Roman"/>
          <w:lang w:eastAsia="sl-SI"/>
        </w:rPr>
        <w:t>jeigu yra alergija dapagliflozinui, sitagliptinui arba bet kuriai pagalbinei šio vaisto medžiagai (jos išvardytos 6 skyriuje) arba buvo pasireiškusi sunki padidėjusio jautrumo reakcija į bet kokį DPP-4 inhibitorių klasės vaistą.</w:t>
      </w:r>
    </w:p>
    <w:p w14:paraId="71EEE3E1"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74A91144" w14:textId="77777777" w:rsidR="0090144E" w:rsidRPr="0090144E" w:rsidRDefault="0090144E" w:rsidP="0090144E">
      <w:pPr>
        <w:widowControl w:val="0"/>
        <w:spacing w:after="0" w:line="240" w:lineRule="auto"/>
        <w:ind w:left="567" w:hanging="567"/>
        <w:rPr>
          <w:rFonts w:ascii="Times New Roman" w:eastAsia="Times New Roman" w:hAnsi="Times New Roman"/>
          <w:b/>
        </w:rPr>
      </w:pPr>
      <w:r w:rsidRPr="0090144E">
        <w:rPr>
          <w:rFonts w:ascii="Times New Roman" w:eastAsia="Times New Roman" w:hAnsi="Times New Roman"/>
          <w:b/>
        </w:rPr>
        <w:t>Įspėjimai ir atsargumo priemonės</w:t>
      </w:r>
    </w:p>
    <w:p w14:paraId="15085883" w14:textId="77777777" w:rsidR="0090144E" w:rsidRPr="0090144E" w:rsidRDefault="0090144E" w:rsidP="0090144E">
      <w:pPr>
        <w:widowControl w:val="0"/>
        <w:spacing w:after="0" w:line="240" w:lineRule="auto"/>
        <w:rPr>
          <w:rFonts w:ascii="Times New Roman" w:eastAsia="Times New Roman" w:hAnsi="Times New Roman"/>
          <w:lang w:eastAsia="sl-SI"/>
        </w:rPr>
      </w:pPr>
    </w:p>
    <w:p w14:paraId="7C386856" w14:textId="5E55BF1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 xml:space="preserve">Pasitarkite su gydytoju, vaistininku arba slaugytoju, prieš pradėdami vartoti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ir gydymo metu:</w:t>
      </w:r>
    </w:p>
    <w:p w14:paraId="1B07A7C7" w14:textId="77777777"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cukriniu diabetu ir yra inkstų sutrikimų - gydytojas gali nurodyti vartoti papildomą arba kitokį vaistą cukraus kiekiui kraujyje kontroliuoti;</w:t>
      </w:r>
    </w:p>
    <w:p w14:paraId="0FBC2C93" w14:textId="77777777"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arba sirgote kasos liga, vadinama pankreatitu. Galimi pankreatito požymiai yra išvardyti 4 skyriuje;</w:t>
      </w:r>
    </w:p>
    <w:p w14:paraId="4106CE7B" w14:textId="3F18FABF"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vartojate vaistus kraujospūdžiui mažinti (antihipertenzinius vaistus) ir Jums yra buvęs žemas kraujospūdis (hipotenzija). Daugiau informacijos žr. toliau esančiame skyriuje „Kiti vaistai ir </w:t>
      </w:r>
      <w:r w:rsidR="002F33BE">
        <w:rPr>
          <w:rFonts w:ascii="Times New Roman" w:eastAsia="Times New Roman" w:hAnsi="Times New Roman"/>
        </w:rPr>
        <w:t>Axigalu</w:t>
      </w:r>
      <w:r w:rsidRPr="0090144E">
        <w:rPr>
          <w:rFonts w:ascii="Times New Roman" w:eastAsia="Times New Roman" w:hAnsi="Times New Roman"/>
        </w:rPr>
        <w:t>“;</w:t>
      </w:r>
    </w:p>
    <w:p w14:paraId="3D2C1EAC" w14:textId="207ED670"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kraujyje yra labai didelis cukraus kiekis, galintis sukelti dehidrataciją (per didelio kūno skysčių kiekio netekimą). Galimi dehidratacijos požymiai yra išvardyti 4 skyriaus pradžioje. Prieš pradėdami vartoti </w:t>
      </w:r>
      <w:r w:rsidR="002F33BE">
        <w:rPr>
          <w:rFonts w:ascii="Times New Roman" w:eastAsia="Times New Roman" w:hAnsi="Times New Roman"/>
        </w:rPr>
        <w:t>Axigalu</w:t>
      </w:r>
      <w:r w:rsidRPr="0090144E">
        <w:rPr>
          <w:rFonts w:ascii="Times New Roman" w:eastAsia="Times New Roman" w:hAnsi="Times New Roman"/>
        </w:rPr>
        <w:t>, pasakykite gydytojui, jei Jums pasireiškė bet kuris iš tokių požymių;</w:t>
      </w:r>
    </w:p>
    <w:p w14:paraId="60A18C17" w14:textId="27C7E34B"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Jus pykina (jaučiate šleikštulį), vemiate ar karščiuojate arba jeigu negalite valgyti ar gerti. Šios būklės gali sukelti dehidrataciją. Gydytojas gali paprašyti Jūsų nutraukti </w:t>
      </w:r>
      <w:r w:rsidR="002F33BE">
        <w:rPr>
          <w:rFonts w:ascii="Times New Roman" w:eastAsia="Times New Roman" w:hAnsi="Times New Roman"/>
        </w:rPr>
        <w:t>Axigalu</w:t>
      </w:r>
      <w:r w:rsidRPr="0090144E">
        <w:rPr>
          <w:rFonts w:ascii="Times New Roman" w:eastAsia="Times New Roman" w:hAnsi="Times New Roman"/>
        </w:rPr>
        <w:t xml:space="preserve"> vartojimą, kol pasveiksite, kad išvengtumėte dehidratacijos;</w:t>
      </w:r>
    </w:p>
    <w:p w14:paraId="308845DE" w14:textId="33574A79"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Jums yra vidutinio sunkumo arba sunkus kepenų </w:t>
      </w:r>
      <w:r w:rsidR="000D5DD3">
        <w:rPr>
          <w:rFonts w:ascii="Times New Roman" w:eastAsia="Times New Roman" w:hAnsi="Times New Roman"/>
        </w:rPr>
        <w:t xml:space="preserve">funkcijos </w:t>
      </w:r>
      <w:r w:rsidRPr="0090144E">
        <w:rPr>
          <w:rFonts w:ascii="Times New Roman" w:eastAsia="Times New Roman" w:hAnsi="Times New Roman"/>
        </w:rPr>
        <w:t xml:space="preserve">sutrikimas; </w:t>
      </w:r>
    </w:p>
    <w:p w14:paraId="76ED249F"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greitai mažėja kūno svoris, Jus pykina arba vemiate, skauda pilvą, jaučiate pernelyg didelį troškulį, greitai ir giliai kvėpuojate, jaučiate minčių susipainiojimą, neįprastą mieguistumą arba nuovargį, jaučiate saldų kvapą burnoje, saldų ar metalo skonį, kitokį nei įprasta šlapimo ar prakaito kvapą, nedelsdami kreipkitės į gydytoją arba artimiausią ligoninę. Šie simptomai gali būti „diabetinės ketoacidozės“ - retos, bet sunkios, kartais gyvybei pavojingos būklės, kuri gali atsirasti sergant cukriniu diabetu dėl padidėjusio „ketoninių kūnų“ kiekio šlapime ar kraujyje (nustatoma atliekant tyrimus), požymis. Diabetinės ketoacidozės išsivystymo rizika gali padidėti ilgai badaujant, vartojant per daug alkoholio, pasireiškus dehidratacijai, staiga sumažinus insulino dozę arba padidėjus insulino poreikiui dėl didelės operacijos ar sunkios ligos. Diabetinė ketoacidozė gali pasireikšti net ir tuo atveju, jei cukraus kiekis kraujyje yra normalus;</w:t>
      </w:r>
    </w:p>
    <w:p w14:paraId="02A2D2D7" w14:textId="2DDA60AC"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sergate 1 tipo cukriniu diabetu, kai Jūsų organizmas negamina insulino. Šiai būklei gydyti </w:t>
      </w:r>
      <w:r w:rsidR="002F33BE">
        <w:rPr>
          <w:rFonts w:ascii="Times New Roman" w:eastAsia="Times New Roman" w:hAnsi="Times New Roman"/>
        </w:rPr>
        <w:t>Axigalu</w:t>
      </w:r>
      <w:r w:rsidRPr="0090144E">
        <w:rPr>
          <w:rFonts w:ascii="Times New Roman" w:eastAsia="Times New Roman" w:hAnsi="Times New Roman"/>
        </w:rPr>
        <w:t xml:space="preserve"> vartoti negalima;</w:t>
      </w:r>
    </w:p>
    <w:p w14:paraId="3B7F24F3"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Jums yra arba anksčiau buvo pasireiškusi sunki padidėjusio jautrumo (alerginė) reakcija arba yra įtariama tokia reakcija. Sunkios alerginės reakcijos požymiai yra išvardyti 4 skyriuje;</w:t>
      </w:r>
    </w:p>
    <w:p w14:paraId="17B94384"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dažnai pasireiškia šlapimo takų infekcijos;</w:t>
      </w:r>
    </w:p>
    <w:p w14:paraId="395FE323"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esate sirgę sunkia širdies liga;</w:t>
      </w:r>
    </w:p>
    <w:p w14:paraId="2E999ACB" w14:textId="4844B612"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širdies nepakankamumu arba yra kitų širdies nepakankamumo išsivystymo rizikos veiksnių, pavyzdžiui, inkstų</w:t>
      </w:r>
      <w:r w:rsidR="00926029">
        <w:rPr>
          <w:rFonts w:ascii="Times New Roman" w:eastAsia="Times New Roman" w:hAnsi="Times New Roman"/>
        </w:rPr>
        <w:t xml:space="preserve"> funkcijos</w:t>
      </w:r>
      <w:r w:rsidRPr="0090144E">
        <w:rPr>
          <w:rFonts w:ascii="Times New Roman" w:eastAsia="Times New Roman" w:hAnsi="Times New Roman"/>
        </w:rPr>
        <w:t xml:space="preserve"> sutrikimų. Gydytojas Jus informuos apie širdies nepakankamumo požymius ir simptomus. Galimi simptomai (jais neapsiribojant) yra stiprėjantis dusulys, greitas kūno svorio padidėjimas ir pėdų patinimas (pėdų edema). Jeigu Jums pasireiškė bet kuris iš šių simptomų, nedelsdami kreipkitės į gydytoją, vaistininką arba slaugytoją;</w:t>
      </w:r>
    </w:p>
    <w:p w14:paraId="55D438DC"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Jums stipriai skauda sąnarius; </w:t>
      </w:r>
    </w:p>
    <w:p w14:paraId="499624F7"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Jūsų organizmo gebėjimas kovoti su infekcijomis yra sumažėjęs, pavyzdžiui, jeigu sergate tokia liga kaip AIDS arba Jums yra persodintas organas;</w:t>
      </w:r>
    </w:p>
    <w:p w14:paraId="2014F7CA" w14:textId="09992B79"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vartojate vaistų cukraus kiekiui kraujyje mažinti, tokių kaip insulinas ar sulfonilkarbamidas (žr. „Kiti vaistai ir </w:t>
      </w:r>
      <w:r w:rsidR="002F33BE">
        <w:rPr>
          <w:rFonts w:ascii="Times New Roman" w:eastAsia="Times New Roman" w:hAnsi="Times New Roman"/>
        </w:rPr>
        <w:t>Axigalu</w:t>
      </w:r>
      <w:r w:rsidRPr="0090144E">
        <w:rPr>
          <w:rFonts w:ascii="Times New Roman" w:eastAsia="Times New Roman" w:hAnsi="Times New Roman"/>
        </w:rPr>
        <w:t>“).</w:t>
      </w:r>
    </w:p>
    <w:p w14:paraId="5F72D4FA"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5361576E" w14:textId="3983B3EE"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 xml:space="preserve">Jeigu bet kuri pirmiau paminėta situacija Jums tinka (arba dėl to nesate tikri), prieš pradėdami vartoti </w:t>
      </w:r>
      <w:r w:rsidR="002F33BE">
        <w:rPr>
          <w:rFonts w:ascii="Times New Roman" w:eastAsia="Times New Roman" w:hAnsi="Times New Roman"/>
        </w:rPr>
        <w:t>Axigalu</w:t>
      </w:r>
      <w:r w:rsidRPr="0090144E">
        <w:rPr>
          <w:rFonts w:ascii="Times New Roman" w:eastAsia="Times New Roman" w:hAnsi="Times New Roman"/>
        </w:rPr>
        <w:t xml:space="preserve">, pasitarkite su gydytoju, vaistininku arba slaugytoju. </w:t>
      </w:r>
    </w:p>
    <w:p w14:paraId="58640448"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10051886" w14:textId="003D3C25"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 xml:space="preserve">Diabetiniai odos pažeidimai (odos pažaidos, tokios kaip žaizdos ar opos) yra dažna cukrinio diabeto komplikacija. Išbėrimas buvo pastebėtas atskirai vartojant tiek </w:t>
      </w:r>
      <w:proofErr w:type="spellStart"/>
      <w:r w:rsidRPr="0090144E">
        <w:rPr>
          <w:rFonts w:ascii="Times New Roman" w:eastAsia="Times New Roman" w:hAnsi="Times New Roman"/>
        </w:rPr>
        <w:t>sitagliptin</w:t>
      </w:r>
      <w:r w:rsidR="00B61DB4">
        <w:rPr>
          <w:rFonts w:ascii="Times New Roman" w:eastAsia="Times New Roman" w:hAnsi="Times New Roman"/>
        </w:rPr>
        <w:t>o</w:t>
      </w:r>
      <w:proofErr w:type="spellEnd"/>
      <w:r w:rsidRPr="0090144E">
        <w:rPr>
          <w:rFonts w:ascii="Times New Roman" w:eastAsia="Times New Roman" w:hAnsi="Times New Roman"/>
        </w:rPr>
        <w:t xml:space="preserve">, tiek </w:t>
      </w:r>
      <w:proofErr w:type="spellStart"/>
      <w:r w:rsidRPr="0090144E">
        <w:rPr>
          <w:rFonts w:ascii="Times New Roman" w:eastAsia="Times New Roman" w:hAnsi="Times New Roman"/>
        </w:rPr>
        <w:t>dapagliflozin</w:t>
      </w:r>
      <w:r w:rsidR="00B61DB4">
        <w:rPr>
          <w:rFonts w:ascii="Times New Roman" w:eastAsia="Times New Roman" w:hAnsi="Times New Roman"/>
        </w:rPr>
        <w:t>o</w:t>
      </w:r>
      <w:proofErr w:type="spellEnd"/>
      <w:r w:rsidRPr="0090144E">
        <w:rPr>
          <w:rFonts w:ascii="Times New Roman" w:eastAsia="Times New Roman" w:hAnsi="Times New Roman"/>
        </w:rPr>
        <w:t xml:space="preserve"> (žr. 4 skyrių). Patariama laikytis gydytojo arba slaugytojo pateiktų odos priežiūros rekomendacijų. Kreipkitės į gydytoją, jeigu atsirado odos pūslių, nes tai gali būti būklės, vadinamos pūsliniu pemfigoidu, požymis. Gydytojas gali nurodyti nutraukti </w:t>
      </w:r>
      <w:r w:rsidR="002F33BE">
        <w:rPr>
          <w:rFonts w:ascii="Times New Roman" w:eastAsia="Times New Roman" w:hAnsi="Times New Roman"/>
        </w:rPr>
        <w:t>Axigalu</w:t>
      </w:r>
      <w:r w:rsidRPr="0090144E">
        <w:rPr>
          <w:rFonts w:ascii="Times New Roman" w:eastAsia="Times New Roman" w:hAnsi="Times New Roman"/>
        </w:rPr>
        <w:t xml:space="preserve"> vartojimą. </w:t>
      </w:r>
    </w:p>
    <w:p w14:paraId="2E8A8268"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12B98C54"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Kaip ir visiems cukriniu diabetu sergantiems pacientams, svarbu reguliariai tikrinti pėdas ir laikytis visų kitų sveikatos priežiūros specialisto patarimų dėl pėdų priežiūros.</w:t>
      </w:r>
    </w:p>
    <w:p w14:paraId="73491CFF"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56EA6277" w14:textId="77777777" w:rsidR="0090144E" w:rsidRPr="0090144E" w:rsidRDefault="0090144E" w:rsidP="0090144E">
      <w:pPr>
        <w:widowControl w:val="0"/>
        <w:spacing w:after="0" w:line="240" w:lineRule="auto"/>
        <w:rPr>
          <w:rFonts w:ascii="Times New Roman" w:eastAsia="Times New Roman" w:hAnsi="Times New Roman"/>
        </w:rPr>
      </w:pPr>
      <w:r w:rsidRPr="0090144E">
        <w:rPr>
          <w:rFonts w:ascii="Times New Roman" w:eastAsia="Times New Roman" w:hAnsi="Times New Roman"/>
        </w:rPr>
        <w:t xml:space="preserve">Nedelsdami kreipkitės į gydytoją, jei atsiranda lytinių organų arba srities tarp lytinių organų ir išangės skausmo, jautrumo, paraudimo ar patinimo simptomų derinys su karščiavimu ar bloga savijauta. Šie simptomai gali būti retos, bet sunkios ar net gyvybei pavojingos infekcijos, vadinamos tarpvietės nekrotizuojančiu fascitu arba </w:t>
      </w:r>
      <w:r w:rsidRPr="0090144E">
        <w:rPr>
          <w:rFonts w:ascii="Times New Roman" w:eastAsia="Times New Roman" w:hAnsi="Times New Roman"/>
          <w:i/>
          <w:iCs/>
        </w:rPr>
        <w:t>Fournier</w:t>
      </w:r>
      <w:r w:rsidRPr="0090144E">
        <w:rPr>
          <w:rFonts w:ascii="Times New Roman" w:eastAsia="Times New Roman" w:hAnsi="Times New Roman"/>
        </w:rPr>
        <w:t xml:space="preserve"> gangrena, kuri suardo po oda esantį audinį, požymis. </w:t>
      </w:r>
      <w:r w:rsidRPr="0090144E">
        <w:rPr>
          <w:rFonts w:ascii="Times New Roman" w:eastAsia="Times New Roman" w:hAnsi="Times New Roman"/>
          <w:i/>
          <w:iCs/>
        </w:rPr>
        <w:t>Fournier</w:t>
      </w:r>
      <w:r w:rsidRPr="0090144E">
        <w:rPr>
          <w:rFonts w:ascii="Times New Roman" w:eastAsia="Times New Roman" w:hAnsi="Times New Roman"/>
        </w:rPr>
        <w:t xml:space="preserve"> gangreną būtina nedelsiant gydyti. </w:t>
      </w:r>
    </w:p>
    <w:p w14:paraId="78D04492" w14:textId="77777777" w:rsidR="0090144E" w:rsidRPr="0090144E" w:rsidRDefault="0090144E" w:rsidP="0090144E">
      <w:pPr>
        <w:widowControl w:val="0"/>
        <w:spacing w:after="0" w:line="240" w:lineRule="auto"/>
        <w:rPr>
          <w:rFonts w:ascii="Times New Roman" w:eastAsia="Times New Roman" w:hAnsi="Times New Roman"/>
        </w:rPr>
      </w:pPr>
    </w:p>
    <w:p w14:paraId="68E390F8" w14:textId="01B3CFFB" w:rsidR="0090144E" w:rsidRPr="0090144E" w:rsidRDefault="0090144E" w:rsidP="0090144E">
      <w:pPr>
        <w:widowControl w:val="0"/>
        <w:spacing w:after="0" w:line="240" w:lineRule="auto"/>
        <w:rPr>
          <w:rFonts w:ascii="Times New Roman" w:eastAsia="Times New Roman" w:hAnsi="Times New Roman"/>
        </w:rPr>
      </w:pPr>
      <w:r w:rsidRPr="0090144E">
        <w:rPr>
          <w:rFonts w:ascii="Times New Roman" w:eastAsia="Times New Roman" w:hAnsi="Times New Roman"/>
        </w:rPr>
        <w:t xml:space="preserve">Vartojant </w:t>
      </w:r>
      <w:r w:rsidR="002F33BE">
        <w:rPr>
          <w:rFonts w:ascii="Times New Roman" w:eastAsia="Times New Roman" w:hAnsi="Times New Roman"/>
        </w:rPr>
        <w:t>Axigalu</w:t>
      </w:r>
      <w:r w:rsidRPr="0090144E">
        <w:rPr>
          <w:rFonts w:ascii="Times New Roman" w:eastAsia="Times New Roman" w:hAnsi="Times New Roman"/>
        </w:rPr>
        <w:t>, dėl jo poveikio bus teigiamas cukraus šlapime tyrimas.</w:t>
      </w:r>
    </w:p>
    <w:p w14:paraId="7D3D64B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snapToGrid w:val="0"/>
        </w:rPr>
      </w:pPr>
    </w:p>
    <w:p w14:paraId="374DAC87" w14:textId="77777777" w:rsidR="0090144E" w:rsidRPr="0090144E" w:rsidRDefault="0090144E" w:rsidP="0090144E">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90144E">
        <w:rPr>
          <w:rFonts w:ascii="Times New Roman" w:eastAsia="Times New Roman" w:hAnsi="Times New Roman"/>
          <w:b/>
          <w:bCs/>
          <w:snapToGrid w:val="0"/>
          <w:lang w:eastAsia="x-none"/>
        </w:rPr>
        <w:t>Vaikams ir paaugliams</w:t>
      </w:r>
    </w:p>
    <w:p w14:paraId="39E08E2F" w14:textId="793CD3DD" w:rsidR="0090144E" w:rsidRPr="0090144E" w:rsidRDefault="0090144E" w:rsidP="0090144E">
      <w:pPr>
        <w:widowControl w:val="0"/>
        <w:numPr>
          <w:ilvl w:val="12"/>
          <w:numId w:val="0"/>
        </w:numPr>
        <w:spacing w:after="0" w:line="240" w:lineRule="auto"/>
        <w:rPr>
          <w:rFonts w:ascii="Times New Roman" w:eastAsia="Times New Roman" w:hAnsi="Times New Roman"/>
          <w:snapToGrid w:val="0"/>
          <w:color w:val="000000"/>
        </w:rPr>
      </w:pPr>
      <w:r w:rsidRPr="0090144E">
        <w:rPr>
          <w:rFonts w:ascii="Times New Roman" w:eastAsia="Times New Roman" w:hAnsi="Times New Roman"/>
          <w:snapToGrid w:val="0"/>
          <w:color w:val="000000"/>
        </w:rPr>
        <w:t xml:space="preserve">Jaunesniems kaip 18 metų vaikams ir paaugliams </w:t>
      </w:r>
      <w:r w:rsidR="002F33BE">
        <w:rPr>
          <w:rFonts w:ascii="Times New Roman" w:eastAsia="Times New Roman" w:hAnsi="Times New Roman"/>
          <w:snapToGrid w:val="0"/>
          <w:color w:val="000000"/>
        </w:rPr>
        <w:t>Axigalu</w:t>
      </w:r>
      <w:r w:rsidRPr="0090144E">
        <w:rPr>
          <w:rFonts w:ascii="Times New Roman" w:eastAsia="Times New Roman" w:hAnsi="Times New Roman"/>
          <w:snapToGrid w:val="0"/>
          <w:color w:val="000000"/>
        </w:rPr>
        <w:t xml:space="preserve"> vartoti nerekomenduojama, nes tyrimų su tokiais pacientais neatlikta.</w:t>
      </w:r>
    </w:p>
    <w:p w14:paraId="76BB846D"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Cs/>
        </w:rPr>
      </w:pPr>
    </w:p>
    <w:p w14:paraId="12D44442" w14:textId="5525A8E3" w:rsidR="0090144E" w:rsidRPr="0090144E" w:rsidRDefault="0090144E" w:rsidP="0090144E">
      <w:pPr>
        <w:widowControl w:val="0"/>
        <w:numPr>
          <w:ilvl w:val="12"/>
          <w:numId w:val="0"/>
        </w:numPr>
        <w:spacing w:after="0" w:line="240" w:lineRule="auto"/>
        <w:rPr>
          <w:rFonts w:ascii="Times New Roman" w:eastAsia="Times New Roman" w:hAnsi="Times New Roman"/>
        </w:rPr>
      </w:pPr>
      <w:r w:rsidRPr="0090144E">
        <w:rPr>
          <w:rFonts w:ascii="Times New Roman" w:eastAsia="Times New Roman" w:hAnsi="Times New Roman"/>
          <w:b/>
        </w:rPr>
        <w:t xml:space="preserve">Kiti vaistai ir </w:t>
      </w:r>
      <w:r w:rsidR="002F33BE">
        <w:rPr>
          <w:rFonts w:ascii="Times New Roman" w:eastAsia="Times New Roman" w:hAnsi="Times New Roman"/>
          <w:b/>
        </w:rPr>
        <w:t>Axigalu</w:t>
      </w:r>
    </w:p>
    <w:p w14:paraId="744B58C9" w14:textId="48390EF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r w:rsidRPr="0090144E">
        <w:rPr>
          <w:rFonts w:ascii="Times New Roman" w:eastAsia="Times New Roman" w:hAnsi="Times New Roman"/>
        </w:rPr>
        <w:t xml:space="preserve">Jeigu vartojate ar neseniai vartojote kitų vaistų arba dėl to </w:t>
      </w:r>
      <w:r w:rsidR="00B674B3">
        <w:rPr>
          <w:rFonts w:ascii="Times New Roman" w:eastAsia="Times New Roman" w:hAnsi="Times New Roman"/>
        </w:rPr>
        <w:t xml:space="preserve">nesate </w:t>
      </w:r>
      <w:r w:rsidRPr="0090144E">
        <w:rPr>
          <w:rFonts w:ascii="Times New Roman" w:eastAsia="Times New Roman" w:hAnsi="Times New Roman"/>
        </w:rPr>
        <w:t>tikri, apie tai pasakykite gydytojui arba vaistininkui.</w:t>
      </w:r>
    </w:p>
    <w:p w14:paraId="099A1BCC"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p>
    <w:p w14:paraId="78290F7D" w14:textId="77777777" w:rsidR="0090144E" w:rsidRPr="0090144E" w:rsidRDefault="0090144E" w:rsidP="0090144E">
      <w:pPr>
        <w:widowControl w:val="0"/>
        <w:spacing w:after="0" w:line="240" w:lineRule="auto"/>
        <w:rPr>
          <w:rFonts w:ascii="Times New Roman" w:eastAsia="Times New Roman" w:hAnsi="Times New Roman"/>
          <w:snapToGrid w:val="0"/>
          <w:szCs w:val="20"/>
        </w:rPr>
      </w:pPr>
      <w:r w:rsidRPr="0090144E">
        <w:rPr>
          <w:rFonts w:ascii="Times New Roman" w:eastAsia="Times New Roman" w:hAnsi="Times New Roman"/>
          <w:snapToGrid w:val="0"/>
          <w:szCs w:val="20"/>
        </w:rPr>
        <w:t>Ypač svarbu pasakyti gydytojui:</w:t>
      </w:r>
    </w:p>
    <w:p w14:paraId="5A4418F5"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vaistų, skirtų vandeniui iš organizmo šalinti (diuretikų);</w:t>
      </w:r>
    </w:p>
    <w:p w14:paraId="017E543C"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kitų vaistų, mažinančių cukraus kiekį kraujyje, pvz., insulino arba sulfonilkarbamido. Gydytojas gali norėti sumažinti šių kitų vaistų dozę, kad būtų išvengta mažo cukraus kiekio kraujyje (hipoglikemijos);</w:t>
      </w:r>
    </w:p>
    <w:p w14:paraId="6672447B"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ličio, nes dapagliflozinas gali sumažinti ličio kiekį kraujyje;</w:t>
      </w:r>
    </w:p>
    <w:p w14:paraId="48BA15D9" w14:textId="07C3DC50"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color w:val="000000"/>
          <w:lang w:eastAsia="sl-SI"/>
        </w:rPr>
      </w:pPr>
      <w:r w:rsidRPr="0090144E">
        <w:rPr>
          <w:rFonts w:ascii="Times New Roman" w:eastAsia="Times New Roman" w:hAnsi="Times New Roman"/>
          <w:snapToGrid w:val="0"/>
          <w:szCs w:val="20"/>
        </w:rPr>
        <w:t xml:space="preserve">jeigu vartojate </w:t>
      </w:r>
      <w:proofErr w:type="spellStart"/>
      <w:r w:rsidRPr="0090144E">
        <w:rPr>
          <w:rFonts w:ascii="Times New Roman" w:eastAsia="Times New Roman" w:hAnsi="Times New Roman"/>
          <w:snapToGrid w:val="0"/>
          <w:szCs w:val="20"/>
        </w:rPr>
        <w:t>digoksin</w:t>
      </w:r>
      <w:r w:rsidR="00DF537B">
        <w:rPr>
          <w:rFonts w:ascii="Times New Roman" w:eastAsia="Times New Roman" w:hAnsi="Times New Roman"/>
          <w:snapToGrid w:val="0"/>
          <w:szCs w:val="20"/>
        </w:rPr>
        <w:t>o</w:t>
      </w:r>
      <w:proofErr w:type="spellEnd"/>
      <w:r w:rsidRPr="0090144E">
        <w:rPr>
          <w:rFonts w:ascii="Times New Roman" w:eastAsia="Times New Roman" w:hAnsi="Times New Roman"/>
          <w:snapToGrid w:val="0"/>
          <w:szCs w:val="20"/>
        </w:rPr>
        <w:t xml:space="preserve"> (vaist</w:t>
      </w:r>
      <w:r w:rsidR="00A10A8D">
        <w:rPr>
          <w:rFonts w:ascii="Times New Roman" w:eastAsia="Times New Roman" w:hAnsi="Times New Roman"/>
          <w:snapToGrid w:val="0"/>
          <w:szCs w:val="20"/>
        </w:rPr>
        <w:t>o</w:t>
      </w:r>
      <w:r w:rsidRPr="0090144E">
        <w:rPr>
          <w:rFonts w:ascii="Times New Roman" w:eastAsia="Times New Roman" w:hAnsi="Times New Roman"/>
          <w:snapToGrid w:val="0"/>
          <w:szCs w:val="20"/>
        </w:rPr>
        <w:t>, vartojam</w:t>
      </w:r>
      <w:r w:rsidR="00A10A8D">
        <w:rPr>
          <w:rFonts w:ascii="Times New Roman" w:eastAsia="Times New Roman" w:hAnsi="Times New Roman"/>
          <w:snapToGrid w:val="0"/>
          <w:szCs w:val="20"/>
        </w:rPr>
        <w:t>o</w:t>
      </w:r>
      <w:r w:rsidRPr="0090144E">
        <w:rPr>
          <w:rFonts w:ascii="Times New Roman" w:eastAsia="Times New Roman" w:hAnsi="Times New Roman"/>
          <w:snapToGrid w:val="0"/>
          <w:szCs w:val="20"/>
        </w:rPr>
        <w:t xml:space="preserve"> nereguliariam širdies plakimui ir kitiems širdies sutrikimams gydyti). Jį vartojant kartu su sitagliptinu, gali reikėti tikrinti digoksino kiekį kraujyje.</w:t>
      </w:r>
    </w:p>
    <w:p w14:paraId="25E5121B"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lang w:eastAsia="sl-SI"/>
        </w:rPr>
      </w:pPr>
    </w:p>
    <w:p w14:paraId="5FF45B57" w14:textId="77777777"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Nėštumas ir žindymo laikotarpis</w:t>
      </w:r>
    </w:p>
    <w:p w14:paraId="3C610806"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snapToGrid w:val="0"/>
          <w:color w:val="000000"/>
        </w:rPr>
      </w:pPr>
      <w:r w:rsidRPr="0090144E">
        <w:rPr>
          <w:rFonts w:ascii="Times New Roman" w:eastAsia="Times New Roman" w:hAnsi="Times New Roman"/>
          <w:snapToGrid w:val="0"/>
          <w:color w:val="000000"/>
        </w:rPr>
        <w:t>Jeigu esate nėščia, žindote kūdikį, manote, kad galbūt esate nėščia, arba planuojate pastoti, tai prieš vartodama šį vaistą pasitarkite su gydytoju arba vaistininku.</w:t>
      </w:r>
    </w:p>
    <w:p w14:paraId="717DABD6" w14:textId="77777777"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Nėštumo metu šio vaisto vartoti negalima. Pasitarkite su gydytoju, kaip geriausiai kontroliuoti cukraus kiekį kraujyje nėštumo metu.</w:t>
      </w:r>
    </w:p>
    <w:p w14:paraId="7D3632E4" w14:textId="7FE79E7C"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 xml:space="preserve">Šio vaisto negalima vartoti, jei maitinate krūtimi. Nežinoma, ar šio vaisto </w:t>
      </w:r>
      <w:r w:rsidR="00BD2112">
        <w:rPr>
          <w:rFonts w:ascii="Times New Roman" w:eastAsia="Times New Roman" w:hAnsi="Times New Roman"/>
          <w:lang w:eastAsia="sl-SI"/>
        </w:rPr>
        <w:t>išsiskiria</w:t>
      </w:r>
      <w:r w:rsidR="00BD2112" w:rsidRPr="0090144E">
        <w:rPr>
          <w:rFonts w:ascii="Times New Roman" w:eastAsia="Times New Roman" w:hAnsi="Times New Roman"/>
          <w:lang w:eastAsia="sl-SI"/>
        </w:rPr>
        <w:t xml:space="preserve"> </w:t>
      </w:r>
      <w:r w:rsidRPr="0090144E">
        <w:rPr>
          <w:rFonts w:ascii="Times New Roman" w:eastAsia="Times New Roman" w:hAnsi="Times New Roman"/>
          <w:lang w:eastAsia="sl-SI"/>
        </w:rPr>
        <w:t>į motinos pieną. Pasitarkite su gydytoju, jei norite žindyti arba maitinate krūtimi, prieš pradėdama vartoti šį vaistą.</w:t>
      </w:r>
    </w:p>
    <w:p w14:paraId="234B424D" w14:textId="77777777"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p>
    <w:p w14:paraId="193B45FD" w14:textId="77777777" w:rsidR="0090144E" w:rsidRPr="0090144E" w:rsidRDefault="0090144E" w:rsidP="0090144E">
      <w:pPr>
        <w:widowControl w:val="0"/>
        <w:numPr>
          <w:ilvl w:val="12"/>
          <w:numId w:val="0"/>
        </w:numPr>
        <w:tabs>
          <w:tab w:val="left" w:pos="8505"/>
        </w:tabs>
        <w:spacing w:after="0" w:line="240" w:lineRule="auto"/>
        <w:ind w:right="-2"/>
        <w:rPr>
          <w:rFonts w:ascii="Times New Roman" w:eastAsia="TimesNewRoman,Bold" w:hAnsi="Times New Roman"/>
          <w:b/>
          <w:bCs/>
        </w:rPr>
      </w:pPr>
      <w:r w:rsidRPr="0090144E">
        <w:rPr>
          <w:rFonts w:ascii="Times New Roman" w:eastAsia="TimesNewRoman,Bold" w:hAnsi="Times New Roman"/>
          <w:b/>
          <w:bCs/>
        </w:rPr>
        <w:t>Vairavimas ir mechanizmų valdymas</w:t>
      </w:r>
    </w:p>
    <w:p w14:paraId="11F8AF5D"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Šis vaistas gebėjimo vairuoti ir valdyti mechanizmus neveikia arba veikia nereikšmingai.</w:t>
      </w:r>
      <w:r w:rsidRPr="0090144E">
        <w:rPr>
          <w:rFonts w:ascii="Times New Roman" w:eastAsia="Times New Roman" w:hAnsi="Times New Roman"/>
          <w:snapToGrid w:val="0"/>
          <w:szCs w:val="20"/>
        </w:rPr>
        <w:t xml:space="preserve"> </w:t>
      </w:r>
      <w:r w:rsidRPr="0090144E">
        <w:rPr>
          <w:rFonts w:ascii="Times New Roman" w:eastAsia="Times New Roman" w:hAnsi="Times New Roman"/>
          <w:lang w:eastAsia="sl-SI"/>
        </w:rPr>
        <w:t>Vis dėlto buvo pranešta apie svaigulį ir apsnūdimą, kurie gali turėti įtakos gebėjimui vairuoti ar valdyti mechanizmus. Vartojant šį vaistą kartu su kitais vaistais, vadinamais sulfonilkarbamidais, arba su insulinu, cukraus kiekis kraujyje gali tapti per mažas (pasireikšti hipoglikemija), todėl gali atsirasti tokių simptomų kaip drebulys, prakaitavimas ir regos pokyčiai, ir tai gali turėti įtakos Jūsų gebėjimui vairuoti ir naudotis mechanizmais.</w:t>
      </w:r>
    </w:p>
    <w:p w14:paraId="0C6C3BF5"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2F44F02F"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2BF0E2C" w14:textId="72CE0BEC"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3.</w:t>
      </w:r>
      <w:r w:rsidRPr="0090144E">
        <w:rPr>
          <w:rFonts w:ascii="Times New Roman" w:eastAsia="Times New Roman" w:hAnsi="Times New Roman"/>
          <w:b/>
        </w:rPr>
        <w:tab/>
        <w:t xml:space="preserve">Kaip vartoti </w:t>
      </w:r>
      <w:r w:rsidR="002F33BE">
        <w:rPr>
          <w:rFonts w:ascii="Times New Roman" w:eastAsia="Times New Roman" w:hAnsi="Times New Roman"/>
          <w:b/>
        </w:rPr>
        <w:t>Axigalu</w:t>
      </w:r>
    </w:p>
    <w:p w14:paraId="768F7251"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78218071"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Visada vartokite šį vaistą tiksliai, kaip nurodė gydytojas. Jeigu abejojate, kreipkitės į gydytoją arba vaistininką.</w:t>
      </w:r>
    </w:p>
    <w:p w14:paraId="384958ED" w14:textId="77777777" w:rsidR="0090144E" w:rsidRPr="0090144E" w:rsidRDefault="0090144E" w:rsidP="0090144E">
      <w:pPr>
        <w:widowControl w:val="0"/>
        <w:spacing w:after="0" w:line="240" w:lineRule="auto"/>
        <w:rPr>
          <w:rFonts w:ascii="Times New Roman" w:eastAsia="Times New Roman" w:hAnsi="Times New Roman"/>
          <w:lang w:eastAsia="sl-SI"/>
        </w:rPr>
      </w:pPr>
    </w:p>
    <w:p w14:paraId="70E548E6"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b/>
          <w:bCs/>
          <w:lang w:eastAsia="sl-SI"/>
        </w:rPr>
        <w:t>Kiek vartoti</w:t>
      </w:r>
    </w:p>
    <w:p w14:paraId="272A805D" w14:textId="77777777"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Rekomenduojama dozė yra viena tabletė per dieną.</w:t>
      </w:r>
    </w:p>
    <w:p w14:paraId="248B3D57" w14:textId="77777777" w:rsidR="0090144E" w:rsidRPr="0090144E" w:rsidRDefault="0090144E" w:rsidP="0090144E">
      <w:pPr>
        <w:widowControl w:val="0"/>
        <w:spacing w:after="0" w:line="240" w:lineRule="auto"/>
        <w:ind w:left="567" w:right="-2"/>
        <w:contextualSpacing/>
        <w:rPr>
          <w:rFonts w:ascii="Times New Roman" w:eastAsia="Times New Roman" w:hAnsi="Times New Roman"/>
          <w:lang w:eastAsia="sl-SI"/>
        </w:rPr>
      </w:pPr>
    </w:p>
    <w:p w14:paraId="0CBCE60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Vaisto vartojimas</w:t>
      </w:r>
    </w:p>
    <w:p w14:paraId="45D0A56E" w14:textId="77777777"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Nurykite visą tabletę, užgerdami puse stiklinės vandens.</w:t>
      </w:r>
    </w:p>
    <w:p w14:paraId="70674A78" w14:textId="715D1861"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 xml:space="preserve">Tabletę galite gerti </w:t>
      </w:r>
      <w:r w:rsidR="0052568C">
        <w:rPr>
          <w:rFonts w:ascii="Times New Roman" w:eastAsia="Times New Roman" w:hAnsi="Times New Roman"/>
          <w:lang w:eastAsia="sl-SI"/>
        </w:rPr>
        <w:t>valgio metu arba nevalgius</w:t>
      </w:r>
      <w:r w:rsidRPr="0090144E">
        <w:rPr>
          <w:rFonts w:ascii="Times New Roman" w:eastAsia="Times New Roman" w:hAnsi="Times New Roman"/>
          <w:lang w:eastAsia="sl-SI"/>
        </w:rPr>
        <w:t>.</w:t>
      </w:r>
    </w:p>
    <w:p w14:paraId="45A0D1CF" w14:textId="77777777"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Tabletę galite vartoti bet kuriuo paros metu. Vis dėlto stenkitės ją išgerti kiekvieną dieną tuo pačiu laiku. Tai padės Jums nepamiršti pavartoti vaistą.</w:t>
      </w:r>
    </w:p>
    <w:p w14:paraId="459DC18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5016FF69"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Gydytojas gali paskirti kitų vaistų cukraus kiekiui kraujyje mažinti. Nepamirškite vartoti kito (-ų) vaisto (-ų) taip, kaip nurodė gydytojas. Tai padės pasiekti geriausių rezultatų Jūsų sveikatai.</w:t>
      </w:r>
    </w:p>
    <w:p w14:paraId="1D513A09"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502C2B68" w14:textId="209013B3"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 xml:space="preserve">Dieta ir fiziniai pratimai gali padėti Jūsų organizmui geriau panaudoti kraujyje esantį cukrų. Jeigu sergate cukriniu diabetu, vartojant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svarbu laikytis gydytojo rekomenduotos dietos ir fizinio aktyvumo programos.</w:t>
      </w:r>
    </w:p>
    <w:p w14:paraId="498A2134"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53289B5C" w14:textId="72A55E1C"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 xml:space="preserve">Ką daryti pavartojus per didelę </w:t>
      </w:r>
      <w:r w:rsidR="002F33BE">
        <w:rPr>
          <w:rFonts w:ascii="Times New Roman" w:eastAsia="TimesNewRoman,Bold" w:hAnsi="Times New Roman"/>
          <w:b/>
          <w:bCs/>
        </w:rPr>
        <w:t>Axigalu</w:t>
      </w:r>
      <w:r w:rsidRPr="0090144E">
        <w:rPr>
          <w:rFonts w:ascii="Times New Roman" w:eastAsia="TimesNewRoman,Bold" w:hAnsi="Times New Roman"/>
          <w:b/>
          <w:bCs/>
        </w:rPr>
        <w:t xml:space="preserve"> dozę</w:t>
      </w:r>
    </w:p>
    <w:p w14:paraId="57DCFF99"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Jei išgėrėte didesnę nei nurodyta šio vaisto dozę, kreipkitės į gydytoją arba nedelsdami vykite į ligoninę. Su savimi pasiimkite vaisto pakuotę.</w:t>
      </w:r>
    </w:p>
    <w:p w14:paraId="54466EFE" w14:textId="77777777"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rPr>
      </w:pPr>
    </w:p>
    <w:p w14:paraId="2D1CDB05" w14:textId="38E6995A"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 xml:space="preserve">Pamiršus pavartoti </w:t>
      </w:r>
      <w:r w:rsidR="002F33BE">
        <w:rPr>
          <w:rFonts w:ascii="Times New Roman" w:eastAsia="TimesNewRoman,Bold" w:hAnsi="Times New Roman"/>
          <w:b/>
          <w:bCs/>
        </w:rPr>
        <w:t>Axigalu</w:t>
      </w:r>
    </w:p>
    <w:p w14:paraId="470B1300" w14:textId="77777777" w:rsidR="0090144E" w:rsidRPr="0090144E" w:rsidRDefault="0090144E" w:rsidP="0090144E">
      <w:pPr>
        <w:widowControl w:val="0"/>
        <w:spacing w:after="0" w:line="240" w:lineRule="auto"/>
        <w:ind w:right="-2"/>
        <w:contextualSpacing/>
        <w:rPr>
          <w:rFonts w:ascii="Times New Roman" w:eastAsia="Times New Roman" w:hAnsi="Times New Roman"/>
          <w:lang w:eastAsia="sl-SI"/>
        </w:rPr>
      </w:pPr>
      <w:r w:rsidRPr="0090144E">
        <w:rPr>
          <w:rFonts w:ascii="Times New Roman" w:eastAsia="Times New Roman" w:hAnsi="Times New Roman"/>
          <w:lang w:eastAsia="sl-SI"/>
        </w:rPr>
        <w:t>Ką daryti pamiršus išgerti tabletę, priklauso nuo to, kiek laiko liko iki kitos dozės vartojimo.</w:t>
      </w:r>
    </w:p>
    <w:p w14:paraId="0EE4CC15" w14:textId="6D4EF166"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 xml:space="preserve">Jei iki kitos dozės liko 12 valandų ar daugiau, išgerkite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dozę, kai tik prisiminsite. Tada kitą dozę vartokite įprastu laiku.</w:t>
      </w:r>
    </w:p>
    <w:p w14:paraId="7A75F660" w14:textId="77777777"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Jei iki kitos dozės liko mažiau nei 12 valandų, praleiskite pamirštą dozę. Tada kitą dozę vartokite įprastu laiku.</w:t>
      </w:r>
    </w:p>
    <w:p w14:paraId="1A79BC49" w14:textId="77777777" w:rsidR="0090144E" w:rsidRPr="0090144E" w:rsidRDefault="0090144E" w:rsidP="0090144E">
      <w:pPr>
        <w:widowControl w:val="0"/>
        <w:numPr>
          <w:ilvl w:val="0"/>
          <w:numId w:val="36"/>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Negalima vartoti dvigubos dozės norint kompensuoti praleistą dozę.</w:t>
      </w:r>
    </w:p>
    <w:p w14:paraId="4B38F64A"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p>
    <w:p w14:paraId="634D5071" w14:textId="0F8071AF" w:rsidR="0090144E" w:rsidRPr="0090144E" w:rsidRDefault="0090144E" w:rsidP="0090144E">
      <w:pPr>
        <w:keepNext/>
        <w:tabs>
          <w:tab w:val="left" w:pos="567"/>
        </w:tabs>
        <w:spacing w:after="0" w:line="260" w:lineRule="exact"/>
        <w:jc w:val="both"/>
        <w:outlineLvl w:val="3"/>
        <w:rPr>
          <w:rFonts w:ascii="Times New Roman" w:eastAsia="Times New Roman" w:hAnsi="Times New Roman"/>
          <w:b/>
          <w:bCs/>
          <w:szCs w:val="28"/>
          <w:lang w:eastAsia="x-none"/>
        </w:rPr>
      </w:pPr>
      <w:r w:rsidRPr="0090144E">
        <w:rPr>
          <w:rFonts w:ascii="Times New Roman" w:eastAsia="Times New Roman" w:hAnsi="Times New Roman"/>
          <w:b/>
          <w:bCs/>
          <w:szCs w:val="28"/>
          <w:lang w:eastAsia="x-none"/>
        </w:rPr>
        <w:t xml:space="preserve">Nustojus vartoti </w:t>
      </w:r>
      <w:r w:rsidR="002F33BE">
        <w:rPr>
          <w:rFonts w:ascii="Times New Roman" w:eastAsia="TimesNewRoman,Bold" w:hAnsi="Times New Roman"/>
          <w:b/>
          <w:bCs/>
        </w:rPr>
        <w:t>Axigalu</w:t>
      </w:r>
    </w:p>
    <w:p w14:paraId="2813FDE8"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r w:rsidRPr="0090144E">
        <w:rPr>
          <w:rFonts w:ascii="Times New Roman" w:eastAsia="TimesNewRoman,Bold" w:hAnsi="Times New Roman"/>
        </w:rPr>
        <w:t>Nenutraukite šio vaisto vartojimo prieš tai nepasitarę su gydytoju. Nevartojant šio vaisto gali padidėti cukraus kiekis Jūsų kraujyje.</w:t>
      </w:r>
    </w:p>
    <w:p w14:paraId="2200749D"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p>
    <w:p w14:paraId="068681E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r w:rsidRPr="0090144E">
        <w:rPr>
          <w:rFonts w:ascii="Times New Roman" w:eastAsia="TimesNewRoman,Bold" w:hAnsi="Times New Roman"/>
        </w:rPr>
        <w:t>Jeigu kiltų daugiau klausimų dėl šio vaisto vartojimo, kreipkitės į gydytoją arba vaistininką.</w:t>
      </w:r>
    </w:p>
    <w:p w14:paraId="71315C38"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DABB520"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F504BF1" w14:textId="77777777"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caps/>
        </w:rPr>
        <w:t>4.</w:t>
      </w:r>
      <w:r w:rsidRPr="0090144E">
        <w:rPr>
          <w:rFonts w:ascii="Times New Roman" w:eastAsia="Times New Roman" w:hAnsi="Times New Roman"/>
          <w:b/>
          <w:caps/>
        </w:rPr>
        <w:tab/>
      </w:r>
      <w:r w:rsidRPr="0090144E">
        <w:rPr>
          <w:rFonts w:ascii="Times New Roman" w:eastAsia="Times New Roman" w:hAnsi="Times New Roman"/>
          <w:b/>
        </w:rPr>
        <w:t>Galimas šalutinis poveikis</w:t>
      </w:r>
    </w:p>
    <w:p w14:paraId="167E22B0"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00056E04"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r w:rsidRPr="0090144E">
        <w:rPr>
          <w:rFonts w:ascii="Times New Roman" w:eastAsia="Times New Roman" w:hAnsi="Times New Roman"/>
        </w:rPr>
        <w:t>Šis vaistas, kaip ir visi kiti, gali sukelti šalutinį poveikį, nors jis pasireiškia ne visiems žmonėms.</w:t>
      </w:r>
    </w:p>
    <w:p w14:paraId="6B5A4C25"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p>
    <w:p w14:paraId="0228063B" w14:textId="0F80E10F"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 xml:space="preserve">Nutraukite </w:t>
      </w:r>
      <w:r w:rsidR="002F33BE">
        <w:rPr>
          <w:rFonts w:ascii="Times New Roman" w:eastAsia="Times New Roman" w:hAnsi="Times New Roman"/>
          <w:b/>
          <w:bCs/>
          <w:lang w:eastAsia="sl-SI"/>
        </w:rPr>
        <w:t>Axigalu</w:t>
      </w:r>
      <w:r w:rsidRPr="0090144E">
        <w:rPr>
          <w:rFonts w:ascii="Times New Roman" w:eastAsia="Times New Roman" w:hAnsi="Times New Roman"/>
          <w:b/>
          <w:bCs/>
          <w:lang w:eastAsia="sl-SI"/>
        </w:rPr>
        <w:t xml:space="preserve"> vartojimą ir nedelsdami kreipkitės į gydytoją, jei pastebėsite bet kurį iš toliau paminėtą sunkų šalutinį poveikį.</w:t>
      </w:r>
    </w:p>
    <w:p w14:paraId="5483BE2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p>
    <w:p w14:paraId="5D22CB44" w14:textId="77777777" w:rsidR="0090144E" w:rsidRPr="0090144E" w:rsidRDefault="0090144E" w:rsidP="0090144E">
      <w:pPr>
        <w:widowControl w:val="0"/>
        <w:numPr>
          <w:ilvl w:val="0"/>
          <w:numId w:val="37"/>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 xml:space="preserve">Sunkios alerginės reakcijos (anafilaksinės reakcijos, angioneurozinės edemos) simptomai </w:t>
      </w:r>
      <w:r w:rsidRPr="0090144E">
        <w:rPr>
          <w:rFonts w:ascii="Times New Roman" w:eastAsia="Times New Roman" w:hAnsi="Times New Roman"/>
          <w:lang w:eastAsia="sl-SI"/>
        </w:rPr>
        <w:t>(atsiranda retai, gali pasireikšti rečiau kaip 1 iš 1 000 asmenų), įskaitant:</w:t>
      </w:r>
    </w:p>
    <w:p w14:paraId="1ADCCC2B"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išbėrimą;</w:t>
      </w:r>
    </w:p>
    <w:p w14:paraId="239146A5"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iškilusias raudonas odos dėmeles (dilgėlinę);</w:t>
      </w:r>
    </w:p>
    <w:p w14:paraId="174FE430"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pūsles ant odos / odos lupimąsi;</w:t>
      </w:r>
    </w:p>
    <w:p w14:paraId="6EF1BA69"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veido, lūpų, liežuvio ir gerklės patinimą, dėl kurio gali pasunkėti kvėpavimas ar rijimas.</w:t>
      </w:r>
    </w:p>
    <w:p w14:paraId="4A893818" w14:textId="77777777" w:rsidR="0090144E" w:rsidRPr="0090144E" w:rsidRDefault="0090144E" w:rsidP="0090144E">
      <w:pPr>
        <w:widowControl w:val="0"/>
        <w:spacing w:after="0" w:line="240" w:lineRule="auto"/>
        <w:ind w:left="491" w:right="-2"/>
        <w:rPr>
          <w:rFonts w:ascii="Times New Roman" w:eastAsia="Times New Roman" w:hAnsi="Times New Roman"/>
          <w:lang w:eastAsia="sl-SI"/>
        </w:rPr>
      </w:pPr>
    </w:p>
    <w:p w14:paraId="0D39C491" w14:textId="77777777" w:rsidR="0090144E" w:rsidRPr="0090144E" w:rsidRDefault="0090144E" w:rsidP="0090144E">
      <w:pPr>
        <w:widowControl w:val="0"/>
        <w:spacing w:after="0" w:line="240" w:lineRule="auto"/>
        <w:ind w:left="491" w:right="-2"/>
        <w:rPr>
          <w:rFonts w:ascii="Times New Roman" w:eastAsia="Times New Roman" w:hAnsi="Times New Roman"/>
          <w:lang w:eastAsia="sl-SI"/>
        </w:rPr>
      </w:pPr>
      <w:r w:rsidRPr="0090144E">
        <w:rPr>
          <w:rFonts w:ascii="Times New Roman" w:eastAsia="Times New Roman" w:hAnsi="Times New Roman"/>
          <w:lang w:eastAsia="sl-SI"/>
        </w:rPr>
        <w:t>Gydytojas gali paskirti vaistą alerginei reakcijai gydyti ir kitą vaistą cukriniam diabetui gydyti.</w:t>
      </w:r>
    </w:p>
    <w:p w14:paraId="7C36ABF7"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lang w:eastAsia="sl-SI"/>
        </w:rPr>
      </w:pPr>
    </w:p>
    <w:p w14:paraId="587012E6" w14:textId="77777777" w:rsidR="0090144E" w:rsidRPr="0090144E" w:rsidRDefault="0090144E" w:rsidP="0090144E">
      <w:pPr>
        <w:widowControl w:val="0"/>
        <w:numPr>
          <w:ilvl w:val="0"/>
          <w:numId w:val="37"/>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Pankreatitas</w:t>
      </w:r>
      <w:r w:rsidRPr="0090144E">
        <w:rPr>
          <w:rFonts w:ascii="Times New Roman" w:eastAsia="Times New Roman" w:hAnsi="Times New Roman"/>
          <w:lang w:eastAsia="sl-SI"/>
        </w:rPr>
        <w:t xml:space="preserve"> (pasireiškimo dažnis nežinomas): stiprus ir besitęsiantis pilvo (skrandžio srities) skausmas, kuris gali plisti į nugarą, taip pat pykinimas ir vėmimas, nes tai gali būti kasos uždegimo požymis.</w:t>
      </w:r>
    </w:p>
    <w:p w14:paraId="5E91D83F"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b/>
          <w:bCs/>
          <w:lang w:eastAsia="sl-SI"/>
        </w:rPr>
      </w:pPr>
    </w:p>
    <w:p w14:paraId="1C21C8CC"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Šlapimo takų infekcija</w:t>
      </w:r>
      <w:r w:rsidRPr="0090144E">
        <w:rPr>
          <w:rFonts w:ascii="Times New Roman" w:eastAsia="Times New Roman" w:hAnsi="Times New Roman"/>
          <w:lang w:eastAsia="sl-SI"/>
        </w:rPr>
        <w:t>, atsirandanti dažnai (gali pasireikšti rečiau kaip 1 iš 10 asmenų). Sunkios šlapimo takų infekcijos požymiai yra:</w:t>
      </w:r>
    </w:p>
    <w:p w14:paraId="572100C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karščiavimas ir (arba) šaltkrėtis;</w:t>
      </w:r>
    </w:p>
    <w:p w14:paraId="2827440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deginimo pojūtis šlapinantis;</w:t>
      </w:r>
    </w:p>
    <w:p w14:paraId="056AB9A9"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nugaros ar šono skausmas.</w:t>
      </w:r>
    </w:p>
    <w:p w14:paraId="6A614370"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3064FE9F"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Nors toks poveikis nedažnas, jeigu šlapime pastebėsite kraujo, nedelsdami apie tai praneškite gydytojui.</w:t>
      </w:r>
    </w:p>
    <w:p w14:paraId="2D88F8EC"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lang w:eastAsia="sl-SI"/>
        </w:rPr>
      </w:pPr>
    </w:p>
    <w:p w14:paraId="7AC2436F" w14:textId="77777777" w:rsidR="0090144E" w:rsidRPr="0090144E" w:rsidRDefault="0090144E" w:rsidP="0090144E">
      <w:pPr>
        <w:widowControl w:val="0"/>
        <w:numPr>
          <w:ilvl w:val="0"/>
          <w:numId w:val="40"/>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Diabetinė ketoacidozė</w:t>
      </w:r>
      <w:r w:rsidRPr="0090144E">
        <w:rPr>
          <w:rFonts w:ascii="Times New Roman" w:eastAsia="Times New Roman" w:hAnsi="Times New Roman"/>
          <w:lang w:eastAsia="sl-SI"/>
        </w:rPr>
        <w:t>, atsirandanti retai (gali pasireikšti rečiau kaip 1 iš 1 000 asmenų). Diabetinės ketoacidozės požymiai yra:</w:t>
      </w:r>
    </w:p>
    <w:p w14:paraId="09A1E107"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padidėjęs „ketoninių kūnų“ kiekis šlapime arba kraujyje;</w:t>
      </w:r>
    </w:p>
    <w:p w14:paraId="22428C02"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greitas kūno svorio mažėjimas;</w:t>
      </w:r>
    </w:p>
    <w:p w14:paraId="6E01E09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pykinimas arba vėmimas;</w:t>
      </w:r>
    </w:p>
    <w:p w14:paraId="591320EE"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pilvo skausmas;</w:t>
      </w:r>
    </w:p>
    <w:p w14:paraId="4DE33D53"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pernelyg didelis troškulys;</w:t>
      </w:r>
    </w:p>
    <w:p w14:paraId="21B4847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dažnas ir gilus kvėpavimas;</w:t>
      </w:r>
    </w:p>
    <w:p w14:paraId="254A0DD0" w14:textId="784C8831"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minčių susipainiojimas</w:t>
      </w:r>
      <w:r w:rsidR="00D02E3B">
        <w:rPr>
          <w:rFonts w:ascii="Times New Roman" w:eastAsia="Times New Roman" w:hAnsi="Times New Roman"/>
          <w:lang w:eastAsia="sl-SI"/>
        </w:rPr>
        <w:t xml:space="preserve"> (</w:t>
      </w:r>
      <w:r w:rsidR="000B3D6D">
        <w:rPr>
          <w:rFonts w:ascii="Times New Roman" w:eastAsia="Times New Roman" w:hAnsi="Times New Roman"/>
          <w:lang w:eastAsia="sl-SI"/>
        </w:rPr>
        <w:t>sumišimas</w:t>
      </w:r>
      <w:r w:rsidR="00D02E3B">
        <w:rPr>
          <w:rFonts w:ascii="Times New Roman" w:eastAsia="Times New Roman" w:hAnsi="Times New Roman"/>
          <w:lang w:eastAsia="sl-SI"/>
        </w:rPr>
        <w:t>)</w:t>
      </w:r>
      <w:r w:rsidRPr="0090144E">
        <w:rPr>
          <w:rFonts w:ascii="Times New Roman" w:eastAsia="Times New Roman" w:hAnsi="Times New Roman"/>
          <w:lang w:eastAsia="sl-SI"/>
        </w:rPr>
        <w:t>;</w:t>
      </w:r>
    </w:p>
    <w:p w14:paraId="2500BCD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neįprastas mieguistumas ar nuovargis;</w:t>
      </w:r>
    </w:p>
    <w:p w14:paraId="2858E9C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saldus burnos kvapas, saldus ar metalo skonis burnoje, kitoks nei įprasta šlapimo ar prakaito kvapas.</w:t>
      </w:r>
    </w:p>
    <w:p w14:paraId="760E670A"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2193D75B" w14:textId="5A5BF74F"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 xml:space="preserve">Toks poveikis gali pasireikšti nepriklausomai nuo gliukozės kiekio kraujyje. Gydytojas gali nuspręsti laikinai arba visam laikui nutraukti gydymą </w:t>
      </w:r>
      <w:r w:rsidR="002F33BE">
        <w:rPr>
          <w:rFonts w:ascii="Times New Roman" w:eastAsia="Times New Roman" w:hAnsi="Times New Roman"/>
          <w:lang w:eastAsia="sl-SI"/>
        </w:rPr>
        <w:t>Axigalu</w:t>
      </w:r>
      <w:r w:rsidRPr="0090144E">
        <w:rPr>
          <w:rFonts w:ascii="Times New Roman" w:eastAsia="Times New Roman" w:hAnsi="Times New Roman"/>
          <w:lang w:eastAsia="sl-SI"/>
        </w:rPr>
        <w:t>.</w:t>
      </w:r>
    </w:p>
    <w:p w14:paraId="3FB9871D" w14:textId="77777777" w:rsidR="0090144E" w:rsidRPr="0090144E" w:rsidRDefault="0090144E" w:rsidP="0090144E">
      <w:pPr>
        <w:widowControl w:val="0"/>
        <w:spacing w:after="0" w:line="240" w:lineRule="auto"/>
        <w:ind w:left="567" w:right="-2" w:hanging="567"/>
        <w:contextualSpacing/>
        <w:rPr>
          <w:rFonts w:ascii="Times New Roman" w:eastAsia="Times New Roman" w:hAnsi="Times New Roman"/>
          <w:lang w:eastAsia="sl-SI"/>
        </w:rPr>
      </w:pPr>
    </w:p>
    <w:p w14:paraId="4B814132"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 xml:space="preserve">Tarpvietės nekrozuojantis fascitas </w:t>
      </w:r>
      <w:r w:rsidRPr="0090144E">
        <w:rPr>
          <w:rFonts w:ascii="Times New Roman" w:eastAsia="Times New Roman" w:hAnsi="Times New Roman"/>
          <w:lang w:eastAsia="sl-SI"/>
        </w:rPr>
        <w:t xml:space="preserve">arba </w:t>
      </w:r>
      <w:r w:rsidRPr="0090144E">
        <w:rPr>
          <w:rFonts w:ascii="Times New Roman" w:eastAsia="Times New Roman" w:hAnsi="Times New Roman"/>
          <w:i/>
          <w:iCs/>
          <w:lang w:eastAsia="sl-SI"/>
        </w:rPr>
        <w:t>Fournier</w:t>
      </w:r>
      <w:r w:rsidRPr="0090144E">
        <w:rPr>
          <w:rFonts w:ascii="Times New Roman" w:eastAsia="Times New Roman" w:hAnsi="Times New Roman"/>
          <w:lang w:eastAsia="sl-SI"/>
        </w:rPr>
        <w:t xml:space="preserve"> gangrena - sunki lytinių organų arba srities tarp lytinių organų ir išangės minkštųjų audinių infekcija, atsirandanti labai retai (gali pasireikšti rečiau kaip 1 iš 10 000 asmenų).</w:t>
      </w:r>
    </w:p>
    <w:p w14:paraId="38AEF6F4"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2B44B5AD" w14:textId="40951E9A"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 xml:space="preserve">Jei pastebėsite bet kurį iš pirmiau išvardytų sunkių šalutinio poveikio reiškinių, nutraukite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vartojimą ir nedelsdami kreipkitės į gydytoją arba slaugytoją.</w:t>
      </w:r>
    </w:p>
    <w:p w14:paraId="05FA68D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293F1E4"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Kiek įmanoma greičiau kreipkitės į gydytoją, jei Jums pasireiškia bet kuris toliau išvardytas šalutinis poveikis.</w:t>
      </w:r>
    </w:p>
    <w:p w14:paraId="30B39B1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5524E92"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Mažas cukraus kiekis kraujyje (hipoglikemija)</w:t>
      </w:r>
      <w:r w:rsidRPr="0090144E">
        <w:rPr>
          <w:rFonts w:ascii="Times New Roman" w:eastAsia="Times New Roman" w:hAnsi="Times New Roman"/>
          <w:lang w:eastAsia="sl-SI"/>
        </w:rPr>
        <w:t>, atsirandantis labai dažnai (gali pasireikšti ne rečiau kaip 1 iš 10 asmenų), jei kartu vartojama kitų hipoglikemiją sukelti galinčių vaistų nuo cukrinio diabeto. Mažo cukraus kiekio kraujyje požymiai yra:</w:t>
      </w:r>
    </w:p>
    <w:p w14:paraId="719D293A"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drebulys, prakaitavimas, stiprus nerimas, dažnas širdies plakimas;</w:t>
      </w:r>
    </w:p>
    <w:p w14:paraId="35438F61"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alkio pojūtis, galvos skausmas, regos pokyčiai;</w:t>
      </w:r>
    </w:p>
    <w:p w14:paraId="7BE05912"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nuotaikos pokyčiai arba minčių susipainiojimo pojūtis.</w:t>
      </w:r>
    </w:p>
    <w:p w14:paraId="68C609C3"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1071725B"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Gydytojas pasakys, kaip gydyti mažą cukraus kiekį kraujyje ir ką daryti, jei pasireiškė bet kuris iš pirmiau išvardytų požymių.</w:t>
      </w:r>
    </w:p>
    <w:p w14:paraId="6B3CD1D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174B1B9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b/>
          <w:bCs/>
          <w:lang w:eastAsia="sl-SI"/>
        </w:rPr>
        <w:t>Kitoks šalutinis poveikis, galintis pasireikšti vartojant šį vaistą</w:t>
      </w:r>
    </w:p>
    <w:p w14:paraId="376D6A4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B9244FB"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Dažni šalutinio poveikio reiškiniai (gali pasireikšti rečiau kaip 1 iš 10 asmenų):</w:t>
      </w:r>
    </w:p>
    <w:p w14:paraId="356D5DAD"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varpos ar makšties (lytinių organų) infekcija (pienligė) (galimi požymiai yra dirginimas, niežėjimas, neįprastos išskyros ar nemalonus kvapas);</w:t>
      </w:r>
    </w:p>
    <w:p w14:paraId="3FAF7F81"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svaigulys;</w:t>
      </w:r>
    </w:p>
    <w:p w14:paraId="4ABB408B"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galvos skausmas;</w:t>
      </w:r>
    </w:p>
    <w:p w14:paraId="0CA7F5A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išbėrimas;</w:t>
      </w:r>
    </w:p>
    <w:p w14:paraId="2288DE3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nugaros skausmas;</w:t>
      </w:r>
    </w:p>
    <w:p w14:paraId="77C2B5A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didesnis nei įprasta išskiriamo šlapimo kiekis arba poreikis dažniau šlapintis;</w:t>
      </w:r>
    </w:p>
    <w:p w14:paraId="03C0C728"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raudonųjų kraujo ląstelių kiekio padidėjimas kraujyje (tai nustatoma tyrimais);</w:t>
      </w:r>
    </w:p>
    <w:p w14:paraId="15A4EF3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inkstų kreatinino klirenso sumažėjimas (tai nustatoma tyrimais) gydymo pradžioje;</w:t>
      </w:r>
    </w:p>
    <w:p w14:paraId="737A1F31"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cholesterolio arba riebalų kiekio kraujyje pokyčiai (tai nustatoma tyrimais).</w:t>
      </w:r>
    </w:p>
    <w:p w14:paraId="2F0B9190"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69DC176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bookmarkStart w:id="12" w:name="_Hlk190642444"/>
      <w:r w:rsidRPr="0090144E">
        <w:rPr>
          <w:rFonts w:ascii="Times New Roman" w:eastAsia="Times New Roman" w:hAnsi="Times New Roman"/>
          <w:lang w:eastAsia="sl-SI"/>
        </w:rPr>
        <w:t>Nedažni šalutinio poveikio reiškiniai (gali pasireikšti rečiau kaip 1 iš 100 asmenų):</w:t>
      </w:r>
      <w:bookmarkEnd w:id="12"/>
    </w:p>
    <w:p w14:paraId="3B7ABF4F" w14:textId="55A89F11"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 xml:space="preserve">grybelių </w:t>
      </w:r>
      <w:r w:rsidR="00363EE8">
        <w:rPr>
          <w:rFonts w:ascii="Times New Roman" w:eastAsia="Times New Roman" w:hAnsi="Times New Roman"/>
          <w:iCs/>
          <w:lang w:eastAsia="sl-SI"/>
        </w:rPr>
        <w:t xml:space="preserve">sukelta </w:t>
      </w:r>
      <w:r w:rsidRPr="0090144E">
        <w:rPr>
          <w:rFonts w:ascii="Times New Roman" w:eastAsia="Times New Roman" w:hAnsi="Times New Roman"/>
          <w:iCs/>
          <w:lang w:eastAsia="sl-SI"/>
        </w:rPr>
        <w:t>infekcija;</w:t>
      </w:r>
    </w:p>
    <w:p w14:paraId="6F09FAF6"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per didelis skysčių netekimas iš organizmo (dehidratacija; galimi požymiai yra labai sausa ar lipni burna, sumažėjęs šlapimo kiekis arba jo nebuvimas, dažnas širdies plakimas);</w:t>
      </w:r>
    </w:p>
    <w:p w14:paraId="6CED913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troškulys;</w:t>
      </w:r>
    </w:p>
    <w:p w14:paraId="70E91A3C"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vidurių užkietėjimas;</w:t>
      </w:r>
    </w:p>
    <w:p w14:paraId="39A06A9B"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burnos džiūvimas;</w:t>
      </w:r>
    </w:p>
    <w:p w14:paraId="5A268B0F"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odos išbėrimas, kuris gali pasireikšti iškilusiais gumbeliais, odos dirginimu ar nemaloniu niežėjimu;</w:t>
      </w:r>
    </w:p>
    <w:p w14:paraId="13B1949F"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pabudimas iš miego naktį pasišlapinti;</w:t>
      </w:r>
    </w:p>
    <w:p w14:paraId="1E9F46E5"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niežėjimas lytinių organų srityje (lytinių organų niežėjimas arba vulvovaginalinis niežėjimas) arba nemalonus pojūtis šlapinantis;</w:t>
      </w:r>
    </w:p>
    <w:p w14:paraId="5F6F7C55"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kreatinino kiekio padidėjimas (nustatomas laboratoriniais kraujo tyrimais) gydymo pradžioje;</w:t>
      </w:r>
    </w:p>
    <w:p w14:paraId="5301AB1C"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karbamido kiekio padidėjimas (nustatomas laboratoriniais kraujo tyrimais);</w:t>
      </w:r>
    </w:p>
    <w:p w14:paraId="020E300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sumažėjęs kūno svoris.</w:t>
      </w:r>
    </w:p>
    <w:p w14:paraId="75557B18"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6B603FE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Reti šalutinio poveikio reiškiniai (gali pasireikšti rečiau kaip 1 iš 1 000 asmenų):</w:t>
      </w:r>
    </w:p>
    <w:p w14:paraId="66807F52" w14:textId="77777777" w:rsidR="0090144E" w:rsidRPr="0090144E" w:rsidRDefault="0090144E" w:rsidP="0090144E">
      <w:pPr>
        <w:widowControl w:val="0"/>
        <w:numPr>
          <w:ilvl w:val="0"/>
          <w:numId w:val="41"/>
        </w:numPr>
        <w:tabs>
          <w:tab w:val="left" w:pos="567"/>
        </w:tabs>
        <w:spacing w:after="0" w:line="240" w:lineRule="auto"/>
        <w:ind w:left="567" w:right="-2" w:hanging="567"/>
        <w:contextualSpacing/>
        <w:rPr>
          <w:rFonts w:ascii="Times New Roman" w:eastAsia="Times New Roman" w:hAnsi="Times New Roman"/>
          <w:iCs/>
          <w:lang w:eastAsia="sl-SI"/>
        </w:rPr>
      </w:pPr>
      <w:r w:rsidRPr="0090144E">
        <w:rPr>
          <w:rFonts w:ascii="Times New Roman" w:eastAsia="Times New Roman" w:hAnsi="Times New Roman"/>
          <w:iCs/>
          <w:lang w:eastAsia="sl-SI"/>
        </w:rPr>
        <w:t>kraujo krešėjime dalyvaujančių ląstelių skaičiaus sumažėjimas (trombocitopenija).</w:t>
      </w:r>
    </w:p>
    <w:p w14:paraId="6AA1571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4A97C3B5"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Labai reti šalutinio poveikio reiškiniai (gali pasireikšti rečiau kaip 1 iš 10 000 asmenų):</w:t>
      </w:r>
    </w:p>
    <w:p w14:paraId="3B3BDE3B" w14:textId="77777777" w:rsidR="0090144E" w:rsidRPr="0090144E" w:rsidRDefault="0090144E" w:rsidP="0090144E">
      <w:pPr>
        <w:widowControl w:val="0"/>
        <w:numPr>
          <w:ilvl w:val="0"/>
          <w:numId w:val="41"/>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iCs/>
          <w:lang w:eastAsia="sl-SI"/>
        </w:rPr>
        <w:t>inkstų uždegimas (tubulointersticinis nefritas).</w:t>
      </w:r>
    </w:p>
    <w:p w14:paraId="02C9515B"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0042D453" w14:textId="77777777" w:rsidR="0090144E" w:rsidRPr="0090144E" w:rsidRDefault="0090144E" w:rsidP="0090144E">
      <w:pPr>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Šalutinio poveikio reiškiniai, kurių dažnis nežinomas (negali būti apskaičiuotas pagal turimus duomenis):</w:t>
      </w:r>
    </w:p>
    <w:p w14:paraId="1ED8137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būklės, sukeliančios plaučių uždegimą ir randėjimą (intersticinė plaučių liga);</w:t>
      </w:r>
    </w:p>
    <w:p w14:paraId="626FF6F2"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vėmimas;</w:t>
      </w:r>
    </w:p>
    <w:p w14:paraId="7C61845E"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odos kraujagyslių uždegimas (odos vaskulitas);</w:t>
      </w:r>
    </w:p>
    <w:p w14:paraId="441FFDE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pūslinis pemfigoidas (tam tikras odos pūslių tipas);</w:t>
      </w:r>
    </w:p>
    <w:p w14:paraId="1A5CC5E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raumenų maudimas ir skausmas (mialgija);</w:t>
      </w:r>
    </w:p>
    <w:p w14:paraId="7421558E"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sąnarių liga (artropatija), įskaitant sąnarių sustingimą (artralgiją);</w:t>
      </w:r>
    </w:p>
    <w:p w14:paraId="2D9A20A7" w14:textId="3319B2D7" w:rsidR="00492E2F"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snapToGrid w:val="0"/>
          <w:szCs w:val="20"/>
        </w:rPr>
      </w:pPr>
      <w:r w:rsidRPr="0090144E">
        <w:rPr>
          <w:rFonts w:ascii="Times New Roman" w:eastAsia="Times New Roman" w:hAnsi="Times New Roman"/>
          <w:lang w:eastAsia="sl-SI"/>
        </w:rPr>
        <w:t>inkstų funkcijos susilpnėjimas (įskaitant inkstų funkcijos sutrikimą ir ūminį inkstų nepakankamumą).</w:t>
      </w:r>
    </w:p>
    <w:p w14:paraId="6DC4152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166C4D64" w14:textId="77777777" w:rsidR="00492E2F" w:rsidRDefault="003B68F9">
      <w:pPr>
        <w:spacing w:after="0" w:line="240" w:lineRule="auto"/>
        <w:jc w:val="both"/>
        <w:rPr>
          <w:rFonts w:ascii="Times New Roman" w:eastAsia="Times New Roman" w:hAnsi="Times New Roman"/>
          <w:lang w:eastAsia="lt-LT"/>
        </w:rPr>
      </w:pPr>
      <w:r>
        <w:rPr>
          <w:rFonts w:ascii="Times New Roman" w:eastAsia="Times New Roman" w:hAnsi="Times New Roman"/>
          <w:b/>
          <w:bCs/>
          <w:lang w:eastAsia="lt-LT"/>
        </w:rPr>
        <w:t>Pranešimas apie šalutinį poveikį</w:t>
      </w:r>
    </w:p>
    <w:p w14:paraId="53E1AF19" w14:textId="1B7D3FA5" w:rsidR="00492E2F" w:rsidRDefault="003B68F9">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E24A5F">
        <w:rPr>
          <w:rFonts w:ascii="Times New Roman" w:eastAsia="Times New Roman" w:hAnsi="Times New Roman"/>
          <w:lang w:eastAsia="lt-LT"/>
        </w:rPr>
        <w:t>+370</w:t>
      </w:r>
      <w:r>
        <w:rPr>
          <w:rFonts w:ascii="Times New Roman" w:eastAsia="Times New Roman" w:hAnsi="Times New Roman"/>
          <w:lang w:eastAsia="lt-LT"/>
        </w:rPr>
        <w:t xml:space="preserve"> 800 73 568. Pranešdami apie šalutinį poveikį galite mums padėti gauti daugiau informacijos apie šio vaisto saugumą</w:t>
      </w:r>
      <w:r>
        <w:rPr>
          <w:rFonts w:ascii="Times New Roman" w:eastAsia="Times New Roman" w:hAnsi="Times New Roman"/>
          <w:szCs w:val="20"/>
        </w:rPr>
        <w:t>.</w:t>
      </w:r>
    </w:p>
    <w:p w14:paraId="14072DA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726EEB6E"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244AC8A8" w14:textId="7C0227C8"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b w:val="0"/>
          <w:sz w:val="22"/>
          <w:szCs w:val="22"/>
          <w:lang w:val="lt-LT"/>
        </w:rPr>
        <w:tab/>
      </w:r>
      <w:r w:rsidR="0091396C">
        <w:rPr>
          <w:rFonts w:ascii="Times New Roman" w:hAnsi="Times New Roman"/>
          <w:sz w:val="22"/>
          <w:szCs w:val="22"/>
          <w:lang w:val="lt-LT"/>
        </w:rPr>
        <w:t>K</w:t>
      </w:r>
      <w:r>
        <w:rPr>
          <w:rFonts w:ascii="Times New Roman" w:hAnsi="Times New Roman"/>
          <w:sz w:val="22"/>
          <w:szCs w:val="22"/>
          <w:lang w:val="lt-LT"/>
        </w:rPr>
        <w:t xml:space="preserve">aip laikyti </w:t>
      </w:r>
      <w:r w:rsidR="002F33BE">
        <w:rPr>
          <w:rFonts w:ascii="Times New Roman" w:hAnsi="Times New Roman"/>
          <w:sz w:val="22"/>
          <w:szCs w:val="22"/>
          <w:lang w:val="lt-LT"/>
        </w:rPr>
        <w:t>Axigalu</w:t>
      </w:r>
    </w:p>
    <w:p w14:paraId="6400ABDF"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08CE77DC" w14:textId="77777777" w:rsidR="00492E2F" w:rsidRDefault="003B68F9">
      <w:pPr>
        <w:spacing w:after="0" w:line="240" w:lineRule="auto"/>
        <w:rPr>
          <w:rFonts w:ascii="Times New Roman" w:eastAsia="Cambria" w:hAnsi="Times New Roman"/>
        </w:rPr>
      </w:pPr>
      <w:r>
        <w:rPr>
          <w:rFonts w:ascii="Times New Roman" w:eastAsia="Cambria" w:hAnsi="Times New Roman"/>
        </w:rPr>
        <w:t>Šį vaistą laikykite vaikams nepastebimoje ir nepasiekiamoje vietoje.</w:t>
      </w:r>
    </w:p>
    <w:p w14:paraId="73D8F156" w14:textId="77777777" w:rsidR="00492E2F" w:rsidRDefault="00492E2F">
      <w:pPr>
        <w:spacing w:after="0" w:line="240" w:lineRule="auto"/>
        <w:rPr>
          <w:rFonts w:ascii="Times New Roman" w:eastAsia="Cambria" w:hAnsi="Times New Roman"/>
        </w:rPr>
      </w:pPr>
    </w:p>
    <w:p w14:paraId="64AF55D8" w14:textId="2EFF60E7" w:rsidR="00492E2F" w:rsidRDefault="003B68F9">
      <w:pPr>
        <w:spacing w:after="0" w:line="240" w:lineRule="auto"/>
        <w:rPr>
          <w:rFonts w:ascii="Times New Roman" w:eastAsia="Cambria" w:hAnsi="Times New Roman"/>
        </w:rPr>
      </w:pPr>
      <w:r>
        <w:rPr>
          <w:rFonts w:ascii="Times New Roman" w:eastAsia="Cambria" w:hAnsi="Times New Roman"/>
        </w:rPr>
        <w:t xml:space="preserve">Ant </w:t>
      </w:r>
      <w:r w:rsidR="00D75107">
        <w:rPr>
          <w:rFonts w:ascii="Times New Roman" w:eastAsia="Cambria" w:hAnsi="Times New Roman"/>
        </w:rPr>
        <w:t>dėžutės ir lizdinės plokštelės</w:t>
      </w:r>
      <w:r>
        <w:rPr>
          <w:rFonts w:ascii="Times New Roman" w:eastAsia="Cambria" w:hAnsi="Times New Roman"/>
        </w:rPr>
        <w:t xml:space="preserve"> po „EXP“ nurodytam tinkamumo laikui pasibaigus, šio vaisto vartoti negalima. Vaistas tinkamas vartoti iki paskutinės nurodyto mėnesio dienos.</w:t>
      </w:r>
    </w:p>
    <w:p w14:paraId="357D24FF" w14:textId="77777777" w:rsidR="00492E2F" w:rsidRDefault="00492E2F">
      <w:pPr>
        <w:spacing w:after="0" w:line="240" w:lineRule="auto"/>
        <w:rPr>
          <w:rFonts w:ascii="Times New Roman" w:eastAsia="Times New Roman" w:hAnsi="Times New Roman"/>
        </w:rPr>
      </w:pPr>
    </w:p>
    <w:p w14:paraId="2CF69E5B" w14:textId="57A02921" w:rsidR="00D35277" w:rsidRDefault="00D35277" w:rsidP="00D35277">
      <w:pPr>
        <w:spacing w:after="0" w:line="240" w:lineRule="auto"/>
        <w:rPr>
          <w:rFonts w:ascii="Times New Roman" w:eastAsia="Times New Roman" w:hAnsi="Times New Roman"/>
        </w:rPr>
      </w:pPr>
      <w:r>
        <w:rPr>
          <w:rFonts w:ascii="Times New Roman" w:eastAsia="Times New Roman" w:hAnsi="Times New Roman"/>
        </w:rPr>
        <w:t>Laikyti</w:t>
      </w:r>
      <w:r>
        <w:rPr>
          <w:rFonts w:ascii="Times New Roman" w:eastAsia="Times New Roman" w:hAnsi="Times New Roman"/>
          <w:lang w:eastAsia="sl-SI"/>
        </w:rPr>
        <w:t xml:space="preserve"> gamintojo pakuotėje</w:t>
      </w:r>
      <w:r>
        <w:rPr>
          <w:rFonts w:ascii="Times New Roman" w:eastAsia="Times New Roman" w:hAnsi="Times New Roman"/>
        </w:rPr>
        <w:t>, kad vaistas būtų apsaugotas nuo drėgmės.</w:t>
      </w:r>
    </w:p>
    <w:p w14:paraId="1D012933" w14:textId="77777777" w:rsidR="00492E2F" w:rsidRDefault="003B68F9">
      <w:pPr>
        <w:spacing w:after="0" w:line="240" w:lineRule="auto"/>
        <w:rPr>
          <w:rFonts w:ascii="Times New Roman" w:eastAsia="Times New Roman" w:hAnsi="Times New Roman"/>
        </w:rPr>
      </w:pPr>
      <w:r>
        <w:rPr>
          <w:rFonts w:ascii="Times New Roman" w:eastAsia="Times New Roman" w:hAnsi="Times New Roman"/>
        </w:rPr>
        <w:t>Šio vaisto laikymui specialių temperatūros sąlygų nereikalaujama.</w:t>
      </w:r>
    </w:p>
    <w:p w14:paraId="300251C7" w14:textId="77777777" w:rsidR="00492E2F" w:rsidRDefault="00492E2F">
      <w:pPr>
        <w:spacing w:after="0" w:line="240" w:lineRule="auto"/>
        <w:rPr>
          <w:rFonts w:ascii="Times New Roman" w:eastAsia="Cambria" w:hAnsi="Times New Roman"/>
        </w:rPr>
      </w:pPr>
    </w:p>
    <w:p w14:paraId="6407FEC1" w14:textId="77777777" w:rsidR="00492E2F" w:rsidRDefault="003B68F9">
      <w:pPr>
        <w:spacing w:after="0" w:line="240" w:lineRule="auto"/>
        <w:rPr>
          <w:rFonts w:ascii="Times New Roman" w:eastAsia="Cambria" w:hAnsi="Times New Roman"/>
        </w:rPr>
      </w:pPr>
      <w:r>
        <w:rPr>
          <w:rFonts w:ascii="Times New Roman" w:eastAsia="Cambria" w:hAnsi="Times New Roman"/>
        </w:rPr>
        <w:t>Vaistų negalima išmesti į kanalizaciją arba su buitinėmis atliekomis. Kaip išmesti nereikalingus vaistus, klauskite vaistininko. Šios priemonės padės apsaugoti aplinką.</w:t>
      </w:r>
    </w:p>
    <w:p w14:paraId="21C52C8C" w14:textId="77777777" w:rsidR="00492E2F" w:rsidRDefault="00492E2F">
      <w:pPr>
        <w:numPr>
          <w:ilvl w:val="12"/>
          <w:numId w:val="0"/>
        </w:numPr>
        <w:spacing w:after="0" w:line="240" w:lineRule="auto"/>
        <w:rPr>
          <w:rFonts w:ascii="Times New Roman" w:hAnsi="Times New Roman"/>
          <w:noProof/>
        </w:rPr>
      </w:pPr>
    </w:p>
    <w:p w14:paraId="244AC90F" w14:textId="77777777" w:rsidR="00492E2F" w:rsidRDefault="00492E2F">
      <w:pPr>
        <w:numPr>
          <w:ilvl w:val="12"/>
          <w:numId w:val="0"/>
        </w:numPr>
        <w:spacing w:after="0" w:line="240" w:lineRule="auto"/>
        <w:rPr>
          <w:rFonts w:ascii="Times New Roman" w:hAnsi="Times New Roman"/>
          <w:noProof/>
        </w:rPr>
      </w:pPr>
    </w:p>
    <w:p w14:paraId="641001E3" w14:textId="77777777"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55255F91" w14:textId="77777777" w:rsidR="00492E2F" w:rsidRDefault="00492E2F">
      <w:pPr>
        <w:numPr>
          <w:ilvl w:val="12"/>
          <w:numId w:val="0"/>
        </w:numPr>
        <w:spacing w:after="0" w:line="240" w:lineRule="auto"/>
        <w:rPr>
          <w:rFonts w:ascii="Times New Roman" w:hAnsi="Times New Roman"/>
        </w:rPr>
      </w:pPr>
    </w:p>
    <w:p w14:paraId="15D0326B" w14:textId="66CAEF77" w:rsidR="00492E2F" w:rsidRDefault="002F33BE">
      <w:pPr>
        <w:pStyle w:val="Antrat4"/>
        <w:rPr>
          <w:rFonts w:ascii="Times New Roman" w:hAnsi="Times New Roman"/>
          <w:sz w:val="22"/>
          <w:szCs w:val="22"/>
          <w:lang w:val="lt-LT"/>
        </w:rPr>
      </w:pPr>
      <w:r>
        <w:rPr>
          <w:rFonts w:ascii="Times New Roman" w:hAnsi="Times New Roman"/>
          <w:sz w:val="22"/>
          <w:szCs w:val="22"/>
          <w:lang w:val="lt-LT"/>
        </w:rPr>
        <w:t>Axigalu</w:t>
      </w:r>
      <w:r w:rsidR="003B68F9">
        <w:rPr>
          <w:rFonts w:ascii="Times New Roman" w:hAnsi="Times New Roman"/>
          <w:sz w:val="22"/>
          <w:szCs w:val="22"/>
          <w:lang w:val="lt-LT"/>
        </w:rPr>
        <w:t xml:space="preserve"> sudėtis</w:t>
      </w:r>
    </w:p>
    <w:p w14:paraId="5BCDF643" w14:textId="1601AFD6" w:rsidR="00492E2F" w:rsidRPr="004F346B" w:rsidRDefault="003B68F9" w:rsidP="004F346B">
      <w:pPr>
        <w:numPr>
          <w:ilvl w:val="0"/>
          <w:numId w:val="5"/>
        </w:numPr>
        <w:spacing w:after="0" w:line="240" w:lineRule="auto"/>
        <w:ind w:left="567" w:hanging="567"/>
        <w:rPr>
          <w:rFonts w:ascii="Times New Roman" w:hAnsi="Times New Roman"/>
        </w:rPr>
      </w:pPr>
      <w:r>
        <w:rPr>
          <w:rFonts w:ascii="Times New Roman" w:hAnsi="Times New Roman"/>
          <w:noProof/>
        </w:rPr>
        <w:t xml:space="preserve">Veikliosios medžiagos yra </w:t>
      </w:r>
      <w:r w:rsidR="004F346B">
        <w:rPr>
          <w:rFonts w:ascii="Times New Roman" w:hAnsi="Times New Roman"/>
        </w:rPr>
        <w:t>sitagliptinas ir dapagliflozinas</w:t>
      </w:r>
      <w:r>
        <w:rPr>
          <w:rFonts w:ascii="Times New Roman" w:hAnsi="Times New Roman"/>
          <w:noProof/>
        </w:rPr>
        <w:t>.</w:t>
      </w:r>
      <w:r w:rsidR="004F346B">
        <w:rPr>
          <w:rFonts w:ascii="Times New Roman" w:hAnsi="Times New Roman"/>
        </w:rPr>
        <w:t xml:space="preserve"> </w:t>
      </w:r>
      <w:r w:rsidRPr="004F346B">
        <w:rPr>
          <w:rFonts w:ascii="Times New Roman" w:hAnsi="Times New Roman"/>
          <w:bCs/>
        </w:rPr>
        <w:t xml:space="preserve">Kiekvienoje </w:t>
      </w:r>
      <w:r w:rsidR="004F346B">
        <w:rPr>
          <w:rFonts w:ascii="Times New Roman" w:eastAsia="Arial Unicode MS" w:hAnsi="Times New Roman"/>
          <w:bCs/>
          <w:noProof/>
          <w:color w:val="000000"/>
        </w:rPr>
        <w:t>plėvele dengtoje tabletėje yra 100 mg sitagliptino (</w:t>
      </w:r>
      <w:r w:rsidR="004F346B" w:rsidRPr="00D35343">
        <w:rPr>
          <w:rFonts w:ascii="Times New Roman" w:eastAsia="Arial Unicode MS" w:hAnsi="Times New Roman"/>
          <w:bCs/>
          <w:noProof/>
          <w:color w:val="000000"/>
        </w:rPr>
        <w:t>sitagliptino fosfato monohidrato pavidalu</w:t>
      </w:r>
      <w:r w:rsidR="004F346B">
        <w:rPr>
          <w:rFonts w:ascii="Times New Roman" w:eastAsia="Arial Unicode MS" w:hAnsi="Times New Roman"/>
          <w:bCs/>
          <w:noProof/>
          <w:color w:val="000000"/>
        </w:rPr>
        <w:t>)</w:t>
      </w:r>
      <w:r w:rsidR="004F346B" w:rsidRPr="00D35343">
        <w:rPr>
          <w:rFonts w:ascii="Times New Roman" w:eastAsia="Arial Unicode MS" w:hAnsi="Times New Roman"/>
          <w:bCs/>
          <w:noProof/>
          <w:color w:val="000000"/>
        </w:rPr>
        <w:t xml:space="preserve"> </w:t>
      </w:r>
      <w:r w:rsidR="00174C7A">
        <w:rPr>
          <w:rFonts w:ascii="Times New Roman" w:eastAsia="Arial Unicode MS" w:hAnsi="Times New Roman"/>
          <w:bCs/>
          <w:noProof/>
          <w:color w:val="000000"/>
        </w:rPr>
        <w:t xml:space="preserve">ir </w:t>
      </w:r>
      <w:r w:rsidR="004F346B">
        <w:rPr>
          <w:rFonts w:ascii="Times New Roman" w:eastAsia="Arial Unicode MS" w:hAnsi="Times New Roman"/>
          <w:bCs/>
          <w:noProof/>
          <w:color w:val="000000"/>
        </w:rPr>
        <w:t>10 mg dapagliflozino (</w:t>
      </w:r>
      <w:r w:rsidR="004F346B" w:rsidRPr="00D35343">
        <w:rPr>
          <w:rFonts w:ascii="Times New Roman" w:eastAsia="Arial Unicode MS" w:hAnsi="Times New Roman"/>
          <w:bCs/>
          <w:noProof/>
          <w:color w:val="000000"/>
        </w:rPr>
        <w:t xml:space="preserve">dapagliflozino propandiolio monohidrato </w:t>
      </w:r>
      <w:r w:rsidR="002263DF">
        <w:rPr>
          <w:rFonts w:ascii="Times New Roman" w:eastAsia="Arial Unicode MS" w:hAnsi="Times New Roman"/>
          <w:bCs/>
          <w:noProof/>
          <w:color w:val="000000"/>
        </w:rPr>
        <w:t>pavidalu</w:t>
      </w:r>
      <w:r w:rsidR="004F346B">
        <w:rPr>
          <w:rFonts w:ascii="Times New Roman" w:eastAsia="Arial Unicode MS" w:hAnsi="Times New Roman"/>
          <w:bCs/>
          <w:noProof/>
          <w:color w:val="000000"/>
        </w:rPr>
        <w:t>)</w:t>
      </w:r>
      <w:r w:rsidRPr="004F346B">
        <w:rPr>
          <w:rFonts w:ascii="Times New Roman" w:hAnsi="Times New Roman"/>
          <w:bCs/>
        </w:rPr>
        <w:t>.</w:t>
      </w:r>
    </w:p>
    <w:p w14:paraId="212E2A94" w14:textId="59C3524C" w:rsidR="004F346B" w:rsidRPr="004F346B" w:rsidRDefault="003B68F9">
      <w:pPr>
        <w:widowControl w:val="0"/>
        <w:numPr>
          <w:ilvl w:val="0"/>
          <w:numId w:val="30"/>
        </w:numPr>
        <w:tabs>
          <w:tab w:val="left" w:pos="567"/>
        </w:tabs>
        <w:autoSpaceDE w:val="0"/>
        <w:autoSpaceDN w:val="0"/>
        <w:adjustRightInd w:val="0"/>
        <w:spacing w:after="0" w:line="240" w:lineRule="auto"/>
        <w:ind w:left="567" w:hanging="567"/>
        <w:rPr>
          <w:rFonts w:ascii="Times New Roman" w:eastAsia="Times New Roman" w:hAnsi="Times New Roman"/>
          <w:noProof/>
          <w:lang w:val="en-GB" w:eastAsia="sl-SI"/>
        </w:rPr>
      </w:pPr>
      <w:r>
        <w:rPr>
          <w:rFonts w:ascii="Times New Roman" w:hAnsi="Times New Roman"/>
          <w:noProof/>
        </w:rPr>
        <w:t>Pagalbinės medžiagos</w:t>
      </w:r>
      <w:r w:rsidR="004F346B">
        <w:rPr>
          <w:rFonts w:ascii="Times New Roman" w:hAnsi="Times New Roman"/>
          <w:noProof/>
        </w:rPr>
        <w:t>:</w:t>
      </w:r>
    </w:p>
    <w:p w14:paraId="0355A5B9" w14:textId="0584F4AE" w:rsidR="004F346B" w:rsidRPr="004F346B" w:rsidRDefault="004F346B" w:rsidP="004F346B">
      <w:pPr>
        <w:widowControl w:val="0"/>
        <w:tabs>
          <w:tab w:val="left" w:pos="567"/>
        </w:tabs>
        <w:autoSpaceDE w:val="0"/>
        <w:autoSpaceDN w:val="0"/>
        <w:adjustRightInd w:val="0"/>
        <w:spacing w:after="0" w:line="240" w:lineRule="auto"/>
        <w:ind w:left="567"/>
        <w:rPr>
          <w:rFonts w:ascii="Times New Roman" w:eastAsia="Times New Roman" w:hAnsi="Times New Roman"/>
          <w:noProof/>
          <w:lang w:val="en-GB" w:eastAsia="sl-SI"/>
        </w:rPr>
      </w:pPr>
      <w:r w:rsidRPr="004F346B">
        <w:rPr>
          <w:rFonts w:ascii="Times New Roman" w:eastAsia="Times New Roman" w:hAnsi="Times New Roman"/>
          <w:noProof/>
          <w:lang w:val="en-GB" w:eastAsia="sl-SI"/>
        </w:rPr>
        <w:t>˗</w:t>
      </w:r>
      <w:r w:rsidRPr="004F346B">
        <w:rPr>
          <w:rFonts w:ascii="Times New Roman" w:eastAsia="Times New Roman" w:hAnsi="Times New Roman"/>
          <w:noProof/>
          <w:lang w:val="en-GB" w:eastAsia="sl-SI"/>
        </w:rPr>
        <w:tab/>
        <w:t>tablet</w:t>
      </w:r>
      <w:r>
        <w:rPr>
          <w:rFonts w:ascii="Times New Roman" w:eastAsia="Times New Roman" w:hAnsi="Times New Roman"/>
          <w:noProof/>
          <w:lang w:val="en-GB" w:eastAsia="sl-SI"/>
        </w:rPr>
        <w:t>ės branduolyje</w:t>
      </w:r>
      <w:r w:rsidRPr="004F346B">
        <w:rPr>
          <w:rFonts w:ascii="Times New Roman" w:eastAsia="Times New Roman" w:hAnsi="Times New Roman"/>
          <w:noProof/>
          <w:lang w:val="en-GB" w:eastAsia="sl-SI"/>
        </w:rPr>
        <w:t xml:space="preserve">: </w:t>
      </w:r>
      <w:r>
        <w:rPr>
          <w:rFonts w:ascii="Times New Roman" w:eastAsia="Times New Roman" w:hAnsi="Times New Roman"/>
          <w:noProof/>
          <w:lang w:val="en-GB" w:eastAsia="sl-SI"/>
        </w:rPr>
        <w:t>m</w:t>
      </w:r>
      <w:r w:rsidRPr="004F346B">
        <w:rPr>
          <w:rFonts w:ascii="Times New Roman" w:eastAsia="Times New Roman" w:hAnsi="Times New Roman"/>
          <w:noProof/>
          <w:lang w:val="en-GB" w:eastAsia="sl-SI"/>
        </w:rPr>
        <w:t>ikrokristalinė celiuliozė</w:t>
      </w:r>
      <w:r>
        <w:rPr>
          <w:rFonts w:ascii="Times New Roman" w:eastAsia="Times New Roman" w:hAnsi="Times New Roman"/>
          <w:noProof/>
          <w:lang w:val="en-GB" w:eastAsia="sl-SI"/>
        </w:rPr>
        <w:t>, m</w:t>
      </w:r>
      <w:r w:rsidRPr="004F346B">
        <w:rPr>
          <w:rFonts w:ascii="Times New Roman" w:eastAsia="Times New Roman" w:hAnsi="Times New Roman"/>
          <w:noProof/>
          <w:lang w:val="en-GB" w:eastAsia="sl-SI"/>
        </w:rPr>
        <w:t>anitolis</w:t>
      </w:r>
      <w:r>
        <w:rPr>
          <w:rFonts w:ascii="Times New Roman" w:eastAsia="Times New Roman" w:hAnsi="Times New Roman"/>
          <w:noProof/>
          <w:lang w:val="en-GB" w:eastAsia="sl-SI"/>
        </w:rPr>
        <w:t>, h</w:t>
      </w:r>
      <w:r w:rsidRPr="004F346B">
        <w:rPr>
          <w:rFonts w:ascii="Times New Roman" w:eastAsia="Times New Roman" w:hAnsi="Times New Roman"/>
          <w:noProof/>
          <w:lang w:val="en-GB" w:eastAsia="sl-SI"/>
        </w:rPr>
        <w:t>idroksipropilceliuliozė</w:t>
      </w:r>
      <w:r>
        <w:rPr>
          <w:rFonts w:ascii="Times New Roman" w:eastAsia="Times New Roman" w:hAnsi="Times New Roman"/>
          <w:noProof/>
          <w:lang w:val="en-GB" w:eastAsia="sl-SI"/>
        </w:rPr>
        <w:t>, k</w:t>
      </w:r>
      <w:r w:rsidRPr="004F346B">
        <w:rPr>
          <w:rFonts w:ascii="Times New Roman" w:eastAsia="Times New Roman" w:hAnsi="Times New Roman"/>
          <w:noProof/>
          <w:lang w:val="en-GB" w:eastAsia="sl-SI"/>
        </w:rPr>
        <w:t>rospovidonas (A tipo)</w:t>
      </w:r>
      <w:r>
        <w:rPr>
          <w:rFonts w:ascii="Times New Roman" w:eastAsia="Times New Roman" w:hAnsi="Times New Roman"/>
          <w:noProof/>
          <w:lang w:val="en-GB" w:eastAsia="sl-SI"/>
        </w:rPr>
        <w:t>, k</w:t>
      </w:r>
      <w:r w:rsidRPr="004F346B">
        <w:rPr>
          <w:rFonts w:ascii="Times New Roman" w:eastAsia="Times New Roman" w:hAnsi="Times New Roman"/>
          <w:noProof/>
          <w:lang w:val="en-GB" w:eastAsia="sl-SI"/>
        </w:rPr>
        <w:t xml:space="preserve">oloidinis </w:t>
      </w:r>
      <w:r w:rsidR="00174C7A" w:rsidRPr="004F346B">
        <w:rPr>
          <w:rFonts w:ascii="Times New Roman" w:eastAsia="Times New Roman" w:hAnsi="Times New Roman"/>
          <w:noProof/>
          <w:lang w:val="en-GB" w:eastAsia="sl-SI"/>
        </w:rPr>
        <w:t xml:space="preserve">bevandenis </w:t>
      </w:r>
      <w:r w:rsidRPr="004F346B">
        <w:rPr>
          <w:rFonts w:ascii="Times New Roman" w:eastAsia="Times New Roman" w:hAnsi="Times New Roman"/>
          <w:noProof/>
          <w:lang w:val="en-GB" w:eastAsia="sl-SI"/>
        </w:rPr>
        <w:t>silicio dioksidas</w:t>
      </w:r>
      <w:r w:rsidR="003434C5">
        <w:rPr>
          <w:rFonts w:ascii="Times New Roman" w:eastAsia="Times New Roman" w:hAnsi="Times New Roman"/>
          <w:noProof/>
          <w:lang w:val="en-GB" w:eastAsia="sl-SI"/>
        </w:rPr>
        <w:t xml:space="preserve"> ir</w:t>
      </w:r>
      <w:r>
        <w:rPr>
          <w:rFonts w:ascii="Times New Roman" w:eastAsia="Times New Roman" w:hAnsi="Times New Roman"/>
          <w:noProof/>
          <w:lang w:val="en-GB" w:eastAsia="sl-SI"/>
        </w:rPr>
        <w:t xml:space="preserve"> m</w:t>
      </w:r>
      <w:r w:rsidRPr="004F346B">
        <w:rPr>
          <w:rFonts w:ascii="Times New Roman" w:eastAsia="Times New Roman" w:hAnsi="Times New Roman"/>
          <w:noProof/>
          <w:lang w:val="en-GB" w:eastAsia="sl-SI"/>
        </w:rPr>
        <w:t>agnio stearatas</w:t>
      </w:r>
      <w:r>
        <w:rPr>
          <w:rFonts w:ascii="Times New Roman" w:eastAsia="Times New Roman" w:hAnsi="Times New Roman"/>
          <w:noProof/>
          <w:lang w:val="en-GB" w:eastAsia="sl-SI"/>
        </w:rPr>
        <w:t>.</w:t>
      </w:r>
    </w:p>
    <w:p w14:paraId="639FA0B1" w14:textId="58AB6644" w:rsidR="00DE5017" w:rsidRPr="00DE5017" w:rsidRDefault="004F346B" w:rsidP="00DE5017">
      <w:pPr>
        <w:widowControl w:val="0"/>
        <w:tabs>
          <w:tab w:val="left" w:pos="567"/>
        </w:tabs>
        <w:autoSpaceDE w:val="0"/>
        <w:autoSpaceDN w:val="0"/>
        <w:adjustRightInd w:val="0"/>
        <w:spacing w:after="0" w:line="240" w:lineRule="auto"/>
        <w:ind w:left="567"/>
        <w:rPr>
          <w:rFonts w:ascii="Times New Roman" w:eastAsia="Times New Roman" w:hAnsi="Times New Roman"/>
          <w:noProof/>
          <w:lang w:eastAsia="sl-SI"/>
        </w:rPr>
      </w:pPr>
      <w:r w:rsidRPr="0030702D">
        <w:rPr>
          <w:rFonts w:ascii="Times New Roman" w:hAnsi="Times New Roman"/>
          <w:lang w:val="pt-PT"/>
        </w:rPr>
        <w:t>˗</w:t>
      </w:r>
      <w:r w:rsidRPr="0030702D">
        <w:rPr>
          <w:rFonts w:ascii="Times New Roman" w:hAnsi="Times New Roman"/>
          <w:lang w:val="pt-PT"/>
        </w:rPr>
        <w:tab/>
      </w:r>
      <w:r w:rsidR="00DE5017" w:rsidRPr="0030702D">
        <w:rPr>
          <w:rFonts w:ascii="Times New Roman" w:hAnsi="Times New Roman"/>
          <w:lang w:val="pt-PT"/>
        </w:rPr>
        <w:t>tabletės plėvelėje</w:t>
      </w:r>
      <w:r w:rsidRPr="0030702D">
        <w:rPr>
          <w:rFonts w:ascii="Times New Roman" w:hAnsi="Times New Roman"/>
          <w:lang w:val="pt-PT"/>
        </w:rPr>
        <w:t xml:space="preserve">: </w:t>
      </w:r>
      <w:r w:rsidR="00DE5017">
        <w:rPr>
          <w:rFonts w:ascii="Times New Roman" w:eastAsia="Times New Roman" w:hAnsi="Times New Roman"/>
          <w:noProof/>
          <w:lang w:eastAsia="sl-SI"/>
        </w:rPr>
        <w:t>p</w:t>
      </w:r>
      <w:r w:rsidR="00DE5017" w:rsidRPr="00DE5017">
        <w:rPr>
          <w:rFonts w:ascii="Times New Roman" w:eastAsia="Times New Roman" w:hAnsi="Times New Roman"/>
          <w:noProof/>
          <w:lang w:eastAsia="sl-SI"/>
        </w:rPr>
        <w:t>olivinilo alkoholis</w:t>
      </w:r>
      <w:r w:rsidR="00DE5017">
        <w:rPr>
          <w:rFonts w:ascii="Times New Roman" w:eastAsia="Times New Roman" w:hAnsi="Times New Roman"/>
          <w:noProof/>
          <w:lang w:eastAsia="sl-SI"/>
        </w:rPr>
        <w:t>, m</w:t>
      </w:r>
      <w:r w:rsidR="00DE5017" w:rsidRPr="00DE5017">
        <w:rPr>
          <w:rFonts w:ascii="Times New Roman" w:eastAsia="Times New Roman" w:hAnsi="Times New Roman"/>
          <w:noProof/>
          <w:lang w:eastAsia="sl-SI"/>
        </w:rPr>
        <w:t>akrogolis 3350</w:t>
      </w:r>
      <w:r w:rsidR="00DE5017">
        <w:rPr>
          <w:rFonts w:ascii="Times New Roman" w:eastAsia="Times New Roman" w:hAnsi="Times New Roman"/>
          <w:noProof/>
          <w:lang w:eastAsia="sl-SI"/>
        </w:rPr>
        <w:t>, t</w:t>
      </w:r>
      <w:r w:rsidR="00DE5017" w:rsidRPr="00DE5017">
        <w:rPr>
          <w:rFonts w:ascii="Times New Roman" w:eastAsia="Times New Roman" w:hAnsi="Times New Roman"/>
          <w:noProof/>
          <w:lang w:eastAsia="sl-SI"/>
        </w:rPr>
        <w:t>itano dioksidas</w:t>
      </w:r>
      <w:r w:rsidR="00DE5017">
        <w:rPr>
          <w:rFonts w:ascii="Times New Roman" w:eastAsia="Times New Roman" w:hAnsi="Times New Roman"/>
          <w:noProof/>
          <w:lang w:eastAsia="sl-SI"/>
        </w:rPr>
        <w:t xml:space="preserve"> (E171), t</w:t>
      </w:r>
      <w:r w:rsidR="00DE5017" w:rsidRPr="00DE5017">
        <w:rPr>
          <w:rFonts w:ascii="Times New Roman" w:eastAsia="Times New Roman" w:hAnsi="Times New Roman"/>
          <w:noProof/>
          <w:lang w:eastAsia="sl-SI"/>
        </w:rPr>
        <w:t>alkas</w:t>
      </w:r>
      <w:r w:rsidR="008A3465">
        <w:rPr>
          <w:rFonts w:ascii="Times New Roman" w:eastAsia="Times New Roman" w:hAnsi="Times New Roman"/>
          <w:noProof/>
          <w:lang w:eastAsia="sl-SI"/>
        </w:rPr>
        <w:t xml:space="preserve"> ir</w:t>
      </w:r>
      <w:r w:rsidR="00DE5017">
        <w:rPr>
          <w:rFonts w:ascii="Times New Roman" w:eastAsia="Times New Roman" w:hAnsi="Times New Roman"/>
          <w:noProof/>
          <w:lang w:eastAsia="sl-SI"/>
        </w:rPr>
        <w:t xml:space="preserve"> g</w:t>
      </w:r>
      <w:r w:rsidR="00DE5017" w:rsidRPr="00DE5017">
        <w:rPr>
          <w:rFonts w:ascii="Times New Roman" w:eastAsia="Times New Roman" w:hAnsi="Times New Roman"/>
          <w:noProof/>
          <w:lang w:eastAsia="sl-SI"/>
        </w:rPr>
        <w:t>eltonasis geležies oksidas</w:t>
      </w:r>
      <w:r w:rsidR="00DE5017">
        <w:rPr>
          <w:rFonts w:ascii="Times New Roman" w:eastAsia="Times New Roman" w:hAnsi="Times New Roman"/>
          <w:noProof/>
          <w:lang w:eastAsia="sl-SI"/>
        </w:rPr>
        <w:t xml:space="preserve"> (E172).</w:t>
      </w:r>
    </w:p>
    <w:p w14:paraId="06BBA2F0" w14:textId="77777777" w:rsidR="00492E2F" w:rsidRPr="0030702D" w:rsidRDefault="00492E2F">
      <w:pPr>
        <w:widowControl w:val="0"/>
        <w:tabs>
          <w:tab w:val="left" w:pos="567"/>
        </w:tabs>
        <w:autoSpaceDE w:val="0"/>
        <w:autoSpaceDN w:val="0"/>
        <w:adjustRightInd w:val="0"/>
        <w:spacing w:after="0" w:line="240" w:lineRule="auto"/>
        <w:rPr>
          <w:rFonts w:ascii="Times New Roman" w:hAnsi="Times New Roman"/>
          <w:lang w:val="pt-PT"/>
        </w:rPr>
      </w:pPr>
    </w:p>
    <w:p w14:paraId="67667D9E" w14:textId="5DF1A773" w:rsidR="00492E2F" w:rsidRDefault="002F33BE">
      <w:pPr>
        <w:pStyle w:val="Antrat4"/>
        <w:rPr>
          <w:rFonts w:ascii="Times New Roman" w:hAnsi="Times New Roman"/>
          <w:sz w:val="22"/>
          <w:szCs w:val="22"/>
          <w:lang w:val="lt-LT"/>
        </w:rPr>
      </w:pPr>
      <w:bookmarkStart w:id="13" w:name="_Hlk161231430"/>
      <w:r>
        <w:rPr>
          <w:rFonts w:ascii="Times New Roman" w:hAnsi="Times New Roman"/>
          <w:sz w:val="22"/>
          <w:szCs w:val="22"/>
          <w:lang w:val="lt-LT"/>
        </w:rPr>
        <w:t>Axigalu</w:t>
      </w:r>
      <w:r w:rsidR="003B68F9">
        <w:rPr>
          <w:rFonts w:ascii="Times New Roman" w:hAnsi="Times New Roman"/>
          <w:sz w:val="22"/>
          <w:szCs w:val="22"/>
          <w:lang w:val="lt-LT"/>
        </w:rPr>
        <w:t xml:space="preserve"> </w:t>
      </w:r>
      <w:bookmarkEnd w:id="13"/>
      <w:r w:rsidR="003B68F9">
        <w:rPr>
          <w:rFonts w:ascii="Times New Roman" w:hAnsi="Times New Roman"/>
          <w:sz w:val="22"/>
          <w:szCs w:val="22"/>
          <w:lang w:val="lt-LT"/>
        </w:rPr>
        <w:t>išvaizda ir kiekis pakuotėje</w:t>
      </w:r>
    </w:p>
    <w:p w14:paraId="03A4E5C3" w14:textId="77777777" w:rsidR="00F77A04" w:rsidRDefault="00F77A04" w:rsidP="00F77A04">
      <w:pPr>
        <w:widowControl w:val="0"/>
        <w:spacing w:after="0" w:line="240" w:lineRule="auto"/>
        <w:rPr>
          <w:lang w:eastAsia="x-none"/>
        </w:rPr>
      </w:pPr>
    </w:p>
    <w:p w14:paraId="580FFB41" w14:textId="7826CD74" w:rsidR="00F77A04" w:rsidRDefault="00F77A04" w:rsidP="00F77A04">
      <w:pPr>
        <w:widowControl w:val="0"/>
        <w:spacing w:after="0" w:line="240" w:lineRule="auto"/>
        <w:rPr>
          <w:rFonts w:ascii="Times New Roman" w:eastAsia="Times New Roman" w:hAnsi="Times New Roman"/>
          <w:lang w:eastAsia="sl-SI"/>
        </w:rPr>
      </w:pPr>
      <w:r w:rsidRPr="008353F9">
        <w:rPr>
          <w:rFonts w:ascii="Times New Roman" w:eastAsia="Times New Roman" w:hAnsi="Times New Roman"/>
          <w:lang w:eastAsia="sl-SI"/>
        </w:rPr>
        <w:t xml:space="preserve">Rusvai geltonos, ovalios, abipus išgaubtos, plėvele dengtos tabletės. Tabletės </w:t>
      </w:r>
      <w:r>
        <w:rPr>
          <w:rFonts w:ascii="Times New Roman" w:eastAsia="Times New Roman" w:hAnsi="Times New Roman"/>
          <w:lang w:eastAsia="sl-SI"/>
        </w:rPr>
        <w:t>matmenys</w:t>
      </w:r>
      <w:r w:rsidRPr="008353F9">
        <w:rPr>
          <w:rFonts w:ascii="Times New Roman" w:eastAsia="Times New Roman" w:hAnsi="Times New Roman"/>
          <w:lang w:eastAsia="sl-SI"/>
        </w:rPr>
        <w:t>: maždaug 15</w:t>
      </w:r>
      <w:r>
        <w:rPr>
          <w:rFonts w:ascii="Times New Roman" w:eastAsia="Times New Roman" w:hAnsi="Times New Roman"/>
          <w:lang w:eastAsia="sl-SI"/>
        </w:rPr>
        <w:t> mm </w:t>
      </w:r>
      <w:r w:rsidRPr="008353F9">
        <w:rPr>
          <w:rFonts w:ascii="Times New Roman" w:eastAsia="Times New Roman" w:hAnsi="Times New Roman"/>
          <w:lang w:eastAsia="sl-SI"/>
        </w:rPr>
        <w:t>x</w:t>
      </w:r>
      <w:r>
        <w:rPr>
          <w:rFonts w:ascii="Times New Roman" w:eastAsia="Times New Roman" w:hAnsi="Times New Roman"/>
          <w:lang w:eastAsia="sl-SI"/>
        </w:rPr>
        <w:t> </w:t>
      </w:r>
      <w:r w:rsidRPr="008353F9">
        <w:rPr>
          <w:rFonts w:ascii="Times New Roman" w:eastAsia="Times New Roman" w:hAnsi="Times New Roman"/>
          <w:lang w:eastAsia="sl-SI"/>
        </w:rPr>
        <w:t>7</w:t>
      </w:r>
      <w:r>
        <w:rPr>
          <w:rFonts w:ascii="Times New Roman" w:eastAsia="Times New Roman" w:hAnsi="Times New Roman"/>
          <w:lang w:eastAsia="sl-SI"/>
        </w:rPr>
        <w:t> </w:t>
      </w:r>
      <w:r w:rsidRPr="008353F9">
        <w:rPr>
          <w:rFonts w:ascii="Times New Roman" w:eastAsia="Times New Roman" w:hAnsi="Times New Roman"/>
          <w:lang w:eastAsia="sl-SI"/>
        </w:rPr>
        <w:t>mm.</w:t>
      </w:r>
    </w:p>
    <w:p w14:paraId="0CEB2FDD" w14:textId="77777777" w:rsidR="00492E2F" w:rsidRDefault="00492E2F">
      <w:pPr>
        <w:numPr>
          <w:ilvl w:val="12"/>
          <w:numId w:val="0"/>
        </w:numPr>
        <w:spacing w:after="0" w:line="240" w:lineRule="auto"/>
        <w:rPr>
          <w:rFonts w:ascii="Times New Roman" w:hAnsi="Times New Roman"/>
        </w:rPr>
      </w:pPr>
    </w:p>
    <w:p w14:paraId="3597EECD" w14:textId="078A496D" w:rsidR="00492E2F" w:rsidRDefault="002F33BE">
      <w:pPr>
        <w:pStyle w:val="Pagrindiniotekstotrauka"/>
        <w:tabs>
          <w:tab w:val="left" w:pos="-142"/>
          <w:tab w:val="left" w:pos="284"/>
        </w:tabs>
        <w:ind w:left="0"/>
        <w:jc w:val="left"/>
        <w:rPr>
          <w:sz w:val="22"/>
          <w:szCs w:val="22"/>
          <w:lang w:val="lt-LT"/>
        </w:rPr>
      </w:pPr>
      <w:r>
        <w:rPr>
          <w:sz w:val="22"/>
          <w:szCs w:val="22"/>
          <w:lang w:val="lt-LT"/>
        </w:rPr>
        <w:t>Axigalu</w:t>
      </w:r>
      <w:r w:rsidR="003B68F9">
        <w:rPr>
          <w:sz w:val="22"/>
          <w:szCs w:val="22"/>
          <w:lang w:val="lt-LT"/>
        </w:rPr>
        <w:t xml:space="preserve"> plėvele dengtos tabletės tiekiamos pakuotėmis, kuriose yra:</w:t>
      </w:r>
    </w:p>
    <w:p w14:paraId="6FA4EEB7" w14:textId="69595512"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F77A04">
        <w:rPr>
          <w:rFonts w:ascii="Times New Roman" w:hAnsi="Times New Roman"/>
          <w:bCs/>
          <w:iCs/>
        </w:rPr>
        <w:t>10, 14, 28, 30, 56, 60, 84, 90, 98</w:t>
      </w:r>
      <w:r w:rsidR="00E725C9">
        <w:rPr>
          <w:rFonts w:ascii="Times New Roman" w:hAnsi="Times New Roman"/>
          <w:bCs/>
          <w:iCs/>
        </w:rPr>
        <w:t xml:space="preserve"> arba</w:t>
      </w:r>
      <w:r w:rsidRPr="00F77A04">
        <w:rPr>
          <w:rFonts w:ascii="Times New Roman" w:hAnsi="Times New Roman"/>
          <w:bCs/>
          <w:iCs/>
        </w:rPr>
        <w:t xml:space="preserve"> 100 plėvele dengtų tablečių </w:t>
      </w:r>
      <w:r w:rsidR="00BA5B54">
        <w:rPr>
          <w:rFonts w:ascii="Times New Roman" w:hAnsi="Times New Roman"/>
          <w:bCs/>
          <w:iCs/>
        </w:rPr>
        <w:t>lizdinė</w:t>
      </w:r>
      <w:r w:rsidR="00386F46">
        <w:rPr>
          <w:rFonts w:ascii="Times New Roman" w:hAnsi="Times New Roman"/>
          <w:bCs/>
          <w:iCs/>
        </w:rPr>
        <w:t>s</w:t>
      </w:r>
      <w:r w:rsidR="00BA5B54">
        <w:rPr>
          <w:rFonts w:ascii="Times New Roman" w:hAnsi="Times New Roman"/>
          <w:bCs/>
          <w:iCs/>
        </w:rPr>
        <w:t>e plokštelė</w:t>
      </w:r>
      <w:r w:rsidR="00386F46">
        <w:rPr>
          <w:rFonts w:ascii="Times New Roman" w:hAnsi="Times New Roman"/>
          <w:bCs/>
          <w:iCs/>
        </w:rPr>
        <w:t>s</w:t>
      </w:r>
      <w:r w:rsidR="00BA5B54">
        <w:rPr>
          <w:rFonts w:ascii="Times New Roman" w:hAnsi="Times New Roman"/>
          <w:bCs/>
          <w:iCs/>
        </w:rPr>
        <w:t>e</w:t>
      </w:r>
      <w:r w:rsidRPr="00F77A04">
        <w:rPr>
          <w:rFonts w:ascii="Times New Roman" w:hAnsi="Times New Roman"/>
          <w:bCs/>
          <w:iCs/>
        </w:rPr>
        <w:t>.</w:t>
      </w:r>
    </w:p>
    <w:p w14:paraId="2566C89C" w14:textId="6AE72A51"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F77A04">
        <w:rPr>
          <w:rFonts w:ascii="Times New Roman" w:hAnsi="Times New Roman"/>
          <w:bCs/>
          <w:iCs/>
        </w:rPr>
        <w:t>14, 28, 56, 84 arba 98 plėvele dengt</w:t>
      </w:r>
      <w:r w:rsidR="00BA5B54">
        <w:rPr>
          <w:rFonts w:ascii="Times New Roman" w:hAnsi="Times New Roman"/>
          <w:bCs/>
          <w:iCs/>
        </w:rPr>
        <w:t>os</w:t>
      </w:r>
      <w:r w:rsidRPr="00F77A04">
        <w:rPr>
          <w:rFonts w:ascii="Times New Roman" w:hAnsi="Times New Roman"/>
          <w:bCs/>
          <w:iCs/>
        </w:rPr>
        <w:t xml:space="preserve"> table</w:t>
      </w:r>
      <w:r w:rsidR="00BA5B54">
        <w:rPr>
          <w:rFonts w:ascii="Times New Roman" w:hAnsi="Times New Roman"/>
          <w:bCs/>
          <w:iCs/>
        </w:rPr>
        <w:t>tės</w:t>
      </w:r>
      <w:r w:rsidR="00BA5B54" w:rsidRPr="00BA5B54">
        <w:rPr>
          <w:rFonts w:ascii="Times New Roman" w:hAnsi="Times New Roman"/>
          <w:bCs/>
          <w:iCs/>
        </w:rPr>
        <w:t xml:space="preserve"> </w:t>
      </w:r>
      <w:r w:rsidR="00BA5B54">
        <w:rPr>
          <w:rFonts w:ascii="Times New Roman" w:hAnsi="Times New Roman"/>
          <w:bCs/>
          <w:iCs/>
        </w:rPr>
        <w:t>k</w:t>
      </w:r>
      <w:r w:rsidR="00BA5B54" w:rsidRPr="00F77A04">
        <w:rPr>
          <w:rFonts w:ascii="Times New Roman" w:hAnsi="Times New Roman"/>
          <w:bCs/>
          <w:iCs/>
        </w:rPr>
        <w:t>alendorinės pakuotės lizdinė</w:t>
      </w:r>
      <w:r w:rsidR="00386F46">
        <w:rPr>
          <w:rFonts w:ascii="Times New Roman" w:hAnsi="Times New Roman"/>
          <w:bCs/>
          <w:iCs/>
        </w:rPr>
        <w:t>s</w:t>
      </w:r>
      <w:r w:rsidR="00BA5B54">
        <w:rPr>
          <w:rFonts w:ascii="Times New Roman" w:hAnsi="Times New Roman"/>
          <w:bCs/>
          <w:iCs/>
        </w:rPr>
        <w:t>e</w:t>
      </w:r>
      <w:r w:rsidR="00BA5B54" w:rsidRPr="00F77A04">
        <w:rPr>
          <w:rFonts w:ascii="Times New Roman" w:hAnsi="Times New Roman"/>
          <w:bCs/>
          <w:iCs/>
        </w:rPr>
        <w:t xml:space="preserve"> plokštelė</w:t>
      </w:r>
      <w:r w:rsidR="00386F46">
        <w:rPr>
          <w:rFonts w:ascii="Times New Roman" w:hAnsi="Times New Roman"/>
          <w:bCs/>
          <w:iCs/>
        </w:rPr>
        <w:t>s</w:t>
      </w:r>
      <w:r w:rsidR="00BA5B54">
        <w:rPr>
          <w:rFonts w:ascii="Times New Roman" w:hAnsi="Times New Roman"/>
          <w:bCs/>
          <w:iCs/>
        </w:rPr>
        <w:t>e</w:t>
      </w:r>
      <w:r w:rsidRPr="00F77A04">
        <w:rPr>
          <w:rFonts w:ascii="Times New Roman" w:hAnsi="Times New Roman"/>
          <w:bCs/>
          <w:iCs/>
        </w:rPr>
        <w:t>.</w:t>
      </w:r>
    </w:p>
    <w:p w14:paraId="732AD253" w14:textId="3D1D2146"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hAnsi="Times New Roman"/>
        </w:rPr>
      </w:pPr>
      <w:r w:rsidRPr="00F77A04">
        <w:rPr>
          <w:rFonts w:ascii="Times New Roman" w:hAnsi="Times New Roman"/>
          <w:bCs/>
          <w:iCs/>
        </w:rPr>
        <w:t>10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1, 14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1, 28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w:t>
      </w:r>
      <w:bookmarkStart w:id="14" w:name="_Hlk153265524"/>
      <w:r w:rsidR="007A313C" w:rsidRPr="0030702D">
        <w:rPr>
          <w:rFonts w:ascii="Times New Roman" w:hAnsi="Times New Roman"/>
        </w:rPr>
        <w:t>30 x 1</w:t>
      </w:r>
      <w:bookmarkEnd w:id="14"/>
      <w:r w:rsidR="007A313C" w:rsidRPr="0030702D">
        <w:rPr>
          <w:rFonts w:ascii="Times New Roman" w:hAnsi="Times New Roman"/>
        </w:rPr>
        <w:t xml:space="preserve">, 56 x 1, </w:t>
      </w:r>
      <w:r w:rsidRPr="00F77A04">
        <w:rPr>
          <w:rFonts w:ascii="Times New Roman" w:hAnsi="Times New Roman"/>
          <w:bCs/>
          <w:iCs/>
        </w:rPr>
        <w:t>60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1, 84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1, 90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1, 98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arba 100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plėvele dengta tabletė </w:t>
      </w:r>
      <w:r w:rsidR="006B0DA5">
        <w:rPr>
          <w:rFonts w:ascii="Times New Roman" w:hAnsi="Times New Roman"/>
          <w:bCs/>
          <w:iCs/>
        </w:rPr>
        <w:t>p</w:t>
      </w:r>
      <w:r w:rsidR="006B0DA5" w:rsidRPr="00F77A04">
        <w:rPr>
          <w:rFonts w:ascii="Times New Roman" w:hAnsi="Times New Roman"/>
          <w:bCs/>
          <w:iCs/>
        </w:rPr>
        <w:t>erforuot</w:t>
      </w:r>
      <w:r w:rsidR="006B0DA5">
        <w:rPr>
          <w:rFonts w:ascii="Times New Roman" w:hAnsi="Times New Roman"/>
          <w:bCs/>
          <w:iCs/>
        </w:rPr>
        <w:t>o</w:t>
      </w:r>
      <w:r w:rsidR="00085BA8">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w:t>
      </w:r>
      <w:proofErr w:type="spellStart"/>
      <w:r w:rsidR="006B0DA5" w:rsidRPr="00F77A04">
        <w:rPr>
          <w:rFonts w:ascii="Times New Roman" w:hAnsi="Times New Roman"/>
          <w:bCs/>
          <w:iCs/>
        </w:rPr>
        <w:t>dalomo</w:t>
      </w:r>
      <w:r w:rsidR="00085BA8">
        <w:rPr>
          <w:rFonts w:ascii="Times New Roman" w:hAnsi="Times New Roman"/>
          <w:bCs/>
          <w:iCs/>
        </w:rPr>
        <w:t>si</w:t>
      </w:r>
      <w:r w:rsidR="006B0DA5">
        <w:rPr>
          <w:rFonts w:ascii="Times New Roman" w:hAnsi="Times New Roman"/>
          <w:bCs/>
          <w:iCs/>
        </w:rPr>
        <w:t>o</w:t>
      </w:r>
      <w:r w:rsidR="00085BA8">
        <w:rPr>
          <w:rFonts w:ascii="Times New Roman" w:hAnsi="Times New Roman"/>
          <w:bCs/>
          <w:iCs/>
        </w:rPr>
        <w:t>s</w:t>
      </w:r>
      <w:r w:rsidR="006B0DA5">
        <w:rPr>
          <w:rFonts w:ascii="Times New Roman" w:hAnsi="Times New Roman"/>
          <w:bCs/>
          <w:iCs/>
        </w:rPr>
        <w:t>e</w:t>
      </w:r>
      <w:proofErr w:type="spellEnd"/>
      <w:r w:rsidR="006B0DA5" w:rsidRPr="00F77A04">
        <w:rPr>
          <w:rFonts w:ascii="Times New Roman" w:hAnsi="Times New Roman"/>
          <w:bCs/>
          <w:iCs/>
        </w:rPr>
        <w:t xml:space="preserve"> lizdinė</w:t>
      </w:r>
      <w:r w:rsidR="00085BA8">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plokštelė</w:t>
      </w:r>
      <w:r w:rsidR="00085BA8">
        <w:rPr>
          <w:rFonts w:ascii="Times New Roman" w:hAnsi="Times New Roman"/>
          <w:bCs/>
          <w:iCs/>
        </w:rPr>
        <w:t>s</w:t>
      </w:r>
      <w:r w:rsidR="006B0DA5">
        <w:rPr>
          <w:rFonts w:ascii="Times New Roman" w:hAnsi="Times New Roman"/>
          <w:bCs/>
          <w:iCs/>
        </w:rPr>
        <w:t>e</w:t>
      </w:r>
      <w:r w:rsidRPr="00F77A04">
        <w:rPr>
          <w:rFonts w:ascii="Times New Roman" w:hAnsi="Times New Roman"/>
          <w:bCs/>
          <w:iCs/>
        </w:rPr>
        <w:t>.</w:t>
      </w:r>
    </w:p>
    <w:p w14:paraId="77880694" w14:textId="17C22A91" w:rsidR="00492E2F"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hAnsi="Times New Roman"/>
        </w:rPr>
      </w:pPr>
      <w:r w:rsidRPr="00F77A04">
        <w:rPr>
          <w:rFonts w:ascii="Times New Roman" w:hAnsi="Times New Roman"/>
          <w:bCs/>
          <w:iCs/>
        </w:rPr>
        <w:t>14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1, 28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1, 56</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1, 84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arb</w:t>
      </w:r>
      <w:r w:rsidR="00E576C0">
        <w:rPr>
          <w:rFonts w:ascii="Times New Roman" w:hAnsi="Times New Roman"/>
          <w:bCs/>
          <w:iCs/>
        </w:rPr>
        <w:t>a</w:t>
      </w:r>
      <w:r w:rsidRPr="00F77A04">
        <w:rPr>
          <w:rFonts w:ascii="Times New Roman" w:hAnsi="Times New Roman"/>
          <w:bCs/>
          <w:iCs/>
        </w:rPr>
        <w:t xml:space="preserve"> 98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plėvele dengta tabletė </w:t>
      </w:r>
      <w:r w:rsidR="006B0DA5">
        <w:rPr>
          <w:rFonts w:ascii="Times New Roman" w:hAnsi="Times New Roman"/>
          <w:bCs/>
          <w:iCs/>
        </w:rPr>
        <w:t>p</w:t>
      </w:r>
      <w:r w:rsidR="006B0DA5" w:rsidRPr="00F77A04">
        <w:rPr>
          <w:rFonts w:ascii="Times New Roman" w:hAnsi="Times New Roman"/>
          <w:bCs/>
          <w:iCs/>
        </w:rPr>
        <w:t>erforuot</w:t>
      </w:r>
      <w:r w:rsidR="006B0DA5">
        <w:rPr>
          <w:rFonts w:ascii="Times New Roman" w:hAnsi="Times New Roman"/>
          <w:bCs/>
          <w:iCs/>
        </w:rPr>
        <w:t>o</w:t>
      </w:r>
      <w:r w:rsidR="006C4CA3">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w:t>
      </w:r>
      <w:proofErr w:type="spellStart"/>
      <w:r w:rsidR="006B0DA5" w:rsidRPr="00F77A04">
        <w:rPr>
          <w:rFonts w:ascii="Times New Roman" w:hAnsi="Times New Roman"/>
          <w:bCs/>
          <w:iCs/>
        </w:rPr>
        <w:t>dalomo</w:t>
      </w:r>
      <w:r w:rsidR="006C4CA3">
        <w:rPr>
          <w:rFonts w:ascii="Times New Roman" w:hAnsi="Times New Roman"/>
          <w:bCs/>
          <w:iCs/>
        </w:rPr>
        <w:t>sios</w:t>
      </w:r>
      <w:r w:rsidR="006B0DA5">
        <w:rPr>
          <w:rFonts w:ascii="Times New Roman" w:hAnsi="Times New Roman"/>
          <w:bCs/>
          <w:iCs/>
        </w:rPr>
        <w:t>e</w:t>
      </w:r>
      <w:proofErr w:type="spellEnd"/>
      <w:r w:rsidR="006B0DA5" w:rsidRPr="00F77A04">
        <w:rPr>
          <w:rFonts w:ascii="Times New Roman" w:hAnsi="Times New Roman"/>
          <w:bCs/>
          <w:iCs/>
        </w:rPr>
        <w:t xml:space="preserve"> kalendorinės pakuotės lizdinė</w:t>
      </w:r>
      <w:r w:rsidR="006C4CA3">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plokštelė</w:t>
      </w:r>
      <w:r w:rsidR="006C4CA3">
        <w:rPr>
          <w:rFonts w:ascii="Times New Roman" w:hAnsi="Times New Roman"/>
          <w:bCs/>
          <w:iCs/>
        </w:rPr>
        <w:t>s</w:t>
      </w:r>
      <w:r w:rsidR="006B0DA5">
        <w:rPr>
          <w:rFonts w:ascii="Times New Roman" w:hAnsi="Times New Roman"/>
          <w:bCs/>
          <w:iCs/>
        </w:rPr>
        <w:t>e</w:t>
      </w:r>
      <w:r w:rsidRPr="00F77A04">
        <w:rPr>
          <w:rFonts w:ascii="Times New Roman" w:hAnsi="Times New Roman"/>
          <w:bCs/>
          <w:iCs/>
        </w:rPr>
        <w:t>.</w:t>
      </w:r>
    </w:p>
    <w:p w14:paraId="4AEA90B6" w14:textId="77777777" w:rsidR="00F77A04" w:rsidRDefault="00F77A04">
      <w:pPr>
        <w:pStyle w:val="Antrats"/>
        <w:tabs>
          <w:tab w:val="left" w:pos="-142"/>
        </w:tabs>
        <w:rPr>
          <w:bCs/>
          <w:iCs/>
          <w:sz w:val="22"/>
          <w:szCs w:val="22"/>
          <w:lang w:val="lt-LT"/>
        </w:rPr>
      </w:pPr>
    </w:p>
    <w:p w14:paraId="38714258" w14:textId="4AE193A9" w:rsidR="00492E2F" w:rsidRDefault="003B68F9">
      <w:pPr>
        <w:pStyle w:val="Antrats"/>
        <w:tabs>
          <w:tab w:val="left" w:pos="-142"/>
        </w:tabs>
        <w:rPr>
          <w:bCs/>
          <w:iCs/>
          <w:sz w:val="22"/>
          <w:szCs w:val="22"/>
          <w:lang w:val="lt-LT"/>
        </w:rPr>
      </w:pPr>
      <w:r>
        <w:rPr>
          <w:bCs/>
          <w:iCs/>
          <w:sz w:val="22"/>
          <w:szCs w:val="22"/>
          <w:lang w:val="lt-LT"/>
        </w:rPr>
        <w:t>Gali būti tiekiamos ne visų dydžių pakuotės.</w:t>
      </w:r>
    </w:p>
    <w:p w14:paraId="6C0AF711" w14:textId="77777777" w:rsidR="00492E2F" w:rsidRDefault="00492E2F">
      <w:pPr>
        <w:numPr>
          <w:ilvl w:val="12"/>
          <w:numId w:val="0"/>
        </w:numPr>
        <w:spacing w:after="0" w:line="240" w:lineRule="auto"/>
        <w:rPr>
          <w:rFonts w:ascii="Times New Roman" w:hAnsi="Times New Roman"/>
        </w:rPr>
      </w:pPr>
    </w:p>
    <w:p w14:paraId="7BB543DA" w14:textId="77777777" w:rsidR="00492E2F" w:rsidRDefault="003B68F9">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73F90BFC" w14:textId="77777777" w:rsidR="00492E2F" w:rsidRDefault="00492E2F">
      <w:pPr>
        <w:numPr>
          <w:ilvl w:val="12"/>
          <w:numId w:val="0"/>
        </w:numPr>
        <w:spacing w:after="0" w:line="240" w:lineRule="auto"/>
        <w:rPr>
          <w:rFonts w:ascii="Times New Roman" w:hAnsi="Times New Roman"/>
        </w:rPr>
      </w:pPr>
    </w:p>
    <w:p w14:paraId="344DC440" w14:textId="77777777" w:rsidR="00492E2F" w:rsidRDefault="003B68F9">
      <w:pPr>
        <w:numPr>
          <w:ilvl w:val="12"/>
          <w:numId w:val="0"/>
        </w:numPr>
        <w:spacing w:after="0" w:line="240" w:lineRule="auto"/>
        <w:rPr>
          <w:rFonts w:ascii="Times New Roman" w:hAnsi="Times New Roman"/>
          <w:i/>
          <w:iCs/>
        </w:rPr>
      </w:pPr>
      <w:r>
        <w:rPr>
          <w:rFonts w:ascii="Times New Roman" w:hAnsi="Times New Roman"/>
          <w:i/>
          <w:iCs/>
        </w:rPr>
        <w:t>Registruotojas</w:t>
      </w:r>
    </w:p>
    <w:p w14:paraId="266E8EEA"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KRKA, d.d., Novo mesto</w:t>
      </w:r>
    </w:p>
    <w:p w14:paraId="7A6D5B4E"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Šmarješka cesta 6</w:t>
      </w:r>
    </w:p>
    <w:p w14:paraId="5054B74C"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5D08B11B"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317F3220" w14:textId="77777777" w:rsidR="00492E2F" w:rsidRDefault="00492E2F">
      <w:pPr>
        <w:spacing w:after="0" w:line="240" w:lineRule="auto"/>
        <w:jc w:val="both"/>
        <w:rPr>
          <w:rFonts w:ascii="Times New Roman" w:hAnsi="Times New Roman"/>
          <w:noProof/>
        </w:rPr>
      </w:pPr>
    </w:p>
    <w:p w14:paraId="77B2BCE1" w14:textId="77777777" w:rsidR="00492E2F" w:rsidRDefault="003B68F9">
      <w:pPr>
        <w:spacing w:after="0" w:line="240" w:lineRule="auto"/>
        <w:jc w:val="both"/>
        <w:rPr>
          <w:rFonts w:ascii="Times New Roman" w:hAnsi="Times New Roman"/>
          <w:i/>
          <w:iCs/>
          <w:noProof/>
        </w:rPr>
      </w:pPr>
      <w:r>
        <w:rPr>
          <w:rFonts w:ascii="Times New Roman" w:hAnsi="Times New Roman"/>
          <w:i/>
          <w:iCs/>
          <w:noProof/>
        </w:rPr>
        <w:t>Gamintojas</w:t>
      </w:r>
    </w:p>
    <w:p w14:paraId="1F04F9FA"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1CF6B793"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3FED4E61"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0DE4C02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1BAB39C9" w14:textId="77777777" w:rsidR="00492E2F" w:rsidRDefault="00492E2F">
      <w:pPr>
        <w:numPr>
          <w:ilvl w:val="12"/>
          <w:numId w:val="0"/>
        </w:numPr>
        <w:spacing w:after="0" w:line="240" w:lineRule="auto"/>
        <w:jc w:val="both"/>
        <w:rPr>
          <w:rFonts w:ascii="Times New Roman" w:hAnsi="Times New Roman"/>
          <w:noProof/>
        </w:rPr>
      </w:pPr>
    </w:p>
    <w:p w14:paraId="12D4834D" w14:textId="77777777" w:rsidR="00492E2F" w:rsidRDefault="003B68F9">
      <w:pPr>
        <w:numPr>
          <w:ilvl w:val="12"/>
          <w:numId w:val="0"/>
        </w:numPr>
        <w:spacing w:after="0" w:line="240" w:lineRule="auto"/>
        <w:jc w:val="both"/>
        <w:rPr>
          <w:rFonts w:ascii="Times New Roman" w:hAnsi="Times New Roman"/>
          <w:noProof/>
        </w:rPr>
      </w:pPr>
      <w:r>
        <w:rPr>
          <w:rFonts w:ascii="Times New Roman" w:hAnsi="Times New Roman"/>
          <w:noProof/>
        </w:rPr>
        <w:t>arba</w:t>
      </w:r>
    </w:p>
    <w:p w14:paraId="7DBDEC0C" w14:textId="77777777" w:rsidR="00492E2F" w:rsidRDefault="00492E2F">
      <w:pPr>
        <w:numPr>
          <w:ilvl w:val="12"/>
          <w:numId w:val="0"/>
        </w:numPr>
        <w:spacing w:after="0" w:line="240" w:lineRule="auto"/>
        <w:jc w:val="both"/>
        <w:rPr>
          <w:rFonts w:ascii="Times New Roman" w:hAnsi="Times New Roman"/>
          <w:noProof/>
        </w:rPr>
      </w:pPr>
    </w:p>
    <w:p w14:paraId="7A1588B5"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TAD Pharma GmbH</w:t>
      </w:r>
    </w:p>
    <w:p w14:paraId="272A8DCD"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Heinz-Lohmann - Stra</w:t>
      </w:r>
      <w:r>
        <w:rPr>
          <w:rFonts w:ascii="Times New Roman" w:hAnsi="Times New Roman"/>
          <w:lang w:val="en-US"/>
        </w:rPr>
        <w:t>β</w:t>
      </w:r>
      <w:r w:rsidRPr="0030702D">
        <w:rPr>
          <w:rFonts w:ascii="Times New Roman" w:hAnsi="Times New Roman"/>
          <w:lang w:val="pt-PT"/>
        </w:rPr>
        <w:t>e 5</w:t>
      </w:r>
    </w:p>
    <w:p w14:paraId="268EC9AA"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27472 Cuxhaven</w:t>
      </w:r>
    </w:p>
    <w:p w14:paraId="4EDB5094" w14:textId="77777777" w:rsidR="00492E2F" w:rsidRDefault="003B68F9">
      <w:pPr>
        <w:numPr>
          <w:ilvl w:val="12"/>
          <w:numId w:val="0"/>
        </w:numPr>
        <w:spacing w:after="0" w:line="240" w:lineRule="auto"/>
        <w:jc w:val="both"/>
        <w:rPr>
          <w:rFonts w:ascii="Times New Roman" w:hAnsi="Times New Roman"/>
          <w:bCs/>
          <w:noProof/>
        </w:rPr>
      </w:pPr>
      <w:r w:rsidRPr="0030702D">
        <w:rPr>
          <w:rFonts w:ascii="Times New Roman" w:hAnsi="Times New Roman"/>
          <w:lang w:val="pt-PT"/>
        </w:rPr>
        <w:t>Vokietija</w:t>
      </w:r>
    </w:p>
    <w:p w14:paraId="4EAF2517" w14:textId="77777777" w:rsidR="00492E2F" w:rsidRDefault="00492E2F">
      <w:pPr>
        <w:numPr>
          <w:ilvl w:val="12"/>
          <w:numId w:val="0"/>
        </w:numPr>
        <w:spacing w:after="0" w:line="240" w:lineRule="auto"/>
        <w:jc w:val="both"/>
        <w:rPr>
          <w:rFonts w:ascii="Times New Roman" w:hAnsi="Times New Roman"/>
          <w:bCs/>
          <w:noProof/>
        </w:rPr>
      </w:pPr>
    </w:p>
    <w:p w14:paraId="302ECFB4" w14:textId="77777777" w:rsidR="00492E2F" w:rsidRDefault="003B68F9">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0EE2F8E5" w14:textId="77777777" w:rsidR="00492E2F" w:rsidRDefault="00492E2F">
      <w:pPr>
        <w:numPr>
          <w:ilvl w:val="12"/>
          <w:numId w:val="0"/>
        </w:numPr>
        <w:spacing w:after="0" w:line="240" w:lineRule="auto"/>
        <w:rPr>
          <w:rFonts w:ascii="Times New Roman" w:hAnsi="Times New Roman"/>
          <w:noProof/>
        </w:rPr>
      </w:pPr>
    </w:p>
    <w:p w14:paraId="34732E20" w14:textId="77777777" w:rsidR="00492E2F" w:rsidRDefault="003B68F9">
      <w:pPr>
        <w:spacing w:after="0" w:line="240" w:lineRule="auto"/>
        <w:rPr>
          <w:rFonts w:ascii="Times New Roman" w:hAnsi="Times New Roman"/>
          <w:noProof/>
        </w:rPr>
      </w:pPr>
      <w:r>
        <w:rPr>
          <w:rFonts w:ascii="Times New Roman" w:hAnsi="Times New Roman"/>
          <w:noProof/>
        </w:rPr>
        <w:t>UAB KRKA Lietuva</w:t>
      </w:r>
    </w:p>
    <w:p w14:paraId="41BD5FA9" w14:textId="77777777" w:rsidR="00492E2F" w:rsidRDefault="003B68F9">
      <w:pPr>
        <w:spacing w:after="0" w:line="240" w:lineRule="auto"/>
        <w:rPr>
          <w:rFonts w:ascii="Times New Roman" w:hAnsi="Times New Roman"/>
          <w:noProof/>
        </w:rPr>
      </w:pPr>
      <w:r>
        <w:rPr>
          <w:rFonts w:ascii="Times New Roman" w:hAnsi="Times New Roman"/>
          <w:noProof/>
        </w:rPr>
        <w:t>Senasis Ukmergės kelias 4,</w:t>
      </w:r>
    </w:p>
    <w:p w14:paraId="190BAEAA" w14:textId="77777777" w:rsidR="00492E2F" w:rsidRDefault="003B68F9">
      <w:pPr>
        <w:spacing w:after="0" w:line="240" w:lineRule="auto"/>
        <w:rPr>
          <w:rFonts w:ascii="Times New Roman" w:hAnsi="Times New Roman"/>
          <w:noProof/>
        </w:rPr>
      </w:pPr>
      <w:r>
        <w:rPr>
          <w:rFonts w:ascii="Times New Roman" w:hAnsi="Times New Roman"/>
          <w:noProof/>
        </w:rPr>
        <w:t>Užubalių km.,Vilniaus r.</w:t>
      </w:r>
    </w:p>
    <w:p w14:paraId="7038622F" w14:textId="77777777" w:rsidR="00492E2F" w:rsidRDefault="003B68F9">
      <w:pPr>
        <w:spacing w:after="0" w:line="240" w:lineRule="auto"/>
        <w:rPr>
          <w:rFonts w:ascii="Times New Roman" w:hAnsi="Times New Roman"/>
          <w:noProof/>
        </w:rPr>
      </w:pPr>
      <w:r>
        <w:rPr>
          <w:rFonts w:ascii="Times New Roman" w:hAnsi="Times New Roman"/>
          <w:noProof/>
        </w:rPr>
        <w:t>LT - 14013</w:t>
      </w:r>
    </w:p>
    <w:p w14:paraId="3E1B8848" w14:textId="77777777" w:rsidR="00492E2F" w:rsidRDefault="003B68F9">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4147F884" w14:textId="77777777" w:rsidR="00492E2F" w:rsidRDefault="00492E2F">
      <w:pPr>
        <w:spacing w:after="0" w:line="240" w:lineRule="auto"/>
        <w:rPr>
          <w:rFonts w:ascii="Times New Roman" w:hAnsi="Times New Roman"/>
          <w:noProof/>
        </w:rPr>
      </w:pPr>
    </w:p>
    <w:p w14:paraId="0115A8F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492E2F" w14:paraId="14FF0269"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6FEAF84" w14:textId="77777777" w:rsidR="00492E2F" w:rsidRDefault="003B68F9">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A03ADC" w14:textId="77777777" w:rsidR="00492E2F" w:rsidRDefault="003B68F9">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Vaisto pavadinimas</w:t>
            </w:r>
          </w:p>
        </w:tc>
      </w:tr>
      <w:tr w:rsidR="00492E2F" w14:paraId="03BD2958"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160C2C9F" w14:textId="4DB68A10" w:rsidR="00492E2F" w:rsidRDefault="006E0F1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Kroatija, Slovakija, Estija, Lenkija, Bulgarija, Rumunija, Graikija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188542" w14:textId="665D32D3" w:rsidR="00492E2F"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Dagraduo</w:t>
            </w:r>
          </w:p>
        </w:tc>
      </w:tr>
      <w:tr w:rsidR="002F33BE" w14:paraId="6F04538D"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25B056A3" w14:textId="52A6981D"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 Slovėnija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F87744" w14:textId="0EFD44DA"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Daplus</w:t>
            </w:r>
            <w:r w:rsidR="004B2A00">
              <w:rPr>
                <w:rFonts w:ascii="Times New Roman" w:eastAsia="Times New Roman" w:hAnsi="Times New Roman"/>
                <w:lang w:eastAsia="sl-SI"/>
              </w:rPr>
              <w:t>s</w:t>
            </w:r>
            <w:r>
              <w:rPr>
                <w:rFonts w:ascii="Times New Roman" w:eastAsia="Times New Roman" w:hAnsi="Times New Roman"/>
                <w:lang w:eastAsia="sl-SI"/>
              </w:rPr>
              <w:t>i</w:t>
            </w:r>
          </w:p>
        </w:tc>
      </w:tr>
      <w:tr w:rsidR="002F33BE" w14:paraId="4A1D4935"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727678E2" w14:textId="32FB74E7"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085E7A" w14:textId="56E9F5BC"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Axigalu</w:t>
            </w:r>
          </w:p>
        </w:tc>
      </w:tr>
      <w:tr w:rsidR="002F33BE" w14:paraId="5E36CF1A"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4B61EA6E" w14:textId="0B975774"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6B5209" w14:textId="798834DA" w:rsidR="002F33BE" w:rsidRDefault="00762BFD">
            <w:pPr>
              <w:widowControl w:val="0"/>
              <w:numPr>
                <w:ilvl w:val="12"/>
                <w:numId w:val="0"/>
              </w:numPr>
              <w:tabs>
                <w:tab w:val="left" w:pos="708"/>
              </w:tabs>
              <w:spacing w:after="0" w:line="240" w:lineRule="auto"/>
              <w:ind w:right="-2"/>
              <w:rPr>
                <w:rFonts w:ascii="Times New Roman" w:eastAsia="Times New Roman" w:hAnsi="Times New Roman"/>
                <w:lang w:eastAsia="sl-SI"/>
              </w:rPr>
            </w:pPr>
            <w:r w:rsidRPr="00762BFD">
              <w:rPr>
                <w:rFonts w:ascii="Times New Roman" w:eastAsia="Times New Roman" w:hAnsi="Times New Roman"/>
                <w:lang w:eastAsia="sl-SI"/>
              </w:rPr>
              <w:t>Dagrafors Duo</w:t>
            </w:r>
          </w:p>
        </w:tc>
      </w:tr>
    </w:tbl>
    <w:p w14:paraId="5CB3904E" w14:textId="77777777" w:rsidR="00492E2F" w:rsidRDefault="00492E2F">
      <w:pPr>
        <w:numPr>
          <w:ilvl w:val="12"/>
          <w:numId w:val="0"/>
        </w:numPr>
        <w:spacing w:after="0"/>
        <w:rPr>
          <w:rFonts w:ascii="Times New Roman" w:hAnsi="Times New Roman"/>
          <w:bCs/>
        </w:rPr>
      </w:pPr>
    </w:p>
    <w:p w14:paraId="6FB3D693" w14:textId="77777777" w:rsidR="00492E2F" w:rsidRDefault="00492E2F">
      <w:pPr>
        <w:numPr>
          <w:ilvl w:val="12"/>
          <w:numId w:val="0"/>
        </w:numPr>
        <w:spacing w:after="0"/>
        <w:rPr>
          <w:rFonts w:ascii="Times New Roman" w:hAnsi="Times New Roman"/>
          <w:bCs/>
        </w:rPr>
      </w:pPr>
    </w:p>
    <w:p w14:paraId="613BC83A" w14:textId="0C5D8205" w:rsidR="00492E2F" w:rsidRDefault="003B68F9">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sidR="00F17FEA">
        <w:rPr>
          <w:rFonts w:ascii="Times New Roman" w:hAnsi="Times New Roman"/>
          <w:b/>
        </w:rPr>
        <w:t>2025-05-19</w:t>
      </w:r>
      <w:r>
        <w:rPr>
          <w:rFonts w:ascii="Times New Roman" w:eastAsia="Times New Roman" w:hAnsi="Times New Roman"/>
          <w:b/>
          <w:szCs w:val="20"/>
        </w:rPr>
        <w:t>.</w:t>
      </w:r>
    </w:p>
    <w:p w14:paraId="4D7D389A" w14:textId="77777777" w:rsidR="00492E2F" w:rsidRDefault="00492E2F">
      <w:pPr>
        <w:numPr>
          <w:ilvl w:val="12"/>
          <w:numId w:val="0"/>
        </w:numPr>
        <w:spacing w:after="0" w:line="240" w:lineRule="auto"/>
        <w:rPr>
          <w:rFonts w:ascii="Times New Roman" w:hAnsi="Times New Roman"/>
        </w:rPr>
      </w:pPr>
    </w:p>
    <w:p w14:paraId="57F15C7D" w14:textId="77777777" w:rsidR="00492E2F" w:rsidRDefault="003B68F9">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5" w:name="_Hlk173407610"/>
      <w:r>
        <w:rPr>
          <w:rFonts w:ascii="Times New Roman" w:hAnsi="Times New Roman"/>
          <w:color w:val="0000EE"/>
          <w:u w:val="single"/>
          <w:lang w:eastAsia="lt-LT"/>
        </w:rPr>
        <w:t>https://vvkt.lrv.lt/lt/</w:t>
      </w:r>
      <w:bookmarkEnd w:id="15"/>
      <w:r>
        <w:rPr>
          <w:rFonts w:ascii="Times New Roman" w:hAnsi="Times New Roman"/>
          <w:lang w:eastAsia="lt-LT"/>
        </w:rPr>
        <w:t>.</w:t>
      </w:r>
    </w:p>
    <w:p w14:paraId="6175FA81" w14:textId="77777777" w:rsidR="00492E2F" w:rsidRDefault="00492E2F">
      <w:pPr>
        <w:widowControl w:val="0"/>
        <w:spacing w:after="0" w:line="240" w:lineRule="auto"/>
        <w:rPr>
          <w:rFonts w:ascii="Times New Roman" w:hAnsi="Times New Roman"/>
        </w:rPr>
      </w:pPr>
    </w:p>
    <w:sectPr w:rsidR="00492E2F">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452C6" w14:textId="77777777" w:rsidR="00AB5D9C" w:rsidRDefault="00AB5D9C">
      <w:pPr>
        <w:spacing w:after="0" w:line="240" w:lineRule="auto"/>
      </w:pPr>
      <w:r>
        <w:separator/>
      </w:r>
    </w:p>
  </w:endnote>
  <w:endnote w:type="continuationSeparator" w:id="0">
    <w:p w14:paraId="45B8413E" w14:textId="77777777" w:rsidR="00AB5D9C" w:rsidRDefault="00AB5D9C">
      <w:pPr>
        <w:spacing w:after="0" w:line="240" w:lineRule="auto"/>
      </w:pPr>
      <w:r>
        <w:continuationSeparator/>
      </w:r>
    </w:p>
  </w:endnote>
  <w:endnote w:type="continuationNotice" w:id="1">
    <w:p w14:paraId="7FC702B9" w14:textId="77777777" w:rsidR="00AB5D9C" w:rsidRDefault="00AB5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8F88" w14:textId="77777777" w:rsidR="00AB5D9C" w:rsidRDefault="00AB5D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D17D" w14:textId="17FF29D0" w:rsidR="00AB5D9C" w:rsidRDefault="00AB5D9C">
    <w:pPr>
      <w:pStyle w:val="Porat"/>
      <w:jc w:val="center"/>
    </w:pPr>
    <w:r>
      <w:fldChar w:fldCharType="begin"/>
    </w:r>
    <w:r>
      <w:instrText xml:space="preserve"> PAGE   \* MERGEFORMAT </w:instrText>
    </w:r>
    <w:r>
      <w:fldChar w:fldCharType="separate"/>
    </w:r>
    <w:r w:rsidR="00BF6C98">
      <w:rPr>
        <w:noProof/>
      </w:rPr>
      <w:t>40</w:t>
    </w:r>
    <w:r>
      <w:fldChar w:fldCharType="end"/>
    </w:r>
  </w:p>
  <w:p w14:paraId="0C376328" w14:textId="77777777" w:rsidR="00AB5D9C" w:rsidRDefault="00AB5D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42D1" w14:textId="77777777" w:rsidR="00AB5D9C" w:rsidRDefault="00AB5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BFDCD" w14:textId="77777777" w:rsidR="00AB5D9C" w:rsidRDefault="00AB5D9C">
      <w:pPr>
        <w:spacing w:after="0" w:line="240" w:lineRule="auto"/>
      </w:pPr>
      <w:r>
        <w:separator/>
      </w:r>
    </w:p>
  </w:footnote>
  <w:footnote w:type="continuationSeparator" w:id="0">
    <w:p w14:paraId="0A809BBE" w14:textId="77777777" w:rsidR="00AB5D9C" w:rsidRDefault="00AB5D9C">
      <w:pPr>
        <w:spacing w:after="0" w:line="240" w:lineRule="auto"/>
      </w:pPr>
      <w:r>
        <w:continuationSeparator/>
      </w:r>
    </w:p>
  </w:footnote>
  <w:footnote w:type="continuationNotice" w:id="1">
    <w:p w14:paraId="6B81751E" w14:textId="77777777" w:rsidR="00AB5D9C" w:rsidRDefault="00AB5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9CB9" w14:textId="77777777" w:rsidR="00AB5D9C" w:rsidRDefault="00AB5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05AF" w14:textId="77777777" w:rsidR="00AB5D9C" w:rsidRDefault="00AB5D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6880" w14:textId="77777777" w:rsidR="00AB5D9C" w:rsidRDefault="00AB5D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5"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10"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56F72"/>
    <w:multiLevelType w:val="hybridMultilevel"/>
    <w:tmpl w:val="68DE8E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19"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0"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1"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24"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33"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6"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7"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9"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0"/>
    <w:lvlOverride w:ilvl="0">
      <w:startOverride w:val="1"/>
    </w:lvlOverride>
  </w:num>
  <w:num w:numId="3">
    <w:abstractNumId w:val="11"/>
  </w:num>
  <w:num w:numId="4">
    <w:abstractNumId w:val="7"/>
  </w:num>
  <w:num w:numId="5">
    <w:abstractNumId w:val="1"/>
    <w:lvlOverride w:ilvl="0">
      <w:lvl w:ilvl="0">
        <w:start w:val="1"/>
        <w:numFmt w:val="bullet"/>
        <w:lvlText w:val="-"/>
        <w:lvlJc w:val="left"/>
        <w:pPr>
          <w:ind w:left="360" w:hanging="360"/>
        </w:pPr>
      </w:lvl>
    </w:lvlOverride>
  </w:num>
  <w:num w:numId="6">
    <w:abstractNumId w:val="30"/>
  </w:num>
  <w:num w:numId="7">
    <w:abstractNumId w:val="9"/>
  </w:num>
  <w:num w:numId="8">
    <w:abstractNumId w:val="32"/>
  </w:num>
  <w:num w:numId="9">
    <w:abstractNumId w:val="6"/>
  </w:num>
  <w:num w:numId="10">
    <w:abstractNumId w:val="23"/>
  </w:num>
  <w:num w:numId="11">
    <w:abstractNumId w:val="13"/>
  </w:num>
  <w:num w:numId="12">
    <w:abstractNumId w:val="37"/>
  </w:num>
  <w:num w:numId="13">
    <w:abstractNumId w:val="12"/>
  </w:num>
  <w:num w:numId="14">
    <w:abstractNumId w:val="21"/>
  </w:num>
  <w:num w:numId="15">
    <w:abstractNumId w:val="31"/>
  </w:num>
  <w:num w:numId="16">
    <w:abstractNumId w:val="26"/>
  </w:num>
  <w:num w:numId="17">
    <w:abstractNumId w:val="33"/>
  </w:num>
  <w:num w:numId="18">
    <w:abstractNumId w:val="17"/>
  </w:num>
  <w:num w:numId="19">
    <w:abstractNumId w:val="10"/>
  </w:num>
  <w:num w:numId="20">
    <w:abstractNumId w:val="38"/>
  </w:num>
  <w:num w:numId="21">
    <w:abstractNumId w:val="20"/>
  </w:num>
  <w:num w:numId="22">
    <w:abstractNumId w:val="4"/>
  </w:num>
  <w:num w:numId="23">
    <w:abstractNumId w:val="19"/>
  </w:num>
  <w:num w:numId="24">
    <w:abstractNumId w:val="36"/>
  </w:num>
  <w:num w:numId="25">
    <w:abstractNumId w:val="2"/>
  </w:num>
  <w:num w:numId="26">
    <w:abstractNumId w:val="18"/>
  </w:num>
  <w:num w:numId="27">
    <w:abstractNumId w:val="35"/>
  </w:num>
  <w:num w:numId="28">
    <w:abstractNumId w:val="39"/>
  </w:num>
  <w:num w:numId="29">
    <w:abstractNumId w:val="25"/>
  </w:num>
  <w:num w:numId="30">
    <w:abstractNumId w:val="28"/>
  </w:num>
  <w:num w:numId="31">
    <w:abstractNumId w:val="3"/>
  </w:num>
  <w:num w:numId="32">
    <w:abstractNumId w:val="14"/>
  </w:num>
  <w:num w:numId="33">
    <w:abstractNumId w:val="34"/>
  </w:num>
  <w:num w:numId="34">
    <w:abstractNumId w:val="29"/>
  </w:num>
  <w:num w:numId="35">
    <w:abstractNumId w:val="16"/>
  </w:num>
  <w:num w:numId="36">
    <w:abstractNumId w:val="15"/>
  </w:num>
  <w:num w:numId="37">
    <w:abstractNumId w:val="24"/>
  </w:num>
  <w:num w:numId="38">
    <w:abstractNumId w:val="22"/>
  </w:num>
  <w:num w:numId="39">
    <w:abstractNumId w:val="5"/>
  </w:num>
  <w:num w:numId="40">
    <w:abstractNumId w:val="27"/>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2F"/>
    <w:rsid w:val="0003552A"/>
    <w:rsid w:val="00040BB0"/>
    <w:rsid w:val="000419C8"/>
    <w:rsid w:val="000467CC"/>
    <w:rsid w:val="00060F13"/>
    <w:rsid w:val="00074252"/>
    <w:rsid w:val="000774EF"/>
    <w:rsid w:val="00082F6E"/>
    <w:rsid w:val="00084E0C"/>
    <w:rsid w:val="00085BA8"/>
    <w:rsid w:val="00091FA8"/>
    <w:rsid w:val="000B3D6D"/>
    <w:rsid w:val="000B6850"/>
    <w:rsid w:val="000C4A27"/>
    <w:rsid w:val="000D1ADE"/>
    <w:rsid w:val="000D5DD3"/>
    <w:rsid w:val="000D6249"/>
    <w:rsid w:val="0012276D"/>
    <w:rsid w:val="00137129"/>
    <w:rsid w:val="001626DF"/>
    <w:rsid w:val="00162B8E"/>
    <w:rsid w:val="001666EF"/>
    <w:rsid w:val="00174C7A"/>
    <w:rsid w:val="00180B38"/>
    <w:rsid w:val="001B1B68"/>
    <w:rsid w:val="001D2CA5"/>
    <w:rsid w:val="001D41F8"/>
    <w:rsid w:val="001E5ECD"/>
    <w:rsid w:val="00217AF8"/>
    <w:rsid w:val="00222729"/>
    <w:rsid w:val="002263DF"/>
    <w:rsid w:val="00251645"/>
    <w:rsid w:val="002637C5"/>
    <w:rsid w:val="002654C7"/>
    <w:rsid w:val="00285C78"/>
    <w:rsid w:val="002860F2"/>
    <w:rsid w:val="002A2578"/>
    <w:rsid w:val="002A72A4"/>
    <w:rsid w:val="002B0873"/>
    <w:rsid w:val="002D323E"/>
    <w:rsid w:val="002E5C8D"/>
    <w:rsid w:val="002F33BE"/>
    <w:rsid w:val="002F454A"/>
    <w:rsid w:val="0030702D"/>
    <w:rsid w:val="003124CB"/>
    <w:rsid w:val="003166C9"/>
    <w:rsid w:val="00316930"/>
    <w:rsid w:val="00317D8B"/>
    <w:rsid w:val="00322421"/>
    <w:rsid w:val="00332D91"/>
    <w:rsid w:val="003377C4"/>
    <w:rsid w:val="003434C5"/>
    <w:rsid w:val="00363EE8"/>
    <w:rsid w:val="003668C9"/>
    <w:rsid w:val="0037355B"/>
    <w:rsid w:val="00384A0D"/>
    <w:rsid w:val="00386F46"/>
    <w:rsid w:val="00390E51"/>
    <w:rsid w:val="003935FE"/>
    <w:rsid w:val="003B2806"/>
    <w:rsid w:val="003B68F9"/>
    <w:rsid w:val="003C5C70"/>
    <w:rsid w:val="003D77BA"/>
    <w:rsid w:val="003F148B"/>
    <w:rsid w:val="003F3AFC"/>
    <w:rsid w:val="003F55A1"/>
    <w:rsid w:val="00405C8C"/>
    <w:rsid w:val="00406E39"/>
    <w:rsid w:val="00413089"/>
    <w:rsid w:val="00436873"/>
    <w:rsid w:val="00441A20"/>
    <w:rsid w:val="0048076A"/>
    <w:rsid w:val="00492E2F"/>
    <w:rsid w:val="0049446C"/>
    <w:rsid w:val="004A2F69"/>
    <w:rsid w:val="004A3663"/>
    <w:rsid w:val="004B2A00"/>
    <w:rsid w:val="004C4DD4"/>
    <w:rsid w:val="004F346B"/>
    <w:rsid w:val="00513A8D"/>
    <w:rsid w:val="00514879"/>
    <w:rsid w:val="0051786A"/>
    <w:rsid w:val="00521E07"/>
    <w:rsid w:val="0052568C"/>
    <w:rsid w:val="0053411E"/>
    <w:rsid w:val="00545B8B"/>
    <w:rsid w:val="00547D8F"/>
    <w:rsid w:val="00554D5B"/>
    <w:rsid w:val="00565F26"/>
    <w:rsid w:val="005A009E"/>
    <w:rsid w:val="005B1BC0"/>
    <w:rsid w:val="005C23AB"/>
    <w:rsid w:val="005D1F80"/>
    <w:rsid w:val="005D1FC2"/>
    <w:rsid w:val="005D745C"/>
    <w:rsid w:val="005E0601"/>
    <w:rsid w:val="005E1F96"/>
    <w:rsid w:val="00604360"/>
    <w:rsid w:val="00653C38"/>
    <w:rsid w:val="0065415E"/>
    <w:rsid w:val="00656EB3"/>
    <w:rsid w:val="00683FE8"/>
    <w:rsid w:val="006A3E9E"/>
    <w:rsid w:val="006B0DA5"/>
    <w:rsid w:val="006C37E5"/>
    <w:rsid w:val="006C4CA3"/>
    <w:rsid w:val="006E0F1F"/>
    <w:rsid w:val="006E6365"/>
    <w:rsid w:val="006F0AEB"/>
    <w:rsid w:val="006F35CD"/>
    <w:rsid w:val="00726535"/>
    <w:rsid w:val="00731169"/>
    <w:rsid w:val="00744D5A"/>
    <w:rsid w:val="0075122E"/>
    <w:rsid w:val="00762BFD"/>
    <w:rsid w:val="00776BEE"/>
    <w:rsid w:val="00782520"/>
    <w:rsid w:val="00783E5C"/>
    <w:rsid w:val="0079437E"/>
    <w:rsid w:val="007A313C"/>
    <w:rsid w:val="007A5E46"/>
    <w:rsid w:val="007B7834"/>
    <w:rsid w:val="007C0C84"/>
    <w:rsid w:val="007F19DD"/>
    <w:rsid w:val="00810FDC"/>
    <w:rsid w:val="0083531E"/>
    <w:rsid w:val="008353F9"/>
    <w:rsid w:val="008846A8"/>
    <w:rsid w:val="008A3465"/>
    <w:rsid w:val="008A42FA"/>
    <w:rsid w:val="008D15BD"/>
    <w:rsid w:val="008F0CD2"/>
    <w:rsid w:val="0090144E"/>
    <w:rsid w:val="00901E3D"/>
    <w:rsid w:val="0091180D"/>
    <w:rsid w:val="0091396C"/>
    <w:rsid w:val="00914C22"/>
    <w:rsid w:val="00926029"/>
    <w:rsid w:val="00941F71"/>
    <w:rsid w:val="0094546F"/>
    <w:rsid w:val="009665D2"/>
    <w:rsid w:val="00991723"/>
    <w:rsid w:val="00993557"/>
    <w:rsid w:val="009B2BB1"/>
    <w:rsid w:val="009B7B9C"/>
    <w:rsid w:val="009C0F10"/>
    <w:rsid w:val="009C3644"/>
    <w:rsid w:val="009E643C"/>
    <w:rsid w:val="009E7CBC"/>
    <w:rsid w:val="00A10193"/>
    <w:rsid w:val="00A10A8D"/>
    <w:rsid w:val="00A415F1"/>
    <w:rsid w:val="00A701F2"/>
    <w:rsid w:val="00A71763"/>
    <w:rsid w:val="00A76280"/>
    <w:rsid w:val="00A85290"/>
    <w:rsid w:val="00A92B09"/>
    <w:rsid w:val="00A959CA"/>
    <w:rsid w:val="00AB5D9C"/>
    <w:rsid w:val="00AC5296"/>
    <w:rsid w:val="00B11AB3"/>
    <w:rsid w:val="00B30F12"/>
    <w:rsid w:val="00B36A6D"/>
    <w:rsid w:val="00B53607"/>
    <w:rsid w:val="00B54D56"/>
    <w:rsid w:val="00B551DA"/>
    <w:rsid w:val="00B57E6C"/>
    <w:rsid w:val="00B61DB4"/>
    <w:rsid w:val="00B674B3"/>
    <w:rsid w:val="00B7062F"/>
    <w:rsid w:val="00B76C56"/>
    <w:rsid w:val="00B775B4"/>
    <w:rsid w:val="00B940F7"/>
    <w:rsid w:val="00BA5B54"/>
    <w:rsid w:val="00BA5EFA"/>
    <w:rsid w:val="00BC05F4"/>
    <w:rsid w:val="00BC0AC1"/>
    <w:rsid w:val="00BC0CC6"/>
    <w:rsid w:val="00BD2112"/>
    <w:rsid w:val="00BE39CC"/>
    <w:rsid w:val="00BE75BF"/>
    <w:rsid w:val="00BF60AB"/>
    <w:rsid w:val="00BF6C98"/>
    <w:rsid w:val="00C00277"/>
    <w:rsid w:val="00C0617D"/>
    <w:rsid w:val="00C15D05"/>
    <w:rsid w:val="00C312CA"/>
    <w:rsid w:val="00C60148"/>
    <w:rsid w:val="00C82280"/>
    <w:rsid w:val="00C864FA"/>
    <w:rsid w:val="00CC7955"/>
    <w:rsid w:val="00CD7B91"/>
    <w:rsid w:val="00CE62CD"/>
    <w:rsid w:val="00CF5C9A"/>
    <w:rsid w:val="00D02E3B"/>
    <w:rsid w:val="00D02F50"/>
    <w:rsid w:val="00D14CDC"/>
    <w:rsid w:val="00D22BD5"/>
    <w:rsid w:val="00D35277"/>
    <w:rsid w:val="00D35343"/>
    <w:rsid w:val="00D75107"/>
    <w:rsid w:val="00D762AB"/>
    <w:rsid w:val="00D82AED"/>
    <w:rsid w:val="00DC06E5"/>
    <w:rsid w:val="00DC350A"/>
    <w:rsid w:val="00DD5F0D"/>
    <w:rsid w:val="00DE5017"/>
    <w:rsid w:val="00DF537B"/>
    <w:rsid w:val="00E24A5F"/>
    <w:rsid w:val="00E32D26"/>
    <w:rsid w:val="00E34ADB"/>
    <w:rsid w:val="00E576C0"/>
    <w:rsid w:val="00E725C9"/>
    <w:rsid w:val="00E739A4"/>
    <w:rsid w:val="00E9468A"/>
    <w:rsid w:val="00EC5634"/>
    <w:rsid w:val="00EC717E"/>
    <w:rsid w:val="00EF1C3E"/>
    <w:rsid w:val="00F044FA"/>
    <w:rsid w:val="00F06176"/>
    <w:rsid w:val="00F17FEA"/>
    <w:rsid w:val="00F31886"/>
    <w:rsid w:val="00F37B81"/>
    <w:rsid w:val="00F47933"/>
    <w:rsid w:val="00F57580"/>
    <w:rsid w:val="00F7359F"/>
    <w:rsid w:val="00F77A04"/>
    <w:rsid w:val="00F77D96"/>
    <w:rsid w:val="00F81743"/>
    <w:rsid w:val="00F933A0"/>
    <w:rsid w:val="00F951A7"/>
    <w:rsid w:val="00FB53E0"/>
    <w:rsid w:val="00FC6549"/>
    <w:rsid w:val="00FE0C74"/>
    <w:rsid w:val="00FE27F3"/>
    <w:rsid w:val="00FE69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2892"/>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5017"/>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Pr>
      <w:rFonts w:ascii="Times New Roman" w:eastAsia="SimSun" w:hAnsi="Times New Roman"/>
      <w:lang w:val="en-GB" w:eastAsia="zh-CN"/>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Pr>
      <w:rFonts w:ascii="Times New Roman" w:eastAsia="SimSun" w:hAnsi="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Pr>
      <w:rFonts w:ascii="Times New Roman" w:eastAsia="SimSun" w:hAnsi="Times New Roman"/>
      <w:b/>
      <w:bCs/>
      <w:color w:val="0000FF"/>
      <w:lang w:val="en-GB" w:eastAsia="x-none"/>
    </w:rPr>
  </w:style>
  <w:style w:type="paragraph" w:styleId="Pagrindinistekstas">
    <w:name w:val="Body Text"/>
    <w:basedOn w:val="prastasis"/>
    <w:link w:val="PagrindinistekstasDiagrama"/>
    <w:qFormat/>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uiPriority w:val="99"/>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Pr>
      <w:rFonts w:ascii="Times New Roman" w:eastAsia="SimSun" w:hAnsi="Times New Roman"/>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uiPriority w:val="99"/>
    <w:rPr>
      <w:rFonts w:ascii="Times New Roman" w:eastAsia="SimSun" w:hAnsi="Times New Roman" w:cs="Times New Roman"/>
      <w:b/>
      <w:caps/>
      <w:sz w:val="26"/>
      <w:szCs w:val="20"/>
      <w:lang w:val="en-US"/>
    </w:rPr>
  </w:style>
  <w:style w:type="character" w:customStyle="1" w:styleId="Antrat2Diagrama">
    <w:name w:val="Antraštė 2 Diagrama"/>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uiPriority w:val="99"/>
    <w:rPr>
      <w:rFonts w:ascii="Times New Roman" w:eastAsia="SimSun" w:hAnsi="Times New Roman" w:cs="Times New Roman"/>
      <w:noProof/>
      <w:szCs w:val="20"/>
      <w:lang w:val="en-GB"/>
    </w:rPr>
  </w:style>
  <w:style w:type="character" w:customStyle="1" w:styleId="Antrat6Diagrama">
    <w:name w:val="Antraštė 6 Diagrama"/>
    <w:uiPriority w:val="99"/>
    <w:rPr>
      <w:rFonts w:ascii="Times New Roman" w:eastAsia="SimSun" w:hAnsi="Times New Roman" w:cs="Times New Roman"/>
      <w:i/>
      <w:szCs w:val="20"/>
      <w:lang w:val="en-GB"/>
    </w:rPr>
  </w:style>
  <w:style w:type="character" w:customStyle="1" w:styleId="Antrat7Diagrama">
    <w:name w:val="Antraštė 7 Diagrama"/>
    <w:uiPriority w:val="99"/>
    <w:rPr>
      <w:rFonts w:ascii="Times New Roman" w:eastAsia="SimSun" w:hAnsi="Times New Roman" w:cs="Times New Roman"/>
      <w:i/>
      <w:szCs w:val="20"/>
      <w:lang w:val="en-GB"/>
    </w:rPr>
  </w:style>
  <w:style w:type="character" w:customStyle="1" w:styleId="Antrat8Diagrama">
    <w:name w:val="Antraštė 8 Diagrama"/>
    <w:uiPriority w:val="99"/>
    <w:rPr>
      <w:rFonts w:ascii="Times New Roman" w:eastAsia="SimSun" w:hAnsi="Times New Roman" w:cs="Times New Roman"/>
      <w:b/>
      <w:i/>
      <w:szCs w:val="20"/>
      <w:lang w:val="en-GB"/>
    </w:rPr>
  </w:style>
  <w:style w:type="character" w:customStyle="1" w:styleId="Antrat9Diagrama">
    <w:name w:val="Antraštė 9 Diagrama"/>
    <w:uiPriority w:val="99"/>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uiPriority w:val="99"/>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uiPriority w:val="99"/>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customStyle="1" w:styleId="TableParagraph">
    <w:name w:val="Table Paragraph"/>
    <w:basedOn w:val="prastasis"/>
    <w:uiPriority w:val="1"/>
    <w:qFormat/>
    <w:pPr>
      <w:widowControl w:val="0"/>
      <w:autoSpaceDE w:val="0"/>
      <w:autoSpaceDN w:val="0"/>
      <w:spacing w:after="0" w:line="246" w:lineRule="exact"/>
      <w:ind w:left="107"/>
    </w:pPr>
    <w:rPr>
      <w:rFonts w:ascii="Segoe UI" w:eastAsia="Segoe UI" w:hAnsi="Segoe UI" w:cs="Segoe UI"/>
      <w:lang w:val="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rsid w:val="003124CB"/>
  </w:style>
  <w:style w:type="numbering" w:customStyle="1" w:styleId="NoList1">
    <w:name w:val="No List1"/>
    <w:next w:val="Sraonra"/>
    <w:uiPriority w:val="99"/>
    <w:semiHidden/>
    <w:unhideWhenUsed/>
    <w:rsid w:val="003124CB"/>
  </w:style>
  <w:style w:type="character" w:customStyle="1" w:styleId="UnresolvedMention">
    <w:name w:val="Unresolved Mention"/>
    <w:uiPriority w:val="99"/>
    <w:semiHidden/>
    <w:unhideWhenUsed/>
    <w:rsid w:val="003124CB"/>
    <w:rPr>
      <w:color w:val="605E5C"/>
      <w:shd w:val="clear" w:color="auto" w:fill="E1DFDD"/>
    </w:rPr>
  </w:style>
  <w:style w:type="table" w:customStyle="1" w:styleId="TableGrid">
    <w:name w:val="TableGrid"/>
    <w:rsid w:val="003124CB"/>
    <w:rPr>
      <w:rFonts w:eastAsia="Times New Roman"/>
      <w:sz w:val="22"/>
      <w:szCs w:val="22"/>
      <w:lang w:val="sl-SI"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baaa482c-c3c1-4b1c-a895-2de17a8ea7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61851</Words>
  <Characters>35256</Characters>
  <Application>Microsoft Office Word</Application>
  <DocSecurity>0</DocSecurity>
  <Lines>293</Lines>
  <Paragraphs>193</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96914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6</cp:revision>
  <dcterms:created xsi:type="dcterms:W3CDTF">2025-05-20T04:17:00Z</dcterms:created>
  <dcterms:modified xsi:type="dcterms:W3CDTF">2025-05-20T04:33:00Z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