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4E26" w14:textId="77777777" w:rsidR="00B148BC" w:rsidRPr="00374411" w:rsidRDefault="00B148BC" w:rsidP="00B148BC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 lapelis: informacija vartotojui</w:t>
      </w:r>
    </w:p>
    <w:p w14:paraId="71DCDB6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0DAB359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bookmarkStart w:id="0" w:name="Xarelto_2,5_mg_plėvele_dengtos_tabletės"/>
      <w:bookmarkEnd w:id="0"/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 mg plėvele dengtos tabletės</w:t>
      </w:r>
    </w:p>
    <w:p w14:paraId="211F339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rivaroxabanum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</w:p>
    <w:p w14:paraId="450A6ADD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BB27FA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Atidžiai perskaitykite visą šį lapelį, prieš pradėdami vartoti vaistą, nes jame pateikiama Jums svarbi informacija.</w:t>
      </w:r>
    </w:p>
    <w:p w14:paraId="49D8A5BA" w14:textId="77777777" w:rsidR="00B148BC" w:rsidRPr="00374411" w:rsidRDefault="00B148BC" w:rsidP="00B148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Neišmeskite šio lapelio, nes vėl gali prireikti jį perskaityti.</w:t>
      </w:r>
    </w:p>
    <w:p w14:paraId="175AABE9" w14:textId="77777777" w:rsidR="00B148BC" w:rsidRPr="00374411" w:rsidRDefault="00B148BC" w:rsidP="00B148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kiltų daugiau klausimų, kreipkitės į gydytoją arba vaistininką.</w:t>
      </w:r>
    </w:p>
    <w:p w14:paraId="0C81CD3C" w14:textId="77777777" w:rsidR="00B148BC" w:rsidRPr="00374411" w:rsidRDefault="00B148BC" w:rsidP="00B148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Šis vaistas skirtas tik Jums, todėl kitiems žmonėms jo duoti negalima. Vaistas gali jiems pakenkti (net tiems, kurių ligos požymiai yra tokie patys kaip Jūsų).</w:t>
      </w:r>
    </w:p>
    <w:p w14:paraId="6AAB2420" w14:textId="77777777" w:rsidR="00B148BC" w:rsidRPr="00374411" w:rsidRDefault="00B148BC" w:rsidP="00B148BC">
      <w:pPr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pasireiškė šalutinis poveikis (net jeigu jis šiame lapelyje nenurodytas), kreipkitės į gydytoją arba vaistininką. Žr. 4 skyrių.</w:t>
      </w:r>
    </w:p>
    <w:p w14:paraId="4295DBB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1A80C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CC0E5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Apie ką rašoma šiame lapelyje?</w:t>
      </w:r>
    </w:p>
    <w:p w14:paraId="704EFF96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yra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kam jis vartojamas</w:t>
      </w:r>
    </w:p>
    <w:p w14:paraId="21B0117C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7A9B7C6A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3A00DB74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Galimas šalutinis poveikis</w:t>
      </w:r>
    </w:p>
    <w:p w14:paraId="4DEFCF2D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laikyti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</w:p>
    <w:p w14:paraId="03EBC99E" w14:textId="77777777" w:rsidR="00B148BC" w:rsidRPr="00374411" w:rsidRDefault="00B148BC" w:rsidP="00B148BC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Pakuotės turinys ir kita informacija</w:t>
      </w:r>
    </w:p>
    <w:p w14:paraId="07A264D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C02D5D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D31F48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Kas yra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ir kam jis vartojamas</w:t>
      </w:r>
    </w:p>
    <w:p w14:paraId="2563D63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21DB348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veikliosios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medžiagos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vartojamas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suaugusiems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žmonėms</w:t>
      </w:r>
    </w:p>
    <w:p w14:paraId="48738694" w14:textId="77777777" w:rsidR="00B148BC" w:rsidRPr="00255FE1" w:rsidRDefault="00B148BC" w:rsidP="00B148BC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 klubo arba kelio sąnario keitimo operacijų, siekiant išvengti kraujo krešulių susidarymo venose.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paskyrė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operacijos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padidėjusi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krešulių susidarymo rizika;</w:t>
      </w:r>
    </w:p>
    <w:p w14:paraId="12FEC92B" w14:textId="77777777" w:rsidR="00B148BC" w:rsidRPr="00255FE1" w:rsidRDefault="00B148BC" w:rsidP="00B148BC">
      <w:pPr>
        <w:widowControl w:val="0"/>
        <w:numPr>
          <w:ilvl w:val="1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venose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(giliųjų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trombozės)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(plaučių embolijos) gydymui ir pakartotinio kraujo krešulių susidarymo kojų ir (arba) plaučių kraujagyslėse profilaktikai.</w:t>
      </w:r>
    </w:p>
    <w:p w14:paraId="5378223A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2C60055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priklauso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antitrombozinių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grupei.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Jis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veikia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blokuodamas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krešėjimo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faktorių (</w:t>
      </w:r>
      <w:proofErr w:type="spellStart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Xa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faktorių) ir taip sumažindamas polinkį formuotis kraujo krešuliams.</w:t>
      </w:r>
    </w:p>
    <w:p w14:paraId="4107A0F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B7B0C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06665E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Kas žinotina prieš vartojant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2691D8F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443DA47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vartoti draudžiama</w:t>
      </w:r>
    </w:p>
    <w:p w14:paraId="0BDB6B89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yra alergija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rivaroksabanui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bet kuriai pagalbinei šio vaisto medžiagai (jos išvardytos 6 skyriuje);</w:t>
      </w:r>
    </w:p>
    <w:p w14:paraId="7BB9155F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stipriai kraujuojate;</w:t>
      </w:r>
    </w:p>
    <w:p w14:paraId="0675DCF8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14:paraId="72AAC885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vaistų, apsaugančių nuo kraujo krešulių susidarymo (pvz., varfarino,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dabigatrano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1CDB7986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sergate kepenų liga ir todėl gali būti padidėjusi kraujavimo rizika;</w:t>
      </w:r>
    </w:p>
    <w:p w14:paraId="2AD1D00A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esate nėščia arba žindote kūdikį.</w:t>
      </w:r>
    </w:p>
    <w:p w14:paraId="4E26D89D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bet kuris iš šių punktų Jums tinka,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nevartokite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ir 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4350D5B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F24207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>Įspėjimai ir atsargumo priemonės</w:t>
      </w:r>
    </w:p>
    <w:p w14:paraId="77FED556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Pasitarkite su gydytoju arba vaistininku, 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64B4F76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34283A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Vaistininkas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įteiks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ums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aciento saug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umo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kortelę, kurią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visada 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turėsite nešiotis su savimi ir kurioje bus nurodyta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reikalinga </w:t>
      </w:r>
      <w:r w:rsidRPr="00B0764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informacija.</w:t>
      </w:r>
    </w:p>
    <w:p w14:paraId="75F8020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673836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Specialių atsargumo priemonių reikia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vartojant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5885597D" w14:textId="77777777" w:rsidR="00B148BC" w:rsidRPr="00374411" w:rsidRDefault="00B148BC" w:rsidP="00B148B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yra padidėjusi kraujavimo rizika, kuri galima šiais atvejais:</w:t>
      </w:r>
    </w:p>
    <w:p w14:paraId="0EC70467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vidutinio sunkumo ar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 inkstų liga, nes inkstų funkcija gali turėti įtakos Jūsų organizmą veikiančio vaisto kiekiui;</w:t>
      </w:r>
    </w:p>
    <w:p w14:paraId="04009DCB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vartojate kitų vaistų, apsaugančių nuo kraujo krešulių susidarymo (pvz., varfarino,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dabigatrano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heparino), kai keičiamas nuo kraujo krešulių apsaugantis gydymas arba kai per venos ar arterijos kateterį Jums leidžiama heparino, kad šis kateteris išliktų pralaidus (žr. skyrių „Kiti vaistai ir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“);</w:t>
      </w:r>
    </w:p>
    <w:p w14:paraId="26B214F8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kraujavimo sutrikimai;</w:t>
      </w:r>
    </w:p>
    <w:p w14:paraId="18DB259E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labai aukštas kraujospūdis, nekontroliuojamas gydymu;</w:t>
      </w:r>
    </w:p>
    <w:p w14:paraId="2A3EE8BB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gastroezofaginio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refliukso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ligos (ligos, kai skrandžio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rūgštys patenka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 stemplę) arba navikai, esantys skrandyje, žarnyne, lytiniuose takuose ar šlapimo takuose;</w:t>
      </w:r>
    </w:p>
    <w:p w14:paraId="4A73089A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akių dugno kraujagyslių sutrikimai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retinopatija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3A1DDE67" w14:textId="77777777" w:rsidR="00B148BC" w:rsidRPr="00374411" w:rsidRDefault="00B148BC" w:rsidP="00B148BC">
      <w:pPr>
        <w:widowControl w:val="0"/>
        <w:numPr>
          <w:ilvl w:val="1"/>
          <w:numId w:val="8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 liga, kuria sergant bronchai yra išsiplėtę ir prisipildę pūlių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bronchektazės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arba anksčiau buvęs kraujavimas iš plaučių;</w:t>
      </w:r>
    </w:p>
    <w:p w14:paraId="26E9E2D2" w14:textId="77777777" w:rsidR="00B148BC" w:rsidRPr="00374411" w:rsidRDefault="00B148BC" w:rsidP="00B148BC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protezuoti širdies vožtuvai;</w:t>
      </w:r>
    </w:p>
    <w:p w14:paraId="75AF5E1D" w14:textId="77777777" w:rsidR="00B148BC" w:rsidRDefault="00B148BC" w:rsidP="00B148BC">
      <w:pPr>
        <w:widowControl w:val="0"/>
        <w:numPr>
          <w:ilvl w:val="0"/>
          <w:numId w:val="4"/>
        </w:numPr>
        <w:tabs>
          <w:tab w:val="left" w:pos="567"/>
          <w:tab w:val="left" w:pos="8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žinote, kad sergate liga, vadinama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antifosfolipidiniu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sindromu (imuninės sistemos sutrikimas, dėl kurio padidėja kraujo krešulių susidarymo rizika), pasakykite apie tai savo gydytojui, kuris nuspręs, ar reikės keisti gydymą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63BA77D8" w14:textId="77777777" w:rsidR="00B148BC" w:rsidRPr="00374411" w:rsidRDefault="00B148BC" w:rsidP="00B148BC">
      <w:pPr>
        <w:widowControl w:val="0"/>
        <w:numPr>
          <w:ilvl w:val="0"/>
          <w:numId w:val="4"/>
        </w:numPr>
        <w:tabs>
          <w:tab w:val="left" w:pos="567"/>
          <w:tab w:val="left" w:pos="87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nustatė,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kraujospūdis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nestabilus,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planuojama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taikyti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kitokį gydymą arba chirurginę procedūrą, norint pašalinti kraujo krešulį iš plaučių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394764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18B6A3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Jūsų gydytojas nuspręs, ar skirti Jums šį vaistą ir ar Jus atidžiau stebėti.</w:t>
      </w:r>
    </w:p>
    <w:p w14:paraId="0C75F48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32BC5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Jeigu Jums reikia atlikti operaciją</w:t>
      </w:r>
    </w:p>
    <w:p w14:paraId="496FC1D3" w14:textId="77777777" w:rsidR="00B148BC" w:rsidRPr="00374411" w:rsidRDefault="00B148BC" w:rsidP="00B148B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labai svarbu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prieš ir po operacijos, tiksliai tuo laiku, kaip pasakė Jūsų gydytojas;</w:t>
      </w:r>
    </w:p>
    <w:p w14:paraId="5F6B974A" w14:textId="77777777" w:rsidR="00B148BC" w:rsidRPr="00374411" w:rsidRDefault="00B148BC" w:rsidP="00B148BC">
      <w:pPr>
        <w:widowControl w:val="0"/>
        <w:numPr>
          <w:ilvl w:val="0"/>
          <w:numId w:val="3"/>
        </w:numPr>
        <w:tabs>
          <w:tab w:val="left" w:pos="567"/>
          <w:tab w:val="left" w:pos="1414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Jūsų operacijos metu bus įterpiamas kateteris arba leidžiami vaistai į stuburo kanalą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epidurinė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spinalinė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anestezija arba skausmo slopinimas):</w:t>
      </w:r>
    </w:p>
    <w:p w14:paraId="3D97D158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labai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svarbu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tiksliai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laiku,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pasakė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gydytojas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0446E02F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nedelsdami pasakykite savo gydytojui, jei po anestezijos pajusite kojų tirpimą ar silpnumą arba žarnyno ar šlapimo pūslės veiklos sutrikimą, nes gali prireikti skubios pagalbos.</w:t>
      </w:r>
    </w:p>
    <w:p w14:paraId="2E131BE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233D6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Vaikams ir paaugliams</w:t>
      </w:r>
    </w:p>
    <w:p w14:paraId="18F82869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tablečių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nerekomenduojama vartoti jaunesniems kaip 18 metų asmenims.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Informacijos apie vartojimą vaikams ir paaugliams nepakanka.</w:t>
      </w:r>
    </w:p>
    <w:p w14:paraId="03330543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5D88E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Kiti vaistai ir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3A59A3D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 ar neseniai vartojote kitų vaistų, įskaitant įsigytus be recepto, arba dėl to nesate tikri, apie tai pasakykite gydytojui arba vaistininkui.</w:t>
      </w:r>
    </w:p>
    <w:p w14:paraId="1BEE659D" w14:textId="77777777" w:rsidR="00B148BC" w:rsidRPr="00374411" w:rsidRDefault="00B148BC" w:rsidP="00B148B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23BD05F6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 nuo grybelinės infekcijos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flukonazolo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itrakonazolo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vorikonazolo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pozakonazolo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išskyrus tepamus ant odos;</w:t>
      </w:r>
    </w:p>
    <w:p w14:paraId="259A849D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ketokonazolo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 (vartojamų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Kušingo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sindromui, kai organizme gaminama per daug kortizolio, gydyti);</w:t>
      </w:r>
    </w:p>
    <w:p w14:paraId="33DE3122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vaistų, skirtų bakterinėms infekcijoms gydyti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klaritromicino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eritromicino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6E0FC4BC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kai kurių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priešvirusinių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vaistų nuo ŽIV / AIDS (pvz., ritonaviro);</w:t>
      </w:r>
    </w:p>
    <w:p w14:paraId="6DFB42E6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kitų vaistų, skirtų krešėjimui mažinti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enoksaparino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klopidogrelio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 vitamino K antagonistų, tokių kaip varfarinas ar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acenokumarolis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5B427341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vaistų nuo uždegimo ir skausmą malšinančių vaistų (pvz.,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naprokseno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acetilsalicilo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rūgšties);</w:t>
      </w:r>
    </w:p>
    <w:p w14:paraId="1F4C6EA4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dronedarono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vaisto nuo širdies ritmo sutrikimo;</w:t>
      </w:r>
    </w:p>
    <w:p w14:paraId="523D3DE1" w14:textId="77777777" w:rsidR="00B148BC" w:rsidRDefault="00B148BC" w:rsidP="00B148BC">
      <w:pPr>
        <w:widowControl w:val="0"/>
        <w:numPr>
          <w:ilvl w:val="1"/>
          <w:numId w:val="3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 kurių vaistų nuo depresijos (selektyvių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serotonino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reabsorbcijos inhibitorių (SSRI) arba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serotonino-norepinefrino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reabsorbcijos inhibitorių (SNRI)).</w:t>
      </w:r>
    </w:p>
    <w:p w14:paraId="127BB257" w14:textId="77777777" w:rsidR="00B148BC" w:rsidRPr="00374411" w:rsidRDefault="00B148BC" w:rsidP="00B148BC">
      <w:pPr>
        <w:widowControl w:val="0"/>
        <w:tabs>
          <w:tab w:val="left" w:pos="1134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E755FA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veiksmingumas gali padidėti. Jūsų gydytojas nuspręs, ar skirti Jums šį vaistą ir ar Jus atidžiau stebėti.</w:t>
      </w:r>
    </w:p>
    <w:p w14:paraId="67E3CF1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Jūsų gydytojas mano, kad Jums yra padidėjusi skrandžio ar žarnyno opų rizika, jis gali skirti ir profilaktinį opų gydymą.</w:t>
      </w:r>
    </w:p>
    <w:p w14:paraId="298D0A30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2CCA2F0" w14:textId="77777777" w:rsidR="00B148BC" w:rsidRPr="00374411" w:rsidRDefault="00B148BC" w:rsidP="00B148BC">
      <w:pPr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vartojate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</w:p>
    <w:p w14:paraId="1F93A050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 kurių vaistų nuo epilepsijos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fenitoino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karbamazepino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fenobarbitalio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7D79EFB4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paprastosios jonažolės (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Hypericum</w:t>
      </w:r>
      <w:proofErr w:type="spellEnd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perforatum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), augalinio preparato depresijai gydyti;</w:t>
      </w:r>
    </w:p>
    <w:p w14:paraId="49EDDA01" w14:textId="77777777" w:rsidR="00B148BC" w:rsidRPr="00374411" w:rsidRDefault="00B148BC" w:rsidP="00B148BC">
      <w:pPr>
        <w:widowControl w:val="0"/>
        <w:numPr>
          <w:ilvl w:val="1"/>
          <w:numId w:val="3"/>
        </w:numPr>
        <w:tabs>
          <w:tab w:val="left" w:pos="1134"/>
          <w:tab w:val="left" w:pos="200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rifampicino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(antibiotiko).</w:t>
      </w:r>
    </w:p>
    <w:p w14:paraId="44D13DE4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A40326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Jeigu bet kuris iš prieš tai išvardintų teiginių Jums tinka,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prieš pradėdami vartoti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pasakykite savo gydytojui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nes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veiksmingumas gali sumažėti. Jūsų gydytojas nuspręs, ar skirti Jums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ar Jus atidžiau stebėti.</w:t>
      </w:r>
    </w:p>
    <w:p w14:paraId="7BD9E2A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0D8B63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Nėštumas ir žindymo laikotarpis</w:t>
      </w:r>
    </w:p>
    <w:p w14:paraId="44D474B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esate nėščia arba žindote kūdikį,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vartoti draudžiama. Jei yra galimybė, kad galite pastoti, kol vartojate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naudokitės patikimu kontracepcijos metodu. Jeigu vartodama šį vaistą pastojote, nedelsdama pasakykite savo gydytojui, kuris nuspręs, kaip būsite gydoma.</w:t>
      </w:r>
    </w:p>
    <w:p w14:paraId="258E64A0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2B7274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Vairavimas ir mechanizmų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valdymas</w:t>
      </w:r>
    </w:p>
    <w:p w14:paraId="276B219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Vartojant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gali pasireikšti svaigulys (dažnas šalutinis poveikis) arba apalpimas (nedažnas šalutinis poveikis) (žr. 4 skyrių „Galimas šalutinis poveikis“). Jeigu Jums pasireiškia šie simptomai, vairuoti, važiuoti dviračiu arba naudoti bet kokių įrankių ar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valdyti mechanizmų negalima.</w:t>
      </w:r>
    </w:p>
    <w:p w14:paraId="53F38FC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E0299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sudėtyje yra laktozės ir natrio</w:t>
      </w:r>
    </w:p>
    <w:p w14:paraId="4FA8BE0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gydytojas Jums yra sakęs, kad netoleruojate kokių nors angliavandenių, kreipkitės į jį prieš pradėdami vartoti šį vaistą.</w:t>
      </w:r>
    </w:p>
    <w:p w14:paraId="178EFE8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Šio vaisto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dengtoje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yra mažiau kaip 1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mmol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(23 mg) natrio, t. y. jis beveik neturi reikšmės.</w:t>
      </w:r>
    </w:p>
    <w:p w14:paraId="63C6DDF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3E995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8E3A95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Kaip vartoti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0E6A500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F8C032B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Visada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vartokite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tiksliai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nurodė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abejojate,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vaistininką.</w:t>
      </w:r>
    </w:p>
    <w:p w14:paraId="59624310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B3B0BA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Kiek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vartoti</w:t>
      </w:r>
    </w:p>
    <w:p w14:paraId="6D8FA955" w14:textId="77777777" w:rsidR="00B148BC" w:rsidRPr="00B501F0" w:rsidRDefault="00B148BC" w:rsidP="00B148BC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klubo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sąnario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keitimo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operacijų,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siekiant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išvengti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susidarymo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venose</w:t>
      </w:r>
    </w:p>
    <w:p w14:paraId="3B6012F2" w14:textId="77777777" w:rsidR="00B148BC" w:rsidRDefault="00B148BC" w:rsidP="00B148B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Rekomenduojama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viena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parą.</w:t>
      </w:r>
    </w:p>
    <w:p w14:paraId="6FC3AB7F" w14:textId="77777777" w:rsidR="00B148BC" w:rsidRPr="00255FE1" w:rsidRDefault="00B148BC" w:rsidP="00B148B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972252" w14:textId="77777777" w:rsidR="00B148BC" w:rsidRDefault="00B148BC" w:rsidP="00B148BC">
      <w:pPr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kojų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venose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bei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plaučių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kraujagyslėse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gydymui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pakartotinio kraujo krešulių susidarymo profilaktikai</w:t>
      </w:r>
    </w:p>
    <w:p w14:paraId="010C6EF2" w14:textId="77777777" w:rsidR="00B148BC" w:rsidRPr="00255FE1" w:rsidRDefault="00B148BC" w:rsidP="00B148B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gydymo,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trukusio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mažiau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kaip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mėnesius,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rekomenduojama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yra viena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 vieną kartą per parą arba viena 20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 vieną kartą per parą.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paskyrė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> mg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parą.</w:t>
      </w:r>
    </w:p>
    <w:p w14:paraId="5508F482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98FAB7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Nurykite tabletę, geriausia užsigerdami vandeniu.</w:t>
      </w:r>
    </w:p>
    <w:p w14:paraId="2ED71B78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galima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val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gio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metu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nevalgius.</w:t>
      </w:r>
    </w:p>
    <w:p w14:paraId="0D458E08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668EAA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nuryti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visą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pasikalbėkite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apie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būdus.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pat vartojant tabletę galima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susmulkinti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 sumaišyti su vandeniu arba obuolių tyre.</w:t>
      </w:r>
    </w:p>
    <w:p w14:paraId="397BEDB8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</w:t>
      </w:r>
      <w:r w:rsidRPr="00255FE1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reikia,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paskirti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susmulkintą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ir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skrandžio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vamzdelį.</w:t>
      </w:r>
    </w:p>
    <w:p w14:paraId="625B7D24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DCAAFD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Kada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b/>
          <w:bCs/>
          <w:spacing w:val="-1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2E988EBE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Gerkite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vieną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parą,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kol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gydytojas pasakys,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kada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nustoti.</w:t>
      </w:r>
    </w:p>
    <w:p w14:paraId="2DA8D8FB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Stenkitės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tuo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pačiu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laiku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kiekvieną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dieną,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taip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prisiminsite. Jūsų gydytojas nuspręs, kiek laiko reikės tęsti gydymą.</w:t>
      </w:r>
    </w:p>
    <w:p w14:paraId="4198D360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F1DA93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klubo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kelio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sąnario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keitimo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operacijų,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siekiant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išvengti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krešulių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susidarymo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venose:</w:t>
      </w:r>
    </w:p>
    <w:p w14:paraId="3F5B04EE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Pirmąją tabletę vartokite praėjus 6-10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val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andų po operacijos.</w:t>
      </w:r>
    </w:p>
    <w:p w14:paraId="21D8FBE6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Jums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atlikta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didžioji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klubo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sąnario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operacija,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dažniausiai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tabletės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geriamos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savaites.</w:t>
      </w:r>
    </w:p>
    <w:p w14:paraId="1C446D70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 Jums atlikta didžioji kelio sąnario operacija, dažniausiai tabletės geriamos 2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savaites.</w:t>
      </w:r>
    </w:p>
    <w:p w14:paraId="08273516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32C46D6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Ką</w:t>
      </w:r>
      <w:r w:rsidRPr="00255FE1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daryti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pavartojus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didelę</w:t>
      </w:r>
      <w:r w:rsidRPr="00255FE1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dozę</w:t>
      </w:r>
    </w:p>
    <w:p w14:paraId="34A66246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Nedelsdami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pavartojote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tablečių.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Pavartojus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per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daug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padidėja kraujavimo rizika.</w:t>
      </w:r>
    </w:p>
    <w:p w14:paraId="6E14EBCC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A6DF2E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Pamiršus</w:t>
      </w:r>
      <w:r w:rsidRPr="00255FE1">
        <w:rPr>
          <w:rFonts w:ascii="Times New Roman" w:eastAsia="Times New Roman" w:hAnsi="Times New Roman" w:cs="Times New Roman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pavartoti</w:t>
      </w:r>
      <w:r w:rsidRPr="00255FE1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23CCBB1C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pamiršote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pavartoti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dozę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suvartokite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ją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karto,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kai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tik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</w:t>
      </w:r>
      <w:r w:rsidRPr="00255FE1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prisimenate.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Kitą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tabletę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gerkite kitą dieną ir po to vartokite vieną tabletę vieną kartą per parą, kaip įprastai.</w:t>
      </w:r>
    </w:p>
    <w:p w14:paraId="0032DB05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dvigubos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dozės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norint</w:t>
      </w:r>
      <w:r w:rsidRPr="00255FE1">
        <w:rPr>
          <w:rFonts w:ascii="Times New Roman" w:eastAsia="Times New Roman" w:hAnsi="Times New Roman" w:cs="Times New Roman"/>
          <w:spacing w:val="-7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kompensuoti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praleistą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tabletę.</w:t>
      </w:r>
    </w:p>
    <w:p w14:paraId="3A090AFC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7F739EC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Nustojus</w:t>
      </w:r>
      <w:r w:rsidRPr="00255FE1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vartoti</w:t>
      </w:r>
      <w:r w:rsidRPr="00255FE1">
        <w:rPr>
          <w:rFonts w:ascii="Times New Roman" w:eastAsia="Times New Roman" w:hAnsi="Times New Roman" w:cs="Times New Roman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2"/>
          <w:szCs w:val="22"/>
          <w14:ligatures w14:val="none"/>
        </w:rPr>
        <w:t>Olpha</w:t>
      </w:r>
      <w:proofErr w:type="spellEnd"/>
    </w:p>
    <w:p w14:paraId="3275C277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nepasitarus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gydytoju,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nutraukti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negalima,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nes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apsaugo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nuo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sunkių 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>būklių.</w:t>
      </w:r>
    </w:p>
    <w:p w14:paraId="6AB21DC1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E2C5CBD" w14:textId="77777777" w:rsidR="00B148BC" w:rsidRPr="00255FE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Jeigu</w:t>
      </w:r>
      <w:r w:rsidRPr="00255FE1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kiltų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klausimų</w:t>
      </w:r>
      <w:r w:rsidRPr="00255FE1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dėl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šio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</w:t>
      </w:r>
      <w:r w:rsidRPr="00255FE1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vartojimo,</w:t>
      </w:r>
      <w:r w:rsidRPr="00255FE1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kreipkitės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į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gydytoją</w:t>
      </w:r>
      <w:r w:rsidRPr="00255FE1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255FE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  <w:r w:rsidRPr="00255FE1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vaistininką.</w:t>
      </w:r>
    </w:p>
    <w:p w14:paraId="16EEA08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90CA5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AF0BAC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Galimas šalutinis poveikis</w:t>
      </w:r>
    </w:p>
    <w:p w14:paraId="425FBBC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DB453A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kaip ir visi kiti vaistai, gali sukelti šalutinį poveikį, nors jis pasireiškia ne visiems žmonėms.</w:t>
      </w:r>
    </w:p>
    <w:p w14:paraId="39FB1A7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343D5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Kaip ir kiti panašūs vaistai, mažinantys kraujo krešulių susidarymą,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gali sukelti kraujavimą, galintį kelti pavojų gyvybei. Stipriai kraujuojant, gali staigiai nukristi kraujospūdis (išsivystyti šokas). Kai kuriais atvejais kraujavimas gali būti nepastebimas.</w:t>
      </w:r>
    </w:p>
    <w:p w14:paraId="7C22568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5F232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Nedelsdami pasakykite savo gydytojui, jei pasireiškia bet kuris iš šių šalutinių poveikių:</w:t>
      </w:r>
    </w:p>
    <w:p w14:paraId="78D59252" w14:textId="77777777" w:rsidR="00B148BC" w:rsidRPr="00374411" w:rsidRDefault="00B148BC" w:rsidP="00B148B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Kraujavimo požymiai</w:t>
      </w:r>
    </w:p>
    <w:p w14:paraId="345B423C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smegenis ar į kaukolės vidų (simptomams priskiriama galvos skausmas, silpnumas vienoje kūno pusėje, vėmimas, traukuliai, sumažėjęs sąmonės lygis ir sprando sąstingis.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Tai sunki, neatidėliotina medicininė būklė. Nedelsdami kreipkitės medicinos pagalbos!)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;</w:t>
      </w:r>
    </w:p>
    <w:p w14:paraId="2C08C7BF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  <w:tab w:val="left" w:pos="1997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ilgai trunkantis ar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stiprus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kraujavimas;</w:t>
      </w:r>
    </w:p>
    <w:p w14:paraId="67E3BCF5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neįprastas silpnumas, nuovargis, blyškumas, svaigulys, galvos skausmas, nepaaiškinamas tinimas, dusulys, krūtinės skausmas arba krūtinės angina.</w:t>
      </w:r>
    </w:p>
    <w:p w14:paraId="26D4E34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Jūsų gydytojas gali nuspręsti Jus atidžiau stebėti arba pakeisti gydymą.</w:t>
      </w:r>
    </w:p>
    <w:p w14:paraId="5020510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D0FD12" w14:textId="77777777" w:rsidR="00B148BC" w:rsidRPr="00374411" w:rsidRDefault="00B148BC" w:rsidP="00B148B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Sunkių odos reakcijų požymiai</w:t>
      </w:r>
    </w:p>
    <w:p w14:paraId="26893D42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plintantis intensyvus odos išbėrimas, pūslės arba gleivinių pažeidimai, pvz., burnos arba akių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Stivenso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-Džonsono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angl. </w:t>
      </w:r>
      <w:proofErr w:type="spellStart"/>
      <w:r w:rsidRPr="00374411"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  <w:t>Stevens-Johnson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) sindromas ir (arba) toksinė epidermio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nekrolizė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79FFDCC6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vaisto sukelti išbėrimas, karščiavimas, vidaus organų uždegimas, nenormalūs kraujo rodiklių pokyčiai ir sisteminis pažeidimas (DRESS sindromas).</w:t>
      </w:r>
    </w:p>
    <w:p w14:paraId="67C599E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Šie šalutiniai poveikiai yra labai reti (gali pasireikšti rečiau kaip 1 iš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 asmenų).</w:t>
      </w:r>
    </w:p>
    <w:p w14:paraId="22AF1EF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44E6D1" w14:textId="77777777" w:rsidR="00B148BC" w:rsidRPr="00374411" w:rsidRDefault="00B148BC" w:rsidP="00B148BC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Sunkių alerginių reakcijų požymiai</w:t>
      </w:r>
    </w:p>
    <w:p w14:paraId="7557B305" w14:textId="77777777" w:rsidR="00B148BC" w:rsidRPr="00374411" w:rsidRDefault="00B148BC" w:rsidP="00B148BC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veido, lūpų, burnos, liežuvio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ryklės tinimas, apsunkintas rijimas, dilgėlinė ir apsunkintas kvėpavimas, staigus kraujospūdžio sumažėjimas.</w:t>
      </w:r>
    </w:p>
    <w:p w14:paraId="407BB18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Sunkios alerginės reakcijos yra labai retos (anafilaksinės reakcijos, įskaitant anafilaksinį šoką; gali pasireikšti rečiau kaip 1 iš 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 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000 asmenų) ir nedažnos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angioneurozinė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ir alerginė edema; gali pasireikšti rečiau kaip 1 iš 100 asmenų).</w:t>
      </w:r>
    </w:p>
    <w:p w14:paraId="6455E19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BCCA2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Visas galimų šalutinių poveikių sąrašas</w:t>
      </w:r>
    </w:p>
    <w:p w14:paraId="5EA51C8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7F4359E0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D1D5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Dažni šalutinio poveikio reiškiniai </w:t>
      </w:r>
      <w:r w:rsidRPr="00794FB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55DBDE7C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raudonųjų kraujo ląstelių kiekio sumažėjimas, dėl kurio oda gali būti blyški, o Jūs galite jausti silpnumą ar dusulį;</w:t>
      </w:r>
    </w:p>
    <w:p w14:paraId="6EF31B7A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iš skrandžio ar žarnyno, kraujavimas iš šlapimo ir lytinių organų (įskaitant kraują šlapime ir gausų mėnesinių kraujavimą), kraujavimas iš nosies, kraujavimas iš dantenų;</w:t>
      </w:r>
    </w:p>
    <w:p w14:paraId="7F720EC1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akies kraujavimas (įskaitant kraujavimą iš akies baltymo);</w:t>
      </w:r>
    </w:p>
    <w:p w14:paraId="55ACF0A2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audinius arba kūno ertmes (kraujosruvos, mėlynės);</w:t>
      </w:r>
    </w:p>
    <w:p w14:paraId="66984DB1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atkosėjimas;</w:t>
      </w:r>
    </w:p>
    <w:p w14:paraId="7BE96D24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odą arba po oda;</w:t>
      </w:r>
    </w:p>
    <w:p w14:paraId="450D0938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po operacijos;</w:t>
      </w:r>
    </w:p>
    <w:p w14:paraId="20278F06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kraujo ar skysčio sunkimasis iš chirurginės žaizdos;</w:t>
      </w:r>
    </w:p>
    <w:p w14:paraId="28A69F50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galūnių tinimas;</w:t>
      </w:r>
    </w:p>
    <w:p w14:paraId="1B3A9A81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galūnių skausmas;</w:t>
      </w:r>
    </w:p>
    <w:p w14:paraId="3246038E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sutrikusi inkstų funkcija (gydytojas tai gali nustatyti atlikęs tyrimus);</w:t>
      </w:r>
    </w:p>
    <w:p w14:paraId="43033D5F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karščiavimas;</w:t>
      </w:r>
    </w:p>
    <w:p w14:paraId="6E5636BB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pilvo skausmas,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nevirškinimas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pykinimas, vėmimas, vidurių užkietėjimas, viduriavimas;</w:t>
      </w:r>
    </w:p>
    <w:p w14:paraId="7C7EA03C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sumažėjęs kraujospūdis (simptomai gali būti svaigulio jausmas ar alpimas stojantis);</w:t>
      </w:r>
    </w:p>
    <w:p w14:paraId="20D62B30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jėgos ir energijos sumažėjimas (silpnumas, nuovargis), galvos skausmas, svaigulys;</w:t>
      </w:r>
    </w:p>
    <w:p w14:paraId="5343A0FC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iš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bėrimas, odos niežulys;</w:t>
      </w:r>
    </w:p>
    <w:p w14:paraId="6483C780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kai kurių kepenų fermentų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aktyvumo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padidėjimą.</w:t>
      </w:r>
    </w:p>
    <w:p w14:paraId="2E895F2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67152DD7" w14:textId="77777777" w:rsidR="00B148BC" w:rsidRPr="00794FB2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D167B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Nedažni šalutinio poveikio reiškiniai </w:t>
      </w:r>
      <w:r w:rsidRPr="00794FB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328C91E9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kraujavimas į smegenis ar į kaukolės vidų (žr.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pirmiau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„Kraujavimo požymiai“);</w:t>
      </w:r>
    </w:p>
    <w:p w14:paraId="55C65456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sąnarius, sukeliantis skausmą ir tinimą;</w:t>
      </w:r>
    </w:p>
    <w:p w14:paraId="349E4607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trombocitopenija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(trombocitų – kraujo plokštelių, kurios padeda kraujyje susidaryti krešuliui, – sumažėjimas);</w:t>
      </w:r>
    </w:p>
    <w:p w14:paraId="36F14BC4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alerginės reakcijos, įskaitant alergines odos reakcijas;</w:t>
      </w:r>
    </w:p>
    <w:p w14:paraId="61F47425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sutrikusi kepenų funkcija (gydytojas tai gali nustatyti atlikęs tyrimus);</w:t>
      </w:r>
    </w:p>
    <w:p w14:paraId="7A189664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tyrimai gali rodyti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bilirubino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kai kurių kasos ar kepenų fermentų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aktyvumo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arba trombocitų skaičiaus padidėjimą.</w:t>
      </w:r>
    </w:p>
    <w:p w14:paraId="1C4E6A33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alpimas;</w:t>
      </w:r>
    </w:p>
    <w:p w14:paraId="074CE15A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bloga savijauta;</w:t>
      </w:r>
    </w:p>
    <w:p w14:paraId="2B6DDD5D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pagreitėjęs širdies plakimas;</w:t>
      </w:r>
    </w:p>
    <w:p w14:paraId="30D1FDF2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burnos džiūvimas;</w:t>
      </w:r>
    </w:p>
    <w:p w14:paraId="0307F97F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dilgėlinė.</w:t>
      </w:r>
    </w:p>
    <w:p w14:paraId="63FB22AD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6E20C4" w14:textId="77777777" w:rsidR="00B148BC" w:rsidRPr="00794FB2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6D3C96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Reti šalutinio poveikio reiškiniai </w:t>
      </w:r>
      <w:r w:rsidRPr="00794FB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1 000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7FEBC87B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kraujavimas į raumenis;</w:t>
      </w:r>
    </w:p>
    <w:p w14:paraId="13770941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cholestazė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(sumažėjęs tulžies nutekėjimas), hepatitas, įskaitant kepenų ląstelių pažeidimą (kepenų uždegimas, įskaitant kepenų pažeidimą);</w:t>
      </w:r>
    </w:p>
    <w:p w14:paraId="58AAABBF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odos ir akių pageltimas (gelta);</w:t>
      </w:r>
    </w:p>
    <w:p w14:paraId="268BB3E0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lokalus tinimas;</w:t>
      </w:r>
    </w:p>
    <w:p w14:paraId="58806B05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kraujo susikaupimas (hematoma) kirkšnyje – širdies procedūros, kai į kojos arteriją įterpiamas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kateteris, komplikacija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pseudoaneurizma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5196861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16A21F8E" w14:textId="77777777" w:rsidR="00B148BC" w:rsidRPr="00794FB2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ED6F00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Labai reti šalutinio poveikio reiškiniai </w:t>
      </w:r>
      <w:r w:rsidRPr="00794FB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(gali pasireikšti rečiau kaip 1 iš 10 000 asmenų)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64A15B35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eozinofilų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tam tikros rūšies baltųjų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granulocitinių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kraujo kūnelių sankaupos, kurios sukelia uždegimą plaučiuose (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eozinofilinė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pneumonija).</w:t>
      </w:r>
    </w:p>
    <w:p w14:paraId="1D34EB2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2EFEE8" w14:textId="77777777" w:rsidR="00B148BC" w:rsidRPr="00794FB2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A03F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Šalutinio poveikio reiškiniai, kurių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</w:t>
      </w:r>
      <w:r w:rsidRPr="00374411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ažnis </w:t>
      </w:r>
      <w:r w:rsidRPr="005A03FF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nežinomas </w:t>
      </w:r>
      <w:r w:rsidRPr="00794FB2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(negali būti apskaičiuotas pagal turimus duomenis)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:</w:t>
      </w:r>
    </w:p>
    <w:p w14:paraId="2FF5D0CA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inkstų nepakankamumas po stipraus kraujavimo;</w:t>
      </w:r>
    </w:p>
    <w:p w14:paraId="0457AC4E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kraujavimas iš inkstų, kartais su krauju šlapime, dėl kurio sutrinka normali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insktų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funkcija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(su antikoaguliantais susijusi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nefropatija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);</w:t>
      </w:r>
    </w:p>
    <w:p w14:paraId="3279D46C" w14:textId="77777777" w:rsidR="00B148BC" w:rsidRPr="00374411" w:rsidRDefault="00B148BC" w:rsidP="00B148BC">
      <w:pPr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padidėjęs spaudimas kojų ar rankų raumenyse po kraujavimo, dėl ko gali skaudėti, tinti, sutrikti jutimas, pasireikšti tirpimas ar paralyžius (suspaudimo sindromas po kraujavimo).</w:t>
      </w:r>
    </w:p>
    <w:p w14:paraId="06D713E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0422F7C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Pranešimas apie šalutinį poveikį</w:t>
      </w:r>
    </w:p>
    <w:p w14:paraId="4C897BD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Jeigu pasireiškė šalutinis poveikis, įskaitant šiame lapelyje nenurodytą, pasakykite gydytojui arba vaistininkui.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Pranešimą apie šalutinį poveikį galite užpildyti ir pateikti valstybinės vaistų kontrolės tarnybos prie Lietuvos Respublikos sveikatos apsaugos ministerijos tinklalapyje </w:t>
      </w:r>
      <w:r w:rsidRPr="00374411">
        <w:rPr>
          <w:rFonts w:ascii="Times New Roman" w:eastAsia="Times New Roman" w:hAnsi="Times New Roman" w:cs="Times New Roman"/>
          <w:color w:val="0000EE"/>
          <w:kern w:val="0"/>
          <w:sz w:val="22"/>
          <w:szCs w:val="22"/>
          <w:u w:val="single"/>
          <w:lang w:eastAsia="lt-LT"/>
          <w14:ligatures w14:val="none"/>
        </w:rPr>
        <w:t>https://vvkt.lrv.lt/lt/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nurodytais būdais arba paskambinti nemokamu telefonu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+370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800 73 568. Pranešdami apie šalutinį poveikį galite mums padėti gauti daugiau informacijos apie šio vaisto saugumą</w:t>
      </w:r>
      <w:r w:rsidRPr="0037441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.</w:t>
      </w:r>
    </w:p>
    <w:p w14:paraId="5160D76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B352EC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50CC15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  <w:tab w:val="left" w:pos="1440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Kaip laikyti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</w:p>
    <w:p w14:paraId="40B20D2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09AF94F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Šį vaistą laikykite vaikams nepastebimoje ir nepasiekiamoje vietoje.</w:t>
      </w:r>
    </w:p>
    <w:p w14:paraId="2FF2B4F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15AE3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Ant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kartono dėžutės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po „EXP“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ir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 nurodytam tinkamumo laikui pasibaigus, šio vaisto vartoti negalima. Vaistas tinkamas vartoti iki paskutinės nurodyto mėnesio dienos.</w:t>
      </w:r>
    </w:p>
    <w:p w14:paraId="13C9543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AF97F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Šiam vaistui specialių laikymo sąlygų nereikia.</w:t>
      </w:r>
    </w:p>
    <w:p w14:paraId="4465D97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5471F1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>Susmulkintos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u w:val="single"/>
          <w14:ligatures w14:val="none"/>
        </w:rPr>
        <w:t xml:space="preserve"> tabletės</w:t>
      </w:r>
    </w:p>
    <w:p w14:paraId="4CA3D78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Susmulkintos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tabletės išlieka stabilios vandenyje ir obuolių tyrėje iki 4 valandų.</w:t>
      </w:r>
    </w:p>
    <w:p w14:paraId="448F6F77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B40EE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Vaistų negalima išmesti į kanalizaciją arba su buitinėmis atliekomis. Kaip išmesti nereikalingus vaistus, klauskite vaistininko. Šios priemonės padės apsaugoti aplinką.</w:t>
      </w:r>
    </w:p>
    <w:p w14:paraId="0FABC819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C28324F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1EE8A0" w14:textId="77777777" w:rsidR="00B148BC" w:rsidRPr="00374411" w:rsidRDefault="00B148BC" w:rsidP="00B148BC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Pakuotės turinys ir kita informacija</w:t>
      </w:r>
    </w:p>
    <w:p w14:paraId="65CF197D" w14:textId="77777777" w:rsidR="00B148BC" w:rsidRPr="00374411" w:rsidRDefault="00B148BC" w:rsidP="00B148BC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511C8AB" w14:textId="77777777" w:rsidR="00B148BC" w:rsidRPr="00374411" w:rsidRDefault="00B148BC" w:rsidP="00B148BC">
      <w:pPr>
        <w:widowControl w:val="0"/>
        <w:tabs>
          <w:tab w:val="left" w:pos="1440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sudėtis</w:t>
      </w:r>
    </w:p>
    <w:p w14:paraId="264C366B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Veiklioji medžiaga yra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rivaroksabanas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Kiekvienoje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plėvele dengtoje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tabletėje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rivaroksabano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4D068BB" w14:textId="77777777" w:rsidR="00B148BC" w:rsidRPr="00374411" w:rsidRDefault="00B148BC" w:rsidP="00B148BC">
      <w:pPr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Pagalbinės medžiagos yra:</w:t>
      </w:r>
    </w:p>
    <w:p w14:paraId="5A4EC12C" w14:textId="77777777" w:rsidR="00B148BC" w:rsidRPr="00374411" w:rsidRDefault="00B148BC" w:rsidP="00B148B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šerdis: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mikrokristalinė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celiuliozė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(E460i)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laktozė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monohidratas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kroskarmeliozės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natrio druska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(E468)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 w:rsidRPr="000F1F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natrio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laurilsulfatas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(E487),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magnio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stearatas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(E470b)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Žr. 2 skyrių „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sudėtyje yra laktozės ir natrio“.</w:t>
      </w:r>
    </w:p>
    <w:p w14:paraId="1A559CC3" w14:textId="77777777" w:rsidR="00B148BC" w:rsidRPr="00374411" w:rsidRDefault="00B148BC" w:rsidP="00B148B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14:ligatures w14:val="none"/>
        </w:rPr>
        <w:t>Tabletės plėvelė: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hipromeliozė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2910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(E464)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titano dioksidas (E171),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makrogolis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3350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(E1521)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raudonasis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geležies oksidas (E172).</w:t>
      </w:r>
    </w:p>
    <w:p w14:paraId="616BAE4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09673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išvaizda ir kiekis pakuotėje</w:t>
      </w:r>
    </w:p>
    <w:p w14:paraId="32C92370" w14:textId="77777777" w:rsidR="00B148BC" w:rsidRPr="000D707E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Rivaroxaban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 mg plėvele dengtos tabletės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š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viesiai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raudonos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apvalios, abipus išgaubtos plėvele dengtos tabletės, kurių vienoje pusėje įspausta „A“, o kitoje – „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10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(skersmuo 5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,10 ± 0,20 mm, storis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 ± 0,30 mm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</w:t>
      </w:r>
      <w:r w:rsidRPr="000D707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696148B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307EAF" w14:textId="77777777" w:rsidR="00B148BC" w:rsidRPr="000845C4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Skaidri PVC/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PVdC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//Al arba </w:t>
      </w:r>
      <w:proofErr w:type="spellStart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oPa</w:t>
      </w:r>
      <w:proofErr w:type="spellEnd"/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/Al/PVC//Al lizdinė plokštelė, kurioje yra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10 arba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14 plėvele dengtų tablečių.</w:t>
      </w:r>
    </w:p>
    <w:p w14:paraId="6378DB5C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Kiekvienoje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karton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dėžutėje yra </w:t>
      </w:r>
      <w:r w:rsidRPr="00F31961">
        <w:rPr>
          <w:rFonts w:ascii="Times New Roman" w:hAnsi="Times New Roman" w:cs="Times New Roman"/>
          <w:sz w:val="22"/>
          <w:szCs w:val="22"/>
        </w:rPr>
        <w:t xml:space="preserve">10 plėvele </w:t>
      </w:r>
      <w:r w:rsidRPr="003D3701">
        <w:rPr>
          <w:rFonts w:ascii="Times New Roman" w:hAnsi="Times New Roman" w:cs="Times New Roman"/>
          <w:sz w:val="22"/>
          <w:szCs w:val="22"/>
        </w:rPr>
        <w:t>dengtų tablečių</w:t>
      </w:r>
      <w:r w:rsidRPr="002D0F80">
        <w:rPr>
          <w:rFonts w:ascii="Times New Roman" w:hAnsi="Times New Roman" w:cs="Times New Roman"/>
          <w:sz w:val="22"/>
          <w:szCs w:val="22"/>
        </w:rPr>
        <w:t xml:space="preserve"> </w:t>
      </w:r>
      <w:r w:rsidRPr="00F31961">
        <w:rPr>
          <w:rFonts w:ascii="Times New Roman" w:hAnsi="Times New Roman" w:cs="Times New Roman"/>
          <w:sz w:val="22"/>
          <w:szCs w:val="22"/>
        </w:rPr>
        <w:t xml:space="preserve">(1 lizdinė plokštelė),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30 plėvele dengtų tablečių (3 lizdinės plokštelės) 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arba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98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plėvele dengtos tabletės (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lizdinės plokštelės</w:t>
      </w:r>
      <w:r w:rsidRPr="000845C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).</w:t>
      </w:r>
    </w:p>
    <w:p w14:paraId="2E8445D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77444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Gali būti tiekiamos ne visų dydžių pakuotės.</w:t>
      </w:r>
    </w:p>
    <w:p w14:paraId="31826FF2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0D53D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Registruotojas</w:t>
      </w:r>
    </w:p>
    <w:p w14:paraId="3E55DFB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7F73E79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Rūpnīcu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iela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1C89491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novads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LV-2114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59C646FB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Latvija</w:t>
      </w:r>
    </w:p>
    <w:p w14:paraId="269DF18A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447F342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Gamintojas</w:t>
      </w:r>
    </w:p>
    <w:p w14:paraId="274BE054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Olpha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24E9B695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Rūpnīcu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iela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350E3138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Olaines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novads</w:t>
      </w:r>
      <w:proofErr w:type="spellEnd"/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LV-2114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7C8308EE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Latvija</w:t>
      </w:r>
    </w:p>
    <w:p w14:paraId="49FA9FA0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ECA9F0F" w14:textId="77777777" w:rsidR="00B148BC" w:rsidRPr="00740AD5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40AD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arba</w:t>
      </w:r>
    </w:p>
    <w:p w14:paraId="2E44C570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1F571C00" w14:textId="77777777" w:rsidR="00B148BC" w:rsidRPr="00613FC8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Pharmadox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Healthcare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Limited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6BD9FC52" w14:textId="77777777" w:rsidR="00B148BC" w:rsidRPr="00613FC8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KW20A </w:t>
      </w: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Kordin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Industrial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Park</w:t>
      </w:r>
      <w:proofErr w:type="spellEnd"/>
      <w:r w:rsidRPr="00613FC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</w:t>
      </w:r>
    </w:p>
    <w:p w14:paraId="24B1CB34" w14:textId="77777777" w:rsidR="00B148BC" w:rsidRPr="00613FC8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613FC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Paola PLA 3000,</w:t>
      </w:r>
    </w:p>
    <w:p w14:paraId="53CD55A4" w14:textId="77777777" w:rsidR="00B148BC" w:rsidRPr="00613FC8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</w:pPr>
      <w:r w:rsidRPr="00613FC8">
        <w:rPr>
          <w:rFonts w:ascii="Times New Roman" w:eastAsia="Times New Roman" w:hAnsi="Times New Roman" w:cs="Times New Roman"/>
          <w:kern w:val="0"/>
          <w:sz w:val="22"/>
          <w:szCs w:val="22"/>
          <w:lang w:val="fr-FR"/>
          <w14:ligatures w14:val="none"/>
        </w:rPr>
        <w:t>Malta</w:t>
      </w:r>
    </w:p>
    <w:p w14:paraId="075B66EC" w14:textId="77777777" w:rsidR="00B148BC" w:rsidRPr="00374411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58882641" w14:textId="77777777" w:rsidR="00B148BC" w:rsidRPr="00374411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Šis vaistas Europos ekonominės erdvės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 </w:t>
      </w: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valstybėse narėse registruotas tokiais pavadinimais:</w:t>
      </w:r>
    </w:p>
    <w:p w14:paraId="7A306021" w14:textId="77777777" w:rsidR="00B148BC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Lietuva: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 plėvele dengtos tabletės</w:t>
      </w:r>
    </w:p>
    <w:p w14:paraId="2CE4CDFF" w14:textId="77777777" w:rsidR="00B148BC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Latvija: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</w:t>
      </w:r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 </w:t>
      </w:r>
      <w:proofErr w:type="spellStart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apvalkotās</w:t>
      </w:r>
      <w:proofErr w:type="spellEnd"/>
      <w:r w:rsidRPr="006D193E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tabletes</w:t>
      </w:r>
    </w:p>
    <w:p w14:paraId="60BF7ACA" w14:textId="77777777" w:rsidR="00B148BC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Estija, Čekija, Slovakija, Lenkija, Vokietija, Italija, Ispanija: </w:t>
      </w:r>
      <w:proofErr w:type="spellStart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Rivaroxaban</w:t>
      </w:r>
      <w:proofErr w:type="spellEnd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F30EA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Olpha</w:t>
      </w:r>
      <w:proofErr w:type="spellEnd"/>
    </w:p>
    <w:p w14:paraId="2CD67857" w14:textId="77777777" w:rsidR="00B148BC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Prancūzija: </w:t>
      </w:r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RIVAROXABAN OLPHA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10</w:t>
      </w:r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mg, </w:t>
      </w:r>
      <w:proofErr w:type="spellStart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comprimé</w:t>
      </w:r>
      <w:proofErr w:type="spellEnd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 </w:t>
      </w:r>
      <w:proofErr w:type="spellStart"/>
      <w:r w:rsidRPr="002645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pelliculé</w:t>
      </w:r>
      <w:proofErr w:type="spellEnd"/>
    </w:p>
    <w:p w14:paraId="3AD37D18" w14:textId="77777777" w:rsidR="00B148BC" w:rsidRPr="00374411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E72D33D" w14:textId="77777777" w:rsidR="00B148BC" w:rsidRPr="00374411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 xml:space="preserve">Šis pakuotės lapelis paskutinį kartą peržiūrėtas 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lt-LT"/>
          <w14:ligatures w14:val="none"/>
        </w:rPr>
        <w:t>2026-04-11.</w:t>
      </w:r>
    </w:p>
    <w:p w14:paraId="761EBCF9" w14:textId="77777777" w:rsidR="00B148BC" w:rsidRPr="00374411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444994A" w14:textId="77777777" w:rsidR="00B148BC" w:rsidRPr="00374411" w:rsidRDefault="00B148BC" w:rsidP="00B148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Išsami informacija apie šį vaistą pateikiama valstybinės vaistų kontrolės tarnybos prie Lietuvos Respublikos sveikatos apsaugos ministerijos tinklalapyje </w:t>
      </w:r>
      <w:r w:rsidRPr="00374411">
        <w:rPr>
          <w:rFonts w:ascii="Times New Roman" w:eastAsia="Times New Roman" w:hAnsi="Times New Roman" w:cs="Times New Roman"/>
          <w:color w:val="0000EE"/>
          <w:kern w:val="0"/>
          <w:sz w:val="22"/>
          <w:szCs w:val="22"/>
          <w:u w:val="single"/>
          <w:lang w:eastAsia="lt-LT"/>
          <w14:ligatures w14:val="none"/>
        </w:rPr>
        <w:t>https://vvkt.lrv.lt/lt/</w:t>
      </w:r>
      <w:r w:rsidRPr="0037441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.</w:t>
      </w:r>
    </w:p>
    <w:p w14:paraId="26B9770A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3418753A" w14:textId="77777777" w:rsidR="00B148BC" w:rsidRDefault="00B148BC" w:rsidP="00B148B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2D47B945" w14:textId="77777777" w:rsidR="00222FED" w:rsidRDefault="00222FED"/>
    <w:sectPr w:rsidR="00222FED" w:rsidSect="00B148BC">
      <w:pgSz w:w="11907" w:h="16840" w:code="9"/>
      <w:pgMar w:top="1134" w:right="1418" w:bottom="1134" w:left="1418" w:header="737" w:footer="73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ECA"/>
    <w:multiLevelType w:val="hybridMultilevel"/>
    <w:tmpl w:val="AE5EC7B2"/>
    <w:lvl w:ilvl="0" w:tplc="FFFFFFFF">
      <w:start w:val="1"/>
      <w:numFmt w:val="bullet"/>
      <w:lvlText w:val=""/>
      <w:lvlJc w:val="left"/>
      <w:pPr>
        <w:ind w:left="87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8A373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18470113"/>
    <w:multiLevelType w:val="hybridMultilevel"/>
    <w:tmpl w:val="B1DA7138"/>
    <w:lvl w:ilvl="0" w:tplc="F24E5E2E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BE2995E">
      <w:numFmt w:val="bullet"/>
      <w:lvlText w:val="-"/>
      <w:lvlJc w:val="left"/>
      <w:pPr>
        <w:ind w:left="1301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51CA05B0">
      <w:numFmt w:val="bullet"/>
      <w:lvlText w:val="•"/>
      <w:lvlJc w:val="left"/>
      <w:pPr>
        <w:ind w:left="2492" w:hanging="567"/>
      </w:pPr>
      <w:rPr>
        <w:rFonts w:hint="default"/>
        <w:lang w:val="lt-LT" w:eastAsia="en-US" w:bidi="ar-SA"/>
      </w:rPr>
    </w:lvl>
    <w:lvl w:ilvl="3" w:tplc="A010039C">
      <w:numFmt w:val="bullet"/>
      <w:lvlText w:val="•"/>
      <w:lvlJc w:val="left"/>
      <w:pPr>
        <w:ind w:left="3545" w:hanging="567"/>
      </w:pPr>
      <w:rPr>
        <w:rFonts w:hint="default"/>
        <w:lang w:val="lt-LT" w:eastAsia="en-US" w:bidi="ar-SA"/>
      </w:rPr>
    </w:lvl>
    <w:lvl w:ilvl="4" w:tplc="D1124E70">
      <w:numFmt w:val="bullet"/>
      <w:lvlText w:val="•"/>
      <w:lvlJc w:val="left"/>
      <w:pPr>
        <w:ind w:left="4598" w:hanging="567"/>
      </w:pPr>
      <w:rPr>
        <w:rFonts w:hint="default"/>
        <w:lang w:val="lt-LT" w:eastAsia="en-US" w:bidi="ar-SA"/>
      </w:rPr>
    </w:lvl>
    <w:lvl w:ilvl="5" w:tplc="8C4CCB32">
      <w:numFmt w:val="bullet"/>
      <w:lvlText w:val="•"/>
      <w:lvlJc w:val="left"/>
      <w:pPr>
        <w:ind w:left="5651" w:hanging="567"/>
      </w:pPr>
      <w:rPr>
        <w:rFonts w:hint="default"/>
        <w:lang w:val="lt-LT" w:eastAsia="en-US" w:bidi="ar-SA"/>
      </w:rPr>
    </w:lvl>
    <w:lvl w:ilvl="6" w:tplc="F8FA42AC">
      <w:numFmt w:val="bullet"/>
      <w:lvlText w:val="•"/>
      <w:lvlJc w:val="left"/>
      <w:pPr>
        <w:ind w:left="6704" w:hanging="567"/>
      </w:pPr>
      <w:rPr>
        <w:rFonts w:hint="default"/>
        <w:lang w:val="lt-LT" w:eastAsia="en-US" w:bidi="ar-SA"/>
      </w:rPr>
    </w:lvl>
    <w:lvl w:ilvl="7" w:tplc="134A7E8E">
      <w:numFmt w:val="bullet"/>
      <w:lvlText w:val="•"/>
      <w:lvlJc w:val="left"/>
      <w:pPr>
        <w:ind w:left="7756" w:hanging="567"/>
      </w:pPr>
      <w:rPr>
        <w:rFonts w:hint="default"/>
        <w:lang w:val="lt-LT" w:eastAsia="en-US" w:bidi="ar-SA"/>
      </w:rPr>
    </w:lvl>
    <w:lvl w:ilvl="8" w:tplc="9A426574">
      <w:numFmt w:val="bullet"/>
      <w:lvlText w:val="•"/>
      <w:lvlJc w:val="left"/>
      <w:pPr>
        <w:ind w:left="8809" w:hanging="567"/>
      </w:pPr>
      <w:rPr>
        <w:rFonts w:hint="default"/>
        <w:lang w:val="lt-LT" w:eastAsia="en-US" w:bidi="ar-SA"/>
      </w:rPr>
    </w:lvl>
  </w:abstractNum>
  <w:abstractNum w:abstractNumId="2" w15:restartNumberingAfterBreak="0">
    <w:nsid w:val="24EC2C29"/>
    <w:multiLevelType w:val="hybridMultilevel"/>
    <w:tmpl w:val="D2F0CD3A"/>
    <w:lvl w:ilvl="0" w:tplc="C44C13AC">
      <w:numFmt w:val="bullet"/>
      <w:lvlText w:val="-"/>
      <w:lvlJc w:val="left"/>
      <w:pPr>
        <w:ind w:left="1440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21946EB0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F7BEFC34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F6E08ACC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43EAE410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DC264648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C2B8C0E2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2454FE98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D3945F26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3" w15:restartNumberingAfterBreak="0">
    <w:nsid w:val="2DD17260"/>
    <w:multiLevelType w:val="hybridMultilevel"/>
    <w:tmpl w:val="2E9ECEAE"/>
    <w:lvl w:ilvl="0" w:tplc="73343184">
      <w:numFmt w:val="bullet"/>
      <w:lvlText w:val="-"/>
      <w:lvlJc w:val="left"/>
      <w:pPr>
        <w:ind w:left="12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B188518">
      <w:numFmt w:val="bullet"/>
      <w:lvlText w:val="•"/>
      <w:lvlJc w:val="left"/>
      <w:pPr>
        <w:ind w:left="2207" w:hanging="360"/>
      </w:pPr>
      <w:rPr>
        <w:rFonts w:hint="default"/>
        <w:lang w:val="lt-LT" w:eastAsia="en-US" w:bidi="ar-SA"/>
      </w:rPr>
    </w:lvl>
    <w:lvl w:ilvl="2" w:tplc="8384CF78">
      <w:numFmt w:val="bullet"/>
      <w:lvlText w:val="•"/>
      <w:lvlJc w:val="left"/>
      <w:pPr>
        <w:ind w:left="3175" w:hanging="360"/>
      </w:pPr>
      <w:rPr>
        <w:rFonts w:hint="default"/>
        <w:lang w:val="lt-LT" w:eastAsia="en-US" w:bidi="ar-SA"/>
      </w:rPr>
    </w:lvl>
    <w:lvl w:ilvl="3" w:tplc="CDFCC734">
      <w:numFmt w:val="bullet"/>
      <w:lvlText w:val="•"/>
      <w:lvlJc w:val="left"/>
      <w:pPr>
        <w:ind w:left="4142" w:hanging="360"/>
      </w:pPr>
      <w:rPr>
        <w:rFonts w:hint="default"/>
        <w:lang w:val="lt-LT" w:eastAsia="en-US" w:bidi="ar-SA"/>
      </w:rPr>
    </w:lvl>
    <w:lvl w:ilvl="4" w:tplc="D0141764">
      <w:numFmt w:val="bullet"/>
      <w:lvlText w:val="•"/>
      <w:lvlJc w:val="left"/>
      <w:pPr>
        <w:ind w:left="5110" w:hanging="360"/>
      </w:pPr>
      <w:rPr>
        <w:rFonts w:hint="default"/>
        <w:lang w:val="lt-LT" w:eastAsia="en-US" w:bidi="ar-SA"/>
      </w:rPr>
    </w:lvl>
    <w:lvl w:ilvl="5" w:tplc="A96AE7BC">
      <w:numFmt w:val="bullet"/>
      <w:lvlText w:val="•"/>
      <w:lvlJc w:val="left"/>
      <w:pPr>
        <w:ind w:left="6077" w:hanging="360"/>
      </w:pPr>
      <w:rPr>
        <w:rFonts w:hint="default"/>
        <w:lang w:val="lt-LT" w:eastAsia="en-US" w:bidi="ar-SA"/>
      </w:rPr>
    </w:lvl>
    <w:lvl w:ilvl="6" w:tplc="BD6A3854">
      <w:numFmt w:val="bullet"/>
      <w:lvlText w:val="•"/>
      <w:lvlJc w:val="left"/>
      <w:pPr>
        <w:ind w:left="7045" w:hanging="360"/>
      </w:pPr>
      <w:rPr>
        <w:rFonts w:hint="default"/>
        <w:lang w:val="lt-LT" w:eastAsia="en-US" w:bidi="ar-SA"/>
      </w:rPr>
    </w:lvl>
    <w:lvl w:ilvl="7" w:tplc="7AA82490">
      <w:numFmt w:val="bullet"/>
      <w:lvlText w:val="•"/>
      <w:lvlJc w:val="left"/>
      <w:pPr>
        <w:ind w:left="8012" w:hanging="360"/>
      </w:pPr>
      <w:rPr>
        <w:rFonts w:hint="default"/>
        <w:lang w:val="lt-LT" w:eastAsia="en-US" w:bidi="ar-SA"/>
      </w:rPr>
    </w:lvl>
    <w:lvl w:ilvl="8" w:tplc="F8DA8AD0">
      <w:numFmt w:val="bullet"/>
      <w:lvlText w:val="•"/>
      <w:lvlJc w:val="left"/>
      <w:pPr>
        <w:ind w:left="8980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33C554DC"/>
    <w:multiLevelType w:val="hybridMultilevel"/>
    <w:tmpl w:val="A95469F6"/>
    <w:lvl w:ilvl="0" w:tplc="94A03090">
      <w:start w:val="1"/>
      <w:numFmt w:val="decimal"/>
      <w:lvlText w:val="%1."/>
      <w:lvlJc w:val="left"/>
      <w:pPr>
        <w:ind w:left="1436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6D6AD654">
      <w:numFmt w:val="bullet"/>
      <w:lvlText w:val="•"/>
      <w:lvlJc w:val="left"/>
      <w:pPr>
        <w:ind w:left="2387" w:hanging="562"/>
      </w:pPr>
      <w:rPr>
        <w:rFonts w:hint="default"/>
        <w:lang w:val="lt-LT" w:eastAsia="en-US" w:bidi="ar-SA"/>
      </w:rPr>
    </w:lvl>
    <w:lvl w:ilvl="2" w:tplc="FCDE7908">
      <w:numFmt w:val="bullet"/>
      <w:lvlText w:val="•"/>
      <w:lvlJc w:val="left"/>
      <w:pPr>
        <w:ind w:left="3335" w:hanging="562"/>
      </w:pPr>
      <w:rPr>
        <w:rFonts w:hint="default"/>
        <w:lang w:val="lt-LT" w:eastAsia="en-US" w:bidi="ar-SA"/>
      </w:rPr>
    </w:lvl>
    <w:lvl w:ilvl="3" w:tplc="9E3291EA">
      <w:numFmt w:val="bullet"/>
      <w:lvlText w:val="•"/>
      <w:lvlJc w:val="left"/>
      <w:pPr>
        <w:ind w:left="4282" w:hanging="562"/>
      </w:pPr>
      <w:rPr>
        <w:rFonts w:hint="default"/>
        <w:lang w:val="lt-LT" w:eastAsia="en-US" w:bidi="ar-SA"/>
      </w:rPr>
    </w:lvl>
    <w:lvl w:ilvl="4" w:tplc="38AC940A">
      <w:numFmt w:val="bullet"/>
      <w:lvlText w:val="•"/>
      <w:lvlJc w:val="left"/>
      <w:pPr>
        <w:ind w:left="5230" w:hanging="562"/>
      </w:pPr>
      <w:rPr>
        <w:rFonts w:hint="default"/>
        <w:lang w:val="lt-LT" w:eastAsia="en-US" w:bidi="ar-SA"/>
      </w:rPr>
    </w:lvl>
    <w:lvl w:ilvl="5" w:tplc="E1541956">
      <w:numFmt w:val="bullet"/>
      <w:lvlText w:val="•"/>
      <w:lvlJc w:val="left"/>
      <w:pPr>
        <w:ind w:left="6177" w:hanging="562"/>
      </w:pPr>
      <w:rPr>
        <w:rFonts w:hint="default"/>
        <w:lang w:val="lt-LT" w:eastAsia="en-US" w:bidi="ar-SA"/>
      </w:rPr>
    </w:lvl>
    <w:lvl w:ilvl="6" w:tplc="75D6ECE0">
      <w:numFmt w:val="bullet"/>
      <w:lvlText w:val="•"/>
      <w:lvlJc w:val="left"/>
      <w:pPr>
        <w:ind w:left="7125" w:hanging="562"/>
      </w:pPr>
      <w:rPr>
        <w:rFonts w:hint="default"/>
        <w:lang w:val="lt-LT" w:eastAsia="en-US" w:bidi="ar-SA"/>
      </w:rPr>
    </w:lvl>
    <w:lvl w:ilvl="7" w:tplc="E0FE33D0">
      <w:numFmt w:val="bullet"/>
      <w:lvlText w:val="•"/>
      <w:lvlJc w:val="left"/>
      <w:pPr>
        <w:ind w:left="8072" w:hanging="562"/>
      </w:pPr>
      <w:rPr>
        <w:rFonts w:hint="default"/>
        <w:lang w:val="lt-LT" w:eastAsia="en-US" w:bidi="ar-SA"/>
      </w:rPr>
    </w:lvl>
    <w:lvl w:ilvl="8" w:tplc="36B89BBA">
      <w:numFmt w:val="bullet"/>
      <w:lvlText w:val="•"/>
      <w:lvlJc w:val="left"/>
      <w:pPr>
        <w:ind w:left="9020" w:hanging="562"/>
      </w:pPr>
      <w:rPr>
        <w:rFonts w:hint="default"/>
        <w:lang w:val="lt-LT" w:eastAsia="en-US" w:bidi="ar-SA"/>
      </w:rPr>
    </w:lvl>
  </w:abstractNum>
  <w:abstractNum w:abstractNumId="5" w15:restartNumberingAfterBreak="0">
    <w:nsid w:val="49093174"/>
    <w:multiLevelType w:val="hybridMultilevel"/>
    <w:tmpl w:val="C2500F20"/>
    <w:lvl w:ilvl="0" w:tplc="80D281AA">
      <w:start w:val="1"/>
      <w:numFmt w:val="decimal"/>
      <w:lvlText w:val="%1."/>
      <w:lvlJc w:val="left"/>
      <w:pPr>
        <w:ind w:left="1440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50AC930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spacing w:val="0"/>
        <w:w w:val="100"/>
        <w:lang w:val="lt-LT" w:eastAsia="en-US" w:bidi="ar-SA"/>
      </w:rPr>
    </w:lvl>
    <w:lvl w:ilvl="2" w:tplc="D3423F78">
      <w:numFmt w:val="bullet"/>
      <w:lvlText w:val=""/>
      <w:lvlJc w:val="left"/>
      <w:pPr>
        <w:ind w:left="1997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 w:tplc="3BAEF842">
      <w:numFmt w:val="bullet"/>
      <w:lvlText w:val="•"/>
      <w:lvlJc w:val="left"/>
      <w:pPr>
        <w:ind w:left="3131" w:hanging="567"/>
      </w:pPr>
      <w:rPr>
        <w:rFonts w:hint="default"/>
        <w:lang w:val="lt-LT" w:eastAsia="en-US" w:bidi="ar-SA"/>
      </w:rPr>
    </w:lvl>
    <w:lvl w:ilvl="4" w:tplc="9850BB0C">
      <w:numFmt w:val="bullet"/>
      <w:lvlText w:val="•"/>
      <w:lvlJc w:val="left"/>
      <w:pPr>
        <w:ind w:left="4243" w:hanging="567"/>
      </w:pPr>
      <w:rPr>
        <w:rFonts w:hint="default"/>
        <w:lang w:val="lt-LT" w:eastAsia="en-US" w:bidi="ar-SA"/>
      </w:rPr>
    </w:lvl>
    <w:lvl w:ilvl="5" w:tplc="434AEE64">
      <w:numFmt w:val="bullet"/>
      <w:lvlText w:val="•"/>
      <w:lvlJc w:val="left"/>
      <w:pPr>
        <w:ind w:left="5355" w:hanging="567"/>
      </w:pPr>
      <w:rPr>
        <w:rFonts w:hint="default"/>
        <w:lang w:val="lt-LT" w:eastAsia="en-US" w:bidi="ar-SA"/>
      </w:rPr>
    </w:lvl>
    <w:lvl w:ilvl="6" w:tplc="F44CC602">
      <w:numFmt w:val="bullet"/>
      <w:lvlText w:val="•"/>
      <w:lvlJc w:val="left"/>
      <w:pPr>
        <w:ind w:left="6467" w:hanging="567"/>
      </w:pPr>
      <w:rPr>
        <w:rFonts w:hint="default"/>
        <w:lang w:val="lt-LT" w:eastAsia="en-US" w:bidi="ar-SA"/>
      </w:rPr>
    </w:lvl>
    <w:lvl w:ilvl="7" w:tplc="D31C90C2">
      <w:numFmt w:val="bullet"/>
      <w:lvlText w:val="•"/>
      <w:lvlJc w:val="left"/>
      <w:pPr>
        <w:ind w:left="7579" w:hanging="567"/>
      </w:pPr>
      <w:rPr>
        <w:rFonts w:hint="default"/>
        <w:lang w:val="lt-LT" w:eastAsia="en-US" w:bidi="ar-SA"/>
      </w:rPr>
    </w:lvl>
    <w:lvl w:ilvl="8" w:tplc="F30467A4">
      <w:numFmt w:val="bullet"/>
      <w:lvlText w:val="•"/>
      <w:lvlJc w:val="left"/>
      <w:pPr>
        <w:ind w:left="8691" w:hanging="567"/>
      </w:pPr>
      <w:rPr>
        <w:rFonts w:hint="default"/>
        <w:lang w:val="lt-LT" w:eastAsia="en-US" w:bidi="ar-SA"/>
      </w:rPr>
    </w:lvl>
  </w:abstractNum>
  <w:abstractNum w:abstractNumId="6" w15:restartNumberingAfterBreak="0">
    <w:nsid w:val="53EE2BCD"/>
    <w:multiLevelType w:val="hybridMultilevel"/>
    <w:tmpl w:val="1CD8F2EE"/>
    <w:lvl w:ilvl="0" w:tplc="379A933A">
      <w:numFmt w:val="bullet"/>
      <w:lvlText w:val="-"/>
      <w:lvlJc w:val="left"/>
      <w:pPr>
        <w:ind w:left="14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924620EE">
      <w:numFmt w:val="bullet"/>
      <w:lvlText w:val="•"/>
      <w:lvlJc w:val="left"/>
      <w:pPr>
        <w:ind w:left="2387" w:hanging="567"/>
      </w:pPr>
      <w:rPr>
        <w:rFonts w:hint="default"/>
        <w:lang w:val="lt-LT" w:eastAsia="en-US" w:bidi="ar-SA"/>
      </w:rPr>
    </w:lvl>
    <w:lvl w:ilvl="2" w:tplc="BA249EA6">
      <w:numFmt w:val="bullet"/>
      <w:lvlText w:val="•"/>
      <w:lvlJc w:val="left"/>
      <w:pPr>
        <w:ind w:left="3335" w:hanging="567"/>
      </w:pPr>
      <w:rPr>
        <w:rFonts w:hint="default"/>
        <w:lang w:val="lt-LT" w:eastAsia="en-US" w:bidi="ar-SA"/>
      </w:rPr>
    </w:lvl>
    <w:lvl w:ilvl="3" w:tplc="D0C6C71A">
      <w:numFmt w:val="bullet"/>
      <w:lvlText w:val="•"/>
      <w:lvlJc w:val="left"/>
      <w:pPr>
        <w:ind w:left="4282" w:hanging="567"/>
      </w:pPr>
      <w:rPr>
        <w:rFonts w:hint="default"/>
        <w:lang w:val="lt-LT" w:eastAsia="en-US" w:bidi="ar-SA"/>
      </w:rPr>
    </w:lvl>
    <w:lvl w:ilvl="4" w:tplc="B726AAC2">
      <w:numFmt w:val="bullet"/>
      <w:lvlText w:val="•"/>
      <w:lvlJc w:val="left"/>
      <w:pPr>
        <w:ind w:left="5230" w:hanging="567"/>
      </w:pPr>
      <w:rPr>
        <w:rFonts w:hint="default"/>
        <w:lang w:val="lt-LT" w:eastAsia="en-US" w:bidi="ar-SA"/>
      </w:rPr>
    </w:lvl>
    <w:lvl w:ilvl="5" w:tplc="596C0F82">
      <w:numFmt w:val="bullet"/>
      <w:lvlText w:val="•"/>
      <w:lvlJc w:val="left"/>
      <w:pPr>
        <w:ind w:left="6177" w:hanging="567"/>
      </w:pPr>
      <w:rPr>
        <w:rFonts w:hint="default"/>
        <w:lang w:val="lt-LT" w:eastAsia="en-US" w:bidi="ar-SA"/>
      </w:rPr>
    </w:lvl>
    <w:lvl w:ilvl="6" w:tplc="63C64340">
      <w:numFmt w:val="bullet"/>
      <w:lvlText w:val="•"/>
      <w:lvlJc w:val="left"/>
      <w:pPr>
        <w:ind w:left="7125" w:hanging="567"/>
      </w:pPr>
      <w:rPr>
        <w:rFonts w:hint="default"/>
        <w:lang w:val="lt-LT" w:eastAsia="en-US" w:bidi="ar-SA"/>
      </w:rPr>
    </w:lvl>
    <w:lvl w:ilvl="7" w:tplc="742AED16">
      <w:numFmt w:val="bullet"/>
      <w:lvlText w:val="•"/>
      <w:lvlJc w:val="left"/>
      <w:pPr>
        <w:ind w:left="8072" w:hanging="567"/>
      </w:pPr>
      <w:rPr>
        <w:rFonts w:hint="default"/>
        <w:lang w:val="lt-LT" w:eastAsia="en-US" w:bidi="ar-SA"/>
      </w:rPr>
    </w:lvl>
    <w:lvl w:ilvl="8" w:tplc="164E2F7A">
      <w:numFmt w:val="bullet"/>
      <w:lvlText w:val="•"/>
      <w:lvlJc w:val="left"/>
      <w:pPr>
        <w:ind w:left="9020" w:hanging="567"/>
      </w:pPr>
      <w:rPr>
        <w:rFonts w:hint="default"/>
        <w:lang w:val="lt-LT" w:eastAsia="en-US" w:bidi="ar-SA"/>
      </w:rPr>
    </w:lvl>
  </w:abstractNum>
  <w:abstractNum w:abstractNumId="7" w15:restartNumberingAfterBreak="0">
    <w:nsid w:val="588C4904"/>
    <w:multiLevelType w:val="hybridMultilevel"/>
    <w:tmpl w:val="BBDC718C"/>
    <w:lvl w:ilvl="0" w:tplc="04090001">
      <w:start w:val="1"/>
      <w:numFmt w:val="bullet"/>
      <w:lvlText w:val=""/>
      <w:lvlJc w:val="left"/>
      <w:pPr>
        <w:ind w:left="141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8A3736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</w:rPr>
    </w:lvl>
    <w:lvl w:ilvl="2" w:tplc="15548CFA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E900527E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092298CA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F5F098C6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72582AF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35405916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38A801DC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abstractNum w:abstractNumId="8" w15:restartNumberingAfterBreak="0">
    <w:nsid w:val="68FB2C2E"/>
    <w:multiLevelType w:val="hybridMultilevel"/>
    <w:tmpl w:val="2268520E"/>
    <w:lvl w:ilvl="0" w:tplc="6FF0CDAC">
      <w:numFmt w:val="bullet"/>
      <w:lvlText w:val=""/>
      <w:lvlJc w:val="left"/>
      <w:pPr>
        <w:ind w:left="14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5B26038">
      <w:numFmt w:val="bullet"/>
      <w:lvlText w:val="-"/>
      <w:lvlJc w:val="left"/>
      <w:pPr>
        <w:ind w:left="1954" w:hanging="5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C2B41D24">
      <w:numFmt w:val="bullet"/>
      <w:lvlText w:val="•"/>
      <w:lvlJc w:val="left"/>
      <w:pPr>
        <w:ind w:left="2955" w:hanging="540"/>
      </w:pPr>
      <w:rPr>
        <w:rFonts w:hint="default"/>
        <w:lang w:val="lt-LT" w:eastAsia="en-US" w:bidi="ar-SA"/>
      </w:rPr>
    </w:lvl>
    <w:lvl w:ilvl="3" w:tplc="6010A0E4">
      <w:numFmt w:val="bullet"/>
      <w:lvlText w:val="•"/>
      <w:lvlJc w:val="left"/>
      <w:pPr>
        <w:ind w:left="3950" w:hanging="540"/>
      </w:pPr>
      <w:rPr>
        <w:rFonts w:hint="default"/>
        <w:lang w:val="lt-LT" w:eastAsia="en-US" w:bidi="ar-SA"/>
      </w:rPr>
    </w:lvl>
    <w:lvl w:ilvl="4" w:tplc="E2E2864E">
      <w:numFmt w:val="bullet"/>
      <w:lvlText w:val="•"/>
      <w:lvlJc w:val="left"/>
      <w:pPr>
        <w:ind w:left="4945" w:hanging="540"/>
      </w:pPr>
      <w:rPr>
        <w:rFonts w:hint="default"/>
        <w:lang w:val="lt-LT" w:eastAsia="en-US" w:bidi="ar-SA"/>
      </w:rPr>
    </w:lvl>
    <w:lvl w:ilvl="5" w:tplc="E8F224D6">
      <w:numFmt w:val="bullet"/>
      <w:lvlText w:val="•"/>
      <w:lvlJc w:val="left"/>
      <w:pPr>
        <w:ind w:left="5940" w:hanging="540"/>
      </w:pPr>
      <w:rPr>
        <w:rFonts w:hint="default"/>
        <w:lang w:val="lt-LT" w:eastAsia="en-US" w:bidi="ar-SA"/>
      </w:rPr>
    </w:lvl>
    <w:lvl w:ilvl="6" w:tplc="9918C362">
      <w:numFmt w:val="bullet"/>
      <w:lvlText w:val="•"/>
      <w:lvlJc w:val="left"/>
      <w:pPr>
        <w:ind w:left="6935" w:hanging="540"/>
      </w:pPr>
      <w:rPr>
        <w:rFonts w:hint="default"/>
        <w:lang w:val="lt-LT" w:eastAsia="en-US" w:bidi="ar-SA"/>
      </w:rPr>
    </w:lvl>
    <w:lvl w:ilvl="7" w:tplc="3C0881A0">
      <w:numFmt w:val="bullet"/>
      <w:lvlText w:val="•"/>
      <w:lvlJc w:val="left"/>
      <w:pPr>
        <w:ind w:left="7930" w:hanging="540"/>
      </w:pPr>
      <w:rPr>
        <w:rFonts w:hint="default"/>
        <w:lang w:val="lt-LT" w:eastAsia="en-US" w:bidi="ar-SA"/>
      </w:rPr>
    </w:lvl>
    <w:lvl w:ilvl="8" w:tplc="7624B5E8">
      <w:numFmt w:val="bullet"/>
      <w:lvlText w:val="•"/>
      <w:lvlJc w:val="left"/>
      <w:pPr>
        <w:ind w:left="8925" w:hanging="540"/>
      </w:pPr>
      <w:rPr>
        <w:rFonts w:hint="default"/>
        <w:lang w:val="lt-LT" w:eastAsia="en-US" w:bidi="ar-SA"/>
      </w:rPr>
    </w:lvl>
  </w:abstractNum>
  <w:abstractNum w:abstractNumId="9" w15:restartNumberingAfterBreak="0">
    <w:nsid w:val="6EB44693"/>
    <w:multiLevelType w:val="hybridMultilevel"/>
    <w:tmpl w:val="37C4E620"/>
    <w:lvl w:ilvl="0" w:tplc="04090001">
      <w:start w:val="1"/>
      <w:numFmt w:val="bullet"/>
      <w:lvlText w:val=""/>
      <w:lvlJc w:val="left"/>
      <w:pPr>
        <w:ind w:left="874" w:hanging="567"/>
      </w:pPr>
      <w:rPr>
        <w:rFonts w:ascii="Symbol" w:hAnsi="Symbol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lt-LT" w:eastAsia="en-US" w:bidi="ar-SA"/>
      </w:rPr>
    </w:lvl>
    <w:lvl w:ilvl="1" w:tplc="8FD090A8">
      <w:numFmt w:val="bullet"/>
      <w:lvlText w:val="▪"/>
      <w:lvlJc w:val="left"/>
      <w:pPr>
        <w:ind w:left="20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 w:tplc="E2F206A4">
      <w:numFmt w:val="bullet"/>
      <w:lvlText w:val="•"/>
      <w:lvlJc w:val="left"/>
      <w:pPr>
        <w:ind w:left="2990" w:hanging="567"/>
      </w:pPr>
      <w:rPr>
        <w:rFonts w:hint="default"/>
        <w:lang w:val="lt-LT" w:eastAsia="en-US" w:bidi="ar-SA"/>
      </w:rPr>
    </w:lvl>
    <w:lvl w:ilvl="3" w:tplc="40044D88">
      <w:numFmt w:val="bullet"/>
      <w:lvlText w:val="•"/>
      <w:lvlJc w:val="left"/>
      <w:pPr>
        <w:ind w:left="3981" w:hanging="567"/>
      </w:pPr>
      <w:rPr>
        <w:rFonts w:hint="default"/>
        <w:lang w:val="lt-LT" w:eastAsia="en-US" w:bidi="ar-SA"/>
      </w:rPr>
    </w:lvl>
    <w:lvl w:ilvl="4" w:tplc="C85ABABC">
      <w:numFmt w:val="bullet"/>
      <w:lvlText w:val="•"/>
      <w:lvlJc w:val="left"/>
      <w:pPr>
        <w:ind w:left="4971" w:hanging="567"/>
      </w:pPr>
      <w:rPr>
        <w:rFonts w:hint="default"/>
        <w:lang w:val="lt-LT" w:eastAsia="en-US" w:bidi="ar-SA"/>
      </w:rPr>
    </w:lvl>
    <w:lvl w:ilvl="5" w:tplc="3A9A9A44">
      <w:numFmt w:val="bullet"/>
      <w:lvlText w:val="•"/>
      <w:lvlJc w:val="left"/>
      <w:pPr>
        <w:ind w:left="5962" w:hanging="567"/>
      </w:pPr>
      <w:rPr>
        <w:rFonts w:hint="default"/>
        <w:lang w:val="lt-LT" w:eastAsia="en-US" w:bidi="ar-SA"/>
      </w:rPr>
    </w:lvl>
    <w:lvl w:ilvl="6" w:tplc="A8EA876A">
      <w:numFmt w:val="bullet"/>
      <w:lvlText w:val="•"/>
      <w:lvlJc w:val="left"/>
      <w:pPr>
        <w:ind w:left="6953" w:hanging="567"/>
      </w:pPr>
      <w:rPr>
        <w:rFonts w:hint="default"/>
        <w:lang w:val="lt-LT" w:eastAsia="en-US" w:bidi="ar-SA"/>
      </w:rPr>
    </w:lvl>
    <w:lvl w:ilvl="7" w:tplc="8C566914">
      <w:numFmt w:val="bullet"/>
      <w:lvlText w:val="•"/>
      <w:lvlJc w:val="left"/>
      <w:pPr>
        <w:ind w:left="7943" w:hanging="567"/>
      </w:pPr>
      <w:rPr>
        <w:rFonts w:hint="default"/>
        <w:lang w:val="lt-LT" w:eastAsia="en-US" w:bidi="ar-SA"/>
      </w:rPr>
    </w:lvl>
    <w:lvl w:ilvl="8" w:tplc="B3E6FDD8">
      <w:numFmt w:val="bullet"/>
      <w:lvlText w:val="•"/>
      <w:lvlJc w:val="left"/>
      <w:pPr>
        <w:ind w:left="8934" w:hanging="567"/>
      </w:pPr>
      <w:rPr>
        <w:rFonts w:hint="default"/>
        <w:lang w:val="lt-LT" w:eastAsia="en-US" w:bidi="ar-SA"/>
      </w:rPr>
    </w:lvl>
  </w:abstractNum>
  <w:num w:numId="1" w16cid:durableId="77869412">
    <w:abstractNumId w:val="3"/>
  </w:num>
  <w:num w:numId="2" w16cid:durableId="199434938">
    <w:abstractNumId w:val="8"/>
  </w:num>
  <w:num w:numId="3" w16cid:durableId="452212336">
    <w:abstractNumId w:val="7"/>
  </w:num>
  <w:num w:numId="4" w16cid:durableId="340855036">
    <w:abstractNumId w:val="9"/>
  </w:num>
  <w:num w:numId="5" w16cid:durableId="333453963">
    <w:abstractNumId w:val="5"/>
  </w:num>
  <w:num w:numId="6" w16cid:durableId="633751339">
    <w:abstractNumId w:val="4"/>
  </w:num>
  <w:num w:numId="7" w16cid:durableId="641812956">
    <w:abstractNumId w:val="6"/>
  </w:num>
  <w:num w:numId="8" w16cid:durableId="521750964">
    <w:abstractNumId w:val="0"/>
  </w:num>
  <w:num w:numId="9" w16cid:durableId="1235318720">
    <w:abstractNumId w:val="1"/>
  </w:num>
  <w:num w:numId="10" w16cid:durableId="175139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BC"/>
    <w:rsid w:val="00222FED"/>
    <w:rsid w:val="005F173E"/>
    <w:rsid w:val="008B3AD4"/>
    <w:rsid w:val="00984A0A"/>
    <w:rsid w:val="00B148BC"/>
    <w:rsid w:val="00B94FBE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3DE7"/>
  <w15:chartTrackingRefBased/>
  <w15:docId w15:val="{A4F2BE33-D4C3-4513-AF50-1D8FB6FD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48BC"/>
    <w:rPr>
      <w:rFonts w:asciiTheme="minorHAnsi" w:hAnsiTheme="minorHAnsi" w:cstheme="minorBidi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1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1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14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1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14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1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1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1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1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14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14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148B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148B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148B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148B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148B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148B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148B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1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1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1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148B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1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148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148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148B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14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148B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148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12048</Words>
  <Characters>6868</Characters>
  <Application>Microsoft Office Word</Application>
  <DocSecurity>0</DocSecurity>
  <Lines>57</Lines>
  <Paragraphs>37</Paragraphs>
  <ScaleCrop>false</ScaleCrop>
  <Company/>
  <LinksUpToDate>false</LinksUpToDate>
  <CharactersWithSpaces>18879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2026-04-23T13:36:00Z</dcterms:created>
  <dcterms:modified xsi:type="dcterms:W3CDTF">2026-04-23T13:36:00Z</dcterms:modified>
</cp:coreProperties>
</file>