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69678" w14:textId="77777777" w:rsidR="007C68A4" w:rsidRPr="00F9703D" w:rsidRDefault="007C68A4" w:rsidP="007A292B">
      <w:pPr>
        <w:spacing w:line="240" w:lineRule="auto"/>
        <w:rPr>
          <w:lang w:val="lt-LT"/>
        </w:rPr>
      </w:pPr>
    </w:p>
    <w:p w14:paraId="60876903" w14:textId="77777777" w:rsidR="007C68A4" w:rsidRPr="00F9703D" w:rsidRDefault="007C68A4" w:rsidP="007A292B">
      <w:pPr>
        <w:spacing w:line="240" w:lineRule="auto"/>
        <w:rPr>
          <w:lang w:val="lt-LT"/>
        </w:rPr>
      </w:pPr>
    </w:p>
    <w:p w14:paraId="45D475C0" w14:textId="77777777" w:rsidR="007C68A4" w:rsidRPr="00F9703D" w:rsidRDefault="007C68A4" w:rsidP="007A292B">
      <w:pPr>
        <w:spacing w:line="240" w:lineRule="auto"/>
        <w:rPr>
          <w:lang w:val="lt-LT"/>
        </w:rPr>
      </w:pPr>
    </w:p>
    <w:p w14:paraId="02B6228B" w14:textId="77777777" w:rsidR="007C68A4" w:rsidRPr="00F9703D" w:rsidRDefault="007C68A4" w:rsidP="007A292B">
      <w:pPr>
        <w:spacing w:line="240" w:lineRule="auto"/>
        <w:rPr>
          <w:lang w:val="lt-LT"/>
        </w:rPr>
      </w:pPr>
    </w:p>
    <w:p w14:paraId="2057CF2B" w14:textId="77777777" w:rsidR="007C68A4" w:rsidRPr="00F9703D" w:rsidRDefault="007C68A4" w:rsidP="007A292B">
      <w:pPr>
        <w:spacing w:line="240" w:lineRule="auto"/>
        <w:rPr>
          <w:lang w:val="lt-LT"/>
        </w:rPr>
      </w:pPr>
    </w:p>
    <w:p w14:paraId="63B35F97" w14:textId="77777777" w:rsidR="007C68A4" w:rsidRPr="00F9703D" w:rsidRDefault="007C68A4" w:rsidP="007A292B">
      <w:pPr>
        <w:spacing w:line="240" w:lineRule="auto"/>
        <w:rPr>
          <w:lang w:val="lt-LT"/>
        </w:rPr>
      </w:pPr>
    </w:p>
    <w:p w14:paraId="736712D2" w14:textId="77777777" w:rsidR="007C68A4" w:rsidRPr="00F9703D" w:rsidRDefault="007C68A4" w:rsidP="007A292B">
      <w:pPr>
        <w:spacing w:line="240" w:lineRule="auto"/>
        <w:rPr>
          <w:lang w:val="lt-LT"/>
        </w:rPr>
      </w:pPr>
    </w:p>
    <w:p w14:paraId="544A02DD" w14:textId="77777777" w:rsidR="007C68A4" w:rsidRPr="00F9703D" w:rsidRDefault="007C68A4" w:rsidP="007A292B">
      <w:pPr>
        <w:spacing w:line="240" w:lineRule="auto"/>
        <w:rPr>
          <w:lang w:val="lt-LT"/>
        </w:rPr>
      </w:pPr>
    </w:p>
    <w:p w14:paraId="365CCCCD" w14:textId="77777777" w:rsidR="007C68A4" w:rsidRPr="00F9703D" w:rsidRDefault="007C68A4" w:rsidP="007A292B">
      <w:pPr>
        <w:spacing w:line="240" w:lineRule="auto"/>
        <w:rPr>
          <w:lang w:val="lt-LT"/>
        </w:rPr>
      </w:pPr>
    </w:p>
    <w:p w14:paraId="21299942" w14:textId="77777777" w:rsidR="007C68A4" w:rsidRPr="00F9703D" w:rsidRDefault="007C68A4" w:rsidP="007A292B">
      <w:pPr>
        <w:spacing w:line="240" w:lineRule="auto"/>
        <w:rPr>
          <w:lang w:val="lt-LT"/>
        </w:rPr>
      </w:pPr>
    </w:p>
    <w:p w14:paraId="53E94913" w14:textId="77777777" w:rsidR="007C68A4" w:rsidRPr="00F9703D" w:rsidRDefault="007C68A4" w:rsidP="007A292B">
      <w:pPr>
        <w:pStyle w:val="BTEMEASMCA"/>
      </w:pPr>
    </w:p>
    <w:p w14:paraId="37A53E69" w14:textId="77777777" w:rsidR="007C68A4" w:rsidRPr="00F9703D" w:rsidRDefault="007C68A4" w:rsidP="007A292B">
      <w:pPr>
        <w:pStyle w:val="BTEMEASMCA"/>
      </w:pPr>
    </w:p>
    <w:p w14:paraId="59581A2F" w14:textId="77777777" w:rsidR="007C68A4" w:rsidRPr="00F9703D" w:rsidRDefault="007C68A4" w:rsidP="007A292B">
      <w:pPr>
        <w:pStyle w:val="BTEMEASMCA"/>
      </w:pPr>
    </w:p>
    <w:p w14:paraId="23F16753" w14:textId="77777777" w:rsidR="007C68A4" w:rsidRPr="00F9703D" w:rsidRDefault="007C68A4" w:rsidP="007A292B">
      <w:pPr>
        <w:pStyle w:val="BTEMEASMCA"/>
      </w:pPr>
    </w:p>
    <w:p w14:paraId="7F15A45B" w14:textId="77777777" w:rsidR="007C68A4" w:rsidRPr="00F9703D" w:rsidRDefault="007C68A4" w:rsidP="007A292B">
      <w:pPr>
        <w:pStyle w:val="BTEMEASMCA"/>
      </w:pPr>
    </w:p>
    <w:p w14:paraId="7C4F22A7" w14:textId="77777777" w:rsidR="007C68A4" w:rsidRPr="00F9703D" w:rsidRDefault="007C68A4" w:rsidP="007A292B">
      <w:pPr>
        <w:pStyle w:val="BTEMEASMCA"/>
      </w:pPr>
    </w:p>
    <w:p w14:paraId="02F15A95" w14:textId="77777777" w:rsidR="007C68A4" w:rsidRPr="00F9703D" w:rsidRDefault="007C68A4" w:rsidP="007A292B">
      <w:pPr>
        <w:pStyle w:val="BTEMEASMCA"/>
      </w:pPr>
    </w:p>
    <w:p w14:paraId="002CA7A0" w14:textId="77777777" w:rsidR="007C68A4" w:rsidRPr="00F9703D" w:rsidRDefault="007C68A4" w:rsidP="007A292B">
      <w:pPr>
        <w:pStyle w:val="BTEMEASMCA"/>
      </w:pPr>
    </w:p>
    <w:p w14:paraId="4C276005" w14:textId="77777777" w:rsidR="007C68A4" w:rsidRPr="00F9703D" w:rsidRDefault="007C68A4" w:rsidP="007A292B">
      <w:pPr>
        <w:pStyle w:val="BTEMEASMCA"/>
      </w:pPr>
    </w:p>
    <w:p w14:paraId="1D9B87D0" w14:textId="77777777" w:rsidR="007C68A4" w:rsidRPr="00F9703D" w:rsidRDefault="007C68A4" w:rsidP="007A292B">
      <w:pPr>
        <w:pStyle w:val="BTEMEASMCA"/>
      </w:pPr>
    </w:p>
    <w:p w14:paraId="72B604A3" w14:textId="77777777" w:rsidR="007C68A4" w:rsidRPr="00F9703D" w:rsidRDefault="007C68A4" w:rsidP="007A292B">
      <w:pPr>
        <w:pStyle w:val="BTEMEASMCA"/>
      </w:pPr>
    </w:p>
    <w:p w14:paraId="4BDCC565" w14:textId="77777777" w:rsidR="007C68A4" w:rsidRPr="00F9703D" w:rsidRDefault="007C68A4" w:rsidP="007A292B">
      <w:pPr>
        <w:pStyle w:val="BTEMEASMCA"/>
      </w:pPr>
    </w:p>
    <w:p w14:paraId="6F8D87FC" w14:textId="77777777" w:rsidR="007C68A4" w:rsidRPr="00F9703D" w:rsidRDefault="007C68A4" w:rsidP="007A292B">
      <w:pPr>
        <w:pStyle w:val="BTEMEASMCA"/>
      </w:pPr>
    </w:p>
    <w:p w14:paraId="23A6B5A6" w14:textId="77777777" w:rsidR="007C68A4" w:rsidRPr="00F9703D" w:rsidRDefault="007C68A4" w:rsidP="007A292B">
      <w:pPr>
        <w:pStyle w:val="TTEMEASMCA"/>
      </w:pPr>
      <w:r w:rsidRPr="00F9703D">
        <w:t>I PRIEDAS</w:t>
      </w:r>
    </w:p>
    <w:p w14:paraId="4D9378BF" w14:textId="77777777" w:rsidR="007C68A4" w:rsidRPr="00F9703D" w:rsidRDefault="007C68A4" w:rsidP="007A292B">
      <w:pPr>
        <w:pStyle w:val="BTEMEASMCA"/>
      </w:pPr>
    </w:p>
    <w:p w14:paraId="2D8C1041" w14:textId="77777777" w:rsidR="007C68A4" w:rsidRPr="00F9703D" w:rsidRDefault="007C68A4" w:rsidP="007A292B">
      <w:pPr>
        <w:pStyle w:val="TTEMEASMCA"/>
      </w:pPr>
      <w:r w:rsidRPr="00F9703D">
        <w:t>PREPARATO CHARAKTERISTIKŲ SANTRAUKA</w:t>
      </w:r>
    </w:p>
    <w:p w14:paraId="7158516C" w14:textId="77777777" w:rsidR="007C68A4" w:rsidRPr="00F9703D" w:rsidRDefault="007C68A4" w:rsidP="007A292B">
      <w:pPr>
        <w:pStyle w:val="Betarp"/>
        <w:rPr>
          <w:b/>
          <w:lang w:val="lt-LT"/>
        </w:rPr>
      </w:pPr>
      <w:r w:rsidRPr="00F9703D">
        <w:rPr>
          <w:bCs/>
          <w:iCs/>
          <w:lang w:val="lt-LT"/>
        </w:rPr>
        <w:br w:type="page"/>
      </w:r>
      <w:bookmarkStart w:id="0" w:name="_Toc129243098"/>
      <w:bookmarkStart w:id="1" w:name="_Toc129243223"/>
      <w:r w:rsidRPr="00F9703D">
        <w:rPr>
          <w:b/>
          <w:lang w:val="lt-LT"/>
        </w:rPr>
        <w:lastRenderedPageBreak/>
        <w:t>1.</w:t>
      </w:r>
      <w:r w:rsidRPr="00F9703D">
        <w:rPr>
          <w:b/>
          <w:lang w:val="lt-LT"/>
        </w:rPr>
        <w:tab/>
        <w:t>VAISTINIO PREPARATO PAVADINIMAS</w:t>
      </w:r>
      <w:bookmarkEnd w:id="0"/>
      <w:bookmarkEnd w:id="1"/>
    </w:p>
    <w:p w14:paraId="643884D5" w14:textId="77777777" w:rsidR="007C68A4" w:rsidRPr="00F9703D" w:rsidRDefault="007C68A4" w:rsidP="007A292B">
      <w:pPr>
        <w:pStyle w:val="Betarp"/>
        <w:rPr>
          <w:lang w:val="lt-LT"/>
        </w:rPr>
      </w:pPr>
    </w:p>
    <w:p w14:paraId="674CCF18" w14:textId="11E01805" w:rsidR="007C68A4" w:rsidRPr="00F9703D" w:rsidRDefault="00E90A95" w:rsidP="007A292B">
      <w:pPr>
        <w:pStyle w:val="Betarp"/>
        <w:rPr>
          <w:lang w:val="lt-LT"/>
        </w:rPr>
      </w:pPr>
      <w:r>
        <w:rPr>
          <w:noProof/>
          <w:lang w:val="lt-LT"/>
        </w:rPr>
        <w:t>Ed</w:t>
      </w:r>
      <w:r w:rsidR="007643D3" w:rsidRPr="007643D3">
        <w:rPr>
          <w:noProof/>
          <w:lang w:val="lt-LT"/>
        </w:rPr>
        <w:t>uelym</w:t>
      </w:r>
      <w:r w:rsidR="009C79BE" w:rsidRPr="00F9703D">
        <w:rPr>
          <w:noProof/>
          <w:lang w:val="lt-LT"/>
        </w:rPr>
        <w:t xml:space="preserve"> </w:t>
      </w:r>
      <w:r w:rsidR="009C79BE" w:rsidRPr="00F9703D">
        <w:rPr>
          <w:lang w:val="lt-LT"/>
        </w:rPr>
        <w:t xml:space="preserve">0,1 mg/1 mg/g akių gelis </w:t>
      </w:r>
      <w:r w:rsidR="007C68A4" w:rsidRPr="00F9703D">
        <w:rPr>
          <w:lang w:val="lt-LT"/>
        </w:rPr>
        <w:t>vienadozėje talpyklėje</w:t>
      </w:r>
    </w:p>
    <w:p w14:paraId="08B1C542" w14:textId="77777777" w:rsidR="007C68A4" w:rsidRPr="00F9703D" w:rsidRDefault="007C68A4" w:rsidP="007A292B">
      <w:pPr>
        <w:pStyle w:val="Betarp"/>
        <w:rPr>
          <w:lang w:val="lt-LT"/>
        </w:rPr>
      </w:pPr>
    </w:p>
    <w:p w14:paraId="26E919EB" w14:textId="77777777" w:rsidR="007C68A4" w:rsidRPr="00F9703D" w:rsidRDefault="007C68A4" w:rsidP="007A292B">
      <w:pPr>
        <w:pStyle w:val="Betarp"/>
        <w:rPr>
          <w:lang w:val="lt-LT"/>
        </w:rPr>
      </w:pPr>
    </w:p>
    <w:p w14:paraId="579414E7" w14:textId="77777777" w:rsidR="007C68A4" w:rsidRPr="00F9703D" w:rsidRDefault="007C68A4" w:rsidP="007A292B">
      <w:pPr>
        <w:pStyle w:val="Betarp"/>
        <w:rPr>
          <w:b/>
          <w:lang w:val="lt-LT"/>
        </w:rPr>
      </w:pPr>
      <w:bookmarkStart w:id="2" w:name="_Toc129243099"/>
      <w:bookmarkStart w:id="3" w:name="_Toc129243224"/>
      <w:r w:rsidRPr="00F9703D">
        <w:rPr>
          <w:b/>
          <w:lang w:val="lt-LT"/>
        </w:rPr>
        <w:t>2.</w:t>
      </w:r>
      <w:r w:rsidRPr="00F9703D">
        <w:rPr>
          <w:b/>
          <w:lang w:val="lt-LT"/>
        </w:rPr>
        <w:tab/>
        <w:t>KOKYBINĖ IR KIEKYBINĖ SUDĖTIS</w:t>
      </w:r>
      <w:bookmarkEnd w:id="2"/>
      <w:bookmarkEnd w:id="3"/>
    </w:p>
    <w:p w14:paraId="66F2B529" w14:textId="77777777" w:rsidR="007C68A4" w:rsidRPr="00F9703D" w:rsidRDefault="007C68A4" w:rsidP="007A292B">
      <w:pPr>
        <w:pStyle w:val="Betarp"/>
        <w:rPr>
          <w:lang w:val="lt-LT"/>
        </w:rPr>
      </w:pPr>
    </w:p>
    <w:p w14:paraId="081CDE88" w14:textId="329EFD29" w:rsidR="007C68A4" w:rsidRPr="00F9703D" w:rsidRDefault="007C68A4" w:rsidP="007A292B">
      <w:pPr>
        <w:pStyle w:val="Betarp"/>
        <w:rPr>
          <w:lang w:val="lt-LT"/>
        </w:rPr>
      </w:pPr>
      <w:r w:rsidRPr="00F9703D">
        <w:rPr>
          <w:lang w:val="lt-LT"/>
        </w:rPr>
        <w:t>1 </w:t>
      </w:r>
      <w:r w:rsidR="009C79BE" w:rsidRPr="00F9703D">
        <w:rPr>
          <w:lang w:val="lt-LT"/>
        </w:rPr>
        <w:t>g akių gelio yra 0,1 mg bimatoprosto</w:t>
      </w:r>
      <w:r w:rsidRPr="00F9703D">
        <w:rPr>
          <w:lang w:val="lt-LT"/>
        </w:rPr>
        <w:t xml:space="preserve"> ir </w:t>
      </w:r>
      <w:r w:rsidR="009C79BE" w:rsidRPr="00F9703D">
        <w:rPr>
          <w:lang w:val="lt-LT"/>
        </w:rPr>
        <w:t xml:space="preserve">1,37 mg </w:t>
      </w:r>
      <w:r w:rsidRPr="00F9703D">
        <w:rPr>
          <w:lang w:val="lt-LT"/>
        </w:rPr>
        <w:t xml:space="preserve">timololio maleato, atitinkančio </w:t>
      </w:r>
      <w:r w:rsidR="009C79BE" w:rsidRPr="00F9703D">
        <w:rPr>
          <w:lang w:val="lt-LT"/>
        </w:rPr>
        <w:t>1</w:t>
      </w:r>
      <w:r w:rsidRPr="00F9703D">
        <w:rPr>
          <w:lang w:val="lt-LT"/>
        </w:rPr>
        <w:t> mg timololio.</w:t>
      </w:r>
    </w:p>
    <w:p w14:paraId="46BCF099" w14:textId="77777777" w:rsidR="007C68A4" w:rsidRPr="00F9703D" w:rsidRDefault="007C68A4" w:rsidP="007A292B">
      <w:pPr>
        <w:pStyle w:val="Betarp"/>
        <w:rPr>
          <w:lang w:val="lt-LT"/>
        </w:rPr>
      </w:pPr>
    </w:p>
    <w:p w14:paraId="59670116" w14:textId="77777777" w:rsidR="007C68A4" w:rsidRPr="00F9703D" w:rsidRDefault="007C68A4" w:rsidP="007A292B">
      <w:pPr>
        <w:pStyle w:val="Betarp"/>
        <w:rPr>
          <w:lang w:val="lt-LT"/>
        </w:rPr>
      </w:pPr>
      <w:r w:rsidRPr="00F9703D">
        <w:rPr>
          <w:lang w:val="lt-LT"/>
        </w:rPr>
        <w:t>Visos pagalbinės medžiagos išvardytos 6.1 skyriuje.</w:t>
      </w:r>
    </w:p>
    <w:p w14:paraId="5FA18B39" w14:textId="77777777" w:rsidR="007C68A4" w:rsidRPr="00F9703D" w:rsidRDefault="007C68A4" w:rsidP="007A292B">
      <w:pPr>
        <w:pStyle w:val="Betarp"/>
        <w:rPr>
          <w:lang w:val="lt-LT"/>
        </w:rPr>
      </w:pPr>
    </w:p>
    <w:p w14:paraId="5366E891" w14:textId="77777777" w:rsidR="007C68A4" w:rsidRPr="00F9703D" w:rsidRDefault="007C68A4" w:rsidP="007A292B">
      <w:pPr>
        <w:pStyle w:val="Betarp"/>
        <w:rPr>
          <w:lang w:val="lt-LT"/>
        </w:rPr>
      </w:pPr>
    </w:p>
    <w:p w14:paraId="2DF4DADE" w14:textId="77777777" w:rsidR="007C68A4" w:rsidRPr="00F9703D" w:rsidRDefault="007C68A4" w:rsidP="007A292B">
      <w:pPr>
        <w:pStyle w:val="Betarp"/>
        <w:rPr>
          <w:b/>
          <w:lang w:val="lt-LT"/>
        </w:rPr>
      </w:pPr>
      <w:bookmarkStart w:id="4" w:name="_Toc129243100"/>
      <w:bookmarkStart w:id="5" w:name="_Toc129243225"/>
      <w:r w:rsidRPr="00F9703D">
        <w:rPr>
          <w:b/>
          <w:lang w:val="lt-LT"/>
        </w:rPr>
        <w:t>3.</w:t>
      </w:r>
      <w:r w:rsidRPr="00F9703D">
        <w:rPr>
          <w:b/>
          <w:lang w:val="lt-LT"/>
        </w:rPr>
        <w:tab/>
        <w:t>FARMACINĖ FORMA</w:t>
      </w:r>
      <w:bookmarkEnd w:id="4"/>
      <w:bookmarkEnd w:id="5"/>
    </w:p>
    <w:p w14:paraId="257D4879" w14:textId="77777777" w:rsidR="007C68A4" w:rsidRPr="00F9703D" w:rsidRDefault="007C68A4" w:rsidP="007A292B">
      <w:pPr>
        <w:pStyle w:val="Betarp"/>
        <w:rPr>
          <w:lang w:val="lt-LT"/>
        </w:rPr>
      </w:pPr>
    </w:p>
    <w:p w14:paraId="6D4C198B" w14:textId="77777777" w:rsidR="00255754" w:rsidRPr="00F9703D" w:rsidRDefault="00255754" w:rsidP="007A292B">
      <w:pPr>
        <w:pStyle w:val="Betarp"/>
        <w:rPr>
          <w:lang w:val="lt-LT"/>
        </w:rPr>
      </w:pPr>
      <w:r w:rsidRPr="00F9703D">
        <w:rPr>
          <w:lang w:val="lt-LT"/>
        </w:rPr>
        <w:t>Akių gelis.</w:t>
      </w:r>
    </w:p>
    <w:p w14:paraId="1B7CD180" w14:textId="335C0C19" w:rsidR="00255754" w:rsidRPr="00F9703D" w:rsidRDefault="00255754" w:rsidP="007A292B">
      <w:pPr>
        <w:pStyle w:val="Betarp"/>
        <w:rPr>
          <w:lang w:val="lt-LT"/>
        </w:rPr>
      </w:pPr>
      <w:r w:rsidRPr="00F9703D">
        <w:rPr>
          <w:lang w:val="lt-LT"/>
        </w:rPr>
        <w:t>Bespalvis</w:t>
      </w:r>
      <w:r w:rsidR="001B13C0">
        <w:rPr>
          <w:lang w:val="lt-LT"/>
        </w:rPr>
        <w:t>,</w:t>
      </w:r>
      <w:r w:rsidRPr="00F9703D">
        <w:rPr>
          <w:lang w:val="lt-LT"/>
        </w:rPr>
        <w:t xml:space="preserve"> opalinis gelis.</w:t>
      </w:r>
    </w:p>
    <w:p w14:paraId="1E7DD379" w14:textId="4E4662A6" w:rsidR="00255754" w:rsidRPr="00F9703D" w:rsidRDefault="00255754" w:rsidP="007A292B">
      <w:pPr>
        <w:pStyle w:val="Betarp"/>
        <w:rPr>
          <w:lang w:val="lt-LT"/>
        </w:rPr>
      </w:pPr>
      <w:r w:rsidRPr="00F9703D">
        <w:rPr>
          <w:lang w:val="lt-LT"/>
        </w:rPr>
        <w:t>pH: 6,9 – 7,5.</w:t>
      </w:r>
    </w:p>
    <w:p w14:paraId="48B34DBD" w14:textId="53A9C4B3" w:rsidR="007C68A4" w:rsidRPr="00F9703D" w:rsidRDefault="00255754" w:rsidP="007A292B">
      <w:pPr>
        <w:pStyle w:val="Betarp"/>
        <w:rPr>
          <w:lang w:val="lt-LT"/>
        </w:rPr>
      </w:pPr>
      <w:r w:rsidRPr="00F9703D">
        <w:rPr>
          <w:lang w:val="lt-LT"/>
        </w:rPr>
        <w:t>Osmoli</w:t>
      </w:r>
      <w:r w:rsidR="001B13C0">
        <w:rPr>
          <w:lang w:val="lt-LT"/>
        </w:rPr>
        <w:t>ali</w:t>
      </w:r>
      <w:r w:rsidRPr="00F9703D">
        <w:rPr>
          <w:lang w:val="lt-LT"/>
        </w:rPr>
        <w:t>škumas: 2</w:t>
      </w:r>
      <w:r w:rsidR="00875CDB">
        <w:rPr>
          <w:lang w:val="lt-LT"/>
        </w:rPr>
        <w:t>7</w:t>
      </w:r>
      <w:r w:rsidRPr="00F9703D">
        <w:rPr>
          <w:lang w:val="lt-LT"/>
        </w:rPr>
        <w:t>0 – 3</w:t>
      </w:r>
      <w:r w:rsidR="00875CDB">
        <w:rPr>
          <w:lang w:val="lt-LT"/>
        </w:rPr>
        <w:t>3</w:t>
      </w:r>
      <w:r w:rsidRPr="00F9703D">
        <w:rPr>
          <w:lang w:val="lt-LT"/>
        </w:rPr>
        <w:t>0 mosmol/kg.</w:t>
      </w:r>
    </w:p>
    <w:p w14:paraId="21BA23EE" w14:textId="77777777" w:rsidR="007C68A4" w:rsidRPr="00F9703D" w:rsidRDefault="007C68A4" w:rsidP="007A292B">
      <w:pPr>
        <w:pStyle w:val="Betarp"/>
        <w:rPr>
          <w:lang w:val="lt-LT"/>
        </w:rPr>
      </w:pPr>
    </w:p>
    <w:p w14:paraId="7D0113E2" w14:textId="77777777" w:rsidR="007C68A4" w:rsidRPr="00F9703D" w:rsidRDefault="007C68A4" w:rsidP="007A292B">
      <w:pPr>
        <w:pStyle w:val="Betarp"/>
        <w:rPr>
          <w:b/>
          <w:lang w:val="lt-LT"/>
        </w:rPr>
      </w:pPr>
      <w:bookmarkStart w:id="6" w:name="_Toc129243101"/>
      <w:bookmarkStart w:id="7" w:name="_Toc129243226"/>
      <w:r w:rsidRPr="00F9703D">
        <w:rPr>
          <w:b/>
          <w:lang w:val="lt-LT"/>
        </w:rPr>
        <w:t>4.</w:t>
      </w:r>
      <w:r w:rsidRPr="00F9703D">
        <w:rPr>
          <w:b/>
          <w:lang w:val="lt-LT"/>
        </w:rPr>
        <w:tab/>
        <w:t>KLINIKINĖ INFORMACIJA</w:t>
      </w:r>
      <w:bookmarkEnd w:id="6"/>
      <w:bookmarkEnd w:id="7"/>
    </w:p>
    <w:p w14:paraId="2D64CEAC" w14:textId="77777777" w:rsidR="007C68A4" w:rsidRPr="00F9703D" w:rsidRDefault="007C68A4" w:rsidP="007A292B">
      <w:pPr>
        <w:pStyle w:val="Betarp"/>
        <w:rPr>
          <w:b/>
          <w:lang w:val="lt-LT"/>
        </w:rPr>
      </w:pPr>
    </w:p>
    <w:p w14:paraId="0F5962D8" w14:textId="77777777" w:rsidR="007C68A4" w:rsidRPr="00F9703D" w:rsidRDefault="007C68A4" w:rsidP="007A292B">
      <w:pPr>
        <w:pStyle w:val="Betarp"/>
        <w:rPr>
          <w:b/>
          <w:lang w:val="lt-LT"/>
        </w:rPr>
      </w:pPr>
      <w:bookmarkStart w:id="8" w:name="_Toc129243102"/>
      <w:bookmarkStart w:id="9" w:name="_Toc129243227"/>
      <w:r w:rsidRPr="00F9703D">
        <w:rPr>
          <w:b/>
          <w:lang w:val="lt-LT"/>
        </w:rPr>
        <w:t>4.1</w:t>
      </w:r>
      <w:r w:rsidRPr="00F9703D">
        <w:rPr>
          <w:b/>
          <w:lang w:val="lt-LT"/>
        </w:rPr>
        <w:tab/>
        <w:t>Terapinės indikacijos</w:t>
      </w:r>
      <w:bookmarkEnd w:id="8"/>
      <w:bookmarkEnd w:id="9"/>
    </w:p>
    <w:p w14:paraId="7331C172" w14:textId="77777777" w:rsidR="007C68A4" w:rsidRPr="00F9703D" w:rsidRDefault="007C68A4" w:rsidP="007A292B">
      <w:pPr>
        <w:pStyle w:val="Betarp"/>
        <w:rPr>
          <w:lang w:val="lt-LT"/>
        </w:rPr>
      </w:pPr>
    </w:p>
    <w:p w14:paraId="56D72F78" w14:textId="0E50CEAB" w:rsidR="007C68A4" w:rsidRPr="00F9703D" w:rsidRDefault="00E90A95" w:rsidP="007A292B">
      <w:pPr>
        <w:pStyle w:val="Betarp"/>
        <w:rPr>
          <w:lang w:val="lt-LT"/>
        </w:rPr>
      </w:pPr>
      <w:r>
        <w:rPr>
          <w:lang w:val="lt-LT"/>
        </w:rPr>
        <w:t>Ed</w:t>
      </w:r>
      <w:r w:rsidR="007643D3" w:rsidRPr="007643D3">
        <w:rPr>
          <w:lang w:val="lt-LT"/>
        </w:rPr>
        <w:t>uelym</w:t>
      </w:r>
      <w:r w:rsidR="00AE2CAB" w:rsidRPr="00F9703D">
        <w:rPr>
          <w:lang w:val="lt-LT"/>
        </w:rPr>
        <w:t xml:space="preserve"> skirtas p</w:t>
      </w:r>
      <w:r w:rsidR="007C68A4" w:rsidRPr="00F9703D">
        <w:rPr>
          <w:lang w:val="lt-LT"/>
        </w:rPr>
        <w:t>adidėjusio akispūdžio mažinim</w:t>
      </w:r>
      <w:r w:rsidR="00764F75" w:rsidRPr="00F9703D">
        <w:rPr>
          <w:lang w:val="lt-LT"/>
        </w:rPr>
        <w:t>ui</w:t>
      </w:r>
      <w:r w:rsidR="007C68A4" w:rsidRPr="00F9703D">
        <w:rPr>
          <w:lang w:val="lt-LT"/>
        </w:rPr>
        <w:t xml:space="preserve"> </w:t>
      </w:r>
      <w:r w:rsidR="00D07DFA" w:rsidRPr="00F9703D">
        <w:rPr>
          <w:lang w:val="lt-LT"/>
        </w:rPr>
        <w:t>suaugusiems pacientams</w:t>
      </w:r>
      <w:r w:rsidR="007C68A4" w:rsidRPr="00F9703D">
        <w:rPr>
          <w:lang w:val="lt-LT"/>
        </w:rPr>
        <w:t>, sergant</w:t>
      </w:r>
      <w:r w:rsidR="00D07DFA" w:rsidRPr="00F9703D">
        <w:rPr>
          <w:lang w:val="lt-LT"/>
        </w:rPr>
        <w:t>iems</w:t>
      </w:r>
      <w:r w:rsidR="007C68A4" w:rsidRPr="00F9703D">
        <w:rPr>
          <w:lang w:val="lt-LT"/>
        </w:rPr>
        <w:t xml:space="preserve"> atviro kampo glaukoma arba akies hipertenzija, jeigu reakcija į </w:t>
      </w:r>
      <w:r w:rsidR="00F21048">
        <w:rPr>
          <w:lang w:val="lt-LT"/>
        </w:rPr>
        <w:t xml:space="preserve">vien </w:t>
      </w:r>
      <w:r w:rsidR="007C68A4" w:rsidRPr="00F9703D">
        <w:rPr>
          <w:lang w:val="lt-LT"/>
        </w:rPr>
        <w:t>lokalaus poveikio beta adrenoblokatorius ar prostaglandinų analogus nepakankama.</w:t>
      </w:r>
    </w:p>
    <w:p w14:paraId="1844EE94" w14:textId="77777777" w:rsidR="007C68A4" w:rsidRPr="00F9703D" w:rsidRDefault="007C68A4" w:rsidP="007A292B">
      <w:pPr>
        <w:pStyle w:val="Betarp"/>
        <w:rPr>
          <w:lang w:val="lt-LT"/>
        </w:rPr>
      </w:pPr>
    </w:p>
    <w:p w14:paraId="27817165" w14:textId="77777777" w:rsidR="007C68A4" w:rsidRPr="00F9703D" w:rsidRDefault="007C68A4" w:rsidP="007A292B">
      <w:pPr>
        <w:pStyle w:val="Betarp"/>
        <w:rPr>
          <w:b/>
          <w:lang w:val="lt-LT"/>
        </w:rPr>
      </w:pPr>
      <w:bookmarkStart w:id="10" w:name="_Toc129243103"/>
      <w:bookmarkStart w:id="11" w:name="_Toc129243228"/>
      <w:r w:rsidRPr="00F9703D">
        <w:rPr>
          <w:b/>
          <w:lang w:val="lt-LT"/>
        </w:rPr>
        <w:t>4.2</w:t>
      </w:r>
      <w:r w:rsidRPr="00F9703D">
        <w:rPr>
          <w:b/>
          <w:lang w:val="lt-LT"/>
        </w:rPr>
        <w:tab/>
        <w:t>Dozavimas ir vartojimo metodas</w:t>
      </w:r>
      <w:bookmarkEnd w:id="10"/>
      <w:bookmarkEnd w:id="11"/>
    </w:p>
    <w:p w14:paraId="2BE7EA10" w14:textId="77777777" w:rsidR="007C68A4" w:rsidRPr="00F9703D" w:rsidRDefault="007C68A4" w:rsidP="007A292B">
      <w:pPr>
        <w:pStyle w:val="Betarp"/>
        <w:rPr>
          <w:lang w:val="lt-LT"/>
        </w:rPr>
      </w:pPr>
    </w:p>
    <w:p w14:paraId="7B0B2E64" w14:textId="77777777" w:rsidR="007C68A4" w:rsidRPr="00F9703D" w:rsidRDefault="007C68A4" w:rsidP="007A292B">
      <w:pPr>
        <w:pStyle w:val="Betarp"/>
        <w:rPr>
          <w:u w:val="single"/>
          <w:lang w:val="lt-LT"/>
        </w:rPr>
      </w:pPr>
      <w:r w:rsidRPr="00F9703D">
        <w:rPr>
          <w:noProof/>
          <w:u w:val="single"/>
          <w:lang w:val="lt-LT"/>
        </w:rPr>
        <w:t>Dozavimas</w:t>
      </w:r>
    </w:p>
    <w:p w14:paraId="13202CF8" w14:textId="0C2A83DF" w:rsidR="007C68A4" w:rsidRPr="00F9703D" w:rsidRDefault="007C68A4" w:rsidP="007A292B">
      <w:pPr>
        <w:pStyle w:val="Betarp"/>
        <w:rPr>
          <w:lang w:val="lt-LT"/>
        </w:rPr>
      </w:pPr>
      <w:r w:rsidRPr="00F9703D">
        <w:rPr>
          <w:lang w:val="lt-LT"/>
        </w:rPr>
        <w:t>Rekomenduojama dozė yra vienas lašas ant pažeistos (-ų) akies (-ių) vieną kartą per parą</w:t>
      </w:r>
      <w:r w:rsidR="00D07DFA" w:rsidRPr="00F9703D">
        <w:rPr>
          <w:lang w:val="lt-LT"/>
        </w:rPr>
        <w:t>, kuris lašinamas ryte arba vakare. Reikia vartoti kiekvieną dieną tuo pačiu metu.</w:t>
      </w:r>
    </w:p>
    <w:p w14:paraId="5725A3D0" w14:textId="77777777" w:rsidR="00D07DFA" w:rsidRPr="00F9703D" w:rsidRDefault="00D07DFA" w:rsidP="007A292B">
      <w:pPr>
        <w:pStyle w:val="Betarp"/>
        <w:rPr>
          <w:lang w:val="lt-LT"/>
        </w:rPr>
      </w:pPr>
    </w:p>
    <w:p w14:paraId="04D55916" w14:textId="284A0E8A" w:rsidR="00D07DFA" w:rsidRPr="00F9703D" w:rsidRDefault="00D07DFA" w:rsidP="007A292B">
      <w:pPr>
        <w:pStyle w:val="Betarp"/>
        <w:rPr>
          <w:lang w:val="lt-LT"/>
        </w:rPr>
      </w:pPr>
      <w:r w:rsidRPr="00F9703D">
        <w:rPr>
          <w:lang w:val="lt-LT"/>
        </w:rPr>
        <w:t>Nors galima vartoti ryte arba vakare, atsižvelgiant į paciento patogumą, vakarinis lašinimas šiek tiek geriau sumažina akispūdį nei rytinė dozė.</w:t>
      </w:r>
    </w:p>
    <w:p w14:paraId="07C75166" w14:textId="77777777" w:rsidR="00D07DFA" w:rsidRPr="00F9703D" w:rsidRDefault="00D07DFA" w:rsidP="007A292B">
      <w:pPr>
        <w:pStyle w:val="Betarp"/>
        <w:rPr>
          <w:lang w:val="lt-LT"/>
        </w:rPr>
      </w:pPr>
    </w:p>
    <w:p w14:paraId="3CAA3F43" w14:textId="37AA3D68" w:rsidR="00D07DFA" w:rsidRPr="00F9703D" w:rsidRDefault="00D07DFA" w:rsidP="007A292B">
      <w:pPr>
        <w:pStyle w:val="Betarp"/>
        <w:rPr>
          <w:lang w:val="lt-LT"/>
        </w:rPr>
      </w:pPr>
      <w:r w:rsidRPr="00F9703D">
        <w:rPr>
          <w:lang w:val="lt-LT"/>
        </w:rPr>
        <w:t xml:space="preserve">Jei pacientas praleido </w:t>
      </w:r>
      <w:r w:rsidR="00E90A95">
        <w:rPr>
          <w:lang w:val="lt-LT"/>
        </w:rPr>
        <w:t>Ed</w:t>
      </w:r>
      <w:r w:rsidR="007643D3" w:rsidRPr="007643D3">
        <w:rPr>
          <w:lang w:val="lt-LT"/>
        </w:rPr>
        <w:t>uelym</w:t>
      </w:r>
      <w:r w:rsidRPr="00F9703D">
        <w:rPr>
          <w:lang w:val="lt-LT"/>
        </w:rPr>
        <w:t xml:space="preserve"> dozę, jam reikia pasakyti, kad praleistos dozės nevartotų, o tiesiog tęstų įprastą dozavimo grafiką. Dozė neturi viršyti vieno lašo į pažeistą</w:t>
      </w:r>
      <w:r w:rsidR="00402160">
        <w:rPr>
          <w:lang w:val="lt-LT"/>
        </w:rPr>
        <w:t xml:space="preserve"> (-as)</w:t>
      </w:r>
      <w:r w:rsidRPr="00F9703D">
        <w:rPr>
          <w:lang w:val="lt-LT"/>
        </w:rPr>
        <w:t xml:space="preserve"> akį</w:t>
      </w:r>
      <w:r w:rsidR="00402160">
        <w:rPr>
          <w:lang w:val="lt-LT"/>
        </w:rPr>
        <w:t xml:space="preserve"> (-is)</w:t>
      </w:r>
      <w:r w:rsidRPr="00F9703D">
        <w:rPr>
          <w:lang w:val="lt-LT"/>
        </w:rPr>
        <w:t xml:space="preserve"> per dieną.</w:t>
      </w:r>
    </w:p>
    <w:p w14:paraId="2A908B37" w14:textId="77777777" w:rsidR="00D07DFA" w:rsidRPr="00F9703D" w:rsidRDefault="00D07DFA" w:rsidP="007A292B">
      <w:pPr>
        <w:pStyle w:val="Betarp"/>
        <w:rPr>
          <w:lang w:val="lt-LT"/>
        </w:rPr>
      </w:pPr>
    </w:p>
    <w:p w14:paraId="72F660F5" w14:textId="77777777" w:rsidR="00D07DFA" w:rsidRPr="00F9703D" w:rsidRDefault="00D07DFA" w:rsidP="007A292B">
      <w:pPr>
        <w:pStyle w:val="Betarp"/>
        <w:rPr>
          <w:i/>
          <w:iCs/>
          <w:u w:val="single"/>
          <w:lang w:val="lt-LT"/>
        </w:rPr>
      </w:pPr>
      <w:r w:rsidRPr="00F9703D">
        <w:rPr>
          <w:i/>
          <w:iCs/>
          <w:u w:val="single"/>
          <w:lang w:val="lt-LT"/>
        </w:rPr>
        <w:t>Ypatingos populiacijos</w:t>
      </w:r>
    </w:p>
    <w:p w14:paraId="70F29B53" w14:textId="77777777" w:rsidR="00D07DFA" w:rsidRPr="00F9703D" w:rsidRDefault="00D07DFA" w:rsidP="007A292B">
      <w:pPr>
        <w:pStyle w:val="Betarp"/>
        <w:rPr>
          <w:lang w:val="lt-LT"/>
        </w:rPr>
      </w:pPr>
    </w:p>
    <w:p w14:paraId="263DB6F7" w14:textId="01494BB6" w:rsidR="00D07DFA" w:rsidRPr="00F9703D" w:rsidRDefault="00D07DFA" w:rsidP="007A292B">
      <w:pPr>
        <w:pStyle w:val="Betarp"/>
        <w:rPr>
          <w:i/>
          <w:iCs/>
          <w:lang w:val="lt-LT"/>
        </w:rPr>
      </w:pPr>
      <w:r w:rsidRPr="00F9703D">
        <w:rPr>
          <w:i/>
          <w:iCs/>
          <w:lang w:val="lt-LT"/>
        </w:rPr>
        <w:t>Pacientams, kurių kepenų funkcija sutrikusi</w:t>
      </w:r>
    </w:p>
    <w:p w14:paraId="28A0E64B" w14:textId="6E411F3C" w:rsidR="00D07DFA" w:rsidRPr="00F9703D" w:rsidRDefault="00E90A95" w:rsidP="007A292B">
      <w:pPr>
        <w:pStyle w:val="Betarp"/>
        <w:rPr>
          <w:lang w:val="lt-LT"/>
        </w:rPr>
      </w:pPr>
      <w:r>
        <w:rPr>
          <w:lang w:val="lt-LT"/>
        </w:rPr>
        <w:t>Ed</w:t>
      </w:r>
      <w:r w:rsidR="007643D3" w:rsidRPr="007643D3">
        <w:rPr>
          <w:lang w:val="lt-LT"/>
        </w:rPr>
        <w:t>uelym</w:t>
      </w:r>
      <w:r w:rsidR="00D07DFA" w:rsidRPr="00F9703D">
        <w:rPr>
          <w:lang w:val="lt-LT"/>
        </w:rPr>
        <w:t xml:space="preserve"> poveikis pacientams, kurių kepenų funkcija sutrikusi, netirtas. Todėl tokius pacientus reikia gydyti atsargiai.</w:t>
      </w:r>
    </w:p>
    <w:p w14:paraId="3FAF8671" w14:textId="77777777" w:rsidR="00D07DFA" w:rsidRPr="00F9703D" w:rsidRDefault="00D07DFA" w:rsidP="007A292B">
      <w:pPr>
        <w:pStyle w:val="Betarp"/>
        <w:rPr>
          <w:lang w:val="lt-LT"/>
        </w:rPr>
      </w:pPr>
    </w:p>
    <w:p w14:paraId="4BC5638F" w14:textId="3B9156EC" w:rsidR="00D07DFA" w:rsidRPr="00F9703D" w:rsidRDefault="00D07DFA" w:rsidP="007A292B">
      <w:pPr>
        <w:pStyle w:val="Betarp"/>
        <w:rPr>
          <w:i/>
          <w:iCs/>
          <w:lang w:val="lt-LT"/>
        </w:rPr>
      </w:pPr>
      <w:r w:rsidRPr="00F9703D">
        <w:rPr>
          <w:i/>
          <w:iCs/>
          <w:lang w:val="lt-LT"/>
        </w:rPr>
        <w:t>Pacienta</w:t>
      </w:r>
      <w:r w:rsidR="00F822FE" w:rsidRPr="00F9703D">
        <w:rPr>
          <w:i/>
          <w:iCs/>
          <w:lang w:val="lt-LT"/>
        </w:rPr>
        <w:t>ms</w:t>
      </w:r>
      <w:r w:rsidRPr="00F9703D">
        <w:rPr>
          <w:i/>
          <w:iCs/>
          <w:lang w:val="lt-LT"/>
        </w:rPr>
        <w:t>, kurių inkstų funkcija sutrikusi</w:t>
      </w:r>
    </w:p>
    <w:p w14:paraId="6E893BDD" w14:textId="535835D6" w:rsidR="00D07DFA" w:rsidRPr="00F9703D" w:rsidRDefault="00E90A95" w:rsidP="007A292B">
      <w:pPr>
        <w:pStyle w:val="Betarp"/>
        <w:rPr>
          <w:lang w:val="lt-LT"/>
        </w:rPr>
      </w:pPr>
      <w:r>
        <w:rPr>
          <w:lang w:val="lt-LT"/>
        </w:rPr>
        <w:t>Ed</w:t>
      </w:r>
      <w:r w:rsidR="007643D3" w:rsidRPr="007643D3">
        <w:rPr>
          <w:lang w:val="lt-LT"/>
        </w:rPr>
        <w:t>uelym</w:t>
      </w:r>
      <w:r w:rsidR="00D07DFA" w:rsidRPr="00F9703D">
        <w:rPr>
          <w:lang w:val="lt-LT"/>
        </w:rPr>
        <w:t xml:space="preserve"> poveikis pacientams, kurių inkstų funkcija sutrikusi, netirtas. Todėl tokius pacientus reikia gydyti atsargiai.</w:t>
      </w:r>
    </w:p>
    <w:p w14:paraId="21CA821A" w14:textId="77777777" w:rsidR="00D07DFA" w:rsidRPr="00F9703D" w:rsidRDefault="00D07DFA" w:rsidP="007A292B">
      <w:pPr>
        <w:pStyle w:val="Betarp"/>
        <w:rPr>
          <w:lang w:val="lt-LT"/>
        </w:rPr>
      </w:pPr>
    </w:p>
    <w:p w14:paraId="70EDD9D0" w14:textId="77777777" w:rsidR="00D07DFA" w:rsidRPr="00F9703D" w:rsidRDefault="00D07DFA" w:rsidP="007A292B">
      <w:pPr>
        <w:pStyle w:val="Betarp"/>
        <w:rPr>
          <w:i/>
          <w:iCs/>
          <w:lang w:val="lt-LT"/>
        </w:rPr>
      </w:pPr>
      <w:r w:rsidRPr="00F9703D">
        <w:rPr>
          <w:i/>
          <w:iCs/>
          <w:lang w:val="lt-LT"/>
        </w:rPr>
        <w:t>Vaikų populiacija</w:t>
      </w:r>
    </w:p>
    <w:p w14:paraId="657C4016" w14:textId="7A162217" w:rsidR="00D07DFA" w:rsidRPr="00F9703D" w:rsidRDefault="00E90A95" w:rsidP="007A292B">
      <w:pPr>
        <w:pStyle w:val="Betarp"/>
        <w:rPr>
          <w:lang w:val="lt-LT"/>
        </w:rPr>
      </w:pPr>
      <w:r>
        <w:rPr>
          <w:lang w:val="lt-LT"/>
        </w:rPr>
        <w:t>Ed</w:t>
      </w:r>
      <w:r w:rsidR="007643D3" w:rsidRPr="007643D3">
        <w:rPr>
          <w:lang w:val="lt-LT"/>
        </w:rPr>
        <w:t>uelym</w:t>
      </w:r>
      <w:r w:rsidR="00D07DFA" w:rsidRPr="00F9703D">
        <w:rPr>
          <w:lang w:val="lt-LT"/>
        </w:rPr>
        <w:t xml:space="preserve"> saugumas ir veiksmingumas vaikams nuo 0 iki 18 metų </w:t>
      </w:r>
      <w:r w:rsidR="00DA37F8" w:rsidRPr="00F9703D">
        <w:rPr>
          <w:lang w:val="lt-LT"/>
        </w:rPr>
        <w:t>neištirtas</w:t>
      </w:r>
      <w:r w:rsidR="00D07DFA" w:rsidRPr="00F9703D">
        <w:rPr>
          <w:lang w:val="lt-LT"/>
        </w:rPr>
        <w:t>. Duomenų nėra.</w:t>
      </w:r>
    </w:p>
    <w:p w14:paraId="71E99A24" w14:textId="77777777" w:rsidR="007C68A4" w:rsidRPr="00F9703D" w:rsidRDefault="007C68A4" w:rsidP="007A292B">
      <w:pPr>
        <w:pStyle w:val="Betarp"/>
        <w:rPr>
          <w:lang w:val="lt-LT"/>
        </w:rPr>
      </w:pPr>
    </w:p>
    <w:p w14:paraId="29CB478C" w14:textId="77777777" w:rsidR="007C68A4" w:rsidRPr="00F9703D" w:rsidRDefault="007C68A4" w:rsidP="007A292B">
      <w:pPr>
        <w:pStyle w:val="Betarp"/>
        <w:rPr>
          <w:u w:val="single"/>
          <w:lang w:val="lt-LT"/>
        </w:rPr>
      </w:pPr>
      <w:r w:rsidRPr="00F9703D">
        <w:rPr>
          <w:noProof/>
          <w:u w:val="single"/>
          <w:lang w:val="lt-LT"/>
        </w:rPr>
        <w:t>Vartojimo metodas</w:t>
      </w:r>
    </w:p>
    <w:p w14:paraId="7684920F" w14:textId="543E407D" w:rsidR="007C68A4" w:rsidRPr="00F9703D" w:rsidRDefault="007C68A4" w:rsidP="007A292B">
      <w:pPr>
        <w:pStyle w:val="Betarp"/>
        <w:rPr>
          <w:lang w:val="lt-LT"/>
        </w:rPr>
      </w:pPr>
      <w:r w:rsidRPr="00F9703D">
        <w:rPr>
          <w:lang w:val="lt-LT"/>
        </w:rPr>
        <w:t>Vartoti ant akių.</w:t>
      </w:r>
    </w:p>
    <w:p w14:paraId="56E43F3C" w14:textId="77777777" w:rsidR="007C68A4" w:rsidRPr="00F9703D" w:rsidRDefault="007C68A4" w:rsidP="007A292B">
      <w:pPr>
        <w:pStyle w:val="Betarp"/>
        <w:rPr>
          <w:lang w:val="lt-LT"/>
        </w:rPr>
      </w:pPr>
    </w:p>
    <w:p w14:paraId="2D16C6BD" w14:textId="3E26B3E8" w:rsidR="00DA37F8" w:rsidRPr="00F9703D" w:rsidRDefault="00E90A95" w:rsidP="007A292B">
      <w:pPr>
        <w:spacing w:line="240" w:lineRule="auto"/>
        <w:jc w:val="both"/>
        <w:rPr>
          <w:rFonts w:eastAsia="Times New Roman"/>
          <w:lang w:val="lt-LT"/>
        </w:rPr>
      </w:pPr>
      <w:r>
        <w:rPr>
          <w:rFonts w:eastAsia="Times New Roman"/>
          <w:lang w:val="lt-LT"/>
        </w:rPr>
        <w:t>Ed</w:t>
      </w:r>
      <w:r w:rsidR="007643D3" w:rsidRPr="007643D3">
        <w:rPr>
          <w:rFonts w:eastAsia="Times New Roman"/>
          <w:lang w:val="lt-LT"/>
        </w:rPr>
        <w:t>uelym</w:t>
      </w:r>
      <w:r w:rsidR="00DA37F8" w:rsidRPr="00F9703D">
        <w:rPr>
          <w:rFonts w:eastAsia="Times New Roman"/>
          <w:lang w:val="lt-LT"/>
        </w:rPr>
        <w:t xml:space="preserve"> vartojimas kontaktinius lęšius nešiojantiems asmenims netirtas. Dėl šios priežasties, prieš lašinant akių gelį, kontaktinius lęšius reikia išsiimti ir vėl įsidėti po 15 minučių.</w:t>
      </w:r>
    </w:p>
    <w:p w14:paraId="5DD3109B" w14:textId="788965DC" w:rsidR="00DA37F8" w:rsidRPr="00F9703D" w:rsidRDefault="00DA37F8" w:rsidP="007A292B">
      <w:pPr>
        <w:spacing w:line="240" w:lineRule="auto"/>
        <w:jc w:val="both"/>
        <w:rPr>
          <w:rFonts w:eastAsia="Times New Roman"/>
          <w:lang w:val="lt-LT"/>
        </w:rPr>
      </w:pPr>
      <w:r w:rsidRPr="00F9703D">
        <w:rPr>
          <w:rFonts w:eastAsia="Times New Roman"/>
          <w:lang w:val="lt-LT"/>
        </w:rPr>
        <w:lastRenderedPageBreak/>
        <w:t xml:space="preserve">Jei vartojamas daugiau nei vienas vietinio veikimo akims skirtas vaistinis preparatas, juos reikia sulašinti likus ne mažiau kaip 15 minučių iki </w:t>
      </w:r>
      <w:r w:rsidR="00E90A95">
        <w:rPr>
          <w:rFonts w:eastAsia="Times New Roman"/>
          <w:lang w:val="lt-LT"/>
        </w:rPr>
        <w:t>Ed</w:t>
      </w:r>
      <w:r w:rsidR="007643D3" w:rsidRPr="007643D3">
        <w:rPr>
          <w:rFonts w:eastAsia="Times New Roman"/>
          <w:lang w:val="lt-LT"/>
        </w:rPr>
        <w:t>uelym</w:t>
      </w:r>
      <w:r w:rsidRPr="00F9703D">
        <w:rPr>
          <w:rFonts w:eastAsia="Times New Roman"/>
          <w:lang w:val="lt-LT"/>
        </w:rPr>
        <w:t xml:space="preserve"> vartojimo. </w:t>
      </w:r>
      <w:r w:rsidR="00E90A95">
        <w:rPr>
          <w:rFonts w:eastAsia="Times New Roman"/>
          <w:lang w:val="lt-LT"/>
        </w:rPr>
        <w:t>Ed</w:t>
      </w:r>
      <w:r w:rsidR="007643D3" w:rsidRPr="007643D3">
        <w:rPr>
          <w:rFonts w:eastAsia="Times New Roman"/>
          <w:lang w:val="lt-LT"/>
        </w:rPr>
        <w:t>uelym</w:t>
      </w:r>
      <w:r w:rsidRPr="00F9703D">
        <w:rPr>
          <w:rFonts w:eastAsia="Times New Roman"/>
          <w:lang w:val="lt-LT"/>
        </w:rPr>
        <w:t xml:space="preserve"> rekomenduojama lašinti paskutinį.</w:t>
      </w:r>
    </w:p>
    <w:p w14:paraId="695BFCBC" w14:textId="77777777" w:rsidR="00DA37F8" w:rsidRPr="00F9703D" w:rsidRDefault="00DA37F8" w:rsidP="007A292B">
      <w:pPr>
        <w:spacing w:line="240" w:lineRule="auto"/>
        <w:jc w:val="both"/>
        <w:rPr>
          <w:rFonts w:eastAsia="Times New Roman"/>
          <w:lang w:val="lt-LT"/>
        </w:rPr>
      </w:pPr>
    </w:p>
    <w:p w14:paraId="0531033F" w14:textId="78D5258C" w:rsidR="00DA37F8" w:rsidRPr="00F9703D" w:rsidRDefault="00DA37F8" w:rsidP="007A292B">
      <w:pPr>
        <w:spacing w:line="240" w:lineRule="auto"/>
        <w:jc w:val="both"/>
        <w:rPr>
          <w:rFonts w:eastAsia="Times New Roman"/>
          <w:lang w:val="lt-LT"/>
        </w:rPr>
      </w:pPr>
      <w:r w:rsidRPr="00F9703D">
        <w:rPr>
          <w:rFonts w:eastAsia="Times New Roman"/>
          <w:lang w:val="lt-LT"/>
        </w:rPr>
        <w:t>Vienadozėje talypklėje yra pakankamai akių gelio abiem akims gydyti.</w:t>
      </w:r>
    </w:p>
    <w:p w14:paraId="78C6C380" w14:textId="77777777" w:rsidR="00DA37F8" w:rsidRPr="00F9703D" w:rsidRDefault="00DA37F8" w:rsidP="007A292B">
      <w:pPr>
        <w:spacing w:line="240" w:lineRule="auto"/>
        <w:jc w:val="both"/>
        <w:rPr>
          <w:rFonts w:eastAsia="Times New Roman"/>
          <w:lang w:val="lt-LT"/>
        </w:rPr>
      </w:pPr>
    </w:p>
    <w:p w14:paraId="445641CE" w14:textId="77777777" w:rsidR="00DA37F8" w:rsidRPr="00F9703D" w:rsidRDefault="00DA37F8" w:rsidP="007A292B">
      <w:pPr>
        <w:spacing w:line="240" w:lineRule="auto"/>
        <w:jc w:val="both"/>
        <w:rPr>
          <w:rFonts w:eastAsia="Times New Roman"/>
          <w:lang w:val="lt-LT"/>
        </w:rPr>
      </w:pPr>
      <w:r w:rsidRPr="00F9703D">
        <w:rPr>
          <w:rFonts w:eastAsia="Times New Roman"/>
          <w:lang w:val="lt-LT"/>
        </w:rPr>
        <w:t>Tik vienakartiniam naudojimui.</w:t>
      </w:r>
    </w:p>
    <w:p w14:paraId="3C276556" w14:textId="77777777" w:rsidR="00DA37F8" w:rsidRPr="00F9703D" w:rsidRDefault="00DA37F8" w:rsidP="007A292B">
      <w:pPr>
        <w:spacing w:line="240" w:lineRule="auto"/>
        <w:jc w:val="both"/>
        <w:rPr>
          <w:rFonts w:eastAsia="Times New Roman"/>
          <w:lang w:val="lt-LT"/>
        </w:rPr>
      </w:pPr>
      <w:r w:rsidRPr="00F9703D">
        <w:rPr>
          <w:rFonts w:eastAsia="Times New Roman"/>
          <w:lang w:val="lt-LT"/>
        </w:rPr>
        <w:t>Šis vaistinis preparatas yra sterilus akių gelis, kurio sudėtyje nėra konservantų. Vienadozėje talpyklėje esantį akių gelį reikia suvartoti iš karto po atidarymo, lašinant ant pažeistos (-ų) akies (-ių). Kadangi atidarius vienadozę talpyklę sterilumo palaikyti neįmanoma, visas likęs nesuvartotas turinys turi būti nedelsiant išmestas.</w:t>
      </w:r>
    </w:p>
    <w:p w14:paraId="132666E4" w14:textId="77777777" w:rsidR="00272B9E" w:rsidRPr="00F9703D" w:rsidRDefault="00272B9E" w:rsidP="007A292B">
      <w:pPr>
        <w:spacing w:line="240" w:lineRule="auto"/>
        <w:jc w:val="both"/>
        <w:rPr>
          <w:rFonts w:eastAsia="Times New Roman"/>
          <w:lang w:val="lt-LT"/>
        </w:rPr>
      </w:pPr>
    </w:p>
    <w:p w14:paraId="11D6A754" w14:textId="5F6685B6" w:rsidR="00272B9E" w:rsidRPr="00F9703D" w:rsidRDefault="00272B9E" w:rsidP="007A292B">
      <w:pPr>
        <w:spacing w:line="240" w:lineRule="auto"/>
        <w:jc w:val="both"/>
        <w:rPr>
          <w:rFonts w:eastAsia="Times New Roman"/>
          <w:lang w:val="lt-LT"/>
        </w:rPr>
      </w:pPr>
      <w:r w:rsidRPr="00F9703D">
        <w:rPr>
          <w:rFonts w:eastAsia="Times New Roman"/>
          <w:lang w:val="lt-LT"/>
        </w:rPr>
        <w:t>Užspaudus ašarų maišelį ties vidiniu akiems kampu arba užmerkus vokus 2 minutėms, sisteminė absorbcija sumažėja. Dėl to gali sumažėti sisteminis šalutinis poveikis ir padidėti vietinis aktyvumas.</w:t>
      </w:r>
    </w:p>
    <w:p w14:paraId="4E67647D" w14:textId="77777777" w:rsidR="00DA37F8" w:rsidRPr="00F9703D" w:rsidRDefault="00DA37F8" w:rsidP="007A292B">
      <w:pPr>
        <w:spacing w:line="240" w:lineRule="auto"/>
        <w:jc w:val="both"/>
        <w:rPr>
          <w:rFonts w:eastAsia="Times New Roman"/>
          <w:iCs/>
          <w:lang w:val="lt-LT"/>
        </w:rPr>
      </w:pPr>
    </w:p>
    <w:p w14:paraId="6F86FDDA" w14:textId="77777777" w:rsidR="00DA37F8" w:rsidRPr="00F9703D" w:rsidRDefault="00DA37F8" w:rsidP="007A292B">
      <w:pPr>
        <w:spacing w:line="240" w:lineRule="auto"/>
        <w:jc w:val="both"/>
        <w:rPr>
          <w:rFonts w:eastAsia="Times New Roman"/>
          <w:i/>
          <w:lang w:val="lt-LT"/>
        </w:rPr>
      </w:pPr>
      <w:r w:rsidRPr="00F9703D">
        <w:rPr>
          <w:rFonts w:eastAsia="Times New Roman"/>
          <w:i/>
          <w:iCs/>
          <w:lang w:val="lt-LT"/>
        </w:rPr>
        <w:t xml:space="preserve">Pacientus būtina įspėti, kad </w:t>
      </w:r>
    </w:p>
    <w:p w14:paraId="28C58A5C" w14:textId="51CF0480" w:rsidR="00DA37F8" w:rsidRPr="00F9703D" w:rsidRDefault="00DA37F8" w:rsidP="007A292B">
      <w:pPr>
        <w:pStyle w:val="Sraopastraipa"/>
        <w:numPr>
          <w:ilvl w:val="0"/>
          <w:numId w:val="29"/>
        </w:numPr>
        <w:spacing w:after="0" w:line="240" w:lineRule="auto"/>
        <w:ind w:left="426" w:hanging="426"/>
        <w:jc w:val="both"/>
        <w:rPr>
          <w:rFonts w:ascii="Times New Roman" w:eastAsia="Times New Roman" w:hAnsi="Times New Roman"/>
        </w:rPr>
      </w:pPr>
      <w:r w:rsidRPr="00F9703D">
        <w:rPr>
          <w:rFonts w:ascii="Times New Roman" w:eastAsia="Times New Roman" w:hAnsi="Times New Roman"/>
        </w:rPr>
        <w:t>lašintuvo antgaliu negalima liesti akių ar akių vokų;</w:t>
      </w:r>
    </w:p>
    <w:p w14:paraId="3D59B022" w14:textId="77777777" w:rsidR="00DA37F8" w:rsidRPr="00F9703D" w:rsidRDefault="00DA37F8" w:rsidP="007A292B">
      <w:pPr>
        <w:numPr>
          <w:ilvl w:val="0"/>
          <w:numId w:val="29"/>
        </w:numPr>
        <w:tabs>
          <w:tab w:val="left" w:pos="567"/>
        </w:tabs>
        <w:spacing w:line="240" w:lineRule="auto"/>
        <w:ind w:left="426" w:hanging="426"/>
        <w:jc w:val="both"/>
        <w:rPr>
          <w:rFonts w:eastAsia="Times New Roman"/>
          <w:lang w:val="lt-LT"/>
        </w:rPr>
      </w:pPr>
      <w:r w:rsidRPr="00F9703D">
        <w:rPr>
          <w:rFonts w:eastAsia="Times New Roman"/>
          <w:lang w:val="lt-LT"/>
        </w:rPr>
        <w:t>atidarius vienadozę talpyklę akių gelį būtina suvartoti nedelsiant, o po pavartojimo – išmesti;</w:t>
      </w:r>
    </w:p>
    <w:p w14:paraId="34C6D17C" w14:textId="77777777" w:rsidR="00DA37F8" w:rsidRPr="00F9703D" w:rsidRDefault="00DA37F8" w:rsidP="007A292B">
      <w:pPr>
        <w:numPr>
          <w:ilvl w:val="0"/>
          <w:numId w:val="29"/>
        </w:numPr>
        <w:tabs>
          <w:tab w:val="left" w:pos="567"/>
        </w:tabs>
        <w:spacing w:line="240" w:lineRule="auto"/>
        <w:ind w:left="426" w:hanging="426"/>
        <w:jc w:val="both"/>
        <w:rPr>
          <w:rFonts w:eastAsia="Times New Roman"/>
          <w:lang w:val="lt-LT"/>
        </w:rPr>
      </w:pPr>
      <w:r w:rsidRPr="00F9703D">
        <w:rPr>
          <w:rFonts w:eastAsia="Times New Roman"/>
          <w:lang w:val="lt-LT"/>
        </w:rPr>
        <w:t>neatidarytas vienadozes talpykles reikia laikyti paketėlyje.</w:t>
      </w:r>
    </w:p>
    <w:p w14:paraId="550BC30A" w14:textId="77777777" w:rsidR="007C68A4" w:rsidRPr="00F9703D" w:rsidRDefault="007C68A4" w:rsidP="007A292B">
      <w:pPr>
        <w:pStyle w:val="Betarp"/>
        <w:rPr>
          <w:lang w:val="lt-LT"/>
        </w:rPr>
      </w:pPr>
    </w:p>
    <w:p w14:paraId="3F46386A" w14:textId="77777777" w:rsidR="007C68A4" w:rsidRPr="00F9703D" w:rsidRDefault="007C68A4" w:rsidP="007A292B">
      <w:pPr>
        <w:pStyle w:val="Betarp"/>
        <w:rPr>
          <w:b/>
          <w:lang w:val="lt-LT"/>
        </w:rPr>
      </w:pPr>
      <w:bookmarkStart w:id="12" w:name="_Toc129243104"/>
      <w:bookmarkStart w:id="13" w:name="_Toc129243229"/>
      <w:r w:rsidRPr="00F9703D">
        <w:rPr>
          <w:b/>
          <w:lang w:val="lt-LT"/>
        </w:rPr>
        <w:t>4.3</w:t>
      </w:r>
      <w:r w:rsidRPr="00F9703D">
        <w:rPr>
          <w:b/>
          <w:lang w:val="lt-LT"/>
        </w:rPr>
        <w:tab/>
        <w:t>Kontraindikacijos</w:t>
      </w:r>
      <w:bookmarkEnd w:id="12"/>
      <w:bookmarkEnd w:id="13"/>
    </w:p>
    <w:p w14:paraId="03EF15ED" w14:textId="77777777" w:rsidR="007C68A4" w:rsidRPr="00F9703D" w:rsidRDefault="007C68A4" w:rsidP="007A292B">
      <w:pPr>
        <w:pStyle w:val="Betarp"/>
        <w:rPr>
          <w:lang w:val="lt-LT"/>
        </w:rPr>
      </w:pPr>
    </w:p>
    <w:p w14:paraId="177F2A2D" w14:textId="4571BE64" w:rsidR="00E3389A" w:rsidRPr="00F9703D" w:rsidRDefault="00E3389A" w:rsidP="007A292B">
      <w:pPr>
        <w:pStyle w:val="Betarp"/>
        <w:numPr>
          <w:ilvl w:val="0"/>
          <w:numId w:val="28"/>
        </w:numPr>
        <w:ind w:left="426" w:hanging="426"/>
        <w:rPr>
          <w:lang w:val="lt-LT"/>
        </w:rPr>
      </w:pPr>
      <w:r w:rsidRPr="00F9703D">
        <w:rPr>
          <w:lang w:val="lt-LT"/>
        </w:rPr>
        <w:t>Padidėjęs jautrumas veikliosioms medžiagoms arba bet kuriai 6.1 skyriuje nurodytai pagalbinei medžiagai.</w:t>
      </w:r>
    </w:p>
    <w:p w14:paraId="65BEEB74" w14:textId="77777777" w:rsidR="007C68A4" w:rsidRPr="00F9703D" w:rsidRDefault="007C68A4" w:rsidP="007A292B">
      <w:pPr>
        <w:pStyle w:val="Betarp"/>
        <w:numPr>
          <w:ilvl w:val="0"/>
          <w:numId w:val="28"/>
        </w:numPr>
        <w:ind w:left="426" w:hanging="426"/>
        <w:rPr>
          <w:lang w:val="lt-LT"/>
        </w:rPr>
      </w:pPr>
      <w:bookmarkStart w:id="14" w:name="OLE_LINK4"/>
      <w:bookmarkStart w:id="15" w:name="OLE_LINK5"/>
      <w:r w:rsidRPr="00F9703D">
        <w:rPr>
          <w:lang w:val="lt-LT"/>
        </w:rPr>
        <w:t>Reaktyvi kvėpavimo takų liga, įskaitant esamą ar buvusią bronchų astmą, sunkią lėtinę obstrukcinę plaučių ligą.</w:t>
      </w:r>
    </w:p>
    <w:p w14:paraId="685BBD98" w14:textId="77777777" w:rsidR="007C68A4" w:rsidRPr="00F9703D" w:rsidRDefault="007C68A4" w:rsidP="007A292B">
      <w:pPr>
        <w:pStyle w:val="Betarp"/>
        <w:numPr>
          <w:ilvl w:val="0"/>
          <w:numId w:val="28"/>
        </w:numPr>
        <w:ind w:left="426" w:hanging="426"/>
        <w:rPr>
          <w:lang w:val="lt-LT"/>
        </w:rPr>
      </w:pPr>
      <w:r w:rsidRPr="00F9703D">
        <w:rPr>
          <w:lang w:val="lt-LT"/>
        </w:rPr>
        <w:t>Sinusinė bradikardija, sinusinio mazgo silpnumo sindromas, sinaotrialinė blokada, širdies stimuliatoriumi nevaldoma antrojo ar trečiojo laipsnio atrioventrikulinė blokada, išreikštas širdies nepakankamumas, kardiogeninis šokas.</w:t>
      </w:r>
    </w:p>
    <w:bookmarkEnd w:id="14"/>
    <w:bookmarkEnd w:id="15"/>
    <w:p w14:paraId="7284A46F" w14:textId="77777777" w:rsidR="007C68A4" w:rsidRPr="00F9703D" w:rsidRDefault="007C68A4" w:rsidP="007A292B">
      <w:pPr>
        <w:pStyle w:val="Betarp"/>
        <w:rPr>
          <w:lang w:val="lt-LT"/>
        </w:rPr>
      </w:pPr>
    </w:p>
    <w:p w14:paraId="65A5182E" w14:textId="77777777" w:rsidR="007C68A4" w:rsidRPr="00F9703D" w:rsidRDefault="007C68A4" w:rsidP="007A292B">
      <w:pPr>
        <w:pStyle w:val="Betarp"/>
        <w:rPr>
          <w:b/>
          <w:lang w:val="lt-LT"/>
        </w:rPr>
      </w:pPr>
      <w:bookmarkStart w:id="16" w:name="_Toc129243105"/>
      <w:bookmarkStart w:id="17" w:name="_Toc129243230"/>
      <w:r w:rsidRPr="00F9703D">
        <w:rPr>
          <w:b/>
          <w:lang w:val="lt-LT"/>
        </w:rPr>
        <w:t>4.4</w:t>
      </w:r>
      <w:r w:rsidRPr="00F9703D">
        <w:rPr>
          <w:b/>
          <w:lang w:val="lt-LT"/>
        </w:rPr>
        <w:tab/>
        <w:t>Specialūs įspėjimai ir atsargumo priemonės</w:t>
      </w:r>
      <w:bookmarkEnd w:id="16"/>
      <w:bookmarkEnd w:id="17"/>
    </w:p>
    <w:p w14:paraId="099D7F3F" w14:textId="77777777" w:rsidR="007C68A4" w:rsidRPr="00F9703D" w:rsidRDefault="007C68A4" w:rsidP="007A292B">
      <w:pPr>
        <w:pStyle w:val="Betarp"/>
        <w:rPr>
          <w:i/>
          <w:iCs/>
          <w:u w:val="single"/>
          <w:lang w:val="lt-LT"/>
        </w:rPr>
      </w:pPr>
    </w:p>
    <w:p w14:paraId="4F17B5E6" w14:textId="3E9C3342" w:rsidR="007C68A4" w:rsidRPr="00F9703D" w:rsidRDefault="00E90A95" w:rsidP="007A292B">
      <w:pPr>
        <w:pStyle w:val="Betarp"/>
        <w:rPr>
          <w:lang w:val="lt-LT"/>
        </w:rPr>
      </w:pPr>
      <w:r>
        <w:rPr>
          <w:noProof/>
          <w:lang w:val="lt-LT"/>
        </w:rPr>
        <w:t>Ed</w:t>
      </w:r>
      <w:r w:rsidR="007643D3" w:rsidRPr="007643D3">
        <w:rPr>
          <w:noProof/>
          <w:lang w:val="lt-LT"/>
        </w:rPr>
        <w:t>uelym</w:t>
      </w:r>
      <w:r w:rsidR="007C68A4" w:rsidRPr="00F9703D">
        <w:rPr>
          <w:lang w:val="lt-LT"/>
        </w:rPr>
        <w:t>, kaip ir kiti lokaliai vartojami oftalmologiniai vaistiniai preparatai, absorbuojamas į sisteminę kraujotaką. Dėl beta andrenerginio komponento – timololio – gali pasitaikyti tokio paties tipo širdies ir kraujagyslių, plaučių bei kitų nepageidaujamų reakcijų, kokios pastebimos sistemiškai vartojant beta adrenoblokatori</w:t>
      </w:r>
      <w:r w:rsidR="001A7C6B">
        <w:rPr>
          <w:lang w:val="lt-LT"/>
        </w:rPr>
        <w:t>ų</w:t>
      </w:r>
      <w:r w:rsidR="007C68A4" w:rsidRPr="00F9703D">
        <w:rPr>
          <w:lang w:val="lt-LT"/>
        </w:rPr>
        <w:t>. Sisteminių nepageidaujamų reakcijų į vaistinį preparatą po lokalaus oftalmologinių preparatų pavartojimo atsiranda rečiau nei po sisteminio pavartojimo. Informaciją apie sisteminės absorbcijos mažinimą žr. 4.2 skyriuje.</w:t>
      </w:r>
    </w:p>
    <w:p w14:paraId="5BAA0BF3" w14:textId="77777777" w:rsidR="007C68A4" w:rsidRPr="00F9703D" w:rsidRDefault="007C68A4" w:rsidP="007A292B">
      <w:pPr>
        <w:pStyle w:val="Betarp"/>
        <w:rPr>
          <w:lang w:val="lt-LT"/>
        </w:rPr>
      </w:pPr>
    </w:p>
    <w:p w14:paraId="2599497D" w14:textId="77777777" w:rsidR="007C68A4" w:rsidRPr="00F9703D" w:rsidRDefault="007C68A4" w:rsidP="007A292B">
      <w:pPr>
        <w:pStyle w:val="Betarp"/>
        <w:rPr>
          <w:iCs/>
          <w:u w:val="single"/>
          <w:lang w:val="lt-LT"/>
        </w:rPr>
      </w:pPr>
      <w:r w:rsidRPr="00F9703D">
        <w:rPr>
          <w:iCs/>
          <w:u w:val="single"/>
          <w:lang w:val="lt-LT"/>
        </w:rPr>
        <w:t>Širdies sutrikimai</w:t>
      </w:r>
    </w:p>
    <w:p w14:paraId="04A4FC95" w14:textId="06AB7F8C" w:rsidR="007C68A4" w:rsidRPr="00F9703D" w:rsidRDefault="007C68A4" w:rsidP="007A292B">
      <w:pPr>
        <w:pStyle w:val="Betarp"/>
        <w:rPr>
          <w:lang w:val="lt-LT"/>
        </w:rPr>
      </w:pPr>
      <w:r w:rsidRPr="00F9703D">
        <w:rPr>
          <w:lang w:val="lt-LT"/>
        </w:rPr>
        <w:t>Gydant pacientus, sergančius širdies ir kraujagyslių ligomis (pvz., koronarine širdies liga, Princmetalo (</w:t>
      </w:r>
      <w:r w:rsidRPr="00F9703D">
        <w:rPr>
          <w:i/>
          <w:lang w:val="lt-LT"/>
        </w:rPr>
        <w:t>Prinzmetal</w:t>
      </w:r>
      <w:r w:rsidRPr="00F9703D">
        <w:rPr>
          <w:lang w:val="lt-LT"/>
        </w:rPr>
        <w:t>) krūtinės angina ir širdies nepakankamu) ir hipotenzija, būtina kritiškai įvertinti gydymą beta adrenoblokatoriais ir apsvarstyti gydymo kitomis veikliosiomis medžiagomis galimybes. Pacientai, sergantys širdies ir kraujagyslių ligomis, turi būti stebimi dėl šių ligų paūmėjimo ir nepageidaujamų reakcijų.</w:t>
      </w:r>
    </w:p>
    <w:p w14:paraId="487A8E22" w14:textId="77777777" w:rsidR="007C68A4" w:rsidRPr="00F9703D" w:rsidRDefault="007C68A4" w:rsidP="007A292B">
      <w:pPr>
        <w:pStyle w:val="Betarp"/>
        <w:rPr>
          <w:lang w:val="lt-LT"/>
        </w:rPr>
      </w:pPr>
      <w:r w:rsidRPr="00F9703D">
        <w:rPr>
          <w:lang w:val="lt-LT"/>
        </w:rPr>
        <w:t>Beta adrenoblokatorių turi būti atsargiai skiriama pacientams, kuriems yra pirmojo laipsnio širdies blokada, nes jie neigiamai veikia širdies laidumo trukmę.</w:t>
      </w:r>
    </w:p>
    <w:p w14:paraId="729CAE8D" w14:textId="77777777" w:rsidR="007C68A4" w:rsidRPr="00F9703D" w:rsidRDefault="007C68A4" w:rsidP="007A292B">
      <w:pPr>
        <w:pStyle w:val="Betarp"/>
        <w:rPr>
          <w:lang w:val="lt-LT"/>
        </w:rPr>
      </w:pPr>
    </w:p>
    <w:p w14:paraId="7FE156D2" w14:textId="77777777" w:rsidR="007C68A4" w:rsidRPr="00F9703D" w:rsidRDefault="007C68A4" w:rsidP="007A292B">
      <w:pPr>
        <w:pStyle w:val="Betarp"/>
        <w:rPr>
          <w:iCs/>
          <w:u w:val="single"/>
          <w:lang w:val="lt-LT"/>
        </w:rPr>
      </w:pPr>
      <w:r w:rsidRPr="00F9703D">
        <w:rPr>
          <w:iCs/>
          <w:u w:val="single"/>
          <w:lang w:val="lt-LT"/>
        </w:rPr>
        <w:t>Kraujagyslių sutrikimai</w:t>
      </w:r>
    </w:p>
    <w:p w14:paraId="02CCC362" w14:textId="2862110F" w:rsidR="007C68A4" w:rsidRPr="00F9703D" w:rsidRDefault="007C68A4" w:rsidP="007A292B">
      <w:pPr>
        <w:pStyle w:val="Betarp"/>
        <w:rPr>
          <w:lang w:val="lt-LT"/>
        </w:rPr>
      </w:pPr>
      <w:r w:rsidRPr="00F9703D">
        <w:rPr>
          <w:lang w:val="lt-LT"/>
        </w:rPr>
        <w:t>Pacienta</w:t>
      </w:r>
      <w:r w:rsidR="006212B9">
        <w:rPr>
          <w:lang w:val="lt-LT"/>
        </w:rPr>
        <w:t>i</w:t>
      </w:r>
      <w:r w:rsidRPr="00F9703D">
        <w:rPr>
          <w:lang w:val="lt-LT"/>
        </w:rPr>
        <w:t>, kuriems yra sunkus periferinės kraujotakos sutrikimas (pvz., sunki Reino (</w:t>
      </w:r>
      <w:r w:rsidRPr="00F9703D">
        <w:rPr>
          <w:i/>
          <w:lang w:val="lt-LT"/>
        </w:rPr>
        <w:t>Raynaud</w:t>
      </w:r>
      <w:r w:rsidRPr="00F9703D">
        <w:rPr>
          <w:lang w:val="lt-LT"/>
        </w:rPr>
        <w:t>) ligos forma ar Reino (</w:t>
      </w:r>
      <w:r w:rsidRPr="00F9703D">
        <w:rPr>
          <w:i/>
          <w:lang w:val="lt-LT"/>
        </w:rPr>
        <w:t>Raynaud</w:t>
      </w:r>
      <w:r w:rsidRPr="00F9703D">
        <w:rPr>
          <w:lang w:val="lt-LT"/>
        </w:rPr>
        <w:t>) sindromas), turi būti gydomi atsargiai.</w:t>
      </w:r>
    </w:p>
    <w:p w14:paraId="04703B48" w14:textId="77777777" w:rsidR="007C68A4" w:rsidRPr="00F9703D" w:rsidRDefault="007C68A4" w:rsidP="007A292B">
      <w:pPr>
        <w:pStyle w:val="Betarp"/>
        <w:rPr>
          <w:lang w:val="lt-LT"/>
        </w:rPr>
      </w:pPr>
    </w:p>
    <w:p w14:paraId="609EE0DE" w14:textId="77777777" w:rsidR="007C68A4" w:rsidRPr="00F9703D" w:rsidRDefault="007C68A4" w:rsidP="007A292B">
      <w:pPr>
        <w:pStyle w:val="Betarp"/>
        <w:rPr>
          <w:iCs/>
          <w:u w:val="single"/>
          <w:lang w:val="lt-LT"/>
        </w:rPr>
      </w:pPr>
      <w:r w:rsidRPr="00F9703D">
        <w:rPr>
          <w:iCs/>
          <w:u w:val="single"/>
          <w:lang w:val="lt-LT"/>
        </w:rPr>
        <w:t>Kvėpavimo sistemos sutrikimai</w:t>
      </w:r>
    </w:p>
    <w:p w14:paraId="4A259FD2" w14:textId="569D3C11" w:rsidR="007C68A4" w:rsidRPr="00F9703D" w:rsidRDefault="007C68A4" w:rsidP="007A292B">
      <w:pPr>
        <w:pStyle w:val="Betarp"/>
        <w:rPr>
          <w:u w:val="single"/>
          <w:lang w:val="lt-LT"/>
        </w:rPr>
      </w:pPr>
      <w:r w:rsidRPr="00F9703D">
        <w:rPr>
          <w:lang w:val="lt-LT"/>
        </w:rPr>
        <w:t xml:space="preserve">Buvo atvejų, kai pavartojus kai kurių oftalmologinių beta adrenoblokatorių preparatų </w:t>
      </w:r>
      <w:r w:rsidR="00B9360C">
        <w:rPr>
          <w:lang w:val="lt-LT"/>
        </w:rPr>
        <w:t>atsirado</w:t>
      </w:r>
      <w:r w:rsidR="00B9360C" w:rsidRPr="00F9703D">
        <w:rPr>
          <w:lang w:val="lt-LT"/>
        </w:rPr>
        <w:t xml:space="preserve"> </w:t>
      </w:r>
      <w:r w:rsidRPr="00F9703D">
        <w:rPr>
          <w:lang w:val="lt-LT"/>
        </w:rPr>
        <w:t xml:space="preserve">kvėpavimo sistemos reakcijų, </w:t>
      </w:r>
      <w:r w:rsidR="006212B9">
        <w:rPr>
          <w:lang w:val="lt-LT"/>
        </w:rPr>
        <w:t>įskaitant</w:t>
      </w:r>
      <w:r w:rsidRPr="00F9703D">
        <w:rPr>
          <w:lang w:val="lt-LT"/>
        </w:rPr>
        <w:t xml:space="preserve"> mirt</w:t>
      </w:r>
      <w:r w:rsidR="006212B9">
        <w:rPr>
          <w:lang w:val="lt-LT"/>
        </w:rPr>
        <w:t>į</w:t>
      </w:r>
      <w:r w:rsidRPr="00F9703D">
        <w:rPr>
          <w:lang w:val="lt-LT"/>
        </w:rPr>
        <w:t xml:space="preserve"> nuo bronchų spazmo bronchine astma sergantiems pacientams. </w:t>
      </w:r>
      <w:r w:rsidR="00E90A95">
        <w:rPr>
          <w:lang w:val="lt-LT"/>
        </w:rPr>
        <w:t>Ed</w:t>
      </w:r>
      <w:r w:rsidR="007643D3" w:rsidRPr="007643D3">
        <w:rPr>
          <w:lang w:val="lt-LT"/>
        </w:rPr>
        <w:t>uelym</w:t>
      </w:r>
      <w:r w:rsidRPr="00F9703D">
        <w:rPr>
          <w:lang w:val="lt-LT"/>
        </w:rPr>
        <w:t xml:space="preserve"> </w:t>
      </w:r>
      <w:r w:rsidRPr="00F9703D">
        <w:rPr>
          <w:rFonts w:eastAsia="Times New Roman"/>
          <w:lang w:val="lt-LT"/>
        </w:rPr>
        <w:t>reikia atsargiai vartoti pacientams, sergantiems lengva arba vidutinio sunkumo lėtine obstrukcine plaučių liga (LOPL) ir tik tuomet, kai galima nauda viršija galimą riziką.</w:t>
      </w:r>
    </w:p>
    <w:p w14:paraId="20711D86" w14:textId="77777777" w:rsidR="007C68A4" w:rsidRPr="00F9703D" w:rsidRDefault="007C68A4" w:rsidP="007A292B">
      <w:pPr>
        <w:pStyle w:val="Betarp"/>
        <w:rPr>
          <w:lang w:val="lt-LT"/>
        </w:rPr>
      </w:pPr>
    </w:p>
    <w:p w14:paraId="4FDB1706" w14:textId="42CAF4DF" w:rsidR="005A357A" w:rsidRPr="00F9703D" w:rsidRDefault="005A357A" w:rsidP="007A292B">
      <w:pPr>
        <w:pStyle w:val="Betarp"/>
        <w:rPr>
          <w:u w:val="single"/>
          <w:lang w:val="lt-LT"/>
        </w:rPr>
      </w:pPr>
      <w:r w:rsidRPr="00F9703D">
        <w:rPr>
          <w:u w:val="single"/>
          <w:lang w:val="lt-LT"/>
        </w:rPr>
        <w:t>Endokrininiai sutrikimai</w:t>
      </w:r>
    </w:p>
    <w:p w14:paraId="72A4D489" w14:textId="50C9DE43" w:rsidR="007C68A4" w:rsidRPr="00F9703D" w:rsidRDefault="007C68A4" w:rsidP="007A292B">
      <w:pPr>
        <w:pStyle w:val="Betarp"/>
        <w:rPr>
          <w:iCs/>
          <w:lang w:val="lt-LT"/>
        </w:rPr>
      </w:pPr>
      <w:r w:rsidRPr="00F9703D">
        <w:rPr>
          <w:iCs/>
          <w:lang w:val="lt-LT"/>
        </w:rPr>
        <w:t>Hipoglikemija/cukrinis diabetas</w:t>
      </w:r>
      <w:r w:rsidR="005A357A" w:rsidRPr="00F9703D">
        <w:rPr>
          <w:iCs/>
          <w:lang w:val="lt-LT"/>
        </w:rPr>
        <w:t xml:space="preserve">: </w:t>
      </w:r>
      <w:r w:rsidR="005A357A" w:rsidRPr="00F9703D">
        <w:rPr>
          <w:lang w:val="lt-LT"/>
        </w:rPr>
        <w:t>b</w:t>
      </w:r>
      <w:r w:rsidRPr="00F9703D">
        <w:rPr>
          <w:lang w:val="lt-LT"/>
        </w:rPr>
        <w:t>eta adrenoblokatorių reikia atsargiai skirti pacientams, kuriems būna spontaninės hipoglikemijos epizodų arba kurie serga labiliu cukriniu diabetu, kadangi beta adrenoblokatoriai gali slėpti ūminės hipoglikemijos požymius ir simptomus.</w:t>
      </w:r>
    </w:p>
    <w:p w14:paraId="5BBC0613" w14:textId="7A31A9F0" w:rsidR="007C68A4" w:rsidRPr="00F9703D" w:rsidRDefault="007C68A4" w:rsidP="007A292B">
      <w:pPr>
        <w:pStyle w:val="Betarp"/>
        <w:keepNext/>
        <w:rPr>
          <w:u w:val="single"/>
          <w:lang w:val="lt-LT"/>
        </w:rPr>
      </w:pPr>
      <w:r w:rsidRPr="00F9703D">
        <w:rPr>
          <w:lang w:val="lt-LT"/>
        </w:rPr>
        <w:t>Hipertiroidizmas</w:t>
      </w:r>
      <w:r w:rsidR="005A357A" w:rsidRPr="00F9703D">
        <w:rPr>
          <w:lang w:val="lt-LT"/>
        </w:rPr>
        <w:t>: b</w:t>
      </w:r>
      <w:r w:rsidRPr="00F9703D">
        <w:rPr>
          <w:lang w:val="lt-LT"/>
        </w:rPr>
        <w:t>eta adrenoblokatoriai gali slėpti hipertiroidizmo požymius.</w:t>
      </w:r>
    </w:p>
    <w:p w14:paraId="5741F9C4" w14:textId="77777777" w:rsidR="007C68A4" w:rsidRPr="00F9703D" w:rsidRDefault="007C68A4" w:rsidP="007A292B">
      <w:pPr>
        <w:pStyle w:val="Betarp"/>
        <w:rPr>
          <w:u w:val="single"/>
          <w:lang w:val="lt-LT"/>
        </w:rPr>
      </w:pPr>
    </w:p>
    <w:p w14:paraId="10187229" w14:textId="77777777" w:rsidR="005A357A" w:rsidRPr="00F9703D" w:rsidRDefault="005A357A" w:rsidP="007A292B">
      <w:pPr>
        <w:pStyle w:val="Betarp"/>
        <w:rPr>
          <w:iCs/>
          <w:u w:val="single"/>
          <w:lang w:val="lt-LT"/>
        </w:rPr>
      </w:pPr>
      <w:r w:rsidRPr="00F9703D">
        <w:rPr>
          <w:iCs/>
          <w:u w:val="single"/>
          <w:lang w:val="lt-LT"/>
        </w:rPr>
        <w:t>Kiti beta adrenoblokatoriai</w:t>
      </w:r>
    </w:p>
    <w:p w14:paraId="14E055B4" w14:textId="709764A8" w:rsidR="005A357A" w:rsidRPr="00F9703D" w:rsidRDefault="005A357A" w:rsidP="007A292B">
      <w:pPr>
        <w:pStyle w:val="Betarp"/>
        <w:rPr>
          <w:lang w:val="lt-LT"/>
        </w:rPr>
      </w:pPr>
      <w:r w:rsidRPr="00F9703D">
        <w:rPr>
          <w:lang w:val="lt-LT"/>
        </w:rPr>
        <w:t xml:space="preserve">Poveikis intraokuliniam spaudimui ar žinomas sisteminės beta adrenoreceptorių blokados poveikis gali sustiprėti, jei timololio skiriama pacientui, jau vartojančiam sisteminio beta adrenoreceptorius blokuojančio vaistinio preparato. </w:t>
      </w:r>
      <w:r w:rsidRPr="00F9703D">
        <w:rPr>
          <w:rFonts w:eastAsia="Times New Roman"/>
          <w:lang w:val="lt-LT"/>
        </w:rPr>
        <w:t xml:space="preserve">Tokių pacientų atsaką į </w:t>
      </w:r>
      <w:r w:rsidRPr="00F9703D">
        <w:rPr>
          <w:lang w:val="lt-LT"/>
        </w:rPr>
        <w:t xml:space="preserve">gydymą </w:t>
      </w:r>
      <w:r w:rsidRPr="00F9703D">
        <w:rPr>
          <w:rFonts w:eastAsia="Times New Roman"/>
          <w:lang w:val="lt-LT"/>
        </w:rPr>
        <w:t>reikia įdėmiai stebėti. Dviejų lokalaus poveikio beta adrenoblokatorių vartoti nerekomenduojama (žr. 4.5 skyrių).</w:t>
      </w:r>
    </w:p>
    <w:p w14:paraId="11E8191F" w14:textId="77777777" w:rsidR="005A357A" w:rsidRPr="00F9703D" w:rsidRDefault="005A357A" w:rsidP="007A292B">
      <w:pPr>
        <w:pStyle w:val="Betarp"/>
        <w:rPr>
          <w:u w:val="single"/>
          <w:lang w:val="lt-LT"/>
        </w:rPr>
      </w:pPr>
    </w:p>
    <w:p w14:paraId="7C6ED647" w14:textId="77777777" w:rsidR="00D23124" w:rsidRPr="00F9703D" w:rsidRDefault="00D23124" w:rsidP="007A292B">
      <w:pPr>
        <w:pStyle w:val="Betarp"/>
        <w:rPr>
          <w:iCs/>
          <w:u w:val="single"/>
          <w:lang w:val="lt-LT"/>
        </w:rPr>
      </w:pPr>
      <w:r w:rsidRPr="00F9703D">
        <w:rPr>
          <w:iCs/>
          <w:u w:val="single"/>
          <w:lang w:val="lt-LT"/>
        </w:rPr>
        <w:t>Anafilaksinės reakcijos</w:t>
      </w:r>
    </w:p>
    <w:p w14:paraId="4C5BAF4A" w14:textId="27DF4FDD" w:rsidR="00D23124" w:rsidRPr="00F9703D" w:rsidRDefault="00D23124" w:rsidP="007A292B">
      <w:pPr>
        <w:pStyle w:val="Betarp"/>
        <w:rPr>
          <w:lang w:val="lt-LT"/>
        </w:rPr>
      </w:pPr>
      <w:r w:rsidRPr="00F9703D">
        <w:rPr>
          <w:lang w:val="lt-LT"/>
        </w:rPr>
        <w:t>Beta adrenoblokatorių vartojantys pacientai, kuriems buvo pasireiškusi atopija ar sunki anafilaksinė reakcija į įvairius alergenus, gali stipriau reaguoti į pakartotinį kontaktą su tokiais alergenais ir nereaguoti į įprastas anafilaksinei reakcijai gydyti vartojamas adrenalino dozes.</w:t>
      </w:r>
    </w:p>
    <w:p w14:paraId="23DCA324" w14:textId="77777777" w:rsidR="00D23124" w:rsidRPr="00F9703D" w:rsidRDefault="00D23124" w:rsidP="007A292B">
      <w:pPr>
        <w:pStyle w:val="Betarp"/>
        <w:rPr>
          <w:u w:val="single"/>
          <w:lang w:val="lt-LT"/>
        </w:rPr>
      </w:pPr>
    </w:p>
    <w:p w14:paraId="0CD6CFE2" w14:textId="77777777" w:rsidR="00D23124" w:rsidRPr="00F9703D" w:rsidRDefault="00D23124" w:rsidP="007A292B">
      <w:pPr>
        <w:pStyle w:val="Betarp"/>
        <w:rPr>
          <w:iCs/>
          <w:u w:val="single"/>
          <w:lang w:val="lt-LT"/>
        </w:rPr>
      </w:pPr>
      <w:r w:rsidRPr="00F9703D">
        <w:rPr>
          <w:iCs/>
          <w:u w:val="single"/>
          <w:lang w:val="lt-LT"/>
        </w:rPr>
        <w:t>Anestezija chirurginės operacijos metu</w:t>
      </w:r>
    </w:p>
    <w:p w14:paraId="27F1C52E" w14:textId="69163CCD" w:rsidR="00D23124" w:rsidRPr="00F9703D" w:rsidRDefault="00D23124" w:rsidP="007A292B">
      <w:pPr>
        <w:pStyle w:val="Betarp"/>
        <w:rPr>
          <w:lang w:val="lt-LT"/>
        </w:rPr>
      </w:pPr>
      <w:r w:rsidRPr="00F9703D">
        <w:rPr>
          <w:rFonts w:eastAsia="Times New Roman"/>
          <w:lang w:val="lt-LT"/>
        </w:rPr>
        <w:t>Oftalmologiniai</w:t>
      </w:r>
      <w:r w:rsidRPr="00F9703D">
        <w:rPr>
          <w:lang w:val="lt-LT"/>
        </w:rPr>
        <w:t xml:space="preserve"> beta adrenoblokatorių vaistiniai preparatai gali blokuoti sisteminį beta agonistų, pvz., adrenalino, poveikį. Jei pacientas vartoja timolol</w:t>
      </w:r>
      <w:r w:rsidR="00B01DE5">
        <w:rPr>
          <w:lang w:val="lt-LT"/>
        </w:rPr>
        <w:t>io</w:t>
      </w:r>
      <w:r w:rsidRPr="00F9703D">
        <w:rPr>
          <w:lang w:val="lt-LT"/>
        </w:rPr>
        <w:t>, anesteziologas turi tai žinoti.</w:t>
      </w:r>
    </w:p>
    <w:p w14:paraId="2FAA4632" w14:textId="77777777" w:rsidR="00D23124" w:rsidRPr="00F9703D" w:rsidRDefault="00D23124" w:rsidP="007A292B">
      <w:pPr>
        <w:pStyle w:val="Betarp"/>
        <w:rPr>
          <w:u w:val="single"/>
          <w:lang w:val="lt-LT"/>
        </w:rPr>
      </w:pPr>
    </w:p>
    <w:p w14:paraId="4EA436CA" w14:textId="4A21D2FB" w:rsidR="00D23124" w:rsidRDefault="00D23124" w:rsidP="007A292B">
      <w:pPr>
        <w:pStyle w:val="Betarp"/>
        <w:rPr>
          <w:u w:val="single"/>
          <w:lang w:val="lt-LT"/>
        </w:rPr>
      </w:pPr>
      <w:r w:rsidRPr="00F9703D">
        <w:rPr>
          <w:u w:val="single"/>
          <w:lang w:val="lt-LT"/>
        </w:rPr>
        <w:t>Akių sutrikimai</w:t>
      </w:r>
    </w:p>
    <w:p w14:paraId="14FF5C72" w14:textId="77777777" w:rsidR="00642886" w:rsidRPr="00F9703D" w:rsidRDefault="00642886" w:rsidP="007A292B">
      <w:pPr>
        <w:pStyle w:val="Betarp"/>
        <w:rPr>
          <w:u w:val="single"/>
          <w:lang w:val="lt-LT"/>
        </w:rPr>
      </w:pPr>
    </w:p>
    <w:p w14:paraId="118A8C58" w14:textId="77777777" w:rsidR="00E307FD" w:rsidRPr="00F9703D" w:rsidRDefault="007C68A4" w:rsidP="007A292B">
      <w:pPr>
        <w:pStyle w:val="Betarp"/>
        <w:rPr>
          <w:i/>
          <w:lang w:val="lt-LT"/>
        </w:rPr>
      </w:pPr>
      <w:r w:rsidRPr="00F9703D">
        <w:rPr>
          <w:i/>
          <w:lang w:val="lt-LT"/>
        </w:rPr>
        <w:t>Ragenos ligos</w:t>
      </w:r>
    </w:p>
    <w:p w14:paraId="3F1A6F89" w14:textId="0B36C152" w:rsidR="007C68A4" w:rsidRPr="00F9703D" w:rsidRDefault="00E307FD" w:rsidP="007A292B">
      <w:pPr>
        <w:pStyle w:val="Betarp"/>
        <w:rPr>
          <w:iCs/>
          <w:lang w:val="lt-LT"/>
        </w:rPr>
      </w:pPr>
      <w:r w:rsidRPr="00F9703D">
        <w:rPr>
          <w:iCs/>
          <w:lang w:val="lt-LT"/>
        </w:rPr>
        <w:t>O</w:t>
      </w:r>
      <w:r w:rsidR="007C68A4" w:rsidRPr="00F9703D">
        <w:rPr>
          <w:rFonts w:eastAsia="Times New Roman"/>
          <w:lang w:val="lt-LT"/>
        </w:rPr>
        <w:t>ftalmologiniai</w:t>
      </w:r>
      <w:r w:rsidR="007C68A4" w:rsidRPr="00F9703D">
        <w:rPr>
          <w:lang w:val="lt-LT"/>
        </w:rPr>
        <w:t xml:space="preserve"> beta adrenoblokatoriai gali sukelti akių sausumą. Ragenos ligomis sergančius pacientus būtina gydyti atsargiai.</w:t>
      </w:r>
    </w:p>
    <w:p w14:paraId="7435B308" w14:textId="77777777" w:rsidR="007C68A4" w:rsidRPr="00F9703D" w:rsidRDefault="007C68A4" w:rsidP="007A292B">
      <w:pPr>
        <w:pStyle w:val="Betarp"/>
        <w:rPr>
          <w:u w:val="single"/>
          <w:lang w:val="lt-LT"/>
        </w:rPr>
      </w:pPr>
    </w:p>
    <w:p w14:paraId="4FC59CE9" w14:textId="28DEDD30" w:rsidR="002D63EA" w:rsidRPr="00F9703D" w:rsidRDefault="002D63EA" w:rsidP="007A292B">
      <w:pPr>
        <w:pStyle w:val="Betarp"/>
        <w:rPr>
          <w:i/>
          <w:iCs/>
          <w:lang w:val="lt-LT"/>
        </w:rPr>
      </w:pPr>
      <w:r w:rsidRPr="00F9703D">
        <w:rPr>
          <w:i/>
          <w:iCs/>
          <w:lang w:val="lt-LT"/>
        </w:rPr>
        <w:t>Prostaglandino analogo periorbitopatija (PAP)</w:t>
      </w:r>
      <w:r w:rsidR="008C128D" w:rsidRPr="00F9703D">
        <w:rPr>
          <w:i/>
          <w:iCs/>
          <w:lang w:val="lt-LT"/>
        </w:rPr>
        <w:t xml:space="preserve"> ir pakitusi rainelės pigmentacija</w:t>
      </w:r>
    </w:p>
    <w:p w14:paraId="57073581" w14:textId="2CFD738C" w:rsidR="008C128D" w:rsidRPr="00F9703D" w:rsidRDefault="008C128D" w:rsidP="007A292B">
      <w:pPr>
        <w:pStyle w:val="Betarp"/>
        <w:rPr>
          <w:lang w:val="lt-LT"/>
        </w:rPr>
      </w:pPr>
      <w:r w:rsidRPr="00F9703D">
        <w:rPr>
          <w:lang w:val="lt-LT"/>
        </w:rPr>
        <w:t>Pastebėta, kad vartojant bimatoprosto gali atsirasti prostaglandino analogo periorbitopatija (PAP) ir padidėti rainelės pigmentacija, todėl, prieš pradedant gydyti, pacientus reikia apie tai informuoti.</w:t>
      </w:r>
    </w:p>
    <w:p w14:paraId="5A1FD320" w14:textId="45148833" w:rsidR="002D63EA" w:rsidRPr="00F9703D" w:rsidRDefault="008C128D" w:rsidP="007A292B">
      <w:pPr>
        <w:pStyle w:val="Betarp"/>
        <w:rPr>
          <w:lang w:val="lt-LT"/>
        </w:rPr>
      </w:pPr>
      <w:r w:rsidRPr="00F9703D">
        <w:rPr>
          <w:lang w:val="lt-LT"/>
        </w:rPr>
        <w:t>Kai kurie pokyčiai gali būti ilgalaikiai, todėl gali sukelti regėjimo lauko sumažėjimą ir, gydant tik vieną akį, abi akys gali atrodyti skirtingai (žr. 4.8 skyrių).</w:t>
      </w:r>
    </w:p>
    <w:p w14:paraId="3061D6C5" w14:textId="77777777" w:rsidR="005C3429" w:rsidRPr="00F9703D" w:rsidRDefault="005C3429" w:rsidP="007A292B">
      <w:pPr>
        <w:pStyle w:val="Betarp"/>
        <w:rPr>
          <w:u w:val="single"/>
          <w:lang w:val="lt-LT"/>
        </w:rPr>
      </w:pPr>
    </w:p>
    <w:p w14:paraId="190EE0B3" w14:textId="15278281" w:rsidR="007C68A4" w:rsidRPr="00F9703D" w:rsidRDefault="007C68A4" w:rsidP="007A292B">
      <w:pPr>
        <w:pStyle w:val="Betarp"/>
        <w:rPr>
          <w:i/>
          <w:lang w:val="lt-LT"/>
        </w:rPr>
      </w:pPr>
      <w:r w:rsidRPr="00F9703D">
        <w:rPr>
          <w:i/>
          <w:lang w:val="lt-LT"/>
        </w:rPr>
        <w:t>Gyslainės atšok</w:t>
      </w:r>
      <w:r w:rsidR="00CF1432">
        <w:rPr>
          <w:i/>
          <w:lang w:val="lt-LT"/>
        </w:rPr>
        <w:t>imas</w:t>
      </w:r>
    </w:p>
    <w:p w14:paraId="6ACEFA48" w14:textId="77777777" w:rsidR="007C68A4" w:rsidRPr="00F9703D" w:rsidRDefault="007C68A4" w:rsidP="007A292B">
      <w:pPr>
        <w:pStyle w:val="Betarp"/>
        <w:rPr>
          <w:lang w:val="lt-LT"/>
        </w:rPr>
      </w:pPr>
      <w:r w:rsidRPr="00F9703D">
        <w:rPr>
          <w:lang w:val="lt-LT"/>
        </w:rPr>
        <w:t>Buvo atvejų, kai vartojant akių skysčio susidarymą slopinančių vaistinių preparatų (pvz., timololio, acetazolamido) po filtruojamųjų procedūrų atšoko gyslainė.</w:t>
      </w:r>
    </w:p>
    <w:p w14:paraId="56EA98A5" w14:textId="77777777" w:rsidR="007C68A4" w:rsidRPr="00F9703D" w:rsidRDefault="007C68A4" w:rsidP="007A292B">
      <w:pPr>
        <w:pStyle w:val="Betarp"/>
        <w:rPr>
          <w:u w:val="single"/>
          <w:lang w:val="lt-LT"/>
        </w:rPr>
      </w:pPr>
    </w:p>
    <w:p w14:paraId="7B7EB361" w14:textId="77777777" w:rsidR="00AF225B" w:rsidRPr="00F9703D" w:rsidRDefault="00AF225B" w:rsidP="007A292B">
      <w:pPr>
        <w:pStyle w:val="Betarp"/>
        <w:rPr>
          <w:i/>
          <w:iCs/>
          <w:lang w:val="lt-LT"/>
        </w:rPr>
      </w:pPr>
      <w:r w:rsidRPr="00F9703D">
        <w:rPr>
          <w:i/>
          <w:iCs/>
          <w:lang w:val="lt-LT"/>
        </w:rPr>
        <w:t>Geltonosios dėmės edema</w:t>
      </w:r>
    </w:p>
    <w:p w14:paraId="46B4802E" w14:textId="1EFA799C" w:rsidR="00AF225B" w:rsidRPr="00F9703D" w:rsidRDefault="00AF225B" w:rsidP="007A292B">
      <w:pPr>
        <w:pStyle w:val="Betarp"/>
        <w:rPr>
          <w:lang w:val="lt-LT"/>
        </w:rPr>
      </w:pPr>
      <w:r w:rsidRPr="00F9703D">
        <w:rPr>
          <w:lang w:val="lt-LT"/>
        </w:rPr>
        <w:t>Gauta pranešimų apie geltonosios dėmės edemą, įskaitant cistoidinę geltonosios dėmės edemą, vartojant prostaglandinų analog</w:t>
      </w:r>
      <w:r w:rsidR="00715B80">
        <w:rPr>
          <w:lang w:val="lt-LT"/>
        </w:rPr>
        <w:t>ų</w:t>
      </w:r>
      <w:r w:rsidRPr="00F9703D">
        <w:rPr>
          <w:lang w:val="lt-LT"/>
        </w:rPr>
        <w:t xml:space="preserve">. Todėl </w:t>
      </w:r>
      <w:r w:rsidR="00E90A95">
        <w:rPr>
          <w:lang w:val="lt-LT"/>
        </w:rPr>
        <w:t>Ed</w:t>
      </w:r>
      <w:r w:rsidR="007643D3" w:rsidRPr="007643D3">
        <w:rPr>
          <w:lang w:val="lt-LT"/>
        </w:rPr>
        <w:t>uelym</w:t>
      </w:r>
      <w:r w:rsidRPr="00F9703D">
        <w:rPr>
          <w:lang w:val="lt-LT"/>
        </w:rPr>
        <w:t xml:space="preserve"> reikia atsargiai vartoti pacientams, sergantiems afakija, pseudofakija sergantiems pacientams, kurių užpakalinė lęšiuko kapsulė yra įplyšusi arba pacientams, kuriems </w:t>
      </w:r>
      <w:r w:rsidR="005F2BAE" w:rsidRPr="00F9703D">
        <w:rPr>
          <w:lang w:val="lt-LT"/>
        </w:rPr>
        <w:t xml:space="preserve">yra </w:t>
      </w:r>
      <w:r w:rsidRPr="00F9703D">
        <w:rPr>
          <w:lang w:val="lt-LT"/>
        </w:rPr>
        <w:t>geltonosios dėmės edemos rizik</w:t>
      </w:r>
      <w:r w:rsidR="005F2BAE" w:rsidRPr="00F9703D">
        <w:rPr>
          <w:lang w:val="lt-LT"/>
        </w:rPr>
        <w:t>a</w:t>
      </w:r>
      <w:r w:rsidRPr="00F9703D">
        <w:rPr>
          <w:lang w:val="lt-LT"/>
        </w:rPr>
        <w:t xml:space="preserve"> (pvz., intraokulinė operacija, tinklainės </w:t>
      </w:r>
      <w:r w:rsidR="007C581E">
        <w:rPr>
          <w:lang w:val="lt-LT"/>
        </w:rPr>
        <w:t xml:space="preserve">venų </w:t>
      </w:r>
      <w:r w:rsidR="00377818" w:rsidRPr="009F2441">
        <w:rPr>
          <w:lang w:val="lt-LT"/>
        </w:rPr>
        <w:t>nepraeinamumas</w:t>
      </w:r>
      <w:r w:rsidRPr="00F9703D">
        <w:rPr>
          <w:lang w:val="lt-LT"/>
        </w:rPr>
        <w:t>, akių uždegiminė liga ir diabetinė retinopatija).</w:t>
      </w:r>
    </w:p>
    <w:p w14:paraId="15A64CF0" w14:textId="77777777" w:rsidR="00AF225B" w:rsidRPr="00F9703D" w:rsidRDefault="00AF225B" w:rsidP="007A292B">
      <w:pPr>
        <w:pStyle w:val="Betarp"/>
        <w:rPr>
          <w:lang w:val="lt-LT"/>
        </w:rPr>
      </w:pPr>
    </w:p>
    <w:p w14:paraId="27E26011" w14:textId="7869FFF9" w:rsidR="00AF225B" w:rsidRPr="00F9703D" w:rsidRDefault="00AF225B" w:rsidP="007A292B">
      <w:pPr>
        <w:pStyle w:val="Betarp"/>
        <w:rPr>
          <w:i/>
          <w:iCs/>
          <w:lang w:val="lt-LT"/>
        </w:rPr>
      </w:pPr>
      <w:r w:rsidRPr="00F9703D">
        <w:rPr>
          <w:i/>
          <w:iCs/>
          <w:lang w:val="lt-LT"/>
        </w:rPr>
        <w:t xml:space="preserve">Kitos </w:t>
      </w:r>
      <w:r w:rsidR="005F2BAE" w:rsidRPr="00F9703D">
        <w:rPr>
          <w:i/>
          <w:iCs/>
          <w:lang w:val="lt-LT"/>
        </w:rPr>
        <w:t>būklės</w:t>
      </w:r>
    </w:p>
    <w:p w14:paraId="322F2A23" w14:textId="561CCF81" w:rsidR="00AF225B" w:rsidRPr="00F9703D" w:rsidRDefault="00AF225B" w:rsidP="007A292B">
      <w:pPr>
        <w:pStyle w:val="Betarp"/>
        <w:rPr>
          <w:lang w:val="lt-LT"/>
        </w:rPr>
      </w:pPr>
      <w:r w:rsidRPr="00F9703D">
        <w:rPr>
          <w:lang w:val="lt-LT"/>
        </w:rPr>
        <w:t xml:space="preserve">Prostaglandinų analogai gali sustiprinti uždegimą, todėl pacientams, sergantiems aktyviu akies uždegimu (pvz., uveitu), </w:t>
      </w:r>
      <w:r w:rsidR="00E90A95">
        <w:rPr>
          <w:lang w:val="lt-LT"/>
        </w:rPr>
        <w:t>Ed</w:t>
      </w:r>
      <w:r w:rsidR="007643D3" w:rsidRPr="007643D3">
        <w:rPr>
          <w:lang w:val="lt-LT"/>
        </w:rPr>
        <w:t>uelym</w:t>
      </w:r>
      <w:r w:rsidRPr="00F9703D">
        <w:rPr>
          <w:lang w:val="lt-LT"/>
        </w:rPr>
        <w:t xml:space="preserve"> reikia vartoti atsargiai.</w:t>
      </w:r>
    </w:p>
    <w:p w14:paraId="2C3071E7" w14:textId="77777777" w:rsidR="00B365E8" w:rsidRPr="00F9703D" w:rsidRDefault="00B365E8" w:rsidP="007A292B">
      <w:pPr>
        <w:pStyle w:val="Betarp"/>
        <w:rPr>
          <w:lang w:val="lt-LT"/>
        </w:rPr>
      </w:pPr>
    </w:p>
    <w:p w14:paraId="42F13FB7" w14:textId="2A5159B0" w:rsidR="00B365E8" w:rsidRPr="00F9703D" w:rsidRDefault="00B365E8" w:rsidP="007A292B">
      <w:pPr>
        <w:pStyle w:val="Betarp"/>
        <w:rPr>
          <w:lang w:val="lt-LT"/>
        </w:rPr>
      </w:pPr>
      <w:r w:rsidRPr="00F9703D">
        <w:rPr>
          <w:lang w:val="lt-LT"/>
        </w:rPr>
        <w:t xml:space="preserve">Buvo gauta retų spontaninių pranešimų apie ankstesnių ragenos infiltratų arba akių infekcijų suaktyvėjimą, susijusį su bimatoprosto vartojimu į akis. Pacientai, anksčiau sirgę akių virusinėmis ligomis (pvz., </w:t>
      </w:r>
      <w:r w:rsidRPr="004A1513">
        <w:rPr>
          <w:i/>
          <w:iCs/>
          <w:lang w:val="lt-LT"/>
        </w:rPr>
        <w:t>herpes simplex</w:t>
      </w:r>
      <w:r w:rsidRPr="00F9703D">
        <w:rPr>
          <w:lang w:val="lt-LT"/>
        </w:rPr>
        <w:t xml:space="preserve"> infekcija) arba uveitu / iritu, </w:t>
      </w:r>
      <w:r w:rsidR="00E90A95">
        <w:rPr>
          <w:lang w:val="lt-LT"/>
        </w:rPr>
        <w:t>Ed</w:t>
      </w:r>
      <w:r w:rsidR="007643D3" w:rsidRPr="007643D3">
        <w:rPr>
          <w:lang w:val="lt-LT"/>
        </w:rPr>
        <w:t>uelym</w:t>
      </w:r>
      <w:r w:rsidRPr="00F9703D">
        <w:rPr>
          <w:lang w:val="lt-LT"/>
        </w:rPr>
        <w:t xml:space="preserve"> turi vartoti atsargiai.</w:t>
      </w:r>
    </w:p>
    <w:p w14:paraId="3C262CB1" w14:textId="77777777" w:rsidR="00B365E8" w:rsidRPr="00F9703D" w:rsidRDefault="00B365E8" w:rsidP="007A292B">
      <w:pPr>
        <w:pStyle w:val="Betarp"/>
        <w:rPr>
          <w:lang w:val="lt-LT"/>
        </w:rPr>
      </w:pPr>
    </w:p>
    <w:p w14:paraId="4B7678E0" w14:textId="1F49328E" w:rsidR="00B365E8" w:rsidRPr="00F9703D" w:rsidRDefault="00B365E8" w:rsidP="007A292B">
      <w:pPr>
        <w:pStyle w:val="Betarp"/>
        <w:rPr>
          <w:lang w:val="lt-LT"/>
        </w:rPr>
      </w:pPr>
      <w:r w:rsidRPr="00F9703D">
        <w:rPr>
          <w:lang w:val="lt-LT"/>
        </w:rPr>
        <w:t>Pacientams, sergantiems akies uždegim</w:t>
      </w:r>
      <w:r w:rsidR="00076DE6">
        <w:rPr>
          <w:lang w:val="lt-LT"/>
        </w:rPr>
        <w:t>inėmis ligomis</w:t>
      </w:r>
      <w:r w:rsidRPr="00F9703D">
        <w:rPr>
          <w:lang w:val="lt-LT"/>
        </w:rPr>
        <w:t xml:space="preserve">, neovaskuline, uždegimine, uždarojo kampo glaukoma, įgimtąja glaukoma ar siaurojo kampo glaukoma, </w:t>
      </w:r>
      <w:r w:rsidR="006551ED" w:rsidRPr="00F9703D">
        <w:rPr>
          <w:lang w:val="lt-LT"/>
        </w:rPr>
        <w:t>bimatoprosto/timololio</w:t>
      </w:r>
      <w:r w:rsidRPr="00F9703D">
        <w:rPr>
          <w:lang w:val="lt-LT"/>
        </w:rPr>
        <w:t xml:space="preserve"> </w:t>
      </w:r>
      <w:r w:rsidR="006551ED" w:rsidRPr="00F9703D">
        <w:rPr>
          <w:lang w:val="lt-LT"/>
        </w:rPr>
        <w:t xml:space="preserve">derinio </w:t>
      </w:r>
      <w:r w:rsidRPr="00F9703D">
        <w:rPr>
          <w:lang w:val="lt-LT"/>
        </w:rPr>
        <w:t>poveikis netirtas.</w:t>
      </w:r>
    </w:p>
    <w:p w14:paraId="1B06A637" w14:textId="77777777" w:rsidR="007165EC" w:rsidRPr="00F9703D" w:rsidRDefault="007165EC" w:rsidP="007A292B">
      <w:pPr>
        <w:pStyle w:val="Betarp"/>
        <w:rPr>
          <w:lang w:val="lt-LT"/>
        </w:rPr>
      </w:pPr>
    </w:p>
    <w:p w14:paraId="0C3FCF66" w14:textId="0DEA75E7" w:rsidR="007165EC" w:rsidRPr="00F9703D" w:rsidRDefault="007165EC" w:rsidP="007A292B">
      <w:pPr>
        <w:pStyle w:val="Betarp"/>
        <w:rPr>
          <w:lang w:val="lt-LT"/>
        </w:rPr>
      </w:pPr>
      <w:r w:rsidRPr="00F9703D">
        <w:rPr>
          <w:lang w:val="lt-LT"/>
        </w:rPr>
        <w:t xml:space="preserve">Bimatoprosto tyrimų, kuriuose dalyvavo pacientai, sergantys glaukoma ar akies hipertenzija, metu buvo įrodyta, kad daugiau nei 1 bimatoprosto dozė per dieną gali susilpninti akispūdį mažinantį poveikį. Pacientus, vartojančius </w:t>
      </w:r>
      <w:r w:rsidR="00E90A95">
        <w:rPr>
          <w:lang w:val="lt-LT"/>
        </w:rPr>
        <w:t>Ed</w:t>
      </w:r>
      <w:r w:rsidR="007643D3" w:rsidRPr="007643D3">
        <w:rPr>
          <w:lang w:val="lt-LT"/>
        </w:rPr>
        <w:t>uelym</w:t>
      </w:r>
      <w:r w:rsidRPr="00F9703D">
        <w:rPr>
          <w:lang w:val="lt-LT"/>
        </w:rPr>
        <w:t xml:space="preserve"> su kitais prostaglandinų analogais, reikia stebėti dėl akispūdžio pokyčių.</w:t>
      </w:r>
    </w:p>
    <w:p w14:paraId="212E48A5" w14:textId="77777777" w:rsidR="005611CF" w:rsidRPr="00F9703D" w:rsidRDefault="005611CF" w:rsidP="007A292B">
      <w:pPr>
        <w:pStyle w:val="Betarp"/>
        <w:rPr>
          <w:lang w:val="lt-LT"/>
        </w:rPr>
      </w:pPr>
    </w:p>
    <w:p w14:paraId="2A291783" w14:textId="0D2C24FD" w:rsidR="005611CF" w:rsidRPr="00F9703D" w:rsidRDefault="005611CF" w:rsidP="007A292B">
      <w:pPr>
        <w:pStyle w:val="Betarp"/>
        <w:rPr>
          <w:u w:val="single"/>
          <w:lang w:val="lt-LT"/>
        </w:rPr>
      </w:pPr>
      <w:r w:rsidRPr="00F9703D">
        <w:rPr>
          <w:u w:val="single"/>
          <w:lang w:val="lt-LT"/>
        </w:rPr>
        <w:t>Od</w:t>
      </w:r>
      <w:r w:rsidR="00876C13" w:rsidRPr="00F9703D">
        <w:rPr>
          <w:u w:val="single"/>
          <w:lang w:val="lt-LT"/>
        </w:rPr>
        <w:t>os sutrikimai</w:t>
      </w:r>
    </w:p>
    <w:p w14:paraId="7728529E" w14:textId="56252C07" w:rsidR="005611CF" w:rsidRPr="00F9703D" w:rsidRDefault="005611CF" w:rsidP="007A292B">
      <w:pPr>
        <w:pStyle w:val="Betarp"/>
        <w:rPr>
          <w:lang w:val="lt-LT"/>
        </w:rPr>
      </w:pPr>
      <w:r w:rsidRPr="00F9703D">
        <w:rPr>
          <w:lang w:val="lt-LT"/>
        </w:rPr>
        <w:t xml:space="preserve">Srityse, kur </w:t>
      </w:r>
      <w:r w:rsidR="00876C13" w:rsidRPr="00F9703D">
        <w:rPr>
          <w:lang w:val="lt-LT"/>
        </w:rPr>
        <w:t xml:space="preserve">bimatoprostas </w:t>
      </w:r>
      <w:r w:rsidRPr="00F9703D">
        <w:rPr>
          <w:lang w:val="lt-LT"/>
        </w:rPr>
        <w:t xml:space="preserve">pakartotinai patenka ant odos paviršiaus, gali imti augti plaukai. Todėl svarbu </w:t>
      </w:r>
      <w:r w:rsidR="00E90A95">
        <w:rPr>
          <w:lang w:val="lt-LT"/>
        </w:rPr>
        <w:t>Ed</w:t>
      </w:r>
      <w:r w:rsidR="007643D3" w:rsidRPr="007643D3">
        <w:rPr>
          <w:lang w:val="lt-LT"/>
        </w:rPr>
        <w:t>uelym</w:t>
      </w:r>
      <w:r w:rsidRPr="00F9703D">
        <w:rPr>
          <w:lang w:val="lt-LT"/>
        </w:rPr>
        <w:t xml:space="preserve"> vartoti taip, kaip nurodyta ir vengti nulašėjimo ant skruostų ar kitų odos sričių.</w:t>
      </w:r>
    </w:p>
    <w:p w14:paraId="1ECB7945" w14:textId="77777777" w:rsidR="00F366D5" w:rsidRPr="00F9703D" w:rsidRDefault="00F366D5" w:rsidP="007A292B">
      <w:pPr>
        <w:pStyle w:val="Betarp"/>
        <w:rPr>
          <w:b/>
          <w:lang w:val="lt-LT"/>
        </w:rPr>
      </w:pPr>
    </w:p>
    <w:p w14:paraId="765814F3" w14:textId="77777777" w:rsidR="007C68A4" w:rsidRPr="00F9703D" w:rsidRDefault="007C68A4" w:rsidP="007A292B">
      <w:pPr>
        <w:pStyle w:val="Betarp"/>
        <w:rPr>
          <w:b/>
          <w:lang w:val="lt-LT"/>
        </w:rPr>
      </w:pPr>
      <w:bookmarkStart w:id="18" w:name="_Toc129243106"/>
      <w:bookmarkStart w:id="19" w:name="_Toc129243231"/>
      <w:r w:rsidRPr="00F9703D">
        <w:rPr>
          <w:b/>
          <w:lang w:val="lt-LT"/>
        </w:rPr>
        <w:t>4.5</w:t>
      </w:r>
      <w:r w:rsidRPr="00F9703D">
        <w:rPr>
          <w:b/>
          <w:lang w:val="lt-LT"/>
        </w:rPr>
        <w:tab/>
        <w:t>Sąveika su kitais vaistiniais preparatais ir kitokia sąveika</w:t>
      </w:r>
      <w:bookmarkEnd w:id="18"/>
      <w:bookmarkEnd w:id="19"/>
    </w:p>
    <w:p w14:paraId="2C28A411" w14:textId="77777777" w:rsidR="007C68A4" w:rsidRPr="00F9703D" w:rsidRDefault="007C68A4" w:rsidP="007A292B">
      <w:pPr>
        <w:pStyle w:val="Betarp"/>
        <w:rPr>
          <w:lang w:val="lt-LT"/>
        </w:rPr>
      </w:pPr>
    </w:p>
    <w:p w14:paraId="2BC588A7" w14:textId="28108187" w:rsidR="007C68A4" w:rsidRPr="00F9703D" w:rsidRDefault="007C68A4" w:rsidP="007A292B">
      <w:pPr>
        <w:pStyle w:val="Betarp"/>
        <w:rPr>
          <w:lang w:val="lt-LT"/>
        </w:rPr>
      </w:pPr>
      <w:r w:rsidRPr="00F9703D">
        <w:rPr>
          <w:lang w:val="lt-LT"/>
        </w:rPr>
        <w:t xml:space="preserve">Specifinių </w:t>
      </w:r>
      <w:r w:rsidR="00E90A95">
        <w:rPr>
          <w:lang w:val="lt-LT"/>
        </w:rPr>
        <w:t>Ed</w:t>
      </w:r>
      <w:r w:rsidR="007643D3" w:rsidRPr="007643D3">
        <w:rPr>
          <w:lang w:val="lt-LT"/>
        </w:rPr>
        <w:t>uelym</w:t>
      </w:r>
      <w:r w:rsidRPr="00F9703D">
        <w:rPr>
          <w:lang w:val="lt-LT"/>
        </w:rPr>
        <w:t xml:space="preserve"> ir kitų vaistinių preparatų sąveikos tyrimų neatlikta.</w:t>
      </w:r>
      <w:r w:rsidR="00C52B83" w:rsidRPr="00F9703D">
        <w:rPr>
          <w:lang w:val="lt-LT"/>
        </w:rPr>
        <w:t xml:space="preserve"> Kadangi </w:t>
      </w:r>
      <w:r w:rsidR="00E90A95">
        <w:rPr>
          <w:lang w:val="lt-LT"/>
        </w:rPr>
        <w:t>Ed</w:t>
      </w:r>
      <w:r w:rsidR="007643D3" w:rsidRPr="007643D3">
        <w:rPr>
          <w:lang w:val="lt-LT"/>
        </w:rPr>
        <w:t>uelym</w:t>
      </w:r>
      <w:r w:rsidR="00C52B83" w:rsidRPr="00F9703D">
        <w:rPr>
          <w:lang w:val="lt-LT"/>
        </w:rPr>
        <w:t xml:space="preserve"> sudėtyje yra bimatoprosto ir timololio, vartojant </w:t>
      </w:r>
      <w:r w:rsidR="00E90A95">
        <w:rPr>
          <w:lang w:val="lt-LT"/>
        </w:rPr>
        <w:t>Ed</w:t>
      </w:r>
      <w:r w:rsidR="007643D3" w:rsidRPr="007643D3">
        <w:rPr>
          <w:lang w:val="lt-LT"/>
        </w:rPr>
        <w:t>uelym</w:t>
      </w:r>
      <w:r w:rsidR="00C52B83" w:rsidRPr="00F9703D">
        <w:rPr>
          <w:lang w:val="lt-LT"/>
        </w:rPr>
        <w:t xml:space="preserve"> gali pasireikšti bet kokia sąveika, kuri buvo nustatyta su šiais preparatais atskirai.</w:t>
      </w:r>
    </w:p>
    <w:p w14:paraId="2C713A6B" w14:textId="77777777" w:rsidR="00C52B83" w:rsidRDefault="00C52B83" w:rsidP="007A292B">
      <w:pPr>
        <w:pStyle w:val="Betarp"/>
        <w:rPr>
          <w:lang w:val="lt-LT"/>
        </w:rPr>
      </w:pPr>
    </w:p>
    <w:p w14:paraId="7990AE72" w14:textId="61E14E9A" w:rsidR="00085030" w:rsidRPr="00323E7F" w:rsidRDefault="00085030" w:rsidP="007A292B">
      <w:pPr>
        <w:pStyle w:val="Betarp"/>
        <w:rPr>
          <w:i/>
          <w:iCs/>
          <w:lang w:val="lt-LT"/>
        </w:rPr>
      </w:pPr>
      <w:r>
        <w:rPr>
          <w:i/>
          <w:iCs/>
          <w:lang w:val="lt-LT"/>
        </w:rPr>
        <w:t>Bimatoprostas</w:t>
      </w:r>
    </w:p>
    <w:p w14:paraId="01079181" w14:textId="6BDFEE44" w:rsidR="00C52B83" w:rsidRPr="00F9703D" w:rsidRDefault="00C52B83" w:rsidP="007A292B">
      <w:pPr>
        <w:pStyle w:val="Betarp"/>
        <w:rPr>
          <w:lang w:val="lt-LT"/>
        </w:rPr>
      </w:pPr>
      <w:r w:rsidRPr="00F9703D">
        <w:rPr>
          <w:lang w:val="lt-LT"/>
        </w:rPr>
        <w:t>Žmogaus organizme jokios bimatoprosto sąveikos neturėtų būti, nes sisteminė bimatoprosto koncentracija po 0,1</w:t>
      </w:r>
      <w:r w:rsidR="00595701">
        <w:rPr>
          <w:lang w:val="lt-LT"/>
        </w:rPr>
        <w:t> </w:t>
      </w:r>
      <w:r w:rsidRPr="00F9703D">
        <w:rPr>
          <w:lang w:val="lt-LT"/>
        </w:rPr>
        <w:t>mg/g bimatoprosto vartojimo į akis yra itin maža (mažesnė kaip 0,1</w:t>
      </w:r>
      <w:r w:rsidR="00E21250">
        <w:rPr>
          <w:lang w:val="lt-LT"/>
        </w:rPr>
        <w:t> </w:t>
      </w:r>
      <w:r w:rsidRPr="00F9703D">
        <w:rPr>
          <w:lang w:val="lt-LT"/>
        </w:rPr>
        <w:t>ng/ml).</w:t>
      </w:r>
    </w:p>
    <w:p w14:paraId="5418486E" w14:textId="77777777" w:rsidR="007C68A4" w:rsidRPr="00F9703D" w:rsidRDefault="007C68A4" w:rsidP="007A292B">
      <w:pPr>
        <w:pStyle w:val="Betarp"/>
        <w:rPr>
          <w:lang w:val="lt-LT"/>
        </w:rPr>
      </w:pPr>
    </w:p>
    <w:p w14:paraId="6FDDEE1B" w14:textId="08C497EC" w:rsidR="00C52B83" w:rsidRPr="00F9703D" w:rsidRDefault="00C52B83" w:rsidP="007A292B">
      <w:pPr>
        <w:pStyle w:val="Betarp"/>
        <w:rPr>
          <w:lang w:val="lt-LT"/>
        </w:rPr>
      </w:pPr>
      <w:r w:rsidRPr="00F9703D">
        <w:rPr>
          <w:lang w:val="lt-LT"/>
        </w:rPr>
        <w:t>Bimatoprostą keliais būdais biotransformuoja keletas fermentų (žr. 5.2 skyrių), o ikiklinikinių tyrimų metu nepastebėta jokio poveikio vaist</w:t>
      </w:r>
      <w:r w:rsidR="00E21250">
        <w:rPr>
          <w:lang w:val="lt-LT"/>
        </w:rPr>
        <w:t>inius preparatus</w:t>
      </w:r>
      <w:r w:rsidRPr="00F9703D">
        <w:rPr>
          <w:lang w:val="lt-LT"/>
        </w:rPr>
        <w:t xml:space="preserve"> metabolizuojantiems kepenų fermentams.</w:t>
      </w:r>
    </w:p>
    <w:p w14:paraId="5482CB14" w14:textId="77777777" w:rsidR="00C52B83" w:rsidRPr="00F9703D" w:rsidRDefault="00C52B83" w:rsidP="007A292B">
      <w:pPr>
        <w:pStyle w:val="Betarp"/>
        <w:rPr>
          <w:lang w:val="lt-LT"/>
        </w:rPr>
      </w:pPr>
    </w:p>
    <w:p w14:paraId="131F40B6" w14:textId="678071A2" w:rsidR="00C52B83" w:rsidRPr="00F9703D" w:rsidRDefault="00C52B83" w:rsidP="007A292B">
      <w:pPr>
        <w:pStyle w:val="Betarp"/>
        <w:rPr>
          <w:lang w:val="lt-LT"/>
        </w:rPr>
      </w:pPr>
      <w:r w:rsidRPr="00F9703D">
        <w:rPr>
          <w:lang w:val="lt-LT"/>
        </w:rPr>
        <w:t>Papildomo glaukomos gydymo metu bimatoprosto vartojimas kartu su vaistiniais preparatais nuo glaukomos, kitokiais negu vietiniai beta adrenoblokatoriai, nebuvo ištirtas.</w:t>
      </w:r>
    </w:p>
    <w:p w14:paraId="0A2BA416" w14:textId="77777777" w:rsidR="00FA7E20" w:rsidRPr="00F9703D" w:rsidRDefault="00FA7E20" w:rsidP="007A292B">
      <w:pPr>
        <w:pStyle w:val="Betarp"/>
        <w:rPr>
          <w:lang w:val="lt-LT"/>
        </w:rPr>
      </w:pPr>
    </w:p>
    <w:p w14:paraId="2386FBF4" w14:textId="27EB0CD5" w:rsidR="00C52B83" w:rsidRPr="00F9703D" w:rsidRDefault="00FA7E20" w:rsidP="007A292B">
      <w:pPr>
        <w:pStyle w:val="Betarp"/>
        <w:rPr>
          <w:lang w:val="lt-LT"/>
        </w:rPr>
      </w:pPr>
      <w:r w:rsidRPr="00F9703D">
        <w:rPr>
          <w:lang w:val="lt-LT"/>
        </w:rPr>
        <w:t>Glaukoma arba akies hipertenzija sergantiems pacientams, vartojantiems prostaglandinų analogų (pvz., bimatoprosto), akispūdį mažinantis poveikis gali susilpnėti, jei šių preparatų vartojama kartu su kitais prostaglandinų analogais (žr. 4.4 skyrių).</w:t>
      </w:r>
    </w:p>
    <w:p w14:paraId="6DF76CF3" w14:textId="77777777" w:rsidR="00FA7E20" w:rsidRPr="00F9703D" w:rsidRDefault="00FA7E20" w:rsidP="007A292B">
      <w:pPr>
        <w:pStyle w:val="Betarp"/>
        <w:rPr>
          <w:lang w:val="lt-LT"/>
        </w:rPr>
      </w:pPr>
    </w:p>
    <w:p w14:paraId="687B06AB" w14:textId="710FADEF" w:rsidR="00FA7E20" w:rsidRPr="00F9703D" w:rsidRDefault="00FA7E20" w:rsidP="007A292B">
      <w:pPr>
        <w:pStyle w:val="Betarp"/>
        <w:rPr>
          <w:i/>
          <w:iCs/>
          <w:lang w:val="lt-LT"/>
        </w:rPr>
      </w:pPr>
      <w:r w:rsidRPr="00F9703D">
        <w:rPr>
          <w:i/>
          <w:iCs/>
          <w:lang w:val="lt-LT"/>
        </w:rPr>
        <w:t>Timololis</w:t>
      </w:r>
    </w:p>
    <w:p w14:paraId="09B7949E" w14:textId="67A115AE" w:rsidR="00FA7E20" w:rsidRPr="00F9703D" w:rsidRDefault="00FA7E20" w:rsidP="007A292B">
      <w:pPr>
        <w:pStyle w:val="Betarp"/>
        <w:rPr>
          <w:lang w:val="lt-LT"/>
        </w:rPr>
      </w:pPr>
      <w:r w:rsidRPr="00F9703D">
        <w:rPr>
          <w:lang w:val="lt-LT"/>
        </w:rPr>
        <w:t>Oftalmologinių beta adrenoblokatorių tirpalų vartojant kartu su geriamaisiais kalcio kanalų blokatoriais, beta adrenoreceptorių blokatoriais, antiaritminiais vaistiniais preparatais (įskaitant amjodaroną), širdį veikiančiais glikozidais, parasimpatikomimetikais ar guanetidinu, gali pasireikšti adityvus poveikis, sukeliantis hipotenziją ir (arba) išreikštą bradikardija.</w:t>
      </w:r>
    </w:p>
    <w:p w14:paraId="6F3C40BD" w14:textId="77777777" w:rsidR="00FA7E20" w:rsidRPr="00F9703D" w:rsidRDefault="00FA7E20" w:rsidP="007A292B">
      <w:pPr>
        <w:pStyle w:val="Betarp"/>
        <w:rPr>
          <w:lang w:val="lt-LT"/>
        </w:rPr>
      </w:pPr>
    </w:p>
    <w:p w14:paraId="261BD636" w14:textId="09475C6A" w:rsidR="0064062F" w:rsidRPr="00F9703D" w:rsidRDefault="0064062F" w:rsidP="007A292B">
      <w:pPr>
        <w:pStyle w:val="Betarp"/>
        <w:rPr>
          <w:lang w:val="lt-LT"/>
        </w:rPr>
      </w:pPr>
      <w:r w:rsidRPr="00F9703D">
        <w:rPr>
          <w:lang w:val="lt-LT"/>
        </w:rPr>
        <w:t>Gauta pranešimų apie ryškią sisteminę beta adrenoreceptorių blokadą (pvz., širdies plakimo suretėjimą, depresiją), kai timololio buvo vartojama kartu su CYP2D6 inhibitoriais (pvz., chinidinu, fluoksetinu, paroksetinu).</w:t>
      </w:r>
    </w:p>
    <w:p w14:paraId="7E078F3A" w14:textId="77777777" w:rsidR="0064062F" w:rsidRPr="00F9703D" w:rsidRDefault="0064062F" w:rsidP="007A292B">
      <w:pPr>
        <w:pStyle w:val="Betarp"/>
        <w:rPr>
          <w:lang w:val="lt-LT"/>
        </w:rPr>
      </w:pPr>
    </w:p>
    <w:p w14:paraId="606E0975" w14:textId="07FA36A0" w:rsidR="0064062F" w:rsidRDefault="0064062F" w:rsidP="007A292B">
      <w:pPr>
        <w:pStyle w:val="Betarp"/>
        <w:rPr>
          <w:lang w:val="lt-LT"/>
        </w:rPr>
      </w:pPr>
      <w:r w:rsidRPr="00F9703D">
        <w:rPr>
          <w:lang w:val="lt-LT"/>
        </w:rPr>
        <w:t xml:space="preserve">Buvo pavienių pranešimų apie midriazę, kartu vartojant </w:t>
      </w:r>
      <w:r w:rsidR="000C4E35" w:rsidRPr="00F9703D">
        <w:rPr>
          <w:lang w:val="lt-LT"/>
        </w:rPr>
        <w:t xml:space="preserve">oftalmologinių </w:t>
      </w:r>
      <w:r w:rsidRPr="00F9703D">
        <w:rPr>
          <w:lang w:val="lt-LT"/>
        </w:rPr>
        <w:t>beta adrenoblokatori</w:t>
      </w:r>
      <w:r w:rsidR="000C4E35" w:rsidRPr="00F9703D">
        <w:rPr>
          <w:lang w:val="lt-LT"/>
        </w:rPr>
        <w:t>ų</w:t>
      </w:r>
      <w:r w:rsidRPr="00F9703D">
        <w:rPr>
          <w:lang w:val="lt-LT"/>
        </w:rPr>
        <w:t xml:space="preserve"> ir adrenalin</w:t>
      </w:r>
      <w:r w:rsidR="000C4E35" w:rsidRPr="00F9703D">
        <w:rPr>
          <w:lang w:val="lt-LT"/>
        </w:rPr>
        <w:t>o</w:t>
      </w:r>
      <w:r w:rsidRPr="00F9703D">
        <w:rPr>
          <w:lang w:val="lt-LT"/>
        </w:rPr>
        <w:t xml:space="preserve"> (epinefrin</w:t>
      </w:r>
      <w:r w:rsidR="000C4E35" w:rsidRPr="00F9703D">
        <w:rPr>
          <w:lang w:val="lt-LT"/>
        </w:rPr>
        <w:t>o</w:t>
      </w:r>
      <w:r w:rsidRPr="00F9703D">
        <w:rPr>
          <w:lang w:val="lt-LT"/>
        </w:rPr>
        <w:t>).</w:t>
      </w:r>
    </w:p>
    <w:p w14:paraId="4717A74A" w14:textId="77777777" w:rsidR="00875CDB" w:rsidRDefault="00875CDB" w:rsidP="007A292B">
      <w:pPr>
        <w:pStyle w:val="Betarp"/>
        <w:rPr>
          <w:lang w:val="lt-LT"/>
        </w:rPr>
      </w:pPr>
    </w:p>
    <w:p w14:paraId="00777687" w14:textId="7904FDE4" w:rsidR="00875CDB" w:rsidRPr="00F9703D" w:rsidRDefault="00875CDB" w:rsidP="007A292B">
      <w:pPr>
        <w:pStyle w:val="Betarp"/>
        <w:rPr>
          <w:lang w:val="lt-LT"/>
        </w:rPr>
      </w:pPr>
      <w:r w:rsidRPr="00875CDB">
        <w:rPr>
          <w:lang w:val="lt-LT"/>
        </w:rPr>
        <w:t>Beta adrenoblokatoriai gali sustiprinti hipoglikeminį vaist</w:t>
      </w:r>
      <w:r w:rsidR="007B4505">
        <w:rPr>
          <w:lang w:val="lt-LT"/>
        </w:rPr>
        <w:t>inių preparatų</w:t>
      </w:r>
      <w:r w:rsidRPr="00875CDB">
        <w:rPr>
          <w:lang w:val="lt-LT"/>
        </w:rPr>
        <w:t xml:space="preserve"> nuo </w:t>
      </w:r>
      <w:r w:rsidR="009D62F8">
        <w:rPr>
          <w:lang w:val="lt-LT"/>
        </w:rPr>
        <w:t xml:space="preserve">cukrinio </w:t>
      </w:r>
      <w:r w:rsidRPr="00875CDB">
        <w:rPr>
          <w:lang w:val="lt-LT"/>
        </w:rPr>
        <w:t>diabeto poveikį. Beta adrenoblokatoriai gali maskuoti hipoglikemijos požymius ir simptomus (žr. 4.4 skyrių).</w:t>
      </w:r>
    </w:p>
    <w:p w14:paraId="18F95830" w14:textId="77777777" w:rsidR="00FA7E20" w:rsidRPr="00F9703D" w:rsidRDefault="00FA7E20" w:rsidP="007A292B">
      <w:pPr>
        <w:pStyle w:val="Betarp"/>
        <w:rPr>
          <w:lang w:val="lt-LT"/>
        </w:rPr>
      </w:pPr>
    </w:p>
    <w:p w14:paraId="429F9507" w14:textId="77777777" w:rsidR="007C68A4" w:rsidRPr="00F9703D" w:rsidRDefault="007C68A4" w:rsidP="007A292B">
      <w:pPr>
        <w:pStyle w:val="Betarp"/>
        <w:keepNext/>
        <w:rPr>
          <w:b/>
          <w:lang w:val="lt-LT"/>
        </w:rPr>
      </w:pPr>
      <w:bookmarkStart w:id="20" w:name="_Toc129243107"/>
      <w:bookmarkStart w:id="21" w:name="_Toc129243232"/>
      <w:r w:rsidRPr="00F9703D">
        <w:rPr>
          <w:b/>
          <w:lang w:val="lt-LT"/>
        </w:rPr>
        <w:t>4.6</w:t>
      </w:r>
      <w:r w:rsidRPr="00F9703D">
        <w:rPr>
          <w:b/>
          <w:lang w:val="lt-LT"/>
        </w:rPr>
        <w:tab/>
        <w:t>Vaisingumas, nėštumo ir žindymo laikotarpis</w:t>
      </w:r>
      <w:bookmarkEnd w:id="20"/>
      <w:bookmarkEnd w:id="21"/>
    </w:p>
    <w:p w14:paraId="7F250B0D" w14:textId="77777777" w:rsidR="007C68A4" w:rsidRPr="00F9703D" w:rsidRDefault="007C68A4" w:rsidP="007A292B">
      <w:pPr>
        <w:pStyle w:val="Betarp"/>
        <w:keepNext/>
        <w:rPr>
          <w:u w:val="single"/>
          <w:lang w:val="lt-LT"/>
        </w:rPr>
      </w:pPr>
    </w:p>
    <w:p w14:paraId="53D766AD" w14:textId="11E978CD" w:rsidR="007C68A4" w:rsidRPr="00F9703D" w:rsidRDefault="007C68A4" w:rsidP="007A292B">
      <w:pPr>
        <w:pStyle w:val="Betarp"/>
        <w:keepNext/>
        <w:rPr>
          <w:i/>
          <w:lang w:val="lt-LT"/>
        </w:rPr>
      </w:pPr>
      <w:r w:rsidRPr="00F9703D">
        <w:rPr>
          <w:u w:val="single"/>
          <w:lang w:val="lt-LT"/>
        </w:rPr>
        <w:t>Nėštumas</w:t>
      </w:r>
    </w:p>
    <w:p w14:paraId="57624E26" w14:textId="1C45EC31" w:rsidR="00C718AF" w:rsidRPr="00F9703D" w:rsidRDefault="00C718AF" w:rsidP="007A292B">
      <w:pPr>
        <w:pStyle w:val="Betarp"/>
        <w:keepNext/>
        <w:rPr>
          <w:iCs/>
          <w:lang w:val="lt-LT"/>
        </w:rPr>
      </w:pPr>
      <w:r w:rsidRPr="00F9703D">
        <w:rPr>
          <w:iCs/>
          <w:lang w:val="lt-LT"/>
        </w:rPr>
        <w:t xml:space="preserve">Nėra pakankamai duomenų apie bimatoprosto/timololio derinio vartojimą nėščioms moterims. </w:t>
      </w:r>
      <w:r w:rsidR="00E90A95">
        <w:rPr>
          <w:iCs/>
          <w:lang w:val="lt-LT"/>
        </w:rPr>
        <w:t>Ed</w:t>
      </w:r>
      <w:r w:rsidR="007643D3" w:rsidRPr="007643D3">
        <w:rPr>
          <w:iCs/>
          <w:lang w:val="lt-LT"/>
        </w:rPr>
        <w:t>uelym</w:t>
      </w:r>
      <w:r w:rsidRPr="00F9703D">
        <w:rPr>
          <w:iCs/>
          <w:lang w:val="lt-LT"/>
        </w:rPr>
        <w:t xml:space="preserve"> nėštumo metu vartoti negalima, išskyrus neabejotinai būtinus atvejus. Kaip sumažinti sisteminę absorbciją, žr. 4.2 skyrių.</w:t>
      </w:r>
    </w:p>
    <w:p w14:paraId="43ED8B5A" w14:textId="77777777" w:rsidR="00C718AF" w:rsidRPr="00F9703D" w:rsidRDefault="00C718AF" w:rsidP="007A292B">
      <w:pPr>
        <w:pStyle w:val="Betarp"/>
        <w:keepNext/>
        <w:rPr>
          <w:iCs/>
          <w:lang w:val="lt-LT"/>
        </w:rPr>
      </w:pPr>
    </w:p>
    <w:p w14:paraId="0ED416E9" w14:textId="7897E90F" w:rsidR="00C718AF" w:rsidRPr="00F9703D" w:rsidRDefault="00C718AF" w:rsidP="007A292B">
      <w:pPr>
        <w:pStyle w:val="Betarp"/>
        <w:keepNext/>
        <w:rPr>
          <w:i/>
          <w:lang w:val="lt-LT"/>
        </w:rPr>
      </w:pPr>
      <w:r w:rsidRPr="00F9703D">
        <w:rPr>
          <w:i/>
          <w:lang w:val="lt-LT"/>
        </w:rPr>
        <w:t>Bimatoprostas</w:t>
      </w:r>
    </w:p>
    <w:p w14:paraId="47AE8DE6" w14:textId="12F63FCD" w:rsidR="00C718AF" w:rsidRPr="00F9703D" w:rsidRDefault="00C718AF" w:rsidP="007A292B">
      <w:pPr>
        <w:pStyle w:val="Betarp"/>
        <w:keepNext/>
        <w:rPr>
          <w:iCs/>
          <w:lang w:val="lt-LT"/>
        </w:rPr>
      </w:pPr>
      <w:r w:rsidRPr="00F9703D">
        <w:rPr>
          <w:iCs/>
          <w:lang w:val="lt-LT"/>
        </w:rPr>
        <w:t xml:space="preserve">Duomenų apie bimatoprosto vartojimą nėščioms moterims nėra arba jų </w:t>
      </w:r>
      <w:r w:rsidR="00AC003C">
        <w:rPr>
          <w:iCs/>
          <w:lang w:val="lt-LT"/>
        </w:rPr>
        <w:t>nepakanka</w:t>
      </w:r>
      <w:r w:rsidRPr="00F9703D">
        <w:rPr>
          <w:iCs/>
          <w:lang w:val="lt-LT"/>
        </w:rPr>
        <w:t xml:space="preserve">. </w:t>
      </w:r>
      <w:r w:rsidR="00AC003C">
        <w:rPr>
          <w:iCs/>
          <w:lang w:val="lt-LT"/>
        </w:rPr>
        <w:t>Su gyvūnais atlikti t</w:t>
      </w:r>
      <w:r w:rsidRPr="00F9703D">
        <w:rPr>
          <w:iCs/>
          <w:lang w:val="lt-LT"/>
        </w:rPr>
        <w:t xml:space="preserve">yrimai </w:t>
      </w:r>
      <w:r w:rsidR="00E241D3" w:rsidRPr="00F9703D">
        <w:rPr>
          <w:iCs/>
          <w:lang w:val="lt-LT"/>
        </w:rPr>
        <w:t>parodė toksinį poveikį reprodukcijai</w:t>
      </w:r>
      <w:r w:rsidR="00AC3ABA">
        <w:rPr>
          <w:iCs/>
          <w:lang w:val="lt-LT"/>
        </w:rPr>
        <w:t>,</w:t>
      </w:r>
      <w:r w:rsidR="00A0665D" w:rsidRPr="00F9703D">
        <w:rPr>
          <w:iCs/>
          <w:lang w:val="lt-LT"/>
        </w:rPr>
        <w:t xml:space="preserve"> </w:t>
      </w:r>
      <w:r w:rsidR="00AC3ABA">
        <w:rPr>
          <w:iCs/>
          <w:lang w:val="lt-LT"/>
        </w:rPr>
        <w:t>skiriant</w:t>
      </w:r>
      <w:r w:rsidR="00A0665D" w:rsidRPr="00F9703D">
        <w:rPr>
          <w:iCs/>
          <w:lang w:val="lt-LT"/>
        </w:rPr>
        <w:t xml:space="preserve"> žymiai didesnes nei vartojamos klinikinėje praktikoje, patelei toksiškas</w:t>
      </w:r>
      <w:r w:rsidR="005F1AF1">
        <w:rPr>
          <w:iCs/>
          <w:lang w:val="lt-LT"/>
        </w:rPr>
        <w:t>,</w:t>
      </w:r>
      <w:r w:rsidR="00A0665D" w:rsidRPr="00F9703D">
        <w:rPr>
          <w:iCs/>
          <w:lang w:val="lt-LT"/>
        </w:rPr>
        <w:t xml:space="preserve"> dozes </w:t>
      </w:r>
      <w:r w:rsidRPr="00F9703D">
        <w:rPr>
          <w:iCs/>
          <w:lang w:val="lt-LT"/>
        </w:rPr>
        <w:t>(žr. 5.3 skyrių).</w:t>
      </w:r>
    </w:p>
    <w:p w14:paraId="226AC33B" w14:textId="77777777" w:rsidR="00345F83" w:rsidRDefault="00345F83" w:rsidP="007A292B">
      <w:pPr>
        <w:pStyle w:val="Betarp"/>
        <w:rPr>
          <w:i/>
          <w:lang w:val="lt-LT"/>
        </w:rPr>
      </w:pPr>
    </w:p>
    <w:p w14:paraId="098AE15A" w14:textId="1B9E4932" w:rsidR="007C68A4" w:rsidRPr="00F9703D" w:rsidRDefault="007C68A4" w:rsidP="007A292B">
      <w:pPr>
        <w:pStyle w:val="Betarp"/>
        <w:rPr>
          <w:i/>
          <w:lang w:val="lt-LT"/>
        </w:rPr>
      </w:pPr>
      <w:r w:rsidRPr="00F9703D">
        <w:rPr>
          <w:i/>
          <w:lang w:val="lt-LT"/>
        </w:rPr>
        <w:t>Timololis</w:t>
      </w:r>
    </w:p>
    <w:p w14:paraId="3EA76295" w14:textId="1E37A07E" w:rsidR="007C68A4" w:rsidRPr="00F9703D" w:rsidRDefault="007C68A4" w:rsidP="007A292B">
      <w:pPr>
        <w:pStyle w:val="Betarp"/>
        <w:rPr>
          <w:lang w:val="lt-LT"/>
        </w:rPr>
      </w:pPr>
      <w:r w:rsidRPr="00F9703D">
        <w:rPr>
          <w:lang w:val="lt-LT"/>
        </w:rPr>
        <w:t xml:space="preserve">Epidemiologinių tyrimų metu duomenų apie apsigimimus sukeliantį poveikį negauta, tačiau nustatyta su geriamųjų beta adrenoblokatorių vartojimu susijusi augimo gimdoje sulėtėjimo rizika. Be to, moterų, kurios iki gimdymo vartojo beta adrenoblokatorių, naujagimiams atsirado beta receptorių blokados požymių ir simptomų (pvz., bradikardija, hipotenzija, kvėpavimo sutrikimas ir hipoglikemija). Jei </w:t>
      </w:r>
      <w:r w:rsidR="00E90A95">
        <w:rPr>
          <w:lang w:val="lt-LT"/>
        </w:rPr>
        <w:t>Ed</w:t>
      </w:r>
      <w:r w:rsidR="007643D3" w:rsidRPr="007643D3">
        <w:rPr>
          <w:lang w:val="lt-LT"/>
        </w:rPr>
        <w:t>uelym</w:t>
      </w:r>
      <w:r w:rsidR="00446B1A" w:rsidRPr="00F9703D">
        <w:rPr>
          <w:noProof/>
          <w:lang w:val="lt-LT"/>
        </w:rPr>
        <w:t xml:space="preserve"> </w:t>
      </w:r>
      <w:r w:rsidRPr="00F9703D">
        <w:rPr>
          <w:lang w:val="lt-LT"/>
        </w:rPr>
        <w:t>vartojama iki gimdymo, naujagimį pirmosiomis gyvenimo dienomis būtina atidžiai stebėti</w:t>
      </w:r>
      <w:r w:rsidR="00E96FFC">
        <w:rPr>
          <w:lang w:val="lt-LT"/>
        </w:rPr>
        <w:t>. S</w:t>
      </w:r>
      <w:r w:rsidR="00446B1A" w:rsidRPr="00F9703D">
        <w:rPr>
          <w:lang w:val="lt-LT"/>
        </w:rPr>
        <w:t xml:space="preserve">u gyvūnais </w:t>
      </w:r>
      <w:r w:rsidR="00E96FFC">
        <w:rPr>
          <w:lang w:val="lt-LT"/>
        </w:rPr>
        <w:t xml:space="preserve">atlikti tyrimai </w:t>
      </w:r>
      <w:r w:rsidR="00446B1A" w:rsidRPr="00F9703D">
        <w:rPr>
          <w:lang w:val="lt-LT"/>
        </w:rPr>
        <w:t xml:space="preserve">parodė toksinį poveikį reprodukcijai </w:t>
      </w:r>
      <w:r w:rsidR="005F1AF1">
        <w:rPr>
          <w:lang w:val="lt-LT"/>
        </w:rPr>
        <w:t>skiriant</w:t>
      </w:r>
      <w:r w:rsidR="005F1AF1" w:rsidRPr="00F9703D">
        <w:rPr>
          <w:lang w:val="lt-LT"/>
        </w:rPr>
        <w:t xml:space="preserve"> </w:t>
      </w:r>
      <w:r w:rsidR="00446B1A" w:rsidRPr="00F9703D">
        <w:rPr>
          <w:lang w:val="lt-LT"/>
        </w:rPr>
        <w:t>žymiai didesnes dozes nei vartojamos klinikinėje praktikoje (žr. 5.3 skyrių).</w:t>
      </w:r>
    </w:p>
    <w:p w14:paraId="32364722" w14:textId="77777777" w:rsidR="007C68A4" w:rsidRPr="00F9703D" w:rsidRDefault="007C68A4" w:rsidP="007A292B">
      <w:pPr>
        <w:pStyle w:val="Betarp"/>
        <w:rPr>
          <w:u w:val="single"/>
          <w:lang w:val="lt-LT"/>
        </w:rPr>
      </w:pPr>
    </w:p>
    <w:p w14:paraId="6753A789" w14:textId="77777777" w:rsidR="007C68A4" w:rsidRPr="00F9703D" w:rsidRDefault="007C68A4" w:rsidP="007A292B">
      <w:pPr>
        <w:pStyle w:val="Betarp"/>
        <w:rPr>
          <w:u w:val="single"/>
          <w:lang w:val="lt-LT"/>
        </w:rPr>
      </w:pPr>
      <w:r w:rsidRPr="00F9703D">
        <w:rPr>
          <w:u w:val="single"/>
          <w:lang w:val="lt-LT"/>
        </w:rPr>
        <w:t>Žindymas</w:t>
      </w:r>
    </w:p>
    <w:p w14:paraId="07DD5911" w14:textId="5714C7E8" w:rsidR="007C68A4" w:rsidRPr="00F9703D" w:rsidRDefault="00E90A95" w:rsidP="007A292B">
      <w:pPr>
        <w:pStyle w:val="Betarp"/>
        <w:rPr>
          <w:rFonts w:eastAsia="SimSun"/>
          <w:lang w:val="lt-LT"/>
        </w:rPr>
      </w:pPr>
      <w:r>
        <w:rPr>
          <w:rFonts w:eastAsia="SimSun"/>
          <w:lang w:val="lt-LT"/>
        </w:rPr>
        <w:t>Ed</w:t>
      </w:r>
      <w:r w:rsidR="007643D3" w:rsidRPr="007643D3">
        <w:rPr>
          <w:rFonts w:eastAsia="SimSun"/>
          <w:lang w:val="lt-LT"/>
        </w:rPr>
        <w:t>uelym</w:t>
      </w:r>
      <w:r w:rsidR="00A0665D" w:rsidRPr="00F9703D">
        <w:rPr>
          <w:rFonts w:eastAsia="SimSun"/>
          <w:lang w:val="lt-LT"/>
        </w:rPr>
        <w:t xml:space="preserve"> </w:t>
      </w:r>
      <w:r w:rsidR="00E22025">
        <w:rPr>
          <w:rFonts w:eastAsia="SimSun"/>
          <w:lang w:val="lt-LT"/>
        </w:rPr>
        <w:t xml:space="preserve">neturi būti vartojamas </w:t>
      </w:r>
      <w:r w:rsidR="00A0665D" w:rsidRPr="00F9703D">
        <w:rPr>
          <w:rFonts w:eastAsia="SimSun"/>
          <w:lang w:val="lt-LT"/>
        </w:rPr>
        <w:t xml:space="preserve">žindymo </w:t>
      </w:r>
      <w:r w:rsidR="00E22025">
        <w:rPr>
          <w:rFonts w:eastAsia="SimSun"/>
          <w:lang w:val="lt-LT"/>
        </w:rPr>
        <w:t>metu</w:t>
      </w:r>
      <w:r w:rsidR="00A0665D" w:rsidRPr="00F9703D">
        <w:rPr>
          <w:rFonts w:eastAsia="SimSun"/>
          <w:lang w:val="lt-LT"/>
        </w:rPr>
        <w:t>.</w:t>
      </w:r>
    </w:p>
    <w:p w14:paraId="260B1023" w14:textId="77777777" w:rsidR="00C57A50" w:rsidRPr="00F9703D" w:rsidRDefault="00C57A50" w:rsidP="007A292B">
      <w:pPr>
        <w:pStyle w:val="Betarp"/>
        <w:rPr>
          <w:rFonts w:eastAsia="SimSun"/>
          <w:lang w:val="lt-LT"/>
        </w:rPr>
      </w:pPr>
    </w:p>
    <w:p w14:paraId="16ADE4D3" w14:textId="77954552" w:rsidR="00C57A50" w:rsidRPr="00F9703D" w:rsidRDefault="00C57A50" w:rsidP="007A292B">
      <w:pPr>
        <w:pStyle w:val="Betarp"/>
        <w:rPr>
          <w:rFonts w:eastAsia="SimSun"/>
          <w:i/>
          <w:iCs/>
          <w:lang w:val="lt-LT"/>
        </w:rPr>
      </w:pPr>
      <w:r w:rsidRPr="00F9703D">
        <w:rPr>
          <w:rFonts w:eastAsia="SimSun"/>
          <w:i/>
          <w:iCs/>
          <w:lang w:val="lt-LT"/>
        </w:rPr>
        <w:t>Bimatoprostas</w:t>
      </w:r>
    </w:p>
    <w:p w14:paraId="0FA3AEEF" w14:textId="5345E9B8" w:rsidR="00C57A50" w:rsidRPr="00F9703D" w:rsidRDefault="00C57A50" w:rsidP="007A292B">
      <w:pPr>
        <w:pStyle w:val="Betarp"/>
        <w:rPr>
          <w:rFonts w:eastAsia="SimSun"/>
          <w:lang w:val="lt-LT"/>
        </w:rPr>
      </w:pPr>
      <w:r w:rsidRPr="00F9703D">
        <w:rPr>
          <w:rFonts w:eastAsia="SimSun"/>
          <w:lang w:val="lt-LT"/>
        </w:rPr>
        <w:t xml:space="preserve">Nežinoma, ar bimatoprosto ar jo metabolitų išsiskiria į </w:t>
      </w:r>
      <w:r w:rsidR="00E17816">
        <w:rPr>
          <w:rFonts w:eastAsia="SimSun"/>
          <w:lang w:val="lt-LT"/>
        </w:rPr>
        <w:t>gydytų moterų</w:t>
      </w:r>
      <w:r w:rsidRPr="00F9703D">
        <w:rPr>
          <w:rFonts w:eastAsia="SimSun"/>
          <w:lang w:val="lt-LT"/>
        </w:rPr>
        <w:t xml:space="preserve"> pieną. Tyrimai su gyvūnais parodė, kad bimatoprosto išsiskiria su motinos pienu (žr. 5.3 skyrių).</w:t>
      </w:r>
    </w:p>
    <w:p w14:paraId="47EC4D8E" w14:textId="3C241AE6" w:rsidR="00C57A50" w:rsidRPr="00F9703D" w:rsidRDefault="00861791" w:rsidP="007A292B">
      <w:pPr>
        <w:pStyle w:val="Betarp"/>
        <w:rPr>
          <w:rFonts w:eastAsia="SimSun"/>
          <w:lang w:val="lt-LT"/>
        </w:rPr>
      </w:pPr>
      <w:r>
        <w:rPr>
          <w:rFonts w:eastAsia="SimSun"/>
          <w:lang w:val="lt-LT"/>
        </w:rPr>
        <w:t>Pavojaus žindomiems</w:t>
      </w:r>
      <w:r w:rsidR="001705D3">
        <w:rPr>
          <w:rFonts w:eastAsia="SimSun"/>
          <w:lang w:val="lt-LT"/>
        </w:rPr>
        <w:t xml:space="preserve"> naujagimiams ar kūdikiams negalima atmesti.</w:t>
      </w:r>
    </w:p>
    <w:p w14:paraId="6D2669B9" w14:textId="77777777" w:rsidR="0033130A" w:rsidRPr="00F9703D" w:rsidRDefault="0033130A" w:rsidP="007A292B">
      <w:pPr>
        <w:pStyle w:val="Betarp"/>
        <w:rPr>
          <w:rFonts w:eastAsia="SimSun"/>
          <w:lang w:val="lt-LT"/>
        </w:rPr>
      </w:pPr>
    </w:p>
    <w:p w14:paraId="69813A19" w14:textId="75D72A22" w:rsidR="0033130A" w:rsidRPr="00F9703D" w:rsidRDefault="0033130A" w:rsidP="007A292B">
      <w:pPr>
        <w:pStyle w:val="Betarp"/>
        <w:rPr>
          <w:rFonts w:eastAsia="SimSun"/>
          <w:i/>
          <w:iCs/>
          <w:lang w:val="lt-LT"/>
        </w:rPr>
      </w:pPr>
      <w:r w:rsidRPr="00F9703D">
        <w:rPr>
          <w:rFonts w:eastAsia="SimSun"/>
          <w:i/>
          <w:iCs/>
          <w:lang w:val="lt-LT"/>
        </w:rPr>
        <w:t>Timololis</w:t>
      </w:r>
    </w:p>
    <w:p w14:paraId="55ACD18A" w14:textId="479A82D4" w:rsidR="0033130A" w:rsidRPr="00F9703D" w:rsidRDefault="0033130A" w:rsidP="007A292B">
      <w:pPr>
        <w:pStyle w:val="Betarp"/>
        <w:rPr>
          <w:rFonts w:eastAsia="SimSun"/>
          <w:lang w:val="lt-LT"/>
        </w:rPr>
      </w:pPr>
      <w:r w:rsidRPr="00F9703D">
        <w:rPr>
          <w:rFonts w:eastAsia="SimSun"/>
          <w:lang w:val="lt-LT"/>
        </w:rPr>
        <w:t>Beta adrenoblokatori</w:t>
      </w:r>
      <w:r w:rsidR="001705D3">
        <w:rPr>
          <w:rFonts w:eastAsia="SimSun"/>
          <w:lang w:val="lt-LT"/>
        </w:rPr>
        <w:t>ų</w:t>
      </w:r>
      <w:r w:rsidRPr="00F9703D">
        <w:rPr>
          <w:rFonts w:eastAsia="SimSun"/>
          <w:lang w:val="lt-LT"/>
        </w:rPr>
        <w:t xml:space="preserve"> išsiskiria į </w:t>
      </w:r>
      <w:r w:rsidR="001705D3">
        <w:rPr>
          <w:rFonts w:eastAsia="SimSun"/>
          <w:lang w:val="lt-LT"/>
        </w:rPr>
        <w:t>gydytų moterų</w:t>
      </w:r>
      <w:r w:rsidRPr="00F9703D">
        <w:rPr>
          <w:rFonts w:eastAsia="SimSun"/>
          <w:lang w:val="lt-LT"/>
        </w:rPr>
        <w:t xml:space="preserve"> pieną. Tačiau mažai tikėtina, kad vartojant terapines timololio akių lašų dozes motinos piene jo susidarys tiek, kad kūdikiui pasireikštų klinikiniai beta adrenoreceptorių blokados simptomai. Kaip sumažinti sisteminę absorbciją, žr. 4.2 skyrių.</w:t>
      </w:r>
    </w:p>
    <w:p w14:paraId="5973167C" w14:textId="77777777" w:rsidR="00A0665D" w:rsidRPr="00F9703D" w:rsidRDefault="00A0665D" w:rsidP="007A292B">
      <w:pPr>
        <w:pStyle w:val="Betarp"/>
        <w:rPr>
          <w:u w:val="single"/>
          <w:lang w:val="lt-LT"/>
        </w:rPr>
      </w:pPr>
    </w:p>
    <w:p w14:paraId="51AE8F68" w14:textId="77777777" w:rsidR="007C68A4" w:rsidRPr="00F9703D" w:rsidRDefault="007C68A4" w:rsidP="007A292B">
      <w:pPr>
        <w:pStyle w:val="Betarp"/>
        <w:rPr>
          <w:u w:val="single"/>
          <w:lang w:val="lt-LT"/>
        </w:rPr>
      </w:pPr>
      <w:r w:rsidRPr="00F9703D">
        <w:rPr>
          <w:u w:val="single"/>
          <w:lang w:val="lt-LT"/>
        </w:rPr>
        <w:t>Vaisingumas</w:t>
      </w:r>
    </w:p>
    <w:p w14:paraId="487811D9" w14:textId="0A45E174" w:rsidR="0033130A" w:rsidRPr="00F9703D" w:rsidRDefault="0033130A" w:rsidP="007A292B">
      <w:pPr>
        <w:pStyle w:val="Betarp"/>
        <w:rPr>
          <w:rFonts w:eastAsia="SimSun"/>
          <w:lang w:val="lt-LT"/>
        </w:rPr>
      </w:pPr>
      <w:r w:rsidRPr="00F9703D">
        <w:rPr>
          <w:rFonts w:eastAsia="SimSun"/>
          <w:lang w:val="lt-LT"/>
        </w:rPr>
        <w:t xml:space="preserve">Duomenų apie bimatoprosto ir timololio poveikį </w:t>
      </w:r>
      <w:r w:rsidR="000935BE" w:rsidRPr="00F9703D">
        <w:rPr>
          <w:rFonts w:eastAsia="SimSun"/>
          <w:lang w:val="lt-LT"/>
        </w:rPr>
        <w:t xml:space="preserve">žmonių </w:t>
      </w:r>
      <w:r w:rsidRPr="00F9703D">
        <w:rPr>
          <w:rFonts w:eastAsia="SimSun"/>
          <w:lang w:val="lt-LT"/>
        </w:rPr>
        <w:t>vaisingumui</w:t>
      </w:r>
      <w:r w:rsidR="000935BE" w:rsidRPr="00F9703D">
        <w:rPr>
          <w:rFonts w:eastAsia="SimSun"/>
          <w:lang w:val="lt-LT"/>
        </w:rPr>
        <w:t xml:space="preserve"> </w:t>
      </w:r>
      <w:r w:rsidRPr="00F9703D">
        <w:rPr>
          <w:rFonts w:eastAsia="SimSun"/>
          <w:lang w:val="lt-LT"/>
        </w:rPr>
        <w:t>nėra.</w:t>
      </w:r>
    </w:p>
    <w:p w14:paraId="5FFE9AA6" w14:textId="309A86DD" w:rsidR="007C68A4" w:rsidRPr="00F9703D" w:rsidRDefault="005E38D2" w:rsidP="007A292B">
      <w:pPr>
        <w:pStyle w:val="Betarp"/>
        <w:rPr>
          <w:rFonts w:eastAsia="SimSun"/>
          <w:lang w:val="lt-LT"/>
        </w:rPr>
      </w:pPr>
      <w:r w:rsidRPr="00F9703D">
        <w:rPr>
          <w:rFonts w:eastAsia="SimSun"/>
          <w:lang w:val="lt-LT"/>
        </w:rPr>
        <w:t>B</w:t>
      </w:r>
      <w:r w:rsidR="0033130A" w:rsidRPr="00F9703D">
        <w:rPr>
          <w:rFonts w:eastAsia="SimSun"/>
          <w:lang w:val="lt-LT"/>
        </w:rPr>
        <w:t>imatoprost</w:t>
      </w:r>
      <w:r w:rsidRPr="00F9703D">
        <w:rPr>
          <w:rFonts w:eastAsia="SimSun"/>
          <w:lang w:val="lt-LT"/>
        </w:rPr>
        <w:t>as</w:t>
      </w:r>
      <w:r w:rsidR="0033130A" w:rsidRPr="00F9703D">
        <w:rPr>
          <w:rFonts w:eastAsia="SimSun"/>
          <w:lang w:val="lt-LT"/>
        </w:rPr>
        <w:t xml:space="preserve"> ir timololi</w:t>
      </w:r>
      <w:r w:rsidRPr="00F9703D">
        <w:rPr>
          <w:rFonts w:eastAsia="SimSun"/>
          <w:lang w:val="lt-LT"/>
        </w:rPr>
        <w:t>s žiurkių vaisingumo</w:t>
      </w:r>
      <w:r w:rsidR="0033130A" w:rsidRPr="00F9703D">
        <w:rPr>
          <w:rFonts w:eastAsia="SimSun"/>
          <w:lang w:val="lt-LT"/>
        </w:rPr>
        <w:t xml:space="preserve"> ne</w:t>
      </w:r>
      <w:r w:rsidRPr="00F9703D">
        <w:rPr>
          <w:rFonts w:eastAsia="SimSun"/>
          <w:lang w:val="lt-LT"/>
        </w:rPr>
        <w:t>pa</w:t>
      </w:r>
      <w:r w:rsidR="0033130A" w:rsidRPr="00F9703D">
        <w:rPr>
          <w:rFonts w:eastAsia="SimSun"/>
          <w:lang w:val="lt-LT"/>
        </w:rPr>
        <w:t>veikė (žr. 5.3 skyrių).</w:t>
      </w:r>
    </w:p>
    <w:p w14:paraId="7645033E" w14:textId="77777777" w:rsidR="0033130A" w:rsidRPr="00F9703D" w:rsidRDefault="0033130A" w:rsidP="007A292B">
      <w:pPr>
        <w:pStyle w:val="Betarp"/>
        <w:rPr>
          <w:b/>
          <w:lang w:val="lt-LT"/>
        </w:rPr>
      </w:pPr>
    </w:p>
    <w:p w14:paraId="457FACAB" w14:textId="77777777" w:rsidR="007C68A4" w:rsidRPr="00F9703D" w:rsidRDefault="007C68A4" w:rsidP="007A292B">
      <w:pPr>
        <w:pStyle w:val="Betarp"/>
        <w:rPr>
          <w:b/>
          <w:lang w:val="lt-LT"/>
        </w:rPr>
      </w:pPr>
      <w:bookmarkStart w:id="22" w:name="_Toc129243108"/>
      <w:bookmarkStart w:id="23" w:name="_Toc129243233"/>
      <w:r w:rsidRPr="00F9703D">
        <w:rPr>
          <w:b/>
          <w:lang w:val="lt-LT"/>
        </w:rPr>
        <w:t>4.7</w:t>
      </w:r>
      <w:r w:rsidRPr="00F9703D">
        <w:rPr>
          <w:b/>
          <w:lang w:val="lt-LT"/>
        </w:rPr>
        <w:tab/>
        <w:t>Poveikis gebėjimui vairuoti ir valdyti mechanizmus</w:t>
      </w:r>
      <w:bookmarkEnd w:id="22"/>
      <w:bookmarkEnd w:id="23"/>
    </w:p>
    <w:p w14:paraId="4E0FF835" w14:textId="77777777" w:rsidR="007C68A4" w:rsidRPr="00F9703D" w:rsidRDefault="007C68A4" w:rsidP="007A292B">
      <w:pPr>
        <w:pStyle w:val="Betarp"/>
        <w:rPr>
          <w:lang w:val="lt-LT"/>
        </w:rPr>
      </w:pPr>
    </w:p>
    <w:p w14:paraId="25BDB1BE" w14:textId="32CB6C5F" w:rsidR="007C68A4" w:rsidRPr="00F9703D" w:rsidRDefault="00E90A95" w:rsidP="007A292B">
      <w:pPr>
        <w:pStyle w:val="Betarp"/>
        <w:rPr>
          <w:lang w:val="lt-LT"/>
        </w:rPr>
      </w:pPr>
      <w:r>
        <w:rPr>
          <w:lang w:val="lt-LT"/>
        </w:rPr>
        <w:t>Ed</w:t>
      </w:r>
      <w:r w:rsidR="007643D3" w:rsidRPr="007643D3">
        <w:rPr>
          <w:lang w:val="lt-LT"/>
        </w:rPr>
        <w:t>uelym</w:t>
      </w:r>
      <w:r w:rsidR="005E38D2" w:rsidRPr="00F9703D">
        <w:rPr>
          <w:lang w:val="lt-LT"/>
        </w:rPr>
        <w:t xml:space="preserve"> gebėjim</w:t>
      </w:r>
      <w:r w:rsidR="00523E64">
        <w:rPr>
          <w:lang w:val="lt-LT"/>
        </w:rPr>
        <w:t>o</w:t>
      </w:r>
      <w:r w:rsidR="005E38D2" w:rsidRPr="00F9703D">
        <w:rPr>
          <w:lang w:val="lt-LT"/>
        </w:rPr>
        <w:t xml:space="preserve"> vairuoti ir valdyti mechanizmus veikia nereikšmingai. Kaip ir </w:t>
      </w:r>
      <w:r w:rsidR="00E466E0">
        <w:rPr>
          <w:lang w:val="lt-LT"/>
        </w:rPr>
        <w:t>vartojant</w:t>
      </w:r>
      <w:r w:rsidR="00E466E0" w:rsidRPr="00F9703D">
        <w:rPr>
          <w:lang w:val="lt-LT"/>
        </w:rPr>
        <w:t xml:space="preserve"> </w:t>
      </w:r>
      <w:r w:rsidR="005E38D2" w:rsidRPr="00F9703D">
        <w:rPr>
          <w:lang w:val="lt-LT"/>
        </w:rPr>
        <w:t>kito</w:t>
      </w:r>
      <w:r w:rsidR="00E466E0">
        <w:rPr>
          <w:lang w:val="lt-LT"/>
        </w:rPr>
        <w:t>kių</w:t>
      </w:r>
      <w:r w:rsidR="005E38D2" w:rsidRPr="00F9703D">
        <w:rPr>
          <w:lang w:val="lt-LT"/>
        </w:rPr>
        <w:t xml:space="preserve"> vietinio poveikio akių vaistini</w:t>
      </w:r>
      <w:r w:rsidR="00E466E0">
        <w:rPr>
          <w:lang w:val="lt-LT"/>
        </w:rPr>
        <w:t>ų</w:t>
      </w:r>
      <w:r w:rsidR="005E38D2" w:rsidRPr="00F9703D">
        <w:rPr>
          <w:lang w:val="lt-LT"/>
        </w:rPr>
        <w:t xml:space="preserve"> preparat</w:t>
      </w:r>
      <w:r w:rsidR="00E466E0">
        <w:rPr>
          <w:lang w:val="lt-LT"/>
        </w:rPr>
        <w:t>ų</w:t>
      </w:r>
      <w:r w:rsidR="005E38D2" w:rsidRPr="00F9703D">
        <w:rPr>
          <w:lang w:val="lt-LT"/>
        </w:rPr>
        <w:t xml:space="preserve">, jei įlašinus preparato regėjimas laikinai pasidaro </w:t>
      </w:r>
      <w:r w:rsidR="004D1B86">
        <w:rPr>
          <w:lang w:val="lt-LT"/>
        </w:rPr>
        <w:t>neryškus</w:t>
      </w:r>
      <w:r w:rsidR="005E38D2" w:rsidRPr="00F9703D">
        <w:rPr>
          <w:lang w:val="lt-LT"/>
        </w:rPr>
        <w:t>, prieš vairuodamas ar valdydamas mechanizmus pacientas tur</w:t>
      </w:r>
      <w:r w:rsidR="001A51AD">
        <w:rPr>
          <w:lang w:val="lt-LT"/>
        </w:rPr>
        <w:t>i</w:t>
      </w:r>
      <w:r w:rsidR="005E38D2" w:rsidRPr="00F9703D">
        <w:rPr>
          <w:lang w:val="lt-LT"/>
        </w:rPr>
        <w:t xml:space="preserve"> palaukti, kol regėjimas pasidarys </w:t>
      </w:r>
      <w:r w:rsidR="004D1B86">
        <w:rPr>
          <w:lang w:val="lt-LT"/>
        </w:rPr>
        <w:t>ryškus</w:t>
      </w:r>
      <w:r w:rsidR="005E38D2" w:rsidRPr="00F9703D">
        <w:rPr>
          <w:lang w:val="lt-LT"/>
        </w:rPr>
        <w:t>.</w:t>
      </w:r>
    </w:p>
    <w:p w14:paraId="217594DA" w14:textId="77777777" w:rsidR="005E38D2" w:rsidRPr="00F9703D" w:rsidRDefault="005E38D2" w:rsidP="007A292B">
      <w:pPr>
        <w:pStyle w:val="Betarp"/>
        <w:rPr>
          <w:b/>
          <w:lang w:val="lt-LT"/>
        </w:rPr>
      </w:pPr>
    </w:p>
    <w:p w14:paraId="79589F7C" w14:textId="77777777" w:rsidR="007C68A4" w:rsidRPr="00F9703D" w:rsidRDefault="007C68A4" w:rsidP="007A292B">
      <w:pPr>
        <w:pStyle w:val="Betarp"/>
        <w:rPr>
          <w:b/>
          <w:lang w:val="lt-LT"/>
        </w:rPr>
      </w:pPr>
      <w:bookmarkStart w:id="24" w:name="_Toc129243109"/>
      <w:bookmarkStart w:id="25" w:name="_Toc129243234"/>
      <w:r w:rsidRPr="00F9703D">
        <w:rPr>
          <w:b/>
          <w:lang w:val="lt-LT"/>
        </w:rPr>
        <w:t>4.8</w:t>
      </w:r>
      <w:r w:rsidRPr="00F9703D">
        <w:rPr>
          <w:b/>
          <w:lang w:val="lt-LT"/>
        </w:rPr>
        <w:tab/>
        <w:t>Nepageidaujamas poveikis</w:t>
      </w:r>
      <w:bookmarkEnd w:id="24"/>
      <w:bookmarkEnd w:id="25"/>
    </w:p>
    <w:p w14:paraId="57EB539A" w14:textId="77777777" w:rsidR="007C68A4" w:rsidRPr="00F9703D" w:rsidRDefault="007C68A4" w:rsidP="007A292B">
      <w:pPr>
        <w:pStyle w:val="Betarp"/>
        <w:rPr>
          <w:lang w:val="lt-LT"/>
        </w:rPr>
      </w:pPr>
    </w:p>
    <w:p w14:paraId="3D9B5273" w14:textId="40035818" w:rsidR="00BF4FCF" w:rsidRPr="00F9703D" w:rsidRDefault="00BF4FCF" w:rsidP="007A292B">
      <w:pPr>
        <w:pStyle w:val="Betarp"/>
        <w:rPr>
          <w:rFonts w:eastAsia="SimSun"/>
          <w:i/>
          <w:iCs/>
          <w:u w:val="single"/>
          <w:lang w:val="lt-LT"/>
        </w:rPr>
      </w:pPr>
      <w:r w:rsidRPr="00F9703D">
        <w:rPr>
          <w:rFonts w:eastAsia="SimSun"/>
          <w:i/>
          <w:iCs/>
          <w:lang w:val="lt-LT"/>
        </w:rPr>
        <w:t>a.</w:t>
      </w:r>
      <w:r w:rsidRPr="00F9703D">
        <w:rPr>
          <w:rFonts w:eastAsia="SimSun"/>
          <w:i/>
          <w:iCs/>
          <w:u w:val="single"/>
          <w:lang w:val="lt-LT"/>
        </w:rPr>
        <w:t xml:space="preserve"> Saugumo profilio santrauka</w:t>
      </w:r>
    </w:p>
    <w:p w14:paraId="0AB6EB02" w14:textId="77777777" w:rsidR="00BF4FCF" w:rsidRDefault="00BF4FCF" w:rsidP="007A292B">
      <w:pPr>
        <w:pStyle w:val="Betarp"/>
        <w:rPr>
          <w:rFonts w:eastAsia="SimSun"/>
          <w:lang w:val="lt-LT"/>
        </w:rPr>
      </w:pPr>
    </w:p>
    <w:p w14:paraId="26626E6A" w14:textId="62F0B4D4" w:rsidR="00BF4FCF" w:rsidRPr="00F9703D" w:rsidRDefault="00875CDB" w:rsidP="007A292B">
      <w:pPr>
        <w:pStyle w:val="Betarp"/>
        <w:rPr>
          <w:rFonts w:eastAsia="SimSun"/>
          <w:lang w:val="lt-LT"/>
        </w:rPr>
      </w:pPr>
      <w:r w:rsidRPr="00875CDB">
        <w:rPr>
          <w:rFonts w:eastAsia="SimSun"/>
          <w:lang w:val="lt-LT"/>
        </w:rPr>
        <w:t xml:space="preserve">Iš viso 307 pacientai vartojo </w:t>
      </w:r>
      <w:r w:rsidR="00E90A95">
        <w:rPr>
          <w:rFonts w:eastAsia="SimSun"/>
          <w:lang w:val="lt-LT"/>
        </w:rPr>
        <w:t>Ed</w:t>
      </w:r>
      <w:r w:rsidRPr="00875CDB">
        <w:rPr>
          <w:rFonts w:eastAsia="SimSun"/>
          <w:lang w:val="lt-LT"/>
        </w:rPr>
        <w:t>uelym II ir III fazės klinikinių tyrimų metu, kurių gydymo trukmė buvo 3 mėnesiai.</w:t>
      </w:r>
      <w:r>
        <w:rPr>
          <w:rFonts w:eastAsia="SimSun"/>
          <w:lang w:val="lt-LT"/>
        </w:rPr>
        <w:t xml:space="preserve"> </w:t>
      </w:r>
      <w:r w:rsidR="00BF4FCF" w:rsidRPr="00F9703D">
        <w:rPr>
          <w:rFonts w:eastAsia="SimSun"/>
          <w:lang w:val="lt-LT"/>
        </w:rPr>
        <w:t xml:space="preserve">Klinikinių tyrimų metu dauguma nepageidaujamų reakcijų, apie kurias pranešta vartojant </w:t>
      </w:r>
      <w:r w:rsidR="00E90A95">
        <w:rPr>
          <w:rFonts w:eastAsia="SimSun"/>
          <w:lang w:val="lt-LT"/>
        </w:rPr>
        <w:t>Ed</w:t>
      </w:r>
      <w:r w:rsidR="007643D3" w:rsidRPr="007643D3">
        <w:rPr>
          <w:rFonts w:eastAsia="SimSun"/>
          <w:lang w:val="lt-LT"/>
        </w:rPr>
        <w:t>uelym</w:t>
      </w:r>
      <w:r w:rsidR="00BF4FCF" w:rsidRPr="00F9703D">
        <w:rPr>
          <w:rFonts w:eastAsia="SimSun"/>
          <w:lang w:val="lt-LT"/>
        </w:rPr>
        <w:t>, buvo aki</w:t>
      </w:r>
      <w:r w:rsidR="00FB46F4" w:rsidRPr="00F9703D">
        <w:rPr>
          <w:rFonts w:eastAsia="SimSun"/>
          <w:lang w:val="lt-LT"/>
        </w:rPr>
        <w:t>ų</w:t>
      </w:r>
      <w:r w:rsidR="00BF4FCF" w:rsidRPr="00F9703D">
        <w:rPr>
          <w:rFonts w:eastAsia="SimSun"/>
          <w:lang w:val="lt-LT"/>
        </w:rPr>
        <w:t xml:space="preserve">, jos buvo lengvo ar vidutinio </w:t>
      </w:r>
      <w:r w:rsidR="00AB46C3">
        <w:rPr>
          <w:rFonts w:eastAsia="SimSun"/>
          <w:lang w:val="lt-LT"/>
        </w:rPr>
        <w:t>sunkumo</w:t>
      </w:r>
      <w:r w:rsidR="00AB46C3" w:rsidRPr="00F9703D">
        <w:rPr>
          <w:rFonts w:eastAsia="SimSun"/>
          <w:lang w:val="lt-LT"/>
        </w:rPr>
        <w:t xml:space="preserve"> </w:t>
      </w:r>
      <w:r w:rsidR="00BF4FCF" w:rsidRPr="00F9703D">
        <w:rPr>
          <w:rFonts w:eastAsia="SimSun"/>
          <w:lang w:val="lt-LT"/>
        </w:rPr>
        <w:t xml:space="preserve">(žr. 5.1 skyrių). </w:t>
      </w:r>
      <w:r w:rsidR="00FB46F4" w:rsidRPr="00F9703D">
        <w:rPr>
          <w:rFonts w:eastAsia="SimSun"/>
          <w:lang w:val="lt-LT"/>
        </w:rPr>
        <w:t xml:space="preserve">Sunkių reakcijų nebuvo. </w:t>
      </w:r>
      <w:r w:rsidR="00BF4FCF" w:rsidRPr="00F9703D">
        <w:rPr>
          <w:rFonts w:eastAsia="SimSun"/>
          <w:lang w:val="lt-LT"/>
        </w:rPr>
        <w:t>Dažniausiai pranešt</w:t>
      </w:r>
      <w:r w:rsidR="00FB46F4" w:rsidRPr="00F9703D">
        <w:rPr>
          <w:rFonts w:eastAsia="SimSun"/>
          <w:lang w:val="lt-LT"/>
        </w:rPr>
        <w:t>a apie šias</w:t>
      </w:r>
      <w:r w:rsidR="00BF4FCF" w:rsidRPr="00F9703D">
        <w:rPr>
          <w:rFonts w:eastAsia="SimSun"/>
          <w:lang w:val="lt-LT"/>
        </w:rPr>
        <w:t xml:space="preserve"> nepageidaujam</w:t>
      </w:r>
      <w:r w:rsidR="00FB46F4" w:rsidRPr="00F9703D">
        <w:rPr>
          <w:rFonts w:eastAsia="SimSun"/>
          <w:lang w:val="lt-LT"/>
        </w:rPr>
        <w:t>a</w:t>
      </w:r>
      <w:r w:rsidR="00BF4FCF" w:rsidRPr="00F9703D">
        <w:rPr>
          <w:rFonts w:eastAsia="SimSun"/>
          <w:lang w:val="lt-LT"/>
        </w:rPr>
        <w:t>s reakcij</w:t>
      </w:r>
      <w:r w:rsidR="00FB46F4" w:rsidRPr="00F9703D">
        <w:rPr>
          <w:rFonts w:eastAsia="SimSun"/>
          <w:lang w:val="lt-LT"/>
        </w:rPr>
        <w:t>a</w:t>
      </w:r>
      <w:r w:rsidR="00BF4FCF" w:rsidRPr="00F9703D">
        <w:rPr>
          <w:rFonts w:eastAsia="SimSun"/>
          <w:lang w:val="lt-LT"/>
        </w:rPr>
        <w:t>s</w:t>
      </w:r>
      <w:r w:rsidR="00FB46F4" w:rsidRPr="00F9703D">
        <w:rPr>
          <w:rFonts w:eastAsia="SimSun"/>
          <w:lang w:val="lt-LT"/>
        </w:rPr>
        <w:t xml:space="preserve">: </w:t>
      </w:r>
      <w:r w:rsidR="00BF4FCF" w:rsidRPr="00F9703D">
        <w:rPr>
          <w:rFonts w:eastAsia="SimSun"/>
          <w:lang w:val="lt-LT"/>
        </w:rPr>
        <w:t>akių hiperemija (12,7</w:t>
      </w:r>
      <w:r w:rsidR="00792AB2">
        <w:rPr>
          <w:rFonts w:eastAsia="SimSun"/>
          <w:lang w:val="lt-LT"/>
        </w:rPr>
        <w:t> </w:t>
      </w:r>
      <w:r w:rsidR="00BF4FCF" w:rsidRPr="00F9703D">
        <w:rPr>
          <w:rFonts w:eastAsia="SimSun"/>
          <w:lang w:val="lt-LT"/>
        </w:rPr>
        <w:t xml:space="preserve">%), </w:t>
      </w:r>
      <w:r w:rsidR="003F5725">
        <w:rPr>
          <w:rFonts w:eastAsia="SimSun"/>
          <w:lang w:val="lt-LT"/>
        </w:rPr>
        <w:t>sausos akys</w:t>
      </w:r>
      <w:r w:rsidR="00BF4FCF" w:rsidRPr="00F9703D">
        <w:rPr>
          <w:rFonts w:eastAsia="SimSun"/>
          <w:lang w:val="lt-LT"/>
        </w:rPr>
        <w:t xml:space="preserve"> (</w:t>
      </w:r>
      <w:r w:rsidRPr="00345F83">
        <w:rPr>
          <w:rFonts w:eastAsia="SimSun"/>
          <w:lang w:val="lt-LT"/>
        </w:rPr>
        <w:t>5</w:t>
      </w:r>
      <w:r w:rsidR="00BF4FCF" w:rsidRPr="00F9703D">
        <w:rPr>
          <w:rFonts w:eastAsia="SimSun"/>
          <w:lang w:val="lt-LT"/>
        </w:rPr>
        <w:t>,2</w:t>
      </w:r>
      <w:r w:rsidR="00792AB2">
        <w:rPr>
          <w:rFonts w:eastAsia="SimSun"/>
          <w:lang w:val="lt-LT"/>
        </w:rPr>
        <w:t> </w:t>
      </w:r>
      <w:r w:rsidR="00BF4FCF" w:rsidRPr="00F9703D">
        <w:rPr>
          <w:rFonts w:eastAsia="SimSun"/>
          <w:lang w:val="lt-LT"/>
        </w:rPr>
        <w:t>%), akių dirginimas (4,2</w:t>
      </w:r>
      <w:r w:rsidR="00792AB2">
        <w:rPr>
          <w:rFonts w:eastAsia="SimSun"/>
          <w:lang w:val="lt-LT"/>
        </w:rPr>
        <w:t> </w:t>
      </w:r>
      <w:r w:rsidR="00BF4FCF" w:rsidRPr="00F9703D">
        <w:rPr>
          <w:rFonts w:eastAsia="SimSun"/>
          <w:lang w:val="lt-LT"/>
        </w:rPr>
        <w:t>%), svetimkūnio pojūtis akyse (2,3</w:t>
      </w:r>
      <w:r w:rsidR="00792AB2">
        <w:rPr>
          <w:rFonts w:eastAsia="SimSun"/>
          <w:lang w:val="lt-LT"/>
        </w:rPr>
        <w:t> </w:t>
      </w:r>
      <w:r w:rsidR="00BF4FCF" w:rsidRPr="00F9703D">
        <w:rPr>
          <w:rFonts w:eastAsia="SimSun"/>
          <w:lang w:val="lt-LT"/>
        </w:rPr>
        <w:t xml:space="preserve">%) ir akių </w:t>
      </w:r>
      <w:r w:rsidR="003B333C">
        <w:rPr>
          <w:rFonts w:eastAsia="SimSun"/>
          <w:lang w:val="lt-LT"/>
        </w:rPr>
        <w:t>niežėjimas</w:t>
      </w:r>
      <w:r w:rsidR="003B333C" w:rsidRPr="00F9703D">
        <w:rPr>
          <w:rFonts w:eastAsia="SimSun"/>
          <w:lang w:val="lt-LT"/>
        </w:rPr>
        <w:t xml:space="preserve"> </w:t>
      </w:r>
      <w:r w:rsidR="00BF4FCF" w:rsidRPr="00F9703D">
        <w:rPr>
          <w:rFonts w:eastAsia="SimSun"/>
          <w:lang w:val="lt-LT"/>
        </w:rPr>
        <w:t>(1,6</w:t>
      </w:r>
      <w:r w:rsidR="00792AB2">
        <w:rPr>
          <w:rFonts w:eastAsia="SimSun"/>
          <w:lang w:val="lt-LT"/>
        </w:rPr>
        <w:t> </w:t>
      </w:r>
      <w:r w:rsidR="00BF4FCF" w:rsidRPr="00F9703D">
        <w:rPr>
          <w:rFonts w:eastAsia="SimSun"/>
          <w:lang w:val="lt-LT"/>
        </w:rPr>
        <w:t>%).</w:t>
      </w:r>
    </w:p>
    <w:p w14:paraId="2932A550" w14:textId="77777777" w:rsidR="00BF4FCF" w:rsidRPr="00F9703D" w:rsidRDefault="00BF4FCF" w:rsidP="007A292B">
      <w:pPr>
        <w:pStyle w:val="Betarp"/>
        <w:rPr>
          <w:rFonts w:eastAsia="SimSun"/>
          <w:lang w:val="lt-LT"/>
        </w:rPr>
      </w:pPr>
    </w:p>
    <w:p w14:paraId="16FCA882" w14:textId="47560554" w:rsidR="00BF4FCF" w:rsidRPr="00F9703D" w:rsidRDefault="00BF4FCF" w:rsidP="007A292B">
      <w:pPr>
        <w:pStyle w:val="Betarp"/>
        <w:rPr>
          <w:rFonts w:eastAsia="SimSun"/>
          <w:i/>
          <w:iCs/>
          <w:lang w:val="lt-LT"/>
        </w:rPr>
      </w:pPr>
      <w:r w:rsidRPr="00F9703D">
        <w:rPr>
          <w:rFonts w:eastAsia="SimSun"/>
          <w:i/>
          <w:iCs/>
          <w:lang w:val="lt-LT"/>
        </w:rPr>
        <w:t xml:space="preserve">b. </w:t>
      </w:r>
      <w:r w:rsidR="00774959">
        <w:rPr>
          <w:rFonts w:eastAsia="SimSun"/>
          <w:i/>
          <w:iCs/>
          <w:u w:val="single"/>
          <w:lang w:val="lt-LT"/>
        </w:rPr>
        <w:t>Nepageidaujamų reakcijų santrauka lentelėje</w:t>
      </w:r>
    </w:p>
    <w:p w14:paraId="75D950C6" w14:textId="77777777" w:rsidR="00BF4FCF" w:rsidRPr="00F9703D" w:rsidRDefault="00BF4FCF" w:rsidP="007A292B">
      <w:pPr>
        <w:pStyle w:val="Betarp"/>
        <w:rPr>
          <w:rFonts w:eastAsia="SimSun"/>
          <w:lang w:val="lt-LT"/>
        </w:rPr>
      </w:pPr>
    </w:p>
    <w:p w14:paraId="2CA60FAA" w14:textId="70924CA1" w:rsidR="005E38D2" w:rsidRPr="00F9703D" w:rsidRDefault="00BF4FCF" w:rsidP="007A292B">
      <w:pPr>
        <w:pStyle w:val="Betarp"/>
        <w:rPr>
          <w:rFonts w:eastAsia="SimSun"/>
          <w:lang w:val="lt-LT"/>
        </w:rPr>
      </w:pPr>
      <w:r w:rsidRPr="00F9703D">
        <w:rPr>
          <w:rFonts w:eastAsia="SimSun"/>
          <w:lang w:val="lt-LT"/>
        </w:rPr>
        <w:t xml:space="preserve">Nepageidaujamos reakcijos pateiktos pagal organų sistemų klases </w:t>
      </w:r>
      <w:r w:rsidR="00F40D48" w:rsidRPr="00F9703D">
        <w:rPr>
          <w:rFonts w:eastAsia="SimSun"/>
          <w:lang w:val="lt-LT"/>
        </w:rPr>
        <w:t>kiekvienoje dažnio grupėje mažėjančio sunkumo tvarka</w:t>
      </w:r>
      <w:r w:rsidR="00B20713" w:rsidRPr="00F9703D">
        <w:rPr>
          <w:rFonts w:eastAsia="SimSun"/>
          <w:lang w:val="lt-LT"/>
        </w:rPr>
        <w:t>.</w:t>
      </w:r>
    </w:p>
    <w:p w14:paraId="7C0B4479" w14:textId="77777777" w:rsidR="005E38D2" w:rsidRPr="00F9703D" w:rsidRDefault="005E38D2" w:rsidP="007A292B">
      <w:pPr>
        <w:pStyle w:val="Betarp"/>
        <w:rPr>
          <w:rFonts w:eastAsia="SimSun"/>
          <w:lang w:val="lt-LT"/>
        </w:rPr>
      </w:pPr>
    </w:p>
    <w:p w14:paraId="506856E3" w14:textId="4A1738F6" w:rsidR="007C68A4" w:rsidRPr="00F9703D" w:rsidRDefault="007C68A4" w:rsidP="007A292B">
      <w:pPr>
        <w:pStyle w:val="Betarp"/>
        <w:rPr>
          <w:rFonts w:eastAsia="Times New Roman"/>
          <w:snapToGrid w:val="0"/>
          <w:lang w:val="lt-LT"/>
        </w:rPr>
      </w:pPr>
      <w:r w:rsidRPr="00F9703D">
        <w:rPr>
          <w:rFonts w:eastAsia="Times New Roman"/>
          <w:snapToGrid w:val="0"/>
          <w:lang w:val="lt-LT"/>
        </w:rPr>
        <w:t>Nepageidaujamo poveikio dažnis apibūdinamas taip: labai dažnas (≥ 1/10), dažnas (nuo ≥ 1/100 iki &lt; 1/10), nedažnas (nuo ≥ 1/1</w:t>
      </w:r>
      <w:r w:rsidR="00774959">
        <w:rPr>
          <w:rFonts w:eastAsia="Times New Roman"/>
          <w:snapToGrid w:val="0"/>
          <w:lang w:val="lt-LT"/>
        </w:rPr>
        <w:t> </w:t>
      </w:r>
      <w:r w:rsidRPr="00F9703D">
        <w:rPr>
          <w:rFonts w:eastAsia="Times New Roman"/>
          <w:snapToGrid w:val="0"/>
          <w:lang w:val="lt-LT"/>
        </w:rPr>
        <w:t>000 iki &lt; 1/100), retas (nuo ≥ 1/10</w:t>
      </w:r>
      <w:r w:rsidR="00774959">
        <w:rPr>
          <w:rFonts w:eastAsia="Times New Roman"/>
          <w:snapToGrid w:val="0"/>
          <w:lang w:val="lt-LT"/>
        </w:rPr>
        <w:t> </w:t>
      </w:r>
      <w:r w:rsidRPr="00F9703D">
        <w:rPr>
          <w:rFonts w:eastAsia="Times New Roman"/>
          <w:snapToGrid w:val="0"/>
          <w:lang w:val="lt-LT"/>
        </w:rPr>
        <w:t>000 iki &lt; 1/1</w:t>
      </w:r>
      <w:r w:rsidR="00774959">
        <w:rPr>
          <w:rFonts w:eastAsia="Times New Roman"/>
          <w:snapToGrid w:val="0"/>
          <w:lang w:val="lt-LT"/>
        </w:rPr>
        <w:t> </w:t>
      </w:r>
      <w:r w:rsidRPr="00F9703D">
        <w:rPr>
          <w:rFonts w:eastAsia="Times New Roman"/>
          <w:snapToGrid w:val="0"/>
          <w:lang w:val="lt-LT"/>
        </w:rPr>
        <w:t>000),</w:t>
      </w:r>
    </w:p>
    <w:p w14:paraId="4DDA2C0A" w14:textId="77F12036" w:rsidR="007C68A4" w:rsidRPr="00F9703D" w:rsidRDefault="007C68A4" w:rsidP="007A292B">
      <w:pPr>
        <w:pStyle w:val="Betarp"/>
        <w:rPr>
          <w:rFonts w:eastAsia="Times New Roman"/>
          <w:snapToGrid w:val="0"/>
          <w:lang w:val="lt-LT"/>
        </w:rPr>
      </w:pPr>
      <w:r w:rsidRPr="00F9703D">
        <w:rPr>
          <w:rFonts w:eastAsia="Times New Roman"/>
          <w:snapToGrid w:val="0"/>
          <w:lang w:val="lt-LT"/>
        </w:rPr>
        <w:t xml:space="preserve"> labai retas (&lt; 1/10</w:t>
      </w:r>
      <w:r w:rsidR="00774959">
        <w:rPr>
          <w:rFonts w:eastAsia="Times New Roman"/>
          <w:snapToGrid w:val="0"/>
          <w:lang w:val="lt-LT"/>
        </w:rPr>
        <w:t> </w:t>
      </w:r>
      <w:r w:rsidRPr="00F9703D">
        <w:rPr>
          <w:rFonts w:eastAsia="Times New Roman"/>
          <w:snapToGrid w:val="0"/>
          <w:lang w:val="lt-LT"/>
        </w:rPr>
        <w:t>000) ir nežinomas (negali būti apskaičiuotas pagal turimus duomenis).</w:t>
      </w:r>
    </w:p>
    <w:p w14:paraId="51F05876" w14:textId="77777777" w:rsidR="00B20713" w:rsidRPr="00F9703D" w:rsidRDefault="00B20713" w:rsidP="007A292B">
      <w:pPr>
        <w:pStyle w:val="Betarp"/>
        <w:rPr>
          <w:rFonts w:eastAsia="Times New Roman"/>
          <w:snapToGrid w:val="0"/>
          <w:lang w:val="lt-LT"/>
        </w:rPr>
      </w:pPr>
    </w:p>
    <w:p w14:paraId="6F162F27" w14:textId="7B705294" w:rsidR="00B20713" w:rsidRPr="00F9703D" w:rsidRDefault="00B20713" w:rsidP="007A292B">
      <w:pPr>
        <w:pStyle w:val="Betarp"/>
        <w:rPr>
          <w:rFonts w:eastAsia="Times New Roman"/>
          <w:snapToGrid w:val="0"/>
          <w:lang w:val="lt-LT"/>
        </w:rPr>
      </w:pPr>
      <w:r w:rsidRPr="00F9703D">
        <w:rPr>
          <w:rFonts w:eastAsia="Times New Roman"/>
          <w:snapToGrid w:val="0"/>
          <w:lang w:val="lt-LT"/>
        </w:rPr>
        <w:t xml:space="preserve">Nepageidaujamos reakcijos, susijusios su </w:t>
      </w:r>
      <w:r w:rsidR="00E90A95">
        <w:rPr>
          <w:rFonts w:eastAsia="Times New Roman"/>
          <w:snapToGrid w:val="0"/>
          <w:lang w:val="lt-LT"/>
        </w:rPr>
        <w:t>Ed</w:t>
      </w:r>
      <w:r w:rsidR="007643D3" w:rsidRPr="007643D3">
        <w:rPr>
          <w:rFonts w:eastAsia="Times New Roman"/>
          <w:snapToGrid w:val="0"/>
          <w:lang w:val="lt-LT"/>
        </w:rPr>
        <w:t>uelym</w:t>
      </w:r>
      <w:r w:rsidRPr="00F9703D">
        <w:rPr>
          <w:rFonts w:eastAsia="Times New Roman"/>
          <w:snapToGrid w:val="0"/>
          <w:lang w:val="lt-LT"/>
        </w:rPr>
        <w:t>, gautos klinikinių tyrimų metu, pateiktos 1 lentelėje.</w:t>
      </w:r>
    </w:p>
    <w:p w14:paraId="45D852D9" w14:textId="77777777" w:rsidR="007C68A4" w:rsidRPr="00F9703D" w:rsidRDefault="007C68A4" w:rsidP="007A292B">
      <w:pPr>
        <w:pStyle w:val="Betarp"/>
        <w:rPr>
          <w:rFonts w:eastAsia="Times New Roman"/>
          <w:snapToGrid w:val="0"/>
          <w:u w:val="single"/>
          <w:lang w:val="lt-LT"/>
        </w:rPr>
      </w:pPr>
    </w:p>
    <w:p w14:paraId="7B068545" w14:textId="77777777" w:rsidR="00345F83" w:rsidRDefault="00345F83" w:rsidP="007A292B">
      <w:pPr>
        <w:pStyle w:val="BTEMEASMCA"/>
      </w:pPr>
    </w:p>
    <w:p w14:paraId="08FF9C87" w14:textId="77777777" w:rsidR="00345F83" w:rsidRDefault="00345F83" w:rsidP="007A292B">
      <w:pPr>
        <w:pStyle w:val="BTEMEASMCA"/>
      </w:pPr>
    </w:p>
    <w:p w14:paraId="0708F24F" w14:textId="77777777" w:rsidR="00345F83" w:rsidRDefault="00345F83" w:rsidP="007A292B">
      <w:pPr>
        <w:pStyle w:val="BTEMEASMCA"/>
      </w:pPr>
    </w:p>
    <w:p w14:paraId="16EF3928" w14:textId="5124ACE0" w:rsidR="007C68A4" w:rsidRPr="00F9703D" w:rsidRDefault="007C68A4" w:rsidP="007A292B">
      <w:pPr>
        <w:pStyle w:val="BTEMEASMCA"/>
      </w:pPr>
      <w:r w:rsidRPr="00F9703D">
        <w:t>1 lentelė</w:t>
      </w:r>
    </w:p>
    <w:p w14:paraId="727083B4" w14:textId="77777777" w:rsidR="007C68A4" w:rsidRPr="00F9703D" w:rsidRDefault="007C68A4" w:rsidP="007A292B">
      <w:pPr>
        <w:pStyle w:val="BTEMEASMCA"/>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0"/>
        <w:gridCol w:w="1691"/>
        <w:gridCol w:w="4678"/>
      </w:tblGrid>
      <w:tr w:rsidR="0092729C" w:rsidRPr="00F9703D" w14:paraId="32DD9EB9" w14:textId="77777777" w:rsidTr="0077094C">
        <w:tc>
          <w:tcPr>
            <w:tcW w:w="2840" w:type="dxa"/>
            <w:tcMar>
              <w:top w:w="0" w:type="dxa"/>
              <w:left w:w="108" w:type="dxa"/>
              <w:bottom w:w="0" w:type="dxa"/>
              <w:right w:w="108" w:type="dxa"/>
            </w:tcMar>
            <w:hideMark/>
          </w:tcPr>
          <w:p w14:paraId="3635D149" w14:textId="77777777" w:rsidR="0092729C" w:rsidRPr="00F9703D" w:rsidRDefault="0092729C" w:rsidP="007A292B">
            <w:pPr>
              <w:spacing w:line="240" w:lineRule="auto"/>
              <w:rPr>
                <w:b/>
                <w:bCs/>
                <w:lang w:val="lt-LT"/>
              </w:rPr>
            </w:pPr>
            <w:r w:rsidRPr="00F9703D">
              <w:rPr>
                <w:b/>
                <w:bCs/>
                <w:lang w:val="lt-LT"/>
              </w:rPr>
              <w:t>Organų sistemų klasė</w:t>
            </w:r>
          </w:p>
        </w:tc>
        <w:tc>
          <w:tcPr>
            <w:tcW w:w="1691" w:type="dxa"/>
            <w:tcMar>
              <w:top w:w="0" w:type="dxa"/>
              <w:left w:w="108" w:type="dxa"/>
              <w:bottom w:w="0" w:type="dxa"/>
              <w:right w:w="108" w:type="dxa"/>
            </w:tcMar>
            <w:hideMark/>
          </w:tcPr>
          <w:p w14:paraId="49AAA261" w14:textId="77777777" w:rsidR="0092729C" w:rsidRPr="00F9703D" w:rsidRDefault="0092729C" w:rsidP="007A292B">
            <w:pPr>
              <w:spacing w:line="240" w:lineRule="auto"/>
              <w:rPr>
                <w:b/>
                <w:bCs/>
                <w:lang w:val="lt-LT"/>
              </w:rPr>
            </w:pPr>
            <w:r w:rsidRPr="00F9703D">
              <w:rPr>
                <w:b/>
                <w:bCs/>
                <w:lang w:val="lt-LT"/>
              </w:rPr>
              <w:t>Dažnis</w:t>
            </w:r>
          </w:p>
        </w:tc>
        <w:tc>
          <w:tcPr>
            <w:tcW w:w="4678" w:type="dxa"/>
            <w:tcMar>
              <w:top w:w="0" w:type="dxa"/>
              <w:left w:w="108" w:type="dxa"/>
              <w:bottom w:w="0" w:type="dxa"/>
              <w:right w:w="108" w:type="dxa"/>
            </w:tcMar>
            <w:hideMark/>
          </w:tcPr>
          <w:p w14:paraId="32243A4E" w14:textId="77777777" w:rsidR="0092729C" w:rsidRPr="00F9703D" w:rsidRDefault="0092729C" w:rsidP="007A292B">
            <w:pPr>
              <w:spacing w:line="240" w:lineRule="auto"/>
              <w:rPr>
                <w:b/>
                <w:bCs/>
                <w:lang w:val="lt-LT"/>
              </w:rPr>
            </w:pPr>
            <w:r w:rsidRPr="00F9703D">
              <w:rPr>
                <w:b/>
                <w:bCs/>
                <w:lang w:val="lt-LT"/>
              </w:rPr>
              <w:t>Nepageidaujama reakcija</w:t>
            </w:r>
          </w:p>
        </w:tc>
      </w:tr>
      <w:tr w:rsidR="001A69CD" w:rsidRPr="00F9703D" w14:paraId="2FD1543F" w14:textId="77777777" w:rsidTr="0077094C">
        <w:tc>
          <w:tcPr>
            <w:tcW w:w="2840" w:type="dxa"/>
            <w:vMerge w:val="restart"/>
            <w:tcMar>
              <w:top w:w="0" w:type="dxa"/>
              <w:left w:w="108" w:type="dxa"/>
              <w:bottom w:w="0" w:type="dxa"/>
              <w:right w:w="108" w:type="dxa"/>
            </w:tcMar>
          </w:tcPr>
          <w:p w14:paraId="3209B3C2" w14:textId="32190EFB" w:rsidR="001A69CD" w:rsidRPr="00F9703D" w:rsidRDefault="001A69CD" w:rsidP="007A292B">
            <w:pPr>
              <w:spacing w:line="240" w:lineRule="auto"/>
              <w:rPr>
                <w:lang w:val="lt-LT"/>
              </w:rPr>
            </w:pPr>
            <w:r w:rsidRPr="00F9703D">
              <w:rPr>
                <w:lang w:val="lt-LT"/>
              </w:rPr>
              <w:t>Akių sutrikimai</w:t>
            </w:r>
          </w:p>
        </w:tc>
        <w:tc>
          <w:tcPr>
            <w:tcW w:w="1691" w:type="dxa"/>
            <w:tcMar>
              <w:top w:w="0" w:type="dxa"/>
              <w:left w:w="108" w:type="dxa"/>
              <w:bottom w:w="0" w:type="dxa"/>
              <w:right w:w="108" w:type="dxa"/>
            </w:tcMar>
          </w:tcPr>
          <w:p w14:paraId="3941E049" w14:textId="5DF215CA" w:rsidR="001A69CD" w:rsidRPr="00F9703D" w:rsidRDefault="001A69CD" w:rsidP="007A292B">
            <w:pPr>
              <w:spacing w:line="240" w:lineRule="auto"/>
              <w:rPr>
                <w:lang w:val="lt-LT"/>
              </w:rPr>
            </w:pPr>
            <w:r w:rsidRPr="00F9703D">
              <w:rPr>
                <w:lang w:val="lt-LT"/>
              </w:rPr>
              <w:t>Labai dažnas</w:t>
            </w:r>
          </w:p>
        </w:tc>
        <w:tc>
          <w:tcPr>
            <w:tcW w:w="4678" w:type="dxa"/>
            <w:tcMar>
              <w:top w:w="0" w:type="dxa"/>
              <w:left w:w="108" w:type="dxa"/>
              <w:bottom w:w="0" w:type="dxa"/>
              <w:right w:w="108" w:type="dxa"/>
            </w:tcMar>
          </w:tcPr>
          <w:p w14:paraId="2F461CF3" w14:textId="0551851D" w:rsidR="001A69CD" w:rsidRPr="00F9703D" w:rsidRDefault="001A69CD" w:rsidP="007A292B">
            <w:pPr>
              <w:spacing w:line="240" w:lineRule="auto"/>
              <w:rPr>
                <w:lang w:val="lt-LT"/>
              </w:rPr>
            </w:pPr>
            <w:r w:rsidRPr="00F9703D">
              <w:rPr>
                <w:lang w:val="lt-LT"/>
              </w:rPr>
              <w:t>Akies hiperemija</w:t>
            </w:r>
          </w:p>
        </w:tc>
      </w:tr>
      <w:tr w:rsidR="001A69CD" w:rsidRPr="009F2441" w14:paraId="069664EE" w14:textId="77777777" w:rsidTr="0077094C">
        <w:tc>
          <w:tcPr>
            <w:tcW w:w="2840" w:type="dxa"/>
            <w:vMerge/>
            <w:tcMar>
              <w:top w:w="0" w:type="dxa"/>
              <w:left w:w="108" w:type="dxa"/>
              <w:bottom w:w="0" w:type="dxa"/>
              <w:right w:w="108" w:type="dxa"/>
            </w:tcMar>
            <w:hideMark/>
          </w:tcPr>
          <w:p w14:paraId="7B1EF79E" w14:textId="319B6907" w:rsidR="001A69CD" w:rsidRPr="00F9703D" w:rsidRDefault="001A69CD" w:rsidP="007A292B">
            <w:pPr>
              <w:spacing w:line="240" w:lineRule="auto"/>
              <w:rPr>
                <w:lang w:val="lt-LT"/>
              </w:rPr>
            </w:pPr>
          </w:p>
        </w:tc>
        <w:tc>
          <w:tcPr>
            <w:tcW w:w="1691" w:type="dxa"/>
            <w:tcMar>
              <w:top w:w="0" w:type="dxa"/>
              <w:left w:w="108" w:type="dxa"/>
              <w:bottom w:w="0" w:type="dxa"/>
              <w:right w:w="108" w:type="dxa"/>
            </w:tcMar>
            <w:hideMark/>
          </w:tcPr>
          <w:p w14:paraId="6E0E757C" w14:textId="45FD491F" w:rsidR="001A69CD" w:rsidRPr="00F9703D" w:rsidRDefault="001A69CD" w:rsidP="007A292B">
            <w:pPr>
              <w:spacing w:line="240" w:lineRule="auto"/>
              <w:rPr>
                <w:lang w:val="lt-LT"/>
              </w:rPr>
            </w:pPr>
            <w:r w:rsidRPr="00F9703D">
              <w:rPr>
                <w:lang w:val="lt-LT"/>
              </w:rPr>
              <w:t>Dažnas</w:t>
            </w:r>
          </w:p>
        </w:tc>
        <w:tc>
          <w:tcPr>
            <w:tcW w:w="4678" w:type="dxa"/>
            <w:tcMar>
              <w:top w:w="0" w:type="dxa"/>
              <w:left w:w="108" w:type="dxa"/>
              <w:bottom w:w="0" w:type="dxa"/>
              <w:right w:w="108" w:type="dxa"/>
            </w:tcMar>
            <w:hideMark/>
          </w:tcPr>
          <w:p w14:paraId="3BBE1773" w14:textId="786DB891" w:rsidR="001A69CD" w:rsidRPr="00F9703D" w:rsidRDefault="00DE0282" w:rsidP="007A292B">
            <w:pPr>
              <w:spacing w:line="240" w:lineRule="auto"/>
              <w:rPr>
                <w:lang w:val="lt-LT"/>
              </w:rPr>
            </w:pPr>
            <w:r>
              <w:rPr>
                <w:lang w:val="lt-LT"/>
              </w:rPr>
              <w:t>Sausos akys</w:t>
            </w:r>
            <w:r w:rsidR="001A69CD" w:rsidRPr="00F9703D">
              <w:rPr>
                <w:lang w:val="lt-LT"/>
              </w:rPr>
              <w:t>, akies dirginimas, svetimkūnio akyje pojūtis, akies niežėjimas</w:t>
            </w:r>
          </w:p>
        </w:tc>
      </w:tr>
      <w:tr w:rsidR="001A69CD" w:rsidRPr="009F2441" w14:paraId="31329421" w14:textId="77777777" w:rsidTr="0077094C">
        <w:tc>
          <w:tcPr>
            <w:tcW w:w="2840" w:type="dxa"/>
            <w:vMerge/>
            <w:tcMar>
              <w:top w:w="0" w:type="dxa"/>
              <w:left w:w="108" w:type="dxa"/>
              <w:bottom w:w="0" w:type="dxa"/>
              <w:right w:w="108" w:type="dxa"/>
            </w:tcMar>
          </w:tcPr>
          <w:p w14:paraId="52AAC33F" w14:textId="77777777" w:rsidR="001A69CD" w:rsidRPr="00F9703D" w:rsidRDefault="001A69CD" w:rsidP="007A292B">
            <w:pPr>
              <w:spacing w:line="240" w:lineRule="auto"/>
              <w:rPr>
                <w:lang w:val="lt-LT"/>
              </w:rPr>
            </w:pPr>
          </w:p>
        </w:tc>
        <w:tc>
          <w:tcPr>
            <w:tcW w:w="1691" w:type="dxa"/>
            <w:tcMar>
              <w:top w:w="0" w:type="dxa"/>
              <w:left w:w="108" w:type="dxa"/>
              <w:bottom w:w="0" w:type="dxa"/>
              <w:right w:w="108" w:type="dxa"/>
            </w:tcMar>
            <w:hideMark/>
          </w:tcPr>
          <w:p w14:paraId="7C1117FB" w14:textId="40CF635C" w:rsidR="001A69CD" w:rsidRPr="00F9703D" w:rsidRDefault="001A69CD" w:rsidP="007A292B">
            <w:pPr>
              <w:spacing w:line="240" w:lineRule="auto"/>
              <w:rPr>
                <w:lang w:val="lt-LT"/>
              </w:rPr>
            </w:pPr>
            <w:r w:rsidRPr="00F9703D">
              <w:rPr>
                <w:lang w:val="lt-LT"/>
              </w:rPr>
              <w:t>Nedažnas</w:t>
            </w:r>
          </w:p>
        </w:tc>
        <w:tc>
          <w:tcPr>
            <w:tcW w:w="4678" w:type="dxa"/>
            <w:tcMar>
              <w:top w:w="0" w:type="dxa"/>
              <w:left w:w="108" w:type="dxa"/>
              <w:bottom w:w="0" w:type="dxa"/>
              <w:right w:w="108" w:type="dxa"/>
            </w:tcMar>
            <w:hideMark/>
          </w:tcPr>
          <w:p w14:paraId="7F05E5F8" w14:textId="51484E7D" w:rsidR="001A69CD" w:rsidRPr="00F9703D" w:rsidRDefault="00155559" w:rsidP="007A292B">
            <w:pPr>
              <w:spacing w:line="240" w:lineRule="auto"/>
              <w:rPr>
                <w:lang w:val="lt-LT"/>
              </w:rPr>
            </w:pPr>
            <w:bookmarkStart w:id="26" w:name="_Hlk117272602"/>
            <w:r>
              <w:rPr>
                <w:lang w:val="lt-LT"/>
              </w:rPr>
              <w:t>Ta</w:t>
            </w:r>
            <w:r w:rsidRPr="00345F83">
              <w:rPr>
                <w:lang w:val="lt-LT"/>
              </w:rPr>
              <w:t>šk</w:t>
            </w:r>
            <w:r>
              <w:rPr>
                <w:lang w:val="lt-LT"/>
              </w:rPr>
              <w:t>inis keratitas, a</w:t>
            </w:r>
            <w:r w:rsidR="001A69CD" w:rsidRPr="00F9703D">
              <w:rPr>
                <w:lang w:val="lt-LT"/>
              </w:rPr>
              <w:t>kies</w:t>
            </w:r>
            <w:r w:rsidR="001A69CD" w:rsidRPr="00F9703D">
              <w:rPr>
                <w:spacing w:val="-12"/>
                <w:lang w:val="lt-LT"/>
              </w:rPr>
              <w:t xml:space="preserve"> </w:t>
            </w:r>
            <w:r w:rsidR="001A69CD" w:rsidRPr="00F9703D">
              <w:rPr>
                <w:lang w:val="lt-LT"/>
              </w:rPr>
              <w:t>voko</w:t>
            </w:r>
            <w:r w:rsidR="001A69CD" w:rsidRPr="00F9703D">
              <w:rPr>
                <w:spacing w:val="-12"/>
                <w:lang w:val="lt-LT"/>
              </w:rPr>
              <w:t xml:space="preserve"> </w:t>
            </w:r>
            <w:r w:rsidR="001A69CD" w:rsidRPr="00F9703D">
              <w:rPr>
                <w:lang w:val="lt-LT"/>
              </w:rPr>
              <w:t xml:space="preserve">pigmentacija, akies voko </w:t>
            </w:r>
            <w:bookmarkEnd w:id="26"/>
            <w:r w:rsidR="001A69CD" w:rsidRPr="00F9703D">
              <w:rPr>
                <w:lang w:val="lt-LT"/>
              </w:rPr>
              <w:t xml:space="preserve">uždegimas, </w:t>
            </w:r>
            <w:r w:rsidR="00F173A4">
              <w:rPr>
                <w:lang w:val="lt-LT"/>
              </w:rPr>
              <w:t>šaltasis miežis (</w:t>
            </w:r>
            <w:r w:rsidR="001A69CD" w:rsidRPr="00F9703D">
              <w:rPr>
                <w:lang w:val="lt-LT"/>
              </w:rPr>
              <w:t>chalaz</w:t>
            </w:r>
            <w:r w:rsidR="00F173A4">
              <w:rPr>
                <w:lang w:val="lt-LT"/>
              </w:rPr>
              <w:t>ionas)</w:t>
            </w:r>
            <w:r w:rsidR="001A69CD" w:rsidRPr="00F9703D">
              <w:rPr>
                <w:lang w:val="lt-LT"/>
              </w:rPr>
              <w:t xml:space="preserve">, akių vokų eritema, padidėjęs ašarojimas, akių skausmas, vokų odos lupimasis, vokų </w:t>
            </w:r>
            <w:r w:rsidR="003B333C">
              <w:rPr>
                <w:lang w:val="lt-LT"/>
              </w:rPr>
              <w:t>niežėjimas</w:t>
            </w:r>
            <w:r w:rsidR="001A69CD" w:rsidRPr="00F9703D">
              <w:rPr>
                <w:lang w:val="lt-LT"/>
              </w:rPr>
              <w:t>, blakstienų augimas, konjunktyvitas, regos sutrikimas, diskomfortas vokuose, akių parestezija, akių patinimas, neryškus matymas</w:t>
            </w:r>
          </w:p>
          <w:p w14:paraId="36D1FF0E" w14:textId="1CE3364C" w:rsidR="001A69CD" w:rsidRPr="00F9703D" w:rsidRDefault="001A69CD" w:rsidP="007A292B">
            <w:pPr>
              <w:spacing w:line="240" w:lineRule="auto"/>
              <w:rPr>
                <w:lang w:val="lt-LT"/>
              </w:rPr>
            </w:pPr>
          </w:p>
        </w:tc>
      </w:tr>
      <w:tr w:rsidR="0092729C" w:rsidRPr="00F9703D" w14:paraId="7201BF46" w14:textId="77777777" w:rsidTr="0077094C">
        <w:tc>
          <w:tcPr>
            <w:tcW w:w="2840" w:type="dxa"/>
            <w:tcMar>
              <w:top w:w="0" w:type="dxa"/>
              <w:left w:w="108" w:type="dxa"/>
              <w:bottom w:w="0" w:type="dxa"/>
              <w:right w:w="108" w:type="dxa"/>
            </w:tcMar>
          </w:tcPr>
          <w:p w14:paraId="7C6979DF" w14:textId="168D2243" w:rsidR="0092729C" w:rsidRPr="00F9703D" w:rsidRDefault="008D3603" w:rsidP="007A292B">
            <w:pPr>
              <w:spacing w:line="240" w:lineRule="auto"/>
              <w:rPr>
                <w:lang w:val="lt-LT"/>
              </w:rPr>
            </w:pPr>
            <w:r w:rsidRPr="00F9703D">
              <w:rPr>
                <w:lang w:val="lt-LT"/>
              </w:rPr>
              <w:t>Bendrieji sutrikimai ir vartojimo vietos pažeidimai</w:t>
            </w:r>
          </w:p>
        </w:tc>
        <w:tc>
          <w:tcPr>
            <w:tcW w:w="1691" w:type="dxa"/>
            <w:tcMar>
              <w:top w:w="0" w:type="dxa"/>
              <w:left w:w="108" w:type="dxa"/>
              <w:bottom w:w="0" w:type="dxa"/>
              <w:right w:w="108" w:type="dxa"/>
            </w:tcMar>
          </w:tcPr>
          <w:p w14:paraId="75754F94" w14:textId="59CE3A55" w:rsidR="0092729C" w:rsidRPr="00F9703D" w:rsidRDefault="008D3603" w:rsidP="007A292B">
            <w:pPr>
              <w:spacing w:line="240" w:lineRule="auto"/>
              <w:rPr>
                <w:lang w:val="lt-LT"/>
              </w:rPr>
            </w:pPr>
            <w:r w:rsidRPr="00F9703D">
              <w:rPr>
                <w:lang w:val="lt-LT"/>
              </w:rPr>
              <w:t>Nedažnas</w:t>
            </w:r>
          </w:p>
        </w:tc>
        <w:tc>
          <w:tcPr>
            <w:tcW w:w="4678" w:type="dxa"/>
            <w:tcMar>
              <w:top w:w="0" w:type="dxa"/>
              <w:left w:w="108" w:type="dxa"/>
              <w:bottom w:w="0" w:type="dxa"/>
              <w:right w:w="108" w:type="dxa"/>
            </w:tcMar>
          </w:tcPr>
          <w:p w14:paraId="307ACC70" w14:textId="41198D24" w:rsidR="0092729C" w:rsidRPr="00F9703D" w:rsidRDefault="0077094C" w:rsidP="007A292B">
            <w:pPr>
              <w:spacing w:line="240" w:lineRule="auto"/>
              <w:rPr>
                <w:lang w:val="lt-LT"/>
              </w:rPr>
            </w:pPr>
            <w:r w:rsidRPr="00F9703D">
              <w:rPr>
                <w:lang w:val="lt-LT"/>
              </w:rPr>
              <w:t>Veido skausmas</w:t>
            </w:r>
          </w:p>
        </w:tc>
      </w:tr>
      <w:tr w:rsidR="0077094C" w:rsidRPr="00DB546C" w14:paraId="5657EE0A" w14:textId="77777777" w:rsidTr="0077094C">
        <w:tc>
          <w:tcPr>
            <w:tcW w:w="2840" w:type="dxa"/>
            <w:tcMar>
              <w:top w:w="0" w:type="dxa"/>
              <w:left w:w="108" w:type="dxa"/>
              <w:bottom w:w="0" w:type="dxa"/>
              <w:right w:w="108" w:type="dxa"/>
            </w:tcMar>
          </w:tcPr>
          <w:p w14:paraId="08ABDAFE" w14:textId="6BF947CD" w:rsidR="0077094C" w:rsidRPr="00F9703D" w:rsidRDefault="00EC20B4" w:rsidP="007A292B">
            <w:pPr>
              <w:spacing w:line="240" w:lineRule="auto"/>
              <w:rPr>
                <w:lang w:val="lt-LT"/>
              </w:rPr>
            </w:pPr>
            <w:r w:rsidRPr="00F9703D">
              <w:rPr>
                <w:lang w:val="lt-LT"/>
              </w:rPr>
              <w:t>Nervų sistemos sutrikimai</w:t>
            </w:r>
          </w:p>
        </w:tc>
        <w:tc>
          <w:tcPr>
            <w:tcW w:w="1691" w:type="dxa"/>
            <w:tcMar>
              <w:top w:w="0" w:type="dxa"/>
              <w:left w:w="108" w:type="dxa"/>
              <w:bottom w:w="0" w:type="dxa"/>
              <w:right w:w="108" w:type="dxa"/>
            </w:tcMar>
          </w:tcPr>
          <w:p w14:paraId="43FCEB2F" w14:textId="6191610A" w:rsidR="0077094C" w:rsidRPr="00F9703D" w:rsidRDefault="00EC20B4" w:rsidP="007A292B">
            <w:pPr>
              <w:spacing w:line="240" w:lineRule="auto"/>
              <w:rPr>
                <w:lang w:val="lt-LT"/>
              </w:rPr>
            </w:pPr>
            <w:r w:rsidRPr="00F9703D">
              <w:rPr>
                <w:lang w:val="lt-LT"/>
              </w:rPr>
              <w:t>Nedažnas</w:t>
            </w:r>
          </w:p>
        </w:tc>
        <w:tc>
          <w:tcPr>
            <w:tcW w:w="4678" w:type="dxa"/>
            <w:tcMar>
              <w:top w:w="0" w:type="dxa"/>
              <w:left w:w="108" w:type="dxa"/>
              <w:bottom w:w="0" w:type="dxa"/>
              <w:right w:w="108" w:type="dxa"/>
            </w:tcMar>
          </w:tcPr>
          <w:p w14:paraId="58D74AA8" w14:textId="5DF802ED" w:rsidR="0077094C" w:rsidRPr="00F9703D" w:rsidRDefault="0022094E" w:rsidP="007A292B">
            <w:pPr>
              <w:spacing w:line="240" w:lineRule="auto"/>
              <w:rPr>
                <w:lang w:val="lt-LT"/>
              </w:rPr>
            </w:pPr>
            <w:r>
              <w:rPr>
                <w:lang w:val="lt-LT"/>
              </w:rPr>
              <w:t>S</w:t>
            </w:r>
            <w:r w:rsidR="00A929CC" w:rsidRPr="00F9703D">
              <w:rPr>
                <w:lang w:val="lt-LT"/>
              </w:rPr>
              <w:t>vaigulys, galvos skausmas, parestezija</w:t>
            </w:r>
          </w:p>
        </w:tc>
      </w:tr>
      <w:tr w:rsidR="00A929CC" w:rsidRPr="00F9703D" w14:paraId="505D863B" w14:textId="77777777" w:rsidTr="0077094C">
        <w:tc>
          <w:tcPr>
            <w:tcW w:w="2840" w:type="dxa"/>
            <w:tcMar>
              <w:top w:w="0" w:type="dxa"/>
              <w:left w:w="108" w:type="dxa"/>
              <w:bottom w:w="0" w:type="dxa"/>
              <w:right w:w="108" w:type="dxa"/>
            </w:tcMar>
          </w:tcPr>
          <w:p w14:paraId="6B52EF39" w14:textId="0282A848" w:rsidR="00A929CC" w:rsidRPr="00F9703D" w:rsidRDefault="00A929CC" w:rsidP="007A292B">
            <w:pPr>
              <w:spacing w:line="240" w:lineRule="auto"/>
              <w:rPr>
                <w:lang w:val="lt-LT"/>
              </w:rPr>
            </w:pPr>
            <w:r w:rsidRPr="00F9703D">
              <w:rPr>
                <w:lang w:val="lt-LT"/>
              </w:rPr>
              <w:t>Odos ir poodinio audinio sutrikimai</w:t>
            </w:r>
          </w:p>
        </w:tc>
        <w:tc>
          <w:tcPr>
            <w:tcW w:w="1691" w:type="dxa"/>
            <w:tcMar>
              <w:top w:w="0" w:type="dxa"/>
              <w:left w:w="108" w:type="dxa"/>
              <w:bottom w:w="0" w:type="dxa"/>
              <w:right w:w="108" w:type="dxa"/>
            </w:tcMar>
          </w:tcPr>
          <w:p w14:paraId="67B03CA4" w14:textId="6935B6EC" w:rsidR="00A929CC" w:rsidRPr="00F9703D" w:rsidRDefault="00A929CC" w:rsidP="007A292B">
            <w:pPr>
              <w:spacing w:line="240" w:lineRule="auto"/>
              <w:rPr>
                <w:lang w:val="lt-LT"/>
              </w:rPr>
            </w:pPr>
            <w:r w:rsidRPr="00F9703D">
              <w:rPr>
                <w:lang w:val="lt-LT"/>
              </w:rPr>
              <w:t>Nedažnas</w:t>
            </w:r>
          </w:p>
        </w:tc>
        <w:tc>
          <w:tcPr>
            <w:tcW w:w="4678" w:type="dxa"/>
            <w:tcMar>
              <w:top w:w="0" w:type="dxa"/>
              <w:left w:w="108" w:type="dxa"/>
              <w:bottom w:w="0" w:type="dxa"/>
              <w:right w:w="108" w:type="dxa"/>
            </w:tcMar>
          </w:tcPr>
          <w:p w14:paraId="6F133ECF" w14:textId="27528160" w:rsidR="00A929CC" w:rsidRPr="00F9703D" w:rsidRDefault="00A929CC" w:rsidP="007A292B">
            <w:pPr>
              <w:spacing w:line="240" w:lineRule="auto"/>
              <w:rPr>
                <w:lang w:val="lt-LT"/>
              </w:rPr>
            </w:pPr>
            <w:r w:rsidRPr="00F9703D">
              <w:rPr>
                <w:lang w:val="lt-LT"/>
              </w:rPr>
              <w:t>Niež</w:t>
            </w:r>
            <w:r w:rsidR="005E180F" w:rsidRPr="00F9703D">
              <w:rPr>
                <w:lang w:val="lt-LT"/>
              </w:rPr>
              <w:t>ėjimas</w:t>
            </w:r>
          </w:p>
        </w:tc>
      </w:tr>
      <w:tr w:rsidR="00A929CC" w:rsidRPr="00F9703D" w14:paraId="3D114A78" w14:textId="77777777" w:rsidTr="0077094C">
        <w:tc>
          <w:tcPr>
            <w:tcW w:w="2840" w:type="dxa"/>
            <w:tcMar>
              <w:top w:w="0" w:type="dxa"/>
              <w:left w:w="108" w:type="dxa"/>
              <w:bottom w:w="0" w:type="dxa"/>
              <w:right w:w="108" w:type="dxa"/>
            </w:tcMar>
          </w:tcPr>
          <w:p w14:paraId="656822BB" w14:textId="73361AB9" w:rsidR="00A929CC" w:rsidRPr="00F9703D" w:rsidRDefault="00A929CC" w:rsidP="007A292B">
            <w:pPr>
              <w:spacing w:line="240" w:lineRule="auto"/>
              <w:rPr>
                <w:lang w:val="lt-LT"/>
              </w:rPr>
            </w:pPr>
            <w:r w:rsidRPr="00F9703D">
              <w:rPr>
                <w:lang w:val="lt-LT"/>
              </w:rPr>
              <w:t>Kraujagyslių sutrikimai</w:t>
            </w:r>
          </w:p>
        </w:tc>
        <w:tc>
          <w:tcPr>
            <w:tcW w:w="1691" w:type="dxa"/>
            <w:tcMar>
              <w:top w:w="0" w:type="dxa"/>
              <w:left w:w="108" w:type="dxa"/>
              <w:bottom w:w="0" w:type="dxa"/>
              <w:right w:w="108" w:type="dxa"/>
            </w:tcMar>
          </w:tcPr>
          <w:p w14:paraId="67094D8D" w14:textId="43B4E6B2" w:rsidR="00A929CC" w:rsidRPr="00F9703D" w:rsidRDefault="00A929CC" w:rsidP="007A292B">
            <w:pPr>
              <w:spacing w:line="240" w:lineRule="auto"/>
              <w:rPr>
                <w:lang w:val="lt-LT"/>
              </w:rPr>
            </w:pPr>
            <w:r w:rsidRPr="00F9703D">
              <w:rPr>
                <w:lang w:val="lt-LT"/>
              </w:rPr>
              <w:t>Nedažnas</w:t>
            </w:r>
          </w:p>
        </w:tc>
        <w:tc>
          <w:tcPr>
            <w:tcW w:w="4678" w:type="dxa"/>
            <w:tcMar>
              <w:top w:w="0" w:type="dxa"/>
              <w:left w:w="108" w:type="dxa"/>
              <w:bottom w:w="0" w:type="dxa"/>
              <w:right w:w="108" w:type="dxa"/>
            </w:tcMar>
          </w:tcPr>
          <w:p w14:paraId="6AF11075" w14:textId="283E54BF" w:rsidR="00A929CC" w:rsidRPr="00F9703D" w:rsidRDefault="00A929CC" w:rsidP="007A292B">
            <w:pPr>
              <w:spacing w:line="240" w:lineRule="auto"/>
              <w:rPr>
                <w:lang w:val="lt-LT"/>
              </w:rPr>
            </w:pPr>
            <w:r w:rsidRPr="00F9703D">
              <w:rPr>
                <w:lang w:val="lt-LT"/>
              </w:rPr>
              <w:t>Karščio pylimas, galūnių šaltumas</w:t>
            </w:r>
          </w:p>
        </w:tc>
      </w:tr>
    </w:tbl>
    <w:p w14:paraId="50521AFF" w14:textId="77777777" w:rsidR="007C68A4" w:rsidRPr="00F9703D" w:rsidRDefault="007C68A4" w:rsidP="007A292B">
      <w:pPr>
        <w:pStyle w:val="Betarp"/>
        <w:rPr>
          <w:lang w:val="lt-LT"/>
        </w:rPr>
      </w:pPr>
    </w:p>
    <w:p w14:paraId="1C586FED" w14:textId="1F1CE517" w:rsidR="008D3603" w:rsidRPr="00F9703D" w:rsidRDefault="00A929CC" w:rsidP="007A292B">
      <w:pPr>
        <w:pStyle w:val="Betarp"/>
        <w:rPr>
          <w:lang w:val="lt-LT"/>
        </w:rPr>
      </w:pPr>
      <w:r w:rsidRPr="00F9703D">
        <w:rPr>
          <w:lang w:val="lt-LT"/>
        </w:rPr>
        <w:t>Papildomos nepageidaujamos reakcijos</w:t>
      </w:r>
      <w:r w:rsidR="002E1BAA">
        <w:rPr>
          <w:lang w:val="lt-LT"/>
        </w:rPr>
        <w:t>, kurios</w:t>
      </w:r>
      <w:r w:rsidRPr="00F9703D">
        <w:rPr>
          <w:lang w:val="lt-LT"/>
        </w:rPr>
        <w:t xml:space="preserve"> buvo pastebėtos vartojant </w:t>
      </w:r>
      <w:r w:rsidR="004C424A" w:rsidRPr="00F9703D">
        <w:rPr>
          <w:lang w:val="lt-LT"/>
        </w:rPr>
        <w:t>vien</w:t>
      </w:r>
      <w:r w:rsidR="002E1BAA">
        <w:rPr>
          <w:lang w:val="lt-LT"/>
        </w:rPr>
        <w:t>ą</w:t>
      </w:r>
      <w:r w:rsidRPr="00F9703D">
        <w:rPr>
          <w:lang w:val="lt-LT"/>
        </w:rPr>
        <w:t xml:space="preserve"> iš veikliųjų </w:t>
      </w:r>
      <w:r w:rsidR="002E1BAA">
        <w:rPr>
          <w:lang w:val="lt-LT"/>
        </w:rPr>
        <w:t xml:space="preserve">vaistinio preparato </w:t>
      </w:r>
      <w:r w:rsidRPr="00F9703D">
        <w:rPr>
          <w:lang w:val="lt-LT"/>
        </w:rPr>
        <w:t xml:space="preserve">medžiagų (bimatoprosto arba timololio), </w:t>
      </w:r>
      <w:r w:rsidR="002E1BAA">
        <w:rPr>
          <w:lang w:val="lt-LT"/>
        </w:rPr>
        <w:t>galinčios taip pat</w:t>
      </w:r>
      <w:r w:rsidRPr="00F9703D">
        <w:rPr>
          <w:lang w:val="lt-LT"/>
        </w:rPr>
        <w:t xml:space="preserve"> pasireikšti vartojant </w:t>
      </w:r>
      <w:r w:rsidR="00E90A95">
        <w:rPr>
          <w:lang w:val="lt-LT"/>
        </w:rPr>
        <w:t>Ed</w:t>
      </w:r>
      <w:r w:rsidR="007643D3" w:rsidRPr="007643D3">
        <w:rPr>
          <w:lang w:val="lt-LT"/>
        </w:rPr>
        <w:t>uelym</w:t>
      </w:r>
      <w:r w:rsidRPr="00F9703D">
        <w:rPr>
          <w:lang w:val="lt-LT"/>
        </w:rPr>
        <w:t>. Papildomi nepageidaujami reiškiniai, apie kuriuos buvo pranešta vartojant bimatoprosto arba timololio klinikinių tyrimų, stebėjimo po pateikimo į rinką metu arba literatūroje, išvardyti toliau 2 ir 3 lentelėse.</w:t>
      </w:r>
    </w:p>
    <w:p w14:paraId="24E39A3C" w14:textId="77777777" w:rsidR="007C68A4" w:rsidRPr="00F9703D" w:rsidRDefault="007C68A4" w:rsidP="007A292B">
      <w:pPr>
        <w:pStyle w:val="Betarp"/>
        <w:rPr>
          <w:b/>
          <w:i/>
          <w:lang w:val="lt-LT"/>
        </w:rPr>
      </w:pPr>
    </w:p>
    <w:p w14:paraId="29E83584" w14:textId="513ED392" w:rsidR="004C424A" w:rsidRPr="00F9703D" w:rsidRDefault="004C424A" w:rsidP="007A292B">
      <w:pPr>
        <w:pStyle w:val="Betarp"/>
        <w:rPr>
          <w:bCs/>
          <w:i/>
          <w:lang w:val="lt-LT"/>
        </w:rPr>
      </w:pPr>
      <w:r w:rsidRPr="00F9703D">
        <w:rPr>
          <w:bCs/>
          <w:i/>
          <w:lang w:val="lt-LT"/>
        </w:rPr>
        <w:t>Bimatoprostas</w:t>
      </w:r>
    </w:p>
    <w:p w14:paraId="398DEEE0" w14:textId="77777777" w:rsidR="004C424A" w:rsidRPr="00F9703D" w:rsidRDefault="004C424A" w:rsidP="007A292B">
      <w:pPr>
        <w:pStyle w:val="Betarp"/>
        <w:rPr>
          <w:b/>
          <w:i/>
          <w:lang w:val="lt-LT"/>
        </w:rPr>
      </w:pPr>
    </w:p>
    <w:p w14:paraId="4AA0AF43" w14:textId="1CEA4C2B" w:rsidR="007C68A4" w:rsidRPr="00F9703D" w:rsidRDefault="007C68A4" w:rsidP="007A292B">
      <w:pPr>
        <w:pStyle w:val="Betarp"/>
        <w:rPr>
          <w:b/>
          <w:lang w:val="lt-LT"/>
        </w:rPr>
      </w:pPr>
      <w:r w:rsidRPr="00F9703D">
        <w:rPr>
          <w:b/>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9"/>
      </w:tblGrid>
      <w:tr w:rsidR="007C68A4" w:rsidRPr="00F9703D" w14:paraId="35433C69" w14:textId="77777777" w:rsidTr="00E774FC">
        <w:tc>
          <w:tcPr>
            <w:tcW w:w="4522" w:type="dxa"/>
          </w:tcPr>
          <w:p w14:paraId="1170716A" w14:textId="77777777" w:rsidR="007C68A4" w:rsidRPr="00F9703D" w:rsidRDefault="007C68A4" w:rsidP="007A292B">
            <w:pPr>
              <w:pStyle w:val="Betarp"/>
              <w:rPr>
                <w:i/>
                <w:lang w:val="lt-LT"/>
              </w:rPr>
            </w:pPr>
            <w:r w:rsidRPr="00F9703D">
              <w:rPr>
                <w:b/>
                <w:lang w:val="lt-LT"/>
              </w:rPr>
              <w:t>Organų sistemų klasės</w:t>
            </w:r>
          </w:p>
        </w:tc>
        <w:tc>
          <w:tcPr>
            <w:tcW w:w="4539" w:type="dxa"/>
          </w:tcPr>
          <w:p w14:paraId="21BB9B58" w14:textId="492B941B" w:rsidR="007C68A4" w:rsidRPr="00F9703D" w:rsidRDefault="007C68A4" w:rsidP="007A292B">
            <w:pPr>
              <w:pStyle w:val="Betarp"/>
              <w:rPr>
                <w:b/>
                <w:lang w:val="lt-LT"/>
              </w:rPr>
            </w:pPr>
            <w:r w:rsidRPr="00F9703D">
              <w:rPr>
                <w:b/>
                <w:lang w:val="lt-LT"/>
              </w:rPr>
              <w:t>Nepageidaujam</w:t>
            </w:r>
            <w:r w:rsidR="00E774FC" w:rsidRPr="00F9703D">
              <w:rPr>
                <w:b/>
                <w:lang w:val="lt-LT"/>
              </w:rPr>
              <w:t>a</w:t>
            </w:r>
            <w:r w:rsidRPr="00F9703D">
              <w:rPr>
                <w:b/>
                <w:lang w:val="lt-LT"/>
              </w:rPr>
              <w:t xml:space="preserve"> reakcij</w:t>
            </w:r>
            <w:r w:rsidR="00E774FC" w:rsidRPr="00F9703D">
              <w:rPr>
                <w:b/>
                <w:lang w:val="lt-LT"/>
              </w:rPr>
              <w:t>a</w:t>
            </w:r>
          </w:p>
        </w:tc>
      </w:tr>
      <w:tr w:rsidR="007C68A4" w:rsidRPr="009F2441" w14:paraId="4C8FB2E8" w14:textId="77777777" w:rsidTr="00E774FC">
        <w:tc>
          <w:tcPr>
            <w:tcW w:w="4522" w:type="dxa"/>
          </w:tcPr>
          <w:p w14:paraId="0329CCC6" w14:textId="77777777" w:rsidR="007C68A4" w:rsidRPr="00F9703D" w:rsidRDefault="007C68A4" w:rsidP="007A292B">
            <w:pPr>
              <w:pStyle w:val="Betarp"/>
              <w:rPr>
                <w:lang w:val="lt-LT"/>
              </w:rPr>
            </w:pPr>
            <w:r w:rsidRPr="00F9703D">
              <w:rPr>
                <w:lang w:val="lt-LT"/>
              </w:rPr>
              <w:t>Akių sutrikimai</w:t>
            </w:r>
          </w:p>
        </w:tc>
        <w:tc>
          <w:tcPr>
            <w:tcW w:w="4539" w:type="dxa"/>
          </w:tcPr>
          <w:p w14:paraId="75A16AEB" w14:textId="2BE90CBF" w:rsidR="007C68A4" w:rsidRPr="00F9703D" w:rsidRDefault="00E774FC" w:rsidP="007A292B">
            <w:pPr>
              <w:pStyle w:val="Betarp"/>
              <w:rPr>
                <w:lang w:val="lt-LT"/>
              </w:rPr>
            </w:pPr>
            <w:r w:rsidRPr="00F9703D">
              <w:rPr>
                <w:lang w:val="lt-LT"/>
              </w:rPr>
              <w:t xml:space="preserve">Prostaglandino analogo periorbitopatija*, padidėjusi rainelės pigmentacija, madarozė, </w:t>
            </w:r>
            <w:r w:rsidR="00BD6D4A" w:rsidRPr="00F9703D">
              <w:rPr>
                <w:lang w:val="lt-LT"/>
              </w:rPr>
              <w:t>fotofobija, blakstienų patamsėjimas, akies voko edema, akies voko egzema</w:t>
            </w:r>
          </w:p>
        </w:tc>
      </w:tr>
    </w:tbl>
    <w:p w14:paraId="2D13C9E3" w14:textId="09D53794" w:rsidR="007C68A4" w:rsidRPr="00F9703D" w:rsidRDefault="00BD6D4A" w:rsidP="007A292B">
      <w:pPr>
        <w:pStyle w:val="Betarp"/>
        <w:rPr>
          <w:lang w:val="lt-LT"/>
        </w:rPr>
      </w:pPr>
      <w:r w:rsidRPr="00F9703D">
        <w:rPr>
          <w:lang w:val="lt-LT"/>
        </w:rPr>
        <w:t xml:space="preserve">*taip pat žr. c) </w:t>
      </w:r>
      <w:r w:rsidR="008C3954">
        <w:rPr>
          <w:lang w:val="lt-LT"/>
        </w:rPr>
        <w:t>Atrinktų</w:t>
      </w:r>
      <w:r w:rsidRPr="00F9703D">
        <w:rPr>
          <w:lang w:val="lt-LT"/>
        </w:rPr>
        <w:t xml:space="preserve"> nepageidaujamų reakcijų </w:t>
      </w:r>
      <w:r w:rsidR="008C3954">
        <w:rPr>
          <w:lang w:val="lt-LT"/>
        </w:rPr>
        <w:t>apibūdinimas</w:t>
      </w:r>
    </w:p>
    <w:p w14:paraId="5DA32B35" w14:textId="77777777" w:rsidR="00BD6D4A" w:rsidRPr="00F9703D" w:rsidRDefault="00BD6D4A" w:rsidP="007A292B">
      <w:pPr>
        <w:pStyle w:val="Betarp"/>
        <w:rPr>
          <w:u w:val="single"/>
          <w:lang w:val="lt-LT"/>
        </w:rPr>
      </w:pPr>
    </w:p>
    <w:p w14:paraId="6B34E71F" w14:textId="7F6C1DEE" w:rsidR="007C68A4" w:rsidRPr="00F9703D" w:rsidRDefault="007C68A4" w:rsidP="007A292B">
      <w:pPr>
        <w:pStyle w:val="Betarp"/>
        <w:rPr>
          <w:i/>
          <w:iCs/>
          <w:lang w:val="lt-LT"/>
        </w:rPr>
      </w:pPr>
      <w:r w:rsidRPr="00F9703D">
        <w:rPr>
          <w:i/>
          <w:iCs/>
          <w:lang w:val="lt-LT"/>
        </w:rPr>
        <w:t>Timololi</w:t>
      </w:r>
      <w:r w:rsidR="00BD6D4A" w:rsidRPr="00F9703D">
        <w:rPr>
          <w:i/>
          <w:iCs/>
          <w:lang w:val="lt-LT"/>
        </w:rPr>
        <w:t>s</w:t>
      </w:r>
    </w:p>
    <w:p w14:paraId="2A4F11E5" w14:textId="77777777" w:rsidR="00BD6D4A" w:rsidRPr="00F9703D" w:rsidRDefault="00BD6D4A" w:rsidP="007A292B">
      <w:pPr>
        <w:pStyle w:val="Betarp"/>
        <w:rPr>
          <w:i/>
          <w:iCs/>
          <w:lang w:val="lt-LT"/>
        </w:rPr>
      </w:pPr>
    </w:p>
    <w:p w14:paraId="3FF7F650" w14:textId="53C1D3EC" w:rsidR="00BD6D4A" w:rsidRPr="00F9703D" w:rsidRDefault="00BD6D4A" w:rsidP="007A292B">
      <w:pPr>
        <w:pStyle w:val="Betarp"/>
        <w:rPr>
          <w:lang w:val="lt-LT"/>
        </w:rPr>
      </w:pPr>
      <w:r w:rsidRPr="00F9703D">
        <w:rPr>
          <w:lang w:val="lt-LT"/>
        </w:rPr>
        <w:t xml:space="preserve">Timololio, kaip ir kitų lokaliai vartojamų oftalmologinių vaistinių preparatų, absorbuojama į sisteminę kraujotaką. </w:t>
      </w:r>
      <w:r w:rsidR="004B68AD" w:rsidRPr="00F9703D">
        <w:rPr>
          <w:lang w:val="lt-LT"/>
        </w:rPr>
        <w:t>Tai gali sukelti panašų</w:t>
      </w:r>
      <w:r w:rsidRPr="00F9703D">
        <w:rPr>
          <w:lang w:val="lt-LT"/>
        </w:rPr>
        <w:t xml:space="preserve"> nepageidaujam</w:t>
      </w:r>
      <w:r w:rsidR="004B68AD" w:rsidRPr="00F9703D">
        <w:rPr>
          <w:lang w:val="lt-LT"/>
        </w:rPr>
        <w:t>ą</w:t>
      </w:r>
      <w:r w:rsidRPr="00F9703D">
        <w:rPr>
          <w:lang w:val="lt-LT"/>
        </w:rPr>
        <w:t xml:space="preserve"> poveik</w:t>
      </w:r>
      <w:r w:rsidR="004B68AD" w:rsidRPr="00F9703D">
        <w:rPr>
          <w:lang w:val="lt-LT"/>
        </w:rPr>
        <w:t>į</w:t>
      </w:r>
      <w:r w:rsidRPr="00F9703D">
        <w:rPr>
          <w:lang w:val="lt-LT"/>
        </w:rPr>
        <w:t xml:space="preserve">, koks pasireiškia vartojant sisteminio poveikio beta adrenoblokatorių. Sisteminių nepageidaujamų reakcijų į vaistinį preparatą po </w:t>
      </w:r>
      <w:r w:rsidR="00BB305D" w:rsidRPr="00F9703D">
        <w:rPr>
          <w:lang w:val="lt-LT"/>
        </w:rPr>
        <w:t>vietinio</w:t>
      </w:r>
      <w:r w:rsidRPr="00F9703D">
        <w:rPr>
          <w:lang w:val="lt-LT"/>
        </w:rPr>
        <w:t xml:space="preserve"> oftalmologinių preparatų vartojimo atsiranda rečiau nei po sisteminio vartojimo. Išvardytos nepageidaujamos reakcijos apima ir reakcijas, pasireiškiančias vartojant oftalmologinių beta blokatorių klasės preparatų.</w:t>
      </w:r>
      <w:r w:rsidR="00BB305D" w:rsidRPr="00F9703D">
        <w:rPr>
          <w:lang w:val="lt-LT"/>
        </w:rPr>
        <w:t xml:space="preserve"> Kaip sumažinti sisteminę absorbciją, žr. 4.2 skyrių.</w:t>
      </w:r>
    </w:p>
    <w:p w14:paraId="67939269" w14:textId="77777777" w:rsidR="007C68A4" w:rsidRPr="00F9703D" w:rsidRDefault="007C68A4" w:rsidP="007A292B">
      <w:pPr>
        <w:pStyle w:val="Betarp"/>
        <w:rPr>
          <w:b/>
          <w:lang w:val="lt-LT"/>
        </w:rPr>
      </w:pPr>
    </w:p>
    <w:p w14:paraId="2364B39E" w14:textId="28121DAC" w:rsidR="007C68A4" w:rsidRPr="00F9703D" w:rsidRDefault="007C68A4" w:rsidP="007A292B">
      <w:pPr>
        <w:pStyle w:val="Betarp"/>
        <w:rPr>
          <w:b/>
          <w:lang w:val="lt-LT"/>
        </w:rPr>
      </w:pPr>
      <w:r w:rsidRPr="00F9703D">
        <w:rPr>
          <w:b/>
          <w:lang w:val="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7C68A4" w:rsidRPr="00F9703D" w14:paraId="30EF50A6" w14:textId="77777777" w:rsidTr="00AA218F">
        <w:tc>
          <w:tcPr>
            <w:tcW w:w="4524" w:type="dxa"/>
          </w:tcPr>
          <w:p w14:paraId="694B7655" w14:textId="77777777" w:rsidR="007C68A4" w:rsidRPr="00F9703D" w:rsidRDefault="007C68A4" w:rsidP="007A292B">
            <w:pPr>
              <w:pStyle w:val="Betarp"/>
              <w:rPr>
                <w:i/>
                <w:lang w:val="lt-LT"/>
              </w:rPr>
            </w:pPr>
            <w:r w:rsidRPr="00F9703D">
              <w:rPr>
                <w:b/>
                <w:lang w:val="lt-LT"/>
              </w:rPr>
              <w:t>Organų sistemų klasės</w:t>
            </w:r>
          </w:p>
        </w:tc>
        <w:tc>
          <w:tcPr>
            <w:tcW w:w="4537" w:type="dxa"/>
          </w:tcPr>
          <w:p w14:paraId="0F079517" w14:textId="415C6D4F" w:rsidR="007C68A4" w:rsidRPr="00F9703D" w:rsidRDefault="007C68A4" w:rsidP="007A292B">
            <w:pPr>
              <w:pStyle w:val="Betarp"/>
              <w:rPr>
                <w:b/>
                <w:lang w:val="lt-LT"/>
              </w:rPr>
            </w:pPr>
            <w:r w:rsidRPr="00F9703D">
              <w:rPr>
                <w:b/>
                <w:lang w:val="lt-LT"/>
              </w:rPr>
              <w:t>Nepageidaujam</w:t>
            </w:r>
            <w:r w:rsidR="00D85899" w:rsidRPr="00F9703D">
              <w:rPr>
                <w:b/>
                <w:lang w:val="lt-LT"/>
              </w:rPr>
              <w:t>a</w:t>
            </w:r>
            <w:r w:rsidRPr="00F9703D">
              <w:rPr>
                <w:b/>
                <w:lang w:val="lt-LT"/>
              </w:rPr>
              <w:t xml:space="preserve"> reakcij</w:t>
            </w:r>
            <w:r w:rsidR="00D85899" w:rsidRPr="00F9703D">
              <w:rPr>
                <w:b/>
                <w:lang w:val="lt-LT"/>
              </w:rPr>
              <w:t>a</w:t>
            </w:r>
          </w:p>
        </w:tc>
      </w:tr>
      <w:tr w:rsidR="007C68A4" w:rsidRPr="009F2441" w14:paraId="7A9B0AED" w14:textId="77777777" w:rsidTr="00AA218F">
        <w:tc>
          <w:tcPr>
            <w:tcW w:w="4524" w:type="dxa"/>
          </w:tcPr>
          <w:p w14:paraId="67F5BA1B" w14:textId="77777777" w:rsidR="007C68A4" w:rsidRPr="00F9703D" w:rsidRDefault="007C68A4" w:rsidP="007A292B">
            <w:pPr>
              <w:pStyle w:val="Betarp"/>
              <w:rPr>
                <w:lang w:val="lt-LT"/>
              </w:rPr>
            </w:pPr>
            <w:r w:rsidRPr="00F9703D">
              <w:rPr>
                <w:lang w:val="lt-LT"/>
              </w:rPr>
              <w:t>Imuninės sistemos sutrikimai</w:t>
            </w:r>
          </w:p>
          <w:p w14:paraId="58F19ACA" w14:textId="77777777" w:rsidR="007C68A4" w:rsidRPr="00F9703D" w:rsidRDefault="007C68A4" w:rsidP="007A292B">
            <w:pPr>
              <w:pStyle w:val="Betarp"/>
              <w:rPr>
                <w:i/>
                <w:lang w:val="lt-LT"/>
              </w:rPr>
            </w:pPr>
          </w:p>
        </w:tc>
        <w:tc>
          <w:tcPr>
            <w:tcW w:w="4537" w:type="dxa"/>
          </w:tcPr>
          <w:p w14:paraId="47CC1053" w14:textId="4DEBF68D" w:rsidR="007C68A4" w:rsidRPr="00F9703D" w:rsidRDefault="007C68A4" w:rsidP="007A292B">
            <w:pPr>
              <w:pStyle w:val="Betarp"/>
              <w:rPr>
                <w:i/>
                <w:lang w:val="lt-LT"/>
              </w:rPr>
            </w:pPr>
            <w:r w:rsidRPr="00F9703D">
              <w:rPr>
                <w:lang w:val="lt-LT"/>
              </w:rPr>
              <w:t>Sisteminės alerginės reakcijos, įskaitant</w:t>
            </w:r>
            <w:r w:rsidR="00D85899" w:rsidRPr="00F9703D">
              <w:rPr>
                <w:lang w:val="lt-LT"/>
              </w:rPr>
              <w:t xml:space="preserve"> </w:t>
            </w:r>
            <w:r w:rsidRPr="00F9703D">
              <w:rPr>
                <w:lang w:val="lt-LT"/>
              </w:rPr>
              <w:t>angioneurozinę edemą, dilgėlinę bei lokalizuotą ir išplitusį bėrimą, niežėjimą</w:t>
            </w:r>
            <w:r w:rsidR="005E180F" w:rsidRPr="00F9703D">
              <w:rPr>
                <w:lang w:val="lt-LT"/>
              </w:rPr>
              <w:t>, anafilak</w:t>
            </w:r>
            <w:r w:rsidR="008C285F">
              <w:rPr>
                <w:lang w:val="lt-LT"/>
              </w:rPr>
              <w:t>s</w:t>
            </w:r>
            <w:r w:rsidR="005E180F" w:rsidRPr="00F9703D">
              <w:rPr>
                <w:lang w:val="lt-LT"/>
              </w:rPr>
              <w:t>inę reakciją</w:t>
            </w:r>
          </w:p>
        </w:tc>
      </w:tr>
      <w:tr w:rsidR="007C68A4" w:rsidRPr="00F9703D" w14:paraId="24F514AD" w14:textId="77777777" w:rsidTr="00AA218F">
        <w:tc>
          <w:tcPr>
            <w:tcW w:w="4524" w:type="dxa"/>
          </w:tcPr>
          <w:p w14:paraId="28FF30F1" w14:textId="77777777" w:rsidR="007C68A4" w:rsidRPr="00F9703D" w:rsidRDefault="007C68A4" w:rsidP="007A292B">
            <w:pPr>
              <w:pStyle w:val="Betarp"/>
              <w:rPr>
                <w:i/>
                <w:lang w:val="lt-LT"/>
              </w:rPr>
            </w:pPr>
            <w:r w:rsidRPr="00F9703D">
              <w:rPr>
                <w:noProof/>
                <w:lang w:val="lt-LT"/>
              </w:rPr>
              <w:t>Metabolizmo ir mitybos sutrikimai</w:t>
            </w:r>
          </w:p>
        </w:tc>
        <w:tc>
          <w:tcPr>
            <w:tcW w:w="4537" w:type="dxa"/>
          </w:tcPr>
          <w:p w14:paraId="6105575A" w14:textId="77777777" w:rsidR="007C68A4" w:rsidRPr="00F9703D" w:rsidRDefault="007C68A4" w:rsidP="007A292B">
            <w:pPr>
              <w:pStyle w:val="Betarp"/>
              <w:rPr>
                <w:i/>
                <w:lang w:val="lt-LT"/>
              </w:rPr>
            </w:pPr>
            <w:r w:rsidRPr="00F9703D">
              <w:rPr>
                <w:lang w:val="lt-LT"/>
              </w:rPr>
              <w:t>Hipoglikemija</w:t>
            </w:r>
          </w:p>
        </w:tc>
      </w:tr>
      <w:tr w:rsidR="007C68A4" w:rsidRPr="009F2441" w14:paraId="4BC62E9B" w14:textId="77777777" w:rsidTr="00AA218F">
        <w:tc>
          <w:tcPr>
            <w:tcW w:w="4524" w:type="dxa"/>
          </w:tcPr>
          <w:p w14:paraId="692709C9" w14:textId="77777777" w:rsidR="007C68A4" w:rsidRPr="00F9703D" w:rsidRDefault="007C68A4" w:rsidP="007A292B">
            <w:pPr>
              <w:pStyle w:val="Betarp"/>
              <w:rPr>
                <w:lang w:val="lt-LT"/>
              </w:rPr>
            </w:pPr>
            <w:r w:rsidRPr="00F9703D">
              <w:rPr>
                <w:lang w:val="lt-LT"/>
              </w:rPr>
              <w:t>Psichikos sutrikimai</w:t>
            </w:r>
          </w:p>
          <w:p w14:paraId="19AF552A" w14:textId="77777777" w:rsidR="007C68A4" w:rsidRPr="00F9703D" w:rsidRDefault="007C68A4" w:rsidP="007A292B">
            <w:pPr>
              <w:pStyle w:val="Betarp"/>
              <w:rPr>
                <w:i/>
                <w:lang w:val="lt-LT"/>
              </w:rPr>
            </w:pPr>
          </w:p>
        </w:tc>
        <w:tc>
          <w:tcPr>
            <w:tcW w:w="4537" w:type="dxa"/>
          </w:tcPr>
          <w:p w14:paraId="7662EA5F" w14:textId="1CD0056E" w:rsidR="007C68A4" w:rsidRPr="00F9703D" w:rsidRDefault="00680DB8" w:rsidP="007A292B">
            <w:pPr>
              <w:pStyle w:val="Betarp"/>
              <w:rPr>
                <w:i/>
                <w:lang w:val="lt-LT"/>
              </w:rPr>
            </w:pPr>
            <w:r w:rsidRPr="00F9703D">
              <w:rPr>
                <w:lang w:val="lt-LT"/>
              </w:rPr>
              <w:t>N</w:t>
            </w:r>
            <w:r w:rsidR="007C68A4" w:rsidRPr="00F9703D">
              <w:rPr>
                <w:lang w:val="lt-LT"/>
              </w:rPr>
              <w:t>emiga, depresija, košmariški sapnai</w:t>
            </w:r>
            <w:r w:rsidR="00C033C0" w:rsidRPr="00F9703D">
              <w:rPr>
                <w:lang w:val="lt-LT"/>
              </w:rPr>
              <w:t xml:space="preserve">, </w:t>
            </w:r>
            <w:r w:rsidRPr="00F9703D">
              <w:rPr>
                <w:lang w:val="lt-LT"/>
              </w:rPr>
              <w:t xml:space="preserve">atminties netekimas, </w:t>
            </w:r>
            <w:r w:rsidR="00C033C0" w:rsidRPr="00F9703D">
              <w:rPr>
                <w:lang w:val="lt-LT"/>
              </w:rPr>
              <w:t>haliucinacijos</w:t>
            </w:r>
          </w:p>
        </w:tc>
      </w:tr>
      <w:tr w:rsidR="007C68A4" w:rsidRPr="009F2441" w14:paraId="09B442D8" w14:textId="77777777" w:rsidTr="00AA218F">
        <w:tc>
          <w:tcPr>
            <w:tcW w:w="4524" w:type="dxa"/>
          </w:tcPr>
          <w:p w14:paraId="0CF6BFF6" w14:textId="77777777" w:rsidR="007C68A4" w:rsidRPr="00F9703D" w:rsidRDefault="007C68A4" w:rsidP="007A292B">
            <w:pPr>
              <w:pStyle w:val="Betarp"/>
              <w:rPr>
                <w:lang w:val="lt-LT"/>
              </w:rPr>
            </w:pPr>
            <w:r w:rsidRPr="00F9703D">
              <w:rPr>
                <w:lang w:val="lt-LT"/>
              </w:rPr>
              <w:t>Nervų sistemos sutrikimai</w:t>
            </w:r>
          </w:p>
          <w:p w14:paraId="712EF710" w14:textId="77777777" w:rsidR="007C68A4" w:rsidRPr="00F9703D" w:rsidRDefault="007C68A4" w:rsidP="007A292B">
            <w:pPr>
              <w:pStyle w:val="Betarp"/>
              <w:rPr>
                <w:i/>
                <w:lang w:val="lt-LT"/>
              </w:rPr>
            </w:pPr>
          </w:p>
        </w:tc>
        <w:tc>
          <w:tcPr>
            <w:tcW w:w="4537" w:type="dxa"/>
          </w:tcPr>
          <w:p w14:paraId="31C91195" w14:textId="1838AD6F" w:rsidR="007C68A4" w:rsidRPr="00F9703D" w:rsidRDefault="00025BC8" w:rsidP="007A292B">
            <w:pPr>
              <w:pStyle w:val="Betarp"/>
              <w:rPr>
                <w:i/>
                <w:lang w:val="lt-LT"/>
              </w:rPr>
            </w:pPr>
            <w:r>
              <w:rPr>
                <w:rFonts w:eastAsia="SimSun"/>
                <w:lang w:val="lt-LT"/>
              </w:rPr>
              <w:t>Apalpimas (s</w:t>
            </w:r>
            <w:r w:rsidR="003D6F72" w:rsidRPr="00F9703D">
              <w:rPr>
                <w:rFonts w:eastAsia="SimSun"/>
                <w:lang w:val="lt-LT"/>
              </w:rPr>
              <w:t>inkopė</w:t>
            </w:r>
            <w:r>
              <w:rPr>
                <w:rFonts w:eastAsia="SimSun"/>
                <w:lang w:val="lt-LT"/>
              </w:rPr>
              <w:t>)</w:t>
            </w:r>
            <w:r w:rsidR="003D6F72" w:rsidRPr="00F9703D">
              <w:rPr>
                <w:rFonts w:eastAsia="SimSun"/>
                <w:lang w:val="lt-LT"/>
              </w:rPr>
              <w:t xml:space="preserve">, </w:t>
            </w:r>
            <w:r w:rsidR="001D343F">
              <w:rPr>
                <w:rFonts w:eastAsia="SimSun"/>
                <w:lang w:val="lt-LT"/>
              </w:rPr>
              <w:t>cerebrovaskulinis (</w:t>
            </w:r>
            <w:r w:rsidR="003D6F72" w:rsidRPr="00F9703D">
              <w:rPr>
                <w:rFonts w:eastAsia="SimSun"/>
                <w:lang w:val="lt-LT"/>
              </w:rPr>
              <w:t>s</w:t>
            </w:r>
            <w:r w:rsidR="007C68A4" w:rsidRPr="00F9703D">
              <w:rPr>
                <w:rFonts w:eastAsia="SimSun"/>
                <w:lang w:val="lt-LT"/>
              </w:rPr>
              <w:t>megenų kraujagyslių</w:t>
            </w:r>
            <w:r w:rsidR="001D343F">
              <w:rPr>
                <w:rFonts w:eastAsia="SimSun"/>
                <w:lang w:val="lt-LT"/>
              </w:rPr>
              <w:t>)</w:t>
            </w:r>
            <w:r w:rsidR="007C68A4" w:rsidRPr="00F9703D">
              <w:rPr>
                <w:rFonts w:eastAsia="SimSun"/>
                <w:lang w:val="lt-LT"/>
              </w:rPr>
              <w:t xml:space="preserve"> </w:t>
            </w:r>
            <w:r w:rsidR="001D343F">
              <w:rPr>
                <w:rFonts w:eastAsia="SimSun"/>
                <w:lang w:val="lt-LT"/>
              </w:rPr>
              <w:t>įvykis</w:t>
            </w:r>
            <w:r w:rsidR="007C68A4" w:rsidRPr="00F9703D">
              <w:rPr>
                <w:rFonts w:eastAsia="SimSun"/>
                <w:lang w:val="lt-LT"/>
              </w:rPr>
              <w:t>, smegenų išemija, generalizuotos miastenijos (</w:t>
            </w:r>
            <w:r w:rsidR="007C68A4" w:rsidRPr="00F9703D">
              <w:rPr>
                <w:rFonts w:eastAsia="SimSun"/>
                <w:i/>
                <w:lang w:val="lt-LT"/>
              </w:rPr>
              <w:t>myasthenia gravis</w:t>
            </w:r>
            <w:r w:rsidR="007C68A4" w:rsidRPr="00F9703D">
              <w:rPr>
                <w:rFonts w:eastAsia="SimSun"/>
                <w:lang w:val="lt-LT"/>
              </w:rPr>
              <w:t>) požymių ir simptomų pasunkėjimas</w:t>
            </w:r>
          </w:p>
        </w:tc>
      </w:tr>
      <w:tr w:rsidR="007C68A4" w:rsidRPr="009F2441" w14:paraId="622FE127" w14:textId="77777777" w:rsidTr="00AA218F">
        <w:tc>
          <w:tcPr>
            <w:tcW w:w="4524" w:type="dxa"/>
          </w:tcPr>
          <w:p w14:paraId="63751768" w14:textId="77777777" w:rsidR="007C68A4" w:rsidRPr="00F9703D" w:rsidRDefault="007C68A4" w:rsidP="007A292B">
            <w:pPr>
              <w:pStyle w:val="Betarp"/>
              <w:rPr>
                <w:i/>
                <w:lang w:val="lt-LT"/>
              </w:rPr>
            </w:pPr>
            <w:r w:rsidRPr="00F9703D">
              <w:rPr>
                <w:lang w:val="lt-LT"/>
              </w:rPr>
              <w:t>Akių sutrikimai</w:t>
            </w:r>
          </w:p>
        </w:tc>
        <w:tc>
          <w:tcPr>
            <w:tcW w:w="4537" w:type="dxa"/>
          </w:tcPr>
          <w:p w14:paraId="1E0FE0CD" w14:textId="4BEB1648" w:rsidR="007C68A4" w:rsidRPr="00F9703D" w:rsidRDefault="00FA6F0E" w:rsidP="007A292B">
            <w:pPr>
              <w:pStyle w:val="Betarp"/>
              <w:rPr>
                <w:lang w:val="lt-LT"/>
              </w:rPr>
            </w:pPr>
            <w:r w:rsidRPr="00F9703D">
              <w:rPr>
                <w:lang w:val="lt-LT"/>
              </w:rPr>
              <w:t>Keratitas, neryškus matymas ir tinklainės</w:t>
            </w:r>
            <w:r w:rsidR="007C68A4" w:rsidRPr="00F9703D">
              <w:rPr>
                <w:lang w:val="lt-LT"/>
              </w:rPr>
              <w:t xml:space="preserve"> atšoka po filtruojamųjų operacijų (žr.</w:t>
            </w:r>
            <w:r w:rsidR="007C68A4" w:rsidRPr="00F9703D">
              <w:rPr>
                <w:rFonts w:eastAsia="Times New Roman"/>
                <w:lang w:val="lt-LT"/>
              </w:rPr>
              <w:t> </w:t>
            </w:r>
            <w:r w:rsidR="007C68A4" w:rsidRPr="00F9703D">
              <w:rPr>
                <w:lang w:val="lt-LT"/>
              </w:rPr>
              <w:t>4.4 skyrių),</w:t>
            </w:r>
            <w:r w:rsidRPr="00F9703D">
              <w:rPr>
                <w:lang w:val="lt-LT"/>
              </w:rPr>
              <w:t xml:space="preserve"> </w:t>
            </w:r>
            <w:r w:rsidR="007C68A4" w:rsidRPr="00F9703D">
              <w:rPr>
                <w:lang w:val="lt-LT"/>
              </w:rPr>
              <w:t xml:space="preserve">ragenos jautrumo sumažėjimas, </w:t>
            </w:r>
            <w:r w:rsidR="00AA218F" w:rsidRPr="00F9703D">
              <w:rPr>
                <w:lang w:val="lt-LT"/>
              </w:rPr>
              <w:t xml:space="preserve">ragenos erozija, ptozė, </w:t>
            </w:r>
            <w:r w:rsidR="00B02FCD">
              <w:rPr>
                <w:lang w:val="lt-LT"/>
              </w:rPr>
              <w:t>dvejinimasis (</w:t>
            </w:r>
            <w:r w:rsidR="00AA218F" w:rsidRPr="00F9703D">
              <w:rPr>
                <w:lang w:val="lt-LT"/>
              </w:rPr>
              <w:t>diplopija</w:t>
            </w:r>
            <w:r w:rsidR="00B02FCD">
              <w:rPr>
                <w:lang w:val="lt-LT"/>
              </w:rPr>
              <w:t>)</w:t>
            </w:r>
          </w:p>
        </w:tc>
      </w:tr>
      <w:tr w:rsidR="007C68A4" w:rsidRPr="009F2441" w14:paraId="06A00E95" w14:textId="77777777" w:rsidTr="00AA218F">
        <w:tc>
          <w:tcPr>
            <w:tcW w:w="4524" w:type="dxa"/>
          </w:tcPr>
          <w:p w14:paraId="1816AA83" w14:textId="77777777" w:rsidR="007C68A4" w:rsidRPr="00F9703D" w:rsidRDefault="007C68A4" w:rsidP="007A292B">
            <w:pPr>
              <w:pStyle w:val="Betarp"/>
              <w:rPr>
                <w:lang w:val="lt-LT"/>
              </w:rPr>
            </w:pPr>
            <w:r w:rsidRPr="00F9703D">
              <w:rPr>
                <w:lang w:val="lt-LT"/>
              </w:rPr>
              <w:t>Širdies sutrikimai</w:t>
            </w:r>
          </w:p>
          <w:p w14:paraId="38982F7E" w14:textId="77777777" w:rsidR="007C68A4" w:rsidRPr="00F9703D" w:rsidRDefault="007C68A4" w:rsidP="007A292B">
            <w:pPr>
              <w:pStyle w:val="Betarp"/>
              <w:rPr>
                <w:i/>
                <w:lang w:val="lt-LT"/>
              </w:rPr>
            </w:pPr>
          </w:p>
        </w:tc>
        <w:tc>
          <w:tcPr>
            <w:tcW w:w="4537" w:type="dxa"/>
          </w:tcPr>
          <w:p w14:paraId="4162CEB0" w14:textId="2BBBF86D" w:rsidR="007C68A4" w:rsidRPr="00F9703D" w:rsidRDefault="00DD0F20" w:rsidP="007A292B">
            <w:pPr>
              <w:pStyle w:val="Betarp"/>
              <w:rPr>
                <w:rFonts w:eastAsia="SimSun"/>
                <w:lang w:val="lt-LT"/>
              </w:rPr>
            </w:pPr>
            <w:r w:rsidRPr="00F9703D">
              <w:rPr>
                <w:rFonts w:eastAsia="SimSun"/>
                <w:lang w:val="lt-LT"/>
              </w:rPr>
              <w:t xml:space="preserve">Bradikardija, krūtinės skausmas, </w:t>
            </w:r>
            <w:r w:rsidR="00513AF4">
              <w:rPr>
                <w:rFonts w:eastAsia="SimSun"/>
                <w:lang w:val="lt-LT"/>
              </w:rPr>
              <w:t>širdies plakimai, perplakimai (</w:t>
            </w:r>
            <w:r w:rsidRPr="00F9703D">
              <w:rPr>
                <w:rFonts w:eastAsia="SimSun"/>
                <w:lang w:val="lt-LT"/>
              </w:rPr>
              <w:t>palpitacijos</w:t>
            </w:r>
            <w:r w:rsidR="00513AF4">
              <w:rPr>
                <w:rFonts w:eastAsia="SimSun"/>
                <w:lang w:val="lt-LT"/>
              </w:rPr>
              <w:t>)</w:t>
            </w:r>
            <w:r w:rsidRPr="00F9703D">
              <w:rPr>
                <w:rFonts w:eastAsia="SimSun"/>
                <w:lang w:val="lt-LT"/>
              </w:rPr>
              <w:t>, edema, aritmija, stazinis širdies nepakankamumas, atrioventrikulinė blokada,</w:t>
            </w:r>
            <w:r w:rsidR="001E5875" w:rsidRPr="00F9703D">
              <w:rPr>
                <w:rFonts w:eastAsia="SimSun"/>
                <w:lang w:val="lt-LT"/>
              </w:rPr>
              <w:t xml:space="preserve"> š</w:t>
            </w:r>
            <w:r w:rsidR="007C68A4" w:rsidRPr="00F9703D">
              <w:rPr>
                <w:rFonts w:eastAsia="SimSun"/>
                <w:lang w:val="lt-LT"/>
              </w:rPr>
              <w:t>irdies sustojimas, širdies nepakankamumas</w:t>
            </w:r>
          </w:p>
        </w:tc>
      </w:tr>
      <w:tr w:rsidR="007C68A4" w:rsidRPr="00F9703D" w14:paraId="23E0FF3F" w14:textId="77777777" w:rsidTr="00AA218F">
        <w:tc>
          <w:tcPr>
            <w:tcW w:w="4524" w:type="dxa"/>
          </w:tcPr>
          <w:p w14:paraId="455C1909" w14:textId="77777777" w:rsidR="007C68A4" w:rsidRPr="00F9703D" w:rsidRDefault="007C68A4" w:rsidP="007A292B">
            <w:pPr>
              <w:pStyle w:val="Betarp"/>
              <w:rPr>
                <w:i/>
                <w:lang w:val="lt-LT"/>
              </w:rPr>
            </w:pPr>
            <w:r w:rsidRPr="00F9703D">
              <w:rPr>
                <w:noProof/>
                <w:lang w:val="lt-LT"/>
              </w:rPr>
              <w:t>Kraujagyslių sutrikimai</w:t>
            </w:r>
          </w:p>
        </w:tc>
        <w:tc>
          <w:tcPr>
            <w:tcW w:w="4537" w:type="dxa"/>
          </w:tcPr>
          <w:p w14:paraId="79393CDE" w14:textId="51623FBC" w:rsidR="007C68A4" w:rsidRPr="00F9703D" w:rsidRDefault="003C604C" w:rsidP="007A292B">
            <w:pPr>
              <w:pStyle w:val="Betarp"/>
              <w:rPr>
                <w:i/>
                <w:lang w:val="lt-LT"/>
              </w:rPr>
            </w:pPr>
            <w:r w:rsidRPr="00F9703D">
              <w:rPr>
                <w:lang w:val="lt-LT"/>
              </w:rPr>
              <w:t>H</w:t>
            </w:r>
            <w:r w:rsidR="007C68A4" w:rsidRPr="00F9703D">
              <w:rPr>
                <w:lang w:val="lt-LT"/>
              </w:rPr>
              <w:t>ipotenzija, Reino (</w:t>
            </w:r>
            <w:r w:rsidR="007C68A4" w:rsidRPr="00F9703D">
              <w:rPr>
                <w:rFonts w:eastAsia="SimSun"/>
                <w:i/>
                <w:lang w:val="lt-LT"/>
              </w:rPr>
              <w:t>Raynaud</w:t>
            </w:r>
            <w:r w:rsidR="007C68A4" w:rsidRPr="00F9703D">
              <w:rPr>
                <w:rFonts w:eastAsia="SimSun"/>
                <w:lang w:val="lt-LT"/>
              </w:rPr>
              <w:t xml:space="preserve">) </w:t>
            </w:r>
            <w:r w:rsidR="00BE6109">
              <w:rPr>
                <w:rFonts w:eastAsia="SimSun"/>
                <w:lang w:val="lt-LT"/>
              </w:rPr>
              <w:t>fenomenas</w:t>
            </w:r>
          </w:p>
        </w:tc>
      </w:tr>
      <w:tr w:rsidR="007C68A4" w:rsidRPr="009F2441" w14:paraId="735D4034" w14:textId="77777777" w:rsidTr="00AA218F">
        <w:tc>
          <w:tcPr>
            <w:tcW w:w="4524" w:type="dxa"/>
          </w:tcPr>
          <w:p w14:paraId="09ACCB43" w14:textId="77777777" w:rsidR="007C68A4" w:rsidRPr="00F9703D" w:rsidRDefault="007C68A4" w:rsidP="007A292B">
            <w:pPr>
              <w:pStyle w:val="Betarp"/>
              <w:rPr>
                <w:i/>
                <w:lang w:val="lt-LT"/>
              </w:rPr>
            </w:pPr>
            <w:r w:rsidRPr="00F9703D">
              <w:rPr>
                <w:noProof/>
                <w:lang w:val="lt-LT"/>
              </w:rPr>
              <w:t>Kvėpavimo sistemos, krūtinės ląstos ir tarpuplaučio sutrikimai</w:t>
            </w:r>
          </w:p>
        </w:tc>
        <w:tc>
          <w:tcPr>
            <w:tcW w:w="4537" w:type="dxa"/>
          </w:tcPr>
          <w:p w14:paraId="44FE85BB" w14:textId="6EB4760C" w:rsidR="007C68A4" w:rsidRPr="00F9703D" w:rsidRDefault="007C68A4" w:rsidP="007A292B">
            <w:pPr>
              <w:pStyle w:val="Betarp"/>
              <w:rPr>
                <w:i/>
                <w:lang w:val="lt-LT"/>
              </w:rPr>
            </w:pPr>
            <w:r w:rsidRPr="00F9703D">
              <w:rPr>
                <w:lang w:val="lt-LT"/>
              </w:rPr>
              <w:t>Bronchų spazmas (dažniausiai pacientams, jau sirgusiems su bronchų spazmu susijusia liga),</w:t>
            </w:r>
            <w:r w:rsidR="00A61ECF" w:rsidRPr="00F9703D">
              <w:rPr>
                <w:lang w:val="lt-LT"/>
              </w:rPr>
              <w:t xml:space="preserve"> </w:t>
            </w:r>
            <w:r w:rsidRPr="00F9703D">
              <w:rPr>
                <w:lang w:val="lt-LT"/>
              </w:rPr>
              <w:t>dispnėja</w:t>
            </w:r>
            <w:r w:rsidR="00A61ECF" w:rsidRPr="00F9703D">
              <w:rPr>
                <w:lang w:val="lt-LT"/>
              </w:rPr>
              <w:t>, kosulys</w:t>
            </w:r>
          </w:p>
        </w:tc>
      </w:tr>
      <w:tr w:rsidR="007C68A4" w:rsidRPr="009F2441" w14:paraId="2F36185C" w14:textId="77777777" w:rsidTr="00AA218F">
        <w:tc>
          <w:tcPr>
            <w:tcW w:w="4524" w:type="dxa"/>
          </w:tcPr>
          <w:p w14:paraId="5B7512F6" w14:textId="77777777" w:rsidR="007C68A4" w:rsidRPr="00F9703D" w:rsidRDefault="007C68A4" w:rsidP="007A292B">
            <w:pPr>
              <w:pStyle w:val="Betarp"/>
              <w:rPr>
                <w:lang w:val="lt-LT"/>
              </w:rPr>
            </w:pPr>
            <w:r w:rsidRPr="00F9703D">
              <w:rPr>
                <w:lang w:val="lt-LT"/>
              </w:rPr>
              <w:t>Virškinimo trakto sutrikimai</w:t>
            </w:r>
          </w:p>
          <w:p w14:paraId="35653BD0" w14:textId="77777777" w:rsidR="007C68A4" w:rsidRPr="00F9703D" w:rsidRDefault="007C68A4" w:rsidP="007A292B">
            <w:pPr>
              <w:pStyle w:val="Betarp"/>
              <w:rPr>
                <w:i/>
                <w:lang w:val="lt-LT"/>
              </w:rPr>
            </w:pPr>
          </w:p>
        </w:tc>
        <w:tc>
          <w:tcPr>
            <w:tcW w:w="4537" w:type="dxa"/>
          </w:tcPr>
          <w:p w14:paraId="07B4693E" w14:textId="4133E2EB" w:rsidR="007C68A4" w:rsidRPr="00F9703D" w:rsidRDefault="00A61ECF" w:rsidP="007A292B">
            <w:pPr>
              <w:pStyle w:val="Betarp"/>
              <w:rPr>
                <w:i/>
                <w:lang w:val="lt-LT"/>
              </w:rPr>
            </w:pPr>
            <w:r w:rsidRPr="00F9703D">
              <w:rPr>
                <w:lang w:val="lt-LT"/>
              </w:rPr>
              <w:t xml:space="preserve">Disgeuzija, </w:t>
            </w:r>
            <w:r w:rsidR="003D0E37" w:rsidRPr="00F9703D">
              <w:rPr>
                <w:lang w:val="lt-LT"/>
              </w:rPr>
              <w:t>pykinimas, dispepsija, viduriavimas,</w:t>
            </w:r>
            <w:r w:rsidR="00EB630C" w:rsidRPr="00F9703D">
              <w:rPr>
                <w:lang w:val="lt-LT"/>
              </w:rPr>
              <w:t xml:space="preserve"> </w:t>
            </w:r>
            <w:r w:rsidR="005B4B65">
              <w:rPr>
                <w:lang w:val="lt-LT"/>
              </w:rPr>
              <w:t>sausa burna</w:t>
            </w:r>
            <w:r w:rsidR="007C68A4" w:rsidRPr="00F9703D">
              <w:rPr>
                <w:lang w:val="lt-LT"/>
              </w:rPr>
              <w:t xml:space="preserve">, </w:t>
            </w:r>
            <w:r w:rsidR="00EB630C" w:rsidRPr="00F9703D">
              <w:rPr>
                <w:lang w:val="lt-LT"/>
              </w:rPr>
              <w:t>pilvo skausmas, vėmimas</w:t>
            </w:r>
          </w:p>
        </w:tc>
      </w:tr>
      <w:tr w:rsidR="007C68A4" w:rsidRPr="009F2441" w14:paraId="123F6DCF" w14:textId="77777777" w:rsidTr="00AA218F">
        <w:tc>
          <w:tcPr>
            <w:tcW w:w="4524" w:type="dxa"/>
          </w:tcPr>
          <w:p w14:paraId="49515B09" w14:textId="77777777" w:rsidR="007C68A4" w:rsidRPr="00F9703D" w:rsidRDefault="007C68A4" w:rsidP="007A292B">
            <w:pPr>
              <w:pStyle w:val="Betarp"/>
              <w:rPr>
                <w:i/>
                <w:lang w:val="lt-LT"/>
              </w:rPr>
            </w:pPr>
            <w:r w:rsidRPr="00F9703D">
              <w:rPr>
                <w:noProof/>
                <w:lang w:val="lt-LT"/>
              </w:rPr>
              <w:t>Odos ir poodinio audinio sutrikimai</w:t>
            </w:r>
          </w:p>
        </w:tc>
        <w:tc>
          <w:tcPr>
            <w:tcW w:w="4537" w:type="dxa"/>
          </w:tcPr>
          <w:p w14:paraId="511E4B66" w14:textId="74F18FEB" w:rsidR="007C68A4" w:rsidRPr="00F9703D" w:rsidRDefault="0006629C" w:rsidP="007A292B">
            <w:pPr>
              <w:pStyle w:val="Betarp"/>
              <w:rPr>
                <w:i/>
                <w:lang w:val="lt-LT"/>
              </w:rPr>
            </w:pPr>
            <w:r w:rsidRPr="00F9703D">
              <w:rPr>
                <w:lang w:val="lt-LT"/>
              </w:rPr>
              <w:t xml:space="preserve">Alopecija, </w:t>
            </w:r>
            <w:r w:rsidR="007C68A4" w:rsidRPr="00F9703D">
              <w:rPr>
                <w:lang w:val="lt-LT"/>
              </w:rPr>
              <w:t>į psoriazę panašus išbėrimas,</w:t>
            </w:r>
            <w:r w:rsidRPr="00F9703D">
              <w:rPr>
                <w:lang w:val="lt-LT"/>
              </w:rPr>
              <w:t xml:space="preserve"> </w:t>
            </w:r>
            <w:r w:rsidR="007C68A4" w:rsidRPr="00F9703D">
              <w:rPr>
                <w:lang w:val="lt-LT"/>
              </w:rPr>
              <w:t>psoriazės paūmėjimas, alopecija</w:t>
            </w:r>
          </w:p>
        </w:tc>
      </w:tr>
      <w:tr w:rsidR="007C68A4" w:rsidRPr="00F9703D" w14:paraId="2E09DD50" w14:textId="77777777" w:rsidTr="00AA218F">
        <w:tc>
          <w:tcPr>
            <w:tcW w:w="4524" w:type="dxa"/>
          </w:tcPr>
          <w:p w14:paraId="26646B4D" w14:textId="77777777" w:rsidR="007C68A4" w:rsidRPr="00F9703D" w:rsidRDefault="007C68A4" w:rsidP="007A292B">
            <w:pPr>
              <w:pStyle w:val="Betarp"/>
              <w:rPr>
                <w:i/>
                <w:lang w:val="lt-LT"/>
              </w:rPr>
            </w:pPr>
            <w:r w:rsidRPr="00F9703D">
              <w:rPr>
                <w:noProof/>
                <w:lang w:val="lt-LT"/>
              </w:rPr>
              <w:t>Skeleto, raumenų ir jungiamojo audinio sutrikimai</w:t>
            </w:r>
          </w:p>
        </w:tc>
        <w:tc>
          <w:tcPr>
            <w:tcW w:w="4537" w:type="dxa"/>
          </w:tcPr>
          <w:p w14:paraId="75753F4A" w14:textId="77777777" w:rsidR="007C68A4" w:rsidRPr="00F9703D" w:rsidRDefault="007C68A4" w:rsidP="007A292B">
            <w:pPr>
              <w:pStyle w:val="Betarp"/>
              <w:rPr>
                <w:i/>
                <w:lang w:val="lt-LT"/>
              </w:rPr>
            </w:pPr>
            <w:r w:rsidRPr="00F9703D">
              <w:rPr>
                <w:lang w:val="lt-LT"/>
              </w:rPr>
              <w:t>Mialgija</w:t>
            </w:r>
          </w:p>
        </w:tc>
      </w:tr>
      <w:tr w:rsidR="007C68A4" w:rsidRPr="009F2441" w14:paraId="2BB06A0F" w14:textId="77777777" w:rsidTr="00AA218F">
        <w:tc>
          <w:tcPr>
            <w:tcW w:w="4524" w:type="dxa"/>
          </w:tcPr>
          <w:p w14:paraId="4B7C2166" w14:textId="77777777" w:rsidR="007C68A4" w:rsidRPr="00F9703D" w:rsidRDefault="007C68A4" w:rsidP="007A292B">
            <w:pPr>
              <w:pStyle w:val="Betarp"/>
              <w:rPr>
                <w:i/>
                <w:lang w:val="lt-LT"/>
              </w:rPr>
            </w:pPr>
            <w:r w:rsidRPr="00F9703D">
              <w:rPr>
                <w:noProof/>
                <w:lang w:val="lt-LT"/>
              </w:rPr>
              <w:t>Lytinės sistemos ir krūties sutrikimai</w:t>
            </w:r>
          </w:p>
        </w:tc>
        <w:tc>
          <w:tcPr>
            <w:tcW w:w="4537" w:type="dxa"/>
          </w:tcPr>
          <w:p w14:paraId="741A3000" w14:textId="77777777" w:rsidR="007C68A4" w:rsidRPr="00F9703D" w:rsidRDefault="007C68A4" w:rsidP="007A292B">
            <w:pPr>
              <w:pStyle w:val="Betarp"/>
              <w:rPr>
                <w:i/>
                <w:lang w:val="lt-LT"/>
              </w:rPr>
            </w:pPr>
            <w:r w:rsidRPr="00F9703D">
              <w:rPr>
                <w:lang w:val="lt-LT"/>
              </w:rPr>
              <w:t>Lytinės funkcijos sutrikimas, lytinio potraukio susilpnėjimas</w:t>
            </w:r>
          </w:p>
        </w:tc>
      </w:tr>
      <w:tr w:rsidR="007C68A4" w:rsidRPr="00F9703D" w14:paraId="52F8C5E1" w14:textId="77777777" w:rsidTr="00AA218F">
        <w:tc>
          <w:tcPr>
            <w:tcW w:w="4524" w:type="dxa"/>
          </w:tcPr>
          <w:p w14:paraId="29E1973E" w14:textId="77777777" w:rsidR="007C68A4" w:rsidRPr="00F9703D" w:rsidRDefault="007C68A4" w:rsidP="007A292B">
            <w:pPr>
              <w:pStyle w:val="Betarp"/>
              <w:rPr>
                <w:i/>
                <w:lang w:val="lt-LT"/>
              </w:rPr>
            </w:pPr>
            <w:r w:rsidRPr="00F9703D">
              <w:rPr>
                <w:noProof/>
                <w:lang w:val="lt-LT"/>
              </w:rPr>
              <w:t>Bendrieji sutrikimai ir vartojimo vietos pažeidimai</w:t>
            </w:r>
          </w:p>
        </w:tc>
        <w:tc>
          <w:tcPr>
            <w:tcW w:w="4537" w:type="dxa"/>
          </w:tcPr>
          <w:p w14:paraId="4E73FE8A" w14:textId="77777777" w:rsidR="007C68A4" w:rsidRPr="00F9703D" w:rsidRDefault="007C68A4" w:rsidP="007A292B">
            <w:pPr>
              <w:pStyle w:val="Betarp"/>
              <w:rPr>
                <w:i/>
                <w:lang w:val="lt-LT"/>
              </w:rPr>
            </w:pPr>
            <w:r w:rsidRPr="00F9703D">
              <w:rPr>
                <w:lang w:val="lt-LT"/>
              </w:rPr>
              <w:t>Astenija, nuovargis</w:t>
            </w:r>
          </w:p>
        </w:tc>
      </w:tr>
    </w:tbl>
    <w:p w14:paraId="2CCC2919" w14:textId="77777777" w:rsidR="007C68A4" w:rsidRPr="00F9703D" w:rsidRDefault="007C68A4" w:rsidP="007A292B">
      <w:pPr>
        <w:pStyle w:val="Betarp"/>
        <w:rPr>
          <w:i/>
          <w:u w:val="single"/>
          <w:lang w:val="lt-LT"/>
        </w:rPr>
      </w:pPr>
    </w:p>
    <w:p w14:paraId="2434C581" w14:textId="39FE1B6E" w:rsidR="00ED7133" w:rsidRPr="00F9703D" w:rsidRDefault="00BE23A3" w:rsidP="007A292B">
      <w:pPr>
        <w:pStyle w:val="Betarp"/>
        <w:rPr>
          <w:i/>
          <w:u w:val="single"/>
          <w:lang w:val="lt-LT"/>
        </w:rPr>
      </w:pPr>
      <w:r w:rsidRPr="00F9703D">
        <w:rPr>
          <w:i/>
          <w:lang w:val="lt-LT"/>
        </w:rPr>
        <w:t>c)</w:t>
      </w:r>
      <w:r w:rsidRPr="00F9703D">
        <w:rPr>
          <w:i/>
          <w:u w:val="single"/>
          <w:lang w:val="lt-LT"/>
        </w:rPr>
        <w:t xml:space="preserve"> </w:t>
      </w:r>
      <w:r w:rsidR="00774959">
        <w:rPr>
          <w:i/>
          <w:u w:val="single"/>
          <w:lang w:val="lt-LT"/>
        </w:rPr>
        <w:t>Atrinktų nepageidaujamų reakcijų apibūdinimas</w:t>
      </w:r>
    </w:p>
    <w:p w14:paraId="1844A852" w14:textId="77777777" w:rsidR="00ED7133" w:rsidRPr="00F9703D" w:rsidRDefault="00ED7133" w:rsidP="007A292B">
      <w:pPr>
        <w:pStyle w:val="Betarp"/>
        <w:rPr>
          <w:i/>
          <w:u w:val="single"/>
          <w:lang w:val="lt-LT"/>
        </w:rPr>
      </w:pPr>
    </w:p>
    <w:p w14:paraId="06211E63" w14:textId="77777777" w:rsidR="00733F34" w:rsidRPr="00F9703D" w:rsidRDefault="00733F34" w:rsidP="007A292B">
      <w:pPr>
        <w:pStyle w:val="Betarp"/>
        <w:rPr>
          <w:i/>
          <w:lang w:val="lt-LT"/>
        </w:rPr>
      </w:pPr>
      <w:r w:rsidRPr="00F9703D">
        <w:rPr>
          <w:i/>
          <w:lang w:val="lt-LT"/>
        </w:rPr>
        <w:t>Prostaglandino analogo periorbitopatija (PAP)</w:t>
      </w:r>
    </w:p>
    <w:p w14:paraId="4B73C989" w14:textId="1642A564" w:rsidR="00BE23A3" w:rsidRPr="00F9703D" w:rsidRDefault="00733F34" w:rsidP="007A292B">
      <w:pPr>
        <w:pStyle w:val="Betarp"/>
        <w:rPr>
          <w:iCs/>
          <w:lang w:val="lt-LT"/>
        </w:rPr>
      </w:pPr>
      <w:r w:rsidRPr="00F9703D">
        <w:rPr>
          <w:iCs/>
          <w:lang w:val="lt-LT"/>
        </w:rPr>
        <w:t>Dėl prostaglandino analogų, įskaitant bimatoprost</w:t>
      </w:r>
      <w:r w:rsidR="00F00865">
        <w:rPr>
          <w:iCs/>
          <w:lang w:val="lt-LT"/>
        </w:rPr>
        <w:t>o</w:t>
      </w:r>
      <w:r w:rsidR="00EC4A2F">
        <w:rPr>
          <w:iCs/>
          <w:lang w:val="lt-LT"/>
        </w:rPr>
        <w:t>,</w:t>
      </w:r>
      <w:r w:rsidRPr="00F9703D">
        <w:rPr>
          <w:iCs/>
          <w:lang w:val="lt-LT"/>
        </w:rPr>
        <w:t xml:space="preserve"> vartojimo gali atsirasti periorbitalinės lipodistrofijos pokyčių, dėl to gali išsivystyti akies voko vagelės pagilėjimas, akies voko ptozė, enoftalmas, akių vokų retrakcija, dermatochalazės involiucija ir odenos apatinės dalies atvirumas. Šie </w:t>
      </w:r>
      <w:r w:rsidR="00EC4A2F">
        <w:rPr>
          <w:iCs/>
          <w:lang w:val="lt-LT"/>
        </w:rPr>
        <w:t>p</w:t>
      </w:r>
      <w:r w:rsidRPr="00F9703D">
        <w:rPr>
          <w:iCs/>
          <w:lang w:val="lt-LT"/>
        </w:rPr>
        <w:t xml:space="preserve">okyčiai paprastai yra nežymūs, jie gali pasireikšti praėjus vos vienam mėnesiui po gydymo </w:t>
      </w:r>
      <w:r w:rsidR="00E90A95">
        <w:rPr>
          <w:iCs/>
          <w:lang w:val="lt-LT"/>
        </w:rPr>
        <w:t>Ed</w:t>
      </w:r>
      <w:r w:rsidR="007643D3" w:rsidRPr="007643D3">
        <w:rPr>
          <w:iCs/>
          <w:lang w:val="lt-LT"/>
        </w:rPr>
        <w:t>uelym</w:t>
      </w:r>
      <w:r w:rsidRPr="00F9703D">
        <w:rPr>
          <w:iCs/>
          <w:lang w:val="lt-LT"/>
        </w:rPr>
        <w:t xml:space="preserve"> pradžios ir gali sukelti regėjimo lauko pablogėjimą, net jei pacientas to nepastebi. PAP taip pat</w:t>
      </w:r>
      <w:r w:rsidR="00C074CF" w:rsidRPr="00F9703D">
        <w:rPr>
          <w:iCs/>
          <w:lang w:val="lt-LT"/>
        </w:rPr>
        <w:t xml:space="preserve"> </w:t>
      </w:r>
      <w:r w:rsidRPr="00F9703D">
        <w:rPr>
          <w:iCs/>
          <w:lang w:val="lt-LT"/>
        </w:rPr>
        <w:t>siejama su</w:t>
      </w:r>
      <w:r w:rsidR="00C074CF" w:rsidRPr="00F9703D">
        <w:rPr>
          <w:iCs/>
          <w:lang w:val="lt-LT"/>
        </w:rPr>
        <w:t xml:space="preserve"> </w:t>
      </w:r>
      <w:r w:rsidRPr="00F9703D">
        <w:rPr>
          <w:iCs/>
          <w:lang w:val="lt-LT"/>
        </w:rPr>
        <w:t>odos spalvos aplink akį hiperpigmentacija arba spalvos pakitimu ir hipertrichoze. Buvo</w:t>
      </w:r>
      <w:r w:rsidR="00C074CF" w:rsidRPr="00F9703D">
        <w:rPr>
          <w:iCs/>
          <w:lang w:val="lt-LT"/>
        </w:rPr>
        <w:t xml:space="preserve"> </w:t>
      </w:r>
      <w:r w:rsidRPr="00F9703D">
        <w:rPr>
          <w:iCs/>
          <w:lang w:val="lt-LT"/>
        </w:rPr>
        <w:t>pastebėta, kad šie pokyčiai iš dalies arba visiškai išnyksta nutraukus gydymą</w:t>
      </w:r>
      <w:r w:rsidR="00723B16">
        <w:rPr>
          <w:iCs/>
          <w:lang w:val="lt-LT"/>
        </w:rPr>
        <w:t>,</w:t>
      </w:r>
      <w:r w:rsidRPr="00F9703D">
        <w:rPr>
          <w:iCs/>
          <w:lang w:val="lt-LT"/>
        </w:rPr>
        <w:t xml:space="preserve"> arba pakeitus</w:t>
      </w:r>
      <w:r w:rsidR="00C074CF" w:rsidRPr="00F9703D">
        <w:rPr>
          <w:iCs/>
          <w:lang w:val="lt-LT"/>
        </w:rPr>
        <w:t xml:space="preserve"> </w:t>
      </w:r>
      <w:r w:rsidRPr="00F9703D">
        <w:rPr>
          <w:iCs/>
          <w:lang w:val="lt-LT"/>
        </w:rPr>
        <w:t>gydymą kitais vaistiniais preparatais.</w:t>
      </w:r>
    </w:p>
    <w:p w14:paraId="660F45BA" w14:textId="77777777" w:rsidR="00054B85" w:rsidRPr="00F9703D" w:rsidRDefault="00054B85" w:rsidP="007A292B">
      <w:pPr>
        <w:pStyle w:val="Betarp"/>
        <w:rPr>
          <w:iCs/>
          <w:lang w:val="lt-LT"/>
        </w:rPr>
      </w:pPr>
    </w:p>
    <w:p w14:paraId="2A4761B3" w14:textId="77777777" w:rsidR="00054B85" w:rsidRPr="00F9703D" w:rsidRDefault="00054B85" w:rsidP="007A292B">
      <w:pPr>
        <w:pStyle w:val="Betarp"/>
        <w:rPr>
          <w:i/>
          <w:lang w:val="lt-LT"/>
        </w:rPr>
      </w:pPr>
      <w:r w:rsidRPr="00F9703D">
        <w:rPr>
          <w:i/>
          <w:lang w:val="lt-LT"/>
        </w:rPr>
        <w:t>Rainelės hiperpigmentacija</w:t>
      </w:r>
    </w:p>
    <w:p w14:paraId="6B98DE48" w14:textId="337BA188" w:rsidR="00054B85" w:rsidRPr="00F9703D" w:rsidRDefault="00054B85" w:rsidP="007A292B">
      <w:pPr>
        <w:pStyle w:val="Betarp"/>
        <w:rPr>
          <w:iCs/>
          <w:lang w:val="lt-LT"/>
        </w:rPr>
      </w:pPr>
      <w:r w:rsidRPr="00F9703D">
        <w:rPr>
          <w:iCs/>
          <w:lang w:val="lt-LT"/>
        </w:rPr>
        <w:t xml:space="preserve">Padidėjusi rainelės pigmentacija </w:t>
      </w:r>
      <w:r w:rsidR="0034284B">
        <w:rPr>
          <w:iCs/>
          <w:lang w:val="lt-LT"/>
        </w:rPr>
        <w:t>greičiausiai yra</w:t>
      </w:r>
      <w:r w:rsidRPr="00F9703D">
        <w:rPr>
          <w:iCs/>
          <w:lang w:val="lt-LT"/>
        </w:rPr>
        <w:t xml:space="preserve"> negrįžtama. Pigmentacija pasikeičia dėl</w:t>
      </w:r>
      <w:r w:rsidR="008439A7" w:rsidRPr="00F9703D">
        <w:rPr>
          <w:iCs/>
          <w:lang w:val="lt-LT"/>
        </w:rPr>
        <w:t xml:space="preserve"> </w:t>
      </w:r>
      <w:r w:rsidRPr="00F9703D">
        <w:rPr>
          <w:iCs/>
          <w:lang w:val="lt-LT"/>
        </w:rPr>
        <w:t>padidėjusio</w:t>
      </w:r>
      <w:r w:rsidR="008439A7" w:rsidRPr="00F9703D">
        <w:rPr>
          <w:iCs/>
          <w:lang w:val="lt-LT"/>
        </w:rPr>
        <w:t xml:space="preserve"> </w:t>
      </w:r>
      <w:r w:rsidRPr="00F9703D">
        <w:rPr>
          <w:iCs/>
          <w:lang w:val="lt-LT"/>
        </w:rPr>
        <w:t>melanino kiekio melanocituose, o ne dėl padidėjusio melanocitų skaičiaus.</w:t>
      </w:r>
      <w:r w:rsidR="008439A7" w:rsidRPr="00F9703D">
        <w:rPr>
          <w:iCs/>
          <w:lang w:val="lt-LT"/>
        </w:rPr>
        <w:t xml:space="preserve"> </w:t>
      </w:r>
      <w:r w:rsidRPr="00F9703D">
        <w:rPr>
          <w:iCs/>
          <w:lang w:val="lt-LT"/>
        </w:rPr>
        <w:t>Ilgalaikis padidėjusios</w:t>
      </w:r>
      <w:r w:rsidR="008439A7" w:rsidRPr="00F9703D">
        <w:rPr>
          <w:iCs/>
          <w:lang w:val="lt-LT"/>
        </w:rPr>
        <w:t xml:space="preserve"> </w:t>
      </w:r>
      <w:r w:rsidRPr="00F9703D">
        <w:rPr>
          <w:iCs/>
          <w:lang w:val="lt-LT"/>
        </w:rPr>
        <w:t>rainelės pigmentacijos poveikis nežinomas. Rainelės spalvos</w:t>
      </w:r>
      <w:r w:rsidR="008439A7" w:rsidRPr="00F9703D">
        <w:rPr>
          <w:iCs/>
          <w:lang w:val="lt-LT"/>
        </w:rPr>
        <w:t xml:space="preserve"> </w:t>
      </w:r>
      <w:r w:rsidRPr="00F9703D">
        <w:rPr>
          <w:iCs/>
          <w:lang w:val="lt-LT"/>
        </w:rPr>
        <w:t>pokyčiai, užregistruoti vartojant</w:t>
      </w:r>
      <w:r w:rsidR="008439A7" w:rsidRPr="00F9703D">
        <w:rPr>
          <w:iCs/>
          <w:lang w:val="lt-LT"/>
        </w:rPr>
        <w:t xml:space="preserve"> </w:t>
      </w:r>
      <w:r w:rsidRPr="00F9703D">
        <w:rPr>
          <w:iCs/>
          <w:lang w:val="lt-LT"/>
        </w:rPr>
        <w:t>bimatoprosto į akis, gali būti nepastebimi keletą mėnesių</w:t>
      </w:r>
      <w:r w:rsidR="008439A7" w:rsidRPr="00F9703D">
        <w:rPr>
          <w:iCs/>
          <w:lang w:val="lt-LT"/>
        </w:rPr>
        <w:t xml:space="preserve"> </w:t>
      </w:r>
      <w:r w:rsidRPr="00F9703D">
        <w:rPr>
          <w:iCs/>
          <w:lang w:val="lt-LT"/>
        </w:rPr>
        <w:t>arba metų. Paprastai aplink vyzdį atsiradusi</w:t>
      </w:r>
      <w:r w:rsidR="008439A7" w:rsidRPr="00F9703D">
        <w:rPr>
          <w:iCs/>
          <w:lang w:val="lt-LT"/>
        </w:rPr>
        <w:t xml:space="preserve"> </w:t>
      </w:r>
      <w:r w:rsidRPr="00F9703D">
        <w:rPr>
          <w:iCs/>
          <w:lang w:val="lt-LT"/>
        </w:rPr>
        <w:t>ruda pigmentacija koncentriškai plinta rainelės</w:t>
      </w:r>
      <w:r w:rsidR="008439A7" w:rsidRPr="00F9703D">
        <w:rPr>
          <w:iCs/>
          <w:lang w:val="lt-LT"/>
        </w:rPr>
        <w:t xml:space="preserve"> </w:t>
      </w:r>
      <w:r w:rsidRPr="00F9703D">
        <w:rPr>
          <w:iCs/>
          <w:lang w:val="lt-LT"/>
        </w:rPr>
        <w:t>periferijos link ir visa rainelė arba jos dalis tampa</w:t>
      </w:r>
      <w:r w:rsidR="008439A7" w:rsidRPr="00F9703D">
        <w:rPr>
          <w:iCs/>
          <w:lang w:val="lt-LT"/>
        </w:rPr>
        <w:t xml:space="preserve"> </w:t>
      </w:r>
      <w:r w:rsidRPr="00F9703D">
        <w:rPr>
          <w:iCs/>
          <w:lang w:val="lt-LT"/>
        </w:rPr>
        <w:t>rusvesnė. Gydymas neveikia nei rainelės</w:t>
      </w:r>
      <w:r w:rsidR="008439A7" w:rsidRPr="00F9703D">
        <w:rPr>
          <w:iCs/>
          <w:lang w:val="lt-LT"/>
        </w:rPr>
        <w:t xml:space="preserve"> </w:t>
      </w:r>
      <w:r w:rsidRPr="00F9703D">
        <w:rPr>
          <w:iCs/>
          <w:lang w:val="lt-LT"/>
        </w:rPr>
        <w:t>apgamų, nei strazdanų. Po 12 mėnesių rainelės per didelės</w:t>
      </w:r>
      <w:r w:rsidR="008439A7" w:rsidRPr="00F9703D">
        <w:rPr>
          <w:iCs/>
          <w:lang w:val="lt-LT"/>
        </w:rPr>
        <w:t xml:space="preserve"> </w:t>
      </w:r>
      <w:r w:rsidRPr="00F9703D">
        <w:rPr>
          <w:iCs/>
          <w:lang w:val="lt-LT"/>
        </w:rPr>
        <w:t>pigmentacijos atvejų dažnis,</w:t>
      </w:r>
      <w:r w:rsidR="008439A7" w:rsidRPr="00F9703D">
        <w:rPr>
          <w:iCs/>
          <w:lang w:val="lt-LT"/>
        </w:rPr>
        <w:t xml:space="preserve"> </w:t>
      </w:r>
      <w:r w:rsidRPr="00F9703D">
        <w:rPr>
          <w:iCs/>
          <w:lang w:val="lt-LT"/>
        </w:rPr>
        <w:t>vartojant bimatoprosto 0,1</w:t>
      </w:r>
      <w:r w:rsidR="004F46EA">
        <w:rPr>
          <w:iCs/>
          <w:lang w:val="lt-LT"/>
        </w:rPr>
        <w:t> </w:t>
      </w:r>
      <w:r w:rsidRPr="00F9703D">
        <w:rPr>
          <w:iCs/>
          <w:lang w:val="lt-LT"/>
        </w:rPr>
        <w:t>mg/ml akių lašus (tirpalą), buvo 0,5</w:t>
      </w:r>
      <w:r w:rsidR="004F46EA">
        <w:rPr>
          <w:iCs/>
          <w:lang w:val="lt-LT"/>
        </w:rPr>
        <w:t> </w:t>
      </w:r>
      <w:r w:rsidRPr="00F9703D">
        <w:rPr>
          <w:iCs/>
          <w:lang w:val="lt-LT"/>
        </w:rPr>
        <w:t>%. Po 12</w:t>
      </w:r>
      <w:r w:rsidR="008439A7" w:rsidRPr="00F9703D">
        <w:rPr>
          <w:iCs/>
          <w:lang w:val="lt-LT"/>
        </w:rPr>
        <w:t xml:space="preserve"> </w:t>
      </w:r>
      <w:r w:rsidRPr="00F9703D">
        <w:rPr>
          <w:iCs/>
          <w:lang w:val="lt-LT"/>
        </w:rPr>
        <w:t>mėnesių</w:t>
      </w:r>
      <w:r w:rsidR="008439A7" w:rsidRPr="00F9703D">
        <w:rPr>
          <w:iCs/>
          <w:lang w:val="lt-LT"/>
        </w:rPr>
        <w:t xml:space="preserve"> </w:t>
      </w:r>
      <w:r w:rsidRPr="00F9703D">
        <w:rPr>
          <w:iCs/>
          <w:lang w:val="lt-LT"/>
        </w:rPr>
        <w:t>bimatoprosto 0,3</w:t>
      </w:r>
      <w:r w:rsidR="004F46EA">
        <w:rPr>
          <w:iCs/>
          <w:lang w:val="lt-LT"/>
        </w:rPr>
        <w:t> </w:t>
      </w:r>
      <w:r w:rsidRPr="00F9703D">
        <w:rPr>
          <w:iCs/>
          <w:lang w:val="lt-LT"/>
        </w:rPr>
        <w:t>mg/ml akių lašų (tirpalo) sukeliamų pokyčių dažnis buvo 1,5</w:t>
      </w:r>
      <w:r w:rsidR="004F46EA">
        <w:rPr>
          <w:iCs/>
          <w:lang w:val="lt-LT"/>
        </w:rPr>
        <w:t> </w:t>
      </w:r>
      <w:r w:rsidRPr="00F9703D">
        <w:rPr>
          <w:iCs/>
          <w:lang w:val="lt-LT"/>
        </w:rPr>
        <w:t>%</w:t>
      </w:r>
      <w:r w:rsidR="008439A7" w:rsidRPr="00F9703D">
        <w:rPr>
          <w:iCs/>
          <w:lang w:val="lt-LT"/>
        </w:rPr>
        <w:t xml:space="preserve"> </w:t>
      </w:r>
      <w:r w:rsidRPr="00F9703D">
        <w:rPr>
          <w:iCs/>
          <w:lang w:val="lt-LT"/>
        </w:rPr>
        <w:t>ir šis</w:t>
      </w:r>
      <w:r w:rsidR="008439A7" w:rsidRPr="00F9703D">
        <w:rPr>
          <w:iCs/>
          <w:lang w:val="lt-LT"/>
        </w:rPr>
        <w:t xml:space="preserve"> </w:t>
      </w:r>
      <w:r w:rsidRPr="00F9703D">
        <w:rPr>
          <w:iCs/>
          <w:lang w:val="lt-LT"/>
        </w:rPr>
        <w:t>rodiklis 3 gydymo metų laikotarpiu nedidėjo.</w:t>
      </w:r>
    </w:p>
    <w:p w14:paraId="1CAA4CD1" w14:textId="77777777" w:rsidR="00BE23A3" w:rsidRPr="00F9703D" w:rsidRDefault="00BE23A3" w:rsidP="007A292B">
      <w:pPr>
        <w:pStyle w:val="Betarp"/>
        <w:rPr>
          <w:i/>
          <w:u w:val="single"/>
          <w:lang w:val="lt-LT"/>
        </w:rPr>
      </w:pPr>
    </w:p>
    <w:p w14:paraId="2F516E30" w14:textId="77777777" w:rsidR="007C68A4" w:rsidRPr="00F9703D" w:rsidRDefault="007C68A4" w:rsidP="007A292B">
      <w:pPr>
        <w:pStyle w:val="Betarp"/>
        <w:rPr>
          <w:u w:val="single"/>
          <w:lang w:val="lt-LT"/>
        </w:rPr>
      </w:pPr>
      <w:r w:rsidRPr="00F9703D">
        <w:rPr>
          <w:noProof/>
          <w:u w:val="single"/>
          <w:lang w:val="lt-LT"/>
        </w:rPr>
        <w:t>Pranešimas apie įtariamas nepageidaujamas reakcijas</w:t>
      </w:r>
    </w:p>
    <w:p w14:paraId="089D9609" w14:textId="77777777" w:rsidR="009F2441" w:rsidRPr="009F2441" w:rsidRDefault="009F2441" w:rsidP="009F2441">
      <w:pPr>
        <w:tabs>
          <w:tab w:val="left" w:pos="567"/>
        </w:tabs>
        <w:spacing w:line="260" w:lineRule="exact"/>
        <w:jc w:val="both"/>
        <w:rPr>
          <w:szCs w:val="24"/>
          <w:lang w:val="pt-PT"/>
        </w:rPr>
      </w:pPr>
      <w:r w:rsidRPr="009F2441">
        <w:rPr>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F2441">
        <w:rPr>
          <w:u w:val="single"/>
          <w:lang w:val="pt-PT"/>
        </w:rPr>
        <w:t>https://vvkt.lrv.lt/lt/</w:t>
      </w:r>
      <w:r w:rsidRPr="009F2441">
        <w:rPr>
          <w:lang w:val="pt-PT"/>
        </w:rPr>
        <w:t xml:space="preserve"> nurodytais būdais.</w:t>
      </w:r>
    </w:p>
    <w:p w14:paraId="4443E9E0" w14:textId="77777777" w:rsidR="00345F83" w:rsidRDefault="00345F83" w:rsidP="007A292B">
      <w:pPr>
        <w:pStyle w:val="Betarp"/>
        <w:rPr>
          <w:b/>
          <w:lang w:val="lt-LT"/>
        </w:rPr>
      </w:pPr>
      <w:bookmarkStart w:id="27" w:name="_Toc129243110"/>
      <w:bookmarkStart w:id="28" w:name="_Toc129243235"/>
    </w:p>
    <w:p w14:paraId="120F46A2" w14:textId="7D446782" w:rsidR="007C68A4" w:rsidRPr="00F9703D" w:rsidRDefault="007C68A4" w:rsidP="007A292B">
      <w:pPr>
        <w:pStyle w:val="Betarp"/>
        <w:rPr>
          <w:b/>
          <w:lang w:val="lt-LT"/>
        </w:rPr>
      </w:pPr>
      <w:r w:rsidRPr="00F9703D">
        <w:rPr>
          <w:b/>
          <w:lang w:val="lt-LT"/>
        </w:rPr>
        <w:t>4.9</w:t>
      </w:r>
      <w:r w:rsidRPr="00F9703D">
        <w:rPr>
          <w:b/>
          <w:lang w:val="lt-LT"/>
        </w:rPr>
        <w:tab/>
        <w:t>Perdozavimas</w:t>
      </w:r>
      <w:bookmarkEnd w:id="27"/>
      <w:bookmarkEnd w:id="28"/>
    </w:p>
    <w:p w14:paraId="6F1564E1" w14:textId="77777777" w:rsidR="007C68A4" w:rsidRPr="00F9703D" w:rsidRDefault="007C68A4" w:rsidP="007A292B">
      <w:pPr>
        <w:pStyle w:val="Betarp"/>
        <w:rPr>
          <w:lang w:val="lt-LT"/>
        </w:rPr>
      </w:pPr>
    </w:p>
    <w:p w14:paraId="27AA8A00" w14:textId="735FFA03" w:rsidR="00C947F6" w:rsidRPr="00F9703D" w:rsidRDefault="00C947F6" w:rsidP="007A292B">
      <w:pPr>
        <w:pStyle w:val="Betarp"/>
        <w:rPr>
          <w:lang w:val="lt-LT"/>
        </w:rPr>
      </w:pPr>
      <w:r w:rsidRPr="00F9703D">
        <w:rPr>
          <w:lang w:val="lt-LT"/>
        </w:rPr>
        <w:t xml:space="preserve">Nėra tikėtina, kad vietinis </w:t>
      </w:r>
      <w:r w:rsidR="00E90A95">
        <w:rPr>
          <w:lang w:val="lt-LT"/>
        </w:rPr>
        <w:t>Ed</w:t>
      </w:r>
      <w:r w:rsidR="007643D3" w:rsidRPr="007643D3">
        <w:rPr>
          <w:lang w:val="lt-LT"/>
        </w:rPr>
        <w:t>uelym</w:t>
      </w:r>
      <w:r w:rsidRPr="00F9703D">
        <w:rPr>
          <w:lang w:val="lt-LT"/>
        </w:rPr>
        <w:t xml:space="preserve"> perdozavimas pasireikš ar bus toksiškas.</w:t>
      </w:r>
    </w:p>
    <w:p w14:paraId="546BC50E" w14:textId="77777777" w:rsidR="00CF55F5" w:rsidRPr="00F9703D" w:rsidRDefault="00CF55F5" w:rsidP="007A292B">
      <w:pPr>
        <w:pStyle w:val="Betarp"/>
        <w:rPr>
          <w:lang w:val="lt-LT"/>
        </w:rPr>
      </w:pPr>
    </w:p>
    <w:p w14:paraId="6B0AF6B3" w14:textId="53E5B2FF" w:rsidR="007C68A4" w:rsidRPr="00F9703D" w:rsidRDefault="00CF55F5" w:rsidP="007A292B">
      <w:pPr>
        <w:pStyle w:val="Betarp"/>
        <w:rPr>
          <w:i/>
          <w:iCs/>
          <w:lang w:val="lt-LT"/>
        </w:rPr>
      </w:pPr>
      <w:r w:rsidRPr="00F9703D">
        <w:rPr>
          <w:i/>
          <w:iCs/>
          <w:lang w:val="lt-LT"/>
        </w:rPr>
        <w:t>Bimatoprostas</w:t>
      </w:r>
    </w:p>
    <w:p w14:paraId="15829A1D" w14:textId="77777777" w:rsidR="00CF55F5" w:rsidRPr="00F9703D" w:rsidRDefault="00CF55F5" w:rsidP="007A292B">
      <w:pPr>
        <w:pStyle w:val="Betarp"/>
        <w:rPr>
          <w:lang w:val="lt-LT"/>
        </w:rPr>
      </w:pPr>
      <w:r w:rsidRPr="00F9703D">
        <w:rPr>
          <w:lang w:val="lt-LT"/>
        </w:rPr>
        <w:t>Perdozavus, gydymas turi būti simptominis ir palaikomasis.</w:t>
      </w:r>
    </w:p>
    <w:p w14:paraId="54895813" w14:textId="4ECD4A3A" w:rsidR="00CF55F5" w:rsidRPr="00F9703D" w:rsidRDefault="00CF55F5" w:rsidP="007A292B">
      <w:pPr>
        <w:pStyle w:val="Betarp"/>
        <w:rPr>
          <w:lang w:val="lt-LT"/>
        </w:rPr>
      </w:pPr>
      <w:r w:rsidRPr="00F9703D">
        <w:rPr>
          <w:lang w:val="lt-LT"/>
        </w:rPr>
        <w:t xml:space="preserve">Jei </w:t>
      </w:r>
      <w:r w:rsidR="00E90A95">
        <w:rPr>
          <w:lang w:val="lt-LT"/>
        </w:rPr>
        <w:t>Ed</w:t>
      </w:r>
      <w:r w:rsidR="007643D3" w:rsidRPr="007643D3">
        <w:rPr>
          <w:lang w:val="lt-LT"/>
        </w:rPr>
        <w:t>uelym</w:t>
      </w:r>
      <w:r w:rsidRPr="00F9703D">
        <w:rPr>
          <w:lang w:val="lt-LT"/>
        </w:rPr>
        <w:t xml:space="preserve"> atsitiktinai nur</w:t>
      </w:r>
      <w:r w:rsidR="004A4899">
        <w:rPr>
          <w:lang w:val="lt-LT"/>
        </w:rPr>
        <w:t>y</w:t>
      </w:r>
      <w:r w:rsidRPr="00F9703D">
        <w:rPr>
          <w:lang w:val="lt-LT"/>
        </w:rPr>
        <w:t xml:space="preserve">jama, gali būti naudinga ši informacija: 2 savaičių trukmės pelių ir žiurkių tyrimų metu bimatoprosto </w:t>
      </w:r>
      <w:r w:rsidR="00B00D59" w:rsidRPr="00F9703D">
        <w:rPr>
          <w:lang w:val="lt-LT"/>
        </w:rPr>
        <w:t xml:space="preserve">per burną </w:t>
      </w:r>
      <w:r w:rsidR="00EC4A2F">
        <w:rPr>
          <w:lang w:val="lt-LT"/>
        </w:rPr>
        <w:t>skiriamos</w:t>
      </w:r>
      <w:r w:rsidR="00EC4A2F" w:rsidRPr="00F9703D">
        <w:rPr>
          <w:lang w:val="lt-LT"/>
        </w:rPr>
        <w:t xml:space="preserve"> </w:t>
      </w:r>
      <w:r w:rsidRPr="00F9703D">
        <w:rPr>
          <w:lang w:val="lt-LT"/>
        </w:rPr>
        <w:t>dozės iki 100</w:t>
      </w:r>
      <w:r w:rsidR="00C839B6">
        <w:rPr>
          <w:lang w:val="lt-LT"/>
        </w:rPr>
        <w:t> </w:t>
      </w:r>
      <w:r w:rsidRPr="00F9703D">
        <w:rPr>
          <w:lang w:val="lt-LT"/>
        </w:rPr>
        <w:t>mg/kg per parą nesukėlė jokio</w:t>
      </w:r>
      <w:r w:rsidR="00B00D59" w:rsidRPr="00F9703D">
        <w:rPr>
          <w:lang w:val="lt-LT"/>
        </w:rPr>
        <w:t xml:space="preserve"> </w:t>
      </w:r>
      <w:r w:rsidRPr="00F9703D">
        <w:rPr>
          <w:lang w:val="lt-LT"/>
        </w:rPr>
        <w:t>toksiškumo. 100</w:t>
      </w:r>
      <w:r w:rsidR="00C839B6">
        <w:rPr>
          <w:lang w:val="lt-LT"/>
        </w:rPr>
        <w:t> </w:t>
      </w:r>
      <w:r w:rsidRPr="00F9703D">
        <w:rPr>
          <w:lang w:val="lt-LT"/>
        </w:rPr>
        <w:t>mg/kg dozė pelėms ir žiurkėms atitinka 8,1 ir 16,2</w:t>
      </w:r>
      <w:r w:rsidR="00C839B6">
        <w:rPr>
          <w:lang w:val="lt-LT"/>
        </w:rPr>
        <w:t> </w:t>
      </w:r>
      <w:r w:rsidRPr="00F9703D">
        <w:rPr>
          <w:lang w:val="lt-LT"/>
        </w:rPr>
        <w:t xml:space="preserve">mg/kg dozes </w:t>
      </w:r>
      <w:r w:rsidR="00B00D59" w:rsidRPr="00F9703D">
        <w:rPr>
          <w:lang w:val="lt-LT"/>
        </w:rPr>
        <w:t>žmogui</w:t>
      </w:r>
      <w:r w:rsidRPr="00F9703D">
        <w:rPr>
          <w:lang w:val="lt-LT"/>
        </w:rPr>
        <w:t xml:space="preserve">. Šios dozės yra mažiausiai 30 kartų didesnės už bimatoprosto kiekį, </w:t>
      </w:r>
      <w:r w:rsidR="006437A7" w:rsidRPr="00F9703D">
        <w:rPr>
          <w:lang w:val="lt-LT"/>
        </w:rPr>
        <w:t>kuris</w:t>
      </w:r>
      <w:r w:rsidR="00B00D59" w:rsidRPr="00F9703D">
        <w:rPr>
          <w:lang w:val="lt-LT"/>
        </w:rPr>
        <w:t xml:space="preserve"> </w:t>
      </w:r>
      <w:r w:rsidR="006437A7" w:rsidRPr="00F9703D">
        <w:rPr>
          <w:lang w:val="lt-LT"/>
        </w:rPr>
        <w:t>gautųsi</w:t>
      </w:r>
      <w:r w:rsidR="00B00D59" w:rsidRPr="00F9703D">
        <w:rPr>
          <w:lang w:val="lt-LT"/>
        </w:rPr>
        <w:t xml:space="preserve"> </w:t>
      </w:r>
      <w:r w:rsidRPr="00BF3B86">
        <w:rPr>
          <w:lang w:val="lt-LT"/>
        </w:rPr>
        <w:t xml:space="preserve">atsitiktinai </w:t>
      </w:r>
      <w:r w:rsidR="00BF3B86">
        <w:rPr>
          <w:lang w:val="lt-LT"/>
        </w:rPr>
        <w:t>suvartojus per burną</w:t>
      </w:r>
      <w:r w:rsidR="00BF3B86" w:rsidRPr="00F9703D">
        <w:rPr>
          <w:lang w:val="lt-LT"/>
        </w:rPr>
        <w:t xml:space="preserve"> </w:t>
      </w:r>
      <w:r w:rsidRPr="00F9703D">
        <w:rPr>
          <w:lang w:val="lt-LT"/>
        </w:rPr>
        <w:t>vis</w:t>
      </w:r>
      <w:r w:rsidR="006437A7" w:rsidRPr="00F9703D">
        <w:rPr>
          <w:lang w:val="lt-LT"/>
        </w:rPr>
        <w:t>ą</w:t>
      </w:r>
      <w:r w:rsidRPr="00F9703D">
        <w:rPr>
          <w:lang w:val="lt-LT"/>
        </w:rPr>
        <w:t xml:space="preserve"> </w:t>
      </w:r>
      <w:r w:rsidR="00E90A95">
        <w:rPr>
          <w:lang w:val="lt-LT"/>
        </w:rPr>
        <w:t>Ed</w:t>
      </w:r>
      <w:r w:rsidR="007643D3" w:rsidRPr="007643D3">
        <w:rPr>
          <w:lang w:val="lt-LT"/>
        </w:rPr>
        <w:t>uelym</w:t>
      </w:r>
      <w:r w:rsidRPr="00F9703D">
        <w:rPr>
          <w:lang w:val="lt-LT"/>
        </w:rPr>
        <w:t xml:space="preserve"> kartoninės dėžutės turin</w:t>
      </w:r>
      <w:r w:rsidR="006437A7" w:rsidRPr="00F9703D">
        <w:rPr>
          <w:lang w:val="lt-LT"/>
        </w:rPr>
        <w:t xml:space="preserve">į </w:t>
      </w:r>
      <w:r w:rsidRPr="00F9703D">
        <w:rPr>
          <w:lang w:val="lt-LT"/>
        </w:rPr>
        <w:t>(90</w:t>
      </w:r>
      <w:r w:rsidR="00C839B6">
        <w:rPr>
          <w:lang w:val="lt-LT"/>
        </w:rPr>
        <w:t> </w:t>
      </w:r>
      <w:r w:rsidRPr="00F9703D">
        <w:rPr>
          <w:lang w:val="lt-LT"/>
        </w:rPr>
        <w:t>x</w:t>
      </w:r>
      <w:r w:rsidR="00C839B6">
        <w:rPr>
          <w:lang w:val="lt-LT"/>
        </w:rPr>
        <w:t> </w:t>
      </w:r>
      <w:r w:rsidRPr="00F9703D">
        <w:rPr>
          <w:lang w:val="lt-LT"/>
        </w:rPr>
        <w:t>0,3</w:t>
      </w:r>
      <w:r w:rsidR="00C839B6">
        <w:rPr>
          <w:lang w:val="lt-LT"/>
        </w:rPr>
        <w:t> </w:t>
      </w:r>
      <w:r w:rsidRPr="00F9703D">
        <w:rPr>
          <w:lang w:val="lt-LT"/>
        </w:rPr>
        <w:t>g vienadozės talpyklės; 27</w:t>
      </w:r>
      <w:r w:rsidR="00C839B6">
        <w:rPr>
          <w:lang w:val="lt-LT"/>
        </w:rPr>
        <w:t> </w:t>
      </w:r>
      <w:r w:rsidRPr="00F9703D">
        <w:rPr>
          <w:lang w:val="lt-LT"/>
        </w:rPr>
        <w:t>g) 10</w:t>
      </w:r>
      <w:r w:rsidR="00C839B6">
        <w:rPr>
          <w:lang w:val="lt-LT"/>
        </w:rPr>
        <w:t> </w:t>
      </w:r>
      <w:r w:rsidRPr="00F9703D">
        <w:rPr>
          <w:lang w:val="lt-LT"/>
        </w:rPr>
        <w:t>kg sveriančiam vaikui.</w:t>
      </w:r>
    </w:p>
    <w:p w14:paraId="1EA72791" w14:textId="77777777" w:rsidR="007C68A4" w:rsidRPr="00F9703D" w:rsidRDefault="007C68A4" w:rsidP="007A292B">
      <w:pPr>
        <w:pStyle w:val="Betarp"/>
        <w:rPr>
          <w:b/>
          <w:lang w:val="lt-LT"/>
        </w:rPr>
      </w:pPr>
    </w:p>
    <w:p w14:paraId="3CE465B0" w14:textId="77777777" w:rsidR="00B55039" w:rsidRPr="00F9703D" w:rsidRDefault="00B55039" w:rsidP="007A292B">
      <w:pPr>
        <w:pStyle w:val="Betarp"/>
        <w:rPr>
          <w:bCs/>
          <w:i/>
          <w:iCs/>
          <w:lang w:val="lt-LT"/>
        </w:rPr>
      </w:pPr>
      <w:r w:rsidRPr="00F9703D">
        <w:rPr>
          <w:bCs/>
          <w:i/>
          <w:iCs/>
          <w:lang w:val="lt-LT"/>
        </w:rPr>
        <w:t>Timololis</w:t>
      </w:r>
    </w:p>
    <w:p w14:paraId="1A2B14CA" w14:textId="34A564E5" w:rsidR="00270C4C" w:rsidRPr="00F9703D" w:rsidRDefault="00B55039" w:rsidP="007A292B">
      <w:pPr>
        <w:pStyle w:val="Betarp"/>
        <w:rPr>
          <w:bCs/>
          <w:lang w:val="lt-LT"/>
        </w:rPr>
      </w:pPr>
      <w:r w:rsidRPr="00F9703D">
        <w:rPr>
          <w:bCs/>
          <w:lang w:val="lt-LT"/>
        </w:rPr>
        <w:t xml:space="preserve">Dažniausi sisteminio timololio perdozavimo simptomai yra bradikardija, hipotenzija, bronchų spazmas ir ūminis širdies </w:t>
      </w:r>
      <w:r w:rsidR="00C839B6">
        <w:rPr>
          <w:bCs/>
          <w:lang w:val="lt-LT"/>
        </w:rPr>
        <w:t>bei</w:t>
      </w:r>
      <w:r w:rsidR="00C839B6" w:rsidRPr="00F9703D">
        <w:rPr>
          <w:bCs/>
          <w:lang w:val="lt-LT"/>
        </w:rPr>
        <w:t xml:space="preserve"> </w:t>
      </w:r>
      <w:r w:rsidRPr="00F9703D">
        <w:rPr>
          <w:bCs/>
          <w:lang w:val="lt-LT"/>
        </w:rPr>
        <w:t>kraujagyslių nepakankamumas. Perdozavimo gydymas yra simptominis ir</w:t>
      </w:r>
      <w:r w:rsidR="00965038" w:rsidRPr="00F9703D">
        <w:rPr>
          <w:bCs/>
          <w:lang w:val="lt-LT"/>
        </w:rPr>
        <w:t xml:space="preserve"> </w:t>
      </w:r>
      <w:r w:rsidRPr="00F9703D">
        <w:rPr>
          <w:bCs/>
          <w:lang w:val="lt-LT"/>
        </w:rPr>
        <w:t>palaikomasis.</w:t>
      </w:r>
    </w:p>
    <w:p w14:paraId="20393535" w14:textId="77777777" w:rsidR="00270C4C" w:rsidRDefault="00270C4C" w:rsidP="007A292B">
      <w:pPr>
        <w:pStyle w:val="Betarp"/>
        <w:rPr>
          <w:b/>
          <w:lang w:val="lt-LT"/>
        </w:rPr>
      </w:pPr>
    </w:p>
    <w:p w14:paraId="05CF3FC1" w14:textId="77777777" w:rsidR="009F2441" w:rsidRPr="00F9703D" w:rsidRDefault="009F2441" w:rsidP="007A292B">
      <w:pPr>
        <w:pStyle w:val="Betarp"/>
        <w:rPr>
          <w:b/>
          <w:lang w:val="lt-LT"/>
        </w:rPr>
      </w:pPr>
    </w:p>
    <w:p w14:paraId="0DA5A6F1" w14:textId="77777777" w:rsidR="007C68A4" w:rsidRPr="00F9703D" w:rsidRDefault="007C68A4" w:rsidP="007A292B">
      <w:pPr>
        <w:pStyle w:val="Betarp"/>
        <w:rPr>
          <w:b/>
          <w:lang w:val="lt-LT"/>
        </w:rPr>
      </w:pPr>
      <w:bookmarkStart w:id="29" w:name="_Toc129243111"/>
      <w:bookmarkStart w:id="30" w:name="_Toc129243236"/>
      <w:r w:rsidRPr="00F9703D">
        <w:rPr>
          <w:b/>
          <w:lang w:val="lt-LT"/>
        </w:rPr>
        <w:t>5.</w:t>
      </w:r>
      <w:r w:rsidRPr="00F9703D">
        <w:rPr>
          <w:b/>
          <w:lang w:val="lt-LT"/>
        </w:rPr>
        <w:tab/>
        <w:t>FARMAKOLOGINĖS SAVYBĖS</w:t>
      </w:r>
      <w:bookmarkEnd w:id="29"/>
      <w:bookmarkEnd w:id="30"/>
    </w:p>
    <w:p w14:paraId="2702270C" w14:textId="77777777" w:rsidR="007C68A4" w:rsidRPr="00F9703D" w:rsidRDefault="007C68A4" w:rsidP="007A292B">
      <w:pPr>
        <w:pStyle w:val="Betarp"/>
        <w:rPr>
          <w:b/>
          <w:lang w:val="lt-LT"/>
        </w:rPr>
      </w:pPr>
    </w:p>
    <w:p w14:paraId="18A0B361" w14:textId="77777777" w:rsidR="007C68A4" w:rsidRPr="00F9703D" w:rsidRDefault="007C68A4" w:rsidP="007A292B">
      <w:pPr>
        <w:pStyle w:val="Betarp"/>
        <w:rPr>
          <w:b/>
          <w:lang w:val="lt-LT"/>
        </w:rPr>
      </w:pPr>
      <w:bookmarkStart w:id="31" w:name="_Toc129243112"/>
      <w:bookmarkStart w:id="32" w:name="_Toc129243237"/>
      <w:r w:rsidRPr="00F9703D">
        <w:rPr>
          <w:b/>
          <w:lang w:val="lt-LT"/>
        </w:rPr>
        <w:t>5.1</w:t>
      </w:r>
      <w:r w:rsidRPr="00F9703D">
        <w:rPr>
          <w:b/>
          <w:lang w:val="lt-LT"/>
        </w:rPr>
        <w:tab/>
        <w:t>Farmakodinaminės savybės</w:t>
      </w:r>
      <w:bookmarkEnd w:id="31"/>
      <w:bookmarkEnd w:id="32"/>
    </w:p>
    <w:p w14:paraId="680E56AB" w14:textId="77777777" w:rsidR="007C68A4" w:rsidRPr="00F9703D" w:rsidRDefault="007C68A4" w:rsidP="007A292B">
      <w:pPr>
        <w:pStyle w:val="Betarp"/>
        <w:rPr>
          <w:lang w:val="lt-LT"/>
        </w:rPr>
      </w:pPr>
    </w:p>
    <w:p w14:paraId="091FD470" w14:textId="5CDDE634" w:rsidR="007C68A4" w:rsidRPr="00F9703D" w:rsidRDefault="007C68A4" w:rsidP="007A292B">
      <w:pPr>
        <w:pStyle w:val="Betarp"/>
        <w:jc w:val="both"/>
        <w:rPr>
          <w:lang w:val="lt-LT"/>
        </w:rPr>
      </w:pPr>
      <w:r w:rsidRPr="00F9703D">
        <w:rPr>
          <w:lang w:val="lt-LT"/>
        </w:rPr>
        <w:t xml:space="preserve">Farmakoterapinė grupė – oftalmologiniai beta adrenoeceptorius blokuojantys </w:t>
      </w:r>
      <w:r w:rsidR="00166262">
        <w:rPr>
          <w:lang w:val="lt-LT"/>
        </w:rPr>
        <w:t xml:space="preserve">vaistiniai </w:t>
      </w:r>
      <w:r w:rsidRPr="00F9703D">
        <w:rPr>
          <w:lang w:val="lt-LT"/>
        </w:rPr>
        <w:t>preparatai, ATC kodas – S01ED51</w:t>
      </w:r>
      <w:r w:rsidR="003D7C17">
        <w:rPr>
          <w:lang w:val="lt-LT"/>
        </w:rPr>
        <w:t>.</w:t>
      </w:r>
    </w:p>
    <w:p w14:paraId="252578E6" w14:textId="77777777" w:rsidR="007C68A4" w:rsidRPr="00F9703D" w:rsidRDefault="007C68A4" w:rsidP="007A292B">
      <w:pPr>
        <w:pStyle w:val="Betarp"/>
        <w:rPr>
          <w:u w:val="single"/>
          <w:lang w:val="lt-LT"/>
        </w:rPr>
      </w:pPr>
    </w:p>
    <w:p w14:paraId="299BC97A" w14:textId="77777777" w:rsidR="007C68A4" w:rsidRPr="00F9703D" w:rsidRDefault="007C68A4" w:rsidP="007A292B">
      <w:pPr>
        <w:pStyle w:val="Betarp"/>
        <w:rPr>
          <w:u w:val="single"/>
          <w:lang w:val="lt-LT"/>
        </w:rPr>
      </w:pPr>
      <w:r w:rsidRPr="00F9703D">
        <w:rPr>
          <w:u w:val="single"/>
          <w:lang w:val="lt-LT"/>
        </w:rPr>
        <w:t>Veikimo mechanizmas</w:t>
      </w:r>
    </w:p>
    <w:p w14:paraId="4AA53DB2" w14:textId="77777777" w:rsidR="009F2CAD" w:rsidRPr="00F9703D" w:rsidRDefault="009F2CAD" w:rsidP="007A292B">
      <w:pPr>
        <w:pStyle w:val="Betarp"/>
        <w:rPr>
          <w:u w:val="single"/>
          <w:lang w:val="lt-LT"/>
        </w:rPr>
      </w:pPr>
    </w:p>
    <w:p w14:paraId="71374FC7" w14:textId="481C6627" w:rsidR="009F2CAD" w:rsidRPr="00F9703D" w:rsidRDefault="00E90A95" w:rsidP="007A292B">
      <w:pPr>
        <w:pStyle w:val="Betarp"/>
        <w:rPr>
          <w:lang w:val="lt-LT"/>
        </w:rPr>
      </w:pPr>
      <w:r>
        <w:rPr>
          <w:lang w:val="lt-LT"/>
        </w:rPr>
        <w:t>Ed</w:t>
      </w:r>
      <w:r w:rsidR="007643D3" w:rsidRPr="007643D3">
        <w:rPr>
          <w:lang w:val="lt-LT"/>
        </w:rPr>
        <w:t>uelym</w:t>
      </w:r>
      <w:r w:rsidR="009F2CAD" w:rsidRPr="00F9703D">
        <w:rPr>
          <w:lang w:val="lt-LT"/>
        </w:rPr>
        <w:t xml:space="preserve"> yra dviejų vaistų nuo glaukomos – bimatoprosto ir timololio, derinys. Šios dvi veikliosios medžiagos sumažina padidėjusį akispūdį dėl viena kitą papildančių veikimo mechanizmų. Įrodyta, kad bendras bimatoprosto ir timololio poveikis derinyje dar labiau sumažina akispūdį, lyginant su bet kuriuo junginiu, vartojamu atskirai.</w:t>
      </w:r>
    </w:p>
    <w:p w14:paraId="7C868E51" w14:textId="77777777" w:rsidR="009F2CAD" w:rsidRPr="00F9703D" w:rsidRDefault="009F2CAD" w:rsidP="007A292B">
      <w:pPr>
        <w:pStyle w:val="Betarp"/>
        <w:rPr>
          <w:u w:val="single"/>
          <w:lang w:val="lt-LT"/>
        </w:rPr>
      </w:pPr>
    </w:p>
    <w:p w14:paraId="558D1D53" w14:textId="0487D285" w:rsidR="009F2CAD" w:rsidRPr="00F9703D" w:rsidRDefault="009F2CAD" w:rsidP="007A292B">
      <w:pPr>
        <w:autoSpaceDE w:val="0"/>
        <w:autoSpaceDN w:val="0"/>
        <w:adjustRightInd w:val="0"/>
        <w:spacing w:line="240" w:lineRule="auto"/>
        <w:rPr>
          <w:rFonts w:eastAsia="Times New Roman"/>
          <w:lang w:val="lt-LT"/>
        </w:rPr>
      </w:pPr>
      <w:r w:rsidRPr="00F9703D">
        <w:rPr>
          <w:rFonts w:eastAsia="Times New Roman"/>
          <w:lang w:val="lt-LT"/>
        </w:rPr>
        <w:t>Bimatoprostas yra stipriai veikianti akispūdį mažinanti medžiaga. Jis</w:t>
      </w:r>
      <w:r w:rsidRPr="00F9703D">
        <w:rPr>
          <w:rFonts w:eastAsia="Times New Roman"/>
          <w:spacing w:val="-3"/>
          <w:lang w:val="lt-LT"/>
        </w:rPr>
        <w:t xml:space="preserve"> </w:t>
      </w:r>
      <w:r w:rsidRPr="00F9703D">
        <w:rPr>
          <w:rFonts w:eastAsia="Times New Roman"/>
          <w:lang w:val="lt-LT"/>
        </w:rPr>
        <w:t>yra</w:t>
      </w:r>
      <w:r w:rsidRPr="00F9703D">
        <w:rPr>
          <w:rFonts w:eastAsia="Times New Roman"/>
          <w:spacing w:val="-3"/>
          <w:lang w:val="lt-LT"/>
        </w:rPr>
        <w:t xml:space="preserve"> </w:t>
      </w:r>
      <w:r w:rsidRPr="00F9703D">
        <w:rPr>
          <w:rFonts w:eastAsia="Times New Roman"/>
          <w:lang w:val="lt-LT"/>
        </w:rPr>
        <w:t>struktūriškai</w:t>
      </w:r>
      <w:r w:rsidRPr="00F9703D">
        <w:rPr>
          <w:rFonts w:eastAsia="Times New Roman"/>
          <w:spacing w:val="-3"/>
          <w:lang w:val="lt-LT"/>
        </w:rPr>
        <w:t xml:space="preserve"> </w:t>
      </w:r>
      <w:r w:rsidRPr="00F9703D">
        <w:rPr>
          <w:rFonts w:eastAsia="Times New Roman"/>
          <w:lang w:val="lt-LT"/>
        </w:rPr>
        <w:t>į</w:t>
      </w:r>
      <w:r w:rsidRPr="00F9703D">
        <w:rPr>
          <w:rFonts w:eastAsia="Times New Roman"/>
          <w:spacing w:val="-3"/>
          <w:lang w:val="lt-LT"/>
        </w:rPr>
        <w:t xml:space="preserve"> </w:t>
      </w:r>
      <w:r w:rsidRPr="00F9703D">
        <w:rPr>
          <w:rFonts w:eastAsia="Times New Roman"/>
          <w:lang w:val="lt-LT"/>
        </w:rPr>
        <w:t xml:space="preserve">prostaglandiną </w:t>
      </w:r>
      <w:r w:rsidRPr="00F9703D">
        <w:rPr>
          <w:rFonts w:eastAsia="Times New Roman"/>
          <w:position w:val="2"/>
          <w:lang w:val="lt-LT"/>
        </w:rPr>
        <w:t>F</w:t>
      </w:r>
      <w:r w:rsidRPr="008A56BA">
        <w:rPr>
          <w:rFonts w:eastAsia="Times New Roman"/>
          <w:vertAlign w:val="subscript"/>
          <w:lang w:val="lt-LT"/>
        </w:rPr>
        <w:t>2</w:t>
      </w:r>
      <w:r w:rsidR="00E6032D" w:rsidRPr="008A56BA">
        <w:rPr>
          <w:rFonts w:eastAsia="Times New Roman"/>
          <w:vertAlign w:val="subscript"/>
          <w:lang w:val="lt-LT"/>
        </w:rPr>
        <w:t>α</w:t>
      </w:r>
      <w:r w:rsidRPr="00F9703D">
        <w:rPr>
          <w:rFonts w:eastAsia="Times New Roman"/>
          <w:spacing w:val="32"/>
          <w:lang w:val="lt-LT"/>
        </w:rPr>
        <w:t xml:space="preserve"> </w:t>
      </w:r>
      <w:r w:rsidRPr="00F9703D">
        <w:rPr>
          <w:rFonts w:eastAsia="Times New Roman"/>
          <w:position w:val="2"/>
          <w:lang w:val="lt-LT"/>
        </w:rPr>
        <w:t>(PGF</w:t>
      </w:r>
      <w:r w:rsidRPr="008A56BA">
        <w:rPr>
          <w:rFonts w:eastAsia="Times New Roman"/>
          <w:vertAlign w:val="subscript"/>
          <w:lang w:val="lt-LT"/>
        </w:rPr>
        <w:t>2</w:t>
      </w:r>
      <w:r w:rsidR="00E6032D" w:rsidRPr="008A56BA">
        <w:rPr>
          <w:rFonts w:eastAsia="Times New Roman"/>
          <w:vertAlign w:val="subscript"/>
          <w:lang w:val="lt-LT"/>
        </w:rPr>
        <w:t>α</w:t>
      </w:r>
      <w:r w:rsidRPr="00F9703D">
        <w:rPr>
          <w:rFonts w:eastAsia="Times New Roman"/>
          <w:position w:val="2"/>
          <w:lang w:val="lt-LT"/>
        </w:rPr>
        <w:t xml:space="preserve">) panašus sintetinis prostamidas, kuris neveikia per jokius žinomus prostaglandinų </w:t>
      </w:r>
      <w:r w:rsidRPr="00F9703D">
        <w:rPr>
          <w:rFonts w:eastAsia="Times New Roman"/>
          <w:lang w:val="lt-LT"/>
        </w:rPr>
        <w:t>receptorius. Bimatoprostas veikia taip</w:t>
      </w:r>
      <w:r w:rsidR="00BA51B8">
        <w:rPr>
          <w:rFonts w:eastAsia="Times New Roman"/>
          <w:lang w:val="lt-LT"/>
        </w:rPr>
        <w:t>,</w:t>
      </w:r>
      <w:r w:rsidRPr="00F9703D">
        <w:rPr>
          <w:rFonts w:eastAsia="Times New Roman"/>
          <w:lang w:val="lt-LT"/>
        </w:rPr>
        <w:t xml:space="preserve"> kaip naujai atrastos biosintetinės medžiagos, vadinam</w:t>
      </w:r>
      <w:r w:rsidR="003F0D78">
        <w:rPr>
          <w:rFonts w:eastAsia="Times New Roman"/>
          <w:lang w:val="lt-LT"/>
        </w:rPr>
        <w:t>os</w:t>
      </w:r>
      <w:r w:rsidRPr="00F9703D">
        <w:rPr>
          <w:rFonts w:eastAsia="Times New Roman"/>
          <w:lang w:val="lt-LT"/>
        </w:rPr>
        <w:t xml:space="preserve"> prostamidai</w:t>
      </w:r>
      <w:r w:rsidR="003F0D78">
        <w:rPr>
          <w:rFonts w:eastAsia="Times New Roman"/>
          <w:lang w:val="lt-LT"/>
        </w:rPr>
        <w:t>s</w:t>
      </w:r>
      <w:r w:rsidRPr="00F9703D">
        <w:rPr>
          <w:rFonts w:eastAsia="Times New Roman"/>
          <w:lang w:val="lt-LT"/>
        </w:rPr>
        <w:t>. Tačiau prostamido receptorius struktūriškai dar nenustatytas.</w:t>
      </w:r>
      <w:r w:rsidRPr="00F9703D">
        <w:rPr>
          <w:lang w:val="lt-LT"/>
        </w:rPr>
        <w:t xml:space="preserve"> </w:t>
      </w:r>
      <w:r w:rsidRPr="00F9703D">
        <w:rPr>
          <w:rFonts w:eastAsia="Times New Roman"/>
          <w:lang w:val="lt-LT"/>
        </w:rPr>
        <w:t>Veikimo mechanizmas, kuriuo bimatoprostas mažina žmogaus akispūdį, yra vandeninio skysčio nutekėjimo per trabekulinį tinklą ir uveoskleralaus nutekėjimo padidinimas.</w:t>
      </w:r>
    </w:p>
    <w:p w14:paraId="3AAF815C" w14:textId="77777777" w:rsidR="009F2CAD" w:rsidRPr="00F9703D" w:rsidRDefault="009F2CAD" w:rsidP="007A292B">
      <w:pPr>
        <w:pStyle w:val="Betarp"/>
        <w:rPr>
          <w:u w:val="single"/>
          <w:lang w:val="lt-LT"/>
        </w:rPr>
      </w:pPr>
    </w:p>
    <w:p w14:paraId="22FF19F7" w14:textId="6B6628DA" w:rsidR="007C68A4" w:rsidRPr="00F9703D" w:rsidRDefault="007C68A4" w:rsidP="007A292B">
      <w:pPr>
        <w:pStyle w:val="Betarp"/>
        <w:jc w:val="both"/>
        <w:rPr>
          <w:lang w:val="lt-LT"/>
        </w:rPr>
      </w:pPr>
      <w:r w:rsidRPr="00F9703D">
        <w:rPr>
          <w:lang w:val="lt-LT"/>
        </w:rPr>
        <w:t xml:space="preserve">Timololis yra </w:t>
      </w:r>
      <w:r w:rsidR="0060666D" w:rsidRPr="00F9703D">
        <w:rPr>
          <w:lang w:val="lt-LT"/>
        </w:rPr>
        <w:t xml:space="preserve">neselektyvus </w:t>
      </w:r>
      <w:r w:rsidRPr="00F9703D">
        <w:rPr>
          <w:lang w:val="lt-LT"/>
        </w:rPr>
        <w:t>beta</w:t>
      </w:r>
      <w:r w:rsidRPr="00F9703D">
        <w:rPr>
          <w:vertAlign w:val="subscript"/>
          <w:lang w:val="lt-LT"/>
        </w:rPr>
        <w:t>1</w:t>
      </w:r>
      <w:r w:rsidRPr="00F9703D">
        <w:rPr>
          <w:lang w:val="lt-LT"/>
        </w:rPr>
        <w:t xml:space="preserve"> ir beta</w:t>
      </w:r>
      <w:r w:rsidRPr="00F9703D">
        <w:rPr>
          <w:vertAlign w:val="subscript"/>
          <w:lang w:val="lt-LT"/>
        </w:rPr>
        <w:t>2</w:t>
      </w:r>
      <w:r w:rsidR="0060666D" w:rsidRPr="00F9703D">
        <w:rPr>
          <w:lang w:val="lt-LT"/>
        </w:rPr>
        <w:t xml:space="preserve"> </w:t>
      </w:r>
      <w:r w:rsidRPr="00F9703D">
        <w:rPr>
          <w:lang w:val="lt-LT"/>
        </w:rPr>
        <w:t>adrenerginių receptorių blokatorius</w:t>
      </w:r>
      <w:r w:rsidR="0060666D" w:rsidRPr="00F9703D">
        <w:rPr>
          <w:lang w:val="lt-LT"/>
        </w:rPr>
        <w:t>, kuris</w:t>
      </w:r>
      <w:r w:rsidRPr="00F9703D">
        <w:rPr>
          <w:lang w:val="lt-LT"/>
        </w:rPr>
        <w:t xml:space="preserve"> neturi reikšmingo vidinio simpatomimetinio, tiesioginio miokardą slopinančio ar </w:t>
      </w:r>
      <w:r w:rsidR="0060666D" w:rsidRPr="00F9703D">
        <w:rPr>
          <w:lang w:val="lt-LT"/>
        </w:rPr>
        <w:t>vietinio anestezinio (</w:t>
      </w:r>
      <w:r w:rsidRPr="00F9703D">
        <w:rPr>
          <w:lang w:val="lt-LT"/>
        </w:rPr>
        <w:t>membranas stabilizuojančio</w:t>
      </w:r>
      <w:r w:rsidR="0060666D" w:rsidRPr="00F9703D">
        <w:rPr>
          <w:lang w:val="lt-LT"/>
        </w:rPr>
        <w:t>)</w:t>
      </w:r>
      <w:r w:rsidRPr="00F9703D">
        <w:rPr>
          <w:lang w:val="lt-LT"/>
        </w:rPr>
        <w:t xml:space="preserve"> poveikio. Timololis mažina</w:t>
      </w:r>
      <w:r w:rsidR="0060666D" w:rsidRPr="00F9703D">
        <w:rPr>
          <w:lang w:val="lt-LT"/>
        </w:rPr>
        <w:t xml:space="preserve"> akispūdį</w:t>
      </w:r>
      <w:r w:rsidRPr="00F9703D">
        <w:rPr>
          <w:lang w:val="lt-LT"/>
        </w:rPr>
        <w:t xml:space="preserve">, slopindamas akių skysčio gamybą </w:t>
      </w:r>
      <w:r w:rsidR="002A4012" w:rsidRPr="00F9703D">
        <w:rPr>
          <w:lang w:val="lt-LT"/>
        </w:rPr>
        <w:t>ciliariniame</w:t>
      </w:r>
      <w:r w:rsidRPr="00F9703D">
        <w:rPr>
          <w:lang w:val="lt-LT"/>
        </w:rPr>
        <w:t xml:space="preserve"> epitelyje.</w:t>
      </w:r>
      <w:r w:rsidR="002A4012" w:rsidRPr="00F9703D">
        <w:rPr>
          <w:lang w:val="lt-LT"/>
        </w:rPr>
        <w:t xml:space="preserve"> </w:t>
      </w:r>
      <w:r w:rsidRPr="00F9703D">
        <w:rPr>
          <w:lang w:val="lt-LT"/>
        </w:rPr>
        <w:t xml:space="preserve">Tikslus veikimo mechanizmas </w:t>
      </w:r>
      <w:r w:rsidR="002A4012" w:rsidRPr="00F9703D">
        <w:rPr>
          <w:lang w:val="lt-LT"/>
        </w:rPr>
        <w:t>nėra aiškiai nustatytas</w:t>
      </w:r>
      <w:r w:rsidRPr="00F9703D">
        <w:rPr>
          <w:lang w:val="lt-LT"/>
        </w:rPr>
        <w:t xml:space="preserve">, tačiau tikriausiai jis slopina endogeninės beta adrenerginės stimuliacijos sukeltą pagreitėjusią ciklinio AMF sintezę. </w:t>
      </w:r>
    </w:p>
    <w:p w14:paraId="0033DA50" w14:textId="77777777" w:rsidR="0060666D" w:rsidRPr="00F9703D" w:rsidRDefault="0060666D" w:rsidP="007A292B">
      <w:pPr>
        <w:pStyle w:val="Betarp"/>
        <w:rPr>
          <w:lang w:val="lt-LT"/>
        </w:rPr>
      </w:pPr>
    </w:p>
    <w:p w14:paraId="040FF599" w14:textId="416A75F1" w:rsidR="004F3C86" w:rsidRPr="00F9703D" w:rsidRDefault="007C68A4" w:rsidP="007A292B">
      <w:pPr>
        <w:pStyle w:val="Betarp"/>
        <w:rPr>
          <w:rFonts w:eastAsia="Times New Roman"/>
          <w:iCs/>
          <w:kern w:val="1"/>
          <w:u w:val="single"/>
          <w:lang w:val="lt-LT"/>
        </w:rPr>
      </w:pPr>
      <w:r w:rsidRPr="00F9703D">
        <w:rPr>
          <w:rFonts w:eastAsia="Times New Roman"/>
          <w:iCs/>
          <w:kern w:val="1"/>
          <w:u w:val="single"/>
          <w:lang w:val="lt-LT"/>
        </w:rPr>
        <w:t>Farmakodinaminis poveikis</w:t>
      </w:r>
    </w:p>
    <w:p w14:paraId="01BCA8BE" w14:textId="5748E40E" w:rsidR="004F3C86" w:rsidRPr="00F9703D" w:rsidRDefault="004F3C86" w:rsidP="007A292B">
      <w:pPr>
        <w:pStyle w:val="Betarp"/>
        <w:rPr>
          <w:rFonts w:eastAsia="Times New Roman"/>
          <w:kern w:val="1"/>
          <w:lang w:val="lt-LT"/>
        </w:rPr>
      </w:pPr>
      <w:r w:rsidRPr="00F9703D">
        <w:rPr>
          <w:rFonts w:eastAsia="Times New Roman"/>
          <w:kern w:val="1"/>
          <w:lang w:val="lt-LT"/>
        </w:rPr>
        <w:t>Bimatoprosto sukeltas akispūdžio sumažėjimas prasideda maždaug po 4 valandų po pirmojo vartojimo, o didžiausias poveikis pasiekiamas maždaug po 8–12 valandų. Poveikio trukmė išlieka mažiausiai 24 valandas.</w:t>
      </w:r>
    </w:p>
    <w:p w14:paraId="70058A44" w14:textId="77777777" w:rsidR="004F3C86" w:rsidRPr="00F9703D" w:rsidRDefault="004F3C86" w:rsidP="007A292B">
      <w:pPr>
        <w:pStyle w:val="Betarp"/>
        <w:rPr>
          <w:rFonts w:eastAsia="Times New Roman"/>
          <w:kern w:val="1"/>
          <w:lang w:val="lt-LT"/>
        </w:rPr>
      </w:pPr>
    </w:p>
    <w:p w14:paraId="6436DFB2" w14:textId="08173F3F" w:rsidR="004F3C86" w:rsidRPr="00F9703D" w:rsidRDefault="004F3C86" w:rsidP="007A292B">
      <w:pPr>
        <w:pStyle w:val="Betarp"/>
        <w:rPr>
          <w:rFonts w:eastAsia="Times New Roman"/>
          <w:kern w:val="1"/>
          <w:lang w:val="lt-LT"/>
        </w:rPr>
      </w:pPr>
      <w:r w:rsidRPr="00F9703D">
        <w:rPr>
          <w:rFonts w:eastAsia="Times New Roman"/>
          <w:kern w:val="1"/>
          <w:lang w:val="lt-LT"/>
        </w:rPr>
        <w:t>Timololio sukeltas akispūdžio sumažėjimas prasideda maždaug 20 minučių po pirmojo vartojimo, o didžiausias poveikis pasiekiamas maždaug per 1–2 valandas. Poveikio trukmė išlieka mažiausiai 24</w:t>
      </w:r>
      <w:r w:rsidR="008A56BA">
        <w:rPr>
          <w:rFonts w:eastAsia="Times New Roman"/>
          <w:kern w:val="1"/>
          <w:lang w:val="lt-LT"/>
        </w:rPr>
        <w:t> </w:t>
      </w:r>
      <w:r w:rsidRPr="00F9703D">
        <w:rPr>
          <w:rFonts w:eastAsia="Times New Roman"/>
          <w:kern w:val="1"/>
          <w:lang w:val="lt-LT"/>
        </w:rPr>
        <w:t>valandas.</w:t>
      </w:r>
    </w:p>
    <w:p w14:paraId="1CB75CA9" w14:textId="77777777" w:rsidR="004F3C86" w:rsidRPr="00F9703D" w:rsidRDefault="004F3C86" w:rsidP="007A292B">
      <w:pPr>
        <w:pStyle w:val="Betarp"/>
        <w:rPr>
          <w:rFonts w:eastAsia="Times New Roman"/>
          <w:kern w:val="1"/>
          <w:lang w:val="lt-LT"/>
        </w:rPr>
      </w:pPr>
    </w:p>
    <w:p w14:paraId="0F25F8C8" w14:textId="77AA31D4" w:rsidR="007C68A4" w:rsidRPr="00F9703D" w:rsidRDefault="007C68A4" w:rsidP="007A292B">
      <w:pPr>
        <w:pStyle w:val="Betarp"/>
        <w:rPr>
          <w:u w:val="single"/>
          <w:lang w:val="lt-LT"/>
        </w:rPr>
      </w:pPr>
      <w:r w:rsidRPr="00F9703D">
        <w:rPr>
          <w:u w:val="single"/>
          <w:lang w:val="lt-LT"/>
        </w:rPr>
        <w:t>Klinikinis veiksmingumas ir saugumas</w:t>
      </w:r>
    </w:p>
    <w:p w14:paraId="59571150" w14:textId="031CEDBA" w:rsidR="00E6032D" w:rsidRPr="00E6032D" w:rsidRDefault="00E6032D" w:rsidP="007A292B">
      <w:pPr>
        <w:spacing w:line="240" w:lineRule="auto"/>
        <w:rPr>
          <w:rFonts w:eastAsia="Aptos"/>
          <w:kern w:val="2"/>
          <w:lang w:val="lt-LT"/>
          <w14:ligatures w14:val="standardContextual"/>
        </w:rPr>
      </w:pPr>
      <w:r w:rsidRPr="00E6032D">
        <w:rPr>
          <w:rFonts w:eastAsia="Aptos"/>
          <w:kern w:val="2"/>
          <w:lang w:val="lt-LT"/>
          <w14:ligatures w14:val="standardContextual"/>
        </w:rPr>
        <w:t xml:space="preserve">Tarptautiniame, daugiacentriame, atsitiktinių imčių, tyrėjų užmaskuotame, 3 mėnesių, III fazės klinikiniame tyrime buvo lyginamas </w:t>
      </w:r>
      <w:r w:rsidR="00E90A95">
        <w:rPr>
          <w:rFonts w:eastAsia="Aptos"/>
          <w:kern w:val="2"/>
          <w:lang w:val="lt-LT"/>
          <w14:ligatures w14:val="standardContextual"/>
        </w:rPr>
        <w:t>Ed</w:t>
      </w:r>
      <w:r w:rsidR="007643D3" w:rsidRPr="007643D3">
        <w:rPr>
          <w:rFonts w:eastAsia="Aptos"/>
          <w:kern w:val="2"/>
          <w:lang w:val="lt-LT"/>
          <w14:ligatures w14:val="standardContextual"/>
        </w:rPr>
        <w:t>uelym</w:t>
      </w:r>
      <w:r w:rsidRPr="00E6032D">
        <w:rPr>
          <w:rFonts w:eastAsia="Aptos"/>
          <w:kern w:val="2"/>
          <w:lang w:val="lt-LT"/>
          <w14:ligatures w14:val="standardContextual"/>
        </w:rPr>
        <w:t xml:space="preserve"> 0,1</w:t>
      </w:r>
      <w:r w:rsidR="00177675">
        <w:rPr>
          <w:rFonts w:eastAsia="Aptos"/>
          <w:kern w:val="2"/>
          <w:lang w:val="lt-LT"/>
          <w14:ligatures w14:val="standardContextual"/>
        </w:rPr>
        <w:t> </w:t>
      </w:r>
      <w:r w:rsidR="008A56BA">
        <w:rPr>
          <w:rFonts w:eastAsia="Aptos"/>
          <w:kern w:val="2"/>
          <w:lang w:val="lt-LT"/>
          <w14:ligatures w14:val="standardContextual"/>
        </w:rPr>
        <w:t>mg</w:t>
      </w:r>
      <w:r w:rsidRPr="00E6032D">
        <w:rPr>
          <w:rFonts w:eastAsia="Aptos"/>
          <w:kern w:val="2"/>
          <w:lang w:val="lt-LT"/>
          <w14:ligatures w14:val="standardContextual"/>
        </w:rPr>
        <w:t>/</w:t>
      </w:r>
      <w:r w:rsidRPr="00F9703D">
        <w:rPr>
          <w:rFonts w:eastAsia="Aptos"/>
          <w:kern w:val="2"/>
          <w:lang w:val="lt-LT"/>
          <w14:ligatures w14:val="standardContextual"/>
        </w:rPr>
        <w:t>1</w:t>
      </w:r>
      <w:r w:rsidR="00177675">
        <w:rPr>
          <w:rFonts w:eastAsia="Aptos"/>
          <w:kern w:val="2"/>
          <w:lang w:val="lt-LT"/>
          <w14:ligatures w14:val="standardContextual"/>
        </w:rPr>
        <w:t> </w:t>
      </w:r>
      <w:r w:rsidRPr="00E6032D">
        <w:rPr>
          <w:rFonts w:eastAsia="Aptos"/>
          <w:kern w:val="2"/>
          <w:lang w:val="lt-LT"/>
          <w14:ligatures w14:val="standardContextual"/>
        </w:rPr>
        <w:t>mg/g akių gelio ir bimatoprosto/timololio 0,3</w:t>
      </w:r>
      <w:r w:rsidR="008A56BA">
        <w:rPr>
          <w:rFonts w:eastAsia="Aptos"/>
          <w:kern w:val="2"/>
          <w:lang w:val="lt-LT"/>
          <w14:ligatures w14:val="standardContextual"/>
        </w:rPr>
        <w:t> mg</w:t>
      </w:r>
      <w:r w:rsidRPr="00F9703D">
        <w:rPr>
          <w:rFonts w:eastAsia="Aptos"/>
          <w:kern w:val="2"/>
          <w:lang w:val="lt-LT"/>
          <w14:ligatures w14:val="standardContextual"/>
        </w:rPr>
        <w:t>/</w:t>
      </w:r>
      <w:r w:rsidRPr="00E6032D">
        <w:rPr>
          <w:rFonts w:eastAsia="Aptos"/>
          <w:kern w:val="2"/>
          <w:lang w:val="lt-LT"/>
          <w14:ligatures w14:val="standardContextual"/>
        </w:rPr>
        <w:t>5</w:t>
      </w:r>
      <w:r w:rsidRPr="00F9703D">
        <w:rPr>
          <w:rFonts w:eastAsia="Aptos"/>
          <w:kern w:val="2"/>
          <w:lang w:val="lt-LT"/>
          <w14:ligatures w14:val="standardContextual"/>
        </w:rPr>
        <w:t> </w:t>
      </w:r>
      <w:r w:rsidRPr="00E6032D">
        <w:rPr>
          <w:rFonts w:eastAsia="Aptos"/>
          <w:kern w:val="2"/>
          <w:lang w:val="lt-LT"/>
          <w14:ligatures w14:val="standardContextual"/>
        </w:rPr>
        <w:t>mg/ml akių lašų, tirpalo, vienadozėje talpyklėje (lyginamasis preparatas) veiksmingumas ir saugumas mažinant akispūdį 554 pacientams, sergantiems glaukoma arba akių hipertenzija.</w:t>
      </w:r>
    </w:p>
    <w:p w14:paraId="7C4022D8" w14:textId="3B368FED" w:rsidR="00E6032D" w:rsidRPr="00E6032D" w:rsidRDefault="00E6032D" w:rsidP="007A292B">
      <w:pPr>
        <w:spacing w:line="240" w:lineRule="auto"/>
        <w:rPr>
          <w:rFonts w:eastAsia="Aptos"/>
          <w:kern w:val="2"/>
          <w:lang w:val="lt-LT"/>
          <w14:ligatures w14:val="standardContextual"/>
        </w:rPr>
      </w:pPr>
      <w:r w:rsidRPr="00E6032D">
        <w:rPr>
          <w:rFonts w:eastAsia="Aptos"/>
          <w:kern w:val="2"/>
          <w:lang w:val="lt-LT"/>
          <w14:ligatures w14:val="standardContextual"/>
        </w:rPr>
        <w:t>12 savaitę 08:00</w:t>
      </w:r>
      <w:r w:rsidR="00177675">
        <w:rPr>
          <w:rFonts w:eastAsia="Aptos"/>
          <w:kern w:val="2"/>
          <w:lang w:val="lt-LT"/>
          <w14:ligatures w14:val="standardContextual"/>
        </w:rPr>
        <w:t> </w:t>
      </w:r>
      <w:r w:rsidRPr="00E6032D">
        <w:rPr>
          <w:rFonts w:eastAsia="Aptos"/>
          <w:kern w:val="2"/>
          <w:lang w:val="lt-LT"/>
          <w14:ligatures w14:val="standardContextual"/>
        </w:rPr>
        <w:t>val. pakoreguotas vidutinis + standartinės paklaidos (SP) akispūdžio sumažėjimas nuo pradinio lygio tiriamojoje akyje (apibrėžta kaip akis, kurios akispūdis 08:00</w:t>
      </w:r>
      <w:r w:rsidR="00B35C1B">
        <w:rPr>
          <w:rFonts w:eastAsia="Aptos"/>
          <w:kern w:val="2"/>
          <w:lang w:val="lt-LT"/>
          <w14:ligatures w14:val="standardContextual"/>
        </w:rPr>
        <w:t> </w:t>
      </w:r>
      <w:r w:rsidRPr="00E6032D">
        <w:rPr>
          <w:rFonts w:eastAsia="Aptos"/>
          <w:kern w:val="2"/>
          <w:lang w:val="lt-LT"/>
          <w14:ligatures w14:val="standardContextual"/>
        </w:rPr>
        <w:t>val. buvo didžiausias) buvo ˗11,01±0,17</w:t>
      </w:r>
      <w:r w:rsidR="00B35C1B">
        <w:rPr>
          <w:rFonts w:eastAsia="Aptos"/>
          <w:kern w:val="2"/>
          <w:lang w:val="lt-LT"/>
          <w14:ligatures w14:val="standardContextual"/>
        </w:rPr>
        <w:t> </w:t>
      </w:r>
      <w:r w:rsidRPr="00E6032D">
        <w:rPr>
          <w:rFonts w:eastAsia="Aptos"/>
          <w:kern w:val="2"/>
          <w:lang w:val="lt-LT"/>
          <w14:ligatures w14:val="standardContextual"/>
        </w:rPr>
        <w:t xml:space="preserve">mmHg </w:t>
      </w:r>
      <w:r w:rsidR="00E90A95">
        <w:rPr>
          <w:rFonts w:eastAsia="Aptos"/>
          <w:kern w:val="2"/>
          <w:lang w:val="lt-LT"/>
          <w14:ligatures w14:val="standardContextual"/>
        </w:rPr>
        <w:t>Ed</w:t>
      </w:r>
      <w:r w:rsidR="007643D3" w:rsidRPr="007643D3">
        <w:rPr>
          <w:rFonts w:eastAsia="Aptos"/>
          <w:kern w:val="2"/>
          <w:lang w:val="lt-LT"/>
          <w14:ligatures w14:val="standardContextual"/>
        </w:rPr>
        <w:t>uelym</w:t>
      </w:r>
      <w:r w:rsidRPr="00E6032D">
        <w:rPr>
          <w:rFonts w:eastAsia="Aptos"/>
          <w:kern w:val="2"/>
          <w:lang w:val="lt-LT"/>
          <w14:ligatures w14:val="standardContextual"/>
        </w:rPr>
        <w:t xml:space="preserve"> atveju ir ˗10,97±0,17</w:t>
      </w:r>
      <w:r w:rsidR="00B35C1B">
        <w:rPr>
          <w:rFonts w:eastAsia="Aptos"/>
          <w:kern w:val="2"/>
          <w:lang w:val="lt-LT"/>
          <w14:ligatures w14:val="standardContextual"/>
        </w:rPr>
        <w:t> </w:t>
      </w:r>
      <w:r w:rsidRPr="00E6032D">
        <w:rPr>
          <w:rFonts w:eastAsia="Aptos"/>
          <w:kern w:val="2"/>
          <w:lang w:val="lt-LT"/>
          <w14:ligatures w14:val="standardContextual"/>
        </w:rPr>
        <w:t>mmHg lyginamojo preparato atveju (pirminė analizė). Pakoreguotas vidutinis + SP skirtumas (</w:t>
      </w:r>
      <w:r w:rsidR="00E90A95">
        <w:rPr>
          <w:rFonts w:eastAsia="Aptos"/>
          <w:kern w:val="2"/>
          <w:lang w:val="lt-LT"/>
          <w14:ligatures w14:val="standardContextual"/>
        </w:rPr>
        <w:t>Ed</w:t>
      </w:r>
      <w:r w:rsidR="007643D3" w:rsidRPr="007643D3">
        <w:rPr>
          <w:rFonts w:eastAsia="Aptos"/>
          <w:kern w:val="2"/>
          <w:lang w:val="lt-LT"/>
          <w14:ligatures w14:val="standardContextual"/>
        </w:rPr>
        <w:t>uelym</w:t>
      </w:r>
      <w:r w:rsidRPr="00E6032D">
        <w:rPr>
          <w:rFonts w:eastAsia="Aptos"/>
          <w:kern w:val="2"/>
          <w:lang w:val="lt-LT"/>
          <w14:ligatures w14:val="standardContextual"/>
        </w:rPr>
        <w:t xml:space="preserve"> minus lyginamasis preparatas) buvo ˗0,04±0,24</w:t>
      </w:r>
      <w:r w:rsidR="00B35C1B">
        <w:rPr>
          <w:rFonts w:eastAsia="Aptos"/>
          <w:kern w:val="2"/>
          <w:lang w:val="lt-LT"/>
          <w14:ligatures w14:val="standardContextual"/>
        </w:rPr>
        <w:t> </w:t>
      </w:r>
      <w:r w:rsidRPr="00E6032D">
        <w:rPr>
          <w:rFonts w:eastAsia="Aptos"/>
          <w:kern w:val="2"/>
          <w:lang w:val="lt-LT"/>
          <w14:ligatures w14:val="standardContextual"/>
        </w:rPr>
        <w:t xml:space="preserve">mmHg [95 % PI: ˗0,51; 0,43], kuris parodė, kad </w:t>
      </w:r>
      <w:r w:rsidR="00E90A95">
        <w:rPr>
          <w:rFonts w:eastAsia="Aptos"/>
          <w:kern w:val="2"/>
          <w:lang w:val="lt-LT"/>
          <w14:ligatures w14:val="standardContextual"/>
        </w:rPr>
        <w:t>Ed</w:t>
      </w:r>
      <w:r w:rsidR="007643D3" w:rsidRPr="007643D3">
        <w:rPr>
          <w:rFonts w:eastAsia="Aptos"/>
          <w:kern w:val="2"/>
          <w:lang w:val="lt-LT"/>
          <w14:ligatures w14:val="standardContextual"/>
        </w:rPr>
        <w:t>uelym</w:t>
      </w:r>
      <w:r w:rsidRPr="00E6032D">
        <w:rPr>
          <w:rFonts w:eastAsia="Aptos"/>
          <w:kern w:val="2"/>
          <w:lang w:val="lt-LT"/>
          <w14:ligatures w14:val="standardContextual"/>
        </w:rPr>
        <w:t xml:space="preserve"> buvo ne prastesnis už lyginamąjį preparatą (viršutinė 95</w:t>
      </w:r>
      <w:r w:rsidR="00B35C1B">
        <w:rPr>
          <w:rFonts w:eastAsia="Aptos"/>
          <w:kern w:val="2"/>
          <w:lang w:val="lt-LT"/>
          <w14:ligatures w14:val="standardContextual"/>
        </w:rPr>
        <w:t> </w:t>
      </w:r>
      <w:r w:rsidRPr="00E6032D">
        <w:rPr>
          <w:rFonts w:eastAsia="Aptos"/>
          <w:kern w:val="2"/>
          <w:lang w:val="lt-LT"/>
          <w14:ligatures w14:val="standardContextual"/>
        </w:rPr>
        <w:t>% PI riba neviršijo iš anksto nustatytos 1,5</w:t>
      </w:r>
      <w:r w:rsidR="00B35C1B">
        <w:rPr>
          <w:rFonts w:eastAsia="Aptos"/>
          <w:kern w:val="2"/>
          <w:lang w:val="lt-LT"/>
          <w14:ligatures w14:val="standardContextual"/>
        </w:rPr>
        <w:t> </w:t>
      </w:r>
      <w:r w:rsidRPr="00E6032D">
        <w:rPr>
          <w:rFonts w:eastAsia="Aptos"/>
          <w:kern w:val="2"/>
          <w:lang w:val="lt-LT"/>
          <w14:ligatures w14:val="standardContextual"/>
        </w:rPr>
        <w:t>mmHg ribos).</w:t>
      </w:r>
    </w:p>
    <w:p w14:paraId="4385B12E" w14:textId="1CE63C4C" w:rsidR="00E6032D" w:rsidRDefault="00E6032D" w:rsidP="007A292B">
      <w:pPr>
        <w:spacing w:line="240" w:lineRule="auto"/>
        <w:rPr>
          <w:rFonts w:eastAsia="Aptos"/>
          <w:kern w:val="2"/>
          <w:lang w:val="lt-LT"/>
          <w14:ligatures w14:val="standardContextual"/>
        </w:rPr>
      </w:pPr>
      <w:r w:rsidRPr="00E6032D">
        <w:rPr>
          <w:rFonts w:eastAsia="Aptos"/>
          <w:kern w:val="2"/>
          <w:lang w:val="lt-LT"/>
          <w14:ligatures w14:val="standardContextual"/>
        </w:rPr>
        <w:t xml:space="preserve">Vidutinis paros akispūdžio tiriamojoje akyje pokytis nuo pradinio lygio iki 12 savaitės buvo panašus </w:t>
      </w:r>
      <w:r w:rsidR="00AA211B">
        <w:rPr>
          <w:rFonts w:eastAsia="Aptos"/>
          <w:kern w:val="2"/>
          <w:lang w:val="lt-LT"/>
          <w14:ligatures w14:val="standardContextual"/>
        </w:rPr>
        <w:t>Ed</w:t>
      </w:r>
      <w:r w:rsidR="007643D3" w:rsidRPr="007643D3">
        <w:rPr>
          <w:rFonts w:eastAsia="Aptos"/>
          <w:kern w:val="2"/>
          <w:lang w:val="lt-LT"/>
          <w14:ligatures w14:val="standardContextual"/>
        </w:rPr>
        <w:t>uelym</w:t>
      </w:r>
      <w:r w:rsidRPr="00E6032D">
        <w:rPr>
          <w:rFonts w:eastAsia="Aptos"/>
          <w:kern w:val="2"/>
          <w:lang w:val="lt-LT"/>
          <w14:ligatures w14:val="standardContextual"/>
        </w:rPr>
        <w:t xml:space="preserve"> grupėje (˗10,52±3,27</w:t>
      </w:r>
      <w:r w:rsidR="00563B9E">
        <w:rPr>
          <w:rFonts w:eastAsia="Aptos"/>
          <w:kern w:val="2"/>
          <w:lang w:val="lt-LT"/>
          <w14:ligatures w14:val="standardContextual"/>
        </w:rPr>
        <w:t> </w:t>
      </w:r>
      <w:r w:rsidRPr="00E6032D">
        <w:rPr>
          <w:rFonts w:eastAsia="Aptos"/>
          <w:kern w:val="2"/>
          <w:lang w:val="lt-LT"/>
          <w14:ligatures w14:val="standardContextual"/>
        </w:rPr>
        <w:t>mmHg) ir lyginamojo preparato grupėje (˗10,70±3,29</w:t>
      </w:r>
      <w:r w:rsidR="00563B9E">
        <w:rPr>
          <w:rFonts w:eastAsia="Aptos"/>
          <w:kern w:val="2"/>
          <w:lang w:val="lt-LT"/>
          <w14:ligatures w14:val="standardContextual"/>
        </w:rPr>
        <w:t> </w:t>
      </w:r>
      <w:r w:rsidRPr="00E6032D">
        <w:rPr>
          <w:rFonts w:eastAsia="Aptos"/>
          <w:kern w:val="2"/>
          <w:lang w:val="lt-LT"/>
          <w14:ligatures w14:val="standardContextual"/>
        </w:rPr>
        <w:t>mmHg).</w:t>
      </w:r>
    </w:p>
    <w:p w14:paraId="338618FB" w14:textId="77777777" w:rsidR="00687C4F" w:rsidRPr="00E6032D" w:rsidRDefault="00687C4F" w:rsidP="007A292B">
      <w:pPr>
        <w:spacing w:line="240" w:lineRule="auto"/>
        <w:rPr>
          <w:rFonts w:eastAsia="Aptos"/>
          <w:kern w:val="2"/>
          <w:lang w:val="lt-LT"/>
          <w14:ligatures w14:val="standardContextual"/>
        </w:rPr>
      </w:pPr>
    </w:p>
    <w:p w14:paraId="23FF0ABA" w14:textId="414F86E7" w:rsidR="00E6032D" w:rsidRDefault="00AA211B" w:rsidP="007A292B">
      <w:pPr>
        <w:spacing w:line="240" w:lineRule="auto"/>
        <w:rPr>
          <w:rFonts w:eastAsia="Aptos"/>
          <w:kern w:val="2"/>
          <w:lang w:val="lt-LT"/>
          <w14:ligatures w14:val="standardContextual"/>
        </w:rPr>
      </w:pPr>
      <w:r>
        <w:rPr>
          <w:rFonts w:eastAsia="Aptos"/>
          <w:kern w:val="2"/>
          <w:lang w:val="lt-LT"/>
          <w14:ligatures w14:val="standardContextual"/>
        </w:rPr>
        <w:t>Ed</w:t>
      </w:r>
      <w:r w:rsidR="007643D3" w:rsidRPr="007643D3">
        <w:rPr>
          <w:rFonts w:eastAsia="Aptos"/>
          <w:kern w:val="2"/>
          <w:lang w:val="lt-LT"/>
          <w14:ligatures w14:val="standardContextual"/>
        </w:rPr>
        <w:t>uelym</w:t>
      </w:r>
      <w:r w:rsidR="00E6032D" w:rsidRPr="00E6032D">
        <w:rPr>
          <w:rFonts w:eastAsia="Aptos"/>
          <w:kern w:val="2"/>
          <w:lang w:val="lt-LT"/>
          <w14:ligatures w14:val="standardContextual"/>
        </w:rPr>
        <w:t xml:space="preserve"> bendras saugumo profilis buvo panašus į lyginamojo preparato</w:t>
      </w:r>
      <w:r w:rsidR="00563B9E">
        <w:rPr>
          <w:rFonts w:eastAsia="Aptos"/>
          <w:kern w:val="2"/>
          <w:lang w:val="lt-LT"/>
          <w14:ligatures w14:val="standardContextual"/>
        </w:rPr>
        <w:t>,</w:t>
      </w:r>
      <w:r w:rsidR="00E6032D" w:rsidRPr="00E6032D">
        <w:rPr>
          <w:rFonts w:eastAsia="Aptos"/>
          <w:kern w:val="2"/>
          <w:lang w:val="lt-LT"/>
          <w14:ligatures w14:val="standardContextual"/>
        </w:rPr>
        <w:t xml:space="preserve"> nors dėl nepageidaujamos reakcijos į vaist</w:t>
      </w:r>
      <w:r w:rsidR="00563B9E">
        <w:rPr>
          <w:rFonts w:eastAsia="Aptos"/>
          <w:kern w:val="2"/>
          <w:lang w:val="lt-LT"/>
          <w14:ligatures w14:val="standardContextual"/>
        </w:rPr>
        <w:t>inį preparatą,</w:t>
      </w:r>
      <w:r w:rsidR="00E6032D" w:rsidRPr="00E6032D">
        <w:rPr>
          <w:rFonts w:eastAsia="Aptos"/>
          <w:kern w:val="2"/>
          <w:lang w:val="lt-LT"/>
          <w14:ligatures w14:val="standardContextual"/>
        </w:rPr>
        <w:t xml:space="preserve"> tyrimą nutraukė mažiau pacientų, palyginti su lyginamuoju preparatu (0 [0,0</w:t>
      </w:r>
      <w:r w:rsidR="007327E9">
        <w:rPr>
          <w:rFonts w:eastAsia="Aptos"/>
          <w:kern w:val="2"/>
          <w:lang w:val="lt-LT"/>
          <w14:ligatures w14:val="standardContextual"/>
        </w:rPr>
        <w:t> </w:t>
      </w:r>
      <w:r w:rsidR="00E6032D" w:rsidRPr="00E6032D">
        <w:rPr>
          <w:rFonts w:eastAsia="Aptos"/>
          <w:kern w:val="2"/>
          <w:lang w:val="lt-LT"/>
          <w14:ligatures w14:val="standardContextual"/>
        </w:rPr>
        <w:t>%] pacientų ir 8 [2,9</w:t>
      </w:r>
      <w:r w:rsidR="007327E9">
        <w:rPr>
          <w:rFonts w:eastAsia="Aptos"/>
          <w:kern w:val="2"/>
          <w:lang w:val="lt-LT"/>
          <w14:ligatures w14:val="standardContextual"/>
        </w:rPr>
        <w:t> </w:t>
      </w:r>
      <w:r w:rsidR="00E6032D" w:rsidRPr="00E6032D">
        <w:rPr>
          <w:rFonts w:eastAsia="Aptos"/>
          <w:kern w:val="2"/>
          <w:lang w:val="lt-LT"/>
          <w14:ligatures w14:val="standardContextual"/>
        </w:rPr>
        <w:t>%] pacientais).</w:t>
      </w:r>
    </w:p>
    <w:p w14:paraId="63679C2C" w14:textId="77777777" w:rsidR="00687C4F" w:rsidRPr="00E6032D" w:rsidRDefault="00687C4F" w:rsidP="007A292B">
      <w:pPr>
        <w:spacing w:line="240" w:lineRule="auto"/>
        <w:rPr>
          <w:rFonts w:eastAsia="Aptos"/>
          <w:kern w:val="2"/>
          <w:lang w:val="lt-LT"/>
          <w14:ligatures w14:val="standardContextual"/>
        </w:rPr>
      </w:pPr>
    </w:p>
    <w:p w14:paraId="0A4B4CBA" w14:textId="63A13A0E" w:rsidR="00E6032D" w:rsidRPr="00E6032D" w:rsidRDefault="00E6032D" w:rsidP="007A292B">
      <w:pPr>
        <w:spacing w:line="240" w:lineRule="auto"/>
        <w:rPr>
          <w:rFonts w:eastAsia="Aptos"/>
          <w:kern w:val="2"/>
          <w:lang w:val="lt-LT"/>
          <w14:ligatures w14:val="standardContextual"/>
        </w:rPr>
      </w:pPr>
      <w:r w:rsidRPr="00E6032D">
        <w:rPr>
          <w:rFonts w:eastAsia="Aptos"/>
          <w:kern w:val="2"/>
          <w:lang w:val="lt-LT"/>
          <w14:ligatures w14:val="standardContextual"/>
        </w:rPr>
        <w:t>Remiantis bimatoprosto/timololio 0,3</w:t>
      </w:r>
      <w:r w:rsidR="009E0C49">
        <w:rPr>
          <w:rFonts w:eastAsia="Aptos"/>
          <w:kern w:val="2"/>
          <w:lang w:val="lt-LT"/>
          <w14:ligatures w14:val="standardContextual"/>
        </w:rPr>
        <w:t> </w:t>
      </w:r>
      <w:r w:rsidR="008A56BA">
        <w:rPr>
          <w:rFonts w:eastAsia="Aptos"/>
          <w:kern w:val="2"/>
          <w:lang w:val="lt-LT"/>
          <w14:ligatures w14:val="standardContextual"/>
        </w:rPr>
        <w:t>mg</w:t>
      </w:r>
      <w:r w:rsidRPr="00F9703D">
        <w:rPr>
          <w:rFonts w:eastAsia="Aptos"/>
          <w:kern w:val="2"/>
          <w:lang w:val="lt-LT"/>
          <w14:ligatures w14:val="standardContextual"/>
        </w:rPr>
        <w:t>/</w:t>
      </w:r>
      <w:r w:rsidRPr="00E6032D">
        <w:rPr>
          <w:rFonts w:eastAsia="Aptos"/>
          <w:kern w:val="2"/>
          <w:lang w:val="lt-LT"/>
          <w14:ligatures w14:val="standardContextual"/>
        </w:rPr>
        <w:t>5</w:t>
      </w:r>
      <w:r w:rsidR="009E0C49">
        <w:rPr>
          <w:rFonts w:eastAsia="Aptos"/>
          <w:kern w:val="2"/>
          <w:lang w:val="lt-LT"/>
          <w14:ligatures w14:val="standardContextual"/>
        </w:rPr>
        <w:t> </w:t>
      </w:r>
      <w:r w:rsidRPr="00E6032D">
        <w:rPr>
          <w:rFonts w:eastAsia="Aptos"/>
          <w:kern w:val="2"/>
          <w:lang w:val="lt-LT"/>
          <w14:ligatures w14:val="standardContextual"/>
        </w:rPr>
        <w:t>mg/ml akių lašų, tirpalo tyrimais, bimatoprosto/timololio 0,3</w:t>
      </w:r>
      <w:r w:rsidR="009E0C49">
        <w:rPr>
          <w:rFonts w:eastAsia="Aptos"/>
          <w:kern w:val="2"/>
          <w:lang w:val="lt-LT"/>
          <w14:ligatures w14:val="standardContextual"/>
        </w:rPr>
        <w:t> </w:t>
      </w:r>
      <w:r w:rsidR="008A56BA">
        <w:rPr>
          <w:rFonts w:eastAsia="Aptos"/>
          <w:kern w:val="2"/>
          <w:lang w:val="lt-LT"/>
          <w14:ligatures w14:val="standardContextual"/>
        </w:rPr>
        <w:t>mg</w:t>
      </w:r>
      <w:r w:rsidRPr="00F9703D">
        <w:rPr>
          <w:rFonts w:eastAsia="Aptos"/>
          <w:kern w:val="2"/>
          <w:lang w:val="lt-LT"/>
          <w14:ligatures w14:val="standardContextual"/>
        </w:rPr>
        <w:t>/</w:t>
      </w:r>
      <w:r w:rsidRPr="00E6032D">
        <w:rPr>
          <w:rFonts w:eastAsia="Aptos"/>
          <w:kern w:val="2"/>
          <w:lang w:val="lt-LT"/>
          <w14:ligatures w14:val="standardContextual"/>
        </w:rPr>
        <w:t>5</w:t>
      </w:r>
      <w:r w:rsidR="009E0C49">
        <w:rPr>
          <w:rFonts w:eastAsia="Aptos"/>
          <w:kern w:val="2"/>
          <w:lang w:val="lt-LT"/>
          <w14:ligatures w14:val="standardContextual"/>
        </w:rPr>
        <w:t> </w:t>
      </w:r>
      <w:r w:rsidRPr="00E6032D">
        <w:rPr>
          <w:rFonts w:eastAsia="Aptos"/>
          <w:kern w:val="2"/>
          <w:lang w:val="lt-LT"/>
          <w14:ligatures w14:val="standardContextual"/>
        </w:rPr>
        <w:t>mg/ml akių lašų, tirpalo akispūdį mažinantis poveikis yra ne prastesnis už bimatoprosto (vieną kartą per parą) ir timololio (du kartus per parą) papildomo gydymo poveikį.</w:t>
      </w:r>
    </w:p>
    <w:p w14:paraId="41C89574" w14:textId="77777777" w:rsidR="00632E39" w:rsidRPr="00F9703D" w:rsidRDefault="00632E39" w:rsidP="007A292B">
      <w:pPr>
        <w:pStyle w:val="Betarp"/>
        <w:rPr>
          <w:bCs/>
          <w:lang w:val="lt-LT"/>
        </w:rPr>
      </w:pPr>
    </w:p>
    <w:p w14:paraId="29275A6D" w14:textId="77777777" w:rsidR="00632E39" w:rsidRPr="00F9703D" w:rsidRDefault="00632E39" w:rsidP="007A292B">
      <w:pPr>
        <w:keepNext/>
        <w:autoSpaceDE w:val="0"/>
        <w:autoSpaceDN w:val="0"/>
        <w:adjustRightInd w:val="0"/>
        <w:spacing w:line="240" w:lineRule="auto"/>
        <w:rPr>
          <w:rFonts w:eastAsia="Times New Roman"/>
          <w:u w:val="single"/>
          <w:lang w:val="lt-LT"/>
        </w:rPr>
      </w:pPr>
      <w:r w:rsidRPr="00F9703D">
        <w:rPr>
          <w:rFonts w:eastAsia="Times New Roman"/>
          <w:u w:val="single"/>
          <w:lang w:val="lt-LT"/>
        </w:rPr>
        <w:t>Vaikų populiacija</w:t>
      </w:r>
    </w:p>
    <w:p w14:paraId="5A5F4FFE" w14:textId="33505AF9" w:rsidR="00632E39" w:rsidRPr="00F9703D" w:rsidRDefault="00AA211B" w:rsidP="007A292B">
      <w:pPr>
        <w:pStyle w:val="Betarp"/>
        <w:rPr>
          <w:bCs/>
          <w:lang w:val="lt-LT"/>
        </w:rPr>
      </w:pPr>
      <w:r>
        <w:rPr>
          <w:rFonts w:eastAsia="Times New Roman"/>
          <w:lang w:val="lt-LT"/>
        </w:rPr>
        <w:t>Ed</w:t>
      </w:r>
      <w:r w:rsidR="007643D3" w:rsidRPr="007643D3">
        <w:rPr>
          <w:rFonts w:eastAsia="Times New Roman"/>
          <w:lang w:val="lt-LT"/>
        </w:rPr>
        <w:t>uelym</w:t>
      </w:r>
      <w:r w:rsidR="00632E39" w:rsidRPr="00F9703D">
        <w:rPr>
          <w:rFonts w:eastAsia="Times New Roman"/>
          <w:lang w:val="lt-LT"/>
        </w:rPr>
        <w:t xml:space="preserve"> saugumas ir veiksmingumas jaunesniems kaip 18 metų vaikams neištirti.</w:t>
      </w:r>
    </w:p>
    <w:p w14:paraId="0478885F" w14:textId="77777777" w:rsidR="004F3C86" w:rsidRPr="00F9703D" w:rsidRDefault="004F3C86" w:rsidP="007A292B">
      <w:pPr>
        <w:pStyle w:val="Betarp"/>
        <w:rPr>
          <w:b/>
          <w:lang w:val="lt-LT"/>
        </w:rPr>
      </w:pPr>
    </w:p>
    <w:p w14:paraId="3EC5DB36" w14:textId="676C6EFF" w:rsidR="007C68A4" w:rsidRPr="00F9703D" w:rsidRDefault="007C68A4" w:rsidP="007A292B">
      <w:pPr>
        <w:pStyle w:val="Betarp"/>
        <w:numPr>
          <w:ilvl w:val="1"/>
          <w:numId w:val="31"/>
        </w:numPr>
        <w:rPr>
          <w:b/>
          <w:lang w:val="lt-LT"/>
        </w:rPr>
      </w:pPr>
      <w:bookmarkStart w:id="33" w:name="_Toc129243113"/>
      <w:bookmarkStart w:id="34" w:name="_Toc129243238"/>
      <w:r w:rsidRPr="00F9703D">
        <w:rPr>
          <w:b/>
          <w:lang w:val="lt-LT"/>
        </w:rPr>
        <w:t>Farmakokinetinės savybės</w:t>
      </w:r>
      <w:bookmarkEnd w:id="33"/>
      <w:bookmarkEnd w:id="34"/>
    </w:p>
    <w:p w14:paraId="770BDEAA" w14:textId="77777777" w:rsidR="007C68A4" w:rsidRPr="00E6032D" w:rsidRDefault="007C68A4" w:rsidP="007A292B">
      <w:pPr>
        <w:pStyle w:val="Betarp"/>
        <w:rPr>
          <w:b/>
          <w:lang w:val="lt-LT"/>
        </w:rPr>
      </w:pPr>
    </w:p>
    <w:p w14:paraId="78EA4396" w14:textId="77777777" w:rsidR="008A56BA" w:rsidRPr="008A56BA" w:rsidRDefault="008A56BA" w:rsidP="008A56BA">
      <w:pPr>
        <w:numPr>
          <w:ilvl w:val="12"/>
          <w:numId w:val="0"/>
        </w:numPr>
        <w:tabs>
          <w:tab w:val="left" w:pos="567"/>
        </w:tabs>
        <w:spacing w:line="240" w:lineRule="auto"/>
        <w:ind w:right="-2"/>
        <w:rPr>
          <w:rFonts w:eastAsia="Times New Roman"/>
          <w:iCs/>
          <w:noProof/>
          <w:u w:val="single"/>
          <w:lang w:val="lt-LT"/>
        </w:rPr>
      </w:pPr>
      <w:r w:rsidRPr="008A56BA">
        <w:rPr>
          <w:rFonts w:eastAsia="Times New Roman"/>
          <w:noProof/>
          <w:u w:val="single"/>
          <w:lang w:val="lt"/>
        </w:rPr>
        <w:t>Absorbcija</w:t>
      </w:r>
    </w:p>
    <w:p w14:paraId="4E2FCA5A" w14:textId="77777777" w:rsidR="008A56BA" w:rsidRPr="008A56BA" w:rsidRDefault="008A56BA" w:rsidP="008A56BA">
      <w:pPr>
        <w:numPr>
          <w:ilvl w:val="12"/>
          <w:numId w:val="0"/>
        </w:numPr>
        <w:tabs>
          <w:tab w:val="left" w:pos="567"/>
        </w:tabs>
        <w:spacing w:line="240" w:lineRule="auto"/>
        <w:ind w:right="-2"/>
        <w:rPr>
          <w:rFonts w:eastAsia="Times New Roman"/>
          <w:iCs/>
          <w:noProof/>
          <w:lang w:val="lt-LT"/>
        </w:rPr>
      </w:pPr>
    </w:p>
    <w:p w14:paraId="151C3F21" w14:textId="2CBEE2A1" w:rsidR="007643D3" w:rsidRPr="008A56BA" w:rsidRDefault="00AA211B" w:rsidP="008A56BA">
      <w:pPr>
        <w:numPr>
          <w:ilvl w:val="12"/>
          <w:numId w:val="0"/>
        </w:numPr>
        <w:tabs>
          <w:tab w:val="left" w:pos="567"/>
        </w:tabs>
        <w:spacing w:line="240" w:lineRule="auto"/>
        <w:ind w:right="-2"/>
        <w:rPr>
          <w:rFonts w:eastAsia="Times New Roman"/>
          <w:i/>
          <w:noProof/>
          <w:lang w:val="lt-LT"/>
        </w:rPr>
      </w:pPr>
      <w:r>
        <w:rPr>
          <w:rFonts w:eastAsia="Times New Roman"/>
          <w:i/>
          <w:iCs/>
          <w:noProof/>
          <w:lang w:val="lt"/>
        </w:rPr>
        <w:t>Ed</w:t>
      </w:r>
      <w:r w:rsidR="007643D3" w:rsidRPr="007643D3">
        <w:rPr>
          <w:rFonts w:eastAsia="Times New Roman"/>
          <w:i/>
          <w:iCs/>
          <w:noProof/>
          <w:lang w:val="lt"/>
        </w:rPr>
        <w:t>uelym</w:t>
      </w:r>
    </w:p>
    <w:p w14:paraId="3E0CF238" w14:textId="21311D66" w:rsidR="008A56BA" w:rsidRPr="008A56BA" w:rsidRDefault="008A56BA" w:rsidP="008A56BA">
      <w:pPr>
        <w:numPr>
          <w:ilvl w:val="12"/>
          <w:numId w:val="0"/>
        </w:numPr>
        <w:tabs>
          <w:tab w:val="left" w:pos="567"/>
        </w:tabs>
        <w:spacing w:line="240" w:lineRule="auto"/>
        <w:ind w:right="-2"/>
        <w:rPr>
          <w:rFonts w:eastAsia="Times New Roman"/>
          <w:iCs/>
          <w:noProof/>
          <w:lang w:val="lt-LT"/>
        </w:rPr>
      </w:pPr>
      <w:r w:rsidRPr="008A56BA">
        <w:rPr>
          <w:rFonts w:eastAsia="Times New Roman"/>
          <w:noProof/>
          <w:lang w:val="lt"/>
        </w:rPr>
        <w:t xml:space="preserve">Tarptautinio, daugiacentrio, atsitiktinių imčių, tyrėjų užmaskuoto, 3 mėnesių, II fazės klinikinio tyrimo, kuriame dalyvavo padidėjusiu akių jautrumu arba glaukoma sergantys pacientai, metu buvo nustatyta bimatoprosto/timololio koncentracija plazmoje po gydymo </w:t>
      </w:r>
      <w:r w:rsidR="00AA211B">
        <w:rPr>
          <w:rFonts w:eastAsia="Times New Roman"/>
          <w:noProof/>
          <w:lang w:val="lt"/>
        </w:rPr>
        <w:t>Ed</w:t>
      </w:r>
      <w:r w:rsidR="007643D3" w:rsidRPr="007643D3">
        <w:rPr>
          <w:rFonts w:eastAsia="Times New Roman"/>
          <w:noProof/>
          <w:lang w:val="lt"/>
        </w:rPr>
        <w:t>uelym</w:t>
      </w:r>
      <w:r w:rsidRPr="008A56BA">
        <w:rPr>
          <w:rFonts w:eastAsia="Times New Roman"/>
          <w:noProof/>
          <w:lang w:val="lt"/>
        </w:rPr>
        <w:t xml:space="preserve"> ar bimatoprosto/timololio 0,3</w:t>
      </w:r>
      <w:r w:rsidR="00FA2C2F">
        <w:rPr>
          <w:rFonts w:eastAsia="Times New Roman"/>
          <w:noProof/>
          <w:lang w:val="lt"/>
        </w:rPr>
        <w:t> </w:t>
      </w:r>
      <w:r w:rsidRPr="008A56BA">
        <w:rPr>
          <w:rFonts w:eastAsia="Times New Roman"/>
          <w:noProof/>
          <w:lang w:val="lt"/>
        </w:rPr>
        <w:t>mg/5</w:t>
      </w:r>
      <w:r w:rsidR="00FA2C2F">
        <w:rPr>
          <w:rFonts w:eastAsia="Times New Roman"/>
          <w:noProof/>
          <w:lang w:val="lt"/>
        </w:rPr>
        <w:t> </w:t>
      </w:r>
      <w:r w:rsidRPr="008A56BA">
        <w:rPr>
          <w:rFonts w:eastAsia="Times New Roman"/>
          <w:noProof/>
          <w:lang w:val="lt"/>
        </w:rPr>
        <w:t>mg/ml akių lašų tirpalu. Sisteminė bimatoprosto absorbcija buvo laikoma nereikšminga, nes abiejose grupėse jo koncentracija plazmoje buvo mažesnė už vertinamą 0,100</w:t>
      </w:r>
      <w:r w:rsidR="00FA2C2F">
        <w:rPr>
          <w:rFonts w:eastAsia="Times New Roman"/>
          <w:noProof/>
          <w:lang w:val="lt"/>
        </w:rPr>
        <w:t> </w:t>
      </w:r>
      <w:r w:rsidRPr="008A56BA">
        <w:rPr>
          <w:rFonts w:eastAsia="Times New Roman"/>
          <w:noProof/>
          <w:lang w:val="lt"/>
        </w:rPr>
        <w:t xml:space="preserve">ng/ml ribą. Žymiai mažesnė timololio koncentracija kraujo plazmoje nustatyta vartojant </w:t>
      </w:r>
      <w:r w:rsidR="00AA211B">
        <w:rPr>
          <w:rFonts w:eastAsia="Times New Roman"/>
          <w:noProof/>
          <w:lang w:val="lt"/>
        </w:rPr>
        <w:t>Ed</w:t>
      </w:r>
      <w:r w:rsidR="007643D3" w:rsidRPr="007643D3">
        <w:rPr>
          <w:rFonts w:eastAsia="Times New Roman"/>
          <w:noProof/>
          <w:lang w:val="lt"/>
        </w:rPr>
        <w:t>uelym</w:t>
      </w:r>
      <w:r w:rsidRPr="008A56BA">
        <w:rPr>
          <w:rFonts w:eastAsia="Times New Roman"/>
          <w:noProof/>
          <w:lang w:val="lt"/>
        </w:rPr>
        <w:t>, palyginti su bimatoprosto/timololio 0,3</w:t>
      </w:r>
      <w:r w:rsidR="00FA2C2F">
        <w:rPr>
          <w:rFonts w:eastAsia="Times New Roman"/>
          <w:noProof/>
          <w:lang w:val="lt"/>
        </w:rPr>
        <w:t> </w:t>
      </w:r>
      <w:r w:rsidRPr="008A56BA">
        <w:rPr>
          <w:rFonts w:eastAsia="Times New Roman"/>
          <w:noProof/>
          <w:lang w:val="lt"/>
        </w:rPr>
        <w:t>mg/5</w:t>
      </w:r>
      <w:r w:rsidR="00FA2C2F">
        <w:rPr>
          <w:rFonts w:eastAsia="Times New Roman"/>
          <w:noProof/>
          <w:lang w:val="lt"/>
        </w:rPr>
        <w:t> </w:t>
      </w:r>
      <w:r w:rsidRPr="008A56BA">
        <w:rPr>
          <w:rFonts w:eastAsia="Times New Roman"/>
          <w:noProof/>
          <w:lang w:val="lt"/>
        </w:rPr>
        <w:t>mg/ml akių laš</w:t>
      </w:r>
      <w:r w:rsidR="001010ED">
        <w:rPr>
          <w:rFonts w:eastAsia="Times New Roman"/>
          <w:noProof/>
          <w:lang w:val="lt"/>
        </w:rPr>
        <w:t>ų</w:t>
      </w:r>
      <w:r w:rsidRPr="008A56BA">
        <w:rPr>
          <w:rFonts w:eastAsia="Times New Roman"/>
          <w:noProof/>
          <w:lang w:val="lt"/>
        </w:rPr>
        <w:t xml:space="preserve"> tirpalu </w:t>
      </w:r>
      <w:r w:rsidRPr="008A56BA">
        <w:rPr>
          <w:rFonts w:eastAsia="Times New Roman"/>
          <w:b/>
          <w:bCs/>
          <w:noProof/>
          <w:lang w:val="lt"/>
        </w:rPr>
        <w:t>(4 lentelė)</w:t>
      </w:r>
      <w:r w:rsidRPr="008A56BA">
        <w:rPr>
          <w:rFonts w:eastAsia="Times New Roman"/>
          <w:noProof/>
          <w:lang w:val="lt"/>
        </w:rPr>
        <w:t>.</w:t>
      </w:r>
    </w:p>
    <w:p w14:paraId="0C4B921F" w14:textId="77777777" w:rsidR="00B9174B" w:rsidRPr="008A56BA" w:rsidRDefault="00B9174B" w:rsidP="007A292B">
      <w:pPr>
        <w:keepNext/>
        <w:tabs>
          <w:tab w:val="left" w:pos="567"/>
        </w:tabs>
        <w:spacing w:line="240" w:lineRule="auto"/>
        <w:rPr>
          <w:rFonts w:eastAsia="Times New Roman"/>
          <w:iCs/>
          <w:noProof/>
          <w:lang w:val="lt-LT"/>
        </w:rPr>
      </w:pPr>
    </w:p>
    <w:p w14:paraId="7B8C672E" w14:textId="5446EEC2" w:rsidR="00B9174B" w:rsidRPr="00E6032D" w:rsidRDefault="00B9174B" w:rsidP="007A292B">
      <w:pPr>
        <w:keepNext/>
        <w:tabs>
          <w:tab w:val="left" w:pos="567"/>
        </w:tabs>
        <w:spacing w:line="240" w:lineRule="auto"/>
        <w:rPr>
          <w:rFonts w:eastAsia="Times New Roman"/>
          <w:b/>
          <w:bCs/>
          <w:sz w:val="18"/>
          <w:szCs w:val="18"/>
          <w:lang w:val="lt-LT"/>
        </w:rPr>
      </w:pPr>
      <w:r w:rsidRPr="00E6032D">
        <w:rPr>
          <w:rFonts w:eastAsia="Times New Roman"/>
          <w:b/>
          <w:bCs/>
          <w:sz w:val="18"/>
          <w:szCs w:val="18"/>
          <w:lang w:val="lt-LT"/>
        </w:rPr>
        <w:t xml:space="preserve">4 lentelė. </w:t>
      </w:r>
      <w:r w:rsidRPr="00E6032D">
        <w:rPr>
          <w:rFonts w:eastAsia="Times New Roman"/>
          <w:sz w:val="18"/>
          <w:szCs w:val="18"/>
          <w:lang w:val="lt-LT"/>
        </w:rPr>
        <w:t>Timololio koncentracija plazmoje</w:t>
      </w:r>
    </w:p>
    <w:tbl>
      <w:tblPr>
        <w:tblStyle w:val="TableGrid1"/>
        <w:tblW w:w="0" w:type="auto"/>
        <w:tblLook w:val="04A0" w:firstRow="1" w:lastRow="0" w:firstColumn="1" w:lastColumn="0" w:noHBand="0" w:noVBand="1"/>
      </w:tblPr>
      <w:tblGrid>
        <w:gridCol w:w="1735"/>
        <w:gridCol w:w="1716"/>
        <w:gridCol w:w="1947"/>
        <w:gridCol w:w="1716"/>
        <w:gridCol w:w="1947"/>
      </w:tblGrid>
      <w:tr w:rsidR="00F9116E" w:rsidRPr="009F2441" w14:paraId="785C9268" w14:textId="77777777" w:rsidTr="00E45808">
        <w:tc>
          <w:tcPr>
            <w:tcW w:w="1845" w:type="dxa"/>
          </w:tcPr>
          <w:p w14:paraId="545F37DC" w14:textId="77777777" w:rsidR="00B9174B" w:rsidRPr="00E6032D" w:rsidRDefault="00B9174B" w:rsidP="007A292B">
            <w:pPr>
              <w:numPr>
                <w:ilvl w:val="12"/>
                <w:numId w:val="0"/>
              </w:numPr>
              <w:spacing w:line="240" w:lineRule="auto"/>
              <w:rPr>
                <w:iCs/>
                <w:noProof/>
                <w:sz w:val="18"/>
                <w:szCs w:val="18"/>
                <w:lang w:val="lt-LT"/>
              </w:rPr>
            </w:pPr>
          </w:p>
        </w:tc>
        <w:tc>
          <w:tcPr>
            <w:tcW w:w="1803" w:type="dxa"/>
            <w:vAlign w:val="center"/>
          </w:tcPr>
          <w:p w14:paraId="63EEDF57" w14:textId="7441A645" w:rsidR="00B9174B" w:rsidRPr="00E6032D" w:rsidRDefault="00AA211B" w:rsidP="007A292B">
            <w:pPr>
              <w:numPr>
                <w:ilvl w:val="12"/>
                <w:numId w:val="0"/>
              </w:numPr>
              <w:spacing w:line="240" w:lineRule="auto"/>
              <w:jc w:val="center"/>
              <w:rPr>
                <w:iCs/>
                <w:noProof/>
                <w:sz w:val="18"/>
                <w:szCs w:val="18"/>
                <w:lang w:val="lt-LT"/>
              </w:rPr>
            </w:pPr>
            <w:r>
              <w:rPr>
                <w:noProof/>
                <w:sz w:val="18"/>
                <w:szCs w:val="18"/>
                <w:lang w:val="lt-LT"/>
              </w:rPr>
              <w:t>Ed</w:t>
            </w:r>
            <w:r w:rsidR="007643D3" w:rsidRPr="007643D3">
              <w:rPr>
                <w:noProof/>
                <w:sz w:val="18"/>
                <w:szCs w:val="18"/>
                <w:lang w:val="lt-LT"/>
              </w:rPr>
              <w:t>uelym</w:t>
            </w:r>
            <w:r w:rsidR="00B9174B" w:rsidRPr="00E6032D">
              <w:rPr>
                <w:iCs/>
                <w:noProof/>
                <w:sz w:val="18"/>
                <w:szCs w:val="18"/>
                <w:lang w:val="lt-LT"/>
              </w:rPr>
              <w:t xml:space="preserve"> 0,1</w:t>
            </w:r>
            <w:r w:rsidR="00585107">
              <w:rPr>
                <w:iCs/>
                <w:noProof/>
                <w:sz w:val="18"/>
                <w:szCs w:val="18"/>
                <w:lang w:val="lt-LT"/>
              </w:rPr>
              <w:t> </w:t>
            </w:r>
            <w:r w:rsidR="00F9116E" w:rsidRPr="00E6032D">
              <w:rPr>
                <w:iCs/>
                <w:noProof/>
                <w:sz w:val="18"/>
                <w:szCs w:val="18"/>
                <w:lang w:val="lt-LT"/>
              </w:rPr>
              <w:t>mg</w:t>
            </w:r>
            <w:r w:rsidR="00B9174B" w:rsidRPr="00E6032D">
              <w:rPr>
                <w:iCs/>
                <w:noProof/>
                <w:sz w:val="18"/>
                <w:szCs w:val="18"/>
                <w:lang w:val="lt-LT"/>
              </w:rPr>
              <w:t>/1 mg/g akių gelis</w:t>
            </w:r>
          </w:p>
        </w:tc>
        <w:tc>
          <w:tcPr>
            <w:tcW w:w="1804" w:type="dxa"/>
            <w:vAlign w:val="center"/>
          </w:tcPr>
          <w:p w14:paraId="5DFB0670" w14:textId="1594AB91"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Bimatoprostas/timololis 0,3</w:t>
            </w:r>
            <w:r w:rsidR="00585107">
              <w:rPr>
                <w:iCs/>
                <w:noProof/>
                <w:sz w:val="18"/>
                <w:szCs w:val="18"/>
                <w:lang w:val="lt-LT"/>
              </w:rPr>
              <w:t> </w:t>
            </w:r>
            <w:r w:rsidR="00F9116E" w:rsidRPr="00E6032D">
              <w:rPr>
                <w:iCs/>
                <w:noProof/>
                <w:sz w:val="18"/>
                <w:szCs w:val="18"/>
                <w:lang w:val="lt-LT"/>
              </w:rPr>
              <w:t>mg</w:t>
            </w:r>
            <w:r w:rsidRPr="00E6032D">
              <w:rPr>
                <w:iCs/>
                <w:noProof/>
                <w:sz w:val="18"/>
                <w:szCs w:val="18"/>
                <w:lang w:val="lt-LT"/>
              </w:rPr>
              <w:t>/5 mg/ml akių lašai (tirpalas)</w:t>
            </w:r>
          </w:p>
        </w:tc>
        <w:tc>
          <w:tcPr>
            <w:tcW w:w="1803" w:type="dxa"/>
            <w:vAlign w:val="center"/>
          </w:tcPr>
          <w:p w14:paraId="0232DDDE" w14:textId="725FD36C" w:rsidR="00B9174B" w:rsidRPr="00E6032D" w:rsidRDefault="00AA211B" w:rsidP="007A292B">
            <w:pPr>
              <w:numPr>
                <w:ilvl w:val="12"/>
                <w:numId w:val="0"/>
              </w:numPr>
              <w:spacing w:line="240" w:lineRule="auto"/>
              <w:jc w:val="center"/>
              <w:rPr>
                <w:iCs/>
                <w:noProof/>
                <w:sz w:val="18"/>
                <w:szCs w:val="18"/>
                <w:lang w:val="lt-LT"/>
              </w:rPr>
            </w:pPr>
            <w:r>
              <w:rPr>
                <w:noProof/>
                <w:sz w:val="18"/>
                <w:szCs w:val="18"/>
                <w:lang w:val="lt-LT"/>
              </w:rPr>
              <w:t>Ed</w:t>
            </w:r>
            <w:r w:rsidR="007643D3" w:rsidRPr="007643D3">
              <w:rPr>
                <w:noProof/>
                <w:sz w:val="18"/>
                <w:szCs w:val="18"/>
                <w:lang w:val="lt-LT"/>
              </w:rPr>
              <w:t>uelym</w:t>
            </w:r>
            <w:r w:rsidR="00B9174B" w:rsidRPr="00E6032D">
              <w:rPr>
                <w:iCs/>
                <w:noProof/>
                <w:sz w:val="18"/>
                <w:szCs w:val="18"/>
                <w:lang w:val="lt-LT"/>
              </w:rPr>
              <w:t xml:space="preserve"> 0</w:t>
            </w:r>
            <w:r w:rsidR="00F9116E" w:rsidRPr="00E6032D">
              <w:rPr>
                <w:iCs/>
                <w:noProof/>
                <w:sz w:val="18"/>
                <w:szCs w:val="18"/>
                <w:lang w:val="lt-LT"/>
              </w:rPr>
              <w:t>,</w:t>
            </w:r>
            <w:r w:rsidR="00B9174B" w:rsidRPr="00E6032D">
              <w:rPr>
                <w:iCs/>
                <w:noProof/>
                <w:sz w:val="18"/>
                <w:szCs w:val="18"/>
                <w:lang w:val="lt-LT"/>
              </w:rPr>
              <w:t xml:space="preserve">1 mg/1 mg/g </w:t>
            </w:r>
            <w:r w:rsidR="00F9116E" w:rsidRPr="00E6032D">
              <w:rPr>
                <w:iCs/>
                <w:noProof/>
                <w:sz w:val="18"/>
                <w:szCs w:val="18"/>
                <w:lang w:val="lt-LT"/>
              </w:rPr>
              <w:t>akių gelis</w:t>
            </w:r>
          </w:p>
        </w:tc>
        <w:tc>
          <w:tcPr>
            <w:tcW w:w="1806" w:type="dxa"/>
            <w:vAlign w:val="center"/>
          </w:tcPr>
          <w:p w14:paraId="747645B1" w14:textId="4DB0286D"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Bimatoprost</w:t>
            </w:r>
            <w:r w:rsidR="00F9116E" w:rsidRPr="00E6032D">
              <w:rPr>
                <w:iCs/>
                <w:noProof/>
                <w:sz w:val="18"/>
                <w:szCs w:val="18"/>
                <w:lang w:val="lt-LT"/>
              </w:rPr>
              <w:t>as</w:t>
            </w:r>
            <w:r w:rsidRPr="00E6032D">
              <w:rPr>
                <w:iCs/>
                <w:noProof/>
                <w:sz w:val="18"/>
                <w:szCs w:val="18"/>
                <w:lang w:val="lt-LT"/>
              </w:rPr>
              <w:t>/timolol</w:t>
            </w:r>
            <w:r w:rsidR="00F9116E" w:rsidRPr="00E6032D">
              <w:rPr>
                <w:iCs/>
                <w:noProof/>
                <w:sz w:val="18"/>
                <w:szCs w:val="18"/>
                <w:lang w:val="lt-LT"/>
              </w:rPr>
              <w:t>is</w:t>
            </w:r>
            <w:r w:rsidRPr="00E6032D">
              <w:rPr>
                <w:iCs/>
                <w:noProof/>
                <w:sz w:val="18"/>
                <w:szCs w:val="18"/>
                <w:lang w:val="lt-LT"/>
              </w:rPr>
              <w:t xml:space="preserve"> 0</w:t>
            </w:r>
            <w:r w:rsidR="00F9116E" w:rsidRPr="00E6032D">
              <w:rPr>
                <w:iCs/>
                <w:noProof/>
                <w:sz w:val="18"/>
                <w:szCs w:val="18"/>
                <w:lang w:val="lt-LT"/>
              </w:rPr>
              <w:t>,</w:t>
            </w:r>
            <w:r w:rsidRPr="00E6032D">
              <w:rPr>
                <w:iCs/>
                <w:noProof/>
                <w:sz w:val="18"/>
                <w:szCs w:val="18"/>
                <w:lang w:val="lt-LT"/>
              </w:rPr>
              <w:t>3 mg</w:t>
            </w:r>
            <w:r w:rsidR="00F9116E" w:rsidRPr="00E6032D">
              <w:rPr>
                <w:iCs/>
                <w:noProof/>
                <w:sz w:val="18"/>
                <w:szCs w:val="18"/>
                <w:lang w:val="lt-LT"/>
              </w:rPr>
              <w:t>/</w:t>
            </w:r>
            <w:r w:rsidRPr="00E6032D">
              <w:rPr>
                <w:iCs/>
                <w:noProof/>
                <w:sz w:val="18"/>
                <w:szCs w:val="18"/>
                <w:lang w:val="lt-LT"/>
              </w:rPr>
              <w:t xml:space="preserve">5 mg/ml </w:t>
            </w:r>
            <w:r w:rsidR="00F9116E" w:rsidRPr="00E6032D">
              <w:rPr>
                <w:iCs/>
                <w:noProof/>
                <w:sz w:val="18"/>
                <w:szCs w:val="18"/>
                <w:lang w:val="lt-LT"/>
              </w:rPr>
              <w:t>akių lašai (tirpalas)</w:t>
            </w:r>
          </w:p>
        </w:tc>
      </w:tr>
      <w:tr w:rsidR="00F9116E" w:rsidRPr="00E6032D" w14:paraId="0D924911" w14:textId="77777777" w:rsidTr="00E45808">
        <w:tc>
          <w:tcPr>
            <w:tcW w:w="1845" w:type="dxa"/>
          </w:tcPr>
          <w:p w14:paraId="1269A156" w14:textId="77777777" w:rsidR="00B9174B" w:rsidRPr="00E6032D" w:rsidRDefault="00B9174B" w:rsidP="007A292B">
            <w:pPr>
              <w:numPr>
                <w:ilvl w:val="12"/>
                <w:numId w:val="0"/>
              </w:numPr>
              <w:spacing w:line="240" w:lineRule="auto"/>
              <w:rPr>
                <w:iCs/>
                <w:noProof/>
                <w:sz w:val="18"/>
                <w:szCs w:val="18"/>
                <w:lang w:val="lt-LT"/>
              </w:rPr>
            </w:pPr>
          </w:p>
        </w:tc>
        <w:tc>
          <w:tcPr>
            <w:tcW w:w="3608" w:type="dxa"/>
            <w:gridSpan w:val="2"/>
          </w:tcPr>
          <w:p w14:paraId="795F15F6" w14:textId="56B67B00" w:rsidR="00B9174B" w:rsidRPr="00E6032D" w:rsidRDefault="00F9116E" w:rsidP="007A292B">
            <w:pPr>
              <w:numPr>
                <w:ilvl w:val="12"/>
                <w:numId w:val="0"/>
              </w:numPr>
              <w:spacing w:line="240" w:lineRule="auto"/>
              <w:jc w:val="center"/>
              <w:rPr>
                <w:iCs/>
                <w:noProof/>
                <w:sz w:val="18"/>
                <w:szCs w:val="18"/>
                <w:lang w:val="lt-LT"/>
              </w:rPr>
            </w:pPr>
            <w:r w:rsidRPr="00E6032D">
              <w:rPr>
                <w:iCs/>
                <w:noProof/>
                <w:sz w:val="18"/>
                <w:szCs w:val="18"/>
                <w:lang w:val="lt-LT"/>
              </w:rPr>
              <w:t>Pradinis lygis</w:t>
            </w:r>
            <w:r w:rsidR="00B9174B" w:rsidRPr="00E6032D">
              <w:rPr>
                <w:iCs/>
                <w:noProof/>
                <w:sz w:val="18"/>
                <w:szCs w:val="18"/>
                <w:lang w:val="lt-LT"/>
              </w:rPr>
              <w:t xml:space="preserve"> (1</w:t>
            </w:r>
            <w:r w:rsidRPr="00E6032D">
              <w:rPr>
                <w:iCs/>
                <w:noProof/>
                <w:sz w:val="18"/>
                <w:szCs w:val="18"/>
                <w:lang w:val="lt-LT"/>
              </w:rPr>
              <w:t xml:space="preserve"> diena</w:t>
            </w:r>
            <w:r w:rsidR="00B9174B" w:rsidRPr="00E6032D">
              <w:rPr>
                <w:iCs/>
                <w:noProof/>
                <w:sz w:val="18"/>
                <w:szCs w:val="18"/>
                <w:lang w:val="lt-LT"/>
              </w:rPr>
              <w:t>)</w:t>
            </w:r>
          </w:p>
        </w:tc>
        <w:tc>
          <w:tcPr>
            <w:tcW w:w="3608" w:type="dxa"/>
            <w:gridSpan w:val="2"/>
          </w:tcPr>
          <w:p w14:paraId="4FDA87A3" w14:textId="5EB373F4" w:rsidR="00B9174B" w:rsidRPr="00E6032D" w:rsidRDefault="00F9116E" w:rsidP="007A292B">
            <w:pPr>
              <w:numPr>
                <w:ilvl w:val="12"/>
                <w:numId w:val="0"/>
              </w:numPr>
              <w:spacing w:line="240" w:lineRule="auto"/>
              <w:jc w:val="center"/>
              <w:rPr>
                <w:iCs/>
                <w:noProof/>
                <w:sz w:val="18"/>
                <w:szCs w:val="18"/>
                <w:lang w:val="lt-LT"/>
              </w:rPr>
            </w:pPr>
            <w:r w:rsidRPr="00E6032D">
              <w:rPr>
                <w:iCs/>
                <w:noProof/>
                <w:sz w:val="18"/>
                <w:szCs w:val="18"/>
                <w:lang w:val="lt-LT"/>
              </w:rPr>
              <w:t>Paskutinis vizitas</w:t>
            </w:r>
            <w:r w:rsidR="00B9174B" w:rsidRPr="00E6032D">
              <w:rPr>
                <w:iCs/>
                <w:noProof/>
                <w:sz w:val="18"/>
                <w:szCs w:val="18"/>
                <w:lang w:val="lt-LT"/>
              </w:rPr>
              <w:t xml:space="preserve"> (12</w:t>
            </w:r>
            <w:r w:rsidRPr="00E6032D">
              <w:rPr>
                <w:iCs/>
                <w:noProof/>
                <w:sz w:val="18"/>
                <w:szCs w:val="18"/>
                <w:lang w:val="lt-LT"/>
              </w:rPr>
              <w:t xml:space="preserve"> savaitė</w:t>
            </w:r>
            <w:r w:rsidR="00B9174B" w:rsidRPr="00E6032D">
              <w:rPr>
                <w:iCs/>
                <w:noProof/>
                <w:sz w:val="18"/>
                <w:szCs w:val="18"/>
                <w:lang w:val="lt-LT"/>
              </w:rPr>
              <w:t>)</w:t>
            </w:r>
          </w:p>
        </w:tc>
      </w:tr>
      <w:tr w:rsidR="00F9116E" w:rsidRPr="00E6032D" w14:paraId="79545913" w14:textId="77777777" w:rsidTr="00E45808">
        <w:tc>
          <w:tcPr>
            <w:tcW w:w="1845" w:type="dxa"/>
          </w:tcPr>
          <w:p w14:paraId="4009C447" w14:textId="7C87608E" w:rsidR="00B9174B" w:rsidRPr="00E6032D" w:rsidRDefault="00F9116E" w:rsidP="007A292B">
            <w:pPr>
              <w:numPr>
                <w:ilvl w:val="12"/>
                <w:numId w:val="0"/>
              </w:numPr>
              <w:spacing w:line="240" w:lineRule="auto"/>
              <w:rPr>
                <w:iCs/>
                <w:noProof/>
                <w:sz w:val="18"/>
                <w:szCs w:val="18"/>
                <w:lang w:val="lt-LT"/>
              </w:rPr>
            </w:pPr>
            <w:r w:rsidRPr="00E6032D">
              <w:rPr>
                <w:iCs/>
                <w:noProof/>
                <w:sz w:val="18"/>
                <w:szCs w:val="18"/>
                <w:lang w:val="lt-LT"/>
              </w:rPr>
              <w:t>Pacientų skaičius</w:t>
            </w:r>
          </w:p>
        </w:tc>
        <w:tc>
          <w:tcPr>
            <w:tcW w:w="1803" w:type="dxa"/>
          </w:tcPr>
          <w:p w14:paraId="51BBACFC" w14:textId="77777777"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7</w:t>
            </w:r>
          </w:p>
        </w:tc>
        <w:tc>
          <w:tcPr>
            <w:tcW w:w="1804" w:type="dxa"/>
          </w:tcPr>
          <w:p w14:paraId="27E82D8B" w14:textId="77777777"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5</w:t>
            </w:r>
          </w:p>
        </w:tc>
        <w:tc>
          <w:tcPr>
            <w:tcW w:w="1803" w:type="dxa"/>
          </w:tcPr>
          <w:p w14:paraId="1127F9DA" w14:textId="77777777"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7</w:t>
            </w:r>
          </w:p>
        </w:tc>
        <w:tc>
          <w:tcPr>
            <w:tcW w:w="1806" w:type="dxa"/>
          </w:tcPr>
          <w:p w14:paraId="45A8D731" w14:textId="77777777"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5</w:t>
            </w:r>
          </w:p>
        </w:tc>
      </w:tr>
      <w:tr w:rsidR="00F9116E" w:rsidRPr="001044BB" w14:paraId="53FC5DE6" w14:textId="77777777" w:rsidTr="00E45808">
        <w:tc>
          <w:tcPr>
            <w:tcW w:w="1845" w:type="dxa"/>
          </w:tcPr>
          <w:p w14:paraId="33EA2BC8" w14:textId="03868EF4" w:rsidR="00B9174B" w:rsidRPr="00E6032D" w:rsidRDefault="00B9174B" w:rsidP="007A292B">
            <w:pPr>
              <w:numPr>
                <w:ilvl w:val="12"/>
                <w:numId w:val="0"/>
              </w:numPr>
              <w:spacing w:line="240" w:lineRule="auto"/>
              <w:rPr>
                <w:iCs/>
                <w:noProof/>
                <w:sz w:val="18"/>
                <w:szCs w:val="18"/>
                <w:lang w:val="lt-LT"/>
              </w:rPr>
            </w:pPr>
            <w:r w:rsidRPr="00E6032D">
              <w:rPr>
                <w:iCs/>
                <w:noProof/>
                <w:sz w:val="18"/>
                <w:szCs w:val="18"/>
                <w:lang w:val="lt-LT"/>
              </w:rPr>
              <w:t>AUC</w:t>
            </w:r>
            <w:r w:rsidRPr="00E6032D">
              <w:rPr>
                <w:iCs/>
                <w:noProof/>
                <w:sz w:val="18"/>
                <w:szCs w:val="18"/>
                <w:vertAlign w:val="subscript"/>
                <w:lang w:val="lt-LT"/>
              </w:rPr>
              <w:t>0-12</w:t>
            </w:r>
            <w:r w:rsidR="00585107">
              <w:rPr>
                <w:iCs/>
                <w:noProof/>
                <w:sz w:val="18"/>
                <w:szCs w:val="18"/>
                <w:vertAlign w:val="subscript"/>
                <w:lang w:val="lt-LT"/>
              </w:rPr>
              <w:t>val</w:t>
            </w:r>
            <w:r w:rsidRPr="00E6032D">
              <w:rPr>
                <w:iCs/>
                <w:noProof/>
                <w:sz w:val="18"/>
                <w:szCs w:val="18"/>
                <w:vertAlign w:val="subscript"/>
                <w:lang w:val="lt-LT"/>
              </w:rPr>
              <w:t xml:space="preserve"> </w:t>
            </w:r>
            <w:r w:rsidRPr="00E6032D">
              <w:rPr>
                <w:iCs/>
                <w:noProof/>
                <w:sz w:val="18"/>
                <w:szCs w:val="18"/>
                <w:lang w:val="lt-LT"/>
              </w:rPr>
              <w:t>(ng*min/ml)</w:t>
            </w:r>
          </w:p>
        </w:tc>
        <w:tc>
          <w:tcPr>
            <w:tcW w:w="1803" w:type="dxa"/>
          </w:tcPr>
          <w:p w14:paraId="399E777E" w14:textId="77777777" w:rsidR="00B9174B" w:rsidRPr="00E6032D" w:rsidRDefault="00B9174B" w:rsidP="007A292B">
            <w:pPr>
              <w:numPr>
                <w:ilvl w:val="12"/>
                <w:numId w:val="0"/>
              </w:numPr>
              <w:spacing w:line="240" w:lineRule="auto"/>
              <w:jc w:val="center"/>
              <w:rPr>
                <w:iCs/>
                <w:noProof/>
                <w:sz w:val="18"/>
                <w:szCs w:val="18"/>
                <w:lang w:val="lt-LT"/>
              </w:rPr>
            </w:pPr>
          </w:p>
        </w:tc>
        <w:tc>
          <w:tcPr>
            <w:tcW w:w="1804" w:type="dxa"/>
          </w:tcPr>
          <w:p w14:paraId="0F5ADC77" w14:textId="77777777" w:rsidR="00B9174B" w:rsidRPr="00E6032D" w:rsidRDefault="00B9174B" w:rsidP="007A292B">
            <w:pPr>
              <w:numPr>
                <w:ilvl w:val="12"/>
                <w:numId w:val="0"/>
              </w:numPr>
              <w:spacing w:line="240" w:lineRule="auto"/>
              <w:jc w:val="center"/>
              <w:rPr>
                <w:iCs/>
                <w:noProof/>
                <w:sz w:val="18"/>
                <w:szCs w:val="18"/>
                <w:lang w:val="lt-LT"/>
              </w:rPr>
            </w:pPr>
          </w:p>
        </w:tc>
        <w:tc>
          <w:tcPr>
            <w:tcW w:w="1803" w:type="dxa"/>
          </w:tcPr>
          <w:p w14:paraId="2BC883D8" w14:textId="77777777" w:rsidR="00B9174B" w:rsidRPr="00E6032D" w:rsidRDefault="00B9174B" w:rsidP="007A292B">
            <w:pPr>
              <w:numPr>
                <w:ilvl w:val="12"/>
                <w:numId w:val="0"/>
              </w:numPr>
              <w:spacing w:line="240" w:lineRule="auto"/>
              <w:jc w:val="center"/>
              <w:rPr>
                <w:iCs/>
                <w:noProof/>
                <w:sz w:val="18"/>
                <w:szCs w:val="18"/>
                <w:lang w:val="lt-LT"/>
              </w:rPr>
            </w:pPr>
          </w:p>
        </w:tc>
        <w:tc>
          <w:tcPr>
            <w:tcW w:w="1806" w:type="dxa"/>
          </w:tcPr>
          <w:p w14:paraId="4676BB4D" w14:textId="77777777" w:rsidR="00B9174B" w:rsidRPr="00E6032D" w:rsidRDefault="00B9174B" w:rsidP="007A292B">
            <w:pPr>
              <w:numPr>
                <w:ilvl w:val="12"/>
                <w:numId w:val="0"/>
              </w:numPr>
              <w:spacing w:line="240" w:lineRule="auto"/>
              <w:jc w:val="center"/>
              <w:rPr>
                <w:iCs/>
                <w:noProof/>
                <w:sz w:val="18"/>
                <w:szCs w:val="18"/>
                <w:lang w:val="lt-LT"/>
              </w:rPr>
            </w:pPr>
          </w:p>
        </w:tc>
      </w:tr>
      <w:tr w:rsidR="00F9116E" w:rsidRPr="00E6032D" w14:paraId="50CF356B" w14:textId="77777777" w:rsidTr="00E45808">
        <w:tc>
          <w:tcPr>
            <w:tcW w:w="1845" w:type="dxa"/>
          </w:tcPr>
          <w:p w14:paraId="13AB3419" w14:textId="5C26DFBC" w:rsidR="00B9174B" w:rsidRPr="00E6032D" w:rsidRDefault="00F9116E" w:rsidP="007A292B">
            <w:pPr>
              <w:numPr>
                <w:ilvl w:val="12"/>
                <w:numId w:val="0"/>
              </w:numPr>
              <w:spacing w:line="240" w:lineRule="auto"/>
              <w:rPr>
                <w:iCs/>
                <w:noProof/>
                <w:sz w:val="18"/>
                <w:szCs w:val="18"/>
                <w:lang w:val="lt-LT"/>
              </w:rPr>
            </w:pPr>
            <w:r w:rsidRPr="00E6032D">
              <w:rPr>
                <w:iCs/>
                <w:noProof/>
                <w:sz w:val="18"/>
                <w:szCs w:val="18"/>
                <w:lang w:val="lt-LT"/>
              </w:rPr>
              <w:t>Vidurkis</w:t>
            </w:r>
            <w:r w:rsidR="00B9174B" w:rsidRPr="00E6032D">
              <w:rPr>
                <w:iCs/>
                <w:noProof/>
                <w:sz w:val="18"/>
                <w:szCs w:val="18"/>
                <w:lang w:val="lt-LT"/>
              </w:rPr>
              <w:t>±S</w:t>
            </w:r>
            <w:r w:rsidR="00585107">
              <w:rPr>
                <w:iCs/>
                <w:noProof/>
                <w:sz w:val="18"/>
                <w:szCs w:val="18"/>
                <w:lang w:val="lt-LT"/>
              </w:rPr>
              <w:t>N</w:t>
            </w:r>
          </w:p>
        </w:tc>
        <w:tc>
          <w:tcPr>
            <w:tcW w:w="1803" w:type="dxa"/>
          </w:tcPr>
          <w:p w14:paraId="29FA5A02" w14:textId="5ED0E8EA" w:rsidR="00B9174B" w:rsidRPr="00E6032D" w:rsidRDefault="00B9174B" w:rsidP="007A292B">
            <w:pPr>
              <w:numPr>
                <w:ilvl w:val="12"/>
                <w:numId w:val="0"/>
              </w:numPr>
              <w:spacing w:line="240" w:lineRule="auto"/>
              <w:jc w:val="center"/>
              <w:rPr>
                <w:iCs/>
                <w:noProof/>
                <w:sz w:val="18"/>
                <w:szCs w:val="18"/>
                <w:lang w:val="lt-LT"/>
              </w:rPr>
            </w:pPr>
            <w:r w:rsidRPr="00E6032D">
              <w:rPr>
                <w:sz w:val="18"/>
                <w:szCs w:val="18"/>
                <w:lang w:val="lt-LT"/>
              </w:rPr>
              <w:t>25</w:t>
            </w:r>
            <w:r w:rsidR="00F9116E" w:rsidRPr="00E6032D">
              <w:rPr>
                <w:sz w:val="18"/>
                <w:szCs w:val="18"/>
                <w:lang w:val="lt-LT"/>
              </w:rPr>
              <w:t>,</w:t>
            </w:r>
            <w:r w:rsidRPr="00E6032D">
              <w:rPr>
                <w:sz w:val="18"/>
                <w:szCs w:val="18"/>
                <w:lang w:val="lt-LT"/>
              </w:rPr>
              <w:t>5±24</w:t>
            </w:r>
            <w:r w:rsidR="00F9116E" w:rsidRPr="00E6032D">
              <w:rPr>
                <w:sz w:val="18"/>
                <w:szCs w:val="18"/>
                <w:lang w:val="lt-LT"/>
              </w:rPr>
              <w:t>,</w:t>
            </w:r>
            <w:r w:rsidRPr="00E6032D">
              <w:rPr>
                <w:sz w:val="18"/>
                <w:szCs w:val="18"/>
                <w:lang w:val="lt-LT"/>
              </w:rPr>
              <w:t>3</w:t>
            </w:r>
          </w:p>
        </w:tc>
        <w:tc>
          <w:tcPr>
            <w:tcW w:w="1804" w:type="dxa"/>
          </w:tcPr>
          <w:p w14:paraId="045BB7AD" w14:textId="0AB0B1B2" w:rsidR="00B9174B" w:rsidRPr="00E6032D" w:rsidRDefault="00B9174B" w:rsidP="007A292B">
            <w:pPr>
              <w:numPr>
                <w:ilvl w:val="12"/>
                <w:numId w:val="0"/>
              </w:numPr>
              <w:spacing w:line="240" w:lineRule="auto"/>
              <w:jc w:val="center"/>
              <w:rPr>
                <w:iCs/>
                <w:noProof/>
                <w:sz w:val="18"/>
                <w:szCs w:val="18"/>
                <w:lang w:val="lt-LT"/>
              </w:rPr>
            </w:pPr>
            <w:r w:rsidRPr="00E6032D">
              <w:rPr>
                <w:sz w:val="18"/>
                <w:szCs w:val="18"/>
                <w:lang w:val="lt-LT"/>
              </w:rPr>
              <w:t>378</w:t>
            </w:r>
            <w:r w:rsidR="00F9116E" w:rsidRPr="00E6032D">
              <w:rPr>
                <w:sz w:val="18"/>
                <w:szCs w:val="18"/>
                <w:lang w:val="lt-LT"/>
              </w:rPr>
              <w:t>,</w:t>
            </w:r>
            <w:r w:rsidRPr="00E6032D">
              <w:rPr>
                <w:sz w:val="18"/>
                <w:szCs w:val="18"/>
                <w:lang w:val="lt-LT"/>
              </w:rPr>
              <w:t>0±253</w:t>
            </w:r>
            <w:r w:rsidR="00F9116E" w:rsidRPr="00E6032D">
              <w:rPr>
                <w:sz w:val="18"/>
                <w:szCs w:val="18"/>
                <w:lang w:val="lt-LT"/>
              </w:rPr>
              <w:t>,</w:t>
            </w:r>
            <w:r w:rsidRPr="00E6032D">
              <w:rPr>
                <w:sz w:val="18"/>
                <w:szCs w:val="18"/>
                <w:lang w:val="lt-LT"/>
              </w:rPr>
              <w:t>0</w:t>
            </w:r>
          </w:p>
        </w:tc>
        <w:tc>
          <w:tcPr>
            <w:tcW w:w="1803" w:type="dxa"/>
          </w:tcPr>
          <w:p w14:paraId="4DA21D1F" w14:textId="4B6CBA0F" w:rsidR="00B9174B" w:rsidRPr="00E6032D" w:rsidRDefault="00B9174B" w:rsidP="007A292B">
            <w:pPr>
              <w:numPr>
                <w:ilvl w:val="12"/>
                <w:numId w:val="0"/>
              </w:numPr>
              <w:spacing w:line="240" w:lineRule="auto"/>
              <w:jc w:val="center"/>
              <w:rPr>
                <w:iCs/>
                <w:noProof/>
                <w:sz w:val="18"/>
                <w:szCs w:val="18"/>
                <w:lang w:val="lt-LT"/>
              </w:rPr>
            </w:pPr>
            <w:r w:rsidRPr="00E6032D">
              <w:rPr>
                <w:sz w:val="18"/>
                <w:szCs w:val="18"/>
                <w:lang w:val="lt-LT"/>
              </w:rPr>
              <w:t>85</w:t>
            </w:r>
            <w:r w:rsidR="00F9116E" w:rsidRPr="00E6032D">
              <w:rPr>
                <w:sz w:val="18"/>
                <w:szCs w:val="18"/>
                <w:lang w:val="lt-LT"/>
              </w:rPr>
              <w:t>,</w:t>
            </w:r>
            <w:r w:rsidRPr="00E6032D">
              <w:rPr>
                <w:sz w:val="18"/>
                <w:szCs w:val="18"/>
                <w:lang w:val="lt-LT"/>
              </w:rPr>
              <w:t>5±45</w:t>
            </w:r>
            <w:r w:rsidR="00F9116E" w:rsidRPr="00E6032D">
              <w:rPr>
                <w:sz w:val="18"/>
                <w:szCs w:val="18"/>
                <w:lang w:val="lt-LT"/>
              </w:rPr>
              <w:t>,</w:t>
            </w:r>
            <w:r w:rsidRPr="00E6032D">
              <w:rPr>
                <w:sz w:val="18"/>
                <w:szCs w:val="18"/>
                <w:lang w:val="lt-LT"/>
              </w:rPr>
              <w:t>9</w:t>
            </w:r>
          </w:p>
        </w:tc>
        <w:tc>
          <w:tcPr>
            <w:tcW w:w="1806" w:type="dxa"/>
          </w:tcPr>
          <w:p w14:paraId="5F440DB8" w14:textId="3752AEAA" w:rsidR="00B9174B" w:rsidRPr="00E6032D" w:rsidRDefault="00B9174B" w:rsidP="007A292B">
            <w:pPr>
              <w:numPr>
                <w:ilvl w:val="12"/>
                <w:numId w:val="0"/>
              </w:numPr>
              <w:spacing w:line="240" w:lineRule="auto"/>
              <w:jc w:val="center"/>
              <w:rPr>
                <w:iCs/>
                <w:noProof/>
                <w:sz w:val="18"/>
                <w:szCs w:val="18"/>
                <w:lang w:val="lt-LT"/>
              </w:rPr>
            </w:pPr>
            <w:r w:rsidRPr="00E6032D">
              <w:rPr>
                <w:sz w:val="18"/>
                <w:szCs w:val="18"/>
                <w:lang w:val="lt-LT"/>
              </w:rPr>
              <w:t>369</w:t>
            </w:r>
            <w:r w:rsidR="00F9116E" w:rsidRPr="00E6032D">
              <w:rPr>
                <w:sz w:val="18"/>
                <w:szCs w:val="18"/>
                <w:lang w:val="lt-LT"/>
              </w:rPr>
              <w:t>,</w:t>
            </w:r>
            <w:r w:rsidRPr="00E6032D">
              <w:rPr>
                <w:sz w:val="18"/>
                <w:szCs w:val="18"/>
                <w:lang w:val="lt-LT"/>
              </w:rPr>
              <w:t>2±149</w:t>
            </w:r>
            <w:r w:rsidR="00F9116E" w:rsidRPr="00E6032D">
              <w:rPr>
                <w:sz w:val="18"/>
                <w:szCs w:val="18"/>
                <w:lang w:val="lt-LT"/>
              </w:rPr>
              <w:t>,</w:t>
            </w:r>
            <w:r w:rsidRPr="00E6032D">
              <w:rPr>
                <w:sz w:val="18"/>
                <w:szCs w:val="18"/>
                <w:lang w:val="lt-LT"/>
              </w:rPr>
              <w:t>3</w:t>
            </w:r>
          </w:p>
        </w:tc>
      </w:tr>
      <w:tr w:rsidR="00F9116E" w:rsidRPr="00E6032D" w14:paraId="5D9C86C5" w14:textId="77777777" w:rsidTr="00E45808">
        <w:tc>
          <w:tcPr>
            <w:tcW w:w="1845" w:type="dxa"/>
          </w:tcPr>
          <w:p w14:paraId="38412117" w14:textId="5A6218DF" w:rsidR="00B9174B" w:rsidRPr="00E6032D" w:rsidRDefault="00B9174B" w:rsidP="007A292B">
            <w:pPr>
              <w:numPr>
                <w:ilvl w:val="12"/>
                <w:numId w:val="0"/>
              </w:numPr>
              <w:spacing w:line="240" w:lineRule="auto"/>
              <w:rPr>
                <w:iCs/>
                <w:noProof/>
                <w:sz w:val="18"/>
                <w:szCs w:val="18"/>
                <w:lang w:val="lt-LT"/>
              </w:rPr>
            </w:pPr>
            <w:r w:rsidRPr="00E6032D">
              <w:rPr>
                <w:iCs/>
                <w:noProof/>
                <w:sz w:val="18"/>
                <w:szCs w:val="18"/>
                <w:lang w:val="lt-LT"/>
              </w:rPr>
              <w:t xml:space="preserve">[95% </w:t>
            </w:r>
            <w:r w:rsidR="00585107">
              <w:rPr>
                <w:iCs/>
                <w:noProof/>
                <w:sz w:val="18"/>
                <w:szCs w:val="18"/>
                <w:lang w:val="lt-LT"/>
              </w:rPr>
              <w:t>PI</w:t>
            </w:r>
            <w:r w:rsidRPr="00E6032D">
              <w:rPr>
                <w:iCs/>
                <w:noProof/>
                <w:sz w:val="18"/>
                <w:szCs w:val="18"/>
                <w:lang w:val="lt-LT"/>
              </w:rPr>
              <w:t>]</w:t>
            </w:r>
          </w:p>
        </w:tc>
        <w:tc>
          <w:tcPr>
            <w:tcW w:w="1803" w:type="dxa"/>
          </w:tcPr>
          <w:p w14:paraId="359F3351" w14:textId="561EE7CB" w:rsidR="00B9174B" w:rsidRPr="00E6032D" w:rsidRDefault="00B9174B" w:rsidP="007A292B">
            <w:pPr>
              <w:numPr>
                <w:ilvl w:val="12"/>
                <w:numId w:val="0"/>
              </w:numPr>
              <w:spacing w:line="240" w:lineRule="auto"/>
              <w:jc w:val="center"/>
              <w:rPr>
                <w:sz w:val="18"/>
                <w:szCs w:val="18"/>
                <w:lang w:val="lt-LT"/>
              </w:rPr>
            </w:pPr>
            <w:r w:rsidRPr="00E6032D">
              <w:rPr>
                <w:sz w:val="18"/>
                <w:szCs w:val="18"/>
                <w:lang w:val="lt-LT"/>
              </w:rPr>
              <w:t>[3</w:t>
            </w:r>
            <w:r w:rsidR="00F9116E" w:rsidRPr="00E6032D">
              <w:rPr>
                <w:sz w:val="18"/>
                <w:szCs w:val="18"/>
                <w:lang w:val="lt-LT"/>
              </w:rPr>
              <w:t>,</w:t>
            </w:r>
            <w:r w:rsidRPr="00E6032D">
              <w:rPr>
                <w:sz w:val="18"/>
                <w:szCs w:val="18"/>
                <w:lang w:val="lt-LT"/>
              </w:rPr>
              <w:t>0; 47</w:t>
            </w:r>
            <w:r w:rsidR="00F9116E" w:rsidRPr="00E6032D">
              <w:rPr>
                <w:sz w:val="18"/>
                <w:szCs w:val="18"/>
                <w:lang w:val="lt-LT"/>
              </w:rPr>
              <w:t>,</w:t>
            </w:r>
            <w:r w:rsidRPr="00E6032D">
              <w:rPr>
                <w:sz w:val="18"/>
                <w:szCs w:val="18"/>
                <w:lang w:val="lt-LT"/>
              </w:rPr>
              <w:t>9]</w:t>
            </w:r>
          </w:p>
        </w:tc>
        <w:tc>
          <w:tcPr>
            <w:tcW w:w="1804" w:type="dxa"/>
          </w:tcPr>
          <w:p w14:paraId="37807A9A" w14:textId="3BD30790" w:rsidR="00B9174B" w:rsidRPr="00E6032D" w:rsidRDefault="00B9174B" w:rsidP="007A292B">
            <w:pPr>
              <w:numPr>
                <w:ilvl w:val="12"/>
                <w:numId w:val="0"/>
              </w:numPr>
              <w:spacing w:line="240" w:lineRule="auto"/>
              <w:jc w:val="center"/>
              <w:rPr>
                <w:sz w:val="18"/>
                <w:szCs w:val="18"/>
                <w:lang w:val="lt-LT"/>
              </w:rPr>
            </w:pPr>
            <w:r w:rsidRPr="00E6032D">
              <w:rPr>
                <w:sz w:val="18"/>
                <w:szCs w:val="18"/>
                <w:lang w:val="lt-LT"/>
              </w:rPr>
              <w:t>[63</w:t>
            </w:r>
            <w:r w:rsidR="00F9116E" w:rsidRPr="00E6032D">
              <w:rPr>
                <w:sz w:val="18"/>
                <w:szCs w:val="18"/>
                <w:lang w:val="lt-LT"/>
              </w:rPr>
              <w:t>,</w:t>
            </w:r>
            <w:r w:rsidRPr="00E6032D">
              <w:rPr>
                <w:sz w:val="18"/>
                <w:szCs w:val="18"/>
                <w:lang w:val="lt-LT"/>
              </w:rPr>
              <w:t>8; 692</w:t>
            </w:r>
            <w:r w:rsidR="00F9116E" w:rsidRPr="00E6032D">
              <w:rPr>
                <w:sz w:val="18"/>
                <w:szCs w:val="18"/>
                <w:lang w:val="lt-LT"/>
              </w:rPr>
              <w:t>,</w:t>
            </w:r>
            <w:r w:rsidRPr="00E6032D">
              <w:rPr>
                <w:sz w:val="18"/>
                <w:szCs w:val="18"/>
                <w:lang w:val="lt-LT"/>
              </w:rPr>
              <w:t>2]</w:t>
            </w:r>
          </w:p>
        </w:tc>
        <w:tc>
          <w:tcPr>
            <w:tcW w:w="1803" w:type="dxa"/>
          </w:tcPr>
          <w:p w14:paraId="56EC270F" w14:textId="0BD6F28B" w:rsidR="00B9174B" w:rsidRPr="00E6032D" w:rsidRDefault="00B9174B" w:rsidP="007A292B">
            <w:pPr>
              <w:numPr>
                <w:ilvl w:val="12"/>
                <w:numId w:val="0"/>
              </w:numPr>
              <w:spacing w:line="240" w:lineRule="auto"/>
              <w:jc w:val="center"/>
              <w:rPr>
                <w:sz w:val="18"/>
                <w:szCs w:val="18"/>
                <w:lang w:val="lt-LT"/>
              </w:rPr>
            </w:pPr>
            <w:r w:rsidRPr="00E6032D">
              <w:rPr>
                <w:sz w:val="18"/>
                <w:szCs w:val="18"/>
                <w:lang w:val="lt-LT"/>
              </w:rPr>
              <w:t>[43</w:t>
            </w:r>
            <w:r w:rsidR="00F9116E" w:rsidRPr="00E6032D">
              <w:rPr>
                <w:sz w:val="18"/>
                <w:szCs w:val="18"/>
                <w:lang w:val="lt-LT"/>
              </w:rPr>
              <w:t>,</w:t>
            </w:r>
            <w:r w:rsidRPr="00E6032D">
              <w:rPr>
                <w:sz w:val="18"/>
                <w:szCs w:val="18"/>
                <w:lang w:val="lt-LT"/>
              </w:rPr>
              <w:t>0; 127</w:t>
            </w:r>
            <w:r w:rsidR="00F9116E" w:rsidRPr="00E6032D">
              <w:rPr>
                <w:sz w:val="18"/>
                <w:szCs w:val="18"/>
                <w:lang w:val="lt-LT"/>
              </w:rPr>
              <w:t>,</w:t>
            </w:r>
            <w:r w:rsidRPr="00E6032D">
              <w:rPr>
                <w:sz w:val="18"/>
                <w:szCs w:val="18"/>
                <w:lang w:val="lt-LT"/>
              </w:rPr>
              <w:t>9]</w:t>
            </w:r>
          </w:p>
        </w:tc>
        <w:tc>
          <w:tcPr>
            <w:tcW w:w="1806" w:type="dxa"/>
          </w:tcPr>
          <w:p w14:paraId="3CA33E5F" w14:textId="1191FA5F" w:rsidR="00B9174B" w:rsidRPr="00E6032D" w:rsidRDefault="00B9174B" w:rsidP="007A292B">
            <w:pPr>
              <w:numPr>
                <w:ilvl w:val="12"/>
                <w:numId w:val="0"/>
              </w:numPr>
              <w:spacing w:line="240" w:lineRule="auto"/>
              <w:jc w:val="center"/>
              <w:rPr>
                <w:sz w:val="18"/>
                <w:szCs w:val="18"/>
                <w:lang w:val="lt-LT"/>
              </w:rPr>
            </w:pPr>
            <w:r w:rsidRPr="00E6032D">
              <w:rPr>
                <w:sz w:val="18"/>
                <w:szCs w:val="18"/>
                <w:lang w:val="lt-LT"/>
              </w:rPr>
              <w:t>[183</w:t>
            </w:r>
            <w:r w:rsidR="00F9116E" w:rsidRPr="00E6032D">
              <w:rPr>
                <w:sz w:val="18"/>
                <w:szCs w:val="18"/>
                <w:lang w:val="lt-LT"/>
              </w:rPr>
              <w:t>,</w:t>
            </w:r>
            <w:r w:rsidRPr="00E6032D">
              <w:rPr>
                <w:sz w:val="18"/>
                <w:szCs w:val="18"/>
                <w:lang w:val="lt-LT"/>
              </w:rPr>
              <w:t>8; 554</w:t>
            </w:r>
            <w:r w:rsidR="00F9116E" w:rsidRPr="00E6032D">
              <w:rPr>
                <w:sz w:val="18"/>
                <w:szCs w:val="18"/>
                <w:lang w:val="lt-LT"/>
              </w:rPr>
              <w:t>,</w:t>
            </w:r>
            <w:r w:rsidRPr="00E6032D">
              <w:rPr>
                <w:sz w:val="18"/>
                <w:szCs w:val="18"/>
                <w:lang w:val="lt-LT"/>
              </w:rPr>
              <w:t>5]</w:t>
            </w:r>
          </w:p>
        </w:tc>
      </w:tr>
      <w:tr w:rsidR="00F9116E" w:rsidRPr="00E6032D" w14:paraId="0A91408E" w14:textId="77777777" w:rsidTr="00E45808">
        <w:tc>
          <w:tcPr>
            <w:tcW w:w="1845" w:type="dxa"/>
          </w:tcPr>
          <w:p w14:paraId="58EB1F9D" w14:textId="4CE80BB8" w:rsidR="00B9174B" w:rsidRPr="00E6032D" w:rsidRDefault="00B9174B" w:rsidP="007A292B">
            <w:pPr>
              <w:numPr>
                <w:ilvl w:val="12"/>
                <w:numId w:val="0"/>
              </w:numPr>
              <w:spacing w:line="240" w:lineRule="auto"/>
              <w:rPr>
                <w:iCs/>
                <w:noProof/>
                <w:sz w:val="18"/>
                <w:szCs w:val="18"/>
                <w:lang w:val="lt-LT"/>
              </w:rPr>
            </w:pPr>
            <w:r w:rsidRPr="00E6032D">
              <w:rPr>
                <w:iCs/>
                <w:noProof/>
                <w:sz w:val="18"/>
                <w:szCs w:val="18"/>
                <w:lang w:val="lt-LT"/>
              </w:rPr>
              <w:t>Median</w:t>
            </w:r>
            <w:r w:rsidR="00DB5AC4" w:rsidRPr="00E6032D">
              <w:rPr>
                <w:iCs/>
                <w:noProof/>
                <w:sz w:val="18"/>
                <w:szCs w:val="18"/>
                <w:lang w:val="lt-LT"/>
              </w:rPr>
              <w:t>a</w:t>
            </w:r>
          </w:p>
        </w:tc>
        <w:tc>
          <w:tcPr>
            <w:tcW w:w="1803" w:type="dxa"/>
          </w:tcPr>
          <w:p w14:paraId="4F28A107" w14:textId="60E30219"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20</w:t>
            </w:r>
            <w:r w:rsidR="00DB5AC4" w:rsidRPr="00E6032D">
              <w:rPr>
                <w:iCs/>
                <w:noProof/>
                <w:sz w:val="18"/>
                <w:szCs w:val="18"/>
                <w:lang w:val="lt-LT"/>
              </w:rPr>
              <w:t>,</w:t>
            </w:r>
            <w:r w:rsidRPr="00E6032D">
              <w:rPr>
                <w:iCs/>
                <w:noProof/>
                <w:sz w:val="18"/>
                <w:szCs w:val="18"/>
                <w:lang w:val="lt-LT"/>
              </w:rPr>
              <w:t>0</w:t>
            </w:r>
          </w:p>
        </w:tc>
        <w:tc>
          <w:tcPr>
            <w:tcW w:w="1804" w:type="dxa"/>
          </w:tcPr>
          <w:p w14:paraId="64B65EF6" w14:textId="10C5AAAB"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271</w:t>
            </w:r>
            <w:r w:rsidR="00DB5AC4" w:rsidRPr="00E6032D">
              <w:rPr>
                <w:iCs/>
                <w:noProof/>
                <w:sz w:val="18"/>
                <w:szCs w:val="18"/>
                <w:lang w:val="lt-LT"/>
              </w:rPr>
              <w:t>,</w:t>
            </w:r>
            <w:r w:rsidRPr="00E6032D">
              <w:rPr>
                <w:iCs/>
                <w:noProof/>
                <w:sz w:val="18"/>
                <w:szCs w:val="18"/>
                <w:lang w:val="lt-LT"/>
              </w:rPr>
              <w:t>6</w:t>
            </w:r>
          </w:p>
        </w:tc>
        <w:tc>
          <w:tcPr>
            <w:tcW w:w="1803" w:type="dxa"/>
          </w:tcPr>
          <w:p w14:paraId="4365DFE7" w14:textId="169AF154"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95</w:t>
            </w:r>
            <w:r w:rsidR="00DB5AC4" w:rsidRPr="00E6032D">
              <w:rPr>
                <w:iCs/>
                <w:noProof/>
                <w:sz w:val="18"/>
                <w:szCs w:val="18"/>
                <w:lang w:val="lt-LT"/>
              </w:rPr>
              <w:t>,</w:t>
            </w:r>
            <w:r w:rsidRPr="00E6032D">
              <w:rPr>
                <w:iCs/>
                <w:noProof/>
                <w:sz w:val="18"/>
                <w:szCs w:val="18"/>
                <w:lang w:val="lt-LT"/>
              </w:rPr>
              <w:t>2</w:t>
            </w:r>
          </w:p>
        </w:tc>
        <w:tc>
          <w:tcPr>
            <w:tcW w:w="1806" w:type="dxa"/>
          </w:tcPr>
          <w:p w14:paraId="364B8745" w14:textId="27C3D4D3"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335</w:t>
            </w:r>
            <w:r w:rsidR="00DB5AC4" w:rsidRPr="00E6032D">
              <w:rPr>
                <w:iCs/>
                <w:noProof/>
                <w:sz w:val="18"/>
                <w:szCs w:val="18"/>
                <w:lang w:val="lt-LT"/>
              </w:rPr>
              <w:t>,</w:t>
            </w:r>
            <w:r w:rsidRPr="00E6032D">
              <w:rPr>
                <w:iCs/>
                <w:noProof/>
                <w:sz w:val="18"/>
                <w:szCs w:val="18"/>
                <w:lang w:val="lt-LT"/>
              </w:rPr>
              <w:t>3</w:t>
            </w:r>
          </w:p>
        </w:tc>
      </w:tr>
      <w:tr w:rsidR="00F9116E" w:rsidRPr="00E6032D" w14:paraId="6B5234D2" w14:textId="77777777" w:rsidTr="00E45808">
        <w:tc>
          <w:tcPr>
            <w:tcW w:w="1845" w:type="dxa"/>
          </w:tcPr>
          <w:p w14:paraId="01663CF0" w14:textId="77777777" w:rsidR="00B9174B" w:rsidRPr="00E6032D" w:rsidRDefault="00B9174B" w:rsidP="007A292B">
            <w:pPr>
              <w:numPr>
                <w:ilvl w:val="12"/>
                <w:numId w:val="0"/>
              </w:numPr>
              <w:spacing w:line="240" w:lineRule="auto"/>
              <w:rPr>
                <w:iCs/>
                <w:noProof/>
                <w:sz w:val="18"/>
                <w:szCs w:val="18"/>
                <w:lang w:val="lt-LT"/>
              </w:rPr>
            </w:pPr>
            <w:r w:rsidRPr="00E6032D">
              <w:rPr>
                <w:iCs/>
                <w:noProof/>
                <w:sz w:val="18"/>
                <w:szCs w:val="18"/>
                <w:lang w:val="lt-LT"/>
              </w:rPr>
              <w:t>C</w:t>
            </w:r>
            <w:r w:rsidRPr="00E6032D">
              <w:rPr>
                <w:iCs/>
                <w:noProof/>
                <w:sz w:val="18"/>
                <w:szCs w:val="18"/>
                <w:vertAlign w:val="subscript"/>
                <w:lang w:val="lt-LT"/>
              </w:rPr>
              <w:t>max</w:t>
            </w:r>
            <w:r w:rsidRPr="00E6032D">
              <w:rPr>
                <w:iCs/>
                <w:noProof/>
                <w:sz w:val="18"/>
                <w:szCs w:val="18"/>
                <w:lang w:val="lt-LT"/>
              </w:rPr>
              <w:t xml:space="preserve"> (ng/ml)</w:t>
            </w:r>
          </w:p>
        </w:tc>
        <w:tc>
          <w:tcPr>
            <w:tcW w:w="1803" w:type="dxa"/>
          </w:tcPr>
          <w:p w14:paraId="4A3C8340" w14:textId="77777777" w:rsidR="00B9174B" w:rsidRPr="00E6032D" w:rsidRDefault="00B9174B" w:rsidP="007A292B">
            <w:pPr>
              <w:numPr>
                <w:ilvl w:val="12"/>
                <w:numId w:val="0"/>
              </w:numPr>
              <w:spacing w:line="240" w:lineRule="auto"/>
              <w:jc w:val="center"/>
              <w:rPr>
                <w:iCs/>
                <w:noProof/>
                <w:sz w:val="18"/>
                <w:szCs w:val="18"/>
                <w:lang w:val="lt-LT"/>
              </w:rPr>
            </w:pPr>
          </w:p>
        </w:tc>
        <w:tc>
          <w:tcPr>
            <w:tcW w:w="1804" w:type="dxa"/>
          </w:tcPr>
          <w:p w14:paraId="0E8413B5" w14:textId="77777777" w:rsidR="00B9174B" w:rsidRPr="00E6032D" w:rsidRDefault="00B9174B" w:rsidP="007A292B">
            <w:pPr>
              <w:numPr>
                <w:ilvl w:val="12"/>
                <w:numId w:val="0"/>
              </w:numPr>
              <w:spacing w:line="240" w:lineRule="auto"/>
              <w:jc w:val="center"/>
              <w:rPr>
                <w:iCs/>
                <w:noProof/>
                <w:sz w:val="18"/>
                <w:szCs w:val="18"/>
                <w:lang w:val="lt-LT"/>
              </w:rPr>
            </w:pPr>
          </w:p>
        </w:tc>
        <w:tc>
          <w:tcPr>
            <w:tcW w:w="1803" w:type="dxa"/>
          </w:tcPr>
          <w:p w14:paraId="7BF4C371" w14:textId="77777777" w:rsidR="00B9174B" w:rsidRPr="00E6032D" w:rsidRDefault="00B9174B" w:rsidP="007A292B">
            <w:pPr>
              <w:numPr>
                <w:ilvl w:val="12"/>
                <w:numId w:val="0"/>
              </w:numPr>
              <w:spacing w:line="240" w:lineRule="auto"/>
              <w:jc w:val="center"/>
              <w:rPr>
                <w:iCs/>
                <w:noProof/>
                <w:sz w:val="18"/>
                <w:szCs w:val="18"/>
                <w:lang w:val="lt-LT"/>
              </w:rPr>
            </w:pPr>
          </w:p>
        </w:tc>
        <w:tc>
          <w:tcPr>
            <w:tcW w:w="1806" w:type="dxa"/>
          </w:tcPr>
          <w:p w14:paraId="77FACB32" w14:textId="77777777" w:rsidR="00B9174B" w:rsidRPr="00E6032D" w:rsidRDefault="00B9174B" w:rsidP="007A292B">
            <w:pPr>
              <w:numPr>
                <w:ilvl w:val="12"/>
                <w:numId w:val="0"/>
              </w:numPr>
              <w:spacing w:line="240" w:lineRule="auto"/>
              <w:jc w:val="center"/>
              <w:rPr>
                <w:iCs/>
                <w:noProof/>
                <w:sz w:val="18"/>
                <w:szCs w:val="18"/>
                <w:lang w:val="lt-LT"/>
              </w:rPr>
            </w:pPr>
          </w:p>
        </w:tc>
      </w:tr>
      <w:tr w:rsidR="00F9116E" w:rsidRPr="00E6032D" w14:paraId="4256EF3E" w14:textId="77777777" w:rsidTr="00E45808">
        <w:tc>
          <w:tcPr>
            <w:tcW w:w="1845" w:type="dxa"/>
          </w:tcPr>
          <w:p w14:paraId="4BC15FA3" w14:textId="0060FA3C" w:rsidR="00B9174B" w:rsidRPr="00E6032D" w:rsidRDefault="00DB5AC4" w:rsidP="007A292B">
            <w:pPr>
              <w:numPr>
                <w:ilvl w:val="12"/>
                <w:numId w:val="0"/>
              </w:numPr>
              <w:spacing w:line="240" w:lineRule="auto"/>
              <w:rPr>
                <w:iCs/>
                <w:noProof/>
                <w:sz w:val="18"/>
                <w:szCs w:val="18"/>
                <w:lang w:val="lt-LT"/>
              </w:rPr>
            </w:pPr>
            <w:r w:rsidRPr="00E6032D">
              <w:rPr>
                <w:iCs/>
                <w:noProof/>
                <w:sz w:val="18"/>
                <w:szCs w:val="18"/>
                <w:lang w:val="lt-LT"/>
              </w:rPr>
              <w:t>Vidurkis</w:t>
            </w:r>
            <w:r w:rsidR="00B9174B" w:rsidRPr="00E6032D">
              <w:rPr>
                <w:iCs/>
                <w:noProof/>
                <w:sz w:val="18"/>
                <w:szCs w:val="18"/>
                <w:lang w:val="lt-LT"/>
              </w:rPr>
              <w:t>±S</w:t>
            </w:r>
            <w:r w:rsidR="002A0C10">
              <w:rPr>
                <w:iCs/>
                <w:noProof/>
                <w:sz w:val="18"/>
                <w:szCs w:val="18"/>
                <w:lang w:val="lt-LT"/>
              </w:rPr>
              <w:t>N</w:t>
            </w:r>
          </w:p>
        </w:tc>
        <w:tc>
          <w:tcPr>
            <w:tcW w:w="1803" w:type="dxa"/>
          </w:tcPr>
          <w:p w14:paraId="547EDA16" w14:textId="0DD753ED" w:rsidR="00B9174B" w:rsidRPr="00E6032D" w:rsidRDefault="00B9174B" w:rsidP="007A292B">
            <w:pPr>
              <w:numPr>
                <w:ilvl w:val="12"/>
                <w:numId w:val="0"/>
              </w:numPr>
              <w:spacing w:line="240" w:lineRule="auto"/>
              <w:jc w:val="center"/>
              <w:rPr>
                <w:iCs/>
                <w:noProof/>
                <w:sz w:val="18"/>
                <w:szCs w:val="18"/>
                <w:lang w:val="lt-LT"/>
              </w:rPr>
            </w:pPr>
            <w:r w:rsidRPr="00E6032D">
              <w:rPr>
                <w:sz w:val="18"/>
                <w:szCs w:val="18"/>
                <w:lang w:val="lt-LT"/>
              </w:rPr>
              <w:t>0</w:t>
            </w:r>
            <w:r w:rsidR="00DB5AC4" w:rsidRPr="00E6032D">
              <w:rPr>
                <w:sz w:val="18"/>
                <w:szCs w:val="18"/>
                <w:lang w:val="lt-LT"/>
              </w:rPr>
              <w:t>,</w:t>
            </w:r>
            <w:r w:rsidRPr="00E6032D">
              <w:rPr>
                <w:sz w:val="18"/>
                <w:szCs w:val="18"/>
                <w:lang w:val="lt-LT"/>
              </w:rPr>
              <w:t>266±0</w:t>
            </w:r>
            <w:r w:rsidR="00DB5AC4" w:rsidRPr="00E6032D">
              <w:rPr>
                <w:sz w:val="18"/>
                <w:szCs w:val="18"/>
                <w:lang w:val="lt-LT"/>
              </w:rPr>
              <w:t>,</w:t>
            </w:r>
            <w:r w:rsidRPr="00E6032D">
              <w:rPr>
                <w:sz w:val="18"/>
                <w:szCs w:val="18"/>
                <w:lang w:val="lt-LT"/>
              </w:rPr>
              <w:t>192</w:t>
            </w:r>
          </w:p>
        </w:tc>
        <w:tc>
          <w:tcPr>
            <w:tcW w:w="1804" w:type="dxa"/>
          </w:tcPr>
          <w:p w14:paraId="21817116" w14:textId="53E5D02D" w:rsidR="00B9174B" w:rsidRPr="00E6032D" w:rsidRDefault="00B9174B" w:rsidP="007A292B">
            <w:pPr>
              <w:numPr>
                <w:ilvl w:val="12"/>
                <w:numId w:val="0"/>
              </w:numPr>
              <w:spacing w:line="240" w:lineRule="auto"/>
              <w:jc w:val="center"/>
              <w:rPr>
                <w:iCs/>
                <w:noProof/>
                <w:sz w:val="18"/>
                <w:szCs w:val="18"/>
                <w:lang w:val="lt-LT"/>
              </w:rPr>
            </w:pPr>
            <w:r w:rsidRPr="00E6032D">
              <w:rPr>
                <w:sz w:val="18"/>
                <w:szCs w:val="18"/>
                <w:lang w:val="lt-LT"/>
              </w:rPr>
              <w:t>1</w:t>
            </w:r>
            <w:r w:rsidR="00DB5AC4" w:rsidRPr="00E6032D">
              <w:rPr>
                <w:sz w:val="18"/>
                <w:szCs w:val="18"/>
                <w:lang w:val="lt-LT"/>
              </w:rPr>
              <w:t>,</w:t>
            </w:r>
            <w:r w:rsidRPr="00E6032D">
              <w:rPr>
                <w:sz w:val="18"/>
                <w:szCs w:val="18"/>
                <w:lang w:val="lt-LT"/>
              </w:rPr>
              <w:t>370±0</w:t>
            </w:r>
            <w:r w:rsidR="00DB5AC4" w:rsidRPr="00E6032D">
              <w:rPr>
                <w:sz w:val="18"/>
                <w:szCs w:val="18"/>
                <w:lang w:val="lt-LT"/>
              </w:rPr>
              <w:t>,</w:t>
            </w:r>
            <w:r w:rsidRPr="00E6032D">
              <w:rPr>
                <w:sz w:val="18"/>
                <w:szCs w:val="18"/>
                <w:lang w:val="lt-LT"/>
              </w:rPr>
              <w:t>709</w:t>
            </w:r>
          </w:p>
        </w:tc>
        <w:tc>
          <w:tcPr>
            <w:tcW w:w="1803" w:type="dxa"/>
          </w:tcPr>
          <w:p w14:paraId="7DDC0C77" w14:textId="4C9B8BDB" w:rsidR="00B9174B" w:rsidRPr="00E6032D" w:rsidRDefault="00B9174B" w:rsidP="007A292B">
            <w:pPr>
              <w:numPr>
                <w:ilvl w:val="12"/>
                <w:numId w:val="0"/>
              </w:numPr>
              <w:spacing w:line="240" w:lineRule="auto"/>
              <w:jc w:val="center"/>
              <w:rPr>
                <w:iCs/>
                <w:noProof/>
                <w:sz w:val="18"/>
                <w:szCs w:val="18"/>
                <w:lang w:val="lt-LT"/>
              </w:rPr>
            </w:pPr>
            <w:r w:rsidRPr="00E6032D">
              <w:rPr>
                <w:sz w:val="18"/>
                <w:szCs w:val="18"/>
                <w:lang w:val="lt-LT"/>
              </w:rPr>
              <w:t>0</w:t>
            </w:r>
            <w:r w:rsidR="00DB5AC4" w:rsidRPr="00E6032D">
              <w:rPr>
                <w:sz w:val="18"/>
                <w:szCs w:val="18"/>
                <w:lang w:val="lt-LT"/>
              </w:rPr>
              <w:t>,</w:t>
            </w:r>
            <w:r w:rsidRPr="00E6032D">
              <w:rPr>
                <w:sz w:val="18"/>
                <w:szCs w:val="18"/>
                <w:lang w:val="lt-LT"/>
              </w:rPr>
              <w:t>289±0</w:t>
            </w:r>
            <w:r w:rsidR="00DB5AC4" w:rsidRPr="00E6032D">
              <w:rPr>
                <w:sz w:val="18"/>
                <w:szCs w:val="18"/>
                <w:lang w:val="lt-LT"/>
              </w:rPr>
              <w:t>,</w:t>
            </w:r>
            <w:r w:rsidRPr="00E6032D">
              <w:rPr>
                <w:sz w:val="18"/>
                <w:szCs w:val="18"/>
                <w:lang w:val="lt-LT"/>
              </w:rPr>
              <w:t>127</w:t>
            </w:r>
          </w:p>
        </w:tc>
        <w:tc>
          <w:tcPr>
            <w:tcW w:w="1806" w:type="dxa"/>
          </w:tcPr>
          <w:p w14:paraId="7DD72943" w14:textId="1994F781" w:rsidR="00B9174B" w:rsidRPr="00E6032D" w:rsidRDefault="00B9174B" w:rsidP="007A292B">
            <w:pPr>
              <w:numPr>
                <w:ilvl w:val="12"/>
                <w:numId w:val="0"/>
              </w:numPr>
              <w:spacing w:line="240" w:lineRule="auto"/>
              <w:jc w:val="center"/>
              <w:rPr>
                <w:iCs/>
                <w:noProof/>
                <w:sz w:val="18"/>
                <w:szCs w:val="18"/>
                <w:lang w:val="lt-LT"/>
              </w:rPr>
            </w:pPr>
            <w:r w:rsidRPr="00E6032D">
              <w:rPr>
                <w:sz w:val="18"/>
                <w:szCs w:val="18"/>
                <w:lang w:val="lt-LT"/>
              </w:rPr>
              <w:t>1</w:t>
            </w:r>
            <w:r w:rsidR="00DB5AC4" w:rsidRPr="00E6032D">
              <w:rPr>
                <w:sz w:val="18"/>
                <w:szCs w:val="18"/>
                <w:lang w:val="lt-LT"/>
              </w:rPr>
              <w:t>,</w:t>
            </w:r>
            <w:r w:rsidRPr="00E6032D">
              <w:rPr>
                <w:sz w:val="18"/>
                <w:szCs w:val="18"/>
                <w:lang w:val="lt-LT"/>
              </w:rPr>
              <w:t>172±0</w:t>
            </w:r>
            <w:r w:rsidR="00DB5AC4" w:rsidRPr="00E6032D">
              <w:rPr>
                <w:sz w:val="18"/>
                <w:szCs w:val="18"/>
                <w:lang w:val="lt-LT"/>
              </w:rPr>
              <w:t>,</w:t>
            </w:r>
            <w:r w:rsidRPr="00E6032D">
              <w:rPr>
                <w:sz w:val="18"/>
                <w:szCs w:val="18"/>
                <w:lang w:val="lt-LT"/>
              </w:rPr>
              <w:t>293</w:t>
            </w:r>
          </w:p>
        </w:tc>
      </w:tr>
      <w:tr w:rsidR="00F9116E" w:rsidRPr="00E6032D" w14:paraId="5C3B9F2F" w14:textId="77777777" w:rsidTr="00E45808">
        <w:tc>
          <w:tcPr>
            <w:tcW w:w="1845" w:type="dxa"/>
          </w:tcPr>
          <w:p w14:paraId="1C24F9C3" w14:textId="236C6D65" w:rsidR="00B9174B" w:rsidRPr="00E6032D" w:rsidRDefault="00B9174B" w:rsidP="007A292B">
            <w:pPr>
              <w:numPr>
                <w:ilvl w:val="12"/>
                <w:numId w:val="0"/>
              </w:numPr>
              <w:spacing w:line="240" w:lineRule="auto"/>
              <w:rPr>
                <w:iCs/>
                <w:noProof/>
                <w:sz w:val="18"/>
                <w:szCs w:val="18"/>
                <w:lang w:val="lt-LT"/>
              </w:rPr>
            </w:pPr>
            <w:r w:rsidRPr="00E6032D">
              <w:rPr>
                <w:iCs/>
                <w:noProof/>
                <w:sz w:val="18"/>
                <w:szCs w:val="18"/>
                <w:lang w:val="lt-LT"/>
              </w:rPr>
              <w:t xml:space="preserve">[95% </w:t>
            </w:r>
            <w:r w:rsidR="002A0C10">
              <w:rPr>
                <w:iCs/>
                <w:noProof/>
                <w:sz w:val="18"/>
                <w:szCs w:val="18"/>
                <w:lang w:val="lt-LT"/>
              </w:rPr>
              <w:t>PI</w:t>
            </w:r>
            <w:r w:rsidRPr="00E6032D">
              <w:rPr>
                <w:iCs/>
                <w:noProof/>
                <w:sz w:val="18"/>
                <w:szCs w:val="18"/>
                <w:lang w:val="lt-LT"/>
              </w:rPr>
              <w:t>]</w:t>
            </w:r>
          </w:p>
        </w:tc>
        <w:tc>
          <w:tcPr>
            <w:tcW w:w="1803" w:type="dxa"/>
          </w:tcPr>
          <w:p w14:paraId="518E7851" w14:textId="631190C6" w:rsidR="00B9174B" w:rsidRPr="00E6032D" w:rsidRDefault="00B9174B" w:rsidP="007A292B">
            <w:pPr>
              <w:numPr>
                <w:ilvl w:val="12"/>
                <w:numId w:val="0"/>
              </w:numPr>
              <w:spacing w:line="240" w:lineRule="auto"/>
              <w:jc w:val="center"/>
              <w:rPr>
                <w:sz w:val="18"/>
                <w:szCs w:val="18"/>
                <w:lang w:val="lt-LT"/>
              </w:rPr>
            </w:pPr>
            <w:r w:rsidRPr="00E6032D">
              <w:rPr>
                <w:sz w:val="18"/>
                <w:szCs w:val="18"/>
                <w:lang w:val="lt-LT"/>
              </w:rPr>
              <w:t>[0</w:t>
            </w:r>
            <w:r w:rsidR="00DB5AC4" w:rsidRPr="00E6032D">
              <w:rPr>
                <w:sz w:val="18"/>
                <w:szCs w:val="18"/>
                <w:lang w:val="lt-LT"/>
              </w:rPr>
              <w:t>,</w:t>
            </w:r>
            <w:r w:rsidRPr="00E6032D">
              <w:rPr>
                <w:sz w:val="18"/>
                <w:szCs w:val="18"/>
                <w:lang w:val="lt-LT"/>
              </w:rPr>
              <w:t>09; 0</w:t>
            </w:r>
            <w:r w:rsidR="00DB5AC4" w:rsidRPr="00E6032D">
              <w:rPr>
                <w:sz w:val="18"/>
                <w:szCs w:val="18"/>
                <w:lang w:val="lt-LT"/>
              </w:rPr>
              <w:t>,</w:t>
            </w:r>
            <w:r w:rsidRPr="00E6032D">
              <w:rPr>
                <w:sz w:val="18"/>
                <w:szCs w:val="18"/>
                <w:lang w:val="lt-LT"/>
              </w:rPr>
              <w:t>44]</w:t>
            </w:r>
          </w:p>
        </w:tc>
        <w:tc>
          <w:tcPr>
            <w:tcW w:w="1804" w:type="dxa"/>
          </w:tcPr>
          <w:p w14:paraId="61AAAA65" w14:textId="14448FD3" w:rsidR="00B9174B" w:rsidRPr="00E6032D" w:rsidRDefault="00B9174B" w:rsidP="007A292B">
            <w:pPr>
              <w:numPr>
                <w:ilvl w:val="12"/>
                <w:numId w:val="0"/>
              </w:numPr>
              <w:spacing w:line="240" w:lineRule="auto"/>
              <w:jc w:val="center"/>
              <w:rPr>
                <w:sz w:val="18"/>
                <w:szCs w:val="18"/>
                <w:lang w:val="lt-LT"/>
              </w:rPr>
            </w:pPr>
            <w:r w:rsidRPr="00E6032D">
              <w:rPr>
                <w:sz w:val="18"/>
                <w:szCs w:val="18"/>
                <w:lang w:val="lt-LT"/>
              </w:rPr>
              <w:t>[0</w:t>
            </w:r>
            <w:r w:rsidR="00DB5AC4" w:rsidRPr="00E6032D">
              <w:rPr>
                <w:sz w:val="18"/>
                <w:szCs w:val="18"/>
                <w:lang w:val="lt-LT"/>
              </w:rPr>
              <w:t>,</w:t>
            </w:r>
            <w:r w:rsidRPr="00E6032D">
              <w:rPr>
                <w:sz w:val="18"/>
                <w:szCs w:val="18"/>
                <w:lang w:val="lt-LT"/>
              </w:rPr>
              <w:t>49; 2</w:t>
            </w:r>
            <w:r w:rsidR="00DB5AC4" w:rsidRPr="00E6032D">
              <w:rPr>
                <w:sz w:val="18"/>
                <w:szCs w:val="18"/>
                <w:lang w:val="lt-LT"/>
              </w:rPr>
              <w:t>,</w:t>
            </w:r>
            <w:r w:rsidRPr="00E6032D">
              <w:rPr>
                <w:sz w:val="18"/>
                <w:szCs w:val="18"/>
                <w:lang w:val="lt-LT"/>
              </w:rPr>
              <w:t>25]</w:t>
            </w:r>
          </w:p>
        </w:tc>
        <w:tc>
          <w:tcPr>
            <w:tcW w:w="1803" w:type="dxa"/>
          </w:tcPr>
          <w:p w14:paraId="6B57BEE7" w14:textId="6699CF3A" w:rsidR="00B9174B" w:rsidRPr="00E6032D" w:rsidRDefault="00B9174B" w:rsidP="007A292B">
            <w:pPr>
              <w:numPr>
                <w:ilvl w:val="12"/>
                <w:numId w:val="0"/>
              </w:numPr>
              <w:spacing w:line="240" w:lineRule="auto"/>
              <w:jc w:val="center"/>
              <w:rPr>
                <w:sz w:val="18"/>
                <w:szCs w:val="18"/>
                <w:lang w:val="lt-LT"/>
              </w:rPr>
            </w:pPr>
            <w:r w:rsidRPr="00E6032D">
              <w:rPr>
                <w:sz w:val="18"/>
                <w:szCs w:val="18"/>
                <w:lang w:val="lt-LT"/>
              </w:rPr>
              <w:t>[0</w:t>
            </w:r>
            <w:r w:rsidR="00DB5AC4" w:rsidRPr="00E6032D">
              <w:rPr>
                <w:sz w:val="18"/>
                <w:szCs w:val="18"/>
                <w:lang w:val="lt-LT"/>
              </w:rPr>
              <w:t>,</w:t>
            </w:r>
            <w:r w:rsidRPr="00E6032D">
              <w:rPr>
                <w:sz w:val="18"/>
                <w:szCs w:val="18"/>
                <w:lang w:val="lt-LT"/>
              </w:rPr>
              <w:t>17; 0</w:t>
            </w:r>
            <w:r w:rsidR="00DB5AC4" w:rsidRPr="00E6032D">
              <w:rPr>
                <w:sz w:val="18"/>
                <w:szCs w:val="18"/>
                <w:lang w:val="lt-LT"/>
              </w:rPr>
              <w:t>,</w:t>
            </w:r>
            <w:r w:rsidRPr="00E6032D">
              <w:rPr>
                <w:sz w:val="18"/>
                <w:szCs w:val="18"/>
                <w:lang w:val="lt-LT"/>
              </w:rPr>
              <w:t>41]</w:t>
            </w:r>
          </w:p>
        </w:tc>
        <w:tc>
          <w:tcPr>
            <w:tcW w:w="1806" w:type="dxa"/>
          </w:tcPr>
          <w:p w14:paraId="2043986F" w14:textId="16142829" w:rsidR="00B9174B" w:rsidRPr="00E6032D" w:rsidRDefault="00B9174B" w:rsidP="007A292B">
            <w:pPr>
              <w:numPr>
                <w:ilvl w:val="12"/>
                <w:numId w:val="0"/>
              </w:numPr>
              <w:spacing w:line="240" w:lineRule="auto"/>
              <w:jc w:val="center"/>
              <w:rPr>
                <w:sz w:val="18"/>
                <w:szCs w:val="18"/>
                <w:lang w:val="lt-LT"/>
              </w:rPr>
            </w:pPr>
            <w:r w:rsidRPr="00E6032D">
              <w:rPr>
                <w:sz w:val="18"/>
                <w:szCs w:val="18"/>
                <w:lang w:val="lt-LT"/>
              </w:rPr>
              <w:t>[0</w:t>
            </w:r>
            <w:r w:rsidR="00DB5AC4" w:rsidRPr="00E6032D">
              <w:rPr>
                <w:sz w:val="18"/>
                <w:szCs w:val="18"/>
                <w:lang w:val="lt-LT"/>
              </w:rPr>
              <w:t>,</w:t>
            </w:r>
            <w:r w:rsidRPr="00E6032D">
              <w:rPr>
                <w:sz w:val="18"/>
                <w:szCs w:val="18"/>
                <w:lang w:val="lt-LT"/>
              </w:rPr>
              <w:t>81; 1</w:t>
            </w:r>
            <w:r w:rsidR="00DB5AC4" w:rsidRPr="00E6032D">
              <w:rPr>
                <w:sz w:val="18"/>
                <w:szCs w:val="18"/>
                <w:lang w:val="lt-LT"/>
              </w:rPr>
              <w:t>,</w:t>
            </w:r>
            <w:r w:rsidRPr="00E6032D">
              <w:rPr>
                <w:sz w:val="18"/>
                <w:szCs w:val="18"/>
                <w:lang w:val="lt-LT"/>
              </w:rPr>
              <w:t>53]</w:t>
            </w:r>
          </w:p>
        </w:tc>
      </w:tr>
      <w:tr w:rsidR="00F9116E" w:rsidRPr="00E6032D" w14:paraId="14BC4F32" w14:textId="77777777" w:rsidTr="00E45808">
        <w:tc>
          <w:tcPr>
            <w:tcW w:w="1845" w:type="dxa"/>
          </w:tcPr>
          <w:p w14:paraId="7656A523" w14:textId="1E555A3B" w:rsidR="00B9174B" w:rsidRPr="00E6032D" w:rsidRDefault="00B9174B" w:rsidP="007A292B">
            <w:pPr>
              <w:numPr>
                <w:ilvl w:val="12"/>
                <w:numId w:val="0"/>
              </w:numPr>
              <w:spacing w:line="240" w:lineRule="auto"/>
              <w:rPr>
                <w:iCs/>
                <w:noProof/>
                <w:sz w:val="18"/>
                <w:szCs w:val="18"/>
                <w:lang w:val="lt-LT"/>
              </w:rPr>
            </w:pPr>
            <w:r w:rsidRPr="00E6032D">
              <w:rPr>
                <w:iCs/>
                <w:noProof/>
                <w:sz w:val="18"/>
                <w:szCs w:val="18"/>
                <w:lang w:val="lt-LT"/>
              </w:rPr>
              <w:t>Median</w:t>
            </w:r>
            <w:r w:rsidR="00DB5AC4" w:rsidRPr="00E6032D">
              <w:rPr>
                <w:iCs/>
                <w:noProof/>
                <w:sz w:val="18"/>
                <w:szCs w:val="18"/>
                <w:lang w:val="lt-LT"/>
              </w:rPr>
              <w:t>a</w:t>
            </w:r>
          </w:p>
        </w:tc>
        <w:tc>
          <w:tcPr>
            <w:tcW w:w="1803" w:type="dxa"/>
          </w:tcPr>
          <w:p w14:paraId="750A3276" w14:textId="1E566F6F"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0</w:t>
            </w:r>
            <w:r w:rsidR="00DB5AC4" w:rsidRPr="00E6032D">
              <w:rPr>
                <w:iCs/>
                <w:noProof/>
                <w:sz w:val="18"/>
                <w:szCs w:val="18"/>
                <w:lang w:val="lt-LT"/>
              </w:rPr>
              <w:t>,</w:t>
            </w:r>
            <w:r w:rsidRPr="00E6032D">
              <w:rPr>
                <w:iCs/>
                <w:noProof/>
                <w:sz w:val="18"/>
                <w:szCs w:val="18"/>
                <w:lang w:val="lt-LT"/>
              </w:rPr>
              <w:t>210</w:t>
            </w:r>
          </w:p>
        </w:tc>
        <w:tc>
          <w:tcPr>
            <w:tcW w:w="1804" w:type="dxa"/>
          </w:tcPr>
          <w:p w14:paraId="233ED7B9" w14:textId="41A93900"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1</w:t>
            </w:r>
            <w:r w:rsidR="00DB5AC4" w:rsidRPr="00E6032D">
              <w:rPr>
                <w:iCs/>
                <w:noProof/>
                <w:sz w:val="18"/>
                <w:szCs w:val="18"/>
                <w:lang w:val="lt-LT"/>
              </w:rPr>
              <w:t>,</w:t>
            </w:r>
            <w:r w:rsidRPr="00E6032D">
              <w:rPr>
                <w:iCs/>
                <w:noProof/>
                <w:sz w:val="18"/>
                <w:szCs w:val="18"/>
                <w:lang w:val="lt-LT"/>
              </w:rPr>
              <w:t>240</w:t>
            </w:r>
          </w:p>
        </w:tc>
        <w:tc>
          <w:tcPr>
            <w:tcW w:w="1803" w:type="dxa"/>
          </w:tcPr>
          <w:p w14:paraId="3CE69B9D" w14:textId="592EF4BA"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0</w:t>
            </w:r>
            <w:r w:rsidR="00DB5AC4" w:rsidRPr="00E6032D">
              <w:rPr>
                <w:iCs/>
                <w:noProof/>
                <w:sz w:val="18"/>
                <w:szCs w:val="18"/>
                <w:lang w:val="lt-LT"/>
              </w:rPr>
              <w:t>,</w:t>
            </w:r>
            <w:r w:rsidRPr="00E6032D">
              <w:rPr>
                <w:iCs/>
                <w:noProof/>
                <w:sz w:val="18"/>
                <w:szCs w:val="18"/>
                <w:lang w:val="lt-LT"/>
              </w:rPr>
              <w:t>258</w:t>
            </w:r>
          </w:p>
        </w:tc>
        <w:tc>
          <w:tcPr>
            <w:tcW w:w="1806" w:type="dxa"/>
          </w:tcPr>
          <w:p w14:paraId="75ECB3D8" w14:textId="429E3CF4" w:rsidR="00B9174B" w:rsidRPr="00E6032D" w:rsidRDefault="00B9174B" w:rsidP="007A292B">
            <w:pPr>
              <w:numPr>
                <w:ilvl w:val="12"/>
                <w:numId w:val="0"/>
              </w:numPr>
              <w:spacing w:line="240" w:lineRule="auto"/>
              <w:jc w:val="center"/>
              <w:rPr>
                <w:iCs/>
                <w:noProof/>
                <w:sz w:val="18"/>
                <w:szCs w:val="18"/>
                <w:lang w:val="lt-LT"/>
              </w:rPr>
            </w:pPr>
            <w:r w:rsidRPr="00E6032D">
              <w:rPr>
                <w:iCs/>
                <w:noProof/>
                <w:sz w:val="18"/>
                <w:szCs w:val="18"/>
                <w:lang w:val="lt-LT"/>
              </w:rPr>
              <w:t>1</w:t>
            </w:r>
            <w:r w:rsidR="00DB5AC4" w:rsidRPr="00E6032D">
              <w:rPr>
                <w:iCs/>
                <w:noProof/>
                <w:sz w:val="18"/>
                <w:szCs w:val="18"/>
                <w:lang w:val="lt-LT"/>
              </w:rPr>
              <w:t>,</w:t>
            </w:r>
            <w:r w:rsidRPr="00E6032D">
              <w:rPr>
                <w:iCs/>
                <w:noProof/>
                <w:sz w:val="18"/>
                <w:szCs w:val="18"/>
                <w:lang w:val="lt-LT"/>
              </w:rPr>
              <w:t>240</w:t>
            </w:r>
          </w:p>
        </w:tc>
      </w:tr>
    </w:tbl>
    <w:p w14:paraId="1736F008" w14:textId="174BBEEC" w:rsidR="00B9174B" w:rsidRPr="00E6032D" w:rsidRDefault="00B9174B" w:rsidP="007A292B">
      <w:pPr>
        <w:numPr>
          <w:ilvl w:val="12"/>
          <w:numId w:val="0"/>
        </w:numPr>
        <w:tabs>
          <w:tab w:val="left" w:pos="567"/>
        </w:tabs>
        <w:spacing w:line="240" w:lineRule="auto"/>
        <w:ind w:right="-2"/>
        <w:rPr>
          <w:rFonts w:eastAsia="Times New Roman"/>
          <w:iCs/>
          <w:noProof/>
          <w:lang w:val="lt-LT"/>
        </w:rPr>
      </w:pPr>
      <w:r w:rsidRPr="00E6032D">
        <w:rPr>
          <w:rFonts w:eastAsia="Times New Roman"/>
          <w:iCs/>
          <w:noProof/>
          <w:sz w:val="18"/>
          <w:szCs w:val="18"/>
          <w:lang w:val="lt-LT"/>
        </w:rPr>
        <w:t>AUC</w:t>
      </w:r>
      <w:r w:rsidR="00DB5AC4" w:rsidRPr="00E6032D">
        <w:rPr>
          <w:rFonts w:eastAsia="Times New Roman"/>
          <w:iCs/>
          <w:noProof/>
          <w:sz w:val="18"/>
          <w:szCs w:val="18"/>
          <w:lang w:val="lt-LT"/>
        </w:rPr>
        <w:t xml:space="preserve"> </w:t>
      </w:r>
      <w:r w:rsidRPr="00E6032D">
        <w:rPr>
          <w:rFonts w:eastAsia="Times New Roman"/>
          <w:iCs/>
          <w:noProof/>
          <w:sz w:val="18"/>
          <w:szCs w:val="18"/>
          <w:lang w:val="lt-LT"/>
        </w:rPr>
        <w:t>=</w:t>
      </w:r>
      <w:r w:rsidR="00DB5AC4" w:rsidRPr="00E6032D">
        <w:rPr>
          <w:rFonts w:eastAsia="Times New Roman"/>
          <w:iCs/>
          <w:noProof/>
          <w:sz w:val="18"/>
          <w:szCs w:val="18"/>
          <w:lang w:val="lt-LT"/>
        </w:rPr>
        <w:t xml:space="preserve"> </w:t>
      </w:r>
      <w:r w:rsidR="00DB5AC4" w:rsidRPr="00E6032D">
        <w:rPr>
          <w:sz w:val="18"/>
          <w:szCs w:val="18"/>
          <w:lang w:val="lt-LT"/>
        </w:rPr>
        <w:t xml:space="preserve">(angl. </w:t>
      </w:r>
      <w:r w:rsidRPr="00E6032D">
        <w:rPr>
          <w:rFonts w:eastAsia="Times New Roman"/>
          <w:i/>
          <w:noProof/>
          <w:sz w:val="18"/>
          <w:szCs w:val="18"/>
          <w:lang w:val="lt-LT"/>
        </w:rPr>
        <w:t>area under the curve</w:t>
      </w:r>
      <w:r w:rsidR="00DB5AC4" w:rsidRPr="00E6032D">
        <w:rPr>
          <w:rFonts w:eastAsia="Times New Roman"/>
          <w:iCs/>
          <w:noProof/>
          <w:sz w:val="18"/>
          <w:szCs w:val="18"/>
          <w:lang w:val="lt-LT"/>
        </w:rPr>
        <w:t>), plotas po kreive</w:t>
      </w:r>
      <w:r w:rsidRPr="00E6032D">
        <w:rPr>
          <w:rFonts w:eastAsia="Times New Roman"/>
          <w:iCs/>
          <w:noProof/>
          <w:sz w:val="18"/>
          <w:szCs w:val="18"/>
          <w:lang w:val="lt-LT"/>
        </w:rPr>
        <w:t xml:space="preserve">; </w:t>
      </w:r>
      <w:r w:rsidR="00585107">
        <w:rPr>
          <w:rFonts w:eastAsia="Times New Roman"/>
          <w:iCs/>
          <w:noProof/>
          <w:sz w:val="18"/>
          <w:szCs w:val="18"/>
          <w:lang w:val="lt-LT"/>
        </w:rPr>
        <w:t>PI</w:t>
      </w:r>
      <w:r w:rsidR="00DB5AC4" w:rsidRPr="00E6032D">
        <w:rPr>
          <w:rFonts w:eastAsia="Times New Roman"/>
          <w:iCs/>
          <w:noProof/>
          <w:sz w:val="18"/>
          <w:szCs w:val="18"/>
          <w:lang w:val="lt-LT"/>
        </w:rPr>
        <w:t xml:space="preserve"> </w:t>
      </w:r>
      <w:r w:rsidRPr="00E6032D">
        <w:rPr>
          <w:rFonts w:eastAsia="Times New Roman"/>
          <w:iCs/>
          <w:noProof/>
          <w:sz w:val="18"/>
          <w:szCs w:val="18"/>
          <w:lang w:val="lt-LT"/>
        </w:rPr>
        <w:t>=</w:t>
      </w:r>
      <w:r w:rsidR="00DB5AC4" w:rsidRPr="00E6032D">
        <w:rPr>
          <w:rFonts w:eastAsia="Times New Roman"/>
          <w:iCs/>
          <w:noProof/>
          <w:sz w:val="18"/>
          <w:szCs w:val="18"/>
          <w:lang w:val="lt-LT"/>
        </w:rPr>
        <w:t xml:space="preserve"> </w:t>
      </w:r>
      <w:r w:rsidR="00DB5AC4" w:rsidRPr="00E6032D">
        <w:rPr>
          <w:sz w:val="18"/>
          <w:szCs w:val="18"/>
          <w:lang w:val="lt-LT"/>
        </w:rPr>
        <w:t>pasikliautinasis intervalas</w:t>
      </w:r>
      <w:r w:rsidRPr="00E6032D">
        <w:rPr>
          <w:rFonts w:eastAsia="Times New Roman"/>
          <w:iCs/>
          <w:noProof/>
          <w:sz w:val="18"/>
          <w:szCs w:val="18"/>
          <w:lang w:val="lt-LT"/>
        </w:rPr>
        <w:t>; S</w:t>
      </w:r>
      <w:r w:rsidR="002A0C10">
        <w:rPr>
          <w:rFonts w:eastAsia="Times New Roman"/>
          <w:iCs/>
          <w:noProof/>
          <w:sz w:val="18"/>
          <w:szCs w:val="18"/>
          <w:lang w:val="lt-LT"/>
        </w:rPr>
        <w:t>N</w:t>
      </w:r>
      <w:r w:rsidR="00DB5AC4" w:rsidRPr="00E6032D">
        <w:rPr>
          <w:rFonts w:eastAsia="Times New Roman"/>
          <w:iCs/>
          <w:noProof/>
          <w:sz w:val="18"/>
          <w:szCs w:val="18"/>
          <w:lang w:val="lt-LT"/>
        </w:rPr>
        <w:t xml:space="preserve"> </w:t>
      </w:r>
      <w:r w:rsidRPr="00E6032D">
        <w:rPr>
          <w:rFonts w:eastAsia="Times New Roman"/>
          <w:iCs/>
          <w:noProof/>
          <w:sz w:val="18"/>
          <w:szCs w:val="18"/>
          <w:lang w:val="lt-LT"/>
        </w:rPr>
        <w:t>=</w:t>
      </w:r>
      <w:r w:rsidR="00DB5AC4" w:rsidRPr="00E6032D">
        <w:rPr>
          <w:sz w:val="18"/>
          <w:szCs w:val="18"/>
          <w:lang w:val="lt-LT"/>
        </w:rPr>
        <w:t xml:space="preserve"> standartinis nuokrypis</w:t>
      </w:r>
    </w:p>
    <w:p w14:paraId="31A32598" w14:textId="77777777" w:rsidR="00B9174B" w:rsidRPr="00AB6A8A" w:rsidRDefault="00B9174B" w:rsidP="007A292B">
      <w:pPr>
        <w:numPr>
          <w:ilvl w:val="12"/>
          <w:numId w:val="0"/>
        </w:numPr>
        <w:tabs>
          <w:tab w:val="left" w:pos="567"/>
        </w:tabs>
        <w:spacing w:line="240" w:lineRule="auto"/>
        <w:ind w:right="-2"/>
        <w:rPr>
          <w:rFonts w:eastAsia="Times New Roman"/>
          <w:i/>
          <w:noProof/>
          <w:lang w:val="lt-LT"/>
        </w:rPr>
      </w:pPr>
    </w:p>
    <w:p w14:paraId="4E5D4E91" w14:textId="6C9BE9C3" w:rsidR="003A3845" w:rsidRPr="00AB6A8A" w:rsidRDefault="003A3845" w:rsidP="007A292B">
      <w:pPr>
        <w:numPr>
          <w:ilvl w:val="12"/>
          <w:numId w:val="0"/>
        </w:numPr>
        <w:tabs>
          <w:tab w:val="left" w:pos="567"/>
        </w:tabs>
        <w:spacing w:line="240" w:lineRule="auto"/>
        <w:ind w:right="-2"/>
        <w:rPr>
          <w:rFonts w:eastAsia="Times New Roman"/>
          <w:i/>
          <w:iCs/>
          <w:noProof/>
          <w:lang w:val="lt-LT"/>
        </w:rPr>
      </w:pPr>
      <w:r w:rsidRPr="00AB6A8A">
        <w:rPr>
          <w:rFonts w:eastAsia="Times New Roman"/>
          <w:i/>
          <w:iCs/>
          <w:lang w:val="lt-LT"/>
        </w:rPr>
        <w:t>Bimatoprostas</w:t>
      </w:r>
    </w:p>
    <w:p w14:paraId="7FC65AC8" w14:textId="1F5FC67C" w:rsidR="003A3845" w:rsidRPr="00AB6A8A" w:rsidRDefault="003A3845" w:rsidP="007A292B">
      <w:pPr>
        <w:autoSpaceDE w:val="0"/>
        <w:autoSpaceDN w:val="0"/>
        <w:adjustRightInd w:val="0"/>
        <w:spacing w:line="240" w:lineRule="auto"/>
        <w:rPr>
          <w:rFonts w:eastAsia="Times New Roman"/>
          <w:lang w:val="lt-LT"/>
        </w:rPr>
      </w:pPr>
      <w:r w:rsidRPr="00AB6A8A">
        <w:rPr>
          <w:rFonts w:eastAsia="Times New Roman"/>
          <w:lang w:val="lt-LT"/>
        </w:rPr>
        <w:t xml:space="preserve">Bimatoprostas </w:t>
      </w:r>
      <w:r w:rsidRPr="00AB6A8A">
        <w:rPr>
          <w:rFonts w:eastAsia="Times New Roman"/>
          <w:i/>
          <w:iCs/>
          <w:lang w:val="lt-LT"/>
        </w:rPr>
        <w:t>in vitro</w:t>
      </w:r>
      <w:r w:rsidRPr="00AB6A8A">
        <w:rPr>
          <w:rFonts w:eastAsia="Times New Roman"/>
          <w:lang w:val="lt-LT"/>
        </w:rPr>
        <w:t xml:space="preserve"> gerai prasiskverbia į žmogaus akies rageną ir sklerą. Užlašinus ant akių, bimatoprosto kiekis suaugusiųjų organizme būna labai nedidelis, laikui bėgant jis nesikaupia. Dvi savaites kiekvieną dieną lašinant po vieną lašą 0,3 mg/ml bimatoprosto </w:t>
      </w:r>
      <w:r w:rsidR="00A03002">
        <w:rPr>
          <w:rFonts w:eastAsia="Times New Roman"/>
          <w:lang w:val="lt-LT"/>
        </w:rPr>
        <w:t>į abi akis</w:t>
      </w:r>
      <w:r w:rsidRPr="00AB6A8A">
        <w:rPr>
          <w:rFonts w:eastAsia="Times New Roman"/>
          <w:lang w:val="lt-LT"/>
        </w:rPr>
        <w:t>, maksimali vaistinio preparato koncentracija kraujyje susidarė per 10 minučių ir sumažėjo žemiau vaistinio preparato nustatymo ribos (0,025 ng/ml) per 1,5 valandos po užlašinimo. Vidutinės C</w:t>
      </w:r>
      <w:r w:rsidRPr="00AB6A8A">
        <w:rPr>
          <w:rFonts w:eastAsia="Times New Roman"/>
          <w:vertAlign w:val="subscript"/>
          <w:lang w:val="lt-LT"/>
        </w:rPr>
        <w:t xml:space="preserve">maks. </w:t>
      </w:r>
      <w:r w:rsidRPr="00AB6A8A">
        <w:rPr>
          <w:rFonts w:eastAsia="Times New Roman"/>
          <w:lang w:val="lt-LT"/>
        </w:rPr>
        <w:t>ir AUC</w:t>
      </w:r>
      <w:r w:rsidRPr="00AB6A8A">
        <w:rPr>
          <w:rFonts w:eastAsia="Times New Roman"/>
          <w:vertAlign w:val="subscript"/>
          <w:lang w:val="lt-LT"/>
        </w:rPr>
        <w:t>0-24val</w:t>
      </w:r>
      <w:r w:rsidRPr="00AB6A8A">
        <w:rPr>
          <w:rFonts w:eastAsia="Times New Roman"/>
          <w:lang w:val="lt-LT"/>
        </w:rPr>
        <w:t>. reikšmės 7 ir 14 dieną buvo panašios – atitinkamai 0,08 ng/ml ir 0,09 ng</w:t>
      </w:r>
      <w:r w:rsidR="00402AFB">
        <w:rPr>
          <w:rFonts w:eastAsia="Times New Roman"/>
          <w:lang w:val="lt-LT"/>
        </w:rPr>
        <w:t> </w:t>
      </w:r>
      <w:r w:rsidR="00ED64F1">
        <w:rPr>
          <w:rFonts w:eastAsia="Times New Roman"/>
          <w:lang w:val="lt-LT"/>
        </w:rPr>
        <w:t>x</w:t>
      </w:r>
      <w:r w:rsidR="00A6356B">
        <w:rPr>
          <w:rFonts w:eastAsia="Times New Roman"/>
          <w:lang w:val="lt-LT"/>
        </w:rPr>
        <w:t> </w:t>
      </w:r>
      <w:r w:rsidRPr="00AB6A8A">
        <w:rPr>
          <w:rFonts w:eastAsia="Times New Roman"/>
          <w:lang w:val="lt-LT"/>
        </w:rPr>
        <w:t xml:space="preserve">val./ml; tai rodo, kad bimatoprosto koncentracija nusistovėjo per pirmąją vaistinio preparato lašinimo </w:t>
      </w:r>
      <w:r w:rsidR="00A03002">
        <w:rPr>
          <w:rFonts w:eastAsia="Times New Roman"/>
          <w:lang w:val="lt-LT"/>
        </w:rPr>
        <w:t>į akis</w:t>
      </w:r>
      <w:r w:rsidRPr="00AB6A8A">
        <w:rPr>
          <w:rFonts w:eastAsia="Times New Roman"/>
          <w:lang w:val="lt-LT"/>
        </w:rPr>
        <w:t xml:space="preserve"> savaitę.</w:t>
      </w:r>
    </w:p>
    <w:p w14:paraId="7795AAA1" w14:textId="77777777" w:rsidR="003A3845" w:rsidRPr="00AB6A8A" w:rsidRDefault="003A3845" w:rsidP="007A292B">
      <w:pPr>
        <w:tabs>
          <w:tab w:val="left" w:pos="567"/>
        </w:tabs>
        <w:spacing w:line="240" w:lineRule="auto"/>
        <w:rPr>
          <w:rFonts w:eastAsia="Times New Roman"/>
          <w:lang w:val="lt-LT"/>
        </w:rPr>
      </w:pPr>
    </w:p>
    <w:p w14:paraId="210DF910" w14:textId="77777777" w:rsidR="006A3EF8" w:rsidRPr="00AB6A8A" w:rsidRDefault="006A3EF8" w:rsidP="007A292B">
      <w:pPr>
        <w:pStyle w:val="Betarp"/>
        <w:rPr>
          <w:i/>
          <w:iCs/>
          <w:lang w:val="lt-LT"/>
        </w:rPr>
      </w:pPr>
      <w:r w:rsidRPr="00AB6A8A">
        <w:rPr>
          <w:i/>
          <w:iCs/>
          <w:lang w:val="lt-LT"/>
        </w:rPr>
        <w:t>Timololis</w:t>
      </w:r>
    </w:p>
    <w:p w14:paraId="3BA9C0F1" w14:textId="5E3EB140" w:rsidR="006A3EF8" w:rsidRPr="00AB6A8A" w:rsidRDefault="006A3EF8" w:rsidP="007A292B">
      <w:pPr>
        <w:pStyle w:val="Betarp"/>
        <w:jc w:val="both"/>
        <w:rPr>
          <w:lang w:val="lt-LT"/>
        </w:rPr>
      </w:pPr>
      <w:r w:rsidRPr="00AB6A8A">
        <w:rPr>
          <w:lang w:val="lt-LT"/>
        </w:rPr>
        <w:t xml:space="preserve">Lokaliai pavartojus akių lašų, didžiausia timololio koncentracija akies skystyje susidaro maždaug po 1 val. Vartojant po vieną lašą </w:t>
      </w:r>
      <w:r w:rsidR="00100E9A" w:rsidRPr="00AB6A8A">
        <w:rPr>
          <w:lang w:val="lt-LT"/>
        </w:rPr>
        <w:t>5</w:t>
      </w:r>
      <w:r w:rsidR="00A6356B">
        <w:rPr>
          <w:lang w:val="lt-LT"/>
        </w:rPr>
        <w:t> </w:t>
      </w:r>
      <w:r w:rsidR="00100E9A" w:rsidRPr="00AB6A8A">
        <w:rPr>
          <w:lang w:val="lt-LT"/>
        </w:rPr>
        <w:t xml:space="preserve">mg/ml timololio </w:t>
      </w:r>
      <w:r w:rsidRPr="00AB6A8A">
        <w:rPr>
          <w:lang w:val="lt-LT"/>
        </w:rPr>
        <w:t xml:space="preserve">(300 mikrogramų per parą) </w:t>
      </w:r>
      <w:r w:rsidR="00A03002">
        <w:rPr>
          <w:lang w:val="lt-LT"/>
        </w:rPr>
        <w:t>į abi akis</w:t>
      </w:r>
      <w:r w:rsidRPr="00AB6A8A">
        <w:rPr>
          <w:lang w:val="lt-LT"/>
        </w:rPr>
        <w:t xml:space="preserve"> vieną kartą per parą, dalis dozės absorbuojama į sisteminę kraujotaką, didžiausia koncentracija kraujo plazmoje (1 ng/ml) susidaro po 10–20 min. </w:t>
      </w:r>
    </w:p>
    <w:p w14:paraId="4A8BA1C2" w14:textId="77777777" w:rsidR="00747EE4" w:rsidRPr="00AB6A8A" w:rsidRDefault="00747EE4" w:rsidP="007A292B">
      <w:pPr>
        <w:autoSpaceDE w:val="0"/>
        <w:autoSpaceDN w:val="0"/>
        <w:adjustRightInd w:val="0"/>
        <w:spacing w:line="240" w:lineRule="auto"/>
        <w:rPr>
          <w:rFonts w:eastAsia="Times New Roman"/>
          <w:lang w:val="lt-LT"/>
        </w:rPr>
      </w:pPr>
    </w:p>
    <w:p w14:paraId="08A626BB" w14:textId="77777777" w:rsidR="00747EE4" w:rsidRPr="00AB6A8A" w:rsidRDefault="00747EE4" w:rsidP="007A292B">
      <w:pPr>
        <w:autoSpaceDE w:val="0"/>
        <w:autoSpaceDN w:val="0"/>
        <w:adjustRightInd w:val="0"/>
        <w:spacing w:line="240" w:lineRule="auto"/>
        <w:rPr>
          <w:rFonts w:eastAsia="Times New Roman"/>
          <w:u w:val="single"/>
          <w:lang w:val="lt-LT"/>
        </w:rPr>
      </w:pPr>
      <w:r w:rsidRPr="00AB6A8A">
        <w:rPr>
          <w:rFonts w:eastAsia="Times New Roman"/>
          <w:u w:val="single"/>
          <w:lang w:val="lt-LT"/>
        </w:rPr>
        <w:t>Pasiskirstymas</w:t>
      </w:r>
    </w:p>
    <w:p w14:paraId="7363C2E9" w14:textId="1690E290" w:rsidR="00747EE4" w:rsidRPr="00AB6A8A" w:rsidRDefault="00747EE4" w:rsidP="007A292B">
      <w:pPr>
        <w:autoSpaceDE w:val="0"/>
        <w:autoSpaceDN w:val="0"/>
        <w:adjustRightInd w:val="0"/>
        <w:spacing w:line="240" w:lineRule="auto"/>
        <w:rPr>
          <w:rFonts w:eastAsia="Times New Roman"/>
          <w:i/>
          <w:iCs/>
          <w:u w:val="single"/>
          <w:lang w:val="lt-LT"/>
        </w:rPr>
      </w:pPr>
      <w:r w:rsidRPr="00AB6A8A">
        <w:rPr>
          <w:rFonts w:eastAsia="Times New Roman"/>
          <w:i/>
          <w:iCs/>
          <w:lang w:val="lt-LT"/>
        </w:rPr>
        <w:t>Bimatoprostas</w:t>
      </w:r>
    </w:p>
    <w:p w14:paraId="69287F2A" w14:textId="2622BF84" w:rsidR="00747EE4" w:rsidRPr="00AB6A8A" w:rsidRDefault="00747EE4" w:rsidP="007A292B">
      <w:pPr>
        <w:autoSpaceDE w:val="0"/>
        <w:autoSpaceDN w:val="0"/>
        <w:adjustRightInd w:val="0"/>
        <w:spacing w:line="240" w:lineRule="auto"/>
        <w:rPr>
          <w:rFonts w:eastAsia="Times New Roman"/>
          <w:lang w:val="lt-LT"/>
        </w:rPr>
      </w:pPr>
      <w:r w:rsidRPr="00AB6A8A">
        <w:rPr>
          <w:rFonts w:eastAsia="Times New Roman"/>
          <w:lang w:val="lt-LT"/>
        </w:rPr>
        <w:t xml:space="preserve">Bimatoprostas po kūno audinius pasiskirsto po truputį, sisteminis jo pasiskirstymo tūris žmogaus organizme nusistovėjus pusiausvyrinei koncentracijai buvo 0,67 l/kg kūno svorio. Žmogaus kraujyje bimatoprosto daugiausia yra plazmoje. </w:t>
      </w:r>
      <w:r w:rsidR="00225EC1">
        <w:rPr>
          <w:rFonts w:eastAsia="Times New Roman"/>
          <w:lang w:val="lt-LT"/>
        </w:rPr>
        <w:t>Su p</w:t>
      </w:r>
      <w:r w:rsidRPr="00AB6A8A">
        <w:rPr>
          <w:rFonts w:eastAsia="Times New Roman"/>
          <w:lang w:val="lt-LT"/>
        </w:rPr>
        <w:t>lazmos baltymai</w:t>
      </w:r>
      <w:r w:rsidR="00225EC1">
        <w:rPr>
          <w:rFonts w:eastAsia="Times New Roman"/>
          <w:lang w:val="lt-LT"/>
        </w:rPr>
        <w:t>s</w:t>
      </w:r>
      <w:r w:rsidRPr="00AB6A8A">
        <w:rPr>
          <w:rFonts w:eastAsia="Times New Roman"/>
          <w:lang w:val="lt-LT"/>
        </w:rPr>
        <w:t xml:space="preserve"> bimatoprosto sujungia maždaug 88 %.</w:t>
      </w:r>
    </w:p>
    <w:p w14:paraId="13FDD34A" w14:textId="77777777" w:rsidR="00747EE4" w:rsidRPr="00AB6A8A" w:rsidRDefault="00747EE4" w:rsidP="007A292B">
      <w:pPr>
        <w:autoSpaceDE w:val="0"/>
        <w:autoSpaceDN w:val="0"/>
        <w:adjustRightInd w:val="0"/>
        <w:spacing w:line="240" w:lineRule="auto"/>
        <w:rPr>
          <w:rFonts w:eastAsia="Times New Roman"/>
          <w:lang w:val="lt-LT"/>
        </w:rPr>
      </w:pPr>
    </w:p>
    <w:p w14:paraId="485B5F6D" w14:textId="77777777" w:rsidR="007215A6" w:rsidRPr="00AB6A8A" w:rsidRDefault="007215A6" w:rsidP="007A292B">
      <w:pPr>
        <w:autoSpaceDE w:val="0"/>
        <w:autoSpaceDN w:val="0"/>
        <w:adjustRightInd w:val="0"/>
        <w:spacing w:line="240" w:lineRule="auto"/>
        <w:rPr>
          <w:rFonts w:eastAsia="Times New Roman"/>
          <w:i/>
          <w:iCs/>
          <w:lang w:val="lt-LT"/>
        </w:rPr>
      </w:pPr>
      <w:r w:rsidRPr="00AB6A8A">
        <w:rPr>
          <w:rFonts w:eastAsia="Times New Roman"/>
          <w:i/>
          <w:iCs/>
          <w:lang w:val="lt-LT"/>
        </w:rPr>
        <w:t>Timololis</w:t>
      </w:r>
    </w:p>
    <w:p w14:paraId="7E87AB32" w14:textId="132ED3F2" w:rsidR="00747EE4" w:rsidRPr="00AB6A8A" w:rsidRDefault="007215A6" w:rsidP="007A292B">
      <w:pPr>
        <w:autoSpaceDE w:val="0"/>
        <w:autoSpaceDN w:val="0"/>
        <w:adjustRightInd w:val="0"/>
        <w:spacing w:line="240" w:lineRule="auto"/>
        <w:rPr>
          <w:rFonts w:eastAsia="Times New Roman"/>
          <w:lang w:val="lt-LT"/>
        </w:rPr>
      </w:pPr>
      <w:r w:rsidRPr="00AB6A8A">
        <w:rPr>
          <w:rFonts w:eastAsia="Times New Roman"/>
          <w:lang w:val="lt-LT"/>
        </w:rPr>
        <w:t>Mažai timololio prisijungia prie plazmos.</w:t>
      </w:r>
    </w:p>
    <w:p w14:paraId="1086CD9C" w14:textId="77777777" w:rsidR="00747EE4" w:rsidRPr="00AB6A8A" w:rsidRDefault="00747EE4" w:rsidP="007A292B">
      <w:pPr>
        <w:autoSpaceDE w:val="0"/>
        <w:autoSpaceDN w:val="0"/>
        <w:adjustRightInd w:val="0"/>
        <w:spacing w:line="240" w:lineRule="auto"/>
        <w:rPr>
          <w:rFonts w:eastAsia="Times New Roman"/>
          <w:lang w:val="lt-LT"/>
        </w:rPr>
      </w:pPr>
    </w:p>
    <w:p w14:paraId="69C96A83" w14:textId="77777777" w:rsidR="00747EE4" w:rsidRPr="00AB6A8A" w:rsidRDefault="00747EE4" w:rsidP="007A292B">
      <w:pPr>
        <w:autoSpaceDE w:val="0"/>
        <w:autoSpaceDN w:val="0"/>
        <w:adjustRightInd w:val="0"/>
        <w:spacing w:line="240" w:lineRule="auto"/>
        <w:rPr>
          <w:rFonts w:eastAsia="Times New Roman"/>
          <w:u w:val="single"/>
          <w:lang w:val="lt-LT"/>
        </w:rPr>
      </w:pPr>
      <w:r w:rsidRPr="00AB6A8A">
        <w:rPr>
          <w:rFonts w:eastAsia="Times New Roman"/>
          <w:u w:val="single"/>
          <w:lang w:val="lt-LT"/>
        </w:rPr>
        <w:t>Biotransformacija</w:t>
      </w:r>
    </w:p>
    <w:p w14:paraId="283EABB5" w14:textId="1FFDE7DA" w:rsidR="007215A6" w:rsidRPr="00AB6A8A" w:rsidRDefault="007215A6" w:rsidP="007A292B">
      <w:pPr>
        <w:numPr>
          <w:ilvl w:val="12"/>
          <w:numId w:val="0"/>
        </w:numPr>
        <w:spacing w:line="240" w:lineRule="auto"/>
        <w:ind w:right="-2"/>
        <w:rPr>
          <w:i/>
          <w:noProof/>
          <w:lang w:val="lt-LT"/>
        </w:rPr>
      </w:pPr>
      <w:r w:rsidRPr="00AB6A8A">
        <w:rPr>
          <w:i/>
          <w:noProof/>
          <w:lang w:val="lt-LT"/>
        </w:rPr>
        <w:t>Bimatoprostas</w:t>
      </w:r>
    </w:p>
    <w:p w14:paraId="2F067722" w14:textId="77777777" w:rsidR="00747EE4" w:rsidRPr="00AB6A8A" w:rsidRDefault="00747EE4" w:rsidP="007A292B">
      <w:pPr>
        <w:autoSpaceDE w:val="0"/>
        <w:autoSpaceDN w:val="0"/>
        <w:adjustRightInd w:val="0"/>
        <w:spacing w:line="240" w:lineRule="auto"/>
        <w:rPr>
          <w:rFonts w:eastAsia="Times New Roman"/>
          <w:u w:val="single"/>
          <w:lang w:val="lt-LT"/>
        </w:rPr>
      </w:pPr>
    </w:p>
    <w:p w14:paraId="6F081807" w14:textId="1E19E793" w:rsidR="00747EE4" w:rsidRPr="00AB6A8A" w:rsidRDefault="00747EE4" w:rsidP="007A292B">
      <w:pPr>
        <w:spacing w:line="240" w:lineRule="auto"/>
        <w:ind w:right="337"/>
        <w:rPr>
          <w:rFonts w:eastAsia="Times New Roman"/>
          <w:lang w:val="lt-LT"/>
        </w:rPr>
      </w:pPr>
      <w:r w:rsidRPr="00AB6A8A">
        <w:rPr>
          <w:rFonts w:eastAsia="Times New Roman"/>
          <w:lang w:val="lt-LT"/>
        </w:rPr>
        <w:t xml:space="preserve">Kai užlašintas </w:t>
      </w:r>
      <w:r w:rsidR="00F13BED">
        <w:rPr>
          <w:rFonts w:eastAsia="Times New Roman"/>
          <w:lang w:val="lt-LT"/>
        </w:rPr>
        <w:t>į akis</w:t>
      </w:r>
      <w:r w:rsidRPr="00AB6A8A">
        <w:rPr>
          <w:rFonts w:eastAsia="Times New Roman"/>
          <w:lang w:val="lt-LT"/>
        </w:rPr>
        <w:t xml:space="preserve"> bimatoprostas patenka į sisteminę </w:t>
      </w:r>
      <w:r w:rsidR="007215A6" w:rsidRPr="00AB6A8A">
        <w:rPr>
          <w:rFonts w:eastAsia="Times New Roman"/>
          <w:lang w:val="lt-LT"/>
        </w:rPr>
        <w:t>kraujotaką</w:t>
      </w:r>
      <w:r w:rsidRPr="00AB6A8A">
        <w:rPr>
          <w:rFonts w:eastAsia="Times New Roman"/>
          <w:lang w:val="lt-LT"/>
        </w:rPr>
        <w:t>, jis yra pagrindinė cirkuliuojanti kraujyje vaistinio preparato atmaina. Čia bimatoprostas oksiduojamas, N-deetilinamas ir gliukuronidinamas į įvairius metabolitus.</w:t>
      </w:r>
    </w:p>
    <w:p w14:paraId="5D963720" w14:textId="77777777" w:rsidR="00747EE4" w:rsidRPr="00AB6A8A" w:rsidRDefault="00747EE4" w:rsidP="007A292B">
      <w:pPr>
        <w:pStyle w:val="Betarp"/>
        <w:rPr>
          <w:b/>
          <w:lang w:val="lt-LT"/>
        </w:rPr>
      </w:pPr>
    </w:p>
    <w:p w14:paraId="75313B9E" w14:textId="77777777" w:rsidR="007215A6" w:rsidRPr="00AB6A8A" w:rsidRDefault="007215A6" w:rsidP="007A292B">
      <w:pPr>
        <w:pStyle w:val="Betarp"/>
        <w:rPr>
          <w:bCs/>
          <w:i/>
          <w:iCs/>
          <w:lang w:val="lt-LT"/>
        </w:rPr>
      </w:pPr>
      <w:r w:rsidRPr="00AB6A8A">
        <w:rPr>
          <w:bCs/>
          <w:i/>
          <w:iCs/>
          <w:lang w:val="lt-LT"/>
        </w:rPr>
        <w:t>Timololis</w:t>
      </w:r>
    </w:p>
    <w:p w14:paraId="6AA79837" w14:textId="71AC2C6D" w:rsidR="007215A6" w:rsidRPr="00AB6A8A" w:rsidRDefault="007215A6" w:rsidP="007A292B">
      <w:pPr>
        <w:pStyle w:val="Betarp"/>
        <w:rPr>
          <w:bCs/>
          <w:lang w:val="lt-LT"/>
        </w:rPr>
      </w:pPr>
      <w:r w:rsidRPr="00AB6A8A">
        <w:rPr>
          <w:bCs/>
          <w:lang w:val="lt-LT"/>
        </w:rPr>
        <w:t>Timololis intensyviai metabolizuojamas kepenyse. Timololio metabolizmą daugiausia skatina CYP2D6.</w:t>
      </w:r>
    </w:p>
    <w:p w14:paraId="4A7D9024" w14:textId="77777777" w:rsidR="007215A6" w:rsidRPr="00AB6A8A" w:rsidRDefault="007215A6" w:rsidP="007A292B">
      <w:pPr>
        <w:pStyle w:val="Betarp"/>
        <w:rPr>
          <w:bCs/>
          <w:lang w:val="lt-LT"/>
        </w:rPr>
      </w:pPr>
    </w:p>
    <w:p w14:paraId="7E7A713F" w14:textId="77777777" w:rsidR="00222CCF" w:rsidRPr="00AB6A8A" w:rsidRDefault="00222CCF" w:rsidP="007A292B">
      <w:pPr>
        <w:autoSpaceDE w:val="0"/>
        <w:autoSpaceDN w:val="0"/>
        <w:adjustRightInd w:val="0"/>
        <w:spacing w:line="240" w:lineRule="auto"/>
        <w:rPr>
          <w:rFonts w:eastAsia="Times New Roman"/>
          <w:u w:val="single"/>
          <w:lang w:val="lt-LT"/>
        </w:rPr>
      </w:pPr>
      <w:r w:rsidRPr="00AB6A8A">
        <w:rPr>
          <w:rFonts w:eastAsia="Times New Roman"/>
          <w:u w:val="single"/>
          <w:lang w:val="lt-LT"/>
        </w:rPr>
        <w:t>Eliminacija</w:t>
      </w:r>
    </w:p>
    <w:p w14:paraId="19783D76" w14:textId="77777777" w:rsidR="00222CCF" w:rsidRPr="00AB6A8A" w:rsidRDefault="00222CCF" w:rsidP="007A292B">
      <w:pPr>
        <w:autoSpaceDE w:val="0"/>
        <w:autoSpaceDN w:val="0"/>
        <w:adjustRightInd w:val="0"/>
        <w:spacing w:line="240" w:lineRule="auto"/>
        <w:rPr>
          <w:rFonts w:eastAsia="Times New Roman"/>
          <w:u w:val="single"/>
          <w:lang w:val="lt-LT"/>
        </w:rPr>
      </w:pPr>
    </w:p>
    <w:p w14:paraId="41652684" w14:textId="129B8560" w:rsidR="00222CCF" w:rsidRPr="00AB6A8A" w:rsidRDefault="00222CCF" w:rsidP="007A292B">
      <w:pPr>
        <w:autoSpaceDE w:val="0"/>
        <w:autoSpaceDN w:val="0"/>
        <w:adjustRightInd w:val="0"/>
        <w:spacing w:line="240" w:lineRule="auto"/>
        <w:rPr>
          <w:rFonts w:eastAsia="Times New Roman"/>
          <w:i/>
          <w:iCs/>
          <w:lang w:val="lt-LT"/>
        </w:rPr>
      </w:pPr>
      <w:r w:rsidRPr="00AB6A8A">
        <w:rPr>
          <w:rFonts w:eastAsia="Times New Roman"/>
          <w:i/>
          <w:iCs/>
          <w:lang w:val="lt-LT"/>
        </w:rPr>
        <w:t>Bimatoprostas</w:t>
      </w:r>
    </w:p>
    <w:p w14:paraId="3A5780CA" w14:textId="62D5A3DA" w:rsidR="00222CCF" w:rsidRPr="00AB6A8A" w:rsidRDefault="00222CCF" w:rsidP="007A292B">
      <w:pPr>
        <w:spacing w:line="240" w:lineRule="auto"/>
        <w:ind w:right="337"/>
        <w:rPr>
          <w:rFonts w:eastAsia="Times New Roman"/>
          <w:lang w:val="lt-LT"/>
        </w:rPr>
      </w:pPr>
      <w:r w:rsidRPr="00AB6A8A">
        <w:rPr>
          <w:rFonts w:eastAsia="Times New Roman"/>
          <w:lang w:val="lt-LT"/>
        </w:rPr>
        <w:t>Bimatoprostas daugiausia šalinamas p</w:t>
      </w:r>
      <w:r w:rsidR="006E6701">
        <w:rPr>
          <w:rFonts w:eastAsia="Times New Roman"/>
          <w:lang w:val="lt-LT"/>
        </w:rPr>
        <w:t>er</w:t>
      </w:r>
      <w:r w:rsidRPr="00AB6A8A">
        <w:rPr>
          <w:rFonts w:eastAsia="Times New Roman"/>
          <w:lang w:val="lt-LT"/>
        </w:rPr>
        <w:t xml:space="preserve"> inkstus: iki 67 % intraveninės dozės, suleistos sveikiems savanoriams, išsiskyrė su šlapimu, 25 % dozės pasišalino su išmatomis. Pusinės eliminacijos laikas, nustatytas sušvirkštus vaistinio preparato į veną, buvo maždaug 45 minutės; suminis kraujo klirensas buvo 1,5 l/val./kg.</w:t>
      </w:r>
    </w:p>
    <w:p w14:paraId="25478DEA" w14:textId="77777777" w:rsidR="00222CCF" w:rsidRPr="00AB6A8A" w:rsidRDefault="00222CCF" w:rsidP="007A292B">
      <w:pPr>
        <w:spacing w:line="240" w:lineRule="auto"/>
        <w:ind w:right="337"/>
        <w:rPr>
          <w:rFonts w:eastAsia="Times New Roman"/>
          <w:lang w:val="lt-LT"/>
        </w:rPr>
      </w:pPr>
    </w:p>
    <w:p w14:paraId="6302943A" w14:textId="5C9EE5AB" w:rsidR="00222CCF" w:rsidRPr="00AB6A8A" w:rsidRDefault="00222CCF" w:rsidP="007A292B">
      <w:pPr>
        <w:spacing w:line="240" w:lineRule="auto"/>
        <w:ind w:right="337"/>
        <w:rPr>
          <w:rFonts w:eastAsia="Times New Roman"/>
          <w:i/>
          <w:iCs/>
          <w:lang w:val="lt-LT"/>
        </w:rPr>
      </w:pPr>
      <w:r w:rsidRPr="00AB6A8A">
        <w:rPr>
          <w:rFonts w:eastAsia="Times New Roman"/>
          <w:i/>
          <w:iCs/>
          <w:lang w:val="lt-LT"/>
        </w:rPr>
        <w:t>Timololis</w:t>
      </w:r>
    </w:p>
    <w:p w14:paraId="0ABF1286" w14:textId="5400539B" w:rsidR="000A0E76" w:rsidRPr="00AB6A8A" w:rsidRDefault="000A0E76" w:rsidP="007A292B">
      <w:pPr>
        <w:spacing w:line="240" w:lineRule="auto"/>
        <w:ind w:right="337"/>
        <w:rPr>
          <w:rFonts w:eastAsia="Times New Roman"/>
          <w:lang w:val="lt-LT"/>
        </w:rPr>
      </w:pPr>
      <w:r w:rsidRPr="00AB6A8A">
        <w:rPr>
          <w:rFonts w:eastAsia="Times New Roman"/>
          <w:lang w:val="lt-LT"/>
        </w:rPr>
        <w:t>Timololio pusinės eliminacijos laikas plazmoje yra maždaug 4-6 valandos. Timololis ir jo metabolitai daugiausia šalinami per inkstus.</w:t>
      </w:r>
    </w:p>
    <w:p w14:paraId="49F48572" w14:textId="77777777" w:rsidR="00222CCF" w:rsidRPr="00AB6A8A" w:rsidRDefault="00222CCF" w:rsidP="007A292B">
      <w:pPr>
        <w:autoSpaceDE w:val="0"/>
        <w:autoSpaceDN w:val="0"/>
        <w:adjustRightInd w:val="0"/>
        <w:spacing w:line="240" w:lineRule="auto"/>
        <w:rPr>
          <w:rFonts w:eastAsia="Times New Roman"/>
          <w:lang w:val="lt-LT"/>
        </w:rPr>
      </w:pPr>
    </w:p>
    <w:p w14:paraId="7FADDDC8" w14:textId="721B0990" w:rsidR="00D80DC2" w:rsidRPr="00AB6A8A" w:rsidRDefault="00D80DC2" w:rsidP="007A292B">
      <w:pPr>
        <w:autoSpaceDE w:val="0"/>
        <w:autoSpaceDN w:val="0"/>
        <w:adjustRightInd w:val="0"/>
        <w:spacing w:line="240" w:lineRule="auto"/>
        <w:rPr>
          <w:rFonts w:eastAsia="Times New Roman"/>
          <w:u w:val="single"/>
          <w:lang w:val="lt-LT"/>
        </w:rPr>
      </w:pPr>
      <w:r w:rsidRPr="00AB6A8A">
        <w:rPr>
          <w:rFonts w:eastAsia="Times New Roman"/>
          <w:u w:val="single"/>
          <w:lang w:val="lt-LT"/>
        </w:rPr>
        <w:t>Senyvi pacientai</w:t>
      </w:r>
    </w:p>
    <w:p w14:paraId="13151845" w14:textId="77777777" w:rsidR="00D80DC2" w:rsidRPr="00AB6A8A" w:rsidRDefault="00D80DC2" w:rsidP="007A292B">
      <w:pPr>
        <w:autoSpaceDE w:val="0"/>
        <w:autoSpaceDN w:val="0"/>
        <w:adjustRightInd w:val="0"/>
        <w:spacing w:line="240" w:lineRule="auto"/>
        <w:rPr>
          <w:rFonts w:eastAsia="Times New Roman"/>
          <w:i/>
          <w:iCs/>
          <w:lang w:val="lt-LT"/>
        </w:rPr>
      </w:pPr>
      <w:r w:rsidRPr="00AB6A8A">
        <w:rPr>
          <w:rFonts w:eastAsia="Times New Roman"/>
          <w:i/>
          <w:iCs/>
          <w:lang w:val="lt-LT"/>
        </w:rPr>
        <w:t>Bimatoprostas</w:t>
      </w:r>
    </w:p>
    <w:p w14:paraId="3A5B5B3E" w14:textId="58278B6D" w:rsidR="00222CCF" w:rsidRPr="00AB6A8A" w:rsidRDefault="00222CCF" w:rsidP="007A292B">
      <w:pPr>
        <w:autoSpaceDE w:val="0"/>
        <w:autoSpaceDN w:val="0"/>
        <w:adjustRightInd w:val="0"/>
        <w:spacing w:line="240" w:lineRule="auto"/>
        <w:rPr>
          <w:rFonts w:eastAsia="Times New Roman"/>
          <w:lang w:val="lt-LT"/>
        </w:rPr>
      </w:pPr>
      <w:r w:rsidRPr="00AB6A8A">
        <w:rPr>
          <w:rFonts w:eastAsia="Times New Roman"/>
          <w:lang w:val="lt-LT"/>
        </w:rPr>
        <w:t>Lašinant dukart per parą 0,3 mg/ml bimatoprosto, senyvų asmenų (65 metų ir vyresnių) vidutinė AUC</w:t>
      </w:r>
      <w:r w:rsidRPr="00AB6A8A">
        <w:rPr>
          <w:rFonts w:eastAsia="Times New Roman"/>
          <w:vertAlign w:val="subscript"/>
          <w:lang w:val="lt-LT"/>
        </w:rPr>
        <w:t>0-24val</w:t>
      </w:r>
      <w:r w:rsidRPr="00AB6A8A">
        <w:rPr>
          <w:rFonts w:eastAsia="Times New Roman"/>
          <w:lang w:val="lt-LT"/>
        </w:rPr>
        <w:t>. reikšmė, lygi 0,0634</w:t>
      </w:r>
      <w:r w:rsidR="00FA70C6">
        <w:rPr>
          <w:rFonts w:eastAsia="Times New Roman"/>
          <w:lang w:val="lt-LT"/>
        </w:rPr>
        <w:t> </w:t>
      </w:r>
      <w:r w:rsidRPr="00AB6A8A">
        <w:rPr>
          <w:rFonts w:eastAsia="Times New Roman"/>
          <w:lang w:val="lt-LT"/>
        </w:rPr>
        <w:t>ng</w:t>
      </w:r>
      <w:r w:rsidR="00FA70C6">
        <w:rPr>
          <w:rFonts w:eastAsia="Times New Roman"/>
          <w:lang w:val="lt-LT"/>
        </w:rPr>
        <w:t> </w:t>
      </w:r>
      <w:r w:rsidR="00950493">
        <w:rPr>
          <w:rFonts w:eastAsia="Times New Roman"/>
          <w:lang w:val="lt-LT"/>
        </w:rPr>
        <w:t>x</w:t>
      </w:r>
      <w:r w:rsidR="00FA70C6">
        <w:rPr>
          <w:rFonts w:eastAsia="Times New Roman"/>
          <w:lang w:val="lt-LT"/>
        </w:rPr>
        <w:t> </w:t>
      </w:r>
      <w:r w:rsidRPr="00AB6A8A">
        <w:rPr>
          <w:rFonts w:eastAsia="Times New Roman"/>
          <w:lang w:val="lt-LT"/>
        </w:rPr>
        <w:t>val./ml bimatoprosto, buvo žymiai didesnė, negu 0,0218</w:t>
      </w:r>
      <w:r w:rsidR="00950493">
        <w:rPr>
          <w:rFonts w:eastAsia="Times New Roman"/>
          <w:lang w:val="lt-LT"/>
        </w:rPr>
        <w:t> </w:t>
      </w:r>
      <w:r w:rsidRPr="00AB6A8A">
        <w:rPr>
          <w:rFonts w:eastAsia="Times New Roman"/>
          <w:lang w:val="lt-LT"/>
        </w:rPr>
        <w:t>ng</w:t>
      </w:r>
      <w:r w:rsidR="00950493">
        <w:rPr>
          <w:rFonts w:eastAsia="Times New Roman"/>
          <w:position w:val="2"/>
          <w:lang w:val="lt-LT"/>
        </w:rPr>
        <w:t> x </w:t>
      </w:r>
      <w:r w:rsidRPr="00AB6A8A">
        <w:rPr>
          <w:rFonts w:eastAsia="Times New Roman"/>
          <w:lang w:val="lt-LT"/>
        </w:rPr>
        <w:t xml:space="preserve">val./ml, nustatyta jauniems, sveikiems suaugusiems žmonėms. Tačiau šis faktas klinikai nėra reikšmingas, nes sisteminis preparato poveikis dėl lašinimo </w:t>
      </w:r>
      <w:r w:rsidR="00FA70C6">
        <w:rPr>
          <w:rFonts w:eastAsia="Times New Roman"/>
          <w:lang w:val="lt-LT"/>
        </w:rPr>
        <w:t>į akis</w:t>
      </w:r>
      <w:r w:rsidRPr="00AB6A8A">
        <w:rPr>
          <w:rFonts w:eastAsia="Times New Roman"/>
          <w:lang w:val="lt-LT"/>
        </w:rPr>
        <w:t xml:space="preserve"> tiek senyviems, tiek jauniems žmonėms yra labai silpnas. Laikui bėgant nepastebėta jokio bimatoprosto kaupimosi kraujyje, jo saugumas senyviems ir jauniems </w:t>
      </w:r>
      <w:r w:rsidR="000D4043" w:rsidRPr="00AB6A8A">
        <w:rPr>
          <w:rFonts w:eastAsia="Times New Roman"/>
          <w:lang w:val="lt-LT"/>
        </w:rPr>
        <w:t>pacientams</w:t>
      </w:r>
      <w:r w:rsidRPr="00AB6A8A">
        <w:rPr>
          <w:rFonts w:eastAsia="Times New Roman"/>
          <w:lang w:val="lt-LT"/>
        </w:rPr>
        <w:t xml:space="preserve"> buvo panašus.</w:t>
      </w:r>
    </w:p>
    <w:p w14:paraId="5F9A2A04" w14:textId="77777777" w:rsidR="007215A6" w:rsidRPr="00AB6A8A" w:rsidRDefault="007215A6" w:rsidP="007A292B">
      <w:pPr>
        <w:pStyle w:val="Betarp"/>
        <w:rPr>
          <w:b/>
          <w:lang w:val="lt-LT"/>
        </w:rPr>
      </w:pPr>
    </w:p>
    <w:p w14:paraId="1D6A0A15" w14:textId="77777777" w:rsidR="007C68A4" w:rsidRPr="00AB6A8A" w:rsidRDefault="007C68A4" w:rsidP="007A292B">
      <w:pPr>
        <w:pStyle w:val="Betarp"/>
        <w:rPr>
          <w:b/>
          <w:lang w:val="lt-LT"/>
        </w:rPr>
      </w:pPr>
      <w:bookmarkStart w:id="35" w:name="_Toc129243114"/>
      <w:bookmarkStart w:id="36" w:name="_Toc129243239"/>
      <w:r w:rsidRPr="00AB6A8A">
        <w:rPr>
          <w:b/>
          <w:lang w:val="lt-LT"/>
        </w:rPr>
        <w:t>5.3</w:t>
      </w:r>
      <w:r w:rsidRPr="00AB6A8A">
        <w:rPr>
          <w:b/>
          <w:lang w:val="lt-LT"/>
        </w:rPr>
        <w:tab/>
        <w:t>Ikiklinikinių saugumo tyrimų duomenys</w:t>
      </w:r>
      <w:bookmarkEnd w:id="35"/>
      <w:bookmarkEnd w:id="36"/>
    </w:p>
    <w:p w14:paraId="081197E1" w14:textId="77777777" w:rsidR="007C68A4" w:rsidRPr="00AB6A8A" w:rsidRDefault="007C68A4" w:rsidP="007A292B">
      <w:pPr>
        <w:pStyle w:val="Betarp"/>
        <w:rPr>
          <w:lang w:val="lt-LT"/>
        </w:rPr>
      </w:pPr>
    </w:p>
    <w:p w14:paraId="2C22E2D2" w14:textId="613ECCEB" w:rsidR="00F23F5E" w:rsidRPr="00F23F5E" w:rsidRDefault="00F23F5E" w:rsidP="00F23F5E">
      <w:pPr>
        <w:spacing w:line="240" w:lineRule="auto"/>
        <w:rPr>
          <w:rFonts w:eastAsia="Times New Roman"/>
          <w:szCs w:val="20"/>
          <w:lang w:val="lt-LT"/>
        </w:rPr>
      </w:pPr>
      <w:r w:rsidRPr="00F23F5E">
        <w:rPr>
          <w:rFonts w:eastAsia="Times New Roman"/>
          <w:szCs w:val="20"/>
          <w:lang w:val="lt"/>
        </w:rPr>
        <w:t xml:space="preserve">Atlikus bimatoprosto ir timololio fiksuoto akių derinio preparato, kuriame veikliųjų medžiagų koncentracija yra didesnė nei </w:t>
      </w:r>
      <w:r w:rsidR="00AA211B">
        <w:rPr>
          <w:rFonts w:eastAsia="Times New Roman"/>
          <w:szCs w:val="20"/>
          <w:lang w:val="lt"/>
        </w:rPr>
        <w:t>Ed</w:t>
      </w:r>
      <w:r w:rsidR="007643D3" w:rsidRPr="007643D3">
        <w:rPr>
          <w:rFonts w:eastAsia="Times New Roman"/>
          <w:szCs w:val="20"/>
          <w:lang w:val="lt"/>
        </w:rPr>
        <w:t>uelym</w:t>
      </w:r>
      <w:r w:rsidRPr="00F23F5E">
        <w:rPr>
          <w:rFonts w:eastAsia="Times New Roman"/>
          <w:szCs w:val="20"/>
          <w:lang w:val="lt"/>
        </w:rPr>
        <w:t xml:space="preserve"> sudėtyje, kartotinių dozių toksiškumo žmonėms tyrimus, nenustatyta jokio ypatingo pavojaus. Atskirų sudedamųjų dalių akių ir sisteminis saugumas yra gerai žinomas.</w:t>
      </w:r>
    </w:p>
    <w:p w14:paraId="366CB3C1" w14:textId="77777777" w:rsidR="00345F83" w:rsidRDefault="00345F83" w:rsidP="00F23F5E">
      <w:pPr>
        <w:spacing w:line="240" w:lineRule="auto"/>
        <w:rPr>
          <w:rFonts w:eastAsia="Times New Roman"/>
          <w:i/>
          <w:iCs/>
          <w:szCs w:val="20"/>
          <w:lang w:val="lt"/>
        </w:rPr>
      </w:pPr>
    </w:p>
    <w:p w14:paraId="113C6634" w14:textId="522D7EF7" w:rsidR="00F23F5E" w:rsidRPr="00F23F5E" w:rsidRDefault="00F23F5E" w:rsidP="00F23F5E">
      <w:pPr>
        <w:spacing w:line="240" w:lineRule="auto"/>
        <w:rPr>
          <w:rFonts w:eastAsia="Times New Roman"/>
          <w:i/>
          <w:iCs/>
          <w:szCs w:val="20"/>
          <w:lang w:val="lt-LT"/>
        </w:rPr>
      </w:pPr>
      <w:r w:rsidRPr="00F23F5E">
        <w:rPr>
          <w:rFonts w:eastAsia="Times New Roman"/>
          <w:i/>
          <w:iCs/>
          <w:szCs w:val="20"/>
          <w:lang w:val="lt"/>
        </w:rPr>
        <w:t xml:space="preserve">Bimatoprostas </w:t>
      </w:r>
    </w:p>
    <w:p w14:paraId="55298C5E" w14:textId="732935E7" w:rsidR="00F23F5E" w:rsidRPr="00F23F5E" w:rsidRDefault="00F23F5E" w:rsidP="00F23F5E">
      <w:pPr>
        <w:spacing w:line="240" w:lineRule="auto"/>
        <w:rPr>
          <w:rFonts w:eastAsia="Times New Roman"/>
          <w:szCs w:val="20"/>
          <w:lang w:val="lt-LT"/>
        </w:rPr>
      </w:pPr>
      <w:r w:rsidRPr="00F23F5E">
        <w:rPr>
          <w:rFonts w:eastAsia="Times New Roman"/>
          <w:szCs w:val="20"/>
          <w:lang w:val="lt"/>
        </w:rPr>
        <w:t>Įprast</w:t>
      </w:r>
      <w:r w:rsidR="0049087E">
        <w:rPr>
          <w:rFonts w:eastAsia="Times New Roman"/>
          <w:szCs w:val="20"/>
          <w:lang w:val="lt"/>
        </w:rPr>
        <w:t>ų</w:t>
      </w:r>
      <w:r w:rsidRPr="00F23F5E">
        <w:rPr>
          <w:rFonts w:eastAsia="Times New Roman"/>
          <w:szCs w:val="20"/>
          <w:lang w:val="lt"/>
        </w:rPr>
        <w:t xml:space="preserve"> farmakologini</w:t>
      </w:r>
      <w:r w:rsidR="0049087E">
        <w:rPr>
          <w:rFonts w:eastAsia="Times New Roman"/>
          <w:szCs w:val="20"/>
          <w:lang w:val="lt"/>
        </w:rPr>
        <w:t>o</w:t>
      </w:r>
      <w:r w:rsidRPr="00F23F5E">
        <w:rPr>
          <w:rFonts w:eastAsia="Times New Roman"/>
          <w:szCs w:val="20"/>
          <w:lang w:val="lt"/>
        </w:rPr>
        <w:t xml:space="preserve"> saugumo, genotoksi</w:t>
      </w:r>
      <w:r w:rsidR="0049087E">
        <w:rPr>
          <w:rFonts w:eastAsia="Times New Roman"/>
          <w:szCs w:val="20"/>
          <w:lang w:val="lt"/>
        </w:rPr>
        <w:t>škumo</w:t>
      </w:r>
      <w:r w:rsidRPr="00F23F5E">
        <w:rPr>
          <w:rFonts w:eastAsia="Times New Roman"/>
          <w:szCs w:val="20"/>
          <w:lang w:val="lt"/>
        </w:rPr>
        <w:t>, galimo kancerogeni</w:t>
      </w:r>
      <w:r w:rsidR="0049087E">
        <w:rPr>
          <w:rFonts w:eastAsia="Times New Roman"/>
          <w:szCs w:val="20"/>
          <w:lang w:val="lt"/>
        </w:rPr>
        <w:t>škumo</w:t>
      </w:r>
      <w:r w:rsidRPr="00F23F5E">
        <w:rPr>
          <w:rFonts w:eastAsia="Times New Roman"/>
          <w:szCs w:val="20"/>
          <w:lang w:val="lt"/>
        </w:rPr>
        <w:t xml:space="preserve"> </w:t>
      </w:r>
      <w:r w:rsidR="00172FA0">
        <w:rPr>
          <w:rFonts w:eastAsia="Times New Roman"/>
          <w:szCs w:val="20"/>
          <w:lang w:val="lt"/>
        </w:rPr>
        <w:t>ikiklinikinių</w:t>
      </w:r>
      <w:r w:rsidR="0049087E">
        <w:rPr>
          <w:rFonts w:eastAsia="Times New Roman"/>
          <w:szCs w:val="20"/>
          <w:lang w:val="lt"/>
        </w:rPr>
        <w:t xml:space="preserve"> </w:t>
      </w:r>
      <w:r w:rsidRPr="00F23F5E">
        <w:rPr>
          <w:rFonts w:eastAsia="Times New Roman"/>
          <w:szCs w:val="20"/>
          <w:lang w:val="lt"/>
        </w:rPr>
        <w:t xml:space="preserve">tyrimų </w:t>
      </w:r>
      <w:r w:rsidR="0049087E">
        <w:rPr>
          <w:rFonts w:eastAsia="Times New Roman"/>
          <w:szCs w:val="20"/>
          <w:lang w:val="lt"/>
        </w:rPr>
        <w:t>duomenys</w:t>
      </w:r>
      <w:r w:rsidRPr="00F23F5E">
        <w:rPr>
          <w:rFonts w:eastAsia="Times New Roman"/>
          <w:szCs w:val="20"/>
          <w:lang w:val="lt"/>
        </w:rPr>
        <w:t xml:space="preserve"> speci</w:t>
      </w:r>
      <w:r w:rsidR="0049087E">
        <w:rPr>
          <w:rFonts w:eastAsia="Times New Roman"/>
          <w:szCs w:val="20"/>
          <w:lang w:val="lt"/>
        </w:rPr>
        <w:t>finio</w:t>
      </w:r>
      <w:r w:rsidRPr="00F23F5E">
        <w:rPr>
          <w:rFonts w:eastAsia="Times New Roman"/>
          <w:szCs w:val="20"/>
          <w:lang w:val="lt"/>
        </w:rPr>
        <w:t xml:space="preserve"> pavojaus žmogui </w:t>
      </w:r>
      <w:r w:rsidR="0049087E">
        <w:rPr>
          <w:rFonts w:eastAsia="Times New Roman"/>
          <w:szCs w:val="20"/>
          <w:lang w:val="lt"/>
        </w:rPr>
        <w:t>nerodo</w:t>
      </w:r>
      <w:r w:rsidRPr="00F23F5E">
        <w:rPr>
          <w:rFonts w:eastAsia="Times New Roman"/>
          <w:szCs w:val="20"/>
          <w:lang w:val="lt"/>
        </w:rPr>
        <w:t xml:space="preserve">. </w:t>
      </w:r>
    </w:p>
    <w:p w14:paraId="35FAC3D2" w14:textId="77777777" w:rsidR="00F23F5E" w:rsidRPr="00F23F5E" w:rsidRDefault="00F23F5E" w:rsidP="00F23F5E">
      <w:pPr>
        <w:spacing w:line="240" w:lineRule="auto"/>
        <w:rPr>
          <w:rFonts w:eastAsia="Times New Roman"/>
          <w:szCs w:val="20"/>
          <w:lang w:val="lt-LT"/>
        </w:rPr>
      </w:pPr>
    </w:p>
    <w:p w14:paraId="703728AD" w14:textId="0576804D" w:rsidR="00F23F5E" w:rsidRPr="00F23F5E" w:rsidRDefault="00F23F5E" w:rsidP="00F23F5E">
      <w:pPr>
        <w:spacing w:line="240" w:lineRule="auto"/>
        <w:rPr>
          <w:rFonts w:eastAsia="Times New Roman"/>
          <w:szCs w:val="20"/>
          <w:lang w:val="lt-LT"/>
        </w:rPr>
      </w:pPr>
      <w:r w:rsidRPr="00F23F5E">
        <w:rPr>
          <w:rFonts w:eastAsia="Times New Roman"/>
          <w:szCs w:val="20"/>
          <w:lang w:val="lt"/>
        </w:rPr>
        <w:t>Atlikus reprodukcijos ir vystymosi tyrimus su graužikais, nustatytas rūšiai būdingas persileidimas ir toksinis poveikis vaisingoms patelėms (sutrumpėjusi nėštumo trukmė, vaisiaus žūtis ir sumažėjęs jauniklių kūno svoris), kai sistemin</w:t>
      </w:r>
      <w:r w:rsidR="003310F6">
        <w:rPr>
          <w:rFonts w:eastAsia="Times New Roman"/>
          <w:szCs w:val="20"/>
          <w:lang w:val="lt"/>
        </w:rPr>
        <w:t>ė</w:t>
      </w:r>
      <w:r w:rsidRPr="00F23F5E">
        <w:rPr>
          <w:rFonts w:eastAsia="Times New Roman"/>
          <w:szCs w:val="20"/>
          <w:lang w:val="lt"/>
        </w:rPr>
        <w:t xml:space="preserve"> </w:t>
      </w:r>
      <w:r w:rsidR="003310F6">
        <w:rPr>
          <w:rFonts w:eastAsia="Times New Roman"/>
          <w:szCs w:val="20"/>
          <w:lang w:val="lt"/>
        </w:rPr>
        <w:t>ekspozicija</w:t>
      </w:r>
      <w:r w:rsidRPr="00F23F5E">
        <w:rPr>
          <w:rFonts w:eastAsia="Times New Roman"/>
          <w:szCs w:val="20"/>
          <w:lang w:val="lt"/>
        </w:rPr>
        <w:t xml:space="preserve"> atitinkamai 33 ir 41 kartą didesn</w:t>
      </w:r>
      <w:r w:rsidR="003310F6">
        <w:rPr>
          <w:rFonts w:eastAsia="Times New Roman"/>
          <w:szCs w:val="20"/>
          <w:lang w:val="lt"/>
        </w:rPr>
        <w:t>ė</w:t>
      </w:r>
      <w:r w:rsidRPr="00F23F5E">
        <w:rPr>
          <w:rFonts w:eastAsia="Times New Roman"/>
          <w:szCs w:val="20"/>
          <w:lang w:val="lt"/>
        </w:rPr>
        <w:t xml:space="preserve"> už tą, kur</w:t>
      </w:r>
      <w:r w:rsidR="003310F6">
        <w:rPr>
          <w:rFonts w:eastAsia="Times New Roman"/>
          <w:szCs w:val="20"/>
          <w:lang w:val="lt"/>
        </w:rPr>
        <w:t>ią</w:t>
      </w:r>
      <w:r w:rsidRPr="00F23F5E">
        <w:rPr>
          <w:rFonts w:eastAsia="Times New Roman"/>
          <w:szCs w:val="20"/>
          <w:lang w:val="lt"/>
        </w:rPr>
        <w:t xml:space="preserve"> žmonės patiria po vaist</w:t>
      </w:r>
      <w:r w:rsidR="003310F6">
        <w:rPr>
          <w:rFonts w:eastAsia="Times New Roman"/>
          <w:szCs w:val="20"/>
          <w:lang w:val="lt"/>
        </w:rPr>
        <w:t>inio preparato</w:t>
      </w:r>
      <w:r w:rsidRPr="00F23F5E">
        <w:rPr>
          <w:rFonts w:eastAsia="Times New Roman"/>
          <w:szCs w:val="20"/>
          <w:lang w:val="lt"/>
        </w:rPr>
        <w:t xml:space="preserve"> vartojimo į akis. Po poveikio į akis, kuris 103 kartus viršijo sisteminį poveikį žmogui, žiurkėms vaisingumo sutrikimų nepastebėta.</w:t>
      </w:r>
    </w:p>
    <w:p w14:paraId="0F206970" w14:textId="661D7CF8" w:rsidR="00F23F5E" w:rsidRPr="00F23F5E" w:rsidRDefault="00F23F5E" w:rsidP="00F23F5E">
      <w:pPr>
        <w:spacing w:line="240" w:lineRule="auto"/>
        <w:rPr>
          <w:rFonts w:eastAsia="Times New Roman"/>
          <w:szCs w:val="20"/>
          <w:lang w:val="lt-LT"/>
        </w:rPr>
      </w:pPr>
      <w:r w:rsidRPr="00F23F5E">
        <w:rPr>
          <w:rFonts w:eastAsia="Times New Roman"/>
          <w:szCs w:val="20"/>
          <w:lang w:val="lt"/>
        </w:rPr>
        <w:t xml:space="preserve">Po bimatoprosto </w:t>
      </w:r>
      <w:r w:rsidR="00950493">
        <w:rPr>
          <w:rFonts w:eastAsia="Times New Roman"/>
          <w:szCs w:val="20"/>
          <w:lang w:val="lt"/>
        </w:rPr>
        <w:t>skyrimo</w:t>
      </w:r>
      <w:r w:rsidR="00950493" w:rsidRPr="00F23F5E">
        <w:rPr>
          <w:rFonts w:eastAsia="Times New Roman"/>
          <w:szCs w:val="20"/>
          <w:lang w:val="lt"/>
        </w:rPr>
        <w:t xml:space="preserve"> </w:t>
      </w:r>
      <w:r w:rsidRPr="00F23F5E">
        <w:rPr>
          <w:rFonts w:eastAsia="Times New Roman"/>
          <w:szCs w:val="20"/>
          <w:lang w:val="lt"/>
        </w:rPr>
        <w:t>per burną nuo 7 nėštumo dienos iki 20 laktacijos dienos, kai sisteminio poveikio lygis 41 kartą viršijo žmonių patiriamą poveikį vartojant į akis, padidėjo jauniklių mirtingumas ir sutriko jų augimas. Nustatyta, kad po vaist</w:t>
      </w:r>
      <w:r w:rsidR="00362738">
        <w:rPr>
          <w:rFonts w:eastAsia="Times New Roman"/>
          <w:szCs w:val="20"/>
          <w:lang w:val="lt"/>
        </w:rPr>
        <w:t>inio p</w:t>
      </w:r>
      <w:r w:rsidR="00C53686" w:rsidRPr="004A1513">
        <w:rPr>
          <w:rFonts w:eastAsia="Times New Roman"/>
          <w:szCs w:val="20"/>
          <w:lang w:val="lt"/>
        </w:rPr>
        <w:t>r</w:t>
      </w:r>
      <w:r w:rsidR="00362738">
        <w:rPr>
          <w:rFonts w:eastAsia="Times New Roman"/>
          <w:szCs w:val="20"/>
          <w:lang w:val="lt"/>
        </w:rPr>
        <w:t>eparato</w:t>
      </w:r>
      <w:r w:rsidRPr="00F23F5E">
        <w:rPr>
          <w:rFonts w:eastAsia="Times New Roman"/>
          <w:szCs w:val="20"/>
          <w:lang w:val="lt"/>
        </w:rPr>
        <w:t xml:space="preserve"> </w:t>
      </w:r>
      <w:r w:rsidR="00950493">
        <w:rPr>
          <w:rFonts w:eastAsia="Times New Roman"/>
          <w:szCs w:val="20"/>
          <w:lang w:val="lt"/>
        </w:rPr>
        <w:t>skyrimo</w:t>
      </w:r>
      <w:r w:rsidR="00950493" w:rsidRPr="00F23F5E">
        <w:rPr>
          <w:rFonts w:eastAsia="Times New Roman"/>
          <w:szCs w:val="20"/>
          <w:lang w:val="lt"/>
        </w:rPr>
        <w:t xml:space="preserve"> </w:t>
      </w:r>
      <w:r w:rsidRPr="00F23F5E">
        <w:rPr>
          <w:rFonts w:eastAsia="Times New Roman"/>
          <w:szCs w:val="20"/>
          <w:lang w:val="lt"/>
        </w:rPr>
        <w:t>per burną</w:t>
      </w:r>
      <w:r w:rsidR="00B3073C">
        <w:rPr>
          <w:rFonts w:eastAsia="Times New Roman"/>
          <w:szCs w:val="20"/>
          <w:lang w:val="lt"/>
        </w:rPr>
        <w:t>,</w:t>
      </w:r>
      <w:r w:rsidRPr="00F23F5E">
        <w:rPr>
          <w:rFonts w:eastAsia="Times New Roman"/>
          <w:szCs w:val="20"/>
          <w:lang w:val="lt"/>
        </w:rPr>
        <w:t xml:space="preserve"> bimatoprosto išsiskyrė į žiurkių pieną.</w:t>
      </w:r>
    </w:p>
    <w:p w14:paraId="2F7B66C8" w14:textId="77777777" w:rsidR="00F23F5E" w:rsidRDefault="00F23F5E" w:rsidP="007A292B">
      <w:pPr>
        <w:pStyle w:val="Pagrindinistekstas"/>
        <w:spacing w:after="0"/>
        <w:ind w:right="337"/>
        <w:rPr>
          <w:szCs w:val="22"/>
          <w:lang w:val="lt-LT"/>
        </w:rPr>
      </w:pPr>
    </w:p>
    <w:p w14:paraId="5D34FA16" w14:textId="57B5AA6B" w:rsidR="007C68A4" w:rsidRPr="00AB6A8A" w:rsidRDefault="00C510E8" w:rsidP="007A292B">
      <w:pPr>
        <w:pStyle w:val="Pagrindinistekstas"/>
        <w:spacing w:after="0"/>
        <w:ind w:right="337"/>
        <w:rPr>
          <w:szCs w:val="22"/>
          <w:lang w:val="lt-LT"/>
        </w:rPr>
      </w:pPr>
      <w:r w:rsidRPr="00AB6A8A">
        <w:rPr>
          <w:szCs w:val="22"/>
          <w:lang w:val="lt-LT"/>
        </w:rPr>
        <w:t xml:space="preserve">Toksiškumo akims tyrimuose po metus trukusio </w:t>
      </w:r>
      <w:r w:rsidR="00CC67DF" w:rsidRPr="00CC67DF">
        <w:rPr>
          <w:szCs w:val="22"/>
          <w:lang w:val="lt-LT"/>
        </w:rPr>
        <w:t>≥</w:t>
      </w:r>
      <w:r w:rsidR="00156868">
        <w:rPr>
          <w:szCs w:val="22"/>
          <w:lang w:val="lt-LT"/>
        </w:rPr>
        <w:t> </w:t>
      </w:r>
      <w:r w:rsidRPr="00AB6A8A">
        <w:rPr>
          <w:szCs w:val="22"/>
          <w:lang w:val="lt-LT"/>
        </w:rPr>
        <w:t xml:space="preserve">0,3 mg/ml koncentracijos bimatoprosto kasdieninio lašinimo beždžionėms </w:t>
      </w:r>
      <w:r w:rsidR="00156868">
        <w:rPr>
          <w:szCs w:val="22"/>
          <w:lang w:val="lt-LT"/>
        </w:rPr>
        <w:t>į akis,</w:t>
      </w:r>
      <w:r w:rsidRPr="00AB6A8A">
        <w:rPr>
          <w:szCs w:val="22"/>
          <w:lang w:val="lt-LT"/>
        </w:rPr>
        <w:t xml:space="preserve"> padidėjo rainelės pigmentacija ir laikinas nuo dozės priklausomas poveikis </w:t>
      </w:r>
      <w:r w:rsidR="00156868">
        <w:rPr>
          <w:szCs w:val="22"/>
          <w:lang w:val="lt-LT"/>
        </w:rPr>
        <w:t xml:space="preserve">aplink </w:t>
      </w:r>
      <w:r w:rsidRPr="00AB6A8A">
        <w:rPr>
          <w:szCs w:val="22"/>
          <w:lang w:val="lt-LT"/>
        </w:rPr>
        <w:t>aki</w:t>
      </w:r>
      <w:r w:rsidR="00156868">
        <w:rPr>
          <w:szCs w:val="22"/>
          <w:lang w:val="lt-LT"/>
        </w:rPr>
        <w:t>s</w:t>
      </w:r>
      <w:r w:rsidRPr="00AB6A8A">
        <w:rPr>
          <w:szCs w:val="22"/>
          <w:lang w:val="lt-LT"/>
        </w:rPr>
        <w:t xml:space="preserve">, kuris pasireiškė pastebimu viršutinės ir (arba) apatinės vagelės pagilėjimu ir vokų plyšio praplatėjimu. Padidėjusią rainelės pigmentaciją, atrodo, sukelia sustiprėjęs melanocitų skatinimas gaminti melaniną, bet ne padidėjęs melanocitų skaičius. Nepastebėta jokių susijusių su poveikiu </w:t>
      </w:r>
      <w:r w:rsidR="0086177A">
        <w:rPr>
          <w:szCs w:val="22"/>
          <w:lang w:val="lt-LT"/>
        </w:rPr>
        <w:t xml:space="preserve">aplink </w:t>
      </w:r>
      <w:r w:rsidRPr="00AB6A8A">
        <w:rPr>
          <w:szCs w:val="22"/>
          <w:lang w:val="lt-LT"/>
        </w:rPr>
        <w:t>aki</w:t>
      </w:r>
      <w:r w:rsidR="0086177A">
        <w:rPr>
          <w:szCs w:val="22"/>
          <w:lang w:val="lt-LT"/>
        </w:rPr>
        <w:t xml:space="preserve">s </w:t>
      </w:r>
      <w:r w:rsidRPr="00AB6A8A">
        <w:rPr>
          <w:szCs w:val="22"/>
          <w:lang w:val="lt-LT"/>
        </w:rPr>
        <w:t xml:space="preserve">funkcinių ar mikroskopinių pokyčių. Pokyčių </w:t>
      </w:r>
      <w:r w:rsidR="001645CA">
        <w:rPr>
          <w:szCs w:val="22"/>
          <w:lang w:val="lt-LT"/>
        </w:rPr>
        <w:t>aplink</w:t>
      </w:r>
      <w:r w:rsidR="001645CA" w:rsidRPr="00AB6A8A">
        <w:rPr>
          <w:szCs w:val="22"/>
          <w:lang w:val="lt-LT"/>
        </w:rPr>
        <w:t xml:space="preserve"> </w:t>
      </w:r>
      <w:r w:rsidRPr="00AB6A8A">
        <w:rPr>
          <w:szCs w:val="22"/>
          <w:lang w:val="lt-LT"/>
        </w:rPr>
        <w:t>akis atsiradimo mechanizmas nežinomas.</w:t>
      </w:r>
    </w:p>
    <w:p w14:paraId="546B08FD" w14:textId="77777777" w:rsidR="007C68A4" w:rsidRDefault="007C68A4" w:rsidP="007A292B">
      <w:pPr>
        <w:pStyle w:val="Betarp"/>
        <w:rPr>
          <w:i/>
          <w:lang w:val="lt-LT"/>
        </w:rPr>
      </w:pPr>
    </w:p>
    <w:p w14:paraId="52F75357" w14:textId="77777777" w:rsidR="00CC67DF" w:rsidRPr="00CC67DF" w:rsidRDefault="00CC67DF" w:rsidP="00CC67DF">
      <w:pPr>
        <w:spacing w:line="240" w:lineRule="auto"/>
        <w:rPr>
          <w:rFonts w:eastAsia="Times New Roman"/>
          <w:i/>
          <w:iCs/>
          <w:szCs w:val="20"/>
          <w:lang w:val="lt-LT"/>
        </w:rPr>
      </w:pPr>
      <w:r w:rsidRPr="00CC67DF">
        <w:rPr>
          <w:rFonts w:eastAsia="Times New Roman"/>
          <w:i/>
          <w:iCs/>
          <w:szCs w:val="20"/>
          <w:lang w:val="lt"/>
        </w:rPr>
        <w:t xml:space="preserve">Timololis </w:t>
      </w:r>
    </w:p>
    <w:p w14:paraId="24AFFF97" w14:textId="35FAD25F" w:rsidR="00CC67DF" w:rsidRPr="00CC67DF" w:rsidRDefault="00CC67DF" w:rsidP="00CC67DF">
      <w:pPr>
        <w:spacing w:line="240" w:lineRule="auto"/>
        <w:rPr>
          <w:rFonts w:eastAsia="Times New Roman"/>
          <w:szCs w:val="20"/>
          <w:lang w:val="lt-LT"/>
        </w:rPr>
      </w:pPr>
      <w:r w:rsidRPr="00CC67DF">
        <w:rPr>
          <w:rFonts w:eastAsia="Times New Roman"/>
          <w:szCs w:val="20"/>
          <w:lang w:val="lt"/>
        </w:rPr>
        <w:t>Įprast</w:t>
      </w:r>
      <w:r w:rsidR="00163A5D">
        <w:rPr>
          <w:rFonts w:eastAsia="Times New Roman"/>
          <w:szCs w:val="20"/>
          <w:lang w:val="lt"/>
        </w:rPr>
        <w:t>ų</w:t>
      </w:r>
      <w:r w:rsidRPr="00CC67DF">
        <w:rPr>
          <w:rFonts w:eastAsia="Times New Roman"/>
          <w:szCs w:val="20"/>
          <w:lang w:val="lt"/>
        </w:rPr>
        <w:t xml:space="preserve"> farmakologini</w:t>
      </w:r>
      <w:r w:rsidR="00163A5D">
        <w:rPr>
          <w:rFonts w:eastAsia="Times New Roman"/>
          <w:szCs w:val="20"/>
          <w:lang w:val="lt"/>
        </w:rPr>
        <w:t>o</w:t>
      </w:r>
      <w:r w:rsidRPr="00CC67DF">
        <w:rPr>
          <w:rFonts w:eastAsia="Times New Roman"/>
          <w:szCs w:val="20"/>
          <w:lang w:val="lt"/>
        </w:rPr>
        <w:t xml:space="preserve"> saugumo, </w:t>
      </w:r>
      <w:r w:rsidR="00163A5D">
        <w:rPr>
          <w:rFonts w:eastAsia="Times New Roman"/>
          <w:szCs w:val="20"/>
          <w:lang w:val="lt"/>
        </w:rPr>
        <w:t>kartotinių dozių</w:t>
      </w:r>
      <w:r w:rsidRPr="00CC67DF">
        <w:rPr>
          <w:rFonts w:eastAsia="Times New Roman"/>
          <w:szCs w:val="20"/>
          <w:lang w:val="lt"/>
        </w:rPr>
        <w:t xml:space="preserve"> toksiškumo, </w:t>
      </w:r>
      <w:r w:rsidR="00163A5D">
        <w:rPr>
          <w:rFonts w:eastAsia="Times New Roman"/>
          <w:szCs w:val="20"/>
          <w:lang w:val="lt"/>
        </w:rPr>
        <w:t>genotoksiškumo ikiklinikinių</w:t>
      </w:r>
      <w:r w:rsidRPr="00CC67DF">
        <w:rPr>
          <w:rFonts w:eastAsia="Times New Roman"/>
          <w:szCs w:val="20"/>
          <w:lang w:val="lt"/>
        </w:rPr>
        <w:t xml:space="preserve"> tyrimų </w:t>
      </w:r>
      <w:r w:rsidR="00163A5D">
        <w:rPr>
          <w:rFonts w:eastAsia="Times New Roman"/>
          <w:szCs w:val="20"/>
          <w:lang w:val="lt"/>
        </w:rPr>
        <w:t>duomenys</w:t>
      </w:r>
      <w:r w:rsidR="00CB38AE">
        <w:rPr>
          <w:rFonts w:eastAsia="Times New Roman"/>
          <w:szCs w:val="20"/>
          <w:lang w:val="lt"/>
        </w:rPr>
        <w:t xml:space="preserve"> specifinio</w:t>
      </w:r>
      <w:r w:rsidRPr="00CC67DF">
        <w:rPr>
          <w:rFonts w:eastAsia="Times New Roman"/>
          <w:szCs w:val="20"/>
          <w:lang w:val="lt"/>
        </w:rPr>
        <w:t xml:space="preserve"> pavojaus žmogui </w:t>
      </w:r>
      <w:r w:rsidR="00CB38AE">
        <w:rPr>
          <w:rFonts w:eastAsia="Times New Roman"/>
          <w:szCs w:val="20"/>
          <w:lang w:val="lt"/>
        </w:rPr>
        <w:t>nerodo</w:t>
      </w:r>
      <w:r w:rsidRPr="00CC67DF">
        <w:rPr>
          <w:rFonts w:eastAsia="Times New Roman"/>
          <w:szCs w:val="20"/>
          <w:lang w:val="lt"/>
        </w:rPr>
        <w:t xml:space="preserve">. </w:t>
      </w:r>
      <w:bookmarkStart w:id="37" w:name="_Hlk148458086"/>
      <w:r w:rsidRPr="00CC67DF">
        <w:rPr>
          <w:rFonts w:eastAsia="Times New Roman"/>
          <w:szCs w:val="20"/>
          <w:lang w:val="lt"/>
        </w:rPr>
        <w:t xml:space="preserve">Nepageidaujamas poveikis kancerogeniškumo ir reprodukcijos bei vystymosi tyrimuose (t. y. </w:t>
      </w:r>
      <w:r w:rsidRPr="00CC67DF">
        <w:rPr>
          <w:rFonts w:eastAsia="Times New Roman"/>
          <w:noProof/>
          <w:lang w:val="lt"/>
        </w:rPr>
        <w:t>sulėtėj</w:t>
      </w:r>
      <w:r w:rsidR="00CB38AE">
        <w:rPr>
          <w:rFonts w:eastAsia="Times New Roman"/>
          <w:noProof/>
          <w:lang w:val="lt"/>
        </w:rPr>
        <w:t>ęs</w:t>
      </w:r>
      <w:r w:rsidRPr="00CC67DF">
        <w:rPr>
          <w:rFonts w:eastAsia="Times New Roman"/>
          <w:noProof/>
          <w:lang w:val="lt"/>
        </w:rPr>
        <w:t xml:space="preserve"> vaisiaus kaulėjim</w:t>
      </w:r>
      <w:r w:rsidR="00CB38AE">
        <w:rPr>
          <w:rFonts w:eastAsia="Times New Roman"/>
          <w:noProof/>
          <w:lang w:val="lt"/>
        </w:rPr>
        <w:t>as</w:t>
      </w:r>
      <w:r w:rsidRPr="00CC67DF">
        <w:rPr>
          <w:rFonts w:eastAsia="Times New Roman"/>
          <w:noProof/>
          <w:lang w:val="lt"/>
        </w:rPr>
        <w:t>, padidėjęs vaisiaus rezorbcijos atvejų skaičius</w:t>
      </w:r>
      <w:r w:rsidRPr="00CC67DF">
        <w:rPr>
          <w:rFonts w:eastAsia="Times New Roman"/>
          <w:szCs w:val="20"/>
          <w:lang w:val="lt"/>
        </w:rPr>
        <w:t>) buvo pastebėtas tik esant poveikiui, kuris laikomas pakankamai viršijančiu didžiausią leistiną poveikį žmogui, o tai rodo, kad klinikiniam naudojimui jis yra mažai svarbus</w:t>
      </w:r>
      <w:bookmarkEnd w:id="37"/>
      <w:r w:rsidRPr="00CC67DF">
        <w:rPr>
          <w:rFonts w:eastAsia="Times New Roman"/>
          <w:szCs w:val="20"/>
          <w:lang w:val="lt"/>
        </w:rPr>
        <w:t>. Žiurkėms nepastebėta jokių vaisingumo sutrikimų, kai poveikis laikytas pakankamai didesniu už poveikį žmogui, kai preparatas buvo lašinamas į akis.</w:t>
      </w:r>
    </w:p>
    <w:p w14:paraId="36576CD7" w14:textId="77777777" w:rsidR="00CC67DF" w:rsidRPr="00AB6A8A" w:rsidRDefault="00CC67DF" w:rsidP="007A292B">
      <w:pPr>
        <w:pStyle w:val="Betarp"/>
        <w:rPr>
          <w:i/>
          <w:lang w:val="lt-LT"/>
        </w:rPr>
      </w:pPr>
    </w:p>
    <w:p w14:paraId="2944BA70" w14:textId="5ACE302D" w:rsidR="007C68A4" w:rsidRPr="00AB6A8A" w:rsidRDefault="00C510E8" w:rsidP="007A292B">
      <w:pPr>
        <w:pStyle w:val="Betarp"/>
        <w:rPr>
          <w:iCs/>
          <w:u w:val="single"/>
          <w:lang w:val="lt-LT"/>
        </w:rPr>
      </w:pPr>
      <w:r w:rsidRPr="00AB6A8A">
        <w:rPr>
          <w:iCs/>
          <w:u w:val="single"/>
          <w:lang w:val="lt-LT"/>
        </w:rPr>
        <w:t>Akių tolerancija</w:t>
      </w:r>
    </w:p>
    <w:p w14:paraId="41B53932" w14:textId="414848C9" w:rsidR="007C68A4" w:rsidRPr="00AB6A8A" w:rsidRDefault="00AA211B" w:rsidP="007A292B">
      <w:pPr>
        <w:pStyle w:val="Betarp"/>
        <w:rPr>
          <w:lang w:val="lt-LT"/>
        </w:rPr>
      </w:pPr>
      <w:r>
        <w:rPr>
          <w:lang w:val="lt-LT"/>
        </w:rPr>
        <w:t>Ed</w:t>
      </w:r>
      <w:r w:rsidR="007643D3" w:rsidRPr="007643D3">
        <w:rPr>
          <w:lang w:val="lt-LT"/>
        </w:rPr>
        <w:t>uelym</w:t>
      </w:r>
      <w:r w:rsidR="00C510E8" w:rsidRPr="00AB6A8A">
        <w:rPr>
          <w:lang w:val="lt-LT"/>
        </w:rPr>
        <w:t xml:space="preserve"> skiriant gyvūnams į akis vieną kartą per parą 28 dienas, vietinio ar sisteminio toksinio poveikio nepastebėta.</w:t>
      </w:r>
    </w:p>
    <w:p w14:paraId="5AA94EF9" w14:textId="77777777" w:rsidR="00C510E8" w:rsidRPr="00AB6A8A" w:rsidRDefault="00C510E8" w:rsidP="007A292B">
      <w:pPr>
        <w:pStyle w:val="Betarp"/>
        <w:rPr>
          <w:lang w:val="lt-LT"/>
        </w:rPr>
      </w:pPr>
    </w:p>
    <w:p w14:paraId="605FFE17" w14:textId="77777777" w:rsidR="007C68A4" w:rsidRPr="00AB6A8A" w:rsidRDefault="007C68A4" w:rsidP="007A292B">
      <w:pPr>
        <w:pStyle w:val="Betarp"/>
        <w:rPr>
          <w:b/>
          <w:lang w:val="lt-LT"/>
        </w:rPr>
      </w:pPr>
    </w:p>
    <w:p w14:paraId="5DA3AAC5" w14:textId="77777777" w:rsidR="007C68A4" w:rsidRPr="00AB6A8A" w:rsidRDefault="007C68A4" w:rsidP="007A292B">
      <w:pPr>
        <w:pStyle w:val="Betarp"/>
        <w:rPr>
          <w:b/>
          <w:lang w:val="lt-LT"/>
        </w:rPr>
      </w:pPr>
      <w:bookmarkStart w:id="38" w:name="_Toc129243115"/>
      <w:bookmarkStart w:id="39" w:name="_Toc129243240"/>
      <w:r w:rsidRPr="00AB6A8A">
        <w:rPr>
          <w:b/>
          <w:lang w:val="lt-LT"/>
        </w:rPr>
        <w:t>6.</w:t>
      </w:r>
      <w:r w:rsidRPr="00AB6A8A">
        <w:rPr>
          <w:b/>
          <w:lang w:val="lt-LT"/>
        </w:rPr>
        <w:tab/>
        <w:t>FARMACINĖ INFORMACIJA</w:t>
      </w:r>
      <w:bookmarkEnd w:id="38"/>
      <w:bookmarkEnd w:id="39"/>
    </w:p>
    <w:p w14:paraId="6ADB2F6A" w14:textId="77777777" w:rsidR="007C68A4" w:rsidRPr="00AB6A8A" w:rsidRDefault="007C68A4" w:rsidP="007A292B">
      <w:pPr>
        <w:pStyle w:val="Betarp"/>
        <w:rPr>
          <w:b/>
          <w:lang w:val="lt-LT"/>
        </w:rPr>
      </w:pPr>
    </w:p>
    <w:p w14:paraId="75B6EC44" w14:textId="77777777" w:rsidR="007C68A4" w:rsidRPr="00AB6A8A" w:rsidRDefault="007C68A4" w:rsidP="007A292B">
      <w:pPr>
        <w:pStyle w:val="Betarp"/>
        <w:rPr>
          <w:b/>
          <w:lang w:val="lt-LT"/>
        </w:rPr>
      </w:pPr>
      <w:bookmarkStart w:id="40" w:name="_Toc129243116"/>
      <w:bookmarkStart w:id="41" w:name="_Toc129243241"/>
      <w:r w:rsidRPr="00AB6A8A">
        <w:rPr>
          <w:b/>
          <w:lang w:val="lt-LT"/>
        </w:rPr>
        <w:t>6.1</w:t>
      </w:r>
      <w:r w:rsidRPr="00AB6A8A">
        <w:rPr>
          <w:b/>
          <w:lang w:val="lt-LT"/>
        </w:rPr>
        <w:tab/>
        <w:t>Pagalbinių medžiagų sąrašas</w:t>
      </w:r>
      <w:bookmarkEnd w:id="40"/>
      <w:bookmarkEnd w:id="41"/>
    </w:p>
    <w:p w14:paraId="0592E92A" w14:textId="77777777" w:rsidR="007C68A4" w:rsidRPr="00AB6A8A" w:rsidRDefault="007C68A4" w:rsidP="007A292B">
      <w:pPr>
        <w:pStyle w:val="Betarp"/>
        <w:rPr>
          <w:lang w:val="lt-LT"/>
        </w:rPr>
      </w:pPr>
    </w:p>
    <w:p w14:paraId="6E72085D" w14:textId="77777777" w:rsidR="007C68A4" w:rsidRPr="00AB6A8A" w:rsidRDefault="007C68A4" w:rsidP="007A292B">
      <w:pPr>
        <w:pStyle w:val="Betarp"/>
        <w:rPr>
          <w:lang w:val="lt-LT"/>
        </w:rPr>
      </w:pPr>
      <w:r w:rsidRPr="00AB6A8A">
        <w:rPr>
          <w:lang w:val="lt-LT"/>
        </w:rPr>
        <w:t>Sorbitolis</w:t>
      </w:r>
    </w:p>
    <w:p w14:paraId="537B4FEE" w14:textId="77777777" w:rsidR="007C68A4" w:rsidRPr="00AB6A8A" w:rsidRDefault="007C68A4" w:rsidP="007A292B">
      <w:pPr>
        <w:pStyle w:val="Betarp"/>
        <w:rPr>
          <w:lang w:val="lt-LT"/>
        </w:rPr>
      </w:pPr>
      <w:r w:rsidRPr="00AB6A8A">
        <w:rPr>
          <w:lang w:val="lt-LT"/>
        </w:rPr>
        <w:t>Karbomeras</w:t>
      </w:r>
    </w:p>
    <w:p w14:paraId="445EEA1E" w14:textId="72654BF8" w:rsidR="00025E6D" w:rsidRPr="00AB6A8A" w:rsidRDefault="00025E6D" w:rsidP="007A292B">
      <w:pPr>
        <w:pStyle w:val="Betarp"/>
        <w:rPr>
          <w:lang w:val="lt-LT"/>
        </w:rPr>
      </w:pPr>
      <w:r w:rsidRPr="00AB6A8A">
        <w:rPr>
          <w:lang w:val="lt-LT"/>
        </w:rPr>
        <w:t>Lizin</w:t>
      </w:r>
      <w:r w:rsidR="001B13C0">
        <w:rPr>
          <w:lang w:val="lt-LT"/>
        </w:rPr>
        <w:t>as</w:t>
      </w:r>
      <w:r w:rsidRPr="00AB6A8A">
        <w:rPr>
          <w:lang w:val="lt-LT"/>
        </w:rPr>
        <w:t xml:space="preserve"> monohidratas</w:t>
      </w:r>
    </w:p>
    <w:p w14:paraId="6C88222F" w14:textId="51FD9107" w:rsidR="00025E6D" w:rsidRPr="00AB6A8A" w:rsidRDefault="00025E6D" w:rsidP="007A292B">
      <w:pPr>
        <w:pStyle w:val="Betarp"/>
        <w:rPr>
          <w:lang w:val="lt-LT"/>
        </w:rPr>
      </w:pPr>
      <w:r w:rsidRPr="00AB6A8A">
        <w:rPr>
          <w:lang w:val="lt-LT"/>
        </w:rPr>
        <w:t>Makrogolis</w:t>
      </w:r>
    </w:p>
    <w:p w14:paraId="2D19E12D" w14:textId="39390189" w:rsidR="00025E6D" w:rsidRPr="00AB6A8A" w:rsidRDefault="00025E6D" w:rsidP="007A292B">
      <w:pPr>
        <w:pStyle w:val="Betarp"/>
        <w:rPr>
          <w:lang w:val="lt-LT"/>
        </w:rPr>
      </w:pPr>
      <w:r w:rsidRPr="00AB6A8A">
        <w:rPr>
          <w:lang w:val="lt-LT"/>
        </w:rPr>
        <w:t>Natrio acetatas trihidratas</w:t>
      </w:r>
    </w:p>
    <w:p w14:paraId="176A7EA4" w14:textId="77777777" w:rsidR="007C68A4" w:rsidRPr="00AB6A8A" w:rsidRDefault="007C68A4" w:rsidP="007A292B">
      <w:pPr>
        <w:pStyle w:val="Betarp"/>
        <w:rPr>
          <w:lang w:val="lt-LT"/>
        </w:rPr>
      </w:pPr>
      <w:r w:rsidRPr="00AB6A8A">
        <w:rPr>
          <w:lang w:val="lt-LT"/>
        </w:rPr>
        <w:t>Injekcinis vanduo</w:t>
      </w:r>
    </w:p>
    <w:p w14:paraId="6B8924BB" w14:textId="77777777" w:rsidR="007C68A4" w:rsidRPr="00AB6A8A" w:rsidRDefault="007C68A4" w:rsidP="007A292B">
      <w:pPr>
        <w:pStyle w:val="Betarp"/>
        <w:rPr>
          <w:b/>
          <w:lang w:val="lt-LT"/>
        </w:rPr>
      </w:pPr>
    </w:p>
    <w:p w14:paraId="0752FAE5" w14:textId="77777777" w:rsidR="007C68A4" w:rsidRPr="00AB6A8A" w:rsidRDefault="007C68A4" w:rsidP="007A292B">
      <w:pPr>
        <w:pStyle w:val="Betarp"/>
        <w:rPr>
          <w:b/>
          <w:lang w:val="lt-LT"/>
        </w:rPr>
      </w:pPr>
      <w:bookmarkStart w:id="42" w:name="_Toc129243117"/>
      <w:bookmarkStart w:id="43" w:name="_Toc129243242"/>
      <w:r w:rsidRPr="00AB6A8A">
        <w:rPr>
          <w:b/>
          <w:lang w:val="lt-LT"/>
        </w:rPr>
        <w:t>6.2</w:t>
      </w:r>
      <w:r w:rsidRPr="00AB6A8A">
        <w:rPr>
          <w:b/>
          <w:lang w:val="lt-LT"/>
        </w:rPr>
        <w:tab/>
        <w:t>Nesuderinamumas</w:t>
      </w:r>
      <w:bookmarkEnd w:id="42"/>
      <w:bookmarkEnd w:id="43"/>
    </w:p>
    <w:p w14:paraId="156FD878" w14:textId="77777777" w:rsidR="007C68A4" w:rsidRPr="00AB6A8A" w:rsidRDefault="007C68A4" w:rsidP="007A292B">
      <w:pPr>
        <w:pStyle w:val="Betarp"/>
        <w:rPr>
          <w:lang w:val="lt-LT"/>
        </w:rPr>
      </w:pPr>
    </w:p>
    <w:p w14:paraId="134F4584" w14:textId="3320518B" w:rsidR="007C68A4" w:rsidRPr="00AB6A8A" w:rsidRDefault="001B13C0" w:rsidP="007A292B">
      <w:pPr>
        <w:pStyle w:val="Betarp"/>
        <w:rPr>
          <w:lang w:val="lt-LT"/>
        </w:rPr>
      </w:pPr>
      <w:r w:rsidRPr="004A1513">
        <w:rPr>
          <w:noProof/>
          <w:snapToGrid w:val="0"/>
          <w:szCs w:val="24"/>
          <w:lang w:val="lt-LT"/>
        </w:rPr>
        <w:t>Duomenys nebūtini</w:t>
      </w:r>
      <w:r w:rsidRPr="00AB6A8A" w:rsidDel="001B13C0">
        <w:rPr>
          <w:lang w:val="lt-LT"/>
        </w:rPr>
        <w:t xml:space="preserve"> </w:t>
      </w:r>
    </w:p>
    <w:p w14:paraId="3FD896ED" w14:textId="77777777" w:rsidR="00D97019" w:rsidRPr="00AB6A8A" w:rsidRDefault="00D97019" w:rsidP="007A292B">
      <w:pPr>
        <w:pStyle w:val="Betarp"/>
        <w:rPr>
          <w:b/>
          <w:lang w:val="lt-LT"/>
        </w:rPr>
      </w:pPr>
    </w:p>
    <w:p w14:paraId="632A89E1" w14:textId="77777777" w:rsidR="007C68A4" w:rsidRPr="00AB6A8A" w:rsidRDefault="007C68A4" w:rsidP="007A292B">
      <w:pPr>
        <w:pStyle w:val="Betarp"/>
        <w:rPr>
          <w:b/>
          <w:lang w:val="lt-LT"/>
        </w:rPr>
      </w:pPr>
      <w:bookmarkStart w:id="44" w:name="_Toc129243118"/>
      <w:bookmarkStart w:id="45" w:name="_Toc129243243"/>
      <w:r w:rsidRPr="00AB6A8A">
        <w:rPr>
          <w:b/>
          <w:lang w:val="lt-LT"/>
        </w:rPr>
        <w:t>6.3</w:t>
      </w:r>
      <w:r w:rsidRPr="00AB6A8A">
        <w:rPr>
          <w:b/>
          <w:lang w:val="lt-LT"/>
        </w:rPr>
        <w:tab/>
        <w:t>Tinkamumo laikas</w:t>
      </w:r>
      <w:bookmarkEnd w:id="44"/>
      <w:bookmarkEnd w:id="45"/>
    </w:p>
    <w:p w14:paraId="71F86E07" w14:textId="77777777" w:rsidR="007C68A4" w:rsidRPr="00AB6A8A" w:rsidRDefault="007C68A4" w:rsidP="007A292B">
      <w:pPr>
        <w:pStyle w:val="Betarp"/>
        <w:rPr>
          <w:lang w:val="lt-LT"/>
        </w:rPr>
      </w:pPr>
    </w:p>
    <w:p w14:paraId="62A1F4F5" w14:textId="1787810D" w:rsidR="007C68A4" w:rsidRPr="00AB6A8A" w:rsidRDefault="007C68A4" w:rsidP="007A292B">
      <w:pPr>
        <w:pStyle w:val="Betarp"/>
        <w:rPr>
          <w:lang w:val="lt-LT"/>
        </w:rPr>
      </w:pPr>
      <w:r w:rsidRPr="00AB6A8A">
        <w:rPr>
          <w:lang w:val="lt-LT"/>
        </w:rPr>
        <w:t>2 metai</w:t>
      </w:r>
      <w:r w:rsidR="001B13C0">
        <w:rPr>
          <w:lang w:val="lt-LT"/>
        </w:rPr>
        <w:t>.</w:t>
      </w:r>
    </w:p>
    <w:p w14:paraId="4388B9A3" w14:textId="77777777" w:rsidR="00D97019" w:rsidRPr="00AB6A8A" w:rsidRDefault="00D97019" w:rsidP="007A292B">
      <w:pPr>
        <w:pStyle w:val="Betarp"/>
        <w:rPr>
          <w:lang w:val="lt-LT"/>
        </w:rPr>
      </w:pPr>
    </w:p>
    <w:p w14:paraId="2B796566" w14:textId="77777777" w:rsidR="00D97019" w:rsidRPr="00AB6A8A" w:rsidRDefault="00D97019" w:rsidP="007A292B">
      <w:pPr>
        <w:tabs>
          <w:tab w:val="left" w:pos="567"/>
        </w:tabs>
        <w:spacing w:line="240" w:lineRule="auto"/>
        <w:jc w:val="both"/>
        <w:rPr>
          <w:rFonts w:eastAsia="Times New Roman"/>
          <w:lang w:val="lt-LT"/>
        </w:rPr>
      </w:pPr>
      <w:bookmarkStart w:id="46" w:name="_Hlk126588966"/>
      <w:r w:rsidRPr="00AB6A8A">
        <w:rPr>
          <w:rFonts w:eastAsia="Times New Roman"/>
          <w:lang w:val="lt-LT"/>
        </w:rPr>
        <w:t>Atidarius paketėlį: vienadozę talpyklę suvartoti per 1 mėnesį.</w:t>
      </w:r>
    </w:p>
    <w:p w14:paraId="6B33B159" w14:textId="77777777" w:rsidR="00D97019" w:rsidRPr="00AB6A8A" w:rsidRDefault="00D97019" w:rsidP="007A292B">
      <w:pPr>
        <w:tabs>
          <w:tab w:val="left" w:pos="567"/>
        </w:tabs>
        <w:spacing w:line="240" w:lineRule="auto"/>
        <w:jc w:val="both"/>
        <w:rPr>
          <w:rFonts w:eastAsia="Times New Roman"/>
          <w:lang w:val="lt-LT"/>
        </w:rPr>
      </w:pPr>
      <w:bookmarkStart w:id="47" w:name="_Hlk126588975"/>
      <w:bookmarkEnd w:id="46"/>
      <w:r w:rsidRPr="00AB6A8A">
        <w:rPr>
          <w:rFonts w:eastAsia="Times New Roman"/>
          <w:lang w:val="lt-LT"/>
        </w:rPr>
        <w:t>Atidarius vienadozę talpyklę: vartoti nedelsiant, o pavartojus – išmesti.</w:t>
      </w:r>
    </w:p>
    <w:bookmarkEnd w:id="47"/>
    <w:p w14:paraId="34CAA9AE" w14:textId="77777777" w:rsidR="007C68A4" w:rsidRPr="00AB6A8A" w:rsidRDefault="007C68A4" w:rsidP="007A292B">
      <w:pPr>
        <w:pStyle w:val="Betarp"/>
        <w:rPr>
          <w:b/>
          <w:lang w:val="lt-LT"/>
        </w:rPr>
      </w:pPr>
    </w:p>
    <w:p w14:paraId="5DDC5831" w14:textId="77777777" w:rsidR="007C68A4" w:rsidRPr="00AB6A8A" w:rsidRDefault="007C68A4" w:rsidP="007A292B">
      <w:pPr>
        <w:pStyle w:val="Betarp"/>
        <w:rPr>
          <w:b/>
          <w:lang w:val="lt-LT"/>
        </w:rPr>
      </w:pPr>
      <w:bookmarkStart w:id="48" w:name="_Toc129243119"/>
      <w:bookmarkStart w:id="49" w:name="_Toc129243244"/>
      <w:r w:rsidRPr="00AB6A8A">
        <w:rPr>
          <w:b/>
          <w:lang w:val="lt-LT"/>
        </w:rPr>
        <w:t>6.4</w:t>
      </w:r>
      <w:r w:rsidRPr="00AB6A8A">
        <w:rPr>
          <w:b/>
          <w:lang w:val="lt-LT"/>
        </w:rPr>
        <w:tab/>
        <w:t>Specialios laikymo sąlygos</w:t>
      </w:r>
      <w:bookmarkEnd w:id="48"/>
      <w:bookmarkEnd w:id="49"/>
    </w:p>
    <w:p w14:paraId="693043CA" w14:textId="77777777" w:rsidR="007C68A4" w:rsidRPr="00AB6A8A" w:rsidRDefault="007C68A4" w:rsidP="007A292B">
      <w:pPr>
        <w:pStyle w:val="Betarp"/>
        <w:rPr>
          <w:lang w:val="lt-LT"/>
        </w:rPr>
      </w:pPr>
    </w:p>
    <w:p w14:paraId="4CD55CF6" w14:textId="2AA5BB4C" w:rsidR="0068179C" w:rsidRPr="00AB6A8A" w:rsidRDefault="0068179C" w:rsidP="007A292B">
      <w:pPr>
        <w:pStyle w:val="Betarp"/>
        <w:rPr>
          <w:lang w:val="lt-LT"/>
        </w:rPr>
      </w:pPr>
      <w:r w:rsidRPr="00AB6A8A">
        <w:rPr>
          <w:lang w:val="lt-LT"/>
        </w:rPr>
        <w:t xml:space="preserve">Laikyti ne aukštesnėje kaip </w:t>
      </w:r>
      <w:r w:rsidRPr="00AB6A8A">
        <w:rPr>
          <w:noProof/>
          <w:lang w:val="lt-LT"/>
        </w:rPr>
        <w:t>25 °C temperatūroje.</w:t>
      </w:r>
    </w:p>
    <w:p w14:paraId="6116369C" w14:textId="668CF5F2" w:rsidR="002A5465" w:rsidRPr="00AB6A8A" w:rsidRDefault="001B13C0" w:rsidP="007A292B">
      <w:pPr>
        <w:pStyle w:val="Betarp"/>
        <w:rPr>
          <w:lang w:val="lt-LT"/>
        </w:rPr>
      </w:pPr>
      <w:r>
        <w:rPr>
          <w:lang w:val="lt-LT"/>
        </w:rPr>
        <w:t>V</w:t>
      </w:r>
      <w:r w:rsidR="002A5465" w:rsidRPr="00AB6A8A">
        <w:rPr>
          <w:lang w:val="lt-LT"/>
        </w:rPr>
        <w:t xml:space="preserve">ienadozes talpykles </w:t>
      </w:r>
      <w:r>
        <w:rPr>
          <w:lang w:val="lt-LT"/>
        </w:rPr>
        <w:t xml:space="preserve">laikyti </w:t>
      </w:r>
      <w:r w:rsidR="002A5465" w:rsidRPr="00AB6A8A">
        <w:rPr>
          <w:lang w:val="lt-LT"/>
        </w:rPr>
        <w:t>paketėlyje, kad vaistinis preparatas būtų apsaugotas nuo šviesos.</w:t>
      </w:r>
    </w:p>
    <w:p w14:paraId="5132A51C" w14:textId="2C39F2BD" w:rsidR="007C68A4" w:rsidRPr="00AB6A8A" w:rsidRDefault="002A5465" w:rsidP="007A292B">
      <w:pPr>
        <w:pStyle w:val="Betarp"/>
        <w:rPr>
          <w:lang w:val="lt-LT"/>
        </w:rPr>
      </w:pPr>
      <w:r w:rsidRPr="00AB6A8A">
        <w:rPr>
          <w:lang w:val="lt-LT"/>
        </w:rPr>
        <w:t>Pirmą kartą atidaryto vaistinio preparato laikymo sąlygos pateikiamos 6.3 skyriuje.</w:t>
      </w:r>
    </w:p>
    <w:p w14:paraId="211A0877" w14:textId="77777777" w:rsidR="002A5465" w:rsidRPr="00AB6A8A" w:rsidRDefault="002A5465" w:rsidP="007A292B">
      <w:pPr>
        <w:pStyle w:val="Betarp"/>
        <w:rPr>
          <w:b/>
          <w:lang w:val="lt-LT"/>
        </w:rPr>
      </w:pPr>
    </w:p>
    <w:p w14:paraId="1EF4FBF7" w14:textId="77777777" w:rsidR="007C68A4" w:rsidRPr="00AB6A8A" w:rsidRDefault="007C68A4" w:rsidP="007A292B">
      <w:pPr>
        <w:pStyle w:val="Betarp"/>
        <w:rPr>
          <w:b/>
          <w:lang w:val="lt-LT"/>
        </w:rPr>
      </w:pPr>
      <w:bookmarkStart w:id="50" w:name="_Toc129243120"/>
      <w:bookmarkStart w:id="51" w:name="_Toc129243245"/>
      <w:r w:rsidRPr="00AB6A8A">
        <w:rPr>
          <w:b/>
          <w:lang w:val="lt-LT"/>
        </w:rPr>
        <w:t>6.5</w:t>
      </w:r>
      <w:r w:rsidRPr="00AB6A8A">
        <w:rPr>
          <w:b/>
          <w:lang w:val="lt-LT"/>
        </w:rPr>
        <w:tab/>
        <w:t>Talpyklės pobūdis ir jos turinys</w:t>
      </w:r>
      <w:bookmarkEnd w:id="50"/>
      <w:bookmarkEnd w:id="51"/>
    </w:p>
    <w:p w14:paraId="3772EF93" w14:textId="77777777" w:rsidR="007C68A4" w:rsidRPr="00AB6A8A" w:rsidRDefault="007C68A4" w:rsidP="007A292B">
      <w:pPr>
        <w:pStyle w:val="Betarp"/>
        <w:rPr>
          <w:lang w:val="lt-LT"/>
        </w:rPr>
      </w:pPr>
    </w:p>
    <w:p w14:paraId="1C2FE354" w14:textId="0B4B0EA6" w:rsidR="009254E0" w:rsidRPr="00AB6A8A" w:rsidRDefault="009254E0" w:rsidP="007A292B">
      <w:pPr>
        <w:spacing w:line="240" w:lineRule="auto"/>
        <w:jc w:val="both"/>
        <w:rPr>
          <w:lang w:val="lt-LT"/>
        </w:rPr>
      </w:pPr>
      <w:r w:rsidRPr="00AB6A8A">
        <w:rPr>
          <w:lang w:val="lt-LT"/>
        </w:rPr>
        <w:t>10 vienadozių talpyklių (MTPE), kuriose yra 0,3 g akių gelio, supakuotų į paketėlį (polietileno</w:t>
      </w:r>
      <w:r w:rsidR="001B13C0">
        <w:rPr>
          <w:lang w:val="lt-LT"/>
        </w:rPr>
        <w:t xml:space="preserve"> </w:t>
      </w:r>
      <w:r w:rsidRPr="00AB6A8A">
        <w:rPr>
          <w:lang w:val="lt-LT"/>
        </w:rPr>
        <w:t>/</w:t>
      </w:r>
      <w:r w:rsidR="001B13C0">
        <w:rPr>
          <w:lang w:val="lt-LT"/>
        </w:rPr>
        <w:t xml:space="preserve"> </w:t>
      </w:r>
      <w:r w:rsidRPr="00AB6A8A">
        <w:rPr>
          <w:lang w:val="lt-LT"/>
        </w:rPr>
        <w:t>aliuminio</w:t>
      </w:r>
      <w:r w:rsidR="001B13C0">
        <w:rPr>
          <w:lang w:val="lt-LT"/>
        </w:rPr>
        <w:t xml:space="preserve"> </w:t>
      </w:r>
      <w:r w:rsidRPr="00AB6A8A">
        <w:rPr>
          <w:lang w:val="lt-LT"/>
        </w:rPr>
        <w:t>/</w:t>
      </w:r>
      <w:r w:rsidR="001B13C0">
        <w:rPr>
          <w:lang w:val="lt-LT"/>
        </w:rPr>
        <w:t xml:space="preserve"> </w:t>
      </w:r>
      <w:r w:rsidRPr="00AB6A8A">
        <w:rPr>
          <w:lang w:val="lt-LT"/>
        </w:rPr>
        <w:t>polietileno</w:t>
      </w:r>
      <w:r w:rsidR="001B13C0">
        <w:rPr>
          <w:lang w:val="lt-LT"/>
        </w:rPr>
        <w:t xml:space="preserve"> </w:t>
      </w:r>
      <w:r w:rsidRPr="00AB6A8A">
        <w:rPr>
          <w:lang w:val="lt-LT"/>
        </w:rPr>
        <w:t>/</w:t>
      </w:r>
      <w:r w:rsidR="001B13C0">
        <w:rPr>
          <w:lang w:val="lt-LT"/>
        </w:rPr>
        <w:t xml:space="preserve"> </w:t>
      </w:r>
      <w:r w:rsidRPr="00AB6A8A">
        <w:rPr>
          <w:lang w:val="lt-LT"/>
        </w:rPr>
        <w:t>PET).</w:t>
      </w:r>
    </w:p>
    <w:p w14:paraId="6DCF7FAB" w14:textId="77777777" w:rsidR="009254E0" w:rsidRPr="00AB6A8A" w:rsidRDefault="009254E0" w:rsidP="007A292B">
      <w:pPr>
        <w:spacing w:line="240" w:lineRule="auto"/>
        <w:jc w:val="both"/>
        <w:rPr>
          <w:lang w:val="lt-LT"/>
        </w:rPr>
      </w:pPr>
    </w:p>
    <w:p w14:paraId="7430BF44" w14:textId="6191209F" w:rsidR="009254E0" w:rsidRDefault="009254E0" w:rsidP="007A292B">
      <w:pPr>
        <w:spacing w:line="240" w:lineRule="auto"/>
        <w:rPr>
          <w:lang w:val="lt-LT"/>
        </w:rPr>
      </w:pPr>
      <w:r w:rsidRPr="00AB6A8A">
        <w:rPr>
          <w:lang w:val="lt-LT"/>
        </w:rPr>
        <w:t>Pakuotės dydis: 10 (1</w:t>
      </w:r>
      <w:r w:rsidR="001B13C0">
        <w:rPr>
          <w:lang w:val="lt-LT"/>
        </w:rPr>
        <w:t xml:space="preserve"> </w:t>
      </w:r>
      <w:r w:rsidRPr="00AB6A8A">
        <w:rPr>
          <w:lang w:val="lt-LT"/>
        </w:rPr>
        <w:t>x</w:t>
      </w:r>
      <w:r w:rsidR="001B13C0">
        <w:rPr>
          <w:lang w:val="lt-LT"/>
        </w:rPr>
        <w:t xml:space="preserve"> </w:t>
      </w:r>
      <w:r w:rsidRPr="00AB6A8A">
        <w:rPr>
          <w:lang w:val="lt-LT"/>
        </w:rPr>
        <w:t>10), 30 (3</w:t>
      </w:r>
      <w:r w:rsidR="001B13C0">
        <w:rPr>
          <w:lang w:val="lt-LT"/>
        </w:rPr>
        <w:t xml:space="preserve"> </w:t>
      </w:r>
      <w:r w:rsidRPr="00AB6A8A">
        <w:rPr>
          <w:lang w:val="lt-LT"/>
        </w:rPr>
        <w:t>x</w:t>
      </w:r>
      <w:r w:rsidR="001B13C0">
        <w:rPr>
          <w:lang w:val="lt-LT"/>
        </w:rPr>
        <w:t xml:space="preserve"> </w:t>
      </w:r>
      <w:r w:rsidRPr="00AB6A8A">
        <w:rPr>
          <w:lang w:val="lt-LT"/>
        </w:rPr>
        <w:t>10) arba 90 (9</w:t>
      </w:r>
      <w:r w:rsidR="001B13C0">
        <w:rPr>
          <w:lang w:val="lt-LT"/>
        </w:rPr>
        <w:t xml:space="preserve"> </w:t>
      </w:r>
      <w:r w:rsidRPr="00AB6A8A">
        <w:rPr>
          <w:lang w:val="lt-LT"/>
        </w:rPr>
        <w:t>x</w:t>
      </w:r>
      <w:r w:rsidR="001B13C0">
        <w:rPr>
          <w:lang w:val="lt-LT"/>
        </w:rPr>
        <w:t xml:space="preserve"> </w:t>
      </w:r>
      <w:r w:rsidRPr="00AB6A8A">
        <w:rPr>
          <w:lang w:val="lt-LT"/>
        </w:rPr>
        <w:t>10) vienadozių talpyklių.</w:t>
      </w:r>
    </w:p>
    <w:p w14:paraId="7B783756" w14:textId="77777777" w:rsidR="001B13C0" w:rsidRPr="00AB6A8A" w:rsidRDefault="001B13C0" w:rsidP="007A292B">
      <w:pPr>
        <w:spacing w:line="240" w:lineRule="auto"/>
        <w:rPr>
          <w:lang w:val="lt-LT"/>
        </w:rPr>
      </w:pPr>
    </w:p>
    <w:p w14:paraId="0D2684EC" w14:textId="77777777" w:rsidR="009254E0" w:rsidRPr="00AB6A8A" w:rsidRDefault="009254E0" w:rsidP="007A292B">
      <w:pPr>
        <w:spacing w:line="240" w:lineRule="auto"/>
        <w:rPr>
          <w:lang w:val="lt-LT"/>
        </w:rPr>
      </w:pPr>
      <w:r w:rsidRPr="00AB6A8A">
        <w:rPr>
          <w:noProof/>
          <w:snapToGrid w:val="0"/>
          <w:lang w:val="lt-LT"/>
        </w:rPr>
        <w:t>Gali būti tiekiamos ne visų dydžių pakuotės</w:t>
      </w:r>
      <w:r w:rsidRPr="00AB6A8A">
        <w:rPr>
          <w:lang w:val="lt-LT"/>
        </w:rPr>
        <w:t>.</w:t>
      </w:r>
    </w:p>
    <w:p w14:paraId="356ABC18" w14:textId="77777777" w:rsidR="007C68A4" w:rsidRPr="00AB6A8A" w:rsidRDefault="007C68A4" w:rsidP="007A292B">
      <w:pPr>
        <w:pStyle w:val="Betarp"/>
        <w:rPr>
          <w:b/>
          <w:lang w:val="lt-LT"/>
        </w:rPr>
      </w:pPr>
    </w:p>
    <w:p w14:paraId="5ABEAB60" w14:textId="77777777" w:rsidR="007C68A4" w:rsidRPr="00AB6A8A" w:rsidRDefault="007C68A4" w:rsidP="007A292B">
      <w:pPr>
        <w:pStyle w:val="Betarp"/>
        <w:rPr>
          <w:b/>
          <w:lang w:val="lt-LT"/>
        </w:rPr>
      </w:pPr>
      <w:bookmarkStart w:id="52" w:name="_Toc129243121"/>
      <w:bookmarkStart w:id="53" w:name="_Toc129243246"/>
      <w:r w:rsidRPr="00AB6A8A">
        <w:rPr>
          <w:b/>
          <w:lang w:val="lt-LT"/>
        </w:rPr>
        <w:t>6.6</w:t>
      </w:r>
      <w:r w:rsidRPr="00AB6A8A">
        <w:rPr>
          <w:b/>
          <w:lang w:val="lt-LT"/>
        </w:rPr>
        <w:tab/>
        <w:t>Specialūs reikalavimai atliekoms tvarkyti</w:t>
      </w:r>
      <w:bookmarkEnd w:id="52"/>
      <w:bookmarkEnd w:id="53"/>
    </w:p>
    <w:p w14:paraId="5FC166BA" w14:textId="77777777" w:rsidR="007C68A4" w:rsidRPr="00AB6A8A" w:rsidRDefault="007C68A4" w:rsidP="007A292B">
      <w:pPr>
        <w:pStyle w:val="Betarp"/>
        <w:rPr>
          <w:lang w:val="lt-LT"/>
        </w:rPr>
      </w:pPr>
    </w:p>
    <w:p w14:paraId="1853787D" w14:textId="15136CFB" w:rsidR="007C68A4" w:rsidRPr="00AB6A8A" w:rsidRDefault="00AD7E4D" w:rsidP="007A292B">
      <w:pPr>
        <w:pStyle w:val="Betarp"/>
        <w:rPr>
          <w:lang w:val="lt-LT"/>
        </w:rPr>
      </w:pPr>
      <w:r w:rsidRPr="00AB6A8A">
        <w:rPr>
          <w:lang w:val="lt-LT"/>
        </w:rPr>
        <w:t>Nesuvartotą vaistinį preparatą ar atliekas reikia tvarkyti laikantis vietinių reikalavimų.</w:t>
      </w:r>
    </w:p>
    <w:p w14:paraId="6C0C7845" w14:textId="77777777" w:rsidR="00AD7E4D" w:rsidRPr="00AB6A8A" w:rsidRDefault="00AD7E4D" w:rsidP="007A292B">
      <w:pPr>
        <w:pStyle w:val="Betarp"/>
        <w:rPr>
          <w:lang w:val="lt-LT"/>
        </w:rPr>
      </w:pPr>
    </w:p>
    <w:p w14:paraId="55420BFB" w14:textId="77777777" w:rsidR="007C68A4" w:rsidRPr="00AB6A8A" w:rsidRDefault="007C68A4" w:rsidP="007A292B">
      <w:pPr>
        <w:pStyle w:val="Betarp"/>
        <w:rPr>
          <w:b/>
          <w:lang w:val="lt-LT"/>
        </w:rPr>
      </w:pPr>
    </w:p>
    <w:p w14:paraId="61D27B57" w14:textId="77777777" w:rsidR="007C68A4" w:rsidRPr="00AB6A8A" w:rsidRDefault="007C68A4" w:rsidP="007A292B">
      <w:pPr>
        <w:pStyle w:val="Betarp"/>
        <w:rPr>
          <w:b/>
          <w:lang w:val="lt-LT"/>
        </w:rPr>
      </w:pPr>
      <w:bookmarkStart w:id="54" w:name="_Toc129243122"/>
      <w:bookmarkStart w:id="55" w:name="_Toc129243247"/>
      <w:r w:rsidRPr="00AB6A8A">
        <w:rPr>
          <w:b/>
          <w:lang w:val="lt-LT"/>
        </w:rPr>
        <w:t>7.</w:t>
      </w:r>
      <w:r w:rsidRPr="00AB6A8A">
        <w:rPr>
          <w:b/>
          <w:lang w:val="lt-LT"/>
        </w:rPr>
        <w:tab/>
      </w:r>
      <w:bookmarkEnd w:id="54"/>
      <w:bookmarkEnd w:id="55"/>
      <w:r w:rsidRPr="00AB6A8A">
        <w:rPr>
          <w:b/>
          <w:lang w:val="lt-LT"/>
        </w:rPr>
        <w:t>REGISTRUOTOJAS</w:t>
      </w:r>
    </w:p>
    <w:p w14:paraId="62D2ACAB" w14:textId="77777777" w:rsidR="007C68A4" w:rsidRPr="00AB6A8A" w:rsidRDefault="007C68A4" w:rsidP="007A292B">
      <w:pPr>
        <w:pStyle w:val="Betarp"/>
        <w:rPr>
          <w:lang w:val="lt-LT"/>
        </w:rPr>
      </w:pPr>
    </w:p>
    <w:p w14:paraId="473703D2" w14:textId="77777777" w:rsidR="007C68A4" w:rsidRPr="00AB6A8A" w:rsidRDefault="007C68A4" w:rsidP="007A292B">
      <w:pPr>
        <w:pStyle w:val="Betarp"/>
        <w:rPr>
          <w:noProof/>
          <w:lang w:val="lt-LT"/>
        </w:rPr>
      </w:pPr>
      <w:r w:rsidRPr="00AB6A8A">
        <w:rPr>
          <w:noProof/>
          <w:lang w:val="lt-LT"/>
        </w:rPr>
        <w:t>Laboratoires THEA</w:t>
      </w:r>
    </w:p>
    <w:p w14:paraId="53CE75DE" w14:textId="77777777" w:rsidR="007C47AE" w:rsidRDefault="007C47AE" w:rsidP="007A292B">
      <w:pPr>
        <w:pStyle w:val="Betarp"/>
        <w:rPr>
          <w:noProof/>
          <w:lang w:val="fr-FR"/>
        </w:rPr>
      </w:pPr>
      <w:r w:rsidRPr="001C339B">
        <w:rPr>
          <w:noProof/>
          <w:lang w:val="fr-FR"/>
        </w:rPr>
        <w:t>Zone Industrielle du Brezet</w:t>
      </w:r>
    </w:p>
    <w:p w14:paraId="249A781E" w14:textId="07B55D71" w:rsidR="007C68A4" w:rsidRPr="00AB6A8A" w:rsidRDefault="007C68A4" w:rsidP="007A292B">
      <w:pPr>
        <w:pStyle w:val="Betarp"/>
        <w:rPr>
          <w:noProof/>
          <w:lang w:val="lt-LT"/>
        </w:rPr>
      </w:pPr>
      <w:r w:rsidRPr="00AB6A8A">
        <w:rPr>
          <w:noProof/>
          <w:lang w:val="lt-LT"/>
        </w:rPr>
        <w:t>12 rue Louis Blériot</w:t>
      </w:r>
    </w:p>
    <w:p w14:paraId="54FECECB" w14:textId="52983A06" w:rsidR="007C68A4" w:rsidRPr="00AB6A8A" w:rsidRDefault="007C68A4" w:rsidP="007A292B">
      <w:pPr>
        <w:pStyle w:val="Betarp"/>
        <w:rPr>
          <w:noProof/>
          <w:lang w:val="lt-LT"/>
        </w:rPr>
      </w:pPr>
      <w:r w:rsidRPr="00AB6A8A">
        <w:rPr>
          <w:noProof/>
          <w:lang w:val="lt-LT"/>
        </w:rPr>
        <w:t>63</w:t>
      </w:r>
      <w:r w:rsidR="007C47AE">
        <w:rPr>
          <w:noProof/>
          <w:lang w:val="lt-LT"/>
        </w:rPr>
        <w:t>10</w:t>
      </w:r>
      <w:r w:rsidRPr="00AB6A8A">
        <w:rPr>
          <w:noProof/>
          <w:lang w:val="lt-LT"/>
        </w:rPr>
        <w:t xml:space="preserve">0 Clermont-Ferrand </w:t>
      </w:r>
    </w:p>
    <w:p w14:paraId="4E502EEB" w14:textId="77777777" w:rsidR="007C68A4" w:rsidRPr="00AB6A8A" w:rsidRDefault="007C68A4" w:rsidP="007A292B">
      <w:pPr>
        <w:pStyle w:val="Betarp"/>
        <w:rPr>
          <w:lang w:val="lt-LT"/>
        </w:rPr>
      </w:pPr>
      <w:r w:rsidRPr="00AB6A8A">
        <w:rPr>
          <w:lang w:val="lt-LT"/>
        </w:rPr>
        <w:t>Prancūzija</w:t>
      </w:r>
    </w:p>
    <w:p w14:paraId="7524B9CC" w14:textId="77777777" w:rsidR="007C68A4" w:rsidRPr="00AB6A8A" w:rsidRDefault="007C68A4" w:rsidP="007A292B">
      <w:pPr>
        <w:pStyle w:val="Betarp"/>
        <w:rPr>
          <w:lang w:val="lt-LT"/>
        </w:rPr>
      </w:pPr>
    </w:p>
    <w:p w14:paraId="1CF8AB71" w14:textId="77777777" w:rsidR="007C68A4" w:rsidRPr="00AB6A8A" w:rsidRDefault="007C68A4" w:rsidP="007A292B">
      <w:pPr>
        <w:pStyle w:val="Betarp"/>
        <w:rPr>
          <w:b/>
          <w:lang w:val="lt-LT"/>
        </w:rPr>
      </w:pPr>
    </w:p>
    <w:p w14:paraId="0AD5C9EC" w14:textId="77777777" w:rsidR="007C68A4" w:rsidRPr="00AB6A8A" w:rsidRDefault="007C68A4" w:rsidP="007A292B">
      <w:pPr>
        <w:pStyle w:val="Betarp"/>
        <w:rPr>
          <w:b/>
          <w:lang w:val="lt-LT"/>
        </w:rPr>
      </w:pPr>
      <w:bookmarkStart w:id="56" w:name="_Toc129243123"/>
      <w:bookmarkStart w:id="57" w:name="_Toc129243248"/>
      <w:r w:rsidRPr="00AB6A8A">
        <w:rPr>
          <w:b/>
          <w:lang w:val="lt-LT"/>
        </w:rPr>
        <w:t>8.</w:t>
      </w:r>
      <w:r w:rsidRPr="00AB6A8A">
        <w:rPr>
          <w:b/>
          <w:lang w:val="lt-LT"/>
        </w:rPr>
        <w:tab/>
        <w:t xml:space="preserve">REGISTRACIJOS </w:t>
      </w:r>
      <w:r w:rsidRPr="00AB6A8A">
        <w:rPr>
          <w:b/>
          <w:noProof/>
          <w:lang w:val="lt-LT"/>
        </w:rPr>
        <w:t>PAŽYMĖJIMO</w:t>
      </w:r>
      <w:r w:rsidRPr="00AB6A8A">
        <w:rPr>
          <w:b/>
          <w:lang w:val="lt-LT"/>
        </w:rPr>
        <w:t xml:space="preserve"> NUMERIS</w:t>
      </w:r>
      <w:bookmarkEnd w:id="56"/>
      <w:bookmarkEnd w:id="57"/>
      <w:r w:rsidRPr="00AB6A8A">
        <w:rPr>
          <w:b/>
          <w:lang w:val="lt-LT"/>
        </w:rPr>
        <w:t xml:space="preserve"> (-IAI)</w:t>
      </w:r>
    </w:p>
    <w:p w14:paraId="7C72D83D" w14:textId="11698BCE" w:rsidR="007C68A4" w:rsidRDefault="007C68A4" w:rsidP="007A292B">
      <w:pPr>
        <w:pStyle w:val="Betarp"/>
        <w:rPr>
          <w:lang w:val="lt-LT"/>
        </w:rPr>
      </w:pPr>
    </w:p>
    <w:p w14:paraId="26E56308" w14:textId="77777777" w:rsidR="00E45808" w:rsidRPr="00E45808" w:rsidRDefault="00E45808" w:rsidP="00E45808">
      <w:pPr>
        <w:pStyle w:val="Betarp"/>
        <w:rPr>
          <w:lang w:val="lt-LT"/>
        </w:rPr>
      </w:pPr>
      <w:r w:rsidRPr="00E45808">
        <w:rPr>
          <w:lang w:val="lt-LT"/>
        </w:rPr>
        <w:t>LT/1/25/5885/001 – N10 (1x10)</w:t>
      </w:r>
    </w:p>
    <w:p w14:paraId="4914F1FD" w14:textId="77777777" w:rsidR="00E45808" w:rsidRPr="00E45808" w:rsidRDefault="00E45808" w:rsidP="00E45808">
      <w:pPr>
        <w:pStyle w:val="Betarp"/>
        <w:rPr>
          <w:lang w:val="lt-LT"/>
        </w:rPr>
      </w:pPr>
      <w:r w:rsidRPr="00E45808">
        <w:rPr>
          <w:lang w:val="lt-LT"/>
        </w:rPr>
        <w:t>LT/1/25/5885/002 – N30 (3x10)</w:t>
      </w:r>
    </w:p>
    <w:p w14:paraId="19251B5B" w14:textId="0D4BCFA5" w:rsidR="00E45808" w:rsidRDefault="00E45808" w:rsidP="00E45808">
      <w:pPr>
        <w:pStyle w:val="Betarp"/>
        <w:rPr>
          <w:lang w:val="lt-LT"/>
        </w:rPr>
      </w:pPr>
      <w:r w:rsidRPr="00E45808">
        <w:rPr>
          <w:lang w:val="lt-LT"/>
        </w:rPr>
        <w:t>LT/1/25/5885/003 – N90 (9x10)</w:t>
      </w:r>
    </w:p>
    <w:p w14:paraId="30699EFF" w14:textId="77777777" w:rsidR="00E45808" w:rsidRPr="00AB6A8A" w:rsidRDefault="00E45808" w:rsidP="00E45808">
      <w:pPr>
        <w:pStyle w:val="Betarp"/>
        <w:rPr>
          <w:lang w:val="lt-LT"/>
        </w:rPr>
      </w:pPr>
    </w:p>
    <w:p w14:paraId="5CDE8881" w14:textId="77777777" w:rsidR="007C68A4" w:rsidRPr="00AB6A8A" w:rsidRDefault="007C68A4" w:rsidP="007A292B">
      <w:pPr>
        <w:pStyle w:val="Betarp"/>
        <w:rPr>
          <w:b/>
          <w:lang w:val="lt-LT"/>
        </w:rPr>
      </w:pPr>
    </w:p>
    <w:p w14:paraId="6027AFE0" w14:textId="77777777" w:rsidR="007C68A4" w:rsidRPr="00AB6A8A" w:rsidRDefault="007C68A4" w:rsidP="007A292B">
      <w:pPr>
        <w:pStyle w:val="Betarp"/>
        <w:rPr>
          <w:b/>
          <w:lang w:val="lt-LT"/>
        </w:rPr>
      </w:pPr>
      <w:bookmarkStart w:id="58" w:name="_Toc129243124"/>
      <w:bookmarkStart w:id="59" w:name="_Toc129243249"/>
      <w:r w:rsidRPr="00AB6A8A">
        <w:rPr>
          <w:b/>
          <w:lang w:val="lt-LT"/>
        </w:rPr>
        <w:t>9.</w:t>
      </w:r>
      <w:r w:rsidRPr="00AB6A8A">
        <w:rPr>
          <w:b/>
          <w:lang w:val="lt-LT"/>
        </w:rPr>
        <w:tab/>
        <w:t>REGISTRAVIMO / PERREGISTRAVIMO DATA</w:t>
      </w:r>
      <w:bookmarkEnd w:id="58"/>
      <w:bookmarkEnd w:id="59"/>
    </w:p>
    <w:p w14:paraId="6D931D9B" w14:textId="77777777" w:rsidR="007C68A4" w:rsidRPr="00AB6A8A" w:rsidRDefault="007C68A4" w:rsidP="007A292B">
      <w:pPr>
        <w:pStyle w:val="Betarp"/>
        <w:rPr>
          <w:lang w:val="lt-LT"/>
        </w:rPr>
      </w:pPr>
    </w:p>
    <w:p w14:paraId="3FE3BF77" w14:textId="58C9AA0B" w:rsidR="007C68A4" w:rsidRPr="00AB6A8A" w:rsidRDefault="007C68A4" w:rsidP="007A292B">
      <w:pPr>
        <w:pStyle w:val="Betarp"/>
        <w:rPr>
          <w:noProof/>
          <w:lang w:val="lt-LT"/>
        </w:rPr>
      </w:pPr>
      <w:r w:rsidRPr="00AB6A8A">
        <w:rPr>
          <w:noProof/>
          <w:lang w:val="lt-LT"/>
        </w:rPr>
        <w:t xml:space="preserve">Registravimo data </w:t>
      </w:r>
      <w:r w:rsidR="001B13C0" w:rsidRPr="004A1513">
        <w:rPr>
          <w:lang w:val="pt-PT"/>
        </w:rPr>
        <w:t xml:space="preserve"> </w:t>
      </w:r>
      <w:r w:rsidR="00EF20AF">
        <w:rPr>
          <w:lang w:val="pt-PT"/>
        </w:rPr>
        <w:t>2025 m. lapkričio 11 d.</w:t>
      </w:r>
    </w:p>
    <w:p w14:paraId="385BFA92" w14:textId="77777777" w:rsidR="004D7BC6" w:rsidRPr="00AB6A8A" w:rsidRDefault="004D7BC6" w:rsidP="007A292B">
      <w:pPr>
        <w:pStyle w:val="Betarp"/>
        <w:rPr>
          <w:lang w:val="lt-LT"/>
        </w:rPr>
      </w:pPr>
    </w:p>
    <w:p w14:paraId="51E64F81" w14:textId="77777777" w:rsidR="007C68A4" w:rsidRPr="00AB6A8A" w:rsidRDefault="007C68A4" w:rsidP="007A292B">
      <w:pPr>
        <w:pStyle w:val="Betarp"/>
        <w:rPr>
          <w:b/>
          <w:lang w:val="lt-LT"/>
        </w:rPr>
      </w:pPr>
    </w:p>
    <w:p w14:paraId="0B84E41B" w14:textId="77777777" w:rsidR="007C68A4" w:rsidRPr="00AB6A8A" w:rsidRDefault="007C68A4" w:rsidP="007A292B">
      <w:pPr>
        <w:pStyle w:val="Betarp"/>
        <w:rPr>
          <w:b/>
          <w:lang w:val="lt-LT"/>
        </w:rPr>
      </w:pPr>
      <w:bookmarkStart w:id="60" w:name="_Toc129243125"/>
      <w:bookmarkStart w:id="61" w:name="_Toc129243250"/>
      <w:r w:rsidRPr="00AB6A8A">
        <w:rPr>
          <w:b/>
          <w:lang w:val="lt-LT"/>
        </w:rPr>
        <w:t>10.</w:t>
      </w:r>
      <w:r w:rsidRPr="00AB6A8A">
        <w:rPr>
          <w:b/>
          <w:lang w:val="lt-LT"/>
        </w:rPr>
        <w:tab/>
        <w:t>TEKSTO PERŽIŪROS DATA</w:t>
      </w:r>
      <w:bookmarkEnd w:id="60"/>
      <w:bookmarkEnd w:id="61"/>
    </w:p>
    <w:p w14:paraId="042F83EE" w14:textId="53367959" w:rsidR="007C68A4" w:rsidRDefault="007C68A4" w:rsidP="007A292B">
      <w:pPr>
        <w:pStyle w:val="Betarp"/>
        <w:rPr>
          <w:noProof/>
          <w:lang w:val="lt-LT"/>
        </w:rPr>
      </w:pPr>
    </w:p>
    <w:p w14:paraId="6BDA1A74" w14:textId="15FF7384" w:rsidR="00EF20AF" w:rsidRPr="00AB6A8A" w:rsidRDefault="00EF20AF" w:rsidP="007A292B">
      <w:pPr>
        <w:pStyle w:val="Betarp"/>
        <w:rPr>
          <w:noProof/>
          <w:lang w:val="lt-LT"/>
        </w:rPr>
      </w:pPr>
      <w:r>
        <w:rPr>
          <w:noProof/>
          <w:lang w:val="lt-LT"/>
        </w:rPr>
        <w:t>2025 m. lapkričio 11 d.</w:t>
      </w:r>
    </w:p>
    <w:p w14:paraId="41004A9B" w14:textId="77777777" w:rsidR="007C68A4" w:rsidRPr="00AB6A8A" w:rsidRDefault="007C68A4" w:rsidP="007A292B">
      <w:pPr>
        <w:pStyle w:val="Betarp"/>
        <w:rPr>
          <w:lang w:val="lt-LT"/>
        </w:rPr>
      </w:pPr>
    </w:p>
    <w:p w14:paraId="2064BAB8" w14:textId="77777777" w:rsidR="008D66D9" w:rsidRPr="00AB6A8A" w:rsidRDefault="008D66D9" w:rsidP="007A292B">
      <w:pPr>
        <w:tabs>
          <w:tab w:val="center" w:pos="4819"/>
          <w:tab w:val="right" w:pos="9638"/>
        </w:tabs>
        <w:spacing w:line="240" w:lineRule="auto"/>
        <w:rPr>
          <w:rFonts w:eastAsia="Times New Roman"/>
          <w:lang w:val="lt-LT"/>
        </w:rPr>
      </w:pPr>
      <w:r w:rsidRPr="00AB6A8A">
        <w:rPr>
          <w:rFonts w:eastAsia="Times New Roman"/>
          <w:lang w:val="lt-LT" w:eastAsia="lt-LT"/>
        </w:rPr>
        <w:t xml:space="preserve">Išsami informacija apie šį vaistinį preparatą pateikiama Valstybinės vaistų kontrolės tarnybos prie Lietuvos Respublikos sveikatos apsaugos ministerijos tinklalapyje </w:t>
      </w:r>
      <w:r w:rsidRPr="00AB6A8A">
        <w:rPr>
          <w:rFonts w:eastAsia="Times New Roman"/>
          <w:color w:val="0000EE"/>
          <w:u w:val="single"/>
          <w:lang w:val="lt-LT" w:eastAsia="lt-LT"/>
        </w:rPr>
        <w:t>https://vvkt.lrv.lt/lt/.</w:t>
      </w:r>
    </w:p>
    <w:p w14:paraId="464175A7" w14:textId="77777777" w:rsidR="007C68A4" w:rsidRPr="00AB6A8A" w:rsidRDefault="007C68A4" w:rsidP="007A292B">
      <w:pPr>
        <w:pStyle w:val="Betarp"/>
        <w:rPr>
          <w:lang w:val="lt-LT"/>
        </w:rPr>
      </w:pPr>
      <w:r w:rsidRPr="00AB6A8A">
        <w:rPr>
          <w:lang w:val="lt-LT"/>
        </w:rPr>
        <w:br w:type="page"/>
      </w:r>
      <w:bookmarkStart w:id="62" w:name="_Toc129243134"/>
      <w:bookmarkStart w:id="63" w:name="_Toc129243259"/>
    </w:p>
    <w:p w14:paraId="584B57C4" w14:textId="77777777" w:rsidR="007C68A4" w:rsidRPr="00AB6A8A" w:rsidRDefault="007C68A4" w:rsidP="007A292B">
      <w:pPr>
        <w:spacing w:line="240" w:lineRule="auto"/>
        <w:rPr>
          <w:lang w:val="lt-LT"/>
        </w:rPr>
      </w:pPr>
    </w:p>
    <w:p w14:paraId="5D72DAB6" w14:textId="77777777" w:rsidR="007C68A4" w:rsidRPr="00AB6A8A" w:rsidRDefault="007C68A4" w:rsidP="007A292B">
      <w:pPr>
        <w:spacing w:line="240" w:lineRule="auto"/>
        <w:rPr>
          <w:lang w:val="lt-LT"/>
        </w:rPr>
      </w:pPr>
    </w:p>
    <w:p w14:paraId="1A3D5029" w14:textId="77777777" w:rsidR="007C68A4" w:rsidRPr="00AB6A8A" w:rsidRDefault="007C68A4" w:rsidP="007A292B">
      <w:pPr>
        <w:spacing w:line="240" w:lineRule="auto"/>
        <w:rPr>
          <w:lang w:val="lt-LT"/>
        </w:rPr>
      </w:pPr>
    </w:p>
    <w:p w14:paraId="3D38F8C8" w14:textId="77777777" w:rsidR="007C68A4" w:rsidRPr="00AB6A8A" w:rsidRDefault="007C68A4" w:rsidP="007A292B">
      <w:pPr>
        <w:spacing w:line="240" w:lineRule="auto"/>
        <w:rPr>
          <w:lang w:val="lt-LT"/>
        </w:rPr>
      </w:pPr>
    </w:p>
    <w:p w14:paraId="4DACD9DC" w14:textId="77777777" w:rsidR="007C68A4" w:rsidRPr="00AB6A8A" w:rsidRDefault="007C68A4" w:rsidP="007A292B">
      <w:pPr>
        <w:spacing w:line="240" w:lineRule="auto"/>
        <w:ind w:left="1701" w:firstLine="993"/>
        <w:rPr>
          <w:lang w:val="lt-LT"/>
        </w:rPr>
      </w:pPr>
    </w:p>
    <w:p w14:paraId="7B2EB884" w14:textId="77777777" w:rsidR="007C68A4" w:rsidRPr="00AB6A8A" w:rsidRDefault="007C68A4" w:rsidP="007A292B">
      <w:pPr>
        <w:spacing w:line="240" w:lineRule="auto"/>
        <w:rPr>
          <w:lang w:val="lt-LT"/>
        </w:rPr>
      </w:pPr>
    </w:p>
    <w:p w14:paraId="4A6999DC" w14:textId="77777777" w:rsidR="007C68A4" w:rsidRPr="00AB6A8A" w:rsidRDefault="007C68A4" w:rsidP="007A292B">
      <w:pPr>
        <w:spacing w:line="240" w:lineRule="auto"/>
        <w:rPr>
          <w:lang w:val="lt-LT"/>
        </w:rPr>
      </w:pPr>
    </w:p>
    <w:p w14:paraId="50407B24" w14:textId="77777777" w:rsidR="007C68A4" w:rsidRPr="00AB6A8A" w:rsidRDefault="007C68A4" w:rsidP="007A292B">
      <w:pPr>
        <w:spacing w:line="240" w:lineRule="auto"/>
        <w:rPr>
          <w:lang w:val="lt-LT"/>
        </w:rPr>
      </w:pPr>
    </w:p>
    <w:p w14:paraId="54C0F556" w14:textId="77777777" w:rsidR="007C68A4" w:rsidRPr="00AB6A8A" w:rsidRDefault="007C68A4" w:rsidP="007A292B">
      <w:pPr>
        <w:spacing w:line="240" w:lineRule="auto"/>
        <w:rPr>
          <w:lang w:val="lt-LT"/>
        </w:rPr>
      </w:pPr>
    </w:p>
    <w:p w14:paraId="0990B53E" w14:textId="77777777" w:rsidR="007C68A4" w:rsidRPr="00AB6A8A" w:rsidRDefault="007C68A4" w:rsidP="007A292B">
      <w:pPr>
        <w:spacing w:line="240" w:lineRule="auto"/>
        <w:rPr>
          <w:lang w:val="lt-LT"/>
        </w:rPr>
      </w:pPr>
    </w:p>
    <w:p w14:paraId="0F85CC91" w14:textId="77777777" w:rsidR="007C68A4" w:rsidRPr="00AB6A8A" w:rsidRDefault="007C68A4" w:rsidP="007A292B">
      <w:pPr>
        <w:spacing w:line="240" w:lineRule="auto"/>
        <w:rPr>
          <w:lang w:val="lt-LT"/>
        </w:rPr>
      </w:pPr>
    </w:p>
    <w:p w14:paraId="1B057D44" w14:textId="77777777" w:rsidR="007C68A4" w:rsidRPr="00AB6A8A" w:rsidRDefault="007C68A4" w:rsidP="007A292B">
      <w:pPr>
        <w:spacing w:line="240" w:lineRule="auto"/>
        <w:rPr>
          <w:lang w:val="lt-LT"/>
        </w:rPr>
      </w:pPr>
    </w:p>
    <w:p w14:paraId="3CA36216" w14:textId="77777777" w:rsidR="007C68A4" w:rsidRPr="00AB6A8A" w:rsidRDefault="007C68A4" w:rsidP="007A292B">
      <w:pPr>
        <w:spacing w:line="240" w:lineRule="auto"/>
        <w:rPr>
          <w:b/>
          <w:lang w:val="lt-LT"/>
        </w:rPr>
      </w:pPr>
    </w:p>
    <w:p w14:paraId="62F6AB4D" w14:textId="77777777" w:rsidR="007C68A4" w:rsidRPr="00AB6A8A" w:rsidRDefault="007C68A4" w:rsidP="007A292B">
      <w:pPr>
        <w:spacing w:line="240" w:lineRule="auto"/>
        <w:rPr>
          <w:b/>
          <w:lang w:val="lt-LT"/>
        </w:rPr>
      </w:pPr>
    </w:p>
    <w:p w14:paraId="2C16837D" w14:textId="77777777" w:rsidR="007C68A4" w:rsidRPr="00AB6A8A" w:rsidRDefault="007C68A4" w:rsidP="007A292B">
      <w:pPr>
        <w:spacing w:line="240" w:lineRule="auto"/>
        <w:rPr>
          <w:b/>
          <w:lang w:val="lt-LT"/>
        </w:rPr>
      </w:pPr>
    </w:p>
    <w:p w14:paraId="76BF1611" w14:textId="77777777" w:rsidR="007C68A4" w:rsidRPr="00AB6A8A" w:rsidRDefault="007C68A4" w:rsidP="007A292B">
      <w:pPr>
        <w:spacing w:line="240" w:lineRule="auto"/>
        <w:rPr>
          <w:b/>
          <w:lang w:val="lt-LT"/>
        </w:rPr>
      </w:pPr>
    </w:p>
    <w:p w14:paraId="1BBE8B34" w14:textId="77777777" w:rsidR="007C68A4" w:rsidRPr="00AB6A8A" w:rsidRDefault="007C68A4" w:rsidP="007A292B">
      <w:pPr>
        <w:pStyle w:val="Antrat2"/>
        <w:spacing w:before="0" w:line="240" w:lineRule="auto"/>
        <w:jc w:val="center"/>
        <w:rPr>
          <w:rFonts w:ascii="Times New Roman" w:hAnsi="Times New Roman"/>
          <w:b/>
          <w:i/>
          <w:iCs/>
          <w:color w:val="auto"/>
          <w:sz w:val="22"/>
          <w:szCs w:val="22"/>
          <w:lang w:val="lt-LT"/>
        </w:rPr>
      </w:pPr>
    </w:p>
    <w:p w14:paraId="77EF1BA2" w14:textId="77777777" w:rsidR="007C68A4" w:rsidRPr="00AB6A8A" w:rsidRDefault="007C68A4" w:rsidP="007A292B">
      <w:pPr>
        <w:pStyle w:val="Antrat2"/>
        <w:spacing w:before="0" w:line="240" w:lineRule="auto"/>
        <w:jc w:val="center"/>
        <w:rPr>
          <w:rFonts w:ascii="Times New Roman" w:hAnsi="Times New Roman"/>
          <w:b/>
          <w:i/>
          <w:iCs/>
          <w:color w:val="auto"/>
          <w:sz w:val="22"/>
          <w:szCs w:val="22"/>
          <w:lang w:val="lt-LT"/>
        </w:rPr>
      </w:pPr>
    </w:p>
    <w:p w14:paraId="2B041C93" w14:textId="77777777" w:rsidR="007C68A4" w:rsidRPr="00AB6A8A" w:rsidRDefault="007C68A4" w:rsidP="007A292B">
      <w:pPr>
        <w:pStyle w:val="Antrat2"/>
        <w:spacing w:before="0" w:line="240" w:lineRule="auto"/>
        <w:jc w:val="center"/>
        <w:rPr>
          <w:rFonts w:ascii="Times New Roman" w:hAnsi="Times New Roman"/>
          <w:b/>
          <w:i/>
          <w:iCs/>
          <w:color w:val="auto"/>
          <w:sz w:val="22"/>
          <w:szCs w:val="22"/>
          <w:lang w:val="lt-LT"/>
        </w:rPr>
      </w:pPr>
    </w:p>
    <w:p w14:paraId="57C8FDA8" w14:textId="77777777" w:rsidR="007C68A4" w:rsidRPr="00AB6A8A" w:rsidRDefault="007C68A4" w:rsidP="007A292B">
      <w:pPr>
        <w:pStyle w:val="Antrat2"/>
        <w:spacing w:before="0" w:line="240" w:lineRule="auto"/>
        <w:jc w:val="center"/>
        <w:rPr>
          <w:rFonts w:ascii="Times New Roman" w:hAnsi="Times New Roman"/>
          <w:b/>
          <w:i/>
          <w:iCs/>
          <w:color w:val="auto"/>
          <w:sz w:val="22"/>
          <w:szCs w:val="22"/>
          <w:lang w:val="lt-LT"/>
        </w:rPr>
      </w:pPr>
    </w:p>
    <w:p w14:paraId="54B7F018" w14:textId="77777777" w:rsidR="007C68A4" w:rsidRPr="00AB6A8A" w:rsidRDefault="007C68A4" w:rsidP="007A292B">
      <w:pPr>
        <w:pStyle w:val="Betarp"/>
        <w:jc w:val="center"/>
        <w:rPr>
          <w:b/>
          <w:lang w:val="lt-LT"/>
        </w:rPr>
      </w:pPr>
    </w:p>
    <w:p w14:paraId="2F82AF4C" w14:textId="77777777" w:rsidR="007C68A4" w:rsidRPr="00AB6A8A" w:rsidRDefault="007C68A4" w:rsidP="007A292B">
      <w:pPr>
        <w:pStyle w:val="Betarp"/>
        <w:jc w:val="center"/>
        <w:rPr>
          <w:b/>
          <w:lang w:val="lt-LT"/>
        </w:rPr>
      </w:pPr>
    </w:p>
    <w:p w14:paraId="438BC3A3" w14:textId="77777777" w:rsidR="007C68A4" w:rsidRPr="00AB6A8A" w:rsidRDefault="007C68A4" w:rsidP="007A292B">
      <w:pPr>
        <w:pStyle w:val="Betarp"/>
        <w:jc w:val="center"/>
        <w:rPr>
          <w:b/>
          <w:lang w:val="lt-LT"/>
        </w:rPr>
      </w:pPr>
      <w:r w:rsidRPr="00AB6A8A">
        <w:rPr>
          <w:b/>
          <w:lang w:val="lt-LT"/>
        </w:rPr>
        <w:t>II PRIEDAS</w:t>
      </w:r>
    </w:p>
    <w:p w14:paraId="63DD1390" w14:textId="77777777" w:rsidR="007C68A4" w:rsidRPr="00AB6A8A" w:rsidRDefault="007C68A4" w:rsidP="007A292B">
      <w:pPr>
        <w:pStyle w:val="Betarp"/>
        <w:jc w:val="center"/>
        <w:rPr>
          <w:b/>
          <w:lang w:val="lt-LT"/>
        </w:rPr>
      </w:pPr>
    </w:p>
    <w:p w14:paraId="334462DD" w14:textId="77777777" w:rsidR="007C68A4" w:rsidRPr="00AB6A8A" w:rsidRDefault="007C68A4" w:rsidP="007A292B">
      <w:pPr>
        <w:pStyle w:val="Betarp"/>
        <w:jc w:val="center"/>
        <w:rPr>
          <w:b/>
          <w:lang w:val="lt-LT"/>
        </w:rPr>
      </w:pPr>
      <w:r w:rsidRPr="00AB6A8A">
        <w:rPr>
          <w:b/>
          <w:lang w:val="lt-LT"/>
        </w:rPr>
        <w:t>REGISTRACIJOS SĄLYGOS</w:t>
      </w:r>
    </w:p>
    <w:p w14:paraId="6191932C" w14:textId="77777777" w:rsidR="007C68A4" w:rsidRPr="00AB6A8A" w:rsidRDefault="007C68A4" w:rsidP="007A292B">
      <w:pPr>
        <w:pStyle w:val="Betarp"/>
        <w:jc w:val="center"/>
        <w:rPr>
          <w:b/>
          <w:lang w:val="lt-LT"/>
        </w:rPr>
      </w:pPr>
    </w:p>
    <w:p w14:paraId="28C7E57D" w14:textId="6F195310" w:rsidR="007C68A4" w:rsidRPr="00AB6A8A" w:rsidRDefault="007C68A4" w:rsidP="007A292B">
      <w:pPr>
        <w:pStyle w:val="Betarp"/>
        <w:ind w:left="1701" w:hanging="567"/>
        <w:rPr>
          <w:b/>
          <w:noProof/>
          <w:lang w:val="lt-LT"/>
        </w:rPr>
      </w:pPr>
      <w:r w:rsidRPr="00AB6A8A">
        <w:rPr>
          <w:b/>
          <w:noProof/>
          <w:lang w:val="lt-LT"/>
        </w:rPr>
        <w:t>A.</w:t>
      </w:r>
      <w:r w:rsidRPr="00AB6A8A">
        <w:rPr>
          <w:b/>
          <w:noProof/>
          <w:lang w:val="lt-LT"/>
        </w:rPr>
        <w:tab/>
        <w:t>GAMINTOJAI, ATSAKINGI UŽ SERIJŲ IŠLEIDIMĄ</w:t>
      </w:r>
    </w:p>
    <w:p w14:paraId="17BBB279" w14:textId="77777777" w:rsidR="007C68A4" w:rsidRPr="00AB6A8A" w:rsidRDefault="007C68A4" w:rsidP="007A292B">
      <w:pPr>
        <w:pStyle w:val="Betarp"/>
        <w:ind w:left="1701" w:hanging="567"/>
        <w:rPr>
          <w:b/>
          <w:noProof/>
          <w:lang w:val="lt-LT"/>
        </w:rPr>
      </w:pPr>
    </w:p>
    <w:p w14:paraId="16BA7911" w14:textId="77777777" w:rsidR="007C68A4" w:rsidRPr="00AB6A8A" w:rsidRDefault="007C68A4" w:rsidP="007A292B">
      <w:pPr>
        <w:pStyle w:val="Betarp"/>
        <w:ind w:left="1701" w:hanging="567"/>
        <w:rPr>
          <w:b/>
          <w:lang w:val="lt-LT"/>
        </w:rPr>
      </w:pPr>
      <w:r w:rsidRPr="00AB6A8A">
        <w:rPr>
          <w:b/>
          <w:lang w:val="lt-LT"/>
        </w:rPr>
        <w:t>B.</w:t>
      </w:r>
      <w:r w:rsidRPr="00AB6A8A">
        <w:rPr>
          <w:b/>
          <w:lang w:val="lt-LT"/>
        </w:rPr>
        <w:tab/>
        <w:t>TIEKIMO IR VARTOJIMO SĄLYGOS AR APRIBOJIMAI</w:t>
      </w:r>
    </w:p>
    <w:p w14:paraId="0AC341FE" w14:textId="77777777" w:rsidR="007C68A4" w:rsidRPr="00AB6A8A" w:rsidRDefault="007C68A4" w:rsidP="007A292B">
      <w:pPr>
        <w:suppressLineNumbers/>
        <w:spacing w:line="240" w:lineRule="auto"/>
        <w:ind w:right="1558"/>
        <w:rPr>
          <w:lang w:val="lt-LT"/>
        </w:rPr>
      </w:pPr>
    </w:p>
    <w:p w14:paraId="7FC76551" w14:textId="35943577" w:rsidR="007C68A4" w:rsidRPr="00AB6A8A" w:rsidRDefault="007C68A4" w:rsidP="007A292B">
      <w:pPr>
        <w:pStyle w:val="Betarp"/>
        <w:rPr>
          <w:b/>
          <w:lang w:val="lt-LT"/>
        </w:rPr>
      </w:pPr>
      <w:r w:rsidRPr="00AB6A8A">
        <w:rPr>
          <w:lang w:val="lt-LT"/>
        </w:rPr>
        <w:br w:type="page"/>
      </w:r>
      <w:r w:rsidRPr="00AB6A8A">
        <w:rPr>
          <w:b/>
          <w:lang w:val="lt-LT"/>
        </w:rPr>
        <w:t>A.</w:t>
      </w:r>
      <w:r w:rsidRPr="00AB6A8A">
        <w:rPr>
          <w:b/>
          <w:lang w:val="lt-LT"/>
        </w:rPr>
        <w:tab/>
        <w:t>GAMINTOJAI, ATSAKINGI UŽ SERIJŲ IŠLEIDIMĄ</w:t>
      </w:r>
    </w:p>
    <w:p w14:paraId="1F86CF89" w14:textId="77777777" w:rsidR="007C68A4" w:rsidRPr="00AB6A8A" w:rsidRDefault="007C68A4" w:rsidP="007A292B">
      <w:pPr>
        <w:pStyle w:val="Betarp"/>
        <w:rPr>
          <w:lang w:val="lt-LT"/>
        </w:rPr>
      </w:pPr>
    </w:p>
    <w:p w14:paraId="11D47F08" w14:textId="7C7C67ED" w:rsidR="007C68A4" w:rsidRPr="00AB6A8A" w:rsidRDefault="007C68A4" w:rsidP="007A292B">
      <w:pPr>
        <w:pStyle w:val="Betarp"/>
        <w:rPr>
          <w:lang w:val="lt-LT"/>
        </w:rPr>
      </w:pPr>
      <w:r w:rsidRPr="00AB6A8A">
        <w:rPr>
          <w:u w:val="single"/>
          <w:lang w:val="lt-LT"/>
        </w:rPr>
        <w:t>Gamintojų, atsakingų už serijų išleidimą, pavadinimai ir adresai</w:t>
      </w:r>
    </w:p>
    <w:p w14:paraId="28370AF0" w14:textId="77777777"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 xml:space="preserve">LABORATOIRE UNITHER </w:t>
      </w:r>
    </w:p>
    <w:p w14:paraId="62AB6B62" w14:textId="77777777"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1 rue de l’Arquerie</w:t>
      </w:r>
    </w:p>
    <w:p w14:paraId="65437267" w14:textId="77777777"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50200 Coutances</w:t>
      </w:r>
    </w:p>
    <w:p w14:paraId="6788D785" w14:textId="66D16306"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Prancūzija</w:t>
      </w:r>
    </w:p>
    <w:p w14:paraId="07C0FE0F" w14:textId="77777777" w:rsidR="00236959" w:rsidRPr="00AB6A8A" w:rsidRDefault="00236959" w:rsidP="007A292B">
      <w:pPr>
        <w:numPr>
          <w:ilvl w:val="12"/>
          <w:numId w:val="0"/>
        </w:numPr>
        <w:spacing w:line="240" w:lineRule="auto"/>
        <w:ind w:right="-2"/>
        <w:rPr>
          <w:rFonts w:eastAsia="Times New Roman"/>
          <w:lang w:val="lt-LT"/>
        </w:rPr>
      </w:pPr>
    </w:p>
    <w:p w14:paraId="11DF38C7" w14:textId="13C81E2D"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arba</w:t>
      </w:r>
    </w:p>
    <w:p w14:paraId="003EBDAD" w14:textId="77777777" w:rsidR="00236959" w:rsidRPr="00AB6A8A" w:rsidRDefault="00236959" w:rsidP="007A292B">
      <w:pPr>
        <w:numPr>
          <w:ilvl w:val="12"/>
          <w:numId w:val="0"/>
        </w:numPr>
        <w:spacing w:line="240" w:lineRule="auto"/>
        <w:ind w:right="-2"/>
        <w:rPr>
          <w:rFonts w:eastAsia="Times New Roman"/>
          <w:lang w:val="lt-LT"/>
        </w:rPr>
      </w:pPr>
    </w:p>
    <w:p w14:paraId="3B91EE07" w14:textId="77777777"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Laboratoires THEA</w:t>
      </w:r>
    </w:p>
    <w:p w14:paraId="6865642C" w14:textId="77777777"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Zone Industrielle du Brézet</w:t>
      </w:r>
    </w:p>
    <w:p w14:paraId="14C0DFD4" w14:textId="77777777"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12 rue Louis Blériot</w:t>
      </w:r>
    </w:p>
    <w:p w14:paraId="46577473" w14:textId="77777777"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63100 Clermont-Ferrand</w:t>
      </w:r>
    </w:p>
    <w:p w14:paraId="5C7CEE13" w14:textId="77777777" w:rsidR="00236959" w:rsidRPr="00AB6A8A" w:rsidRDefault="00236959" w:rsidP="007A292B">
      <w:pPr>
        <w:numPr>
          <w:ilvl w:val="12"/>
          <w:numId w:val="0"/>
        </w:numPr>
        <w:spacing w:line="240" w:lineRule="auto"/>
        <w:ind w:right="-2"/>
        <w:rPr>
          <w:rFonts w:eastAsia="Times New Roman"/>
          <w:lang w:val="lt-LT"/>
        </w:rPr>
      </w:pPr>
      <w:r w:rsidRPr="00AB6A8A">
        <w:rPr>
          <w:rFonts w:eastAsia="Times New Roman"/>
          <w:lang w:val="lt-LT"/>
        </w:rPr>
        <w:t>Prancūzija</w:t>
      </w:r>
    </w:p>
    <w:p w14:paraId="0F87FE06" w14:textId="77777777" w:rsidR="007C68A4" w:rsidRPr="00AB6A8A" w:rsidRDefault="007C68A4" w:rsidP="007A292B">
      <w:pPr>
        <w:pStyle w:val="Betarp"/>
        <w:rPr>
          <w:caps/>
          <w:lang w:val="lt-LT"/>
        </w:rPr>
      </w:pPr>
    </w:p>
    <w:p w14:paraId="6F28EE7D" w14:textId="77777777" w:rsidR="007C68A4" w:rsidRPr="00AB6A8A" w:rsidRDefault="007C68A4" w:rsidP="007A292B">
      <w:pPr>
        <w:pStyle w:val="Betarp"/>
        <w:rPr>
          <w:lang w:val="lt-LT"/>
        </w:rPr>
      </w:pPr>
      <w:r w:rsidRPr="00AB6A8A">
        <w:rPr>
          <w:lang w:val="lt-LT"/>
        </w:rPr>
        <w:t>Su pakuote pateikiamame lapelyje nurodomas gamintojo, atsakingo už konkrečios serijos išleidimą, pavadinimas ir adresas.</w:t>
      </w:r>
    </w:p>
    <w:p w14:paraId="1052281A" w14:textId="77777777" w:rsidR="007C68A4" w:rsidRPr="00AB6A8A" w:rsidRDefault="007C68A4" w:rsidP="007A292B">
      <w:pPr>
        <w:pStyle w:val="Betarp"/>
        <w:rPr>
          <w:lang w:val="lt-LT"/>
        </w:rPr>
      </w:pPr>
    </w:p>
    <w:p w14:paraId="3AD91622" w14:textId="77777777" w:rsidR="007C68A4" w:rsidRPr="00AB6A8A" w:rsidRDefault="007C68A4" w:rsidP="007A292B">
      <w:pPr>
        <w:pStyle w:val="Betarp"/>
        <w:rPr>
          <w:lang w:val="lt-LT"/>
        </w:rPr>
      </w:pPr>
    </w:p>
    <w:p w14:paraId="3532E208" w14:textId="77777777" w:rsidR="007C68A4" w:rsidRPr="00AB6A8A" w:rsidRDefault="007C68A4" w:rsidP="007A292B">
      <w:pPr>
        <w:pStyle w:val="Betarp"/>
        <w:rPr>
          <w:lang w:val="lt-LT"/>
        </w:rPr>
      </w:pPr>
      <w:r w:rsidRPr="00AB6A8A">
        <w:rPr>
          <w:b/>
          <w:lang w:val="lt-LT"/>
        </w:rPr>
        <w:t>B.</w:t>
      </w:r>
      <w:r w:rsidRPr="00AB6A8A">
        <w:rPr>
          <w:b/>
          <w:lang w:val="lt-LT"/>
        </w:rPr>
        <w:tab/>
        <w:t xml:space="preserve">TIEKIMO IR VARTOJIMO SĄLYGOS AR APRIBOJIMAI </w:t>
      </w:r>
    </w:p>
    <w:p w14:paraId="7C1611E9" w14:textId="77777777" w:rsidR="007C68A4" w:rsidRPr="00AB6A8A" w:rsidRDefault="007C68A4" w:rsidP="007A292B">
      <w:pPr>
        <w:pStyle w:val="Betarp"/>
        <w:rPr>
          <w:lang w:val="lt-LT"/>
        </w:rPr>
      </w:pPr>
    </w:p>
    <w:p w14:paraId="75BA2302" w14:textId="77777777" w:rsidR="007C68A4" w:rsidRPr="00AB6A8A" w:rsidRDefault="007C68A4" w:rsidP="007A292B">
      <w:pPr>
        <w:tabs>
          <w:tab w:val="left" w:pos="567"/>
        </w:tabs>
        <w:spacing w:line="240" w:lineRule="auto"/>
        <w:rPr>
          <w:rFonts w:eastAsia="Times New Roman"/>
          <w:snapToGrid w:val="0"/>
          <w:lang w:val="lt-LT"/>
        </w:rPr>
      </w:pPr>
      <w:r w:rsidRPr="00AB6A8A">
        <w:rPr>
          <w:rFonts w:eastAsia="Times New Roman"/>
          <w:snapToGrid w:val="0"/>
          <w:lang w:val="lt-LT"/>
        </w:rPr>
        <w:t>Receptinis vaistinis preparatas.</w:t>
      </w:r>
    </w:p>
    <w:p w14:paraId="00DDFE3D" w14:textId="77777777" w:rsidR="007C68A4" w:rsidRPr="00AB6A8A" w:rsidRDefault="007C68A4" w:rsidP="007A292B">
      <w:pPr>
        <w:spacing w:line="240" w:lineRule="auto"/>
        <w:rPr>
          <w:lang w:val="lt-LT"/>
        </w:rPr>
      </w:pPr>
    </w:p>
    <w:p w14:paraId="5F6F1D09" w14:textId="77777777" w:rsidR="007C68A4" w:rsidRPr="00AB6A8A" w:rsidRDefault="007C68A4" w:rsidP="007A292B">
      <w:pPr>
        <w:spacing w:line="240" w:lineRule="auto"/>
        <w:rPr>
          <w:lang w:val="lt-LT"/>
        </w:rPr>
      </w:pPr>
      <w:r w:rsidRPr="00AB6A8A">
        <w:rPr>
          <w:lang w:val="lt-LT"/>
        </w:rPr>
        <w:br w:type="page"/>
      </w:r>
    </w:p>
    <w:p w14:paraId="44B9C8EC" w14:textId="77777777" w:rsidR="007C68A4" w:rsidRPr="00AB6A8A" w:rsidRDefault="007C68A4" w:rsidP="007A292B">
      <w:pPr>
        <w:pStyle w:val="BTEMEASMCA"/>
      </w:pPr>
    </w:p>
    <w:p w14:paraId="265DE532" w14:textId="77777777" w:rsidR="007C68A4" w:rsidRPr="00AB6A8A" w:rsidRDefault="007C68A4" w:rsidP="007A292B">
      <w:pPr>
        <w:pStyle w:val="TTEMEASMCA"/>
      </w:pPr>
    </w:p>
    <w:p w14:paraId="7B2E725F" w14:textId="77777777" w:rsidR="007C68A4" w:rsidRPr="00AB6A8A" w:rsidRDefault="007C68A4" w:rsidP="007A292B">
      <w:pPr>
        <w:pStyle w:val="TTEMEASMCA"/>
      </w:pPr>
    </w:p>
    <w:p w14:paraId="3FE6A418" w14:textId="77777777" w:rsidR="007C68A4" w:rsidRPr="00AB6A8A" w:rsidRDefault="007C68A4" w:rsidP="007A292B">
      <w:pPr>
        <w:pStyle w:val="TTEMEASMCA"/>
      </w:pPr>
    </w:p>
    <w:p w14:paraId="0E31F0AF" w14:textId="77777777" w:rsidR="007C68A4" w:rsidRPr="00AB6A8A" w:rsidRDefault="007C68A4" w:rsidP="007A292B">
      <w:pPr>
        <w:pStyle w:val="TTEMEASMCA"/>
      </w:pPr>
    </w:p>
    <w:p w14:paraId="2CEB1363" w14:textId="77777777" w:rsidR="007C68A4" w:rsidRPr="00AB6A8A" w:rsidRDefault="007C68A4" w:rsidP="007A292B">
      <w:pPr>
        <w:pStyle w:val="TTEMEASMCA"/>
      </w:pPr>
    </w:p>
    <w:p w14:paraId="51537E14" w14:textId="77777777" w:rsidR="007C68A4" w:rsidRPr="00AB6A8A" w:rsidRDefault="007C68A4" w:rsidP="007A292B">
      <w:pPr>
        <w:pStyle w:val="TTEMEASMCA"/>
      </w:pPr>
    </w:p>
    <w:p w14:paraId="0B189930" w14:textId="77777777" w:rsidR="007C68A4" w:rsidRPr="00AB6A8A" w:rsidRDefault="007C68A4" w:rsidP="007A292B">
      <w:pPr>
        <w:pStyle w:val="TTEMEASMCA"/>
      </w:pPr>
    </w:p>
    <w:p w14:paraId="49B98AB2" w14:textId="77777777" w:rsidR="007C68A4" w:rsidRPr="00AB6A8A" w:rsidRDefault="007C68A4" w:rsidP="007A292B">
      <w:pPr>
        <w:pStyle w:val="TTEMEASMCA"/>
      </w:pPr>
    </w:p>
    <w:p w14:paraId="6E0ABAB5" w14:textId="77777777" w:rsidR="007C68A4" w:rsidRPr="00AB6A8A" w:rsidRDefault="007C68A4" w:rsidP="007A292B">
      <w:pPr>
        <w:pStyle w:val="TTEMEASMCA"/>
      </w:pPr>
    </w:p>
    <w:p w14:paraId="2CA9AF1C" w14:textId="77777777" w:rsidR="007C68A4" w:rsidRPr="00AB6A8A" w:rsidRDefault="007C68A4" w:rsidP="007A292B">
      <w:pPr>
        <w:pStyle w:val="TTEMEASMCA"/>
      </w:pPr>
    </w:p>
    <w:p w14:paraId="04AF9AAB" w14:textId="77777777" w:rsidR="007C68A4" w:rsidRPr="00AB6A8A" w:rsidRDefault="007C68A4" w:rsidP="007A292B">
      <w:pPr>
        <w:pStyle w:val="TTEMEASMCA"/>
      </w:pPr>
    </w:p>
    <w:p w14:paraId="5FCD4F43" w14:textId="77777777" w:rsidR="007C68A4" w:rsidRPr="00AB6A8A" w:rsidRDefault="007C68A4" w:rsidP="007A292B">
      <w:pPr>
        <w:pStyle w:val="TTEMEASMCA"/>
      </w:pPr>
    </w:p>
    <w:p w14:paraId="62669F92" w14:textId="77777777" w:rsidR="007C68A4" w:rsidRPr="00AB6A8A" w:rsidRDefault="007C68A4" w:rsidP="007A292B">
      <w:pPr>
        <w:pStyle w:val="TTEMEASMCA"/>
      </w:pPr>
    </w:p>
    <w:p w14:paraId="160482E7" w14:textId="77777777" w:rsidR="007C68A4" w:rsidRPr="00AB6A8A" w:rsidRDefault="007C68A4" w:rsidP="007A292B">
      <w:pPr>
        <w:pStyle w:val="TTEMEASMCA"/>
      </w:pPr>
    </w:p>
    <w:p w14:paraId="461E89BF" w14:textId="77777777" w:rsidR="007C68A4" w:rsidRPr="00AB6A8A" w:rsidRDefault="007C68A4" w:rsidP="007A292B">
      <w:pPr>
        <w:pStyle w:val="TTEMEASMCA"/>
      </w:pPr>
    </w:p>
    <w:p w14:paraId="1C973636" w14:textId="77777777" w:rsidR="007C68A4" w:rsidRPr="00AB6A8A" w:rsidRDefault="007C68A4" w:rsidP="007A292B">
      <w:pPr>
        <w:pStyle w:val="TTEMEASMCA"/>
      </w:pPr>
    </w:p>
    <w:p w14:paraId="70077694" w14:textId="77777777" w:rsidR="007C68A4" w:rsidRPr="00AB6A8A" w:rsidRDefault="007C68A4" w:rsidP="007A292B">
      <w:pPr>
        <w:pStyle w:val="TTEMEASMCA"/>
      </w:pPr>
    </w:p>
    <w:p w14:paraId="695CF81C" w14:textId="77777777" w:rsidR="007C68A4" w:rsidRPr="00AB6A8A" w:rsidRDefault="007C68A4" w:rsidP="007A292B">
      <w:pPr>
        <w:pStyle w:val="TTEMEASMCA"/>
      </w:pPr>
    </w:p>
    <w:p w14:paraId="2EA73D30" w14:textId="77777777" w:rsidR="007C68A4" w:rsidRPr="00AB6A8A" w:rsidRDefault="007C68A4" w:rsidP="007A292B">
      <w:pPr>
        <w:pStyle w:val="TTEMEASMCA"/>
      </w:pPr>
    </w:p>
    <w:p w14:paraId="60E32D4E" w14:textId="77777777" w:rsidR="007C68A4" w:rsidRPr="00AB6A8A" w:rsidRDefault="007C68A4" w:rsidP="007A292B">
      <w:pPr>
        <w:pStyle w:val="TTEMEASMCA"/>
      </w:pPr>
    </w:p>
    <w:p w14:paraId="064E057F" w14:textId="77777777" w:rsidR="007C68A4" w:rsidRPr="00AB6A8A" w:rsidRDefault="007C68A4" w:rsidP="007A292B">
      <w:pPr>
        <w:pStyle w:val="TTEMEASMCA"/>
      </w:pPr>
    </w:p>
    <w:p w14:paraId="7A358BC9" w14:textId="77777777" w:rsidR="007C68A4" w:rsidRPr="00AB6A8A" w:rsidRDefault="007C68A4" w:rsidP="007A292B">
      <w:pPr>
        <w:pStyle w:val="TTEMEASMCA"/>
      </w:pPr>
      <w:r w:rsidRPr="00AB6A8A">
        <w:t>III PRIEDAS</w:t>
      </w:r>
    </w:p>
    <w:p w14:paraId="73409620" w14:textId="77777777" w:rsidR="007C68A4" w:rsidRPr="00AB6A8A" w:rsidRDefault="007C68A4" w:rsidP="007A292B">
      <w:pPr>
        <w:pStyle w:val="BTEMEASMCA"/>
      </w:pPr>
    </w:p>
    <w:p w14:paraId="0FCC506D" w14:textId="77777777" w:rsidR="007C68A4" w:rsidRPr="00AB6A8A" w:rsidRDefault="007C68A4" w:rsidP="007A292B">
      <w:pPr>
        <w:pStyle w:val="TTEMEASMCA"/>
      </w:pPr>
      <w:r w:rsidRPr="00AB6A8A">
        <w:t>ŽENKLINIMAS IR PAKUOTĖS LAPELIS</w:t>
      </w:r>
    </w:p>
    <w:p w14:paraId="2C361062" w14:textId="77777777" w:rsidR="007C68A4" w:rsidRPr="00AB6A8A" w:rsidRDefault="007C68A4" w:rsidP="007A292B">
      <w:pPr>
        <w:spacing w:line="240" w:lineRule="auto"/>
        <w:rPr>
          <w:lang w:val="lt-LT"/>
        </w:rPr>
      </w:pPr>
      <w:r w:rsidRPr="00AB6A8A">
        <w:rPr>
          <w:lang w:val="lt-LT"/>
        </w:rPr>
        <w:br w:type="page"/>
      </w:r>
    </w:p>
    <w:p w14:paraId="311F4E94" w14:textId="77777777" w:rsidR="007C68A4" w:rsidRPr="00AB6A8A" w:rsidRDefault="007C68A4" w:rsidP="007A292B">
      <w:pPr>
        <w:spacing w:line="240" w:lineRule="auto"/>
        <w:rPr>
          <w:lang w:val="lt-LT"/>
        </w:rPr>
      </w:pPr>
    </w:p>
    <w:p w14:paraId="1916487A" w14:textId="77777777" w:rsidR="007C68A4" w:rsidRPr="00AB6A8A" w:rsidRDefault="007C68A4" w:rsidP="007A292B">
      <w:pPr>
        <w:spacing w:line="240" w:lineRule="auto"/>
        <w:rPr>
          <w:lang w:val="lt-LT"/>
        </w:rPr>
      </w:pPr>
    </w:p>
    <w:p w14:paraId="06E73974" w14:textId="77777777" w:rsidR="007C68A4" w:rsidRPr="00AB6A8A" w:rsidRDefault="007C68A4" w:rsidP="007A292B">
      <w:pPr>
        <w:spacing w:line="240" w:lineRule="auto"/>
        <w:rPr>
          <w:lang w:val="lt-LT"/>
        </w:rPr>
      </w:pPr>
    </w:p>
    <w:p w14:paraId="6F93D567" w14:textId="77777777" w:rsidR="007C68A4" w:rsidRPr="00AB6A8A" w:rsidRDefault="007C68A4" w:rsidP="007A292B">
      <w:pPr>
        <w:spacing w:line="240" w:lineRule="auto"/>
        <w:rPr>
          <w:lang w:val="lt-LT"/>
        </w:rPr>
      </w:pPr>
    </w:p>
    <w:p w14:paraId="156ECE73" w14:textId="77777777" w:rsidR="007C68A4" w:rsidRPr="00AB6A8A" w:rsidRDefault="007C68A4" w:rsidP="007A292B">
      <w:pPr>
        <w:spacing w:line="240" w:lineRule="auto"/>
        <w:rPr>
          <w:lang w:val="lt-LT"/>
        </w:rPr>
      </w:pPr>
    </w:p>
    <w:p w14:paraId="56F2D955" w14:textId="77777777" w:rsidR="007C68A4" w:rsidRPr="00AB6A8A" w:rsidRDefault="007C68A4" w:rsidP="007A292B">
      <w:pPr>
        <w:spacing w:line="240" w:lineRule="auto"/>
        <w:rPr>
          <w:lang w:val="lt-LT"/>
        </w:rPr>
      </w:pPr>
    </w:p>
    <w:p w14:paraId="3D887DA0" w14:textId="77777777" w:rsidR="007C68A4" w:rsidRPr="00AB6A8A" w:rsidRDefault="007C68A4" w:rsidP="007A292B">
      <w:pPr>
        <w:spacing w:line="240" w:lineRule="auto"/>
        <w:rPr>
          <w:lang w:val="lt-LT"/>
        </w:rPr>
      </w:pPr>
    </w:p>
    <w:p w14:paraId="3848449C" w14:textId="77777777" w:rsidR="007C68A4" w:rsidRPr="00AB6A8A" w:rsidRDefault="007C68A4" w:rsidP="007A292B">
      <w:pPr>
        <w:spacing w:line="240" w:lineRule="auto"/>
        <w:rPr>
          <w:lang w:val="lt-LT"/>
        </w:rPr>
      </w:pPr>
    </w:p>
    <w:p w14:paraId="477CD436" w14:textId="77777777" w:rsidR="007C68A4" w:rsidRPr="00AB6A8A" w:rsidRDefault="007C68A4" w:rsidP="007A292B">
      <w:pPr>
        <w:spacing w:line="240" w:lineRule="auto"/>
        <w:rPr>
          <w:lang w:val="lt-LT"/>
        </w:rPr>
      </w:pPr>
    </w:p>
    <w:p w14:paraId="1AE5F6A8" w14:textId="77777777" w:rsidR="007C68A4" w:rsidRPr="00AB6A8A" w:rsidRDefault="007C68A4" w:rsidP="007A292B">
      <w:pPr>
        <w:spacing w:line="240" w:lineRule="auto"/>
        <w:rPr>
          <w:lang w:val="lt-LT"/>
        </w:rPr>
      </w:pPr>
    </w:p>
    <w:p w14:paraId="0334591C" w14:textId="77777777" w:rsidR="007C68A4" w:rsidRPr="00AB6A8A" w:rsidRDefault="007C68A4" w:rsidP="007A292B">
      <w:pPr>
        <w:spacing w:line="240" w:lineRule="auto"/>
        <w:rPr>
          <w:lang w:val="lt-LT"/>
        </w:rPr>
      </w:pPr>
    </w:p>
    <w:p w14:paraId="0A4B44FE" w14:textId="77777777" w:rsidR="007C68A4" w:rsidRPr="00AB6A8A" w:rsidRDefault="007C68A4" w:rsidP="007A292B">
      <w:pPr>
        <w:spacing w:line="240" w:lineRule="auto"/>
        <w:rPr>
          <w:lang w:val="lt-LT"/>
        </w:rPr>
      </w:pPr>
    </w:p>
    <w:p w14:paraId="04A27223" w14:textId="77777777" w:rsidR="007C68A4" w:rsidRPr="00AB6A8A" w:rsidRDefault="007C68A4" w:rsidP="007A292B">
      <w:pPr>
        <w:spacing w:line="240" w:lineRule="auto"/>
        <w:rPr>
          <w:lang w:val="lt-LT"/>
        </w:rPr>
      </w:pPr>
    </w:p>
    <w:p w14:paraId="6701531D" w14:textId="77777777" w:rsidR="007C68A4" w:rsidRPr="00AB6A8A" w:rsidRDefault="007C68A4" w:rsidP="007A292B">
      <w:pPr>
        <w:spacing w:line="240" w:lineRule="auto"/>
        <w:rPr>
          <w:lang w:val="lt-LT"/>
        </w:rPr>
      </w:pPr>
    </w:p>
    <w:p w14:paraId="38DE6923" w14:textId="77777777" w:rsidR="007C68A4" w:rsidRPr="00AB6A8A" w:rsidRDefault="007C68A4" w:rsidP="007A292B">
      <w:pPr>
        <w:spacing w:line="240" w:lineRule="auto"/>
        <w:rPr>
          <w:lang w:val="lt-LT"/>
        </w:rPr>
      </w:pPr>
    </w:p>
    <w:p w14:paraId="47744259" w14:textId="77777777" w:rsidR="007C68A4" w:rsidRPr="00AB6A8A" w:rsidRDefault="007C68A4" w:rsidP="007A292B">
      <w:pPr>
        <w:spacing w:line="240" w:lineRule="auto"/>
        <w:rPr>
          <w:lang w:val="lt-LT"/>
        </w:rPr>
      </w:pPr>
    </w:p>
    <w:p w14:paraId="522239FB" w14:textId="77777777" w:rsidR="007C68A4" w:rsidRPr="00AB6A8A" w:rsidRDefault="007C68A4" w:rsidP="007A292B">
      <w:pPr>
        <w:spacing w:line="240" w:lineRule="auto"/>
        <w:rPr>
          <w:lang w:val="lt-LT"/>
        </w:rPr>
      </w:pPr>
    </w:p>
    <w:p w14:paraId="0617305F" w14:textId="77777777" w:rsidR="007C68A4" w:rsidRPr="00AB6A8A" w:rsidRDefault="007C68A4" w:rsidP="007A292B">
      <w:pPr>
        <w:spacing w:line="240" w:lineRule="auto"/>
        <w:rPr>
          <w:lang w:val="lt-LT"/>
        </w:rPr>
      </w:pPr>
    </w:p>
    <w:p w14:paraId="42A76C5A" w14:textId="77777777" w:rsidR="007C68A4" w:rsidRPr="00AB6A8A" w:rsidRDefault="007C68A4" w:rsidP="007A292B">
      <w:pPr>
        <w:spacing w:line="240" w:lineRule="auto"/>
        <w:rPr>
          <w:lang w:val="lt-LT"/>
        </w:rPr>
      </w:pPr>
    </w:p>
    <w:p w14:paraId="2BF4893F" w14:textId="77777777" w:rsidR="007C68A4" w:rsidRPr="00AB6A8A" w:rsidRDefault="007C68A4" w:rsidP="007A292B">
      <w:pPr>
        <w:spacing w:line="240" w:lineRule="auto"/>
        <w:rPr>
          <w:b/>
          <w:lang w:val="lt-LT"/>
        </w:rPr>
      </w:pPr>
    </w:p>
    <w:p w14:paraId="5F41F37A" w14:textId="77777777" w:rsidR="007C68A4" w:rsidRPr="00AB6A8A" w:rsidRDefault="007C68A4" w:rsidP="007A292B">
      <w:pPr>
        <w:spacing w:line="240" w:lineRule="auto"/>
        <w:rPr>
          <w:b/>
          <w:lang w:val="lt-LT"/>
        </w:rPr>
      </w:pPr>
    </w:p>
    <w:p w14:paraId="00267501" w14:textId="77777777" w:rsidR="007C68A4" w:rsidRPr="00AB6A8A" w:rsidRDefault="007C68A4" w:rsidP="007A292B">
      <w:pPr>
        <w:pStyle w:val="Antrat2"/>
        <w:spacing w:before="0" w:line="240" w:lineRule="auto"/>
        <w:jc w:val="center"/>
        <w:rPr>
          <w:rFonts w:ascii="Times New Roman" w:hAnsi="Times New Roman"/>
          <w:b/>
          <w:color w:val="auto"/>
          <w:sz w:val="22"/>
          <w:szCs w:val="22"/>
          <w:lang w:val="lt-LT"/>
        </w:rPr>
      </w:pPr>
    </w:p>
    <w:p w14:paraId="5E634722" w14:textId="77777777" w:rsidR="007C68A4" w:rsidRPr="00AB6A8A" w:rsidRDefault="007C68A4" w:rsidP="007A292B">
      <w:pPr>
        <w:pStyle w:val="Antrat2"/>
        <w:spacing w:before="0" w:line="240" w:lineRule="auto"/>
        <w:jc w:val="center"/>
        <w:rPr>
          <w:rFonts w:ascii="Times New Roman" w:hAnsi="Times New Roman"/>
          <w:b/>
          <w:i/>
          <w:iCs/>
          <w:color w:val="auto"/>
          <w:sz w:val="22"/>
          <w:szCs w:val="22"/>
          <w:lang w:val="lt-LT"/>
        </w:rPr>
      </w:pPr>
      <w:r w:rsidRPr="00AB6A8A">
        <w:rPr>
          <w:rFonts w:ascii="Times New Roman" w:hAnsi="Times New Roman"/>
          <w:b/>
          <w:color w:val="auto"/>
          <w:sz w:val="22"/>
          <w:szCs w:val="22"/>
          <w:lang w:val="lt-LT"/>
        </w:rPr>
        <w:t>A. ŽENKLINIMAS</w:t>
      </w:r>
    </w:p>
    <w:p w14:paraId="21ACBDCB" w14:textId="77777777" w:rsidR="007C68A4" w:rsidRPr="00AB6A8A" w:rsidRDefault="007C68A4" w:rsidP="007A292B">
      <w:pPr>
        <w:shd w:val="clear" w:color="auto" w:fill="FFFFFF"/>
        <w:spacing w:line="240" w:lineRule="auto"/>
        <w:rPr>
          <w:lang w:val="lt-LT"/>
        </w:rPr>
      </w:pPr>
      <w:r w:rsidRPr="00AB6A8A">
        <w:rPr>
          <w:lang w:val="lt-LT"/>
        </w:rPr>
        <w:br w:type="page"/>
      </w:r>
    </w:p>
    <w:p w14:paraId="7AF9DFD2"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rPr>
          <w:b/>
          <w:lang w:val="lt-LT"/>
        </w:rPr>
      </w:pPr>
      <w:r w:rsidRPr="00AB6A8A">
        <w:rPr>
          <w:b/>
          <w:lang w:val="lt-LT"/>
        </w:rPr>
        <w:t>INFORMACIJA ANT IŠORINĖS PAKUOTĖS</w:t>
      </w:r>
    </w:p>
    <w:p w14:paraId="5F0C7BA4"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ind w:left="567" w:hanging="567"/>
        <w:rPr>
          <w:bCs/>
          <w:lang w:val="lt-LT"/>
        </w:rPr>
      </w:pPr>
    </w:p>
    <w:p w14:paraId="7CF02242"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rPr>
          <w:bCs/>
          <w:lang w:val="lt-LT"/>
        </w:rPr>
      </w:pPr>
      <w:r w:rsidRPr="00AB6A8A">
        <w:rPr>
          <w:b/>
          <w:lang w:val="lt-LT"/>
        </w:rPr>
        <w:t>KARTONO DĖŽUTĖ</w:t>
      </w:r>
    </w:p>
    <w:p w14:paraId="235F3C75" w14:textId="77777777" w:rsidR="007C68A4" w:rsidRPr="00AB6A8A" w:rsidRDefault="007C68A4" w:rsidP="007A292B">
      <w:pPr>
        <w:spacing w:line="240" w:lineRule="auto"/>
        <w:rPr>
          <w:lang w:val="lt-LT"/>
        </w:rPr>
      </w:pPr>
    </w:p>
    <w:p w14:paraId="179F1F5C"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AB6A8A">
        <w:rPr>
          <w:b/>
          <w:lang w:val="lt-LT"/>
        </w:rPr>
        <w:t>1.</w:t>
      </w:r>
      <w:r w:rsidRPr="00AB6A8A">
        <w:rPr>
          <w:b/>
          <w:lang w:val="lt-LT"/>
        </w:rPr>
        <w:tab/>
        <w:t>VAISTINIO PREPARATO PAVADINIMAS</w:t>
      </w:r>
    </w:p>
    <w:p w14:paraId="4E82D181" w14:textId="77777777" w:rsidR="007C68A4" w:rsidRPr="00AB6A8A" w:rsidRDefault="007C68A4" w:rsidP="007A292B">
      <w:pPr>
        <w:pStyle w:val="Betarp"/>
        <w:rPr>
          <w:lang w:val="lt-LT"/>
        </w:rPr>
      </w:pPr>
    </w:p>
    <w:p w14:paraId="04FC0C1F" w14:textId="0D1D12B3" w:rsidR="00141FB2" w:rsidRPr="00AB6A8A" w:rsidRDefault="00AA211B" w:rsidP="007A292B">
      <w:pPr>
        <w:pStyle w:val="Betarp"/>
        <w:rPr>
          <w:noProof/>
          <w:lang w:val="lt-LT"/>
        </w:rPr>
      </w:pPr>
      <w:r>
        <w:rPr>
          <w:noProof/>
          <w:lang w:val="lt-LT"/>
        </w:rPr>
        <w:t>Ed</w:t>
      </w:r>
      <w:r w:rsidR="007643D3" w:rsidRPr="007643D3">
        <w:rPr>
          <w:noProof/>
          <w:lang w:val="lt-LT"/>
        </w:rPr>
        <w:t>uelym</w:t>
      </w:r>
      <w:r w:rsidR="00141FB2" w:rsidRPr="00AB6A8A">
        <w:rPr>
          <w:noProof/>
          <w:lang w:val="lt-LT"/>
        </w:rPr>
        <w:t xml:space="preserve"> 0,1 mg/1 mg/g akių gelis vienadozėje talpyklėje</w:t>
      </w:r>
    </w:p>
    <w:p w14:paraId="67673AC3" w14:textId="2791D5A7" w:rsidR="007C68A4" w:rsidRPr="00AB6A8A" w:rsidRDefault="00141FB2" w:rsidP="007A292B">
      <w:pPr>
        <w:pStyle w:val="Betarp"/>
        <w:rPr>
          <w:lang w:val="lt-LT"/>
        </w:rPr>
      </w:pPr>
      <w:r w:rsidRPr="00AB6A8A">
        <w:rPr>
          <w:lang w:val="lt-LT"/>
        </w:rPr>
        <w:t>bimat</w:t>
      </w:r>
      <w:r w:rsidR="007C68A4" w:rsidRPr="00AB6A8A">
        <w:rPr>
          <w:lang w:val="lt-LT"/>
        </w:rPr>
        <w:t>oprostum/</w:t>
      </w:r>
      <w:r w:rsidRPr="00AB6A8A">
        <w:rPr>
          <w:lang w:val="lt-LT"/>
        </w:rPr>
        <w:t>t</w:t>
      </w:r>
      <w:r w:rsidR="007C68A4" w:rsidRPr="00AB6A8A">
        <w:rPr>
          <w:lang w:val="lt-LT"/>
        </w:rPr>
        <w:t>imololum</w:t>
      </w:r>
    </w:p>
    <w:p w14:paraId="7E464ABD" w14:textId="77777777" w:rsidR="007C68A4" w:rsidRPr="00AB6A8A" w:rsidRDefault="007C68A4" w:rsidP="007A292B">
      <w:pPr>
        <w:pStyle w:val="Betarp"/>
        <w:rPr>
          <w:lang w:val="lt-LT"/>
        </w:rPr>
      </w:pPr>
    </w:p>
    <w:p w14:paraId="69AE372F" w14:textId="77777777" w:rsidR="007C68A4" w:rsidRPr="00AB6A8A" w:rsidRDefault="007C68A4" w:rsidP="007A292B">
      <w:pPr>
        <w:pStyle w:val="Betarp"/>
        <w:rPr>
          <w:lang w:val="lt-LT"/>
        </w:rPr>
      </w:pPr>
    </w:p>
    <w:p w14:paraId="5B87F019"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AB6A8A">
        <w:rPr>
          <w:b/>
          <w:lang w:val="lt-LT"/>
        </w:rPr>
        <w:t>2.</w:t>
      </w:r>
      <w:r w:rsidRPr="00AB6A8A">
        <w:rPr>
          <w:b/>
          <w:lang w:val="lt-LT"/>
        </w:rPr>
        <w:tab/>
        <w:t>VEIKLIOJI (-IOS) MEDŽIAGA (-OS) IR JOS (-Ų) KIEKIS (-IAI)</w:t>
      </w:r>
    </w:p>
    <w:p w14:paraId="0912C9C0" w14:textId="77777777" w:rsidR="007C68A4" w:rsidRPr="00AB6A8A" w:rsidRDefault="007C68A4" w:rsidP="007A292B">
      <w:pPr>
        <w:pStyle w:val="Betarp"/>
        <w:rPr>
          <w:lang w:val="lt-LT"/>
        </w:rPr>
      </w:pPr>
    </w:p>
    <w:p w14:paraId="30D275FC" w14:textId="349BD05A" w:rsidR="007C68A4" w:rsidRPr="00AB6A8A" w:rsidRDefault="007C68A4" w:rsidP="007A292B">
      <w:pPr>
        <w:pStyle w:val="Betarp"/>
        <w:rPr>
          <w:lang w:val="lt-LT"/>
        </w:rPr>
      </w:pPr>
      <w:r w:rsidRPr="00AB6A8A">
        <w:rPr>
          <w:lang w:val="lt-LT"/>
        </w:rPr>
        <w:t>1 </w:t>
      </w:r>
      <w:r w:rsidR="00141FB2" w:rsidRPr="00AB6A8A">
        <w:rPr>
          <w:lang w:val="lt-LT"/>
        </w:rPr>
        <w:t>g akių gelio</w:t>
      </w:r>
      <w:r w:rsidRPr="00AB6A8A">
        <w:rPr>
          <w:lang w:val="lt-LT"/>
        </w:rPr>
        <w:t xml:space="preserve"> yra </w:t>
      </w:r>
      <w:r w:rsidR="00141FB2" w:rsidRPr="00AB6A8A">
        <w:rPr>
          <w:lang w:val="lt-LT"/>
        </w:rPr>
        <w:t>0,1 mg</w:t>
      </w:r>
      <w:r w:rsidRPr="00AB6A8A">
        <w:rPr>
          <w:lang w:val="lt-LT"/>
        </w:rPr>
        <w:t xml:space="preserve"> </w:t>
      </w:r>
      <w:r w:rsidR="00141FB2" w:rsidRPr="00AB6A8A">
        <w:rPr>
          <w:lang w:val="lt-LT"/>
        </w:rPr>
        <w:t>bimat</w:t>
      </w:r>
      <w:r w:rsidRPr="00AB6A8A">
        <w:rPr>
          <w:lang w:val="lt-LT"/>
        </w:rPr>
        <w:t xml:space="preserve">oprosto ir </w:t>
      </w:r>
      <w:r w:rsidR="00141FB2" w:rsidRPr="00AB6A8A">
        <w:rPr>
          <w:lang w:val="lt-LT"/>
        </w:rPr>
        <w:t xml:space="preserve">1,37 mg </w:t>
      </w:r>
      <w:r w:rsidRPr="00AB6A8A">
        <w:rPr>
          <w:lang w:val="lt-LT"/>
        </w:rPr>
        <w:t xml:space="preserve">timololio maleato, atitinkančio </w:t>
      </w:r>
      <w:r w:rsidR="00141FB2" w:rsidRPr="00AB6A8A">
        <w:rPr>
          <w:lang w:val="lt-LT"/>
        </w:rPr>
        <w:t>1</w:t>
      </w:r>
      <w:r w:rsidRPr="00AB6A8A">
        <w:rPr>
          <w:lang w:val="lt-LT"/>
        </w:rPr>
        <w:t> mg timololio.</w:t>
      </w:r>
    </w:p>
    <w:p w14:paraId="150516F9" w14:textId="77777777" w:rsidR="007C68A4" w:rsidRPr="00AB6A8A" w:rsidRDefault="007C68A4" w:rsidP="007A292B">
      <w:pPr>
        <w:pStyle w:val="Betarp"/>
        <w:rPr>
          <w:lang w:val="lt-LT"/>
        </w:rPr>
      </w:pPr>
    </w:p>
    <w:p w14:paraId="7F4EFA70" w14:textId="77777777" w:rsidR="007C68A4" w:rsidRPr="00AB6A8A" w:rsidRDefault="007C68A4" w:rsidP="007A292B">
      <w:pPr>
        <w:pStyle w:val="Betarp"/>
        <w:rPr>
          <w:lang w:val="lt-LT"/>
        </w:rPr>
      </w:pPr>
    </w:p>
    <w:p w14:paraId="13EA8C6F"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AB6A8A">
        <w:rPr>
          <w:b/>
          <w:lang w:val="lt-LT"/>
        </w:rPr>
        <w:t>3.</w:t>
      </w:r>
      <w:r w:rsidRPr="00AB6A8A">
        <w:rPr>
          <w:b/>
          <w:lang w:val="lt-LT"/>
        </w:rPr>
        <w:tab/>
        <w:t>PAGALBINIŲ MEDŽIAGŲ SĄRAŠAS</w:t>
      </w:r>
    </w:p>
    <w:p w14:paraId="281A279D" w14:textId="77777777" w:rsidR="007C68A4" w:rsidRPr="00AB6A8A" w:rsidRDefault="007C68A4" w:rsidP="007A292B">
      <w:pPr>
        <w:pStyle w:val="Betarp"/>
        <w:rPr>
          <w:lang w:val="lt-LT"/>
        </w:rPr>
      </w:pPr>
    </w:p>
    <w:p w14:paraId="3CB4BEB4" w14:textId="4BABEDE0" w:rsidR="007C68A4" w:rsidRPr="00AB6A8A" w:rsidRDefault="00141FB2" w:rsidP="007A292B">
      <w:pPr>
        <w:pStyle w:val="Betarp"/>
        <w:rPr>
          <w:lang w:val="lt-LT"/>
        </w:rPr>
      </w:pPr>
      <w:r w:rsidRPr="00AB6A8A">
        <w:rPr>
          <w:lang w:val="lt-LT"/>
        </w:rPr>
        <w:t>Sorbitolis, karbomeras, lizin</w:t>
      </w:r>
      <w:r w:rsidR="008F282E">
        <w:rPr>
          <w:lang w:val="lt-LT"/>
        </w:rPr>
        <w:t>as</w:t>
      </w:r>
      <w:r w:rsidRPr="00AB6A8A">
        <w:rPr>
          <w:lang w:val="lt-LT"/>
        </w:rPr>
        <w:t xml:space="preserve"> monohidratas, makrogolis, natrio acetato trihidratas, injekcinis vanduo.</w:t>
      </w:r>
    </w:p>
    <w:p w14:paraId="7D04C106" w14:textId="77777777" w:rsidR="007C68A4" w:rsidRPr="00AB6A8A" w:rsidRDefault="007C68A4" w:rsidP="007A292B">
      <w:pPr>
        <w:pStyle w:val="Betarp"/>
        <w:rPr>
          <w:lang w:val="lt-LT"/>
        </w:rPr>
      </w:pPr>
    </w:p>
    <w:p w14:paraId="4E7BEF0C" w14:textId="77777777" w:rsidR="00141FB2" w:rsidRPr="00AB6A8A" w:rsidRDefault="00141FB2" w:rsidP="007A292B">
      <w:pPr>
        <w:pStyle w:val="Betarp"/>
        <w:rPr>
          <w:lang w:val="lt-LT"/>
        </w:rPr>
      </w:pPr>
    </w:p>
    <w:p w14:paraId="3A6E07E1"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AB6A8A">
        <w:rPr>
          <w:b/>
          <w:lang w:val="lt-LT"/>
        </w:rPr>
        <w:t>4.</w:t>
      </w:r>
      <w:r w:rsidRPr="00AB6A8A">
        <w:rPr>
          <w:b/>
          <w:lang w:val="lt-LT"/>
        </w:rPr>
        <w:tab/>
        <w:t>FARMACINĖ FORMA IR KIEKIS PAKUOTĖJE</w:t>
      </w:r>
    </w:p>
    <w:p w14:paraId="2A311097" w14:textId="77777777" w:rsidR="007C68A4" w:rsidRPr="00AB6A8A" w:rsidRDefault="007C68A4" w:rsidP="007A292B">
      <w:pPr>
        <w:pStyle w:val="Betarp"/>
        <w:rPr>
          <w:lang w:val="lt-LT"/>
        </w:rPr>
      </w:pPr>
    </w:p>
    <w:p w14:paraId="37564021" w14:textId="393E517F" w:rsidR="007C68A4" w:rsidRPr="00AB6A8A" w:rsidRDefault="007C68A4" w:rsidP="007A292B">
      <w:pPr>
        <w:pStyle w:val="Betarp"/>
        <w:rPr>
          <w:lang w:val="lt-LT"/>
        </w:rPr>
      </w:pPr>
      <w:r w:rsidRPr="00AB6A8A">
        <w:rPr>
          <w:highlight w:val="lightGray"/>
          <w:lang w:val="lt-LT"/>
        </w:rPr>
        <w:t xml:space="preserve">Akių </w:t>
      </w:r>
      <w:r w:rsidR="00193B17" w:rsidRPr="00AB6A8A">
        <w:rPr>
          <w:highlight w:val="lightGray"/>
          <w:lang w:val="lt-LT"/>
        </w:rPr>
        <w:t>gelis</w:t>
      </w:r>
    </w:p>
    <w:p w14:paraId="02E71293" w14:textId="25176F74" w:rsidR="007C68A4" w:rsidRPr="00AB6A8A" w:rsidRDefault="00193B17" w:rsidP="007A292B">
      <w:pPr>
        <w:pStyle w:val="Betarp"/>
        <w:rPr>
          <w:iCs/>
          <w:lang w:val="lt-LT"/>
        </w:rPr>
      </w:pPr>
      <w:r w:rsidRPr="00AB6A8A">
        <w:rPr>
          <w:iCs/>
          <w:lang w:val="lt-LT"/>
        </w:rPr>
        <w:t>1</w:t>
      </w:r>
      <w:r w:rsidR="007C68A4" w:rsidRPr="00AB6A8A">
        <w:rPr>
          <w:iCs/>
          <w:lang w:val="lt-LT"/>
        </w:rPr>
        <w:t>0 × 0,</w:t>
      </w:r>
      <w:r w:rsidRPr="00AB6A8A">
        <w:rPr>
          <w:iCs/>
          <w:lang w:val="lt-LT"/>
        </w:rPr>
        <w:t>3</w:t>
      </w:r>
      <w:r w:rsidR="007C68A4" w:rsidRPr="00AB6A8A">
        <w:rPr>
          <w:iCs/>
          <w:lang w:val="lt-LT"/>
        </w:rPr>
        <w:t> </w:t>
      </w:r>
      <w:r w:rsidRPr="00AB6A8A">
        <w:rPr>
          <w:iCs/>
          <w:lang w:val="lt-LT"/>
        </w:rPr>
        <w:t>g</w:t>
      </w:r>
    </w:p>
    <w:p w14:paraId="2F0F8771" w14:textId="533E8C85" w:rsidR="00193B17" w:rsidRPr="00AB6A8A" w:rsidRDefault="00193B17" w:rsidP="007A292B">
      <w:pPr>
        <w:pStyle w:val="Betarp"/>
        <w:rPr>
          <w:iCs/>
          <w:lang w:val="lt-LT"/>
        </w:rPr>
      </w:pPr>
      <w:r w:rsidRPr="00AB6A8A">
        <w:rPr>
          <w:iCs/>
          <w:highlight w:val="lightGray"/>
          <w:lang w:val="lt-LT"/>
        </w:rPr>
        <w:t>30 × 0,3 g</w:t>
      </w:r>
    </w:p>
    <w:p w14:paraId="73262A30" w14:textId="4FBEF43D" w:rsidR="00193B17" w:rsidRPr="00AB6A8A" w:rsidRDefault="00193B17" w:rsidP="007A292B">
      <w:pPr>
        <w:pStyle w:val="Betarp"/>
        <w:rPr>
          <w:iCs/>
          <w:lang w:val="lt-LT"/>
        </w:rPr>
      </w:pPr>
      <w:r w:rsidRPr="00AB6A8A">
        <w:rPr>
          <w:iCs/>
          <w:highlight w:val="lightGray"/>
          <w:lang w:val="lt-LT"/>
        </w:rPr>
        <w:t>90 × 0,3 g</w:t>
      </w:r>
    </w:p>
    <w:p w14:paraId="6CE5947D" w14:textId="77777777" w:rsidR="007C68A4" w:rsidRPr="00AB6A8A" w:rsidRDefault="007C68A4" w:rsidP="007A292B">
      <w:pPr>
        <w:pStyle w:val="Betarp"/>
        <w:rPr>
          <w:lang w:val="lt-LT"/>
        </w:rPr>
      </w:pPr>
    </w:p>
    <w:p w14:paraId="3E7E5FFE" w14:textId="77777777" w:rsidR="007C68A4" w:rsidRPr="00AB6A8A" w:rsidRDefault="007C68A4" w:rsidP="007A292B">
      <w:pPr>
        <w:pStyle w:val="Betarp"/>
        <w:rPr>
          <w:lang w:val="lt-LT"/>
        </w:rPr>
      </w:pPr>
    </w:p>
    <w:p w14:paraId="1135725C"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AB6A8A">
        <w:rPr>
          <w:b/>
          <w:lang w:val="lt-LT"/>
        </w:rPr>
        <w:t>5.</w:t>
      </w:r>
      <w:r w:rsidRPr="00AB6A8A">
        <w:rPr>
          <w:b/>
          <w:lang w:val="lt-LT"/>
        </w:rPr>
        <w:tab/>
        <w:t>VARTOJIMO METODAS IR BŪDAS (-AI)</w:t>
      </w:r>
    </w:p>
    <w:p w14:paraId="4A70FA27" w14:textId="77777777" w:rsidR="007C68A4" w:rsidRPr="00AB6A8A" w:rsidRDefault="007C68A4" w:rsidP="007A292B">
      <w:pPr>
        <w:pStyle w:val="Betarp"/>
        <w:rPr>
          <w:lang w:val="lt-LT"/>
        </w:rPr>
      </w:pPr>
    </w:p>
    <w:p w14:paraId="6B3995FD" w14:textId="294A1A45" w:rsidR="007C68A4" w:rsidRPr="00AB6A8A" w:rsidRDefault="007C68A4" w:rsidP="007A292B">
      <w:pPr>
        <w:pStyle w:val="Betarp"/>
        <w:rPr>
          <w:lang w:val="lt-LT"/>
        </w:rPr>
      </w:pPr>
      <w:r w:rsidRPr="00AB6A8A">
        <w:rPr>
          <w:lang w:val="lt-LT"/>
        </w:rPr>
        <w:t>Vartoti ant akių.</w:t>
      </w:r>
    </w:p>
    <w:p w14:paraId="1B3BF35D" w14:textId="77777777" w:rsidR="007C68A4" w:rsidRPr="00AB6A8A" w:rsidRDefault="007C68A4" w:rsidP="007A292B">
      <w:pPr>
        <w:pStyle w:val="Betarp"/>
        <w:rPr>
          <w:lang w:val="lt-LT"/>
        </w:rPr>
      </w:pPr>
      <w:r w:rsidRPr="00AB6A8A">
        <w:rPr>
          <w:lang w:val="lt-LT"/>
        </w:rPr>
        <w:t>Prieš vartojimą perskaitykite pakuotės lapelį.</w:t>
      </w:r>
    </w:p>
    <w:p w14:paraId="65F3F25A" w14:textId="77777777" w:rsidR="007C68A4" w:rsidRPr="00AB6A8A" w:rsidRDefault="007C68A4" w:rsidP="007A292B">
      <w:pPr>
        <w:pStyle w:val="Betarp"/>
        <w:rPr>
          <w:lang w:val="lt-LT"/>
        </w:rPr>
      </w:pPr>
    </w:p>
    <w:p w14:paraId="5AA5500B" w14:textId="77777777" w:rsidR="007C68A4" w:rsidRPr="00AB6A8A" w:rsidRDefault="007C68A4" w:rsidP="007A292B">
      <w:pPr>
        <w:pStyle w:val="Betarp"/>
        <w:rPr>
          <w:lang w:val="lt-LT"/>
        </w:rPr>
      </w:pPr>
    </w:p>
    <w:p w14:paraId="12FC9EAD" w14:textId="77777777" w:rsidR="007C68A4" w:rsidRPr="00AB6A8A" w:rsidRDefault="007C68A4" w:rsidP="007A292B">
      <w:pPr>
        <w:pBdr>
          <w:top w:val="single" w:sz="4" w:space="0" w:color="auto"/>
          <w:left w:val="single" w:sz="4" w:space="4" w:color="auto"/>
          <w:bottom w:val="single" w:sz="4" w:space="1" w:color="auto"/>
          <w:right w:val="single" w:sz="4" w:space="4" w:color="auto"/>
        </w:pBdr>
        <w:spacing w:line="240" w:lineRule="auto"/>
        <w:ind w:left="567" w:hanging="567"/>
        <w:outlineLvl w:val="0"/>
        <w:rPr>
          <w:lang w:val="lt-LT"/>
        </w:rPr>
      </w:pPr>
      <w:r w:rsidRPr="00AB6A8A">
        <w:rPr>
          <w:b/>
          <w:lang w:val="lt-LT"/>
        </w:rPr>
        <w:t>6.</w:t>
      </w:r>
      <w:r w:rsidRPr="00AB6A8A">
        <w:rPr>
          <w:b/>
          <w:lang w:val="lt-LT"/>
        </w:rPr>
        <w:tab/>
      </w:r>
      <w:r w:rsidRPr="00AB6A8A">
        <w:rPr>
          <w:b/>
          <w:bCs/>
          <w:lang w:val="lt-LT"/>
        </w:rPr>
        <w:t>SPECIALUS ĮSPĖJIMAS, KAD VAISTINĮ PREPARATĄ BŪTINA LAIKYTI VAIKAMS NEPASTEBIMOJE IR NEPASIEKIAMOJE VIETOJE</w:t>
      </w:r>
    </w:p>
    <w:p w14:paraId="005FFCD0" w14:textId="77777777" w:rsidR="007C68A4" w:rsidRPr="00AB6A8A" w:rsidRDefault="007C68A4" w:rsidP="007A292B">
      <w:pPr>
        <w:pStyle w:val="Betarp"/>
        <w:rPr>
          <w:lang w:val="lt-LT"/>
        </w:rPr>
      </w:pPr>
    </w:p>
    <w:p w14:paraId="7D72603F" w14:textId="77777777" w:rsidR="007C68A4" w:rsidRPr="00AB6A8A" w:rsidRDefault="007C68A4" w:rsidP="007A292B">
      <w:pPr>
        <w:pStyle w:val="Betarp"/>
        <w:rPr>
          <w:lang w:val="lt-LT"/>
        </w:rPr>
      </w:pPr>
      <w:r w:rsidRPr="00AB6A8A">
        <w:rPr>
          <w:lang w:val="lt-LT"/>
        </w:rPr>
        <w:t>Laikyti vaikams nepastebimoje ir nepasiekiamoje vietoje.</w:t>
      </w:r>
    </w:p>
    <w:p w14:paraId="27E342EE" w14:textId="77777777" w:rsidR="007C68A4" w:rsidRPr="00AB6A8A" w:rsidRDefault="007C68A4" w:rsidP="007A292B">
      <w:pPr>
        <w:pStyle w:val="Betarp"/>
        <w:rPr>
          <w:lang w:val="lt-LT"/>
        </w:rPr>
      </w:pPr>
    </w:p>
    <w:p w14:paraId="548B77DB" w14:textId="77777777" w:rsidR="007C68A4" w:rsidRPr="00AB6A8A" w:rsidRDefault="007C68A4" w:rsidP="007A292B">
      <w:pPr>
        <w:pStyle w:val="Betarp"/>
        <w:rPr>
          <w:lang w:val="lt-LT"/>
        </w:rPr>
      </w:pPr>
    </w:p>
    <w:p w14:paraId="0581ECC5"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AB6A8A">
        <w:rPr>
          <w:b/>
          <w:lang w:val="lt-LT"/>
        </w:rPr>
        <w:t>7.</w:t>
      </w:r>
      <w:r w:rsidRPr="00AB6A8A">
        <w:rPr>
          <w:b/>
          <w:lang w:val="lt-LT"/>
        </w:rPr>
        <w:tab/>
      </w:r>
      <w:r w:rsidRPr="00AB6A8A">
        <w:rPr>
          <w:b/>
          <w:bCs/>
          <w:lang w:val="lt-LT"/>
        </w:rPr>
        <w:t>KITAS (-I) SPECIALUS (-ŪS) ĮSPĖJIMAS (-AI) (JEI REIKIA)</w:t>
      </w:r>
    </w:p>
    <w:p w14:paraId="6464FDBB" w14:textId="77777777" w:rsidR="007C68A4" w:rsidRPr="00AB6A8A" w:rsidRDefault="007C68A4" w:rsidP="007A292B">
      <w:pPr>
        <w:pStyle w:val="Betarp"/>
        <w:rPr>
          <w:lang w:val="lt-LT"/>
        </w:rPr>
      </w:pPr>
    </w:p>
    <w:p w14:paraId="1166E9AB" w14:textId="77777777" w:rsidR="007C68A4" w:rsidRPr="00AB6A8A" w:rsidRDefault="007C68A4" w:rsidP="007A292B">
      <w:pPr>
        <w:pStyle w:val="Betarp"/>
        <w:rPr>
          <w:lang w:val="lt-LT"/>
        </w:rPr>
      </w:pPr>
    </w:p>
    <w:p w14:paraId="341F0CD4"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AB6A8A">
        <w:rPr>
          <w:b/>
          <w:lang w:val="lt-LT"/>
        </w:rPr>
        <w:t>8.</w:t>
      </w:r>
      <w:r w:rsidRPr="00AB6A8A">
        <w:rPr>
          <w:b/>
          <w:lang w:val="lt-LT"/>
        </w:rPr>
        <w:tab/>
      </w:r>
      <w:r w:rsidRPr="00AB6A8A">
        <w:rPr>
          <w:b/>
          <w:bCs/>
          <w:lang w:val="lt-LT"/>
        </w:rPr>
        <w:t>TINKAMUMO LAIKAS</w:t>
      </w:r>
    </w:p>
    <w:p w14:paraId="263BF456" w14:textId="77777777" w:rsidR="007C68A4" w:rsidRPr="00AB6A8A" w:rsidRDefault="007C68A4" w:rsidP="007A292B">
      <w:pPr>
        <w:pStyle w:val="Betarp"/>
        <w:rPr>
          <w:lang w:val="lt-LT"/>
        </w:rPr>
      </w:pPr>
    </w:p>
    <w:p w14:paraId="6519607B" w14:textId="77777777" w:rsidR="007C68A4" w:rsidRPr="00AB6A8A" w:rsidRDefault="007C68A4" w:rsidP="007A292B">
      <w:pPr>
        <w:pStyle w:val="Betarp"/>
        <w:rPr>
          <w:lang w:val="lt-LT"/>
        </w:rPr>
      </w:pPr>
      <w:r w:rsidRPr="00AB6A8A">
        <w:rPr>
          <w:lang w:val="lt-LT"/>
        </w:rPr>
        <w:t>EXP {mm/MMMM}</w:t>
      </w:r>
    </w:p>
    <w:p w14:paraId="19973557" w14:textId="77777777" w:rsidR="007C68A4" w:rsidRPr="00AB6A8A" w:rsidRDefault="007C68A4" w:rsidP="007A292B">
      <w:pPr>
        <w:pStyle w:val="Betarp"/>
        <w:rPr>
          <w:lang w:val="lt-LT"/>
        </w:rPr>
      </w:pPr>
      <w:r w:rsidRPr="00AB6A8A">
        <w:rPr>
          <w:lang w:val="lt-LT"/>
        </w:rPr>
        <w:t>Po paketėlio atidarymo: suvartoti per 1 mėnesį.</w:t>
      </w:r>
    </w:p>
    <w:p w14:paraId="58E5F83C" w14:textId="0BB86D69" w:rsidR="007C68A4" w:rsidRPr="00AB6A8A" w:rsidRDefault="007C68A4" w:rsidP="007A292B">
      <w:pPr>
        <w:pStyle w:val="Betarp"/>
        <w:rPr>
          <w:lang w:val="lt-LT"/>
        </w:rPr>
      </w:pPr>
      <w:r w:rsidRPr="00AB6A8A">
        <w:rPr>
          <w:lang w:val="lt-LT"/>
        </w:rPr>
        <w:t>Po vienadozės talpyklės atidarymo: būtina suvartoti</w:t>
      </w:r>
      <w:r w:rsidR="008F282E" w:rsidRPr="008F282E">
        <w:rPr>
          <w:lang w:val="lt-LT"/>
        </w:rPr>
        <w:t xml:space="preserve"> </w:t>
      </w:r>
      <w:r w:rsidR="008F282E" w:rsidRPr="00AB6A8A">
        <w:rPr>
          <w:lang w:val="lt-LT"/>
        </w:rPr>
        <w:t>nedelsiant</w:t>
      </w:r>
      <w:r w:rsidRPr="00AB6A8A">
        <w:rPr>
          <w:lang w:val="lt-LT"/>
        </w:rPr>
        <w:t>, o po vartojimo išmesti.</w:t>
      </w:r>
    </w:p>
    <w:p w14:paraId="09710764" w14:textId="1695B9C7" w:rsidR="007C68A4" w:rsidRPr="00AB6A8A" w:rsidRDefault="007C68A4" w:rsidP="007A292B">
      <w:pPr>
        <w:pStyle w:val="Betarp"/>
        <w:rPr>
          <w:lang w:val="lt-LT"/>
        </w:rPr>
      </w:pPr>
    </w:p>
    <w:p w14:paraId="503548E4" w14:textId="77777777" w:rsidR="007C68A4" w:rsidRPr="00AB6A8A" w:rsidRDefault="007C68A4" w:rsidP="007A292B">
      <w:pPr>
        <w:pStyle w:val="Betarp"/>
        <w:rPr>
          <w:lang w:val="lt-LT"/>
        </w:rPr>
      </w:pPr>
    </w:p>
    <w:p w14:paraId="273A2A32" w14:textId="77777777" w:rsidR="007C68A4" w:rsidRPr="00AB6A8A" w:rsidRDefault="007C68A4" w:rsidP="007A292B">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AB6A8A">
        <w:rPr>
          <w:b/>
          <w:lang w:val="lt-LT"/>
        </w:rPr>
        <w:t>9.</w:t>
      </w:r>
      <w:r w:rsidRPr="00AB6A8A">
        <w:rPr>
          <w:b/>
          <w:lang w:val="lt-LT"/>
        </w:rPr>
        <w:tab/>
      </w:r>
      <w:r w:rsidRPr="00AB6A8A">
        <w:rPr>
          <w:b/>
          <w:caps/>
          <w:lang w:val="lt-LT"/>
        </w:rPr>
        <w:t>SPECIALIOS laikymo sąlygos</w:t>
      </w:r>
    </w:p>
    <w:p w14:paraId="7D71920F" w14:textId="77777777" w:rsidR="007C68A4" w:rsidRPr="00AB6A8A" w:rsidRDefault="007C68A4" w:rsidP="007A292B">
      <w:pPr>
        <w:pStyle w:val="Betarp"/>
        <w:keepNext/>
        <w:rPr>
          <w:lang w:val="lt-LT"/>
        </w:rPr>
      </w:pPr>
    </w:p>
    <w:p w14:paraId="5F87692A" w14:textId="76FD784F" w:rsidR="00F96584" w:rsidRPr="00AB6A8A" w:rsidRDefault="00F96584" w:rsidP="007A292B">
      <w:pPr>
        <w:pStyle w:val="Betarp"/>
        <w:keepNext/>
        <w:rPr>
          <w:lang w:val="lt-LT"/>
        </w:rPr>
      </w:pPr>
      <w:r w:rsidRPr="00AB6A8A">
        <w:rPr>
          <w:lang w:val="lt-LT"/>
        </w:rPr>
        <w:t>Laikyti ne aukštesnėje kaip 25 °C temperatūroje.</w:t>
      </w:r>
    </w:p>
    <w:p w14:paraId="08FD37BF" w14:textId="005C6AA1" w:rsidR="007C68A4" w:rsidRPr="00AB6A8A" w:rsidRDefault="007C68A4" w:rsidP="007A292B">
      <w:pPr>
        <w:pStyle w:val="Betarp"/>
        <w:keepNext/>
        <w:rPr>
          <w:lang w:val="lt-LT"/>
        </w:rPr>
      </w:pPr>
      <w:r w:rsidRPr="00AB6A8A">
        <w:rPr>
          <w:lang w:val="lt-LT"/>
        </w:rPr>
        <w:t>Nesuvartotas vienadozes talpykles laikyti atidarytame paketėlyje, kad būtų apsaugot</w:t>
      </w:r>
      <w:r w:rsidR="00056635" w:rsidRPr="00AB6A8A">
        <w:rPr>
          <w:lang w:val="lt-LT"/>
        </w:rPr>
        <w:t>o</w:t>
      </w:r>
      <w:r w:rsidRPr="00AB6A8A">
        <w:rPr>
          <w:lang w:val="lt-LT"/>
        </w:rPr>
        <w:t>s nuo šviesos.</w:t>
      </w:r>
    </w:p>
    <w:p w14:paraId="75505C3F" w14:textId="77777777" w:rsidR="007C68A4" w:rsidRPr="00AB6A8A" w:rsidRDefault="007C68A4" w:rsidP="007A292B">
      <w:pPr>
        <w:pStyle w:val="Betarp"/>
        <w:rPr>
          <w:lang w:val="lt-LT"/>
        </w:rPr>
      </w:pPr>
    </w:p>
    <w:p w14:paraId="26EFD021" w14:textId="77777777" w:rsidR="007C68A4" w:rsidRPr="00AB6A8A" w:rsidRDefault="007C68A4" w:rsidP="007A292B">
      <w:pPr>
        <w:pStyle w:val="Betarp"/>
        <w:rPr>
          <w:lang w:val="lt-LT"/>
        </w:rPr>
      </w:pPr>
    </w:p>
    <w:p w14:paraId="5910438D"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AB6A8A">
        <w:rPr>
          <w:b/>
          <w:lang w:val="lt-LT"/>
        </w:rPr>
        <w:t>10.</w:t>
      </w:r>
      <w:r w:rsidRPr="00AB6A8A">
        <w:rPr>
          <w:b/>
          <w:lang w:val="lt-LT"/>
        </w:rPr>
        <w:tab/>
      </w:r>
      <w:r w:rsidRPr="00AB6A8A">
        <w:rPr>
          <w:b/>
          <w:caps/>
          <w:lang w:val="lt-LT"/>
        </w:rPr>
        <w:t>specialios atsargumo priemonės DĖL NESUVARTOTO</w:t>
      </w:r>
      <w:r w:rsidRPr="00AB6A8A">
        <w:rPr>
          <w:b/>
          <w:bCs/>
          <w:lang w:val="lt-LT"/>
        </w:rPr>
        <w:t xml:space="preserve"> </w:t>
      </w:r>
      <w:r w:rsidRPr="00AB6A8A">
        <w:rPr>
          <w:b/>
          <w:bCs/>
          <w:caps/>
          <w:lang w:val="lt-LT"/>
        </w:rPr>
        <w:t>VAISTINIO PREPARATO AR JO ATLIEKU</w:t>
      </w:r>
      <w:r w:rsidRPr="00AB6A8A">
        <w:rPr>
          <w:caps/>
          <w:lang w:val="lt-LT"/>
        </w:rPr>
        <w:t xml:space="preserve"> </w:t>
      </w:r>
      <w:r w:rsidRPr="00AB6A8A">
        <w:rPr>
          <w:b/>
          <w:bCs/>
          <w:caps/>
          <w:lang w:val="lt-LT"/>
        </w:rPr>
        <w:t>TVARKYMO</w:t>
      </w:r>
      <w:r w:rsidRPr="00AB6A8A">
        <w:rPr>
          <w:b/>
          <w:caps/>
          <w:lang w:val="lt-LT"/>
        </w:rPr>
        <w:t xml:space="preserve"> (jei reikia)</w:t>
      </w:r>
    </w:p>
    <w:p w14:paraId="5FFC4F96" w14:textId="77777777" w:rsidR="007C68A4" w:rsidRPr="00AB6A8A" w:rsidRDefault="007C68A4" w:rsidP="007A292B">
      <w:pPr>
        <w:spacing w:line="240" w:lineRule="auto"/>
        <w:rPr>
          <w:lang w:val="lt-LT"/>
        </w:rPr>
      </w:pPr>
    </w:p>
    <w:p w14:paraId="6D8625C0" w14:textId="77777777" w:rsidR="007C68A4" w:rsidRPr="00AB6A8A" w:rsidRDefault="007C68A4" w:rsidP="007A292B">
      <w:pPr>
        <w:spacing w:line="240" w:lineRule="auto"/>
        <w:rPr>
          <w:lang w:val="lt-LT"/>
        </w:rPr>
      </w:pPr>
    </w:p>
    <w:p w14:paraId="4E63250B"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AB6A8A">
        <w:rPr>
          <w:b/>
          <w:lang w:val="lt-LT"/>
        </w:rPr>
        <w:t>11.</w:t>
      </w:r>
      <w:r w:rsidRPr="00AB6A8A">
        <w:rPr>
          <w:b/>
          <w:lang w:val="lt-LT"/>
        </w:rPr>
        <w:tab/>
      </w:r>
      <w:r w:rsidRPr="00AB6A8A">
        <w:rPr>
          <w:b/>
          <w:caps/>
          <w:lang w:val="lt-LT"/>
        </w:rPr>
        <w:t>REGISTRUOTOJO pavadinimas ir adresas</w:t>
      </w:r>
    </w:p>
    <w:p w14:paraId="4C90FF39" w14:textId="77777777" w:rsidR="007C68A4" w:rsidRPr="00AB6A8A" w:rsidRDefault="007C68A4" w:rsidP="007A292B">
      <w:pPr>
        <w:pStyle w:val="Betarp"/>
        <w:rPr>
          <w:lang w:val="lt-LT"/>
        </w:rPr>
      </w:pPr>
    </w:p>
    <w:p w14:paraId="719BFA95" w14:textId="77777777" w:rsidR="007C68A4" w:rsidRDefault="007C68A4" w:rsidP="007A292B">
      <w:pPr>
        <w:pStyle w:val="Betarp"/>
        <w:rPr>
          <w:noProof/>
          <w:lang w:val="lt-LT"/>
        </w:rPr>
      </w:pPr>
      <w:r w:rsidRPr="00AB6A8A">
        <w:rPr>
          <w:noProof/>
          <w:lang w:val="lt-LT"/>
        </w:rPr>
        <w:t>Laboratoires THEA</w:t>
      </w:r>
    </w:p>
    <w:p w14:paraId="3EDC657B" w14:textId="62420F08" w:rsidR="007C47AE" w:rsidRPr="00AB6A8A" w:rsidRDefault="007C47AE" w:rsidP="007A292B">
      <w:pPr>
        <w:pStyle w:val="Betarp"/>
        <w:rPr>
          <w:noProof/>
          <w:lang w:val="lt-LT"/>
        </w:rPr>
      </w:pPr>
      <w:r w:rsidRPr="001C339B">
        <w:rPr>
          <w:noProof/>
          <w:lang w:val="fr-FR"/>
        </w:rPr>
        <w:t xml:space="preserve">Zone Industrielle du </w:t>
      </w:r>
      <w:r w:rsidR="001C339B" w:rsidRPr="00AB6A8A">
        <w:rPr>
          <w:rFonts w:eastAsia="Times New Roman"/>
          <w:lang w:val="lt-LT"/>
        </w:rPr>
        <w:t>Brézet</w:t>
      </w:r>
    </w:p>
    <w:p w14:paraId="07E90DE9" w14:textId="77777777" w:rsidR="007C68A4" w:rsidRPr="00AB6A8A" w:rsidRDefault="007C68A4" w:rsidP="007A292B">
      <w:pPr>
        <w:pStyle w:val="Betarp"/>
        <w:rPr>
          <w:noProof/>
          <w:lang w:val="lt-LT"/>
        </w:rPr>
      </w:pPr>
      <w:r w:rsidRPr="00AB6A8A">
        <w:rPr>
          <w:noProof/>
          <w:lang w:val="lt-LT"/>
        </w:rPr>
        <w:t>12 rue Louis Blériot</w:t>
      </w:r>
    </w:p>
    <w:p w14:paraId="12C746CA" w14:textId="0399A162" w:rsidR="007C68A4" w:rsidRPr="00AB6A8A" w:rsidRDefault="007C68A4" w:rsidP="007A292B">
      <w:pPr>
        <w:pStyle w:val="Betarp"/>
        <w:rPr>
          <w:noProof/>
          <w:lang w:val="lt-LT"/>
        </w:rPr>
      </w:pPr>
      <w:r w:rsidRPr="00AB6A8A">
        <w:rPr>
          <w:noProof/>
          <w:lang w:val="lt-LT"/>
        </w:rPr>
        <w:t>63</w:t>
      </w:r>
      <w:r w:rsidR="007C47AE">
        <w:rPr>
          <w:noProof/>
          <w:lang w:val="lt-LT"/>
        </w:rPr>
        <w:t>10</w:t>
      </w:r>
      <w:r w:rsidRPr="00AB6A8A">
        <w:rPr>
          <w:noProof/>
          <w:lang w:val="lt-LT"/>
        </w:rPr>
        <w:t xml:space="preserve">0 Clermont-Ferrand </w:t>
      </w:r>
    </w:p>
    <w:p w14:paraId="01F36E21" w14:textId="77777777" w:rsidR="007C68A4" w:rsidRPr="00AB6A8A" w:rsidRDefault="007C68A4" w:rsidP="007A292B">
      <w:pPr>
        <w:pStyle w:val="Betarp"/>
        <w:rPr>
          <w:lang w:val="lt-LT"/>
        </w:rPr>
      </w:pPr>
      <w:r w:rsidRPr="00AB6A8A">
        <w:rPr>
          <w:lang w:val="lt-LT"/>
        </w:rPr>
        <w:t>Prancūzija</w:t>
      </w:r>
    </w:p>
    <w:p w14:paraId="72D4AB0C" w14:textId="77777777" w:rsidR="007C68A4" w:rsidRPr="00AB6A8A" w:rsidRDefault="007C68A4" w:rsidP="007A292B">
      <w:pPr>
        <w:pStyle w:val="Betarp"/>
        <w:rPr>
          <w:lang w:val="lt-LT"/>
        </w:rPr>
      </w:pPr>
    </w:p>
    <w:p w14:paraId="63B2DB01" w14:textId="77777777" w:rsidR="007C68A4" w:rsidRPr="00AB6A8A" w:rsidRDefault="007C68A4" w:rsidP="007A292B">
      <w:pPr>
        <w:pStyle w:val="Betarp"/>
        <w:rPr>
          <w:lang w:val="lt-LT"/>
        </w:rPr>
      </w:pPr>
    </w:p>
    <w:p w14:paraId="5F8898A4"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12.</w:t>
      </w:r>
      <w:r w:rsidRPr="00AB6A8A">
        <w:rPr>
          <w:b/>
          <w:lang w:val="lt-LT"/>
        </w:rPr>
        <w:tab/>
      </w:r>
      <w:r w:rsidRPr="00AB6A8A">
        <w:rPr>
          <w:b/>
          <w:caps/>
          <w:lang w:val="lt-LT"/>
        </w:rPr>
        <w:t>REGISTRACIJOS PAŽYMĖJIMO numeris</w:t>
      </w:r>
      <w:r w:rsidRPr="00AB6A8A">
        <w:rPr>
          <w:b/>
          <w:lang w:val="lt-LT"/>
        </w:rPr>
        <w:t xml:space="preserve"> (-IAI)</w:t>
      </w:r>
    </w:p>
    <w:p w14:paraId="1654BF45" w14:textId="77777777" w:rsidR="007C68A4" w:rsidRPr="00AB6A8A" w:rsidRDefault="007C68A4" w:rsidP="007A292B">
      <w:pPr>
        <w:pStyle w:val="Betarp"/>
        <w:rPr>
          <w:lang w:val="lt-LT"/>
        </w:rPr>
      </w:pPr>
    </w:p>
    <w:p w14:paraId="69D9891D" w14:textId="77777777" w:rsidR="00EF20AF" w:rsidRPr="00EF20AF" w:rsidRDefault="00EF20AF" w:rsidP="00EF20AF">
      <w:pPr>
        <w:pStyle w:val="Betarp"/>
        <w:rPr>
          <w:bCs/>
          <w:highlight w:val="lightGray"/>
          <w:lang w:val="lt-LT"/>
        </w:rPr>
      </w:pPr>
      <w:r w:rsidRPr="00EF20AF">
        <w:rPr>
          <w:bCs/>
          <w:lang w:val="lt-LT"/>
        </w:rPr>
        <w:t xml:space="preserve">LT/1/25/5885/001 </w:t>
      </w:r>
      <w:r w:rsidRPr="00EF20AF">
        <w:rPr>
          <w:bCs/>
          <w:highlight w:val="lightGray"/>
          <w:lang w:val="lt-LT"/>
        </w:rPr>
        <w:t>– N10 (1x10)</w:t>
      </w:r>
    </w:p>
    <w:p w14:paraId="596E102D" w14:textId="77777777" w:rsidR="00EF20AF" w:rsidRPr="00EF20AF" w:rsidRDefault="00EF20AF" w:rsidP="00EF20AF">
      <w:pPr>
        <w:pStyle w:val="Betarp"/>
        <w:rPr>
          <w:bCs/>
          <w:highlight w:val="lightGray"/>
          <w:lang w:val="lt-LT"/>
        </w:rPr>
      </w:pPr>
      <w:r w:rsidRPr="00EF20AF">
        <w:rPr>
          <w:bCs/>
          <w:highlight w:val="lightGray"/>
          <w:lang w:val="lt-LT"/>
        </w:rPr>
        <w:t>LT/1/25/5885/002 – N30 (3x10)</w:t>
      </w:r>
    </w:p>
    <w:p w14:paraId="341924A5" w14:textId="2153E745" w:rsidR="007C68A4" w:rsidRDefault="00EF20AF" w:rsidP="00EF20AF">
      <w:pPr>
        <w:pStyle w:val="Betarp"/>
        <w:rPr>
          <w:bCs/>
          <w:lang w:val="lt-LT"/>
        </w:rPr>
      </w:pPr>
      <w:r w:rsidRPr="00EF20AF">
        <w:rPr>
          <w:bCs/>
          <w:highlight w:val="lightGray"/>
          <w:lang w:val="lt-LT"/>
        </w:rPr>
        <w:t>LT/1/25/5885/003 – N90 (9x10)</w:t>
      </w:r>
    </w:p>
    <w:p w14:paraId="2ADBF8FE" w14:textId="77777777" w:rsidR="00EF20AF" w:rsidRPr="00AB6A8A" w:rsidRDefault="00EF20AF" w:rsidP="00EF20AF">
      <w:pPr>
        <w:pStyle w:val="Betarp"/>
        <w:rPr>
          <w:bCs/>
          <w:lang w:val="lt-LT"/>
        </w:rPr>
      </w:pPr>
    </w:p>
    <w:p w14:paraId="439FA66F" w14:textId="77777777" w:rsidR="007C68A4" w:rsidRPr="00AB6A8A" w:rsidRDefault="007C68A4" w:rsidP="007A292B">
      <w:pPr>
        <w:pStyle w:val="Betarp"/>
        <w:rPr>
          <w:lang w:val="lt-LT"/>
        </w:rPr>
      </w:pPr>
    </w:p>
    <w:p w14:paraId="5EC0B7A8"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13.</w:t>
      </w:r>
      <w:r w:rsidRPr="00AB6A8A">
        <w:rPr>
          <w:b/>
          <w:lang w:val="lt-LT"/>
        </w:rPr>
        <w:tab/>
        <w:t>SERIJOS NUMERIS</w:t>
      </w:r>
    </w:p>
    <w:p w14:paraId="22527EE0" w14:textId="77777777" w:rsidR="007C68A4" w:rsidRPr="00AB6A8A" w:rsidRDefault="007C68A4" w:rsidP="007A292B">
      <w:pPr>
        <w:pStyle w:val="Betarp"/>
        <w:rPr>
          <w:lang w:val="lt-LT"/>
        </w:rPr>
      </w:pPr>
    </w:p>
    <w:p w14:paraId="51DA1EDB" w14:textId="77777777" w:rsidR="007C68A4" w:rsidRPr="00AB6A8A" w:rsidRDefault="007C68A4" w:rsidP="007A292B">
      <w:pPr>
        <w:pStyle w:val="Betarp"/>
        <w:rPr>
          <w:lang w:val="lt-LT"/>
        </w:rPr>
      </w:pPr>
      <w:r w:rsidRPr="00AB6A8A">
        <w:rPr>
          <w:lang w:val="lt-LT"/>
        </w:rPr>
        <w:t>Lot {numeris}</w:t>
      </w:r>
    </w:p>
    <w:p w14:paraId="37DE9C57" w14:textId="77777777" w:rsidR="007C68A4" w:rsidRPr="00AB6A8A" w:rsidRDefault="007C68A4" w:rsidP="007A292B">
      <w:pPr>
        <w:pStyle w:val="Betarp"/>
        <w:rPr>
          <w:lang w:val="lt-LT"/>
        </w:rPr>
      </w:pPr>
    </w:p>
    <w:p w14:paraId="722074D8" w14:textId="77777777" w:rsidR="007C68A4" w:rsidRPr="00AB6A8A" w:rsidRDefault="007C68A4" w:rsidP="007A292B">
      <w:pPr>
        <w:pStyle w:val="Betarp"/>
        <w:rPr>
          <w:lang w:val="lt-LT"/>
        </w:rPr>
      </w:pPr>
    </w:p>
    <w:p w14:paraId="622F67FF"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14.</w:t>
      </w:r>
      <w:r w:rsidRPr="00AB6A8A">
        <w:rPr>
          <w:b/>
          <w:lang w:val="lt-LT"/>
        </w:rPr>
        <w:tab/>
        <w:t>PARDAVIMO (IŠDAVIMO)</w:t>
      </w:r>
      <w:r w:rsidRPr="00AB6A8A">
        <w:rPr>
          <w:b/>
          <w:caps/>
          <w:lang w:val="lt-LT"/>
        </w:rPr>
        <w:t xml:space="preserve"> tvarka</w:t>
      </w:r>
    </w:p>
    <w:p w14:paraId="4FB58045" w14:textId="77777777" w:rsidR="007C68A4" w:rsidRPr="00AB6A8A" w:rsidRDefault="007C68A4" w:rsidP="007A292B">
      <w:pPr>
        <w:pStyle w:val="Betarp"/>
        <w:rPr>
          <w:lang w:val="lt-LT"/>
        </w:rPr>
      </w:pPr>
    </w:p>
    <w:p w14:paraId="0106C0B8" w14:textId="77777777" w:rsidR="007C68A4" w:rsidRPr="00AB6A8A" w:rsidRDefault="007C68A4" w:rsidP="007A292B">
      <w:pPr>
        <w:pStyle w:val="Betarp"/>
        <w:rPr>
          <w:lang w:val="lt-LT"/>
        </w:rPr>
      </w:pPr>
      <w:r w:rsidRPr="00AB6A8A">
        <w:rPr>
          <w:lang w:val="lt-LT"/>
        </w:rPr>
        <w:t>Receptinis vaistas.</w:t>
      </w:r>
    </w:p>
    <w:p w14:paraId="7B1C0AA9" w14:textId="77777777" w:rsidR="007C68A4" w:rsidRPr="00AB6A8A" w:rsidRDefault="007C68A4" w:rsidP="007A292B">
      <w:pPr>
        <w:pStyle w:val="Betarp"/>
        <w:rPr>
          <w:lang w:val="lt-LT"/>
        </w:rPr>
      </w:pPr>
    </w:p>
    <w:p w14:paraId="7DD201F5" w14:textId="77777777" w:rsidR="007C68A4" w:rsidRPr="00AB6A8A" w:rsidRDefault="007C68A4" w:rsidP="007A292B">
      <w:pPr>
        <w:pStyle w:val="Betarp"/>
        <w:rPr>
          <w:lang w:val="lt-LT"/>
        </w:rPr>
      </w:pPr>
    </w:p>
    <w:p w14:paraId="7CA21673"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15.</w:t>
      </w:r>
      <w:r w:rsidRPr="00AB6A8A">
        <w:rPr>
          <w:b/>
          <w:lang w:val="lt-LT"/>
        </w:rPr>
        <w:tab/>
      </w:r>
      <w:r w:rsidRPr="00AB6A8A">
        <w:rPr>
          <w:b/>
          <w:caps/>
          <w:lang w:val="lt-LT"/>
        </w:rPr>
        <w:t>vartojimo instrukcijA</w:t>
      </w:r>
    </w:p>
    <w:p w14:paraId="7144431E" w14:textId="77777777" w:rsidR="007C68A4" w:rsidRPr="00AB6A8A" w:rsidRDefault="007C68A4" w:rsidP="007A292B">
      <w:pPr>
        <w:pStyle w:val="Betarp"/>
        <w:rPr>
          <w:lang w:val="lt-LT"/>
        </w:rPr>
      </w:pPr>
    </w:p>
    <w:p w14:paraId="62CFD427" w14:textId="77777777" w:rsidR="007C68A4" w:rsidRPr="00AB6A8A" w:rsidRDefault="007C68A4" w:rsidP="007A292B">
      <w:pPr>
        <w:pStyle w:val="Betarp"/>
        <w:rPr>
          <w:lang w:val="lt-LT"/>
        </w:rPr>
      </w:pPr>
    </w:p>
    <w:p w14:paraId="5A0AB88E"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16.</w:t>
      </w:r>
      <w:r w:rsidRPr="00AB6A8A">
        <w:rPr>
          <w:b/>
          <w:lang w:val="lt-LT"/>
        </w:rPr>
        <w:tab/>
        <w:t>INFORMACIJA BRAILIO RAŠTU</w:t>
      </w:r>
    </w:p>
    <w:p w14:paraId="6856F800" w14:textId="77777777" w:rsidR="007C68A4" w:rsidRPr="00AB6A8A" w:rsidRDefault="007C68A4" w:rsidP="007A292B">
      <w:pPr>
        <w:pStyle w:val="Betarp"/>
        <w:rPr>
          <w:lang w:val="lt-LT"/>
        </w:rPr>
      </w:pPr>
    </w:p>
    <w:p w14:paraId="3A99B904" w14:textId="03562A63" w:rsidR="007643D3" w:rsidRPr="00AB6A8A" w:rsidRDefault="00AA211B" w:rsidP="007A292B">
      <w:pPr>
        <w:pStyle w:val="Betarp"/>
        <w:rPr>
          <w:noProof/>
          <w:lang w:val="lt-LT"/>
        </w:rPr>
      </w:pPr>
      <w:r>
        <w:rPr>
          <w:noProof/>
          <w:lang w:val="lt-LT"/>
        </w:rPr>
        <w:t>e</w:t>
      </w:r>
      <w:r w:rsidR="007643D3">
        <w:rPr>
          <w:noProof/>
          <w:lang w:val="lt-LT"/>
        </w:rPr>
        <w:t>d</w:t>
      </w:r>
      <w:r w:rsidR="007643D3" w:rsidRPr="007643D3">
        <w:rPr>
          <w:noProof/>
          <w:lang w:val="lt-LT"/>
        </w:rPr>
        <w:t>uelym</w:t>
      </w:r>
    </w:p>
    <w:p w14:paraId="025D008A" w14:textId="77777777" w:rsidR="007C68A4" w:rsidRPr="00AB6A8A" w:rsidRDefault="007C68A4" w:rsidP="007A292B">
      <w:pPr>
        <w:pStyle w:val="Betarp"/>
        <w:rPr>
          <w:lang w:val="lt-LT"/>
        </w:rPr>
      </w:pPr>
    </w:p>
    <w:p w14:paraId="44EA4F07" w14:textId="77777777" w:rsidR="007C68A4" w:rsidRPr="00AB6A8A" w:rsidRDefault="007C68A4" w:rsidP="007A292B">
      <w:pPr>
        <w:pStyle w:val="Betarp"/>
        <w:rPr>
          <w:lang w:val="lt-LT"/>
        </w:rPr>
      </w:pPr>
    </w:p>
    <w:p w14:paraId="6BE68F6B" w14:textId="77777777" w:rsidR="007C68A4" w:rsidRPr="00AB6A8A" w:rsidRDefault="007C68A4" w:rsidP="007A292B">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AB6A8A">
        <w:rPr>
          <w:b/>
          <w:lang w:val="lt-LT"/>
        </w:rPr>
        <w:t>17.</w:t>
      </w:r>
      <w:r w:rsidRPr="00AB6A8A">
        <w:rPr>
          <w:b/>
          <w:lang w:val="lt-LT"/>
        </w:rPr>
        <w:tab/>
        <w:t>UNIKALUS IDENTIFIKATORIUS – 2D BRŪKŠNINIS KODAS</w:t>
      </w:r>
    </w:p>
    <w:p w14:paraId="0718DE7B" w14:textId="77777777" w:rsidR="007C68A4" w:rsidRPr="00AB6A8A" w:rsidRDefault="007C68A4" w:rsidP="007A292B">
      <w:pPr>
        <w:pStyle w:val="Betarp"/>
        <w:rPr>
          <w:lang w:val="lt-LT"/>
        </w:rPr>
      </w:pPr>
    </w:p>
    <w:p w14:paraId="601BC9A8" w14:textId="77777777" w:rsidR="007C68A4" w:rsidRPr="00AB6A8A" w:rsidRDefault="007C68A4" w:rsidP="007A292B">
      <w:pPr>
        <w:pStyle w:val="Betarp"/>
        <w:rPr>
          <w:lang w:val="lt-LT"/>
        </w:rPr>
      </w:pPr>
      <w:r w:rsidRPr="00AB6A8A">
        <w:rPr>
          <w:highlight w:val="lightGray"/>
          <w:lang w:val="lt-LT"/>
        </w:rPr>
        <w:t>2D brūkšninis kodas su nurodytu unikaliu identifikatoriumi.</w:t>
      </w:r>
    </w:p>
    <w:p w14:paraId="25141BFB" w14:textId="77777777" w:rsidR="007C68A4" w:rsidRPr="00AB6A8A" w:rsidRDefault="007C68A4" w:rsidP="007A292B">
      <w:pPr>
        <w:pStyle w:val="Betarp"/>
        <w:rPr>
          <w:lang w:val="lt-LT"/>
        </w:rPr>
      </w:pPr>
    </w:p>
    <w:p w14:paraId="0F823FE2" w14:textId="77777777" w:rsidR="007C68A4" w:rsidRPr="00AB6A8A" w:rsidRDefault="007C68A4" w:rsidP="007A292B">
      <w:pPr>
        <w:pStyle w:val="Betarp"/>
        <w:rPr>
          <w:lang w:val="lt-LT"/>
        </w:rPr>
      </w:pPr>
    </w:p>
    <w:p w14:paraId="12D97076" w14:textId="77777777" w:rsidR="007C68A4" w:rsidRPr="00AB6A8A" w:rsidRDefault="007C68A4" w:rsidP="007A292B">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AB6A8A">
        <w:rPr>
          <w:b/>
          <w:lang w:val="lt-LT"/>
        </w:rPr>
        <w:t>18.</w:t>
      </w:r>
      <w:r w:rsidRPr="00AB6A8A">
        <w:rPr>
          <w:b/>
          <w:lang w:val="lt-LT"/>
        </w:rPr>
        <w:tab/>
        <w:t>UNIKALUS IDENTIFIKATORIUS – ŽMONĖMS SUPRANTAMI DUOMENYS</w:t>
      </w:r>
    </w:p>
    <w:p w14:paraId="3ABC0A8D" w14:textId="77777777" w:rsidR="007C68A4" w:rsidRPr="00AB6A8A" w:rsidRDefault="007C68A4" w:rsidP="007A292B">
      <w:pPr>
        <w:pStyle w:val="Betarp"/>
        <w:rPr>
          <w:lang w:val="lt-LT"/>
        </w:rPr>
      </w:pPr>
    </w:p>
    <w:p w14:paraId="5AED9917" w14:textId="77777777" w:rsidR="007C68A4" w:rsidRPr="00AB6A8A" w:rsidRDefault="007C68A4" w:rsidP="007A292B">
      <w:pPr>
        <w:pStyle w:val="Betarp"/>
        <w:rPr>
          <w:lang w:val="lt-LT"/>
        </w:rPr>
      </w:pPr>
      <w:r w:rsidRPr="00AB6A8A">
        <w:rPr>
          <w:lang w:val="lt-LT"/>
        </w:rPr>
        <w:t xml:space="preserve">PC: {numeris} </w:t>
      </w:r>
    </w:p>
    <w:p w14:paraId="6816E756" w14:textId="77777777" w:rsidR="007C68A4" w:rsidRPr="00AB6A8A" w:rsidRDefault="007C68A4" w:rsidP="007A292B">
      <w:pPr>
        <w:pStyle w:val="Betarp"/>
        <w:rPr>
          <w:lang w:val="lt-LT"/>
        </w:rPr>
      </w:pPr>
      <w:r w:rsidRPr="00AB6A8A">
        <w:rPr>
          <w:lang w:val="lt-LT"/>
        </w:rPr>
        <w:t>SN: {numeris}</w:t>
      </w:r>
    </w:p>
    <w:p w14:paraId="44E9322B" w14:textId="2E07A1B8" w:rsidR="007C68A4" w:rsidRPr="00AB6A8A" w:rsidRDefault="007C68A4" w:rsidP="007A292B">
      <w:pPr>
        <w:pStyle w:val="Betarp"/>
        <w:rPr>
          <w:lang w:val="lt-LT"/>
        </w:rPr>
      </w:pPr>
      <w:r w:rsidRPr="00AB6A8A">
        <w:rPr>
          <w:highlight w:val="lightGray"/>
          <w:lang w:val="lt-LT"/>
        </w:rPr>
        <w:t>NN: {numeris}</w:t>
      </w:r>
      <w:r w:rsidRPr="00AB6A8A">
        <w:rPr>
          <w:shd w:val="clear" w:color="auto" w:fill="CCCCCC"/>
          <w:lang w:val="lt-LT"/>
        </w:rPr>
        <w:br w:type="page"/>
      </w:r>
    </w:p>
    <w:p w14:paraId="41366234" w14:textId="291F4D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rPr>
          <w:b/>
          <w:lang w:val="lt-LT"/>
        </w:rPr>
      </w:pPr>
      <w:r w:rsidRPr="00AB6A8A">
        <w:rPr>
          <w:b/>
          <w:lang w:val="lt-LT"/>
        </w:rPr>
        <w:t xml:space="preserve">MINIMALI </w:t>
      </w:r>
      <w:r w:rsidRPr="00AB6A8A">
        <w:rPr>
          <w:b/>
          <w:caps/>
          <w:lang w:val="lt-LT"/>
        </w:rPr>
        <w:t xml:space="preserve">informacija ant </w:t>
      </w:r>
      <w:r w:rsidR="002F34D3" w:rsidRPr="00AB6A8A">
        <w:rPr>
          <w:b/>
          <w:lang w:val="lt-LT"/>
        </w:rPr>
        <w:t>IŠORINĖS PAKUOTĖS</w:t>
      </w:r>
    </w:p>
    <w:p w14:paraId="5E6242C6"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rPr>
          <w:b/>
          <w:lang w:val="lt-LT"/>
        </w:rPr>
      </w:pPr>
    </w:p>
    <w:p w14:paraId="7AA8969E"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rPr>
          <w:b/>
          <w:lang w:val="lt-LT"/>
        </w:rPr>
      </w:pPr>
      <w:r w:rsidRPr="00AB6A8A">
        <w:rPr>
          <w:b/>
          <w:lang w:val="lt-LT"/>
        </w:rPr>
        <w:t>PAKETĖLIS</w:t>
      </w:r>
    </w:p>
    <w:p w14:paraId="30A732CC" w14:textId="77777777" w:rsidR="007C68A4" w:rsidRPr="00AB6A8A" w:rsidRDefault="007C68A4" w:rsidP="007A292B">
      <w:pPr>
        <w:spacing w:line="240" w:lineRule="auto"/>
        <w:rPr>
          <w:lang w:val="lt-LT"/>
        </w:rPr>
      </w:pPr>
    </w:p>
    <w:p w14:paraId="19547848"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AB6A8A">
        <w:rPr>
          <w:b/>
          <w:lang w:val="lt-LT"/>
        </w:rPr>
        <w:t>1.</w:t>
      </w:r>
      <w:r w:rsidRPr="00AB6A8A">
        <w:rPr>
          <w:b/>
          <w:lang w:val="lt-LT"/>
        </w:rPr>
        <w:tab/>
      </w:r>
      <w:r w:rsidRPr="00AB6A8A">
        <w:rPr>
          <w:b/>
          <w:caps/>
          <w:lang w:val="lt-LT"/>
        </w:rPr>
        <w:t>Vaistinio preparato pavadinimas</w:t>
      </w:r>
    </w:p>
    <w:p w14:paraId="58971029" w14:textId="77777777" w:rsidR="007C68A4" w:rsidRPr="00AB6A8A" w:rsidRDefault="007C68A4" w:rsidP="007A292B">
      <w:pPr>
        <w:pStyle w:val="Betarp"/>
        <w:rPr>
          <w:lang w:val="lt-LT"/>
        </w:rPr>
      </w:pPr>
    </w:p>
    <w:p w14:paraId="42C2B14A" w14:textId="2F63220A" w:rsidR="00930000" w:rsidRPr="00AB6A8A" w:rsidRDefault="00AA211B" w:rsidP="007A292B">
      <w:pPr>
        <w:pStyle w:val="Betarp"/>
        <w:rPr>
          <w:noProof/>
          <w:lang w:val="lt-LT"/>
        </w:rPr>
      </w:pPr>
      <w:r>
        <w:rPr>
          <w:noProof/>
          <w:lang w:val="lt-LT"/>
        </w:rPr>
        <w:t>Ed</w:t>
      </w:r>
      <w:r w:rsidR="007643D3" w:rsidRPr="007643D3">
        <w:rPr>
          <w:noProof/>
          <w:lang w:val="lt-LT"/>
        </w:rPr>
        <w:t>uelym</w:t>
      </w:r>
      <w:r w:rsidR="00930000" w:rsidRPr="00AB6A8A">
        <w:rPr>
          <w:noProof/>
          <w:lang w:val="lt-LT"/>
        </w:rPr>
        <w:t xml:space="preserve"> 0,1 mg/1 mg/g akių gelis vienadozėje talpyklėje</w:t>
      </w:r>
    </w:p>
    <w:p w14:paraId="15CA58F7" w14:textId="421838DA" w:rsidR="007C68A4" w:rsidRPr="00AB6A8A" w:rsidRDefault="00930000" w:rsidP="007A292B">
      <w:pPr>
        <w:pStyle w:val="Betarp"/>
        <w:rPr>
          <w:noProof/>
          <w:lang w:val="lt-LT"/>
        </w:rPr>
      </w:pPr>
      <w:r w:rsidRPr="00AB6A8A">
        <w:rPr>
          <w:noProof/>
          <w:lang w:val="lt-LT"/>
        </w:rPr>
        <w:t>bimatoprostum/timololum</w:t>
      </w:r>
    </w:p>
    <w:p w14:paraId="4A94B53C" w14:textId="77777777" w:rsidR="00930000" w:rsidRDefault="00930000" w:rsidP="007A292B">
      <w:pPr>
        <w:pStyle w:val="Betarp"/>
        <w:rPr>
          <w:lang w:val="lt-LT"/>
        </w:rPr>
      </w:pPr>
    </w:p>
    <w:p w14:paraId="2EC87716" w14:textId="77777777" w:rsidR="00C40A89" w:rsidRPr="00AB6A8A" w:rsidRDefault="00C40A89" w:rsidP="00C40A89">
      <w:pPr>
        <w:pStyle w:val="Betarp"/>
        <w:rPr>
          <w:lang w:val="lt-LT"/>
        </w:rPr>
      </w:pPr>
    </w:p>
    <w:p w14:paraId="5B8D560A"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AB6A8A">
        <w:rPr>
          <w:b/>
          <w:lang w:val="lt-LT"/>
        </w:rPr>
        <w:t>2.</w:t>
      </w:r>
      <w:r w:rsidRPr="00AB6A8A">
        <w:rPr>
          <w:b/>
          <w:lang w:val="lt-LT"/>
        </w:rPr>
        <w:tab/>
        <w:t>VEIKLIOJI (-IOS) MEDŽIAGA (-OS) IR JOS (-Ų) KIEKIS (-IAI)</w:t>
      </w:r>
    </w:p>
    <w:p w14:paraId="582AAFAC" w14:textId="77777777" w:rsidR="00C40A89" w:rsidRPr="00AB6A8A" w:rsidRDefault="00C40A89" w:rsidP="00C40A89">
      <w:pPr>
        <w:pStyle w:val="Betarp"/>
        <w:rPr>
          <w:lang w:val="lt-LT"/>
        </w:rPr>
      </w:pPr>
    </w:p>
    <w:p w14:paraId="78A244DA" w14:textId="77777777" w:rsidR="00C40A89" w:rsidRPr="00345F83" w:rsidRDefault="00C40A89" w:rsidP="00C40A89">
      <w:pPr>
        <w:pStyle w:val="Betarp"/>
        <w:rPr>
          <w:highlight w:val="lightGray"/>
          <w:lang w:val="lt-LT"/>
        </w:rPr>
      </w:pPr>
      <w:r w:rsidRPr="00345F83">
        <w:rPr>
          <w:highlight w:val="lightGray"/>
          <w:lang w:val="lt-LT"/>
        </w:rPr>
        <w:t>1 g akių gelio yra 0,1 mg bimatoprosto ir 1,37 mg timololio maleato, atitinkančio 1 mg timololio.</w:t>
      </w:r>
    </w:p>
    <w:p w14:paraId="04386A91" w14:textId="77777777" w:rsidR="00C40A89" w:rsidRPr="00AB6A8A" w:rsidRDefault="00C40A89" w:rsidP="00C40A89">
      <w:pPr>
        <w:pStyle w:val="Betarp"/>
        <w:rPr>
          <w:lang w:val="lt-LT"/>
        </w:rPr>
      </w:pPr>
    </w:p>
    <w:p w14:paraId="035CEA76" w14:textId="77777777" w:rsidR="00C40A89" w:rsidRPr="00AB6A8A" w:rsidRDefault="00C40A89" w:rsidP="00C40A89">
      <w:pPr>
        <w:pStyle w:val="Betarp"/>
        <w:rPr>
          <w:lang w:val="lt-LT"/>
        </w:rPr>
      </w:pPr>
    </w:p>
    <w:p w14:paraId="1E9B63AC"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AB6A8A">
        <w:rPr>
          <w:b/>
          <w:lang w:val="lt-LT"/>
        </w:rPr>
        <w:t>3.</w:t>
      </w:r>
      <w:r w:rsidRPr="00AB6A8A">
        <w:rPr>
          <w:b/>
          <w:lang w:val="lt-LT"/>
        </w:rPr>
        <w:tab/>
        <w:t>PAGALBINIŲ MEDŽIAGŲ SĄRAŠAS</w:t>
      </w:r>
    </w:p>
    <w:p w14:paraId="4A4B76CE" w14:textId="77777777" w:rsidR="00C40A89" w:rsidRPr="00AB6A8A" w:rsidRDefault="00C40A89" w:rsidP="00C40A89">
      <w:pPr>
        <w:pStyle w:val="Betarp"/>
        <w:rPr>
          <w:lang w:val="lt-LT"/>
        </w:rPr>
      </w:pPr>
    </w:p>
    <w:p w14:paraId="4C1994F4" w14:textId="3D4A1C41" w:rsidR="00C40A89" w:rsidRPr="00345F83" w:rsidRDefault="00C40A89" w:rsidP="00C40A89">
      <w:pPr>
        <w:pStyle w:val="Betarp"/>
        <w:rPr>
          <w:highlight w:val="lightGray"/>
          <w:lang w:val="lt-LT"/>
        </w:rPr>
      </w:pPr>
      <w:r w:rsidRPr="00345F83">
        <w:rPr>
          <w:highlight w:val="lightGray"/>
          <w:lang w:val="lt-LT"/>
        </w:rPr>
        <w:t>Sorbitolis, karbomeras, lizin</w:t>
      </w:r>
      <w:r w:rsidR="008F282E">
        <w:rPr>
          <w:highlight w:val="lightGray"/>
          <w:lang w:val="lt-LT"/>
        </w:rPr>
        <w:t>as</w:t>
      </w:r>
      <w:r w:rsidRPr="00345F83">
        <w:rPr>
          <w:highlight w:val="lightGray"/>
          <w:lang w:val="lt-LT"/>
        </w:rPr>
        <w:t xml:space="preserve"> monohidratas, makrogolis, natrio acetato trihidratas, injekcinis vanduo.</w:t>
      </w:r>
    </w:p>
    <w:p w14:paraId="0C741F7F" w14:textId="77777777" w:rsidR="00C40A89" w:rsidRPr="00AB6A8A" w:rsidRDefault="00C40A89" w:rsidP="00C40A89">
      <w:pPr>
        <w:pStyle w:val="Betarp"/>
        <w:rPr>
          <w:lang w:val="lt-LT"/>
        </w:rPr>
      </w:pPr>
    </w:p>
    <w:p w14:paraId="5DE91038" w14:textId="77777777" w:rsidR="00C40A89" w:rsidRPr="00AB6A8A" w:rsidRDefault="00C40A89" w:rsidP="00C40A89">
      <w:pPr>
        <w:pStyle w:val="Betarp"/>
        <w:rPr>
          <w:lang w:val="lt-LT"/>
        </w:rPr>
      </w:pPr>
    </w:p>
    <w:p w14:paraId="51202051"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AB6A8A">
        <w:rPr>
          <w:b/>
          <w:lang w:val="lt-LT"/>
        </w:rPr>
        <w:t>4.</w:t>
      </w:r>
      <w:r w:rsidRPr="00AB6A8A">
        <w:rPr>
          <w:b/>
          <w:lang w:val="lt-LT"/>
        </w:rPr>
        <w:tab/>
        <w:t>FARMACINĖ FORMA IR KIEKIS PAKUOTĖJE</w:t>
      </w:r>
    </w:p>
    <w:p w14:paraId="58849373" w14:textId="77777777" w:rsidR="00C40A89" w:rsidRPr="00AB6A8A" w:rsidRDefault="00C40A89" w:rsidP="00C40A89">
      <w:pPr>
        <w:pStyle w:val="Betarp"/>
        <w:rPr>
          <w:lang w:val="lt-LT"/>
        </w:rPr>
      </w:pPr>
    </w:p>
    <w:p w14:paraId="71197C50" w14:textId="77777777" w:rsidR="00C40A89" w:rsidRPr="00AB6A8A" w:rsidRDefault="00C40A89" w:rsidP="00C40A89">
      <w:pPr>
        <w:pStyle w:val="Betarp"/>
        <w:rPr>
          <w:lang w:val="lt-LT"/>
        </w:rPr>
      </w:pPr>
      <w:r w:rsidRPr="00AB6A8A">
        <w:rPr>
          <w:highlight w:val="lightGray"/>
          <w:lang w:val="lt-LT"/>
        </w:rPr>
        <w:t>Akių gelis</w:t>
      </w:r>
    </w:p>
    <w:p w14:paraId="79C30B96" w14:textId="77777777" w:rsidR="00C40A89" w:rsidRPr="00AB6A8A" w:rsidRDefault="00C40A89" w:rsidP="00C40A89">
      <w:pPr>
        <w:pStyle w:val="Betarp"/>
        <w:rPr>
          <w:iCs/>
          <w:lang w:val="lt-LT"/>
        </w:rPr>
      </w:pPr>
      <w:r w:rsidRPr="00AB6A8A">
        <w:rPr>
          <w:iCs/>
          <w:lang w:val="lt-LT"/>
        </w:rPr>
        <w:t>10 × 0,3 g</w:t>
      </w:r>
    </w:p>
    <w:p w14:paraId="2C12F3DE" w14:textId="77777777" w:rsidR="00C40A89" w:rsidRPr="00AB6A8A" w:rsidRDefault="00C40A89" w:rsidP="00C40A89">
      <w:pPr>
        <w:pStyle w:val="Betarp"/>
        <w:rPr>
          <w:lang w:val="lt-LT"/>
        </w:rPr>
      </w:pPr>
    </w:p>
    <w:p w14:paraId="6E2259F2" w14:textId="77777777" w:rsidR="00C40A89" w:rsidRPr="00AB6A8A" w:rsidRDefault="00C40A89" w:rsidP="00C40A89">
      <w:pPr>
        <w:pStyle w:val="Betarp"/>
        <w:rPr>
          <w:lang w:val="lt-LT"/>
        </w:rPr>
      </w:pPr>
    </w:p>
    <w:p w14:paraId="36E19200"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AB6A8A">
        <w:rPr>
          <w:b/>
          <w:lang w:val="lt-LT"/>
        </w:rPr>
        <w:t>5.</w:t>
      </w:r>
      <w:r w:rsidRPr="00AB6A8A">
        <w:rPr>
          <w:b/>
          <w:lang w:val="lt-LT"/>
        </w:rPr>
        <w:tab/>
        <w:t>VARTOJIMO METODAS IR BŪDAS (-AI)</w:t>
      </w:r>
    </w:p>
    <w:p w14:paraId="06AAD1DC" w14:textId="77777777" w:rsidR="00C40A89" w:rsidRPr="00AB6A8A" w:rsidRDefault="00C40A89" w:rsidP="00C40A89">
      <w:pPr>
        <w:pStyle w:val="Betarp"/>
        <w:rPr>
          <w:lang w:val="lt-LT"/>
        </w:rPr>
      </w:pPr>
    </w:p>
    <w:p w14:paraId="62419FD0" w14:textId="258889BC" w:rsidR="00C40A89" w:rsidRPr="00AB6A8A" w:rsidRDefault="00C40A89" w:rsidP="00C40A89">
      <w:pPr>
        <w:pStyle w:val="Betarp"/>
        <w:rPr>
          <w:lang w:val="lt-LT"/>
        </w:rPr>
      </w:pPr>
      <w:r w:rsidRPr="00AB6A8A">
        <w:rPr>
          <w:lang w:val="lt-LT"/>
        </w:rPr>
        <w:t>Vartoti ant akių.</w:t>
      </w:r>
    </w:p>
    <w:p w14:paraId="0A9CE5ED" w14:textId="77777777" w:rsidR="00C40A89" w:rsidRPr="00AB6A8A" w:rsidRDefault="00C40A89" w:rsidP="00C40A89">
      <w:pPr>
        <w:pStyle w:val="Betarp"/>
        <w:rPr>
          <w:lang w:val="lt-LT"/>
        </w:rPr>
      </w:pPr>
      <w:r w:rsidRPr="00AB6A8A">
        <w:rPr>
          <w:lang w:val="lt-LT"/>
        </w:rPr>
        <w:t>Prieš vartojimą perskaitykite pakuotės lapelį.</w:t>
      </w:r>
    </w:p>
    <w:p w14:paraId="402D7623" w14:textId="77777777" w:rsidR="00C40A89" w:rsidRPr="00AB6A8A" w:rsidRDefault="00C40A89" w:rsidP="00C40A89">
      <w:pPr>
        <w:pStyle w:val="Betarp"/>
        <w:rPr>
          <w:lang w:val="lt-LT"/>
        </w:rPr>
      </w:pPr>
    </w:p>
    <w:p w14:paraId="2B19E9AB" w14:textId="77777777" w:rsidR="00C40A89" w:rsidRPr="00AB6A8A" w:rsidRDefault="00C40A89" w:rsidP="00C40A89">
      <w:pPr>
        <w:pStyle w:val="Betarp"/>
        <w:rPr>
          <w:lang w:val="lt-LT"/>
        </w:rPr>
      </w:pPr>
    </w:p>
    <w:p w14:paraId="1C260D81" w14:textId="77777777" w:rsidR="00C40A89" w:rsidRPr="00AB6A8A" w:rsidRDefault="00C40A89" w:rsidP="00C40A89">
      <w:pPr>
        <w:pBdr>
          <w:top w:val="single" w:sz="4" w:space="0" w:color="auto"/>
          <w:left w:val="single" w:sz="4" w:space="4" w:color="auto"/>
          <w:bottom w:val="single" w:sz="4" w:space="1" w:color="auto"/>
          <w:right w:val="single" w:sz="4" w:space="4" w:color="auto"/>
        </w:pBdr>
        <w:spacing w:line="240" w:lineRule="auto"/>
        <w:ind w:left="567" w:hanging="567"/>
        <w:outlineLvl w:val="0"/>
        <w:rPr>
          <w:lang w:val="lt-LT"/>
        </w:rPr>
      </w:pPr>
      <w:r w:rsidRPr="00AB6A8A">
        <w:rPr>
          <w:b/>
          <w:lang w:val="lt-LT"/>
        </w:rPr>
        <w:t>6.</w:t>
      </w:r>
      <w:r w:rsidRPr="00AB6A8A">
        <w:rPr>
          <w:b/>
          <w:lang w:val="lt-LT"/>
        </w:rPr>
        <w:tab/>
      </w:r>
      <w:r w:rsidRPr="00AB6A8A">
        <w:rPr>
          <w:b/>
          <w:bCs/>
          <w:lang w:val="lt-LT"/>
        </w:rPr>
        <w:t>SPECIALUS ĮSPĖJIMAS, KAD VAISTINĮ PREPARATĄ BŪTINA LAIKYTI VAIKAMS NEPASTEBIMOJE IR NEPASIEKIAMOJE VIETOJE</w:t>
      </w:r>
    </w:p>
    <w:p w14:paraId="7AE0D32B" w14:textId="77777777" w:rsidR="00C40A89" w:rsidRPr="00AB6A8A" w:rsidRDefault="00C40A89" w:rsidP="00C40A89">
      <w:pPr>
        <w:pStyle w:val="Betarp"/>
        <w:rPr>
          <w:lang w:val="lt-LT"/>
        </w:rPr>
      </w:pPr>
    </w:p>
    <w:p w14:paraId="1E121980" w14:textId="77777777" w:rsidR="00C40A89" w:rsidRPr="00AB6A8A" w:rsidRDefault="00C40A89" w:rsidP="00C40A89">
      <w:pPr>
        <w:pStyle w:val="Betarp"/>
        <w:rPr>
          <w:lang w:val="lt-LT"/>
        </w:rPr>
      </w:pPr>
      <w:r w:rsidRPr="00AB6A8A">
        <w:rPr>
          <w:lang w:val="lt-LT"/>
        </w:rPr>
        <w:t>Laikyti vaikams nepastebimoje ir nepasiekiamoje vietoje.</w:t>
      </w:r>
    </w:p>
    <w:p w14:paraId="37690729" w14:textId="77777777" w:rsidR="00C40A89" w:rsidRPr="00AB6A8A" w:rsidRDefault="00C40A89" w:rsidP="00C40A89">
      <w:pPr>
        <w:pStyle w:val="Betarp"/>
        <w:rPr>
          <w:lang w:val="lt-LT"/>
        </w:rPr>
      </w:pPr>
    </w:p>
    <w:p w14:paraId="53448A8F" w14:textId="77777777" w:rsidR="00C40A89" w:rsidRPr="00AB6A8A" w:rsidRDefault="00C40A89" w:rsidP="00C40A89">
      <w:pPr>
        <w:pStyle w:val="Betarp"/>
        <w:rPr>
          <w:lang w:val="lt-LT"/>
        </w:rPr>
      </w:pPr>
    </w:p>
    <w:p w14:paraId="0784618D"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AB6A8A">
        <w:rPr>
          <w:b/>
          <w:lang w:val="lt-LT"/>
        </w:rPr>
        <w:t>7.</w:t>
      </w:r>
      <w:r w:rsidRPr="00AB6A8A">
        <w:rPr>
          <w:b/>
          <w:lang w:val="lt-LT"/>
        </w:rPr>
        <w:tab/>
      </w:r>
      <w:r w:rsidRPr="00AB6A8A">
        <w:rPr>
          <w:b/>
          <w:bCs/>
          <w:lang w:val="lt-LT"/>
        </w:rPr>
        <w:t>KITAS (-I) SPECIALUS (-ŪS) ĮSPĖJIMAS (-AI) (JEI REIKIA)</w:t>
      </w:r>
    </w:p>
    <w:p w14:paraId="7C9F0A47" w14:textId="77777777" w:rsidR="00C40A89" w:rsidRPr="00AB6A8A" w:rsidRDefault="00C40A89" w:rsidP="00C40A89">
      <w:pPr>
        <w:pStyle w:val="Betarp"/>
        <w:rPr>
          <w:lang w:val="lt-LT"/>
        </w:rPr>
      </w:pPr>
    </w:p>
    <w:p w14:paraId="7C5A3E80" w14:textId="77777777" w:rsidR="00C40A89" w:rsidRPr="00AB6A8A" w:rsidRDefault="00C40A89" w:rsidP="00C40A89">
      <w:pPr>
        <w:pStyle w:val="Betarp"/>
        <w:rPr>
          <w:lang w:val="lt-LT"/>
        </w:rPr>
      </w:pPr>
    </w:p>
    <w:p w14:paraId="2D1CA651"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AB6A8A">
        <w:rPr>
          <w:b/>
          <w:lang w:val="lt-LT"/>
        </w:rPr>
        <w:t>8.</w:t>
      </w:r>
      <w:r w:rsidRPr="00AB6A8A">
        <w:rPr>
          <w:b/>
          <w:lang w:val="lt-LT"/>
        </w:rPr>
        <w:tab/>
      </w:r>
      <w:r w:rsidRPr="00AB6A8A">
        <w:rPr>
          <w:b/>
          <w:bCs/>
          <w:lang w:val="lt-LT"/>
        </w:rPr>
        <w:t>TINKAMUMO LAIKAS</w:t>
      </w:r>
    </w:p>
    <w:p w14:paraId="3F2547F8" w14:textId="77777777" w:rsidR="00C40A89" w:rsidRPr="00AB6A8A" w:rsidRDefault="00C40A89" w:rsidP="00C40A89">
      <w:pPr>
        <w:pStyle w:val="Betarp"/>
        <w:rPr>
          <w:lang w:val="lt-LT"/>
        </w:rPr>
      </w:pPr>
    </w:p>
    <w:p w14:paraId="1446C711" w14:textId="77777777" w:rsidR="00C40A89" w:rsidRPr="00AB6A8A" w:rsidRDefault="00C40A89" w:rsidP="00C40A89">
      <w:pPr>
        <w:pStyle w:val="Betarp"/>
        <w:rPr>
          <w:lang w:val="lt-LT"/>
        </w:rPr>
      </w:pPr>
      <w:r w:rsidRPr="00AB6A8A">
        <w:rPr>
          <w:lang w:val="lt-LT"/>
        </w:rPr>
        <w:t>EXP {mm/MMMM}</w:t>
      </w:r>
    </w:p>
    <w:p w14:paraId="7A4FA612" w14:textId="77777777" w:rsidR="00C40A89" w:rsidRPr="00AB6A8A" w:rsidRDefault="00C40A89" w:rsidP="00C40A89">
      <w:pPr>
        <w:pStyle w:val="Betarp"/>
        <w:rPr>
          <w:lang w:val="lt-LT"/>
        </w:rPr>
      </w:pPr>
      <w:r w:rsidRPr="00AB6A8A">
        <w:rPr>
          <w:lang w:val="lt-LT"/>
        </w:rPr>
        <w:t>Po paketėlio atidarymo: suvartoti per 1 mėnesį.</w:t>
      </w:r>
    </w:p>
    <w:p w14:paraId="5CA30B01" w14:textId="03041412" w:rsidR="00C40A89" w:rsidRDefault="00C40A89" w:rsidP="00C40A89">
      <w:pPr>
        <w:pStyle w:val="Betarp"/>
        <w:rPr>
          <w:lang w:val="lt-LT"/>
        </w:rPr>
      </w:pPr>
      <w:r w:rsidRPr="00AB6A8A">
        <w:rPr>
          <w:lang w:val="lt-LT"/>
        </w:rPr>
        <w:t>Po vienadozės talpyklės atidarymo: būtina suvartoti</w:t>
      </w:r>
      <w:r w:rsidR="008F282E" w:rsidRPr="008F282E">
        <w:rPr>
          <w:lang w:val="lt-LT"/>
        </w:rPr>
        <w:t xml:space="preserve"> </w:t>
      </w:r>
      <w:r w:rsidR="008F282E" w:rsidRPr="00AB6A8A">
        <w:rPr>
          <w:lang w:val="lt-LT"/>
        </w:rPr>
        <w:t>nedelsiant</w:t>
      </w:r>
      <w:r w:rsidRPr="00AB6A8A">
        <w:rPr>
          <w:lang w:val="lt-LT"/>
        </w:rPr>
        <w:t>, o po vartojimo išmesti.</w:t>
      </w:r>
    </w:p>
    <w:p w14:paraId="65A10DFB" w14:textId="59781524" w:rsidR="00C40A89" w:rsidRPr="00AB6A8A" w:rsidRDefault="00C40A89" w:rsidP="00C40A89">
      <w:pPr>
        <w:pStyle w:val="Betarp"/>
        <w:rPr>
          <w:lang w:val="lt-LT"/>
        </w:rPr>
      </w:pPr>
      <w:r>
        <w:rPr>
          <w:lang w:val="lt-LT"/>
        </w:rPr>
        <w:t>Pirmojo atidarymo data:</w:t>
      </w:r>
    </w:p>
    <w:p w14:paraId="75EA18FA" w14:textId="77777777" w:rsidR="00C40A89" w:rsidRPr="00AB6A8A" w:rsidRDefault="00C40A89" w:rsidP="00C40A89">
      <w:pPr>
        <w:pStyle w:val="Betarp"/>
        <w:rPr>
          <w:lang w:val="lt-LT"/>
        </w:rPr>
      </w:pPr>
    </w:p>
    <w:p w14:paraId="30CD1313" w14:textId="77777777" w:rsidR="00C40A89" w:rsidRPr="00AB6A8A" w:rsidRDefault="00C40A89" w:rsidP="00C40A89">
      <w:pPr>
        <w:pStyle w:val="Betarp"/>
        <w:rPr>
          <w:lang w:val="lt-LT"/>
        </w:rPr>
      </w:pPr>
    </w:p>
    <w:p w14:paraId="46619B3D" w14:textId="77777777" w:rsidR="00C40A89" w:rsidRPr="00AB6A8A" w:rsidRDefault="00C40A89" w:rsidP="00C40A89">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AB6A8A">
        <w:rPr>
          <w:b/>
          <w:lang w:val="lt-LT"/>
        </w:rPr>
        <w:t>9.</w:t>
      </w:r>
      <w:r w:rsidRPr="00AB6A8A">
        <w:rPr>
          <w:b/>
          <w:lang w:val="lt-LT"/>
        </w:rPr>
        <w:tab/>
      </w:r>
      <w:r w:rsidRPr="00AB6A8A">
        <w:rPr>
          <w:b/>
          <w:caps/>
          <w:lang w:val="lt-LT"/>
        </w:rPr>
        <w:t>SPECIALIOS laikymo sąlygos</w:t>
      </w:r>
    </w:p>
    <w:p w14:paraId="298D5D1C" w14:textId="77777777" w:rsidR="00C40A89" w:rsidRPr="00AB6A8A" w:rsidRDefault="00C40A89" w:rsidP="00C40A89">
      <w:pPr>
        <w:pStyle w:val="Betarp"/>
        <w:keepNext/>
        <w:rPr>
          <w:lang w:val="lt-LT"/>
        </w:rPr>
      </w:pPr>
    </w:p>
    <w:p w14:paraId="2F39CEDE" w14:textId="77777777" w:rsidR="00C40A89" w:rsidRPr="00AB6A8A" w:rsidRDefault="00C40A89" w:rsidP="00C40A89">
      <w:pPr>
        <w:pStyle w:val="Betarp"/>
        <w:keepNext/>
        <w:rPr>
          <w:lang w:val="lt-LT"/>
        </w:rPr>
      </w:pPr>
      <w:r w:rsidRPr="00AB6A8A">
        <w:rPr>
          <w:lang w:val="lt-LT"/>
        </w:rPr>
        <w:t>Laikyti ne aukštesnėje kaip 25 °C temperatūroje.</w:t>
      </w:r>
    </w:p>
    <w:p w14:paraId="57C1F05E" w14:textId="77777777" w:rsidR="00C40A89" w:rsidRPr="00AB6A8A" w:rsidRDefault="00C40A89" w:rsidP="00C40A89">
      <w:pPr>
        <w:pStyle w:val="Betarp"/>
        <w:keepNext/>
        <w:rPr>
          <w:lang w:val="lt-LT"/>
        </w:rPr>
      </w:pPr>
      <w:r w:rsidRPr="00AB6A8A">
        <w:rPr>
          <w:lang w:val="lt-LT"/>
        </w:rPr>
        <w:t>Nesuvartotas vienadozes talpykles laikyti atidarytame paketėlyje, kad būtų apsaugotos nuo šviesos.</w:t>
      </w:r>
    </w:p>
    <w:p w14:paraId="462F1832" w14:textId="77777777" w:rsidR="00C40A89" w:rsidRPr="00AB6A8A" w:rsidRDefault="00C40A89" w:rsidP="00C40A89">
      <w:pPr>
        <w:pStyle w:val="Betarp"/>
        <w:rPr>
          <w:lang w:val="lt-LT"/>
        </w:rPr>
      </w:pPr>
    </w:p>
    <w:p w14:paraId="17C00C09" w14:textId="77777777" w:rsidR="00C40A89" w:rsidRPr="00AB6A8A" w:rsidRDefault="00C40A89" w:rsidP="00C40A89">
      <w:pPr>
        <w:pStyle w:val="Betarp"/>
        <w:rPr>
          <w:lang w:val="lt-LT"/>
        </w:rPr>
      </w:pPr>
    </w:p>
    <w:p w14:paraId="3D9A6EE4"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AB6A8A">
        <w:rPr>
          <w:b/>
          <w:lang w:val="lt-LT"/>
        </w:rPr>
        <w:t>10.</w:t>
      </w:r>
      <w:r w:rsidRPr="00AB6A8A">
        <w:rPr>
          <w:b/>
          <w:lang w:val="lt-LT"/>
        </w:rPr>
        <w:tab/>
      </w:r>
      <w:r w:rsidRPr="00AB6A8A">
        <w:rPr>
          <w:b/>
          <w:caps/>
          <w:lang w:val="lt-LT"/>
        </w:rPr>
        <w:t>specialios atsargumo priemonės DĖL NESUVARTOTO</w:t>
      </w:r>
      <w:r w:rsidRPr="00AB6A8A">
        <w:rPr>
          <w:b/>
          <w:bCs/>
          <w:lang w:val="lt-LT"/>
        </w:rPr>
        <w:t xml:space="preserve"> </w:t>
      </w:r>
      <w:r w:rsidRPr="00AB6A8A">
        <w:rPr>
          <w:b/>
          <w:bCs/>
          <w:caps/>
          <w:lang w:val="lt-LT"/>
        </w:rPr>
        <w:t>VAISTINIO PREPARATO AR JO ATLIEKU</w:t>
      </w:r>
      <w:r w:rsidRPr="00AB6A8A">
        <w:rPr>
          <w:caps/>
          <w:lang w:val="lt-LT"/>
        </w:rPr>
        <w:t xml:space="preserve"> </w:t>
      </w:r>
      <w:r w:rsidRPr="00AB6A8A">
        <w:rPr>
          <w:b/>
          <w:bCs/>
          <w:caps/>
          <w:lang w:val="lt-LT"/>
        </w:rPr>
        <w:t>TVARKYMO</w:t>
      </w:r>
      <w:r w:rsidRPr="00AB6A8A">
        <w:rPr>
          <w:b/>
          <w:caps/>
          <w:lang w:val="lt-LT"/>
        </w:rPr>
        <w:t xml:space="preserve"> (jei reikia)</w:t>
      </w:r>
    </w:p>
    <w:p w14:paraId="689CEE74" w14:textId="77777777" w:rsidR="00C40A89" w:rsidRPr="00AB6A8A" w:rsidRDefault="00C40A89" w:rsidP="00C40A89">
      <w:pPr>
        <w:spacing w:line="240" w:lineRule="auto"/>
        <w:rPr>
          <w:lang w:val="lt-LT"/>
        </w:rPr>
      </w:pPr>
    </w:p>
    <w:p w14:paraId="6774B8DF" w14:textId="77777777" w:rsidR="00C40A89" w:rsidRPr="00AB6A8A" w:rsidRDefault="00C40A89" w:rsidP="00C40A89">
      <w:pPr>
        <w:spacing w:line="240" w:lineRule="auto"/>
        <w:rPr>
          <w:lang w:val="lt-LT"/>
        </w:rPr>
      </w:pPr>
    </w:p>
    <w:p w14:paraId="03E52FF6"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AB6A8A">
        <w:rPr>
          <w:b/>
          <w:lang w:val="lt-LT"/>
        </w:rPr>
        <w:t>11.</w:t>
      </w:r>
      <w:r w:rsidRPr="00AB6A8A">
        <w:rPr>
          <w:b/>
          <w:lang w:val="lt-LT"/>
        </w:rPr>
        <w:tab/>
      </w:r>
      <w:r w:rsidRPr="00AB6A8A">
        <w:rPr>
          <w:b/>
          <w:caps/>
          <w:lang w:val="lt-LT"/>
        </w:rPr>
        <w:t>REGISTRUOTOJO pavadinimas ir adresas</w:t>
      </w:r>
    </w:p>
    <w:p w14:paraId="0A6DA7E5" w14:textId="77777777" w:rsidR="00C40A89" w:rsidRPr="00AB6A8A" w:rsidRDefault="00C40A89" w:rsidP="00C40A89">
      <w:pPr>
        <w:pStyle w:val="Betarp"/>
        <w:rPr>
          <w:lang w:val="lt-LT"/>
        </w:rPr>
      </w:pPr>
    </w:p>
    <w:p w14:paraId="2BCEA029" w14:textId="77777777" w:rsidR="00C40A89" w:rsidRDefault="00C40A89" w:rsidP="00C40A89">
      <w:pPr>
        <w:pStyle w:val="Betarp"/>
        <w:rPr>
          <w:noProof/>
          <w:lang w:val="lt-LT"/>
        </w:rPr>
      </w:pPr>
      <w:r w:rsidRPr="00AB6A8A">
        <w:rPr>
          <w:noProof/>
          <w:lang w:val="lt-LT"/>
        </w:rPr>
        <w:t>Laboratoires THEA</w:t>
      </w:r>
    </w:p>
    <w:p w14:paraId="30E2FF91" w14:textId="77777777" w:rsidR="00C40A89" w:rsidRPr="00345F83" w:rsidRDefault="00C40A89" w:rsidP="00C40A89">
      <w:pPr>
        <w:pStyle w:val="Betarp"/>
        <w:rPr>
          <w:highlight w:val="lightGray"/>
          <w:lang w:val="lt-LT"/>
        </w:rPr>
      </w:pPr>
      <w:r w:rsidRPr="00345F83">
        <w:rPr>
          <w:highlight w:val="lightGray"/>
          <w:lang w:val="lt-LT"/>
        </w:rPr>
        <w:t>Zone Industrielle du Brézet</w:t>
      </w:r>
    </w:p>
    <w:p w14:paraId="0F7319C6" w14:textId="77777777" w:rsidR="00C40A89" w:rsidRPr="00345F83" w:rsidRDefault="00C40A89" w:rsidP="00C40A89">
      <w:pPr>
        <w:pStyle w:val="Betarp"/>
        <w:rPr>
          <w:highlight w:val="lightGray"/>
          <w:lang w:val="lt-LT"/>
        </w:rPr>
      </w:pPr>
      <w:r w:rsidRPr="00345F83">
        <w:rPr>
          <w:highlight w:val="lightGray"/>
          <w:lang w:val="lt-LT"/>
        </w:rPr>
        <w:t>12 rue Louis Blériot</w:t>
      </w:r>
    </w:p>
    <w:p w14:paraId="4DB067F8" w14:textId="77777777" w:rsidR="00C40A89" w:rsidRPr="00345F83" w:rsidRDefault="00C40A89" w:rsidP="00C40A89">
      <w:pPr>
        <w:pStyle w:val="Betarp"/>
        <w:rPr>
          <w:highlight w:val="lightGray"/>
          <w:lang w:val="lt-LT"/>
        </w:rPr>
      </w:pPr>
      <w:r w:rsidRPr="00345F83">
        <w:rPr>
          <w:highlight w:val="lightGray"/>
          <w:lang w:val="lt-LT"/>
        </w:rPr>
        <w:t xml:space="preserve">63100 Clermont-Ferrand </w:t>
      </w:r>
    </w:p>
    <w:p w14:paraId="039160ED" w14:textId="77777777" w:rsidR="00C40A89" w:rsidRPr="00345F83" w:rsidRDefault="00C40A89" w:rsidP="00C40A89">
      <w:pPr>
        <w:pStyle w:val="Betarp"/>
        <w:rPr>
          <w:highlight w:val="lightGray"/>
          <w:lang w:val="lt-LT"/>
        </w:rPr>
      </w:pPr>
      <w:r w:rsidRPr="00345F83">
        <w:rPr>
          <w:highlight w:val="lightGray"/>
          <w:lang w:val="lt-LT"/>
        </w:rPr>
        <w:t>Prancūzija</w:t>
      </w:r>
    </w:p>
    <w:p w14:paraId="7B4010AD" w14:textId="77777777" w:rsidR="00C40A89" w:rsidRPr="00AB6A8A" w:rsidRDefault="00C40A89" w:rsidP="00C40A89">
      <w:pPr>
        <w:pStyle w:val="Betarp"/>
        <w:rPr>
          <w:lang w:val="lt-LT"/>
        </w:rPr>
      </w:pPr>
    </w:p>
    <w:p w14:paraId="63CCBFF8" w14:textId="77777777" w:rsidR="00C40A89" w:rsidRPr="00AB6A8A" w:rsidRDefault="00C40A89" w:rsidP="00C40A89">
      <w:pPr>
        <w:pStyle w:val="Betarp"/>
        <w:rPr>
          <w:lang w:val="lt-LT"/>
        </w:rPr>
      </w:pPr>
    </w:p>
    <w:p w14:paraId="40ED8880"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12.</w:t>
      </w:r>
      <w:r w:rsidRPr="00AB6A8A">
        <w:rPr>
          <w:b/>
          <w:lang w:val="lt-LT"/>
        </w:rPr>
        <w:tab/>
      </w:r>
      <w:r w:rsidRPr="00AB6A8A">
        <w:rPr>
          <w:b/>
          <w:caps/>
          <w:lang w:val="lt-LT"/>
        </w:rPr>
        <w:t>REGISTRACIJOS PAŽYMĖJIMO numeris</w:t>
      </w:r>
      <w:r w:rsidRPr="00AB6A8A">
        <w:rPr>
          <w:b/>
          <w:lang w:val="lt-LT"/>
        </w:rPr>
        <w:t xml:space="preserve"> (-IAI)</w:t>
      </w:r>
    </w:p>
    <w:p w14:paraId="739A768E" w14:textId="77777777" w:rsidR="00C40A89" w:rsidRPr="00AB6A8A" w:rsidRDefault="00C40A89" w:rsidP="00C40A89">
      <w:pPr>
        <w:pStyle w:val="Betarp"/>
        <w:rPr>
          <w:lang w:val="lt-LT"/>
        </w:rPr>
      </w:pPr>
    </w:p>
    <w:p w14:paraId="52ABCDFE" w14:textId="77777777" w:rsidR="00F31938" w:rsidRPr="00F31938" w:rsidRDefault="00F31938" w:rsidP="00F31938">
      <w:pPr>
        <w:pStyle w:val="Betarp"/>
        <w:rPr>
          <w:bCs/>
          <w:highlight w:val="lightGray"/>
          <w:lang w:val="lt-LT"/>
        </w:rPr>
      </w:pPr>
      <w:r w:rsidRPr="00F31938">
        <w:rPr>
          <w:bCs/>
          <w:highlight w:val="lightGray"/>
          <w:lang w:val="lt-LT"/>
        </w:rPr>
        <w:t>LT/1/25/5885/001 – N10 (1x10)</w:t>
      </w:r>
    </w:p>
    <w:p w14:paraId="240A7B17" w14:textId="77777777" w:rsidR="00F31938" w:rsidRPr="00F31938" w:rsidRDefault="00F31938" w:rsidP="00F31938">
      <w:pPr>
        <w:pStyle w:val="Betarp"/>
        <w:rPr>
          <w:bCs/>
          <w:highlight w:val="lightGray"/>
          <w:lang w:val="lt-LT"/>
        </w:rPr>
      </w:pPr>
      <w:r w:rsidRPr="00F31938">
        <w:rPr>
          <w:bCs/>
          <w:highlight w:val="lightGray"/>
          <w:lang w:val="lt-LT"/>
        </w:rPr>
        <w:t>LT/1/25/5885/002 – N30 (3x10)</w:t>
      </w:r>
    </w:p>
    <w:p w14:paraId="07C3208C" w14:textId="0D743DEB" w:rsidR="00C40A89" w:rsidRDefault="00F31938" w:rsidP="00F31938">
      <w:pPr>
        <w:pStyle w:val="Betarp"/>
        <w:rPr>
          <w:bCs/>
          <w:lang w:val="lt-LT"/>
        </w:rPr>
      </w:pPr>
      <w:r w:rsidRPr="00F31938">
        <w:rPr>
          <w:bCs/>
          <w:highlight w:val="lightGray"/>
          <w:lang w:val="lt-LT"/>
        </w:rPr>
        <w:t>LT/1/25/5885/003 – N90 (9x10)</w:t>
      </w:r>
    </w:p>
    <w:p w14:paraId="3F782109" w14:textId="77777777" w:rsidR="00F31938" w:rsidRPr="00AB6A8A" w:rsidRDefault="00F31938" w:rsidP="00F31938">
      <w:pPr>
        <w:pStyle w:val="Betarp"/>
        <w:rPr>
          <w:bCs/>
          <w:lang w:val="lt-LT"/>
        </w:rPr>
      </w:pPr>
    </w:p>
    <w:p w14:paraId="63C4512E" w14:textId="77777777" w:rsidR="00C40A89" w:rsidRPr="00AB6A8A" w:rsidRDefault="00C40A89" w:rsidP="00C40A89">
      <w:pPr>
        <w:pStyle w:val="Betarp"/>
        <w:rPr>
          <w:lang w:val="lt-LT"/>
        </w:rPr>
      </w:pPr>
    </w:p>
    <w:p w14:paraId="7D6B45FF"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13.</w:t>
      </w:r>
      <w:r w:rsidRPr="00AB6A8A">
        <w:rPr>
          <w:b/>
          <w:lang w:val="lt-LT"/>
        </w:rPr>
        <w:tab/>
        <w:t>SERIJOS NUMERIS</w:t>
      </w:r>
    </w:p>
    <w:p w14:paraId="1769443F" w14:textId="77777777" w:rsidR="00C40A89" w:rsidRPr="00AB6A8A" w:rsidRDefault="00C40A89" w:rsidP="00C40A89">
      <w:pPr>
        <w:pStyle w:val="Betarp"/>
        <w:rPr>
          <w:lang w:val="lt-LT"/>
        </w:rPr>
      </w:pPr>
    </w:p>
    <w:p w14:paraId="3C6BDB0F" w14:textId="77777777" w:rsidR="00C40A89" w:rsidRPr="00AB6A8A" w:rsidRDefault="00C40A89" w:rsidP="00C40A89">
      <w:pPr>
        <w:pStyle w:val="Betarp"/>
        <w:rPr>
          <w:lang w:val="lt-LT"/>
        </w:rPr>
      </w:pPr>
      <w:r w:rsidRPr="00AB6A8A">
        <w:rPr>
          <w:lang w:val="lt-LT"/>
        </w:rPr>
        <w:t>Lot {numeris}</w:t>
      </w:r>
    </w:p>
    <w:p w14:paraId="10BFB4CE" w14:textId="77777777" w:rsidR="00C40A89" w:rsidRPr="00AB6A8A" w:rsidRDefault="00C40A89" w:rsidP="00C40A89">
      <w:pPr>
        <w:pStyle w:val="Betarp"/>
        <w:rPr>
          <w:lang w:val="lt-LT"/>
        </w:rPr>
      </w:pPr>
    </w:p>
    <w:p w14:paraId="2587FAF6" w14:textId="77777777" w:rsidR="00C40A89" w:rsidRPr="00AB6A8A" w:rsidRDefault="00C40A89" w:rsidP="00C40A89">
      <w:pPr>
        <w:pStyle w:val="Betarp"/>
        <w:rPr>
          <w:lang w:val="lt-LT"/>
        </w:rPr>
      </w:pPr>
    </w:p>
    <w:p w14:paraId="6CB364B7"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14.</w:t>
      </w:r>
      <w:r w:rsidRPr="00AB6A8A">
        <w:rPr>
          <w:b/>
          <w:lang w:val="lt-LT"/>
        </w:rPr>
        <w:tab/>
        <w:t>PARDAVIMO (IŠDAVIMO)</w:t>
      </w:r>
      <w:r w:rsidRPr="00AB6A8A">
        <w:rPr>
          <w:b/>
          <w:caps/>
          <w:lang w:val="lt-LT"/>
        </w:rPr>
        <w:t xml:space="preserve"> tvarka</w:t>
      </w:r>
    </w:p>
    <w:p w14:paraId="392BA6E8" w14:textId="77777777" w:rsidR="00C40A89" w:rsidRPr="00AB6A8A" w:rsidRDefault="00C40A89" w:rsidP="00C40A89">
      <w:pPr>
        <w:pStyle w:val="Betarp"/>
        <w:rPr>
          <w:lang w:val="lt-LT"/>
        </w:rPr>
      </w:pPr>
    </w:p>
    <w:p w14:paraId="5AAEF7CF" w14:textId="77777777" w:rsidR="00C40A89" w:rsidRPr="00AB6A8A" w:rsidRDefault="00C40A89" w:rsidP="00C40A89">
      <w:pPr>
        <w:pStyle w:val="Betarp"/>
        <w:rPr>
          <w:lang w:val="lt-LT"/>
        </w:rPr>
      </w:pPr>
      <w:r w:rsidRPr="00AB6A8A">
        <w:rPr>
          <w:lang w:val="lt-LT"/>
        </w:rPr>
        <w:t>Receptinis vaistas.</w:t>
      </w:r>
    </w:p>
    <w:p w14:paraId="05659EC3" w14:textId="77777777" w:rsidR="00C40A89" w:rsidRPr="00AB6A8A" w:rsidRDefault="00C40A89" w:rsidP="00C40A89">
      <w:pPr>
        <w:pStyle w:val="Betarp"/>
        <w:rPr>
          <w:lang w:val="lt-LT"/>
        </w:rPr>
      </w:pPr>
    </w:p>
    <w:p w14:paraId="26885B29" w14:textId="77777777" w:rsidR="00C40A89" w:rsidRPr="00AB6A8A" w:rsidRDefault="00C40A89" w:rsidP="00C40A89">
      <w:pPr>
        <w:pStyle w:val="Betarp"/>
        <w:rPr>
          <w:lang w:val="lt-LT"/>
        </w:rPr>
      </w:pPr>
    </w:p>
    <w:p w14:paraId="581DEFD6"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15.</w:t>
      </w:r>
      <w:r w:rsidRPr="00AB6A8A">
        <w:rPr>
          <w:b/>
          <w:lang w:val="lt-LT"/>
        </w:rPr>
        <w:tab/>
      </w:r>
      <w:r w:rsidRPr="00AB6A8A">
        <w:rPr>
          <w:b/>
          <w:caps/>
          <w:lang w:val="lt-LT"/>
        </w:rPr>
        <w:t>vartojimo instrukcijA</w:t>
      </w:r>
    </w:p>
    <w:p w14:paraId="0F86CA93" w14:textId="77777777" w:rsidR="00C40A89" w:rsidRPr="00AB6A8A" w:rsidRDefault="00C40A89" w:rsidP="00C40A89">
      <w:pPr>
        <w:pStyle w:val="Betarp"/>
        <w:rPr>
          <w:lang w:val="lt-LT"/>
        </w:rPr>
      </w:pPr>
    </w:p>
    <w:p w14:paraId="4116171C" w14:textId="77777777" w:rsidR="00C40A89" w:rsidRPr="00AB6A8A" w:rsidRDefault="00C40A89" w:rsidP="00C40A89">
      <w:pPr>
        <w:pStyle w:val="Betarp"/>
        <w:rPr>
          <w:lang w:val="lt-LT"/>
        </w:rPr>
      </w:pPr>
    </w:p>
    <w:p w14:paraId="07815F5F" w14:textId="77777777" w:rsidR="00C40A89" w:rsidRPr="00AB6A8A" w:rsidRDefault="00C40A89" w:rsidP="00C40A89">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16.</w:t>
      </w:r>
      <w:r w:rsidRPr="00AB6A8A">
        <w:rPr>
          <w:b/>
          <w:lang w:val="lt-LT"/>
        </w:rPr>
        <w:tab/>
        <w:t>INFORMACIJA BRAILIO RAŠTU</w:t>
      </w:r>
    </w:p>
    <w:p w14:paraId="4F3FA1FA" w14:textId="77777777" w:rsidR="00C40A89" w:rsidRPr="00AB6A8A" w:rsidRDefault="00C40A89" w:rsidP="00C40A89">
      <w:pPr>
        <w:pStyle w:val="Betarp"/>
        <w:rPr>
          <w:lang w:val="lt-LT"/>
        </w:rPr>
      </w:pPr>
    </w:p>
    <w:p w14:paraId="5735CD82" w14:textId="77777777" w:rsidR="00C40A89" w:rsidRPr="00AB6A8A" w:rsidRDefault="00C40A89" w:rsidP="00C40A89">
      <w:pPr>
        <w:pStyle w:val="Betarp"/>
        <w:rPr>
          <w:lang w:val="lt-LT"/>
        </w:rPr>
      </w:pPr>
    </w:p>
    <w:p w14:paraId="4619DE53" w14:textId="77777777" w:rsidR="00C40A89" w:rsidRPr="00AB6A8A" w:rsidRDefault="00C40A89" w:rsidP="00C40A89">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AB6A8A">
        <w:rPr>
          <w:b/>
          <w:lang w:val="lt-LT"/>
        </w:rPr>
        <w:t>17.</w:t>
      </w:r>
      <w:r w:rsidRPr="00AB6A8A">
        <w:rPr>
          <w:b/>
          <w:lang w:val="lt-LT"/>
        </w:rPr>
        <w:tab/>
        <w:t>UNIKALUS IDENTIFIKATORIUS – 2D BRŪKŠNINIS KODAS</w:t>
      </w:r>
    </w:p>
    <w:p w14:paraId="4D5E85EF" w14:textId="77777777" w:rsidR="00C40A89" w:rsidRPr="00AB6A8A" w:rsidRDefault="00C40A89" w:rsidP="00C40A89">
      <w:pPr>
        <w:pStyle w:val="Betarp"/>
        <w:rPr>
          <w:lang w:val="lt-LT"/>
        </w:rPr>
      </w:pPr>
    </w:p>
    <w:p w14:paraId="3E44F0B9" w14:textId="77777777" w:rsidR="00C40A89" w:rsidRPr="00AB6A8A" w:rsidRDefault="00C40A89" w:rsidP="00C40A89">
      <w:pPr>
        <w:pStyle w:val="Betarp"/>
        <w:rPr>
          <w:lang w:val="lt-LT"/>
        </w:rPr>
      </w:pPr>
    </w:p>
    <w:p w14:paraId="75D3CD4F" w14:textId="77777777" w:rsidR="00C40A89" w:rsidRPr="00AB6A8A" w:rsidRDefault="00C40A89" w:rsidP="00C40A89">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AB6A8A">
        <w:rPr>
          <w:b/>
          <w:lang w:val="lt-LT"/>
        </w:rPr>
        <w:t>18.</w:t>
      </w:r>
      <w:r w:rsidRPr="00AB6A8A">
        <w:rPr>
          <w:b/>
          <w:lang w:val="lt-LT"/>
        </w:rPr>
        <w:tab/>
        <w:t>UNIKALUS IDENTIFIKATORIUS – ŽMONĖMS SUPRANTAMI DUOMENYS</w:t>
      </w:r>
    </w:p>
    <w:p w14:paraId="59784350" w14:textId="77777777" w:rsidR="00C40A89" w:rsidRPr="00AB6A8A" w:rsidRDefault="00C40A89" w:rsidP="00C40A89">
      <w:pPr>
        <w:pStyle w:val="Betarp"/>
        <w:rPr>
          <w:lang w:val="lt-LT"/>
        </w:rPr>
      </w:pPr>
    </w:p>
    <w:p w14:paraId="7E30229F"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rPr>
          <w:b/>
          <w:lang w:val="lt-LT"/>
        </w:rPr>
      </w:pPr>
      <w:r w:rsidRPr="00AB6A8A">
        <w:rPr>
          <w:b/>
          <w:u w:val="single"/>
          <w:lang w:val="lt-LT"/>
        </w:rPr>
        <w:br w:type="page"/>
      </w:r>
      <w:r w:rsidRPr="00AB6A8A">
        <w:rPr>
          <w:b/>
          <w:caps/>
          <w:lang w:val="lt-LT"/>
        </w:rPr>
        <w:t xml:space="preserve">Minimali informacija ant mažų </w:t>
      </w:r>
      <w:r w:rsidRPr="00AB6A8A">
        <w:rPr>
          <w:b/>
          <w:lang w:val="lt-LT"/>
        </w:rPr>
        <w:t>VIDINIŲ</w:t>
      </w:r>
      <w:r w:rsidRPr="00AB6A8A">
        <w:rPr>
          <w:bCs/>
          <w:lang w:val="lt-LT"/>
        </w:rPr>
        <w:t xml:space="preserve"> </w:t>
      </w:r>
      <w:r w:rsidRPr="00AB6A8A">
        <w:rPr>
          <w:b/>
          <w:caps/>
          <w:lang w:val="lt-LT"/>
        </w:rPr>
        <w:t>pakuočių</w:t>
      </w:r>
    </w:p>
    <w:p w14:paraId="17AD2294"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rPr>
          <w:b/>
          <w:lang w:val="lt-LT"/>
        </w:rPr>
      </w:pPr>
    </w:p>
    <w:p w14:paraId="68144222"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rPr>
          <w:b/>
          <w:lang w:val="lt-LT"/>
        </w:rPr>
      </w:pPr>
      <w:r w:rsidRPr="00AB6A8A">
        <w:rPr>
          <w:b/>
          <w:lang w:val="lt-LT"/>
        </w:rPr>
        <w:t>VIENADOZĖ TALPYKLĖ</w:t>
      </w:r>
    </w:p>
    <w:p w14:paraId="6C39FF4C" w14:textId="77777777" w:rsidR="007C68A4" w:rsidRPr="00AB6A8A" w:rsidRDefault="007C68A4" w:rsidP="007A292B">
      <w:pPr>
        <w:spacing w:line="240" w:lineRule="auto"/>
        <w:rPr>
          <w:lang w:val="lt-LT"/>
        </w:rPr>
      </w:pPr>
    </w:p>
    <w:p w14:paraId="0803E480" w14:textId="77777777" w:rsidR="007C68A4" w:rsidRPr="00AB6A8A" w:rsidRDefault="007C68A4" w:rsidP="007A292B">
      <w:pPr>
        <w:spacing w:line="240" w:lineRule="auto"/>
        <w:rPr>
          <w:lang w:val="lt-LT"/>
        </w:rPr>
      </w:pPr>
    </w:p>
    <w:p w14:paraId="1861A68B"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AB6A8A">
        <w:rPr>
          <w:b/>
          <w:lang w:val="lt-LT"/>
        </w:rPr>
        <w:t>1.</w:t>
      </w:r>
      <w:r w:rsidRPr="00AB6A8A">
        <w:rPr>
          <w:b/>
          <w:lang w:val="lt-LT"/>
        </w:rPr>
        <w:tab/>
      </w:r>
      <w:r w:rsidRPr="00AB6A8A">
        <w:rPr>
          <w:b/>
          <w:caps/>
          <w:lang w:val="lt-LT"/>
        </w:rPr>
        <w:t>Vaistinio preparato pavadinimas ir vartojimo būdas (-ai)</w:t>
      </w:r>
    </w:p>
    <w:p w14:paraId="753EE421" w14:textId="77777777" w:rsidR="007C68A4" w:rsidRPr="00AB6A8A" w:rsidRDefault="007C68A4" w:rsidP="007A292B">
      <w:pPr>
        <w:pStyle w:val="Betarp"/>
        <w:rPr>
          <w:lang w:val="lt-LT"/>
        </w:rPr>
      </w:pPr>
    </w:p>
    <w:p w14:paraId="05730231" w14:textId="091D9847" w:rsidR="00006ECD" w:rsidRPr="00AB6A8A" w:rsidRDefault="00AA211B" w:rsidP="007A292B">
      <w:pPr>
        <w:pStyle w:val="Betarp"/>
        <w:rPr>
          <w:lang w:val="lt-LT"/>
        </w:rPr>
      </w:pPr>
      <w:r>
        <w:rPr>
          <w:lang w:val="lt-LT"/>
        </w:rPr>
        <w:t>Ed</w:t>
      </w:r>
      <w:r w:rsidR="007643D3" w:rsidRPr="007643D3">
        <w:rPr>
          <w:lang w:val="lt-LT"/>
        </w:rPr>
        <w:t>uelym</w:t>
      </w:r>
      <w:r w:rsidR="00006ECD" w:rsidRPr="00AB6A8A">
        <w:rPr>
          <w:lang w:val="lt-LT"/>
        </w:rPr>
        <w:t xml:space="preserve"> 0,1 mg/1 mg/</w:t>
      </w:r>
      <w:r w:rsidR="00006ECD" w:rsidRPr="00FC305C">
        <w:rPr>
          <w:lang w:val="lt-LT"/>
        </w:rPr>
        <w:t xml:space="preserve">g </w:t>
      </w:r>
      <w:r w:rsidR="00006ECD" w:rsidRPr="00955C95">
        <w:rPr>
          <w:rFonts w:eastAsia="Times New Roman"/>
          <w:noProof/>
          <w:lang w:val="lt-LT"/>
        </w:rPr>
        <w:t>akių gelis</w:t>
      </w:r>
    </w:p>
    <w:p w14:paraId="075D989E" w14:textId="2827C3C8" w:rsidR="007C68A4" w:rsidRPr="00955C95" w:rsidRDefault="00006ECD" w:rsidP="007A292B">
      <w:pPr>
        <w:spacing w:line="240" w:lineRule="auto"/>
        <w:rPr>
          <w:rFonts w:eastAsia="Times New Roman"/>
          <w:noProof/>
          <w:lang w:val="lt-LT"/>
        </w:rPr>
      </w:pPr>
      <w:r w:rsidRPr="00955C95">
        <w:rPr>
          <w:rFonts w:eastAsia="Times New Roman"/>
          <w:noProof/>
          <w:lang w:val="lt-LT"/>
        </w:rPr>
        <w:t>bimatoprostum/timololum</w:t>
      </w:r>
    </w:p>
    <w:p w14:paraId="2F2C96CF" w14:textId="77777777" w:rsidR="00006ECD" w:rsidRPr="00AB6A8A" w:rsidRDefault="00006ECD" w:rsidP="007A292B">
      <w:pPr>
        <w:pStyle w:val="Betarp"/>
        <w:rPr>
          <w:lang w:val="lt-LT"/>
        </w:rPr>
      </w:pPr>
    </w:p>
    <w:p w14:paraId="2CB49E0C" w14:textId="77777777" w:rsidR="007C68A4" w:rsidRPr="00AB6A8A" w:rsidRDefault="007C68A4" w:rsidP="007A292B">
      <w:pPr>
        <w:pStyle w:val="Betarp"/>
        <w:rPr>
          <w:lang w:val="lt-LT"/>
        </w:rPr>
      </w:pPr>
    </w:p>
    <w:p w14:paraId="281FF220"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lang w:val="lt-LT"/>
        </w:rPr>
      </w:pPr>
      <w:r w:rsidRPr="00AB6A8A">
        <w:rPr>
          <w:b/>
          <w:lang w:val="lt-LT"/>
        </w:rPr>
        <w:t>2.</w:t>
      </w:r>
      <w:r w:rsidRPr="00AB6A8A">
        <w:rPr>
          <w:b/>
          <w:lang w:val="lt-LT"/>
        </w:rPr>
        <w:tab/>
      </w:r>
      <w:r w:rsidRPr="00AB6A8A">
        <w:rPr>
          <w:b/>
          <w:caps/>
          <w:lang w:val="lt-LT"/>
        </w:rPr>
        <w:t>vartojimo metodas</w:t>
      </w:r>
    </w:p>
    <w:p w14:paraId="6C987F34" w14:textId="77777777" w:rsidR="007C68A4" w:rsidRPr="00AB6A8A" w:rsidRDefault="007C68A4" w:rsidP="007A292B">
      <w:pPr>
        <w:pStyle w:val="Betarp"/>
        <w:rPr>
          <w:lang w:val="lt-LT"/>
        </w:rPr>
      </w:pPr>
    </w:p>
    <w:p w14:paraId="3154D5F8" w14:textId="77777777" w:rsidR="007C68A4" w:rsidRPr="00AB6A8A" w:rsidRDefault="007C68A4" w:rsidP="007A292B">
      <w:pPr>
        <w:pStyle w:val="Betarp"/>
        <w:rPr>
          <w:lang w:val="lt-LT"/>
        </w:rPr>
      </w:pPr>
    </w:p>
    <w:p w14:paraId="1EA14A1C"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AB6A8A">
        <w:rPr>
          <w:b/>
          <w:lang w:val="lt-LT"/>
        </w:rPr>
        <w:t>3.</w:t>
      </w:r>
      <w:r w:rsidRPr="00AB6A8A">
        <w:rPr>
          <w:b/>
          <w:lang w:val="lt-LT"/>
        </w:rPr>
        <w:tab/>
      </w:r>
      <w:r w:rsidRPr="00AB6A8A">
        <w:rPr>
          <w:b/>
          <w:caps/>
          <w:lang w:val="lt-LT"/>
        </w:rPr>
        <w:t>tinkamumo laikas</w:t>
      </w:r>
    </w:p>
    <w:p w14:paraId="2CA4E4CC" w14:textId="77777777" w:rsidR="007C68A4" w:rsidRPr="00AB6A8A" w:rsidRDefault="007C68A4" w:rsidP="007A292B">
      <w:pPr>
        <w:pStyle w:val="Betarp"/>
        <w:rPr>
          <w:lang w:val="lt-LT"/>
        </w:rPr>
      </w:pPr>
    </w:p>
    <w:p w14:paraId="4CEA2AAB" w14:textId="77777777" w:rsidR="007C68A4" w:rsidRPr="00AB6A8A" w:rsidRDefault="007C68A4" w:rsidP="007A292B">
      <w:pPr>
        <w:pStyle w:val="Betarp"/>
        <w:rPr>
          <w:lang w:val="lt-LT"/>
        </w:rPr>
      </w:pPr>
      <w:r w:rsidRPr="00AB6A8A">
        <w:rPr>
          <w:lang w:val="lt-LT"/>
        </w:rPr>
        <w:t>EXP {mm/MMMM}</w:t>
      </w:r>
    </w:p>
    <w:p w14:paraId="4E73C3AD" w14:textId="77777777" w:rsidR="007C68A4" w:rsidRPr="00AB6A8A" w:rsidRDefault="007C68A4" w:rsidP="007A292B">
      <w:pPr>
        <w:pStyle w:val="Betarp"/>
        <w:rPr>
          <w:lang w:val="lt-LT"/>
        </w:rPr>
      </w:pPr>
    </w:p>
    <w:p w14:paraId="4A26B0B8" w14:textId="77777777" w:rsidR="007C68A4" w:rsidRPr="00AB6A8A" w:rsidRDefault="007C68A4" w:rsidP="007A292B">
      <w:pPr>
        <w:pStyle w:val="Betarp"/>
        <w:rPr>
          <w:lang w:val="lt-LT"/>
        </w:rPr>
      </w:pPr>
    </w:p>
    <w:p w14:paraId="495659C3"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AB6A8A">
        <w:rPr>
          <w:b/>
          <w:lang w:val="lt-LT"/>
        </w:rPr>
        <w:t>4.</w:t>
      </w:r>
      <w:r w:rsidRPr="00AB6A8A">
        <w:rPr>
          <w:b/>
          <w:lang w:val="lt-LT"/>
        </w:rPr>
        <w:tab/>
      </w:r>
      <w:r w:rsidRPr="00AB6A8A">
        <w:rPr>
          <w:b/>
          <w:caps/>
          <w:lang w:val="lt-LT"/>
        </w:rPr>
        <w:t>serijos numeris</w:t>
      </w:r>
    </w:p>
    <w:p w14:paraId="10BE5C4B" w14:textId="77777777" w:rsidR="007C68A4" w:rsidRPr="00AB6A8A" w:rsidRDefault="007C68A4" w:rsidP="007A292B">
      <w:pPr>
        <w:pStyle w:val="Betarp"/>
        <w:rPr>
          <w:lang w:val="lt-LT"/>
        </w:rPr>
      </w:pPr>
    </w:p>
    <w:p w14:paraId="71E7638A" w14:textId="77777777" w:rsidR="007C68A4" w:rsidRPr="00AB6A8A" w:rsidRDefault="007C68A4" w:rsidP="007A292B">
      <w:pPr>
        <w:pStyle w:val="Betarp"/>
        <w:rPr>
          <w:lang w:val="lt-LT"/>
        </w:rPr>
      </w:pPr>
      <w:r w:rsidRPr="00AB6A8A">
        <w:rPr>
          <w:lang w:val="lt-LT"/>
        </w:rPr>
        <w:t>Lot {numeris}</w:t>
      </w:r>
    </w:p>
    <w:p w14:paraId="54E28B1C" w14:textId="77777777" w:rsidR="007C68A4" w:rsidRPr="00AB6A8A" w:rsidRDefault="007C68A4" w:rsidP="007A292B">
      <w:pPr>
        <w:pStyle w:val="Betarp"/>
        <w:rPr>
          <w:lang w:val="lt-LT"/>
        </w:rPr>
      </w:pPr>
    </w:p>
    <w:p w14:paraId="11FF9342" w14:textId="77777777" w:rsidR="007C68A4" w:rsidRPr="00AB6A8A" w:rsidRDefault="007C68A4" w:rsidP="007A292B">
      <w:pPr>
        <w:pStyle w:val="Betarp"/>
        <w:rPr>
          <w:lang w:val="lt-LT"/>
        </w:rPr>
      </w:pPr>
    </w:p>
    <w:p w14:paraId="14C0F58A"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AB6A8A">
        <w:rPr>
          <w:b/>
          <w:lang w:val="lt-LT"/>
        </w:rPr>
        <w:t>5.</w:t>
      </w:r>
      <w:r w:rsidRPr="00AB6A8A">
        <w:rPr>
          <w:b/>
          <w:lang w:val="lt-LT"/>
        </w:rPr>
        <w:tab/>
      </w:r>
      <w:r w:rsidRPr="00AB6A8A">
        <w:rPr>
          <w:b/>
          <w:caps/>
          <w:lang w:val="lt-LT"/>
        </w:rPr>
        <w:t>kiekis</w:t>
      </w:r>
      <w:r w:rsidRPr="00AB6A8A">
        <w:rPr>
          <w:b/>
          <w:lang w:val="lt-LT"/>
        </w:rPr>
        <w:t xml:space="preserve"> (MASĖ, TŪRIS ARBA VIENETAI)</w:t>
      </w:r>
    </w:p>
    <w:p w14:paraId="49986934" w14:textId="77777777" w:rsidR="007C68A4" w:rsidRPr="00AB6A8A" w:rsidRDefault="007C68A4" w:rsidP="007A292B">
      <w:pPr>
        <w:pStyle w:val="Betarp"/>
        <w:rPr>
          <w:lang w:val="lt-LT"/>
        </w:rPr>
      </w:pPr>
    </w:p>
    <w:p w14:paraId="7708C0F6" w14:textId="56514BDB" w:rsidR="007C68A4" w:rsidRPr="00AB6A8A" w:rsidRDefault="007C68A4" w:rsidP="007A292B">
      <w:pPr>
        <w:spacing w:line="240" w:lineRule="auto"/>
        <w:rPr>
          <w:rFonts w:eastAsia="Times New Roman"/>
          <w:noProof/>
          <w:highlight w:val="lightGray"/>
          <w:lang w:val="lt-LT"/>
        </w:rPr>
      </w:pPr>
      <w:r w:rsidRPr="00AB6A8A">
        <w:rPr>
          <w:rFonts w:eastAsia="Times New Roman"/>
          <w:noProof/>
          <w:highlight w:val="lightGray"/>
          <w:lang w:val="lt-LT"/>
        </w:rPr>
        <w:t>0,</w:t>
      </w:r>
      <w:r w:rsidR="003D2DDF" w:rsidRPr="00AB6A8A">
        <w:rPr>
          <w:rFonts w:eastAsia="Times New Roman"/>
          <w:noProof/>
          <w:highlight w:val="lightGray"/>
          <w:lang w:val="lt-LT"/>
        </w:rPr>
        <w:t>3</w:t>
      </w:r>
      <w:r w:rsidRPr="00AB6A8A">
        <w:rPr>
          <w:rFonts w:eastAsia="Times New Roman"/>
          <w:noProof/>
          <w:highlight w:val="lightGray"/>
          <w:lang w:val="lt-LT"/>
        </w:rPr>
        <w:t> </w:t>
      </w:r>
      <w:r w:rsidR="003D2DDF" w:rsidRPr="00AB6A8A">
        <w:rPr>
          <w:rFonts w:eastAsia="Times New Roman"/>
          <w:noProof/>
          <w:highlight w:val="lightGray"/>
          <w:lang w:val="lt-LT"/>
        </w:rPr>
        <w:t>g</w:t>
      </w:r>
    </w:p>
    <w:p w14:paraId="25DF8BBD" w14:textId="77777777" w:rsidR="007C68A4" w:rsidRPr="00AB6A8A" w:rsidRDefault="007C68A4" w:rsidP="007A292B">
      <w:pPr>
        <w:pStyle w:val="Betarp"/>
        <w:rPr>
          <w:lang w:val="lt-LT"/>
        </w:rPr>
      </w:pPr>
    </w:p>
    <w:p w14:paraId="0C009A92" w14:textId="77777777" w:rsidR="007C68A4" w:rsidRPr="00AB6A8A" w:rsidRDefault="007C68A4" w:rsidP="007A292B">
      <w:pPr>
        <w:pStyle w:val="Betarp"/>
        <w:rPr>
          <w:lang w:val="lt-LT"/>
        </w:rPr>
      </w:pPr>
    </w:p>
    <w:p w14:paraId="0E367C67" w14:textId="77777777" w:rsidR="007C68A4" w:rsidRPr="00AB6A8A" w:rsidRDefault="007C68A4" w:rsidP="007A292B">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AB6A8A">
        <w:rPr>
          <w:b/>
          <w:lang w:val="lt-LT"/>
        </w:rPr>
        <w:t>6.</w:t>
      </w:r>
      <w:r w:rsidRPr="00AB6A8A">
        <w:rPr>
          <w:b/>
          <w:lang w:val="lt-LT"/>
        </w:rPr>
        <w:tab/>
        <w:t>KITA</w:t>
      </w:r>
    </w:p>
    <w:p w14:paraId="0714164A" w14:textId="27CAD1E6" w:rsidR="00F9703D" w:rsidRPr="00AB6A8A" w:rsidRDefault="00F9703D">
      <w:pPr>
        <w:spacing w:after="160" w:line="259" w:lineRule="auto"/>
        <w:rPr>
          <w:lang w:val="lt-LT"/>
        </w:rPr>
      </w:pPr>
      <w:r w:rsidRPr="00AB6A8A">
        <w:rPr>
          <w:lang w:val="lt-LT"/>
        </w:rPr>
        <w:br w:type="page"/>
      </w:r>
    </w:p>
    <w:p w14:paraId="2AE321C6" w14:textId="77777777" w:rsidR="007C68A4" w:rsidRPr="00AB6A8A" w:rsidRDefault="007C68A4" w:rsidP="00F9703D">
      <w:pPr>
        <w:pStyle w:val="Betarp"/>
        <w:rPr>
          <w:b/>
          <w:lang w:val="lt-LT"/>
        </w:rPr>
      </w:pPr>
    </w:p>
    <w:bookmarkEnd w:id="62"/>
    <w:bookmarkEnd w:id="63"/>
    <w:p w14:paraId="28A7C19E" w14:textId="77777777" w:rsidR="007C68A4" w:rsidRPr="00AB6A8A" w:rsidRDefault="007C68A4" w:rsidP="007A292B">
      <w:pPr>
        <w:pStyle w:val="Betarp"/>
        <w:jc w:val="center"/>
        <w:rPr>
          <w:b/>
          <w:lang w:val="lt-LT"/>
        </w:rPr>
      </w:pPr>
    </w:p>
    <w:p w14:paraId="46BB8EBC" w14:textId="77777777" w:rsidR="007C68A4" w:rsidRPr="00AB6A8A" w:rsidRDefault="007C68A4" w:rsidP="007A292B">
      <w:pPr>
        <w:pStyle w:val="Betarp"/>
        <w:jc w:val="center"/>
        <w:rPr>
          <w:b/>
          <w:lang w:val="lt-LT"/>
        </w:rPr>
      </w:pPr>
    </w:p>
    <w:p w14:paraId="245F8EF3" w14:textId="77777777" w:rsidR="007C68A4" w:rsidRPr="00AB6A8A" w:rsidRDefault="007C68A4" w:rsidP="007A292B">
      <w:pPr>
        <w:pStyle w:val="Betarp"/>
        <w:jc w:val="center"/>
        <w:rPr>
          <w:b/>
          <w:lang w:val="lt-LT"/>
        </w:rPr>
      </w:pPr>
    </w:p>
    <w:p w14:paraId="00FBD327" w14:textId="77777777" w:rsidR="007C68A4" w:rsidRPr="00AB6A8A" w:rsidRDefault="007C68A4" w:rsidP="007A292B">
      <w:pPr>
        <w:pStyle w:val="Betarp"/>
        <w:jc w:val="center"/>
        <w:rPr>
          <w:b/>
          <w:lang w:val="lt-LT"/>
        </w:rPr>
      </w:pPr>
    </w:p>
    <w:p w14:paraId="57E02E99" w14:textId="77777777" w:rsidR="007C68A4" w:rsidRPr="00AB6A8A" w:rsidRDefault="007C68A4" w:rsidP="007A292B">
      <w:pPr>
        <w:pStyle w:val="Betarp"/>
        <w:jc w:val="center"/>
        <w:rPr>
          <w:b/>
          <w:lang w:val="lt-LT"/>
        </w:rPr>
      </w:pPr>
    </w:p>
    <w:p w14:paraId="4E687C99" w14:textId="77777777" w:rsidR="007C68A4" w:rsidRPr="00AB6A8A" w:rsidRDefault="007C68A4" w:rsidP="007A292B">
      <w:pPr>
        <w:pStyle w:val="Betarp"/>
        <w:jc w:val="center"/>
        <w:rPr>
          <w:b/>
          <w:lang w:val="lt-LT"/>
        </w:rPr>
      </w:pPr>
    </w:p>
    <w:p w14:paraId="1980D6CC" w14:textId="77777777" w:rsidR="007C68A4" w:rsidRPr="00AB6A8A" w:rsidRDefault="007C68A4" w:rsidP="007A292B">
      <w:pPr>
        <w:pStyle w:val="Betarp"/>
        <w:jc w:val="center"/>
        <w:rPr>
          <w:b/>
          <w:lang w:val="lt-LT"/>
        </w:rPr>
      </w:pPr>
    </w:p>
    <w:p w14:paraId="7EBD0215" w14:textId="77777777" w:rsidR="007C68A4" w:rsidRPr="00AB6A8A" w:rsidRDefault="007C68A4" w:rsidP="007A292B">
      <w:pPr>
        <w:pStyle w:val="Betarp"/>
        <w:jc w:val="center"/>
        <w:rPr>
          <w:b/>
          <w:lang w:val="lt-LT"/>
        </w:rPr>
      </w:pPr>
    </w:p>
    <w:p w14:paraId="3405E5C0" w14:textId="77777777" w:rsidR="007C68A4" w:rsidRPr="00AB6A8A" w:rsidRDefault="007C68A4" w:rsidP="007A292B">
      <w:pPr>
        <w:pStyle w:val="Betarp"/>
        <w:jc w:val="center"/>
        <w:rPr>
          <w:b/>
          <w:lang w:val="lt-LT"/>
        </w:rPr>
      </w:pPr>
    </w:p>
    <w:p w14:paraId="614BD5FB" w14:textId="77777777" w:rsidR="007C68A4" w:rsidRPr="00AB6A8A" w:rsidRDefault="007C68A4" w:rsidP="007A292B">
      <w:pPr>
        <w:pStyle w:val="Betarp"/>
        <w:jc w:val="center"/>
        <w:rPr>
          <w:b/>
          <w:lang w:val="lt-LT"/>
        </w:rPr>
      </w:pPr>
    </w:p>
    <w:p w14:paraId="355CF938" w14:textId="77777777" w:rsidR="007C68A4" w:rsidRPr="00AB6A8A" w:rsidRDefault="007C68A4" w:rsidP="007A292B">
      <w:pPr>
        <w:pStyle w:val="Betarp"/>
        <w:jc w:val="center"/>
        <w:rPr>
          <w:b/>
          <w:lang w:val="lt-LT"/>
        </w:rPr>
      </w:pPr>
    </w:p>
    <w:p w14:paraId="4AD1968F" w14:textId="77777777" w:rsidR="007C68A4" w:rsidRPr="00AB6A8A" w:rsidRDefault="007C68A4" w:rsidP="007A292B">
      <w:pPr>
        <w:pStyle w:val="Betarp"/>
        <w:jc w:val="center"/>
        <w:rPr>
          <w:b/>
          <w:lang w:val="lt-LT"/>
        </w:rPr>
      </w:pPr>
    </w:p>
    <w:p w14:paraId="6589D526" w14:textId="77777777" w:rsidR="007C68A4" w:rsidRPr="00AB6A8A" w:rsidRDefault="007C68A4" w:rsidP="007A292B">
      <w:pPr>
        <w:pStyle w:val="Betarp"/>
        <w:jc w:val="center"/>
        <w:rPr>
          <w:b/>
          <w:lang w:val="lt-LT"/>
        </w:rPr>
      </w:pPr>
    </w:p>
    <w:p w14:paraId="73C2ED8A" w14:textId="77777777" w:rsidR="007C68A4" w:rsidRPr="00AB6A8A" w:rsidRDefault="007C68A4" w:rsidP="007A292B">
      <w:pPr>
        <w:pStyle w:val="Betarp"/>
        <w:jc w:val="center"/>
        <w:rPr>
          <w:b/>
          <w:lang w:val="lt-LT"/>
        </w:rPr>
      </w:pPr>
    </w:p>
    <w:p w14:paraId="181FC610" w14:textId="77777777" w:rsidR="007C68A4" w:rsidRPr="00AB6A8A" w:rsidRDefault="007C68A4" w:rsidP="007A292B">
      <w:pPr>
        <w:pStyle w:val="Betarp"/>
        <w:jc w:val="center"/>
        <w:rPr>
          <w:b/>
          <w:lang w:val="lt-LT"/>
        </w:rPr>
      </w:pPr>
    </w:p>
    <w:p w14:paraId="15FE2244" w14:textId="77777777" w:rsidR="007C68A4" w:rsidRPr="00AB6A8A" w:rsidRDefault="007C68A4" w:rsidP="007A292B">
      <w:pPr>
        <w:pStyle w:val="Betarp"/>
        <w:jc w:val="center"/>
        <w:rPr>
          <w:b/>
          <w:lang w:val="lt-LT"/>
        </w:rPr>
      </w:pPr>
    </w:p>
    <w:p w14:paraId="517544FF" w14:textId="77777777" w:rsidR="007C68A4" w:rsidRPr="00AB6A8A" w:rsidRDefault="007C68A4" w:rsidP="007A292B">
      <w:pPr>
        <w:pStyle w:val="Betarp"/>
        <w:jc w:val="center"/>
        <w:rPr>
          <w:b/>
          <w:lang w:val="lt-LT"/>
        </w:rPr>
      </w:pPr>
    </w:p>
    <w:p w14:paraId="1AE4D09E" w14:textId="77777777" w:rsidR="007C68A4" w:rsidRPr="00AB6A8A" w:rsidRDefault="007C68A4" w:rsidP="007A292B">
      <w:pPr>
        <w:pStyle w:val="Betarp"/>
        <w:jc w:val="center"/>
        <w:rPr>
          <w:b/>
          <w:lang w:val="lt-LT"/>
        </w:rPr>
      </w:pPr>
    </w:p>
    <w:p w14:paraId="5723F90A" w14:textId="77777777" w:rsidR="007C68A4" w:rsidRPr="00AB6A8A" w:rsidRDefault="007C68A4" w:rsidP="007A292B">
      <w:pPr>
        <w:pStyle w:val="Betarp"/>
        <w:jc w:val="center"/>
        <w:rPr>
          <w:b/>
          <w:lang w:val="lt-LT"/>
        </w:rPr>
      </w:pPr>
    </w:p>
    <w:p w14:paraId="1A15E4F4" w14:textId="77777777" w:rsidR="007C68A4" w:rsidRPr="00AB6A8A" w:rsidRDefault="007C68A4" w:rsidP="007A292B">
      <w:pPr>
        <w:pStyle w:val="Betarp"/>
        <w:jc w:val="center"/>
        <w:rPr>
          <w:b/>
          <w:lang w:val="lt-LT"/>
        </w:rPr>
      </w:pPr>
    </w:p>
    <w:p w14:paraId="54FD22D5" w14:textId="77777777" w:rsidR="007C68A4" w:rsidRPr="00AB6A8A" w:rsidRDefault="007C68A4" w:rsidP="007A292B">
      <w:pPr>
        <w:pStyle w:val="Betarp"/>
        <w:jc w:val="center"/>
        <w:rPr>
          <w:b/>
          <w:lang w:val="lt-LT"/>
        </w:rPr>
      </w:pPr>
    </w:p>
    <w:p w14:paraId="0E2E1614" w14:textId="77777777" w:rsidR="007C68A4" w:rsidRPr="00AB6A8A" w:rsidRDefault="007C68A4" w:rsidP="007A292B">
      <w:pPr>
        <w:pStyle w:val="Betarp"/>
        <w:jc w:val="center"/>
        <w:rPr>
          <w:b/>
          <w:lang w:val="lt-LT"/>
        </w:rPr>
      </w:pPr>
      <w:bookmarkStart w:id="64" w:name="_Toc129243137"/>
      <w:bookmarkStart w:id="65" w:name="_Toc129243262"/>
      <w:r w:rsidRPr="00AB6A8A">
        <w:rPr>
          <w:b/>
          <w:lang w:val="lt-LT"/>
        </w:rPr>
        <w:t>B. PAKUOTĖS LAPELIS</w:t>
      </w:r>
      <w:bookmarkEnd w:id="64"/>
      <w:bookmarkEnd w:id="65"/>
    </w:p>
    <w:p w14:paraId="1911C8CC" w14:textId="77777777" w:rsidR="007C68A4" w:rsidRPr="00AB6A8A" w:rsidRDefault="007C68A4" w:rsidP="007A292B">
      <w:pPr>
        <w:pStyle w:val="Betarp"/>
        <w:jc w:val="center"/>
        <w:rPr>
          <w:b/>
          <w:lang w:val="lt-LT"/>
        </w:rPr>
      </w:pPr>
      <w:r w:rsidRPr="00AB6A8A">
        <w:rPr>
          <w:lang w:val="lt-LT"/>
        </w:rPr>
        <w:br w:type="page"/>
      </w:r>
      <w:bookmarkStart w:id="66" w:name="_Toc129243138"/>
      <w:bookmarkStart w:id="67" w:name="_Toc129243263"/>
      <w:r w:rsidRPr="00AB6A8A">
        <w:rPr>
          <w:b/>
          <w:lang w:val="lt-LT"/>
        </w:rPr>
        <w:t xml:space="preserve">Pakuotės lapelis: informacija </w:t>
      </w:r>
      <w:bookmarkEnd w:id="66"/>
      <w:bookmarkEnd w:id="67"/>
      <w:r w:rsidRPr="00AB6A8A">
        <w:rPr>
          <w:b/>
          <w:lang w:val="lt-LT"/>
        </w:rPr>
        <w:t>pacientui</w:t>
      </w:r>
    </w:p>
    <w:p w14:paraId="5A50F12E" w14:textId="77777777" w:rsidR="007C68A4" w:rsidRPr="00AB6A8A" w:rsidRDefault="007C68A4" w:rsidP="007A292B">
      <w:pPr>
        <w:pStyle w:val="Betarp"/>
        <w:jc w:val="center"/>
        <w:rPr>
          <w:b/>
          <w:lang w:val="lt-LT"/>
        </w:rPr>
      </w:pPr>
    </w:p>
    <w:p w14:paraId="3FB50350" w14:textId="0739BC30" w:rsidR="0054532B" w:rsidRPr="00AB6A8A" w:rsidRDefault="00AA211B" w:rsidP="007A292B">
      <w:pPr>
        <w:pStyle w:val="Betarp"/>
        <w:jc w:val="center"/>
        <w:rPr>
          <w:b/>
          <w:bCs/>
          <w:lang w:val="lt-LT"/>
        </w:rPr>
      </w:pPr>
      <w:r>
        <w:rPr>
          <w:b/>
          <w:bCs/>
          <w:lang w:val="lt-LT"/>
        </w:rPr>
        <w:t>Ed</w:t>
      </w:r>
      <w:r w:rsidR="007643D3" w:rsidRPr="007643D3">
        <w:rPr>
          <w:b/>
          <w:bCs/>
          <w:lang w:val="lt-LT"/>
        </w:rPr>
        <w:t>uelym</w:t>
      </w:r>
      <w:r w:rsidR="0054532B" w:rsidRPr="00AB6A8A">
        <w:rPr>
          <w:b/>
          <w:bCs/>
          <w:lang w:val="lt-LT"/>
        </w:rPr>
        <w:t xml:space="preserve"> 0,1</w:t>
      </w:r>
      <w:r w:rsidR="00505332">
        <w:rPr>
          <w:b/>
          <w:bCs/>
          <w:lang w:val="lt-LT"/>
        </w:rPr>
        <w:t> </w:t>
      </w:r>
      <w:r w:rsidR="0054532B" w:rsidRPr="00AB6A8A">
        <w:rPr>
          <w:b/>
          <w:bCs/>
          <w:lang w:val="lt-LT"/>
        </w:rPr>
        <w:t>mg/1</w:t>
      </w:r>
      <w:r w:rsidR="00505332">
        <w:rPr>
          <w:b/>
          <w:bCs/>
          <w:lang w:val="lt-LT"/>
        </w:rPr>
        <w:t> </w:t>
      </w:r>
      <w:r w:rsidR="0054532B" w:rsidRPr="00AB6A8A">
        <w:rPr>
          <w:b/>
          <w:bCs/>
          <w:lang w:val="lt-LT"/>
        </w:rPr>
        <w:t>mg/g akių gelis vienadozėje talpyklėje</w:t>
      </w:r>
    </w:p>
    <w:p w14:paraId="7ABF2391" w14:textId="766E7ADF" w:rsidR="0054532B" w:rsidRPr="00AB6A8A" w:rsidRDefault="0054532B" w:rsidP="007A292B">
      <w:pPr>
        <w:pStyle w:val="Betarp"/>
        <w:jc w:val="center"/>
        <w:rPr>
          <w:lang w:val="lt-LT"/>
        </w:rPr>
      </w:pPr>
      <w:r w:rsidRPr="00AB6A8A">
        <w:rPr>
          <w:lang w:val="lt-LT"/>
        </w:rPr>
        <w:t>bimatoprostas/timololis</w:t>
      </w:r>
    </w:p>
    <w:p w14:paraId="4C501956" w14:textId="77777777" w:rsidR="007C68A4" w:rsidRPr="00AB6A8A" w:rsidRDefault="007C68A4" w:rsidP="007A292B">
      <w:pPr>
        <w:pStyle w:val="Betarp"/>
        <w:rPr>
          <w:b/>
          <w:lang w:val="lt-LT"/>
        </w:rPr>
      </w:pPr>
    </w:p>
    <w:p w14:paraId="37E8E1BE" w14:textId="77777777" w:rsidR="007C68A4" w:rsidRPr="00AB6A8A" w:rsidRDefault="007C68A4" w:rsidP="007A292B">
      <w:pPr>
        <w:pStyle w:val="Betarp"/>
        <w:rPr>
          <w:b/>
          <w:lang w:val="lt-LT"/>
        </w:rPr>
      </w:pPr>
      <w:r w:rsidRPr="00AB6A8A">
        <w:rPr>
          <w:b/>
          <w:lang w:val="lt-LT"/>
        </w:rPr>
        <w:t>Atidžiai perskaitykite visą šį lapelį, prieš pradėdami vartoti vaistą, nes jame pateikiama Jums svarbi informacija.</w:t>
      </w:r>
    </w:p>
    <w:p w14:paraId="7C290645" w14:textId="77777777" w:rsidR="007C68A4" w:rsidRPr="00AB6A8A" w:rsidRDefault="007C68A4" w:rsidP="007A292B">
      <w:pPr>
        <w:pStyle w:val="Betarp"/>
        <w:numPr>
          <w:ilvl w:val="0"/>
          <w:numId w:val="20"/>
        </w:numPr>
        <w:ind w:left="567" w:hanging="567"/>
        <w:rPr>
          <w:lang w:val="lt-LT"/>
        </w:rPr>
      </w:pPr>
      <w:r w:rsidRPr="00AB6A8A">
        <w:rPr>
          <w:noProof/>
          <w:lang w:val="lt-LT"/>
        </w:rPr>
        <w:t>Neišmeskite šio lapelio, nes vėl gali prireikti jį perskaityti.</w:t>
      </w:r>
      <w:r w:rsidRPr="00AB6A8A">
        <w:rPr>
          <w:lang w:val="lt-LT"/>
        </w:rPr>
        <w:t xml:space="preserve"> </w:t>
      </w:r>
    </w:p>
    <w:p w14:paraId="4CE27383" w14:textId="28F2E8F8" w:rsidR="007C68A4" w:rsidRPr="00AB6A8A" w:rsidRDefault="007C68A4" w:rsidP="007A292B">
      <w:pPr>
        <w:pStyle w:val="Betarp"/>
        <w:numPr>
          <w:ilvl w:val="0"/>
          <w:numId w:val="20"/>
        </w:numPr>
        <w:ind w:left="567" w:hanging="567"/>
        <w:rPr>
          <w:lang w:val="lt-LT"/>
        </w:rPr>
      </w:pPr>
      <w:r w:rsidRPr="00AB6A8A">
        <w:rPr>
          <w:noProof/>
          <w:lang w:val="lt-LT"/>
        </w:rPr>
        <w:t>Jeigu kiltų daugiau klausimų, kreipkitės į gydytoją</w:t>
      </w:r>
      <w:r w:rsidR="0054532B" w:rsidRPr="00AB6A8A">
        <w:rPr>
          <w:noProof/>
          <w:lang w:val="lt-LT"/>
        </w:rPr>
        <w:t xml:space="preserve"> arba</w:t>
      </w:r>
      <w:r w:rsidRPr="00AB6A8A">
        <w:rPr>
          <w:noProof/>
          <w:lang w:val="lt-LT"/>
        </w:rPr>
        <w:t xml:space="preserve"> vaistininką.</w:t>
      </w:r>
    </w:p>
    <w:p w14:paraId="2676388A" w14:textId="77777777" w:rsidR="007C68A4" w:rsidRPr="00AB6A8A" w:rsidRDefault="007C68A4" w:rsidP="007A292B">
      <w:pPr>
        <w:pStyle w:val="Betarp"/>
        <w:numPr>
          <w:ilvl w:val="0"/>
          <w:numId w:val="20"/>
        </w:numPr>
        <w:ind w:left="567" w:hanging="567"/>
        <w:rPr>
          <w:lang w:val="lt-LT"/>
        </w:rPr>
      </w:pPr>
      <w:r w:rsidRPr="00AB6A8A">
        <w:rPr>
          <w:noProof/>
          <w:lang w:val="lt-LT"/>
        </w:rPr>
        <w:t>Šis vaistas skirtas tik Jums, todėl kitiems žmonėms jo duoti negalima.</w:t>
      </w:r>
      <w:r w:rsidRPr="00AB6A8A">
        <w:rPr>
          <w:lang w:val="lt-LT"/>
        </w:rPr>
        <w:t xml:space="preserve"> </w:t>
      </w:r>
      <w:r w:rsidRPr="00AB6A8A">
        <w:rPr>
          <w:noProof/>
          <w:lang w:val="lt-LT"/>
        </w:rPr>
        <w:t>Vaistas gali jiems pakenkti (net tiems, kurių ligos požymiai yra tokie patys kaip Jūsų).</w:t>
      </w:r>
    </w:p>
    <w:p w14:paraId="2063D8B5" w14:textId="5D209671" w:rsidR="007C68A4" w:rsidRPr="00AB6A8A" w:rsidRDefault="007C68A4" w:rsidP="007A292B">
      <w:pPr>
        <w:pStyle w:val="Betarp"/>
        <w:numPr>
          <w:ilvl w:val="0"/>
          <w:numId w:val="20"/>
        </w:numPr>
        <w:ind w:left="567" w:hanging="567"/>
        <w:rPr>
          <w:lang w:val="lt-LT"/>
        </w:rPr>
      </w:pPr>
      <w:r w:rsidRPr="00AB6A8A">
        <w:rPr>
          <w:noProof/>
          <w:lang w:val="lt-LT"/>
        </w:rPr>
        <w:t>Jeigu pasireiškė šalutinis poveikis (net jeigu jis šiame lapelyje nenurodytas), kreipkitės į gydytoją</w:t>
      </w:r>
      <w:r w:rsidR="00DD11FF" w:rsidRPr="00AB6A8A">
        <w:rPr>
          <w:noProof/>
          <w:lang w:val="lt-LT"/>
        </w:rPr>
        <w:t xml:space="preserve"> arba</w:t>
      </w:r>
      <w:r w:rsidRPr="00AB6A8A">
        <w:rPr>
          <w:noProof/>
          <w:lang w:val="lt-LT"/>
        </w:rPr>
        <w:t xml:space="preserve"> vaistininką. Žr. 4 skyrių.</w:t>
      </w:r>
    </w:p>
    <w:p w14:paraId="317D51AD" w14:textId="77777777" w:rsidR="007C68A4" w:rsidRPr="00AB6A8A" w:rsidRDefault="007C68A4" w:rsidP="007A292B">
      <w:pPr>
        <w:pStyle w:val="Betarp"/>
        <w:rPr>
          <w:lang w:val="lt-LT"/>
        </w:rPr>
      </w:pPr>
    </w:p>
    <w:p w14:paraId="2FB31CFC" w14:textId="77777777" w:rsidR="007C68A4" w:rsidRPr="00AB6A8A" w:rsidRDefault="007C68A4" w:rsidP="007A292B">
      <w:pPr>
        <w:pStyle w:val="Betarp"/>
        <w:rPr>
          <w:lang w:val="lt-LT"/>
        </w:rPr>
      </w:pPr>
    </w:p>
    <w:p w14:paraId="056BBFCD" w14:textId="77777777" w:rsidR="007C68A4" w:rsidRDefault="007C68A4" w:rsidP="007A292B">
      <w:pPr>
        <w:pStyle w:val="Betarp"/>
        <w:rPr>
          <w:b/>
          <w:lang w:val="lt-LT"/>
        </w:rPr>
      </w:pPr>
      <w:r w:rsidRPr="00AB6A8A">
        <w:rPr>
          <w:b/>
          <w:lang w:val="lt-LT"/>
        </w:rPr>
        <w:t>Apie ką rašoma šiame lapelyje?</w:t>
      </w:r>
    </w:p>
    <w:p w14:paraId="4ABBBBAC" w14:textId="77777777" w:rsidR="008E5CF1" w:rsidRPr="00AB6A8A" w:rsidRDefault="008E5CF1" w:rsidP="007A292B">
      <w:pPr>
        <w:pStyle w:val="Betarp"/>
        <w:rPr>
          <w:b/>
          <w:lang w:val="lt-LT"/>
        </w:rPr>
      </w:pPr>
    </w:p>
    <w:p w14:paraId="11A9BD32" w14:textId="72080A3E" w:rsidR="007C68A4" w:rsidRPr="00AB6A8A" w:rsidRDefault="007C68A4" w:rsidP="007A292B">
      <w:pPr>
        <w:pStyle w:val="Betarp"/>
        <w:rPr>
          <w:lang w:val="lt-LT"/>
        </w:rPr>
      </w:pPr>
      <w:r w:rsidRPr="00AB6A8A">
        <w:rPr>
          <w:lang w:val="lt-LT"/>
        </w:rPr>
        <w:t>1.</w:t>
      </w:r>
      <w:r w:rsidRPr="00AB6A8A">
        <w:rPr>
          <w:lang w:val="lt-LT"/>
        </w:rPr>
        <w:tab/>
        <w:t xml:space="preserve">Kas yra </w:t>
      </w:r>
      <w:r w:rsidR="00AA211B">
        <w:rPr>
          <w:lang w:val="lt-LT"/>
        </w:rPr>
        <w:t>Ed</w:t>
      </w:r>
      <w:r w:rsidR="007643D3" w:rsidRPr="007643D3">
        <w:rPr>
          <w:lang w:val="lt-LT"/>
        </w:rPr>
        <w:t>uelym</w:t>
      </w:r>
      <w:r w:rsidRPr="00AB6A8A">
        <w:rPr>
          <w:lang w:val="lt-LT"/>
        </w:rPr>
        <w:t xml:space="preserve"> ir kam jis vartojamas</w:t>
      </w:r>
    </w:p>
    <w:p w14:paraId="37CBD09A" w14:textId="397DE2E9" w:rsidR="007C68A4" w:rsidRPr="00AB6A8A" w:rsidRDefault="007C68A4" w:rsidP="007A292B">
      <w:pPr>
        <w:pStyle w:val="Betarp"/>
        <w:rPr>
          <w:lang w:val="lt-LT"/>
        </w:rPr>
      </w:pPr>
      <w:r w:rsidRPr="00AB6A8A">
        <w:rPr>
          <w:lang w:val="lt-LT"/>
        </w:rPr>
        <w:t>2.</w:t>
      </w:r>
      <w:r w:rsidRPr="00AB6A8A">
        <w:rPr>
          <w:lang w:val="lt-LT"/>
        </w:rPr>
        <w:tab/>
        <w:t xml:space="preserve">Kas žinotina prieš vartojant </w:t>
      </w:r>
      <w:r w:rsidR="00AA211B">
        <w:rPr>
          <w:lang w:val="lt-LT"/>
        </w:rPr>
        <w:t>Ed</w:t>
      </w:r>
      <w:r w:rsidR="007643D3" w:rsidRPr="007643D3">
        <w:rPr>
          <w:lang w:val="lt-LT"/>
        </w:rPr>
        <w:t>uelym</w:t>
      </w:r>
    </w:p>
    <w:p w14:paraId="210E6895" w14:textId="2D76DE2F" w:rsidR="007C68A4" w:rsidRPr="00AB6A8A" w:rsidRDefault="007C68A4" w:rsidP="007A292B">
      <w:pPr>
        <w:pStyle w:val="Betarp"/>
        <w:rPr>
          <w:lang w:val="lt-LT"/>
        </w:rPr>
      </w:pPr>
      <w:r w:rsidRPr="00AB6A8A">
        <w:rPr>
          <w:lang w:val="lt-LT"/>
        </w:rPr>
        <w:t>3.</w:t>
      </w:r>
      <w:r w:rsidRPr="00AB6A8A">
        <w:rPr>
          <w:lang w:val="lt-LT"/>
        </w:rPr>
        <w:tab/>
        <w:t xml:space="preserve">Kaip vartoti </w:t>
      </w:r>
      <w:r w:rsidR="00AA211B">
        <w:rPr>
          <w:lang w:val="lt-LT"/>
        </w:rPr>
        <w:t>Ed</w:t>
      </w:r>
      <w:r w:rsidR="007643D3" w:rsidRPr="007643D3">
        <w:rPr>
          <w:lang w:val="lt-LT"/>
        </w:rPr>
        <w:t>uelym</w:t>
      </w:r>
    </w:p>
    <w:p w14:paraId="40CEDE4A" w14:textId="77777777" w:rsidR="007C68A4" w:rsidRPr="00AB6A8A" w:rsidRDefault="007C68A4" w:rsidP="007A292B">
      <w:pPr>
        <w:pStyle w:val="Betarp"/>
        <w:rPr>
          <w:lang w:val="lt-LT"/>
        </w:rPr>
      </w:pPr>
      <w:r w:rsidRPr="00AB6A8A">
        <w:rPr>
          <w:lang w:val="lt-LT"/>
        </w:rPr>
        <w:t>4.</w:t>
      </w:r>
      <w:r w:rsidRPr="00AB6A8A">
        <w:rPr>
          <w:lang w:val="lt-LT"/>
        </w:rPr>
        <w:tab/>
        <w:t>Galimas šalutinis poveikis</w:t>
      </w:r>
    </w:p>
    <w:p w14:paraId="5B32A5A2" w14:textId="44368D3C" w:rsidR="007C68A4" w:rsidRPr="00AB6A8A" w:rsidRDefault="007C68A4" w:rsidP="007A292B">
      <w:pPr>
        <w:pStyle w:val="Betarp"/>
        <w:rPr>
          <w:lang w:val="lt-LT"/>
        </w:rPr>
      </w:pPr>
      <w:r w:rsidRPr="00AB6A8A">
        <w:rPr>
          <w:lang w:val="lt-LT"/>
        </w:rPr>
        <w:t>5.</w:t>
      </w:r>
      <w:r w:rsidRPr="00AB6A8A">
        <w:rPr>
          <w:lang w:val="lt-LT"/>
        </w:rPr>
        <w:tab/>
        <w:t xml:space="preserve">Kaip laikyti </w:t>
      </w:r>
      <w:r w:rsidR="00AA211B">
        <w:rPr>
          <w:lang w:val="lt-LT"/>
        </w:rPr>
        <w:t>Ed</w:t>
      </w:r>
      <w:r w:rsidR="007643D3" w:rsidRPr="007643D3">
        <w:rPr>
          <w:lang w:val="lt-LT"/>
        </w:rPr>
        <w:t>uelym</w:t>
      </w:r>
    </w:p>
    <w:p w14:paraId="41090F25" w14:textId="77777777" w:rsidR="007C68A4" w:rsidRPr="00AB6A8A" w:rsidRDefault="007C68A4" w:rsidP="007A292B">
      <w:pPr>
        <w:pStyle w:val="Betarp"/>
        <w:rPr>
          <w:lang w:val="lt-LT"/>
        </w:rPr>
      </w:pPr>
      <w:r w:rsidRPr="00AB6A8A">
        <w:rPr>
          <w:lang w:val="lt-LT"/>
        </w:rPr>
        <w:t>6.</w:t>
      </w:r>
      <w:r w:rsidRPr="00AB6A8A">
        <w:rPr>
          <w:lang w:val="lt-LT"/>
        </w:rPr>
        <w:tab/>
        <w:t>Pakuotės turinys ir kita informacija</w:t>
      </w:r>
    </w:p>
    <w:p w14:paraId="1396C95F" w14:textId="77777777" w:rsidR="007C68A4" w:rsidRPr="00AB6A8A" w:rsidRDefault="007C68A4" w:rsidP="007A292B">
      <w:pPr>
        <w:pStyle w:val="Betarp"/>
        <w:rPr>
          <w:lang w:val="lt-LT"/>
        </w:rPr>
      </w:pPr>
    </w:p>
    <w:p w14:paraId="1AB80D91" w14:textId="77777777" w:rsidR="007C68A4" w:rsidRPr="00AB6A8A" w:rsidRDefault="007C68A4" w:rsidP="007A292B">
      <w:pPr>
        <w:pStyle w:val="Betarp"/>
        <w:rPr>
          <w:b/>
          <w:lang w:val="lt-LT"/>
        </w:rPr>
      </w:pPr>
    </w:p>
    <w:p w14:paraId="21ED352A" w14:textId="7BD520AB" w:rsidR="007C68A4" w:rsidRPr="00AB6A8A" w:rsidRDefault="007C68A4" w:rsidP="007A292B">
      <w:pPr>
        <w:pStyle w:val="Betarp"/>
        <w:rPr>
          <w:b/>
          <w:lang w:val="lt-LT"/>
        </w:rPr>
      </w:pPr>
      <w:bookmarkStart w:id="68" w:name="_Toc129243139"/>
      <w:bookmarkStart w:id="69" w:name="_Toc129243264"/>
      <w:r w:rsidRPr="00AB6A8A">
        <w:rPr>
          <w:b/>
          <w:lang w:val="lt-LT"/>
        </w:rPr>
        <w:t>1.</w:t>
      </w:r>
      <w:r w:rsidRPr="00AB6A8A">
        <w:rPr>
          <w:b/>
          <w:lang w:val="lt-LT"/>
        </w:rPr>
        <w:tab/>
        <w:t xml:space="preserve">Kas yra </w:t>
      </w:r>
      <w:r w:rsidR="00AA211B">
        <w:rPr>
          <w:b/>
          <w:lang w:val="lt-LT"/>
        </w:rPr>
        <w:t>Ed</w:t>
      </w:r>
      <w:r w:rsidR="007643D3" w:rsidRPr="007643D3">
        <w:rPr>
          <w:b/>
          <w:lang w:val="lt-LT"/>
        </w:rPr>
        <w:t>uelym</w:t>
      </w:r>
      <w:r w:rsidRPr="00AB6A8A">
        <w:rPr>
          <w:b/>
          <w:lang w:val="lt-LT"/>
        </w:rPr>
        <w:t xml:space="preserve"> ir kam jis vartojamas</w:t>
      </w:r>
      <w:bookmarkEnd w:id="68"/>
      <w:bookmarkEnd w:id="69"/>
    </w:p>
    <w:p w14:paraId="12613FF8" w14:textId="77777777" w:rsidR="00435393" w:rsidRPr="00AB6A8A" w:rsidRDefault="00435393" w:rsidP="007A292B">
      <w:pPr>
        <w:pStyle w:val="Betarp"/>
        <w:rPr>
          <w:lang w:val="lt-LT"/>
        </w:rPr>
      </w:pPr>
    </w:p>
    <w:p w14:paraId="45C4DAFE" w14:textId="3119FDE3" w:rsidR="00435393" w:rsidRPr="00AB6A8A" w:rsidRDefault="00AA211B" w:rsidP="007A292B">
      <w:pPr>
        <w:pStyle w:val="Betarp"/>
        <w:rPr>
          <w:lang w:val="lt-LT"/>
        </w:rPr>
      </w:pPr>
      <w:r>
        <w:rPr>
          <w:lang w:val="lt-LT"/>
        </w:rPr>
        <w:t>Ed</w:t>
      </w:r>
      <w:r w:rsidR="007643D3" w:rsidRPr="007643D3">
        <w:rPr>
          <w:lang w:val="lt-LT"/>
        </w:rPr>
        <w:t>uelym</w:t>
      </w:r>
      <w:r w:rsidR="00435393" w:rsidRPr="00AB6A8A">
        <w:rPr>
          <w:lang w:val="lt-LT"/>
        </w:rPr>
        <w:t xml:space="preserve"> sudėtyje yra dvi veikliosios medžiagos – bimatoprostas ir timololis, kurios abi mažina akispūdį. Bimatoprostas priklauso vaistų grupei, kuri vadinama prostamidais. Timololis priklauso vaistų grupei, kuri vadinama beta adrenoblokatoriais.</w:t>
      </w:r>
    </w:p>
    <w:p w14:paraId="350B1B4D" w14:textId="77777777" w:rsidR="00435393" w:rsidRPr="00AB6A8A" w:rsidRDefault="00435393" w:rsidP="007A292B">
      <w:pPr>
        <w:pStyle w:val="Betarp"/>
        <w:rPr>
          <w:lang w:val="lt-LT"/>
        </w:rPr>
      </w:pPr>
    </w:p>
    <w:p w14:paraId="1F0DC5A7" w14:textId="4D2DB938" w:rsidR="00435393" w:rsidRPr="00AB6A8A" w:rsidRDefault="00AA211B" w:rsidP="007A292B">
      <w:pPr>
        <w:pStyle w:val="Betarp"/>
        <w:rPr>
          <w:lang w:val="lt-LT"/>
        </w:rPr>
      </w:pPr>
      <w:r>
        <w:rPr>
          <w:lang w:val="lt-LT"/>
        </w:rPr>
        <w:t>Ed</w:t>
      </w:r>
      <w:r w:rsidR="007643D3" w:rsidRPr="007643D3">
        <w:rPr>
          <w:lang w:val="lt-LT"/>
        </w:rPr>
        <w:t>uelym</w:t>
      </w:r>
      <w:r w:rsidR="00435393" w:rsidRPr="00AB6A8A">
        <w:rPr>
          <w:lang w:val="lt-LT"/>
        </w:rPr>
        <w:t xml:space="preserve"> vartojamas padidėjusiam akispūdžiui gydyti suaugusiesiems. Gydytojas paskyrė Jums šį vaistą, jei kiti akių lašai, kurių sudėtyje yra beta adrenoblokatorių arba prostaglandinų analogų, veikia nepakankamai.</w:t>
      </w:r>
    </w:p>
    <w:p w14:paraId="48490D47" w14:textId="77777777" w:rsidR="007C68A4" w:rsidRPr="00AB6A8A" w:rsidRDefault="007C68A4" w:rsidP="007A292B">
      <w:pPr>
        <w:pStyle w:val="Betarp"/>
        <w:rPr>
          <w:rFonts w:eastAsia="Times New Roman"/>
          <w:kern w:val="1"/>
          <w:lang w:val="lt-LT"/>
        </w:rPr>
      </w:pPr>
    </w:p>
    <w:p w14:paraId="7E0D467E" w14:textId="4CF544B2" w:rsidR="00E52ED8" w:rsidRDefault="00E52ED8" w:rsidP="007A292B">
      <w:pPr>
        <w:pStyle w:val="Betarp"/>
        <w:rPr>
          <w:lang w:val="lt-LT"/>
        </w:rPr>
      </w:pPr>
      <w:r w:rsidRPr="00AB6A8A">
        <w:rPr>
          <w:lang w:val="lt-LT"/>
        </w:rPr>
        <w:t>Jūsų a</w:t>
      </w:r>
      <w:r w:rsidR="00435393" w:rsidRPr="00AB6A8A">
        <w:rPr>
          <w:lang w:val="lt-LT"/>
        </w:rPr>
        <w:t xml:space="preserve">kyse yra skaidraus, </w:t>
      </w:r>
      <w:r w:rsidRPr="00AB6A8A">
        <w:rPr>
          <w:lang w:val="lt-LT"/>
        </w:rPr>
        <w:t>vandeningo</w:t>
      </w:r>
      <w:r w:rsidR="00435393" w:rsidRPr="00AB6A8A">
        <w:rPr>
          <w:lang w:val="lt-LT"/>
        </w:rPr>
        <w:t xml:space="preserve"> skysčio, kuris maitina vidinę akies dalį. Skystis iš akies nuolat išteka, todėl jo trūkumui papildyti gaminamas naujas skystis. Jei skystis negali pakankamai greitai ištekėti, akyje didėja spaudimas. </w:t>
      </w:r>
      <w:r w:rsidRPr="00AB6A8A">
        <w:rPr>
          <w:lang w:val="lt-LT"/>
        </w:rPr>
        <w:t xml:space="preserve">Jei padidėjęs spaudimas nesumažinamas, jis gali sukelti ligą, vadinamą glaukoma ir galiausiai pažeisti regėjimą. </w:t>
      </w:r>
      <w:r w:rsidR="00AA211B">
        <w:rPr>
          <w:lang w:val="lt-LT"/>
        </w:rPr>
        <w:t>Ed</w:t>
      </w:r>
      <w:r w:rsidR="007643D3" w:rsidRPr="007643D3">
        <w:rPr>
          <w:lang w:val="lt-LT"/>
        </w:rPr>
        <w:t>uelym</w:t>
      </w:r>
      <w:r w:rsidRPr="00AB6A8A">
        <w:rPr>
          <w:lang w:val="lt-LT"/>
        </w:rPr>
        <w:t xml:space="preserve"> veikia slopindamas skysčių gamybą ir padidindamas ištekančio skysčio kiekį. Tai sumažina </w:t>
      </w:r>
      <w:r w:rsidR="00AB46EB" w:rsidRPr="00AB6A8A">
        <w:rPr>
          <w:lang w:val="lt-LT"/>
        </w:rPr>
        <w:t>akispūdį.</w:t>
      </w:r>
    </w:p>
    <w:p w14:paraId="3358CD50" w14:textId="77777777" w:rsidR="0029223B" w:rsidRPr="00AB6A8A" w:rsidRDefault="0029223B" w:rsidP="007A292B">
      <w:pPr>
        <w:pStyle w:val="Betarp"/>
        <w:rPr>
          <w:lang w:val="lt-LT"/>
        </w:rPr>
      </w:pPr>
    </w:p>
    <w:p w14:paraId="7F36E7EF" w14:textId="77777777" w:rsidR="007C68A4" w:rsidRPr="00AB6A8A" w:rsidRDefault="007C68A4" w:rsidP="007A292B">
      <w:pPr>
        <w:pStyle w:val="Betarp"/>
        <w:rPr>
          <w:b/>
          <w:lang w:val="lt-LT"/>
        </w:rPr>
      </w:pPr>
    </w:p>
    <w:p w14:paraId="7EA42838" w14:textId="7866DBAB" w:rsidR="007C68A4" w:rsidRPr="00AB6A8A" w:rsidRDefault="007C68A4" w:rsidP="007A292B">
      <w:pPr>
        <w:pStyle w:val="Betarp"/>
        <w:rPr>
          <w:b/>
          <w:noProof/>
          <w:lang w:val="lt-LT"/>
        </w:rPr>
      </w:pPr>
      <w:bookmarkStart w:id="70" w:name="_Toc129243140"/>
      <w:bookmarkStart w:id="71" w:name="_Toc129243265"/>
      <w:r w:rsidRPr="00AB6A8A">
        <w:rPr>
          <w:b/>
          <w:lang w:val="lt-LT"/>
        </w:rPr>
        <w:t>2.</w:t>
      </w:r>
      <w:r w:rsidRPr="00AB6A8A">
        <w:rPr>
          <w:b/>
          <w:lang w:val="lt-LT"/>
        </w:rPr>
        <w:tab/>
        <w:t xml:space="preserve">Kas žinotina prieš vartojant </w:t>
      </w:r>
      <w:bookmarkEnd w:id="70"/>
      <w:bookmarkEnd w:id="71"/>
      <w:r w:rsidR="00AA211B">
        <w:rPr>
          <w:b/>
          <w:lang w:val="lt-LT"/>
        </w:rPr>
        <w:t>Ed</w:t>
      </w:r>
      <w:r w:rsidR="007643D3" w:rsidRPr="007643D3">
        <w:rPr>
          <w:b/>
          <w:lang w:val="lt-LT"/>
        </w:rPr>
        <w:t>uelym</w:t>
      </w:r>
    </w:p>
    <w:p w14:paraId="6961DF4D" w14:textId="77777777" w:rsidR="00AB46EB" w:rsidRPr="00AB6A8A" w:rsidRDefault="00AB46EB" w:rsidP="007A292B">
      <w:pPr>
        <w:pStyle w:val="Betarp"/>
        <w:rPr>
          <w:lang w:val="lt-LT"/>
        </w:rPr>
      </w:pPr>
    </w:p>
    <w:p w14:paraId="38C3B15B" w14:textId="1D062A15" w:rsidR="007C68A4" w:rsidRPr="00AB6A8A" w:rsidRDefault="00AA211B" w:rsidP="007A292B">
      <w:pPr>
        <w:pStyle w:val="Betarp"/>
        <w:rPr>
          <w:rFonts w:eastAsia="SimSun"/>
          <w:b/>
          <w:bCs/>
          <w:lang w:val="lt-LT"/>
        </w:rPr>
      </w:pPr>
      <w:r>
        <w:rPr>
          <w:b/>
          <w:noProof/>
          <w:lang w:val="lt-LT"/>
        </w:rPr>
        <w:t>Ed</w:t>
      </w:r>
      <w:r w:rsidR="007643D3" w:rsidRPr="007643D3">
        <w:rPr>
          <w:b/>
          <w:noProof/>
          <w:lang w:val="lt-LT"/>
        </w:rPr>
        <w:t>uelym</w:t>
      </w:r>
      <w:r w:rsidR="007C68A4" w:rsidRPr="00AB6A8A">
        <w:rPr>
          <w:rFonts w:eastAsia="SimSun"/>
          <w:b/>
          <w:bCs/>
          <w:lang w:val="lt-LT"/>
        </w:rPr>
        <w:t xml:space="preserve"> vartoti </w:t>
      </w:r>
      <w:r w:rsidR="00AB46EB" w:rsidRPr="00AB6A8A">
        <w:rPr>
          <w:rFonts w:eastAsia="SimSun"/>
          <w:b/>
          <w:bCs/>
          <w:lang w:val="lt-LT"/>
        </w:rPr>
        <w:t>draudžiama</w:t>
      </w:r>
      <w:r w:rsidR="007C68A4" w:rsidRPr="00AB6A8A">
        <w:rPr>
          <w:rFonts w:eastAsia="SimSun"/>
          <w:b/>
          <w:bCs/>
          <w:lang w:val="lt-LT"/>
        </w:rPr>
        <w:t>:</w:t>
      </w:r>
    </w:p>
    <w:p w14:paraId="4677CB52" w14:textId="7B760972" w:rsidR="007C68A4" w:rsidRPr="00AB6A8A" w:rsidRDefault="007C68A4" w:rsidP="007A292B">
      <w:pPr>
        <w:pStyle w:val="Betarp"/>
        <w:numPr>
          <w:ilvl w:val="0"/>
          <w:numId w:val="21"/>
        </w:numPr>
        <w:ind w:left="567" w:hanging="567"/>
        <w:rPr>
          <w:rFonts w:eastAsia="SimSun"/>
          <w:lang w:val="lt-LT"/>
        </w:rPr>
      </w:pPr>
      <w:r w:rsidRPr="00AB6A8A">
        <w:rPr>
          <w:rFonts w:eastAsia="SimSun"/>
          <w:lang w:val="lt-LT"/>
        </w:rPr>
        <w:t xml:space="preserve">jeigu yra alergija </w:t>
      </w:r>
      <w:r w:rsidR="00AB46EB" w:rsidRPr="00AB6A8A">
        <w:rPr>
          <w:rFonts w:eastAsia="SimSun"/>
          <w:lang w:val="lt-LT"/>
        </w:rPr>
        <w:t>bimat</w:t>
      </w:r>
      <w:r w:rsidRPr="00AB6A8A">
        <w:rPr>
          <w:rFonts w:eastAsia="SimSun"/>
          <w:lang w:val="lt-LT"/>
        </w:rPr>
        <w:t xml:space="preserve">oprostui, timololiui, </w:t>
      </w:r>
      <w:r w:rsidRPr="00AB6A8A">
        <w:rPr>
          <w:lang w:val="lt-LT"/>
        </w:rPr>
        <w:t>beta adrenoblokatoriams</w:t>
      </w:r>
      <w:r w:rsidRPr="00AB6A8A">
        <w:rPr>
          <w:rFonts w:eastAsia="SimSun"/>
          <w:lang w:val="lt-LT"/>
        </w:rPr>
        <w:t xml:space="preserve"> arba bet kuriai pagalbinei šio vaisto medžiagai (jos išvardytos 6 skyriuje);</w:t>
      </w:r>
    </w:p>
    <w:p w14:paraId="7CBFEBC4" w14:textId="211E805B" w:rsidR="007C68A4" w:rsidRPr="00AB6A8A" w:rsidRDefault="007C68A4" w:rsidP="007A292B">
      <w:pPr>
        <w:pStyle w:val="Betarp"/>
        <w:numPr>
          <w:ilvl w:val="0"/>
          <w:numId w:val="21"/>
        </w:numPr>
        <w:ind w:left="567" w:hanging="567"/>
        <w:rPr>
          <w:rFonts w:eastAsia="SimSun"/>
          <w:lang w:val="lt-LT"/>
        </w:rPr>
      </w:pPr>
      <w:r w:rsidRPr="00AB6A8A">
        <w:rPr>
          <w:rFonts w:eastAsia="SimSun"/>
          <w:lang w:val="lt-LT"/>
        </w:rPr>
        <w:t>jeigu yra ar buvo kvėpavimo sistemos sutrikimų, tokių kaip astma ar sunkus lėtinis obstrukcinis bronchitas (sunki plaučių liga, galinti sukelti švokštimą, kvėpavimo pasunkėjimą ir (arba) ilgalaikį kosulį)</w:t>
      </w:r>
      <w:r w:rsidR="00426AC3" w:rsidRPr="00AB6A8A">
        <w:rPr>
          <w:rFonts w:eastAsia="SimSun"/>
          <w:lang w:val="lt-LT"/>
        </w:rPr>
        <w:t xml:space="preserve"> ar kitų kvėpavimo problemų</w:t>
      </w:r>
      <w:r w:rsidRPr="00AB6A8A">
        <w:rPr>
          <w:rFonts w:eastAsia="SimSun"/>
          <w:lang w:val="lt-LT"/>
        </w:rPr>
        <w:t>;</w:t>
      </w:r>
    </w:p>
    <w:p w14:paraId="69C4BC61" w14:textId="6DA1A95A" w:rsidR="007C68A4" w:rsidRPr="00AB6A8A" w:rsidRDefault="007C68A4" w:rsidP="007A292B">
      <w:pPr>
        <w:pStyle w:val="Betarp"/>
        <w:numPr>
          <w:ilvl w:val="0"/>
          <w:numId w:val="21"/>
        </w:numPr>
        <w:ind w:left="567" w:hanging="567"/>
        <w:rPr>
          <w:rFonts w:eastAsia="SimSun"/>
          <w:lang w:val="lt-LT"/>
        </w:rPr>
      </w:pPr>
      <w:r w:rsidRPr="00AB6A8A">
        <w:rPr>
          <w:rFonts w:eastAsia="SimSun"/>
          <w:lang w:val="lt-LT"/>
        </w:rPr>
        <w:t xml:space="preserve">jeigu </w:t>
      </w:r>
      <w:r w:rsidR="00426AC3" w:rsidRPr="00AB6A8A">
        <w:rPr>
          <w:rFonts w:eastAsia="SimSun"/>
          <w:lang w:val="lt-LT"/>
        </w:rPr>
        <w:t xml:space="preserve">yra </w:t>
      </w:r>
      <w:r w:rsidR="00CC695C" w:rsidRPr="00AB6A8A">
        <w:rPr>
          <w:rFonts w:eastAsia="SimSun"/>
          <w:lang w:val="lt-LT"/>
        </w:rPr>
        <w:t>retas</w:t>
      </w:r>
      <w:r w:rsidR="00426AC3" w:rsidRPr="00AB6A8A">
        <w:rPr>
          <w:rFonts w:eastAsia="SimSun"/>
          <w:lang w:val="lt-LT"/>
        </w:rPr>
        <w:t xml:space="preserve"> širdies plakimas, </w:t>
      </w:r>
      <w:r w:rsidRPr="00AB6A8A">
        <w:rPr>
          <w:rFonts w:eastAsia="SimSun"/>
          <w:lang w:val="lt-LT"/>
        </w:rPr>
        <w:t xml:space="preserve">širdies </w:t>
      </w:r>
      <w:r w:rsidR="00426AC3" w:rsidRPr="00AB6A8A">
        <w:rPr>
          <w:rFonts w:eastAsia="SimSun"/>
          <w:lang w:val="lt-LT"/>
        </w:rPr>
        <w:t xml:space="preserve">nepakankamumas </w:t>
      </w:r>
      <w:r w:rsidRPr="00AB6A8A">
        <w:rPr>
          <w:rFonts w:eastAsia="SimSun"/>
          <w:lang w:val="lt-LT"/>
        </w:rPr>
        <w:t>arba sutrikęs širdies ritmas</w:t>
      </w:r>
      <w:r w:rsidR="00426AC3" w:rsidRPr="00AB6A8A">
        <w:rPr>
          <w:rFonts w:eastAsia="SimSun"/>
          <w:lang w:val="lt-LT"/>
        </w:rPr>
        <w:t xml:space="preserve"> (nereguliarus širdies plakimas).</w:t>
      </w:r>
    </w:p>
    <w:p w14:paraId="26583332" w14:textId="77777777" w:rsidR="00426AC3" w:rsidRPr="00AB6A8A" w:rsidRDefault="00426AC3" w:rsidP="007A292B">
      <w:pPr>
        <w:pStyle w:val="Betarp"/>
        <w:rPr>
          <w:rFonts w:eastAsia="SimSun"/>
          <w:b/>
          <w:lang w:val="lt-LT"/>
        </w:rPr>
      </w:pPr>
    </w:p>
    <w:p w14:paraId="180BA97C" w14:textId="77777777" w:rsidR="007C68A4" w:rsidRPr="00AB6A8A" w:rsidRDefault="007C68A4" w:rsidP="007A292B">
      <w:pPr>
        <w:pStyle w:val="Betarp"/>
        <w:rPr>
          <w:rFonts w:eastAsia="SimSun"/>
          <w:b/>
          <w:bCs/>
          <w:lang w:val="lt-LT"/>
        </w:rPr>
      </w:pPr>
      <w:r w:rsidRPr="00AB6A8A">
        <w:rPr>
          <w:rFonts w:eastAsia="SimSun"/>
          <w:b/>
          <w:bCs/>
          <w:lang w:val="lt-LT"/>
        </w:rPr>
        <w:t>Įspėjimai ir atsargumo priemonės</w:t>
      </w:r>
    </w:p>
    <w:p w14:paraId="1271BE29" w14:textId="10891DF5" w:rsidR="007C68A4" w:rsidRPr="00AB6A8A" w:rsidRDefault="007C68A4" w:rsidP="007A292B">
      <w:pPr>
        <w:pStyle w:val="Betarp"/>
        <w:rPr>
          <w:noProof/>
          <w:lang w:val="lt-LT"/>
        </w:rPr>
      </w:pPr>
      <w:r w:rsidRPr="00AB6A8A">
        <w:rPr>
          <w:rFonts w:eastAsia="Times New Roman"/>
          <w:color w:val="000000"/>
          <w:lang w:val="lt-LT" w:eastAsia="el-GR"/>
        </w:rPr>
        <w:t xml:space="preserve">Pasitarkite su gydytoju arba vaistininku, prieš pradėdami vartoti </w:t>
      </w:r>
      <w:r w:rsidR="00AA211B">
        <w:rPr>
          <w:rFonts w:eastAsia="Times New Roman"/>
          <w:color w:val="000000"/>
          <w:lang w:val="lt-LT" w:eastAsia="el-GR"/>
        </w:rPr>
        <w:t>Ed</w:t>
      </w:r>
      <w:r w:rsidR="007643D3" w:rsidRPr="007643D3">
        <w:rPr>
          <w:rFonts w:eastAsia="Times New Roman"/>
          <w:color w:val="000000"/>
          <w:lang w:val="lt-LT" w:eastAsia="el-GR"/>
        </w:rPr>
        <w:t>uelym</w:t>
      </w:r>
      <w:r w:rsidR="00426AC3" w:rsidRPr="00AB6A8A">
        <w:rPr>
          <w:noProof/>
          <w:lang w:val="lt-LT"/>
        </w:rPr>
        <w:t>.</w:t>
      </w:r>
    </w:p>
    <w:p w14:paraId="230A0D1C" w14:textId="4D967600" w:rsidR="00426AC3" w:rsidRPr="00AB6A8A" w:rsidRDefault="00426AC3" w:rsidP="007A292B">
      <w:pPr>
        <w:pStyle w:val="Betarp"/>
        <w:rPr>
          <w:rFonts w:eastAsia="Times New Roman"/>
          <w:color w:val="000000"/>
          <w:lang w:val="lt-LT" w:eastAsia="el-GR"/>
        </w:rPr>
      </w:pPr>
      <w:r w:rsidRPr="00AB6A8A">
        <w:rPr>
          <w:rFonts w:eastAsia="Times New Roman"/>
          <w:color w:val="000000"/>
          <w:lang w:val="lt-LT" w:eastAsia="el-GR"/>
        </w:rPr>
        <w:t>Prieš vartodami šį vaistą, pasakykite gydytojui, jei šiuo metu yra arba anksčiau buvo:</w:t>
      </w:r>
    </w:p>
    <w:p w14:paraId="3098E2A4" w14:textId="78593089" w:rsidR="007C68A4" w:rsidRPr="00AB6A8A" w:rsidRDefault="007C68A4" w:rsidP="007A292B">
      <w:pPr>
        <w:pStyle w:val="Betarp"/>
        <w:numPr>
          <w:ilvl w:val="0"/>
          <w:numId w:val="22"/>
        </w:numPr>
        <w:ind w:left="567" w:hanging="567"/>
        <w:rPr>
          <w:rFonts w:eastAsia="SimSun"/>
          <w:lang w:val="lt-LT"/>
        </w:rPr>
      </w:pPr>
      <w:r w:rsidRPr="00AB6A8A">
        <w:rPr>
          <w:rFonts w:eastAsia="SimSun"/>
          <w:lang w:val="lt-LT"/>
        </w:rPr>
        <w:t>vainikinė širdies liga (galimi simptomai yra krūtinės skausmas ar veržimas, dusulys arba oro stoka), širdies nepakankamumas, žemas kraujospūdis</w:t>
      </w:r>
      <w:r w:rsidR="006747FB">
        <w:rPr>
          <w:rFonts w:eastAsia="SimSun"/>
          <w:lang w:val="lt-LT"/>
        </w:rPr>
        <w:t>;</w:t>
      </w:r>
    </w:p>
    <w:p w14:paraId="743B8CCF" w14:textId="10A7E9BD" w:rsidR="007C68A4" w:rsidRPr="00AB6A8A" w:rsidRDefault="007C68A4" w:rsidP="007A292B">
      <w:pPr>
        <w:pStyle w:val="Betarp"/>
        <w:numPr>
          <w:ilvl w:val="0"/>
          <w:numId w:val="22"/>
        </w:numPr>
        <w:ind w:left="567" w:hanging="567"/>
        <w:rPr>
          <w:rFonts w:eastAsia="SimSun"/>
          <w:lang w:val="lt-LT"/>
        </w:rPr>
      </w:pPr>
      <w:r w:rsidRPr="00AB6A8A">
        <w:rPr>
          <w:rFonts w:eastAsia="SimSun"/>
          <w:lang w:val="lt-LT"/>
        </w:rPr>
        <w:t>širdies ritmo sutrikimas, pvz., retas širdies plakimas</w:t>
      </w:r>
      <w:r w:rsidR="00167E45">
        <w:rPr>
          <w:rFonts w:eastAsia="SimSun"/>
          <w:lang w:val="lt-LT"/>
        </w:rPr>
        <w:t>;</w:t>
      </w:r>
    </w:p>
    <w:p w14:paraId="2F2EA72A" w14:textId="14BEB5C7" w:rsidR="007C68A4" w:rsidRPr="00AB6A8A" w:rsidRDefault="007C68A4" w:rsidP="007A292B">
      <w:pPr>
        <w:pStyle w:val="Betarp"/>
        <w:numPr>
          <w:ilvl w:val="0"/>
          <w:numId w:val="23"/>
        </w:numPr>
        <w:ind w:left="567" w:hanging="567"/>
        <w:rPr>
          <w:lang w:val="lt-LT"/>
        </w:rPr>
      </w:pPr>
      <w:r w:rsidRPr="00AB6A8A">
        <w:rPr>
          <w:lang w:val="lt-LT"/>
        </w:rPr>
        <w:t>sutrikusios kraujotakos ligos (pvz., Reino (</w:t>
      </w:r>
      <w:r w:rsidRPr="00AB6A8A">
        <w:rPr>
          <w:i/>
          <w:iCs/>
          <w:lang w:val="lt-LT"/>
        </w:rPr>
        <w:t>Raynaud</w:t>
      </w:r>
      <w:r w:rsidRPr="00AB6A8A">
        <w:rPr>
          <w:lang w:val="lt-LT"/>
        </w:rPr>
        <w:t>) liga arba Reino (</w:t>
      </w:r>
      <w:r w:rsidRPr="00AB6A8A">
        <w:rPr>
          <w:i/>
          <w:lang w:val="lt-LT"/>
        </w:rPr>
        <w:t>Raynaud</w:t>
      </w:r>
      <w:r w:rsidRPr="00AB6A8A">
        <w:rPr>
          <w:lang w:val="lt-LT"/>
        </w:rPr>
        <w:t>) sindromas)</w:t>
      </w:r>
      <w:r w:rsidR="00167E45">
        <w:rPr>
          <w:lang w:val="lt-LT"/>
        </w:rPr>
        <w:t>;</w:t>
      </w:r>
    </w:p>
    <w:p w14:paraId="291DDE54" w14:textId="73505D05" w:rsidR="00CC695C" w:rsidRPr="00AB6A8A" w:rsidRDefault="00CC695C" w:rsidP="007A292B">
      <w:pPr>
        <w:pStyle w:val="Sraopastraipa"/>
        <w:numPr>
          <w:ilvl w:val="0"/>
          <w:numId w:val="23"/>
        </w:numPr>
        <w:spacing w:after="0" w:line="240" w:lineRule="auto"/>
        <w:ind w:left="567" w:hanging="567"/>
        <w:rPr>
          <w:rFonts w:ascii="Times New Roman" w:hAnsi="Times New Roman"/>
        </w:rPr>
      </w:pPr>
      <w:r w:rsidRPr="00AB6A8A">
        <w:rPr>
          <w:rFonts w:ascii="Times New Roman" w:hAnsi="Times New Roman"/>
        </w:rPr>
        <w:t>kvėpavimo sutrikimai, astma arba lėtinė obstrukcinė plaučių liga</w:t>
      </w:r>
      <w:r w:rsidR="00167E45">
        <w:rPr>
          <w:rFonts w:ascii="Times New Roman" w:hAnsi="Times New Roman"/>
        </w:rPr>
        <w:t>;</w:t>
      </w:r>
    </w:p>
    <w:p w14:paraId="2BCFC708" w14:textId="6D0D7ED3" w:rsidR="007C68A4" w:rsidRPr="00AB6A8A" w:rsidRDefault="007C68A4" w:rsidP="007A292B">
      <w:pPr>
        <w:pStyle w:val="Betarp"/>
        <w:numPr>
          <w:ilvl w:val="0"/>
          <w:numId w:val="23"/>
        </w:numPr>
        <w:ind w:left="567" w:hanging="567"/>
        <w:rPr>
          <w:rFonts w:eastAsia="SimSun"/>
          <w:lang w:val="lt-LT"/>
        </w:rPr>
      </w:pPr>
      <w:r w:rsidRPr="00AB6A8A">
        <w:rPr>
          <w:rFonts w:eastAsia="SimSun"/>
          <w:lang w:val="lt-LT"/>
        </w:rPr>
        <w:t>cukrinis diabetas</w:t>
      </w:r>
      <w:r w:rsidR="00167E45">
        <w:rPr>
          <w:rFonts w:eastAsia="SimSun"/>
          <w:lang w:val="lt-LT"/>
        </w:rPr>
        <w:t>,</w:t>
      </w:r>
      <w:r w:rsidRPr="00AB6A8A">
        <w:rPr>
          <w:rFonts w:eastAsia="SimSun"/>
          <w:lang w:val="lt-LT"/>
        </w:rPr>
        <w:t xml:space="preserve"> </w:t>
      </w:r>
      <w:r w:rsidRPr="00AB6A8A">
        <w:rPr>
          <w:lang w:val="lt-LT"/>
        </w:rPr>
        <w:t>nes timololis gali slėpti sumažėjusio cukraus kiekio kraujyje požymius ir simptomus</w:t>
      </w:r>
      <w:r w:rsidR="00167E45">
        <w:rPr>
          <w:lang w:val="lt-LT"/>
        </w:rPr>
        <w:t>;</w:t>
      </w:r>
    </w:p>
    <w:p w14:paraId="5D135067" w14:textId="39C76827" w:rsidR="007C68A4" w:rsidRPr="00AB6A8A" w:rsidRDefault="007C68A4" w:rsidP="007A292B">
      <w:pPr>
        <w:pStyle w:val="Betarp"/>
        <w:numPr>
          <w:ilvl w:val="0"/>
          <w:numId w:val="23"/>
        </w:numPr>
        <w:ind w:left="567" w:hanging="567"/>
        <w:rPr>
          <w:rFonts w:eastAsia="SimSun"/>
          <w:lang w:val="lt-LT"/>
        </w:rPr>
      </w:pPr>
      <w:r w:rsidRPr="00AB6A8A">
        <w:rPr>
          <w:rFonts w:eastAsia="SimSun"/>
          <w:lang w:val="lt-LT"/>
        </w:rPr>
        <w:t>padidėjusi skydliaukės funkcija, nes timololis gali slėpti jos požymius ir simptomus</w:t>
      </w:r>
      <w:r w:rsidR="00167E45">
        <w:rPr>
          <w:rFonts w:eastAsia="SimSun"/>
          <w:lang w:val="lt-LT"/>
        </w:rPr>
        <w:t>;</w:t>
      </w:r>
    </w:p>
    <w:p w14:paraId="45E95629" w14:textId="31F3719E" w:rsidR="00CC695C" w:rsidRPr="00AB6A8A" w:rsidRDefault="00CC695C" w:rsidP="007A292B">
      <w:pPr>
        <w:pStyle w:val="Betarp"/>
        <w:numPr>
          <w:ilvl w:val="0"/>
          <w:numId w:val="23"/>
        </w:numPr>
        <w:ind w:left="567" w:hanging="567"/>
        <w:rPr>
          <w:rFonts w:eastAsia="SimSun"/>
          <w:lang w:val="lt-LT"/>
        </w:rPr>
      </w:pPr>
      <w:r w:rsidRPr="00AB6A8A">
        <w:rPr>
          <w:rFonts w:eastAsia="SimSun"/>
          <w:lang w:val="lt-LT"/>
        </w:rPr>
        <w:t>bet kokios sunkios alerginės reakcijos</w:t>
      </w:r>
      <w:r w:rsidR="00167E45">
        <w:rPr>
          <w:rFonts w:eastAsia="SimSun"/>
          <w:lang w:val="lt-LT"/>
        </w:rPr>
        <w:t>;</w:t>
      </w:r>
    </w:p>
    <w:p w14:paraId="4253FB85" w14:textId="635A7EE2"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kepenų ar inkstų sutrikimai</w:t>
      </w:r>
      <w:r w:rsidR="00167E45">
        <w:rPr>
          <w:rFonts w:eastAsia="SimSun"/>
          <w:lang w:val="lt-LT"/>
        </w:rPr>
        <w:t>;</w:t>
      </w:r>
    </w:p>
    <w:p w14:paraId="3DAF5B2D" w14:textId="21C27EB1"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akies paviršiaus sutrikimai</w:t>
      </w:r>
      <w:r w:rsidR="00167E45">
        <w:rPr>
          <w:rFonts w:eastAsia="SimSun"/>
          <w:lang w:val="lt-LT"/>
        </w:rPr>
        <w:t>;</w:t>
      </w:r>
    </w:p>
    <w:p w14:paraId="3C459B96" w14:textId="3D8316EE"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vieno iš akies obuolio sluoksnių atskyrimas po operacijos, siekiant sumažinti akispūdį</w:t>
      </w:r>
      <w:r w:rsidR="005E7B2A">
        <w:rPr>
          <w:rFonts w:eastAsia="SimSun"/>
          <w:lang w:val="lt-LT"/>
        </w:rPr>
        <w:t>;</w:t>
      </w:r>
    </w:p>
    <w:p w14:paraId="294F058B" w14:textId="69137F00"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žinomi geltonosios dėmės edemos (akyje esančios tinklainės patinimas, dėl kurio pablogėja regėjimas) rizikos veiksniai, pavyzdžiui, kataraktos operacija</w:t>
      </w:r>
      <w:r w:rsidR="005E7B2A">
        <w:rPr>
          <w:rFonts w:eastAsia="SimSun"/>
          <w:lang w:val="lt-LT"/>
        </w:rPr>
        <w:t>;</w:t>
      </w:r>
    </w:p>
    <w:p w14:paraId="5C86FA90" w14:textId="30E1E6E4"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virusinė infekcija ar akies uždegimas.</w:t>
      </w:r>
    </w:p>
    <w:p w14:paraId="1815235C" w14:textId="77777777" w:rsidR="007C68A4" w:rsidRPr="00AB6A8A" w:rsidRDefault="007C68A4" w:rsidP="007A292B">
      <w:pPr>
        <w:pStyle w:val="Betarp"/>
        <w:ind w:left="567" w:hanging="567"/>
        <w:rPr>
          <w:lang w:val="lt-LT"/>
        </w:rPr>
      </w:pPr>
    </w:p>
    <w:p w14:paraId="7DFA4E58" w14:textId="774EE790" w:rsidR="007C68A4" w:rsidRPr="00AB6A8A" w:rsidRDefault="007C68A4" w:rsidP="007A292B">
      <w:pPr>
        <w:pStyle w:val="Betarp"/>
        <w:rPr>
          <w:rFonts w:eastAsia="SimSun"/>
          <w:lang w:val="lt-LT"/>
        </w:rPr>
      </w:pPr>
      <w:r w:rsidRPr="00AB6A8A">
        <w:rPr>
          <w:lang w:val="lt-LT"/>
        </w:rPr>
        <w:t xml:space="preserve">Prieš operaciją pasakykite gydytojui, kad vartojate </w:t>
      </w:r>
      <w:r w:rsidR="00AA211B">
        <w:rPr>
          <w:lang w:val="lt-LT"/>
        </w:rPr>
        <w:t>Ed</w:t>
      </w:r>
      <w:r w:rsidR="007643D3" w:rsidRPr="007643D3">
        <w:rPr>
          <w:lang w:val="lt-LT"/>
        </w:rPr>
        <w:t>uelym</w:t>
      </w:r>
      <w:r w:rsidRPr="00AB6A8A">
        <w:rPr>
          <w:lang w:val="lt-LT"/>
        </w:rPr>
        <w:t>, nes timololis gali turėti įtakos kai kurių vaistų, vartojamų anestezijai, poveikiui.</w:t>
      </w:r>
    </w:p>
    <w:p w14:paraId="069C8294" w14:textId="77777777" w:rsidR="007C68A4" w:rsidRPr="00AB6A8A" w:rsidRDefault="007C68A4" w:rsidP="007A292B">
      <w:pPr>
        <w:pStyle w:val="Betarp"/>
        <w:rPr>
          <w:b/>
          <w:lang w:val="lt-LT"/>
        </w:rPr>
      </w:pPr>
    </w:p>
    <w:p w14:paraId="73411BEA" w14:textId="2BFC1B56" w:rsidR="008C353F" w:rsidRPr="00AB6A8A" w:rsidRDefault="008C353F" w:rsidP="007A292B">
      <w:pPr>
        <w:pStyle w:val="Betarp"/>
        <w:rPr>
          <w:bCs/>
          <w:lang w:val="lt-LT"/>
        </w:rPr>
      </w:pPr>
      <w:r w:rsidRPr="00AB6A8A">
        <w:rPr>
          <w:bCs/>
          <w:lang w:val="lt-LT"/>
        </w:rPr>
        <w:t xml:space="preserve">Dėl </w:t>
      </w:r>
      <w:r w:rsidR="00AA211B">
        <w:rPr>
          <w:bCs/>
          <w:lang w:val="lt-LT"/>
        </w:rPr>
        <w:t>Ed</w:t>
      </w:r>
      <w:r w:rsidR="007643D3" w:rsidRPr="007643D3">
        <w:rPr>
          <w:bCs/>
          <w:lang w:val="lt-LT"/>
        </w:rPr>
        <w:t>uelym</w:t>
      </w:r>
      <w:r w:rsidRPr="00AB6A8A">
        <w:rPr>
          <w:bCs/>
          <w:lang w:val="lt-LT"/>
        </w:rPr>
        <w:t xml:space="preserve"> poveikio gydymo metu gali būti prarandama riebalų akies srityje, tai gali sukelti akies voko vagelės pagilėjimą, akių įdubimą (enoftalmą), viršutinių vokų nukarimą (ptozę), odos ištempimą aplink akį (dermatochalazės involiuciją) ir gali matytis daugiau apatinės akių obuolių baltosios dalies (odenos apatinės dalies atvirumas). Pokyčiai paprastai yra nežymūs, tačiau jei jie išryškėtų stipriau, tai gali paveikti regėjimo lauką. Pokyčiai gali </w:t>
      </w:r>
      <w:r w:rsidR="00C257F2">
        <w:rPr>
          <w:bCs/>
          <w:lang w:val="lt-LT"/>
        </w:rPr>
        <w:t>išnykti</w:t>
      </w:r>
      <w:r w:rsidR="00C257F2" w:rsidRPr="00AB6A8A">
        <w:rPr>
          <w:bCs/>
          <w:lang w:val="lt-LT"/>
        </w:rPr>
        <w:t xml:space="preserve"> </w:t>
      </w:r>
      <w:r w:rsidRPr="00AB6A8A">
        <w:rPr>
          <w:bCs/>
          <w:lang w:val="lt-LT"/>
        </w:rPr>
        <w:t xml:space="preserve">nustojus vartoti </w:t>
      </w:r>
      <w:r w:rsidR="00AA211B">
        <w:rPr>
          <w:bCs/>
          <w:lang w:val="lt-LT"/>
        </w:rPr>
        <w:t>Ed</w:t>
      </w:r>
      <w:r w:rsidR="007643D3" w:rsidRPr="007643D3">
        <w:rPr>
          <w:bCs/>
          <w:lang w:val="lt-LT"/>
        </w:rPr>
        <w:t>uelym</w:t>
      </w:r>
      <w:r w:rsidRPr="00AB6A8A">
        <w:rPr>
          <w:bCs/>
          <w:lang w:val="lt-LT"/>
        </w:rPr>
        <w:t>.</w:t>
      </w:r>
    </w:p>
    <w:p w14:paraId="10DB333B" w14:textId="51003956" w:rsidR="00BF6061" w:rsidRDefault="008C353F" w:rsidP="007A292B">
      <w:pPr>
        <w:pStyle w:val="Betarp"/>
        <w:rPr>
          <w:bCs/>
          <w:lang w:val="lt-LT"/>
        </w:rPr>
      </w:pPr>
      <w:r w:rsidRPr="00AB6A8A">
        <w:rPr>
          <w:bCs/>
          <w:lang w:val="lt-LT"/>
        </w:rPr>
        <w:t xml:space="preserve">Dėl </w:t>
      </w:r>
      <w:r w:rsidR="00AA211B">
        <w:rPr>
          <w:bCs/>
          <w:lang w:val="lt-LT"/>
        </w:rPr>
        <w:t>Ed</w:t>
      </w:r>
      <w:r w:rsidR="007643D3" w:rsidRPr="007643D3">
        <w:rPr>
          <w:bCs/>
          <w:lang w:val="lt-LT"/>
        </w:rPr>
        <w:t>uelym</w:t>
      </w:r>
      <w:r w:rsidRPr="00AB6A8A">
        <w:rPr>
          <w:bCs/>
          <w:lang w:val="lt-LT"/>
        </w:rPr>
        <w:t xml:space="preserve"> poveikio taip pat gali patamsėti ir augti ilgesnės blakstienos,</w:t>
      </w:r>
      <w:r w:rsidR="00BE484E" w:rsidRPr="00AB6A8A">
        <w:rPr>
          <w:bCs/>
          <w:lang w:val="lt-LT"/>
        </w:rPr>
        <w:t xml:space="preserve"> </w:t>
      </w:r>
      <w:r w:rsidRPr="00AB6A8A">
        <w:rPr>
          <w:bCs/>
          <w:lang w:val="lt-LT"/>
        </w:rPr>
        <w:t>taip pat patamsėti oda aplink akies voką. Gali patamsėti akies rainelės spalva. Šie</w:t>
      </w:r>
      <w:r w:rsidR="00BE484E" w:rsidRPr="00AB6A8A">
        <w:rPr>
          <w:bCs/>
          <w:lang w:val="lt-LT"/>
        </w:rPr>
        <w:t xml:space="preserve"> </w:t>
      </w:r>
      <w:r w:rsidRPr="00AB6A8A">
        <w:rPr>
          <w:bCs/>
          <w:lang w:val="lt-LT"/>
        </w:rPr>
        <w:t>pokyčiai gali būti ilgalaikiai. Pokytis gali būti labiau pastebimas, jei gydoma tik viena akis.</w:t>
      </w:r>
    </w:p>
    <w:p w14:paraId="447647F4" w14:textId="10A473F5" w:rsidR="008F2F52" w:rsidRPr="00AB6A8A" w:rsidRDefault="00AA211B" w:rsidP="007A292B">
      <w:pPr>
        <w:pStyle w:val="Betarp"/>
        <w:rPr>
          <w:bCs/>
          <w:lang w:val="lt-LT"/>
        </w:rPr>
      </w:pPr>
      <w:r>
        <w:rPr>
          <w:bCs/>
          <w:lang w:val="lt-LT"/>
        </w:rPr>
        <w:t>Ed</w:t>
      </w:r>
      <w:r w:rsidR="007643D3" w:rsidRPr="007643D3">
        <w:rPr>
          <w:bCs/>
          <w:lang w:val="lt-LT"/>
        </w:rPr>
        <w:t>uelym</w:t>
      </w:r>
      <w:r w:rsidR="008F2F52">
        <w:rPr>
          <w:bCs/>
          <w:lang w:val="lt-LT"/>
        </w:rPr>
        <w:t xml:space="preserve"> gali sukelti plaukų augimą, jei jo patenka ant odos paviršiaus. </w:t>
      </w:r>
    </w:p>
    <w:p w14:paraId="13C8B8B3" w14:textId="77777777" w:rsidR="00EF2E0A" w:rsidRPr="00AB6A8A" w:rsidRDefault="00EF2E0A" w:rsidP="007A292B">
      <w:pPr>
        <w:pStyle w:val="Betarp"/>
        <w:rPr>
          <w:bCs/>
          <w:lang w:val="lt-LT"/>
        </w:rPr>
      </w:pPr>
    </w:p>
    <w:p w14:paraId="584BBB77" w14:textId="32C68E9D" w:rsidR="00EF2E0A" w:rsidRPr="00AB6A8A" w:rsidRDefault="002045B3" w:rsidP="007A292B">
      <w:pPr>
        <w:pStyle w:val="Betarp"/>
        <w:rPr>
          <w:b/>
          <w:lang w:val="lt-LT"/>
        </w:rPr>
      </w:pPr>
      <w:r w:rsidRPr="00AB6A8A">
        <w:rPr>
          <w:b/>
          <w:lang w:val="lt-LT"/>
        </w:rPr>
        <w:t>Vaikams ir paaugliams</w:t>
      </w:r>
    </w:p>
    <w:p w14:paraId="44043503" w14:textId="10013E12" w:rsidR="00BF6061" w:rsidRPr="00AB6A8A" w:rsidRDefault="00AA211B" w:rsidP="007A292B">
      <w:pPr>
        <w:pStyle w:val="Betarp"/>
        <w:rPr>
          <w:bCs/>
          <w:lang w:val="lt-LT"/>
        </w:rPr>
      </w:pPr>
      <w:r>
        <w:rPr>
          <w:bCs/>
          <w:lang w:val="lt-LT"/>
        </w:rPr>
        <w:t>Ed</w:t>
      </w:r>
      <w:r w:rsidR="007643D3" w:rsidRPr="007643D3">
        <w:rPr>
          <w:bCs/>
          <w:lang w:val="lt-LT"/>
        </w:rPr>
        <w:t>uelym</w:t>
      </w:r>
      <w:r w:rsidR="00C807AD" w:rsidRPr="00AB6A8A">
        <w:rPr>
          <w:bCs/>
          <w:lang w:val="lt-LT"/>
        </w:rPr>
        <w:t xml:space="preserve"> nebuvo ištirtas jaunesniems nei 18 metų vaikams, todėl jaunesniems nei 18 metų pacientams jo vartoti negalima.</w:t>
      </w:r>
    </w:p>
    <w:p w14:paraId="75D96386" w14:textId="77777777" w:rsidR="00C807AD" w:rsidRPr="00AB6A8A" w:rsidRDefault="00C807AD" w:rsidP="007A292B">
      <w:pPr>
        <w:pStyle w:val="Betarp"/>
        <w:rPr>
          <w:b/>
          <w:lang w:val="lt-LT"/>
        </w:rPr>
      </w:pPr>
    </w:p>
    <w:p w14:paraId="3D4A1DF0" w14:textId="1AB6F7A2" w:rsidR="007C68A4" w:rsidRDefault="007C68A4" w:rsidP="007A292B">
      <w:pPr>
        <w:pStyle w:val="Betarp"/>
        <w:rPr>
          <w:b/>
          <w:lang w:val="lt-LT"/>
        </w:rPr>
      </w:pPr>
      <w:r w:rsidRPr="00AB6A8A">
        <w:rPr>
          <w:b/>
          <w:lang w:val="lt-LT"/>
        </w:rPr>
        <w:t xml:space="preserve">Kiti vaistai ir </w:t>
      </w:r>
      <w:r w:rsidR="00AA211B">
        <w:rPr>
          <w:b/>
          <w:lang w:val="lt-LT"/>
        </w:rPr>
        <w:t>Ed</w:t>
      </w:r>
      <w:r w:rsidR="007643D3" w:rsidRPr="007643D3">
        <w:rPr>
          <w:b/>
          <w:lang w:val="lt-LT"/>
        </w:rPr>
        <w:t>uelym</w:t>
      </w:r>
    </w:p>
    <w:p w14:paraId="1B4B5359" w14:textId="2722EDC3" w:rsidR="00D45EC0" w:rsidRPr="00AB6A8A" w:rsidRDefault="00D45EC0" w:rsidP="007A292B">
      <w:pPr>
        <w:pStyle w:val="Betarp"/>
        <w:rPr>
          <w:b/>
          <w:lang w:val="lt-LT"/>
        </w:rPr>
      </w:pPr>
      <w:r w:rsidRPr="00AB6A8A">
        <w:rPr>
          <w:lang w:val="lt-LT"/>
        </w:rPr>
        <w:t>Jeigu vartojate ar neseniai vartojote kitų vaistų arba dėl to nesate tikri, apie tai pasakykite gydytojui arba vaistininkui.</w:t>
      </w:r>
    </w:p>
    <w:p w14:paraId="427F26ED" w14:textId="327BC344" w:rsidR="00FD7DDF" w:rsidRPr="00AB6A8A" w:rsidRDefault="00AA211B" w:rsidP="007A292B">
      <w:pPr>
        <w:pStyle w:val="Betarp"/>
        <w:rPr>
          <w:lang w:val="lt-LT"/>
        </w:rPr>
      </w:pPr>
      <w:r>
        <w:rPr>
          <w:noProof/>
          <w:lang w:val="lt-LT"/>
        </w:rPr>
        <w:t>Ed</w:t>
      </w:r>
      <w:r w:rsidR="007643D3" w:rsidRPr="007643D3">
        <w:rPr>
          <w:noProof/>
          <w:lang w:val="lt-LT"/>
        </w:rPr>
        <w:t>uelym</w:t>
      </w:r>
      <w:r w:rsidR="00602C59" w:rsidRPr="00AB6A8A">
        <w:rPr>
          <w:noProof/>
          <w:lang w:val="lt-LT"/>
        </w:rPr>
        <w:t xml:space="preserve"> </w:t>
      </w:r>
      <w:r w:rsidR="007C68A4" w:rsidRPr="00AB6A8A">
        <w:rPr>
          <w:rFonts w:eastAsia="SimSun"/>
          <w:lang w:val="lt-LT"/>
        </w:rPr>
        <w:t xml:space="preserve">gali </w:t>
      </w:r>
      <w:r w:rsidR="008F2F52">
        <w:rPr>
          <w:rFonts w:eastAsia="SimSun"/>
          <w:lang w:val="lt-LT"/>
        </w:rPr>
        <w:t>pa</w:t>
      </w:r>
      <w:r w:rsidR="007C68A4" w:rsidRPr="00AB6A8A">
        <w:rPr>
          <w:lang w:val="lt-LT"/>
        </w:rPr>
        <w:t>veikti kit</w:t>
      </w:r>
      <w:r w:rsidR="008F2F52">
        <w:rPr>
          <w:lang w:val="lt-LT"/>
        </w:rPr>
        <w:t>us</w:t>
      </w:r>
      <w:r w:rsidR="007C68A4" w:rsidRPr="00AB6A8A">
        <w:rPr>
          <w:lang w:val="lt-LT"/>
        </w:rPr>
        <w:t xml:space="preserve"> Jūsų vartojam</w:t>
      </w:r>
      <w:r w:rsidR="008F2F52">
        <w:rPr>
          <w:lang w:val="lt-LT"/>
        </w:rPr>
        <w:t>us vaistus arba kiti vartojami vaistai gali turėti poveikį šiam preparatui,</w:t>
      </w:r>
      <w:r w:rsidR="007C68A4" w:rsidRPr="00AB6A8A">
        <w:rPr>
          <w:lang w:val="lt-LT"/>
        </w:rPr>
        <w:t xml:space="preserve"> </w:t>
      </w:r>
      <w:r w:rsidR="00960BC8">
        <w:rPr>
          <w:lang w:val="lt-LT"/>
        </w:rPr>
        <w:t>įskaitant</w:t>
      </w:r>
      <w:r w:rsidR="007C68A4" w:rsidRPr="00AB6A8A">
        <w:rPr>
          <w:lang w:val="lt-LT"/>
        </w:rPr>
        <w:t xml:space="preserve"> ir kit</w:t>
      </w:r>
      <w:r w:rsidR="00960BC8">
        <w:rPr>
          <w:lang w:val="lt-LT"/>
        </w:rPr>
        <w:t>us akių lašus</w:t>
      </w:r>
      <w:r w:rsidR="007C68A4" w:rsidRPr="00AB6A8A">
        <w:rPr>
          <w:lang w:val="lt-LT"/>
        </w:rPr>
        <w:t>, skirt</w:t>
      </w:r>
      <w:r w:rsidR="00960BC8">
        <w:rPr>
          <w:lang w:val="lt-LT"/>
        </w:rPr>
        <w:t>us</w:t>
      </w:r>
      <w:r w:rsidR="007C68A4" w:rsidRPr="00AB6A8A">
        <w:rPr>
          <w:lang w:val="lt-LT"/>
        </w:rPr>
        <w:t xml:space="preserve"> glaukomai gydyti.</w:t>
      </w:r>
    </w:p>
    <w:p w14:paraId="7926717E" w14:textId="77777777" w:rsidR="00156F47" w:rsidRDefault="007C68A4" w:rsidP="007A292B">
      <w:pPr>
        <w:pStyle w:val="Betarp"/>
        <w:rPr>
          <w:lang w:val="lt-LT"/>
        </w:rPr>
      </w:pPr>
      <w:r w:rsidRPr="00AB6A8A">
        <w:rPr>
          <w:lang w:val="lt-LT"/>
        </w:rPr>
        <w:t>Pasakykite gydytojui, jei vartojate ar ketinate vartoti</w:t>
      </w:r>
      <w:r w:rsidR="007E28CE">
        <w:rPr>
          <w:lang w:val="lt-LT"/>
        </w:rPr>
        <w:t>:</w:t>
      </w:r>
    </w:p>
    <w:p w14:paraId="4F3EAABB" w14:textId="4B50ED11" w:rsidR="00B4753F" w:rsidRDefault="007C68A4" w:rsidP="009739EB">
      <w:pPr>
        <w:pStyle w:val="Betarp"/>
        <w:numPr>
          <w:ilvl w:val="0"/>
          <w:numId w:val="34"/>
        </w:numPr>
        <w:ind w:left="567" w:hanging="567"/>
        <w:rPr>
          <w:lang w:val="lt-LT"/>
        </w:rPr>
      </w:pPr>
      <w:r w:rsidRPr="00AB6A8A">
        <w:rPr>
          <w:lang w:val="lt-LT"/>
        </w:rPr>
        <w:t>vaistų kraujospūdžiui mažinti</w:t>
      </w:r>
      <w:r w:rsidR="009739EB" w:rsidRPr="00955C95">
        <w:rPr>
          <w:lang w:val="lt-LT"/>
        </w:rPr>
        <w:t xml:space="preserve"> </w:t>
      </w:r>
      <w:r w:rsidR="009739EB" w:rsidRPr="009739EB">
        <w:rPr>
          <w:lang w:val="lt-LT"/>
        </w:rPr>
        <w:t>arba širdies ligoms ir kai kurioms maliarijos rūšims gydyti (chinidinas)</w:t>
      </w:r>
      <w:r w:rsidRPr="00AB6A8A">
        <w:rPr>
          <w:lang w:val="lt-LT"/>
        </w:rPr>
        <w:t>, vaistų širdžiai</w:t>
      </w:r>
      <w:r w:rsidR="00B4753F">
        <w:rPr>
          <w:lang w:val="lt-LT"/>
        </w:rPr>
        <w:t>;</w:t>
      </w:r>
    </w:p>
    <w:p w14:paraId="524C8040" w14:textId="7AA3871B" w:rsidR="001B2C50" w:rsidRDefault="00B4753F" w:rsidP="009739EB">
      <w:pPr>
        <w:pStyle w:val="Betarp"/>
        <w:numPr>
          <w:ilvl w:val="0"/>
          <w:numId w:val="34"/>
        </w:numPr>
        <w:ind w:left="567" w:hanging="567"/>
        <w:rPr>
          <w:lang w:val="lt-LT"/>
        </w:rPr>
      </w:pPr>
      <w:r>
        <w:rPr>
          <w:lang w:val="lt-LT"/>
        </w:rPr>
        <w:t xml:space="preserve">vaistų </w:t>
      </w:r>
      <w:r w:rsidR="007C68A4" w:rsidRPr="00AB6A8A">
        <w:rPr>
          <w:lang w:val="lt-LT"/>
        </w:rPr>
        <w:t>cukriniam diabetui gydyti</w:t>
      </w:r>
      <w:r w:rsidR="001B2C50">
        <w:rPr>
          <w:lang w:val="lt-LT"/>
        </w:rPr>
        <w:t>;</w:t>
      </w:r>
    </w:p>
    <w:p w14:paraId="3D92F88C" w14:textId="6E830028" w:rsidR="00C24A3C" w:rsidRDefault="00367D98" w:rsidP="009739EB">
      <w:pPr>
        <w:pStyle w:val="Betarp"/>
        <w:numPr>
          <w:ilvl w:val="0"/>
          <w:numId w:val="34"/>
        </w:numPr>
        <w:ind w:left="567" w:hanging="567"/>
        <w:rPr>
          <w:lang w:val="lt-LT"/>
        </w:rPr>
      </w:pPr>
      <w:r w:rsidRPr="00367D98">
        <w:rPr>
          <w:lang w:val="lt-LT"/>
        </w:rPr>
        <w:t>vaist</w:t>
      </w:r>
      <w:r>
        <w:rPr>
          <w:lang w:val="lt-LT"/>
        </w:rPr>
        <w:t>ų</w:t>
      </w:r>
      <w:r w:rsidRPr="00367D98">
        <w:rPr>
          <w:lang w:val="lt-LT"/>
        </w:rPr>
        <w:t>, vartojam</w:t>
      </w:r>
      <w:r>
        <w:rPr>
          <w:lang w:val="lt-LT"/>
        </w:rPr>
        <w:t xml:space="preserve">ų </w:t>
      </w:r>
      <w:r w:rsidRPr="00367D98">
        <w:rPr>
          <w:lang w:val="lt-LT"/>
        </w:rPr>
        <w:t xml:space="preserve">šlapinimosi sutrikimui, normalių žarnyno raumenų judesių </w:t>
      </w:r>
      <w:r w:rsidR="00883716">
        <w:rPr>
          <w:lang w:val="lt-LT"/>
        </w:rPr>
        <w:t>trūkumui</w:t>
      </w:r>
      <w:r w:rsidRPr="00367D98">
        <w:rPr>
          <w:lang w:val="lt-LT"/>
        </w:rPr>
        <w:t xml:space="preserve"> ir Alzheimerio ligai gydyti</w:t>
      </w:r>
      <w:r w:rsidR="00883716">
        <w:rPr>
          <w:lang w:val="lt-LT"/>
        </w:rPr>
        <w:t xml:space="preserve"> (</w:t>
      </w:r>
      <w:r w:rsidR="00D45EC0" w:rsidRPr="00D45EC0">
        <w:rPr>
          <w:lang w:val="lt-LT"/>
        </w:rPr>
        <w:t>parasimpatomimetini</w:t>
      </w:r>
      <w:r w:rsidR="00D45EC0">
        <w:rPr>
          <w:lang w:val="lt-LT"/>
        </w:rPr>
        <w:t>ų</w:t>
      </w:r>
      <w:r w:rsidR="00D45EC0" w:rsidRPr="00D45EC0">
        <w:rPr>
          <w:lang w:val="lt-LT"/>
        </w:rPr>
        <w:t xml:space="preserve"> vaist</w:t>
      </w:r>
      <w:r w:rsidR="00D45EC0">
        <w:rPr>
          <w:lang w:val="lt-LT"/>
        </w:rPr>
        <w:t>ų</w:t>
      </w:r>
      <w:r w:rsidR="00883716">
        <w:rPr>
          <w:lang w:val="lt-LT"/>
        </w:rPr>
        <w:t>)</w:t>
      </w:r>
      <w:r w:rsidR="00C24A3C">
        <w:rPr>
          <w:lang w:val="lt-LT"/>
        </w:rPr>
        <w:t>;</w:t>
      </w:r>
    </w:p>
    <w:p w14:paraId="36499A9E" w14:textId="5BA9CEEB" w:rsidR="007C68A4" w:rsidRPr="00AB6A8A" w:rsidRDefault="0042610F" w:rsidP="00955C95">
      <w:pPr>
        <w:pStyle w:val="Betarp"/>
        <w:numPr>
          <w:ilvl w:val="0"/>
          <w:numId w:val="34"/>
        </w:numPr>
        <w:ind w:left="567" w:hanging="567"/>
        <w:rPr>
          <w:lang w:val="lt-LT"/>
        </w:rPr>
      </w:pPr>
      <w:r w:rsidRPr="00AB6A8A">
        <w:rPr>
          <w:lang w:val="lt-LT"/>
        </w:rPr>
        <w:t>antidepresantų</w:t>
      </w:r>
      <w:r w:rsidR="00226C8C">
        <w:rPr>
          <w:lang w:val="lt-LT"/>
        </w:rPr>
        <w:t>, tokių</w:t>
      </w:r>
      <w:r w:rsidRPr="00AB6A8A">
        <w:rPr>
          <w:lang w:val="lt-LT"/>
        </w:rPr>
        <w:t xml:space="preserve"> kaip fluoksetinas ir paroksetinas.</w:t>
      </w:r>
    </w:p>
    <w:p w14:paraId="11044E2C" w14:textId="77777777" w:rsidR="007C68A4" w:rsidRPr="00AB6A8A" w:rsidRDefault="007C68A4" w:rsidP="007A292B">
      <w:pPr>
        <w:pStyle w:val="Betarp"/>
        <w:rPr>
          <w:b/>
          <w:lang w:val="lt-LT"/>
        </w:rPr>
      </w:pPr>
    </w:p>
    <w:p w14:paraId="6D37A966" w14:textId="77777777" w:rsidR="007C68A4" w:rsidRPr="00AB6A8A" w:rsidRDefault="007C68A4" w:rsidP="007A292B">
      <w:pPr>
        <w:pStyle w:val="Betarp"/>
        <w:rPr>
          <w:b/>
          <w:lang w:val="lt-LT"/>
        </w:rPr>
      </w:pPr>
      <w:r w:rsidRPr="00AB6A8A">
        <w:rPr>
          <w:b/>
          <w:lang w:val="lt-LT"/>
        </w:rPr>
        <w:t>Nėštumas ir žindymo laikotarpis</w:t>
      </w:r>
    </w:p>
    <w:p w14:paraId="02FACB55" w14:textId="7F56FC5D" w:rsidR="007C68A4" w:rsidRPr="00AB6A8A" w:rsidRDefault="00DA7361" w:rsidP="007A292B">
      <w:pPr>
        <w:pStyle w:val="Betarp"/>
        <w:rPr>
          <w:bCs/>
          <w:lang w:val="lt-LT"/>
        </w:rPr>
      </w:pPr>
      <w:r w:rsidRPr="00AB6A8A">
        <w:rPr>
          <w:bCs/>
          <w:lang w:val="lt-LT"/>
        </w:rPr>
        <w:t>Jeigu esate nėščia, žindote kūdikį, manote, kad galbūt esate nėščia, arba planuojate pastoti, tai prieš vartodama šį vaistą pasitarkite su gydytoju arba vaistininku.</w:t>
      </w:r>
    </w:p>
    <w:p w14:paraId="2B6E636B" w14:textId="4599057B" w:rsidR="00E31333" w:rsidRPr="00AB6A8A" w:rsidRDefault="00E31333" w:rsidP="007A292B">
      <w:pPr>
        <w:pStyle w:val="Betarp"/>
        <w:rPr>
          <w:bCs/>
          <w:lang w:val="lt-LT"/>
        </w:rPr>
      </w:pPr>
      <w:r w:rsidRPr="00AB6A8A">
        <w:rPr>
          <w:bCs/>
          <w:lang w:val="lt-LT"/>
        </w:rPr>
        <w:t xml:space="preserve">Jei esate nėščia, </w:t>
      </w:r>
      <w:r w:rsidR="00AA211B">
        <w:rPr>
          <w:bCs/>
          <w:lang w:val="lt-LT"/>
        </w:rPr>
        <w:t>Ed</w:t>
      </w:r>
      <w:r w:rsidR="007643D3" w:rsidRPr="007643D3">
        <w:rPr>
          <w:bCs/>
          <w:lang w:val="lt-LT"/>
        </w:rPr>
        <w:t>uelym</w:t>
      </w:r>
      <w:r w:rsidRPr="00AB6A8A">
        <w:rPr>
          <w:bCs/>
          <w:lang w:val="lt-LT"/>
        </w:rPr>
        <w:t xml:space="preserve"> vartoti negalima, nebent gydytojas mano, kad tai būtina.</w:t>
      </w:r>
    </w:p>
    <w:p w14:paraId="2804FEAC" w14:textId="77777777" w:rsidR="00E31333" w:rsidRPr="00AB6A8A" w:rsidRDefault="00E31333" w:rsidP="007A292B">
      <w:pPr>
        <w:pStyle w:val="Betarp"/>
        <w:tabs>
          <w:tab w:val="left" w:pos="3110"/>
        </w:tabs>
        <w:rPr>
          <w:b/>
          <w:lang w:val="lt-LT"/>
        </w:rPr>
      </w:pPr>
    </w:p>
    <w:p w14:paraId="389CB21F" w14:textId="50FEE48A" w:rsidR="00E31333" w:rsidRPr="00AB6A8A" w:rsidRDefault="00E31333" w:rsidP="007A292B">
      <w:pPr>
        <w:pStyle w:val="Betarp"/>
        <w:tabs>
          <w:tab w:val="left" w:pos="3110"/>
        </w:tabs>
        <w:rPr>
          <w:bCs/>
          <w:lang w:val="lt-LT"/>
        </w:rPr>
      </w:pPr>
      <w:r w:rsidRPr="00AB6A8A">
        <w:rPr>
          <w:bCs/>
          <w:lang w:val="lt-LT"/>
        </w:rPr>
        <w:t xml:space="preserve">Nevartokite </w:t>
      </w:r>
      <w:r w:rsidR="00AA211B">
        <w:rPr>
          <w:bCs/>
          <w:lang w:val="lt-LT"/>
        </w:rPr>
        <w:t>Ed</w:t>
      </w:r>
      <w:r w:rsidR="007643D3" w:rsidRPr="007643D3">
        <w:rPr>
          <w:bCs/>
          <w:lang w:val="lt-LT"/>
        </w:rPr>
        <w:t>uelym</w:t>
      </w:r>
      <w:r w:rsidRPr="00AB6A8A">
        <w:rPr>
          <w:bCs/>
          <w:lang w:val="lt-LT"/>
        </w:rPr>
        <w:t xml:space="preserve">, jei maitinate krūtimi. Timololio gali </w:t>
      </w:r>
      <w:r w:rsidR="002614D5">
        <w:rPr>
          <w:bCs/>
          <w:lang w:val="lt-LT"/>
        </w:rPr>
        <w:t>išsiskirti</w:t>
      </w:r>
      <w:r w:rsidR="002614D5" w:rsidRPr="00AB6A8A">
        <w:rPr>
          <w:bCs/>
          <w:lang w:val="lt-LT"/>
        </w:rPr>
        <w:t xml:space="preserve"> </w:t>
      </w:r>
      <w:r w:rsidRPr="00AB6A8A">
        <w:rPr>
          <w:bCs/>
          <w:lang w:val="lt-LT"/>
        </w:rPr>
        <w:t>į pieną.</w:t>
      </w:r>
    </w:p>
    <w:p w14:paraId="2C2185F3" w14:textId="4CE642C7" w:rsidR="00E31333" w:rsidRPr="00AB6A8A" w:rsidRDefault="00E31333" w:rsidP="007A292B">
      <w:pPr>
        <w:pStyle w:val="Betarp"/>
        <w:tabs>
          <w:tab w:val="left" w:pos="3110"/>
        </w:tabs>
        <w:rPr>
          <w:bCs/>
          <w:lang w:val="lt-LT"/>
        </w:rPr>
      </w:pPr>
      <w:r w:rsidRPr="00AB6A8A">
        <w:rPr>
          <w:bCs/>
          <w:lang w:val="lt-LT"/>
        </w:rPr>
        <w:t>Prieš pradėdami vartoti bet kokį vaistą žindymo laikotarpiu, pasitarkite su gydytoju.</w:t>
      </w:r>
    </w:p>
    <w:p w14:paraId="6C568438" w14:textId="77777777" w:rsidR="00E31333" w:rsidRPr="00AB6A8A" w:rsidRDefault="00E31333" w:rsidP="007A292B">
      <w:pPr>
        <w:pStyle w:val="Betarp"/>
        <w:tabs>
          <w:tab w:val="left" w:pos="3110"/>
        </w:tabs>
        <w:rPr>
          <w:b/>
          <w:lang w:val="lt-LT"/>
        </w:rPr>
      </w:pPr>
    </w:p>
    <w:p w14:paraId="785311A6" w14:textId="77777777" w:rsidR="00E31333" w:rsidRPr="00AB6A8A" w:rsidRDefault="007C68A4" w:rsidP="007A292B">
      <w:pPr>
        <w:pStyle w:val="Betarp"/>
        <w:rPr>
          <w:b/>
          <w:lang w:val="lt-LT"/>
        </w:rPr>
      </w:pPr>
      <w:r w:rsidRPr="00AB6A8A">
        <w:rPr>
          <w:b/>
          <w:lang w:val="lt-LT"/>
        </w:rPr>
        <w:t>Vairavimas ir mechanizmų valdymas</w:t>
      </w:r>
    </w:p>
    <w:p w14:paraId="10C01D36" w14:textId="74C4672C" w:rsidR="007C68A4" w:rsidRPr="00AB6A8A" w:rsidRDefault="00E31333" w:rsidP="007A292B">
      <w:pPr>
        <w:pStyle w:val="Betarp"/>
        <w:rPr>
          <w:b/>
          <w:lang w:val="lt-LT"/>
        </w:rPr>
      </w:pPr>
      <w:r w:rsidRPr="00AB6A8A">
        <w:rPr>
          <w:lang w:val="lt-LT"/>
        </w:rPr>
        <w:t xml:space="preserve">Pavartojus </w:t>
      </w:r>
      <w:r w:rsidR="00AA211B">
        <w:rPr>
          <w:lang w:val="lt-LT"/>
        </w:rPr>
        <w:t>Ed</w:t>
      </w:r>
      <w:r w:rsidR="007643D3" w:rsidRPr="007643D3">
        <w:rPr>
          <w:lang w:val="lt-LT"/>
        </w:rPr>
        <w:t>uelym</w:t>
      </w:r>
      <w:r w:rsidRPr="00AB6A8A">
        <w:rPr>
          <w:lang w:val="lt-LT"/>
        </w:rPr>
        <w:t>, kurį laiką matomas vaizdas gali būti neryškus. Vairuoti ir valdyti mechanizmų negalima tol, kol regėjimas vėl nebus aiškus.</w:t>
      </w:r>
    </w:p>
    <w:p w14:paraId="287B5D52" w14:textId="77777777" w:rsidR="007C68A4" w:rsidRPr="00AB6A8A" w:rsidRDefault="007C68A4" w:rsidP="007A292B">
      <w:pPr>
        <w:pStyle w:val="Betarp"/>
        <w:rPr>
          <w:lang w:val="lt-LT"/>
        </w:rPr>
      </w:pPr>
    </w:p>
    <w:p w14:paraId="1FB7E54A" w14:textId="77777777" w:rsidR="007C68A4" w:rsidRPr="00AB6A8A" w:rsidRDefault="007C68A4" w:rsidP="007A292B">
      <w:pPr>
        <w:pStyle w:val="Betarp"/>
        <w:rPr>
          <w:b/>
          <w:lang w:val="lt-LT"/>
        </w:rPr>
      </w:pPr>
    </w:p>
    <w:p w14:paraId="6CE3FAD5" w14:textId="2DB70C08" w:rsidR="007C68A4" w:rsidRPr="00AB6A8A" w:rsidRDefault="007C68A4" w:rsidP="007A292B">
      <w:pPr>
        <w:pStyle w:val="Betarp"/>
        <w:rPr>
          <w:b/>
          <w:lang w:val="lt-LT"/>
        </w:rPr>
      </w:pPr>
      <w:bookmarkStart w:id="72" w:name="_Toc129243141"/>
      <w:bookmarkStart w:id="73" w:name="_Toc129243266"/>
      <w:r w:rsidRPr="00AB6A8A">
        <w:rPr>
          <w:b/>
          <w:lang w:val="lt-LT"/>
        </w:rPr>
        <w:t>3.</w:t>
      </w:r>
      <w:r w:rsidRPr="00AB6A8A">
        <w:rPr>
          <w:b/>
          <w:lang w:val="lt-LT"/>
        </w:rPr>
        <w:tab/>
        <w:t xml:space="preserve">Kaip vartoti </w:t>
      </w:r>
      <w:bookmarkEnd w:id="72"/>
      <w:bookmarkEnd w:id="73"/>
      <w:r w:rsidR="00AA211B">
        <w:rPr>
          <w:b/>
          <w:lang w:val="lt-LT"/>
        </w:rPr>
        <w:t>Ed</w:t>
      </w:r>
      <w:r w:rsidR="007643D3" w:rsidRPr="007643D3">
        <w:rPr>
          <w:b/>
          <w:lang w:val="lt-LT"/>
        </w:rPr>
        <w:t>uelym</w:t>
      </w:r>
    </w:p>
    <w:p w14:paraId="011AAB01" w14:textId="77777777" w:rsidR="007C68A4" w:rsidRPr="00AB6A8A" w:rsidRDefault="007C68A4" w:rsidP="007A292B">
      <w:pPr>
        <w:pStyle w:val="Betarp"/>
        <w:rPr>
          <w:lang w:val="lt-LT"/>
        </w:rPr>
      </w:pPr>
    </w:p>
    <w:p w14:paraId="771EEEF2" w14:textId="77777777" w:rsidR="007C68A4" w:rsidRPr="00AB6A8A" w:rsidRDefault="007C68A4" w:rsidP="007A292B">
      <w:pPr>
        <w:pStyle w:val="Betarp"/>
        <w:rPr>
          <w:lang w:val="lt-LT"/>
        </w:rPr>
      </w:pPr>
      <w:r w:rsidRPr="00AB6A8A">
        <w:rPr>
          <w:lang w:val="lt-LT"/>
        </w:rPr>
        <w:t>Visada vartokite šį vaistą tiksliai, kaip nurodė gydytojas arba vaistininkas. Jeigu abejojate, kreipkitės į gydytoją arba vaistininką.</w:t>
      </w:r>
    </w:p>
    <w:p w14:paraId="03B137AD" w14:textId="6998F527" w:rsidR="0050521C" w:rsidRPr="00AB6A8A" w:rsidRDefault="0050521C" w:rsidP="007A292B">
      <w:pPr>
        <w:pStyle w:val="Betarp"/>
        <w:rPr>
          <w:lang w:val="lt-LT"/>
        </w:rPr>
      </w:pPr>
      <w:r w:rsidRPr="00AB6A8A">
        <w:rPr>
          <w:lang w:val="lt-LT"/>
        </w:rPr>
        <w:t>Rekomenduojama dozė yra vienas lašas vieną kartą per parą, geriausia vakare arba ryte į kiekvieną akį, kurią reikia gydyti, kasdien tuo pačiu laiku.</w:t>
      </w:r>
    </w:p>
    <w:p w14:paraId="40B19F25" w14:textId="77777777" w:rsidR="0050521C" w:rsidRPr="00AB6A8A" w:rsidRDefault="0050521C" w:rsidP="007A292B">
      <w:pPr>
        <w:pStyle w:val="Betarp"/>
        <w:rPr>
          <w:lang w:val="lt-LT"/>
        </w:rPr>
      </w:pPr>
    </w:p>
    <w:p w14:paraId="325C6184" w14:textId="09412D5C" w:rsidR="007C68A4" w:rsidRPr="00AB6A8A" w:rsidRDefault="0050521C" w:rsidP="007A292B">
      <w:pPr>
        <w:pStyle w:val="Betarp"/>
        <w:rPr>
          <w:lang w:val="lt-LT"/>
        </w:rPr>
      </w:pPr>
      <w:r w:rsidRPr="00AB6A8A">
        <w:rPr>
          <w:lang w:val="lt-LT"/>
        </w:rPr>
        <w:t xml:space="preserve">Jei vartojate </w:t>
      </w:r>
      <w:r w:rsidR="00AA211B">
        <w:rPr>
          <w:lang w:val="lt-LT"/>
        </w:rPr>
        <w:t>Ed</w:t>
      </w:r>
      <w:r w:rsidR="007643D3" w:rsidRPr="007643D3">
        <w:rPr>
          <w:lang w:val="lt-LT"/>
        </w:rPr>
        <w:t>uelym</w:t>
      </w:r>
      <w:r w:rsidRPr="00AB6A8A">
        <w:rPr>
          <w:lang w:val="lt-LT"/>
        </w:rPr>
        <w:t xml:space="preserve"> su kitu akių vaistu, jį reikia vartoti likus bent 15 minučių iki </w:t>
      </w:r>
      <w:r w:rsidR="00AA211B">
        <w:rPr>
          <w:lang w:val="lt-LT"/>
        </w:rPr>
        <w:t>Ed</w:t>
      </w:r>
      <w:r w:rsidR="007643D3" w:rsidRPr="007643D3">
        <w:rPr>
          <w:lang w:val="lt-LT"/>
        </w:rPr>
        <w:t>uelym</w:t>
      </w:r>
      <w:r w:rsidRPr="00AB6A8A">
        <w:rPr>
          <w:lang w:val="lt-LT"/>
        </w:rPr>
        <w:t xml:space="preserve">. </w:t>
      </w:r>
      <w:r w:rsidR="00AA211B">
        <w:rPr>
          <w:lang w:val="lt-LT"/>
        </w:rPr>
        <w:t>Ed</w:t>
      </w:r>
      <w:r w:rsidR="007643D3" w:rsidRPr="007643D3">
        <w:rPr>
          <w:lang w:val="lt-LT"/>
        </w:rPr>
        <w:t>uelym</w:t>
      </w:r>
      <w:r w:rsidRPr="00AB6A8A">
        <w:rPr>
          <w:lang w:val="lt-LT"/>
        </w:rPr>
        <w:t xml:space="preserve"> reikia vartoti paskutinį. Jei vartojate kitą akių tepalą ar akių gelį, pasitarkite su gydytoju.</w:t>
      </w:r>
    </w:p>
    <w:p w14:paraId="365B7906" w14:textId="77777777" w:rsidR="0050521C" w:rsidRPr="00AB6A8A" w:rsidRDefault="0050521C" w:rsidP="007A292B">
      <w:pPr>
        <w:pStyle w:val="Betarp"/>
        <w:rPr>
          <w:lang w:val="lt-LT"/>
        </w:rPr>
      </w:pPr>
    </w:p>
    <w:p w14:paraId="1D15CFF5" w14:textId="77777777" w:rsidR="007C68A4" w:rsidRPr="00AB6A8A" w:rsidRDefault="007C68A4" w:rsidP="007A292B">
      <w:pPr>
        <w:pStyle w:val="Betarp"/>
        <w:rPr>
          <w:b/>
          <w:lang w:val="lt-LT"/>
        </w:rPr>
      </w:pPr>
      <w:r w:rsidRPr="00AB6A8A">
        <w:rPr>
          <w:b/>
          <w:lang w:val="lt-LT"/>
        </w:rPr>
        <w:t>Kontaktinius lęšius nešiojantys žmonės</w:t>
      </w:r>
    </w:p>
    <w:p w14:paraId="68D7BD06" w14:textId="5687B6A4" w:rsidR="007C68A4" w:rsidRPr="00AB6A8A" w:rsidRDefault="007C68A4" w:rsidP="007A292B">
      <w:pPr>
        <w:pStyle w:val="Betarp"/>
        <w:rPr>
          <w:lang w:val="lt-LT"/>
        </w:rPr>
      </w:pPr>
      <w:r w:rsidRPr="00AB6A8A">
        <w:rPr>
          <w:lang w:val="lt-LT"/>
        </w:rPr>
        <w:t xml:space="preserve">Jeigu nešiojate kontaktinius lęšius, juos reikia išimti prieš </w:t>
      </w:r>
      <w:r w:rsidR="00AA211B">
        <w:rPr>
          <w:lang w:val="lt-LT"/>
        </w:rPr>
        <w:t>Ed</w:t>
      </w:r>
      <w:r w:rsidR="007643D3" w:rsidRPr="007643D3">
        <w:rPr>
          <w:lang w:val="lt-LT"/>
        </w:rPr>
        <w:t>uelym</w:t>
      </w:r>
      <w:r w:rsidRPr="00AB6A8A">
        <w:rPr>
          <w:lang w:val="lt-LT"/>
        </w:rPr>
        <w:t xml:space="preserve"> vartojimą. Pavartojus </w:t>
      </w:r>
      <w:r w:rsidR="00AA211B">
        <w:rPr>
          <w:lang w:val="lt-LT"/>
        </w:rPr>
        <w:t>Ed</w:t>
      </w:r>
      <w:r w:rsidR="007643D3" w:rsidRPr="007643D3">
        <w:rPr>
          <w:lang w:val="lt-LT"/>
        </w:rPr>
        <w:t>uelym</w:t>
      </w:r>
      <w:r w:rsidRPr="00AB6A8A">
        <w:rPr>
          <w:lang w:val="lt-LT"/>
        </w:rPr>
        <w:t>, vėl įsidėti kontaktinius lęšius į akis galima ne anksčiau kaip po 15</w:t>
      </w:r>
      <w:r w:rsidRPr="00AB6A8A">
        <w:rPr>
          <w:b/>
          <w:lang w:val="lt-LT"/>
        </w:rPr>
        <w:t xml:space="preserve"> </w:t>
      </w:r>
      <w:r w:rsidRPr="00AB6A8A">
        <w:rPr>
          <w:lang w:val="lt-LT"/>
        </w:rPr>
        <w:t>minučių.</w:t>
      </w:r>
    </w:p>
    <w:p w14:paraId="377B72E9" w14:textId="77777777" w:rsidR="007C68A4" w:rsidRPr="00AB6A8A" w:rsidRDefault="007C68A4" w:rsidP="007A292B">
      <w:pPr>
        <w:pStyle w:val="Betarp"/>
        <w:rPr>
          <w:b/>
          <w:lang w:val="lt-LT"/>
        </w:rPr>
      </w:pPr>
    </w:p>
    <w:p w14:paraId="15F4256C" w14:textId="77777777" w:rsidR="007C68A4" w:rsidRPr="00AB6A8A" w:rsidRDefault="007C68A4" w:rsidP="007A292B">
      <w:pPr>
        <w:pStyle w:val="Betarp"/>
        <w:rPr>
          <w:b/>
          <w:lang w:val="lt-LT"/>
        </w:rPr>
      </w:pPr>
      <w:r w:rsidRPr="00AB6A8A">
        <w:rPr>
          <w:b/>
          <w:lang w:val="lt-LT"/>
        </w:rPr>
        <w:t>Vartojimo instrukcija</w:t>
      </w:r>
    </w:p>
    <w:p w14:paraId="524C4C5E" w14:textId="45A1A8D0" w:rsidR="007C68A4" w:rsidRPr="00AB6A8A" w:rsidRDefault="007C68A4" w:rsidP="007A292B">
      <w:pPr>
        <w:pStyle w:val="Betarp"/>
        <w:rPr>
          <w:lang w:val="lt-LT"/>
        </w:rPr>
      </w:pPr>
      <w:r w:rsidRPr="00AB6A8A">
        <w:rPr>
          <w:lang w:val="lt-LT"/>
        </w:rPr>
        <w:t>Šis vaistas skirtas vartoti ant akių.</w:t>
      </w:r>
    </w:p>
    <w:p w14:paraId="541A8B76" w14:textId="77777777" w:rsidR="007C68A4" w:rsidRPr="00AB6A8A" w:rsidRDefault="007C68A4" w:rsidP="007A292B">
      <w:pPr>
        <w:pStyle w:val="Betarp"/>
        <w:rPr>
          <w:u w:val="single"/>
          <w:lang w:val="lt-LT"/>
        </w:rPr>
      </w:pPr>
    </w:p>
    <w:p w14:paraId="19651B7D" w14:textId="532CCDA3" w:rsidR="007C68A4" w:rsidRPr="00AB6A8A" w:rsidRDefault="007C68A4" w:rsidP="007A292B">
      <w:pPr>
        <w:pStyle w:val="Betarp"/>
        <w:rPr>
          <w:u w:val="single"/>
          <w:lang w:val="lt-LT"/>
        </w:rPr>
      </w:pPr>
      <w:r w:rsidRPr="00AB6A8A">
        <w:rPr>
          <w:u w:val="single"/>
          <w:lang w:val="lt-LT"/>
        </w:rPr>
        <w:t>Vartodami lašus vadovaukitės šia vartojimo instrukcija</w:t>
      </w:r>
      <w:r w:rsidR="00E55266">
        <w:rPr>
          <w:u w:val="single"/>
          <w:lang w:val="lt-LT"/>
        </w:rPr>
        <w:t>.</w:t>
      </w:r>
    </w:p>
    <w:p w14:paraId="56DC5A48" w14:textId="77777777" w:rsidR="007C68A4" w:rsidRPr="00AB6A8A" w:rsidRDefault="007C68A4" w:rsidP="007A292B">
      <w:pPr>
        <w:pStyle w:val="Betarp"/>
        <w:numPr>
          <w:ilvl w:val="0"/>
          <w:numId w:val="25"/>
        </w:numPr>
        <w:ind w:left="567" w:hanging="567"/>
        <w:rPr>
          <w:lang w:val="lt-LT"/>
        </w:rPr>
      </w:pPr>
      <w:r w:rsidRPr="00AB6A8A">
        <w:rPr>
          <w:lang w:val="lt-LT"/>
        </w:rPr>
        <w:t>Nusiplaukite rankas ir patogiai atsisėskite arba atsistokite.</w:t>
      </w:r>
    </w:p>
    <w:p w14:paraId="5E806E1F" w14:textId="32E67DDC" w:rsidR="007C68A4" w:rsidRPr="00AB6A8A" w:rsidRDefault="007C68A4" w:rsidP="007A292B">
      <w:pPr>
        <w:pStyle w:val="Betarp"/>
        <w:numPr>
          <w:ilvl w:val="0"/>
          <w:numId w:val="25"/>
        </w:numPr>
        <w:ind w:left="567" w:hanging="567"/>
        <w:rPr>
          <w:lang w:val="lt-LT"/>
        </w:rPr>
      </w:pPr>
      <w:r w:rsidRPr="00AB6A8A">
        <w:rPr>
          <w:lang w:val="lt-LT"/>
        </w:rPr>
        <w:t xml:space="preserve">Atidarykite paketėlį, kuriame yra </w:t>
      </w:r>
      <w:r w:rsidR="00F30370" w:rsidRPr="00AB6A8A">
        <w:rPr>
          <w:lang w:val="lt-LT"/>
        </w:rPr>
        <w:t>10</w:t>
      </w:r>
      <w:r w:rsidRPr="00AB6A8A">
        <w:rPr>
          <w:lang w:val="lt-LT"/>
        </w:rPr>
        <w:t xml:space="preserve"> vienadoz</w:t>
      </w:r>
      <w:r w:rsidR="00F30370" w:rsidRPr="00AB6A8A">
        <w:rPr>
          <w:lang w:val="lt-LT"/>
        </w:rPr>
        <w:t>ių</w:t>
      </w:r>
      <w:r w:rsidRPr="00AB6A8A">
        <w:rPr>
          <w:lang w:val="lt-LT"/>
        </w:rPr>
        <w:t xml:space="preserve"> talpykl</w:t>
      </w:r>
      <w:r w:rsidR="00F30370" w:rsidRPr="00AB6A8A">
        <w:rPr>
          <w:lang w:val="lt-LT"/>
        </w:rPr>
        <w:t>ių</w:t>
      </w:r>
      <w:r w:rsidRPr="00AB6A8A">
        <w:rPr>
          <w:lang w:val="lt-LT"/>
        </w:rPr>
        <w:t>.</w:t>
      </w:r>
    </w:p>
    <w:p w14:paraId="000D7FAB" w14:textId="77777777" w:rsidR="007C68A4" w:rsidRPr="00AB6A8A" w:rsidRDefault="007C68A4" w:rsidP="007A292B">
      <w:pPr>
        <w:pStyle w:val="Betarp"/>
        <w:numPr>
          <w:ilvl w:val="0"/>
          <w:numId w:val="25"/>
        </w:numPr>
        <w:ind w:left="567" w:hanging="567"/>
        <w:rPr>
          <w:lang w:val="lt-LT"/>
        </w:rPr>
      </w:pPr>
      <w:r w:rsidRPr="00AB6A8A">
        <w:rPr>
          <w:lang w:val="lt-LT"/>
        </w:rPr>
        <w:t>Nuo juostelės atskirkite vieną vienadozę talpyklę.</w:t>
      </w:r>
    </w:p>
    <w:p w14:paraId="20E785E2" w14:textId="77777777" w:rsidR="007C68A4" w:rsidRPr="00AB6A8A" w:rsidRDefault="007C68A4" w:rsidP="007A292B">
      <w:pPr>
        <w:spacing w:line="240" w:lineRule="auto"/>
        <w:rPr>
          <w:lang w:val="lt-LT"/>
        </w:rPr>
      </w:pPr>
    </w:p>
    <w:p w14:paraId="6D0802DF" w14:textId="77777777" w:rsidR="007C68A4" w:rsidRPr="00AB6A8A" w:rsidRDefault="007C68A4" w:rsidP="007A292B">
      <w:pPr>
        <w:tabs>
          <w:tab w:val="left" w:pos="567"/>
        </w:tabs>
        <w:spacing w:line="240" w:lineRule="auto"/>
        <w:jc w:val="center"/>
        <w:rPr>
          <w:lang w:val="lt-LT"/>
        </w:rPr>
      </w:pPr>
      <w:r w:rsidRPr="00AB6A8A">
        <w:rPr>
          <w:noProof/>
          <w:lang w:val="lt-LT" w:eastAsia="lt-LT"/>
        </w:rPr>
        <w:drawing>
          <wp:inline distT="0" distB="0" distL="0" distR="0" wp14:anchorId="48B2B32F" wp14:editId="0A90FA87">
            <wp:extent cx="2047875" cy="1704975"/>
            <wp:effectExtent l="0" t="0" r="9525" b="9525"/>
            <wp:docPr id="1" name="Paveikslėlis 1" descr="schema_detacher_3_unidoses-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_detacher_3_unidoses-V1-20151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1704975"/>
                    </a:xfrm>
                    <a:prstGeom prst="rect">
                      <a:avLst/>
                    </a:prstGeom>
                    <a:noFill/>
                    <a:ln>
                      <a:noFill/>
                    </a:ln>
                  </pic:spPr>
                </pic:pic>
              </a:graphicData>
            </a:graphic>
          </wp:inline>
        </w:drawing>
      </w:r>
    </w:p>
    <w:p w14:paraId="67630F55" w14:textId="77777777" w:rsidR="007C68A4" w:rsidRPr="00AB6A8A" w:rsidRDefault="007C68A4" w:rsidP="007A292B">
      <w:pPr>
        <w:tabs>
          <w:tab w:val="left" w:pos="567"/>
        </w:tabs>
        <w:spacing w:line="240" w:lineRule="auto"/>
        <w:rPr>
          <w:lang w:val="lt-LT"/>
        </w:rPr>
      </w:pPr>
    </w:p>
    <w:p w14:paraId="5E50267D" w14:textId="77777777" w:rsidR="007C68A4" w:rsidRPr="00AB6A8A" w:rsidRDefault="007C68A4" w:rsidP="007A292B">
      <w:pPr>
        <w:pStyle w:val="Betarp"/>
        <w:numPr>
          <w:ilvl w:val="0"/>
          <w:numId w:val="25"/>
        </w:numPr>
        <w:ind w:left="567" w:hanging="567"/>
        <w:rPr>
          <w:lang w:val="lt-LT"/>
        </w:rPr>
      </w:pPr>
      <w:r w:rsidRPr="00AB6A8A">
        <w:rPr>
          <w:lang w:val="lt-LT"/>
        </w:rPr>
        <w:t>Atsukite vienadozės talpyklės dangtelį, kaip parodyta. Atidarius talpyklę, nelieskite antgalio.</w:t>
      </w:r>
    </w:p>
    <w:p w14:paraId="43E177DB" w14:textId="77777777" w:rsidR="007C68A4" w:rsidRPr="00AB6A8A" w:rsidRDefault="007C68A4" w:rsidP="007A292B">
      <w:pPr>
        <w:pStyle w:val="PI-3EMEASMCA"/>
      </w:pPr>
    </w:p>
    <w:p w14:paraId="3BBFDC5C" w14:textId="77777777" w:rsidR="007C68A4" w:rsidRPr="00AB6A8A" w:rsidRDefault="007C68A4" w:rsidP="007A292B">
      <w:pPr>
        <w:pStyle w:val="PI-3EMEASMCA"/>
      </w:pPr>
      <w:r w:rsidRPr="00AB6A8A">
        <w:rPr>
          <w:noProof/>
          <w:lang w:eastAsia="lt-LT"/>
        </w:rPr>
        <w:drawing>
          <wp:inline distT="0" distB="0" distL="0" distR="0" wp14:anchorId="76E7C875" wp14:editId="35023248">
            <wp:extent cx="2038350" cy="1714500"/>
            <wp:effectExtent l="0" t="0" r="0" b="0"/>
            <wp:docPr id="2" name="Paveikslėlis 2" descr="schema_ouvrir_unidose_tourner-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_ouvrir_unidose_tourner-V1-20151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350" cy="1714500"/>
                    </a:xfrm>
                    <a:prstGeom prst="rect">
                      <a:avLst/>
                    </a:prstGeom>
                    <a:noFill/>
                    <a:ln>
                      <a:noFill/>
                    </a:ln>
                  </pic:spPr>
                </pic:pic>
              </a:graphicData>
            </a:graphic>
          </wp:inline>
        </w:drawing>
      </w:r>
    </w:p>
    <w:p w14:paraId="4A757A0E" w14:textId="77777777" w:rsidR="007C68A4" w:rsidRPr="00AB6A8A" w:rsidRDefault="007C68A4" w:rsidP="007A292B">
      <w:pPr>
        <w:pStyle w:val="PI-3EMEASMCA"/>
      </w:pPr>
    </w:p>
    <w:p w14:paraId="17D8539D" w14:textId="3085DF8C" w:rsidR="007C68A4" w:rsidRPr="00AB6A8A" w:rsidRDefault="00F30370" w:rsidP="007A292B">
      <w:pPr>
        <w:pStyle w:val="Betarp"/>
        <w:numPr>
          <w:ilvl w:val="0"/>
          <w:numId w:val="25"/>
        </w:numPr>
        <w:ind w:left="567" w:hanging="567"/>
        <w:rPr>
          <w:lang w:val="lt-LT"/>
        </w:rPr>
      </w:pPr>
      <w:r w:rsidRPr="00AB6A8A">
        <w:rPr>
          <w:lang w:val="lt-LT"/>
        </w:rPr>
        <w:t>Pirštu</w:t>
      </w:r>
      <w:r w:rsidR="007C68A4" w:rsidRPr="00AB6A8A">
        <w:rPr>
          <w:lang w:val="lt-LT"/>
        </w:rPr>
        <w:t xml:space="preserve"> švelniai patraukite žemyn pažeistos akies apatinį voką.</w:t>
      </w:r>
    </w:p>
    <w:p w14:paraId="2738CF5C" w14:textId="4AE353C7" w:rsidR="00F30370" w:rsidRPr="00AB6A8A" w:rsidRDefault="00F30370" w:rsidP="007A292B">
      <w:pPr>
        <w:pStyle w:val="Betarp"/>
        <w:numPr>
          <w:ilvl w:val="0"/>
          <w:numId w:val="25"/>
        </w:numPr>
        <w:ind w:left="567" w:hanging="567"/>
        <w:rPr>
          <w:lang w:val="lt-LT"/>
        </w:rPr>
      </w:pPr>
      <w:r w:rsidRPr="00AB6A8A">
        <w:rPr>
          <w:lang w:val="lt-LT"/>
        </w:rPr>
        <w:t>Atloškite galvą ir žiūrėkite į lubas.</w:t>
      </w:r>
    </w:p>
    <w:p w14:paraId="610C706C" w14:textId="35743D5F" w:rsidR="007C68A4" w:rsidRPr="00AB6A8A" w:rsidRDefault="00F30370" w:rsidP="007A292B">
      <w:pPr>
        <w:pStyle w:val="Sraopastraipa"/>
        <w:numPr>
          <w:ilvl w:val="0"/>
          <w:numId w:val="25"/>
        </w:numPr>
        <w:spacing w:after="0" w:line="240" w:lineRule="auto"/>
        <w:ind w:left="567" w:hanging="567"/>
        <w:rPr>
          <w:rFonts w:ascii="Times New Roman" w:hAnsi="Times New Roman"/>
        </w:rPr>
      </w:pPr>
      <w:r w:rsidRPr="00AB6A8A">
        <w:rPr>
          <w:rFonts w:ascii="Times New Roman" w:hAnsi="Times New Roman"/>
        </w:rPr>
        <w:t>Vienadozės talpyklės antgalį nukreipkite link akies, bet nelieskite jos.</w:t>
      </w:r>
    </w:p>
    <w:p w14:paraId="3541B687" w14:textId="77A4E2AD" w:rsidR="007C68A4" w:rsidRPr="00AB6A8A" w:rsidRDefault="007C68A4" w:rsidP="007A292B">
      <w:pPr>
        <w:pStyle w:val="Betarp"/>
        <w:numPr>
          <w:ilvl w:val="0"/>
          <w:numId w:val="25"/>
        </w:numPr>
        <w:ind w:left="567" w:hanging="567"/>
        <w:rPr>
          <w:lang w:val="lt-LT"/>
        </w:rPr>
      </w:pPr>
      <w:r w:rsidRPr="00AB6A8A">
        <w:rPr>
          <w:lang w:val="lt-LT"/>
        </w:rPr>
        <w:t xml:space="preserve">Švelniai spustelėkite vienadozę talpyklę, kad vienas lašas </w:t>
      </w:r>
      <w:r w:rsidR="00F30370" w:rsidRPr="00AB6A8A">
        <w:rPr>
          <w:lang w:val="lt-LT"/>
        </w:rPr>
        <w:t>patektų</w:t>
      </w:r>
      <w:r w:rsidRPr="00AB6A8A">
        <w:rPr>
          <w:lang w:val="lt-LT"/>
        </w:rPr>
        <w:t xml:space="preserve"> į akį, </w:t>
      </w:r>
      <w:r w:rsidR="00DC6D21" w:rsidRPr="00AB6A8A">
        <w:rPr>
          <w:lang w:val="lt-LT"/>
        </w:rPr>
        <w:t>tada</w:t>
      </w:r>
      <w:r w:rsidRPr="00AB6A8A">
        <w:rPr>
          <w:lang w:val="lt-LT"/>
        </w:rPr>
        <w:t xml:space="preserve"> paleiskite apatinį voką.</w:t>
      </w:r>
    </w:p>
    <w:p w14:paraId="7AE4D382" w14:textId="72EFD7A1" w:rsidR="007C68A4" w:rsidRPr="00AB6A8A" w:rsidRDefault="00DC6D21" w:rsidP="007A292B">
      <w:pPr>
        <w:spacing w:line="240" w:lineRule="auto"/>
        <w:jc w:val="center"/>
        <w:rPr>
          <w:lang w:val="lt-LT"/>
        </w:rPr>
      </w:pPr>
      <w:r w:rsidRPr="00AB6A8A">
        <w:rPr>
          <w:noProof/>
          <w:lang w:val="lt-LT" w:eastAsia="lt-LT"/>
        </w:rPr>
        <w:drawing>
          <wp:inline distT="0" distB="0" distL="0" distR="0" wp14:anchorId="2DEBFE6B" wp14:editId="26FDD562">
            <wp:extent cx="2023745" cy="1701165"/>
            <wp:effectExtent l="0" t="0" r="0" b="0"/>
            <wp:docPr id="359851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3745" cy="1701165"/>
                    </a:xfrm>
                    <a:prstGeom prst="rect">
                      <a:avLst/>
                    </a:prstGeom>
                    <a:noFill/>
                  </pic:spPr>
                </pic:pic>
              </a:graphicData>
            </a:graphic>
          </wp:inline>
        </w:drawing>
      </w:r>
    </w:p>
    <w:p w14:paraId="37930A14" w14:textId="77777777" w:rsidR="007C68A4" w:rsidRPr="00AB6A8A" w:rsidRDefault="007C68A4" w:rsidP="007A292B">
      <w:pPr>
        <w:spacing w:line="240" w:lineRule="auto"/>
        <w:rPr>
          <w:lang w:val="lt-LT"/>
        </w:rPr>
      </w:pPr>
    </w:p>
    <w:p w14:paraId="2CBB1030" w14:textId="77777777" w:rsidR="00DC6D21" w:rsidRPr="00AB6A8A" w:rsidRDefault="00DC6D21" w:rsidP="007A292B">
      <w:pPr>
        <w:pStyle w:val="Sraopastraipa"/>
        <w:numPr>
          <w:ilvl w:val="0"/>
          <w:numId w:val="25"/>
        </w:numPr>
        <w:spacing w:after="0" w:line="240" w:lineRule="auto"/>
        <w:ind w:left="567" w:hanging="567"/>
        <w:rPr>
          <w:rFonts w:ascii="Times New Roman" w:hAnsi="Times New Roman"/>
        </w:rPr>
      </w:pPr>
      <w:r w:rsidRPr="00AB6A8A">
        <w:rPr>
          <w:rFonts w:ascii="Times New Roman" w:hAnsi="Times New Roman"/>
        </w:rPr>
        <w:t>Nuvalykite skruostu tekantį vaisto perteklių. Jei nepavyko įlašinti, mėginkite dar kartą.</w:t>
      </w:r>
    </w:p>
    <w:p w14:paraId="6F791C84" w14:textId="2F7696F5" w:rsidR="007C68A4" w:rsidRPr="00AB6A8A" w:rsidRDefault="0065702B" w:rsidP="007A292B">
      <w:pPr>
        <w:pStyle w:val="Betarp"/>
        <w:numPr>
          <w:ilvl w:val="0"/>
          <w:numId w:val="25"/>
        </w:numPr>
        <w:ind w:left="567" w:hanging="567"/>
        <w:rPr>
          <w:lang w:val="lt-LT"/>
        </w:rPr>
      </w:pPr>
      <w:r w:rsidRPr="00AB6A8A">
        <w:rPr>
          <w:lang w:val="lt-LT"/>
        </w:rPr>
        <w:t xml:space="preserve">Po </w:t>
      </w:r>
      <w:r w:rsidR="00AA211B">
        <w:rPr>
          <w:lang w:val="lt-LT"/>
        </w:rPr>
        <w:t>Ed</w:t>
      </w:r>
      <w:r w:rsidR="007643D3" w:rsidRPr="007643D3">
        <w:rPr>
          <w:lang w:val="lt-LT"/>
        </w:rPr>
        <w:t>uelym</w:t>
      </w:r>
      <w:r w:rsidRPr="00AB6A8A">
        <w:rPr>
          <w:lang w:val="lt-LT"/>
        </w:rPr>
        <w:t xml:space="preserve"> vartojimo p</w:t>
      </w:r>
      <w:r w:rsidR="00DC6D21" w:rsidRPr="00AB6A8A">
        <w:rPr>
          <w:lang w:val="lt-LT"/>
        </w:rPr>
        <w:t>irštu užspauskite vidinį akies kamputį</w:t>
      </w:r>
      <w:r w:rsidRPr="00AB6A8A">
        <w:rPr>
          <w:lang w:val="lt-LT"/>
        </w:rPr>
        <w:t xml:space="preserve"> prie nosies (10 paveikslėlis) ir laikykite 2 minutes</w:t>
      </w:r>
      <w:r w:rsidR="00DC6D21" w:rsidRPr="00AB6A8A">
        <w:rPr>
          <w:lang w:val="lt-LT"/>
        </w:rPr>
        <w:t xml:space="preserve">. </w:t>
      </w:r>
      <w:r w:rsidRPr="00AB6A8A">
        <w:rPr>
          <w:lang w:val="lt-LT"/>
        </w:rPr>
        <w:t>Tai padeda sustabdyti timololio patekimą į likusį organizmą.</w:t>
      </w:r>
    </w:p>
    <w:p w14:paraId="1447D9A2" w14:textId="348E3A1E" w:rsidR="007C68A4" w:rsidRPr="00AB6A8A" w:rsidRDefault="007C68A4" w:rsidP="007A292B">
      <w:pPr>
        <w:pStyle w:val="PI-3EMEASMCA"/>
        <w:rPr>
          <w:b w:val="0"/>
        </w:rPr>
      </w:pPr>
    </w:p>
    <w:p w14:paraId="2374E210" w14:textId="1CE5997A" w:rsidR="007C68A4" w:rsidRPr="00AB6A8A" w:rsidRDefault="0065702B" w:rsidP="007A292B">
      <w:pPr>
        <w:pStyle w:val="Betarp"/>
        <w:ind w:left="3447" w:hanging="567"/>
        <w:rPr>
          <w:lang w:val="lt-LT"/>
        </w:rPr>
      </w:pPr>
      <w:r w:rsidRPr="00AB6A8A">
        <w:rPr>
          <w:noProof/>
          <w:lang w:val="lt-LT" w:eastAsia="lt-LT"/>
        </w:rPr>
        <w:drawing>
          <wp:inline distT="0" distB="0" distL="0" distR="0" wp14:anchorId="0417C37B" wp14:editId="43E40020">
            <wp:extent cx="1871345" cy="1560830"/>
            <wp:effectExtent l="0" t="0" r="0" b="1270"/>
            <wp:docPr id="14689652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1345" cy="1560830"/>
                    </a:xfrm>
                    <a:prstGeom prst="rect">
                      <a:avLst/>
                    </a:prstGeom>
                    <a:noFill/>
                  </pic:spPr>
                </pic:pic>
              </a:graphicData>
            </a:graphic>
          </wp:inline>
        </w:drawing>
      </w:r>
    </w:p>
    <w:p w14:paraId="56113ADB" w14:textId="7B9FC0D5" w:rsidR="007C68A4" w:rsidRPr="00AB6A8A" w:rsidRDefault="007C68A4" w:rsidP="007A292B">
      <w:pPr>
        <w:pStyle w:val="Betarp"/>
        <w:numPr>
          <w:ilvl w:val="0"/>
          <w:numId w:val="25"/>
        </w:numPr>
        <w:ind w:left="567" w:hanging="567"/>
        <w:rPr>
          <w:lang w:val="lt-LT"/>
        </w:rPr>
      </w:pPr>
      <w:r w:rsidRPr="00AB6A8A">
        <w:rPr>
          <w:lang w:val="lt-LT"/>
        </w:rPr>
        <w:t xml:space="preserve">Jei gydytojas nurodė, lašinkite vaistus tokiu pat būdu ir į kitą akį. Kiekvienoje vienadozėje talpyklėje yra pakankamas kiekis </w:t>
      </w:r>
      <w:r w:rsidR="00017270" w:rsidRPr="00AB6A8A">
        <w:rPr>
          <w:lang w:val="lt-LT"/>
        </w:rPr>
        <w:t>gelio</w:t>
      </w:r>
      <w:r w:rsidRPr="00AB6A8A">
        <w:rPr>
          <w:lang w:val="lt-LT"/>
        </w:rPr>
        <w:t xml:space="preserve"> abiems akims.</w:t>
      </w:r>
    </w:p>
    <w:p w14:paraId="6E0BC27E" w14:textId="7EDF555B" w:rsidR="007C68A4" w:rsidRPr="00AB6A8A" w:rsidRDefault="007C68A4" w:rsidP="007A292B">
      <w:pPr>
        <w:pStyle w:val="Betarp"/>
        <w:numPr>
          <w:ilvl w:val="0"/>
          <w:numId w:val="25"/>
        </w:numPr>
        <w:ind w:left="567" w:hanging="567"/>
        <w:rPr>
          <w:lang w:val="lt-LT"/>
        </w:rPr>
      </w:pPr>
      <w:r w:rsidRPr="00AB6A8A">
        <w:rPr>
          <w:lang w:val="lt-LT"/>
        </w:rPr>
        <w:t xml:space="preserve">Po vartojimo vienadozę talpyklę reikia išmesti. </w:t>
      </w:r>
      <w:r w:rsidR="004F0A26" w:rsidRPr="00AB6A8A">
        <w:rPr>
          <w:lang w:val="lt-LT"/>
        </w:rPr>
        <w:t>Nelaikykite jos, kad galėtumėte vėl naudoti. Kadangi atidarius atskirą vienadozę talpyklę negalima išlaikyti sterilumo (akių gelis be konservantų), jis gali būti užterštas, jei nebus naudojamas iš karto. Prieš kiekvieną naudojimą reikia atidaryti naują talpyklę.</w:t>
      </w:r>
    </w:p>
    <w:p w14:paraId="54313AEE" w14:textId="32BD92DB" w:rsidR="007C68A4" w:rsidRPr="00AB6A8A" w:rsidRDefault="007C68A4" w:rsidP="007A292B">
      <w:pPr>
        <w:pStyle w:val="Betarp"/>
        <w:numPr>
          <w:ilvl w:val="0"/>
          <w:numId w:val="25"/>
        </w:numPr>
        <w:ind w:left="567" w:hanging="567"/>
        <w:rPr>
          <w:lang w:val="lt-LT"/>
        </w:rPr>
      </w:pPr>
      <w:r w:rsidRPr="00AB6A8A">
        <w:rPr>
          <w:lang w:val="lt-LT"/>
        </w:rPr>
        <w:t xml:space="preserve">Neatidarytas vienadozes talpykles įdėkite atgal į paketėlį. </w:t>
      </w:r>
      <w:r w:rsidR="00E17A57" w:rsidRPr="00AB6A8A">
        <w:rPr>
          <w:lang w:val="lt-LT"/>
        </w:rPr>
        <w:t>Atidarius paketėlį, neatidaryta talpyklė turi būti sunaudota per 1 mėnesį.</w:t>
      </w:r>
    </w:p>
    <w:p w14:paraId="406D5A4B" w14:textId="77777777" w:rsidR="007C68A4" w:rsidRPr="00AB6A8A" w:rsidRDefault="007C68A4" w:rsidP="007A292B">
      <w:pPr>
        <w:pStyle w:val="Betarp"/>
        <w:rPr>
          <w:lang w:val="lt-LT"/>
        </w:rPr>
      </w:pPr>
    </w:p>
    <w:p w14:paraId="3E2DD41A" w14:textId="78D9C36C" w:rsidR="007C68A4" w:rsidRPr="00AB6A8A" w:rsidRDefault="007C68A4" w:rsidP="007A292B">
      <w:pPr>
        <w:pStyle w:val="Betarp"/>
        <w:rPr>
          <w:b/>
          <w:lang w:val="lt-LT"/>
        </w:rPr>
      </w:pPr>
      <w:r w:rsidRPr="00AB6A8A">
        <w:rPr>
          <w:b/>
          <w:lang w:val="lt-LT"/>
        </w:rPr>
        <w:t xml:space="preserve">Ką daryti pavartojus per didelę </w:t>
      </w:r>
      <w:r w:rsidR="00AA211B">
        <w:rPr>
          <w:b/>
          <w:lang w:val="lt-LT"/>
        </w:rPr>
        <w:t>Ed</w:t>
      </w:r>
      <w:r w:rsidR="007643D3" w:rsidRPr="007643D3">
        <w:rPr>
          <w:b/>
          <w:lang w:val="lt-LT"/>
        </w:rPr>
        <w:t>uelym</w:t>
      </w:r>
      <w:r w:rsidRPr="00AB6A8A">
        <w:rPr>
          <w:b/>
          <w:lang w:val="lt-LT"/>
        </w:rPr>
        <w:t xml:space="preserve"> dozę</w:t>
      </w:r>
    </w:p>
    <w:p w14:paraId="3D157B13" w14:textId="552B04F0" w:rsidR="007C68A4" w:rsidRPr="00AB6A8A" w:rsidRDefault="00E42598" w:rsidP="007A292B">
      <w:pPr>
        <w:pStyle w:val="Betarp"/>
        <w:rPr>
          <w:lang w:val="lt-LT"/>
        </w:rPr>
      </w:pPr>
      <w:r w:rsidRPr="00AB6A8A">
        <w:rPr>
          <w:lang w:val="lt-LT"/>
        </w:rPr>
        <w:t xml:space="preserve">Pavartojus per didelę </w:t>
      </w:r>
      <w:r w:rsidR="00AA211B">
        <w:rPr>
          <w:lang w:val="lt-LT"/>
        </w:rPr>
        <w:t>Ed</w:t>
      </w:r>
      <w:r w:rsidR="007643D3" w:rsidRPr="007643D3">
        <w:rPr>
          <w:lang w:val="lt-LT"/>
        </w:rPr>
        <w:t>uelym</w:t>
      </w:r>
      <w:r w:rsidRPr="00AB6A8A">
        <w:rPr>
          <w:lang w:val="lt-LT"/>
        </w:rPr>
        <w:t xml:space="preserve"> dozę, </w:t>
      </w:r>
      <w:r w:rsidR="001F3FAE">
        <w:rPr>
          <w:lang w:val="lt-LT"/>
        </w:rPr>
        <w:t>mažai tikėtina, kad tai Jums pakenks.</w:t>
      </w:r>
      <w:r w:rsidRPr="00AB6A8A">
        <w:rPr>
          <w:lang w:val="lt-LT"/>
        </w:rPr>
        <w:t xml:space="preserve"> Atėjus kitam lašinimo laikui, įsilašinkite kitą dozę. Jei neramu, pasikalbėkite su gydytoju arba vaistininku.</w:t>
      </w:r>
    </w:p>
    <w:p w14:paraId="6317B1C4" w14:textId="77777777" w:rsidR="007C68A4" w:rsidRPr="00AB6A8A" w:rsidRDefault="007C68A4" w:rsidP="007A292B">
      <w:pPr>
        <w:pStyle w:val="Betarp"/>
        <w:rPr>
          <w:b/>
          <w:lang w:val="lt-LT"/>
        </w:rPr>
      </w:pPr>
    </w:p>
    <w:p w14:paraId="1A5ABDD1" w14:textId="4982CBFE" w:rsidR="0049407C" w:rsidRPr="00AB6A8A" w:rsidRDefault="007C68A4" w:rsidP="007A292B">
      <w:pPr>
        <w:pStyle w:val="Betarp"/>
        <w:rPr>
          <w:lang w:val="lt-LT"/>
        </w:rPr>
      </w:pPr>
      <w:r w:rsidRPr="00AB6A8A">
        <w:rPr>
          <w:b/>
          <w:lang w:val="lt-LT"/>
        </w:rPr>
        <w:t xml:space="preserve">Pamiršus pavartoti </w:t>
      </w:r>
      <w:r w:rsidR="00AA211B">
        <w:rPr>
          <w:b/>
          <w:lang w:val="lt-LT"/>
        </w:rPr>
        <w:t>Ed</w:t>
      </w:r>
      <w:r w:rsidR="007643D3" w:rsidRPr="007643D3">
        <w:rPr>
          <w:b/>
          <w:lang w:val="lt-LT"/>
        </w:rPr>
        <w:t>uelym</w:t>
      </w:r>
    </w:p>
    <w:p w14:paraId="25B18D42" w14:textId="39D89CC0" w:rsidR="006D65B4" w:rsidRPr="00AB6A8A" w:rsidRDefault="006D65B4" w:rsidP="007A292B">
      <w:pPr>
        <w:pStyle w:val="Betarp"/>
        <w:rPr>
          <w:lang w:val="lt-LT"/>
        </w:rPr>
      </w:pPr>
      <w:r w:rsidRPr="00AB6A8A">
        <w:rPr>
          <w:lang w:val="lt-LT"/>
        </w:rPr>
        <w:t xml:space="preserve">Jei pamiršote pavartoti </w:t>
      </w:r>
      <w:r w:rsidR="00AA211B">
        <w:rPr>
          <w:lang w:val="lt-LT"/>
        </w:rPr>
        <w:t>Ed</w:t>
      </w:r>
      <w:r w:rsidR="007643D3" w:rsidRPr="007643D3">
        <w:rPr>
          <w:lang w:val="lt-LT"/>
        </w:rPr>
        <w:t>uelym</w:t>
      </w:r>
      <w:r w:rsidRPr="00AB6A8A">
        <w:rPr>
          <w:lang w:val="lt-LT"/>
        </w:rPr>
        <w:t>, vartokite įprastą dozę įprastu laiku. Nevartokite dvigubos dozės norint kompensuoti praleistą dozę.</w:t>
      </w:r>
    </w:p>
    <w:p w14:paraId="38C8AD0B" w14:textId="77777777" w:rsidR="007C68A4" w:rsidRPr="00AB6A8A" w:rsidRDefault="007C68A4" w:rsidP="007A292B">
      <w:pPr>
        <w:pStyle w:val="Betarp"/>
        <w:rPr>
          <w:b/>
          <w:lang w:val="lt-LT"/>
        </w:rPr>
      </w:pPr>
    </w:p>
    <w:p w14:paraId="4459AF16" w14:textId="4602448C" w:rsidR="006D65B4" w:rsidRPr="00AB6A8A" w:rsidRDefault="006D65B4" w:rsidP="007A292B">
      <w:pPr>
        <w:pStyle w:val="Betarp"/>
        <w:rPr>
          <w:b/>
          <w:lang w:val="lt-LT"/>
        </w:rPr>
      </w:pPr>
      <w:r w:rsidRPr="00AB6A8A">
        <w:rPr>
          <w:b/>
          <w:lang w:val="lt-LT"/>
        </w:rPr>
        <w:t xml:space="preserve">Nustojus vartoti </w:t>
      </w:r>
      <w:r w:rsidR="00AA211B">
        <w:rPr>
          <w:b/>
          <w:lang w:val="lt-LT"/>
        </w:rPr>
        <w:t>Ed</w:t>
      </w:r>
      <w:r w:rsidR="007643D3" w:rsidRPr="007643D3">
        <w:rPr>
          <w:b/>
          <w:lang w:val="lt-LT"/>
        </w:rPr>
        <w:t>uelym</w:t>
      </w:r>
    </w:p>
    <w:p w14:paraId="3F9EB89B" w14:textId="7CCCDCB2" w:rsidR="006D65B4" w:rsidRPr="00AB6A8A" w:rsidRDefault="003F020B" w:rsidP="007A292B">
      <w:pPr>
        <w:pStyle w:val="Betarp"/>
        <w:rPr>
          <w:bCs/>
          <w:lang w:val="lt-LT"/>
        </w:rPr>
      </w:pPr>
      <w:r>
        <w:rPr>
          <w:bCs/>
          <w:lang w:val="lt-LT"/>
        </w:rPr>
        <w:t>Kad</w:t>
      </w:r>
      <w:r w:rsidR="005D062F">
        <w:rPr>
          <w:bCs/>
          <w:lang w:val="lt-LT"/>
        </w:rPr>
        <w:t xml:space="preserve"> Eduelym</w:t>
      </w:r>
      <w:r w:rsidR="006D65B4" w:rsidRPr="00AB6A8A">
        <w:rPr>
          <w:bCs/>
          <w:lang w:val="lt-LT"/>
        </w:rPr>
        <w:t xml:space="preserve"> tinkamai veiktų, </w:t>
      </w:r>
      <w:r w:rsidR="005D062F">
        <w:rPr>
          <w:bCs/>
          <w:lang w:val="lt-LT"/>
        </w:rPr>
        <w:t>jo</w:t>
      </w:r>
      <w:r w:rsidR="005D062F" w:rsidRPr="00AB6A8A">
        <w:rPr>
          <w:bCs/>
          <w:lang w:val="lt-LT"/>
        </w:rPr>
        <w:t xml:space="preserve"> </w:t>
      </w:r>
      <w:r w:rsidR="006D65B4" w:rsidRPr="00AB6A8A">
        <w:rPr>
          <w:bCs/>
          <w:lang w:val="lt-LT"/>
        </w:rPr>
        <w:t xml:space="preserve">reikia vartoti kiekvieną dieną. Nustojus vartoti </w:t>
      </w:r>
      <w:r w:rsidR="00AA211B">
        <w:rPr>
          <w:bCs/>
          <w:lang w:val="lt-LT"/>
        </w:rPr>
        <w:t>Ed</w:t>
      </w:r>
      <w:r w:rsidR="007643D3" w:rsidRPr="007643D3">
        <w:rPr>
          <w:bCs/>
          <w:lang w:val="lt-LT"/>
        </w:rPr>
        <w:t>uelym</w:t>
      </w:r>
      <w:r w:rsidR="006D65B4" w:rsidRPr="00AB6A8A">
        <w:rPr>
          <w:bCs/>
          <w:lang w:val="lt-LT"/>
        </w:rPr>
        <w:t>, gali padidėti akispūdis, todėl prieš nutraukdami gydymą pasitarkite su gydytoju.</w:t>
      </w:r>
    </w:p>
    <w:p w14:paraId="20C708FD" w14:textId="77777777" w:rsidR="006D65B4" w:rsidRPr="00AB6A8A" w:rsidRDefault="006D65B4" w:rsidP="007A292B">
      <w:pPr>
        <w:pStyle w:val="Betarp"/>
        <w:rPr>
          <w:bCs/>
          <w:lang w:val="lt-LT"/>
        </w:rPr>
      </w:pPr>
    </w:p>
    <w:p w14:paraId="35B18654" w14:textId="33500B1C" w:rsidR="006D65B4" w:rsidRPr="00AB6A8A" w:rsidRDefault="006D65B4" w:rsidP="007A292B">
      <w:pPr>
        <w:pStyle w:val="Betarp"/>
        <w:rPr>
          <w:bCs/>
          <w:lang w:val="lt-LT"/>
        </w:rPr>
      </w:pPr>
      <w:r w:rsidRPr="00AB6A8A">
        <w:rPr>
          <w:bCs/>
          <w:lang w:val="lt-LT"/>
        </w:rPr>
        <w:t>Jeigu kiltų daugiau klausimų dėl šio vaisto vartojimo, kreipkitės į gydytoją arba vaistininką.</w:t>
      </w:r>
    </w:p>
    <w:p w14:paraId="39222DA5" w14:textId="77777777" w:rsidR="006D65B4" w:rsidRPr="00AB6A8A" w:rsidRDefault="006D65B4" w:rsidP="007A292B">
      <w:pPr>
        <w:pStyle w:val="Betarp"/>
        <w:rPr>
          <w:b/>
          <w:lang w:val="lt-LT"/>
        </w:rPr>
      </w:pPr>
    </w:p>
    <w:p w14:paraId="05A34894" w14:textId="77777777" w:rsidR="007C68A4" w:rsidRPr="00AB6A8A" w:rsidRDefault="007C68A4" w:rsidP="007A292B">
      <w:pPr>
        <w:pStyle w:val="Betarp"/>
        <w:rPr>
          <w:b/>
          <w:lang w:val="lt-LT"/>
        </w:rPr>
      </w:pPr>
      <w:bookmarkStart w:id="74" w:name="_Toc129243142"/>
      <w:bookmarkStart w:id="75" w:name="_Toc129243267"/>
      <w:r w:rsidRPr="00AB6A8A">
        <w:rPr>
          <w:b/>
          <w:lang w:val="lt-LT"/>
        </w:rPr>
        <w:t>4.</w:t>
      </w:r>
      <w:r w:rsidRPr="00AB6A8A">
        <w:rPr>
          <w:b/>
          <w:lang w:val="lt-LT"/>
        </w:rPr>
        <w:tab/>
        <w:t>Galimas šalutinis poveikis</w:t>
      </w:r>
      <w:bookmarkEnd w:id="74"/>
      <w:bookmarkEnd w:id="75"/>
    </w:p>
    <w:p w14:paraId="6424177A" w14:textId="77777777" w:rsidR="007C68A4" w:rsidRPr="00AB6A8A" w:rsidRDefault="007C68A4" w:rsidP="007A292B">
      <w:pPr>
        <w:pStyle w:val="Betarp"/>
        <w:rPr>
          <w:lang w:val="lt-LT"/>
        </w:rPr>
      </w:pPr>
    </w:p>
    <w:p w14:paraId="57A5889F" w14:textId="5A3B9BB6" w:rsidR="007C68A4" w:rsidRDefault="007C68A4" w:rsidP="007A292B">
      <w:pPr>
        <w:pStyle w:val="Betarp"/>
        <w:rPr>
          <w:lang w:val="lt-LT"/>
        </w:rPr>
      </w:pPr>
      <w:r w:rsidRPr="00AB6A8A">
        <w:rPr>
          <w:lang w:val="lt-LT"/>
        </w:rPr>
        <w:t>Šis vaistas, kaip ir visi kiti, gali sukelti šalutinį poveikį, nors jis pasireiškia ne visiems žmonėms.</w:t>
      </w:r>
    </w:p>
    <w:p w14:paraId="0CB633D8" w14:textId="77777777" w:rsidR="00AB28A6" w:rsidRPr="00AB6A8A" w:rsidRDefault="00AB28A6" w:rsidP="007A292B">
      <w:pPr>
        <w:pStyle w:val="Betarp"/>
        <w:rPr>
          <w:lang w:val="lt-LT"/>
        </w:rPr>
      </w:pPr>
    </w:p>
    <w:p w14:paraId="04772BC9" w14:textId="2AB63A7E" w:rsidR="007C68A4" w:rsidRPr="00AB6A8A" w:rsidRDefault="007C68A4" w:rsidP="007A292B">
      <w:pPr>
        <w:pStyle w:val="Betarp"/>
        <w:rPr>
          <w:lang w:val="lt-LT"/>
        </w:rPr>
      </w:pPr>
      <w:r w:rsidRPr="00AB6A8A">
        <w:rPr>
          <w:lang w:val="lt-LT"/>
        </w:rPr>
        <w:t xml:space="preserve">Paprastai lašų vartojimą galima tęsti, nebent pasireiškia sunkus poveikis. Jei Jums neramu, pasitarkite su gydytoju arba vaistininku. Nenutraukite </w:t>
      </w:r>
      <w:r w:rsidR="00AA211B">
        <w:rPr>
          <w:lang w:val="lt-LT"/>
        </w:rPr>
        <w:t>Ed</w:t>
      </w:r>
      <w:r w:rsidR="007643D3" w:rsidRPr="007643D3">
        <w:rPr>
          <w:lang w:val="lt-LT"/>
        </w:rPr>
        <w:t>uelym</w:t>
      </w:r>
      <w:r w:rsidRPr="00AB6A8A">
        <w:rPr>
          <w:lang w:val="lt-LT"/>
        </w:rPr>
        <w:t xml:space="preserve"> vartojimo nepasitarę su gydytoju.</w:t>
      </w:r>
    </w:p>
    <w:p w14:paraId="6AD76056" w14:textId="77777777" w:rsidR="007C68A4" w:rsidRPr="00AB6A8A" w:rsidRDefault="007C68A4" w:rsidP="007A292B">
      <w:pPr>
        <w:pStyle w:val="BTEMEASMCA"/>
      </w:pPr>
    </w:p>
    <w:p w14:paraId="7F077E1E" w14:textId="709410E4" w:rsidR="008670EC" w:rsidRPr="00AB6A8A" w:rsidRDefault="008670EC" w:rsidP="007A292B">
      <w:pPr>
        <w:pStyle w:val="Betarp"/>
        <w:rPr>
          <w:lang w:val="lt-LT"/>
        </w:rPr>
      </w:pPr>
      <w:r w:rsidRPr="00AB6A8A">
        <w:rPr>
          <w:lang w:val="lt-LT"/>
        </w:rPr>
        <w:t xml:space="preserve">Vartojant </w:t>
      </w:r>
      <w:r w:rsidR="00AA211B">
        <w:rPr>
          <w:lang w:val="lt-LT"/>
        </w:rPr>
        <w:t>Ed</w:t>
      </w:r>
      <w:r w:rsidR="007643D3" w:rsidRPr="007643D3">
        <w:rPr>
          <w:lang w:val="lt-LT"/>
        </w:rPr>
        <w:t>uelym</w:t>
      </w:r>
      <w:r w:rsidRPr="00AB6A8A">
        <w:rPr>
          <w:lang w:val="lt-LT"/>
        </w:rPr>
        <w:t xml:space="preserve"> buvo pastebėtas </w:t>
      </w:r>
      <w:r w:rsidR="003B6D63">
        <w:rPr>
          <w:lang w:val="lt-LT"/>
        </w:rPr>
        <w:t>toliau išvardytas</w:t>
      </w:r>
      <w:r w:rsidR="003B6D63" w:rsidRPr="00AB6A8A">
        <w:rPr>
          <w:lang w:val="lt-LT"/>
        </w:rPr>
        <w:t xml:space="preserve"> </w:t>
      </w:r>
      <w:r w:rsidRPr="00AB6A8A">
        <w:rPr>
          <w:lang w:val="lt-LT"/>
        </w:rPr>
        <w:t>šalutinis poveikis</w:t>
      </w:r>
      <w:r w:rsidR="003B6D63">
        <w:rPr>
          <w:lang w:val="lt-LT"/>
        </w:rPr>
        <w:t>.</w:t>
      </w:r>
    </w:p>
    <w:p w14:paraId="7D4FB130" w14:textId="77777777" w:rsidR="008670EC" w:rsidRPr="00AB6A8A" w:rsidRDefault="008670EC" w:rsidP="007A292B">
      <w:pPr>
        <w:pStyle w:val="Betarp"/>
        <w:rPr>
          <w:lang w:val="lt-LT"/>
        </w:rPr>
      </w:pPr>
    </w:p>
    <w:p w14:paraId="38FCEEEA" w14:textId="5A664D37" w:rsidR="008670EC" w:rsidRPr="00AB6A8A" w:rsidRDefault="008670EC" w:rsidP="007A292B">
      <w:pPr>
        <w:pStyle w:val="Betarp"/>
        <w:rPr>
          <w:b/>
          <w:bCs/>
          <w:lang w:val="lt-LT"/>
        </w:rPr>
      </w:pPr>
      <w:r w:rsidRPr="00AB6A8A">
        <w:rPr>
          <w:b/>
          <w:bCs/>
          <w:lang w:val="lt-LT"/>
        </w:rPr>
        <w:t>Labai dažni šalutinio poveikio reiškiniai (gali pasireikšti ne rečiau kaip 1 iš 10 asmenų):</w:t>
      </w:r>
    </w:p>
    <w:p w14:paraId="0906529A" w14:textId="77777777" w:rsidR="00143B62" w:rsidRPr="00AB6A8A" w:rsidRDefault="00143B62" w:rsidP="007A292B">
      <w:pPr>
        <w:pStyle w:val="Betarp"/>
        <w:rPr>
          <w:u w:val="single"/>
          <w:lang w:val="lt-LT"/>
        </w:rPr>
      </w:pPr>
      <w:r w:rsidRPr="00AB6A8A">
        <w:rPr>
          <w:u w:val="single"/>
          <w:lang w:val="lt-LT"/>
        </w:rPr>
        <w:t>Akių sutrikimai</w:t>
      </w:r>
    </w:p>
    <w:p w14:paraId="4B8BB3B4" w14:textId="1C472ED9" w:rsidR="007C68A4" w:rsidRPr="00AB6A8A" w:rsidRDefault="008670EC" w:rsidP="007A292B">
      <w:pPr>
        <w:pStyle w:val="Betarp"/>
        <w:numPr>
          <w:ilvl w:val="0"/>
          <w:numId w:val="23"/>
        </w:numPr>
        <w:ind w:left="567" w:hanging="567"/>
        <w:rPr>
          <w:lang w:val="lt-LT"/>
        </w:rPr>
      </w:pPr>
      <w:r w:rsidRPr="00AB6A8A">
        <w:rPr>
          <w:lang w:val="lt-LT"/>
        </w:rPr>
        <w:t>akies paraudimas.</w:t>
      </w:r>
    </w:p>
    <w:p w14:paraId="2F95262A" w14:textId="77777777" w:rsidR="008670EC" w:rsidRPr="00AB6A8A" w:rsidRDefault="008670EC" w:rsidP="007A292B">
      <w:pPr>
        <w:pStyle w:val="Betarp"/>
        <w:rPr>
          <w:u w:val="single"/>
          <w:lang w:val="lt-LT"/>
        </w:rPr>
      </w:pPr>
    </w:p>
    <w:p w14:paraId="567F960A" w14:textId="00879C00" w:rsidR="008670EC" w:rsidRPr="00AB6A8A" w:rsidRDefault="008670EC" w:rsidP="007A292B">
      <w:pPr>
        <w:pStyle w:val="Betarp"/>
        <w:rPr>
          <w:b/>
          <w:bCs/>
          <w:lang w:val="lt-LT"/>
        </w:rPr>
      </w:pPr>
      <w:r w:rsidRPr="00AB6A8A">
        <w:rPr>
          <w:b/>
          <w:bCs/>
          <w:lang w:val="lt-LT"/>
        </w:rPr>
        <w:t>Dažni šalutinio poveikio reiškiniai (gali pasireikšti rečiau kaip 1 iš 10 asmenų):</w:t>
      </w:r>
    </w:p>
    <w:p w14:paraId="088D6CE7" w14:textId="117A5E01" w:rsidR="008670EC" w:rsidRPr="00AB6A8A" w:rsidRDefault="00143B62" w:rsidP="007A292B">
      <w:pPr>
        <w:pStyle w:val="Betarp"/>
        <w:rPr>
          <w:u w:val="single"/>
          <w:lang w:val="lt-LT"/>
        </w:rPr>
      </w:pPr>
      <w:r w:rsidRPr="00AB6A8A">
        <w:rPr>
          <w:u w:val="single"/>
          <w:lang w:val="lt-LT"/>
        </w:rPr>
        <w:t>Akių sutrikimai</w:t>
      </w:r>
    </w:p>
    <w:p w14:paraId="20008CC4" w14:textId="1F69B63E" w:rsidR="008670EC" w:rsidRPr="00AB6A8A" w:rsidRDefault="008670EC" w:rsidP="007A292B">
      <w:pPr>
        <w:pStyle w:val="Betarp"/>
        <w:ind w:left="567" w:hanging="567"/>
        <w:rPr>
          <w:lang w:val="lt-LT"/>
        </w:rPr>
      </w:pPr>
      <w:r w:rsidRPr="00AB6A8A">
        <w:rPr>
          <w:lang w:val="lt-LT"/>
        </w:rPr>
        <w:t xml:space="preserve">- </w:t>
      </w:r>
      <w:r w:rsidRPr="00AB6A8A">
        <w:rPr>
          <w:lang w:val="lt-LT"/>
        </w:rPr>
        <w:tab/>
      </w:r>
      <w:r w:rsidR="001E404B">
        <w:rPr>
          <w:lang w:val="lt-LT"/>
        </w:rPr>
        <w:t>sausos akys;</w:t>
      </w:r>
    </w:p>
    <w:p w14:paraId="502500E3" w14:textId="3581284A" w:rsidR="008670EC" w:rsidRPr="00AB6A8A" w:rsidRDefault="008670EC" w:rsidP="007A292B">
      <w:pPr>
        <w:pStyle w:val="Betarp"/>
        <w:ind w:left="567" w:hanging="567"/>
        <w:rPr>
          <w:lang w:val="lt-LT"/>
        </w:rPr>
      </w:pPr>
      <w:r w:rsidRPr="00AB6A8A">
        <w:rPr>
          <w:lang w:val="lt-LT"/>
        </w:rPr>
        <w:t xml:space="preserve">- </w:t>
      </w:r>
      <w:r w:rsidRPr="00AB6A8A">
        <w:rPr>
          <w:lang w:val="lt-LT"/>
        </w:rPr>
        <w:tab/>
        <w:t>akių dirginimas</w:t>
      </w:r>
      <w:r w:rsidR="001E404B">
        <w:rPr>
          <w:lang w:val="lt-LT"/>
        </w:rPr>
        <w:t>;</w:t>
      </w:r>
    </w:p>
    <w:p w14:paraId="369FDB75" w14:textId="36F36877" w:rsidR="008670EC" w:rsidRPr="00AB6A8A" w:rsidRDefault="008670EC" w:rsidP="007A292B">
      <w:pPr>
        <w:pStyle w:val="Betarp"/>
        <w:ind w:left="567" w:hanging="567"/>
        <w:rPr>
          <w:lang w:val="lt-LT"/>
        </w:rPr>
      </w:pPr>
      <w:r w:rsidRPr="00AB6A8A">
        <w:rPr>
          <w:lang w:val="lt-LT"/>
        </w:rPr>
        <w:t xml:space="preserve">- </w:t>
      </w:r>
      <w:r w:rsidRPr="00AB6A8A">
        <w:rPr>
          <w:lang w:val="lt-LT"/>
        </w:rPr>
        <w:tab/>
        <w:t>svetimkūnio pojūtis akyje</w:t>
      </w:r>
      <w:r w:rsidR="001E404B">
        <w:rPr>
          <w:lang w:val="lt-LT"/>
        </w:rPr>
        <w:t>;</w:t>
      </w:r>
    </w:p>
    <w:p w14:paraId="55F56874" w14:textId="16D7AAAD" w:rsidR="008670EC" w:rsidRPr="00AB6A8A" w:rsidRDefault="008670EC" w:rsidP="007A292B">
      <w:pPr>
        <w:pStyle w:val="Betarp"/>
        <w:ind w:left="567" w:hanging="567"/>
        <w:rPr>
          <w:lang w:val="lt-LT"/>
        </w:rPr>
      </w:pPr>
      <w:r w:rsidRPr="00AB6A8A">
        <w:rPr>
          <w:lang w:val="lt-LT"/>
        </w:rPr>
        <w:t xml:space="preserve">- </w:t>
      </w:r>
      <w:r w:rsidRPr="00AB6A8A">
        <w:rPr>
          <w:lang w:val="lt-LT"/>
        </w:rPr>
        <w:tab/>
        <w:t>akių niežėjimas.</w:t>
      </w:r>
    </w:p>
    <w:p w14:paraId="3F2041A6" w14:textId="77777777" w:rsidR="007C68A4" w:rsidRPr="00AB6A8A" w:rsidRDefault="007C68A4" w:rsidP="007A292B">
      <w:pPr>
        <w:pStyle w:val="Betarp"/>
        <w:rPr>
          <w:b/>
          <w:lang w:val="lt-LT"/>
        </w:rPr>
      </w:pPr>
    </w:p>
    <w:p w14:paraId="1BBF68D3" w14:textId="69AB2D18" w:rsidR="00E7062E" w:rsidRPr="00AB6A8A" w:rsidRDefault="00E7062E" w:rsidP="007A292B">
      <w:pPr>
        <w:pStyle w:val="Betarp"/>
        <w:rPr>
          <w:b/>
          <w:lang w:val="lt-LT"/>
        </w:rPr>
      </w:pPr>
      <w:r w:rsidRPr="00AB6A8A">
        <w:rPr>
          <w:b/>
          <w:lang w:val="lt-LT"/>
        </w:rPr>
        <w:t>Nedažni šalutinio poveikio reiškiniai (gali pasireikšti rečiau kaip 1 iš 100 asmenų):</w:t>
      </w:r>
    </w:p>
    <w:p w14:paraId="67D3E299" w14:textId="77777777" w:rsidR="008D4EC3" w:rsidRDefault="008D4EC3" w:rsidP="007A292B">
      <w:pPr>
        <w:pStyle w:val="Betarp"/>
        <w:rPr>
          <w:u w:val="single"/>
          <w:lang w:val="lt-LT"/>
        </w:rPr>
      </w:pPr>
      <w:r w:rsidRPr="00AB6A8A">
        <w:rPr>
          <w:u w:val="single"/>
          <w:lang w:val="lt-LT"/>
        </w:rPr>
        <w:t>Akių sutrikimai</w:t>
      </w:r>
    </w:p>
    <w:p w14:paraId="363AC04A" w14:textId="32FB5EF2" w:rsidR="00D71D4B" w:rsidRPr="00AB6A8A" w:rsidRDefault="00D71D4B" w:rsidP="00345F83">
      <w:pPr>
        <w:pStyle w:val="Betarp"/>
        <w:numPr>
          <w:ilvl w:val="0"/>
          <w:numId w:val="33"/>
        </w:numPr>
        <w:ind w:left="567" w:hanging="567"/>
        <w:rPr>
          <w:u w:val="single"/>
          <w:lang w:val="lt-LT"/>
        </w:rPr>
      </w:pPr>
      <w:r>
        <w:rPr>
          <w:u w:val="single"/>
          <w:lang w:val="lt-LT"/>
        </w:rPr>
        <w:t>n</w:t>
      </w:r>
      <w:r w:rsidRPr="00D71D4B">
        <w:rPr>
          <w:u w:val="single"/>
          <w:lang w:val="lt-LT"/>
        </w:rPr>
        <w:t>edideli akies paviršiaus įtrūkimai, su uždegimu arba be jo</w:t>
      </w:r>
      <w:r w:rsidR="001E404B">
        <w:rPr>
          <w:u w:val="single"/>
          <w:lang w:val="lt-LT"/>
        </w:rPr>
        <w:t>;</w:t>
      </w:r>
    </w:p>
    <w:p w14:paraId="68CBA518" w14:textId="707628DA" w:rsidR="008D4EC3" w:rsidRPr="00AB6A8A" w:rsidRDefault="008D4EC3" w:rsidP="007A292B">
      <w:pPr>
        <w:pStyle w:val="Betarp"/>
        <w:ind w:left="567" w:hanging="567"/>
        <w:rPr>
          <w:bCs/>
          <w:lang w:val="lt-LT"/>
        </w:rPr>
      </w:pPr>
      <w:r w:rsidRPr="00AB6A8A">
        <w:rPr>
          <w:bCs/>
          <w:lang w:val="lt-LT"/>
        </w:rPr>
        <w:t>-</w:t>
      </w:r>
      <w:r w:rsidRPr="00AB6A8A">
        <w:rPr>
          <w:bCs/>
          <w:lang w:val="lt-LT"/>
        </w:rPr>
        <w:tab/>
        <w:t>patamsėjusi akių vokų spalva</w:t>
      </w:r>
      <w:r w:rsidR="001E404B">
        <w:rPr>
          <w:bCs/>
          <w:lang w:val="lt-LT"/>
        </w:rPr>
        <w:t>;</w:t>
      </w:r>
    </w:p>
    <w:p w14:paraId="67897BD5" w14:textId="000A2338" w:rsidR="008D4EC3" w:rsidRPr="00AB6A8A" w:rsidRDefault="008D4EC3" w:rsidP="007A292B">
      <w:pPr>
        <w:pStyle w:val="Betarp"/>
        <w:ind w:left="567" w:hanging="567"/>
        <w:rPr>
          <w:bCs/>
          <w:lang w:val="lt-LT"/>
        </w:rPr>
      </w:pPr>
      <w:r w:rsidRPr="00AB6A8A">
        <w:rPr>
          <w:bCs/>
          <w:lang w:val="lt-LT"/>
        </w:rPr>
        <w:t>-</w:t>
      </w:r>
      <w:r w:rsidRPr="00AB6A8A">
        <w:rPr>
          <w:bCs/>
          <w:lang w:val="lt-LT"/>
        </w:rPr>
        <w:tab/>
        <w:t>akies voko uždegimas</w:t>
      </w:r>
      <w:r w:rsidR="001E404B">
        <w:rPr>
          <w:bCs/>
          <w:lang w:val="lt-LT"/>
        </w:rPr>
        <w:t>;</w:t>
      </w:r>
    </w:p>
    <w:p w14:paraId="20608CB9" w14:textId="1FF5BDBD" w:rsidR="008D4EC3" w:rsidRPr="00AB6A8A" w:rsidRDefault="008D4EC3" w:rsidP="007A292B">
      <w:pPr>
        <w:pStyle w:val="Betarp"/>
        <w:ind w:left="567" w:hanging="567"/>
        <w:rPr>
          <w:bCs/>
          <w:lang w:val="lt-LT"/>
        </w:rPr>
      </w:pPr>
      <w:r w:rsidRPr="00AB6A8A">
        <w:rPr>
          <w:bCs/>
          <w:lang w:val="lt-LT"/>
        </w:rPr>
        <w:t>-</w:t>
      </w:r>
      <w:r w:rsidRPr="00AB6A8A">
        <w:rPr>
          <w:bCs/>
          <w:lang w:val="lt-LT"/>
        </w:rPr>
        <w:tab/>
        <w:t>cista akies voke</w:t>
      </w:r>
      <w:r w:rsidR="001E404B">
        <w:rPr>
          <w:bCs/>
          <w:lang w:val="lt-LT"/>
        </w:rPr>
        <w:t>;</w:t>
      </w:r>
    </w:p>
    <w:p w14:paraId="33034FBA" w14:textId="317CBD73" w:rsidR="008D4EC3" w:rsidRPr="00AB6A8A" w:rsidRDefault="008D4EC3" w:rsidP="007A292B">
      <w:pPr>
        <w:pStyle w:val="Betarp"/>
        <w:ind w:left="567" w:hanging="567"/>
        <w:rPr>
          <w:bCs/>
          <w:lang w:val="lt-LT"/>
        </w:rPr>
      </w:pPr>
      <w:r w:rsidRPr="00AB6A8A">
        <w:rPr>
          <w:bCs/>
          <w:lang w:val="lt-LT"/>
        </w:rPr>
        <w:t>-</w:t>
      </w:r>
      <w:r w:rsidRPr="00AB6A8A">
        <w:rPr>
          <w:bCs/>
          <w:lang w:val="lt-LT"/>
        </w:rPr>
        <w:tab/>
        <w:t>paraudę ir niežtintys akių vokai</w:t>
      </w:r>
      <w:r w:rsidR="001E404B">
        <w:rPr>
          <w:bCs/>
          <w:lang w:val="lt-LT"/>
        </w:rPr>
        <w:t>;</w:t>
      </w:r>
    </w:p>
    <w:p w14:paraId="21166717" w14:textId="197CB853" w:rsidR="008D4EC3" w:rsidRPr="00AB6A8A" w:rsidRDefault="008D4EC3" w:rsidP="007A292B">
      <w:pPr>
        <w:pStyle w:val="Betarp"/>
        <w:ind w:left="567" w:hanging="567"/>
        <w:rPr>
          <w:bCs/>
          <w:lang w:val="lt-LT"/>
        </w:rPr>
      </w:pPr>
      <w:r w:rsidRPr="00AB6A8A">
        <w:rPr>
          <w:bCs/>
          <w:lang w:val="lt-LT"/>
        </w:rPr>
        <w:t>-</w:t>
      </w:r>
      <w:r w:rsidRPr="00AB6A8A">
        <w:rPr>
          <w:bCs/>
          <w:lang w:val="lt-LT"/>
        </w:rPr>
        <w:tab/>
        <w:t>ašarų pagausėjimas</w:t>
      </w:r>
      <w:r w:rsidR="001E404B">
        <w:rPr>
          <w:bCs/>
          <w:lang w:val="lt-LT"/>
        </w:rPr>
        <w:t>;</w:t>
      </w:r>
    </w:p>
    <w:p w14:paraId="737DB2FF" w14:textId="60B80FEF" w:rsidR="008D4EC3" w:rsidRPr="00AB6A8A" w:rsidRDefault="008D4EC3" w:rsidP="007A292B">
      <w:pPr>
        <w:pStyle w:val="Betarp"/>
        <w:ind w:left="567" w:hanging="567"/>
        <w:rPr>
          <w:bCs/>
          <w:lang w:val="lt-LT"/>
        </w:rPr>
      </w:pPr>
      <w:r w:rsidRPr="00AB6A8A">
        <w:rPr>
          <w:bCs/>
          <w:lang w:val="lt-LT"/>
        </w:rPr>
        <w:t>-</w:t>
      </w:r>
      <w:r w:rsidRPr="00AB6A8A">
        <w:rPr>
          <w:bCs/>
          <w:lang w:val="lt-LT"/>
        </w:rPr>
        <w:tab/>
        <w:t>akių skausmas</w:t>
      </w:r>
      <w:r w:rsidR="001E404B">
        <w:rPr>
          <w:bCs/>
          <w:lang w:val="lt-LT"/>
        </w:rPr>
        <w:t>;</w:t>
      </w:r>
    </w:p>
    <w:p w14:paraId="3848D214" w14:textId="10481E1E" w:rsidR="008D4EC3" w:rsidRPr="00AB6A8A" w:rsidRDefault="008D4EC3" w:rsidP="007A292B">
      <w:pPr>
        <w:pStyle w:val="Betarp"/>
        <w:ind w:left="567" w:hanging="567"/>
        <w:rPr>
          <w:bCs/>
          <w:lang w:val="lt-LT"/>
        </w:rPr>
      </w:pPr>
      <w:r w:rsidRPr="00AB6A8A">
        <w:rPr>
          <w:bCs/>
          <w:lang w:val="lt-LT"/>
        </w:rPr>
        <w:t>-</w:t>
      </w:r>
      <w:r w:rsidRPr="00AB6A8A">
        <w:rPr>
          <w:bCs/>
          <w:lang w:val="lt-LT"/>
        </w:rPr>
        <w:tab/>
        <w:t>akių vokų pleiskanojimas</w:t>
      </w:r>
      <w:r w:rsidR="001E404B">
        <w:rPr>
          <w:bCs/>
          <w:lang w:val="lt-LT"/>
        </w:rPr>
        <w:t>;</w:t>
      </w:r>
    </w:p>
    <w:p w14:paraId="5CB02367" w14:textId="39B813A8" w:rsidR="008D4EC3" w:rsidRPr="00AB6A8A" w:rsidRDefault="008D4EC3" w:rsidP="007A292B">
      <w:pPr>
        <w:pStyle w:val="Betarp"/>
        <w:ind w:left="567" w:hanging="567"/>
        <w:rPr>
          <w:bCs/>
          <w:lang w:val="lt-LT"/>
        </w:rPr>
      </w:pPr>
      <w:r w:rsidRPr="00AB6A8A">
        <w:rPr>
          <w:bCs/>
          <w:lang w:val="lt-LT"/>
        </w:rPr>
        <w:t>-</w:t>
      </w:r>
      <w:r w:rsidRPr="00AB6A8A">
        <w:rPr>
          <w:bCs/>
          <w:lang w:val="lt-LT"/>
        </w:rPr>
        <w:tab/>
        <w:t>pailgėjusios blakstienos</w:t>
      </w:r>
      <w:r w:rsidR="001E404B">
        <w:rPr>
          <w:bCs/>
          <w:lang w:val="lt-LT"/>
        </w:rPr>
        <w:t>;</w:t>
      </w:r>
    </w:p>
    <w:p w14:paraId="6C4B13F6" w14:textId="65D6D4B1" w:rsidR="008D4EC3" w:rsidRPr="00AB6A8A" w:rsidRDefault="008D4EC3" w:rsidP="007A292B">
      <w:pPr>
        <w:pStyle w:val="Betarp"/>
        <w:ind w:left="567" w:hanging="567"/>
        <w:rPr>
          <w:bCs/>
          <w:lang w:val="lt-LT"/>
        </w:rPr>
      </w:pPr>
      <w:r w:rsidRPr="00AB6A8A">
        <w:rPr>
          <w:bCs/>
          <w:lang w:val="lt-LT"/>
        </w:rPr>
        <w:t>-</w:t>
      </w:r>
      <w:r w:rsidRPr="00AB6A8A">
        <w:rPr>
          <w:bCs/>
          <w:lang w:val="lt-LT"/>
        </w:rPr>
        <w:tab/>
        <w:t>akių paraudimas ir diskomfortas</w:t>
      </w:r>
      <w:r w:rsidR="001E404B">
        <w:rPr>
          <w:bCs/>
          <w:lang w:val="lt-LT"/>
        </w:rPr>
        <w:t>;</w:t>
      </w:r>
    </w:p>
    <w:p w14:paraId="1749B3A3" w14:textId="7DAA8122" w:rsidR="008D4EC3" w:rsidRPr="00AB6A8A" w:rsidRDefault="008D4EC3" w:rsidP="007A292B">
      <w:pPr>
        <w:pStyle w:val="Betarp"/>
        <w:ind w:left="567" w:hanging="567"/>
        <w:rPr>
          <w:bCs/>
          <w:lang w:val="lt-LT"/>
        </w:rPr>
      </w:pPr>
      <w:r w:rsidRPr="00AB6A8A">
        <w:rPr>
          <w:bCs/>
          <w:lang w:val="lt-LT"/>
        </w:rPr>
        <w:t>-</w:t>
      </w:r>
      <w:r w:rsidRPr="00AB6A8A">
        <w:rPr>
          <w:bCs/>
          <w:lang w:val="lt-LT"/>
        </w:rPr>
        <w:tab/>
        <w:t>sutrikęs regėjimas</w:t>
      </w:r>
      <w:r w:rsidR="001E404B">
        <w:rPr>
          <w:bCs/>
          <w:lang w:val="lt-LT"/>
        </w:rPr>
        <w:t>;</w:t>
      </w:r>
    </w:p>
    <w:p w14:paraId="017D4405" w14:textId="1128F8B4" w:rsidR="008D4EC3" w:rsidRPr="00AB6A8A" w:rsidRDefault="008D4EC3" w:rsidP="007A292B">
      <w:pPr>
        <w:pStyle w:val="Betarp"/>
        <w:ind w:left="567" w:hanging="567"/>
        <w:rPr>
          <w:bCs/>
          <w:lang w:val="lt-LT"/>
        </w:rPr>
      </w:pPr>
      <w:r w:rsidRPr="00AB6A8A">
        <w:rPr>
          <w:bCs/>
          <w:lang w:val="lt-LT"/>
        </w:rPr>
        <w:t>-</w:t>
      </w:r>
      <w:r w:rsidRPr="00AB6A8A">
        <w:rPr>
          <w:bCs/>
          <w:lang w:val="lt-LT"/>
        </w:rPr>
        <w:tab/>
        <w:t>diskomfortas akies voke</w:t>
      </w:r>
      <w:r w:rsidR="001E404B">
        <w:rPr>
          <w:bCs/>
          <w:lang w:val="lt-LT"/>
        </w:rPr>
        <w:t>;</w:t>
      </w:r>
    </w:p>
    <w:p w14:paraId="3DA71217" w14:textId="6BD9D4E6" w:rsidR="008D4EC3" w:rsidRPr="00AB6A8A" w:rsidRDefault="008D4EC3" w:rsidP="007A292B">
      <w:pPr>
        <w:pStyle w:val="Betarp"/>
        <w:ind w:left="567" w:hanging="567"/>
        <w:rPr>
          <w:bCs/>
          <w:lang w:val="lt-LT"/>
        </w:rPr>
      </w:pPr>
      <w:r w:rsidRPr="00AB6A8A">
        <w:rPr>
          <w:bCs/>
          <w:lang w:val="lt-LT"/>
        </w:rPr>
        <w:t>-</w:t>
      </w:r>
      <w:r w:rsidRPr="00AB6A8A">
        <w:rPr>
          <w:bCs/>
          <w:lang w:val="lt-LT"/>
        </w:rPr>
        <w:tab/>
        <w:t>pojūčiai kaip tirpimas, dilgčiojimas, dilgčiojimas akyje</w:t>
      </w:r>
      <w:r w:rsidR="001E404B">
        <w:rPr>
          <w:bCs/>
          <w:lang w:val="lt-LT"/>
        </w:rPr>
        <w:t>;</w:t>
      </w:r>
    </w:p>
    <w:p w14:paraId="4D6DBE85" w14:textId="1EC96EA6" w:rsidR="008D4EC3" w:rsidRPr="00AB6A8A" w:rsidRDefault="008D4EC3" w:rsidP="007A292B">
      <w:pPr>
        <w:pStyle w:val="Betarp"/>
        <w:ind w:left="567" w:hanging="567"/>
        <w:rPr>
          <w:bCs/>
          <w:lang w:val="lt-LT"/>
        </w:rPr>
      </w:pPr>
      <w:r w:rsidRPr="00AB6A8A">
        <w:rPr>
          <w:bCs/>
          <w:lang w:val="lt-LT"/>
        </w:rPr>
        <w:t>-</w:t>
      </w:r>
      <w:r w:rsidRPr="00AB6A8A">
        <w:rPr>
          <w:bCs/>
          <w:lang w:val="lt-LT"/>
        </w:rPr>
        <w:tab/>
        <w:t>akių patinimas</w:t>
      </w:r>
      <w:r w:rsidR="001E404B">
        <w:rPr>
          <w:bCs/>
          <w:lang w:val="lt-LT"/>
        </w:rPr>
        <w:t>;</w:t>
      </w:r>
    </w:p>
    <w:p w14:paraId="41C0FAA2" w14:textId="7BB8DADE" w:rsidR="00E7062E" w:rsidRPr="00AB6A8A" w:rsidRDefault="008D4EC3" w:rsidP="007A292B">
      <w:pPr>
        <w:pStyle w:val="Betarp"/>
        <w:ind w:left="567" w:hanging="567"/>
        <w:rPr>
          <w:bCs/>
          <w:lang w:val="lt-LT"/>
        </w:rPr>
      </w:pPr>
      <w:r w:rsidRPr="00AB6A8A">
        <w:rPr>
          <w:bCs/>
          <w:lang w:val="lt-LT"/>
        </w:rPr>
        <w:t>-</w:t>
      </w:r>
      <w:r w:rsidRPr="00AB6A8A">
        <w:rPr>
          <w:bCs/>
          <w:lang w:val="lt-LT"/>
        </w:rPr>
        <w:tab/>
        <w:t>neaiškus matymas.</w:t>
      </w:r>
    </w:p>
    <w:p w14:paraId="43D38BE1" w14:textId="77777777" w:rsidR="00B43310" w:rsidRPr="00AB6A8A" w:rsidRDefault="00B43310" w:rsidP="007A292B">
      <w:pPr>
        <w:pStyle w:val="Betarp"/>
        <w:ind w:left="284" w:hanging="284"/>
        <w:rPr>
          <w:bCs/>
          <w:lang w:val="lt-LT"/>
        </w:rPr>
      </w:pPr>
    </w:p>
    <w:p w14:paraId="1FCECBD2" w14:textId="6D44B58A" w:rsidR="00B43310" w:rsidRDefault="00B43310" w:rsidP="007A292B">
      <w:pPr>
        <w:pStyle w:val="Betarp"/>
        <w:rPr>
          <w:u w:val="single"/>
          <w:lang w:val="lt-LT"/>
        </w:rPr>
      </w:pPr>
      <w:r w:rsidRPr="00AB6A8A">
        <w:rPr>
          <w:u w:val="single"/>
          <w:lang w:val="lt-LT"/>
        </w:rPr>
        <w:t>Odos sutrikimai</w:t>
      </w:r>
    </w:p>
    <w:p w14:paraId="1772F961" w14:textId="30A689C8" w:rsidR="000664E4" w:rsidRDefault="000664E4" w:rsidP="000664E4">
      <w:pPr>
        <w:pStyle w:val="Betarp"/>
        <w:ind w:left="567" w:hanging="567"/>
        <w:rPr>
          <w:bCs/>
          <w:lang w:val="lt-LT"/>
        </w:rPr>
      </w:pPr>
      <w:r w:rsidRPr="00AB6A8A">
        <w:rPr>
          <w:bCs/>
          <w:lang w:val="lt-LT"/>
        </w:rPr>
        <w:t>-</w:t>
      </w:r>
      <w:r w:rsidRPr="00AB6A8A">
        <w:rPr>
          <w:bCs/>
          <w:lang w:val="lt-LT"/>
        </w:rPr>
        <w:tab/>
      </w:r>
      <w:r>
        <w:rPr>
          <w:bCs/>
          <w:lang w:val="lt-LT"/>
        </w:rPr>
        <w:t>niež</w:t>
      </w:r>
      <w:r w:rsidR="0079446C">
        <w:rPr>
          <w:bCs/>
          <w:lang w:val="lt-LT"/>
        </w:rPr>
        <w:t>ėjimas.</w:t>
      </w:r>
    </w:p>
    <w:p w14:paraId="330399F3" w14:textId="77777777" w:rsidR="000664E4" w:rsidRDefault="000664E4" w:rsidP="000664E4">
      <w:pPr>
        <w:pStyle w:val="Betarp"/>
        <w:ind w:left="567" w:hanging="567"/>
        <w:rPr>
          <w:bCs/>
          <w:lang w:val="lt-LT"/>
        </w:rPr>
      </w:pPr>
    </w:p>
    <w:p w14:paraId="706B9306" w14:textId="2DFB1133" w:rsidR="000664E4" w:rsidRPr="000664E4" w:rsidRDefault="000664E4" w:rsidP="00323E7F">
      <w:pPr>
        <w:pStyle w:val="Betarp"/>
        <w:ind w:left="567" w:hanging="567"/>
        <w:rPr>
          <w:bCs/>
          <w:u w:val="single"/>
          <w:lang w:val="lt-LT"/>
        </w:rPr>
      </w:pPr>
      <w:r w:rsidRPr="00323E7F">
        <w:rPr>
          <w:bCs/>
          <w:u w:val="single"/>
          <w:lang w:val="lt-LT"/>
        </w:rPr>
        <w:t xml:space="preserve">Poveikis </w:t>
      </w:r>
      <w:r w:rsidR="00414675">
        <w:rPr>
          <w:bCs/>
          <w:u w:val="single"/>
          <w:lang w:val="lt-LT"/>
        </w:rPr>
        <w:t>kūnui</w:t>
      </w:r>
    </w:p>
    <w:p w14:paraId="02B8A173" w14:textId="00008F55" w:rsidR="00B43310" w:rsidRPr="00AB6A8A" w:rsidRDefault="00B43310" w:rsidP="007A292B">
      <w:pPr>
        <w:pStyle w:val="Betarp"/>
        <w:ind w:left="567" w:hanging="567"/>
        <w:rPr>
          <w:bCs/>
          <w:lang w:val="lt-LT"/>
        </w:rPr>
      </w:pPr>
      <w:r w:rsidRPr="00AB6A8A">
        <w:rPr>
          <w:bCs/>
          <w:lang w:val="lt-LT"/>
        </w:rPr>
        <w:t>-</w:t>
      </w:r>
      <w:r w:rsidRPr="00AB6A8A">
        <w:rPr>
          <w:bCs/>
          <w:lang w:val="lt-LT"/>
        </w:rPr>
        <w:tab/>
        <w:t>karščio pylimas</w:t>
      </w:r>
      <w:r w:rsidR="009534CD">
        <w:rPr>
          <w:bCs/>
          <w:lang w:val="lt-LT"/>
        </w:rPr>
        <w:t>;</w:t>
      </w:r>
    </w:p>
    <w:p w14:paraId="00166118" w14:textId="308762E8" w:rsidR="00B43310" w:rsidRPr="00AB6A8A" w:rsidRDefault="00B43310" w:rsidP="007A292B">
      <w:pPr>
        <w:pStyle w:val="Betarp"/>
        <w:ind w:left="567" w:hanging="567"/>
        <w:rPr>
          <w:bCs/>
          <w:lang w:val="lt-LT"/>
        </w:rPr>
      </w:pPr>
      <w:r w:rsidRPr="00AB6A8A">
        <w:rPr>
          <w:bCs/>
          <w:lang w:val="lt-LT"/>
        </w:rPr>
        <w:t>-</w:t>
      </w:r>
      <w:r w:rsidRPr="00AB6A8A">
        <w:rPr>
          <w:bCs/>
          <w:lang w:val="lt-LT"/>
        </w:rPr>
        <w:tab/>
        <w:t>šaltos rankos ir kojos</w:t>
      </w:r>
      <w:r w:rsidR="009534CD">
        <w:rPr>
          <w:bCs/>
          <w:lang w:val="lt-LT"/>
        </w:rPr>
        <w:t>;</w:t>
      </w:r>
    </w:p>
    <w:p w14:paraId="75977E8E" w14:textId="36BA50C4" w:rsidR="00B43310" w:rsidRPr="00AB6A8A" w:rsidRDefault="00B43310" w:rsidP="007A292B">
      <w:pPr>
        <w:pStyle w:val="Betarp"/>
        <w:ind w:left="567" w:hanging="567"/>
        <w:rPr>
          <w:bCs/>
          <w:lang w:val="lt-LT"/>
        </w:rPr>
      </w:pPr>
      <w:r w:rsidRPr="00AB6A8A">
        <w:rPr>
          <w:bCs/>
          <w:lang w:val="lt-LT"/>
        </w:rPr>
        <w:t>-</w:t>
      </w:r>
      <w:r w:rsidRPr="00AB6A8A">
        <w:rPr>
          <w:bCs/>
          <w:lang w:val="lt-LT"/>
        </w:rPr>
        <w:tab/>
      </w:r>
      <w:r w:rsidR="009534CD">
        <w:rPr>
          <w:bCs/>
          <w:lang w:val="lt-LT"/>
        </w:rPr>
        <w:t>svaigulys;</w:t>
      </w:r>
    </w:p>
    <w:p w14:paraId="4FDEFE32" w14:textId="24B94B5E" w:rsidR="00B43310" w:rsidRPr="00AB6A8A" w:rsidRDefault="00B43310" w:rsidP="007A292B">
      <w:pPr>
        <w:pStyle w:val="Betarp"/>
        <w:ind w:left="567" w:hanging="567"/>
        <w:rPr>
          <w:bCs/>
          <w:lang w:val="lt-LT"/>
        </w:rPr>
      </w:pPr>
      <w:r w:rsidRPr="00AB6A8A">
        <w:rPr>
          <w:bCs/>
          <w:lang w:val="lt-LT"/>
        </w:rPr>
        <w:t>-</w:t>
      </w:r>
      <w:r w:rsidRPr="00AB6A8A">
        <w:rPr>
          <w:bCs/>
          <w:lang w:val="lt-LT"/>
        </w:rPr>
        <w:tab/>
        <w:t>galvos skausmas</w:t>
      </w:r>
      <w:r w:rsidR="009534CD">
        <w:rPr>
          <w:bCs/>
          <w:lang w:val="lt-LT"/>
        </w:rPr>
        <w:t>;</w:t>
      </w:r>
    </w:p>
    <w:p w14:paraId="38CAB3BC" w14:textId="738D18A8" w:rsidR="00B43310" w:rsidRPr="00AB6A8A" w:rsidRDefault="00B43310" w:rsidP="007A292B">
      <w:pPr>
        <w:pStyle w:val="Betarp"/>
        <w:ind w:left="567" w:hanging="567"/>
        <w:rPr>
          <w:bCs/>
          <w:lang w:val="lt-LT"/>
        </w:rPr>
      </w:pPr>
      <w:r w:rsidRPr="00AB6A8A">
        <w:rPr>
          <w:bCs/>
          <w:lang w:val="lt-LT"/>
        </w:rPr>
        <w:t>-</w:t>
      </w:r>
      <w:r w:rsidRPr="00AB6A8A">
        <w:rPr>
          <w:bCs/>
          <w:lang w:val="lt-LT"/>
        </w:rPr>
        <w:tab/>
        <w:t>pojūčiai kaip tirpimas, dilgčiojimas</w:t>
      </w:r>
      <w:r w:rsidR="00F25729">
        <w:rPr>
          <w:bCs/>
          <w:lang w:val="lt-LT"/>
        </w:rPr>
        <w:t>, „badymo adatomis“ jutimas</w:t>
      </w:r>
      <w:r w:rsidR="009534CD">
        <w:rPr>
          <w:bCs/>
          <w:lang w:val="lt-LT"/>
        </w:rPr>
        <w:t>;</w:t>
      </w:r>
    </w:p>
    <w:p w14:paraId="05F4EA57" w14:textId="6610E211" w:rsidR="00B43310" w:rsidRPr="00AB6A8A" w:rsidRDefault="00B43310" w:rsidP="007A292B">
      <w:pPr>
        <w:pStyle w:val="Betarp"/>
        <w:ind w:left="567" w:hanging="567"/>
        <w:rPr>
          <w:bCs/>
          <w:lang w:val="lt-LT"/>
        </w:rPr>
      </w:pPr>
      <w:r w:rsidRPr="00AB6A8A">
        <w:rPr>
          <w:bCs/>
          <w:lang w:val="lt-LT"/>
        </w:rPr>
        <w:t>-</w:t>
      </w:r>
      <w:r w:rsidRPr="00AB6A8A">
        <w:rPr>
          <w:bCs/>
          <w:lang w:val="lt-LT"/>
        </w:rPr>
        <w:tab/>
        <w:t>veido skausmas.</w:t>
      </w:r>
    </w:p>
    <w:p w14:paraId="758ADC8E" w14:textId="77777777" w:rsidR="007C68A4" w:rsidRPr="00AB6A8A" w:rsidRDefault="007C68A4" w:rsidP="007A292B">
      <w:pPr>
        <w:pStyle w:val="Betarp"/>
        <w:rPr>
          <w:b/>
          <w:lang w:val="lt-LT"/>
        </w:rPr>
      </w:pPr>
    </w:p>
    <w:p w14:paraId="6B3C1956" w14:textId="77777777" w:rsidR="007C68A4" w:rsidRPr="00AB6A8A" w:rsidRDefault="007C68A4" w:rsidP="007A292B">
      <w:pPr>
        <w:pStyle w:val="Betarp"/>
        <w:rPr>
          <w:b/>
          <w:lang w:val="lt-LT"/>
        </w:rPr>
      </w:pPr>
      <w:r w:rsidRPr="00AB6A8A">
        <w:rPr>
          <w:b/>
          <w:lang w:val="lt-LT"/>
        </w:rPr>
        <w:t>Kitas šalutinis poveikis</w:t>
      </w:r>
    </w:p>
    <w:p w14:paraId="7BA4EBDA" w14:textId="46A054B5" w:rsidR="007C68A4" w:rsidRPr="00AB6A8A" w:rsidRDefault="00B43310" w:rsidP="007A292B">
      <w:pPr>
        <w:pStyle w:val="Betarp"/>
        <w:rPr>
          <w:lang w:val="lt-LT"/>
        </w:rPr>
      </w:pPr>
      <w:r w:rsidRPr="00AB6A8A">
        <w:rPr>
          <w:lang w:val="lt-LT"/>
        </w:rPr>
        <w:t xml:space="preserve">Papildomas šalutinis poveikis buvo pastebėtas pacientams, vartojusiems akių lašus, kurių sudėtyje yra timololio arba bimatoprosto, todėl jis gali būti pastebėtas vartojant </w:t>
      </w:r>
      <w:r w:rsidR="00AA211B">
        <w:rPr>
          <w:lang w:val="lt-LT"/>
        </w:rPr>
        <w:t>Ed</w:t>
      </w:r>
      <w:r w:rsidR="007643D3" w:rsidRPr="007643D3">
        <w:rPr>
          <w:lang w:val="lt-LT"/>
        </w:rPr>
        <w:t>uelym</w:t>
      </w:r>
      <w:r w:rsidRPr="00AB6A8A">
        <w:rPr>
          <w:lang w:val="lt-LT"/>
        </w:rPr>
        <w:t xml:space="preserve">. Kaip ir kiti į akis vartojami vaistai, </w:t>
      </w:r>
      <w:r w:rsidR="00AA211B">
        <w:rPr>
          <w:lang w:val="lt-LT"/>
        </w:rPr>
        <w:t>Ed</w:t>
      </w:r>
      <w:r w:rsidR="007643D3" w:rsidRPr="007643D3">
        <w:rPr>
          <w:lang w:val="lt-LT"/>
        </w:rPr>
        <w:t>uelym</w:t>
      </w:r>
      <w:r w:rsidRPr="00AB6A8A">
        <w:rPr>
          <w:lang w:val="lt-LT"/>
        </w:rPr>
        <w:t xml:space="preserve"> (bimatoprostas ir timololis) absorbuojamas į kraują. Tai gali sukelti panašų šalutinį poveikį, kaip ir vartojant</w:t>
      </w:r>
      <w:r w:rsidR="00414675">
        <w:rPr>
          <w:lang w:val="lt-LT"/>
        </w:rPr>
        <w:t xml:space="preserve"> intravenini</w:t>
      </w:r>
      <w:r w:rsidR="00392149">
        <w:rPr>
          <w:lang w:val="lt-LT"/>
        </w:rPr>
        <w:t>ų</w:t>
      </w:r>
      <w:r w:rsidR="00414675">
        <w:rPr>
          <w:lang w:val="lt-LT"/>
        </w:rPr>
        <w:t xml:space="preserve"> ir (arba) geriam</w:t>
      </w:r>
      <w:r w:rsidR="00392149">
        <w:rPr>
          <w:lang w:val="lt-LT"/>
        </w:rPr>
        <w:t>ųjų</w:t>
      </w:r>
      <w:r w:rsidRPr="00AB6A8A">
        <w:rPr>
          <w:lang w:val="lt-LT"/>
        </w:rPr>
        <w:t xml:space="preserve"> beta adrenoblokatori</w:t>
      </w:r>
      <w:r w:rsidR="00392149">
        <w:rPr>
          <w:lang w:val="lt-LT"/>
        </w:rPr>
        <w:t>ų</w:t>
      </w:r>
      <w:r w:rsidR="00414675">
        <w:rPr>
          <w:lang w:val="lt-LT"/>
        </w:rPr>
        <w:t>.</w:t>
      </w:r>
      <w:r w:rsidRPr="00AB6A8A">
        <w:rPr>
          <w:lang w:val="lt-LT"/>
        </w:rPr>
        <w:t xml:space="preserve"> Šalutinio poveikio dažnis po vietinio vartojimo į akis yra mažesnis nei vartojant vaistus, pavyzdžiui, per burną arba </w:t>
      </w:r>
      <w:r w:rsidR="00874B86">
        <w:rPr>
          <w:lang w:val="lt-LT"/>
        </w:rPr>
        <w:t>leidžiant į veną</w:t>
      </w:r>
      <w:r w:rsidRPr="00AB6A8A">
        <w:rPr>
          <w:lang w:val="lt-LT"/>
        </w:rPr>
        <w:t xml:space="preserve">. </w:t>
      </w:r>
      <w:r w:rsidR="00874B86">
        <w:rPr>
          <w:lang w:val="lt-LT"/>
        </w:rPr>
        <w:t>Toliau i</w:t>
      </w:r>
      <w:r w:rsidRPr="00AB6A8A">
        <w:rPr>
          <w:lang w:val="lt-LT"/>
        </w:rPr>
        <w:t>švardyti šalutiniai poveikiai apima reakcijas, pastebėtas vartojant bimatoprosto, timololio ir beta adrenoblokatorių klasės vaistų, kai jie vartojami akių ligoms gydyti</w:t>
      </w:r>
      <w:r w:rsidR="00874B86">
        <w:rPr>
          <w:lang w:val="lt-LT"/>
        </w:rPr>
        <w:t>.</w:t>
      </w:r>
    </w:p>
    <w:p w14:paraId="6C32B4C6" w14:textId="10332729" w:rsidR="00B43310" w:rsidRPr="00AB6A8A" w:rsidRDefault="00B43310" w:rsidP="007A292B">
      <w:pPr>
        <w:pStyle w:val="Betarp"/>
        <w:numPr>
          <w:ilvl w:val="0"/>
          <w:numId w:val="26"/>
        </w:numPr>
        <w:ind w:left="567" w:hanging="567"/>
        <w:rPr>
          <w:lang w:val="lt-LT"/>
        </w:rPr>
      </w:pPr>
      <w:r w:rsidRPr="00AB6A8A">
        <w:rPr>
          <w:lang w:val="lt-LT"/>
        </w:rPr>
        <w:t>Generalizuotos alerginės reakcijos, įskaitant poodžio patinimą, dilgėlinę, vietinį ir generalizuotą bėrimą, niežėjimą, sunkias staigias gyvybei pavojingas alergines reakcijas.</w:t>
      </w:r>
    </w:p>
    <w:p w14:paraId="1BA14465" w14:textId="1C833FFD" w:rsidR="00243972" w:rsidRPr="00AB6A8A" w:rsidRDefault="007C68A4" w:rsidP="007A292B">
      <w:pPr>
        <w:pStyle w:val="Betarp"/>
        <w:numPr>
          <w:ilvl w:val="0"/>
          <w:numId w:val="26"/>
        </w:numPr>
        <w:ind w:left="567" w:hanging="567"/>
        <w:rPr>
          <w:lang w:val="lt-LT"/>
        </w:rPr>
      </w:pPr>
      <w:r w:rsidRPr="00AB6A8A">
        <w:rPr>
          <w:lang w:val="lt-LT"/>
        </w:rPr>
        <w:t>Mažas gliukozės kiekis kraujyje.</w:t>
      </w:r>
    </w:p>
    <w:p w14:paraId="13CA9EDF" w14:textId="56BA0857" w:rsidR="007C68A4" w:rsidRPr="00AB6A8A" w:rsidRDefault="00243972" w:rsidP="007A292B">
      <w:pPr>
        <w:pStyle w:val="Betarp"/>
        <w:numPr>
          <w:ilvl w:val="0"/>
          <w:numId w:val="26"/>
        </w:numPr>
        <w:ind w:left="567" w:hanging="567"/>
        <w:rPr>
          <w:lang w:val="lt-LT"/>
        </w:rPr>
      </w:pPr>
      <w:r w:rsidRPr="00AB6A8A">
        <w:rPr>
          <w:lang w:val="lt-LT"/>
        </w:rPr>
        <w:t>S</w:t>
      </w:r>
      <w:r w:rsidR="007C68A4" w:rsidRPr="00AB6A8A">
        <w:rPr>
          <w:lang w:val="lt-LT"/>
        </w:rPr>
        <w:t>utrikęs miegas (nemiga), depresija, košmarai, atminties praradimas</w:t>
      </w:r>
      <w:r w:rsidRPr="00AB6A8A">
        <w:rPr>
          <w:lang w:val="lt-LT"/>
        </w:rPr>
        <w:t>, haliucinacijos</w:t>
      </w:r>
      <w:r w:rsidR="007C68A4" w:rsidRPr="00AB6A8A">
        <w:rPr>
          <w:lang w:val="lt-LT"/>
        </w:rPr>
        <w:t>.</w:t>
      </w:r>
    </w:p>
    <w:p w14:paraId="5F3D8F6D" w14:textId="6390D864" w:rsidR="007C68A4" w:rsidRPr="00AB6A8A" w:rsidRDefault="002C24C2" w:rsidP="007A292B">
      <w:pPr>
        <w:pStyle w:val="Betarp"/>
        <w:numPr>
          <w:ilvl w:val="0"/>
          <w:numId w:val="26"/>
        </w:numPr>
        <w:ind w:left="567" w:hanging="567"/>
        <w:rPr>
          <w:lang w:val="lt-LT"/>
        </w:rPr>
      </w:pPr>
      <w:r>
        <w:rPr>
          <w:lang w:val="lt-LT"/>
        </w:rPr>
        <w:t>Apalpimas</w:t>
      </w:r>
      <w:r w:rsidR="007C68A4" w:rsidRPr="00AB6A8A">
        <w:rPr>
          <w:lang w:val="lt-LT"/>
        </w:rPr>
        <w:t xml:space="preserve">, insultas, sumažėjęs kraujo tiekimas smegenims, pasunkėję generalizuotos miastenijos (raumenų </w:t>
      </w:r>
      <w:r w:rsidR="00882FD7">
        <w:rPr>
          <w:lang w:val="lt-LT"/>
        </w:rPr>
        <w:t>sutrikimo</w:t>
      </w:r>
      <w:r w:rsidR="007C68A4" w:rsidRPr="00AB6A8A">
        <w:rPr>
          <w:lang w:val="lt-LT"/>
        </w:rPr>
        <w:t>) požymiai ir simptomai</w:t>
      </w:r>
      <w:r w:rsidR="00B43310" w:rsidRPr="00AB6A8A">
        <w:rPr>
          <w:lang w:val="lt-LT"/>
        </w:rPr>
        <w:t>.</w:t>
      </w:r>
    </w:p>
    <w:p w14:paraId="60AE095B" w14:textId="572E9D96" w:rsidR="00B43310" w:rsidRPr="00AB6A8A" w:rsidRDefault="00697AEA" w:rsidP="007A292B">
      <w:pPr>
        <w:pStyle w:val="Betarp"/>
        <w:numPr>
          <w:ilvl w:val="0"/>
          <w:numId w:val="26"/>
        </w:numPr>
        <w:ind w:left="567" w:hanging="567"/>
        <w:rPr>
          <w:lang w:val="lt-LT"/>
        </w:rPr>
      </w:pPr>
      <w:r w:rsidRPr="00AB6A8A">
        <w:rPr>
          <w:lang w:val="lt-LT"/>
        </w:rPr>
        <w:t xml:space="preserve">Ragenos uždegimas, neryškus matymas ir po tinklaine esančio sluoksnio, kuriame yra kraujagyslių, atsiskyrimas po filtravimo operacijos, dėl kurios gali sutrikti regėjimas, sumažėjęs ragenos jautrumas, ragenos erozija (pažeidimas priekiniame akies obuolio sluoksnyje), </w:t>
      </w:r>
      <w:r w:rsidR="00BA21AD">
        <w:rPr>
          <w:lang w:val="lt-LT"/>
        </w:rPr>
        <w:t>dvejinimasis</w:t>
      </w:r>
      <w:r w:rsidR="00BA21AD" w:rsidRPr="00AB6A8A">
        <w:rPr>
          <w:lang w:val="lt-LT"/>
        </w:rPr>
        <w:t xml:space="preserve"> </w:t>
      </w:r>
      <w:r w:rsidR="00BA21AD">
        <w:rPr>
          <w:lang w:val="lt-LT"/>
        </w:rPr>
        <w:t>akyse</w:t>
      </w:r>
      <w:r w:rsidRPr="00AB6A8A">
        <w:rPr>
          <w:lang w:val="lt-LT"/>
        </w:rPr>
        <w:t>, riebalų</w:t>
      </w:r>
      <w:r w:rsidR="006C6B19">
        <w:rPr>
          <w:lang w:val="lt-LT"/>
        </w:rPr>
        <w:t xml:space="preserve"> </w:t>
      </w:r>
      <w:r w:rsidR="006C6B19" w:rsidRPr="006C6B19">
        <w:rPr>
          <w:lang w:val="lt-LT"/>
        </w:rPr>
        <w:t>praradimas akies srityje, kuris gali sukelti akies voko vagelės pagilėjimą, akių įdubimą (enoftalmą), vokų nukarimą (ptozę), odos ištempimą aplink akį (dermatochalazės involiuciją) ir gali matytis daugiau apatinės akių obuolių baltosios dalies (skleros apatinės dalies atvirumas)</w:t>
      </w:r>
      <w:r w:rsidR="006C6B19">
        <w:rPr>
          <w:lang w:val="lt-LT"/>
        </w:rPr>
        <w:t>,</w:t>
      </w:r>
      <w:r w:rsidRPr="00AB6A8A">
        <w:rPr>
          <w:lang w:val="lt-LT"/>
        </w:rPr>
        <w:t xml:space="preserve"> tamsesnė rainelės spalva, blakstienų praradimas, jautrumas šviesai, tamsesnės blakstienos, vokų patinimas, niež</w:t>
      </w:r>
      <w:r w:rsidR="0060789D">
        <w:rPr>
          <w:lang w:val="lt-LT"/>
        </w:rPr>
        <w:t>ėjimas</w:t>
      </w:r>
      <w:r w:rsidRPr="00AB6A8A">
        <w:rPr>
          <w:lang w:val="lt-LT"/>
        </w:rPr>
        <w:t>, raudona ir sausa akių vokų oda.</w:t>
      </w:r>
    </w:p>
    <w:p w14:paraId="4AE39111" w14:textId="6F4ADA41" w:rsidR="007C68A4" w:rsidRPr="00AB6A8A" w:rsidRDefault="00243972" w:rsidP="007A292B">
      <w:pPr>
        <w:pStyle w:val="Betarp"/>
        <w:numPr>
          <w:ilvl w:val="0"/>
          <w:numId w:val="27"/>
        </w:numPr>
        <w:ind w:left="567" w:hanging="567"/>
        <w:rPr>
          <w:lang w:val="lt-LT"/>
        </w:rPr>
      </w:pPr>
      <w:r w:rsidRPr="00AB6A8A">
        <w:rPr>
          <w:lang w:val="lt-LT"/>
        </w:rPr>
        <w:t>R</w:t>
      </w:r>
      <w:r w:rsidR="007C68A4" w:rsidRPr="00AB6A8A">
        <w:rPr>
          <w:lang w:val="lt-LT"/>
        </w:rPr>
        <w:t xml:space="preserve">etas širdies ritmas, krūtinės skausmas, juntamas širdies </w:t>
      </w:r>
      <w:r w:rsidR="00B41D20">
        <w:rPr>
          <w:lang w:val="lt-LT"/>
        </w:rPr>
        <w:t>plakimas, perplakimas (palpitacijos</w:t>
      </w:r>
      <w:r w:rsidR="007C68A4" w:rsidRPr="00AB6A8A">
        <w:rPr>
          <w:lang w:val="lt-LT"/>
        </w:rPr>
        <w:t>), edema (skysčio kaupimasis), širdies ritmo ir dažnio pokyčiai, stazinis širdies nepakankamumas (širdies liga, pasireiškianti skysčių kaupimosi sukeltu dusuliu ir pėdų bei kojų tinimu), tam tikri širdies ritmo sutrikimai, infarktas, širdies nepakankamumas.</w:t>
      </w:r>
    </w:p>
    <w:p w14:paraId="17411F02" w14:textId="75932CDE" w:rsidR="007C68A4" w:rsidRPr="00AB6A8A" w:rsidRDefault="007C68A4" w:rsidP="007A292B">
      <w:pPr>
        <w:pStyle w:val="Betarp"/>
        <w:numPr>
          <w:ilvl w:val="0"/>
          <w:numId w:val="27"/>
        </w:numPr>
        <w:ind w:left="567" w:hanging="567"/>
        <w:rPr>
          <w:lang w:val="lt-LT"/>
        </w:rPr>
      </w:pPr>
      <w:r w:rsidRPr="00AB6A8A">
        <w:rPr>
          <w:lang w:val="lt-LT"/>
        </w:rPr>
        <w:t xml:space="preserve">Žemas kraujospūdis, </w:t>
      </w:r>
      <w:r w:rsidR="00A75F02">
        <w:rPr>
          <w:lang w:val="lt-LT"/>
        </w:rPr>
        <w:t>Reino (</w:t>
      </w:r>
      <w:r w:rsidR="00697AEA" w:rsidRPr="004A1513">
        <w:rPr>
          <w:i/>
          <w:iCs/>
          <w:lang w:val="lt-LT"/>
        </w:rPr>
        <w:t>Raynaud</w:t>
      </w:r>
      <w:r w:rsidR="00A75F02">
        <w:rPr>
          <w:lang w:val="lt-LT"/>
        </w:rPr>
        <w:t>)</w:t>
      </w:r>
      <w:r w:rsidR="00697AEA" w:rsidRPr="00AB6A8A">
        <w:rPr>
          <w:lang w:val="lt-LT"/>
        </w:rPr>
        <w:t xml:space="preserve"> fenomenas (stiprus kraujagyslių susiaurėjimas šaltyje).</w:t>
      </w:r>
    </w:p>
    <w:p w14:paraId="384F3D6F" w14:textId="057C6C11" w:rsidR="007C68A4" w:rsidRPr="00AB6A8A" w:rsidRDefault="003B5F66" w:rsidP="007A292B">
      <w:pPr>
        <w:pStyle w:val="Betarp"/>
        <w:numPr>
          <w:ilvl w:val="0"/>
          <w:numId w:val="27"/>
        </w:numPr>
        <w:ind w:left="567" w:hanging="567"/>
        <w:rPr>
          <w:lang w:val="lt-LT"/>
        </w:rPr>
      </w:pPr>
      <w:r w:rsidRPr="00AB6A8A">
        <w:rPr>
          <w:lang w:val="lt-LT" w:eastAsia="et-EE"/>
        </w:rPr>
        <w:t>P</w:t>
      </w:r>
      <w:r w:rsidR="007C68A4" w:rsidRPr="00AB6A8A">
        <w:rPr>
          <w:lang w:val="lt-LT" w:eastAsia="et-EE"/>
        </w:rPr>
        <w:t>laučiuose esančių kvėpavimo takų susiaurėjimas (daugiausia pasireiškia</w:t>
      </w:r>
      <w:r w:rsidRPr="00AB6A8A">
        <w:rPr>
          <w:lang w:val="lt-LT" w:eastAsia="et-EE"/>
        </w:rPr>
        <w:t xml:space="preserve"> jau sergantiems</w:t>
      </w:r>
      <w:r w:rsidR="007C68A4" w:rsidRPr="00AB6A8A">
        <w:rPr>
          <w:lang w:val="lt-LT" w:eastAsia="et-EE"/>
        </w:rPr>
        <w:t xml:space="preserve"> pacientams), </w:t>
      </w:r>
      <w:r w:rsidR="007C68A4" w:rsidRPr="00AB6A8A">
        <w:rPr>
          <w:lang w:val="lt-LT"/>
        </w:rPr>
        <w:t>pasunkėjęs kvėpavimas, kosulys</w:t>
      </w:r>
      <w:r w:rsidRPr="00AB6A8A">
        <w:rPr>
          <w:lang w:val="lt-LT"/>
        </w:rPr>
        <w:t>.</w:t>
      </w:r>
    </w:p>
    <w:p w14:paraId="0D4BDB20" w14:textId="77777777" w:rsidR="007C68A4" w:rsidRPr="00AB6A8A" w:rsidRDefault="007C68A4" w:rsidP="007A292B">
      <w:pPr>
        <w:pStyle w:val="Betarp"/>
        <w:numPr>
          <w:ilvl w:val="0"/>
          <w:numId w:val="27"/>
        </w:numPr>
        <w:ind w:left="567" w:hanging="567"/>
        <w:rPr>
          <w:lang w:val="lt-LT"/>
        </w:rPr>
      </w:pPr>
      <w:r w:rsidRPr="00AB6A8A">
        <w:rPr>
          <w:lang w:val="lt-LT"/>
        </w:rPr>
        <w:t>Plaukų slinkimas, pilkai sidabrinės spalvos odos bėrimas (psoriazinis bėrimas) ar pasunkėjusi žvynelinė, odos bėrimas.</w:t>
      </w:r>
    </w:p>
    <w:p w14:paraId="3D289BCA" w14:textId="25A3D033" w:rsidR="00D67692" w:rsidRPr="00AB6A8A" w:rsidRDefault="002D55E5" w:rsidP="007A292B">
      <w:pPr>
        <w:pStyle w:val="Sraopastraipa"/>
        <w:numPr>
          <w:ilvl w:val="0"/>
          <w:numId w:val="27"/>
        </w:numPr>
        <w:spacing w:after="0" w:line="240" w:lineRule="auto"/>
        <w:ind w:left="567" w:hanging="567"/>
        <w:rPr>
          <w:rFonts w:ascii="Times New Roman" w:hAnsi="Times New Roman"/>
        </w:rPr>
      </w:pPr>
      <w:r w:rsidRPr="00AB6A8A">
        <w:rPr>
          <w:rFonts w:ascii="Times New Roman" w:hAnsi="Times New Roman"/>
        </w:rPr>
        <w:t xml:space="preserve">Skonio sutrikimai, pykinimas, nevirškinimas, viduriavimas, </w:t>
      </w:r>
      <w:r w:rsidR="008F3311">
        <w:rPr>
          <w:rFonts w:ascii="Times New Roman" w:hAnsi="Times New Roman"/>
        </w:rPr>
        <w:t>sausa burna</w:t>
      </w:r>
      <w:r w:rsidRPr="00AB6A8A">
        <w:rPr>
          <w:rFonts w:ascii="Times New Roman" w:hAnsi="Times New Roman"/>
        </w:rPr>
        <w:t>, pilvo skausmai, vėmimas.</w:t>
      </w:r>
    </w:p>
    <w:p w14:paraId="32220C01" w14:textId="257876FC" w:rsidR="007C68A4" w:rsidRPr="00AB6A8A" w:rsidRDefault="002D55E5" w:rsidP="007A292B">
      <w:pPr>
        <w:pStyle w:val="Betarp"/>
        <w:numPr>
          <w:ilvl w:val="0"/>
          <w:numId w:val="27"/>
        </w:numPr>
        <w:ind w:left="567" w:hanging="567"/>
        <w:rPr>
          <w:lang w:val="lt-LT"/>
        </w:rPr>
      </w:pPr>
      <w:r w:rsidRPr="00AB6A8A">
        <w:rPr>
          <w:lang w:val="lt-LT"/>
        </w:rPr>
        <w:t>R</w:t>
      </w:r>
      <w:r w:rsidR="007C68A4" w:rsidRPr="00AB6A8A">
        <w:rPr>
          <w:lang w:val="lt-LT"/>
        </w:rPr>
        <w:t>aumenų skausmas</w:t>
      </w:r>
      <w:r w:rsidR="008F3311">
        <w:rPr>
          <w:lang w:val="lt-LT"/>
        </w:rPr>
        <w:t>, kurį sukelia ne fizinis krūvis.</w:t>
      </w:r>
    </w:p>
    <w:p w14:paraId="5F3350BD" w14:textId="77777777" w:rsidR="007C68A4" w:rsidRPr="00AB6A8A" w:rsidRDefault="007C68A4" w:rsidP="007A292B">
      <w:pPr>
        <w:pStyle w:val="Betarp"/>
        <w:numPr>
          <w:ilvl w:val="0"/>
          <w:numId w:val="27"/>
        </w:numPr>
        <w:ind w:left="567" w:hanging="567"/>
        <w:rPr>
          <w:lang w:val="lt-LT"/>
        </w:rPr>
      </w:pPr>
      <w:r w:rsidRPr="00AB6A8A">
        <w:rPr>
          <w:lang w:val="lt-LT"/>
        </w:rPr>
        <w:t>Lytinės funkcijos sutrikimas, sumažėjęs lytinis potraukis.</w:t>
      </w:r>
    </w:p>
    <w:p w14:paraId="47579C6D" w14:textId="19796702" w:rsidR="00226F31" w:rsidRPr="00AB6A8A" w:rsidRDefault="00226F31" w:rsidP="007A292B">
      <w:pPr>
        <w:pStyle w:val="Betarp"/>
        <w:numPr>
          <w:ilvl w:val="0"/>
          <w:numId w:val="27"/>
        </w:numPr>
        <w:ind w:left="567" w:hanging="567"/>
        <w:rPr>
          <w:lang w:val="lt-LT"/>
        </w:rPr>
      </w:pPr>
      <w:r w:rsidRPr="00AB6A8A">
        <w:rPr>
          <w:lang w:val="lt-LT"/>
        </w:rPr>
        <w:t>Raumenų silpnumas/nuovargis.</w:t>
      </w:r>
    </w:p>
    <w:p w14:paraId="4EAD3C59" w14:textId="77777777" w:rsidR="007C68A4" w:rsidRPr="00AB6A8A" w:rsidRDefault="007C68A4" w:rsidP="007A292B">
      <w:pPr>
        <w:pStyle w:val="Betarp"/>
        <w:rPr>
          <w:rFonts w:eastAsia="Times New Roman"/>
          <w:b/>
          <w:iCs/>
          <w:lang w:val="lt-LT" w:eastAsia="lt-LT"/>
        </w:rPr>
      </w:pPr>
    </w:p>
    <w:p w14:paraId="66F10C6E" w14:textId="77777777" w:rsidR="007C68A4" w:rsidRPr="00AB6A8A" w:rsidRDefault="007C68A4" w:rsidP="007A292B">
      <w:pPr>
        <w:pStyle w:val="Betarp"/>
        <w:rPr>
          <w:b/>
          <w:lang w:val="lt-LT"/>
        </w:rPr>
      </w:pPr>
      <w:r w:rsidRPr="00AB6A8A">
        <w:rPr>
          <w:b/>
          <w:noProof/>
          <w:lang w:val="lt-LT"/>
        </w:rPr>
        <w:t>Pranešimas apie šalutinį poveikį</w:t>
      </w:r>
    </w:p>
    <w:p w14:paraId="4876B998" w14:textId="38327B19" w:rsidR="007C68A4" w:rsidRPr="00AB6A8A" w:rsidRDefault="007C68A4" w:rsidP="007A292B">
      <w:pPr>
        <w:pStyle w:val="Betarp"/>
        <w:rPr>
          <w:noProof/>
          <w:lang w:val="lt-LT"/>
        </w:rPr>
      </w:pPr>
      <w:r w:rsidRPr="00AB6A8A">
        <w:rPr>
          <w:lang w:val="lt-LT"/>
        </w:rPr>
        <w:t xml:space="preserve">Jeigu pasireiškė šalutinis poveikis, įskaitant šiame lapelyje nenurodytą, pasakykite gydytojui arba vaistininkui. </w:t>
      </w:r>
      <w:r w:rsidR="00E12A07" w:rsidRPr="00AB6A8A">
        <w:rPr>
          <w:rFonts w:eastAsia="Times New Roman"/>
          <w:lang w:val="lt-LT" w:eastAsia="lt-LT"/>
        </w:rPr>
        <w:t xml:space="preserve">Pranešimą apie šalutinį poveikį galite užpildyti ir pateikti Valstybinės vaistų kontrolės tarnybos prie Lietuvos Respublikos sveikatos apsaugos ministerijos tinklalapyje </w:t>
      </w:r>
      <w:r w:rsidR="00E12A07" w:rsidRPr="00AB6A8A">
        <w:rPr>
          <w:rFonts w:eastAsia="Times New Roman"/>
          <w:color w:val="0000EE"/>
          <w:u w:val="single"/>
          <w:lang w:val="lt-LT" w:eastAsia="lt-LT"/>
        </w:rPr>
        <w:t>https://vvkt.lrv.lt/lt/</w:t>
      </w:r>
      <w:r w:rsidR="00E12A07" w:rsidRPr="00AB6A8A">
        <w:rPr>
          <w:rFonts w:eastAsia="Times New Roman"/>
          <w:lang w:val="lt-LT" w:eastAsia="lt-LT"/>
        </w:rPr>
        <w:t xml:space="preserve"> nurodytais būdais arba paskambinti nemokamu telefonu </w:t>
      </w:r>
      <w:r w:rsidR="00AA211B">
        <w:rPr>
          <w:rFonts w:eastAsia="Times New Roman"/>
          <w:lang w:val="lt-LT" w:eastAsia="lt-LT"/>
        </w:rPr>
        <w:t>+370</w:t>
      </w:r>
      <w:r w:rsidR="00E12A07" w:rsidRPr="00AB6A8A">
        <w:rPr>
          <w:rFonts w:eastAsia="Times New Roman"/>
          <w:lang w:val="lt-LT" w:eastAsia="lt-LT"/>
        </w:rPr>
        <w:t xml:space="preserve"> 800 73 568. Pranešdami apie šalutinį poveikį galite mums padėti gauti daugiau informacijos apie šio vaisto saugumą</w:t>
      </w:r>
      <w:r w:rsidR="00E12A07" w:rsidRPr="00AB6A8A">
        <w:rPr>
          <w:rFonts w:eastAsia="Times New Roman"/>
          <w:lang w:val="lt-LT"/>
        </w:rPr>
        <w:t>.</w:t>
      </w:r>
    </w:p>
    <w:p w14:paraId="0DBAC9B3" w14:textId="77777777" w:rsidR="007C68A4" w:rsidRPr="00AB6A8A" w:rsidRDefault="007C68A4" w:rsidP="007A292B">
      <w:pPr>
        <w:pStyle w:val="Betarp"/>
        <w:rPr>
          <w:lang w:val="lt-LT"/>
        </w:rPr>
      </w:pPr>
    </w:p>
    <w:p w14:paraId="51D88476" w14:textId="77777777" w:rsidR="007C68A4" w:rsidRPr="00AB6A8A" w:rsidRDefault="007C68A4" w:rsidP="007A292B">
      <w:pPr>
        <w:pStyle w:val="Betarp"/>
        <w:rPr>
          <w:b/>
          <w:lang w:val="lt-LT"/>
        </w:rPr>
      </w:pPr>
    </w:p>
    <w:p w14:paraId="7A5E71B0" w14:textId="03A93545" w:rsidR="007C68A4" w:rsidRPr="00AB6A8A" w:rsidRDefault="007C68A4" w:rsidP="007A292B">
      <w:pPr>
        <w:pStyle w:val="Betarp"/>
        <w:rPr>
          <w:b/>
          <w:lang w:val="lt-LT"/>
        </w:rPr>
      </w:pPr>
      <w:bookmarkStart w:id="76" w:name="_Toc129243143"/>
      <w:bookmarkStart w:id="77" w:name="_Toc129243268"/>
      <w:r w:rsidRPr="00AB6A8A">
        <w:rPr>
          <w:b/>
          <w:lang w:val="lt-LT"/>
        </w:rPr>
        <w:t>5.</w:t>
      </w:r>
      <w:r w:rsidRPr="00AB6A8A">
        <w:rPr>
          <w:b/>
          <w:lang w:val="lt-LT"/>
        </w:rPr>
        <w:tab/>
        <w:t xml:space="preserve">Kaip laikyti </w:t>
      </w:r>
      <w:bookmarkEnd w:id="76"/>
      <w:bookmarkEnd w:id="77"/>
      <w:r w:rsidR="00AA211B">
        <w:rPr>
          <w:b/>
          <w:lang w:val="lt-LT"/>
        </w:rPr>
        <w:t>Ed</w:t>
      </w:r>
      <w:r w:rsidR="007643D3" w:rsidRPr="007643D3">
        <w:rPr>
          <w:b/>
          <w:lang w:val="lt-LT"/>
        </w:rPr>
        <w:t>uelym</w:t>
      </w:r>
    </w:p>
    <w:p w14:paraId="143C7071" w14:textId="77777777" w:rsidR="007C68A4" w:rsidRPr="00AB6A8A" w:rsidRDefault="007C68A4" w:rsidP="007A292B">
      <w:pPr>
        <w:pStyle w:val="Betarp"/>
        <w:rPr>
          <w:lang w:val="lt-LT"/>
        </w:rPr>
      </w:pPr>
    </w:p>
    <w:p w14:paraId="6DB24A22" w14:textId="77777777" w:rsidR="007C68A4" w:rsidRPr="00AB6A8A" w:rsidRDefault="007C68A4" w:rsidP="007A292B">
      <w:pPr>
        <w:pStyle w:val="Betarp"/>
        <w:rPr>
          <w:noProof/>
          <w:lang w:val="lt-LT"/>
        </w:rPr>
      </w:pPr>
      <w:r w:rsidRPr="00AB6A8A">
        <w:rPr>
          <w:noProof/>
          <w:lang w:val="lt-LT"/>
        </w:rPr>
        <w:t>Šį vaistą laikykite vaikams nepastebimoje ir nepasiekiamoje vietoje.</w:t>
      </w:r>
    </w:p>
    <w:p w14:paraId="23FF6DE4" w14:textId="77777777" w:rsidR="00CA0936" w:rsidRPr="00AB6A8A" w:rsidRDefault="00CA0936" w:rsidP="007A292B">
      <w:pPr>
        <w:pStyle w:val="Betarp"/>
        <w:rPr>
          <w:lang w:val="lt-LT"/>
        </w:rPr>
      </w:pPr>
    </w:p>
    <w:p w14:paraId="6BD2E532" w14:textId="77777777" w:rsidR="007C68A4" w:rsidRPr="00AB6A8A" w:rsidRDefault="007C68A4" w:rsidP="007A292B">
      <w:pPr>
        <w:pStyle w:val="Betarp"/>
        <w:rPr>
          <w:lang w:val="lt-LT"/>
        </w:rPr>
      </w:pPr>
      <w:r w:rsidRPr="00AB6A8A">
        <w:rPr>
          <w:lang w:val="lt-LT"/>
        </w:rPr>
        <w:t>Ant dėžutės, paketėlio ir vienadozės talpyklės po ,,EXP“ nurodytam tinkamumo laikui pasibaigus, šio vaisto vartoti negalima. Vaistas tinkamas vartoti iki paskutinės nurodyto mėnesio dienos.</w:t>
      </w:r>
    </w:p>
    <w:p w14:paraId="1C5A8304" w14:textId="77777777" w:rsidR="00CA0936" w:rsidRPr="00AB6A8A" w:rsidRDefault="00CA0936" w:rsidP="007A292B">
      <w:pPr>
        <w:pStyle w:val="Betarp"/>
        <w:rPr>
          <w:lang w:val="lt-LT"/>
        </w:rPr>
      </w:pPr>
    </w:p>
    <w:p w14:paraId="6BDABE0B" w14:textId="77777777" w:rsidR="00CA0936" w:rsidRPr="00AB6A8A" w:rsidRDefault="00CA0936" w:rsidP="007A292B">
      <w:pPr>
        <w:pStyle w:val="Betarp"/>
        <w:rPr>
          <w:lang w:val="lt-LT"/>
        </w:rPr>
      </w:pPr>
      <w:r w:rsidRPr="00AB6A8A">
        <w:rPr>
          <w:lang w:val="lt-LT"/>
        </w:rPr>
        <w:t>Laikyti ne aukštesnėje kaip 25 °C temperatūroje.</w:t>
      </w:r>
    </w:p>
    <w:p w14:paraId="0AAE36AD" w14:textId="77777777" w:rsidR="00CA0936" w:rsidRPr="00AB6A8A" w:rsidRDefault="00CA0936" w:rsidP="007A292B">
      <w:pPr>
        <w:pStyle w:val="Betarp"/>
        <w:rPr>
          <w:lang w:val="lt-LT"/>
        </w:rPr>
      </w:pPr>
    </w:p>
    <w:p w14:paraId="3309F958" w14:textId="41B9A9A7" w:rsidR="007C68A4" w:rsidRPr="00AB6A8A" w:rsidRDefault="007C68A4" w:rsidP="007A292B">
      <w:pPr>
        <w:pStyle w:val="Betarp"/>
        <w:rPr>
          <w:lang w:val="lt-LT"/>
        </w:rPr>
      </w:pPr>
      <w:r w:rsidRPr="00AB6A8A">
        <w:rPr>
          <w:b/>
          <w:lang w:val="lt-LT"/>
        </w:rPr>
        <w:t>Po paketėlio pirmojo atidarymo:</w:t>
      </w:r>
      <w:r w:rsidRPr="00AB6A8A">
        <w:rPr>
          <w:lang w:val="lt-LT"/>
        </w:rPr>
        <w:t xml:space="preserve"> vaistą vienadozėse talpyklėse suvartoti per 1 mėnesį.</w:t>
      </w:r>
    </w:p>
    <w:p w14:paraId="11E079F6" w14:textId="5C41ED0E" w:rsidR="00CA0936" w:rsidRPr="00AB6A8A" w:rsidRDefault="00CA0936" w:rsidP="007A292B">
      <w:pPr>
        <w:pStyle w:val="Betarp"/>
        <w:rPr>
          <w:lang w:val="lt-LT"/>
        </w:rPr>
      </w:pPr>
      <w:r w:rsidRPr="00AB6A8A">
        <w:rPr>
          <w:lang w:val="lt-LT"/>
        </w:rPr>
        <w:t>Kad būtų lengviau atsiminti, užsirašykite paketėlio atidarymo datą.</w:t>
      </w:r>
    </w:p>
    <w:p w14:paraId="6BB38A56" w14:textId="7C5547F7" w:rsidR="00CA0936" w:rsidRDefault="00CA0936" w:rsidP="007A292B">
      <w:pPr>
        <w:pStyle w:val="Betarp"/>
        <w:rPr>
          <w:lang w:val="lt-LT"/>
        </w:rPr>
      </w:pPr>
      <w:r w:rsidRPr="00AB6A8A">
        <w:rPr>
          <w:lang w:val="lt-LT"/>
        </w:rPr>
        <w:t xml:space="preserve">Nepanaudotas vienadozes talpykles laikykite atidarytame paketėlyje, kad </w:t>
      </w:r>
      <w:r w:rsidR="00D44B3D">
        <w:rPr>
          <w:lang w:val="lt-LT"/>
        </w:rPr>
        <w:t xml:space="preserve">vaistas </w:t>
      </w:r>
      <w:r w:rsidRPr="00AB6A8A">
        <w:rPr>
          <w:lang w:val="lt-LT"/>
        </w:rPr>
        <w:t>būtų apsaugota</w:t>
      </w:r>
      <w:r w:rsidR="00D44B3D">
        <w:rPr>
          <w:lang w:val="lt-LT"/>
        </w:rPr>
        <w:t>s</w:t>
      </w:r>
      <w:r w:rsidRPr="00AB6A8A">
        <w:rPr>
          <w:lang w:val="lt-LT"/>
        </w:rPr>
        <w:t xml:space="preserve"> nuo šviesos.</w:t>
      </w:r>
    </w:p>
    <w:p w14:paraId="39C58D87" w14:textId="77777777" w:rsidR="00D44B3D" w:rsidRPr="00AB6A8A" w:rsidRDefault="00D44B3D" w:rsidP="007A292B">
      <w:pPr>
        <w:pStyle w:val="Betarp"/>
        <w:rPr>
          <w:lang w:val="lt-LT"/>
        </w:rPr>
      </w:pPr>
    </w:p>
    <w:p w14:paraId="0D2DA085" w14:textId="5D97E4BB" w:rsidR="00CA0936" w:rsidRPr="00AB6A8A" w:rsidRDefault="00CA0936" w:rsidP="007A292B">
      <w:pPr>
        <w:pStyle w:val="Betarp"/>
        <w:rPr>
          <w:lang w:val="lt-LT"/>
        </w:rPr>
      </w:pPr>
      <w:r w:rsidRPr="00AB6A8A">
        <w:rPr>
          <w:b/>
          <w:bCs/>
          <w:lang w:val="lt-LT"/>
        </w:rPr>
        <w:t>Pirmą kartą atidarius vienadozę talpyklę:</w:t>
      </w:r>
      <w:r w:rsidRPr="00AB6A8A">
        <w:rPr>
          <w:lang w:val="lt-LT"/>
        </w:rPr>
        <w:t xml:space="preserve"> suvartoti nedelsiant, o panaudojus vienadozę talpyklę išmesti.</w:t>
      </w:r>
    </w:p>
    <w:p w14:paraId="4998F7BA" w14:textId="77777777" w:rsidR="00CA0936" w:rsidRPr="00AB6A8A" w:rsidRDefault="00CA0936" w:rsidP="007A292B">
      <w:pPr>
        <w:pStyle w:val="Betarp"/>
        <w:rPr>
          <w:lang w:val="lt-LT"/>
        </w:rPr>
      </w:pPr>
    </w:p>
    <w:p w14:paraId="041A5147" w14:textId="272ECDC6" w:rsidR="007C68A4" w:rsidRPr="00AB6A8A" w:rsidRDefault="007C68A4" w:rsidP="007A292B">
      <w:pPr>
        <w:pStyle w:val="Betarp"/>
        <w:rPr>
          <w:lang w:val="lt-LT"/>
        </w:rPr>
      </w:pPr>
      <w:r w:rsidRPr="00AB6A8A">
        <w:rPr>
          <w:lang w:val="lt-LT"/>
        </w:rPr>
        <w:t>Vaistų negalima išmesti į kanalizaciją arba su buitinėmis atliekomis. Kaip išmesti nereikalingus vaistus, klauskite vaistininko. Šios priemonės padės apsaugoti aplinką.</w:t>
      </w:r>
    </w:p>
    <w:p w14:paraId="00ACCD44" w14:textId="77777777" w:rsidR="007C68A4" w:rsidRPr="00AB6A8A" w:rsidRDefault="007C68A4" w:rsidP="007A292B">
      <w:pPr>
        <w:pStyle w:val="Betarp"/>
        <w:rPr>
          <w:lang w:val="lt-LT"/>
        </w:rPr>
      </w:pPr>
    </w:p>
    <w:p w14:paraId="004B4D39" w14:textId="77777777" w:rsidR="007C68A4" w:rsidRPr="00AB6A8A" w:rsidRDefault="007C68A4" w:rsidP="007A292B">
      <w:pPr>
        <w:pStyle w:val="Betarp"/>
        <w:rPr>
          <w:b/>
          <w:lang w:val="lt-LT"/>
        </w:rPr>
      </w:pPr>
    </w:p>
    <w:p w14:paraId="63DE3AEE" w14:textId="77777777" w:rsidR="007C68A4" w:rsidRPr="00AB6A8A" w:rsidRDefault="007C68A4" w:rsidP="007A292B">
      <w:pPr>
        <w:pStyle w:val="Betarp"/>
        <w:rPr>
          <w:b/>
          <w:lang w:val="lt-LT"/>
        </w:rPr>
      </w:pPr>
      <w:bookmarkStart w:id="78" w:name="_Toc129243144"/>
      <w:bookmarkStart w:id="79" w:name="_Toc129243269"/>
      <w:r w:rsidRPr="00AB6A8A">
        <w:rPr>
          <w:b/>
          <w:lang w:val="lt-LT"/>
        </w:rPr>
        <w:t>6.</w:t>
      </w:r>
      <w:r w:rsidRPr="00AB6A8A">
        <w:rPr>
          <w:b/>
          <w:lang w:val="lt-LT"/>
        </w:rPr>
        <w:tab/>
        <w:t>Pakuotės turinys ir kita informacija</w:t>
      </w:r>
      <w:bookmarkEnd w:id="78"/>
      <w:bookmarkEnd w:id="79"/>
    </w:p>
    <w:p w14:paraId="5F879CC7" w14:textId="77777777" w:rsidR="007C68A4" w:rsidRPr="00AB6A8A" w:rsidRDefault="007C68A4" w:rsidP="007A292B">
      <w:pPr>
        <w:pStyle w:val="Betarp"/>
        <w:rPr>
          <w:b/>
          <w:lang w:val="lt-LT"/>
        </w:rPr>
      </w:pPr>
    </w:p>
    <w:p w14:paraId="70966A56" w14:textId="0D6D3A9D" w:rsidR="007C68A4" w:rsidRPr="00AB6A8A" w:rsidRDefault="00AA211B" w:rsidP="007A292B">
      <w:pPr>
        <w:pStyle w:val="Betarp"/>
        <w:rPr>
          <w:b/>
          <w:lang w:val="lt-LT"/>
        </w:rPr>
      </w:pPr>
      <w:r>
        <w:rPr>
          <w:b/>
          <w:noProof/>
          <w:lang w:val="lt-LT"/>
        </w:rPr>
        <w:t>Ed</w:t>
      </w:r>
      <w:r w:rsidR="007643D3" w:rsidRPr="007643D3">
        <w:rPr>
          <w:b/>
          <w:noProof/>
          <w:lang w:val="lt-LT"/>
        </w:rPr>
        <w:t>uelym</w:t>
      </w:r>
      <w:r w:rsidR="007C68A4" w:rsidRPr="00AB6A8A">
        <w:rPr>
          <w:b/>
          <w:lang w:val="lt-LT"/>
        </w:rPr>
        <w:t xml:space="preserve"> sudėtis</w:t>
      </w:r>
    </w:p>
    <w:p w14:paraId="557A6299" w14:textId="42C363CE" w:rsidR="007C68A4" w:rsidRPr="00AB6A8A" w:rsidRDefault="007C68A4" w:rsidP="007A292B">
      <w:pPr>
        <w:pStyle w:val="Betarp"/>
        <w:ind w:left="705" w:hanging="705"/>
        <w:rPr>
          <w:lang w:val="lt-LT"/>
        </w:rPr>
      </w:pPr>
      <w:r w:rsidRPr="00AB6A8A">
        <w:rPr>
          <w:lang w:val="lt-LT"/>
        </w:rPr>
        <w:t>-</w:t>
      </w:r>
      <w:r w:rsidRPr="00AB6A8A">
        <w:rPr>
          <w:lang w:val="lt-LT"/>
        </w:rPr>
        <w:tab/>
        <w:t xml:space="preserve">Veikliosios medžiagos yra </w:t>
      </w:r>
      <w:r w:rsidR="004C5BA1" w:rsidRPr="00AB6A8A">
        <w:rPr>
          <w:lang w:val="lt-LT"/>
        </w:rPr>
        <w:t>bimatoprostas ir timololis. Kiekviename grame akių gelio yra 0,1 mg bimatoprosto</w:t>
      </w:r>
      <w:r w:rsidRPr="00AB6A8A">
        <w:rPr>
          <w:lang w:val="lt-LT"/>
        </w:rPr>
        <w:t xml:space="preserve"> ir </w:t>
      </w:r>
      <w:r w:rsidR="004C5BA1" w:rsidRPr="00AB6A8A">
        <w:rPr>
          <w:lang w:val="lt-LT"/>
        </w:rPr>
        <w:t>1,37 mg</w:t>
      </w:r>
      <w:r w:rsidRPr="00AB6A8A">
        <w:rPr>
          <w:lang w:val="lt-LT"/>
        </w:rPr>
        <w:t xml:space="preserve"> timololio </w:t>
      </w:r>
      <w:r w:rsidR="004C5BA1" w:rsidRPr="00AB6A8A">
        <w:rPr>
          <w:lang w:val="lt-LT"/>
        </w:rPr>
        <w:t>maleato, atitinkančio 1 mg timololio.</w:t>
      </w:r>
    </w:p>
    <w:p w14:paraId="53255D13" w14:textId="617179D0" w:rsidR="007C68A4" w:rsidRPr="00AB6A8A" w:rsidRDefault="007C68A4" w:rsidP="007A292B">
      <w:pPr>
        <w:pStyle w:val="Betarp"/>
        <w:ind w:left="705" w:hanging="705"/>
        <w:rPr>
          <w:lang w:val="lt-LT"/>
        </w:rPr>
      </w:pPr>
      <w:r w:rsidRPr="00AB6A8A">
        <w:rPr>
          <w:lang w:val="lt-LT"/>
        </w:rPr>
        <w:t>-</w:t>
      </w:r>
      <w:r w:rsidRPr="00AB6A8A">
        <w:rPr>
          <w:lang w:val="lt-LT"/>
        </w:rPr>
        <w:tab/>
        <w:t xml:space="preserve">Pagalbinės medžiagos yra sorbitolis, karbomeras, </w:t>
      </w:r>
      <w:r w:rsidR="004C5BA1" w:rsidRPr="00AB6A8A">
        <w:rPr>
          <w:lang w:val="lt-LT"/>
        </w:rPr>
        <w:t>lizin</w:t>
      </w:r>
      <w:r w:rsidR="00D44B3D">
        <w:rPr>
          <w:lang w:val="lt-LT"/>
        </w:rPr>
        <w:t>as</w:t>
      </w:r>
      <w:r w:rsidR="004C5BA1" w:rsidRPr="00AB6A8A">
        <w:rPr>
          <w:lang w:val="lt-LT"/>
        </w:rPr>
        <w:t xml:space="preserve"> monohidratas, makrogolis, natrio acetato trihidratas, </w:t>
      </w:r>
      <w:r w:rsidRPr="00AB6A8A">
        <w:rPr>
          <w:lang w:val="lt-LT"/>
        </w:rPr>
        <w:t>injekcinis vanduo.</w:t>
      </w:r>
    </w:p>
    <w:p w14:paraId="5B708568" w14:textId="77777777" w:rsidR="007C68A4" w:rsidRPr="00AB6A8A" w:rsidRDefault="007C68A4" w:rsidP="007A292B">
      <w:pPr>
        <w:pStyle w:val="Betarp"/>
        <w:rPr>
          <w:b/>
          <w:lang w:val="lt-LT"/>
        </w:rPr>
      </w:pPr>
    </w:p>
    <w:p w14:paraId="06BAC904" w14:textId="326E4266" w:rsidR="007C68A4" w:rsidRPr="00AB6A8A" w:rsidRDefault="00AA211B" w:rsidP="007A292B">
      <w:pPr>
        <w:pStyle w:val="Betarp"/>
        <w:keepNext/>
        <w:rPr>
          <w:b/>
          <w:lang w:val="lt-LT"/>
        </w:rPr>
      </w:pPr>
      <w:r>
        <w:rPr>
          <w:b/>
          <w:noProof/>
          <w:lang w:val="lt-LT"/>
        </w:rPr>
        <w:t>Ed</w:t>
      </w:r>
      <w:r w:rsidR="007643D3" w:rsidRPr="007643D3">
        <w:rPr>
          <w:b/>
          <w:noProof/>
          <w:lang w:val="lt-LT"/>
        </w:rPr>
        <w:t>uelym</w:t>
      </w:r>
      <w:r w:rsidR="007C68A4" w:rsidRPr="00AB6A8A">
        <w:rPr>
          <w:b/>
          <w:lang w:val="lt-LT"/>
        </w:rPr>
        <w:t xml:space="preserve"> išvaizda ir kiekis pakuotėje</w:t>
      </w:r>
    </w:p>
    <w:p w14:paraId="777BD581" w14:textId="595B0258" w:rsidR="00B40E25" w:rsidRPr="00AB6A8A" w:rsidRDefault="00AA211B" w:rsidP="007A292B">
      <w:pPr>
        <w:pStyle w:val="Betarp"/>
        <w:rPr>
          <w:lang w:val="lt-LT"/>
        </w:rPr>
      </w:pPr>
      <w:r>
        <w:rPr>
          <w:lang w:val="lt-LT"/>
        </w:rPr>
        <w:t>Ed</w:t>
      </w:r>
      <w:r w:rsidR="007643D3" w:rsidRPr="007643D3">
        <w:rPr>
          <w:lang w:val="lt-LT"/>
        </w:rPr>
        <w:t>uelym</w:t>
      </w:r>
      <w:r w:rsidR="00B40E25" w:rsidRPr="00AB6A8A">
        <w:rPr>
          <w:lang w:val="lt-LT"/>
        </w:rPr>
        <w:t xml:space="preserve"> yra bespalvis</w:t>
      </w:r>
      <w:r w:rsidR="00D44B3D">
        <w:rPr>
          <w:lang w:val="lt-LT"/>
        </w:rPr>
        <w:t>,</w:t>
      </w:r>
      <w:r w:rsidR="00B40E25" w:rsidRPr="00AB6A8A">
        <w:rPr>
          <w:lang w:val="lt-LT"/>
        </w:rPr>
        <w:t xml:space="preserve"> opalinis akių gelis vienadozėje talpyklėje. Jis </w:t>
      </w:r>
      <w:r w:rsidR="00D44B3D">
        <w:rPr>
          <w:lang w:val="lt-LT"/>
        </w:rPr>
        <w:t>tiekiamas</w:t>
      </w:r>
      <w:r w:rsidR="00B40E25" w:rsidRPr="00AB6A8A">
        <w:rPr>
          <w:lang w:val="lt-LT"/>
        </w:rPr>
        <w:t xml:space="preserve"> vienadozėse talpyklėse, supakuotose į paketėlius po 10 vienetų.</w:t>
      </w:r>
    </w:p>
    <w:p w14:paraId="64BAA847" w14:textId="77777777" w:rsidR="00B40E25" w:rsidRPr="00AB6A8A" w:rsidRDefault="00B40E25" w:rsidP="007A292B">
      <w:pPr>
        <w:pStyle w:val="Betarp"/>
        <w:rPr>
          <w:lang w:val="lt-LT"/>
        </w:rPr>
      </w:pPr>
      <w:r w:rsidRPr="00AB6A8A">
        <w:rPr>
          <w:lang w:val="lt-LT"/>
        </w:rPr>
        <w:t>Kiekvienoje vienadozėje talpyklėje yra 0,3 g produkto.</w:t>
      </w:r>
    </w:p>
    <w:p w14:paraId="67D693B7" w14:textId="77777777" w:rsidR="00B40E25" w:rsidRDefault="00B40E25" w:rsidP="007A292B">
      <w:pPr>
        <w:pStyle w:val="Betarp"/>
        <w:rPr>
          <w:lang w:val="lt-LT"/>
        </w:rPr>
      </w:pPr>
      <w:r w:rsidRPr="00AB6A8A">
        <w:rPr>
          <w:lang w:val="lt-LT"/>
        </w:rPr>
        <w:t>Vienoje pakuotėje yra 10, 30 (3 x 10) arba 90 (9 x 10) vienadozių talpyklių.</w:t>
      </w:r>
    </w:p>
    <w:p w14:paraId="64977C8D" w14:textId="77777777" w:rsidR="00D44B3D" w:rsidRPr="00AB6A8A" w:rsidRDefault="00D44B3D" w:rsidP="007A292B">
      <w:pPr>
        <w:pStyle w:val="Betarp"/>
        <w:rPr>
          <w:lang w:val="lt-LT"/>
        </w:rPr>
      </w:pPr>
    </w:p>
    <w:p w14:paraId="06BF4D6B" w14:textId="04611D50" w:rsidR="007C68A4" w:rsidRPr="00AB6A8A" w:rsidRDefault="00B40E25" w:rsidP="007A292B">
      <w:pPr>
        <w:pStyle w:val="Betarp"/>
        <w:rPr>
          <w:lang w:val="lt-LT"/>
        </w:rPr>
      </w:pPr>
      <w:r w:rsidRPr="00AB6A8A">
        <w:rPr>
          <w:lang w:val="lt-LT"/>
        </w:rPr>
        <w:t>Gali būti tiekiamos ne visų dydžių pakuotės.</w:t>
      </w:r>
    </w:p>
    <w:p w14:paraId="7409C2D5" w14:textId="77777777" w:rsidR="007C68A4" w:rsidRPr="00AB6A8A" w:rsidRDefault="007C68A4" w:rsidP="007A292B">
      <w:pPr>
        <w:pStyle w:val="Betarp"/>
        <w:rPr>
          <w:b/>
          <w:lang w:val="lt-LT"/>
        </w:rPr>
      </w:pPr>
    </w:p>
    <w:p w14:paraId="26147294" w14:textId="77777777" w:rsidR="007C68A4" w:rsidRPr="00AB6A8A" w:rsidRDefault="007C68A4" w:rsidP="007A292B">
      <w:pPr>
        <w:pStyle w:val="Betarp"/>
        <w:rPr>
          <w:b/>
          <w:bCs/>
          <w:lang w:val="lt-LT"/>
        </w:rPr>
      </w:pPr>
      <w:r w:rsidRPr="00AB6A8A">
        <w:rPr>
          <w:b/>
          <w:bCs/>
          <w:lang w:val="lt-LT"/>
        </w:rPr>
        <w:t>Registruotojas</w:t>
      </w:r>
    </w:p>
    <w:p w14:paraId="797C6D8E" w14:textId="77777777" w:rsidR="007C68A4" w:rsidRPr="00AB6A8A" w:rsidRDefault="007C68A4" w:rsidP="007A292B">
      <w:pPr>
        <w:pStyle w:val="Betarp"/>
        <w:rPr>
          <w:lang w:val="lt-LT"/>
        </w:rPr>
      </w:pPr>
      <w:r w:rsidRPr="00AB6A8A">
        <w:rPr>
          <w:lang w:val="lt-LT"/>
        </w:rPr>
        <w:t>Laboratoires THEA</w:t>
      </w:r>
    </w:p>
    <w:p w14:paraId="0735E9A2" w14:textId="77777777" w:rsidR="00762BA4" w:rsidRPr="009F1E55" w:rsidRDefault="00762BA4" w:rsidP="00762BA4">
      <w:pPr>
        <w:pStyle w:val="Betarp"/>
        <w:rPr>
          <w:lang w:val="fr-FR"/>
        </w:rPr>
      </w:pPr>
      <w:r w:rsidRPr="009F1E55">
        <w:rPr>
          <w:lang w:val="fr-FR"/>
        </w:rPr>
        <w:t>Zone Industrielle du Brézet</w:t>
      </w:r>
    </w:p>
    <w:p w14:paraId="3A50AF70" w14:textId="77777777" w:rsidR="00762BA4" w:rsidRPr="009F1E55" w:rsidRDefault="00762BA4" w:rsidP="00762BA4">
      <w:pPr>
        <w:pStyle w:val="Betarp"/>
        <w:rPr>
          <w:lang w:val="fr-FR"/>
        </w:rPr>
      </w:pPr>
      <w:r w:rsidRPr="009F1E55">
        <w:rPr>
          <w:lang w:val="fr-FR"/>
        </w:rPr>
        <w:t>12 rue Louis Blériot</w:t>
      </w:r>
    </w:p>
    <w:p w14:paraId="44672F62" w14:textId="77777777" w:rsidR="00762BA4" w:rsidRPr="009F1E55" w:rsidRDefault="00762BA4" w:rsidP="00762BA4">
      <w:pPr>
        <w:pStyle w:val="Betarp"/>
        <w:rPr>
          <w:lang w:val="fr-FR"/>
        </w:rPr>
      </w:pPr>
      <w:r w:rsidRPr="009F1E55">
        <w:rPr>
          <w:lang w:val="fr-FR"/>
        </w:rPr>
        <w:t>63100 Clermont-Ferrand</w:t>
      </w:r>
    </w:p>
    <w:p w14:paraId="2304A0AE" w14:textId="77777777" w:rsidR="007C68A4" w:rsidRPr="00AB6A8A" w:rsidRDefault="007C68A4" w:rsidP="007A292B">
      <w:pPr>
        <w:pStyle w:val="Betarp"/>
        <w:rPr>
          <w:caps/>
          <w:lang w:val="lt-LT"/>
        </w:rPr>
      </w:pPr>
      <w:r w:rsidRPr="00AB6A8A">
        <w:rPr>
          <w:lang w:val="lt-LT"/>
        </w:rPr>
        <w:t>Prancūzija</w:t>
      </w:r>
    </w:p>
    <w:p w14:paraId="0394FD52" w14:textId="77777777" w:rsidR="007C68A4" w:rsidRPr="00AB6A8A" w:rsidRDefault="007C68A4" w:rsidP="007A292B">
      <w:pPr>
        <w:pStyle w:val="Betarp"/>
        <w:rPr>
          <w:u w:val="single"/>
          <w:lang w:val="lt-LT"/>
        </w:rPr>
      </w:pPr>
    </w:p>
    <w:p w14:paraId="05C6D88F" w14:textId="77777777" w:rsidR="007C68A4" w:rsidRPr="00AB6A8A" w:rsidRDefault="007C68A4" w:rsidP="007A292B">
      <w:pPr>
        <w:pStyle w:val="Betarp"/>
        <w:rPr>
          <w:b/>
          <w:bCs/>
          <w:lang w:val="lt-LT"/>
        </w:rPr>
      </w:pPr>
      <w:r w:rsidRPr="00AB6A8A">
        <w:rPr>
          <w:b/>
          <w:bCs/>
          <w:lang w:val="lt-LT"/>
        </w:rPr>
        <w:t>Gamintojas</w:t>
      </w:r>
    </w:p>
    <w:p w14:paraId="3BECA82C"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 xml:space="preserve">LABORATOIRE UNITHER </w:t>
      </w:r>
    </w:p>
    <w:p w14:paraId="00FC6214"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1 rue de l’Arquerie</w:t>
      </w:r>
    </w:p>
    <w:p w14:paraId="6D4B39C8"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50200 Coutances</w:t>
      </w:r>
    </w:p>
    <w:p w14:paraId="79F4A76A" w14:textId="1EC329C8"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Prancūzija</w:t>
      </w:r>
    </w:p>
    <w:p w14:paraId="39C77955" w14:textId="77777777" w:rsidR="00B40E25" w:rsidRPr="00AB6A8A" w:rsidRDefault="00B40E25" w:rsidP="007A292B">
      <w:pPr>
        <w:numPr>
          <w:ilvl w:val="12"/>
          <w:numId w:val="0"/>
        </w:numPr>
        <w:spacing w:line="240" w:lineRule="auto"/>
        <w:ind w:right="-2"/>
        <w:rPr>
          <w:rFonts w:eastAsia="Times New Roman"/>
          <w:lang w:val="lt-LT"/>
        </w:rPr>
      </w:pPr>
    </w:p>
    <w:p w14:paraId="3486740B" w14:textId="09CAEE85"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 xml:space="preserve">arba </w:t>
      </w:r>
    </w:p>
    <w:p w14:paraId="70B3FCD2" w14:textId="77777777" w:rsidR="00B40E25" w:rsidRPr="00AB6A8A" w:rsidRDefault="00B40E25" w:rsidP="007A292B">
      <w:pPr>
        <w:numPr>
          <w:ilvl w:val="12"/>
          <w:numId w:val="0"/>
        </w:numPr>
        <w:spacing w:line="240" w:lineRule="auto"/>
        <w:ind w:right="-2"/>
        <w:rPr>
          <w:rFonts w:eastAsia="Times New Roman"/>
          <w:lang w:val="lt-LT"/>
        </w:rPr>
      </w:pPr>
    </w:p>
    <w:p w14:paraId="251E8C62"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Laboratoires THEA</w:t>
      </w:r>
    </w:p>
    <w:p w14:paraId="1FFC62E5"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Zone Industrielle du Brézet</w:t>
      </w:r>
    </w:p>
    <w:p w14:paraId="306AB61F"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12 rue Louis Blériot</w:t>
      </w:r>
    </w:p>
    <w:p w14:paraId="08D98F51"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63100 Clermont-Ferrand</w:t>
      </w:r>
    </w:p>
    <w:p w14:paraId="76320A6B"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Prancūzija</w:t>
      </w:r>
    </w:p>
    <w:p w14:paraId="615655A7" w14:textId="77777777" w:rsidR="007C68A4" w:rsidRPr="00AB6A8A" w:rsidRDefault="007C68A4" w:rsidP="007A292B">
      <w:pPr>
        <w:pStyle w:val="Betarp"/>
        <w:rPr>
          <w:iCs/>
          <w:lang w:val="lt-LT"/>
        </w:rPr>
      </w:pPr>
    </w:p>
    <w:p w14:paraId="5ECB51A8" w14:textId="77777777" w:rsidR="007C68A4" w:rsidRPr="00AB6A8A" w:rsidRDefault="007C68A4" w:rsidP="007A292B">
      <w:pPr>
        <w:pStyle w:val="Betarp"/>
        <w:rPr>
          <w:b/>
          <w:lang w:val="lt-LT"/>
        </w:rPr>
      </w:pPr>
    </w:p>
    <w:p w14:paraId="39088840" w14:textId="6A8679DB" w:rsidR="007C68A4" w:rsidRPr="00AB6A8A" w:rsidRDefault="007C68A4" w:rsidP="007A292B">
      <w:pPr>
        <w:pStyle w:val="Betarp"/>
        <w:rPr>
          <w:b/>
          <w:lang w:val="lt-LT"/>
        </w:rPr>
      </w:pPr>
      <w:r w:rsidRPr="00AB6A8A">
        <w:rPr>
          <w:b/>
          <w:bCs/>
          <w:lang w:val="lt-LT"/>
        </w:rPr>
        <w:t xml:space="preserve">Šis pakuotės </w:t>
      </w:r>
      <w:r w:rsidRPr="00AB6A8A">
        <w:rPr>
          <w:b/>
          <w:lang w:val="lt-LT"/>
        </w:rPr>
        <w:t>lapelis paskutinį kartą peržiūrėtas</w:t>
      </w:r>
      <w:r w:rsidR="00F31938">
        <w:rPr>
          <w:b/>
          <w:lang w:val="lt-LT"/>
        </w:rPr>
        <w:t xml:space="preserve"> 2025-11-11</w:t>
      </w:r>
      <w:r w:rsidR="00EE5451" w:rsidRPr="00AB6A8A">
        <w:rPr>
          <w:b/>
          <w:lang w:val="lt-LT"/>
        </w:rPr>
        <w:t>.</w:t>
      </w:r>
    </w:p>
    <w:p w14:paraId="175FE082" w14:textId="77777777" w:rsidR="007C68A4" w:rsidRPr="00AB6A8A" w:rsidRDefault="007C68A4" w:rsidP="007A292B">
      <w:pPr>
        <w:pStyle w:val="Betarp"/>
        <w:rPr>
          <w:lang w:val="lt-LT"/>
        </w:rPr>
      </w:pPr>
    </w:p>
    <w:p w14:paraId="5434AC39" w14:textId="14C89060" w:rsidR="007C68A4" w:rsidRPr="00AB6A8A" w:rsidRDefault="007C68A4" w:rsidP="007A292B">
      <w:pPr>
        <w:pStyle w:val="Betarp"/>
        <w:rPr>
          <w:lang w:val="lt-LT"/>
        </w:rPr>
      </w:pPr>
      <w:r w:rsidRPr="00AB6A8A">
        <w:rPr>
          <w:lang w:val="lt-LT"/>
        </w:rPr>
        <w:t>Išsami informacija apie šį vaistą pateikiama Valstybinės vaistų kontrolės tarnybos prie Lietuvos Respublikos sveikatos apsaugos ministerijos tinklalapyje</w:t>
      </w:r>
      <w:r w:rsidRPr="00AB6A8A">
        <w:rPr>
          <w:i/>
          <w:lang w:val="lt-LT"/>
        </w:rPr>
        <w:t xml:space="preserve"> </w:t>
      </w:r>
      <w:r w:rsidR="00EE5451" w:rsidRPr="00AB6A8A">
        <w:rPr>
          <w:rFonts w:eastAsia="Times New Roman"/>
          <w:color w:val="0000EE"/>
          <w:u w:val="single"/>
          <w:lang w:val="lt-LT" w:eastAsia="lt-LT"/>
        </w:rPr>
        <w:t>https://vvkt.lrv.lt/lt/</w:t>
      </w:r>
      <w:r w:rsidR="00EE5451" w:rsidRPr="00AB6A8A">
        <w:rPr>
          <w:rFonts w:eastAsia="Times New Roman"/>
          <w:lang w:val="lt-LT" w:eastAsia="lt-LT"/>
        </w:rPr>
        <w:t>.</w:t>
      </w:r>
    </w:p>
    <w:p w14:paraId="03BFEE1D" w14:textId="77777777" w:rsidR="007C68A4" w:rsidRPr="00AB6A8A" w:rsidRDefault="007C68A4" w:rsidP="007A292B">
      <w:pPr>
        <w:pStyle w:val="Betarp"/>
        <w:rPr>
          <w:lang w:val="lt-LT"/>
        </w:rPr>
      </w:pPr>
    </w:p>
    <w:p w14:paraId="751E751F" w14:textId="77777777" w:rsidR="007C68A4" w:rsidRPr="00AB6A8A" w:rsidRDefault="007C68A4" w:rsidP="007A292B">
      <w:pPr>
        <w:pStyle w:val="Betarp"/>
        <w:rPr>
          <w:lang w:val="lt-LT"/>
        </w:rPr>
      </w:pPr>
    </w:p>
    <w:p w14:paraId="2C801502" w14:textId="77777777" w:rsidR="00547CC6" w:rsidRPr="00AB6A8A" w:rsidRDefault="00547CC6" w:rsidP="007A292B">
      <w:pPr>
        <w:spacing w:line="240" w:lineRule="auto"/>
        <w:rPr>
          <w:lang w:val="lt-LT"/>
        </w:rPr>
      </w:pPr>
      <w:bookmarkStart w:id="80" w:name="_GoBack"/>
      <w:bookmarkEnd w:id="80"/>
    </w:p>
    <w:sectPr w:rsidR="00547CC6" w:rsidRPr="00AB6A8A" w:rsidSect="00AE2CAB">
      <w:headerReference w:type="even" r:id="rId15"/>
      <w:headerReference w:type="default" r:id="rId16"/>
      <w:footerReference w:type="even" r:id="rId17"/>
      <w:footerReference w:type="default" r:id="rId18"/>
      <w:footerReference w:type="first" r:id="rId19"/>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73962" w14:textId="77777777" w:rsidR="00E45808" w:rsidRDefault="00E45808">
      <w:pPr>
        <w:spacing w:line="240" w:lineRule="auto"/>
      </w:pPr>
      <w:r>
        <w:separator/>
      </w:r>
    </w:p>
  </w:endnote>
  <w:endnote w:type="continuationSeparator" w:id="0">
    <w:p w14:paraId="228C7B9A" w14:textId="77777777" w:rsidR="00E45808" w:rsidRDefault="00E45808">
      <w:pPr>
        <w:spacing w:line="240" w:lineRule="auto"/>
      </w:pPr>
      <w:r>
        <w:continuationSeparator/>
      </w:r>
    </w:p>
  </w:endnote>
  <w:endnote w:type="continuationNotice" w:id="1">
    <w:p w14:paraId="6711AD3E" w14:textId="77777777" w:rsidR="00E45808" w:rsidRDefault="00E458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887C" w14:textId="77777777" w:rsidR="00E45808" w:rsidRDefault="00E45808" w:rsidP="00AE2C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C2BCBC" w14:textId="77777777" w:rsidR="00E45808" w:rsidRDefault="00E458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8043" w14:textId="2B6547AA" w:rsidR="00E45808" w:rsidRPr="0027248D" w:rsidRDefault="00E45808" w:rsidP="00AE2CAB">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F31938">
      <w:rPr>
        <w:rStyle w:val="Puslapionumeris"/>
        <w:noProof/>
      </w:rPr>
      <w:t>30</w:t>
    </w:r>
    <w:r w:rsidRPr="0027248D">
      <w:rPr>
        <w:rStyle w:val="Puslapionumeris"/>
      </w:rPr>
      <w:fldChar w:fldCharType="end"/>
    </w:r>
  </w:p>
  <w:p w14:paraId="45EC6F45" w14:textId="77777777" w:rsidR="00E45808" w:rsidRDefault="00E45808">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62D0" w14:textId="77777777" w:rsidR="00E45808" w:rsidRDefault="00E45808">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65F8D" w14:textId="77777777" w:rsidR="00E45808" w:rsidRDefault="00E45808">
      <w:pPr>
        <w:spacing w:line="240" w:lineRule="auto"/>
      </w:pPr>
      <w:r>
        <w:separator/>
      </w:r>
    </w:p>
  </w:footnote>
  <w:footnote w:type="continuationSeparator" w:id="0">
    <w:p w14:paraId="40651C77" w14:textId="77777777" w:rsidR="00E45808" w:rsidRDefault="00E45808">
      <w:pPr>
        <w:spacing w:line="240" w:lineRule="auto"/>
      </w:pPr>
      <w:r>
        <w:continuationSeparator/>
      </w:r>
    </w:p>
  </w:footnote>
  <w:footnote w:type="continuationNotice" w:id="1">
    <w:p w14:paraId="1DFB9F2B" w14:textId="77777777" w:rsidR="00E45808" w:rsidRDefault="00E458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EA97" w14:textId="77777777" w:rsidR="00E45808" w:rsidRDefault="00E458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CFE8922" w14:textId="77777777" w:rsidR="00E45808" w:rsidRDefault="00E458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EC85" w14:textId="60001724" w:rsidR="00E45808" w:rsidRPr="007266DE" w:rsidRDefault="00E45808" w:rsidP="00CD04DB">
    <w:pPr>
      <w:tabs>
        <w:tab w:val="right" w:pos="9072"/>
      </w:tabs>
      <w:spacing w:after="200"/>
      <w:rPr>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92CFC"/>
    <w:multiLevelType w:val="hybridMultilevel"/>
    <w:tmpl w:val="004A8062"/>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471EAB"/>
    <w:multiLevelType w:val="hybridMultilevel"/>
    <w:tmpl w:val="94FC1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50A43"/>
    <w:multiLevelType w:val="hybridMultilevel"/>
    <w:tmpl w:val="E7C0644C"/>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5049C"/>
    <w:multiLevelType w:val="hybridMultilevel"/>
    <w:tmpl w:val="FA623B0E"/>
    <w:lvl w:ilvl="0" w:tplc="743A770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27656"/>
    <w:multiLevelType w:val="hybridMultilevel"/>
    <w:tmpl w:val="235E2742"/>
    <w:lvl w:ilvl="0" w:tplc="7E2CD49A">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7803793"/>
    <w:multiLevelType w:val="hybridMultilevel"/>
    <w:tmpl w:val="84FC2ECC"/>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3E632A"/>
    <w:multiLevelType w:val="multilevel"/>
    <w:tmpl w:val="1BE47D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B40553"/>
    <w:multiLevelType w:val="hybridMultilevel"/>
    <w:tmpl w:val="CFE8802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F3619F"/>
    <w:multiLevelType w:val="hybridMultilevel"/>
    <w:tmpl w:val="928C8E32"/>
    <w:lvl w:ilvl="0" w:tplc="D482107E">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2" w15:restartNumberingAfterBreak="0">
    <w:nsid w:val="25794971"/>
    <w:multiLevelType w:val="hybridMultilevel"/>
    <w:tmpl w:val="7C38000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A82CA5"/>
    <w:multiLevelType w:val="hybridMultilevel"/>
    <w:tmpl w:val="F57C4908"/>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B9D4F98"/>
    <w:multiLevelType w:val="hybridMultilevel"/>
    <w:tmpl w:val="A600C65E"/>
    <w:lvl w:ilvl="0" w:tplc="75083D44">
      <w:start w:val="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F02CEA"/>
    <w:multiLevelType w:val="hybridMultilevel"/>
    <w:tmpl w:val="C19AA7F4"/>
    <w:lvl w:ilvl="0" w:tplc="EF6CA8D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64DB1"/>
    <w:multiLevelType w:val="hybridMultilevel"/>
    <w:tmpl w:val="85301BC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5C142D8"/>
    <w:multiLevelType w:val="hybridMultilevel"/>
    <w:tmpl w:val="58CE561A"/>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645124E"/>
    <w:multiLevelType w:val="hybridMultilevel"/>
    <w:tmpl w:val="E5F8F654"/>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6CD5D33"/>
    <w:multiLevelType w:val="hybridMultilevel"/>
    <w:tmpl w:val="7D88437C"/>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CE52B2E"/>
    <w:multiLevelType w:val="hybridMultilevel"/>
    <w:tmpl w:val="74A0C3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44165"/>
    <w:multiLevelType w:val="hybridMultilevel"/>
    <w:tmpl w:val="192E82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AE587E"/>
    <w:multiLevelType w:val="hybridMultilevel"/>
    <w:tmpl w:val="314A5E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1B22C8F"/>
    <w:multiLevelType w:val="hybridMultilevel"/>
    <w:tmpl w:val="2EB689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4C34AA"/>
    <w:multiLevelType w:val="hybridMultilevel"/>
    <w:tmpl w:val="20B87CE8"/>
    <w:lvl w:ilvl="0" w:tplc="DCCC1B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A3F4FED"/>
    <w:multiLevelType w:val="hybridMultilevel"/>
    <w:tmpl w:val="F92CC0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C0504"/>
    <w:multiLevelType w:val="hybridMultilevel"/>
    <w:tmpl w:val="675E07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46346CA"/>
    <w:multiLevelType w:val="hybridMultilevel"/>
    <w:tmpl w:val="F692F88A"/>
    <w:lvl w:ilvl="0" w:tplc="FFFFFFFF">
      <w:start w:val="1"/>
      <w:numFmt w:val="bullet"/>
      <w:lvlText w:val="-"/>
      <w:lvlJc w:val="left"/>
      <w:pPr>
        <w:ind w:left="780" w:hanging="360"/>
      </w:p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78CE3BD4"/>
    <w:multiLevelType w:val="hybridMultilevel"/>
    <w:tmpl w:val="EA1CDEA4"/>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3F45BA"/>
    <w:multiLevelType w:val="hybridMultilevel"/>
    <w:tmpl w:val="6986B648"/>
    <w:lvl w:ilvl="0" w:tplc="024464B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AA3108"/>
    <w:multiLevelType w:val="hybridMultilevel"/>
    <w:tmpl w:val="64E6551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abstractNumId w:val="15"/>
  </w:num>
  <w:num w:numId="2">
    <w:abstractNumId w:val="32"/>
  </w:num>
  <w:num w:numId="3">
    <w:abstractNumId w:val="4"/>
  </w:num>
  <w:num w:numId="4">
    <w:abstractNumId w:val="6"/>
  </w:num>
  <w:num w:numId="5">
    <w:abstractNumId w:val="0"/>
    <w:lvlOverride w:ilvl="0">
      <w:lvl w:ilvl="0">
        <w:start w:val="1"/>
        <w:numFmt w:val="bullet"/>
        <w:lvlText w:val="-"/>
        <w:lvlJc w:val="left"/>
        <w:pPr>
          <w:ind w:left="360" w:hanging="360"/>
        </w:pPr>
      </w:lvl>
    </w:lvlOverride>
  </w:num>
  <w:num w:numId="6">
    <w:abstractNumId w:val="20"/>
  </w:num>
  <w:num w:numId="7">
    <w:abstractNumId w:val="30"/>
  </w:num>
  <w:num w:numId="8">
    <w:abstractNumId w:val="26"/>
  </w:num>
  <w:num w:numId="9">
    <w:abstractNumId w:val="25"/>
  </w:num>
  <w:num w:numId="10">
    <w:abstractNumId w:val="14"/>
  </w:num>
  <w:num w:numId="11">
    <w:abstractNumId w:val="7"/>
  </w:num>
  <w:num w:numId="12">
    <w:abstractNumId w:val="27"/>
  </w:num>
  <w:num w:numId="13">
    <w:abstractNumId w:val="29"/>
  </w:num>
  <w:num w:numId="14">
    <w:abstractNumId w:val="11"/>
  </w:num>
  <w:num w:numId="15">
    <w:abstractNumId w:val="2"/>
  </w:num>
  <w:num w:numId="16">
    <w:abstractNumId w:val="24"/>
  </w:num>
  <w:num w:numId="17">
    <w:abstractNumId w:val="19"/>
  </w:num>
  <w:num w:numId="18">
    <w:abstractNumId w:val="12"/>
  </w:num>
  <w:num w:numId="19">
    <w:abstractNumId w:val="16"/>
  </w:num>
  <w:num w:numId="20">
    <w:abstractNumId w:val="31"/>
  </w:num>
  <w:num w:numId="21">
    <w:abstractNumId w:val="17"/>
  </w:num>
  <w:num w:numId="22">
    <w:abstractNumId w:val="8"/>
  </w:num>
  <w:num w:numId="23">
    <w:abstractNumId w:val="1"/>
  </w:num>
  <w:num w:numId="24">
    <w:abstractNumId w:val="13"/>
  </w:num>
  <w:num w:numId="25">
    <w:abstractNumId w:val="22"/>
  </w:num>
  <w:num w:numId="26">
    <w:abstractNumId w:val="10"/>
  </w:num>
  <w:num w:numId="27">
    <w:abstractNumId w:val="18"/>
  </w:num>
  <w:num w:numId="28">
    <w:abstractNumId w:val="5"/>
  </w:num>
  <w:num w:numId="29">
    <w:abstractNumId w:val="3"/>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WwMLU0srC0MDY3NDJV0lEKTi0uzszPAykwrAUAdhsxZCwAAAA="/>
  </w:docVars>
  <w:rsids>
    <w:rsidRoot w:val="007C68A4"/>
    <w:rsid w:val="00006ECD"/>
    <w:rsid w:val="0000711F"/>
    <w:rsid w:val="00017270"/>
    <w:rsid w:val="00023095"/>
    <w:rsid w:val="00025BC8"/>
    <w:rsid w:val="00025E6D"/>
    <w:rsid w:val="000322DC"/>
    <w:rsid w:val="00054B85"/>
    <w:rsid w:val="00056635"/>
    <w:rsid w:val="0006629C"/>
    <w:rsid w:val="000664E4"/>
    <w:rsid w:val="000711F6"/>
    <w:rsid w:val="00076DE6"/>
    <w:rsid w:val="00077185"/>
    <w:rsid w:val="00082CCF"/>
    <w:rsid w:val="00085030"/>
    <w:rsid w:val="000935BE"/>
    <w:rsid w:val="000941BE"/>
    <w:rsid w:val="000A0E76"/>
    <w:rsid w:val="000A4F97"/>
    <w:rsid w:val="000A7070"/>
    <w:rsid w:val="000B042A"/>
    <w:rsid w:val="000C4E35"/>
    <w:rsid w:val="000D4043"/>
    <w:rsid w:val="000E5F15"/>
    <w:rsid w:val="000E6056"/>
    <w:rsid w:val="000F48B1"/>
    <w:rsid w:val="000F4D4F"/>
    <w:rsid w:val="00100E9A"/>
    <w:rsid w:val="001010ED"/>
    <w:rsid w:val="001044BB"/>
    <w:rsid w:val="00134E5B"/>
    <w:rsid w:val="001352DB"/>
    <w:rsid w:val="00141FB2"/>
    <w:rsid w:val="00143B62"/>
    <w:rsid w:val="00151F66"/>
    <w:rsid w:val="00155559"/>
    <w:rsid w:val="00156868"/>
    <w:rsid w:val="00156F47"/>
    <w:rsid w:val="00160F33"/>
    <w:rsid w:val="00163A5D"/>
    <w:rsid w:val="001645CA"/>
    <w:rsid w:val="00166262"/>
    <w:rsid w:val="00167E45"/>
    <w:rsid w:val="001705D3"/>
    <w:rsid w:val="0017116D"/>
    <w:rsid w:val="00172FA0"/>
    <w:rsid w:val="00177675"/>
    <w:rsid w:val="00193B17"/>
    <w:rsid w:val="001A51AD"/>
    <w:rsid w:val="001A69CD"/>
    <w:rsid w:val="001A7C6B"/>
    <w:rsid w:val="001B13C0"/>
    <w:rsid w:val="001B2C50"/>
    <w:rsid w:val="001B420D"/>
    <w:rsid w:val="001C0438"/>
    <w:rsid w:val="001C339B"/>
    <w:rsid w:val="001D343F"/>
    <w:rsid w:val="001E337D"/>
    <w:rsid w:val="001E404B"/>
    <w:rsid w:val="001E5875"/>
    <w:rsid w:val="001F312F"/>
    <w:rsid w:val="001F3FAE"/>
    <w:rsid w:val="001F466C"/>
    <w:rsid w:val="002045B3"/>
    <w:rsid w:val="00214808"/>
    <w:rsid w:val="0022094E"/>
    <w:rsid w:val="00222CCF"/>
    <w:rsid w:val="00223FD1"/>
    <w:rsid w:val="00225EC1"/>
    <w:rsid w:val="00226C8C"/>
    <w:rsid w:val="00226F31"/>
    <w:rsid w:val="0023359F"/>
    <w:rsid w:val="00236959"/>
    <w:rsid w:val="00243972"/>
    <w:rsid w:val="00244BC1"/>
    <w:rsid w:val="00250581"/>
    <w:rsid w:val="00255754"/>
    <w:rsid w:val="002614D5"/>
    <w:rsid w:val="00270C4C"/>
    <w:rsid w:val="00272B9E"/>
    <w:rsid w:val="0027581B"/>
    <w:rsid w:val="0029223B"/>
    <w:rsid w:val="002A0209"/>
    <w:rsid w:val="002A0C10"/>
    <w:rsid w:val="002A0D7C"/>
    <w:rsid w:val="002A4012"/>
    <w:rsid w:val="002A5465"/>
    <w:rsid w:val="002B3501"/>
    <w:rsid w:val="002C24C2"/>
    <w:rsid w:val="002D55E5"/>
    <w:rsid w:val="002D63EA"/>
    <w:rsid w:val="002E1BAA"/>
    <w:rsid w:val="002E4AB5"/>
    <w:rsid w:val="002F34D3"/>
    <w:rsid w:val="002F42C3"/>
    <w:rsid w:val="0031561F"/>
    <w:rsid w:val="00323E7F"/>
    <w:rsid w:val="00324979"/>
    <w:rsid w:val="003310F6"/>
    <w:rsid w:val="0033130A"/>
    <w:rsid w:val="00336410"/>
    <w:rsid w:val="003410B3"/>
    <w:rsid w:val="0034284B"/>
    <w:rsid w:val="00345A3D"/>
    <w:rsid w:val="00345F83"/>
    <w:rsid w:val="00353A9D"/>
    <w:rsid w:val="00362738"/>
    <w:rsid w:val="00367D98"/>
    <w:rsid w:val="00377818"/>
    <w:rsid w:val="00392149"/>
    <w:rsid w:val="00396FC2"/>
    <w:rsid w:val="003A3845"/>
    <w:rsid w:val="003A4885"/>
    <w:rsid w:val="003B333C"/>
    <w:rsid w:val="003B3B58"/>
    <w:rsid w:val="003B5F66"/>
    <w:rsid w:val="003B6D63"/>
    <w:rsid w:val="003B7A88"/>
    <w:rsid w:val="003C604C"/>
    <w:rsid w:val="003C65EC"/>
    <w:rsid w:val="003D0E37"/>
    <w:rsid w:val="003D2DDF"/>
    <w:rsid w:val="003D6F72"/>
    <w:rsid w:val="003D7C17"/>
    <w:rsid w:val="003E2E02"/>
    <w:rsid w:val="003F020B"/>
    <w:rsid w:val="003F0D78"/>
    <w:rsid w:val="003F5725"/>
    <w:rsid w:val="003F697A"/>
    <w:rsid w:val="00402160"/>
    <w:rsid w:val="00402AFB"/>
    <w:rsid w:val="00414675"/>
    <w:rsid w:val="0042610F"/>
    <w:rsid w:val="00426AC3"/>
    <w:rsid w:val="00432100"/>
    <w:rsid w:val="00435393"/>
    <w:rsid w:val="00436006"/>
    <w:rsid w:val="00442E37"/>
    <w:rsid w:val="00446B1A"/>
    <w:rsid w:val="00473391"/>
    <w:rsid w:val="0049087E"/>
    <w:rsid w:val="00492FBA"/>
    <w:rsid w:val="0049407C"/>
    <w:rsid w:val="004A0813"/>
    <w:rsid w:val="004A1513"/>
    <w:rsid w:val="004A4899"/>
    <w:rsid w:val="004A4D08"/>
    <w:rsid w:val="004B2775"/>
    <w:rsid w:val="004B68AD"/>
    <w:rsid w:val="004C424A"/>
    <w:rsid w:val="004C5BA1"/>
    <w:rsid w:val="004D1B86"/>
    <w:rsid w:val="004D7BC6"/>
    <w:rsid w:val="004F0A26"/>
    <w:rsid w:val="004F3C86"/>
    <w:rsid w:val="004F46EA"/>
    <w:rsid w:val="004F5636"/>
    <w:rsid w:val="0050521C"/>
    <w:rsid w:val="00505332"/>
    <w:rsid w:val="00506F9E"/>
    <w:rsid w:val="005118D0"/>
    <w:rsid w:val="00513AF4"/>
    <w:rsid w:val="0052035C"/>
    <w:rsid w:val="00523E64"/>
    <w:rsid w:val="00525C10"/>
    <w:rsid w:val="00541D57"/>
    <w:rsid w:val="0054532B"/>
    <w:rsid w:val="00547CC6"/>
    <w:rsid w:val="005611CF"/>
    <w:rsid w:val="00563B9E"/>
    <w:rsid w:val="00585107"/>
    <w:rsid w:val="00595701"/>
    <w:rsid w:val="00596FB1"/>
    <w:rsid w:val="005A357A"/>
    <w:rsid w:val="005B4B65"/>
    <w:rsid w:val="005B7FAA"/>
    <w:rsid w:val="005C3429"/>
    <w:rsid w:val="005C4FB2"/>
    <w:rsid w:val="005D062F"/>
    <w:rsid w:val="005D3D7E"/>
    <w:rsid w:val="005E180F"/>
    <w:rsid w:val="005E38D2"/>
    <w:rsid w:val="005E7B2A"/>
    <w:rsid w:val="005F1AF1"/>
    <w:rsid w:val="005F2BAE"/>
    <w:rsid w:val="005F51E9"/>
    <w:rsid w:val="00602C59"/>
    <w:rsid w:val="00604F67"/>
    <w:rsid w:val="0060666D"/>
    <w:rsid w:val="0060789D"/>
    <w:rsid w:val="006212B9"/>
    <w:rsid w:val="00623540"/>
    <w:rsid w:val="0062401B"/>
    <w:rsid w:val="00632E39"/>
    <w:rsid w:val="00634225"/>
    <w:rsid w:val="0064062F"/>
    <w:rsid w:val="00642886"/>
    <w:rsid w:val="006437A7"/>
    <w:rsid w:val="006477C7"/>
    <w:rsid w:val="006551ED"/>
    <w:rsid w:val="0065702B"/>
    <w:rsid w:val="006709B1"/>
    <w:rsid w:val="006747FB"/>
    <w:rsid w:val="00680DB8"/>
    <w:rsid w:val="0068179C"/>
    <w:rsid w:val="00686AC3"/>
    <w:rsid w:val="00687C4F"/>
    <w:rsid w:val="006909B0"/>
    <w:rsid w:val="00697AEA"/>
    <w:rsid w:val="006A3EF8"/>
    <w:rsid w:val="006B7249"/>
    <w:rsid w:val="006C6B19"/>
    <w:rsid w:val="006D5429"/>
    <w:rsid w:val="006D5C72"/>
    <w:rsid w:val="006D65B4"/>
    <w:rsid w:val="006E6701"/>
    <w:rsid w:val="00706010"/>
    <w:rsid w:val="00715B80"/>
    <w:rsid w:val="007165EC"/>
    <w:rsid w:val="007215A6"/>
    <w:rsid w:val="00723B16"/>
    <w:rsid w:val="007266DE"/>
    <w:rsid w:val="007327E9"/>
    <w:rsid w:val="00733F34"/>
    <w:rsid w:val="00747EE4"/>
    <w:rsid w:val="007500EE"/>
    <w:rsid w:val="00756707"/>
    <w:rsid w:val="00762BA4"/>
    <w:rsid w:val="007643D3"/>
    <w:rsid w:val="00764F75"/>
    <w:rsid w:val="0077094C"/>
    <w:rsid w:val="00774959"/>
    <w:rsid w:val="00783920"/>
    <w:rsid w:val="00790813"/>
    <w:rsid w:val="00792AB2"/>
    <w:rsid w:val="0079446C"/>
    <w:rsid w:val="007A292B"/>
    <w:rsid w:val="007B4505"/>
    <w:rsid w:val="007C47AE"/>
    <w:rsid w:val="007C581E"/>
    <w:rsid w:val="007C68A4"/>
    <w:rsid w:val="007E1637"/>
    <w:rsid w:val="007E28CE"/>
    <w:rsid w:val="007E28FA"/>
    <w:rsid w:val="00805ED6"/>
    <w:rsid w:val="00810C05"/>
    <w:rsid w:val="00813C34"/>
    <w:rsid w:val="008439A7"/>
    <w:rsid w:val="00853661"/>
    <w:rsid w:val="0086177A"/>
    <w:rsid w:val="00861791"/>
    <w:rsid w:val="00864155"/>
    <w:rsid w:val="00865092"/>
    <w:rsid w:val="00865F98"/>
    <w:rsid w:val="008670EC"/>
    <w:rsid w:val="00872A8A"/>
    <w:rsid w:val="00874B86"/>
    <w:rsid w:val="00875CDB"/>
    <w:rsid w:val="00876C13"/>
    <w:rsid w:val="00882FD7"/>
    <w:rsid w:val="00883716"/>
    <w:rsid w:val="008A56BA"/>
    <w:rsid w:val="008C128D"/>
    <w:rsid w:val="008C285F"/>
    <w:rsid w:val="008C353F"/>
    <w:rsid w:val="008C3954"/>
    <w:rsid w:val="008D3603"/>
    <w:rsid w:val="008D4EC3"/>
    <w:rsid w:val="008D66D9"/>
    <w:rsid w:val="008E5C0E"/>
    <w:rsid w:val="008E5CF1"/>
    <w:rsid w:val="008F282E"/>
    <w:rsid w:val="008F2F52"/>
    <w:rsid w:val="008F3311"/>
    <w:rsid w:val="00922D1E"/>
    <w:rsid w:val="0092380A"/>
    <w:rsid w:val="009254E0"/>
    <w:rsid w:val="0092729C"/>
    <w:rsid w:val="0092755C"/>
    <w:rsid w:val="00930000"/>
    <w:rsid w:val="00950493"/>
    <w:rsid w:val="009534CD"/>
    <w:rsid w:val="00954E6B"/>
    <w:rsid w:val="00955C95"/>
    <w:rsid w:val="00960BC8"/>
    <w:rsid w:val="00965038"/>
    <w:rsid w:val="00967505"/>
    <w:rsid w:val="009739EB"/>
    <w:rsid w:val="0098184A"/>
    <w:rsid w:val="00987B50"/>
    <w:rsid w:val="009932AE"/>
    <w:rsid w:val="009B317F"/>
    <w:rsid w:val="009C14D9"/>
    <w:rsid w:val="009C79BE"/>
    <w:rsid w:val="009D62F8"/>
    <w:rsid w:val="009E0C49"/>
    <w:rsid w:val="009E0FA4"/>
    <w:rsid w:val="009F0DCF"/>
    <w:rsid w:val="009F1E55"/>
    <w:rsid w:val="009F2441"/>
    <w:rsid w:val="009F2CAD"/>
    <w:rsid w:val="009F3DF5"/>
    <w:rsid w:val="00A03002"/>
    <w:rsid w:val="00A0665D"/>
    <w:rsid w:val="00A110BC"/>
    <w:rsid w:val="00A11290"/>
    <w:rsid w:val="00A216F7"/>
    <w:rsid w:val="00A43AAE"/>
    <w:rsid w:val="00A61ECF"/>
    <w:rsid w:val="00A6356B"/>
    <w:rsid w:val="00A75F02"/>
    <w:rsid w:val="00A929CC"/>
    <w:rsid w:val="00A968CF"/>
    <w:rsid w:val="00AA211B"/>
    <w:rsid w:val="00AA218F"/>
    <w:rsid w:val="00AB28A6"/>
    <w:rsid w:val="00AB46C3"/>
    <w:rsid w:val="00AB46EB"/>
    <w:rsid w:val="00AB490C"/>
    <w:rsid w:val="00AB6A8A"/>
    <w:rsid w:val="00AC003C"/>
    <w:rsid w:val="00AC3ABA"/>
    <w:rsid w:val="00AD035F"/>
    <w:rsid w:val="00AD7E4D"/>
    <w:rsid w:val="00AE2CAB"/>
    <w:rsid w:val="00AF225B"/>
    <w:rsid w:val="00B00D59"/>
    <w:rsid w:val="00B01DE5"/>
    <w:rsid w:val="00B02FCD"/>
    <w:rsid w:val="00B13D4F"/>
    <w:rsid w:val="00B20713"/>
    <w:rsid w:val="00B3073C"/>
    <w:rsid w:val="00B35C1B"/>
    <w:rsid w:val="00B365E8"/>
    <w:rsid w:val="00B40E25"/>
    <w:rsid w:val="00B41D20"/>
    <w:rsid w:val="00B43310"/>
    <w:rsid w:val="00B4753F"/>
    <w:rsid w:val="00B55039"/>
    <w:rsid w:val="00B9174B"/>
    <w:rsid w:val="00B9360C"/>
    <w:rsid w:val="00B94A73"/>
    <w:rsid w:val="00BA21AD"/>
    <w:rsid w:val="00BA51B8"/>
    <w:rsid w:val="00BB305D"/>
    <w:rsid w:val="00BB6E73"/>
    <w:rsid w:val="00BB74F4"/>
    <w:rsid w:val="00BC1D74"/>
    <w:rsid w:val="00BC43E3"/>
    <w:rsid w:val="00BD46ED"/>
    <w:rsid w:val="00BD6D4A"/>
    <w:rsid w:val="00BE23A3"/>
    <w:rsid w:val="00BE484E"/>
    <w:rsid w:val="00BE6109"/>
    <w:rsid w:val="00BF3B86"/>
    <w:rsid w:val="00BF4FCF"/>
    <w:rsid w:val="00BF6061"/>
    <w:rsid w:val="00C033C0"/>
    <w:rsid w:val="00C074CF"/>
    <w:rsid w:val="00C10387"/>
    <w:rsid w:val="00C15F42"/>
    <w:rsid w:val="00C22569"/>
    <w:rsid w:val="00C235D9"/>
    <w:rsid w:val="00C24A3C"/>
    <w:rsid w:val="00C257F2"/>
    <w:rsid w:val="00C4002A"/>
    <w:rsid w:val="00C40A89"/>
    <w:rsid w:val="00C41022"/>
    <w:rsid w:val="00C510E8"/>
    <w:rsid w:val="00C52B83"/>
    <w:rsid w:val="00C53686"/>
    <w:rsid w:val="00C57A50"/>
    <w:rsid w:val="00C70040"/>
    <w:rsid w:val="00C716C6"/>
    <w:rsid w:val="00C718AF"/>
    <w:rsid w:val="00C807AD"/>
    <w:rsid w:val="00C839B6"/>
    <w:rsid w:val="00C86EC5"/>
    <w:rsid w:val="00C947F6"/>
    <w:rsid w:val="00CA0936"/>
    <w:rsid w:val="00CA15EA"/>
    <w:rsid w:val="00CB38AE"/>
    <w:rsid w:val="00CB7E1A"/>
    <w:rsid w:val="00CC67DF"/>
    <w:rsid w:val="00CC695C"/>
    <w:rsid w:val="00CD04DB"/>
    <w:rsid w:val="00CD1C65"/>
    <w:rsid w:val="00CE36F6"/>
    <w:rsid w:val="00CF1432"/>
    <w:rsid w:val="00CF55F5"/>
    <w:rsid w:val="00D007A0"/>
    <w:rsid w:val="00D07DFA"/>
    <w:rsid w:val="00D23124"/>
    <w:rsid w:val="00D24A43"/>
    <w:rsid w:val="00D44B3D"/>
    <w:rsid w:val="00D45EC0"/>
    <w:rsid w:val="00D62BF2"/>
    <w:rsid w:val="00D67692"/>
    <w:rsid w:val="00D71D4B"/>
    <w:rsid w:val="00D77B5F"/>
    <w:rsid w:val="00D77CB3"/>
    <w:rsid w:val="00D80DC2"/>
    <w:rsid w:val="00D85899"/>
    <w:rsid w:val="00D97019"/>
    <w:rsid w:val="00DA18D3"/>
    <w:rsid w:val="00DA37F8"/>
    <w:rsid w:val="00DA7361"/>
    <w:rsid w:val="00DB546C"/>
    <w:rsid w:val="00DB5AC4"/>
    <w:rsid w:val="00DC3729"/>
    <w:rsid w:val="00DC6D21"/>
    <w:rsid w:val="00DD0F20"/>
    <w:rsid w:val="00DD11FF"/>
    <w:rsid w:val="00DD2257"/>
    <w:rsid w:val="00DD626D"/>
    <w:rsid w:val="00DE0282"/>
    <w:rsid w:val="00E12A07"/>
    <w:rsid w:val="00E17816"/>
    <w:rsid w:val="00E17A57"/>
    <w:rsid w:val="00E17D4C"/>
    <w:rsid w:val="00E21250"/>
    <w:rsid w:val="00E22025"/>
    <w:rsid w:val="00E241D3"/>
    <w:rsid w:val="00E307FD"/>
    <w:rsid w:val="00E31333"/>
    <w:rsid w:val="00E33847"/>
    <w:rsid w:val="00E3389A"/>
    <w:rsid w:val="00E42598"/>
    <w:rsid w:val="00E43434"/>
    <w:rsid w:val="00E45808"/>
    <w:rsid w:val="00E466E0"/>
    <w:rsid w:val="00E52ED8"/>
    <w:rsid w:val="00E55266"/>
    <w:rsid w:val="00E56150"/>
    <w:rsid w:val="00E6032D"/>
    <w:rsid w:val="00E7062E"/>
    <w:rsid w:val="00E774FC"/>
    <w:rsid w:val="00E90A95"/>
    <w:rsid w:val="00E96FFC"/>
    <w:rsid w:val="00EA205E"/>
    <w:rsid w:val="00EB630C"/>
    <w:rsid w:val="00EC20B4"/>
    <w:rsid w:val="00EC4A2F"/>
    <w:rsid w:val="00ED2111"/>
    <w:rsid w:val="00ED64F1"/>
    <w:rsid w:val="00ED7133"/>
    <w:rsid w:val="00EE5451"/>
    <w:rsid w:val="00EF20AF"/>
    <w:rsid w:val="00EF2E0A"/>
    <w:rsid w:val="00F00865"/>
    <w:rsid w:val="00F13BED"/>
    <w:rsid w:val="00F173A4"/>
    <w:rsid w:val="00F21048"/>
    <w:rsid w:val="00F23F5E"/>
    <w:rsid w:val="00F25729"/>
    <w:rsid w:val="00F30370"/>
    <w:rsid w:val="00F31938"/>
    <w:rsid w:val="00F31BD9"/>
    <w:rsid w:val="00F366D5"/>
    <w:rsid w:val="00F37EBE"/>
    <w:rsid w:val="00F40D48"/>
    <w:rsid w:val="00F42F2A"/>
    <w:rsid w:val="00F60469"/>
    <w:rsid w:val="00F75110"/>
    <w:rsid w:val="00F822FE"/>
    <w:rsid w:val="00F9116E"/>
    <w:rsid w:val="00F96584"/>
    <w:rsid w:val="00F9703D"/>
    <w:rsid w:val="00FA2C2F"/>
    <w:rsid w:val="00FA46D2"/>
    <w:rsid w:val="00FA6F0E"/>
    <w:rsid w:val="00FA70C6"/>
    <w:rsid w:val="00FA7E20"/>
    <w:rsid w:val="00FB46F4"/>
    <w:rsid w:val="00FC0C4E"/>
    <w:rsid w:val="00FC2856"/>
    <w:rsid w:val="00FC305C"/>
    <w:rsid w:val="00FC7DED"/>
    <w:rsid w:val="00FD7555"/>
    <w:rsid w:val="00FD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4798"/>
  <w15:chartTrackingRefBased/>
  <w15:docId w15:val="{58A2126E-FA31-4B20-8D1E-7CA4EC59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8A4"/>
    <w:pPr>
      <w:spacing w:after="0" w:line="276" w:lineRule="auto"/>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7C68A4"/>
    <w:pPr>
      <w:keepNext/>
      <w:keepLines/>
      <w:spacing w:before="240"/>
      <w:outlineLvl w:val="0"/>
    </w:pPr>
    <w:rPr>
      <w:rFonts w:ascii="Calibri Light" w:eastAsia="Times New Roman" w:hAnsi="Calibri Light"/>
      <w:color w:val="2E74B5"/>
      <w:sz w:val="32"/>
      <w:szCs w:val="32"/>
    </w:rPr>
  </w:style>
  <w:style w:type="paragraph" w:styleId="Antrat2">
    <w:name w:val="heading 2"/>
    <w:basedOn w:val="prastasis"/>
    <w:next w:val="prastasis"/>
    <w:link w:val="Antrat2Diagrama"/>
    <w:uiPriority w:val="9"/>
    <w:semiHidden/>
    <w:unhideWhenUsed/>
    <w:qFormat/>
    <w:rsid w:val="007C68A4"/>
    <w:pPr>
      <w:keepNext/>
      <w:keepLines/>
      <w:spacing w:before="4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semiHidden/>
    <w:unhideWhenUsed/>
    <w:qFormat/>
    <w:rsid w:val="007C68A4"/>
    <w:pPr>
      <w:keepNext/>
      <w:keepLines/>
      <w:spacing w:before="40"/>
      <w:outlineLvl w:val="2"/>
    </w:pPr>
    <w:rPr>
      <w:rFonts w:ascii="Calibri Light" w:eastAsia="Times New Roman"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68A4"/>
    <w:rPr>
      <w:rFonts w:ascii="Calibri Light" w:eastAsia="Times New Roman" w:hAnsi="Calibri Light" w:cs="Times New Roman"/>
      <w:color w:val="2E74B5"/>
      <w:sz w:val="32"/>
      <w:szCs w:val="32"/>
      <w:lang w:val="en-US"/>
    </w:rPr>
  </w:style>
  <w:style w:type="character" w:customStyle="1" w:styleId="Antrat2Diagrama">
    <w:name w:val="Antraštė 2 Diagrama"/>
    <w:basedOn w:val="Numatytasispastraiposriftas"/>
    <w:link w:val="Antrat2"/>
    <w:uiPriority w:val="9"/>
    <w:semiHidden/>
    <w:rsid w:val="007C68A4"/>
    <w:rPr>
      <w:rFonts w:ascii="Calibri Light" w:eastAsia="Times New Roman" w:hAnsi="Calibri Light" w:cs="Times New Roman"/>
      <w:color w:val="2E74B5"/>
      <w:sz w:val="26"/>
      <w:szCs w:val="26"/>
      <w:lang w:val="en-US"/>
    </w:rPr>
  </w:style>
  <w:style w:type="character" w:customStyle="1" w:styleId="Antrat3Diagrama">
    <w:name w:val="Antraštė 3 Diagrama"/>
    <w:basedOn w:val="Numatytasispastraiposriftas"/>
    <w:link w:val="Antrat3"/>
    <w:uiPriority w:val="9"/>
    <w:semiHidden/>
    <w:rsid w:val="007C68A4"/>
    <w:rPr>
      <w:rFonts w:ascii="Calibri Light" w:eastAsia="Times New Roman" w:hAnsi="Calibri Light" w:cs="Times New Roman"/>
      <w:color w:val="1F4D78"/>
      <w:sz w:val="24"/>
      <w:szCs w:val="24"/>
      <w:lang w:val="en-US"/>
    </w:rPr>
  </w:style>
  <w:style w:type="paragraph" w:styleId="Antrats">
    <w:name w:val="header"/>
    <w:basedOn w:val="prastasis"/>
    <w:link w:val="AntratsDiagrama"/>
    <w:rsid w:val="007C68A4"/>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7C68A4"/>
    <w:rPr>
      <w:rFonts w:ascii="Times New Roman" w:eastAsia="Times New Roman" w:hAnsi="Times New Roman" w:cs="Times New Roman"/>
      <w:szCs w:val="24"/>
      <w:lang w:val="lt-LT" w:eastAsia="x-none"/>
    </w:rPr>
  </w:style>
  <w:style w:type="paragraph" w:styleId="Porat">
    <w:name w:val="footer"/>
    <w:basedOn w:val="prastasis"/>
    <w:link w:val="PoratDiagrama"/>
    <w:rsid w:val="007C68A4"/>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7C68A4"/>
    <w:rPr>
      <w:rFonts w:ascii="Times New Roman" w:eastAsia="Times New Roman" w:hAnsi="Times New Roman" w:cs="Times New Roman"/>
      <w:szCs w:val="24"/>
      <w:lang w:val="lt-LT" w:eastAsia="x-none"/>
    </w:rPr>
  </w:style>
  <w:style w:type="character" w:styleId="Puslapionumeris">
    <w:name w:val="page number"/>
    <w:rsid w:val="007C68A4"/>
  </w:style>
  <w:style w:type="character" w:styleId="Hipersaitas">
    <w:name w:val="Hyperlink"/>
    <w:uiPriority w:val="99"/>
    <w:rsid w:val="007C68A4"/>
    <w:rPr>
      <w:color w:val="0000FF"/>
      <w:u w:val="single"/>
    </w:rPr>
  </w:style>
  <w:style w:type="paragraph" w:styleId="Komentarotekstas">
    <w:name w:val="annotation text"/>
    <w:basedOn w:val="prastasis"/>
    <w:link w:val="KomentarotekstasDiagrama"/>
    <w:semiHidden/>
    <w:rsid w:val="007C68A4"/>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7C68A4"/>
    <w:rPr>
      <w:rFonts w:ascii="Times New Roman" w:eastAsia="Times New Roman" w:hAnsi="Times New Roman" w:cs="Times New Roman"/>
      <w:sz w:val="20"/>
      <w:szCs w:val="24"/>
      <w:lang w:eastAsia="x-none"/>
    </w:rPr>
  </w:style>
  <w:style w:type="paragraph" w:styleId="Pagrindinistekstas">
    <w:name w:val="Body Text"/>
    <w:basedOn w:val="prastasis"/>
    <w:link w:val="PagrindinistekstasDiagrama"/>
    <w:rsid w:val="007C68A4"/>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7C68A4"/>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7C68A4"/>
    <w:pPr>
      <w:keepNext w:val="0"/>
      <w:keepLines w:val="0"/>
      <w:tabs>
        <w:tab w:val="left" w:pos="567"/>
      </w:tabs>
      <w:spacing w:before="0" w:line="240" w:lineRule="auto"/>
      <w:ind w:left="567" w:hanging="567"/>
    </w:pPr>
    <w:rPr>
      <w:rFonts w:ascii="Times New Roman" w:hAnsi="Times New Roman"/>
      <w:b/>
      <w:color w:val="auto"/>
      <w:sz w:val="22"/>
      <w:szCs w:val="22"/>
      <w:lang w:val="lt-LT" w:eastAsia="x-none"/>
    </w:rPr>
  </w:style>
  <w:style w:type="paragraph" w:customStyle="1" w:styleId="PI-1labEMEASMCA">
    <w:name w:val="PI-1_lab EMEA_SMCA"/>
    <w:basedOn w:val="prastasis"/>
    <w:link w:val="PI-1labEMEASMCAChar"/>
    <w:autoRedefine/>
    <w:rsid w:val="007C68A4"/>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7C68A4"/>
    <w:rPr>
      <w:rFonts w:ascii="Times New Roman" w:eastAsia="Times New Roman" w:hAnsi="Times New Roman" w:cs="Times New Roman"/>
      <w:b/>
      <w:noProof/>
      <w:lang w:val="lt-LT" w:eastAsia="x-none"/>
    </w:rPr>
  </w:style>
  <w:style w:type="paragraph" w:customStyle="1" w:styleId="PI-2EMEASMCA">
    <w:name w:val="PI-2 EMEA_SMCA"/>
    <w:basedOn w:val="Antrat3"/>
    <w:autoRedefine/>
    <w:rsid w:val="007C68A4"/>
    <w:pPr>
      <w:spacing w:before="0" w:line="240" w:lineRule="auto"/>
      <w:ind w:left="567" w:hanging="567"/>
    </w:pPr>
    <w:rPr>
      <w:rFonts w:ascii="Times New Roman" w:hAnsi="Times New Roman"/>
      <w:b/>
      <w:color w:val="auto"/>
      <w:kern w:val="28"/>
      <w:sz w:val="22"/>
      <w:szCs w:val="22"/>
      <w:lang w:val="lt-LT" w:eastAsia="x-none"/>
    </w:rPr>
  </w:style>
  <w:style w:type="paragraph" w:customStyle="1" w:styleId="BTEMEASMCA">
    <w:name w:val="BT EMEA_SMCA"/>
    <w:basedOn w:val="prastasis"/>
    <w:link w:val="BTEMEASMCAChar"/>
    <w:autoRedefine/>
    <w:uiPriority w:val="99"/>
    <w:rsid w:val="00B20713"/>
    <w:pPr>
      <w:tabs>
        <w:tab w:val="left" w:pos="567"/>
      </w:tabs>
      <w:spacing w:line="240" w:lineRule="auto"/>
    </w:pPr>
    <w:rPr>
      <w:rFonts w:eastAsia="SimSun"/>
      <w:b/>
      <w:bCs/>
      <w:lang w:val="lt-LT" w:eastAsia="x-none"/>
    </w:rPr>
  </w:style>
  <w:style w:type="paragraph" w:customStyle="1" w:styleId="TTEMEASMCA">
    <w:name w:val="TT EMEA_SMCA"/>
    <w:basedOn w:val="Antrat1"/>
    <w:link w:val="TTEMEASMCAChar"/>
    <w:autoRedefine/>
    <w:rsid w:val="007C68A4"/>
    <w:pPr>
      <w:keepNext w:val="0"/>
      <w:keepLines w:val="0"/>
      <w:tabs>
        <w:tab w:val="left" w:pos="567"/>
      </w:tabs>
      <w:spacing w:before="0" w:line="240" w:lineRule="auto"/>
      <w:jc w:val="center"/>
    </w:pPr>
    <w:rPr>
      <w:rFonts w:ascii="Times New Roman" w:hAnsi="Times New Roman"/>
      <w:b/>
      <w:caps/>
      <w:color w:val="auto"/>
      <w:sz w:val="22"/>
      <w:szCs w:val="22"/>
      <w:lang w:val="lt-LT" w:eastAsia="x-none"/>
    </w:rPr>
  </w:style>
  <w:style w:type="character" w:customStyle="1" w:styleId="TTEMEASMCAChar">
    <w:name w:val="TT EMEA_SMCA Char"/>
    <w:link w:val="TTEMEASMCA"/>
    <w:rsid w:val="007C68A4"/>
    <w:rPr>
      <w:rFonts w:ascii="Times New Roman" w:eastAsia="Times New Roman" w:hAnsi="Times New Roman" w:cs="Times New Roman"/>
      <w:b/>
      <w:caps/>
      <w:lang w:val="lt-LT" w:eastAsia="x-none"/>
    </w:rPr>
  </w:style>
  <w:style w:type="paragraph" w:customStyle="1" w:styleId="BTAnIIEMEASMCA">
    <w:name w:val="BT(AnII) EMEA_SMCA"/>
    <w:basedOn w:val="Pagrindinistekstas"/>
    <w:autoRedefine/>
    <w:rsid w:val="007C68A4"/>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7C68A4"/>
    <w:pPr>
      <w:numPr>
        <w:numId w:val="1"/>
      </w:numPr>
      <w:tabs>
        <w:tab w:val="clear" w:pos="720"/>
        <w:tab w:val="num" w:pos="360"/>
        <w:tab w:val="num" w:pos="567"/>
      </w:tabs>
      <w:ind w:left="567" w:hanging="283"/>
    </w:pPr>
  </w:style>
  <w:style w:type="paragraph" w:customStyle="1" w:styleId="PI-3EMEASMCA">
    <w:name w:val="PI-3 EMEA_SMCA"/>
    <w:basedOn w:val="prastasis"/>
    <w:autoRedefine/>
    <w:uiPriority w:val="99"/>
    <w:rsid w:val="007C68A4"/>
    <w:pPr>
      <w:tabs>
        <w:tab w:val="left" w:pos="567"/>
      </w:tabs>
      <w:spacing w:line="240" w:lineRule="auto"/>
      <w:jc w:val="center"/>
    </w:pPr>
    <w:rPr>
      <w:rFonts w:eastAsia="Times New Roman"/>
      <w:b/>
      <w:bCs/>
      <w:lang w:val="lt-LT"/>
    </w:rPr>
  </w:style>
  <w:style w:type="paragraph" w:customStyle="1" w:styleId="BTbEMEASMCA">
    <w:name w:val="BT(b) EMEA_SMCA"/>
    <w:basedOn w:val="BTEMEASMCA"/>
    <w:autoRedefine/>
    <w:rsid w:val="007C68A4"/>
    <w:rPr>
      <w:b w:val="0"/>
    </w:rPr>
  </w:style>
  <w:style w:type="paragraph" w:customStyle="1" w:styleId="BTeEMEASMCA">
    <w:name w:val="BT(e) EMEA_SMCA"/>
    <w:basedOn w:val="BTEMEASMCA"/>
    <w:autoRedefine/>
    <w:rsid w:val="007C68A4"/>
    <w:pPr>
      <w:jc w:val="center"/>
    </w:pPr>
  </w:style>
  <w:style w:type="character" w:customStyle="1" w:styleId="BTEMEASMCAChar">
    <w:name w:val="BT EMEA_SMCA Char"/>
    <w:link w:val="BTEMEASMCA"/>
    <w:uiPriority w:val="99"/>
    <w:rsid w:val="00B20713"/>
    <w:rPr>
      <w:rFonts w:ascii="Times New Roman" w:eastAsia="SimSun" w:hAnsi="Times New Roman" w:cs="Times New Roman"/>
      <w:b/>
      <w:bCs/>
      <w:lang w:val="lt-LT" w:eastAsia="x-none"/>
    </w:rPr>
  </w:style>
  <w:style w:type="paragraph" w:customStyle="1" w:styleId="BTuEMEASMCA">
    <w:name w:val="BT(u) EMEA_SMCA"/>
    <w:basedOn w:val="BTEMEASMCA"/>
    <w:autoRedefine/>
    <w:rsid w:val="007C68A4"/>
    <w:rPr>
      <w:u w:val="single"/>
    </w:rPr>
  </w:style>
  <w:style w:type="paragraph" w:styleId="Sraassuenkleliais">
    <w:name w:val="List Bullet"/>
    <w:rsid w:val="007C68A4"/>
    <w:pPr>
      <w:numPr>
        <w:numId w:val="2"/>
      </w:numPr>
      <w:spacing w:after="120" w:line="240" w:lineRule="auto"/>
    </w:pPr>
    <w:rPr>
      <w:rFonts w:ascii="Times New Roman" w:eastAsia="Times New Roman" w:hAnsi="Times New Roman" w:cs="Times New Roman"/>
      <w:sz w:val="24"/>
      <w:szCs w:val="24"/>
      <w:lang w:val="en-US"/>
    </w:rPr>
  </w:style>
  <w:style w:type="paragraph" w:customStyle="1" w:styleId="Paragraph">
    <w:name w:val="Paragraph"/>
    <w:rsid w:val="007C68A4"/>
    <w:pPr>
      <w:spacing w:after="240" w:line="240" w:lineRule="auto"/>
    </w:pPr>
    <w:rPr>
      <w:rFonts w:ascii="Times New Roman" w:eastAsia="Times New Roman" w:hAnsi="Times New Roman" w:cs="Times New Roman"/>
      <w:sz w:val="24"/>
      <w:szCs w:val="24"/>
      <w:lang w:val="en-US"/>
    </w:rPr>
  </w:style>
  <w:style w:type="character" w:customStyle="1" w:styleId="apple-style-span">
    <w:name w:val="apple-style-span"/>
    <w:rsid w:val="007C68A4"/>
  </w:style>
  <w:style w:type="paragraph" w:customStyle="1" w:styleId="Default">
    <w:name w:val="Default"/>
    <w:rsid w:val="007C68A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aragraphedeliste1">
    <w:name w:val="Paragraphe de liste1"/>
    <w:basedOn w:val="prastasis"/>
    <w:uiPriority w:val="99"/>
    <w:rsid w:val="007C68A4"/>
    <w:pPr>
      <w:spacing w:line="240" w:lineRule="auto"/>
      <w:ind w:left="720"/>
      <w:contextualSpacing/>
    </w:pPr>
    <w:rPr>
      <w:rFonts w:eastAsia="Times New Roman"/>
      <w:noProof/>
      <w:szCs w:val="24"/>
      <w:lang w:val="en-GB"/>
    </w:rPr>
  </w:style>
  <w:style w:type="table" w:styleId="Lentelstinklelis">
    <w:name w:val="Table Grid"/>
    <w:basedOn w:val="prastojilentel"/>
    <w:uiPriority w:val="39"/>
    <w:rsid w:val="007C68A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C68A4"/>
    <w:pPr>
      <w:spacing w:after="0" w:line="240" w:lineRule="auto"/>
    </w:pPr>
    <w:rPr>
      <w:rFonts w:ascii="Times New Roman" w:eastAsia="Calibri" w:hAnsi="Times New Roman" w:cs="Times New Roman"/>
      <w:lang w:val="en-US"/>
    </w:rPr>
  </w:style>
  <w:style w:type="paragraph" w:styleId="Paprastasistekstas">
    <w:name w:val="Plain Text"/>
    <w:basedOn w:val="prastasis"/>
    <w:link w:val="PaprastasistekstasDiagrama"/>
    <w:uiPriority w:val="99"/>
    <w:rsid w:val="007C68A4"/>
    <w:pPr>
      <w:spacing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7C68A4"/>
    <w:rPr>
      <w:rFonts w:ascii="Courier New" w:eastAsia="SimSun" w:hAnsi="Courier New" w:cs="Times New Roman"/>
      <w:sz w:val="20"/>
      <w:szCs w:val="20"/>
      <w:lang w:val="en-US"/>
    </w:rPr>
  </w:style>
  <w:style w:type="character" w:styleId="Emfaz">
    <w:name w:val="Emphasis"/>
    <w:uiPriority w:val="20"/>
    <w:qFormat/>
    <w:rsid w:val="007C68A4"/>
    <w:rPr>
      <w:b/>
      <w:bCs/>
      <w:i w:val="0"/>
      <w:iCs w:val="0"/>
    </w:rPr>
  </w:style>
  <w:style w:type="character" w:customStyle="1" w:styleId="st1">
    <w:name w:val="st1"/>
    <w:rsid w:val="007C68A4"/>
  </w:style>
  <w:style w:type="paragraph" w:styleId="Sraopastraipa">
    <w:name w:val="List Paragraph"/>
    <w:basedOn w:val="prastasis"/>
    <w:uiPriority w:val="99"/>
    <w:qFormat/>
    <w:rsid w:val="007C68A4"/>
    <w:pPr>
      <w:spacing w:after="200"/>
      <w:ind w:left="720"/>
      <w:contextualSpacing/>
    </w:pPr>
    <w:rPr>
      <w:rFonts w:ascii="Calibri" w:hAnsi="Calibri"/>
      <w:lang w:val="lt-LT"/>
    </w:rPr>
  </w:style>
  <w:style w:type="paragraph" w:styleId="Debesliotekstas">
    <w:name w:val="Balloon Text"/>
    <w:basedOn w:val="prastasis"/>
    <w:link w:val="DebesliotekstasDiagrama"/>
    <w:uiPriority w:val="99"/>
    <w:semiHidden/>
    <w:unhideWhenUsed/>
    <w:rsid w:val="007C68A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8A4"/>
    <w:rPr>
      <w:rFonts w:ascii="Segoe UI" w:eastAsia="Calibri" w:hAnsi="Segoe UI" w:cs="Segoe UI"/>
      <w:sz w:val="18"/>
      <w:szCs w:val="18"/>
      <w:lang w:val="en-US"/>
    </w:rPr>
  </w:style>
  <w:style w:type="character" w:styleId="Komentaronuoroda">
    <w:name w:val="annotation reference"/>
    <w:uiPriority w:val="99"/>
    <w:semiHidden/>
    <w:unhideWhenUsed/>
    <w:rsid w:val="007C68A4"/>
    <w:rPr>
      <w:sz w:val="16"/>
      <w:szCs w:val="16"/>
    </w:rPr>
  </w:style>
  <w:style w:type="paragraph" w:styleId="Komentarotema">
    <w:name w:val="annotation subject"/>
    <w:basedOn w:val="Komentarotekstas"/>
    <w:next w:val="Komentarotekstas"/>
    <w:link w:val="KomentarotemaDiagrama"/>
    <w:uiPriority w:val="99"/>
    <w:semiHidden/>
    <w:unhideWhenUsed/>
    <w:rsid w:val="007C68A4"/>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7C68A4"/>
    <w:rPr>
      <w:rFonts w:ascii="Times New Roman" w:eastAsia="Calibri" w:hAnsi="Times New Roman" w:cs="Times New Roman"/>
      <w:b/>
      <w:bCs/>
      <w:sz w:val="20"/>
      <w:szCs w:val="20"/>
      <w:lang w:val="en-US" w:eastAsia="x-none"/>
    </w:rPr>
  </w:style>
  <w:style w:type="paragraph" w:styleId="Pataisymai">
    <w:name w:val="Revision"/>
    <w:hidden/>
    <w:uiPriority w:val="99"/>
    <w:semiHidden/>
    <w:rsid w:val="007C68A4"/>
    <w:pPr>
      <w:spacing w:after="0" w:line="240" w:lineRule="auto"/>
    </w:pPr>
    <w:rPr>
      <w:rFonts w:ascii="Times New Roman" w:eastAsia="Calibri" w:hAnsi="Times New Roman" w:cs="Times New Roman"/>
      <w:lang w:val="en-US"/>
    </w:rPr>
  </w:style>
  <w:style w:type="character" w:styleId="Grietas">
    <w:name w:val="Strong"/>
    <w:uiPriority w:val="22"/>
    <w:qFormat/>
    <w:rsid w:val="007C68A4"/>
    <w:rPr>
      <w:b/>
      <w:bCs/>
    </w:rPr>
  </w:style>
  <w:style w:type="character" w:customStyle="1" w:styleId="UnresolvedMention1">
    <w:name w:val="Unresolved Mention1"/>
    <w:uiPriority w:val="99"/>
    <w:semiHidden/>
    <w:unhideWhenUsed/>
    <w:rsid w:val="007C68A4"/>
    <w:rPr>
      <w:color w:val="808080"/>
      <w:shd w:val="clear" w:color="auto" w:fill="E6E6E6"/>
    </w:rPr>
  </w:style>
  <w:style w:type="character" w:customStyle="1" w:styleId="UnresolvedMention">
    <w:name w:val="Unresolved Mention"/>
    <w:basedOn w:val="Numatytasispastraiposriftas"/>
    <w:uiPriority w:val="99"/>
    <w:semiHidden/>
    <w:unhideWhenUsed/>
    <w:rsid w:val="00BD46ED"/>
    <w:rPr>
      <w:color w:val="605E5C"/>
      <w:shd w:val="clear" w:color="auto" w:fill="E1DFDD"/>
    </w:rPr>
  </w:style>
  <w:style w:type="table" w:customStyle="1" w:styleId="TableGrid1">
    <w:name w:val="Table Grid1"/>
    <w:basedOn w:val="prastojilentel"/>
    <w:next w:val="Lentelstinklelis"/>
    <w:uiPriority w:val="39"/>
    <w:rsid w:val="00B9174B"/>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747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00779">
      <w:bodyDiv w:val="1"/>
      <w:marLeft w:val="0"/>
      <w:marRight w:val="0"/>
      <w:marTop w:val="0"/>
      <w:marBottom w:val="0"/>
      <w:divBdr>
        <w:top w:val="none" w:sz="0" w:space="0" w:color="auto"/>
        <w:left w:val="none" w:sz="0" w:space="0" w:color="auto"/>
        <w:bottom w:val="none" w:sz="0" w:space="0" w:color="auto"/>
        <w:right w:val="none" w:sz="0" w:space="0" w:color="auto"/>
      </w:divBdr>
    </w:div>
    <w:div w:id="892958819">
      <w:bodyDiv w:val="1"/>
      <w:marLeft w:val="0"/>
      <w:marRight w:val="0"/>
      <w:marTop w:val="0"/>
      <w:marBottom w:val="0"/>
      <w:divBdr>
        <w:top w:val="none" w:sz="0" w:space="0" w:color="auto"/>
        <w:left w:val="none" w:sz="0" w:space="0" w:color="auto"/>
        <w:bottom w:val="none" w:sz="0" w:space="0" w:color="auto"/>
        <w:right w:val="none" w:sz="0" w:space="0" w:color="auto"/>
      </w:divBdr>
    </w:div>
    <w:div w:id="20410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5026EEFAE054E9B170EC789B66F8F" ma:contentTypeVersion="12" ma:contentTypeDescription="Create a new document." ma:contentTypeScope="" ma:versionID="2d7f7be117280532ee5da0f58d3757fc">
  <xsd:schema xmlns:xsd="http://www.w3.org/2001/XMLSchema" xmlns:xs="http://www.w3.org/2001/XMLSchema" xmlns:p="http://schemas.microsoft.com/office/2006/metadata/properties" xmlns:ns2="fddf08dd-6a38-48bf-b611-77e78e78cc06" xmlns:ns3="ab16fc0d-af72-4ed7-9e11-1299b1ee6143" targetNamespace="http://schemas.microsoft.com/office/2006/metadata/properties" ma:root="true" ma:fieldsID="7ba2a6fbf83abaf9ec4062af07630759" ns2:_="" ns3:_="">
    <xsd:import namespace="fddf08dd-6a38-48bf-b611-77e78e78cc06"/>
    <xsd:import namespace="ab16fc0d-af72-4ed7-9e11-1299b1ee6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08dd-6a38-48bf-b611-77e78e78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6fc0d-af72-4ed7-9e11-1299b1ee6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6C84-EB9D-43C2-9AA3-093F2A7D7388}">
  <ds:schemaRefs>
    <ds:schemaRef ds:uri="http://schemas.microsoft.com/sharepoint/v3/contenttype/forms"/>
  </ds:schemaRefs>
</ds:datastoreItem>
</file>

<file path=customXml/itemProps2.xml><?xml version="1.0" encoding="utf-8"?>
<ds:datastoreItem xmlns:ds="http://schemas.openxmlformats.org/officeDocument/2006/customXml" ds:itemID="{2AF0E2C0-215A-47A3-9205-FD2A7E48E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08dd-6a38-48bf-b611-77e78e78cc06"/>
    <ds:schemaRef ds:uri="ab16fc0d-af72-4ed7-9e11-1299b1ee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0DC84-00E7-472D-9C02-456A70A639F3}">
  <ds:schemaRefs>
    <ds:schemaRef ds:uri="fddf08dd-6a38-48bf-b611-77e78e78cc06"/>
    <ds:schemaRef ds:uri="http://www.w3.org/XML/1998/namespace"/>
    <ds:schemaRef ds:uri="ab16fc0d-af72-4ed7-9e11-1299b1ee6143"/>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5BC723F-7123-4B27-B7DF-F70DF01B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35001</Words>
  <Characters>19952</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Laine</dc:creator>
  <cp:keywords/>
  <dc:description/>
  <cp:lastModifiedBy>Birutė Valkauskaitė</cp:lastModifiedBy>
  <cp:revision>2</cp:revision>
  <dcterms:created xsi:type="dcterms:W3CDTF">2025-11-11T12:33:00Z</dcterms:created>
  <dcterms:modified xsi:type="dcterms:W3CDTF">2025-11-11T12:33:00Z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0x010100FB25026EEFAE054E9B170EC789B66F8F</vt:lpwstr>
  </property>
</Properties>
</file>