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61452"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6D766108"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7175688A"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403860E8"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4DEA77FA"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3709878A"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03A18B2F"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67653994"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315EC2C0"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1B620D61"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1BA7FC9C"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1692B342"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14F3A280"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61ADD2D4"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647DF00C"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4E6EDED1"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0E66C554"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17ACF359" w14:textId="77777777" w:rsidR="00612A8E" w:rsidRPr="00C65653" w:rsidRDefault="00612A8E" w:rsidP="00612A8E">
      <w:pPr>
        <w:tabs>
          <w:tab w:val="left" w:pos="567"/>
        </w:tabs>
        <w:outlineLvl w:val="0"/>
        <w:rPr>
          <w:rFonts w:eastAsia="Times New Roman" w:cs="Times New Roman"/>
          <w:b/>
          <w:sz w:val="22"/>
          <w:szCs w:val="22"/>
          <w:lang w:val="lt-LT" w:eastAsia="lt-LT" w:bidi="lt-LT"/>
        </w:rPr>
      </w:pPr>
    </w:p>
    <w:p w14:paraId="610049EA" w14:textId="77777777" w:rsidR="00612A8E" w:rsidRPr="00C65653" w:rsidRDefault="00612A8E" w:rsidP="00612A8E">
      <w:pPr>
        <w:tabs>
          <w:tab w:val="left" w:pos="567"/>
        </w:tabs>
        <w:outlineLvl w:val="0"/>
        <w:rPr>
          <w:rFonts w:eastAsia="Times New Roman" w:cs="Times New Roman"/>
          <w:b/>
          <w:sz w:val="22"/>
          <w:szCs w:val="22"/>
          <w:lang w:val="lt-LT" w:eastAsia="lt-LT" w:bidi="lt-LT"/>
        </w:rPr>
      </w:pPr>
    </w:p>
    <w:p w14:paraId="632072C4" w14:textId="77777777" w:rsidR="00612A8E" w:rsidRPr="00C65653" w:rsidRDefault="00612A8E" w:rsidP="00612A8E">
      <w:pPr>
        <w:tabs>
          <w:tab w:val="left" w:pos="567"/>
        </w:tabs>
        <w:outlineLvl w:val="0"/>
        <w:rPr>
          <w:rFonts w:eastAsia="Times New Roman" w:cs="Times New Roman"/>
          <w:b/>
          <w:sz w:val="22"/>
          <w:szCs w:val="22"/>
          <w:lang w:val="lt-LT" w:eastAsia="lt-LT" w:bidi="lt-LT"/>
        </w:rPr>
      </w:pPr>
    </w:p>
    <w:p w14:paraId="6EDFC475" w14:textId="77777777" w:rsidR="00612A8E" w:rsidRPr="00C65653" w:rsidRDefault="00612A8E" w:rsidP="00612A8E">
      <w:pPr>
        <w:tabs>
          <w:tab w:val="left" w:pos="567"/>
        </w:tabs>
        <w:outlineLvl w:val="0"/>
        <w:rPr>
          <w:rFonts w:eastAsia="Times New Roman" w:cs="Times New Roman"/>
          <w:b/>
          <w:sz w:val="22"/>
          <w:szCs w:val="22"/>
          <w:lang w:val="lt-LT" w:eastAsia="lt-LT" w:bidi="lt-LT"/>
        </w:rPr>
      </w:pPr>
    </w:p>
    <w:p w14:paraId="1980B4FE" w14:textId="77777777" w:rsidR="00612A8E" w:rsidRPr="00C65653" w:rsidRDefault="00612A8E" w:rsidP="00612A8E">
      <w:pPr>
        <w:tabs>
          <w:tab w:val="left" w:pos="567"/>
        </w:tabs>
        <w:outlineLvl w:val="0"/>
        <w:rPr>
          <w:rFonts w:eastAsia="Times New Roman" w:cs="Times New Roman"/>
          <w:b/>
          <w:sz w:val="22"/>
          <w:szCs w:val="22"/>
          <w:lang w:val="lt-LT" w:eastAsia="lt-LT" w:bidi="lt-LT"/>
        </w:rPr>
      </w:pPr>
    </w:p>
    <w:p w14:paraId="79AC2ABE" w14:textId="77777777" w:rsidR="00386434" w:rsidRDefault="00386434" w:rsidP="00612A8E">
      <w:pPr>
        <w:tabs>
          <w:tab w:val="left" w:pos="567"/>
        </w:tabs>
        <w:jc w:val="center"/>
        <w:outlineLvl w:val="0"/>
        <w:rPr>
          <w:rFonts w:eastAsia="Times New Roman" w:cs="Times New Roman"/>
          <w:b/>
          <w:sz w:val="22"/>
          <w:szCs w:val="22"/>
          <w:lang w:val="lt-LT" w:eastAsia="lt-LT" w:bidi="lt-LT"/>
        </w:rPr>
      </w:pPr>
    </w:p>
    <w:p w14:paraId="5CF0BD3F" w14:textId="77777777" w:rsidR="00612A8E" w:rsidRPr="00997273" w:rsidRDefault="00612A8E" w:rsidP="00612A8E">
      <w:pPr>
        <w:tabs>
          <w:tab w:val="left" w:pos="567"/>
        </w:tabs>
        <w:jc w:val="center"/>
        <w:outlineLvl w:val="0"/>
        <w:rPr>
          <w:rFonts w:eastAsia="Times New Roman" w:cs="Times New Roman"/>
          <w:sz w:val="22"/>
          <w:szCs w:val="22"/>
          <w:lang w:val="lt-LT" w:eastAsia="lt-LT" w:bidi="lt-LT"/>
        </w:rPr>
      </w:pPr>
      <w:r w:rsidRPr="00997273">
        <w:rPr>
          <w:rFonts w:eastAsia="Times New Roman" w:cs="Times New Roman"/>
          <w:b/>
          <w:sz w:val="22"/>
          <w:szCs w:val="22"/>
          <w:lang w:val="lt-LT" w:eastAsia="lt-LT" w:bidi="lt-LT"/>
        </w:rPr>
        <w:t>I PRIEDAS</w:t>
      </w:r>
    </w:p>
    <w:p w14:paraId="1A990E41" w14:textId="77777777" w:rsidR="00612A8E" w:rsidRPr="00997273" w:rsidRDefault="00612A8E" w:rsidP="00612A8E">
      <w:pPr>
        <w:tabs>
          <w:tab w:val="left" w:pos="567"/>
        </w:tabs>
        <w:jc w:val="center"/>
        <w:outlineLvl w:val="0"/>
        <w:rPr>
          <w:rFonts w:eastAsia="Times New Roman" w:cs="Times New Roman"/>
          <w:sz w:val="22"/>
          <w:szCs w:val="22"/>
          <w:lang w:val="lt-LT" w:eastAsia="lt-LT" w:bidi="lt-LT"/>
        </w:rPr>
      </w:pPr>
    </w:p>
    <w:p w14:paraId="7CC48A75" w14:textId="77777777" w:rsidR="00612A8E" w:rsidRPr="00997273" w:rsidRDefault="00612A8E" w:rsidP="00612A8E">
      <w:pPr>
        <w:tabs>
          <w:tab w:val="left" w:pos="567"/>
        </w:tabs>
        <w:jc w:val="center"/>
        <w:outlineLvl w:val="0"/>
        <w:rPr>
          <w:rFonts w:eastAsia="Times New Roman" w:cs="Times New Roman"/>
          <w:sz w:val="22"/>
          <w:szCs w:val="22"/>
          <w:lang w:val="lt-LT" w:eastAsia="lt-LT" w:bidi="lt-LT"/>
        </w:rPr>
      </w:pPr>
      <w:r w:rsidRPr="00997273">
        <w:rPr>
          <w:rFonts w:eastAsia="Times New Roman" w:cs="Times New Roman"/>
          <w:b/>
          <w:sz w:val="22"/>
          <w:szCs w:val="22"/>
          <w:lang w:val="lt-LT" w:eastAsia="lt-LT" w:bidi="lt-LT"/>
        </w:rPr>
        <w:t>PREPARATO CHARAKTERISTIKŲ SANTRAUKA</w:t>
      </w:r>
    </w:p>
    <w:p w14:paraId="1B00A936" w14:textId="77777777" w:rsidR="00612A8E" w:rsidRPr="00997273" w:rsidRDefault="00612A8E" w:rsidP="00612A8E">
      <w:pPr>
        <w:tabs>
          <w:tab w:val="left" w:pos="567"/>
        </w:tabs>
        <w:rPr>
          <w:rFonts w:eastAsia="Times New Roman" w:cs="Times New Roman"/>
          <w:sz w:val="22"/>
          <w:szCs w:val="22"/>
          <w:lang w:val="lt-LT" w:eastAsia="lt-LT" w:bidi="lt-LT"/>
        </w:rPr>
      </w:pPr>
      <w:r w:rsidRPr="00997273">
        <w:rPr>
          <w:rFonts w:eastAsia="Times New Roman" w:cs="Times New Roman"/>
          <w:sz w:val="22"/>
          <w:szCs w:val="22"/>
          <w:lang w:val="lt-LT" w:eastAsia="lt-LT" w:bidi="lt-LT"/>
        </w:rPr>
        <w:br w:type="page"/>
      </w:r>
    </w:p>
    <w:p w14:paraId="03683617" w14:textId="77777777" w:rsidR="00612A8E" w:rsidRPr="00997273" w:rsidRDefault="00612A8E" w:rsidP="00612A8E">
      <w:pPr>
        <w:keepNext/>
        <w:numPr>
          <w:ilvl w:val="0"/>
          <w:numId w:val="25"/>
        </w:numPr>
        <w:tabs>
          <w:tab w:val="left" w:pos="567"/>
        </w:tabs>
        <w:suppressAutoHyphens/>
        <w:spacing w:line="260" w:lineRule="exact"/>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lastRenderedPageBreak/>
        <w:t>VAISTINIO PREPARATO PAVADINIMAS</w:t>
      </w:r>
    </w:p>
    <w:p w14:paraId="4FEFD00B" w14:textId="77777777" w:rsidR="00612A8E" w:rsidRPr="00997273" w:rsidRDefault="00612A8E" w:rsidP="00612A8E">
      <w:pPr>
        <w:keepNext/>
        <w:tabs>
          <w:tab w:val="left" w:pos="567"/>
        </w:tabs>
        <w:rPr>
          <w:rFonts w:eastAsia="Times New Roman" w:cs="Times New Roman"/>
          <w:iCs/>
          <w:noProof/>
          <w:sz w:val="22"/>
          <w:szCs w:val="22"/>
          <w:lang w:val="lt-LT" w:eastAsia="lt-LT" w:bidi="lt-LT"/>
        </w:rPr>
      </w:pPr>
    </w:p>
    <w:p w14:paraId="3E0D1EF9" w14:textId="05EC24A7" w:rsidR="00612A8E" w:rsidRPr="004D3709" w:rsidRDefault="00AE2AD2" w:rsidP="00612A8E">
      <w:pPr>
        <w:widowControl w:val="0"/>
        <w:tabs>
          <w:tab w:val="left" w:pos="567"/>
        </w:tabs>
        <w:rPr>
          <w:rFonts w:eastAsia="Times New Roman" w:cs="Times New Roman"/>
          <w:sz w:val="22"/>
          <w:szCs w:val="22"/>
          <w:lang w:val="lt-LT" w:eastAsia="lt-LT" w:bidi="lt-LT"/>
        </w:rPr>
      </w:pPr>
      <w:bookmarkStart w:id="0" w:name="_Hlk60757669"/>
      <w:proofErr w:type="spellStart"/>
      <w:r>
        <w:rPr>
          <w:rFonts w:eastAsia="Times New Roman" w:cs="Times New Roman"/>
          <w:sz w:val="22"/>
          <w:szCs w:val="22"/>
          <w:lang w:val="lt-LT" w:eastAsia="lt-LT" w:bidi="lt-LT"/>
        </w:rPr>
        <w:t>Meliglix</w:t>
      </w:r>
      <w:proofErr w:type="spellEnd"/>
      <w:r w:rsidR="00612A8E" w:rsidRPr="00997273">
        <w:rPr>
          <w:rFonts w:eastAsia="Times New Roman" w:cs="Times New Roman"/>
          <w:sz w:val="22"/>
          <w:szCs w:val="22"/>
          <w:lang w:val="lt-LT" w:eastAsia="lt-LT" w:bidi="lt-LT"/>
        </w:rPr>
        <w:t xml:space="preserve"> 25</w:t>
      </w:r>
      <w:r w:rsidR="00F1682D" w:rsidRPr="00997273">
        <w:rPr>
          <w:rFonts w:eastAsia="Times New Roman" w:cs="Times New Roman"/>
          <w:sz w:val="22"/>
          <w:szCs w:val="22"/>
          <w:lang w:val="lt-LT" w:eastAsia="lt-LT" w:bidi="lt-LT"/>
        </w:rPr>
        <w:t> </w:t>
      </w:r>
      <w:r w:rsidR="00612A8E" w:rsidRPr="00997273">
        <w:rPr>
          <w:rFonts w:eastAsia="Times New Roman" w:cs="Times New Roman"/>
          <w:sz w:val="22"/>
          <w:szCs w:val="22"/>
          <w:lang w:val="lt-LT" w:eastAsia="lt-LT" w:bidi="lt-LT"/>
        </w:rPr>
        <w:t>mg plėvele dengtos tabletės</w:t>
      </w:r>
    </w:p>
    <w:bookmarkEnd w:id="0"/>
    <w:p w14:paraId="1B6EB066" w14:textId="2906AF81" w:rsidR="00997273" w:rsidRPr="00997273" w:rsidRDefault="00AE2AD2" w:rsidP="00997273">
      <w:pPr>
        <w:widowControl w:val="0"/>
        <w:tabs>
          <w:tab w:val="left" w:pos="567"/>
        </w:tabs>
        <w:rPr>
          <w:rFonts w:eastAsia="Times New Roman" w:cs="Times New Roman"/>
          <w:sz w:val="22"/>
          <w:szCs w:val="22"/>
          <w:lang w:val="lt-LT" w:eastAsia="lt-LT" w:bidi="lt-LT"/>
        </w:rPr>
      </w:pPr>
      <w:proofErr w:type="spellStart"/>
      <w:r>
        <w:rPr>
          <w:rFonts w:eastAsia="Times New Roman" w:cs="Times New Roman"/>
          <w:sz w:val="22"/>
          <w:szCs w:val="22"/>
          <w:lang w:val="lt-LT" w:eastAsia="lt-LT" w:bidi="lt-LT"/>
        </w:rPr>
        <w:t>Meliglix</w:t>
      </w:r>
      <w:proofErr w:type="spellEnd"/>
      <w:r w:rsidR="00997273" w:rsidRPr="00997273">
        <w:rPr>
          <w:rFonts w:eastAsia="Times New Roman" w:cs="Times New Roman"/>
          <w:sz w:val="22"/>
          <w:szCs w:val="22"/>
          <w:lang w:val="lt-LT" w:eastAsia="lt-LT" w:bidi="lt-LT"/>
        </w:rPr>
        <w:t xml:space="preserve"> </w:t>
      </w:r>
      <w:r w:rsidR="00997273">
        <w:rPr>
          <w:rFonts w:eastAsia="Times New Roman" w:cs="Times New Roman"/>
          <w:sz w:val="22"/>
          <w:szCs w:val="22"/>
          <w:lang w:val="lt-LT" w:eastAsia="lt-LT" w:bidi="lt-LT"/>
        </w:rPr>
        <w:t>5</w:t>
      </w:r>
      <w:r w:rsidR="00997273" w:rsidRPr="00997273">
        <w:rPr>
          <w:rFonts w:eastAsia="Times New Roman" w:cs="Times New Roman"/>
          <w:sz w:val="22"/>
          <w:szCs w:val="22"/>
          <w:lang w:val="lt-LT" w:eastAsia="lt-LT" w:bidi="lt-LT"/>
        </w:rPr>
        <w:t>0 mg plėvele dengtos tabletės</w:t>
      </w:r>
    </w:p>
    <w:p w14:paraId="1869FC4B" w14:textId="0087A456" w:rsidR="00612A8E" w:rsidRPr="00997273" w:rsidRDefault="00AE2AD2" w:rsidP="00612A8E">
      <w:pPr>
        <w:widowControl w:val="0"/>
        <w:tabs>
          <w:tab w:val="left" w:pos="567"/>
        </w:tabs>
        <w:rPr>
          <w:rFonts w:eastAsia="Times New Roman" w:cs="Times New Roman"/>
          <w:sz w:val="22"/>
          <w:szCs w:val="22"/>
          <w:lang w:val="lt-LT" w:eastAsia="lt-LT" w:bidi="lt-LT"/>
        </w:rPr>
      </w:pPr>
      <w:proofErr w:type="spellStart"/>
      <w:r>
        <w:rPr>
          <w:rFonts w:eastAsia="Times New Roman" w:cs="Times New Roman"/>
          <w:sz w:val="22"/>
          <w:szCs w:val="22"/>
          <w:lang w:val="lt-LT" w:eastAsia="lt-LT" w:bidi="lt-LT"/>
        </w:rPr>
        <w:t>Meliglix</w:t>
      </w:r>
      <w:proofErr w:type="spellEnd"/>
      <w:r w:rsidR="00612A8E" w:rsidRPr="00997273">
        <w:rPr>
          <w:rFonts w:eastAsia="Times New Roman" w:cs="Times New Roman"/>
          <w:sz w:val="22"/>
          <w:szCs w:val="22"/>
          <w:lang w:val="lt-LT" w:eastAsia="lt-LT" w:bidi="lt-LT"/>
        </w:rPr>
        <w:t xml:space="preserve"> 100</w:t>
      </w:r>
      <w:r w:rsidR="00F1682D" w:rsidRPr="00997273">
        <w:rPr>
          <w:rFonts w:eastAsia="Times New Roman" w:cs="Times New Roman"/>
          <w:sz w:val="22"/>
          <w:szCs w:val="22"/>
          <w:lang w:val="lt-LT" w:eastAsia="lt-LT" w:bidi="lt-LT"/>
        </w:rPr>
        <w:t> </w:t>
      </w:r>
      <w:r w:rsidR="00612A8E" w:rsidRPr="00997273">
        <w:rPr>
          <w:rFonts w:eastAsia="Times New Roman" w:cs="Times New Roman"/>
          <w:sz w:val="22"/>
          <w:szCs w:val="22"/>
          <w:lang w:val="lt-LT" w:eastAsia="lt-LT" w:bidi="lt-LT"/>
        </w:rPr>
        <w:t>mg plėvele dengtos tabletės</w:t>
      </w:r>
    </w:p>
    <w:p w14:paraId="350087D0" w14:textId="77777777" w:rsidR="00612A8E" w:rsidRPr="00997273" w:rsidRDefault="00612A8E" w:rsidP="00612A8E">
      <w:pPr>
        <w:tabs>
          <w:tab w:val="left" w:pos="567"/>
        </w:tabs>
        <w:rPr>
          <w:rFonts w:eastAsia="Times New Roman" w:cs="Times New Roman"/>
          <w:iCs/>
          <w:noProof/>
          <w:sz w:val="22"/>
          <w:szCs w:val="22"/>
          <w:lang w:val="lt-LT" w:eastAsia="lt-LT" w:bidi="lt-LT"/>
        </w:rPr>
      </w:pPr>
    </w:p>
    <w:p w14:paraId="706703BC" w14:textId="77777777" w:rsidR="00612A8E" w:rsidRPr="00997273" w:rsidRDefault="00612A8E" w:rsidP="00612A8E">
      <w:pPr>
        <w:tabs>
          <w:tab w:val="left" w:pos="567"/>
        </w:tabs>
        <w:rPr>
          <w:rFonts w:eastAsia="Times New Roman" w:cs="Times New Roman"/>
          <w:iCs/>
          <w:noProof/>
          <w:sz w:val="22"/>
          <w:szCs w:val="22"/>
          <w:lang w:val="lt-LT" w:eastAsia="lt-LT" w:bidi="lt-LT"/>
        </w:rPr>
      </w:pPr>
    </w:p>
    <w:p w14:paraId="3B0746F2" w14:textId="50119F02" w:rsidR="00612A8E" w:rsidRPr="00997273" w:rsidRDefault="00612A8E" w:rsidP="00612A8E">
      <w:pPr>
        <w:keepNext/>
        <w:numPr>
          <w:ilvl w:val="0"/>
          <w:numId w:val="25"/>
        </w:numPr>
        <w:tabs>
          <w:tab w:val="left" w:pos="567"/>
        </w:tabs>
        <w:suppressAutoHyphens/>
        <w:spacing w:line="260" w:lineRule="exact"/>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KOKYBINĖ IR KIEKYBINĖ SUDĖTIS</w:t>
      </w:r>
    </w:p>
    <w:p w14:paraId="2139914D" w14:textId="2CF2B46F" w:rsidR="00612A8E" w:rsidRDefault="00612A8E" w:rsidP="00612A8E">
      <w:pPr>
        <w:keepNext/>
        <w:tabs>
          <w:tab w:val="left" w:pos="567"/>
        </w:tabs>
        <w:rPr>
          <w:rFonts w:eastAsia="Times New Roman" w:cs="Times New Roman"/>
          <w:iCs/>
          <w:noProof/>
          <w:sz w:val="22"/>
          <w:szCs w:val="22"/>
          <w:lang w:val="lt-LT" w:eastAsia="lt-LT" w:bidi="lt-LT"/>
        </w:rPr>
      </w:pPr>
    </w:p>
    <w:p w14:paraId="3887F337" w14:textId="72A9E018" w:rsidR="00612A8E" w:rsidRPr="00297C23" w:rsidRDefault="00612A8E" w:rsidP="00297C23">
      <w:pPr>
        <w:tabs>
          <w:tab w:val="left" w:pos="567"/>
        </w:tabs>
        <w:outlineLvl w:val="0"/>
        <w:rPr>
          <w:rFonts w:eastAsia="Times New Roman" w:cs="Times New Roman"/>
          <w:sz w:val="22"/>
          <w:szCs w:val="22"/>
          <w:lang w:val="lt-LT" w:eastAsia="lt-LT" w:bidi="lt-LT"/>
        </w:rPr>
      </w:pPr>
      <w:r w:rsidRPr="00297C23">
        <w:rPr>
          <w:rFonts w:eastAsia="Times New Roman" w:cs="Times New Roman"/>
          <w:sz w:val="22"/>
          <w:szCs w:val="22"/>
          <w:lang w:val="lt-LT" w:eastAsia="lt-LT" w:bidi="lt-LT"/>
        </w:rPr>
        <w:t xml:space="preserve">Kiekvienoje </w:t>
      </w:r>
      <w:r w:rsidR="00997273" w:rsidRPr="00297C23">
        <w:rPr>
          <w:rFonts w:eastAsia="Times New Roman" w:cs="Times New Roman"/>
          <w:sz w:val="22"/>
          <w:szCs w:val="22"/>
          <w:lang w:val="lt-LT" w:eastAsia="lt-LT" w:bidi="lt-LT"/>
        </w:rPr>
        <w:t>plėvele dengtoje tabletėje</w:t>
      </w:r>
      <w:r w:rsidRPr="00297C23">
        <w:rPr>
          <w:rFonts w:eastAsia="Times New Roman" w:cs="Times New Roman"/>
          <w:sz w:val="22"/>
          <w:szCs w:val="22"/>
          <w:lang w:val="lt-LT" w:eastAsia="lt-LT" w:bidi="lt-LT"/>
        </w:rPr>
        <w:t xml:space="preserve"> yra </w:t>
      </w:r>
      <w:proofErr w:type="spellStart"/>
      <w:r w:rsidRPr="00297C23">
        <w:rPr>
          <w:rFonts w:eastAsia="Times New Roman" w:cs="Times New Roman"/>
          <w:sz w:val="22"/>
          <w:szCs w:val="22"/>
          <w:lang w:val="lt-LT" w:eastAsia="lt-LT" w:bidi="lt-LT"/>
        </w:rPr>
        <w:t>sitagliptino</w:t>
      </w:r>
      <w:proofErr w:type="spellEnd"/>
      <w:r w:rsidRPr="00297C23">
        <w:rPr>
          <w:rFonts w:eastAsia="Times New Roman" w:cs="Times New Roman"/>
          <w:sz w:val="22"/>
          <w:szCs w:val="22"/>
          <w:lang w:val="lt-LT" w:eastAsia="lt-LT" w:bidi="lt-LT"/>
        </w:rPr>
        <w:t xml:space="preserve"> </w:t>
      </w:r>
      <w:r w:rsidR="00A517FC" w:rsidRPr="00297C23">
        <w:rPr>
          <w:rFonts w:eastAsia="Times New Roman" w:cs="Times New Roman"/>
          <w:sz w:val="22"/>
          <w:szCs w:val="22"/>
          <w:lang w:val="lt-LT" w:eastAsia="lt-LT" w:bidi="lt-LT"/>
        </w:rPr>
        <w:t xml:space="preserve">hidrochlorido, atitinkančio </w:t>
      </w:r>
      <w:r w:rsidRPr="00297C23">
        <w:rPr>
          <w:rFonts w:eastAsia="Times New Roman" w:cs="Times New Roman"/>
          <w:sz w:val="22"/>
          <w:szCs w:val="22"/>
          <w:lang w:val="lt-LT" w:eastAsia="lt-LT" w:bidi="lt-LT"/>
        </w:rPr>
        <w:t>25</w:t>
      </w:r>
      <w:r w:rsidR="00F1682D" w:rsidRPr="00297C23">
        <w:rPr>
          <w:rFonts w:eastAsia="Times New Roman" w:cs="Times New Roman"/>
          <w:sz w:val="22"/>
          <w:szCs w:val="22"/>
          <w:lang w:val="lt-LT" w:eastAsia="lt-LT" w:bidi="lt-LT"/>
        </w:rPr>
        <w:t> </w:t>
      </w:r>
      <w:r w:rsidRPr="00297C23">
        <w:rPr>
          <w:rFonts w:eastAsia="Times New Roman" w:cs="Times New Roman"/>
          <w:sz w:val="22"/>
          <w:szCs w:val="22"/>
          <w:lang w:val="lt-LT" w:eastAsia="lt-LT" w:bidi="lt-LT"/>
        </w:rPr>
        <w:t xml:space="preserve">mg </w:t>
      </w:r>
      <w:proofErr w:type="spellStart"/>
      <w:r w:rsidRPr="00297C23">
        <w:rPr>
          <w:rFonts w:eastAsia="Times New Roman" w:cs="Times New Roman"/>
          <w:sz w:val="22"/>
          <w:szCs w:val="22"/>
          <w:lang w:val="lt-LT" w:eastAsia="lt-LT" w:bidi="lt-LT"/>
        </w:rPr>
        <w:t>sitagliptino</w:t>
      </w:r>
      <w:proofErr w:type="spellEnd"/>
      <w:r w:rsidRPr="00297C23">
        <w:rPr>
          <w:rFonts w:eastAsia="Times New Roman" w:cs="Times New Roman"/>
          <w:sz w:val="22"/>
          <w:szCs w:val="22"/>
          <w:lang w:val="lt-LT" w:eastAsia="lt-LT" w:bidi="lt-LT"/>
        </w:rPr>
        <w:t>.</w:t>
      </w:r>
    </w:p>
    <w:p w14:paraId="5C005808" w14:textId="5796DC53" w:rsidR="00A517FC" w:rsidRPr="00297C23" w:rsidRDefault="00A517FC" w:rsidP="00297C23">
      <w:pPr>
        <w:tabs>
          <w:tab w:val="left" w:pos="567"/>
        </w:tabs>
        <w:outlineLvl w:val="0"/>
        <w:rPr>
          <w:rFonts w:eastAsia="Times New Roman" w:cs="Times New Roman"/>
          <w:sz w:val="22"/>
          <w:szCs w:val="22"/>
          <w:lang w:val="lt-LT" w:eastAsia="lt-LT" w:bidi="lt-LT"/>
        </w:rPr>
      </w:pPr>
      <w:r w:rsidRPr="00297C23">
        <w:rPr>
          <w:rFonts w:eastAsia="Times New Roman" w:cs="Times New Roman"/>
          <w:sz w:val="22"/>
          <w:szCs w:val="22"/>
          <w:lang w:val="lt-LT" w:eastAsia="lt-LT" w:bidi="lt-LT"/>
        </w:rPr>
        <w:t xml:space="preserve">Kiekvienoje plėvele dengtoje tabletėje yra </w:t>
      </w:r>
      <w:proofErr w:type="spellStart"/>
      <w:r w:rsidRPr="00297C23">
        <w:rPr>
          <w:rFonts w:eastAsia="Times New Roman" w:cs="Times New Roman"/>
          <w:sz w:val="22"/>
          <w:szCs w:val="22"/>
          <w:lang w:val="lt-LT" w:eastAsia="lt-LT" w:bidi="lt-LT"/>
        </w:rPr>
        <w:t>sitagliptino</w:t>
      </w:r>
      <w:proofErr w:type="spellEnd"/>
      <w:r w:rsidRPr="00297C23">
        <w:rPr>
          <w:rFonts w:eastAsia="Times New Roman" w:cs="Times New Roman"/>
          <w:sz w:val="22"/>
          <w:szCs w:val="22"/>
          <w:lang w:val="lt-LT" w:eastAsia="lt-LT" w:bidi="lt-LT"/>
        </w:rPr>
        <w:t xml:space="preserve"> hidrochlorido, atitinkančio 50 mg </w:t>
      </w:r>
      <w:proofErr w:type="spellStart"/>
      <w:r w:rsidRPr="00297C23">
        <w:rPr>
          <w:rFonts w:eastAsia="Times New Roman" w:cs="Times New Roman"/>
          <w:sz w:val="22"/>
          <w:szCs w:val="22"/>
          <w:lang w:val="lt-LT" w:eastAsia="lt-LT" w:bidi="lt-LT"/>
        </w:rPr>
        <w:t>sitagliptino</w:t>
      </w:r>
      <w:proofErr w:type="spellEnd"/>
      <w:r w:rsidRPr="00297C23">
        <w:rPr>
          <w:rFonts w:eastAsia="Times New Roman" w:cs="Times New Roman"/>
          <w:sz w:val="22"/>
          <w:szCs w:val="22"/>
          <w:lang w:val="lt-LT" w:eastAsia="lt-LT" w:bidi="lt-LT"/>
        </w:rPr>
        <w:t>.</w:t>
      </w:r>
    </w:p>
    <w:p w14:paraId="2ADB7E77" w14:textId="2B7648D0" w:rsidR="00A517FC" w:rsidRPr="00297C23" w:rsidRDefault="00A517FC" w:rsidP="00297C23">
      <w:pPr>
        <w:tabs>
          <w:tab w:val="left" w:pos="567"/>
        </w:tabs>
        <w:outlineLvl w:val="0"/>
        <w:rPr>
          <w:rFonts w:eastAsia="Times New Roman" w:cs="Times New Roman"/>
          <w:sz w:val="22"/>
          <w:szCs w:val="22"/>
          <w:lang w:val="lt-LT" w:eastAsia="lt-LT" w:bidi="lt-LT"/>
        </w:rPr>
      </w:pPr>
      <w:r w:rsidRPr="00297C23">
        <w:rPr>
          <w:rFonts w:eastAsia="Times New Roman" w:cs="Times New Roman"/>
          <w:sz w:val="22"/>
          <w:szCs w:val="22"/>
          <w:lang w:val="lt-LT" w:eastAsia="lt-LT" w:bidi="lt-LT"/>
        </w:rPr>
        <w:t xml:space="preserve">Kiekvienoje plėvele dengtoje tabletėje yra </w:t>
      </w:r>
      <w:proofErr w:type="spellStart"/>
      <w:r w:rsidRPr="00297C23">
        <w:rPr>
          <w:rFonts w:eastAsia="Times New Roman" w:cs="Times New Roman"/>
          <w:sz w:val="22"/>
          <w:szCs w:val="22"/>
          <w:lang w:val="lt-LT" w:eastAsia="lt-LT" w:bidi="lt-LT"/>
        </w:rPr>
        <w:t>sitagliptino</w:t>
      </w:r>
      <w:proofErr w:type="spellEnd"/>
      <w:r w:rsidRPr="00297C23">
        <w:rPr>
          <w:rFonts w:eastAsia="Times New Roman" w:cs="Times New Roman"/>
          <w:sz w:val="22"/>
          <w:szCs w:val="22"/>
          <w:lang w:val="lt-LT" w:eastAsia="lt-LT" w:bidi="lt-LT"/>
        </w:rPr>
        <w:t xml:space="preserve"> hidrochlorido, atitinkančio 100 mg </w:t>
      </w:r>
      <w:proofErr w:type="spellStart"/>
      <w:r w:rsidRPr="00297C23">
        <w:rPr>
          <w:rFonts w:eastAsia="Times New Roman" w:cs="Times New Roman"/>
          <w:sz w:val="22"/>
          <w:szCs w:val="22"/>
          <w:lang w:val="lt-LT" w:eastAsia="lt-LT" w:bidi="lt-LT"/>
        </w:rPr>
        <w:t>sitagliptino</w:t>
      </w:r>
      <w:proofErr w:type="spellEnd"/>
      <w:r w:rsidRPr="00297C23">
        <w:rPr>
          <w:rFonts w:eastAsia="Times New Roman" w:cs="Times New Roman"/>
          <w:sz w:val="22"/>
          <w:szCs w:val="22"/>
          <w:lang w:val="lt-LT" w:eastAsia="lt-LT" w:bidi="lt-LT"/>
        </w:rPr>
        <w:t>.</w:t>
      </w:r>
    </w:p>
    <w:p w14:paraId="64028BDC" w14:textId="77777777" w:rsidR="00A924B0" w:rsidRPr="00C65653" w:rsidRDefault="00A924B0" w:rsidP="00A924B0">
      <w:pPr>
        <w:tabs>
          <w:tab w:val="left" w:pos="567"/>
        </w:tabs>
        <w:outlineLvl w:val="0"/>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Visos pagalbinės medžiagos išvardytos 6.1 skyriuje.</w:t>
      </w:r>
    </w:p>
    <w:p w14:paraId="50BC722E" w14:textId="77777777" w:rsidR="00A924B0" w:rsidRPr="00C65653" w:rsidRDefault="00A924B0" w:rsidP="00A924B0">
      <w:pPr>
        <w:tabs>
          <w:tab w:val="left" w:pos="567"/>
        </w:tabs>
        <w:rPr>
          <w:rFonts w:eastAsia="Times New Roman" w:cs="Times New Roman"/>
          <w:noProof/>
          <w:sz w:val="22"/>
          <w:szCs w:val="22"/>
          <w:lang w:val="lt-LT" w:eastAsia="lt-LT" w:bidi="lt-LT"/>
        </w:rPr>
      </w:pPr>
    </w:p>
    <w:p w14:paraId="27430986"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51D12F8C" w14:textId="77777777" w:rsidR="00612A8E" w:rsidRPr="00997273" w:rsidRDefault="00612A8E" w:rsidP="00612A8E">
      <w:pPr>
        <w:keepNext/>
        <w:numPr>
          <w:ilvl w:val="0"/>
          <w:numId w:val="25"/>
        </w:numPr>
        <w:tabs>
          <w:tab w:val="left" w:pos="567"/>
        </w:tabs>
        <w:suppressAutoHyphens/>
        <w:spacing w:line="260" w:lineRule="exact"/>
        <w:rPr>
          <w:rFonts w:eastAsia="Times New Roman" w:cs="Times New Roman"/>
          <w:caps/>
          <w:noProof/>
          <w:sz w:val="22"/>
          <w:szCs w:val="22"/>
          <w:lang w:val="lt-LT" w:eastAsia="lt-LT" w:bidi="lt-LT"/>
        </w:rPr>
      </w:pPr>
      <w:r w:rsidRPr="00997273">
        <w:rPr>
          <w:rFonts w:eastAsia="Times New Roman" w:cs="Times New Roman"/>
          <w:b/>
          <w:noProof/>
          <w:sz w:val="22"/>
          <w:szCs w:val="22"/>
          <w:lang w:val="lt-LT" w:eastAsia="lt-LT" w:bidi="lt-LT"/>
        </w:rPr>
        <w:t>FARMACINĖ FORMA</w:t>
      </w:r>
    </w:p>
    <w:p w14:paraId="6119EDD7"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3AC64518" w14:textId="5D91D008" w:rsidR="00612A8E" w:rsidRPr="00997273" w:rsidRDefault="00612A8E" w:rsidP="00612A8E">
      <w:pPr>
        <w:autoSpaceDE w:val="0"/>
        <w:autoSpaceDN w:val="0"/>
        <w:adjustRightInd w:val="0"/>
        <w:rPr>
          <w:rFonts w:cs="Times New Roman"/>
          <w:sz w:val="22"/>
          <w:szCs w:val="22"/>
          <w:lang w:val="lt-LT" w:eastAsia="en-US"/>
        </w:rPr>
      </w:pPr>
      <w:r w:rsidRPr="00997273">
        <w:rPr>
          <w:rFonts w:cs="Times New Roman"/>
          <w:sz w:val="22"/>
          <w:szCs w:val="22"/>
          <w:lang w:val="lt-LT" w:eastAsia="en-US"/>
        </w:rPr>
        <w:t>Plėvele dengta tabletė</w:t>
      </w:r>
      <w:r w:rsidR="00AE2AD2">
        <w:rPr>
          <w:rFonts w:cs="Times New Roman"/>
          <w:sz w:val="22"/>
          <w:szCs w:val="22"/>
          <w:lang w:val="lt-LT" w:eastAsia="en-US"/>
        </w:rPr>
        <w:t xml:space="preserve"> (tabletė)</w:t>
      </w:r>
      <w:r w:rsidRPr="00997273">
        <w:rPr>
          <w:rFonts w:cs="Times New Roman"/>
          <w:sz w:val="22"/>
          <w:szCs w:val="22"/>
          <w:lang w:val="lt-LT" w:eastAsia="en-US"/>
        </w:rPr>
        <w:t>.</w:t>
      </w:r>
    </w:p>
    <w:p w14:paraId="63558A73" w14:textId="77777777" w:rsidR="005F4927" w:rsidRPr="00997273" w:rsidRDefault="005F4927" w:rsidP="00612A8E">
      <w:pPr>
        <w:tabs>
          <w:tab w:val="left" w:pos="567"/>
        </w:tabs>
        <w:rPr>
          <w:rFonts w:cs="Times New Roman"/>
          <w:sz w:val="22"/>
          <w:szCs w:val="22"/>
          <w:lang w:val="lt-LT" w:eastAsia="en-US"/>
        </w:rPr>
      </w:pPr>
    </w:p>
    <w:p w14:paraId="7B3EA452" w14:textId="245BE233" w:rsidR="007D5024" w:rsidRPr="00AE2AD2" w:rsidRDefault="00AE2AD2" w:rsidP="00297C23">
      <w:pPr>
        <w:widowControl w:val="0"/>
        <w:tabs>
          <w:tab w:val="left" w:pos="567"/>
        </w:tabs>
        <w:rPr>
          <w:rFonts w:cs="Times New Roman"/>
          <w:sz w:val="22"/>
          <w:szCs w:val="22"/>
          <w:lang w:val="lt-LT" w:eastAsia="en-US"/>
        </w:rPr>
      </w:pPr>
      <w:proofErr w:type="spellStart"/>
      <w:r w:rsidRPr="00AE2AD2">
        <w:rPr>
          <w:rFonts w:eastAsia="Times New Roman" w:cs="Times New Roman"/>
          <w:bCs/>
          <w:sz w:val="22"/>
          <w:szCs w:val="22"/>
          <w:lang w:val="lt-LT" w:eastAsia="lt-LT" w:bidi="lt-LT"/>
        </w:rPr>
        <w:t>Meliglix</w:t>
      </w:r>
      <w:proofErr w:type="spellEnd"/>
      <w:r w:rsidR="00CC5F47" w:rsidRPr="00AE2AD2">
        <w:rPr>
          <w:rFonts w:eastAsia="Times New Roman" w:cs="Times New Roman"/>
          <w:bCs/>
          <w:sz w:val="22"/>
          <w:szCs w:val="22"/>
          <w:lang w:val="lt-LT" w:eastAsia="lt-LT" w:bidi="lt-LT"/>
        </w:rPr>
        <w:t xml:space="preserve"> 25 mg</w:t>
      </w:r>
      <w:r>
        <w:rPr>
          <w:rFonts w:eastAsia="Times New Roman" w:cs="Times New Roman"/>
          <w:bCs/>
          <w:sz w:val="22"/>
          <w:szCs w:val="22"/>
          <w:lang w:val="lt-LT" w:eastAsia="lt-LT" w:bidi="lt-LT"/>
        </w:rPr>
        <w:t>:</w:t>
      </w:r>
      <w:r>
        <w:rPr>
          <w:rFonts w:cs="Times New Roman"/>
          <w:sz w:val="22"/>
          <w:szCs w:val="22"/>
          <w:lang w:val="lt-LT" w:eastAsia="en-US"/>
        </w:rPr>
        <w:t xml:space="preserve"> r</w:t>
      </w:r>
      <w:r w:rsidR="00F60957" w:rsidRPr="00AE2AD2">
        <w:rPr>
          <w:rFonts w:cs="Times New Roman"/>
          <w:sz w:val="22"/>
          <w:szCs w:val="22"/>
          <w:lang w:val="lt-LT" w:eastAsia="en-US"/>
        </w:rPr>
        <w:t>ausva, apvali</w:t>
      </w:r>
      <w:r w:rsidR="00296317" w:rsidRPr="00AE2AD2">
        <w:rPr>
          <w:rFonts w:cs="Times New Roman"/>
          <w:sz w:val="22"/>
          <w:szCs w:val="22"/>
          <w:lang w:val="lt-LT" w:eastAsia="en-US"/>
        </w:rPr>
        <w:t xml:space="preserve"> 6,</w:t>
      </w:r>
      <w:r>
        <w:rPr>
          <w:rFonts w:cs="Times New Roman"/>
          <w:sz w:val="22"/>
          <w:szCs w:val="22"/>
          <w:lang w:val="lt-LT" w:eastAsia="en-US"/>
        </w:rPr>
        <w:t>1</w:t>
      </w:r>
      <w:r w:rsidR="00296317" w:rsidRPr="00AE2AD2">
        <w:rPr>
          <w:rFonts w:cs="Times New Roman"/>
          <w:sz w:val="22"/>
          <w:szCs w:val="22"/>
          <w:lang w:val="lt-LT" w:eastAsia="en-US"/>
        </w:rPr>
        <w:t> mm skersmens</w:t>
      </w:r>
      <w:r w:rsidR="007D5024" w:rsidRPr="00AE2AD2">
        <w:rPr>
          <w:rFonts w:cs="Times New Roman"/>
          <w:sz w:val="22"/>
          <w:szCs w:val="22"/>
          <w:lang w:val="lt-LT" w:eastAsia="en-US"/>
        </w:rPr>
        <w:t xml:space="preserve"> plėvele dengta tabletė</w:t>
      </w:r>
      <w:r w:rsidR="00296317" w:rsidRPr="00AE2AD2">
        <w:rPr>
          <w:rFonts w:cs="Times New Roman"/>
          <w:sz w:val="22"/>
          <w:szCs w:val="22"/>
          <w:lang w:val="lt-LT" w:eastAsia="en-US"/>
        </w:rPr>
        <w:t>, kurios</w:t>
      </w:r>
      <w:r w:rsidR="007D5024" w:rsidRPr="00AE2AD2">
        <w:rPr>
          <w:rFonts w:cs="Times New Roman"/>
          <w:sz w:val="22"/>
          <w:szCs w:val="22"/>
          <w:lang w:val="lt-LT" w:eastAsia="en-US"/>
        </w:rPr>
        <w:t xml:space="preserve"> vienoje pusėje yra įspaudas „2</w:t>
      </w:r>
      <w:r w:rsidR="00296317" w:rsidRPr="00AE2AD2">
        <w:rPr>
          <w:rFonts w:cs="Times New Roman"/>
          <w:sz w:val="22"/>
          <w:szCs w:val="22"/>
          <w:lang w:val="lt-LT" w:eastAsia="en-US"/>
        </w:rPr>
        <w:t>5</w:t>
      </w:r>
      <w:r w:rsidR="007D5024" w:rsidRPr="00AE2AD2">
        <w:rPr>
          <w:rFonts w:cs="Times New Roman"/>
          <w:sz w:val="22"/>
          <w:szCs w:val="22"/>
          <w:lang w:val="lt-LT" w:eastAsia="en-US"/>
        </w:rPr>
        <w:t>“</w:t>
      </w:r>
      <w:r>
        <w:rPr>
          <w:rFonts w:cs="Times New Roman"/>
          <w:sz w:val="22"/>
          <w:szCs w:val="22"/>
          <w:lang w:val="lt-LT" w:eastAsia="en-US"/>
        </w:rPr>
        <w:t>, o kita pusė lygi</w:t>
      </w:r>
      <w:r w:rsidR="007D5024" w:rsidRPr="00AE2AD2">
        <w:rPr>
          <w:rFonts w:cs="Times New Roman"/>
          <w:sz w:val="22"/>
          <w:szCs w:val="22"/>
          <w:lang w:val="lt-LT" w:eastAsia="en-US"/>
        </w:rPr>
        <w:t>.</w:t>
      </w:r>
    </w:p>
    <w:p w14:paraId="0A187919" w14:textId="79B04B1E" w:rsidR="00612A8E" w:rsidRPr="00036BBD" w:rsidRDefault="00612A8E" w:rsidP="00612A8E">
      <w:pPr>
        <w:tabs>
          <w:tab w:val="left" w:pos="567"/>
        </w:tabs>
        <w:rPr>
          <w:rFonts w:cs="Times New Roman"/>
          <w:sz w:val="22"/>
          <w:szCs w:val="22"/>
          <w:lang w:val="lt-LT" w:eastAsia="en-US"/>
        </w:rPr>
      </w:pPr>
    </w:p>
    <w:p w14:paraId="39DC3E02" w14:textId="1A03CC36" w:rsidR="007C7569" w:rsidRPr="00AE2AD2" w:rsidRDefault="00AE2AD2" w:rsidP="00297C23">
      <w:pPr>
        <w:widowControl w:val="0"/>
        <w:tabs>
          <w:tab w:val="left" w:pos="567"/>
        </w:tabs>
        <w:rPr>
          <w:rFonts w:cs="Times New Roman"/>
          <w:sz w:val="22"/>
          <w:szCs w:val="22"/>
          <w:lang w:val="lt-LT" w:eastAsia="en-US"/>
        </w:rPr>
      </w:pPr>
      <w:proofErr w:type="spellStart"/>
      <w:r w:rsidRPr="00AE2AD2">
        <w:rPr>
          <w:rFonts w:eastAsia="Times New Roman" w:cs="Times New Roman"/>
          <w:bCs/>
          <w:sz w:val="22"/>
          <w:szCs w:val="22"/>
          <w:lang w:val="lt-LT" w:eastAsia="lt-LT" w:bidi="lt-LT"/>
        </w:rPr>
        <w:t>Meliglix</w:t>
      </w:r>
      <w:proofErr w:type="spellEnd"/>
      <w:r w:rsidR="007C7569" w:rsidRPr="00AE2AD2">
        <w:rPr>
          <w:rFonts w:eastAsia="Times New Roman" w:cs="Times New Roman"/>
          <w:bCs/>
          <w:sz w:val="22"/>
          <w:szCs w:val="22"/>
          <w:lang w:val="lt-LT" w:eastAsia="lt-LT" w:bidi="lt-LT"/>
        </w:rPr>
        <w:t xml:space="preserve"> 50 mg</w:t>
      </w:r>
      <w:r>
        <w:rPr>
          <w:rFonts w:eastAsia="Times New Roman" w:cs="Times New Roman"/>
          <w:bCs/>
          <w:sz w:val="22"/>
          <w:szCs w:val="22"/>
          <w:lang w:val="lt-LT" w:eastAsia="lt-LT" w:bidi="lt-LT"/>
        </w:rPr>
        <w:t>:</w:t>
      </w:r>
      <w:r>
        <w:rPr>
          <w:rFonts w:cs="Times New Roman"/>
          <w:sz w:val="22"/>
          <w:szCs w:val="22"/>
          <w:lang w:val="lt-LT" w:eastAsia="en-US"/>
        </w:rPr>
        <w:t xml:space="preserve"> š</w:t>
      </w:r>
      <w:r w:rsidR="00CF5356" w:rsidRPr="00AE2AD2">
        <w:rPr>
          <w:rFonts w:cs="Times New Roman"/>
          <w:sz w:val="22"/>
          <w:szCs w:val="22"/>
          <w:lang w:val="lt-LT" w:eastAsia="en-US"/>
        </w:rPr>
        <w:t>viesiai r</w:t>
      </w:r>
      <w:r w:rsidR="007C7569" w:rsidRPr="00AE2AD2">
        <w:rPr>
          <w:rFonts w:cs="Times New Roman"/>
          <w:sz w:val="22"/>
          <w:szCs w:val="22"/>
          <w:lang w:val="lt-LT" w:eastAsia="en-US"/>
        </w:rPr>
        <w:t xml:space="preserve">ausva, apvali </w:t>
      </w:r>
      <w:r w:rsidR="004D56DB" w:rsidRPr="00AE2AD2">
        <w:rPr>
          <w:rFonts w:cs="Times New Roman"/>
          <w:sz w:val="22"/>
          <w:szCs w:val="22"/>
          <w:lang w:val="lt-LT" w:eastAsia="en-US"/>
        </w:rPr>
        <w:t>8</w:t>
      </w:r>
      <w:r w:rsidR="007C7569" w:rsidRPr="00AE2AD2">
        <w:rPr>
          <w:rFonts w:cs="Times New Roman"/>
          <w:sz w:val="22"/>
          <w:szCs w:val="22"/>
          <w:lang w:val="lt-LT" w:eastAsia="en-US"/>
        </w:rPr>
        <w:t>,</w:t>
      </w:r>
      <w:r>
        <w:rPr>
          <w:rFonts w:cs="Times New Roman"/>
          <w:sz w:val="22"/>
          <w:szCs w:val="22"/>
          <w:lang w:val="lt-LT" w:eastAsia="en-US"/>
        </w:rPr>
        <w:t>1</w:t>
      </w:r>
      <w:r w:rsidR="007C7569" w:rsidRPr="00AE2AD2">
        <w:rPr>
          <w:rFonts w:cs="Times New Roman"/>
          <w:sz w:val="22"/>
          <w:szCs w:val="22"/>
          <w:lang w:val="lt-LT" w:eastAsia="en-US"/>
        </w:rPr>
        <w:t> mm skersmens plėvele dengta tabletė, kurios vienoje pusėje yra įspaudas „</w:t>
      </w:r>
      <w:r w:rsidR="004D56DB" w:rsidRPr="00AE2AD2">
        <w:rPr>
          <w:rFonts w:cs="Times New Roman"/>
          <w:sz w:val="22"/>
          <w:szCs w:val="22"/>
          <w:lang w:val="lt-LT" w:eastAsia="en-US"/>
        </w:rPr>
        <w:t>50</w:t>
      </w:r>
      <w:r w:rsidR="007C7569" w:rsidRPr="00AE2AD2">
        <w:rPr>
          <w:rFonts w:cs="Times New Roman"/>
          <w:sz w:val="22"/>
          <w:szCs w:val="22"/>
          <w:lang w:val="lt-LT" w:eastAsia="en-US"/>
        </w:rPr>
        <w:t>“</w:t>
      </w:r>
      <w:r>
        <w:rPr>
          <w:rFonts w:cs="Times New Roman"/>
          <w:sz w:val="22"/>
          <w:szCs w:val="22"/>
          <w:lang w:val="lt-LT" w:eastAsia="en-US"/>
        </w:rPr>
        <w:t>, o kita pusė lygi</w:t>
      </w:r>
      <w:r w:rsidR="007C7569" w:rsidRPr="00AE2AD2">
        <w:rPr>
          <w:rFonts w:cs="Times New Roman"/>
          <w:sz w:val="22"/>
          <w:szCs w:val="22"/>
          <w:lang w:val="lt-LT" w:eastAsia="en-US"/>
        </w:rPr>
        <w:t>.</w:t>
      </w:r>
    </w:p>
    <w:p w14:paraId="67EA580C" w14:textId="77777777" w:rsidR="00CC5F47" w:rsidRPr="00036BBD" w:rsidRDefault="00CC5F47" w:rsidP="00D73B1C">
      <w:pPr>
        <w:tabs>
          <w:tab w:val="left" w:pos="567"/>
        </w:tabs>
        <w:rPr>
          <w:rFonts w:cs="Times New Roman"/>
          <w:sz w:val="22"/>
          <w:szCs w:val="22"/>
          <w:lang w:val="lt-LT" w:eastAsia="en-US"/>
        </w:rPr>
      </w:pPr>
    </w:p>
    <w:p w14:paraId="6B649A2D" w14:textId="02905E41" w:rsidR="00C824E9" w:rsidRPr="00AE2AD2" w:rsidRDefault="00AE2AD2" w:rsidP="00297C23">
      <w:pPr>
        <w:widowControl w:val="0"/>
        <w:tabs>
          <w:tab w:val="left" w:pos="567"/>
        </w:tabs>
        <w:rPr>
          <w:rFonts w:cs="Times New Roman"/>
          <w:sz w:val="22"/>
          <w:szCs w:val="22"/>
          <w:lang w:val="lt-LT" w:eastAsia="en-US"/>
        </w:rPr>
      </w:pPr>
      <w:proofErr w:type="spellStart"/>
      <w:r w:rsidRPr="00AE2AD2">
        <w:rPr>
          <w:rFonts w:eastAsia="Times New Roman" w:cs="Times New Roman"/>
          <w:bCs/>
          <w:sz w:val="22"/>
          <w:szCs w:val="22"/>
          <w:lang w:val="lt-LT" w:eastAsia="lt-LT" w:bidi="lt-LT"/>
        </w:rPr>
        <w:t>Meliglix</w:t>
      </w:r>
      <w:proofErr w:type="spellEnd"/>
      <w:r w:rsidR="00C824E9" w:rsidRPr="00AE2AD2">
        <w:rPr>
          <w:rFonts w:eastAsia="Times New Roman" w:cs="Times New Roman"/>
          <w:bCs/>
          <w:sz w:val="22"/>
          <w:szCs w:val="22"/>
          <w:lang w:val="lt-LT" w:eastAsia="lt-LT" w:bidi="lt-LT"/>
        </w:rPr>
        <w:t xml:space="preserve"> 100 mg</w:t>
      </w:r>
      <w:r>
        <w:rPr>
          <w:rFonts w:eastAsia="Times New Roman" w:cs="Times New Roman"/>
          <w:bCs/>
          <w:sz w:val="22"/>
          <w:szCs w:val="22"/>
          <w:lang w:val="lt-LT" w:eastAsia="lt-LT" w:bidi="lt-LT"/>
        </w:rPr>
        <w:t>:</w:t>
      </w:r>
      <w:r>
        <w:rPr>
          <w:rFonts w:cs="Times New Roman"/>
          <w:sz w:val="22"/>
          <w:szCs w:val="22"/>
          <w:lang w:val="lt-LT" w:eastAsia="en-US"/>
        </w:rPr>
        <w:t xml:space="preserve"> š</w:t>
      </w:r>
      <w:r w:rsidR="00C824E9" w:rsidRPr="00AE2AD2">
        <w:rPr>
          <w:rFonts w:cs="Times New Roman"/>
          <w:sz w:val="22"/>
          <w:szCs w:val="22"/>
          <w:lang w:val="lt-LT" w:eastAsia="en-US"/>
        </w:rPr>
        <w:t>viesiai r</w:t>
      </w:r>
      <w:r w:rsidR="00D42C9D" w:rsidRPr="00AE2AD2">
        <w:rPr>
          <w:rFonts w:cs="Times New Roman"/>
          <w:sz w:val="22"/>
          <w:szCs w:val="22"/>
          <w:lang w:val="lt-LT" w:eastAsia="en-US"/>
        </w:rPr>
        <w:t>uda</w:t>
      </w:r>
      <w:r w:rsidR="00C824E9" w:rsidRPr="00AE2AD2">
        <w:rPr>
          <w:rFonts w:cs="Times New Roman"/>
          <w:sz w:val="22"/>
          <w:szCs w:val="22"/>
          <w:lang w:val="lt-LT" w:eastAsia="en-US"/>
        </w:rPr>
        <w:t xml:space="preserve">, apvali </w:t>
      </w:r>
      <w:r w:rsidR="001B7646" w:rsidRPr="00AE2AD2">
        <w:rPr>
          <w:rFonts w:cs="Times New Roman"/>
          <w:sz w:val="22"/>
          <w:szCs w:val="22"/>
          <w:lang w:val="lt-LT" w:eastAsia="en-US"/>
        </w:rPr>
        <w:t>10</w:t>
      </w:r>
      <w:r w:rsidR="00C824E9" w:rsidRPr="00AE2AD2">
        <w:rPr>
          <w:rFonts w:cs="Times New Roman"/>
          <w:sz w:val="22"/>
          <w:szCs w:val="22"/>
          <w:lang w:val="lt-LT" w:eastAsia="en-US"/>
        </w:rPr>
        <w:t>,</w:t>
      </w:r>
      <w:r>
        <w:rPr>
          <w:rFonts w:cs="Times New Roman"/>
          <w:sz w:val="22"/>
          <w:szCs w:val="22"/>
          <w:lang w:val="lt-LT" w:eastAsia="en-US"/>
        </w:rPr>
        <w:t>1</w:t>
      </w:r>
      <w:r w:rsidR="00C824E9" w:rsidRPr="00AE2AD2">
        <w:rPr>
          <w:rFonts w:cs="Times New Roman"/>
          <w:sz w:val="22"/>
          <w:szCs w:val="22"/>
          <w:lang w:val="lt-LT" w:eastAsia="en-US"/>
        </w:rPr>
        <w:t> mm skersmens plėvele dengta tabletė, kurios vienoje pusėje yra įspaudas „</w:t>
      </w:r>
      <w:r w:rsidR="001B7646" w:rsidRPr="00AE2AD2">
        <w:rPr>
          <w:rFonts w:cs="Times New Roman"/>
          <w:sz w:val="22"/>
          <w:szCs w:val="22"/>
          <w:lang w:val="lt-LT" w:eastAsia="en-US"/>
        </w:rPr>
        <w:t>10</w:t>
      </w:r>
      <w:r w:rsidR="00C824E9" w:rsidRPr="00AE2AD2">
        <w:rPr>
          <w:rFonts w:cs="Times New Roman"/>
          <w:sz w:val="22"/>
          <w:szCs w:val="22"/>
          <w:lang w:val="lt-LT" w:eastAsia="en-US"/>
        </w:rPr>
        <w:t>0“</w:t>
      </w:r>
      <w:r w:rsidR="00036BBD">
        <w:rPr>
          <w:rFonts w:cs="Times New Roman"/>
          <w:sz w:val="22"/>
          <w:szCs w:val="22"/>
          <w:lang w:val="lt-LT" w:eastAsia="en-US"/>
        </w:rPr>
        <w:t>, o kita pusė lygi</w:t>
      </w:r>
      <w:r w:rsidR="00C824E9" w:rsidRPr="00AE2AD2">
        <w:rPr>
          <w:rFonts w:cs="Times New Roman"/>
          <w:sz w:val="22"/>
          <w:szCs w:val="22"/>
          <w:lang w:val="lt-LT" w:eastAsia="en-US"/>
        </w:rPr>
        <w:t>.</w:t>
      </w:r>
    </w:p>
    <w:p w14:paraId="5CECBEC2"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015EF53E"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32F2FA0E" w14:textId="77777777" w:rsidR="00612A8E" w:rsidRPr="00997273" w:rsidRDefault="00612A8E" w:rsidP="00612A8E">
      <w:pPr>
        <w:keepNext/>
        <w:numPr>
          <w:ilvl w:val="0"/>
          <w:numId w:val="25"/>
        </w:numPr>
        <w:tabs>
          <w:tab w:val="left" w:pos="567"/>
        </w:tabs>
        <w:suppressAutoHyphens/>
        <w:spacing w:line="260" w:lineRule="exact"/>
        <w:rPr>
          <w:rFonts w:eastAsia="Times New Roman" w:cs="Times New Roman"/>
          <w:caps/>
          <w:noProof/>
          <w:sz w:val="22"/>
          <w:szCs w:val="22"/>
          <w:lang w:val="lt-LT" w:eastAsia="lt-LT" w:bidi="lt-LT"/>
        </w:rPr>
      </w:pPr>
      <w:r w:rsidRPr="00997273">
        <w:rPr>
          <w:rFonts w:eastAsia="Times New Roman" w:cs="Times New Roman"/>
          <w:b/>
          <w:noProof/>
          <w:sz w:val="22"/>
          <w:szCs w:val="22"/>
          <w:lang w:val="lt-LT" w:eastAsia="lt-LT" w:bidi="lt-LT"/>
        </w:rPr>
        <w:t>KLINIKINĖ INFORMACIJA</w:t>
      </w:r>
    </w:p>
    <w:p w14:paraId="2E6FBD36"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0FBA8298" w14:textId="77777777" w:rsidR="00612A8E" w:rsidRPr="0099727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Terapinės indikacijos</w:t>
      </w:r>
    </w:p>
    <w:p w14:paraId="0130C55F" w14:textId="77777777" w:rsidR="00F617AD" w:rsidRPr="00997273" w:rsidRDefault="00F617AD" w:rsidP="00612A8E">
      <w:pPr>
        <w:autoSpaceDE w:val="0"/>
        <w:autoSpaceDN w:val="0"/>
        <w:adjustRightInd w:val="0"/>
        <w:rPr>
          <w:rFonts w:cs="Times New Roman"/>
          <w:i/>
          <w:sz w:val="22"/>
          <w:szCs w:val="22"/>
          <w:lang w:val="lt-LT" w:eastAsia="en-US"/>
        </w:rPr>
      </w:pPr>
    </w:p>
    <w:p w14:paraId="17F9310A" w14:textId="77777777" w:rsidR="001C521D" w:rsidRDefault="00AE2AD2" w:rsidP="00612A8E">
      <w:pPr>
        <w:autoSpaceDE w:val="0"/>
        <w:autoSpaceDN w:val="0"/>
        <w:adjustRightInd w:val="0"/>
        <w:rPr>
          <w:rFonts w:cs="Times New Roman"/>
          <w:iCs/>
          <w:sz w:val="22"/>
          <w:szCs w:val="22"/>
          <w:lang w:val="lt-LT" w:eastAsia="en-US"/>
        </w:rPr>
      </w:pPr>
      <w:proofErr w:type="spellStart"/>
      <w:r>
        <w:rPr>
          <w:rFonts w:eastAsia="Times New Roman" w:cs="Times New Roman"/>
          <w:iCs/>
          <w:sz w:val="22"/>
          <w:szCs w:val="22"/>
          <w:lang w:val="lt-LT" w:eastAsia="lt-LT" w:bidi="lt-LT"/>
        </w:rPr>
        <w:t>Meliglix</w:t>
      </w:r>
      <w:proofErr w:type="spellEnd"/>
      <w:r w:rsidR="0090789D" w:rsidRPr="0082003F">
        <w:rPr>
          <w:rFonts w:eastAsia="Times New Roman" w:cs="Times New Roman"/>
          <w:iCs/>
          <w:sz w:val="22"/>
          <w:szCs w:val="22"/>
          <w:lang w:val="lt-LT" w:eastAsia="lt-LT" w:bidi="lt-LT"/>
        </w:rPr>
        <w:t xml:space="preserve"> skirtas </w:t>
      </w:r>
      <w:r w:rsidR="00CD51E3" w:rsidRPr="0082003F">
        <w:rPr>
          <w:rFonts w:cs="Times New Roman"/>
          <w:iCs/>
          <w:sz w:val="22"/>
          <w:szCs w:val="22"/>
          <w:lang w:val="lt-LT" w:eastAsia="en-US"/>
        </w:rPr>
        <w:t>2</w:t>
      </w:r>
      <w:r w:rsidR="00612A8E" w:rsidRPr="0082003F">
        <w:rPr>
          <w:rFonts w:cs="Times New Roman"/>
          <w:iCs/>
          <w:sz w:val="22"/>
          <w:szCs w:val="22"/>
          <w:lang w:val="lt-LT" w:eastAsia="en-US"/>
        </w:rPr>
        <w:t xml:space="preserve"> tipo cukriniu diabetu sergan</w:t>
      </w:r>
      <w:r w:rsidR="0090789D" w:rsidRPr="0082003F">
        <w:rPr>
          <w:rFonts w:cs="Times New Roman"/>
          <w:iCs/>
          <w:sz w:val="22"/>
          <w:szCs w:val="22"/>
          <w:lang w:val="lt-LT" w:eastAsia="en-US"/>
        </w:rPr>
        <w:t>čių</w:t>
      </w:r>
      <w:r w:rsidR="00612A8E" w:rsidRPr="0082003F">
        <w:rPr>
          <w:rFonts w:cs="Times New Roman"/>
          <w:iCs/>
          <w:sz w:val="22"/>
          <w:szCs w:val="22"/>
          <w:lang w:val="lt-LT" w:eastAsia="en-US"/>
        </w:rPr>
        <w:t xml:space="preserve"> suaugusi</w:t>
      </w:r>
      <w:r w:rsidR="0090789D" w:rsidRPr="0082003F">
        <w:rPr>
          <w:rFonts w:cs="Times New Roman"/>
          <w:iCs/>
          <w:sz w:val="22"/>
          <w:szCs w:val="22"/>
          <w:lang w:val="lt-LT" w:eastAsia="en-US"/>
        </w:rPr>
        <w:t>ų</w:t>
      </w:r>
      <w:r w:rsidR="00612A8E" w:rsidRPr="0082003F">
        <w:rPr>
          <w:rFonts w:cs="Times New Roman"/>
          <w:iCs/>
          <w:sz w:val="22"/>
          <w:szCs w:val="22"/>
          <w:lang w:val="lt-LT" w:eastAsia="en-US"/>
        </w:rPr>
        <w:t xml:space="preserve"> pacient</w:t>
      </w:r>
      <w:r w:rsidR="0090789D" w:rsidRPr="0082003F">
        <w:rPr>
          <w:rFonts w:cs="Times New Roman"/>
          <w:iCs/>
          <w:sz w:val="22"/>
          <w:szCs w:val="22"/>
          <w:lang w:val="lt-LT" w:eastAsia="en-US"/>
        </w:rPr>
        <w:t>ų</w:t>
      </w:r>
      <w:r w:rsidR="005C5D92" w:rsidRPr="0082003F">
        <w:rPr>
          <w:rFonts w:cs="Times New Roman"/>
          <w:iCs/>
          <w:sz w:val="22"/>
          <w:szCs w:val="22"/>
          <w:lang w:val="lt-LT" w:eastAsia="en-US"/>
        </w:rPr>
        <w:t xml:space="preserve"> </w:t>
      </w:r>
      <w:proofErr w:type="spellStart"/>
      <w:r w:rsidR="005C5D92" w:rsidRPr="0082003F">
        <w:rPr>
          <w:rFonts w:cs="Times New Roman"/>
          <w:iCs/>
          <w:sz w:val="22"/>
          <w:szCs w:val="22"/>
          <w:lang w:val="lt-LT" w:eastAsia="en-US"/>
        </w:rPr>
        <w:t>glikemijos</w:t>
      </w:r>
      <w:proofErr w:type="spellEnd"/>
      <w:r w:rsidR="005C5D92" w:rsidRPr="0082003F">
        <w:rPr>
          <w:rFonts w:cs="Times New Roman"/>
          <w:iCs/>
          <w:sz w:val="22"/>
          <w:szCs w:val="22"/>
          <w:lang w:val="lt-LT" w:eastAsia="en-US"/>
        </w:rPr>
        <w:t xml:space="preserve"> </w:t>
      </w:r>
      <w:r w:rsidR="003C793D">
        <w:rPr>
          <w:rFonts w:cs="Times New Roman"/>
          <w:iCs/>
          <w:sz w:val="22"/>
          <w:szCs w:val="22"/>
          <w:lang w:val="lt-LT" w:eastAsia="en-US"/>
        </w:rPr>
        <w:t>sureguliavimui</w:t>
      </w:r>
      <w:r w:rsidR="003C793D" w:rsidRPr="0082003F">
        <w:rPr>
          <w:rFonts w:cs="Times New Roman"/>
          <w:iCs/>
          <w:sz w:val="22"/>
          <w:szCs w:val="22"/>
          <w:lang w:val="lt-LT" w:eastAsia="en-US"/>
        </w:rPr>
        <w:t xml:space="preserve"> </w:t>
      </w:r>
      <w:r w:rsidR="005C5D92" w:rsidRPr="0082003F">
        <w:rPr>
          <w:rFonts w:cs="Times New Roman"/>
          <w:iCs/>
          <w:sz w:val="22"/>
          <w:szCs w:val="22"/>
          <w:lang w:val="lt-LT" w:eastAsia="en-US"/>
        </w:rPr>
        <w:t>pagerinti</w:t>
      </w:r>
      <w:r w:rsidR="0090789D" w:rsidRPr="0082003F">
        <w:rPr>
          <w:rFonts w:cs="Times New Roman"/>
          <w:iCs/>
          <w:sz w:val="22"/>
          <w:szCs w:val="22"/>
          <w:lang w:val="lt-LT" w:eastAsia="en-US"/>
        </w:rPr>
        <w:t>.</w:t>
      </w:r>
    </w:p>
    <w:p w14:paraId="4DD593B1" w14:textId="769F78D3" w:rsidR="005C5D92" w:rsidRPr="00997273" w:rsidRDefault="005C5D92" w:rsidP="00612A8E">
      <w:pPr>
        <w:autoSpaceDE w:val="0"/>
        <w:autoSpaceDN w:val="0"/>
        <w:adjustRightInd w:val="0"/>
        <w:rPr>
          <w:rFonts w:cs="Times New Roman"/>
          <w:sz w:val="22"/>
          <w:szCs w:val="22"/>
          <w:lang w:val="lt-LT" w:eastAsia="en-US"/>
        </w:rPr>
      </w:pPr>
      <w:proofErr w:type="spellStart"/>
      <w:r w:rsidRPr="00997273">
        <w:rPr>
          <w:rFonts w:cs="Times New Roman"/>
          <w:sz w:val="22"/>
          <w:szCs w:val="22"/>
          <w:lang w:val="lt-LT" w:eastAsia="en-US"/>
        </w:rPr>
        <w:t>Monoterapija</w:t>
      </w:r>
      <w:proofErr w:type="spellEnd"/>
      <w:r w:rsidR="0090789D" w:rsidRPr="00997273">
        <w:rPr>
          <w:rFonts w:cs="Times New Roman"/>
          <w:sz w:val="22"/>
          <w:szCs w:val="22"/>
          <w:lang w:val="lt-LT" w:eastAsia="en-US"/>
        </w:rPr>
        <w:t>:</w:t>
      </w:r>
    </w:p>
    <w:p w14:paraId="4B3B9AB1" w14:textId="7E6AD4AC" w:rsidR="00F617AD" w:rsidRPr="00997273" w:rsidRDefault="00F617AD" w:rsidP="0024775B">
      <w:pPr>
        <w:pStyle w:val="BT-EMEASMCA"/>
        <w:numPr>
          <w:ilvl w:val="0"/>
          <w:numId w:val="50"/>
        </w:numPr>
        <w:ind w:left="567" w:hanging="567"/>
        <w:rPr>
          <w:rFonts w:cs="Times New Roman"/>
          <w:sz w:val="22"/>
          <w:szCs w:val="22"/>
          <w:lang w:val="lt-LT" w:eastAsia="en-US"/>
        </w:rPr>
      </w:pPr>
      <w:r w:rsidRPr="00997273">
        <w:rPr>
          <w:rFonts w:cs="Times New Roman"/>
          <w:sz w:val="22"/>
          <w:szCs w:val="22"/>
          <w:lang w:val="lt-LT" w:eastAsia="en-US"/>
        </w:rPr>
        <w:t xml:space="preserve">pacientams, kuriems vien tik </w:t>
      </w:r>
      <w:r w:rsidR="003C793D">
        <w:rPr>
          <w:rFonts w:cs="Times New Roman"/>
          <w:sz w:val="22"/>
          <w:szCs w:val="22"/>
          <w:lang w:val="lt-LT" w:eastAsia="en-US"/>
        </w:rPr>
        <w:t xml:space="preserve">taikant </w:t>
      </w:r>
      <w:r w:rsidRPr="00997273">
        <w:rPr>
          <w:rFonts w:cs="Times New Roman"/>
          <w:sz w:val="22"/>
          <w:szCs w:val="22"/>
          <w:lang w:val="lt-LT" w:eastAsia="en-US"/>
        </w:rPr>
        <w:t>diet</w:t>
      </w:r>
      <w:r w:rsidR="003C793D">
        <w:rPr>
          <w:rFonts w:cs="Times New Roman"/>
          <w:sz w:val="22"/>
          <w:szCs w:val="22"/>
          <w:lang w:val="lt-LT" w:eastAsia="en-US"/>
        </w:rPr>
        <w:t>ą</w:t>
      </w:r>
      <w:r w:rsidRPr="00997273">
        <w:rPr>
          <w:rFonts w:cs="Times New Roman"/>
          <w:sz w:val="22"/>
          <w:szCs w:val="22"/>
          <w:lang w:val="lt-LT" w:eastAsia="en-US"/>
        </w:rPr>
        <w:t xml:space="preserve"> ir fizin</w:t>
      </w:r>
      <w:r w:rsidR="003C793D">
        <w:rPr>
          <w:rFonts w:cs="Times New Roman"/>
          <w:sz w:val="22"/>
          <w:szCs w:val="22"/>
          <w:lang w:val="lt-LT" w:eastAsia="en-US"/>
        </w:rPr>
        <w:t>į</w:t>
      </w:r>
      <w:r w:rsidRPr="00997273">
        <w:rPr>
          <w:rFonts w:cs="Times New Roman"/>
          <w:sz w:val="22"/>
          <w:szCs w:val="22"/>
          <w:lang w:val="lt-LT" w:eastAsia="en-US"/>
        </w:rPr>
        <w:t xml:space="preserve"> </w:t>
      </w:r>
      <w:r w:rsidR="003C793D">
        <w:rPr>
          <w:rFonts w:cs="Times New Roman"/>
          <w:sz w:val="22"/>
          <w:szCs w:val="22"/>
          <w:lang w:val="lt-LT" w:eastAsia="en-US"/>
        </w:rPr>
        <w:t>krūvį</w:t>
      </w:r>
      <w:r w:rsidR="00C64AF4">
        <w:rPr>
          <w:rFonts w:cs="Times New Roman"/>
          <w:sz w:val="22"/>
          <w:szCs w:val="22"/>
          <w:lang w:val="lt-LT" w:eastAsia="en-US"/>
        </w:rPr>
        <w:t>,</w:t>
      </w:r>
      <w:r w:rsidR="003C793D">
        <w:rPr>
          <w:rFonts w:cs="Times New Roman"/>
          <w:sz w:val="22"/>
          <w:szCs w:val="22"/>
          <w:lang w:val="lt-LT" w:eastAsia="en-US"/>
        </w:rPr>
        <w:t xml:space="preserve"> </w:t>
      </w:r>
      <w:proofErr w:type="spellStart"/>
      <w:r w:rsidRPr="00997273">
        <w:rPr>
          <w:rFonts w:cs="Times New Roman"/>
          <w:sz w:val="22"/>
          <w:szCs w:val="22"/>
          <w:lang w:val="lt-LT" w:eastAsia="en-US"/>
        </w:rPr>
        <w:t>glikemijos</w:t>
      </w:r>
      <w:proofErr w:type="spellEnd"/>
      <w:r w:rsidRPr="00997273">
        <w:rPr>
          <w:rFonts w:cs="Times New Roman"/>
          <w:sz w:val="22"/>
          <w:szCs w:val="22"/>
          <w:lang w:val="lt-LT" w:eastAsia="en-US"/>
        </w:rPr>
        <w:t xml:space="preserve"> pakankamai sureguliuoti nepavyksta</w:t>
      </w:r>
      <w:r w:rsidR="009F41AD">
        <w:rPr>
          <w:rFonts w:cs="Times New Roman"/>
          <w:sz w:val="22"/>
          <w:szCs w:val="22"/>
          <w:lang w:val="lt-LT" w:eastAsia="en-US"/>
        </w:rPr>
        <w:t xml:space="preserve"> ir kuriems</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metforminas</w:t>
      </w:r>
      <w:proofErr w:type="spellEnd"/>
      <w:r w:rsidRPr="00997273">
        <w:rPr>
          <w:rFonts w:cs="Times New Roman"/>
          <w:sz w:val="22"/>
          <w:szCs w:val="22"/>
          <w:lang w:val="lt-LT" w:eastAsia="en-US"/>
        </w:rPr>
        <w:t xml:space="preserve"> netinka dėl kontraindikacijų ar netoleravimo.</w:t>
      </w:r>
    </w:p>
    <w:p w14:paraId="48AA671F" w14:textId="77777777" w:rsidR="005C5D92" w:rsidRPr="00997273" w:rsidRDefault="005C5D92" w:rsidP="00612A8E">
      <w:pPr>
        <w:autoSpaceDE w:val="0"/>
        <w:autoSpaceDN w:val="0"/>
        <w:adjustRightInd w:val="0"/>
        <w:rPr>
          <w:rFonts w:cs="Times New Roman"/>
          <w:sz w:val="22"/>
          <w:szCs w:val="22"/>
          <w:lang w:val="lt-LT" w:eastAsia="en-US"/>
        </w:rPr>
      </w:pPr>
    </w:p>
    <w:p w14:paraId="4C42DC8A" w14:textId="74E768A3" w:rsidR="00F617AD" w:rsidRPr="00997273" w:rsidRDefault="00F617AD" w:rsidP="00F617AD">
      <w:pPr>
        <w:autoSpaceDE w:val="0"/>
        <w:autoSpaceDN w:val="0"/>
        <w:adjustRightInd w:val="0"/>
        <w:rPr>
          <w:rFonts w:cs="Times New Roman"/>
          <w:sz w:val="22"/>
          <w:szCs w:val="22"/>
          <w:lang w:val="lt-LT" w:eastAsia="en-US"/>
        </w:rPr>
      </w:pPr>
      <w:r w:rsidRPr="00997273">
        <w:rPr>
          <w:rFonts w:cs="Times New Roman"/>
          <w:sz w:val="22"/>
          <w:szCs w:val="22"/>
          <w:lang w:val="lt-LT" w:eastAsia="en-US"/>
        </w:rPr>
        <w:t>Gydymas dviem geriamaisiais vaist</w:t>
      </w:r>
      <w:r w:rsidR="005C40AF" w:rsidRPr="00997273">
        <w:rPr>
          <w:rFonts w:cs="Times New Roman"/>
          <w:sz w:val="22"/>
          <w:szCs w:val="22"/>
          <w:lang w:val="lt-LT" w:eastAsia="en-US"/>
        </w:rPr>
        <w:t>iniais preparatais</w:t>
      </w:r>
      <w:r w:rsidRPr="00997273">
        <w:rPr>
          <w:rFonts w:cs="Times New Roman"/>
          <w:sz w:val="22"/>
          <w:szCs w:val="22"/>
          <w:lang w:val="lt-LT" w:eastAsia="en-US"/>
        </w:rPr>
        <w:t xml:space="preserve">, </w:t>
      </w:r>
      <w:r w:rsidR="008B66AF">
        <w:rPr>
          <w:rFonts w:cs="Times New Roman"/>
          <w:sz w:val="22"/>
          <w:szCs w:val="22"/>
          <w:lang w:val="lt-LT" w:eastAsia="en-US"/>
        </w:rPr>
        <w:t xml:space="preserve">vartojant </w:t>
      </w:r>
      <w:r w:rsidR="0090789D" w:rsidRPr="00997273">
        <w:rPr>
          <w:rFonts w:cs="Times New Roman"/>
          <w:sz w:val="22"/>
          <w:szCs w:val="22"/>
          <w:lang w:val="lt-LT" w:eastAsia="en-US"/>
        </w:rPr>
        <w:t>derin</w:t>
      </w:r>
      <w:r w:rsidR="008B66AF">
        <w:rPr>
          <w:rFonts w:cs="Times New Roman"/>
          <w:sz w:val="22"/>
          <w:szCs w:val="22"/>
          <w:lang w:val="lt-LT" w:eastAsia="en-US"/>
        </w:rPr>
        <w:t>į</w:t>
      </w:r>
      <w:r w:rsidR="0090789D" w:rsidRPr="00997273">
        <w:rPr>
          <w:rFonts w:cs="Times New Roman"/>
          <w:sz w:val="22"/>
          <w:szCs w:val="22"/>
          <w:lang w:val="lt-LT" w:eastAsia="en-US"/>
        </w:rPr>
        <w:t xml:space="preserve"> </w:t>
      </w:r>
      <w:r w:rsidRPr="00997273">
        <w:rPr>
          <w:rFonts w:cs="Times New Roman"/>
          <w:sz w:val="22"/>
          <w:szCs w:val="22"/>
          <w:lang w:val="lt-LT" w:eastAsia="en-US"/>
        </w:rPr>
        <w:t>su:</w:t>
      </w:r>
    </w:p>
    <w:p w14:paraId="3C137087" w14:textId="77777777" w:rsidR="00F617AD" w:rsidRPr="00997273" w:rsidRDefault="00F617AD" w:rsidP="00F617AD">
      <w:pPr>
        <w:autoSpaceDE w:val="0"/>
        <w:autoSpaceDN w:val="0"/>
        <w:adjustRightInd w:val="0"/>
        <w:rPr>
          <w:rFonts w:cs="Times New Roman"/>
          <w:sz w:val="22"/>
          <w:szCs w:val="22"/>
          <w:lang w:val="lt-LT" w:eastAsia="en-US"/>
        </w:rPr>
      </w:pPr>
    </w:p>
    <w:p w14:paraId="50D0AF14" w14:textId="673EA502" w:rsidR="00F617AD" w:rsidRPr="00997273" w:rsidRDefault="00F617AD" w:rsidP="0024775B">
      <w:pPr>
        <w:pStyle w:val="BT-EMEASMCA"/>
        <w:numPr>
          <w:ilvl w:val="0"/>
          <w:numId w:val="51"/>
        </w:numPr>
        <w:ind w:left="567" w:hanging="567"/>
        <w:rPr>
          <w:rFonts w:cs="Times New Roman"/>
          <w:sz w:val="22"/>
          <w:szCs w:val="22"/>
          <w:lang w:val="lt-LT" w:eastAsia="en-US"/>
        </w:rPr>
      </w:pPr>
      <w:proofErr w:type="spellStart"/>
      <w:r w:rsidRPr="00997273">
        <w:rPr>
          <w:rFonts w:cs="Times New Roman"/>
          <w:sz w:val="22"/>
          <w:szCs w:val="22"/>
          <w:lang w:val="lt-LT" w:eastAsia="en-US"/>
        </w:rPr>
        <w:t>metforminu</w:t>
      </w:r>
      <w:proofErr w:type="spellEnd"/>
      <w:r w:rsidRPr="00997273">
        <w:rPr>
          <w:rFonts w:cs="Times New Roman"/>
          <w:sz w:val="22"/>
          <w:szCs w:val="22"/>
          <w:lang w:val="lt-LT" w:eastAsia="en-US"/>
        </w:rPr>
        <w:t xml:space="preserve"> tuo atveju, jeigu</w:t>
      </w:r>
      <w:r w:rsidR="00E46AA4">
        <w:rPr>
          <w:rFonts w:cs="Times New Roman"/>
          <w:sz w:val="22"/>
          <w:szCs w:val="22"/>
          <w:lang w:val="lt-LT" w:eastAsia="en-US"/>
        </w:rPr>
        <w:t>,</w:t>
      </w:r>
      <w:r w:rsidRPr="00997273">
        <w:rPr>
          <w:rFonts w:cs="Times New Roman"/>
          <w:sz w:val="22"/>
          <w:szCs w:val="22"/>
          <w:lang w:val="lt-LT" w:eastAsia="en-US"/>
        </w:rPr>
        <w:t xml:space="preserve"> </w:t>
      </w:r>
      <w:r w:rsidR="003C793D">
        <w:rPr>
          <w:rFonts w:cs="Times New Roman"/>
          <w:sz w:val="22"/>
          <w:szCs w:val="22"/>
          <w:lang w:val="lt-LT" w:eastAsia="en-US"/>
        </w:rPr>
        <w:t>taikant</w:t>
      </w:r>
      <w:r w:rsidR="003C793D" w:rsidRPr="00997273">
        <w:rPr>
          <w:rFonts w:cs="Times New Roman"/>
          <w:sz w:val="22"/>
          <w:szCs w:val="22"/>
          <w:lang w:val="lt-LT" w:eastAsia="en-US"/>
        </w:rPr>
        <w:t xml:space="preserve"> </w:t>
      </w:r>
      <w:r w:rsidRPr="00997273">
        <w:rPr>
          <w:rFonts w:cs="Times New Roman"/>
          <w:sz w:val="22"/>
          <w:szCs w:val="22"/>
          <w:lang w:val="lt-LT" w:eastAsia="en-US"/>
        </w:rPr>
        <w:t>diet</w:t>
      </w:r>
      <w:r w:rsidR="003C793D">
        <w:rPr>
          <w:rFonts w:cs="Times New Roman"/>
          <w:sz w:val="22"/>
          <w:szCs w:val="22"/>
          <w:lang w:val="lt-LT" w:eastAsia="en-US"/>
        </w:rPr>
        <w:t>ą</w:t>
      </w:r>
      <w:r w:rsidRPr="00997273">
        <w:rPr>
          <w:rFonts w:cs="Times New Roman"/>
          <w:sz w:val="22"/>
          <w:szCs w:val="22"/>
          <w:lang w:val="lt-LT" w:eastAsia="en-US"/>
        </w:rPr>
        <w:t>, fizin</w:t>
      </w:r>
      <w:r w:rsidR="003C793D">
        <w:rPr>
          <w:rFonts w:cs="Times New Roman"/>
          <w:sz w:val="22"/>
          <w:szCs w:val="22"/>
          <w:lang w:val="lt-LT" w:eastAsia="en-US"/>
        </w:rPr>
        <w:t>į</w:t>
      </w:r>
      <w:r w:rsidRPr="00997273">
        <w:rPr>
          <w:rFonts w:cs="Times New Roman"/>
          <w:sz w:val="22"/>
          <w:szCs w:val="22"/>
          <w:lang w:val="lt-LT" w:eastAsia="en-US"/>
        </w:rPr>
        <w:t xml:space="preserve"> </w:t>
      </w:r>
      <w:r w:rsidR="003C793D">
        <w:rPr>
          <w:rFonts w:cs="Times New Roman"/>
          <w:sz w:val="22"/>
          <w:szCs w:val="22"/>
          <w:lang w:val="lt-LT" w:eastAsia="en-US"/>
        </w:rPr>
        <w:t>krūvį</w:t>
      </w:r>
      <w:r w:rsidRPr="00997273">
        <w:rPr>
          <w:rFonts w:cs="Times New Roman"/>
          <w:sz w:val="22"/>
          <w:szCs w:val="22"/>
          <w:lang w:val="lt-LT" w:eastAsia="en-US"/>
        </w:rPr>
        <w:t xml:space="preserve"> ir </w:t>
      </w:r>
      <w:r w:rsidR="009D69D2">
        <w:rPr>
          <w:rFonts w:cs="Times New Roman"/>
          <w:sz w:val="22"/>
          <w:szCs w:val="22"/>
          <w:lang w:val="lt-LT" w:eastAsia="en-US"/>
        </w:rPr>
        <w:t xml:space="preserve">gydymą </w:t>
      </w:r>
      <w:r w:rsidR="00DD31E8">
        <w:rPr>
          <w:rFonts w:cs="Times New Roman"/>
          <w:sz w:val="22"/>
          <w:szCs w:val="22"/>
          <w:lang w:val="lt-LT" w:eastAsia="en-US"/>
        </w:rPr>
        <w:t xml:space="preserve">vien </w:t>
      </w:r>
      <w:proofErr w:type="spellStart"/>
      <w:r w:rsidRPr="00997273">
        <w:rPr>
          <w:rFonts w:cs="Times New Roman"/>
          <w:sz w:val="22"/>
          <w:szCs w:val="22"/>
          <w:lang w:val="lt-LT" w:eastAsia="en-US"/>
        </w:rPr>
        <w:t>metformin</w:t>
      </w:r>
      <w:r w:rsidR="00DD31E8">
        <w:rPr>
          <w:rFonts w:cs="Times New Roman"/>
          <w:sz w:val="22"/>
          <w:szCs w:val="22"/>
          <w:lang w:val="lt-LT" w:eastAsia="en-US"/>
        </w:rPr>
        <w:t>u</w:t>
      </w:r>
      <w:proofErr w:type="spellEnd"/>
      <w:r w:rsidR="00C64AF4">
        <w:rPr>
          <w:rFonts w:cs="Times New Roman"/>
          <w:sz w:val="22"/>
          <w:szCs w:val="22"/>
          <w:lang w:val="lt-LT" w:eastAsia="en-US"/>
        </w:rPr>
        <w:t>,</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glikemijos</w:t>
      </w:r>
      <w:proofErr w:type="spellEnd"/>
      <w:r w:rsidRPr="00997273">
        <w:rPr>
          <w:rFonts w:cs="Times New Roman"/>
          <w:sz w:val="22"/>
          <w:szCs w:val="22"/>
          <w:lang w:val="lt-LT" w:eastAsia="en-US"/>
        </w:rPr>
        <w:t xml:space="preserve"> </w:t>
      </w:r>
      <w:r w:rsidR="003C793D">
        <w:rPr>
          <w:rFonts w:cs="Times New Roman"/>
          <w:sz w:val="22"/>
          <w:szCs w:val="22"/>
          <w:lang w:val="lt-LT" w:eastAsia="en-US"/>
        </w:rPr>
        <w:t>sureguliuoti</w:t>
      </w:r>
      <w:r w:rsidR="003C793D" w:rsidRPr="00997273">
        <w:rPr>
          <w:rFonts w:cs="Times New Roman"/>
          <w:sz w:val="22"/>
          <w:szCs w:val="22"/>
          <w:lang w:val="lt-LT" w:eastAsia="en-US"/>
        </w:rPr>
        <w:t xml:space="preserve"> </w:t>
      </w:r>
      <w:r w:rsidRPr="00997273">
        <w:rPr>
          <w:rFonts w:cs="Times New Roman"/>
          <w:sz w:val="22"/>
          <w:szCs w:val="22"/>
          <w:lang w:val="lt-LT" w:eastAsia="en-US"/>
        </w:rPr>
        <w:t>nepavyksta;</w:t>
      </w:r>
    </w:p>
    <w:p w14:paraId="70D96968" w14:textId="77777777" w:rsidR="00F617AD" w:rsidRPr="00997273" w:rsidRDefault="00F617AD" w:rsidP="005C40AF">
      <w:pPr>
        <w:pStyle w:val="BT-EMEASMCA"/>
        <w:numPr>
          <w:ilvl w:val="0"/>
          <w:numId w:val="0"/>
        </w:numPr>
        <w:ind w:left="567" w:hanging="567"/>
        <w:rPr>
          <w:rFonts w:cs="Times New Roman"/>
          <w:sz w:val="22"/>
          <w:szCs w:val="22"/>
          <w:lang w:val="lt-LT" w:eastAsia="en-US"/>
        </w:rPr>
      </w:pPr>
    </w:p>
    <w:p w14:paraId="5FAD9E22" w14:textId="6CFCF7C5" w:rsidR="00F617AD" w:rsidRPr="00997273" w:rsidRDefault="00F617AD" w:rsidP="0024775B">
      <w:pPr>
        <w:pStyle w:val="BT-EMEASMCA"/>
        <w:numPr>
          <w:ilvl w:val="0"/>
          <w:numId w:val="51"/>
        </w:numPr>
        <w:ind w:left="567" w:hanging="567"/>
        <w:rPr>
          <w:rFonts w:cs="Times New Roman"/>
          <w:sz w:val="22"/>
          <w:szCs w:val="22"/>
          <w:lang w:val="lt-LT" w:eastAsia="en-US"/>
        </w:rPr>
      </w:pPr>
      <w:proofErr w:type="spellStart"/>
      <w:r w:rsidRPr="00997273">
        <w:rPr>
          <w:rFonts w:cs="Times New Roman"/>
          <w:sz w:val="22"/>
          <w:szCs w:val="22"/>
          <w:lang w:val="lt-LT" w:eastAsia="en-US"/>
        </w:rPr>
        <w:t>sulfonilurėjos</w:t>
      </w:r>
      <w:proofErr w:type="spellEnd"/>
      <w:r w:rsidRPr="00997273">
        <w:rPr>
          <w:rFonts w:cs="Times New Roman"/>
          <w:sz w:val="22"/>
          <w:szCs w:val="22"/>
          <w:lang w:val="lt-LT" w:eastAsia="en-US"/>
        </w:rPr>
        <w:t xml:space="preserve"> dariniu tuo atveju, jeigu </w:t>
      </w:r>
      <w:r w:rsidR="003C793D">
        <w:rPr>
          <w:rFonts w:cs="Times New Roman"/>
          <w:sz w:val="22"/>
          <w:szCs w:val="22"/>
          <w:lang w:val="lt-LT" w:eastAsia="en-US"/>
        </w:rPr>
        <w:t>taikant</w:t>
      </w:r>
      <w:r w:rsidR="003C793D" w:rsidRPr="00997273">
        <w:rPr>
          <w:rFonts w:cs="Times New Roman"/>
          <w:sz w:val="22"/>
          <w:szCs w:val="22"/>
          <w:lang w:val="lt-LT" w:eastAsia="en-US"/>
        </w:rPr>
        <w:t xml:space="preserve"> </w:t>
      </w:r>
      <w:r w:rsidRPr="00997273">
        <w:rPr>
          <w:rFonts w:cs="Times New Roman"/>
          <w:sz w:val="22"/>
          <w:szCs w:val="22"/>
          <w:lang w:val="lt-LT" w:eastAsia="en-US"/>
        </w:rPr>
        <w:t>diet</w:t>
      </w:r>
      <w:r w:rsidR="003C793D">
        <w:rPr>
          <w:rFonts w:cs="Times New Roman"/>
          <w:sz w:val="22"/>
          <w:szCs w:val="22"/>
          <w:lang w:val="lt-LT" w:eastAsia="en-US"/>
        </w:rPr>
        <w:t>ą</w:t>
      </w:r>
      <w:r w:rsidRPr="00997273">
        <w:rPr>
          <w:rFonts w:cs="Times New Roman"/>
          <w:sz w:val="22"/>
          <w:szCs w:val="22"/>
          <w:lang w:val="lt-LT" w:eastAsia="en-US"/>
        </w:rPr>
        <w:t>, fizin</w:t>
      </w:r>
      <w:r w:rsidR="003C793D">
        <w:rPr>
          <w:rFonts w:cs="Times New Roman"/>
          <w:sz w:val="22"/>
          <w:szCs w:val="22"/>
          <w:lang w:val="lt-LT" w:eastAsia="en-US"/>
        </w:rPr>
        <w:t>į</w:t>
      </w:r>
      <w:r w:rsidRPr="00997273">
        <w:rPr>
          <w:rFonts w:cs="Times New Roman"/>
          <w:sz w:val="22"/>
          <w:szCs w:val="22"/>
          <w:lang w:val="lt-LT" w:eastAsia="en-US"/>
        </w:rPr>
        <w:t xml:space="preserve"> </w:t>
      </w:r>
      <w:r w:rsidR="003C793D">
        <w:rPr>
          <w:rFonts w:cs="Times New Roman"/>
          <w:sz w:val="22"/>
          <w:szCs w:val="22"/>
          <w:lang w:val="lt-LT" w:eastAsia="en-US"/>
        </w:rPr>
        <w:t>krūvį</w:t>
      </w:r>
      <w:r w:rsidRPr="00997273">
        <w:rPr>
          <w:rFonts w:cs="Times New Roman"/>
          <w:sz w:val="22"/>
          <w:szCs w:val="22"/>
          <w:lang w:val="lt-LT" w:eastAsia="en-US"/>
        </w:rPr>
        <w:t xml:space="preserve"> ir </w:t>
      </w:r>
      <w:r w:rsidR="009D69D2">
        <w:rPr>
          <w:rFonts w:cs="Times New Roman"/>
          <w:sz w:val="22"/>
          <w:szCs w:val="22"/>
          <w:lang w:val="lt-LT" w:eastAsia="en-US"/>
        </w:rPr>
        <w:t xml:space="preserve">gydymą </w:t>
      </w:r>
      <w:r w:rsidRPr="00997273">
        <w:rPr>
          <w:rFonts w:cs="Times New Roman"/>
          <w:sz w:val="22"/>
          <w:szCs w:val="22"/>
          <w:lang w:val="lt-LT" w:eastAsia="en-US"/>
        </w:rPr>
        <w:t>didžiausi</w:t>
      </w:r>
      <w:r w:rsidR="00EA3452">
        <w:rPr>
          <w:rFonts w:cs="Times New Roman"/>
          <w:sz w:val="22"/>
          <w:szCs w:val="22"/>
          <w:lang w:val="lt-LT" w:eastAsia="en-US"/>
        </w:rPr>
        <w:t>a</w:t>
      </w:r>
      <w:r w:rsidRPr="00997273">
        <w:rPr>
          <w:rFonts w:cs="Times New Roman"/>
          <w:sz w:val="22"/>
          <w:szCs w:val="22"/>
          <w:lang w:val="lt-LT" w:eastAsia="en-US"/>
        </w:rPr>
        <w:t xml:space="preserve"> toleruojam</w:t>
      </w:r>
      <w:r w:rsidR="00EA3452">
        <w:rPr>
          <w:rFonts w:cs="Times New Roman"/>
          <w:sz w:val="22"/>
          <w:szCs w:val="22"/>
          <w:lang w:val="lt-LT" w:eastAsia="en-US"/>
        </w:rPr>
        <w:t>a</w:t>
      </w:r>
      <w:r w:rsidRPr="00997273">
        <w:rPr>
          <w:rFonts w:cs="Times New Roman"/>
          <w:sz w:val="22"/>
          <w:szCs w:val="22"/>
          <w:lang w:val="lt-LT" w:eastAsia="en-US"/>
        </w:rPr>
        <w:t xml:space="preserve"> </w:t>
      </w:r>
      <w:r w:rsidR="008B66AF">
        <w:rPr>
          <w:rFonts w:cs="Times New Roman"/>
          <w:sz w:val="22"/>
          <w:szCs w:val="22"/>
          <w:lang w:val="lt-LT" w:eastAsia="en-US"/>
        </w:rPr>
        <w:t>vieno</w:t>
      </w:r>
      <w:r w:rsidR="00DD31E8">
        <w:rPr>
          <w:rFonts w:cs="Times New Roman"/>
          <w:sz w:val="22"/>
          <w:szCs w:val="22"/>
          <w:lang w:val="lt-LT" w:eastAsia="en-US"/>
        </w:rPr>
        <w:t xml:space="preserve"> </w:t>
      </w:r>
      <w:proofErr w:type="spellStart"/>
      <w:r w:rsidRPr="00997273">
        <w:rPr>
          <w:rFonts w:cs="Times New Roman"/>
          <w:sz w:val="22"/>
          <w:szCs w:val="22"/>
          <w:lang w:val="lt-LT" w:eastAsia="en-US"/>
        </w:rPr>
        <w:t>sulfonilurėjos</w:t>
      </w:r>
      <w:proofErr w:type="spellEnd"/>
      <w:r w:rsidRPr="00997273">
        <w:rPr>
          <w:rFonts w:cs="Times New Roman"/>
          <w:sz w:val="22"/>
          <w:szCs w:val="22"/>
          <w:lang w:val="lt-LT" w:eastAsia="en-US"/>
        </w:rPr>
        <w:t xml:space="preserve"> darinio doz</w:t>
      </w:r>
      <w:r w:rsidR="00EA3452">
        <w:rPr>
          <w:rFonts w:cs="Times New Roman"/>
          <w:sz w:val="22"/>
          <w:szCs w:val="22"/>
          <w:lang w:val="lt-LT" w:eastAsia="en-US"/>
        </w:rPr>
        <w:t>e</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glikemijos</w:t>
      </w:r>
      <w:proofErr w:type="spellEnd"/>
      <w:r w:rsidRPr="00997273">
        <w:rPr>
          <w:rFonts w:cs="Times New Roman"/>
          <w:sz w:val="22"/>
          <w:szCs w:val="22"/>
          <w:lang w:val="lt-LT" w:eastAsia="en-US"/>
        </w:rPr>
        <w:t xml:space="preserve"> </w:t>
      </w:r>
      <w:r w:rsidR="003C793D">
        <w:rPr>
          <w:rFonts w:cs="Times New Roman"/>
          <w:sz w:val="22"/>
          <w:szCs w:val="22"/>
          <w:lang w:val="lt-LT" w:eastAsia="en-US"/>
        </w:rPr>
        <w:t>sureguliuoti</w:t>
      </w:r>
      <w:r w:rsidRPr="00997273">
        <w:rPr>
          <w:rFonts w:cs="Times New Roman"/>
          <w:sz w:val="22"/>
          <w:szCs w:val="22"/>
          <w:lang w:val="lt-LT" w:eastAsia="en-US"/>
        </w:rPr>
        <w:t xml:space="preserve"> nepavyksta ir jeigu dėl kontraindikacijų ar</w:t>
      </w:r>
      <w:r w:rsidR="00533943" w:rsidRPr="00997273">
        <w:rPr>
          <w:rFonts w:cs="Times New Roman"/>
          <w:sz w:val="22"/>
          <w:szCs w:val="22"/>
          <w:lang w:val="lt-LT" w:eastAsia="en-US"/>
        </w:rPr>
        <w:t>ba</w:t>
      </w:r>
      <w:r w:rsidRPr="00997273">
        <w:rPr>
          <w:rFonts w:cs="Times New Roman"/>
          <w:sz w:val="22"/>
          <w:szCs w:val="22"/>
          <w:lang w:val="lt-LT" w:eastAsia="en-US"/>
        </w:rPr>
        <w:t xml:space="preserve"> netoleravimo negalima skirti </w:t>
      </w:r>
      <w:proofErr w:type="spellStart"/>
      <w:r w:rsidRPr="00997273">
        <w:rPr>
          <w:rFonts w:cs="Times New Roman"/>
          <w:sz w:val="22"/>
          <w:szCs w:val="22"/>
          <w:lang w:val="lt-LT" w:eastAsia="en-US"/>
        </w:rPr>
        <w:t>metformino</w:t>
      </w:r>
      <w:proofErr w:type="spellEnd"/>
      <w:r w:rsidRPr="00997273">
        <w:rPr>
          <w:rFonts w:cs="Times New Roman"/>
          <w:sz w:val="22"/>
          <w:szCs w:val="22"/>
          <w:lang w:val="lt-LT" w:eastAsia="en-US"/>
        </w:rPr>
        <w:t>;</w:t>
      </w:r>
    </w:p>
    <w:p w14:paraId="22987903" w14:textId="77777777" w:rsidR="00F617AD" w:rsidRPr="00997273" w:rsidRDefault="00F617AD" w:rsidP="005C40AF">
      <w:pPr>
        <w:pStyle w:val="Sraopastraipa"/>
        <w:ind w:left="567" w:hanging="567"/>
        <w:rPr>
          <w:sz w:val="22"/>
          <w:szCs w:val="22"/>
          <w:lang w:val="lt-LT" w:eastAsia="en-US"/>
        </w:rPr>
      </w:pPr>
    </w:p>
    <w:p w14:paraId="4E6728D4" w14:textId="58CAE7D7" w:rsidR="00F617AD" w:rsidRPr="00997273" w:rsidRDefault="00F617AD" w:rsidP="0024775B">
      <w:pPr>
        <w:pStyle w:val="BT-EMEASMCA"/>
        <w:numPr>
          <w:ilvl w:val="0"/>
          <w:numId w:val="51"/>
        </w:numPr>
        <w:ind w:left="567" w:hanging="567"/>
        <w:rPr>
          <w:sz w:val="22"/>
          <w:szCs w:val="22"/>
          <w:lang w:val="lt-LT" w:eastAsia="en-US"/>
        </w:rPr>
      </w:pPr>
      <w:proofErr w:type="spellStart"/>
      <w:r w:rsidRPr="00997273">
        <w:rPr>
          <w:sz w:val="22"/>
          <w:szCs w:val="22"/>
          <w:lang w:val="lt-LT" w:eastAsia="en-US"/>
        </w:rPr>
        <w:t>peroksisominių</w:t>
      </w:r>
      <w:proofErr w:type="spellEnd"/>
      <w:r w:rsidRPr="00997273">
        <w:rPr>
          <w:sz w:val="22"/>
          <w:szCs w:val="22"/>
          <w:lang w:val="lt-LT" w:eastAsia="en-US"/>
        </w:rPr>
        <w:t xml:space="preserve"> </w:t>
      </w:r>
      <w:proofErr w:type="spellStart"/>
      <w:r w:rsidRPr="00997273">
        <w:rPr>
          <w:sz w:val="22"/>
          <w:szCs w:val="22"/>
          <w:lang w:val="lt-LT" w:eastAsia="en-US"/>
        </w:rPr>
        <w:t>proliferatorių</w:t>
      </w:r>
      <w:proofErr w:type="spellEnd"/>
      <w:r w:rsidRPr="00997273">
        <w:rPr>
          <w:sz w:val="22"/>
          <w:szCs w:val="22"/>
          <w:lang w:val="lt-LT" w:eastAsia="en-US"/>
        </w:rPr>
        <w:t xml:space="preserve"> aktyvuojamų gama receptorių (</w:t>
      </w:r>
      <w:proofErr w:type="spellStart"/>
      <w:r w:rsidRPr="00997273">
        <w:rPr>
          <w:sz w:val="22"/>
          <w:szCs w:val="22"/>
          <w:lang w:val="lt-LT" w:eastAsia="en-US"/>
        </w:rPr>
        <w:t>PPARγ</w:t>
      </w:r>
      <w:proofErr w:type="spellEnd"/>
      <w:r w:rsidRPr="00997273">
        <w:rPr>
          <w:sz w:val="22"/>
          <w:szCs w:val="22"/>
          <w:lang w:val="lt-LT" w:eastAsia="en-US"/>
        </w:rPr>
        <w:t xml:space="preserve">) </w:t>
      </w:r>
      <w:proofErr w:type="spellStart"/>
      <w:r w:rsidRPr="00997273">
        <w:rPr>
          <w:sz w:val="22"/>
          <w:szCs w:val="22"/>
          <w:lang w:val="lt-LT" w:eastAsia="en-US"/>
        </w:rPr>
        <w:t>agonistu</w:t>
      </w:r>
      <w:proofErr w:type="spellEnd"/>
      <w:r w:rsidRPr="00997273">
        <w:rPr>
          <w:sz w:val="22"/>
          <w:szCs w:val="22"/>
          <w:lang w:val="lt-LT" w:eastAsia="en-US"/>
        </w:rPr>
        <w:t xml:space="preserve"> (t. y.,</w:t>
      </w:r>
      <w:r w:rsidR="00F1682D" w:rsidRPr="00997273">
        <w:rPr>
          <w:sz w:val="22"/>
          <w:szCs w:val="22"/>
          <w:lang w:val="lt-LT" w:eastAsia="en-US"/>
        </w:rPr>
        <w:t xml:space="preserve"> </w:t>
      </w:r>
      <w:proofErr w:type="spellStart"/>
      <w:r w:rsidRPr="00997273">
        <w:rPr>
          <w:sz w:val="22"/>
          <w:szCs w:val="22"/>
          <w:lang w:val="lt-LT" w:eastAsia="en-US"/>
        </w:rPr>
        <w:t>tiazolidin</w:t>
      </w:r>
      <w:r w:rsidR="00E17498">
        <w:rPr>
          <w:sz w:val="22"/>
          <w:szCs w:val="22"/>
          <w:lang w:val="lt-LT" w:eastAsia="en-US"/>
        </w:rPr>
        <w:t>e</w:t>
      </w:r>
      <w:r w:rsidRPr="00997273">
        <w:rPr>
          <w:sz w:val="22"/>
          <w:szCs w:val="22"/>
          <w:lang w:val="lt-LT" w:eastAsia="en-US"/>
        </w:rPr>
        <w:t>dionu</w:t>
      </w:r>
      <w:proofErr w:type="spellEnd"/>
      <w:r w:rsidRPr="00997273">
        <w:rPr>
          <w:sz w:val="22"/>
          <w:szCs w:val="22"/>
          <w:lang w:val="lt-LT" w:eastAsia="en-US"/>
        </w:rPr>
        <w:t xml:space="preserve">) tuo atveju, jeigu </w:t>
      </w:r>
      <w:proofErr w:type="spellStart"/>
      <w:r w:rsidRPr="00997273">
        <w:rPr>
          <w:sz w:val="22"/>
          <w:szCs w:val="22"/>
          <w:lang w:val="lt-LT" w:eastAsia="en-US"/>
        </w:rPr>
        <w:t>PPARγ</w:t>
      </w:r>
      <w:proofErr w:type="spellEnd"/>
      <w:r w:rsidRPr="00997273">
        <w:rPr>
          <w:sz w:val="22"/>
          <w:szCs w:val="22"/>
          <w:lang w:val="lt-LT" w:eastAsia="en-US"/>
        </w:rPr>
        <w:t xml:space="preserve"> </w:t>
      </w:r>
      <w:proofErr w:type="spellStart"/>
      <w:r w:rsidRPr="00997273">
        <w:rPr>
          <w:sz w:val="22"/>
          <w:szCs w:val="22"/>
          <w:lang w:val="lt-LT" w:eastAsia="en-US"/>
        </w:rPr>
        <w:t>agonistas</w:t>
      </w:r>
      <w:proofErr w:type="spellEnd"/>
      <w:r w:rsidRPr="00997273">
        <w:rPr>
          <w:sz w:val="22"/>
          <w:szCs w:val="22"/>
          <w:lang w:val="lt-LT" w:eastAsia="en-US"/>
        </w:rPr>
        <w:t xml:space="preserve"> tinka ir jeigu </w:t>
      </w:r>
      <w:r w:rsidR="009D69D2">
        <w:rPr>
          <w:sz w:val="22"/>
          <w:szCs w:val="22"/>
          <w:lang w:val="lt-LT" w:eastAsia="en-US"/>
        </w:rPr>
        <w:t>taikant</w:t>
      </w:r>
      <w:r w:rsidR="009D69D2" w:rsidRPr="00997273">
        <w:rPr>
          <w:sz w:val="22"/>
          <w:szCs w:val="22"/>
          <w:lang w:val="lt-LT" w:eastAsia="en-US"/>
        </w:rPr>
        <w:t xml:space="preserve"> </w:t>
      </w:r>
      <w:r w:rsidRPr="00997273">
        <w:rPr>
          <w:sz w:val="22"/>
          <w:szCs w:val="22"/>
          <w:lang w:val="lt-LT" w:eastAsia="en-US"/>
        </w:rPr>
        <w:t>diet</w:t>
      </w:r>
      <w:r w:rsidR="009D69D2">
        <w:rPr>
          <w:sz w:val="22"/>
          <w:szCs w:val="22"/>
          <w:lang w:val="lt-LT" w:eastAsia="en-US"/>
        </w:rPr>
        <w:t>ą</w:t>
      </w:r>
      <w:r w:rsidRPr="00997273">
        <w:rPr>
          <w:sz w:val="22"/>
          <w:szCs w:val="22"/>
          <w:lang w:val="lt-LT" w:eastAsia="en-US"/>
        </w:rPr>
        <w:t>, fizin</w:t>
      </w:r>
      <w:r w:rsidR="009D69D2">
        <w:rPr>
          <w:sz w:val="22"/>
          <w:szCs w:val="22"/>
          <w:lang w:val="lt-LT" w:eastAsia="en-US"/>
        </w:rPr>
        <w:t>į</w:t>
      </w:r>
      <w:r w:rsidR="00F1682D" w:rsidRPr="00997273">
        <w:rPr>
          <w:sz w:val="22"/>
          <w:szCs w:val="22"/>
          <w:lang w:val="lt-LT" w:eastAsia="en-US"/>
        </w:rPr>
        <w:t xml:space="preserve"> </w:t>
      </w:r>
      <w:r w:rsidR="009D69D2">
        <w:rPr>
          <w:sz w:val="22"/>
          <w:szCs w:val="22"/>
          <w:lang w:val="lt-LT" w:eastAsia="en-US"/>
        </w:rPr>
        <w:t>krūvį</w:t>
      </w:r>
      <w:r w:rsidR="00E17498" w:rsidRPr="00997273">
        <w:rPr>
          <w:sz w:val="22"/>
          <w:szCs w:val="22"/>
          <w:lang w:val="lt-LT" w:eastAsia="en-US"/>
        </w:rPr>
        <w:t xml:space="preserve"> </w:t>
      </w:r>
      <w:r w:rsidRPr="00997273">
        <w:rPr>
          <w:sz w:val="22"/>
          <w:szCs w:val="22"/>
          <w:lang w:val="lt-LT" w:eastAsia="en-US"/>
        </w:rPr>
        <w:t xml:space="preserve">bei </w:t>
      </w:r>
      <w:r w:rsidR="009D69D2">
        <w:rPr>
          <w:sz w:val="22"/>
          <w:szCs w:val="22"/>
          <w:lang w:val="lt-LT" w:eastAsia="en-US"/>
        </w:rPr>
        <w:t>gydymą</w:t>
      </w:r>
      <w:r w:rsidR="008B66AF">
        <w:rPr>
          <w:sz w:val="22"/>
          <w:szCs w:val="22"/>
          <w:lang w:val="lt-LT" w:eastAsia="en-US"/>
        </w:rPr>
        <w:t xml:space="preserve"> vien tik</w:t>
      </w:r>
      <w:r w:rsidR="009D69D2">
        <w:rPr>
          <w:sz w:val="22"/>
          <w:szCs w:val="22"/>
          <w:lang w:val="lt-LT" w:eastAsia="en-US"/>
        </w:rPr>
        <w:t xml:space="preserve"> </w:t>
      </w:r>
      <w:proofErr w:type="spellStart"/>
      <w:r w:rsidRPr="00997273">
        <w:rPr>
          <w:sz w:val="22"/>
          <w:szCs w:val="22"/>
          <w:lang w:val="lt-LT" w:eastAsia="en-US"/>
        </w:rPr>
        <w:t>PPARγ</w:t>
      </w:r>
      <w:proofErr w:type="spellEnd"/>
      <w:r w:rsidRPr="00997273">
        <w:rPr>
          <w:sz w:val="22"/>
          <w:szCs w:val="22"/>
          <w:lang w:val="lt-LT" w:eastAsia="en-US"/>
        </w:rPr>
        <w:t xml:space="preserve"> </w:t>
      </w:r>
      <w:proofErr w:type="spellStart"/>
      <w:r w:rsidRPr="00997273">
        <w:rPr>
          <w:sz w:val="22"/>
          <w:szCs w:val="22"/>
          <w:lang w:val="lt-LT" w:eastAsia="en-US"/>
        </w:rPr>
        <w:t>agonist</w:t>
      </w:r>
      <w:r w:rsidR="008B66AF">
        <w:rPr>
          <w:sz w:val="22"/>
          <w:szCs w:val="22"/>
          <w:lang w:val="lt-LT" w:eastAsia="en-US"/>
        </w:rPr>
        <w:t>u</w:t>
      </w:r>
      <w:proofErr w:type="spellEnd"/>
      <w:r w:rsidRPr="00997273">
        <w:rPr>
          <w:sz w:val="22"/>
          <w:szCs w:val="22"/>
          <w:lang w:val="lt-LT" w:eastAsia="en-US"/>
        </w:rPr>
        <w:t xml:space="preserve"> </w:t>
      </w:r>
      <w:proofErr w:type="spellStart"/>
      <w:r w:rsidRPr="00997273">
        <w:rPr>
          <w:sz w:val="22"/>
          <w:szCs w:val="22"/>
          <w:lang w:val="lt-LT" w:eastAsia="en-US"/>
        </w:rPr>
        <w:t>glikemijos</w:t>
      </w:r>
      <w:proofErr w:type="spellEnd"/>
      <w:r w:rsidRPr="00997273">
        <w:rPr>
          <w:sz w:val="22"/>
          <w:szCs w:val="22"/>
          <w:lang w:val="lt-LT" w:eastAsia="en-US"/>
        </w:rPr>
        <w:t xml:space="preserve"> </w:t>
      </w:r>
      <w:r w:rsidR="00E17498">
        <w:rPr>
          <w:sz w:val="22"/>
          <w:szCs w:val="22"/>
          <w:lang w:val="lt-LT" w:eastAsia="en-US"/>
        </w:rPr>
        <w:t>sureguliuoti</w:t>
      </w:r>
      <w:r w:rsidR="00E17498" w:rsidRPr="00997273">
        <w:rPr>
          <w:sz w:val="22"/>
          <w:szCs w:val="22"/>
          <w:lang w:val="lt-LT" w:eastAsia="en-US"/>
        </w:rPr>
        <w:t xml:space="preserve"> </w:t>
      </w:r>
      <w:r w:rsidRPr="00997273">
        <w:rPr>
          <w:sz w:val="22"/>
          <w:szCs w:val="22"/>
          <w:lang w:val="lt-LT" w:eastAsia="en-US"/>
        </w:rPr>
        <w:t>nepavyksta.</w:t>
      </w:r>
    </w:p>
    <w:p w14:paraId="66962474" w14:textId="77777777" w:rsidR="005C5D92" w:rsidRPr="00997273" w:rsidRDefault="005C5D92" w:rsidP="00612A8E">
      <w:pPr>
        <w:autoSpaceDE w:val="0"/>
        <w:autoSpaceDN w:val="0"/>
        <w:adjustRightInd w:val="0"/>
        <w:rPr>
          <w:rFonts w:cs="Times New Roman"/>
          <w:sz w:val="22"/>
          <w:szCs w:val="22"/>
          <w:lang w:val="lt-LT" w:eastAsia="en-US"/>
        </w:rPr>
      </w:pPr>
    </w:p>
    <w:p w14:paraId="2901755F" w14:textId="7B2CF633" w:rsidR="00F617AD" w:rsidRPr="00997273" w:rsidRDefault="00F617AD" w:rsidP="00F617AD">
      <w:pPr>
        <w:pStyle w:val="BT-EMEASMCA"/>
        <w:numPr>
          <w:ilvl w:val="0"/>
          <w:numId w:val="0"/>
        </w:numPr>
        <w:rPr>
          <w:rFonts w:cs="Times New Roman"/>
          <w:sz w:val="22"/>
          <w:szCs w:val="22"/>
          <w:lang w:val="lt-LT" w:eastAsia="en-US"/>
        </w:rPr>
      </w:pPr>
      <w:r w:rsidRPr="00997273">
        <w:rPr>
          <w:rFonts w:cs="Times New Roman"/>
          <w:sz w:val="22"/>
          <w:szCs w:val="22"/>
          <w:lang w:val="lt-LT" w:eastAsia="en-US"/>
        </w:rPr>
        <w:t>Gydymas trimis geriamaisiais vaist</w:t>
      </w:r>
      <w:r w:rsidR="005C40AF" w:rsidRPr="00997273">
        <w:rPr>
          <w:rFonts w:cs="Times New Roman"/>
          <w:sz w:val="22"/>
          <w:szCs w:val="22"/>
          <w:lang w:val="lt-LT" w:eastAsia="en-US"/>
        </w:rPr>
        <w:t>iniais preparatais</w:t>
      </w:r>
      <w:r w:rsidRPr="00997273">
        <w:rPr>
          <w:rFonts w:cs="Times New Roman"/>
          <w:sz w:val="22"/>
          <w:szCs w:val="22"/>
          <w:lang w:val="lt-LT" w:eastAsia="en-US"/>
        </w:rPr>
        <w:t xml:space="preserve">, </w:t>
      </w:r>
      <w:r w:rsidR="008B66AF">
        <w:rPr>
          <w:rFonts w:cs="Times New Roman"/>
          <w:sz w:val="22"/>
          <w:szCs w:val="22"/>
          <w:lang w:val="lt-LT" w:eastAsia="en-US"/>
        </w:rPr>
        <w:t xml:space="preserve">vartojant </w:t>
      </w:r>
      <w:r w:rsidR="008B66AF" w:rsidRPr="00997273">
        <w:rPr>
          <w:rFonts w:cs="Times New Roman"/>
          <w:sz w:val="22"/>
          <w:szCs w:val="22"/>
          <w:lang w:val="lt-LT" w:eastAsia="en-US"/>
        </w:rPr>
        <w:t>derin</w:t>
      </w:r>
      <w:r w:rsidR="008B66AF">
        <w:rPr>
          <w:rFonts w:cs="Times New Roman"/>
          <w:sz w:val="22"/>
          <w:szCs w:val="22"/>
          <w:lang w:val="lt-LT" w:eastAsia="en-US"/>
        </w:rPr>
        <w:t>į</w:t>
      </w:r>
      <w:r w:rsidR="008B66AF" w:rsidRPr="00997273" w:rsidDel="008B66AF">
        <w:rPr>
          <w:rFonts w:cs="Times New Roman"/>
          <w:sz w:val="22"/>
          <w:szCs w:val="22"/>
          <w:lang w:val="lt-LT" w:eastAsia="en-US"/>
        </w:rPr>
        <w:t xml:space="preserve"> </w:t>
      </w:r>
      <w:r w:rsidRPr="00997273">
        <w:rPr>
          <w:rFonts w:cs="Times New Roman"/>
          <w:sz w:val="22"/>
          <w:szCs w:val="22"/>
          <w:lang w:val="lt-LT" w:eastAsia="en-US"/>
        </w:rPr>
        <w:t>su:</w:t>
      </w:r>
    </w:p>
    <w:p w14:paraId="38008153" w14:textId="77777777" w:rsidR="00F617AD" w:rsidRPr="00997273" w:rsidRDefault="00F617AD" w:rsidP="00F617AD">
      <w:pPr>
        <w:pStyle w:val="BT-EMEASMCA"/>
        <w:numPr>
          <w:ilvl w:val="0"/>
          <w:numId w:val="0"/>
        </w:numPr>
        <w:rPr>
          <w:rFonts w:cs="Times New Roman"/>
          <w:sz w:val="22"/>
          <w:szCs w:val="22"/>
          <w:lang w:val="lt-LT" w:eastAsia="en-US"/>
        </w:rPr>
      </w:pPr>
    </w:p>
    <w:p w14:paraId="066E0F65" w14:textId="65738CD5" w:rsidR="00F617AD" w:rsidRPr="00997273" w:rsidRDefault="00F617AD" w:rsidP="0024775B">
      <w:pPr>
        <w:pStyle w:val="BT-EMEASMCA"/>
        <w:numPr>
          <w:ilvl w:val="0"/>
          <w:numId w:val="52"/>
        </w:numPr>
        <w:ind w:left="567" w:hanging="567"/>
        <w:rPr>
          <w:rFonts w:cs="Times New Roman"/>
          <w:sz w:val="22"/>
          <w:szCs w:val="22"/>
          <w:lang w:val="lt-LT" w:eastAsia="en-US"/>
        </w:rPr>
      </w:pPr>
      <w:proofErr w:type="spellStart"/>
      <w:r w:rsidRPr="00997273">
        <w:rPr>
          <w:rFonts w:cs="Times New Roman"/>
          <w:sz w:val="22"/>
          <w:szCs w:val="22"/>
          <w:lang w:val="lt-LT" w:eastAsia="en-US"/>
        </w:rPr>
        <w:t>sulfonilurėjos</w:t>
      </w:r>
      <w:proofErr w:type="spellEnd"/>
      <w:r w:rsidRPr="00997273">
        <w:rPr>
          <w:rFonts w:cs="Times New Roman"/>
          <w:sz w:val="22"/>
          <w:szCs w:val="22"/>
          <w:lang w:val="lt-LT" w:eastAsia="en-US"/>
        </w:rPr>
        <w:t xml:space="preserve"> dariniu ir </w:t>
      </w:r>
      <w:proofErr w:type="spellStart"/>
      <w:r w:rsidRPr="00997273">
        <w:rPr>
          <w:rFonts w:cs="Times New Roman"/>
          <w:sz w:val="22"/>
          <w:szCs w:val="22"/>
          <w:lang w:val="lt-LT" w:eastAsia="en-US"/>
        </w:rPr>
        <w:t>metforminu</w:t>
      </w:r>
      <w:proofErr w:type="spellEnd"/>
      <w:r w:rsidRPr="00997273">
        <w:rPr>
          <w:rFonts w:cs="Times New Roman"/>
          <w:sz w:val="22"/>
          <w:szCs w:val="22"/>
          <w:lang w:val="lt-LT" w:eastAsia="en-US"/>
        </w:rPr>
        <w:t xml:space="preserve"> tuo atveju, jeigu </w:t>
      </w:r>
      <w:r w:rsidR="00BC4EF9">
        <w:rPr>
          <w:rFonts w:cs="Times New Roman"/>
          <w:sz w:val="22"/>
          <w:szCs w:val="22"/>
          <w:lang w:val="lt-LT" w:eastAsia="en-US"/>
        </w:rPr>
        <w:t>taikant</w:t>
      </w:r>
      <w:r w:rsidR="00BC4EF9" w:rsidRPr="00997273">
        <w:rPr>
          <w:rFonts w:cs="Times New Roman"/>
          <w:sz w:val="22"/>
          <w:szCs w:val="22"/>
          <w:lang w:val="lt-LT" w:eastAsia="en-US"/>
        </w:rPr>
        <w:t xml:space="preserve"> </w:t>
      </w:r>
      <w:r w:rsidRPr="00997273">
        <w:rPr>
          <w:rFonts w:cs="Times New Roman"/>
          <w:sz w:val="22"/>
          <w:szCs w:val="22"/>
          <w:lang w:val="lt-LT" w:eastAsia="en-US"/>
        </w:rPr>
        <w:t>diet</w:t>
      </w:r>
      <w:r w:rsidR="00BC4EF9">
        <w:rPr>
          <w:rFonts w:cs="Times New Roman"/>
          <w:sz w:val="22"/>
          <w:szCs w:val="22"/>
          <w:lang w:val="lt-LT" w:eastAsia="en-US"/>
        </w:rPr>
        <w:t>ą</w:t>
      </w:r>
      <w:r w:rsidRPr="00997273">
        <w:rPr>
          <w:rFonts w:cs="Times New Roman"/>
          <w:sz w:val="22"/>
          <w:szCs w:val="22"/>
          <w:lang w:val="lt-LT" w:eastAsia="en-US"/>
        </w:rPr>
        <w:t>, fizin</w:t>
      </w:r>
      <w:r w:rsidR="00BC4EF9">
        <w:rPr>
          <w:rFonts w:cs="Times New Roman"/>
          <w:sz w:val="22"/>
          <w:szCs w:val="22"/>
          <w:lang w:val="lt-LT" w:eastAsia="en-US"/>
        </w:rPr>
        <w:t>į krūvį</w:t>
      </w:r>
      <w:r w:rsidR="00E17498">
        <w:rPr>
          <w:rFonts w:cs="Times New Roman"/>
          <w:sz w:val="22"/>
          <w:szCs w:val="22"/>
          <w:lang w:val="lt-LT" w:eastAsia="en-US"/>
        </w:rPr>
        <w:t xml:space="preserve"> </w:t>
      </w:r>
      <w:r w:rsidRPr="00997273">
        <w:rPr>
          <w:rFonts w:cs="Times New Roman"/>
          <w:sz w:val="22"/>
          <w:szCs w:val="22"/>
          <w:lang w:val="lt-LT" w:eastAsia="en-US"/>
        </w:rPr>
        <w:t xml:space="preserve">ir kartu </w:t>
      </w:r>
      <w:r w:rsidR="00BC4EF9">
        <w:rPr>
          <w:rFonts w:cs="Times New Roman"/>
          <w:sz w:val="22"/>
          <w:szCs w:val="22"/>
          <w:lang w:val="lt-LT" w:eastAsia="en-US"/>
        </w:rPr>
        <w:t xml:space="preserve">gydymą </w:t>
      </w:r>
      <w:r w:rsidRPr="00997273">
        <w:rPr>
          <w:rFonts w:cs="Times New Roman"/>
          <w:sz w:val="22"/>
          <w:szCs w:val="22"/>
          <w:lang w:val="lt-LT" w:eastAsia="en-US"/>
        </w:rPr>
        <w:t xml:space="preserve">šiais dviem vaistiniais preparatais </w:t>
      </w:r>
      <w:proofErr w:type="spellStart"/>
      <w:r w:rsidRPr="00997273">
        <w:rPr>
          <w:rFonts w:cs="Times New Roman"/>
          <w:sz w:val="22"/>
          <w:szCs w:val="22"/>
          <w:lang w:val="lt-LT" w:eastAsia="en-US"/>
        </w:rPr>
        <w:t>glikemijos</w:t>
      </w:r>
      <w:proofErr w:type="spellEnd"/>
      <w:r w:rsidRPr="00997273">
        <w:rPr>
          <w:rFonts w:cs="Times New Roman"/>
          <w:sz w:val="22"/>
          <w:szCs w:val="22"/>
          <w:lang w:val="lt-LT" w:eastAsia="en-US"/>
        </w:rPr>
        <w:t xml:space="preserve"> </w:t>
      </w:r>
      <w:r w:rsidR="00E17498">
        <w:rPr>
          <w:rFonts w:cs="Times New Roman"/>
          <w:sz w:val="22"/>
          <w:szCs w:val="22"/>
          <w:lang w:val="lt-LT" w:eastAsia="en-US"/>
        </w:rPr>
        <w:t>sureguliuoti</w:t>
      </w:r>
      <w:r w:rsidR="00E17498" w:rsidRPr="00997273">
        <w:rPr>
          <w:rFonts w:cs="Times New Roman"/>
          <w:sz w:val="22"/>
          <w:szCs w:val="22"/>
          <w:lang w:val="lt-LT" w:eastAsia="en-US"/>
        </w:rPr>
        <w:t xml:space="preserve"> </w:t>
      </w:r>
      <w:r w:rsidRPr="00997273">
        <w:rPr>
          <w:rFonts w:cs="Times New Roman"/>
          <w:sz w:val="22"/>
          <w:szCs w:val="22"/>
          <w:lang w:val="lt-LT" w:eastAsia="en-US"/>
        </w:rPr>
        <w:t>nepavyksta;</w:t>
      </w:r>
    </w:p>
    <w:p w14:paraId="475138AF" w14:textId="77777777" w:rsidR="00F617AD" w:rsidRPr="00997273" w:rsidRDefault="00F617AD" w:rsidP="005C40AF">
      <w:pPr>
        <w:pStyle w:val="BT-EMEASMCA"/>
        <w:numPr>
          <w:ilvl w:val="0"/>
          <w:numId w:val="0"/>
        </w:numPr>
        <w:ind w:left="567" w:hanging="567"/>
        <w:rPr>
          <w:rFonts w:cs="Times New Roman"/>
          <w:sz w:val="22"/>
          <w:szCs w:val="22"/>
          <w:lang w:val="lt-LT" w:eastAsia="en-US"/>
        </w:rPr>
      </w:pPr>
    </w:p>
    <w:p w14:paraId="11F864BF" w14:textId="71FCF5D9" w:rsidR="00F617AD" w:rsidRPr="00997273" w:rsidRDefault="00F617AD" w:rsidP="0024775B">
      <w:pPr>
        <w:pStyle w:val="BT-EMEASMCA"/>
        <w:numPr>
          <w:ilvl w:val="0"/>
          <w:numId w:val="52"/>
        </w:numPr>
        <w:ind w:left="567" w:hanging="567"/>
        <w:rPr>
          <w:rFonts w:cs="Times New Roman"/>
          <w:sz w:val="22"/>
          <w:szCs w:val="22"/>
          <w:lang w:val="lt-LT" w:eastAsia="en-US"/>
        </w:rPr>
      </w:pPr>
      <w:proofErr w:type="spellStart"/>
      <w:r w:rsidRPr="00997273">
        <w:rPr>
          <w:rFonts w:cs="Times New Roman"/>
          <w:sz w:val="22"/>
          <w:szCs w:val="22"/>
          <w:lang w:val="lt-LT" w:eastAsia="en-US"/>
        </w:rPr>
        <w:lastRenderedPageBreak/>
        <w:t>PPARγ</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agonistu</w:t>
      </w:r>
      <w:proofErr w:type="spellEnd"/>
      <w:r w:rsidRPr="00997273">
        <w:rPr>
          <w:rFonts w:cs="Times New Roman"/>
          <w:sz w:val="22"/>
          <w:szCs w:val="22"/>
          <w:lang w:val="lt-LT" w:eastAsia="en-US"/>
        </w:rPr>
        <w:t xml:space="preserve"> ir </w:t>
      </w:r>
      <w:proofErr w:type="spellStart"/>
      <w:r w:rsidRPr="00997273">
        <w:rPr>
          <w:rFonts w:cs="Times New Roman"/>
          <w:sz w:val="22"/>
          <w:szCs w:val="22"/>
          <w:lang w:val="lt-LT" w:eastAsia="en-US"/>
        </w:rPr>
        <w:t>metforminu</w:t>
      </w:r>
      <w:proofErr w:type="spellEnd"/>
      <w:r w:rsidRPr="00997273">
        <w:rPr>
          <w:rFonts w:cs="Times New Roman"/>
          <w:sz w:val="22"/>
          <w:szCs w:val="22"/>
          <w:lang w:val="lt-LT" w:eastAsia="en-US"/>
        </w:rPr>
        <w:t xml:space="preserve"> tuo atveju, jeigu </w:t>
      </w:r>
      <w:proofErr w:type="spellStart"/>
      <w:r w:rsidRPr="00997273">
        <w:rPr>
          <w:rFonts w:cs="Times New Roman"/>
          <w:sz w:val="22"/>
          <w:szCs w:val="22"/>
          <w:lang w:val="lt-LT" w:eastAsia="en-US"/>
        </w:rPr>
        <w:t>PPARγ</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agonistas</w:t>
      </w:r>
      <w:proofErr w:type="spellEnd"/>
      <w:r w:rsidRPr="00997273">
        <w:rPr>
          <w:rFonts w:cs="Times New Roman"/>
          <w:sz w:val="22"/>
          <w:szCs w:val="22"/>
          <w:lang w:val="lt-LT" w:eastAsia="en-US"/>
        </w:rPr>
        <w:t xml:space="preserve"> tinka ir jeigu </w:t>
      </w:r>
      <w:r w:rsidR="00C16BDD">
        <w:rPr>
          <w:rFonts w:cs="Times New Roman"/>
          <w:sz w:val="22"/>
          <w:szCs w:val="22"/>
          <w:lang w:val="lt-LT" w:eastAsia="en-US"/>
        </w:rPr>
        <w:t>taikant</w:t>
      </w:r>
      <w:r w:rsidR="00C16BDD" w:rsidRPr="00997273">
        <w:rPr>
          <w:rFonts w:cs="Times New Roman"/>
          <w:sz w:val="22"/>
          <w:szCs w:val="22"/>
          <w:lang w:val="lt-LT" w:eastAsia="en-US"/>
        </w:rPr>
        <w:t xml:space="preserve"> </w:t>
      </w:r>
      <w:r w:rsidRPr="00997273">
        <w:rPr>
          <w:rFonts w:cs="Times New Roman"/>
          <w:sz w:val="22"/>
          <w:szCs w:val="22"/>
          <w:lang w:val="lt-LT" w:eastAsia="en-US"/>
        </w:rPr>
        <w:t>diet</w:t>
      </w:r>
      <w:r w:rsidR="00C16BDD">
        <w:rPr>
          <w:rFonts w:cs="Times New Roman"/>
          <w:sz w:val="22"/>
          <w:szCs w:val="22"/>
          <w:lang w:val="lt-LT" w:eastAsia="en-US"/>
        </w:rPr>
        <w:t>ą</w:t>
      </w:r>
      <w:r w:rsidRPr="00997273">
        <w:rPr>
          <w:rFonts w:cs="Times New Roman"/>
          <w:sz w:val="22"/>
          <w:szCs w:val="22"/>
          <w:lang w:val="lt-LT" w:eastAsia="en-US"/>
        </w:rPr>
        <w:t>, fizin</w:t>
      </w:r>
      <w:r w:rsidR="00C16BDD">
        <w:rPr>
          <w:rFonts w:cs="Times New Roman"/>
          <w:sz w:val="22"/>
          <w:szCs w:val="22"/>
          <w:lang w:val="lt-LT" w:eastAsia="en-US"/>
        </w:rPr>
        <w:t>į krūvį</w:t>
      </w:r>
      <w:r w:rsidR="00E17498">
        <w:rPr>
          <w:rFonts w:cs="Times New Roman"/>
          <w:sz w:val="22"/>
          <w:szCs w:val="22"/>
          <w:lang w:val="lt-LT" w:eastAsia="en-US"/>
        </w:rPr>
        <w:t xml:space="preserve"> </w:t>
      </w:r>
      <w:r w:rsidRPr="00997273">
        <w:rPr>
          <w:rFonts w:cs="Times New Roman"/>
          <w:sz w:val="22"/>
          <w:szCs w:val="22"/>
          <w:lang w:val="lt-LT" w:eastAsia="en-US"/>
        </w:rPr>
        <w:t xml:space="preserve">ir kartu </w:t>
      </w:r>
      <w:r w:rsidR="00C16BDD">
        <w:rPr>
          <w:rFonts w:cs="Times New Roman"/>
          <w:sz w:val="22"/>
          <w:szCs w:val="22"/>
          <w:lang w:val="lt-LT" w:eastAsia="en-US"/>
        </w:rPr>
        <w:t xml:space="preserve">gydymą </w:t>
      </w:r>
      <w:r w:rsidRPr="00997273">
        <w:rPr>
          <w:rFonts w:cs="Times New Roman"/>
          <w:sz w:val="22"/>
          <w:szCs w:val="22"/>
          <w:lang w:val="lt-LT" w:eastAsia="en-US"/>
        </w:rPr>
        <w:t xml:space="preserve">šiais dviem vaistiniais preparatais </w:t>
      </w:r>
      <w:proofErr w:type="spellStart"/>
      <w:r w:rsidRPr="00997273">
        <w:rPr>
          <w:rFonts w:cs="Times New Roman"/>
          <w:sz w:val="22"/>
          <w:szCs w:val="22"/>
          <w:lang w:val="lt-LT" w:eastAsia="en-US"/>
        </w:rPr>
        <w:t>glikemijos</w:t>
      </w:r>
      <w:proofErr w:type="spellEnd"/>
      <w:r w:rsidRPr="00997273">
        <w:rPr>
          <w:rFonts w:cs="Times New Roman"/>
          <w:sz w:val="22"/>
          <w:szCs w:val="22"/>
          <w:lang w:val="lt-LT" w:eastAsia="en-US"/>
        </w:rPr>
        <w:t xml:space="preserve"> </w:t>
      </w:r>
      <w:r w:rsidR="00E17498">
        <w:rPr>
          <w:rFonts w:cs="Times New Roman"/>
          <w:sz w:val="22"/>
          <w:szCs w:val="22"/>
          <w:lang w:val="lt-LT" w:eastAsia="en-US"/>
        </w:rPr>
        <w:t>sureguliuoti</w:t>
      </w:r>
      <w:r w:rsidR="00E17498" w:rsidRPr="00997273">
        <w:rPr>
          <w:rFonts w:cs="Times New Roman"/>
          <w:sz w:val="22"/>
          <w:szCs w:val="22"/>
          <w:lang w:val="lt-LT" w:eastAsia="en-US"/>
        </w:rPr>
        <w:t xml:space="preserve"> </w:t>
      </w:r>
      <w:r w:rsidRPr="00997273">
        <w:rPr>
          <w:rFonts w:cs="Times New Roman"/>
          <w:sz w:val="22"/>
          <w:szCs w:val="22"/>
          <w:lang w:val="lt-LT" w:eastAsia="en-US"/>
        </w:rPr>
        <w:t>nepavyksta.</w:t>
      </w:r>
    </w:p>
    <w:p w14:paraId="013DBEB2" w14:textId="77777777" w:rsidR="00F617AD" w:rsidRPr="00997273" w:rsidRDefault="00F617AD" w:rsidP="00612A8E">
      <w:pPr>
        <w:autoSpaceDE w:val="0"/>
        <w:autoSpaceDN w:val="0"/>
        <w:adjustRightInd w:val="0"/>
        <w:rPr>
          <w:rFonts w:cs="Times New Roman"/>
          <w:sz w:val="22"/>
          <w:szCs w:val="22"/>
          <w:lang w:val="lt-LT" w:eastAsia="en-US"/>
        </w:rPr>
      </w:pPr>
    </w:p>
    <w:p w14:paraId="38C954D5" w14:textId="4EC50304" w:rsidR="00612A8E" w:rsidRPr="00997273" w:rsidRDefault="00612A8E" w:rsidP="00F617AD">
      <w:pPr>
        <w:pStyle w:val="BT-EMEASMCA"/>
        <w:numPr>
          <w:ilvl w:val="0"/>
          <w:numId w:val="0"/>
        </w:numPr>
        <w:rPr>
          <w:rFonts w:cs="Times New Roman"/>
          <w:sz w:val="22"/>
          <w:szCs w:val="22"/>
          <w:lang w:val="lt-LT" w:eastAsia="en-US"/>
        </w:rPr>
      </w:pPr>
      <w:r w:rsidRPr="00997273">
        <w:rPr>
          <w:rFonts w:cs="Times New Roman"/>
          <w:sz w:val="22"/>
          <w:szCs w:val="22"/>
          <w:lang w:val="lt-LT" w:eastAsia="en-US"/>
        </w:rPr>
        <w:t xml:space="preserve">Be to, </w:t>
      </w:r>
      <w:proofErr w:type="spellStart"/>
      <w:r w:rsidR="00AE2AD2">
        <w:rPr>
          <w:rFonts w:cs="Times New Roman"/>
          <w:sz w:val="22"/>
          <w:szCs w:val="22"/>
          <w:lang w:val="lt-LT" w:eastAsia="en-US"/>
        </w:rPr>
        <w:t>Meliglix</w:t>
      </w:r>
      <w:proofErr w:type="spellEnd"/>
      <w:r w:rsidR="00155A24" w:rsidRPr="00997273">
        <w:rPr>
          <w:rFonts w:cs="Times New Roman"/>
          <w:sz w:val="22"/>
          <w:szCs w:val="22"/>
          <w:lang w:val="lt-LT" w:eastAsia="en-US"/>
        </w:rPr>
        <w:t xml:space="preserve"> </w:t>
      </w:r>
      <w:r w:rsidR="004B789E" w:rsidRPr="00997273">
        <w:rPr>
          <w:rFonts w:cs="Times New Roman"/>
          <w:sz w:val="22"/>
          <w:szCs w:val="22"/>
          <w:lang w:val="lt-LT" w:eastAsia="en-US"/>
        </w:rPr>
        <w:t xml:space="preserve">taip pat </w:t>
      </w:r>
      <w:r w:rsidR="00277A18" w:rsidRPr="00997273">
        <w:rPr>
          <w:rFonts w:cs="Times New Roman"/>
          <w:sz w:val="22"/>
          <w:szCs w:val="22"/>
          <w:lang w:val="lt-LT" w:eastAsia="en-US"/>
        </w:rPr>
        <w:t xml:space="preserve">skirtas </w:t>
      </w:r>
      <w:r w:rsidR="00DE54A6">
        <w:rPr>
          <w:rFonts w:cs="Times New Roman"/>
          <w:sz w:val="22"/>
          <w:szCs w:val="22"/>
          <w:lang w:val="lt-LT" w:eastAsia="en-US"/>
        </w:rPr>
        <w:t>gydymo insulinu papildymui</w:t>
      </w:r>
      <w:r w:rsidR="00277A18" w:rsidRPr="00997273">
        <w:rPr>
          <w:rFonts w:cs="Times New Roman"/>
          <w:sz w:val="22"/>
          <w:szCs w:val="22"/>
          <w:lang w:val="lt-LT" w:eastAsia="en-US"/>
        </w:rPr>
        <w:t xml:space="preserve"> </w:t>
      </w:r>
      <w:r w:rsidRPr="00997273">
        <w:rPr>
          <w:rFonts w:cs="Times New Roman"/>
          <w:sz w:val="22"/>
          <w:szCs w:val="22"/>
          <w:lang w:val="lt-LT" w:eastAsia="en-US"/>
        </w:rPr>
        <w:t>(</w:t>
      </w:r>
      <w:r w:rsidR="00155A24" w:rsidRPr="00997273">
        <w:rPr>
          <w:rFonts w:cs="Times New Roman"/>
          <w:sz w:val="22"/>
          <w:szCs w:val="22"/>
          <w:lang w:val="lt-LT" w:eastAsia="en-US"/>
        </w:rPr>
        <w:t xml:space="preserve">kartu su </w:t>
      </w:r>
      <w:proofErr w:type="spellStart"/>
      <w:r w:rsidR="00155A24" w:rsidRPr="00997273">
        <w:rPr>
          <w:rFonts w:cs="Times New Roman"/>
          <w:sz w:val="22"/>
          <w:szCs w:val="22"/>
          <w:lang w:val="lt-LT" w:eastAsia="en-US"/>
        </w:rPr>
        <w:t>metforminu</w:t>
      </w:r>
      <w:proofErr w:type="spellEnd"/>
      <w:r w:rsidR="00155A24" w:rsidRPr="00997273">
        <w:rPr>
          <w:rFonts w:cs="Times New Roman"/>
          <w:sz w:val="22"/>
          <w:szCs w:val="22"/>
          <w:lang w:val="lt-LT" w:eastAsia="en-US"/>
        </w:rPr>
        <w:t xml:space="preserve"> arba be jo</w:t>
      </w:r>
      <w:r w:rsidRPr="00997273">
        <w:rPr>
          <w:rFonts w:cs="Times New Roman"/>
          <w:sz w:val="22"/>
          <w:szCs w:val="22"/>
          <w:lang w:val="lt-LT" w:eastAsia="en-US"/>
        </w:rPr>
        <w:t xml:space="preserve">), </w:t>
      </w:r>
      <w:r w:rsidR="00EB0FEB">
        <w:rPr>
          <w:rFonts w:cs="Times New Roman"/>
          <w:sz w:val="22"/>
          <w:szCs w:val="22"/>
          <w:lang w:val="lt-LT" w:eastAsia="en-US"/>
        </w:rPr>
        <w:t>jeigu</w:t>
      </w:r>
      <w:r w:rsidR="00F1682D" w:rsidRPr="00997273">
        <w:rPr>
          <w:rFonts w:cs="Times New Roman"/>
          <w:sz w:val="22"/>
          <w:szCs w:val="22"/>
          <w:lang w:val="lt-LT" w:eastAsia="en-US"/>
        </w:rPr>
        <w:t xml:space="preserve"> </w:t>
      </w:r>
      <w:r w:rsidR="00C16BDD">
        <w:rPr>
          <w:rFonts w:cs="Times New Roman"/>
          <w:sz w:val="22"/>
          <w:szCs w:val="22"/>
          <w:lang w:val="lt-LT" w:eastAsia="en-US"/>
        </w:rPr>
        <w:t>taikant</w:t>
      </w:r>
      <w:r w:rsidR="00E9122A">
        <w:rPr>
          <w:rFonts w:cs="Times New Roman"/>
          <w:sz w:val="22"/>
          <w:szCs w:val="22"/>
          <w:lang w:val="lt-LT" w:eastAsia="en-US"/>
        </w:rPr>
        <w:t xml:space="preserve"> </w:t>
      </w:r>
      <w:r w:rsidRPr="00997273">
        <w:rPr>
          <w:rFonts w:cs="Times New Roman"/>
          <w:sz w:val="22"/>
          <w:szCs w:val="22"/>
          <w:lang w:val="lt-LT" w:eastAsia="en-US"/>
        </w:rPr>
        <w:t>diet</w:t>
      </w:r>
      <w:r w:rsidR="00C16BDD">
        <w:rPr>
          <w:rFonts w:cs="Times New Roman"/>
          <w:sz w:val="22"/>
          <w:szCs w:val="22"/>
          <w:lang w:val="lt-LT" w:eastAsia="en-US"/>
        </w:rPr>
        <w:t>ą</w:t>
      </w:r>
      <w:r w:rsidR="004B789E" w:rsidRPr="00997273">
        <w:rPr>
          <w:rFonts w:cs="Times New Roman"/>
          <w:sz w:val="22"/>
          <w:szCs w:val="22"/>
          <w:lang w:val="lt-LT" w:eastAsia="en-US"/>
        </w:rPr>
        <w:t xml:space="preserve">, </w:t>
      </w:r>
      <w:r w:rsidRPr="00997273">
        <w:rPr>
          <w:rFonts w:cs="Times New Roman"/>
          <w:sz w:val="22"/>
          <w:szCs w:val="22"/>
          <w:lang w:val="lt-LT" w:eastAsia="en-US"/>
        </w:rPr>
        <w:t>fizin</w:t>
      </w:r>
      <w:r w:rsidR="00E9122A">
        <w:rPr>
          <w:rFonts w:cs="Times New Roman"/>
          <w:sz w:val="22"/>
          <w:szCs w:val="22"/>
          <w:lang w:val="lt-LT" w:eastAsia="en-US"/>
        </w:rPr>
        <w:t>į</w:t>
      </w:r>
      <w:r w:rsidR="004B789E" w:rsidRPr="00997273">
        <w:rPr>
          <w:rFonts w:cs="Times New Roman"/>
          <w:sz w:val="22"/>
          <w:szCs w:val="22"/>
          <w:lang w:val="lt-LT" w:eastAsia="en-US"/>
        </w:rPr>
        <w:t xml:space="preserve"> </w:t>
      </w:r>
      <w:r w:rsidR="00C16BDD">
        <w:rPr>
          <w:rFonts w:cs="Times New Roman"/>
          <w:sz w:val="22"/>
          <w:szCs w:val="22"/>
          <w:lang w:val="lt-LT" w:eastAsia="en-US"/>
        </w:rPr>
        <w:t>krūvį</w:t>
      </w:r>
      <w:r w:rsidR="004B789E" w:rsidRPr="00997273">
        <w:rPr>
          <w:rFonts w:cs="Times New Roman"/>
          <w:sz w:val="22"/>
          <w:szCs w:val="22"/>
          <w:lang w:val="lt-LT" w:eastAsia="en-US"/>
        </w:rPr>
        <w:t xml:space="preserve"> ir </w:t>
      </w:r>
      <w:r w:rsidR="00C16BDD">
        <w:rPr>
          <w:rFonts w:cs="Times New Roman"/>
          <w:sz w:val="22"/>
          <w:szCs w:val="22"/>
          <w:lang w:val="lt-LT" w:eastAsia="en-US"/>
        </w:rPr>
        <w:t xml:space="preserve">gydymą </w:t>
      </w:r>
      <w:r w:rsidRPr="00997273">
        <w:rPr>
          <w:rFonts w:cs="Times New Roman"/>
          <w:sz w:val="22"/>
          <w:szCs w:val="22"/>
          <w:lang w:val="lt-LT" w:eastAsia="en-US"/>
        </w:rPr>
        <w:t>pastovi</w:t>
      </w:r>
      <w:r w:rsidR="00F617AD" w:rsidRPr="00997273">
        <w:rPr>
          <w:rFonts w:cs="Times New Roman"/>
          <w:sz w:val="22"/>
          <w:szCs w:val="22"/>
          <w:lang w:val="lt-LT" w:eastAsia="en-US"/>
        </w:rPr>
        <w:t>a</w:t>
      </w:r>
      <w:r w:rsidRPr="00997273">
        <w:rPr>
          <w:rFonts w:cs="Times New Roman"/>
          <w:sz w:val="22"/>
          <w:szCs w:val="22"/>
          <w:lang w:val="lt-LT" w:eastAsia="en-US"/>
        </w:rPr>
        <w:t xml:space="preserve"> insulino </w:t>
      </w:r>
      <w:r w:rsidR="004B789E" w:rsidRPr="00997273">
        <w:rPr>
          <w:rFonts w:cs="Times New Roman"/>
          <w:sz w:val="22"/>
          <w:szCs w:val="22"/>
          <w:lang w:val="lt-LT" w:eastAsia="en-US"/>
        </w:rPr>
        <w:t>doz</w:t>
      </w:r>
      <w:r w:rsidR="00F617AD" w:rsidRPr="00997273">
        <w:rPr>
          <w:rFonts w:cs="Times New Roman"/>
          <w:sz w:val="22"/>
          <w:szCs w:val="22"/>
          <w:lang w:val="lt-LT" w:eastAsia="en-US"/>
        </w:rPr>
        <w:t xml:space="preserve">e </w:t>
      </w:r>
      <w:proofErr w:type="spellStart"/>
      <w:r w:rsidR="00F617AD" w:rsidRPr="00997273">
        <w:rPr>
          <w:rFonts w:cs="Times New Roman"/>
          <w:sz w:val="22"/>
          <w:szCs w:val="22"/>
          <w:lang w:val="lt-LT" w:eastAsia="en-US"/>
        </w:rPr>
        <w:t>glikemijos</w:t>
      </w:r>
      <w:proofErr w:type="spellEnd"/>
      <w:r w:rsidR="00F617AD" w:rsidRPr="00997273">
        <w:rPr>
          <w:rFonts w:cs="Times New Roman"/>
          <w:sz w:val="22"/>
          <w:szCs w:val="22"/>
          <w:lang w:val="lt-LT" w:eastAsia="en-US"/>
        </w:rPr>
        <w:t xml:space="preserve"> </w:t>
      </w:r>
      <w:r w:rsidR="00E9122A">
        <w:rPr>
          <w:rFonts w:cs="Times New Roman"/>
          <w:sz w:val="22"/>
          <w:szCs w:val="22"/>
          <w:lang w:val="lt-LT" w:eastAsia="en-US"/>
        </w:rPr>
        <w:t>sureguliuoti</w:t>
      </w:r>
      <w:r w:rsidR="00E9122A" w:rsidRPr="00997273">
        <w:rPr>
          <w:rFonts w:cs="Times New Roman"/>
          <w:sz w:val="22"/>
          <w:szCs w:val="22"/>
          <w:lang w:val="lt-LT" w:eastAsia="en-US"/>
        </w:rPr>
        <w:t xml:space="preserve"> </w:t>
      </w:r>
      <w:r w:rsidR="00F617AD" w:rsidRPr="00997273">
        <w:rPr>
          <w:rFonts w:cs="Times New Roman"/>
          <w:sz w:val="22"/>
          <w:szCs w:val="22"/>
          <w:lang w:val="lt-LT" w:eastAsia="en-US"/>
        </w:rPr>
        <w:t>nepavyksta</w:t>
      </w:r>
      <w:r w:rsidR="004B789E" w:rsidRPr="00997273">
        <w:rPr>
          <w:rFonts w:cs="Times New Roman"/>
          <w:sz w:val="22"/>
          <w:szCs w:val="22"/>
          <w:lang w:val="lt-LT" w:eastAsia="en-US"/>
        </w:rPr>
        <w:t>.</w:t>
      </w:r>
    </w:p>
    <w:p w14:paraId="1EC842A1" w14:textId="77777777" w:rsidR="004B789E" w:rsidRPr="00997273" w:rsidRDefault="004B789E" w:rsidP="004B789E">
      <w:pPr>
        <w:pStyle w:val="BT-EMEASMCA"/>
        <w:numPr>
          <w:ilvl w:val="0"/>
          <w:numId w:val="0"/>
        </w:numPr>
        <w:ind w:left="720" w:hanging="360"/>
        <w:rPr>
          <w:rFonts w:eastAsia="Times New Roman" w:cs="Times New Roman"/>
          <w:noProof/>
          <w:sz w:val="22"/>
          <w:szCs w:val="22"/>
          <w:lang w:val="lt-LT" w:eastAsia="lt-LT" w:bidi="lt-LT"/>
        </w:rPr>
      </w:pPr>
    </w:p>
    <w:p w14:paraId="03B0D1DD" w14:textId="77777777" w:rsidR="00612A8E" w:rsidRPr="00997273" w:rsidRDefault="00612A8E" w:rsidP="00612A8E">
      <w:pPr>
        <w:keepNext/>
        <w:numPr>
          <w:ilvl w:val="1"/>
          <w:numId w:val="25"/>
        </w:numPr>
        <w:tabs>
          <w:tab w:val="left" w:pos="567"/>
        </w:tabs>
        <w:spacing w:line="260" w:lineRule="exact"/>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Dozavimas ir vartojimo metodas</w:t>
      </w:r>
    </w:p>
    <w:p w14:paraId="316FC7AE" w14:textId="77777777" w:rsidR="00612A8E" w:rsidRPr="00997273" w:rsidRDefault="00612A8E" w:rsidP="00612A8E">
      <w:pPr>
        <w:keepNext/>
        <w:tabs>
          <w:tab w:val="left" w:pos="567"/>
        </w:tabs>
        <w:rPr>
          <w:rFonts w:eastAsia="Times New Roman" w:cs="Times New Roman"/>
          <w:sz w:val="22"/>
          <w:szCs w:val="22"/>
          <w:lang w:val="lt-LT" w:eastAsia="lt-LT" w:bidi="lt-LT"/>
        </w:rPr>
      </w:pPr>
    </w:p>
    <w:p w14:paraId="284C2120" w14:textId="77777777" w:rsidR="00612A8E" w:rsidRPr="00997273" w:rsidRDefault="00612A8E" w:rsidP="00612A8E">
      <w:pPr>
        <w:keepNext/>
        <w:tabs>
          <w:tab w:val="left" w:pos="567"/>
        </w:tabs>
        <w:rPr>
          <w:rFonts w:eastAsia="Times New Roman" w:cs="Times New Roman"/>
          <w:sz w:val="22"/>
          <w:szCs w:val="22"/>
          <w:u w:val="single"/>
          <w:lang w:val="lt-LT" w:eastAsia="lt-LT" w:bidi="lt-LT"/>
        </w:rPr>
      </w:pPr>
      <w:r w:rsidRPr="00997273">
        <w:rPr>
          <w:rFonts w:eastAsia="Times New Roman" w:cs="Times New Roman"/>
          <w:sz w:val="22"/>
          <w:szCs w:val="22"/>
          <w:u w:val="single"/>
          <w:lang w:val="lt-LT" w:eastAsia="lt-LT" w:bidi="lt-LT"/>
        </w:rPr>
        <w:t>Dozavimas</w:t>
      </w:r>
    </w:p>
    <w:p w14:paraId="0196958B" w14:textId="7711880B" w:rsidR="00612A8E" w:rsidRPr="00997273" w:rsidRDefault="004B789E" w:rsidP="00612A8E">
      <w:pPr>
        <w:autoSpaceDE w:val="0"/>
        <w:autoSpaceDN w:val="0"/>
        <w:adjustRightInd w:val="0"/>
        <w:rPr>
          <w:rFonts w:cs="Times New Roman"/>
          <w:sz w:val="22"/>
          <w:szCs w:val="22"/>
          <w:lang w:val="lt-LT" w:eastAsia="en-US"/>
        </w:rPr>
      </w:pP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dozė yra</w:t>
      </w:r>
      <w:r w:rsidR="00612A8E" w:rsidRPr="00997273">
        <w:rPr>
          <w:rFonts w:cs="Times New Roman"/>
          <w:sz w:val="22"/>
          <w:szCs w:val="22"/>
          <w:lang w:val="lt-LT" w:eastAsia="en-US"/>
        </w:rPr>
        <w:t xml:space="preserve"> 10</w:t>
      </w:r>
      <w:r w:rsidRPr="00997273">
        <w:rPr>
          <w:rFonts w:cs="Times New Roman"/>
          <w:sz w:val="22"/>
          <w:szCs w:val="22"/>
          <w:lang w:val="lt-LT" w:eastAsia="en-US"/>
        </w:rPr>
        <w:t>0</w:t>
      </w:r>
      <w:r w:rsidR="00533943" w:rsidRPr="00997273">
        <w:rPr>
          <w:rFonts w:cs="Times New Roman"/>
          <w:sz w:val="22"/>
          <w:szCs w:val="22"/>
          <w:lang w:val="lt-LT" w:eastAsia="en-US"/>
        </w:rPr>
        <w:t> </w:t>
      </w:r>
      <w:r w:rsidRPr="00997273">
        <w:rPr>
          <w:rFonts w:cs="Times New Roman"/>
          <w:sz w:val="22"/>
          <w:szCs w:val="22"/>
          <w:lang w:val="lt-LT" w:eastAsia="en-US"/>
        </w:rPr>
        <w:t>mg per parą</w:t>
      </w:r>
      <w:r w:rsidR="00612A8E" w:rsidRPr="00997273">
        <w:rPr>
          <w:rFonts w:cs="Times New Roman"/>
          <w:sz w:val="22"/>
          <w:szCs w:val="22"/>
          <w:lang w:val="lt-LT" w:eastAsia="en-US"/>
        </w:rPr>
        <w:t>.</w:t>
      </w:r>
      <w:r w:rsidRPr="00997273">
        <w:rPr>
          <w:rFonts w:cs="Times New Roman"/>
          <w:sz w:val="22"/>
          <w:szCs w:val="22"/>
          <w:lang w:val="lt-LT" w:eastAsia="en-US"/>
        </w:rPr>
        <w:t xml:space="preserve"> Vartojant </w:t>
      </w:r>
      <w:r w:rsidR="00F1682D" w:rsidRPr="00997273">
        <w:rPr>
          <w:rFonts w:cs="Times New Roman"/>
          <w:sz w:val="22"/>
          <w:szCs w:val="22"/>
          <w:lang w:val="lt-LT" w:eastAsia="en-US"/>
        </w:rPr>
        <w:t xml:space="preserve">kartu </w:t>
      </w:r>
      <w:r w:rsidRPr="00997273">
        <w:rPr>
          <w:rFonts w:cs="Times New Roman"/>
          <w:sz w:val="22"/>
          <w:szCs w:val="22"/>
          <w:lang w:val="lt-LT" w:eastAsia="en-US"/>
        </w:rPr>
        <w:t xml:space="preserve">su </w:t>
      </w:r>
      <w:proofErr w:type="spellStart"/>
      <w:r w:rsidRPr="00997273">
        <w:rPr>
          <w:rFonts w:cs="Times New Roman"/>
          <w:sz w:val="22"/>
          <w:szCs w:val="22"/>
          <w:lang w:val="lt-LT" w:eastAsia="en-US"/>
        </w:rPr>
        <w:t>metforminu</w:t>
      </w:r>
      <w:proofErr w:type="spellEnd"/>
      <w:r w:rsidRPr="00997273">
        <w:rPr>
          <w:rFonts w:cs="Times New Roman"/>
          <w:sz w:val="22"/>
          <w:szCs w:val="22"/>
          <w:lang w:val="lt-LT" w:eastAsia="en-US"/>
        </w:rPr>
        <w:t xml:space="preserve"> ir (arba) </w:t>
      </w:r>
      <w:proofErr w:type="spellStart"/>
      <w:r w:rsidRPr="00997273">
        <w:rPr>
          <w:rFonts w:cs="Times New Roman"/>
          <w:sz w:val="22"/>
          <w:szCs w:val="22"/>
          <w:lang w:val="lt-LT" w:eastAsia="en-US"/>
        </w:rPr>
        <w:t>PPARγ</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agonistu</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metformino</w:t>
      </w:r>
      <w:proofErr w:type="spellEnd"/>
      <w:r w:rsidRPr="00997273">
        <w:rPr>
          <w:rFonts w:cs="Times New Roman"/>
          <w:sz w:val="22"/>
          <w:szCs w:val="22"/>
          <w:lang w:val="lt-LT" w:eastAsia="en-US"/>
        </w:rPr>
        <w:t xml:space="preserve"> ir (arba) </w:t>
      </w:r>
      <w:proofErr w:type="spellStart"/>
      <w:r w:rsidRPr="00997273">
        <w:rPr>
          <w:rFonts w:cs="Times New Roman"/>
          <w:sz w:val="22"/>
          <w:szCs w:val="22"/>
          <w:lang w:val="lt-LT" w:eastAsia="en-US"/>
        </w:rPr>
        <w:t>PPARγ</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agonist</w:t>
      </w:r>
      <w:r w:rsidR="00F1682D" w:rsidRPr="00997273">
        <w:rPr>
          <w:rFonts w:cs="Times New Roman"/>
          <w:sz w:val="22"/>
          <w:szCs w:val="22"/>
          <w:lang w:val="lt-LT" w:eastAsia="en-US"/>
        </w:rPr>
        <w:t>o</w:t>
      </w:r>
      <w:proofErr w:type="spellEnd"/>
      <w:r w:rsidR="00F1682D" w:rsidRPr="00997273">
        <w:rPr>
          <w:rFonts w:cs="Times New Roman"/>
          <w:sz w:val="22"/>
          <w:szCs w:val="22"/>
          <w:lang w:val="lt-LT" w:eastAsia="en-US"/>
        </w:rPr>
        <w:t xml:space="preserve"> </w:t>
      </w:r>
      <w:r w:rsidRPr="00997273">
        <w:rPr>
          <w:rFonts w:cs="Times New Roman"/>
          <w:sz w:val="22"/>
          <w:szCs w:val="22"/>
          <w:lang w:val="lt-LT" w:eastAsia="en-US"/>
        </w:rPr>
        <w:t>doz</w:t>
      </w:r>
      <w:r w:rsidR="00937839">
        <w:rPr>
          <w:rFonts w:cs="Times New Roman"/>
          <w:sz w:val="22"/>
          <w:szCs w:val="22"/>
          <w:lang w:val="lt-LT" w:eastAsia="en-US"/>
        </w:rPr>
        <w:t xml:space="preserve">ės turi būti nekeičiamos ir </w:t>
      </w:r>
      <w:r w:rsidR="00F1682D" w:rsidRPr="00997273">
        <w:rPr>
          <w:rFonts w:cs="Times New Roman"/>
          <w:sz w:val="22"/>
          <w:szCs w:val="22"/>
          <w:lang w:val="lt-LT" w:eastAsia="en-US"/>
        </w:rPr>
        <w:t xml:space="preserve">kartu </w:t>
      </w:r>
      <w:r w:rsidR="008E2E7A">
        <w:rPr>
          <w:rFonts w:cs="Times New Roman"/>
          <w:sz w:val="22"/>
          <w:szCs w:val="22"/>
          <w:lang w:val="lt-LT" w:eastAsia="en-US"/>
        </w:rPr>
        <w:t>skiriamas</w:t>
      </w:r>
      <w:r w:rsidR="00B04957" w:rsidRPr="00997273">
        <w:rPr>
          <w:rFonts w:cs="Times New Roman"/>
          <w:sz w:val="22"/>
          <w:szCs w:val="22"/>
          <w:lang w:val="lt-LT" w:eastAsia="en-US"/>
        </w:rPr>
        <w:t xml:space="preserve"> </w:t>
      </w:r>
      <w:proofErr w:type="spellStart"/>
      <w:r w:rsidR="00036BBD">
        <w:rPr>
          <w:rFonts w:cs="Times New Roman"/>
          <w:sz w:val="22"/>
          <w:szCs w:val="22"/>
          <w:lang w:val="lt-LT" w:eastAsia="en-US"/>
        </w:rPr>
        <w:t>Meliglix</w:t>
      </w:r>
      <w:proofErr w:type="spellEnd"/>
      <w:r w:rsidR="00B04957" w:rsidRPr="00997273">
        <w:rPr>
          <w:rFonts w:cs="Times New Roman"/>
          <w:sz w:val="22"/>
          <w:szCs w:val="22"/>
          <w:lang w:val="lt-LT" w:eastAsia="en-US"/>
        </w:rPr>
        <w:t>.</w:t>
      </w:r>
    </w:p>
    <w:p w14:paraId="3CDBC18C" w14:textId="77777777" w:rsidR="00036BBD" w:rsidRDefault="00036BBD" w:rsidP="00F1682D">
      <w:pPr>
        <w:autoSpaceDE w:val="0"/>
        <w:autoSpaceDN w:val="0"/>
        <w:adjustRightInd w:val="0"/>
        <w:rPr>
          <w:rFonts w:cs="Times New Roman"/>
          <w:sz w:val="22"/>
          <w:szCs w:val="22"/>
          <w:lang w:val="lt-LT" w:eastAsia="en-US"/>
        </w:rPr>
      </w:pPr>
    </w:p>
    <w:p w14:paraId="04F9DD67" w14:textId="5EEB1D01" w:rsidR="00F1682D" w:rsidRDefault="00036BBD" w:rsidP="00F1682D">
      <w:pPr>
        <w:autoSpaceDE w:val="0"/>
        <w:autoSpaceDN w:val="0"/>
        <w:adjustRightInd w:val="0"/>
        <w:rPr>
          <w:rFonts w:cs="Times New Roman"/>
          <w:sz w:val="22"/>
          <w:szCs w:val="22"/>
          <w:lang w:val="lt-LT" w:eastAsia="en-US"/>
        </w:rPr>
      </w:pPr>
      <w:proofErr w:type="spellStart"/>
      <w:r>
        <w:rPr>
          <w:rFonts w:cs="Times New Roman"/>
          <w:sz w:val="22"/>
          <w:szCs w:val="22"/>
          <w:lang w:val="lt-LT" w:eastAsia="en-US"/>
        </w:rPr>
        <w:t>Meliglix</w:t>
      </w:r>
      <w:proofErr w:type="spellEnd"/>
      <w:r w:rsidR="00F1682D" w:rsidRPr="00997273">
        <w:rPr>
          <w:rFonts w:cs="Times New Roman"/>
          <w:sz w:val="22"/>
          <w:szCs w:val="22"/>
          <w:lang w:val="lt-LT" w:eastAsia="en-US"/>
        </w:rPr>
        <w:t xml:space="preserve"> derinant su </w:t>
      </w:r>
      <w:proofErr w:type="spellStart"/>
      <w:r w:rsidR="00F1682D" w:rsidRPr="00997273">
        <w:rPr>
          <w:rFonts w:cs="Times New Roman"/>
          <w:sz w:val="22"/>
          <w:szCs w:val="22"/>
          <w:lang w:val="lt-LT" w:eastAsia="en-US"/>
        </w:rPr>
        <w:t>sulfonilurėjos</w:t>
      </w:r>
      <w:proofErr w:type="spellEnd"/>
      <w:r w:rsidR="00F1682D" w:rsidRPr="00997273">
        <w:rPr>
          <w:rFonts w:cs="Times New Roman"/>
          <w:sz w:val="22"/>
          <w:szCs w:val="22"/>
          <w:lang w:val="lt-LT" w:eastAsia="en-US"/>
        </w:rPr>
        <w:t xml:space="preserve"> dariniu arba insulinu, svarstytinas </w:t>
      </w:r>
      <w:proofErr w:type="spellStart"/>
      <w:r w:rsidR="00F1682D" w:rsidRPr="00997273">
        <w:rPr>
          <w:rFonts w:cs="Times New Roman"/>
          <w:sz w:val="22"/>
          <w:szCs w:val="22"/>
          <w:lang w:val="lt-LT" w:eastAsia="en-US"/>
        </w:rPr>
        <w:t>sulfonilurėjos</w:t>
      </w:r>
      <w:proofErr w:type="spellEnd"/>
      <w:r w:rsidR="00F1682D" w:rsidRPr="00997273">
        <w:rPr>
          <w:rFonts w:cs="Times New Roman"/>
          <w:sz w:val="22"/>
          <w:szCs w:val="22"/>
          <w:lang w:val="lt-LT" w:eastAsia="en-US"/>
        </w:rPr>
        <w:t xml:space="preserve"> darinio arba insulino </w:t>
      </w:r>
      <w:r w:rsidR="007A3DC7">
        <w:rPr>
          <w:rFonts w:cs="Times New Roman"/>
          <w:sz w:val="22"/>
          <w:szCs w:val="22"/>
          <w:lang w:val="lt-LT" w:eastAsia="en-US"/>
        </w:rPr>
        <w:t xml:space="preserve">dozės </w:t>
      </w:r>
      <w:r w:rsidR="00F1682D" w:rsidRPr="00997273">
        <w:rPr>
          <w:rFonts w:cs="Times New Roman"/>
          <w:sz w:val="22"/>
          <w:szCs w:val="22"/>
          <w:lang w:val="lt-LT" w:eastAsia="en-US"/>
        </w:rPr>
        <w:t>maž</w:t>
      </w:r>
      <w:r w:rsidR="007A3DC7">
        <w:rPr>
          <w:rFonts w:cs="Times New Roman"/>
          <w:sz w:val="22"/>
          <w:szCs w:val="22"/>
          <w:lang w:val="lt-LT" w:eastAsia="en-US"/>
        </w:rPr>
        <w:t>inimas</w:t>
      </w:r>
      <w:r w:rsidR="00F1682D" w:rsidRPr="00997273">
        <w:rPr>
          <w:rFonts w:cs="Times New Roman"/>
          <w:sz w:val="22"/>
          <w:szCs w:val="22"/>
          <w:lang w:val="lt-LT" w:eastAsia="en-US"/>
        </w:rPr>
        <w:t>, siekiant sumažinti hipoglikemijos rizik</w:t>
      </w:r>
      <w:r w:rsidR="00BD5F77" w:rsidRPr="00997273">
        <w:rPr>
          <w:rFonts w:cs="Times New Roman"/>
          <w:sz w:val="22"/>
          <w:szCs w:val="22"/>
          <w:lang w:val="lt-LT" w:eastAsia="en-US"/>
        </w:rPr>
        <w:t>ą</w:t>
      </w:r>
      <w:r w:rsidR="00F1682D" w:rsidRPr="00997273">
        <w:rPr>
          <w:rFonts w:cs="Times New Roman"/>
          <w:sz w:val="22"/>
          <w:szCs w:val="22"/>
          <w:lang w:val="lt-LT" w:eastAsia="en-US"/>
        </w:rPr>
        <w:t xml:space="preserve"> (žr. 4.4 skyrių).</w:t>
      </w:r>
    </w:p>
    <w:p w14:paraId="69368FD4" w14:textId="77777777" w:rsidR="00036BBD" w:rsidRPr="00997273" w:rsidRDefault="00036BBD" w:rsidP="00F1682D">
      <w:pPr>
        <w:autoSpaceDE w:val="0"/>
        <w:autoSpaceDN w:val="0"/>
        <w:adjustRightInd w:val="0"/>
        <w:rPr>
          <w:rFonts w:cs="Times New Roman"/>
          <w:sz w:val="22"/>
          <w:szCs w:val="22"/>
          <w:lang w:val="lt-LT" w:eastAsia="en-US"/>
        </w:rPr>
      </w:pPr>
    </w:p>
    <w:p w14:paraId="667B9E66" w14:textId="766F8314" w:rsidR="00F1682D" w:rsidRPr="00997273" w:rsidRDefault="00F1682D" w:rsidP="00F1682D">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Jeigu </w:t>
      </w:r>
      <w:proofErr w:type="spellStart"/>
      <w:r w:rsidR="00036BBD">
        <w:rPr>
          <w:rFonts w:cs="Times New Roman"/>
          <w:sz w:val="22"/>
          <w:szCs w:val="22"/>
          <w:lang w:val="lt-LT" w:eastAsia="en-US"/>
        </w:rPr>
        <w:t>Meliglix</w:t>
      </w:r>
      <w:proofErr w:type="spellEnd"/>
      <w:r w:rsidR="00036BBD" w:rsidRPr="00997273">
        <w:rPr>
          <w:rFonts w:cs="Times New Roman"/>
          <w:sz w:val="22"/>
          <w:szCs w:val="22"/>
          <w:lang w:val="lt-LT" w:eastAsia="en-US"/>
        </w:rPr>
        <w:t xml:space="preserve"> </w:t>
      </w:r>
      <w:r w:rsidRPr="00997273">
        <w:rPr>
          <w:rFonts w:cs="Times New Roman"/>
          <w:sz w:val="22"/>
          <w:szCs w:val="22"/>
          <w:lang w:val="lt-LT" w:eastAsia="en-US"/>
        </w:rPr>
        <w:t>dozę pacientas praleidžia, ją jis turi išgerti tuoj pat, kai tik prisimena. Dvigubos dozės tą pačią parą vartoti negalima.</w:t>
      </w:r>
    </w:p>
    <w:p w14:paraId="2F789539" w14:textId="77777777" w:rsidR="00F1682D" w:rsidRPr="00997273" w:rsidRDefault="00F1682D" w:rsidP="00F1682D">
      <w:pPr>
        <w:autoSpaceDE w:val="0"/>
        <w:autoSpaceDN w:val="0"/>
        <w:adjustRightInd w:val="0"/>
        <w:rPr>
          <w:rFonts w:cs="Times New Roman"/>
          <w:sz w:val="22"/>
          <w:szCs w:val="22"/>
          <w:lang w:val="lt-LT" w:eastAsia="en-US"/>
        </w:rPr>
      </w:pPr>
    </w:p>
    <w:p w14:paraId="40017117" w14:textId="77777777" w:rsidR="00F1682D" w:rsidRPr="00997273" w:rsidRDefault="00F1682D" w:rsidP="00F1682D">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Ypatingos populiacijos</w:t>
      </w:r>
    </w:p>
    <w:p w14:paraId="7CFBD7A4" w14:textId="77777777" w:rsidR="00F1682D" w:rsidRPr="00997273" w:rsidRDefault="00F1682D" w:rsidP="00F1682D">
      <w:pPr>
        <w:autoSpaceDE w:val="0"/>
        <w:autoSpaceDN w:val="0"/>
        <w:adjustRightInd w:val="0"/>
        <w:rPr>
          <w:rFonts w:eastAsia="TimesNewRoman,Italic" w:cs="Times New Roman"/>
          <w:i/>
          <w:iCs/>
          <w:sz w:val="22"/>
          <w:szCs w:val="22"/>
          <w:lang w:val="lt-LT" w:eastAsia="en-US"/>
        </w:rPr>
      </w:pPr>
      <w:r w:rsidRPr="00997273">
        <w:rPr>
          <w:rFonts w:eastAsia="TimesNewRoman,Italic" w:cs="Times New Roman"/>
          <w:i/>
          <w:iCs/>
          <w:sz w:val="22"/>
          <w:szCs w:val="22"/>
          <w:lang w:val="lt-LT" w:eastAsia="en-US"/>
        </w:rPr>
        <w:t>Pacientams, kurių inkstų funkcija sutrikusi</w:t>
      </w:r>
    </w:p>
    <w:p w14:paraId="648CAFFA" w14:textId="7CC48DFF" w:rsidR="00F1682D" w:rsidRPr="00997273" w:rsidRDefault="00F1682D" w:rsidP="00F1682D">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Svarstant apie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ir kito vaistinio preparato nuo cukrinio diabeto paskyrimą pacientui, kurio inkstų </w:t>
      </w:r>
      <w:r w:rsidR="00E9122A">
        <w:rPr>
          <w:rFonts w:cs="Times New Roman"/>
          <w:sz w:val="22"/>
          <w:szCs w:val="22"/>
          <w:lang w:val="lt-LT" w:eastAsia="en-US"/>
        </w:rPr>
        <w:t xml:space="preserve">funkcijos </w:t>
      </w:r>
      <w:r w:rsidRPr="00997273">
        <w:rPr>
          <w:rFonts w:cs="Times New Roman"/>
          <w:sz w:val="22"/>
          <w:szCs w:val="22"/>
          <w:lang w:val="lt-LT" w:eastAsia="en-US"/>
        </w:rPr>
        <w:t xml:space="preserve">yra sutrikusi, turi būti patikrintos </w:t>
      </w:r>
      <w:r w:rsidR="00654B53">
        <w:rPr>
          <w:rFonts w:cs="Times New Roman"/>
          <w:sz w:val="22"/>
          <w:szCs w:val="22"/>
          <w:lang w:val="lt-LT" w:eastAsia="en-US"/>
        </w:rPr>
        <w:t>minėtų vaist</w:t>
      </w:r>
      <w:r w:rsidR="0010148D">
        <w:rPr>
          <w:rFonts w:cs="Times New Roman"/>
          <w:sz w:val="22"/>
          <w:szCs w:val="22"/>
          <w:lang w:val="lt-LT" w:eastAsia="en-US"/>
        </w:rPr>
        <w:t>inių preparat</w:t>
      </w:r>
      <w:r w:rsidR="00654B53">
        <w:rPr>
          <w:rFonts w:cs="Times New Roman"/>
          <w:sz w:val="22"/>
          <w:szCs w:val="22"/>
          <w:lang w:val="lt-LT" w:eastAsia="en-US"/>
        </w:rPr>
        <w:t>ų</w:t>
      </w:r>
      <w:r w:rsidRPr="00997273">
        <w:rPr>
          <w:rFonts w:cs="Times New Roman"/>
          <w:sz w:val="22"/>
          <w:szCs w:val="22"/>
          <w:lang w:val="lt-LT" w:eastAsia="en-US"/>
        </w:rPr>
        <w:t xml:space="preserve"> skyrimo sąlygos.</w:t>
      </w:r>
    </w:p>
    <w:p w14:paraId="0447FE56" w14:textId="77777777" w:rsidR="00F1682D" w:rsidRPr="00997273" w:rsidRDefault="00F1682D" w:rsidP="00F1682D">
      <w:pPr>
        <w:autoSpaceDE w:val="0"/>
        <w:autoSpaceDN w:val="0"/>
        <w:adjustRightInd w:val="0"/>
        <w:rPr>
          <w:rFonts w:cs="Times New Roman"/>
          <w:sz w:val="22"/>
          <w:szCs w:val="22"/>
          <w:lang w:val="lt-LT" w:eastAsia="en-US"/>
        </w:rPr>
      </w:pPr>
    </w:p>
    <w:p w14:paraId="58F4EE06" w14:textId="725F0E94" w:rsidR="00F1682D" w:rsidRDefault="00F1682D" w:rsidP="00B61A33">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Pacientams, </w:t>
      </w:r>
      <w:r w:rsidR="001E6C2E">
        <w:rPr>
          <w:rFonts w:cs="Times New Roman"/>
          <w:sz w:val="22"/>
          <w:szCs w:val="22"/>
          <w:lang w:val="lt-LT" w:eastAsia="en-US"/>
        </w:rPr>
        <w:t>kuriems yra</w:t>
      </w:r>
      <w:r w:rsidRPr="00997273">
        <w:rPr>
          <w:rFonts w:cs="Times New Roman"/>
          <w:sz w:val="22"/>
          <w:szCs w:val="22"/>
          <w:lang w:val="lt-LT" w:eastAsia="en-US"/>
        </w:rPr>
        <w:t xml:space="preserve"> lengv</w:t>
      </w:r>
      <w:r w:rsidR="001E6C2E">
        <w:rPr>
          <w:rFonts w:cs="Times New Roman"/>
          <w:sz w:val="22"/>
          <w:szCs w:val="22"/>
          <w:lang w:val="lt-LT" w:eastAsia="en-US"/>
        </w:rPr>
        <w:t>as</w:t>
      </w:r>
      <w:r w:rsidRPr="00997273">
        <w:rPr>
          <w:rFonts w:cs="Times New Roman"/>
          <w:sz w:val="22"/>
          <w:szCs w:val="22"/>
          <w:lang w:val="lt-LT" w:eastAsia="en-US"/>
        </w:rPr>
        <w:t xml:space="preserve"> inkstų</w:t>
      </w:r>
      <w:r w:rsidR="00E9122A">
        <w:rPr>
          <w:rFonts w:cs="Times New Roman"/>
          <w:sz w:val="22"/>
          <w:szCs w:val="22"/>
          <w:lang w:val="lt-LT" w:eastAsia="en-US"/>
        </w:rPr>
        <w:t xml:space="preserve"> funkcijos</w:t>
      </w:r>
      <w:r w:rsidRPr="00997273">
        <w:rPr>
          <w:rFonts w:cs="Times New Roman"/>
          <w:sz w:val="22"/>
          <w:szCs w:val="22"/>
          <w:lang w:val="lt-LT" w:eastAsia="en-US"/>
        </w:rPr>
        <w:t xml:space="preserve"> sutrikim</w:t>
      </w:r>
      <w:r w:rsidR="001E6C2E">
        <w:rPr>
          <w:rFonts w:cs="Times New Roman"/>
          <w:sz w:val="22"/>
          <w:szCs w:val="22"/>
          <w:lang w:val="lt-LT" w:eastAsia="en-US"/>
        </w:rPr>
        <w:t>as</w:t>
      </w:r>
      <w:r w:rsidRPr="00997273">
        <w:rPr>
          <w:rFonts w:cs="Times New Roman"/>
          <w:sz w:val="22"/>
          <w:szCs w:val="22"/>
          <w:lang w:val="lt-LT" w:eastAsia="en-US"/>
        </w:rPr>
        <w:t xml:space="preserve"> (</w:t>
      </w:r>
      <w:proofErr w:type="spellStart"/>
      <w:r w:rsidR="00B61A33" w:rsidRPr="00997273">
        <w:rPr>
          <w:rFonts w:cs="Times New Roman"/>
          <w:sz w:val="22"/>
          <w:szCs w:val="22"/>
          <w:lang w:val="lt-LT" w:eastAsia="en-US"/>
        </w:rPr>
        <w:t>glomerul</w:t>
      </w:r>
      <w:r w:rsidR="00B61A33" w:rsidRPr="00997273">
        <w:rPr>
          <w:rFonts w:cs="Times New Roman" w:hint="eastAsia"/>
          <w:sz w:val="22"/>
          <w:szCs w:val="22"/>
          <w:lang w:val="lt-LT" w:eastAsia="en-US"/>
        </w:rPr>
        <w:t>ų</w:t>
      </w:r>
      <w:proofErr w:type="spellEnd"/>
      <w:r w:rsidR="00B61A33" w:rsidRPr="00997273">
        <w:rPr>
          <w:rFonts w:cs="Times New Roman"/>
          <w:sz w:val="22"/>
          <w:szCs w:val="22"/>
          <w:lang w:val="lt-LT" w:eastAsia="en-US"/>
        </w:rPr>
        <w:t xml:space="preserve"> filtracijos greitis [GFG] yra nuo</w:t>
      </w:r>
      <w:r w:rsidR="001E6C2E">
        <w:rPr>
          <w:rFonts w:cs="Times New Roman"/>
          <w:sz w:val="22"/>
          <w:szCs w:val="22"/>
          <w:lang w:val="lt-LT" w:eastAsia="en-US"/>
        </w:rPr>
        <w:t xml:space="preserve"> </w:t>
      </w:r>
      <w:r w:rsidR="00B61A33" w:rsidRPr="00997273">
        <w:rPr>
          <w:rFonts w:cs="Times New Roman"/>
          <w:sz w:val="22"/>
          <w:szCs w:val="22"/>
          <w:lang w:val="lt-LT" w:eastAsia="en-US"/>
        </w:rPr>
        <w:t>≥</w:t>
      </w:r>
      <w:r w:rsidR="001E6C2E">
        <w:rPr>
          <w:rFonts w:cs="Times New Roman"/>
          <w:sz w:val="22"/>
          <w:szCs w:val="22"/>
          <w:lang w:val="lt-LT" w:eastAsia="en-US"/>
        </w:rPr>
        <w:t> </w:t>
      </w:r>
      <w:r w:rsidR="00B61A33" w:rsidRPr="00997273">
        <w:rPr>
          <w:rFonts w:cs="Times New Roman"/>
          <w:sz w:val="22"/>
          <w:szCs w:val="22"/>
          <w:lang w:val="lt-LT" w:eastAsia="en-US"/>
        </w:rPr>
        <w:t>60</w:t>
      </w:r>
      <w:r w:rsidR="00177DFE" w:rsidRPr="00997273">
        <w:rPr>
          <w:rFonts w:cs="Times New Roman"/>
          <w:sz w:val="22"/>
          <w:szCs w:val="22"/>
          <w:lang w:val="lt-LT" w:eastAsia="en-US"/>
        </w:rPr>
        <w:t> </w:t>
      </w:r>
      <w:r w:rsidR="00B61A33" w:rsidRPr="00997273">
        <w:rPr>
          <w:rFonts w:cs="Times New Roman"/>
          <w:sz w:val="22"/>
          <w:szCs w:val="22"/>
          <w:lang w:val="lt-LT" w:eastAsia="en-US"/>
        </w:rPr>
        <w:t>ml/min. iki &lt;</w:t>
      </w:r>
      <w:r w:rsidR="001E6C2E">
        <w:rPr>
          <w:rFonts w:cs="Times New Roman"/>
          <w:sz w:val="22"/>
          <w:szCs w:val="22"/>
          <w:lang w:val="lt-LT" w:eastAsia="en-US"/>
        </w:rPr>
        <w:t> </w:t>
      </w:r>
      <w:r w:rsidR="00B61A33" w:rsidRPr="00997273">
        <w:rPr>
          <w:rFonts w:cs="Times New Roman"/>
          <w:sz w:val="22"/>
          <w:szCs w:val="22"/>
          <w:lang w:val="lt-LT" w:eastAsia="en-US"/>
        </w:rPr>
        <w:t>90</w:t>
      </w:r>
      <w:r w:rsidR="00177DFE" w:rsidRPr="00997273">
        <w:rPr>
          <w:rFonts w:cs="Times New Roman"/>
          <w:sz w:val="22"/>
          <w:szCs w:val="22"/>
          <w:lang w:val="lt-LT" w:eastAsia="en-US"/>
        </w:rPr>
        <w:t> </w:t>
      </w:r>
      <w:r w:rsidR="00B61A33" w:rsidRPr="00997273">
        <w:rPr>
          <w:rFonts w:cs="Times New Roman"/>
          <w:sz w:val="22"/>
          <w:szCs w:val="22"/>
          <w:lang w:val="lt-LT" w:eastAsia="en-US"/>
        </w:rPr>
        <w:t>ml/min.</w:t>
      </w:r>
      <w:r w:rsidRPr="00997273">
        <w:rPr>
          <w:rFonts w:cs="Times New Roman"/>
          <w:sz w:val="22"/>
          <w:szCs w:val="22"/>
          <w:lang w:val="lt-LT" w:eastAsia="en-US"/>
        </w:rPr>
        <w:t>), doz</w:t>
      </w:r>
      <w:r w:rsidR="001E6C2E">
        <w:rPr>
          <w:rFonts w:cs="Times New Roman"/>
          <w:sz w:val="22"/>
          <w:szCs w:val="22"/>
          <w:lang w:val="lt-LT" w:eastAsia="en-US"/>
        </w:rPr>
        <w:t>ė</w:t>
      </w:r>
      <w:r w:rsidRPr="00997273">
        <w:rPr>
          <w:rFonts w:cs="Times New Roman"/>
          <w:sz w:val="22"/>
          <w:szCs w:val="22"/>
          <w:lang w:val="lt-LT" w:eastAsia="en-US"/>
        </w:rPr>
        <w:t>s keisti nereikia.</w:t>
      </w:r>
    </w:p>
    <w:p w14:paraId="60B62E7D" w14:textId="77777777" w:rsidR="00036BBD" w:rsidRPr="00997273" w:rsidRDefault="00036BBD" w:rsidP="00B61A33">
      <w:pPr>
        <w:autoSpaceDE w:val="0"/>
        <w:autoSpaceDN w:val="0"/>
        <w:adjustRightInd w:val="0"/>
        <w:rPr>
          <w:rFonts w:cs="Times New Roman"/>
          <w:sz w:val="22"/>
          <w:szCs w:val="22"/>
          <w:lang w:val="lt-LT" w:eastAsia="en-US"/>
        </w:rPr>
      </w:pPr>
    </w:p>
    <w:p w14:paraId="40CDD90D" w14:textId="43BF26D2" w:rsidR="00B61A33" w:rsidRDefault="00F1682D" w:rsidP="00B61A33">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Pacientams, kuriems yra vidutinio sunkumo inkstų </w:t>
      </w:r>
      <w:r w:rsidR="00E9122A">
        <w:rPr>
          <w:rFonts w:cs="Times New Roman"/>
          <w:sz w:val="22"/>
          <w:szCs w:val="22"/>
          <w:lang w:val="lt-LT" w:eastAsia="en-US"/>
        </w:rPr>
        <w:t xml:space="preserve">funkcijos </w:t>
      </w:r>
      <w:r w:rsidRPr="00997273">
        <w:rPr>
          <w:rFonts w:cs="Times New Roman"/>
          <w:sz w:val="22"/>
          <w:szCs w:val="22"/>
          <w:lang w:val="lt-LT" w:eastAsia="en-US"/>
        </w:rPr>
        <w:t xml:space="preserve">sutrikimas </w:t>
      </w:r>
      <w:r w:rsidR="001E6C2E">
        <w:rPr>
          <w:rFonts w:cs="Times New Roman"/>
          <w:sz w:val="22"/>
          <w:szCs w:val="22"/>
          <w:lang w:val="lt-LT" w:eastAsia="en-US"/>
        </w:rPr>
        <w:t>(</w:t>
      </w:r>
      <w:r w:rsidR="00B61A33" w:rsidRPr="00997273">
        <w:rPr>
          <w:rFonts w:cs="Times New Roman"/>
          <w:sz w:val="22"/>
          <w:szCs w:val="22"/>
          <w:lang w:val="lt-LT" w:eastAsia="en-US"/>
        </w:rPr>
        <w:t>GFG nuo ≥</w:t>
      </w:r>
      <w:r w:rsidR="001E6C2E">
        <w:rPr>
          <w:rFonts w:cs="Times New Roman"/>
          <w:sz w:val="22"/>
          <w:szCs w:val="22"/>
          <w:lang w:val="lt-LT" w:eastAsia="en-US"/>
        </w:rPr>
        <w:t> </w:t>
      </w:r>
      <w:r w:rsidR="00B61A33" w:rsidRPr="00997273">
        <w:rPr>
          <w:rFonts w:cs="Times New Roman"/>
          <w:sz w:val="22"/>
          <w:szCs w:val="22"/>
          <w:lang w:val="lt-LT" w:eastAsia="en-US"/>
        </w:rPr>
        <w:t>45</w:t>
      </w:r>
      <w:r w:rsidR="00177DFE" w:rsidRPr="00997273">
        <w:rPr>
          <w:rFonts w:cs="Times New Roman"/>
          <w:sz w:val="22"/>
          <w:szCs w:val="22"/>
          <w:lang w:val="lt-LT" w:eastAsia="en-US"/>
        </w:rPr>
        <w:t> </w:t>
      </w:r>
      <w:r w:rsidR="00B61A33" w:rsidRPr="00997273">
        <w:rPr>
          <w:rFonts w:cs="Times New Roman"/>
          <w:sz w:val="22"/>
          <w:szCs w:val="22"/>
          <w:lang w:val="lt-LT" w:eastAsia="en-US"/>
        </w:rPr>
        <w:t>ml/min. iki</w:t>
      </w:r>
      <w:r w:rsidR="001E6C2E">
        <w:rPr>
          <w:rFonts w:cs="Times New Roman"/>
          <w:sz w:val="22"/>
          <w:szCs w:val="22"/>
          <w:lang w:val="lt-LT" w:eastAsia="en-US"/>
        </w:rPr>
        <w:t xml:space="preserve"> </w:t>
      </w:r>
      <w:r w:rsidR="00B61A33" w:rsidRPr="00997273">
        <w:rPr>
          <w:rFonts w:cs="Times New Roman"/>
          <w:sz w:val="22"/>
          <w:szCs w:val="22"/>
          <w:lang w:val="lt-LT" w:eastAsia="en-US"/>
        </w:rPr>
        <w:t>&lt;</w:t>
      </w:r>
      <w:r w:rsidR="001E6C2E">
        <w:rPr>
          <w:rFonts w:cs="Times New Roman"/>
          <w:sz w:val="22"/>
          <w:szCs w:val="22"/>
          <w:lang w:val="lt-LT" w:eastAsia="en-US"/>
        </w:rPr>
        <w:t> </w:t>
      </w:r>
      <w:r w:rsidR="00B61A33" w:rsidRPr="00997273">
        <w:rPr>
          <w:rFonts w:cs="Times New Roman"/>
          <w:sz w:val="22"/>
          <w:szCs w:val="22"/>
          <w:lang w:val="lt-LT" w:eastAsia="en-US"/>
        </w:rPr>
        <w:t>60</w:t>
      </w:r>
      <w:r w:rsidR="00177DFE" w:rsidRPr="00997273">
        <w:rPr>
          <w:rFonts w:cs="Times New Roman"/>
          <w:sz w:val="22"/>
          <w:szCs w:val="22"/>
          <w:lang w:val="lt-LT" w:eastAsia="en-US"/>
        </w:rPr>
        <w:t> </w:t>
      </w:r>
      <w:r w:rsidR="00B61A33" w:rsidRPr="00997273">
        <w:rPr>
          <w:rFonts w:cs="Times New Roman"/>
          <w:sz w:val="22"/>
          <w:szCs w:val="22"/>
          <w:lang w:val="lt-LT" w:eastAsia="en-US"/>
        </w:rPr>
        <w:t>ml/min.), doz</w:t>
      </w:r>
      <w:r w:rsidR="00B61A33" w:rsidRPr="00997273">
        <w:rPr>
          <w:rFonts w:cs="Times New Roman" w:hint="eastAsia"/>
          <w:sz w:val="22"/>
          <w:szCs w:val="22"/>
          <w:lang w:val="lt-LT" w:eastAsia="en-US"/>
        </w:rPr>
        <w:t>ė</w:t>
      </w:r>
      <w:r w:rsidR="00B61A33" w:rsidRPr="00997273">
        <w:rPr>
          <w:rFonts w:cs="Times New Roman"/>
          <w:sz w:val="22"/>
          <w:szCs w:val="22"/>
          <w:lang w:val="lt-LT" w:eastAsia="en-US"/>
        </w:rPr>
        <w:t>s keisti nereikia.</w:t>
      </w:r>
    </w:p>
    <w:p w14:paraId="48224A33" w14:textId="77777777" w:rsidR="00036BBD" w:rsidRPr="00997273" w:rsidRDefault="00036BBD" w:rsidP="00B61A33">
      <w:pPr>
        <w:autoSpaceDE w:val="0"/>
        <w:autoSpaceDN w:val="0"/>
        <w:adjustRightInd w:val="0"/>
        <w:rPr>
          <w:rFonts w:cs="Times New Roman"/>
          <w:sz w:val="22"/>
          <w:szCs w:val="22"/>
          <w:lang w:val="lt-LT" w:eastAsia="en-US"/>
        </w:rPr>
      </w:pPr>
    </w:p>
    <w:p w14:paraId="3BDB3E16" w14:textId="17412513" w:rsidR="00F1682D" w:rsidRDefault="009C703B" w:rsidP="009C703B">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Pacientams, kuriems yra vidutinio sunkumo inkstų </w:t>
      </w:r>
      <w:r w:rsidR="00E9122A">
        <w:rPr>
          <w:rFonts w:cs="Times New Roman"/>
          <w:sz w:val="22"/>
          <w:szCs w:val="22"/>
          <w:lang w:val="lt-LT" w:eastAsia="en-US"/>
        </w:rPr>
        <w:t xml:space="preserve">funkcijos </w:t>
      </w:r>
      <w:r w:rsidRPr="00997273">
        <w:rPr>
          <w:rFonts w:cs="Times New Roman"/>
          <w:sz w:val="22"/>
          <w:szCs w:val="22"/>
          <w:lang w:val="lt-LT" w:eastAsia="en-US"/>
        </w:rPr>
        <w:t>sutrikimas (GFG nuo ≥</w:t>
      </w:r>
      <w:r w:rsidR="00FC29F7">
        <w:rPr>
          <w:rFonts w:cs="Times New Roman"/>
          <w:sz w:val="22"/>
          <w:szCs w:val="22"/>
          <w:lang w:val="lt-LT" w:eastAsia="en-US"/>
        </w:rPr>
        <w:t> </w:t>
      </w:r>
      <w:r w:rsidRPr="00997273">
        <w:rPr>
          <w:rFonts w:cs="Times New Roman"/>
          <w:sz w:val="22"/>
          <w:szCs w:val="22"/>
          <w:lang w:val="lt-LT" w:eastAsia="en-US"/>
        </w:rPr>
        <w:t>30</w:t>
      </w:r>
      <w:r w:rsidR="00177DFE" w:rsidRPr="00997273">
        <w:rPr>
          <w:rFonts w:cs="Times New Roman"/>
          <w:sz w:val="22"/>
          <w:szCs w:val="22"/>
          <w:lang w:val="lt-LT" w:eastAsia="en-US"/>
        </w:rPr>
        <w:t> </w:t>
      </w:r>
      <w:r w:rsidRPr="00997273">
        <w:rPr>
          <w:rFonts w:cs="Times New Roman"/>
          <w:sz w:val="22"/>
          <w:szCs w:val="22"/>
          <w:lang w:val="lt-LT" w:eastAsia="en-US"/>
        </w:rPr>
        <w:t>ml/min. iki</w:t>
      </w:r>
      <w:r w:rsidR="00FC29F7">
        <w:rPr>
          <w:rFonts w:cs="Times New Roman"/>
          <w:sz w:val="22"/>
          <w:szCs w:val="22"/>
          <w:lang w:val="lt-LT" w:eastAsia="en-US"/>
        </w:rPr>
        <w:t xml:space="preserve"> </w:t>
      </w:r>
      <w:r w:rsidRPr="00997273">
        <w:rPr>
          <w:rFonts w:cs="Times New Roman"/>
          <w:sz w:val="22"/>
          <w:szCs w:val="22"/>
          <w:lang w:val="lt-LT" w:eastAsia="en-US"/>
        </w:rPr>
        <w:t>&lt;</w:t>
      </w:r>
      <w:r w:rsidR="00FC29F7">
        <w:rPr>
          <w:rFonts w:cs="Times New Roman"/>
          <w:sz w:val="22"/>
          <w:szCs w:val="22"/>
          <w:lang w:val="lt-LT" w:eastAsia="en-US"/>
        </w:rPr>
        <w:t> </w:t>
      </w:r>
      <w:r w:rsidRPr="00997273">
        <w:rPr>
          <w:rFonts w:cs="Times New Roman"/>
          <w:sz w:val="22"/>
          <w:szCs w:val="22"/>
          <w:lang w:val="lt-LT" w:eastAsia="en-US"/>
        </w:rPr>
        <w:t>45</w:t>
      </w:r>
      <w:r w:rsidR="00FC29F7">
        <w:rPr>
          <w:rFonts w:cs="Times New Roman"/>
          <w:sz w:val="22"/>
          <w:szCs w:val="22"/>
          <w:lang w:val="lt-LT" w:eastAsia="en-US"/>
        </w:rPr>
        <w:t> </w:t>
      </w:r>
      <w:r w:rsidRPr="00997273">
        <w:rPr>
          <w:rFonts w:cs="Times New Roman"/>
          <w:sz w:val="22"/>
          <w:szCs w:val="22"/>
          <w:lang w:val="lt-LT" w:eastAsia="en-US"/>
        </w:rPr>
        <w:t xml:space="preserve">ml/min.), </w:t>
      </w:r>
      <w:proofErr w:type="spellStart"/>
      <w:r w:rsidR="00177DFE" w:rsidRPr="00997273">
        <w:rPr>
          <w:rFonts w:cs="Times New Roman"/>
          <w:sz w:val="22"/>
          <w:szCs w:val="22"/>
          <w:lang w:val="lt-LT" w:eastAsia="en-US"/>
        </w:rPr>
        <w:t>sitagliptino</w:t>
      </w:r>
      <w:proofErr w:type="spellEnd"/>
      <w:r w:rsidR="00177DFE" w:rsidRPr="00997273">
        <w:rPr>
          <w:rFonts w:cs="Times New Roman"/>
          <w:sz w:val="22"/>
          <w:szCs w:val="22"/>
          <w:lang w:val="lt-LT" w:eastAsia="en-US"/>
        </w:rPr>
        <w:t xml:space="preserve"> </w:t>
      </w:r>
      <w:r w:rsidRPr="00997273">
        <w:rPr>
          <w:rFonts w:cs="Times New Roman"/>
          <w:sz w:val="22"/>
          <w:szCs w:val="22"/>
          <w:lang w:val="lt-LT" w:eastAsia="en-US"/>
        </w:rPr>
        <w:t>dozė yra 50</w:t>
      </w:r>
      <w:r w:rsidR="00177DFE" w:rsidRPr="00997273">
        <w:rPr>
          <w:rFonts w:cs="Times New Roman"/>
          <w:sz w:val="22"/>
          <w:szCs w:val="22"/>
          <w:lang w:val="lt-LT" w:eastAsia="en-US"/>
        </w:rPr>
        <w:t> </w:t>
      </w:r>
      <w:r w:rsidRPr="00997273">
        <w:rPr>
          <w:rFonts w:cs="Times New Roman"/>
          <w:sz w:val="22"/>
          <w:szCs w:val="22"/>
          <w:lang w:val="lt-LT" w:eastAsia="en-US"/>
        </w:rPr>
        <w:t>mg vieną kartą per parą.</w:t>
      </w:r>
      <w:r w:rsidRPr="00997273" w:rsidDel="00B61A33">
        <w:rPr>
          <w:rFonts w:cs="Times New Roman"/>
          <w:sz w:val="22"/>
          <w:szCs w:val="22"/>
          <w:lang w:val="lt-LT" w:eastAsia="en-US"/>
        </w:rPr>
        <w:t xml:space="preserve"> </w:t>
      </w:r>
    </w:p>
    <w:p w14:paraId="668569BB" w14:textId="77777777" w:rsidR="00036BBD" w:rsidRPr="00997273" w:rsidRDefault="00036BBD" w:rsidP="009C703B">
      <w:pPr>
        <w:autoSpaceDE w:val="0"/>
        <w:autoSpaceDN w:val="0"/>
        <w:adjustRightInd w:val="0"/>
        <w:rPr>
          <w:rFonts w:cs="Times New Roman"/>
          <w:sz w:val="22"/>
          <w:szCs w:val="22"/>
          <w:lang w:val="lt-LT" w:eastAsia="en-US"/>
        </w:rPr>
      </w:pPr>
    </w:p>
    <w:p w14:paraId="732CDF27" w14:textId="62C1507D" w:rsidR="00F1682D" w:rsidRPr="00997273" w:rsidRDefault="00F1682D" w:rsidP="00F1682D">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Pacientams, kuriems yra sunkus inkstų </w:t>
      </w:r>
      <w:r w:rsidR="00E9122A">
        <w:rPr>
          <w:rFonts w:cs="Times New Roman"/>
          <w:sz w:val="22"/>
          <w:szCs w:val="22"/>
          <w:lang w:val="lt-LT" w:eastAsia="en-US"/>
        </w:rPr>
        <w:t xml:space="preserve">funkcijos </w:t>
      </w:r>
      <w:r w:rsidRPr="00997273">
        <w:rPr>
          <w:rFonts w:cs="Times New Roman"/>
          <w:sz w:val="22"/>
          <w:szCs w:val="22"/>
          <w:lang w:val="lt-LT" w:eastAsia="en-US"/>
        </w:rPr>
        <w:t>sutrikimas (</w:t>
      </w:r>
      <w:r w:rsidR="009C703B" w:rsidRPr="00997273">
        <w:rPr>
          <w:rFonts w:cs="Times New Roman"/>
          <w:sz w:val="22"/>
          <w:szCs w:val="22"/>
          <w:lang w:val="lt-LT" w:eastAsia="en-US"/>
        </w:rPr>
        <w:t>GFG nuo ≥</w:t>
      </w:r>
      <w:r w:rsidR="00FC29F7">
        <w:rPr>
          <w:rFonts w:cs="Times New Roman"/>
          <w:sz w:val="22"/>
          <w:szCs w:val="22"/>
          <w:lang w:val="lt-LT" w:eastAsia="en-US"/>
        </w:rPr>
        <w:t> </w:t>
      </w:r>
      <w:r w:rsidR="009C703B" w:rsidRPr="00997273">
        <w:rPr>
          <w:rFonts w:cs="Times New Roman"/>
          <w:sz w:val="22"/>
          <w:szCs w:val="22"/>
          <w:lang w:val="lt-LT" w:eastAsia="en-US"/>
        </w:rPr>
        <w:t>15</w:t>
      </w:r>
      <w:r w:rsidR="00177DFE" w:rsidRPr="00997273">
        <w:rPr>
          <w:rFonts w:cs="Times New Roman"/>
          <w:sz w:val="22"/>
          <w:szCs w:val="22"/>
          <w:lang w:val="lt-LT" w:eastAsia="en-US"/>
        </w:rPr>
        <w:t> </w:t>
      </w:r>
      <w:r w:rsidR="009C703B" w:rsidRPr="00997273">
        <w:rPr>
          <w:rFonts w:cs="Times New Roman"/>
          <w:sz w:val="22"/>
          <w:szCs w:val="22"/>
          <w:lang w:val="lt-LT" w:eastAsia="en-US"/>
        </w:rPr>
        <w:t>ml/min. iki</w:t>
      </w:r>
      <w:r w:rsidRPr="00997273">
        <w:rPr>
          <w:rFonts w:cs="Times New Roman"/>
          <w:sz w:val="22"/>
          <w:szCs w:val="22"/>
          <w:lang w:val="lt-LT" w:eastAsia="en-US"/>
        </w:rPr>
        <w:t xml:space="preserve"> &lt;</w:t>
      </w:r>
      <w:r w:rsidR="00FC29F7">
        <w:rPr>
          <w:rFonts w:cs="Times New Roman"/>
          <w:sz w:val="22"/>
          <w:szCs w:val="22"/>
          <w:lang w:val="lt-LT" w:eastAsia="en-US"/>
        </w:rPr>
        <w:t> </w:t>
      </w:r>
      <w:r w:rsidRPr="00997273">
        <w:rPr>
          <w:rFonts w:cs="Times New Roman"/>
          <w:sz w:val="22"/>
          <w:szCs w:val="22"/>
          <w:lang w:val="lt-LT" w:eastAsia="en-US"/>
        </w:rPr>
        <w:t>30 ml/min.) arba galutinės stadijos</w:t>
      </w:r>
      <w:r w:rsidR="005C22B1">
        <w:rPr>
          <w:rFonts w:cs="Times New Roman"/>
          <w:sz w:val="22"/>
          <w:szCs w:val="22"/>
          <w:lang w:val="lt-LT" w:eastAsia="en-US"/>
        </w:rPr>
        <w:t xml:space="preserve"> lėtinė</w:t>
      </w:r>
      <w:r w:rsidRPr="00997273">
        <w:rPr>
          <w:rFonts w:cs="Times New Roman"/>
          <w:sz w:val="22"/>
          <w:szCs w:val="22"/>
          <w:lang w:val="lt-LT" w:eastAsia="en-US"/>
        </w:rPr>
        <w:t xml:space="preserve"> inkstų liga (GS</w:t>
      </w:r>
      <w:r w:rsidR="005C22B1">
        <w:rPr>
          <w:rFonts w:cs="Times New Roman"/>
          <w:sz w:val="22"/>
          <w:szCs w:val="22"/>
          <w:lang w:val="lt-LT" w:eastAsia="en-US"/>
        </w:rPr>
        <w:t>L</w:t>
      </w:r>
      <w:r w:rsidRPr="00997273">
        <w:rPr>
          <w:rFonts w:cs="Times New Roman"/>
          <w:sz w:val="22"/>
          <w:szCs w:val="22"/>
          <w:lang w:val="lt-LT" w:eastAsia="en-US"/>
        </w:rPr>
        <w:t>IL)</w:t>
      </w:r>
      <w:r w:rsidR="009C703B" w:rsidRPr="00997273">
        <w:rPr>
          <w:rFonts w:cs="Times New Roman"/>
          <w:sz w:val="22"/>
          <w:szCs w:val="22"/>
          <w:lang w:val="lt-LT" w:eastAsia="en-US"/>
        </w:rPr>
        <w:t xml:space="preserve"> (GFG &lt;</w:t>
      </w:r>
      <w:r w:rsidR="00FC29F7">
        <w:rPr>
          <w:rFonts w:cs="Times New Roman"/>
          <w:sz w:val="22"/>
          <w:szCs w:val="22"/>
          <w:lang w:val="lt-LT" w:eastAsia="en-US"/>
        </w:rPr>
        <w:t> </w:t>
      </w:r>
      <w:r w:rsidR="009C703B" w:rsidRPr="00997273">
        <w:rPr>
          <w:rFonts w:cs="Times New Roman"/>
          <w:sz w:val="22"/>
          <w:szCs w:val="22"/>
          <w:lang w:val="lt-LT" w:eastAsia="en-US"/>
        </w:rPr>
        <w:t>15</w:t>
      </w:r>
      <w:r w:rsidR="00177DFE" w:rsidRPr="00997273">
        <w:rPr>
          <w:rFonts w:cs="Times New Roman"/>
          <w:sz w:val="22"/>
          <w:szCs w:val="22"/>
          <w:lang w:val="lt-LT" w:eastAsia="en-US"/>
        </w:rPr>
        <w:t> </w:t>
      </w:r>
      <w:r w:rsidR="009C703B" w:rsidRPr="00997273">
        <w:rPr>
          <w:rFonts w:cs="Times New Roman"/>
          <w:sz w:val="22"/>
          <w:szCs w:val="22"/>
          <w:lang w:val="lt-LT" w:eastAsia="en-US"/>
        </w:rPr>
        <w:t xml:space="preserve">ml/min.), </w:t>
      </w:r>
      <w:r w:rsidR="009C703B" w:rsidRPr="00997273">
        <w:rPr>
          <w:rFonts w:cs="Times New Roman" w:hint="eastAsia"/>
          <w:sz w:val="22"/>
          <w:szCs w:val="22"/>
          <w:lang w:val="lt-LT" w:eastAsia="en-US"/>
        </w:rPr>
        <w:t>į</w:t>
      </w:r>
      <w:r w:rsidR="009C703B" w:rsidRPr="00997273">
        <w:rPr>
          <w:rFonts w:cs="Times New Roman"/>
          <w:sz w:val="22"/>
          <w:szCs w:val="22"/>
          <w:lang w:val="lt-LT" w:eastAsia="en-US"/>
        </w:rPr>
        <w:t>skaitant tuos</w:t>
      </w:r>
      <w:r w:rsidRPr="00997273">
        <w:rPr>
          <w:rFonts w:cs="Times New Roman"/>
          <w:sz w:val="22"/>
          <w:szCs w:val="22"/>
          <w:lang w:val="lt-LT" w:eastAsia="en-US"/>
        </w:rPr>
        <w:t xml:space="preserve">, </w:t>
      </w:r>
      <w:r w:rsidR="00177DFE" w:rsidRPr="00997273">
        <w:rPr>
          <w:rFonts w:cs="Times New Roman"/>
          <w:sz w:val="22"/>
          <w:szCs w:val="22"/>
          <w:lang w:val="lt-LT" w:eastAsia="en-US"/>
        </w:rPr>
        <w:t xml:space="preserve">kuriems </w:t>
      </w:r>
      <w:r w:rsidRPr="00997273">
        <w:rPr>
          <w:rFonts w:cs="Times New Roman"/>
          <w:sz w:val="22"/>
          <w:szCs w:val="22"/>
          <w:lang w:val="lt-LT" w:eastAsia="en-US"/>
        </w:rPr>
        <w:t xml:space="preserve">sergant reikia taikyti hemodializę ar </w:t>
      </w:r>
      <w:proofErr w:type="spellStart"/>
      <w:r w:rsidRPr="00997273">
        <w:rPr>
          <w:rFonts w:cs="Times New Roman"/>
          <w:sz w:val="22"/>
          <w:szCs w:val="22"/>
          <w:lang w:val="lt-LT" w:eastAsia="en-US"/>
        </w:rPr>
        <w:t>peritoninę</w:t>
      </w:r>
      <w:proofErr w:type="spellEnd"/>
      <w:r w:rsidRPr="00997273">
        <w:rPr>
          <w:rFonts w:cs="Times New Roman"/>
          <w:sz w:val="22"/>
          <w:szCs w:val="22"/>
          <w:lang w:val="lt-LT" w:eastAsia="en-US"/>
        </w:rPr>
        <w:t xml:space="preserve"> dializę, </w:t>
      </w:r>
      <w:proofErr w:type="spellStart"/>
      <w:r w:rsidR="00177DFE" w:rsidRPr="00997273">
        <w:rPr>
          <w:rFonts w:cs="Times New Roman"/>
          <w:sz w:val="22"/>
          <w:szCs w:val="22"/>
          <w:lang w:val="lt-LT" w:eastAsia="en-US"/>
        </w:rPr>
        <w:t>sitagliptino</w:t>
      </w:r>
      <w:proofErr w:type="spellEnd"/>
      <w:r w:rsidR="00177DFE" w:rsidRPr="00997273">
        <w:rPr>
          <w:rFonts w:cs="Times New Roman"/>
          <w:sz w:val="22"/>
          <w:szCs w:val="22"/>
          <w:lang w:val="lt-LT" w:eastAsia="en-US"/>
        </w:rPr>
        <w:t xml:space="preserve"> </w:t>
      </w:r>
      <w:r w:rsidRPr="00997273">
        <w:rPr>
          <w:rFonts w:cs="Times New Roman"/>
          <w:sz w:val="22"/>
          <w:szCs w:val="22"/>
          <w:lang w:val="lt-LT" w:eastAsia="en-US"/>
        </w:rPr>
        <w:t>dozė yra 25 mg vieną kartą per parą. Vaist</w:t>
      </w:r>
      <w:r w:rsidR="00BD5F77" w:rsidRPr="00997273">
        <w:rPr>
          <w:rFonts w:cs="Times New Roman"/>
          <w:sz w:val="22"/>
          <w:szCs w:val="22"/>
          <w:lang w:val="lt-LT" w:eastAsia="en-US"/>
        </w:rPr>
        <w:t xml:space="preserve">inį preparatą </w:t>
      </w:r>
      <w:r w:rsidRPr="00997273">
        <w:rPr>
          <w:rFonts w:cs="Times New Roman"/>
          <w:sz w:val="22"/>
          <w:szCs w:val="22"/>
          <w:lang w:val="lt-LT" w:eastAsia="en-US"/>
        </w:rPr>
        <w:t>galima vartoti nepriklausomai nuo dializės atlikimo laiko.</w:t>
      </w:r>
    </w:p>
    <w:p w14:paraId="1B79CABD" w14:textId="77777777" w:rsidR="00F1682D" w:rsidRPr="00997273" w:rsidRDefault="00F1682D" w:rsidP="00F1682D">
      <w:pPr>
        <w:autoSpaceDE w:val="0"/>
        <w:autoSpaceDN w:val="0"/>
        <w:adjustRightInd w:val="0"/>
        <w:rPr>
          <w:rFonts w:cs="Times New Roman"/>
          <w:sz w:val="22"/>
          <w:szCs w:val="22"/>
          <w:lang w:val="lt-LT" w:eastAsia="en-US"/>
        </w:rPr>
      </w:pPr>
    </w:p>
    <w:p w14:paraId="2A6379F8" w14:textId="5ED10B0B" w:rsidR="00F1682D" w:rsidRPr="00997273" w:rsidRDefault="00F1682D" w:rsidP="00F1682D">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Kadangi </w:t>
      </w:r>
      <w:r w:rsidR="00E9122A" w:rsidRPr="00997273">
        <w:rPr>
          <w:rFonts w:cs="Times New Roman"/>
          <w:sz w:val="22"/>
          <w:szCs w:val="22"/>
          <w:lang w:val="lt-LT" w:eastAsia="en-US"/>
        </w:rPr>
        <w:t xml:space="preserve">dozę reikia koreguoti </w:t>
      </w:r>
      <w:r w:rsidRPr="00997273">
        <w:rPr>
          <w:rFonts w:cs="Times New Roman"/>
          <w:sz w:val="22"/>
          <w:szCs w:val="22"/>
          <w:lang w:val="lt-LT" w:eastAsia="en-US"/>
        </w:rPr>
        <w:t xml:space="preserve">pagal inkstų </w:t>
      </w:r>
      <w:r w:rsidR="00E9122A">
        <w:rPr>
          <w:rFonts w:cs="Times New Roman"/>
          <w:sz w:val="22"/>
          <w:szCs w:val="22"/>
          <w:lang w:val="lt-LT" w:eastAsia="en-US"/>
        </w:rPr>
        <w:t>funkciją</w:t>
      </w:r>
      <w:r w:rsidRPr="00997273">
        <w:rPr>
          <w:rFonts w:cs="Times New Roman"/>
          <w:sz w:val="22"/>
          <w:szCs w:val="22"/>
          <w:lang w:val="lt-LT" w:eastAsia="en-US"/>
        </w:rPr>
        <w:t xml:space="preserve">, rekomenduojama inkstų </w:t>
      </w:r>
      <w:r w:rsidR="00E9122A">
        <w:rPr>
          <w:rFonts w:cs="Times New Roman"/>
          <w:sz w:val="22"/>
          <w:szCs w:val="22"/>
          <w:lang w:val="lt-LT" w:eastAsia="en-US"/>
        </w:rPr>
        <w:t>funkciją</w:t>
      </w:r>
      <w:r w:rsidR="00E9122A" w:rsidRPr="00997273">
        <w:rPr>
          <w:rFonts w:cs="Times New Roman"/>
          <w:sz w:val="22"/>
          <w:szCs w:val="22"/>
          <w:lang w:val="lt-LT" w:eastAsia="en-US"/>
        </w:rPr>
        <w:t xml:space="preserve"> </w:t>
      </w:r>
      <w:r w:rsidRPr="00997273">
        <w:rPr>
          <w:rFonts w:cs="Times New Roman"/>
          <w:sz w:val="22"/>
          <w:szCs w:val="22"/>
          <w:lang w:val="lt-LT" w:eastAsia="en-US"/>
        </w:rPr>
        <w:t xml:space="preserve">įvertinti prieš paskiriant </w:t>
      </w:r>
      <w:proofErr w:type="spellStart"/>
      <w:r w:rsidR="009C703B"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ir periodiškai gydymo metu.</w:t>
      </w:r>
    </w:p>
    <w:p w14:paraId="454AF99B" w14:textId="77777777" w:rsidR="00F1682D" w:rsidRPr="00997273" w:rsidRDefault="00F1682D" w:rsidP="00F1682D">
      <w:pPr>
        <w:autoSpaceDE w:val="0"/>
        <w:autoSpaceDN w:val="0"/>
        <w:adjustRightInd w:val="0"/>
        <w:rPr>
          <w:rFonts w:eastAsia="TimesNewRoman,Italic" w:cs="Times New Roman"/>
          <w:i/>
          <w:iCs/>
          <w:sz w:val="22"/>
          <w:szCs w:val="22"/>
          <w:lang w:val="lt-LT" w:eastAsia="en-US"/>
        </w:rPr>
      </w:pPr>
    </w:p>
    <w:p w14:paraId="68569954" w14:textId="77777777" w:rsidR="00F1682D" w:rsidRPr="00997273" w:rsidRDefault="00F1682D" w:rsidP="00F1682D">
      <w:pPr>
        <w:autoSpaceDE w:val="0"/>
        <w:autoSpaceDN w:val="0"/>
        <w:adjustRightInd w:val="0"/>
        <w:rPr>
          <w:rFonts w:eastAsia="TimesNewRoman,Italic" w:cs="Times New Roman"/>
          <w:i/>
          <w:iCs/>
          <w:sz w:val="22"/>
          <w:szCs w:val="22"/>
          <w:lang w:val="lt-LT" w:eastAsia="en-US"/>
        </w:rPr>
      </w:pPr>
      <w:r w:rsidRPr="00997273">
        <w:rPr>
          <w:rFonts w:eastAsia="TimesNewRoman,Italic" w:cs="Times New Roman"/>
          <w:i/>
          <w:iCs/>
          <w:sz w:val="22"/>
          <w:szCs w:val="22"/>
          <w:lang w:val="lt-LT" w:eastAsia="en-US"/>
        </w:rPr>
        <w:t>Pacientams, kurių kepenų funkcija sutrikusi</w:t>
      </w:r>
    </w:p>
    <w:p w14:paraId="5D452C8A" w14:textId="7F2C579B" w:rsidR="00F1682D" w:rsidRDefault="00F1682D" w:rsidP="00F1682D">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Pacientams, </w:t>
      </w:r>
      <w:r w:rsidR="00081E02">
        <w:rPr>
          <w:rFonts w:cs="Times New Roman"/>
          <w:sz w:val="22"/>
          <w:szCs w:val="22"/>
          <w:lang w:val="lt-LT" w:eastAsia="en-US"/>
        </w:rPr>
        <w:t xml:space="preserve">kuriems yra </w:t>
      </w:r>
      <w:r w:rsidRPr="00997273">
        <w:rPr>
          <w:rFonts w:cs="Times New Roman"/>
          <w:sz w:val="22"/>
          <w:szCs w:val="22"/>
          <w:lang w:val="lt-LT" w:eastAsia="en-US"/>
        </w:rPr>
        <w:t>lengv</w:t>
      </w:r>
      <w:r w:rsidR="00081E02">
        <w:rPr>
          <w:rFonts w:cs="Times New Roman"/>
          <w:sz w:val="22"/>
          <w:szCs w:val="22"/>
          <w:lang w:val="lt-LT" w:eastAsia="en-US"/>
        </w:rPr>
        <w:t>as</w:t>
      </w:r>
      <w:r w:rsidRPr="00997273">
        <w:rPr>
          <w:rFonts w:cs="Times New Roman"/>
          <w:sz w:val="22"/>
          <w:szCs w:val="22"/>
          <w:lang w:val="lt-LT" w:eastAsia="en-US"/>
        </w:rPr>
        <w:t xml:space="preserve"> arba vidutinio sunkumo kepenų </w:t>
      </w:r>
      <w:r w:rsidR="00E9122A">
        <w:rPr>
          <w:rFonts w:cs="Times New Roman"/>
          <w:sz w:val="22"/>
          <w:szCs w:val="22"/>
          <w:lang w:val="lt-LT" w:eastAsia="en-US"/>
        </w:rPr>
        <w:t xml:space="preserve">funkcijos </w:t>
      </w:r>
      <w:r w:rsidRPr="00997273">
        <w:rPr>
          <w:rFonts w:cs="Times New Roman"/>
          <w:sz w:val="22"/>
          <w:szCs w:val="22"/>
          <w:lang w:val="lt-LT" w:eastAsia="en-US"/>
        </w:rPr>
        <w:t>sutrikim</w:t>
      </w:r>
      <w:r w:rsidR="00081E02">
        <w:rPr>
          <w:rFonts w:cs="Times New Roman"/>
          <w:sz w:val="22"/>
          <w:szCs w:val="22"/>
          <w:lang w:val="lt-LT" w:eastAsia="en-US"/>
        </w:rPr>
        <w:t>as</w:t>
      </w:r>
      <w:r w:rsidRPr="00997273">
        <w:rPr>
          <w:rFonts w:cs="Times New Roman"/>
          <w:sz w:val="22"/>
          <w:szCs w:val="22"/>
          <w:lang w:val="lt-LT" w:eastAsia="en-US"/>
        </w:rPr>
        <w:t xml:space="preserve">, dozės keisti nereikia. </w:t>
      </w:r>
      <w:proofErr w:type="spellStart"/>
      <w:r w:rsidRPr="00997273">
        <w:rPr>
          <w:rFonts w:cs="Times New Roman"/>
          <w:sz w:val="22"/>
          <w:szCs w:val="22"/>
          <w:lang w:val="lt-LT" w:eastAsia="en-US"/>
        </w:rPr>
        <w:t>S</w:t>
      </w:r>
      <w:r w:rsidR="00CB6784">
        <w:rPr>
          <w:rFonts w:cs="Times New Roman"/>
          <w:sz w:val="22"/>
          <w:szCs w:val="22"/>
          <w:lang w:val="lt-LT" w:eastAsia="en-US"/>
        </w:rPr>
        <w:t>itagliptino</w:t>
      </w:r>
      <w:proofErr w:type="spellEnd"/>
      <w:r w:rsidR="00981AF1">
        <w:rPr>
          <w:rFonts w:cs="Times New Roman"/>
          <w:sz w:val="22"/>
          <w:szCs w:val="22"/>
          <w:lang w:val="lt-LT" w:eastAsia="en-US"/>
        </w:rPr>
        <w:t xml:space="preserve"> vartojimas</w:t>
      </w:r>
      <w:r w:rsidRPr="00997273">
        <w:rPr>
          <w:rFonts w:cs="Times New Roman"/>
          <w:sz w:val="22"/>
          <w:szCs w:val="22"/>
          <w:lang w:val="lt-LT" w:eastAsia="en-US"/>
        </w:rPr>
        <w:t xml:space="preserve"> pacienta</w:t>
      </w:r>
      <w:r w:rsidR="00981AF1">
        <w:rPr>
          <w:rFonts w:cs="Times New Roman"/>
          <w:sz w:val="22"/>
          <w:szCs w:val="22"/>
          <w:lang w:val="lt-LT" w:eastAsia="en-US"/>
        </w:rPr>
        <w:t>ms</w:t>
      </w:r>
      <w:r w:rsidRPr="00997273">
        <w:rPr>
          <w:rFonts w:cs="Times New Roman"/>
          <w:sz w:val="22"/>
          <w:szCs w:val="22"/>
          <w:lang w:val="lt-LT" w:eastAsia="en-US"/>
        </w:rPr>
        <w:t xml:space="preserve">, </w:t>
      </w:r>
      <w:r w:rsidR="00781E8C">
        <w:rPr>
          <w:rFonts w:cs="Times New Roman"/>
          <w:sz w:val="22"/>
          <w:szCs w:val="22"/>
          <w:lang w:val="lt-LT" w:eastAsia="en-US"/>
        </w:rPr>
        <w:t>kuriems yra sunkus</w:t>
      </w:r>
      <w:r w:rsidRPr="00997273">
        <w:rPr>
          <w:rFonts w:cs="Times New Roman"/>
          <w:sz w:val="22"/>
          <w:szCs w:val="22"/>
          <w:lang w:val="lt-LT" w:eastAsia="en-US"/>
        </w:rPr>
        <w:t xml:space="preserve"> kepenų </w:t>
      </w:r>
      <w:r w:rsidR="00E9122A">
        <w:rPr>
          <w:rFonts w:cs="Times New Roman"/>
          <w:sz w:val="22"/>
          <w:szCs w:val="22"/>
          <w:lang w:val="lt-LT" w:eastAsia="en-US"/>
        </w:rPr>
        <w:t xml:space="preserve">funkcijos </w:t>
      </w:r>
      <w:r w:rsidRPr="00997273">
        <w:rPr>
          <w:rFonts w:cs="Times New Roman"/>
          <w:sz w:val="22"/>
          <w:szCs w:val="22"/>
          <w:lang w:val="lt-LT" w:eastAsia="en-US"/>
        </w:rPr>
        <w:t>sutrikim</w:t>
      </w:r>
      <w:r w:rsidR="00781E8C">
        <w:rPr>
          <w:rFonts w:cs="Times New Roman"/>
          <w:sz w:val="22"/>
          <w:szCs w:val="22"/>
          <w:lang w:val="lt-LT" w:eastAsia="en-US"/>
        </w:rPr>
        <w:t>as</w:t>
      </w:r>
      <w:r w:rsidRPr="00997273">
        <w:rPr>
          <w:rFonts w:cs="Times New Roman"/>
          <w:sz w:val="22"/>
          <w:szCs w:val="22"/>
          <w:lang w:val="lt-LT" w:eastAsia="en-US"/>
        </w:rPr>
        <w:t>, netirtas, todėl j</w:t>
      </w:r>
      <w:r w:rsidR="00981AF1">
        <w:rPr>
          <w:rFonts w:cs="Times New Roman"/>
          <w:sz w:val="22"/>
          <w:szCs w:val="22"/>
          <w:lang w:val="lt-LT" w:eastAsia="en-US"/>
        </w:rPr>
        <w:t>o</w:t>
      </w:r>
      <w:r w:rsidRPr="00997273">
        <w:rPr>
          <w:rFonts w:cs="Times New Roman"/>
          <w:sz w:val="22"/>
          <w:szCs w:val="22"/>
          <w:lang w:val="lt-LT" w:eastAsia="en-US"/>
        </w:rPr>
        <w:t xml:space="preserve"> skirti reikia atsargiai (žr.</w:t>
      </w:r>
      <w:r w:rsidR="00177DFE" w:rsidRPr="00997273">
        <w:rPr>
          <w:rFonts w:cs="Times New Roman"/>
          <w:sz w:val="22"/>
          <w:szCs w:val="22"/>
          <w:lang w:val="lt-LT" w:eastAsia="en-US"/>
        </w:rPr>
        <w:t xml:space="preserve"> </w:t>
      </w:r>
      <w:r w:rsidRPr="00997273">
        <w:rPr>
          <w:rFonts w:cs="Times New Roman"/>
          <w:sz w:val="22"/>
          <w:szCs w:val="22"/>
          <w:lang w:val="lt-LT" w:eastAsia="en-US"/>
        </w:rPr>
        <w:t>5.2 skyrių).</w:t>
      </w:r>
    </w:p>
    <w:p w14:paraId="273617A8" w14:textId="77777777" w:rsidR="00036BBD" w:rsidRPr="00997273" w:rsidRDefault="00036BBD" w:rsidP="00F1682D">
      <w:pPr>
        <w:autoSpaceDE w:val="0"/>
        <w:autoSpaceDN w:val="0"/>
        <w:adjustRightInd w:val="0"/>
        <w:rPr>
          <w:rFonts w:cs="Times New Roman"/>
          <w:sz w:val="22"/>
          <w:szCs w:val="22"/>
          <w:lang w:val="lt-LT" w:eastAsia="en-US"/>
        </w:rPr>
      </w:pPr>
    </w:p>
    <w:p w14:paraId="15B94525" w14:textId="37558C2D" w:rsidR="00F1682D" w:rsidRPr="00997273" w:rsidRDefault="00F1682D" w:rsidP="00F1682D">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Vis dėlto nesitikima, kad sunkus kepenų </w:t>
      </w:r>
      <w:r w:rsidR="00AA2EAD">
        <w:rPr>
          <w:rFonts w:cs="Times New Roman"/>
          <w:sz w:val="22"/>
          <w:szCs w:val="22"/>
          <w:lang w:val="lt-LT" w:eastAsia="en-US"/>
        </w:rPr>
        <w:t xml:space="preserve">funkcijos </w:t>
      </w:r>
      <w:r w:rsidRPr="00997273">
        <w:rPr>
          <w:rFonts w:cs="Times New Roman"/>
          <w:sz w:val="22"/>
          <w:szCs w:val="22"/>
          <w:lang w:val="lt-LT" w:eastAsia="en-US"/>
        </w:rPr>
        <w:t xml:space="preserve">sutrikimas paveiktų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farmakokinetiką, nes jis</w:t>
      </w:r>
      <w:r w:rsidR="008A72C1" w:rsidRPr="00997273">
        <w:rPr>
          <w:rFonts w:cs="Times New Roman"/>
          <w:sz w:val="22"/>
          <w:szCs w:val="22"/>
          <w:lang w:val="lt-LT" w:eastAsia="en-US"/>
        </w:rPr>
        <w:t xml:space="preserve"> </w:t>
      </w:r>
      <w:r w:rsidRPr="00997273">
        <w:rPr>
          <w:rFonts w:cs="Times New Roman"/>
          <w:sz w:val="22"/>
          <w:szCs w:val="22"/>
          <w:lang w:val="lt-LT" w:eastAsia="en-US"/>
        </w:rPr>
        <w:t>daugiausia yra šalinamas per inkstus.</w:t>
      </w:r>
    </w:p>
    <w:p w14:paraId="7F9E486C" w14:textId="77777777" w:rsidR="008A72C1" w:rsidRPr="00997273" w:rsidRDefault="008A72C1" w:rsidP="00F1682D">
      <w:pPr>
        <w:autoSpaceDE w:val="0"/>
        <w:autoSpaceDN w:val="0"/>
        <w:adjustRightInd w:val="0"/>
        <w:rPr>
          <w:rFonts w:eastAsia="TimesNewRoman,Italic" w:cs="Times New Roman"/>
          <w:i/>
          <w:iCs/>
          <w:sz w:val="22"/>
          <w:szCs w:val="22"/>
          <w:lang w:val="lt-LT" w:eastAsia="en-US"/>
        </w:rPr>
      </w:pPr>
    </w:p>
    <w:p w14:paraId="764D48F9" w14:textId="77777777" w:rsidR="00F1682D" w:rsidRPr="00997273" w:rsidRDefault="00F1682D" w:rsidP="00F1682D">
      <w:pPr>
        <w:autoSpaceDE w:val="0"/>
        <w:autoSpaceDN w:val="0"/>
        <w:adjustRightInd w:val="0"/>
        <w:rPr>
          <w:rFonts w:eastAsia="TimesNewRoman,Italic" w:cs="Times New Roman"/>
          <w:i/>
          <w:iCs/>
          <w:sz w:val="22"/>
          <w:szCs w:val="22"/>
          <w:lang w:val="lt-LT" w:eastAsia="en-US"/>
        </w:rPr>
      </w:pPr>
      <w:r w:rsidRPr="00997273">
        <w:rPr>
          <w:rFonts w:eastAsia="TimesNewRoman,Italic" w:cs="Times New Roman"/>
          <w:i/>
          <w:iCs/>
          <w:sz w:val="22"/>
          <w:szCs w:val="22"/>
          <w:lang w:val="lt-LT" w:eastAsia="en-US"/>
        </w:rPr>
        <w:t>Senyviems pacientams</w:t>
      </w:r>
    </w:p>
    <w:p w14:paraId="0DF56E53" w14:textId="77777777" w:rsidR="00F1682D" w:rsidRPr="00997273" w:rsidRDefault="00F1682D" w:rsidP="00F1682D">
      <w:pPr>
        <w:autoSpaceDE w:val="0"/>
        <w:autoSpaceDN w:val="0"/>
        <w:adjustRightInd w:val="0"/>
        <w:rPr>
          <w:rFonts w:cs="Times New Roman"/>
          <w:sz w:val="22"/>
          <w:szCs w:val="22"/>
          <w:lang w:val="lt-LT" w:eastAsia="en-US"/>
        </w:rPr>
      </w:pPr>
      <w:r w:rsidRPr="00997273">
        <w:rPr>
          <w:rFonts w:cs="Times New Roman"/>
          <w:sz w:val="22"/>
          <w:szCs w:val="22"/>
          <w:lang w:val="lt-LT" w:eastAsia="en-US"/>
        </w:rPr>
        <w:t>Priklausomai nuo amžiaus dozės keisti nereikia.</w:t>
      </w:r>
    </w:p>
    <w:p w14:paraId="1B960EFE" w14:textId="77777777" w:rsidR="00B3689D" w:rsidRPr="00997273" w:rsidRDefault="00B3689D" w:rsidP="00F1682D">
      <w:pPr>
        <w:autoSpaceDE w:val="0"/>
        <w:autoSpaceDN w:val="0"/>
        <w:adjustRightInd w:val="0"/>
        <w:rPr>
          <w:rFonts w:eastAsia="TimesNewRoman,Italic" w:cs="Times New Roman"/>
          <w:i/>
          <w:iCs/>
          <w:sz w:val="22"/>
          <w:szCs w:val="22"/>
          <w:lang w:val="lt-LT" w:eastAsia="en-US"/>
        </w:rPr>
      </w:pPr>
    </w:p>
    <w:p w14:paraId="66C9D986" w14:textId="77777777" w:rsidR="00F1682D" w:rsidRPr="00997273" w:rsidRDefault="00F1682D" w:rsidP="00F1682D">
      <w:pPr>
        <w:autoSpaceDE w:val="0"/>
        <w:autoSpaceDN w:val="0"/>
        <w:adjustRightInd w:val="0"/>
        <w:rPr>
          <w:rFonts w:eastAsia="TimesNewRoman,Italic" w:cs="Times New Roman"/>
          <w:i/>
          <w:iCs/>
          <w:sz w:val="22"/>
          <w:szCs w:val="22"/>
          <w:lang w:val="lt-LT" w:eastAsia="en-US"/>
        </w:rPr>
      </w:pPr>
      <w:r w:rsidRPr="00997273">
        <w:rPr>
          <w:rFonts w:eastAsia="TimesNewRoman,Italic" w:cs="Times New Roman"/>
          <w:i/>
          <w:iCs/>
          <w:sz w:val="22"/>
          <w:szCs w:val="22"/>
          <w:lang w:val="lt-LT" w:eastAsia="en-US"/>
        </w:rPr>
        <w:t>Vaikų populiacija</w:t>
      </w:r>
    </w:p>
    <w:p w14:paraId="68AACCCF" w14:textId="14A1A115" w:rsidR="00F1682D" w:rsidRPr="00997273" w:rsidRDefault="000C297A" w:rsidP="009C703B">
      <w:pPr>
        <w:autoSpaceDE w:val="0"/>
        <w:autoSpaceDN w:val="0"/>
        <w:adjustRightInd w:val="0"/>
        <w:rPr>
          <w:rFonts w:cs="Times New Roman"/>
          <w:sz w:val="22"/>
          <w:szCs w:val="22"/>
          <w:lang w:val="lt-LT" w:eastAsia="en-US"/>
        </w:rPr>
      </w:pPr>
      <w:r>
        <w:rPr>
          <w:rFonts w:cs="Times New Roman"/>
          <w:sz w:val="22"/>
          <w:szCs w:val="22"/>
          <w:lang w:val="lt-LT" w:eastAsia="en-US"/>
        </w:rPr>
        <w:t xml:space="preserve">Dėl nepakankamo veiksmingumo </w:t>
      </w:r>
      <w:proofErr w:type="spellStart"/>
      <w:r>
        <w:rPr>
          <w:rFonts w:cs="Times New Roman"/>
          <w:sz w:val="22"/>
          <w:szCs w:val="22"/>
          <w:lang w:val="lt-LT" w:eastAsia="en-US"/>
        </w:rPr>
        <w:t>s</w:t>
      </w:r>
      <w:r w:rsidR="009C703B" w:rsidRPr="00997273">
        <w:rPr>
          <w:rFonts w:cs="Times New Roman"/>
          <w:sz w:val="22"/>
          <w:szCs w:val="22"/>
          <w:lang w:val="lt-LT" w:eastAsia="en-US"/>
        </w:rPr>
        <w:t>itagliptino</w:t>
      </w:r>
      <w:proofErr w:type="spellEnd"/>
      <w:r w:rsidR="009C703B" w:rsidRPr="00997273">
        <w:rPr>
          <w:rFonts w:cs="Times New Roman"/>
          <w:sz w:val="22"/>
          <w:szCs w:val="22"/>
          <w:lang w:val="lt-LT" w:eastAsia="en-US"/>
        </w:rPr>
        <w:t xml:space="preserve"> </w:t>
      </w:r>
      <w:r w:rsidR="0096241B">
        <w:rPr>
          <w:rFonts w:cs="Times New Roman"/>
          <w:sz w:val="22"/>
          <w:szCs w:val="22"/>
          <w:lang w:val="lt-LT" w:eastAsia="en-US"/>
        </w:rPr>
        <w:t>ne</w:t>
      </w:r>
      <w:r>
        <w:rPr>
          <w:rFonts w:cs="Times New Roman"/>
          <w:sz w:val="22"/>
          <w:szCs w:val="22"/>
          <w:lang w:val="lt-LT" w:eastAsia="en-US"/>
        </w:rPr>
        <w:t>turi būti vartojama</w:t>
      </w:r>
      <w:r w:rsidR="009C703B" w:rsidRPr="00997273">
        <w:rPr>
          <w:rFonts w:cs="Times New Roman"/>
          <w:sz w:val="22"/>
          <w:szCs w:val="22"/>
          <w:lang w:val="lt-LT" w:eastAsia="en-US"/>
        </w:rPr>
        <w:t xml:space="preserve"> vaikams ir paaugliams nuo 10 iki 17 met</w:t>
      </w:r>
      <w:r w:rsidR="009C703B" w:rsidRPr="00997273">
        <w:rPr>
          <w:rFonts w:cs="Times New Roman" w:hint="eastAsia"/>
          <w:sz w:val="22"/>
          <w:szCs w:val="22"/>
          <w:lang w:val="lt-LT" w:eastAsia="en-US"/>
        </w:rPr>
        <w:t>ų</w:t>
      </w:r>
      <w:r w:rsidR="009C703B" w:rsidRPr="00997273">
        <w:rPr>
          <w:rFonts w:cs="Times New Roman"/>
          <w:sz w:val="22"/>
          <w:szCs w:val="22"/>
          <w:lang w:val="lt-LT" w:eastAsia="en-US"/>
        </w:rPr>
        <w:t xml:space="preserve">. Turimi duomenys pateikiami 4.8, 5.1 ir 5.2 skyriuose. </w:t>
      </w:r>
      <w:proofErr w:type="spellStart"/>
      <w:r w:rsidR="009C703B" w:rsidRPr="00997273">
        <w:rPr>
          <w:rFonts w:cs="Times New Roman"/>
          <w:sz w:val="22"/>
          <w:szCs w:val="22"/>
          <w:lang w:val="lt-LT" w:eastAsia="en-US"/>
        </w:rPr>
        <w:t>Sitagliptino</w:t>
      </w:r>
      <w:proofErr w:type="spellEnd"/>
      <w:r w:rsidR="009C703B" w:rsidRPr="00997273">
        <w:rPr>
          <w:rFonts w:cs="Times New Roman"/>
          <w:sz w:val="22"/>
          <w:szCs w:val="22"/>
          <w:lang w:val="lt-LT" w:eastAsia="en-US"/>
        </w:rPr>
        <w:t xml:space="preserve"> poveikis jaunesniems kaip 10 met</w:t>
      </w:r>
      <w:r w:rsidR="009C703B" w:rsidRPr="00997273">
        <w:rPr>
          <w:rFonts w:cs="Times New Roman" w:hint="eastAsia"/>
          <w:sz w:val="22"/>
          <w:szCs w:val="22"/>
          <w:lang w:val="lt-LT" w:eastAsia="en-US"/>
        </w:rPr>
        <w:t>ų</w:t>
      </w:r>
      <w:r w:rsidR="009C703B" w:rsidRPr="00997273">
        <w:rPr>
          <w:rFonts w:cs="Times New Roman"/>
          <w:sz w:val="22"/>
          <w:szCs w:val="22"/>
          <w:lang w:val="lt-LT" w:eastAsia="en-US"/>
        </w:rPr>
        <w:t xml:space="preserve"> vaik</w:t>
      </w:r>
      <w:r w:rsidR="00240F05">
        <w:rPr>
          <w:rFonts w:cs="Times New Roman"/>
          <w:sz w:val="22"/>
          <w:szCs w:val="22"/>
          <w:lang w:val="lt-LT" w:eastAsia="en-US"/>
        </w:rPr>
        <w:t>ų populiacijos pacientams</w:t>
      </w:r>
      <w:r w:rsidR="009C703B" w:rsidRPr="00997273">
        <w:rPr>
          <w:rFonts w:cs="Times New Roman"/>
          <w:sz w:val="22"/>
          <w:szCs w:val="22"/>
          <w:lang w:val="lt-LT" w:eastAsia="en-US"/>
        </w:rPr>
        <w:t xml:space="preserve"> nei</w:t>
      </w:r>
      <w:r w:rsidR="009C703B" w:rsidRPr="00997273">
        <w:rPr>
          <w:rFonts w:cs="Times New Roman" w:hint="eastAsia"/>
          <w:sz w:val="22"/>
          <w:szCs w:val="22"/>
          <w:lang w:val="lt-LT" w:eastAsia="en-US"/>
        </w:rPr>
        <w:t>š</w:t>
      </w:r>
      <w:r w:rsidR="009C703B" w:rsidRPr="00997273">
        <w:rPr>
          <w:rFonts w:cs="Times New Roman"/>
          <w:sz w:val="22"/>
          <w:szCs w:val="22"/>
          <w:lang w:val="lt-LT" w:eastAsia="en-US"/>
        </w:rPr>
        <w:t>tirtas.</w:t>
      </w:r>
    </w:p>
    <w:p w14:paraId="7B8006F3" w14:textId="77777777" w:rsidR="00B3689D" w:rsidRPr="00997273" w:rsidRDefault="00B3689D" w:rsidP="00F1682D">
      <w:pPr>
        <w:autoSpaceDE w:val="0"/>
        <w:autoSpaceDN w:val="0"/>
        <w:adjustRightInd w:val="0"/>
        <w:rPr>
          <w:rFonts w:cs="Times New Roman"/>
          <w:sz w:val="22"/>
          <w:szCs w:val="22"/>
          <w:lang w:val="lt-LT" w:eastAsia="en-US"/>
        </w:rPr>
      </w:pPr>
    </w:p>
    <w:p w14:paraId="79978BBD" w14:textId="77777777" w:rsidR="00612A8E" w:rsidRPr="00297C23" w:rsidRDefault="00612A8E" w:rsidP="00297C23">
      <w:pPr>
        <w:rPr>
          <w:sz w:val="22"/>
          <w:u w:val="single"/>
        </w:rPr>
      </w:pPr>
      <w:r w:rsidRPr="00297C23">
        <w:rPr>
          <w:sz w:val="22"/>
          <w:u w:val="single"/>
        </w:rPr>
        <w:lastRenderedPageBreak/>
        <w:t xml:space="preserve">Vartojimo metodas </w:t>
      </w:r>
    </w:p>
    <w:p w14:paraId="45D8CE6A" w14:textId="2368DD7B" w:rsidR="00B3689D" w:rsidRPr="00297C23" w:rsidRDefault="00D64B4D" w:rsidP="00297C23">
      <w:pPr>
        <w:rPr>
          <w:sz w:val="22"/>
        </w:rPr>
      </w:pPr>
      <w:r w:rsidRPr="00297C23">
        <w:rPr>
          <w:sz w:val="22"/>
        </w:rPr>
        <w:t>Sitagliptino</w:t>
      </w:r>
      <w:r w:rsidR="00B3689D" w:rsidRPr="00297C23">
        <w:rPr>
          <w:sz w:val="22"/>
        </w:rPr>
        <w:t xml:space="preserve"> galima vartoti valgio metu arba nevalgius.</w:t>
      </w:r>
    </w:p>
    <w:p w14:paraId="2973A2FC" w14:textId="77777777" w:rsidR="00612A8E" w:rsidRPr="00297C23" w:rsidRDefault="00612A8E" w:rsidP="00297C23">
      <w:pPr>
        <w:rPr>
          <w:sz w:val="22"/>
        </w:rPr>
      </w:pPr>
    </w:p>
    <w:p w14:paraId="5440554B" w14:textId="77777777" w:rsidR="00612A8E" w:rsidRPr="0099727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Kontraindikacijos</w:t>
      </w:r>
    </w:p>
    <w:p w14:paraId="4314FD7B"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174D2C5B" w14:textId="60FEEDE3" w:rsidR="00F25B9F" w:rsidRPr="00997273" w:rsidRDefault="00612A8E" w:rsidP="00612A8E">
      <w:pPr>
        <w:tabs>
          <w:tab w:val="left" w:pos="567"/>
        </w:tabs>
        <w:rPr>
          <w:rFonts w:eastAsia="Times New Roman" w:cs="Times New Roman"/>
          <w:sz w:val="22"/>
          <w:szCs w:val="22"/>
          <w:lang w:val="lt-LT" w:eastAsia="lt-LT" w:bidi="lt-LT"/>
        </w:rPr>
      </w:pPr>
      <w:r w:rsidRPr="00514429">
        <w:rPr>
          <w:rFonts w:eastAsia="Times New Roman" w:cs="Times New Roman"/>
          <w:sz w:val="22"/>
          <w:szCs w:val="22"/>
          <w:lang w:val="lt-LT" w:eastAsia="lt-LT" w:bidi="lt-LT"/>
        </w:rPr>
        <w:t>Padidėjęs jautrumas veikliajai arba bet kuriai 6.1 skyriuje nurodytai pagalbinei medžiagai</w:t>
      </w:r>
      <w:r w:rsidR="00C826CA" w:rsidRPr="00514429">
        <w:rPr>
          <w:rFonts w:eastAsia="Times New Roman" w:cs="Times New Roman"/>
          <w:sz w:val="22"/>
          <w:szCs w:val="22"/>
          <w:lang w:val="lt-LT" w:eastAsia="lt-LT" w:bidi="lt-LT"/>
        </w:rPr>
        <w:t xml:space="preserve"> (žr</w:t>
      </w:r>
      <w:r w:rsidR="00F25B9F" w:rsidRPr="00514429">
        <w:rPr>
          <w:rFonts w:eastAsia="Times New Roman" w:cs="Times New Roman"/>
          <w:sz w:val="22"/>
          <w:szCs w:val="22"/>
          <w:lang w:val="lt-LT" w:eastAsia="lt-LT" w:bidi="lt-LT"/>
        </w:rPr>
        <w:t>.</w:t>
      </w:r>
      <w:r w:rsidR="00952F80" w:rsidRPr="00514429">
        <w:rPr>
          <w:rFonts w:eastAsia="Times New Roman" w:cs="Times New Roman"/>
          <w:sz w:val="22"/>
          <w:szCs w:val="22"/>
          <w:lang w:val="lt-LT" w:eastAsia="lt-LT" w:bidi="lt-LT"/>
        </w:rPr>
        <w:t xml:space="preserve"> 4.4 ir 4.8 skyrius)</w:t>
      </w:r>
      <w:r w:rsidR="00EE0B98" w:rsidRPr="00514429">
        <w:rPr>
          <w:rFonts w:eastAsia="Times New Roman" w:cs="Times New Roman"/>
          <w:sz w:val="22"/>
          <w:szCs w:val="22"/>
          <w:lang w:val="lt-LT" w:eastAsia="lt-LT" w:bidi="lt-LT"/>
        </w:rPr>
        <w:t>.</w:t>
      </w:r>
    </w:p>
    <w:p w14:paraId="06AB5C47"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76FFD2A0" w14:textId="77777777" w:rsidR="00612A8E" w:rsidRPr="00997273" w:rsidRDefault="00612A8E" w:rsidP="00612A8E">
      <w:pPr>
        <w:keepNext/>
        <w:numPr>
          <w:ilvl w:val="1"/>
          <w:numId w:val="25"/>
        </w:numPr>
        <w:tabs>
          <w:tab w:val="left" w:pos="567"/>
        </w:tabs>
        <w:spacing w:line="260" w:lineRule="exact"/>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Specialūs įspėjimai ir atsargumo priemonės</w:t>
      </w:r>
    </w:p>
    <w:p w14:paraId="4F40453A" w14:textId="77777777" w:rsidR="00612A8E" w:rsidRPr="00997273" w:rsidRDefault="00612A8E" w:rsidP="00612A8E">
      <w:pPr>
        <w:keepNext/>
        <w:tabs>
          <w:tab w:val="left" w:pos="567"/>
        </w:tabs>
        <w:ind w:left="567" w:hanging="567"/>
        <w:rPr>
          <w:rFonts w:eastAsia="Times New Roman" w:cs="Times New Roman"/>
          <w:b/>
          <w:noProof/>
          <w:sz w:val="22"/>
          <w:szCs w:val="22"/>
          <w:lang w:val="lt-LT" w:eastAsia="lt-LT" w:bidi="lt-LT"/>
        </w:rPr>
      </w:pPr>
    </w:p>
    <w:p w14:paraId="6FAC9AB5" w14:textId="77777777" w:rsidR="00F25B9F" w:rsidRPr="00997273" w:rsidRDefault="00F25B9F" w:rsidP="00F25B9F">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Bendrieji įspėjimai</w:t>
      </w:r>
    </w:p>
    <w:p w14:paraId="4BB80D63" w14:textId="17AD4E51" w:rsidR="00F25B9F" w:rsidRPr="00997273" w:rsidRDefault="004629F4" w:rsidP="00F25B9F">
      <w:pPr>
        <w:autoSpaceDE w:val="0"/>
        <w:autoSpaceDN w:val="0"/>
        <w:adjustRightInd w:val="0"/>
        <w:rPr>
          <w:rFonts w:cs="Times New Roman"/>
          <w:sz w:val="22"/>
          <w:szCs w:val="22"/>
          <w:lang w:val="lt-LT" w:eastAsia="en-US"/>
        </w:rPr>
      </w:pPr>
      <w:proofErr w:type="spellStart"/>
      <w:r>
        <w:rPr>
          <w:rFonts w:cs="Times New Roman"/>
          <w:sz w:val="22"/>
          <w:szCs w:val="22"/>
          <w:lang w:val="lt-LT" w:eastAsia="en-US"/>
        </w:rPr>
        <w:t>S</w:t>
      </w:r>
      <w:r w:rsidRPr="00997273">
        <w:rPr>
          <w:rFonts w:cs="Times New Roman"/>
          <w:sz w:val="22"/>
          <w:szCs w:val="22"/>
          <w:lang w:val="lt-LT" w:eastAsia="en-US"/>
        </w:rPr>
        <w:t>itagliptin</w:t>
      </w:r>
      <w:r w:rsidR="001D6601">
        <w:rPr>
          <w:rFonts w:cs="Times New Roman"/>
          <w:sz w:val="22"/>
          <w:szCs w:val="22"/>
          <w:lang w:val="lt-LT" w:eastAsia="en-US"/>
        </w:rPr>
        <w:t>as</w:t>
      </w:r>
      <w:proofErr w:type="spellEnd"/>
      <w:r>
        <w:rPr>
          <w:rFonts w:cs="Times New Roman"/>
          <w:sz w:val="22"/>
          <w:szCs w:val="22"/>
          <w:lang w:val="lt-LT" w:eastAsia="en-US"/>
        </w:rPr>
        <w:t xml:space="preserve"> </w:t>
      </w:r>
      <w:r w:rsidR="00716009">
        <w:rPr>
          <w:rFonts w:cs="Times New Roman"/>
          <w:sz w:val="22"/>
          <w:szCs w:val="22"/>
          <w:lang w:val="lt-LT" w:eastAsia="en-US"/>
        </w:rPr>
        <w:t>ne</w:t>
      </w:r>
      <w:r>
        <w:rPr>
          <w:rFonts w:cs="Times New Roman"/>
          <w:sz w:val="22"/>
          <w:szCs w:val="22"/>
          <w:lang w:val="lt-LT" w:eastAsia="en-US"/>
        </w:rPr>
        <w:t>turi b</w:t>
      </w:r>
      <w:r w:rsidR="001D6601">
        <w:rPr>
          <w:rFonts w:cs="Times New Roman"/>
          <w:sz w:val="22"/>
          <w:szCs w:val="22"/>
          <w:lang w:val="lt-LT" w:eastAsia="en-US"/>
        </w:rPr>
        <w:t>ū</w:t>
      </w:r>
      <w:r>
        <w:rPr>
          <w:rFonts w:cs="Times New Roman"/>
          <w:sz w:val="22"/>
          <w:szCs w:val="22"/>
          <w:lang w:val="lt-LT" w:eastAsia="en-US"/>
        </w:rPr>
        <w:t>ti vartojama</w:t>
      </w:r>
      <w:r w:rsidR="001D6601">
        <w:rPr>
          <w:rFonts w:cs="Times New Roman"/>
          <w:sz w:val="22"/>
          <w:szCs w:val="22"/>
          <w:lang w:val="lt-LT" w:eastAsia="en-US"/>
        </w:rPr>
        <w:t>s</w:t>
      </w:r>
      <w:r w:rsidR="0065661C">
        <w:rPr>
          <w:rFonts w:cs="Times New Roman"/>
          <w:sz w:val="22"/>
          <w:szCs w:val="22"/>
          <w:lang w:val="lt-LT" w:eastAsia="en-US"/>
        </w:rPr>
        <w:t xml:space="preserve"> pacientams, kuriems yra </w:t>
      </w:r>
      <w:r>
        <w:rPr>
          <w:rFonts w:cs="Times New Roman"/>
          <w:sz w:val="22"/>
          <w:szCs w:val="22"/>
          <w:lang w:val="lt-LT" w:eastAsia="en-US"/>
        </w:rPr>
        <w:t>1</w:t>
      </w:r>
      <w:r w:rsidR="00F25B9F" w:rsidRPr="00997273">
        <w:rPr>
          <w:rFonts w:cs="Times New Roman"/>
          <w:sz w:val="22"/>
          <w:szCs w:val="22"/>
          <w:lang w:val="lt-LT" w:eastAsia="en-US"/>
        </w:rPr>
        <w:t xml:space="preserve"> tipo cukrini</w:t>
      </w:r>
      <w:r w:rsidR="0065661C">
        <w:rPr>
          <w:rFonts w:cs="Times New Roman"/>
          <w:sz w:val="22"/>
          <w:szCs w:val="22"/>
          <w:lang w:val="lt-LT" w:eastAsia="en-US"/>
        </w:rPr>
        <w:t>s</w:t>
      </w:r>
      <w:r w:rsidR="00F25B9F" w:rsidRPr="00997273">
        <w:rPr>
          <w:rFonts w:cs="Times New Roman"/>
          <w:sz w:val="22"/>
          <w:szCs w:val="22"/>
          <w:lang w:val="lt-LT" w:eastAsia="en-US"/>
        </w:rPr>
        <w:t xml:space="preserve"> diabet</w:t>
      </w:r>
      <w:r w:rsidR="0065661C">
        <w:rPr>
          <w:rFonts w:cs="Times New Roman"/>
          <w:sz w:val="22"/>
          <w:szCs w:val="22"/>
          <w:lang w:val="lt-LT" w:eastAsia="en-US"/>
        </w:rPr>
        <w:t>as</w:t>
      </w:r>
      <w:r w:rsidR="00F25B9F" w:rsidRPr="00997273">
        <w:rPr>
          <w:rFonts w:cs="Times New Roman"/>
          <w:sz w:val="22"/>
          <w:szCs w:val="22"/>
          <w:lang w:val="lt-LT" w:eastAsia="en-US"/>
        </w:rPr>
        <w:t xml:space="preserve"> ar diabetinės </w:t>
      </w:r>
      <w:proofErr w:type="spellStart"/>
      <w:r w:rsidR="00F25B9F" w:rsidRPr="00997273">
        <w:rPr>
          <w:rFonts w:cs="Times New Roman"/>
          <w:sz w:val="22"/>
          <w:szCs w:val="22"/>
          <w:lang w:val="lt-LT" w:eastAsia="en-US"/>
        </w:rPr>
        <w:t>ketoacidozės</w:t>
      </w:r>
      <w:proofErr w:type="spellEnd"/>
      <w:r w:rsidR="00F25B9F" w:rsidRPr="00997273">
        <w:rPr>
          <w:rFonts w:cs="Times New Roman"/>
          <w:sz w:val="22"/>
          <w:szCs w:val="22"/>
          <w:lang w:val="lt-LT" w:eastAsia="en-US"/>
        </w:rPr>
        <w:t xml:space="preserve"> gydymui.</w:t>
      </w:r>
    </w:p>
    <w:p w14:paraId="6EE65D90" w14:textId="77777777" w:rsidR="00F25B9F" w:rsidRPr="00997273" w:rsidRDefault="00F25B9F" w:rsidP="00F25B9F">
      <w:pPr>
        <w:autoSpaceDE w:val="0"/>
        <w:autoSpaceDN w:val="0"/>
        <w:adjustRightInd w:val="0"/>
        <w:rPr>
          <w:rFonts w:cs="Times New Roman"/>
          <w:sz w:val="22"/>
          <w:szCs w:val="22"/>
          <w:lang w:val="lt-LT" w:eastAsia="en-US"/>
        </w:rPr>
      </w:pPr>
    </w:p>
    <w:p w14:paraId="16A04BE9" w14:textId="77777777" w:rsidR="00F25B9F" w:rsidRPr="00997273" w:rsidRDefault="00F25B9F" w:rsidP="00F25B9F">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Ūminis pankreatitas</w:t>
      </w:r>
    </w:p>
    <w:p w14:paraId="2376F3B0" w14:textId="5CEAF853" w:rsidR="00F76314" w:rsidRDefault="00F25B9F" w:rsidP="00F25B9F">
      <w:pPr>
        <w:autoSpaceDE w:val="0"/>
        <w:autoSpaceDN w:val="0"/>
        <w:adjustRightInd w:val="0"/>
        <w:rPr>
          <w:rFonts w:cs="Times New Roman"/>
          <w:sz w:val="22"/>
          <w:szCs w:val="22"/>
          <w:lang w:val="lt-LT" w:eastAsia="en-US"/>
        </w:rPr>
      </w:pPr>
      <w:r w:rsidRPr="00997273">
        <w:rPr>
          <w:rFonts w:cs="Times New Roman"/>
          <w:sz w:val="22"/>
          <w:szCs w:val="22"/>
          <w:lang w:val="lt-LT" w:eastAsia="en-US"/>
        </w:rPr>
        <w:t>DPP-4 inhibitorių vartojimas yra susijęs su ūminio pankreatito išsivystymo rizika. Pacient</w:t>
      </w:r>
      <w:r w:rsidR="00EC494A">
        <w:rPr>
          <w:rFonts w:cs="Times New Roman"/>
          <w:sz w:val="22"/>
          <w:szCs w:val="22"/>
          <w:lang w:val="lt-LT" w:eastAsia="en-US"/>
        </w:rPr>
        <w:t>ai turi būti</w:t>
      </w:r>
      <w:r w:rsidRPr="00997273">
        <w:rPr>
          <w:rFonts w:cs="Times New Roman"/>
          <w:sz w:val="22"/>
          <w:szCs w:val="22"/>
          <w:lang w:val="lt-LT" w:eastAsia="en-US"/>
        </w:rPr>
        <w:t xml:space="preserve"> </w:t>
      </w:r>
      <w:r w:rsidR="00EC494A">
        <w:rPr>
          <w:rFonts w:cs="Times New Roman"/>
          <w:sz w:val="22"/>
          <w:szCs w:val="22"/>
          <w:lang w:val="lt-LT" w:eastAsia="en-US"/>
        </w:rPr>
        <w:t>informuoti</w:t>
      </w:r>
      <w:r w:rsidRPr="00997273">
        <w:rPr>
          <w:rFonts w:cs="Times New Roman"/>
          <w:sz w:val="22"/>
          <w:szCs w:val="22"/>
          <w:lang w:val="lt-LT" w:eastAsia="en-US"/>
        </w:rPr>
        <w:t>, kad nuolatinis ir stiprus pilvo skausmas yra būdingas ūminio pankreatito simptomas.</w:t>
      </w:r>
      <w:r w:rsidR="00E5224B">
        <w:rPr>
          <w:rFonts w:cs="Times New Roman"/>
          <w:sz w:val="22"/>
          <w:szCs w:val="22"/>
          <w:lang w:val="lt-LT" w:eastAsia="en-US"/>
        </w:rPr>
        <w:t xml:space="preserve"> </w:t>
      </w:r>
      <w:r w:rsidRPr="00997273">
        <w:rPr>
          <w:rFonts w:cs="Times New Roman"/>
          <w:sz w:val="22"/>
          <w:szCs w:val="22"/>
          <w:lang w:val="lt-LT" w:eastAsia="en-US"/>
        </w:rPr>
        <w:t xml:space="preserve">Nutraukus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vartojimą buvo stebimas pasveikimas nuo pankreatito (taikant palaikomąjį</w:t>
      </w:r>
      <w:r w:rsidR="00342937" w:rsidRPr="00997273">
        <w:rPr>
          <w:rFonts w:cs="Times New Roman"/>
          <w:sz w:val="22"/>
          <w:szCs w:val="22"/>
          <w:lang w:val="lt-LT" w:eastAsia="en-US"/>
        </w:rPr>
        <w:t xml:space="preserve"> </w:t>
      </w:r>
      <w:r w:rsidRPr="00997273">
        <w:rPr>
          <w:rFonts w:cs="Times New Roman"/>
          <w:sz w:val="22"/>
          <w:szCs w:val="22"/>
          <w:lang w:val="lt-LT" w:eastAsia="en-US"/>
        </w:rPr>
        <w:t xml:space="preserve">gydymą arba jo netaikant), tačiau gauta pranešimų ir apie labai retus </w:t>
      </w:r>
      <w:proofErr w:type="spellStart"/>
      <w:r w:rsidRPr="00997273">
        <w:rPr>
          <w:rFonts w:cs="Times New Roman"/>
          <w:sz w:val="22"/>
          <w:szCs w:val="22"/>
          <w:lang w:val="lt-LT" w:eastAsia="en-US"/>
        </w:rPr>
        <w:t>nekrozinio</w:t>
      </w:r>
      <w:proofErr w:type="spellEnd"/>
      <w:r w:rsidRPr="00997273">
        <w:rPr>
          <w:rFonts w:cs="Times New Roman"/>
          <w:sz w:val="22"/>
          <w:szCs w:val="22"/>
          <w:lang w:val="lt-LT" w:eastAsia="en-US"/>
        </w:rPr>
        <w:t xml:space="preserve"> ar hemoraginio</w:t>
      </w:r>
      <w:r w:rsidR="00342937" w:rsidRPr="00997273">
        <w:rPr>
          <w:rFonts w:cs="Times New Roman"/>
          <w:sz w:val="22"/>
          <w:szCs w:val="22"/>
          <w:lang w:val="lt-LT" w:eastAsia="en-US"/>
        </w:rPr>
        <w:t xml:space="preserve"> </w:t>
      </w:r>
      <w:r w:rsidRPr="00997273">
        <w:rPr>
          <w:rFonts w:cs="Times New Roman"/>
          <w:sz w:val="22"/>
          <w:szCs w:val="22"/>
          <w:lang w:val="lt-LT" w:eastAsia="en-US"/>
        </w:rPr>
        <w:t xml:space="preserve">pankreatito ir (arba) mirties atvejus. Jeigu yra įtariamas pankreatitas, </w:t>
      </w:r>
      <w:proofErr w:type="spellStart"/>
      <w:r w:rsidR="00F76314">
        <w:rPr>
          <w:rFonts w:cs="Times New Roman"/>
          <w:sz w:val="22"/>
          <w:szCs w:val="22"/>
          <w:lang w:val="lt-LT" w:eastAsia="en-US"/>
        </w:rPr>
        <w:t>sitagliptino</w:t>
      </w:r>
      <w:proofErr w:type="spellEnd"/>
      <w:r w:rsidRPr="00997273">
        <w:rPr>
          <w:rFonts w:cs="Times New Roman"/>
          <w:sz w:val="22"/>
          <w:szCs w:val="22"/>
          <w:lang w:val="lt-LT" w:eastAsia="en-US"/>
        </w:rPr>
        <w:t xml:space="preserve"> ir kitų </w:t>
      </w:r>
      <w:r w:rsidR="00716009">
        <w:rPr>
          <w:rFonts w:cs="Times New Roman"/>
          <w:sz w:val="22"/>
          <w:szCs w:val="22"/>
          <w:lang w:val="lt-LT" w:eastAsia="en-US"/>
        </w:rPr>
        <w:t xml:space="preserve">pankreatitą </w:t>
      </w:r>
      <w:r w:rsidRPr="00997273">
        <w:rPr>
          <w:rFonts w:cs="Times New Roman"/>
          <w:sz w:val="22"/>
          <w:szCs w:val="22"/>
          <w:lang w:val="lt-LT" w:eastAsia="en-US"/>
        </w:rPr>
        <w:t>gali</w:t>
      </w:r>
      <w:r w:rsidR="00716009">
        <w:rPr>
          <w:rFonts w:cs="Times New Roman"/>
          <w:sz w:val="22"/>
          <w:szCs w:val="22"/>
          <w:lang w:val="lt-LT" w:eastAsia="en-US"/>
        </w:rPr>
        <w:t>nčių sukelti</w:t>
      </w:r>
      <w:r w:rsidRPr="00997273">
        <w:rPr>
          <w:rFonts w:cs="Times New Roman"/>
          <w:sz w:val="22"/>
          <w:szCs w:val="22"/>
          <w:lang w:val="lt-LT" w:eastAsia="en-US"/>
        </w:rPr>
        <w:t xml:space="preserve"> vaistinių preparatų vartojim</w:t>
      </w:r>
      <w:r w:rsidR="00862524">
        <w:rPr>
          <w:rFonts w:cs="Times New Roman"/>
          <w:sz w:val="22"/>
          <w:szCs w:val="22"/>
          <w:lang w:val="lt-LT" w:eastAsia="en-US"/>
        </w:rPr>
        <w:t>as turi būti nutrauktas</w:t>
      </w:r>
      <w:r w:rsidRPr="00997273">
        <w:rPr>
          <w:rFonts w:cs="Times New Roman"/>
          <w:sz w:val="22"/>
          <w:szCs w:val="22"/>
          <w:lang w:val="lt-LT" w:eastAsia="en-US"/>
        </w:rPr>
        <w:t xml:space="preserve">; jeigu </w:t>
      </w:r>
      <w:r w:rsidR="00B95435">
        <w:rPr>
          <w:rFonts w:cs="Times New Roman"/>
          <w:sz w:val="22"/>
          <w:szCs w:val="22"/>
          <w:lang w:val="lt-LT" w:eastAsia="en-US"/>
        </w:rPr>
        <w:t xml:space="preserve">ūminis </w:t>
      </w:r>
      <w:r w:rsidRPr="00997273">
        <w:rPr>
          <w:rFonts w:cs="Times New Roman"/>
          <w:sz w:val="22"/>
          <w:szCs w:val="22"/>
          <w:lang w:val="lt-LT" w:eastAsia="en-US"/>
        </w:rPr>
        <w:t xml:space="preserve">pankreatitas yra patvirtinamas, gydymo </w:t>
      </w:r>
      <w:proofErr w:type="spellStart"/>
      <w:r w:rsidR="00F76314">
        <w:rPr>
          <w:rFonts w:cs="Times New Roman"/>
          <w:sz w:val="22"/>
          <w:szCs w:val="22"/>
          <w:lang w:val="lt-LT" w:eastAsia="en-US"/>
        </w:rPr>
        <w:t>sitagliptinu</w:t>
      </w:r>
      <w:proofErr w:type="spellEnd"/>
      <w:r w:rsidRPr="00997273">
        <w:rPr>
          <w:rFonts w:cs="Times New Roman"/>
          <w:sz w:val="22"/>
          <w:szCs w:val="22"/>
          <w:lang w:val="lt-LT" w:eastAsia="en-US"/>
        </w:rPr>
        <w:t xml:space="preserve"> atnaujinti negalima. </w:t>
      </w:r>
    </w:p>
    <w:p w14:paraId="1DA13936" w14:textId="256F67E7" w:rsidR="00F25B9F" w:rsidRPr="00997273" w:rsidRDefault="00F25B9F" w:rsidP="00F25B9F">
      <w:pPr>
        <w:autoSpaceDE w:val="0"/>
        <w:autoSpaceDN w:val="0"/>
        <w:adjustRightInd w:val="0"/>
        <w:rPr>
          <w:rFonts w:cs="Times New Roman"/>
          <w:sz w:val="22"/>
          <w:szCs w:val="22"/>
          <w:lang w:val="lt-LT" w:eastAsia="en-US"/>
        </w:rPr>
      </w:pPr>
      <w:r w:rsidRPr="00997273">
        <w:rPr>
          <w:rFonts w:cs="Times New Roman"/>
          <w:sz w:val="22"/>
          <w:szCs w:val="22"/>
          <w:lang w:val="lt-LT" w:eastAsia="en-US"/>
        </w:rPr>
        <w:t>Pankreatitu sirgusius pacientus gydyti reikia atsargiai.</w:t>
      </w:r>
    </w:p>
    <w:p w14:paraId="4D1C8F87" w14:textId="77777777" w:rsidR="00F25B9F" w:rsidRPr="00997273" w:rsidRDefault="00F25B9F" w:rsidP="00F25B9F">
      <w:pPr>
        <w:autoSpaceDE w:val="0"/>
        <w:autoSpaceDN w:val="0"/>
        <w:adjustRightInd w:val="0"/>
        <w:rPr>
          <w:rFonts w:cs="Times New Roman"/>
          <w:sz w:val="22"/>
          <w:szCs w:val="22"/>
          <w:lang w:val="lt-LT" w:eastAsia="en-US"/>
        </w:rPr>
      </w:pPr>
    </w:p>
    <w:p w14:paraId="64D32723" w14:textId="7A25BB9E" w:rsidR="007F5EF2" w:rsidRPr="007F5EF2" w:rsidRDefault="007F5EF2" w:rsidP="007F5EF2">
      <w:pPr>
        <w:widowControl w:val="0"/>
        <w:tabs>
          <w:tab w:val="left" w:pos="1296"/>
        </w:tabs>
        <w:autoSpaceDE w:val="0"/>
        <w:autoSpaceDN w:val="0"/>
        <w:adjustRightInd w:val="0"/>
        <w:snapToGrid w:val="0"/>
        <w:rPr>
          <w:rFonts w:eastAsia="TimesNewRoman" w:cs="Times New Roman"/>
          <w:sz w:val="22"/>
          <w:szCs w:val="22"/>
          <w:u w:val="single"/>
          <w:lang w:val="lt-LT" w:eastAsia="en-US"/>
        </w:rPr>
      </w:pPr>
      <w:r w:rsidRPr="007F5EF2">
        <w:rPr>
          <w:rFonts w:eastAsia="TimesNewRoman" w:cs="Times New Roman"/>
          <w:sz w:val="22"/>
          <w:szCs w:val="22"/>
          <w:u w:val="single"/>
          <w:lang w:val="lt-LT" w:eastAsia="en-US"/>
        </w:rPr>
        <w:t>Hipoglikemij</w:t>
      </w:r>
      <w:r w:rsidR="00716009">
        <w:rPr>
          <w:rFonts w:eastAsia="TimesNewRoman" w:cs="Times New Roman"/>
          <w:sz w:val="22"/>
          <w:szCs w:val="22"/>
          <w:u w:val="single"/>
          <w:lang w:val="lt-LT" w:eastAsia="en-US"/>
        </w:rPr>
        <w:t>os rizik</w:t>
      </w:r>
      <w:r w:rsidR="008B66AF">
        <w:rPr>
          <w:rFonts w:eastAsia="TimesNewRoman" w:cs="Times New Roman"/>
          <w:sz w:val="22"/>
          <w:szCs w:val="22"/>
          <w:u w:val="single"/>
          <w:lang w:val="lt-LT" w:eastAsia="en-US"/>
        </w:rPr>
        <w:t>a</w:t>
      </w:r>
      <w:r w:rsidRPr="007F5EF2">
        <w:rPr>
          <w:rFonts w:eastAsia="TimesNewRoman" w:cs="Times New Roman"/>
          <w:sz w:val="22"/>
          <w:szCs w:val="22"/>
          <w:u w:val="single"/>
          <w:lang w:val="lt-LT" w:eastAsia="en-US"/>
        </w:rPr>
        <w:t xml:space="preserve"> vartojant </w:t>
      </w:r>
      <w:r w:rsidR="00CA49D4">
        <w:rPr>
          <w:rFonts w:eastAsia="TimesNewRoman" w:cs="Times New Roman"/>
          <w:sz w:val="22"/>
          <w:szCs w:val="22"/>
          <w:u w:val="single"/>
          <w:lang w:val="lt-LT" w:eastAsia="en-US"/>
        </w:rPr>
        <w:t>derin</w:t>
      </w:r>
      <w:r w:rsidR="008B66AF">
        <w:rPr>
          <w:rFonts w:eastAsia="TimesNewRoman" w:cs="Times New Roman"/>
          <w:sz w:val="22"/>
          <w:szCs w:val="22"/>
          <w:u w:val="single"/>
          <w:lang w:val="lt-LT" w:eastAsia="en-US"/>
        </w:rPr>
        <w:t>į</w:t>
      </w:r>
      <w:r w:rsidR="00CA49D4">
        <w:rPr>
          <w:rFonts w:eastAsia="TimesNewRoman" w:cs="Times New Roman"/>
          <w:sz w:val="22"/>
          <w:szCs w:val="22"/>
          <w:u w:val="single"/>
          <w:lang w:val="lt-LT" w:eastAsia="en-US"/>
        </w:rPr>
        <w:t xml:space="preserve"> </w:t>
      </w:r>
      <w:r w:rsidR="005E4C26">
        <w:rPr>
          <w:rFonts w:eastAsia="TimesNewRoman" w:cs="Times New Roman"/>
          <w:sz w:val="22"/>
          <w:szCs w:val="22"/>
          <w:u w:val="single"/>
          <w:lang w:val="lt-LT" w:eastAsia="en-US"/>
        </w:rPr>
        <w:t>su kitais</w:t>
      </w:r>
      <w:r w:rsidRPr="007F5EF2">
        <w:rPr>
          <w:rFonts w:eastAsia="TimesNewRoman" w:cs="Times New Roman"/>
          <w:sz w:val="22"/>
          <w:szCs w:val="22"/>
          <w:u w:val="single"/>
          <w:lang w:val="lt-LT" w:eastAsia="en-US"/>
        </w:rPr>
        <w:t xml:space="preserve"> hiperglikemiją mažinanči</w:t>
      </w:r>
      <w:r w:rsidR="005E4C26">
        <w:rPr>
          <w:rFonts w:eastAsia="TimesNewRoman" w:cs="Times New Roman"/>
          <w:sz w:val="22"/>
          <w:szCs w:val="22"/>
          <w:u w:val="single"/>
          <w:lang w:val="lt-LT" w:eastAsia="en-US"/>
        </w:rPr>
        <w:t>ais</w:t>
      </w:r>
      <w:r w:rsidRPr="007F5EF2">
        <w:rPr>
          <w:rFonts w:eastAsia="TimesNewRoman" w:cs="Times New Roman"/>
          <w:sz w:val="22"/>
          <w:szCs w:val="22"/>
          <w:u w:val="single"/>
          <w:lang w:val="lt-LT" w:eastAsia="en-US"/>
        </w:rPr>
        <w:t xml:space="preserve"> vaistini</w:t>
      </w:r>
      <w:r w:rsidR="005E4C26">
        <w:rPr>
          <w:rFonts w:eastAsia="TimesNewRoman" w:cs="Times New Roman"/>
          <w:sz w:val="22"/>
          <w:szCs w:val="22"/>
          <w:u w:val="single"/>
          <w:lang w:val="lt-LT" w:eastAsia="en-US"/>
        </w:rPr>
        <w:t>ais</w:t>
      </w:r>
      <w:r w:rsidRPr="007F5EF2">
        <w:rPr>
          <w:rFonts w:eastAsia="TimesNewRoman" w:cs="Times New Roman"/>
          <w:sz w:val="22"/>
          <w:szCs w:val="22"/>
          <w:u w:val="single"/>
          <w:lang w:val="lt-LT" w:eastAsia="en-US"/>
        </w:rPr>
        <w:t xml:space="preserve"> preparat</w:t>
      </w:r>
      <w:r w:rsidR="00510A62">
        <w:rPr>
          <w:rFonts w:eastAsia="TimesNewRoman" w:cs="Times New Roman"/>
          <w:sz w:val="22"/>
          <w:szCs w:val="22"/>
          <w:u w:val="single"/>
          <w:lang w:val="lt-LT" w:eastAsia="en-US"/>
        </w:rPr>
        <w:t>ais</w:t>
      </w:r>
      <w:r w:rsidRPr="007F5EF2">
        <w:rPr>
          <w:rFonts w:eastAsia="TimesNewRoman" w:cs="Times New Roman"/>
          <w:sz w:val="22"/>
          <w:szCs w:val="22"/>
          <w:u w:val="single"/>
          <w:lang w:val="lt-LT" w:eastAsia="en-US"/>
        </w:rPr>
        <w:t xml:space="preserve"> </w:t>
      </w:r>
    </w:p>
    <w:p w14:paraId="3DF1CEE7" w14:textId="77777777" w:rsidR="00F76314" w:rsidRDefault="00F25B9F" w:rsidP="00F25B9F">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Klinikinių tyrimų metu gydant vien </w:t>
      </w:r>
      <w:proofErr w:type="spellStart"/>
      <w:r w:rsidRPr="00997273">
        <w:rPr>
          <w:rFonts w:cs="Times New Roman"/>
          <w:sz w:val="22"/>
          <w:szCs w:val="22"/>
          <w:lang w:val="lt-LT" w:eastAsia="en-US"/>
        </w:rPr>
        <w:t>sitagliptinu</w:t>
      </w:r>
      <w:proofErr w:type="spellEnd"/>
      <w:r w:rsidRPr="00997273">
        <w:rPr>
          <w:rFonts w:cs="Times New Roman"/>
          <w:sz w:val="22"/>
          <w:szCs w:val="22"/>
          <w:lang w:val="lt-LT" w:eastAsia="en-US"/>
        </w:rPr>
        <w:t xml:space="preserve"> arba </w:t>
      </w:r>
      <w:r w:rsidR="00797F21">
        <w:rPr>
          <w:rFonts w:cs="Times New Roman"/>
          <w:sz w:val="22"/>
          <w:szCs w:val="22"/>
          <w:lang w:val="lt-LT" w:eastAsia="en-US"/>
        </w:rPr>
        <w:t>deriniu</w:t>
      </w:r>
      <w:r w:rsidR="00716009">
        <w:rPr>
          <w:rFonts w:cs="Times New Roman"/>
          <w:sz w:val="22"/>
          <w:szCs w:val="22"/>
          <w:lang w:val="lt-LT" w:eastAsia="en-US"/>
        </w:rPr>
        <w:t xml:space="preserve"> su </w:t>
      </w:r>
      <w:r w:rsidRPr="00997273">
        <w:rPr>
          <w:rFonts w:cs="Times New Roman"/>
          <w:sz w:val="22"/>
          <w:szCs w:val="22"/>
          <w:lang w:val="lt-LT" w:eastAsia="en-US"/>
        </w:rPr>
        <w:t>vaistini</w:t>
      </w:r>
      <w:r w:rsidR="00716009">
        <w:rPr>
          <w:rFonts w:cs="Times New Roman"/>
          <w:sz w:val="22"/>
          <w:szCs w:val="22"/>
          <w:lang w:val="lt-LT" w:eastAsia="en-US"/>
        </w:rPr>
        <w:t>ais</w:t>
      </w:r>
      <w:r w:rsidRPr="00997273">
        <w:rPr>
          <w:rFonts w:cs="Times New Roman"/>
          <w:sz w:val="22"/>
          <w:szCs w:val="22"/>
          <w:lang w:val="lt-LT" w:eastAsia="en-US"/>
        </w:rPr>
        <w:t xml:space="preserve"> preparat</w:t>
      </w:r>
      <w:r w:rsidR="00716009">
        <w:rPr>
          <w:rFonts w:cs="Times New Roman"/>
          <w:sz w:val="22"/>
          <w:szCs w:val="22"/>
          <w:lang w:val="lt-LT" w:eastAsia="en-US"/>
        </w:rPr>
        <w:t>ais</w:t>
      </w:r>
      <w:r w:rsidRPr="00997273">
        <w:rPr>
          <w:rFonts w:cs="Times New Roman"/>
          <w:sz w:val="22"/>
          <w:szCs w:val="22"/>
          <w:lang w:val="lt-LT" w:eastAsia="en-US"/>
        </w:rPr>
        <w:t>, kurie, kiek žinoma,</w:t>
      </w:r>
      <w:r w:rsidR="00342937" w:rsidRPr="00997273">
        <w:rPr>
          <w:rFonts w:cs="Times New Roman"/>
          <w:sz w:val="22"/>
          <w:szCs w:val="22"/>
          <w:lang w:val="lt-LT" w:eastAsia="en-US"/>
        </w:rPr>
        <w:t xml:space="preserve"> </w:t>
      </w:r>
      <w:r w:rsidRPr="00997273">
        <w:rPr>
          <w:rFonts w:cs="Times New Roman"/>
          <w:sz w:val="22"/>
          <w:szCs w:val="22"/>
          <w:lang w:val="lt-LT" w:eastAsia="en-US"/>
        </w:rPr>
        <w:t xml:space="preserve">nesukelia hipoglikemijos (t. y. </w:t>
      </w:r>
      <w:proofErr w:type="spellStart"/>
      <w:r w:rsidRPr="00997273">
        <w:rPr>
          <w:rFonts w:cs="Times New Roman"/>
          <w:sz w:val="22"/>
          <w:szCs w:val="22"/>
          <w:lang w:val="lt-LT" w:eastAsia="en-US"/>
        </w:rPr>
        <w:t>metforminu</w:t>
      </w:r>
      <w:proofErr w:type="spellEnd"/>
      <w:r w:rsidRPr="00997273">
        <w:rPr>
          <w:rFonts w:cs="Times New Roman"/>
          <w:sz w:val="22"/>
          <w:szCs w:val="22"/>
          <w:lang w:val="lt-LT" w:eastAsia="en-US"/>
        </w:rPr>
        <w:t xml:space="preserve"> ir (arba) </w:t>
      </w:r>
      <w:proofErr w:type="spellStart"/>
      <w:r w:rsidRPr="00997273">
        <w:rPr>
          <w:rFonts w:cs="Times New Roman"/>
          <w:sz w:val="22"/>
          <w:szCs w:val="22"/>
          <w:lang w:val="lt-LT" w:eastAsia="en-US"/>
        </w:rPr>
        <w:t>PPARγ</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agonistu</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vartojusiems</w:t>
      </w:r>
      <w:r w:rsidR="00342937" w:rsidRPr="00997273">
        <w:rPr>
          <w:rFonts w:cs="Times New Roman"/>
          <w:sz w:val="22"/>
          <w:szCs w:val="22"/>
          <w:lang w:val="lt-LT" w:eastAsia="en-US"/>
        </w:rPr>
        <w:t xml:space="preserve"> </w:t>
      </w:r>
      <w:r w:rsidRPr="00997273">
        <w:rPr>
          <w:rFonts w:cs="Times New Roman"/>
          <w:sz w:val="22"/>
          <w:szCs w:val="22"/>
          <w:lang w:val="lt-LT" w:eastAsia="en-US"/>
        </w:rPr>
        <w:t xml:space="preserve">pacientams hipoglikemijos dažnis buvo panašus </w:t>
      </w:r>
      <w:r w:rsidR="00DC107F">
        <w:rPr>
          <w:rFonts w:cs="Times New Roman"/>
          <w:sz w:val="22"/>
          <w:szCs w:val="22"/>
          <w:lang w:val="lt-LT" w:eastAsia="en-US"/>
        </w:rPr>
        <w:t>į nustatytą</w:t>
      </w:r>
      <w:r w:rsidR="003802C8">
        <w:rPr>
          <w:rFonts w:cs="Times New Roman"/>
          <w:sz w:val="22"/>
          <w:szCs w:val="22"/>
          <w:lang w:val="lt-LT" w:eastAsia="en-US"/>
        </w:rPr>
        <w:t xml:space="preserve"> pacientams,</w:t>
      </w:r>
      <w:r w:rsidRPr="00997273">
        <w:rPr>
          <w:rFonts w:cs="Times New Roman"/>
          <w:sz w:val="22"/>
          <w:szCs w:val="22"/>
          <w:lang w:val="lt-LT" w:eastAsia="en-US"/>
        </w:rPr>
        <w:t xml:space="preserve"> vartojusiems placebo. </w:t>
      </w:r>
    </w:p>
    <w:p w14:paraId="32580D32" w14:textId="613A9400" w:rsidR="00F25B9F" w:rsidRPr="00997273" w:rsidRDefault="003259E6" w:rsidP="00F25B9F">
      <w:pPr>
        <w:autoSpaceDE w:val="0"/>
        <w:autoSpaceDN w:val="0"/>
        <w:adjustRightInd w:val="0"/>
        <w:rPr>
          <w:rFonts w:cs="Times New Roman"/>
          <w:sz w:val="22"/>
          <w:szCs w:val="22"/>
          <w:lang w:val="lt-LT" w:eastAsia="en-US"/>
        </w:rPr>
      </w:pPr>
      <w:r>
        <w:rPr>
          <w:rFonts w:cs="Times New Roman"/>
          <w:sz w:val="22"/>
          <w:szCs w:val="22"/>
          <w:lang w:val="lt-LT" w:eastAsia="en-US"/>
        </w:rPr>
        <w:t>Hipoglikemija</w:t>
      </w:r>
      <w:r w:rsidR="00D05965">
        <w:rPr>
          <w:rFonts w:cs="Times New Roman"/>
          <w:sz w:val="22"/>
          <w:szCs w:val="22"/>
          <w:lang w:val="lt-LT" w:eastAsia="en-US"/>
        </w:rPr>
        <w:t xml:space="preserve"> buvo nustatyta </w:t>
      </w:r>
      <w:r w:rsidR="00DA39F0">
        <w:rPr>
          <w:rFonts w:cs="Times New Roman"/>
          <w:sz w:val="22"/>
          <w:szCs w:val="22"/>
          <w:lang w:val="lt-LT" w:eastAsia="en-US"/>
        </w:rPr>
        <w:t xml:space="preserve">pacientams, vartojusiems </w:t>
      </w:r>
      <w:proofErr w:type="spellStart"/>
      <w:r w:rsidR="00D05965">
        <w:rPr>
          <w:rFonts w:cs="Times New Roman"/>
          <w:sz w:val="22"/>
          <w:szCs w:val="22"/>
          <w:lang w:val="lt-LT" w:eastAsia="en-US"/>
        </w:rPr>
        <w:t>s</w:t>
      </w:r>
      <w:r w:rsidR="00F25B9F" w:rsidRPr="00997273">
        <w:rPr>
          <w:rFonts w:cs="Times New Roman"/>
          <w:sz w:val="22"/>
          <w:szCs w:val="22"/>
          <w:lang w:val="lt-LT" w:eastAsia="en-US"/>
        </w:rPr>
        <w:t>itagliptino</w:t>
      </w:r>
      <w:proofErr w:type="spellEnd"/>
      <w:r w:rsidR="00F25B9F" w:rsidRPr="00997273">
        <w:rPr>
          <w:rFonts w:cs="Times New Roman"/>
          <w:sz w:val="22"/>
          <w:szCs w:val="22"/>
          <w:lang w:val="lt-LT" w:eastAsia="en-US"/>
        </w:rPr>
        <w:t xml:space="preserve"> kartu su</w:t>
      </w:r>
      <w:r w:rsidR="00342937" w:rsidRPr="00997273">
        <w:rPr>
          <w:rFonts w:cs="Times New Roman"/>
          <w:sz w:val="22"/>
          <w:szCs w:val="22"/>
          <w:lang w:val="lt-LT" w:eastAsia="en-US"/>
        </w:rPr>
        <w:t xml:space="preserve"> </w:t>
      </w:r>
      <w:r w:rsidR="00F25B9F" w:rsidRPr="00997273">
        <w:rPr>
          <w:rFonts w:cs="Times New Roman"/>
          <w:sz w:val="22"/>
          <w:szCs w:val="22"/>
          <w:lang w:val="lt-LT" w:eastAsia="en-US"/>
        </w:rPr>
        <w:t xml:space="preserve">insulinu arba </w:t>
      </w:r>
      <w:proofErr w:type="spellStart"/>
      <w:r w:rsidR="00F25B9F" w:rsidRPr="00997273">
        <w:rPr>
          <w:rFonts w:cs="Times New Roman"/>
          <w:sz w:val="22"/>
          <w:szCs w:val="22"/>
          <w:lang w:val="lt-LT" w:eastAsia="en-US"/>
        </w:rPr>
        <w:t>sulfonilurėjos</w:t>
      </w:r>
      <w:proofErr w:type="spellEnd"/>
      <w:r w:rsidR="00F25B9F" w:rsidRPr="00997273">
        <w:rPr>
          <w:rFonts w:cs="Times New Roman"/>
          <w:sz w:val="22"/>
          <w:szCs w:val="22"/>
          <w:lang w:val="lt-LT" w:eastAsia="en-US"/>
        </w:rPr>
        <w:t xml:space="preserve"> dariniu. Todėl, norint</w:t>
      </w:r>
      <w:r w:rsidR="00342937" w:rsidRPr="00997273">
        <w:rPr>
          <w:rFonts w:cs="Times New Roman"/>
          <w:sz w:val="22"/>
          <w:szCs w:val="22"/>
          <w:lang w:val="lt-LT" w:eastAsia="en-US"/>
        </w:rPr>
        <w:t xml:space="preserve"> </w:t>
      </w:r>
      <w:r w:rsidR="00F25B9F" w:rsidRPr="00997273">
        <w:rPr>
          <w:rFonts w:cs="Times New Roman"/>
          <w:sz w:val="22"/>
          <w:szCs w:val="22"/>
          <w:lang w:val="lt-LT" w:eastAsia="en-US"/>
        </w:rPr>
        <w:t xml:space="preserve">sumažinti hipoglikemijos riziką, svarstytinas mažesnės </w:t>
      </w:r>
      <w:proofErr w:type="spellStart"/>
      <w:r w:rsidR="00F25B9F" w:rsidRPr="00997273">
        <w:rPr>
          <w:rFonts w:cs="Times New Roman"/>
          <w:sz w:val="22"/>
          <w:szCs w:val="22"/>
          <w:lang w:val="lt-LT" w:eastAsia="en-US"/>
        </w:rPr>
        <w:t>sulfonilurėjos</w:t>
      </w:r>
      <w:proofErr w:type="spellEnd"/>
      <w:r w:rsidR="00F25B9F" w:rsidRPr="00997273">
        <w:rPr>
          <w:rFonts w:cs="Times New Roman"/>
          <w:sz w:val="22"/>
          <w:szCs w:val="22"/>
          <w:lang w:val="lt-LT" w:eastAsia="en-US"/>
        </w:rPr>
        <w:t xml:space="preserve"> darinio arba insulino dozės</w:t>
      </w:r>
      <w:r w:rsidR="00F25B9F" w:rsidRPr="00997273">
        <w:rPr>
          <w:rFonts w:eastAsia="Times New Roman" w:cs="Times New Roman"/>
          <w:sz w:val="22"/>
          <w:szCs w:val="22"/>
          <w:lang w:val="lt-LT" w:eastAsia="lt-LT" w:bidi="lt-LT"/>
        </w:rPr>
        <w:t xml:space="preserve"> </w:t>
      </w:r>
      <w:r w:rsidR="00F25B9F" w:rsidRPr="00997273">
        <w:rPr>
          <w:rFonts w:cs="Times New Roman"/>
          <w:sz w:val="22"/>
          <w:szCs w:val="22"/>
          <w:lang w:val="lt-LT" w:eastAsia="en-US"/>
        </w:rPr>
        <w:t>vartojimas (žr. 4.2 skyrių).</w:t>
      </w:r>
    </w:p>
    <w:p w14:paraId="76FF05D6" w14:textId="77777777" w:rsidR="00F25B9F" w:rsidRPr="00997273" w:rsidRDefault="00F25B9F" w:rsidP="00F25B9F">
      <w:pPr>
        <w:autoSpaceDE w:val="0"/>
        <w:autoSpaceDN w:val="0"/>
        <w:adjustRightInd w:val="0"/>
        <w:rPr>
          <w:rFonts w:cs="Times New Roman"/>
          <w:sz w:val="22"/>
          <w:szCs w:val="22"/>
          <w:lang w:val="lt-LT" w:eastAsia="en-US"/>
        </w:rPr>
      </w:pPr>
    </w:p>
    <w:p w14:paraId="308FD84E" w14:textId="39A0EA5A" w:rsidR="00F25B9F" w:rsidRPr="00997273" w:rsidRDefault="00F25B9F" w:rsidP="00F25B9F">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 xml:space="preserve">Inkstų </w:t>
      </w:r>
      <w:r w:rsidR="00CA49D4">
        <w:rPr>
          <w:rFonts w:cs="Times New Roman"/>
          <w:sz w:val="22"/>
          <w:szCs w:val="22"/>
          <w:u w:val="single"/>
          <w:lang w:val="lt-LT" w:eastAsia="en-US"/>
        </w:rPr>
        <w:t>funkcijos</w:t>
      </w:r>
      <w:r w:rsidR="00CA49D4" w:rsidRPr="00997273">
        <w:rPr>
          <w:rFonts w:cs="Times New Roman"/>
          <w:sz w:val="22"/>
          <w:szCs w:val="22"/>
          <w:u w:val="single"/>
          <w:lang w:val="lt-LT" w:eastAsia="en-US"/>
        </w:rPr>
        <w:t xml:space="preserve"> </w:t>
      </w:r>
      <w:r w:rsidRPr="00997273">
        <w:rPr>
          <w:rFonts w:cs="Times New Roman"/>
          <w:sz w:val="22"/>
          <w:szCs w:val="22"/>
          <w:u w:val="single"/>
          <w:lang w:val="lt-LT" w:eastAsia="en-US"/>
        </w:rPr>
        <w:t>sutrikimas</w:t>
      </w:r>
    </w:p>
    <w:p w14:paraId="196A0207" w14:textId="2D39AE5B" w:rsidR="00F25B9F" w:rsidRPr="00997273" w:rsidRDefault="00F25B9F" w:rsidP="00DD3B9B">
      <w:pPr>
        <w:autoSpaceDE w:val="0"/>
        <w:autoSpaceDN w:val="0"/>
        <w:adjustRightInd w:val="0"/>
        <w:rPr>
          <w:rFonts w:cs="Times New Roman"/>
          <w:sz w:val="22"/>
          <w:szCs w:val="22"/>
          <w:lang w:val="lt-LT" w:eastAsia="en-US"/>
        </w:rPr>
      </w:pPr>
      <w:proofErr w:type="spellStart"/>
      <w:r w:rsidRPr="00997273">
        <w:rPr>
          <w:rFonts w:cs="Times New Roman"/>
          <w:sz w:val="22"/>
          <w:szCs w:val="22"/>
          <w:lang w:val="lt-LT" w:eastAsia="en-US"/>
        </w:rPr>
        <w:t>Sitagliptinas</w:t>
      </w:r>
      <w:proofErr w:type="spellEnd"/>
      <w:r w:rsidRPr="00997273">
        <w:rPr>
          <w:rFonts w:cs="Times New Roman"/>
          <w:sz w:val="22"/>
          <w:szCs w:val="22"/>
          <w:lang w:val="lt-LT" w:eastAsia="en-US"/>
        </w:rPr>
        <w:t xml:space="preserve"> šalinamas per inkstus. Norint pasiekti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koncentraciją plazmoje panašią į pacientų, kurių inkstų </w:t>
      </w:r>
      <w:r w:rsidR="005072C2">
        <w:rPr>
          <w:rFonts w:cs="Times New Roman"/>
          <w:sz w:val="22"/>
          <w:szCs w:val="22"/>
          <w:lang w:val="lt-LT" w:eastAsia="en-US"/>
        </w:rPr>
        <w:t>funkcija</w:t>
      </w:r>
      <w:r w:rsidRPr="00997273">
        <w:rPr>
          <w:rFonts w:cs="Times New Roman"/>
          <w:sz w:val="22"/>
          <w:szCs w:val="22"/>
          <w:lang w:val="lt-LT" w:eastAsia="en-US"/>
        </w:rPr>
        <w:t xml:space="preserve"> yra normali,  pacient</w:t>
      </w:r>
      <w:r w:rsidR="00D42180">
        <w:rPr>
          <w:rFonts w:cs="Times New Roman"/>
          <w:sz w:val="22"/>
          <w:szCs w:val="22"/>
          <w:lang w:val="lt-LT" w:eastAsia="en-US"/>
        </w:rPr>
        <w:t>ams</w:t>
      </w:r>
      <w:r w:rsidRPr="00997273">
        <w:rPr>
          <w:rFonts w:cs="Times New Roman"/>
          <w:sz w:val="22"/>
          <w:szCs w:val="22"/>
          <w:lang w:val="lt-LT" w:eastAsia="en-US"/>
        </w:rPr>
        <w:t>, kuri</w:t>
      </w:r>
      <w:r w:rsidR="00D42180">
        <w:rPr>
          <w:rFonts w:cs="Times New Roman"/>
          <w:sz w:val="22"/>
          <w:szCs w:val="22"/>
          <w:lang w:val="lt-LT" w:eastAsia="en-US"/>
        </w:rPr>
        <w:t>ų</w:t>
      </w:r>
      <w:r w:rsidRPr="00997273">
        <w:rPr>
          <w:rFonts w:cs="Times New Roman"/>
          <w:sz w:val="22"/>
          <w:szCs w:val="22"/>
          <w:lang w:val="lt-LT" w:eastAsia="en-US"/>
        </w:rPr>
        <w:t xml:space="preserve"> </w:t>
      </w:r>
      <w:r w:rsidR="00DD3B9B" w:rsidRPr="00997273">
        <w:rPr>
          <w:rFonts w:cs="Times New Roman"/>
          <w:sz w:val="22"/>
          <w:szCs w:val="22"/>
          <w:lang w:val="lt-LT" w:eastAsia="en-US"/>
        </w:rPr>
        <w:t>GFG yra &lt;</w:t>
      </w:r>
      <w:r w:rsidR="00475897">
        <w:rPr>
          <w:rFonts w:cs="Times New Roman"/>
          <w:sz w:val="22"/>
          <w:szCs w:val="22"/>
          <w:lang w:val="lt-LT" w:eastAsia="en-US"/>
        </w:rPr>
        <w:t> </w:t>
      </w:r>
      <w:r w:rsidR="00DD3B9B" w:rsidRPr="00997273">
        <w:rPr>
          <w:rFonts w:cs="Times New Roman"/>
          <w:sz w:val="22"/>
          <w:szCs w:val="22"/>
          <w:lang w:val="lt-LT" w:eastAsia="en-US"/>
        </w:rPr>
        <w:t>45</w:t>
      </w:r>
      <w:r w:rsidR="00475897">
        <w:rPr>
          <w:rFonts w:cs="Times New Roman"/>
          <w:sz w:val="22"/>
          <w:szCs w:val="22"/>
          <w:lang w:val="lt-LT" w:eastAsia="en-US"/>
        </w:rPr>
        <w:t> </w:t>
      </w:r>
      <w:r w:rsidR="00DD3B9B" w:rsidRPr="00997273">
        <w:rPr>
          <w:rFonts w:cs="Times New Roman"/>
          <w:sz w:val="22"/>
          <w:szCs w:val="22"/>
          <w:lang w:val="lt-LT" w:eastAsia="en-US"/>
        </w:rPr>
        <w:t>ml/min., arba GS</w:t>
      </w:r>
      <w:r w:rsidR="0090624E">
        <w:rPr>
          <w:rFonts w:cs="Times New Roman"/>
          <w:sz w:val="22"/>
          <w:szCs w:val="22"/>
          <w:lang w:val="lt-LT" w:eastAsia="en-US"/>
        </w:rPr>
        <w:t>L</w:t>
      </w:r>
      <w:r w:rsidR="00DD3B9B" w:rsidRPr="00997273">
        <w:rPr>
          <w:rFonts w:cs="Times New Roman"/>
          <w:sz w:val="22"/>
          <w:szCs w:val="22"/>
          <w:lang w:val="lt-LT" w:eastAsia="en-US"/>
        </w:rPr>
        <w:t xml:space="preserve">IL </w:t>
      </w:r>
      <w:r w:rsidR="008927CF">
        <w:rPr>
          <w:rFonts w:cs="Times New Roman"/>
          <w:sz w:val="22"/>
          <w:szCs w:val="22"/>
          <w:lang w:val="lt-LT" w:eastAsia="en-US"/>
        </w:rPr>
        <w:t>sergan</w:t>
      </w:r>
      <w:r w:rsidR="0090624E">
        <w:rPr>
          <w:rFonts w:cs="Times New Roman"/>
          <w:sz w:val="22"/>
          <w:szCs w:val="22"/>
          <w:lang w:val="lt-LT" w:eastAsia="en-US"/>
        </w:rPr>
        <w:t>tiems</w:t>
      </w:r>
      <w:r w:rsidR="008927CF">
        <w:rPr>
          <w:rFonts w:cs="Times New Roman"/>
          <w:sz w:val="22"/>
          <w:szCs w:val="22"/>
          <w:lang w:val="lt-LT" w:eastAsia="en-US"/>
        </w:rPr>
        <w:t xml:space="preserve"> pacient</w:t>
      </w:r>
      <w:r w:rsidR="0090624E">
        <w:rPr>
          <w:rFonts w:cs="Times New Roman"/>
          <w:sz w:val="22"/>
          <w:szCs w:val="22"/>
          <w:lang w:val="lt-LT" w:eastAsia="en-US"/>
        </w:rPr>
        <w:t>ams</w:t>
      </w:r>
      <w:r w:rsidR="00985FED">
        <w:rPr>
          <w:rFonts w:cs="Times New Roman"/>
          <w:sz w:val="22"/>
          <w:szCs w:val="22"/>
          <w:lang w:val="lt-LT" w:eastAsia="en-US"/>
        </w:rPr>
        <w:t>,</w:t>
      </w:r>
      <w:r w:rsidR="00DD3B9B" w:rsidRPr="00997273">
        <w:rPr>
          <w:rFonts w:cs="Times New Roman"/>
          <w:sz w:val="22"/>
          <w:szCs w:val="22"/>
          <w:lang w:val="lt-LT" w:eastAsia="en-US"/>
        </w:rPr>
        <w:t xml:space="preserve"> </w:t>
      </w:r>
      <w:r w:rsidR="00DD3B9B" w:rsidRPr="00D82C4F">
        <w:rPr>
          <w:rFonts w:cs="Times New Roman"/>
          <w:sz w:val="22"/>
          <w:szCs w:val="22"/>
          <w:lang w:val="lt-LT" w:eastAsia="en-US"/>
        </w:rPr>
        <w:t>kuriems reikia taikyti hemodializ</w:t>
      </w:r>
      <w:r w:rsidR="00DD3B9B" w:rsidRPr="00D82C4F">
        <w:rPr>
          <w:rFonts w:cs="Times New Roman" w:hint="eastAsia"/>
          <w:sz w:val="22"/>
          <w:szCs w:val="22"/>
          <w:lang w:val="lt-LT" w:eastAsia="en-US"/>
        </w:rPr>
        <w:t>ę</w:t>
      </w:r>
      <w:r w:rsidR="00DD3B9B" w:rsidRPr="00D82C4F">
        <w:rPr>
          <w:rFonts w:cs="Times New Roman"/>
          <w:sz w:val="22"/>
          <w:szCs w:val="22"/>
          <w:lang w:val="lt-LT" w:eastAsia="en-US"/>
        </w:rPr>
        <w:t xml:space="preserve"> ar </w:t>
      </w:r>
      <w:proofErr w:type="spellStart"/>
      <w:r w:rsidR="00DD3B9B" w:rsidRPr="00D82C4F">
        <w:rPr>
          <w:rFonts w:cs="Times New Roman"/>
          <w:sz w:val="22"/>
          <w:szCs w:val="22"/>
          <w:lang w:val="lt-LT" w:eastAsia="en-US"/>
        </w:rPr>
        <w:t>peritonin</w:t>
      </w:r>
      <w:r w:rsidR="00DD3B9B" w:rsidRPr="00D82C4F">
        <w:rPr>
          <w:rFonts w:cs="Times New Roman" w:hint="eastAsia"/>
          <w:sz w:val="22"/>
          <w:szCs w:val="22"/>
          <w:lang w:val="lt-LT" w:eastAsia="en-US"/>
        </w:rPr>
        <w:t>ę</w:t>
      </w:r>
      <w:proofErr w:type="spellEnd"/>
      <w:r w:rsidR="00DD3B9B" w:rsidRPr="00D82C4F">
        <w:rPr>
          <w:rFonts w:cs="Times New Roman"/>
          <w:sz w:val="22"/>
          <w:szCs w:val="22"/>
          <w:lang w:val="lt-LT" w:eastAsia="en-US"/>
        </w:rPr>
        <w:t xml:space="preserve"> dializ</w:t>
      </w:r>
      <w:r w:rsidR="00DD3B9B" w:rsidRPr="00D82C4F">
        <w:rPr>
          <w:rFonts w:cs="Times New Roman" w:hint="eastAsia"/>
          <w:sz w:val="22"/>
          <w:szCs w:val="22"/>
          <w:lang w:val="lt-LT" w:eastAsia="en-US"/>
        </w:rPr>
        <w:t>ę</w:t>
      </w:r>
      <w:r w:rsidR="00DD3B9B" w:rsidRPr="00D82C4F">
        <w:rPr>
          <w:rFonts w:cs="Times New Roman"/>
          <w:sz w:val="22"/>
          <w:szCs w:val="22"/>
          <w:lang w:val="lt-LT" w:eastAsia="en-US"/>
        </w:rPr>
        <w:t>,</w:t>
      </w:r>
      <w:r w:rsidR="00475897" w:rsidRPr="00D82C4F">
        <w:rPr>
          <w:rFonts w:cs="Times New Roman"/>
          <w:sz w:val="22"/>
          <w:szCs w:val="22"/>
          <w:lang w:val="lt-LT" w:eastAsia="en-US"/>
        </w:rPr>
        <w:t xml:space="preserve"> </w:t>
      </w:r>
      <w:r w:rsidR="00DD3B9B" w:rsidRPr="00D82C4F">
        <w:rPr>
          <w:rFonts w:cs="Times New Roman"/>
          <w:sz w:val="22"/>
          <w:szCs w:val="22"/>
          <w:lang w:val="lt-LT" w:eastAsia="en-US"/>
        </w:rPr>
        <w:t xml:space="preserve">rekomenduojama </w:t>
      </w:r>
      <w:r w:rsidR="0090624E" w:rsidRPr="00D82C4F">
        <w:rPr>
          <w:rFonts w:cs="Times New Roman"/>
          <w:sz w:val="22"/>
          <w:szCs w:val="22"/>
          <w:lang w:val="lt-LT" w:eastAsia="en-US"/>
        </w:rPr>
        <w:t>skirti</w:t>
      </w:r>
      <w:r w:rsidR="00DD3B9B" w:rsidRPr="00D82C4F">
        <w:rPr>
          <w:rFonts w:cs="Times New Roman"/>
          <w:sz w:val="22"/>
          <w:szCs w:val="22"/>
          <w:lang w:val="lt-LT" w:eastAsia="en-US"/>
        </w:rPr>
        <w:t xml:space="preserve"> ma</w:t>
      </w:r>
      <w:r w:rsidR="00DD3B9B" w:rsidRPr="00D82C4F">
        <w:rPr>
          <w:rFonts w:cs="Times New Roman" w:hint="eastAsia"/>
          <w:sz w:val="22"/>
          <w:szCs w:val="22"/>
          <w:lang w:val="lt-LT" w:eastAsia="en-US"/>
        </w:rPr>
        <w:t>ž</w:t>
      </w:r>
      <w:r w:rsidR="00DD3B9B" w:rsidRPr="00D82C4F">
        <w:rPr>
          <w:rFonts w:cs="Times New Roman"/>
          <w:sz w:val="22"/>
          <w:szCs w:val="22"/>
          <w:lang w:val="lt-LT" w:eastAsia="en-US"/>
        </w:rPr>
        <w:t>esn</w:t>
      </w:r>
      <w:r w:rsidR="0090624E" w:rsidRPr="00D82C4F">
        <w:rPr>
          <w:rFonts w:cs="Times New Roman"/>
          <w:sz w:val="22"/>
          <w:szCs w:val="22"/>
          <w:lang w:val="lt-LT" w:eastAsia="en-US"/>
        </w:rPr>
        <w:t xml:space="preserve">es </w:t>
      </w:r>
      <w:proofErr w:type="spellStart"/>
      <w:r w:rsidR="0090624E" w:rsidRPr="00D82C4F">
        <w:rPr>
          <w:rFonts w:cs="Times New Roman"/>
          <w:sz w:val="22"/>
          <w:szCs w:val="22"/>
          <w:lang w:val="lt-LT" w:eastAsia="en-US"/>
        </w:rPr>
        <w:t>sitagliptino</w:t>
      </w:r>
      <w:proofErr w:type="spellEnd"/>
      <w:r w:rsidR="00DD3B9B" w:rsidRPr="00D82C4F">
        <w:rPr>
          <w:rFonts w:cs="Times New Roman"/>
          <w:sz w:val="22"/>
          <w:szCs w:val="22"/>
          <w:lang w:val="lt-LT" w:eastAsia="en-US"/>
        </w:rPr>
        <w:t xml:space="preserve"> doz</w:t>
      </w:r>
      <w:r w:rsidR="00365017" w:rsidRPr="00D82C4F">
        <w:rPr>
          <w:rFonts w:cs="Times New Roman"/>
          <w:sz w:val="22"/>
          <w:szCs w:val="22"/>
          <w:lang w:val="lt-LT" w:eastAsia="en-US"/>
        </w:rPr>
        <w:t>e</w:t>
      </w:r>
      <w:r w:rsidR="00DD3B9B" w:rsidRPr="00D82C4F">
        <w:rPr>
          <w:rFonts w:cs="Times New Roman"/>
          <w:sz w:val="22"/>
          <w:szCs w:val="22"/>
          <w:lang w:val="lt-LT" w:eastAsia="en-US"/>
        </w:rPr>
        <w:t>s</w:t>
      </w:r>
      <w:r w:rsidRPr="00D82C4F">
        <w:rPr>
          <w:rFonts w:cs="Times New Roman"/>
          <w:sz w:val="22"/>
          <w:szCs w:val="22"/>
          <w:lang w:val="lt-LT" w:eastAsia="en-US"/>
        </w:rPr>
        <w:t xml:space="preserve"> (žr</w:t>
      </w:r>
      <w:r w:rsidRPr="00997273">
        <w:rPr>
          <w:rFonts w:cs="Times New Roman"/>
          <w:sz w:val="22"/>
          <w:szCs w:val="22"/>
          <w:lang w:val="lt-LT" w:eastAsia="en-US"/>
        </w:rPr>
        <w:t>. 4.2 ir 5.2 skyrius).</w:t>
      </w:r>
    </w:p>
    <w:p w14:paraId="12DC8A48" w14:textId="77777777" w:rsidR="00F25B9F" w:rsidRPr="00624408" w:rsidRDefault="00F25B9F" w:rsidP="00F25B9F">
      <w:pPr>
        <w:autoSpaceDE w:val="0"/>
        <w:autoSpaceDN w:val="0"/>
        <w:adjustRightInd w:val="0"/>
        <w:rPr>
          <w:rFonts w:cs="Times New Roman"/>
          <w:sz w:val="22"/>
          <w:szCs w:val="22"/>
          <w:lang w:val="lt-LT" w:eastAsia="en-US"/>
        </w:rPr>
      </w:pPr>
    </w:p>
    <w:p w14:paraId="31B1A76D" w14:textId="3D458223" w:rsidR="00F25B9F" w:rsidRPr="00624408" w:rsidRDefault="00624408" w:rsidP="00F25B9F">
      <w:pPr>
        <w:autoSpaceDE w:val="0"/>
        <w:autoSpaceDN w:val="0"/>
        <w:adjustRightInd w:val="0"/>
        <w:rPr>
          <w:rFonts w:cs="Times New Roman"/>
          <w:sz w:val="22"/>
          <w:szCs w:val="22"/>
          <w:lang w:val="lt-LT" w:eastAsia="en-US"/>
        </w:rPr>
      </w:pPr>
      <w:r w:rsidRPr="00624408">
        <w:rPr>
          <w:rFonts w:eastAsia="TimesNewRoman" w:cs="Times New Roman"/>
          <w:sz w:val="22"/>
          <w:szCs w:val="22"/>
          <w:lang w:val="lt-LT"/>
        </w:rPr>
        <w:t xml:space="preserve">Svarstant </w:t>
      </w:r>
      <w:proofErr w:type="spellStart"/>
      <w:r w:rsidRPr="00624408">
        <w:rPr>
          <w:rFonts w:eastAsia="TimesNewRoman" w:cs="Times New Roman"/>
          <w:sz w:val="22"/>
          <w:szCs w:val="22"/>
          <w:lang w:val="lt-LT"/>
        </w:rPr>
        <w:t>sitagliptino</w:t>
      </w:r>
      <w:proofErr w:type="spellEnd"/>
      <w:r w:rsidRPr="00624408">
        <w:rPr>
          <w:rFonts w:eastAsia="TimesNewRoman" w:cs="Times New Roman"/>
          <w:sz w:val="22"/>
          <w:szCs w:val="22"/>
          <w:lang w:val="lt-LT"/>
        </w:rPr>
        <w:t xml:space="preserve"> skyrimą kartu su kitu vaistiniu preparatu</w:t>
      </w:r>
      <w:r w:rsidR="00CA49D4">
        <w:rPr>
          <w:rFonts w:eastAsia="TimesNewRoman" w:cs="Times New Roman"/>
          <w:sz w:val="22"/>
          <w:szCs w:val="22"/>
          <w:lang w:val="lt-LT"/>
        </w:rPr>
        <w:t xml:space="preserve"> </w:t>
      </w:r>
      <w:r w:rsidR="00CA49D4" w:rsidRPr="00997273">
        <w:rPr>
          <w:rFonts w:cs="Times New Roman"/>
          <w:sz w:val="22"/>
          <w:szCs w:val="22"/>
          <w:lang w:val="lt-LT" w:eastAsia="en-US"/>
        </w:rPr>
        <w:t>cukriniam diabetui gydyti</w:t>
      </w:r>
      <w:r w:rsidRPr="00624408">
        <w:rPr>
          <w:rFonts w:eastAsia="TimesNewRoman" w:cs="Times New Roman"/>
          <w:sz w:val="22"/>
          <w:szCs w:val="22"/>
          <w:lang w:val="lt-LT"/>
        </w:rPr>
        <w:t xml:space="preserve">, turi būti patikrintos </w:t>
      </w:r>
      <w:r>
        <w:rPr>
          <w:rFonts w:eastAsia="TimesNewRoman" w:cs="Times New Roman"/>
          <w:sz w:val="22"/>
          <w:szCs w:val="22"/>
          <w:lang w:val="lt-LT"/>
        </w:rPr>
        <w:t>jo vartojimo</w:t>
      </w:r>
      <w:r w:rsidRPr="00624408">
        <w:rPr>
          <w:rFonts w:eastAsia="TimesNewRoman" w:cs="Times New Roman"/>
          <w:sz w:val="22"/>
          <w:szCs w:val="22"/>
          <w:lang w:val="lt-LT"/>
        </w:rPr>
        <w:t xml:space="preserve"> </w:t>
      </w:r>
      <w:r w:rsidR="00CA49D4" w:rsidRPr="00624408">
        <w:rPr>
          <w:rFonts w:eastAsia="TimesNewRoman" w:cs="Times New Roman"/>
          <w:sz w:val="22"/>
          <w:szCs w:val="22"/>
          <w:lang w:val="lt-LT"/>
        </w:rPr>
        <w:t xml:space="preserve">sąlygos </w:t>
      </w:r>
      <w:r w:rsidRPr="00624408">
        <w:rPr>
          <w:rFonts w:eastAsia="TimesNewRoman" w:cs="Times New Roman"/>
          <w:sz w:val="22"/>
          <w:szCs w:val="22"/>
          <w:lang w:val="lt-LT"/>
        </w:rPr>
        <w:t>pacient</w:t>
      </w:r>
      <w:r>
        <w:rPr>
          <w:rFonts w:eastAsia="TimesNewRoman" w:cs="Times New Roman"/>
          <w:sz w:val="22"/>
          <w:szCs w:val="22"/>
          <w:lang w:val="lt-LT"/>
        </w:rPr>
        <w:t>ams</w:t>
      </w:r>
      <w:r w:rsidRPr="00624408">
        <w:rPr>
          <w:rFonts w:eastAsia="TimesNewRoman" w:cs="Times New Roman"/>
          <w:sz w:val="22"/>
          <w:szCs w:val="22"/>
          <w:lang w:val="lt-LT"/>
        </w:rPr>
        <w:t>, kuri</w:t>
      </w:r>
      <w:r>
        <w:rPr>
          <w:rFonts w:eastAsia="TimesNewRoman" w:cs="Times New Roman"/>
          <w:sz w:val="22"/>
          <w:szCs w:val="22"/>
          <w:lang w:val="lt-LT"/>
        </w:rPr>
        <w:t>ų</w:t>
      </w:r>
      <w:r w:rsidRPr="00624408">
        <w:rPr>
          <w:rFonts w:eastAsia="TimesNewRoman" w:cs="Times New Roman"/>
          <w:sz w:val="22"/>
          <w:szCs w:val="22"/>
          <w:lang w:val="lt-LT"/>
        </w:rPr>
        <w:t xml:space="preserve"> inkstų </w:t>
      </w:r>
      <w:r w:rsidR="0096241B">
        <w:rPr>
          <w:rFonts w:eastAsia="TimesNewRoman" w:cs="Times New Roman"/>
          <w:sz w:val="22"/>
          <w:szCs w:val="22"/>
          <w:lang w:val="lt-LT"/>
        </w:rPr>
        <w:t>funkcija</w:t>
      </w:r>
      <w:r w:rsidR="0096241B" w:rsidRPr="00624408">
        <w:rPr>
          <w:rFonts w:eastAsia="TimesNewRoman" w:cs="Times New Roman"/>
          <w:sz w:val="22"/>
          <w:szCs w:val="22"/>
          <w:lang w:val="lt-LT"/>
        </w:rPr>
        <w:t xml:space="preserve"> </w:t>
      </w:r>
      <w:r w:rsidRPr="00624408">
        <w:rPr>
          <w:rFonts w:eastAsia="TimesNewRoman" w:cs="Times New Roman"/>
          <w:sz w:val="22"/>
          <w:szCs w:val="22"/>
          <w:lang w:val="lt-LT"/>
        </w:rPr>
        <w:t>sutrikusi</w:t>
      </w:r>
      <w:r w:rsidR="00F25B9F" w:rsidRPr="00624408">
        <w:rPr>
          <w:rFonts w:cs="Times New Roman"/>
          <w:sz w:val="22"/>
          <w:szCs w:val="22"/>
          <w:lang w:val="lt-LT" w:eastAsia="en-US"/>
        </w:rPr>
        <w:t>.</w:t>
      </w:r>
    </w:p>
    <w:p w14:paraId="0770CE14" w14:textId="77777777" w:rsidR="00F25B9F" w:rsidRPr="00997273" w:rsidRDefault="00F25B9F" w:rsidP="00F25B9F">
      <w:pPr>
        <w:autoSpaceDE w:val="0"/>
        <w:autoSpaceDN w:val="0"/>
        <w:adjustRightInd w:val="0"/>
        <w:rPr>
          <w:rFonts w:cs="Times New Roman"/>
          <w:sz w:val="22"/>
          <w:szCs w:val="22"/>
          <w:lang w:val="lt-LT" w:eastAsia="en-US"/>
        </w:rPr>
      </w:pPr>
    </w:p>
    <w:p w14:paraId="0D9E81B4" w14:textId="77777777" w:rsidR="00F25B9F" w:rsidRPr="00997273" w:rsidRDefault="00F25B9F" w:rsidP="00F25B9F">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Padidėjusio jautrumo reakcijos</w:t>
      </w:r>
    </w:p>
    <w:p w14:paraId="0894B9AE" w14:textId="06BC1CEC" w:rsidR="00B42446" w:rsidRPr="00B42446" w:rsidRDefault="00B42446" w:rsidP="00B42446">
      <w:pPr>
        <w:widowControl w:val="0"/>
        <w:tabs>
          <w:tab w:val="left" w:pos="1296"/>
        </w:tabs>
        <w:autoSpaceDE w:val="0"/>
        <w:autoSpaceDN w:val="0"/>
        <w:adjustRightInd w:val="0"/>
        <w:snapToGrid w:val="0"/>
        <w:rPr>
          <w:rFonts w:eastAsia="Times New Roman" w:cs="Times New Roman"/>
          <w:sz w:val="22"/>
          <w:szCs w:val="22"/>
          <w:u w:val="single"/>
          <w:lang w:val="lt-LT" w:eastAsia="en-US"/>
        </w:rPr>
      </w:pPr>
      <w:r w:rsidRPr="00B42446">
        <w:rPr>
          <w:rFonts w:eastAsia="TimesNewRoman" w:cs="Times New Roman"/>
          <w:sz w:val="22"/>
          <w:szCs w:val="22"/>
          <w:lang w:val="lt-LT" w:eastAsia="en-US"/>
        </w:rPr>
        <w:t>Po vaistinio preparato pateikimo į rinką buvo pranešimų apie sunki</w:t>
      </w:r>
      <w:r w:rsidR="002B4F87">
        <w:rPr>
          <w:rFonts w:eastAsia="TimesNewRoman" w:cs="Times New Roman"/>
          <w:sz w:val="22"/>
          <w:szCs w:val="22"/>
          <w:lang w:val="lt-LT" w:eastAsia="en-US"/>
        </w:rPr>
        <w:t>as</w:t>
      </w:r>
      <w:r w:rsidRPr="00B42446">
        <w:rPr>
          <w:rFonts w:eastAsia="TimesNewRoman" w:cs="Times New Roman"/>
          <w:sz w:val="22"/>
          <w:szCs w:val="22"/>
          <w:lang w:val="lt-LT" w:eastAsia="en-US"/>
        </w:rPr>
        <w:t xml:space="preserve"> padidėjusio jautrumo reakcij</w:t>
      </w:r>
      <w:r w:rsidR="002B4F87">
        <w:rPr>
          <w:rFonts w:eastAsia="TimesNewRoman" w:cs="Times New Roman"/>
          <w:sz w:val="22"/>
          <w:szCs w:val="22"/>
          <w:lang w:val="lt-LT" w:eastAsia="en-US"/>
        </w:rPr>
        <w:t>as</w:t>
      </w:r>
      <w:r w:rsidRPr="00B42446">
        <w:rPr>
          <w:rFonts w:eastAsia="TimesNewRoman" w:cs="Times New Roman"/>
          <w:sz w:val="22"/>
          <w:szCs w:val="22"/>
          <w:lang w:val="lt-LT" w:eastAsia="en-US"/>
        </w:rPr>
        <w:t xml:space="preserve"> </w:t>
      </w:r>
      <w:proofErr w:type="spellStart"/>
      <w:r w:rsidRPr="00B42446">
        <w:rPr>
          <w:rFonts w:eastAsia="TimesNewRoman" w:cs="Times New Roman"/>
          <w:sz w:val="22"/>
          <w:szCs w:val="22"/>
          <w:lang w:val="lt-LT" w:eastAsia="en-US"/>
        </w:rPr>
        <w:t>sitagliptino</w:t>
      </w:r>
      <w:proofErr w:type="spellEnd"/>
      <w:r w:rsidRPr="00B42446">
        <w:rPr>
          <w:rFonts w:eastAsia="TimesNewRoman" w:cs="Times New Roman"/>
          <w:sz w:val="22"/>
          <w:szCs w:val="22"/>
          <w:lang w:val="lt-LT" w:eastAsia="en-US"/>
        </w:rPr>
        <w:t xml:space="preserve"> vartojusiems pacientams. Šios reakcijos pasireiškė </w:t>
      </w:r>
      <w:proofErr w:type="spellStart"/>
      <w:r w:rsidRPr="00B42446">
        <w:rPr>
          <w:rFonts w:eastAsia="TimesNewRoman" w:cs="Times New Roman"/>
          <w:sz w:val="22"/>
          <w:szCs w:val="22"/>
          <w:lang w:val="lt-LT" w:eastAsia="en-US"/>
        </w:rPr>
        <w:t>anafilaksija</w:t>
      </w:r>
      <w:proofErr w:type="spellEnd"/>
      <w:r w:rsidRPr="00B42446">
        <w:rPr>
          <w:rFonts w:eastAsia="TimesNewRoman" w:cs="Times New Roman"/>
          <w:sz w:val="22"/>
          <w:szCs w:val="22"/>
          <w:lang w:val="lt-LT" w:eastAsia="en-US"/>
        </w:rPr>
        <w:t xml:space="preserve">, </w:t>
      </w:r>
      <w:proofErr w:type="spellStart"/>
      <w:r w:rsidRPr="00B42446">
        <w:rPr>
          <w:rFonts w:eastAsia="TimesNewRoman" w:cs="Times New Roman"/>
          <w:sz w:val="22"/>
          <w:szCs w:val="22"/>
          <w:lang w:val="lt-LT" w:eastAsia="en-US"/>
        </w:rPr>
        <w:t>angioneurozine</w:t>
      </w:r>
      <w:proofErr w:type="spellEnd"/>
      <w:r w:rsidRPr="00B42446">
        <w:rPr>
          <w:rFonts w:eastAsia="TimesNewRoman" w:cs="Times New Roman"/>
          <w:sz w:val="22"/>
          <w:szCs w:val="22"/>
          <w:lang w:val="lt-LT" w:eastAsia="en-US"/>
        </w:rPr>
        <w:t xml:space="preserve"> edema ir </w:t>
      </w:r>
      <w:proofErr w:type="spellStart"/>
      <w:r w:rsidRPr="00B42446">
        <w:rPr>
          <w:rFonts w:eastAsia="TimesNewRoman" w:cs="Times New Roman"/>
          <w:sz w:val="22"/>
          <w:szCs w:val="22"/>
          <w:lang w:val="lt-LT" w:eastAsia="en-US"/>
        </w:rPr>
        <w:t>eksfoliaciniais</w:t>
      </w:r>
      <w:proofErr w:type="spellEnd"/>
      <w:r w:rsidRPr="00B42446">
        <w:rPr>
          <w:rFonts w:eastAsia="TimesNewRoman" w:cs="Times New Roman"/>
          <w:sz w:val="22"/>
          <w:szCs w:val="22"/>
          <w:lang w:val="lt-LT" w:eastAsia="en-US"/>
        </w:rPr>
        <w:t xml:space="preserve"> odos sutrikimais, įskaitant </w:t>
      </w:r>
      <w:proofErr w:type="spellStart"/>
      <w:r w:rsidRPr="00B42446">
        <w:rPr>
          <w:rFonts w:eastAsia="TimesNewRoman" w:cs="Times New Roman"/>
          <w:sz w:val="22"/>
          <w:szCs w:val="22"/>
          <w:lang w:val="lt-LT" w:eastAsia="en-US"/>
        </w:rPr>
        <w:t>Stivenso</w:t>
      </w:r>
      <w:proofErr w:type="spellEnd"/>
      <w:r w:rsidRPr="00B42446">
        <w:rPr>
          <w:rFonts w:eastAsia="TimesNewRoman" w:cs="Times New Roman"/>
          <w:sz w:val="22"/>
          <w:szCs w:val="22"/>
          <w:lang w:val="lt-LT" w:eastAsia="en-US"/>
        </w:rPr>
        <w:noBreakHyphen/>
        <w:t xml:space="preserve">Džonsono </w:t>
      </w:r>
      <w:proofErr w:type="spellStart"/>
      <w:r w:rsidRPr="00A45AAA">
        <w:rPr>
          <w:rFonts w:eastAsia="TimesNewRoman,Italic" w:cs="Times New Roman"/>
          <w:i/>
          <w:sz w:val="22"/>
          <w:szCs w:val="22"/>
          <w:lang w:val="lt-LT" w:eastAsia="en-US"/>
        </w:rPr>
        <w:t>Stevens</w:t>
      </w:r>
      <w:r w:rsidRPr="00A45AAA">
        <w:rPr>
          <w:rFonts w:eastAsia="TimesNewRoman,Italic" w:cs="Times New Roman"/>
          <w:i/>
          <w:sz w:val="22"/>
          <w:szCs w:val="22"/>
          <w:lang w:val="lt-LT" w:eastAsia="en-US"/>
        </w:rPr>
        <w:noBreakHyphen/>
        <w:t>Johnson</w:t>
      </w:r>
      <w:proofErr w:type="spellEnd"/>
      <w:r w:rsidRPr="00B42446">
        <w:rPr>
          <w:rFonts w:eastAsia="TimesNewRoman,Italic" w:cs="Times New Roman"/>
          <w:iCs/>
          <w:sz w:val="22"/>
          <w:szCs w:val="22"/>
          <w:lang w:val="lt-LT" w:eastAsia="en-US"/>
        </w:rPr>
        <w:t>)</w:t>
      </w:r>
      <w:r w:rsidRPr="00B42446">
        <w:rPr>
          <w:rFonts w:eastAsia="TimesNewRoman,Italic" w:cs="Times New Roman"/>
          <w:i/>
          <w:iCs/>
          <w:sz w:val="22"/>
          <w:szCs w:val="22"/>
          <w:lang w:val="lt-LT" w:eastAsia="en-US"/>
        </w:rPr>
        <w:t xml:space="preserve"> </w:t>
      </w:r>
      <w:r w:rsidRPr="00B42446">
        <w:rPr>
          <w:rFonts w:eastAsia="TimesNewRoman" w:cs="Times New Roman"/>
          <w:sz w:val="22"/>
          <w:szCs w:val="22"/>
          <w:lang w:val="lt-LT" w:eastAsia="en-US"/>
        </w:rPr>
        <w:t xml:space="preserve">sindromą. Šios reakcijos pasireiškė per pirmuosius 3 mėnesius nuo gydymo pradžios, o keletu atvejų – po pirmosios dozės pavartojimo. Įtarus padidėjusio jautrumo reakciją, </w:t>
      </w:r>
      <w:proofErr w:type="spellStart"/>
      <w:r w:rsidR="00F76314">
        <w:rPr>
          <w:rFonts w:eastAsia="Times New Roman" w:cs="Times New Roman"/>
          <w:sz w:val="22"/>
          <w:szCs w:val="22"/>
          <w:lang w:val="lt-LT" w:eastAsia="en-US"/>
        </w:rPr>
        <w:t>Meliglix</w:t>
      </w:r>
      <w:proofErr w:type="spellEnd"/>
      <w:r w:rsidR="00F76314" w:rsidRPr="00B42446">
        <w:rPr>
          <w:rFonts w:eastAsia="TimesNewRoman" w:cs="Times New Roman"/>
          <w:sz w:val="22"/>
          <w:szCs w:val="22"/>
          <w:lang w:val="lt-LT" w:eastAsia="en-US"/>
        </w:rPr>
        <w:t xml:space="preserve"> </w:t>
      </w:r>
      <w:r w:rsidRPr="00B42446">
        <w:rPr>
          <w:rFonts w:eastAsia="TimesNewRoman" w:cs="Times New Roman"/>
          <w:sz w:val="22"/>
          <w:szCs w:val="22"/>
          <w:lang w:val="lt-LT" w:eastAsia="en-US"/>
        </w:rPr>
        <w:t>vartojim</w:t>
      </w:r>
      <w:r w:rsidR="009E5759">
        <w:rPr>
          <w:rFonts w:eastAsia="TimesNewRoman" w:cs="Times New Roman"/>
          <w:sz w:val="22"/>
          <w:szCs w:val="22"/>
          <w:lang w:val="lt-LT" w:eastAsia="en-US"/>
        </w:rPr>
        <w:t>as</w:t>
      </w:r>
      <w:r w:rsidRPr="00B42446">
        <w:rPr>
          <w:rFonts w:eastAsia="TimesNewRoman" w:cs="Times New Roman"/>
          <w:sz w:val="22"/>
          <w:szCs w:val="22"/>
          <w:lang w:val="lt-LT" w:eastAsia="en-US"/>
        </w:rPr>
        <w:t xml:space="preserve"> </w:t>
      </w:r>
      <w:r w:rsidR="009E5759">
        <w:rPr>
          <w:rFonts w:eastAsia="TimesNewRoman" w:cs="Times New Roman"/>
          <w:sz w:val="22"/>
          <w:szCs w:val="22"/>
          <w:lang w:val="lt-LT" w:eastAsia="en-US"/>
        </w:rPr>
        <w:t>turi būti nutrauktas</w:t>
      </w:r>
      <w:r w:rsidRPr="00B42446">
        <w:rPr>
          <w:rFonts w:eastAsia="TimesNewRoman" w:cs="Times New Roman"/>
          <w:sz w:val="22"/>
          <w:szCs w:val="22"/>
          <w:lang w:val="lt-LT" w:eastAsia="en-US"/>
        </w:rPr>
        <w:t>. Būtina įvertinti kitas galimas reiškinio priežastis ir pradėti alternatyvų diabeto gydymą.</w:t>
      </w:r>
    </w:p>
    <w:p w14:paraId="75EE1895" w14:textId="77777777" w:rsidR="00DD3B9B" w:rsidRPr="00997273" w:rsidRDefault="00DD3B9B" w:rsidP="00F25B9F">
      <w:pPr>
        <w:autoSpaceDE w:val="0"/>
        <w:autoSpaceDN w:val="0"/>
        <w:adjustRightInd w:val="0"/>
        <w:rPr>
          <w:rFonts w:cs="Times New Roman"/>
          <w:sz w:val="22"/>
          <w:szCs w:val="22"/>
          <w:lang w:val="lt-LT" w:eastAsia="en-US"/>
        </w:rPr>
      </w:pPr>
    </w:p>
    <w:p w14:paraId="28CD144C" w14:textId="77777777" w:rsidR="00DD3B9B" w:rsidRPr="009718FC" w:rsidRDefault="00DD3B9B" w:rsidP="00DD3B9B">
      <w:pPr>
        <w:autoSpaceDE w:val="0"/>
        <w:autoSpaceDN w:val="0"/>
        <w:adjustRightInd w:val="0"/>
        <w:rPr>
          <w:rFonts w:cs="Times New Roman"/>
          <w:sz w:val="22"/>
          <w:szCs w:val="22"/>
          <w:u w:val="single"/>
          <w:lang w:val="lt-LT" w:eastAsia="en-US"/>
        </w:rPr>
      </w:pPr>
      <w:proofErr w:type="spellStart"/>
      <w:r w:rsidRPr="009718FC">
        <w:rPr>
          <w:rFonts w:cs="Times New Roman"/>
          <w:sz w:val="22"/>
          <w:szCs w:val="22"/>
          <w:u w:val="single"/>
          <w:lang w:val="lt-LT" w:eastAsia="en-US"/>
        </w:rPr>
        <w:t>Buliozinis</w:t>
      </w:r>
      <w:proofErr w:type="spellEnd"/>
      <w:r w:rsidRPr="009718FC">
        <w:rPr>
          <w:rFonts w:cs="Times New Roman"/>
          <w:sz w:val="22"/>
          <w:szCs w:val="22"/>
          <w:u w:val="single"/>
          <w:lang w:val="lt-LT" w:eastAsia="en-US"/>
        </w:rPr>
        <w:t xml:space="preserve"> (</w:t>
      </w:r>
      <w:proofErr w:type="spellStart"/>
      <w:r w:rsidRPr="009718FC">
        <w:rPr>
          <w:rFonts w:cs="Times New Roman"/>
          <w:sz w:val="22"/>
          <w:szCs w:val="22"/>
          <w:u w:val="single"/>
          <w:lang w:val="lt-LT" w:eastAsia="en-US"/>
        </w:rPr>
        <w:t>p</w:t>
      </w:r>
      <w:r w:rsidRPr="009718FC">
        <w:rPr>
          <w:rFonts w:cs="Times New Roman" w:hint="eastAsia"/>
          <w:sz w:val="22"/>
          <w:szCs w:val="22"/>
          <w:u w:val="single"/>
          <w:lang w:val="lt-LT" w:eastAsia="en-US"/>
        </w:rPr>
        <w:t>ū</w:t>
      </w:r>
      <w:r w:rsidRPr="009718FC">
        <w:rPr>
          <w:rFonts w:cs="Times New Roman"/>
          <w:sz w:val="22"/>
          <w:szCs w:val="22"/>
          <w:u w:val="single"/>
          <w:lang w:val="lt-LT" w:eastAsia="en-US"/>
        </w:rPr>
        <w:t>slinis</w:t>
      </w:r>
      <w:proofErr w:type="spellEnd"/>
      <w:r w:rsidRPr="009718FC">
        <w:rPr>
          <w:rFonts w:cs="Times New Roman"/>
          <w:sz w:val="22"/>
          <w:szCs w:val="22"/>
          <w:u w:val="single"/>
          <w:lang w:val="lt-LT" w:eastAsia="en-US"/>
        </w:rPr>
        <w:t xml:space="preserve">) </w:t>
      </w:r>
      <w:proofErr w:type="spellStart"/>
      <w:r w:rsidRPr="009718FC">
        <w:rPr>
          <w:rFonts w:cs="Times New Roman"/>
          <w:sz w:val="22"/>
          <w:szCs w:val="22"/>
          <w:u w:val="single"/>
          <w:lang w:val="lt-LT" w:eastAsia="en-US"/>
        </w:rPr>
        <w:t>pemfigoidas</w:t>
      </w:r>
      <w:proofErr w:type="spellEnd"/>
    </w:p>
    <w:p w14:paraId="4A320955" w14:textId="16408BCA" w:rsidR="00DD3B9B" w:rsidRPr="00997273" w:rsidRDefault="00DD3B9B" w:rsidP="00DD3B9B">
      <w:pPr>
        <w:autoSpaceDE w:val="0"/>
        <w:autoSpaceDN w:val="0"/>
        <w:adjustRightInd w:val="0"/>
        <w:rPr>
          <w:rFonts w:cs="Times New Roman"/>
          <w:sz w:val="22"/>
          <w:szCs w:val="22"/>
          <w:lang w:val="lt-LT" w:eastAsia="en-US"/>
        </w:rPr>
      </w:pPr>
      <w:proofErr w:type="spellStart"/>
      <w:r w:rsidRPr="00997273">
        <w:rPr>
          <w:rFonts w:cs="Times New Roman"/>
          <w:sz w:val="22"/>
          <w:szCs w:val="22"/>
          <w:lang w:val="lt-LT" w:eastAsia="en-US"/>
        </w:rPr>
        <w:t>Poregistracinio</w:t>
      </w:r>
      <w:proofErr w:type="spellEnd"/>
      <w:r w:rsidRPr="00997273">
        <w:rPr>
          <w:rFonts w:cs="Times New Roman"/>
          <w:sz w:val="22"/>
          <w:szCs w:val="22"/>
          <w:lang w:val="lt-LT" w:eastAsia="en-US"/>
        </w:rPr>
        <w:t xml:space="preserve"> steb</w:t>
      </w:r>
      <w:r w:rsidRPr="00997273">
        <w:rPr>
          <w:rFonts w:cs="Times New Roman" w:hint="eastAsia"/>
          <w:sz w:val="22"/>
          <w:szCs w:val="22"/>
          <w:lang w:val="lt-LT" w:eastAsia="en-US"/>
        </w:rPr>
        <w:t>ė</w:t>
      </w:r>
      <w:r w:rsidRPr="00997273">
        <w:rPr>
          <w:rFonts w:cs="Times New Roman"/>
          <w:sz w:val="22"/>
          <w:szCs w:val="22"/>
          <w:lang w:val="lt-LT" w:eastAsia="en-US"/>
        </w:rPr>
        <w:t>jimo metu buvo gauta prane</w:t>
      </w:r>
      <w:r w:rsidRPr="00997273">
        <w:rPr>
          <w:rFonts w:cs="Times New Roman" w:hint="eastAsia"/>
          <w:sz w:val="22"/>
          <w:szCs w:val="22"/>
          <w:lang w:val="lt-LT" w:eastAsia="en-US"/>
        </w:rPr>
        <w:t>š</w:t>
      </w:r>
      <w:r w:rsidRPr="00997273">
        <w:rPr>
          <w:rFonts w:cs="Times New Roman"/>
          <w:sz w:val="22"/>
          <w:szCs w:val="22"/>
          <w:lang w:val="lt-LT" w:eastAsia="en-US"/>
        </w:rPr>
        <w:t>im</w:t>
      </w:r>
      <w:r w:rsidRPr="00997273">
        <w:rPr>
          <w:rFonts w:cs="Times New Roman" w:hint="eastAsia"/>
          <w:sz w:val="22"/>
          <w:szCs w:val="22"/>
          <w:lang w:val="lt-LT" w:eastAsia="en-US"/>
        </w:rPr>
        <w:t>ų</w:t>
      </w:r>
      <w:r w:rsidRPr="00997273">
        <w:rPr>
          <w:rFonts w:cs="Times New Roman"/>
          <w:sz w:val="22"/>
          <w:szCs w:val="22"/>
          <w:lang w:val="lt-LT" w:eastAsia="en-US"/>
        </w:rPr>
        <w:t xml:space="preserve"> apie </w:t>
      </w:r>
      <w:proofErr w:type="spellStart"/>
      <w:r w:rsidRPr="00997273">
        <w:rPr>
          <w:rFonts w:cs="Times New Roman"/>
          <w:sz w:val="22"/>
          <w:szCs w:val="22"/>
          <w:lang w:val="lt-LT" w:eastAsia="en-US"/>
        </w:rPr>
        <w:t>p</w:t>
      </w:r>
      <w:r w:rsidRPr="00997273">
        <w:rPr>
          <w:rFonts w:cs="Times New Roman" w:hint="eastAsia"/>
          <w:sz w:val="22"/>
          <w:szCs w:val="22"/>
          <w:lang w:val="lt-LT" w:eastAsia="en-US"/>
        </w:rPr>
        <w:t>ū</w:t>
      </w:r>
      <w:r w:rsidRPr="00997273">
        <w:rPr>
          <w:rFonts w:cs="Times New Roman"/>
          <w:sz w:val="22"/>
          <w:szCs w:val="22"/>
          <w:lang w:val="lt-LT" w:eastAsia="en-US"/>
        </w:rPr>
        <w:t>slinio</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pemfigoido</w:t>
      </w:r>
      <w:proofErr w:type="spellEnd"/>
      <w:r w:rsidRPr="00997273">
        <w:rPr>
          <w:rFonts w:cs="Times New Roman"/>
          <w:sz w:val="22"/>
          <w:szCs w:val="22"/>
          <w:lang w:val="lt-LT" w:eastAsia="en-US"/>
        </w:rPr>
        <w:t xml:space="preserve"> pasirei</w:t>
      </w:r>
      <w:r w:rsidRPr="00997273">
        <w:rPr>
          <w:rFonts w:cs="Times New Roman" w:hint="eastAsia"/>
          <w:sz w:val="22"/>
          <w:szCs w:val="22"/>
          <w:lang w:val="lt-LT" w:eastAsia="en-US"/>
        </w:rPr>
        <w:t>š</w:t>
      </w:r>
      <w:r w:rsidRPr="00997273">
        <w:rPr>
          <w:rFonts w:cs="Times New Roman"/>
          <w:sz w:val="22"/>
          <w:szCs w:val="22"/>
          <w:lang w:val="lt-LT" w:eastAsia="en-US"/>
        </w:rPr>
        <w:t>kimo atvejus pacientams, kurie vartojo DPP-4 inhibitori</w:t>
      </w:r>
      <w:r w:rsidRPr="00997273">
        <w:rPr>
          <w:rFonts w:cs="Times New Roman" w:hint="eastAsia"/>
          <w:sz w:val="22"/>
          <w:szCs w:val="22"/>
          <w:lang w:val="lt-LT" w:eastAsia="en-US"/>
        </w:rPr>
        <w:t>ų</w:t>
      </w:r>
      <w:r w:rsidRPr="00997273">
        <w:rPr>
          <w:rFonts w:cs="Times New Roman"/>
          <w:sz w:val="22"/>
          <w:szCs w:val="22"/>
          <w:lang w:val="lt-LT" w:eastAsia="en-US"/>
        </w:rPr>
        <w:t xml:space="preserve">, </w:t>
      </w:r>
      <w:r w:rsidRPr="00997273">
        <w:rPr>
          <w:rFonts w:cs="Times New Roman" w:hint="eastAsia"/>
          <w:sz w:val="22"/>
          <w:szCs w:val="22"/>
          <w:lang w:val="lt-LT" w:eastAsia="en-US"/>
        </w:rPr>
        <w:t>į</w:t>
      </w:r>
      <w:r w:rsidRPr="00997273">
        <w:rPr>
          <w:rFonts w:cs="Times New Roman"/>
          <w:sz w:val="22"/>
          <w:szCs w:val="22"/>
          <w:lang w:val="lt-LT" w:eastAsia="en-US"/>
        </w:rPr>
        <w:t xml:space="preserve">skaitant </w:t>
      </w:r>
      <w:proofErr w:type="spellStart"/>
      <w:r w:rsidRPr="00997273">
        <w:rPr>
          <w:rFonts w:cs="Times New Roman"/>
          <w:sz w:val="22"/>
          <w:szCs w:val="22"/>
          <w:lang w:val="lt-LT" w:eastAsia="en-US"/>
        </w:rPr>
        <w:t>sitagliptin</w:t>
      </w:r>
      <w:r w:rsidRPr="00997273">
        <w:rPr>
          <w:rFonts w:cs="Times New Roman" w:hint="eastAsia"/>
          <w:sz w:val="22"/>
          <w:szCs w:val="22"/>
          <w:lang w:val="lt-LT" w:eastAsia="en-US"/>
        </w:rPr>
        <w:t>ą</w:t>
      </w:r>
      <w:proofErr w:type="spellEnd"/>
      <w:r w:rsidRPr="00997273">
        <w:rPr>
          <w:rFonts w:cs="Times New Roman"/>
          <w:sz w:val="22"/>
          <w:szCs w:val="22"/>
          <w:lang w:val="lt-LT" w:eastAsia="en-US"/>
        </w:rPr>
        <w:t xml:space="preserve">. Jeigu </w:t>
      </w:r>
      <w:r w:rsidRPr="00997273">
        <w:rPr>
          <w:rFonts w:cs="Times New Roman" w:hint="eastAsia"/>
          <w:sz w:val="22"/>
          <w:szCs w:val="22"/>
          <w:lang w:val="lt-LT" w:eastAsia="en-US"/>
        </w:rPr>
        <w:t>į</w:t>
      </w:r>
      <w:r w:rsidRPr="00997273">
        <w:rPr>
          <w:rFonts w:cs="Times New Roman"/>
          <w:sz w:val="22"/>
          <w:szCs w:val="22"/>
          <w:lang w:val="lt-LT" w:eastAsia="en-US"/>
        </w:rPr>
        <w:t>tariam</w:t>
      </w:r>
      <w:r w:rsidR="00845D86">
        <w:rPr>
          <w:rFonts w:cs="Times New Roman"/>
          <w:sz w:val="22"/>
          <w:szCs w:val="22"/>
          <w:lang w:val="lt-LT" w:eastAsia="en-US"/>
        </w:rPr>
        <w:t>as</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p</w:t>
      </w:r>
      <w:r w:rsidRPr="00997273">
        <w:rPr>
          <w:rFonts w:cs="Times New Roman" w:hint="eastAsia"/>
          <w:sz w:val="22"/>
          <w:szCs w:val="22"/>
          <w:lang w:val="lt-LT" w:eastAsia="en-US"/>
        </w:rPr>
        <w:t>ū</w:t>
      </w:r>
      <w:r w:rsidRPr="00997273">
        <w:rPr>
          <w:rFonts w:cs="Times New Roman"/>
          <w:sz w:val="22"/>
          <w:szCs w:val="22"/>
          <w:lang w:val="lt-LT" w:eastAsia="en-US"/>
        </w:rPr>
        <w:t>slinis</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pemfigoidas</w:t>
      </w:r>
      <w:proofErr w:type="spellEnd"/>
      <w:r w:rsidRPr="00997273">
        <w:rPr>
          <w:rFonts w:cs="Times New Roman"/>
          <w:sz w:val="22"/>
          <w:szCs w:val="22"/>
          <w:lang w:val="lt-LT" w:eastAsia="en-US"/>
        </w:rPr>
        <w:t xml:space="preserve">, </w:t>
      </w:r>
      <w:proofErr w:type="spellStart"/>
      <w:r w:rsidR="00177DFE" w:rsidRPr="00997273">
        <w:rPr>
          <w:rFonts w:cs="Times New Roman"/>
          <w:sz w:val="22"/>
          <w:szCs w:val="22"/>
          <w:lang w:val="lt-LT" w:eastAsia="en-US"/>
        </w:rPr>
        <w:t>sitagliptino</w:t>
      </w:r>
      <w:proofErr w:type="spellEnd"/>
      <w:r w:rsidR="00177DFE" w:rsidRPr="00997273">
        <w:rPr>
          <w:rFonts w:cs="Times New Roman"/>
          <w:sz w:val="22"/>
          <w:szCs w:val="22"/>
          <w:lang w:val="lt-LT" w:eastAsia="en-US"/>
        </w:rPr>
        <w:t xml:space="preserve"> </w:t>
      </w:r>
      <w:r w:rsidRPr="00997273">
        <w:rPr>
          <w:rFonts w:cs="Times New Roman"/>
          <w:sz w:val="22"/>
          <w:szCs w:val="22"/>
          <w:lang w:val="lt-LT" w:eastAsia="en-US"/>
        </w:rPr>
        <w:t>vartojim</w:t>
      </w:r>
      <w:r w:rsidR="001752EF">
        <w:rPr>
          <w:rFonts w:cs="Times New Roman"/>
          <w:sz w:val="22"/>
          <w:szCs w:val="22"/>
          <w:lang w:val="lt-LT" w:eastAsia="en-US"/>
        </w:rPr>
        <w:t>as turi būti nutrauktas</w:t>
      </w:r>
      <w:r w:rsidRPr="00997273">
        <w:rPr>
          <w:rFonts w:cs="Times New Roman"/>
          <w:sz w:val="22"/>
          <w:szCs w:val="22"/>
          <w:lang w:val="lt-LT" w:eastAsia="en-US"/>
        </w:rPr>
        <w:t>.</w:t>
      </w:r>
    </w:p>
    <w:p w14:paraId="1AA4D9F2" w14:textId="77777777" w:rsidR="005C1574" w:rsidRPr="00997273" w:rsidRDefault="005C1574" w:rsidP="00DD3B9B">
      <w:pPr>
        <w:autoSpaceDE w:val="0"/>
        <w:autoSpaceDN w:val="0"/>
        <w:adjustRightInd w:val="0"/>
        <w:rPr>
          <w:rFonts w:cs="Times New Roman"/>
          <w:sz w:val="22"/>
          <w:szCs w:val="22"/>
          <w:lang w:val="lt-LT" w:eastAsia="en-US"/>
        </w:rPr>
      </w:pPr>
    </w:p>
    <w:p w14:paraId="731B4437" w14:textId="77CAD6D6" w:rsidR="00BB14F2" w:rsidRPr="00997273" w:rsidRDefault="001552E3" w:rsidP="00BB14F2">
      <w:pPr>
        <w:widowControl w:val="0"/>
        <w:rPr>
          <w:rFonts w:eastAsia="Times New Roman" w:cs="Times New Roman"/>
          <w:sz w:val="22"/>
          <w:szCs w:val="22"/>
          <w:u w:val="single"/>
          <w:lang w:val="lt-LT" w:eastAsia="en-US"/>
        </w:rPr>
      </w:pPr>
      <w:r>
        <w:rPr>
          <w:rFonts w:eastAsia="Times New Roman" w:cs="Times New Roman"/>
          <w:sz w:val="22"/>
          <w:szCs w:val="22"/>
          <w:u w:val="single"/>
          <w:lang w:val="lt-LT" w:eastAsia="en-US"/>
        </w:rPr>
        <w:t>Natris</w:t>
      </w:r>
    </w:p>
    <w:p w14:paraId="2C81EE8C" w14:textId="78297178" w:rsidR="00BB14F2" w:rsidRPr="00514429" w:rsidRDefault="00BB14F2" w:rsidP="00BB14F2">
      <w:pPr>
        <w:autoSpaceDE w:val="0"/>
        <w:autoSpaceDN w:val="0"/>
        <w:adjustRightInd w:val="0"/>
        <w:rPr>
          <w:sz w:val="22"/>
          <w:szCs w:val="22"/>
          <w:lang w:val="lt-LT"/>
        </w:rPr>
      </w:pPr>
      <w:r w:rsidRPr="00514429">
        <w:rPr>
          <w:rFonts w:eastAsia="Times New Roman" w:cs="Times New Roman"/>
          <w:sz w:val="22"/>
          <w:szCs w:val="22"/>
          <w:lang w:val="lt-LT" w:eastAsia="en-US"/>
        </w:rPr>
        <w:lastRenderedPageBreak/>
        <w:t>Šio vaist</w:t>
      </w:r>
      <w:r w:rsidR="00177DFE" w:rsidRPr="00514429">
        <w:rPr>
          <w:rFonts w:eastAsia="Times New Roman" w:cs="Times New Roman"/>
          <w:sz w:val="22"/>
          <w:szCs w:val="22"/>
          <w:lang w:val="lt-LT" w:eastAsia="en-US"/>
        </w:rPr>
        <w:t>ini</w:t>
      </w:r>
      <w:r w:rsidRPr="00514429">
        <w:rPr>
          <w:rFonts w:eastAsia="Times New Roman" w:cs="Times New Roman"/>
          <w:sz w:val="22"/>
          <w:szCs w:val="22"/>
          <w:lang w:val="lt-LT" w:eastAsia="en-US"/>
        </w:rPr>
        <w:t>o</w:t>
      </w:r>
      <w:r w:rsidR="00177DFE" w:rsidRPr="00514429">
        <w:rPr>
          <w:rFonts w:eastAsia="Times New Roman" w:cs="Times New Roman"/>
          <w:sz w:val="22"/>
          <w:szCs w:val="22"/>
          <w:lang w:val="lt-LT" w:eastAsia="en-US"/>
        </w:rPr>
        <w:t xml:space="preserve"> preparato</w:t>
      </w:r>
      <w:r w:rsidRPr="00514429">
        <w:rPr>
          <w:rFonts w:eastAsia="Times New Roman" w:cs="Times New Roman"/>
          <w:sz w:val="22"/>
          <w:szCs w:val="22"/>
          <w:lang w:val="lt-LT" w:eastAsia="en-US"/>
        </w:rPr>
        <w:t xml:space="preserve"> </w:t>
      </w:r>
      <w:r w:rsidR="00230C86">
        <w:rPr>
          <w:rFonts w:eastAsia="Times New Roman" w:cs="Times New Roman"/>
          <w:sz w:val="22"/>
          <w:szCs w:val="22"/>
          <w:lang w:val="lt-LT" w:eastAsia="en-US"/>
        </w:rPr>
        <w:t xml:space="preserve">kiekvienoje </w:t>
      </w:r>
      <w:r w:rsidR="002445B7">
        <w:rPr>
          <w:sz w:val="22"/>
          <w:szCs w:val="22"/>
          <w:lang w:val="lt-LT"/>
        </w:rPr>
        <w:t>plėvele dengtoje</w:t>
      </w:r>
      <w:r w:rsidRPr="00514429">
        <w:rPr>
          <w:sz w:val="22"/>
          <w:szCs w:val="22"/>
          <w:lang w:val="lt-LT"/>
        </w:rPr>
        <w:t xml:space="preserve"> </w:t>
      </w:r>
      <w:proofErr w:type="spellStart"/>
      <w:r w:rsidRPr="00514429">
        <w:rPr>
          <w:sz w:val="22"/>
          <w:szCs w:val="22"/>
          <w:lang w:val="lt-LT"/>
        </w:rPr>
        <w:t>tablet</w:t>
      </w:r>
      <w:proofErr w:type="spellEnd"/>
      <w:r w:rsidRPr="00997273">
        <w:rPr>
          <w:sz w:val="22"/>
          <w:szCs w:val="22"/>
        </w:rPr>
        <w:t>ėje</w:t>
      </w:r>
      <w:r w:rsidRPr="00514429">
        <w:rPr>
          <w:rFonts w:eastAsia="Times New Roman" w:cs="Times New Roman"/>
          <w:sz w:val="22"/>
          <w:szCs w:val="22"/>
          <w:lang w:val="lt-LT" w:eastAsia="en-US"/>
        </w:rPr>
        <w:t xml:space="preserve"> yra</w:t>
      </w:r>
      <w:r w:rsidRPr="00514429">
        <w:rPr>
          <w:sz w:val="22"/>
          <w:szCs w:val="22"/>
          <w:lang w:val="lt-LT"/>
        </w:rPr>
        <w:t xml:space="preserve"> </w:t>
      </w:r>
      <w:r w:rsidRPr="00514429">
        <w:rPr>
          <w:rFonts w:eastAsia="Times New Roman" w:cs="Times New Roman"/>
          <w:sz w:val="22"/>
          <w:szCs w:val="22"/>
          <w:lang w:val="lt-LT" w:eastAsia="en-US"/>
        </w:rPr>
        <w:t>mažiau kaip 1</w:t>
      </w:r>
      <w:r w:rsidR="002445B7">
        <w:rPr>
          <w:rFonts w:eastAsia="Times New Roman" w:cs="Times New Roman"/>
          <w:sz w:val="22"/>
          <w:szCs w:val="22"/>
          <w:lang w:val="lt-LT" w:eastAsia="en-US"/>
        </w:rPr>
        <w:t> </w:t>
      </w:r>
      <w:proofErr w:type="spellStart"/>
      <w:r w:rsidRPr="00514429">
        <w:rPr>
          <w:rFonts w:eastAsia="Times New Roman" w:cs="Times New Roman"/>
          <w:sz w:val="22"/>
          <w:szCs w:val="22"/>
          <w:lang w:val="lt-LT" w:eastAsia="en-US"/>
        </w:rPr>
        <w:t>mmol</w:t>
      </w:r>
      <w:proofErr w:type="spellEnd"/>
      <w:r w:rsidRPr="00514429">
        <w:rPr>
          <w:rFonts w:eastAsia="Times New Roman" w:cs="Times New Roman"/>
          <w:sz w:val="22"/>
          <w:szCs w:val="22"/>
          <w:lang w:val="lt-LT" w:eastAsia="en-US"/>
        </w:rPr>
        <w:t xml:space="preserve"> (23</w:t>
      </w:r>
      <w:r w:rsidR="002445B7">
        <w:rPr>
          <w:rFonts w:eastAsia="Times New Roman" w:cs="Times New Roman"/>
          <w:sz w:val="22"/>
          <w:szCs w:val="22"/>
          <w:lang w:val="lt-LT" w:eastAsia="en-US"/>
        </w:rPr>
        <w:t> </w:t>
      </w:r>
      <w:r w:rsidRPr="00514429">
        <w:rPr>
          <w:rFonts w:eastAsia="Times New Roman" w:cs="Times New Roman"/>
          <w:sz w:val="22"/>
          <w:szCs w:val="22"/>
          <w:lang w:val="lt-LT" w:eastAsia="en-US"/>
        </w:rPr>
        <w:t>mg) natrio, t.</w:t>
      </w:r>
      <w:r w:rsidR="00F77607">
        <w:rPr>
          <w:rFonts w:eastAsia="Times New Roman" w:cs="Times New Roman"/>
          <w:sz w:val="22"/>
          <w:szCs w:val="22"/>
          <w:lang w:val="lt-LT" w:eastAsia="en-US"/>
        </w:rPr>
        <w:t> </w:t>
      </w:r>
      <w:r w:rsidRPr="00514429">
        <w:rPr>
          <w:rFonts w:eastAsia="Times New Roman" w:cs="Times New Roman"/>
          <w:sz w:val="22"/>
          <w:szCs w:val="22"/>
          <w:lang w:val="lt-LT" w:eastAsia="en-US"/>
        </w:rPr>
        <w:t>y. jis beveik</w:t>
      </w:r>
      <w:r w:rsidRPr="00514429">
        <w:rPr>
          <w:sz w:val="22"/>
          <w:szCs w:val="22"/>
          <w:lang w:val="lt-LT"/>
        </w:rPr>
        <w:t xml:space="preserve"> </w:t>
      </w:r>
      <w:r w:rsidRPr="00514429">
        <w:rPr>
          <w:rFonts w:eastAsia="Times New Roman" w:cs="Times New Roman"/>
          <w:sz w:val="22"/>
          <w:szCs w:val="22"/>
          <w:lang w:val="lt-LT" w:eastAsia="en-US"/>
        </w:rPr>
        <w:t>neturi reikšmė</w:t>
      </w:r>
      <w:r w:rsidRPr="00514429">
        <w:rPr>
          <w:sz w:val="22"/>
          <w:szCs w:val="22"/>
          <w:lang w:val="lt-LT"/>
        </w:rPr>
        <w:t>s.</w:t>
      </w:r>
    </w:p>
    <w:p w14:paraId="6B14C608" w14:textId="77777777" w:rsidR="00DD3B9B" w:rsidRPr="00997273" w:rsidRDefault="00DD3B9B" w:rsidP="00F25B9F">
      <w:pPr>
        <w:autoSpaceDE w:val="0"/>
        <w:autoSpaceDN w:val="0"/>
        <w:adjustRightInd w:val="0"/>
        <w:rPr>
          <w:rFonts w:cs="Times New Roman"/>
          <w:sz w:val="22"/>
          <w:szCs w:val="22"/>
          <w:lang w:val="lt-LT" w:eastAsia="en-US"/>
        </w:rPr>
      </w:pPr>
    </w:p>
    <w:p w14:paraId="5BAEE440" w14:textId="77777777" w:rsidR="00612A8E" w:rsidRPr="00997273" w:rsidRDefault="00612A8E" w:rsidP="00297C23">
      <w:pPr>
        <w:keepNext/>
        <w:numPr>
          <w:ilvl w:val="1"/>
          <w:numId w:val="25"/>
        </w:numPr>
        <w:spacing w:line="260" w:lineRule="exact"/>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Sąveika su kitais vaistiniais preparatais ir kitokia sąveika</w:t>
      </w:r>
    </w:p>
    <w:p w14:paraId="5F774F21"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7F2383B2" w14:textId="77777777" w:rsidR="000F14B1" w:rsidRPr="004457DD" w:rsidRDefault="000F14B1" w:rsidP="000F14B1">
      <w:pPr>
        <w:autoSpaceDE w:val="0"/>
        <w:autoSpaceDN w:val="0"/>
        <w:adjustRightInd w:val="0"/>
        <w:rPr>
          <w:rFonts w:cs="Times New Roman"/>
          <w:iCs/>
          <w:sz w:val="22"/>
          <w:szCs w:val="22"/>
          <w:u w:val="single"/>
          <w:lang w:val="lt-LT" w:eastAsia="en-US"/>
        </w:rPr>
      </w:pPr>
      <w:r w:rsidRPr="004457DD">
        <w:rPr>
          <w:rFonts w:cs="Times New Roman"/>
          <w:iCs/>
          <w:sz w:val="22"/>
          <w:szCs w:val="22"/>
          <w:u w:val="single"/>
          <w:lang w:val="lt-LT" w:eastAsia="en-US"/>
        </w:rPr>
        <w:t xml:space="preserve">Kitų vaistinių preparatų poveikis </w:t>
      </w:r>
      <w:proofErr w:type="spellStart"/>
      <w:r w:rsidRPr="004457DD">
        <w:rPr>
          <w:rFonts w:cs="Times New Roman"/>
          <w:iCs/>
          <w:sz w:val="22"/>
          <w:szCs w:val="22"/>
          <w:u w:val="single"/>
          <w:lang w:val="lt-LT" w:eastAsia="en-US"/>
        </w:rPr>
        <w:t>sitagliptinui</w:t>
      </w:r>
      <w:proofErr w:type="spellEnd"/>
    </w:p>
    <w:p w14:paraId="2162884C" w14:textId="77777777" w:rsidR="000F14B1" w:rsidRPr="00997273" w:rsidRDefault="000F14B1" w:rsidP="000F14B1">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Žemiau pateikti klinikiniai duomenys rodo, kad reikšmingos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sąveikos su kitais</w:t>
      </w:r>
      <w:r w:rsidR="00342937" w:rsidRPr="00997273">
        <w:rPr>
          <w:rFonts w:cs="Times New Roman"/>
          <w:sz w:val="22"/>
          <w:szCs w:val="22"/>
          <w:lang w:val="lt-LT" w:eastAsia="en-US"/>
        </w:rPr>
        <w:t xml:space="preserve"> </w:t>
      </w:r>
      <w:r w:rsidRPr="00997273">
        <w:rPr>
          <w:rFonts w:cs="Times New Roman"/>
          <w:sz w:val="22"/>
          <w:szCs w:val="22"/>
          <w:lang w:val="lt-LT" w:eastAsia="en-US"/>
        </w:rPr>
        <w:t>kartu vartojamais vaistiniais preparatais rizika yra maža.</w:t>
      </w:r>
    </w:p>
    <w:p w14:paraId="5C1392CA" w14:textId="77777777" w:rsidR="008F244A" w:rsidRPr="00997273" w:rsidRDefault="008F244A" w:rsidP="009D16CA">
      <w:pPr>
        <w:autoSpaceDE w:val="0"/>
        <w:autoSpaceDN w:val="0"/>
        <w:adjustRightInd w:val="0"/>
        <w:rPr>
          <w:rFonts w:cs="Times New Roman"/>
          <w:sz w:val="22"/>
          <w:szCs w:val="22"/>
          <w:lang w:val="lt-LT" w:eastAsia="en-US"/>
        </w:rPr>
      </w:pPr>
    </w:p>
    <w:p w14:paraId="75F33EA6" w14:textId="48443DC6" w:rsidR="000F14B1" w:rsidRPr="00997273" w:rsidRDefault="000F14B1" w:rsidP="009D16CA">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Tyrimai </w:t>
      </w:r>
      <w:proofErr w:type="spellStart"/>
      <w:r w:rsidRPr="00997273">
        <w:rPr>
          <w:rFonts w:eastAsia="TimesNewRoman,Italic" w:cs="Times New Roman"/>
          <w:i/>
          <w:iCs/>
          <w:sz w:val="22"/>
          <w:szCs w:val="22"/>
          <w:lang w:val="lt-LT" w:eastAsia="en-US"/>
        </w:rPr>
        <w:t>in</w:t>
      </w:r>
      <w:proofErr w:type="spellEnd"/>
      <w:r w:rsidRPr="00997273">
        <w:rPr>
          <w:rFonts w:eastAsia="TimesNewRoman,Italic" w:cs="Times New Roman"/>
          <w:i/>
          <w:iCs/>
          <w:sz w:val="22"/>
          <w:szCs w:val="22"/>
          <w:lang w:val="lt-LT" w:eastAsia="en-US"/>
        </w:rPr>
        <w:t xml:space="preserve"> </w:t>
      </w:r>
      <w:proofErr w:type="spellStart"/>
      <w:r w:rsidRPr="00997273">
        <w:rPr>
          <w:rFonts w:eastAsia="TimesNewRoman,Italic" w:cs="Times New Roman"/>
          <w:i/>
          <w:iCs/>
          <w:sz w:val="22"/>
          <w:szCs w:val="22"/>
          <w:lang w:val="lt-LT" w:eastAsia="en-US"/>
        </w:rPr>
        <w:t>vitro</w:t>
      </w:r>
      <w:proofErr w:type="spellEnd"/>
      <w:r w:rsidRPr="00997273">
        <w:rPr>
          <w:rFonts w:eastAsia="TimesNewRoman,Italic" w:cs="Times New Roman"/>
          <w:i/>
          <w:iCs/>
          <w:sz w:val="22"/>
          <w:szCs w:val="22"/>
          <w:lang w:val="lt-LT" w:eastAsia="en-US"/>
        </w:rPr>
        <w:t xml:space="preserve"> </w:t>
      </w:r>
      <w:r w:rsidRPr="00997273">
        <w:rPr>
          <w:rFonts w:cs="Times New Roman"/>
          <w:sz w:val="22"/>
          <w:szCs w:val="22"/>
          <w:lang w:val="lt-LT" w:eastAsia="en-US"/>
        </w:rPr>
        <w:t xml:space="preserve">rodo, kad svarbiausias fermentas, </w:t>
      </w:r>
      <w:r w:rsidR="00A64306">
        <w:rPr>
          <w:rFonts w:cs="Times New Roman"/>
          <w:sz w:val="22"/>
          <w:szCs w:val="22"/>
          <w:lang w:val="lt-LT" w:eastAsia="en-US"/>
        </w:rPr>
        <w:t>atsakingas už</w:t>
      </w:r>
      <w:r w:rsidR="00A824B5">
        <w:rPr>
          <w:rFonts w:cs="Times New Roman"/>
          <w:sz w:val="22"/>
          <w:szCs w:val="22"/>
          <w:lang w:val="lt-LT" w:eastAsia="en-US"/>
        </w:rPr>
        <w:t xml:space="preserve"> ribotą</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metabolizmą</w:t>
      </w:r>
      <w:r w:rsidR="00A824B5">
        <w:rPr>
          <w:rFonts w:cs="Times New Roman"/>
          <w:sz w:val="22"/>
          <w:szCs w:val="22"/>
          <w:lang w:val="lt-LT" w:eastAsia="en-US"/>
        </w:rPr>
        <w:t>,</w:t>
      </w:r>
      <w:r w:rsidRPr="00997273">
        <w:rPr>
          <w:rFonts w:cs="Times New Roman"/>
          <w:sz w:val="22"/>
          <w:szCs w:val="22"/>
          <w:lang w:val="lt-LT" w:eastAsia="en-US"/>
        </w:rPr>
        <w:t xml:space="preserve"> yra</w:t>
      </w:r>
      <w:r w:rsidR="009D16CA" w:rsidRPr="00997273">
        <w:rPr>
          <w:rFonts w:cs="Times New Roman"/>
          <w:sz w:val="22"/>
          <w:szCs w:val="22"/>
          <w:lang w:val="lt-LT" w:eastAsia="en-US"/>
        </w:rPr>
        <w:t xml:space="preserve"> </w:t>
      </w:r>
      <w:r w:rsidRPr="00997273">
        <w:rPr>
          <w:rFonts w:cs="Times New Roman"/>
          <w:sz w:val="22"/>
          <w:szCs w:val="22"/>
          <w:lang w:val="lt-LT" w:eastAsia="en-US"/>
        </w:rPr>
        <w:t>CYP3A4,</w:t>
      </w:r>
      <w:r w:rsidR="00A0249E">
        <w:rPr>
          <w:rFonts w:cs="Times New Roman"/>
          <w:sz w:val="22"/>
          <w:szCs w:val="22"/>
          <w:lang w:val="lt-LT" w:eastAsia="en-US"/>
        </w:rPr>
        <w:t xml:space="preserve"> </w:t>
      </w:r>
      <w:r w:rsidR="00C56D63">
        <w:rPr>
          <w:rFonts w:cs="Times New Roman"/>
          <w:sz w:val="22"/>
          <w:szCs w:val="22"/>
          <w:lang w:val="lt-LT" w:eastAsia="en-US"/>
        </w:rPr>
        <w:t>d</w:t>
      </w:r>
      <w:r w:rsidRPr="00997273">
        <w:rPr>
          <w:rFonts w:cs="Times New Roman"/>
          <w:sz w:val="22"/>
          <w:szCs w:val="22"/>
          <w:lang w:val="lt-LT" w:eastAsia="en-US"/>
        </w:rPr>
        <w:t>alyvauja</w:t>
      </w:r>
      <w:r w:rsidR="00A0249E">
        <w:rPr>
          <w:rFonts w:cs="Times New Roman"/>
          <w:sz w:val="22"/>
          <w:szCs w:val="22"/>
          <w:lang w:val="lt-LT" w:eastAsia="en-US"/>
        </w:rPr>
        <w:t>nt</w:t>
      </w:r>
      <w:r w:rsidRPr="00997273">
        <w:rPr>
          <w:rFonts w:cs="Times New Roman"/>
          <w:sz w:val="22"/>
          <w:szCs w:val="22"/>
          <w:lang w:val="lt-LT" w:eastAsia="en-US"/>
        </w:rPr>
        <w:t xml:space="preserve"> ir CYP2C8. Pacientų, kurių inkstų funkcija normali, organizme</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metabolizmas, įskaitant </w:t>
      </w:r>
      <w:r w:rsidR="008F244A" w:rsidRPr="00997273">
        <w:rPr>
          <w:rFonts w:cs="Times New Roman"/>
          <w:sz w:val="22"/>
          <w:szCs w:val="22"/>
          <w:lang w:val="lt-LT" w:eastAsia="en-US"/>
        </w:rPr>
        <w:t>dalyvaujantį</w:t>
      </w:r>
      <w:r w:rsidRPr="00997273">
        <w:rPr>
          <w:rFonts w:cs="Times New Roman"/>
          <w:sz w:val="22"/>
          <w:szCs w:val="22"/>
          <w:lang w:val="lt-LT" w:eastAsia="en-US"/>
        </w:rPr>
        <w:t xml:space="preserve"> CYP3A4,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klirensui </w:t>
      </w:r>
      <w:r w:rsidR="002A5C17">
        <w:rPr>
          <w:rFonts w:cs="Times New Roman"/>
          <w:sz w:val="22"/>
          <w:szCs w:val="22"/>
          <w:lang w:val="lt-LT" w:eastAsia="en-US"/>
        </w:rPr>
        <w:t>daro</w:t>
      </w:r>
      <w:r w:rsidRPr="00997273">
        <w:rPr>
          <w:rFonts w:cs="Times New Roman"/>
          <w:sz w:val="22"/>
          <w:szCs w:val="22"/>
          <w:lang w:val="lt-LT" w:eastAsia="en-US"/>
        </w:rPr>
        <w:t xml:space="preserve"> mažą įtaką. Metabolizmas</w:t>
      </w:r>
      <w:r w:rsidR="009D16CA" w:rsidRPr="00997273">
        <w:rPr>
          <w:rFonts w:cs="Times New Roman"/>
          <w:sz w:val="22"/>
          <w:szCs w:val="22"/>
          <w:lang w:val="lt-LT" w:eastAsia="en-US"/>
        </w:rPr>
        <w:t xml:space="preserve">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eliminacijai gali būti reikšmingesnis esant sunkiam inkstų </w:t>
      </w:r>
      <w:r w:rsidR="00A0249E">
        <w:rPr>
          <w:rFonts w:cs="Times New Roman"/>
          <w:sz w:val="22"/>
          <w:szCs w:val="22"/>
          <w:lang w:val="lt-LT" w:eastAsia="en-US"/>
        </w:rPr>
        <w:t xml:space="preserve">funkcijos </w:t>
      </w:r>
      <w:r w:rsidRPr="00997273">
        <w:rPr>
          <w:rFonts w:cs="Times New Roman"/>
          <w:sz w:val="22"/>
          <w:szCs w:val="22"/>
          <w:lang w:val="lt-LT" w:eastAsia="en-US"/>
        </w:rPr>
        <w:t>sutrikimui arba galutinės</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stadijos </w:t>
      </w:r>
      <w:r w:rsidR="005B03C8">
        <w:rPr>
          <w:rFonts w:cs="Times New Roman"/>
          <w:sz w:val="22"/>
          <w:szCs w:val="22"/>
          <w:lang w:val="lt-LT" w:eastAsia="en-US"/>
        </w:rPr>
        <w:t xml:space="preserve">lėtinei </w:t>
      </w:r>
      <w:r w:rsidRPr="00997273">
        <w:rPr>
          <w:rFonts w:cs="Times New Roman"/>
          <w:sz w:val="22"/>
          <w:szCs w:val="22"/>
          <w:lang w:val="lt-LT" w:eastAsia="en-US"/>
        </w:rPr>
        <w:t>inkstų ligai (GS</w:t>
      </w:r>
      <w:r w:rsidR="005B03C8">
        <w:rPr>
          <w:rFonts w:cs="Times New Roman"/>
          <w:sz w:val="22"/>
          <w:szCs w:val="22"/>
          <w:lang w:val="lt-LT" w:eastAsia="en-US"/>
        </w:rPr>
        <w:t>L</w:t>
      </w:r>
      <w:r w:rsidRPr="00997273">
        <w:rPr>
          <w:rFonts w:cs="Times New Roman"/>
          <w:sz w:val="22"/>
          <w:szCs w:val="22"/>
          <w:lang w:val="lt-LT" w:eastAsia="en-US"/>
        </w:rPr>
        <w:t xml:space="preserve">IL). Dėl to </w:t>
      </w:r>
      <w:r w:rsidR="002A5C17">
        <w:rPr>
          <w:rFonts w:cs="Times New Roman"/>
          <w:sz w:val="22"/>
          <w:szCs w:val="22"/>
          <w:lang w:val="lt-LT" w:eastAsia="en-US"/>
        </w:rPr>
        <w:t>įmanoma</w:t>
      </w:r>
      <w:r w:rsidRPr="00997273">
        <w:rPr>
          <w:rFonts w:cs="Times New Roman"/>
          <w:sz w:val="22"/>
          <w:szCs w:val="22"/>
          <w:lang w:val="lt-LT" w:eastAsia="en-US"/>
        </w:rPr>
        <w:t xml:space="preserve">, kad stiprūs CYP3A4 inhibitoriai, pvz., </w:t>
      </w:r>
      <w:proofErr w:type="spellStart"/>
      <w:r w:rsidRPr="00997273">
        <w:rPr>
          <w:rFonts w:cs="Times New Roman"/>
          <w:sz w:val="22"/>
          <w:szCs w:val="22"/>
          <w:lang w:val="lt-LT" w:eastAsia="en-US"/>
        </w:rPr>
        <w:t>ketokonazolas</w:t>
      </w:r>
      <w:proofErr w:type="spellEnd"/>
      <w:r w:rsidRPr="00997273">
        <w:rPr>
          <w:rFonts w:cs="Times New Roman"/>
          <w:sz w:val="22"/>
          <w:szCs w:val="22"/>
          <w:lang w:val="lt-LT" w:eastAsia="en-US"/>
        </w:rPr>
        <w:t>,</w:t>
      </w:r>
      <w:r w:rsidR="009D16CA" w:rsidRPr="00997273">
        <w:rPr>
          <w:rFonts w:cs="Times New Roman"/>
          <w:sz w:val="22"/>
          <w:szCs w:val="22"/>
          <w:lang w:val="lt-LT" w:eastAsia="en-US"/>
        </w:rPr>
        <w:t xml:space="preserve"> </w:t>
      </w:r>
      <w:proofErr w:type="spellStart"/>
      <w:r w:rsidRPr="00997273">
        <w:rPr>
          <w:rFonts w:cs="Times New Roman"/>
          <w:sz w:val="22"/>
          <w:szCs w:val="22"/>
          <w:lang w:val="lt-LT" w:eastAsia="en-US"/>
        </w:rPr>
        <w:t>itrakonazolas</w:t>
      </w:r>
      <w:proofErr w:type="spellEnd"/>
      <w:r w:rsidRPr="00997273">
        <w:rPr>
          <w:rFonts w:cs="Times New Roman"/>
          <w:sz w:val="22"/>
          <w:szCs w:val="22"/>
          <w:lang w:val="lt-LT" w:eastAsia="en-US"/>
        </w:rPr>
        <w:t xml:space="preserve">, ritonaviras, </w:t>
      </w:r>
      <w:proofErr w:type="spellStart"/>
      <w:r w:rsidRPr="00997273">
        <w:rPr>
          <w:rFonts w:cs="Times New Roman"/>
          <w:sz w:val="22"/>
          <w:szCs w:val="22"/>
          <w:lang w:val="lt-LT" w:eastAsia="en-US"/>
        </w:rPr>
        <w:t>klaritromicinas</w:t>
      </w:r>
      <w:proofErr w:type="spellEnd"/>
      <w:r w:rsidRPr="00997273">
        <w:rPr>
          <w:rFonts w:cs="Times New Roman"/>
          <w:sz w:val="22"/>
          <w:szCs w:val="22"/>
          <w:lang w:val="lt-LT" w:eastAsia="en-US"/>
        </w:rPr>
        <w:t xml:space="preserve">, gali keisti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farmakokinetiką pacient</w:t>
      </w:r>
      <w:r w:rsidR="00A0249E">
        <w:rPr>
          <w:rFonts w:cs="Times New Roman"/>
          <w:sz w:val="22"/>
          <w:szCs w:val="22"/>
          <w:lang w:val="lt-LT" w:eastAsia="en-US"/>
        </w:rPr>
        <w:t>ams</w:t>
      </w:r>
      <w:r w:rsidRPr="00997273">
        <w:rPr>
          <w:rFonts w:cs="Times New Roman"/>
          <w:sz w:val="22"/>
          <w:szCs w:val="22"/>
          <w:lang w:val="lt-LT" w:eastAsia="en-US"/>
        </w:rPr>
        <w:t>, kuriems</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yra sunkus inkstų </w:t>
      </w:r>
      <w:r w:rsidR="00A0249E">
        <w:rPr>
          <w:rFonts w:cs="Times New Roman"/>
          <w:sz w:val="22"/>
          <w:szCs w:val="22"/>
          <w:lang w:val="lt-LT" w:eastAsia="en-US"/>
        </w:rPr>
        <w:t>funkcijos</w:t>
      </w:r>
      <w:r w:rsidR="00A0249E" w:rsidRPr="00997273">
        <w:rPr>
          <w:rFonts w:cs="Times New Roman"/>
          <w:sz w:val="22"/>
          <w:szCs w:val="22"/>
          <w:lang w:val="lt-LT" w:eastAsia="en-US"/>
        </w:rPr>
        <w:t xml:space="preserve"> </w:t>
      </w:r>
      <w:r w:rsidRPr="00997273">
        <w:rPr>
          <w:rFonts w:cs="Times New Roman"/>
          <w:sz w:val="22"/>
          <w:szCs w:val="22"/>
          <w:lang w:val="lt-LT" w:eastAsia="en-US"/>
        </w:rPr>
        <w:t>sutrikimas arba GS</w:t>
      </w:r>
      <w:r w:rsidR="005B03C8">
        <w:rPr>
          <w:rFonts w:cs="Times New Roman"/>
          <w:sz w:val="22"/>
          <w:szCs w:val="22"/>
          <w:lang w:val="lt-LT" w:eastAsia="en-US"/>
        </w:rPr>
        <w:t>L</w:t>
      </w:r>
      <w:r w:rsidRPr="00997273">
        <w:rPr>
          <w:rFonts w:cs="Times New Roman"/>
          <w:sz w:val="22"/>
          <w:szCs w:val="22"/>
          <w:lang w:val="lt-LT" w:eastAsia="en-US"/>
        </w:rPr>
        <w:t>IL. Stiprių CYP3A4 inhibitorių poveikis</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esant inkstų </w:t>
      </w:r>
      <w:r w:rsidR="00A0249E">
        <w:rPr>
          <w:rFonts w:cs="Times New Roman"/>
          <w:sz w:val="22"/>
          <w:szCs w:val="22"/>
          <w:lang w:val="lt-LT" w:eastAsia="en-US"/>
        </w:rPr>
        <w:t>funkcijos</w:t>
      </w:r>
      <w:r w:rsidR="00A0249E" w:rsidRPr="00997273">
        <w:rPr>
          <w:rFonts w:cs="Times New Roman"/>
          <w:sz w:val="22"/>
          <w:szCs w:val="22"/>
          <w:lang w:val="lt-LT" w:eastAsia="en-US"/>
        </w:rPr>
        <w:t xml:space="preserve"> </w:t>
      </w:r>
      <w:r w:rsidRPr="00997273">
        <w:rPr>
          <w:rFonts w:cs="Times New Roman"/>
          <w:sz w:val="22"/>
          <w:szCs w:val="22"/>
          <w:lang w:val="lt-LT" w:eastAsia="en-US"/>
        </w:rPr>
        <w:t>sutrikimui klinikini</w:t>
      </w:r>
      <w:r w:rsidR="00F37D96">
        <w:rPr>
          <w:rFonts w:cs="Times New Roman"/>
          <w:sz w:val="22"/>
          <w:szCs w:val="22"/>
          <w:lang w:val="lt-LT" w:eastAsia="en-US"/>
        </w:rPr>
        <w:t>o</w:t>
      </w:r>
      <w:r w:rsidRPr="00997273">
        <w:rPr>
          <w:rFonts w:cs="Times New Roman"/>
          <w:sz w:val="22"/>
          <w:szCs w:val="22"/>
          <w:lang w:val="lt-LT" w:eastAsia="en-US"/>
        </w:rPr>
        <w:t xml:space="preserve"> tyrim</w:t>
      </w:r>
      <w:r w:rsidR="00F37D96">
        <w:rPr>
          <w:rFonts w:cs="Times New Roman"/>
          <w:sz w:val="22"/>
          <w:szCs w:val="22"/>
          <w:lang w:val="lt-LT" w:eastAsia="en-US"/>
        </w:rPr>
        <w:t>o</w:t>
      </w:r>
      <w:r w:rsidRPr="00997273">
        <w:rPr>
          <w:rFonts w:cs="Times New Roman"/>
          <w:sz w:val="22"/>
          <w:szCs w:val="22"/>
          <w:lang w:val="lt-LT" w:eastAsia="en-US"/>
        </w:rPr>
        <w:t xml:space="preserve"> metu </w:t>
      </w:r>
      <w:r w:rsidR="00A948E5">
        <w:rPr>
          <w:rFonts w:cs="Times New Roman"/>
          <w:sz w:val="22"/>
          <w:szCs w:val="22"/>
          <w:lang w:val="lt-LT" w:eastAsia="en-US"/>
        </w:rPr>
        <w:t>ne</w:t>
      </w:r>
      <w:r w:rsidR="0034154B">
        <w:rPr>
          <w:rFonts w:cs="Times New Roman"/>
          <w:sz w:val="22"/>
          <w:szCs w:val="22"/>
          <w:lang w:val="lt-LT" w:eastAsia="en-US"/>
        </w:rPr>
        <w:t>į</w:t>
      </w:r>
      <w:r w:rsidRPr="00997273">
        <w:rPr>
          <w:rFonts w:cs="Times New Roman"/>
          <w:sz w:val="22"/>
          <w:szCs w:val="22"/>
          <w:lang w:val="lt-LT" w:eastAsia="en-US"/>
        </w:rPr>
        <w:t>vertintas.</w:t>
      </w:r>
    </w:p>
    <w:p w14:paraId="0FB75C65" w14:textId="77777777" w:rsidR="008F244A" w:rsidRPr="00997273" w:rsidRDefault="008F244A" w:rsidP="000F14B1">
      <w:pPr>
        <w:autoSpaceDE w:val="0"/>
        <w:autoSpaceDN w:val="0"/>
        <w:adjustRightInd w:val="0"/>
        <w:rPr>
          <w:rFonts w:cs="Times New Roman"/>
          <w:sz w:val="22"/>
          <w:szCs w:val="22"/>
          <w:lang w:val="lt-LT" w:eastAsia="en-US"/>
        </w:rPr>
      </w:pPr>
    </w:p>
    <w:p w14:paraId="08604C5C" w14:textId="72D12B3D" w:rsidR="000F14B1" w:rsidRPr="00997273" w:rsidRDefault="000F14B1" w:rsidP="000F14B1">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Pernašos tyrimai </w:t>
      </w:r>
      <w:proofErr w:type="spellStart"/>
      <w:r w:rsidRPr="00997273">
        <w:rPr>
          <w:rFonts w:eastAsia="TimesNewRoman,Italic" w:cs="Times New Roman"/>
          <w:i/>
          <w:iCs/>
          <w:sz w:val="22"/>
          <w:szCs w:val="22"/>
          <w:lang w:val="lt-LT" w:eastAsia="en-US"/>
        </w:rPr>
        <w:t>in</w:t>
      </w:r>
      <w:proofErr w:type="spellEnd"/>
      <w:r w:rsidR="00FA3B25">
        <w:rPr>
          <w:rFonts w:eastAsia="TimesNewRoman,Italic" w:cs="Times New Roman"/>
          <w:i/>
          <w:iCs/>
          <w:sz w:val="22"/>
          <w:szCs w:val="22"/>
          <w:lang w:val="lt-LT" w:eastAsia="en-US"/>
        </w:rPr>
        <w:t> </w:t>
      </w:r>
      <w:proofErr w:type="spellStart"/>
      <w:r w:rsidRPr="00997273">
        <w:rPr>
          <w:rFonts w:eastAsia="TimesNewRoman,Italic" w:cs="Times New Roman"/>
          <w:i/>
          <w:iCs/>
          <w:sz w:val="22"/>
          <w:szCs w:val="22"/>
          <w:lang w:val="lt-LT" w:eastAsia="en-US"/>
        </w:rPr>
        <w:t>vitro</w:t>
      </w:r>
      <w:proofErr w:type="spellEnd"/>
      <w:r w:rsidRPr="00997273">
        <w:rPr>
          <w:rFonts w:eastAsia="TimesNewRoman,Italic" w:cs="Times New Roman"/>
          <w:i/>
          <w:iCs/>
          <w:sz w:val="22"/>
          <w:szCs w:val="22"/>
          <w:lang w:val="lt-LT" w:eastAsia="en-US"/>
        </w:rPr>
        <w:t xml:space="preserve"> </w:t>
      </w:r>
      <w:r w:rsidRPr="00997273">
        <w:rPr>
          <w:rFonts w:cs="Times New Roman"/>
          <w:sz w:val="22"/>
          <w:szCs w:val="22"/>
          <w:lang w:val="lt-LT" w:eastAsia="en-US"/>
        </w:rPr>
        <w:t xml:space="preserve">parodė, kad </w:t>
      </w:r>
      <w:proofErr w:type="spellStart"/>
      <w:r w:rsidRPr="00997273">
        <w:rPr>
          <w:rFonts w:cs="Times New Roman"/>
          <w:sz w:val="22"/>
          <w:szCs w:val="22"/>
          <w:lang w:val="lt-LT" w:eastAsia="en-US"/>
        </w:rPr>
        <w:t>sitagliptinas</w:t>
      </w:r>
      <w:proofErr w:type="spellEnd"/>
      <w:r w:rsidRPr="00997273">
        <w:rPr>
          <w:rFonts w:cs="Times New Roman"/>
          <w:sz w:val="22"/>
          <w:szCs w:val="22"/>
          <w:lang w:val="lt-LT" w:eastAsia="en-US"/>
        </w:rPr>
        <w:t xml:space="preserve"> yra </w:t>
      </w:r>
      <w:r w:rsidR="00A0249E">
        <w:rPr>
          <w:rFonts w:cs="Times New Roman"/>
          <w:sz w:val="22"/>
          <w:szCs w:val="22"/>
          <w:lang w:val="lt-LT" w:eastAsia="en-US"/>
        </w:rPr>
        <w:t>P</w:t>
      </w:r>
      <w:r w:rsidR="00587060">
        <w:rPr>
          <w:rFonts w:cs="Times New Roman"/>
          <w:sz w:val="22"/>
          <w:szCs w:val="22"/>
          <w:lang w:val="lt-LT" w:eastAsia="en-US"/>
        </w:rPr>
        <w:t>-</w:t>
      </w:r>
      <w:proofErr w:type="spellStart"/>
      <w:r w:rsidRPr="00997273">
        <w:rPr>
          <w:rFonts w:cs="Times New Roman"/>
          <w:sz w:val="22"/>
          <w:szCs w:val="22"/>
          <w:lang w:val="lt-LT" w:eastAsia="en-US"/>
        </w:rPr>
        <w:t>glikoproteino</w:t>
      </w:r>
      <w:proofErr w:type="spellEnd"/>
      <w:r w:rsidRPr="00997273">
        <w:rPr>
          <w:rFonts w:cs="Times New Roman"/>
          <w:sz w:val="22"/>
          <w:szCs w:val="22"/>
          <w:lang w:val="lt-LT" w:eastAsia="en-US"/>
        </w:rPr>
        <w:t xml:space="preserve"> ir organinių anijonų</w:t>
      </w:r>
      <w:r w:rsidR="009D16CA" w:rsidRPr="00997273">
        <w:rPr>
          <w:rFonts w:cs="Times New Roman"/>
          <w:sz w:val="22"/>
          <w:szCs w:val="22"/>
          <w:lang w:val="lt-LT" w:eastAsia="en-US"/>
        </w:rPr>
        <w:t xml:space="preserve"> </w:t>
      </w:r>
      <w:r w:rsidR="003F367E">
        <w:rPr>
          <w:rFonts w:cs="Times New Roman"/>
          <w:sz w:val="22"/>
          <w:szCs w:val="22"/>
          <w:lang w:val="lt-LT" w:eastAsia="en-US"/>
        </w:rPr>
        <w:t>nešiklio</w:t>
      </w:r>
      <w:r w:rsidRPr="00997273">
        <w:rPr>
          <w:rFonts w:cs="Times New Roman"/>
          <w:sz w:val="22"/>
          <w:szCs w:val="22"/>
          <w:lang w:val="lt-LT" w:eastAsia="en-US"/>
        </w:rPr>
        <w:t>-3 (</w:t>
      </w:r>
      <w:r w:rsidR="00A0249E" w:rsidRPr="00C53FE9">
        <w:rPr>
          <w:bCs/>
          <w:sz w:val="22"/>
          <w:szCs w:val="22"/>
          <w:lang w:val="lt-LT"/>
        </w:rPr>
        <w:t xml:space="preserve">angl. </w:t>
      </w:r>
      <w:proofErr w:type="spellStart"/>
      <w:r w:rsidR="00A0249E">
        <w:rPr>
          <w:bCs/>
          <w:i/>
          <w:iCs/>
          <w:sz w:val="22"/>
          <w:szCs w:val="22"/>
          <w:lang w:val="lt-LT"/>
        </w:rPr>
        <w:t>organic</w:t>
      </w:r>
      <w:proofErr w:type="spellEnd"/>
      <w:r w:rsidR="00A0249E">
        <w:rPr>
          <w:bCs/>
          <w:i/>
          <w:iCs/>
          <w:sz w:val="22"/>
          <w:szCs w:val="22"/>
          <w:lang w:val="lt-LT"/>
        </w:rPr>
        <w:t xml:space="preserve"> </w:t>
      </w:r>
      <w:proofErr w:type="spellStart"/>
      <w:r w:rsidR="00A0249E">
        <w:rPr>
          <w:bCs/>
          <w:i/>
          <w:iCs/>
          <w:sz w:val="22"/>
          <w:szCs w:val="22"/>
          <w:lang w:val="lt-LT"/>
        </w:rPr>
        <w:t>anion</w:t>
      </w:r>
      <w:proofErr w:type="spellEnd"/>
      <w:r w:rsidR="00A0249E">
        <w:rPr>
          <w:bCs/>
          <w:i/>
          <w:iCs/>
          <w:sz w:val="22"/>
          <w:szCs w:val="22"/>
          <w:lang w:val="lt-LT"/>
        </w:rPr>
        <w:t xml:space="preserve"> transporter-3</w:t>
      </w:r>
      <w:r w:rsidR="00A0249E" w:rsidRPr="00A45AAA">
        <w:rPr>
          <w:bCs/>
          <w:i/>
          <w:sz w:val="22"/>
          <w:szCs w:val="22"/>
          <w:lang w:val="lt-LT"/>
        </w:rPr>
        <w:t xml:space="preserve">, </w:t>
      </w:r>
      <w:r w:rsidRPr="00A45AAA">
        <w:rPr>
          <w:rFonts w:cs="Times New Roman"/>
          <w:i/>
          <w:sz w:val="22"/>
          <w:szCs w:val="22"/>
          <w:lang w:val="lt-LT" w:eastAsia="en-US"/>
        </w:rPr>
        <w:t>OAT3</w:t>
      </w:r>
      <w:r w:rsidRPr="00997273">
        <w:rPr>
          <w:rFonts w:cs="Times New Roman"/>
          <w:sz w:val="22"/>
          <w:szCs w:val="22"/>
          <w:lang w:val="lt-LT" w:eastAsia="en-US"/>
        </w:rPr>
        <w:t xml:space="preserve">) substratas. </w:t>
      </w:r>
      <w:proofErr w:type="spellStart"/>
      <w:r w:rsidR="009664F6" w:rsidRPr="009664F6">
        <w:rPr>
          <w:rFonts w:cs="Times New Roman"/>
          <w:i/>
          <w:iCs/>
          <w:sz w:val="22"/>
          <w:szCs w:val="22"/>
          <w:lang w:val="lt-LT" w:eastAsia="en-US"/>
        </w:rPr>
        <w:t>I</w:t>
      </w:r>
      <w:r w:rsidR="009664F6" w:rsidRPr="00997273">
        <w:rPr>
          <w:rFonts w:eastAsia="TimesNewRoman,Italic" w:cs="Times New Roman"/>
          <w:i/>
          <w:iCs/>
          <w:sz w:val="22"/>
          <w:szCs w:val="22"/>
          <w:lang w:val="lt-LT" w:eastAsia="en-US"/>
        </w:rPr>
        <w:t>n</w:t>
      </w:r>
      <w:proofErr w:type="spellEnd"/>
      <w:r w:rsidR="00FA3B25">
        <w:rPr>
          <w:rFonts w:eastAsia="TimesNewRoman,Italic" w:cs="Times New Roman"/>
          <w:i/>
          <w:iCs/>
          <w:sz w:val="22"/>
          <w:szCs w:val="22"/>
          <w:lang w:val="lt-LT" w:eastAsia="en-US"/>
        </w:rPr>
        <w:t> </w:t>
      </w:r>
      <w:proofErr w:type="spellStart"/>
      <w:r w:rsidR="009664F6" w:rsidRPr="00997273">
        <w:rPr>
          <w:rFonts w:eastAsia="TimesNewRoman,Italic" w:cs="Times New Roman"/>
          <w:i/>
          <w:iCs/>
          <w:sz w:val="22"/>
          <w:szCs w:val="22"/>
          <w:lang w:val="lt-LT" w:eastAsia="en-US"/>
        </w:rPr>
        <w:t>vitro</w:t>
      </w:r>
      <w:proofErr w:type="spellEnd"/>
      <w:r w:rsidR="009664F6" w:rsidRPr="00997273">
        <w:rPr>
          <w:rFonts w:eastAsia="TimesNewRoman,Italic" w:cs="Times New Roman"/>
          <w:i/>
          <w:iCs/>
          <w:sz w:val="22"/>
          <w:szCs w:val="22"/>
          <w:lang w:val="lt-LT" w:eastAsia="en-US"/>
        </w:rPr>
        <w:t xml:space="preserve"> </w:t>
      </w:r>
      <w:proofErr w:type="spellStart"/>
      <w:r w:rsidR="009664F6">
        <w:rPr>
          <w:rFonts w:cs="Times New Roman"/>
          <w:sz w:val="22"/>
          <w:szCs w:val="22"/>
          <w:lang w:val="lt-LT" w:eastAsia="en-US"/>
        </w:rPr>
        <w:t>s</w:t>
      </w:r>
      <w:r w:rsidRPr="00997273">
        <w:rPr>
          <w:rFonts w:cs="Times New Roman"/>
          <w:sz w:val="22"/>
          <w:szCs w:val="22"/>
          <w:lang w:val="lt-LT" w:eastAsia="en-US"/>
        </w:rPr>
        <w:t>itagliptino</w:t>
      </w:r>
      <w:proofErr w:type="spellEnd"/>
      <w:r w:rsidRPr="00997273">
        <w:rPr>
          <w:rFonts w:cs="Times New Roman"/>
          <w:sz w:val="22"/>
          <w:szCs w:val="22"/>
          <w:lang w:val="lt-LT" w:eastAsia="en-US"/>
        </w:rPr>
        <w:t xml:space="preserve"> pernašą, dalyvaujant OAT3, slopino</w:t>
      </w:r>
      <w:r w:rsidR="009D16CA" w:rsidRPr="00997273">
        <w:rPr>
          <w:rFonts w:cs="Times New Roman"/>
          <w:sz w:val="22"/>
          <w:szCs w:val="22"/>
          <w:lang w:val="lt-LT" w:eastAsia="en-US"/>
        </w:rPr>
        <w:t xml:space="preserve"> </w:t>
      </w:r>
      <w:proofErr w:type="spellStart"/>
      <w:r w:rsidRPr="00997273">
        <w:rPr>
          <w:rFonts w:cs="Times New Roman"/>
          <w:sz w:val="22"/>
          <w:szCs w:val="22"/>
          <w:lang w:val="lt-LT" w:eastAsia="en-US"/>
        </w:rPr>
        <w:t>probenecidas</w:t>
      </w:r>
      <w:proofErr w:type="spellEnd"/>
      <w:r w:rsidRPr="00997273">
        <w:rPr>
          <w:rFonts w:cs="Times New Roman"/>
          <w:sz w:val="22"/>
          <w:szCs w:val="22"/>
          <w:lang w:val="lt-LT" w:eastAsia="en-US"/>
        </w:rPr>
        <w:t>, tačiau manoma, kad kliniškai reikšmingos sąveikos rizika yra maža. Vartojimas kartu su</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OAT3 inhibitoriais </w:t>
      </w:r>
      <w:proofErr w:type="spellStart"/>
      <w:r w:rsidRPr="00997273">
        <w:rPr>
          <w:rFonts w:eastAsia="TimesNewRoman,Italic" w:cs="Times New Roman"/>
          <w:i/>
          <w:iCs/>
          <w:sz w:val="22"/>
          <w:szCs w:val="22"/>
          <w:lang w:val="lt-LT" w:eastAsia="en-US"/>
        </w:rPr>
        <w:t>in</w:t>
      </w:r>
      <w:proofErr w:type="spellEnd"/>
      <w:r w:rsidRPr="00FA3B25">
        <w:t xml:space="preserve"> </w:t>
      </w:r>
      <w:proofErr w:type="spellStart"/>
      <w:r w:rsidRPr="00997273">
        <w:rPr>
          <w:rFonts w:eastAsia="TimesNewRoman,Italic" w:cs="Times New Roman"/>
          <w:i/>
          <w:iCs/>
          <w:sz w:val="22"/>
          <w:szCs w:val="22"/>
          <w:lang w:val="lt-LT" w:eastAsia="en-US"/>
        </w:rPr>
        <w:t>vivo</w:t>
      </w:r>
      <w:proofErr w:type="spellEnd"/>
      <w:r w:rsidRPr="00997273">
        <w:rPr>
          <w:rFonts w:eastAsia="TimesNewRoman,Italic" w:cs="Times New Roman"/>
          <w:i/>
          <w:iCs/>
          <w:sz w:val="22"/>
          <w:szCs w:val="22"/>
          <w:lang w:val="lt-LT" w:eastAsia="en-US"/>
        </w:rPr>
        <w:t xml:space="preserve"> </w:t>
      </w:r>
      <w:r w:rsidRPr="00997273">
        <w:rPr>
          <w:rFonts w:cs="Times New Roman"/>
          <w:sz w:val="22"/>
          <w:szCs w:val="22"/>
          <w:lang w:val="lt-LT" w:eastAsia="en-US"/>
        </w:rPr>
        <w:t>netirtas.</w:t>
      </w:r>
    </w:p>
    <w:p w14:paraId="715E2BB4" w14:textId="77777777" w:rsidR="009D16CA" w:rsidRPr="00997273" w:rsidRDefault="009D16CA" w:rsidP="000F14B1">
      <w:pPr>
        <w:autoSpaceDE w:val="0"/>
        <w:autoSpaceDN w:val="0"/>
        <w:adjustRightInd w:val="0"/>
        <w:rPr>
          <w:rFonts w:eastAsia="TimesNewRoman,Italic" w:cs="Times New Roman"/>
          <w:i/>
          <w:iCs/>
          <w:sz w:val="22"/>
          <w:szCs w:val="22"/>
          <w:lang w:val="lt-LT" w:eastAsia="en-US"/>
        </w:rPr>
      </w:pPr>
    </w:p>
    <w:p w14:paraId="44BF80C4" w14:textId="6E7DD554" w:rsidR="000F14B1" w:rsidRPr="00997273" w:rsidRDefault="000F14B1" w:rsidP="000F14B1">
      <w:pPr>
        <w:autoSpaceDE w:val="0"/>
        <w:autoSpaceDN w:val="0"/>
        <w:adjustRightInd w:val="0"/>
        <w:rPr>
          <w:rFonts w:cs="Times New Roman"/>
          <w:sz w:val="22"/>
          <w:szCs w:val="22"/>
          <w:lang w:val="lt-LT" w:eastAsia="en-US"/>
        </w:rPr>
      </w:pPr>
      <w:proofErr w:type="spellStart"/>
      <w:r w:rsidRPr="00997273">
        <w:rPr>
          <w:rFonts w:eastAsia="TimesNewRoman,Italic" w:cs="Times New Roman"/>
          <w:i/>
          <w:iCs/>
          <w:sz w:val="22"/>
          <w:szCs w:val="22"/>
          <w:lang w:val="lt-LT" w:eastAsia="en-US"/>
        </w:rPr>
        <w:t>Metforminas</w:t>
      </w:r>
      <w:proofErr w:type="spellEnd"/>
      <w:r w:rsidRPr="00997273">
        <w:rPr>
          <w:rFonts w:eastAsia="TimesNewRoman,Italic" w:cs="Times New Roman"/>
          <w:i/>
          <w:iCs/>
          <w:sz w:val="22"/>
          <w:szCs w:val="22"/>
          <w:lang w:val="lt-LT" w:eastAsia="en-US"/>
        </w:rPr>
        <w:t xml:space="preserve">. </w:t>
      </w:r>
      <w:r w:rsidR="00FA3B25">
        <w:rPr>
          <w:rFonts w:cs="Times New Roman"/>
          <w:sz w:val="22"/>
          <w:szCs w:val="22"/>
          <w:lang w:val="lt-LT" w:eastAsia="en-US"/>
        </w:rPr>
        <w:t>2</w:t>
      </w:r>
      <w:r w:rsidRPr="00997273">
        <w:rPr>
          <w:rFonts w:cs="Times New Roman"/>
          <w:sz w:val="22"/>
          <w:szCs w:val="22"/>
          <w:lang w:val="lt-LT" w:eastAsia="en-US"/>
        </w:rPr>
        <w:t xml:space="preserve"> tipo cukriniu diabetu sergančių </w:t>
      </w:r>
      <w:r w:rsidR="008F244A" w:rsidRPr="00997273">
        <w:rPr>
          <w:rFonts w:cs="Times New Roman"/>
          <w:sz w:val="22"/>
          <w:szCs w:val="22"/>
          <w:lang w:val="lt-LT" w:eastAsia="en-US"/>
        </w:rPr>
        <w:t>pacientų</w:t>
      </w:r>
      <w:r w:rsidRPr="00997273">
        <w:rPr>
          <w:rFonts w:cs="Times New Roman"/>
          <w:sz w:val="22"/>
          <w:szCs w:val="22"/>
          <w:lang w:val="lt-LT" w:eastAsia="en-US"/>
        </w:rPr>
        <w:t>, kartotinai vartojančių 1000</w:t>
      </w:r>
      <w:r w:rsidR="009D16CA" w:rsidRPr="00997273">
        <w:rPr>
          <w:rFonts w:cs="Times New Roman"/>
          <w:sz w:val="22"/>
          <w:szCs w:val="22"/>
          <w:lang w:val="lt-LT" w:eastAsia="en-US"/>
        </w:rPr>
        <w:t> </w:t>
      </w:r>
      <w:r w:rsidRPr="00997273">
        <w:rPr>
          <w:rFonts w:cs="Times New Roman"/>
          <w:sz w:val="22"/>
          <w:szCs w:val="22"/>
          <w:lang w:val="lt-LT" w:eastAsia="en-US"/>
        </w:rPr>
        <w:t xml:space="preserve">mg </w:t>
      </w:r>
      <w:proofErr w:type="spellStart"/>
      <w:r w:rsidRPr="00997273">
        <w:rPr>
          <w:rFonts w:cs="Times New Roman"/>
          <w:sz w:val="22"/>
          <w:szCs w:val="22"/>
          <w:lang w:val="lt-LT" w:eastAsia="en-US"/>
        </w:rPr>
        <w:t>metformino</w:t>
      </w:r>
      <w:proofErr w:type="spellEnd"/>
      <w:r w:rsidR="009D16CA" w:rsidRPr="00997273">
        <w:rPr>
          <w:rFonts w:cs="Times New Roman"/>
          <w:sz w:val="22"/>
          <w:szCs w:val="22"/>
          <w:lang w:val="lt-LT" w:eastAsia="en-US"/>
        </w:rPr>
        <w:t xml:space="preserve"> </w:t>
      </w:r>
      <w:r w:rsidRPr="00997273">
        <w:rPr>
          <w:rFonts w:cs="Times New Roman"/>
          <w:sz w:val="22"/>
          <w:szCs w:val="22"/>
          <w:lang w:val="lt-LT" w:eastAsia="en-US"/>
        </w:rPr>
        <w:t>dozę 2 kartus per parą ir kartu 50</w:t>
      </w:r>
      <w:r w:rsidR="009D16CA" w:rsidRPr="00997273">
        <w:rPr>
          <w:rFonts w:cs="Times New Roman"/>
          <w:sz w:val="22"/>
          <w:szCs w:val="22"/>
          <w:lang w:val="lt-LT" w:eastAsia="en-US"/>
        </w:rPr>
        <w:t> </w:t>
      </w:r>
      <w:r w:rsidRPr="00997273">
        <w:rPr>
          <w:rFonts w:cs="Times New Roman"/>
          <w:sz w:val="22"/>
          <w:szCs w:val="22"/>
          <w:lang w:val="lt-LT" w:eastAsia="en-US"/>
        </w:rPr>
        <w:t xml:space="preserve">mg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organizme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farmakokinetika reikšmingai</w:t>
      </w:r>
      <w:r w:rsidR="009D16CA" w:rsidRPr="00997273">
        <w:rPr>
          <w:rFonts w:cs="Times New Roman"/>
          <w:sz w:val="22"/>
          <w:szCs w:val="22"/>
          <w:lang w:val="lt-LT" w:eastAsia="en-US"/>
        </w:rPr>
        <w:t xml:space="preserve"> </w:t>
      </w:r>
      <w:r w:rsidRPr="00997273">
        <w:rPr>
          <w:rFonts w:cs="Times New Roman"/>
          <w:sz w:val="22"/>
          <w:szCs w:val="22"/>
          <w:lang w:val="lt-LT" w:eastAsia="en-US"/>
        </w:rPr>
        <w:t>nekito.</w:t>
      </w:r>
    </w:p>
    <w:p w14:paraId="01BBBA18" w14:textId="77777777" w:rsidR="009D16CA" w:rsidRPr="00997273" w:rsidRDefault="009D16CA" w:rsidP="000F14B1">
      <w:pPr>
        <w:autoSpaceDE w:val="0"/>
        <w:autoSpaceDN w:val="0"/>
        <w:adjustRightInd w:val="0"/>
        <w:rPr>
          <w:rFonts w:eastAsia="TimesNewRoman,Italic" w:cs="Times New Roman"/>
          <w:i/>
          <w:iCs/>
          <w:sz w:val="22"/>
          <w:szCs w:val="22"/>
          <w:lang w:val="lt-LT" w:eastAsia="en-US"/>
        </w:rPr>
      </w:pPr>
    </w:p>
    <w:p w14:paraId="19DEEADC" w14:textId="157E5854" w:rsidR="000F14B1" w:rsidRPr="00997273" w:rsidRDefault="000F14B1" w:rsidP="000F14B1">
      <w:pPr>
        <w:autoSpaceDE w:val="0"/>
        <w:autoSpaceDN w:val="0"/>
        <w:adjustRightInd w:val="0"/>
        <w:rPr>
          <w:rFonts w:cs="Times New Roman"/>
          <w:sz w:val="22"/>
          <w:szCs w:val="22"/>
          <w:lang w:val="lt-LT" w:eastAsia="en-US"/>
        </w:rPr>
      </w:pPr>
      <w:proofErr w:type="spellStart"/>
      <w:r w:rsidRPr="00997273">
        <w:rPr>
          <w:rFonts w:eastAsia="TimesNewRoman,Italic" w:cs="Times New Roman"/>
          <w:i/>
          <w:iCs/>
          <w:sz w:val="22"/>
          <w:szCs w:val="22"/>
          <w:lang w:val="lt-LT" w:eastAsia="en-US"/>
        </w:rPr>
        <w:t>Ciklosporinas</w:t>
      </w:r>
      <w:proofErr w:type="spellEnd"/>
      <w:r w:rsidRPr="00997273">
        <w:rPr>
          <w:rFonts w:eastAsia="TimesNewRoman,Italic" w:cs="Times New Roman"/>
          <w:i/>
          <w:iCs/>
          <w:sz w:val="22"/>
          <w:szCs w:val="22"/>
          <w:lang w:val="lt-LT" w:eastAsia="en-US"/>
        </w:rPr>
        <w:t xml:space="preserve">. </w:t>
      </w:r>
      <w:r w:rsidRPr="00997273">
        <w:rPr>
          <w:rFonts w:cs="Times New Roman"/>
          <w:sz w:val="22"/>
          <w:szCs w:val="22"/>
          <w:lang w:val="lt-LT" w:eastAsia="en-US"/>
        </w:rPr>
        <w:t>Buvo atliktas tyrimas, kurio metu buvo vertin</w:t>
      </w:r>
      <w:r w:rsidR="00143158">
        <w:rPr>
          <w:rFonts w:cs="Times New Roman"/>
          <w:sz w:val="22"/>
          <w:szCs w:val="22"/>
          <w:lang w:val="lt-LT" w:eastAsia="en-US"/>
        </w:rPr>
        <w:t>tas</w:t>
      </w:r>
      <w:r w:rsidRPr="00997273">
        <w:rPr>
          <w:rFonts w:cs="Times New Roman"/>
          <w:sz w:val="22"/>
          <w:szCs w:val="22"/>
          <w:lang w:val="lt-LT" w:eastAsia="en-US"/>
        </w:rPr>
        <w:t xml:space="preserve"> stipraus </w:t>
      </w:r>
      <w:r w:rsidR="00A0249E">
        <w:rPr>
          <w:rFonts w:cs="Times New Roman"/>
          <w:sz w:val="22"/>
          <w:szCs w:val="22"/>
          <w:lang w:val="lt-LT" w:eastAsia="en-US"/>
        </w:rPr>
        <w:t>P</w:t>
      </w:r>
      <w:r w:rsidR="00587060">
        <w:rPr>
          <w:rFonts w:cs="Times New Roman"/>
          <w:sz w:val="22"/>
          <w:szCs w:val="22"/>
          <w:lang w:val="lt-LT" w:eastAsia="en-US"/>
        </w:rPr>
        <w:t>-</w:t>
      </w:r>
      <w:proofErr w:type="spellStart"/>
      <w:r w:rsidRPr="00997273">
        <w:rPr>
          <w:rFonts w:cs="Times New Roman"/>
          <w:sz w:val="22"/>
          <w:szCs w:val="22"/>
          <w:lang w:val="lt-LT" w:eastAsia="en-US"/>
        </w:rPr>
        <w:t>glikoproteino</w:t>
      </w:r>
      <w:proofErr w:type="spellEnd"/>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inhibitoriaus </w:t>
      </w:r>
      <w:proofErr w:type="spellStart"/>
      <w:r w:rsidRPr="00997273">
        <w:rPr>
          <w:rFonts w:cs="Times New Roman"/>
          <w:sz w:val="22"/>
          <w:szCs w:val="22"/>
          <w:lang w:val="lt-LT" w:eastAsia="en-US"/>
        </w:rPr>
        <w:t>ciklosporino</w:t>
      </w:r>
      <w:proofErr w:type="spellEnd"/>
      <w:r w:rsidRPr="00997273">
        <w:rPr>
          <w:rFonts w:cs="Times New Roman"/>
          <w:sz w:val="22"/>
          <w:szCs w:val="22"/>
          <w:lang w:val="lt-LT" w:eastAsia="en-US"/>
        </w:rPr>
        <w:t xml:space="preserve"> poveikis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farmakokinetikai. Išgėrus kartu vieną 100</w:t>
      </w:r>
      <w:r w:rsidR="009D16CA" w:rsidRPr="00997273">
        <w:rPr>
          <w:rFonts w:cs="Times New Roman"/>
          <w:sz w:val="22"/>
          <w:szCs w:val="22"/>
          <w:lang w:val="lt-LT" w:eastAsia="en-US"/>
        </w:rPr>
        <w:t> </w:t>
      </w:r>
      <w:r w:rsidRPr="00997273">
        <w:rPr>
          <w:rFonts w:cs="Times New Roman"/>
          <w:sz w:val="22"/>
          <w:szCs w:val="22"/>
          <w:lang w:val="lt-LT" w:eastAsia="en-US"/>
        </w:rPr>
        <w:t>mg</w:t>
      </w:r>
      <w:r w:rsidR="009D16CA" w:rsidRPr="00997273">
        <w:rPr>
          <w:rFonts w:cs="Times New Roman"/>
          <w:sz w:val="22"/>
          <w:szCs w:val="22"/>
          <w:lang w:val="lt-LT" w:eastAsia="en-US"/>
        </w:rPr>
        <w:t xml:space="preserve">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dozę ir vieną 600</w:t>
      </w:r>
      <w:r w:rsidR="009D16CA" w:rsidRPr="00997273">
        <w:rPr>
          <w:rFonts w:cs="Times New Roman"/>
          <w:sz w:val="22"/>
          <w:szCs w:val="22"/>
          <w:lang w:val="lt-LT" w:eastAsia="en-US"/>
        </w:rPr>
        <w:t> </w:t>
      </w:r>
      <w:r w:rsidRPr="00997273">
        <w:rPr>
          <w:rFonts w:cs="Times New Roman"/>
          <w:sz w:val="22"/>
          <w:szCs w:val="22"/>
          <w:lang w:val="lt-LT" w:eastAsia="en-US"/>
        </w:rPr>
        <w:t xml:space="preserve">mg </w:t>
      </w:r>
      <w:proofErr w:type="spellStart"/>
      <w:r w:rsidRPr="00997273">
        <w:rPr>
          <w:rFonts w:cs="Times New Roman"/>
          <w:sz w:val="22"/>
          <w:szCs w:val="22"/>
          <w:lang w:val="lt-LT" w:eastAsia="en-US"/>
        </w:rPr>
        <w:t>ciklosporino</w:t>
      </w:r>
      <w:proofErr w:type="spellEnd"/>
      <w:r w:rsidRPr="00997273">
        <w:rPr>
          <w:rFonts w:cs="Times New Roman"/>
          <w:sz w:val="22"/>
          <w:szCs w:val="22"/>
          <w:lang w:val="lt-LT" w:eastAsia="en-US"/>
        </w:rPr>
        <w:t xml:space="preserve"> dozę,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plotas po </w:t>
      </w:r>
      <w:r w:rsidR="00A0249E">
        <w:rPr>
          <w:rFonts w:cs="Times New Roman"/>
          <w:sz w:val="22"/>
          <w:szCs w:val="22"/>
          <w:lang w:val="lt-LT" w:eastAsia="en-US"/>
        </w:rPr>
        <w:t xml:space="preserve">kreive </w:t>
      </w:r>
      <w:r w:rsidR="00A0249E" w:rsidRPr="00A0249E">
        <w:rPr>
          <w:rFonts w:cs="Times New Roman"/>
          <w:sz w:val="22"/>
          <w:szCs w:val="22"/>
          <w:lang w:val="lt-LT" w:eastAsia="en-US"/>
        </w:rPr>
        <w:t>(</w:t>
      </w:r>
      <w:r w:rsidR="00A0249E" w:rsidRPr="00A0249E">
        <w:rPr>
          <w:rStyle w:val="acopre"/>
          <w:sz w:val="22"/>
          <w:szCs w:val="22"/>
        </w:rPr>
        <w:t xml:space="preserve">angl. </w:t>
      </w:r>
      <w:r w:rsidR="00A0249E" w:rsidRPr="00A45AAA">
        <w:rPr>
          <w:rStyle w:val="acopre"/>
          <w:i/>
          <w:sz w:val="22"/>
          <w:szCs w:val="22"/>
        </w:rPr>
        <w:t xml:space="preserve">area under the curve, </w:t>
      </w:r>
      <w:r w:rsidR="00A0249E" w:rsidRPr="00A45AAA">
        <w:rPr>
          <w:rStyle w:val="Emfaz"/>
          <w:sz w:val="22"/>
          <w:szCs w:val="22"/>
        </w:rPr>
        <w:t>AUC</w:t>
      </w:r>
      <w:r w:rsidR="00A0249E" w:rsidRPr="00A0249E">
        <w:rPr>
          <w:rStyle w:val="Emfaz"/>
          <w:sz w:val="22"/>
          <w:szCs w:val="22"/>
        </w:rPr>
        <w:t>)</w:t>
      </w:r>
      <w:r w:rsidR="00A0249E" w:rsidRPr="00997273">
        <w:rPr>
          <w:rFonts w:cs="Times New Roman"/>
          <w:sz w:val="22"/>
          <w:szCs w:val="22"/>
          <w:lang w:val="lt-LT" w:eastAsia="en-US"/>
        </w:rPr>
        <w:t xml:space="preserve"> </w:t>
      </w:r>
      <w:r w:rsidRPr="00997273">
        <w:rPr>
          <w:rFonts w:cs="Times New Roman"/>
          <w:sz w:val="22"/>
          <w:szCs w:val="22"/>
          <w:lang w:val="lt-LT" w:eastAsia="en-US"/>
        </w:rPr>
        <w:t>kraujo</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plazmoje ir didžiausia koncentracija kraujo </w:t>
      </w:r>
      <w:r w:rsidRPr="00A45AAA">
        <w:rPr>
          <w:rFonts w:cs="Times New Roman"/>
          <w:sz w:val="22"/>
          <w:szCs w:val="22"/>
          <w:lang w:val="lt-LT" w:eastAsia="en-US"/>
        </w:rPr>
        <w:t xml:space="preserve">plazmoje (angl. </w:t>
      </w:r>
      <w:proofErr w:type="spellStart"/>
      <w:r w:rsidRPr="00A45AAA">
        <w:rPr>
          <w:rFonts w:cs="Times New Roman"/>
          <w:sz w:val="22"/>
          <w:szCs w:val="22"/>
          <w:lang w:val="lt-LT" w:eastAsia="en-US"/>
        </w:rPr>
        <w:t>C</w:t>
      </w:r>
      <w:r w:rsidRPr="00A45AAA">
        <w:rPr>
          <w:rFonts w:cs="Times New Roman"/>
          <w:sz w:val="22"/>
          <w:szCs w:val="22"/>
          <w:vertAlign w:val="subscript"/>
          <w:lang w:val="lt-LT" w:eastAsia="en-US"/>
        </w:rPr>
        <w:t>max</w:t>
      </w:r>
      <w:proofErr w:type="spellEnd"/>
      <w:r w:rsidRPr="00A45AAA">
        <w:rPr>
          <w:rFonts w:cs="Times New Roman"/>
          <w:sz w:val="22"/>
          <w:szCs w:val="22"/>
          <w:lang w:val="lt-LT" w:eastAsia="en-US"/>
        </w:rPr>
        <w:t>)</w:t>
      </w:r>
      <w:r w:rsidR="009D16CA" w:rsidRPr="00A45AAA">
        <w:rPr>
          <w:rFonts w:cs="Times New Roman"/>
          <w:sz w:val="22"/>
          <w:szCs w:val="22"/>
          <w:lang w:val="lt-LT" w:eastAsia="en-US"/>
        </w:rPr>
        <w:t xml:space="preserve"> </w:t>
      </w:r>
      <w:r w:rsidRPr="00A45AAA">
        <w:rPr>
          <w:rFonts w:cs="Times New Roman"/>
          <w:sz w:val="22"/>
          <w:szCs w:val="22"/>
          <w:lang w:val="lt-LT" w:eastAsia="en-US"/>
        </w:rPr>
        <w:t>padidėjo atitinkamai apie 29</w:t>
      </w:r>
      <w:r w:rsidR="004C0789" w:rsidRPr="00A45AAA">
        <w:rPr>
          <w:rFonts w:cs="Times New Roman"/>
          <w:sz w:val="22"/>
          <w:szCs w:val="22"/>
          <w:lang w:val="lt-LT" w:eastAsia="en-US"/>
        </w:rPr>
        <w:t> </w:t>
      </w:r>
      <w:r w:rsidRPr="00A45AAA">
        <w:rPr>
          <w:rFonts w:cs="Times New Roman"/>
          <w:sz w:val="22"/>
          <w:szCs w:val="22"/>
          <w:lang w:val="lt-LT" w:eastAsia="en-US"/>
        </w:rPr>
        <w:t>% ir 68</w:t>
      </w:r>
      <w:r w:rsidR="004C0789" w:rsidRPr="00A45AAA">
        <w:rPr>
          <w:rFonts w:cs="Times New Roman"/>
          <w:sz w:val="22"/>
          <w:szCs w:val="22"/>
          <w:lang w:val="lt-LT" w:eastAsia="en-US"/>
        </w:rPr>
        <w:t> </w:t>
      </w:r>
      <w:r w:rsidRPr="00A45AAA">
        <w:rPr>
          <w:rFonts w:cs="Times New Roman"/>
          <w:sz w:val="22"/>
          <w:szCs w:val="22"/>
          <w:lang w:val="lt-LT" w:eastAsia="en-US"/>
        </w:rPr>
        <w:t xml:space="preserve">%. Šie </w:t>
      </w:r>
      <w:proofErr w:type="spellStart"/>
      <w:r w:rsidRPr="00A45AAA">
        <w:rPr>
          <w:rFonts w:cs="Times New Roman"/>
          <w:sz w:val="22"/>
          <w:szCs w:val="22"/>
          <w:lang w:val="lt-LT" w:eastAsia="en-US"/>
        </w:rPr>
        <w:t>sitagliptino</w:t>
      </w:r>
      <w:proofErr w:type="spellEnd"/>
      <w:r w:rsidRPr="00A45AAA">
        <w:rPr>
          <w:rFonts w:cs="Times New Roman"/>
          <w:sz w:val="22"/>
          <w:szCs w:val="22"/>
          <w:lang w:val="lt-LT" w:eastAsia="en-US"/>
        </w:rPr>
        <w:t xml:space="preserve"> farmakokinetikos pokyčiai nebuvo laikomi</w:t>
      </w:r>
      <w:r w:rsidR="009D16CA" w:rsidRPr="00A45AAA">
        <w:rPr>
          <w:rFonts w:cs="Times New Roman"/>
          <w:sz w:val="22"/>
          <w:szCs w:val="22"/>
          <w:lang w:val="lt-LT" w:eastAsia="en-US"/>
        </w:rPr>
        <w:t xml:space="preserve"> </w:t>
      </w:r>
      <w:r w:rsidRPr="00A45AAA">
        <w:rPr>
          <w:rFonts w:cs="Times New Roman"/>
          <w:sz w:val="22"/>
          <w:szCs w:val="22"/>
          <w:lang w:val="lt-LT" w:eastAsia="en-US"/>
        </w:rPr>
        <w:t>klini</w:t>
      </w:r>
      <w:r w:rsidR="004C0789" w:rsidRPr="00A45AAA">
        <w:rPr>
          <w:rFonts w:cs="Times New Roman"/>
          <w:sz w:val="22"/>
          <w:szCs w:val="22"/>
          <w:lang w:val="lt-LT" w:eastAsia="en-US"/>
        </w:rPr>
        <w:t>škai</w:t>
      </w:r>
      <w:r w:rsidRPr="00A45AAA">
        <w:rPr>
          <w:rFonts w:cs="Times New Roman"/>
          <w:sz w:val="22"/>
          <w:szCs w:val="22"/>
          <w:lang w:val="lt-LT" w:eastAsia="en-US"/>
        </w:rPr>
        <w:t xml:space="preserve"> reikšmingais. </w:t>
      </w:r>
      <w:proofErr w:type="spellStart"/>
      <w:r w:rsidRPr="00A45AAA">
        <w:rPr>
          <w:rFonts w:cs="Times New Roman"/>
          <w:sz w:val="22"/>
          <w:szCs w:val="22"/>
          <w:lang w:val="lt-LT" w:eastAsia="en-US"/>
        </w:rPr>
        <w:t>Sitagliptino</w:t>
      </w:r>
      <w:proofErr w:type="spellEnd"/>
      <w:r w:rsidRPr="00A45AAA">
        <w:rPr>
          <w:rFonts w:cs="Times New Roman"/>
          <w:sz w:val="22"/>
          <w:szCs w:val="22"/>
          <w:lang w:val="lt-LT" w:eastAsia="en-US"/>
        </w:rPr>
        <w:t xml:space="preserve"> </w:t>
      </w:r>
      <w:r w:rsidR="00D43BBA">
        <w:rPr>
          <w:rFonts w:cs="Times New Roman"/>
          <w:sz w:val="22"/>
          <w:szCs w:val="22"/>
          <w:lang w:val="lt-LT" w:eastAsia="en-US"/>
        </w:rPr>
        <w:t>šalinimas per inkstus</w:t>
      </w:r>
      <w:r w:rsidRPr="00A45AAA">
        <w:rPr>
          <w:rFonts w:cs="Times New Roman"/>
          <w:sz w:val="22"/>
          <w:szCs w:val="22"/>
          <w:lang w:val="lt-LT" w:eastAsia="en-US"/>
        </w:rPr>
        <w:t xml:space="preserve"> reikšmingai nekito</w:t>
      </w:r>
      <w:r w:rsidR="008F244A" w:rsidRPr="00A45AAA">
        <w:rPr>
          <w:rFonts w:cs="Times New Roman"/>
          <w:sz w:val="22"/>
          <w:szCs w:val="22"/>
          <w:lang w:val="lt-LT" w:eastAsia="en-US"/>
        </w:rPr>
        <w:t>. T</w:t>
      </w:r>
      <w:r w:rsidR="004C44E5" w:rsidRPr="00A45AAA">
        <w:rPr>
          <w:rFonts w:cs="Times New Roman"/>
          <w:sz w:val="22"/>
          <w:szCs w:val="22"/>
          <w:lang w:val="lt-LT" w:eastAsia="en-US"/>
        </w:rPr>
        <w:t>aigi,</w:t>
      </w:r>
      <w:r w:rsidRPr="00A45AAA">
        <w:rPr>
          <w:rFonts w:cs="Times New Roman"/>
          <w:sz w:val="22"/>
          <w:szCs w:val="22"/>
          <w:lang w:val="lt-LT" w:eastAsia="en-US"/>
        </w:rPr>
        <w:t xml:space="preserve"> reikšmingos sąveikos</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su kitais </w:t>
      </w:r>
      <w:r w:rsidR="00007CC5">
        <w:rPr>
          <w:rFonts w:cs="Times New Roman"/>
          <w:sz w:val="22"/>
          <w:szCs w:val="22"/>
          <w:lang w:val="lt-LT" w:eastAsia="en-US"/>
        </w:rPr>
        <w:t>P</w:t>
      </w:r>
      <w:r w:rsidR="00587060">
        <w:rPr>
          <w:rFonts w:cs="Times New Roman"/>
          <w:sz w:val="22"/>
          <w:szCs w:val="22"/>
          <w:lang w:val="lt-LT" w:eastAsia="en-US"/>
        </w:rPr>
        <w:t>-</w:t>
      </w:r>
      <w:proofErr w:type="spellStart"/>
      <w:r w:rsidRPr="00997273">
        <w:rPr>
          <w:rFonts w:cs="Times New Roman"/>
          <w:sz w:val="22"/>
          <w:szCs w:val="22"/>
          <w:lang w:val="lt-LT" w:eastAsia="en-US"/>
        </w:rPr>
        <w:t>glikoproteino</w:t>
      </w:r>
      <w:proofErr w:type="spellEnd"/>
      <w:r w:rsidRPr="00997273">
        <w:rPr>
          <w:rFonts w:cs="Times New Roman"/>
          <w:sz w:val="22"/>
          <w:szCs w:val="22"/>
          <w:lang w:val="lt-LT" w:eastAsia="en-US"/>
        </w:rPr>
        <w:t xml:space="preserve"> inhibitoriais </w:t>
      </w:r>
      <w:r w:rsidR="00007CC5">
        <w:rPr>
          <w:rFonts w:cs="Times New Roman"/>
          <w:sz w:val="22"/>
          <w:szCs w:val="22"/>
          <w:lang w:val="lt-LT" w:eastAsia="en-US"/>
        </w:rPr>
        <w:t>nesitikima</w:t>
      </w:r>
      <w:r w:rsidRPr="00997273">
        <w:rPr>
          <w:rFonts w:cs="Times New Roman"/>
          <w:sz w:val="22"/>
          <w:szCs w:val="22"/>
          <w:lang w:val="lt-LT" w:eastAsia="en-US"/>
        </w:rPr>
        <w:t>.</w:t>
      </w:r>
    </w:p>
    <w:p w14:paraId="17E4BFFC" w14:textId="77777777" w:rsidR="009D16CA" w:rsidRPr="00997273" w:rsidRDefault="009D16CA" w:rsidP="000F14B1">
      <w:pPr>
        <w:autoSpaceDE w:val="0"/>
        <w:autoSpaceDN w:val="0"/>
        <w:adjustRightInd w:val="0"/>
        <w:rPr>
          <w:rFonts w:cs="Times New Roman"/>
          <w:sz w:val="22"/>
          <w:szCs w:val="22"/>
          <w:lang w:val="lt-LT" w:eastAsia="en-US"/>
        </w:rPr>
      </w:pPr>
    </w:p>
    <w:p w14:paraId="3DA5EAA8" w14:textId="77777777" w:rsidR="000F14B1" w:rsidRPr="00587060" w:rsidRDefault="000F14B1" w:rsidP="000F14B1">
      <w:pPr>
        <w:autoSpaceDE w:val="0"/>
        <w:autoSpaceDN w:val="0"/>
        <w:adjustRightInd w:val="0"/>
        <w:rPr>
          <w:rFonts w:cs="Times New Roman"/>
          <w:iCs/>
          <w:sz w:val="22"/>
          <w:szCs w:val="22"/>
          <w:u w:val="single"/>
          <w:lang w:val="lt-LT" w:eastAsia="en-US"/>
        </w:rPr>
      </w:pPr>
      <w:proofErr w:type="spellStart"/>
      <w:r w:rsidRPr="00587060">
        <w:rPr>
          <w:rFonts w:cs="Times New Roman"/>
          <w:iCs/>
          <w:sz w:val="22"/>
          <w:szCs w:val="22"/>
          <w:u w:val="single"/>
          <w:lang w:val="lt-LT" w:eastAsia="en-US"/>
        </w:rPr>
        <w:t>Sitagliptino</w:t>
      </w:r>
      <w:proofErr w:type="spellEnd"/>
      <w:r w:rsidRPr="00587060">
        <w:rPr>
          <w:rFonts w:cs="Times New Roman"/>
          <w:iCs/>
          <w:sz w:val="22"/>
          <w:szCs w:val="22"/>
          <w:u w:val="single"/>
          <w:lang w:val="lt-LT" w:eastAsia="en-US"/>
        </w:rPr>
        <w:t xml:space="preserve"> poveikis kitiems vaistiniams preparatams</w:t>
      </w:r>
    </w:p>
    <w:p w14:paraId="21280D25" w14:textId="24E810D7" w:rsidR="000F14B1" w:rsidRPr="00997273" w:rsidRDefault="000F14B1" w:rsidP="000F14B1">
      <w:pPr>
        <w:autoSpaceDE w:val="0"/>
        <w:autoSpaceDN w:val="0"/>
        <w:adjustRightInd w:val="0"/>
        <w:rPr>
          <w:rFonts w:cs="Times New Roman"/>
          <w:sz w:val="22"/>
          <w:szCs w:val="22"/>
          <w:lang w:val="lt-LT" w:eastAsia="en-US"/>
        </w:rPr>
      </w:pPr>
      <w:proofErr w:type="spellStart"/>
      <w:r w:rsidRPr="00997273">
        <w:rPr>
          <w:rFonts w:eastAsia="TimesNewRoman,Italic" w:cs="Times New Roman"/>
          <w:i/>
          <w:iCs/>
          <w:sz w:val="22"/>
          <w:szCs w:val="22"/>
          <w:lang w:val="lt-LT" w:eastAsia="en-US"/>
        </w:rPr>
        <w:t>Digoksinas</w:t>
      </w:r>
      <w:proofErr w:type="spellEnd"/>
      <w:r w:rsidRPr="00997273">
        <w:rPr>
          <w:rFonts w:eastAsia="TimesNewRoman,Italic" w:cs="Times New Roman"/>
          <w:i/>
          <w:iCs/>
          <w:sz w:val="22"/>
          <w:szCs w:val="22"/>
          <w:lang w:val="lt-LT" w:eastAsia="en-US"/>
        </w:rPr>
        <w:t xml:space="preserve">. </w:t>
      </w:r>
      <w:proofErr w:type="spellStart"/>
      <w:r w:rsidRPr="00997273">
        <w:rPr>
          <w:rFonts w:cs="Times New Roman"/>
          <w:sz w:val="22"/>
          <w:szCs w:val="22"/>
          <w:lang w:val="lt-LT" w:eastAsia="en-US"/>
        </w:rPr>
        <w:t>Sitagliptinas</w:t>
      </w:r>
      <w:proofErr w:type="spellEnd"/>
      <w:r w:rsidRPr="00997273">
        <w:rPr>
          <w:rFonts w:cs="Times New Roman"/>
          <w:sz w:val="22"/>
          <w:szCs w:val="22"/>
          <w:lang w:val="lt-LT" w:eastAsia="en-US"/>
        </w:rPr>
        <w:t xml:space="preserve"> šiek tiek paveikė </w:t>
      </w:r>
      <w:proofErr w:type="spellStart"/>
      <w:r w:rsidRPr="00997273">
        <w:rPr>
          <w:rFonts w:cs="Times New Roman"/>
          <w:sz w:val="22"/>
          <w:szCs w:val="22"/>
          <w:lang w:val="lt-LT" w:eastAsia="en-US"/>
        </w:rPr>
        <w:t>digoksino</w:t>
      </w:r>
      <w:proofErr w:type="spellEnd"/>
      <w:r w:rsidRPr="00997273">
        <w:rPr>
          <w:rFonts w:cs="Times New Roman"/>
          <w:sz w:val="22"/>
          <w:szCs w:val="22"/>
          <w:lang w:val="lt-LT" w:eastAsia="en-US"/>
        </w:rPr>
        <w:t xml:space="preserve"> koncentraciją plazmoje. 10 dienų kasdien</w:t>
      </w:r>
      <w:r w:rsidR="009D16CA" w:rsidRPr="00997273">
        <w:rPr>
          <w:rFonts w:cs="Times New Roman"/>
          <w:sz w:val="22"/>
          <w:szCs w:val="22"/>
          <w:lang w:val="lt-LT" w:eastAsia="en-US"/>
        </w:rPr>
        <w:t xml:space="preserve"> </w:t>
      </w:r>
      <w:r w:rsidRPr="00997273">
        <w:rPr>
          <w:rFonts w:cs="Times New Roman"/>
          <w:sz w:val="22"/>
          <w:szCs w:val="22"/>
          <w:lang w:val="lt-LT" w:eastAsia="en-US"/>
        </w:rPr>
        <w:t>vartojus po 0,25</w:t>
      </w:r>
      <w:r w:rsidR="009D16CA" w:rsidRPr="00997273">
        <w:rPr>
          <w:rFonts w:cs="Times New Roman"/>
          <w:sz w:val="22"/>
          <w:szCs w:val="22"/>
          <w:lang w:val="lt-LT" w:eastAsia="en-US"/>
        </w:rPr>
        <w:t> </w:t>
      </w:r>
      <w:r w:rsidRPr="00997273">
        <w:rPr>
          <w:rFonts w:cs="Times New Roman"/>
          <w:sz w:val="22"/>
          <w:szCs w:val="22"/>
          <w:lang w:val="lt-LT" w:eastAsia="en-US"/>
        </w:rPr>
        <w:t xml:space="preserve">mg </w:t>
      </w:r>
      <w:proofErr w:type="spellStart"/>
      <w:r w:rsidRPr="00997273">
        <w:rPr>
          <w:rFonts w:cs="Times New Roman"/>
          <w:sz w:val="22"/>
          <w:szCs w:val="22"/>
          <w:lang w:val="lt-LT" w:eastAsia="en-US"/>
        </w:rPr>
        <w:t>digoksino</w:t>
      </w:r>
      <w:proofErr w:type="spellEnd"/>
      <w:r w:rsidRPr="00997273">
        <w:rPr>
          <w:rFonts w:cs="Times New Roman"/>
          <w:sz w:val="22"/>
          <w:szCs w:val="22"/>
          <w:lang w:val="lt-LT" w:eastAsia="en-US"/>
        </w:rPr>
        <w:t xml:space="preserve"> kartu su 100</w:t>
      </w:r>
      <w:r w:rsidR="009D16CA" w:rsidRPr="00997273">
        <w:rPr>
          <w:rFonts w:cs="Times New Roman"/>
          <w:sz w:val="22"/>
          <w:szCs w:val="22"/>
          <w:lang w:val="lt-LT" w:eastAsia="en-US"/>
        </w:rPr>
        <w:t> </w:t>
      </w:r>
      <w:r w:rsidRPr="00997273">
        <w:rPr>
          <w:rFonts w:cs="Times New Roman"/>
          <w:sz w:val="22"/>
          <w:szCs w:val="22"/>
          <w:lang w:val="lt-LT" w:eastAsia="en-US"/>
        </w:rPr>
        <w:t xml:space="preserve">mg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digoksino</w:t>
      </w:r>
      <w:proofErr w:type="spellEnd"/>
      <w:r w:rsidRPr="00997273">
        <w:rPr>
          <w:rFonts w:cs="Times New Roman"/>
          <w:sz w:val="22"/>
          <w:szCs w:val="22"/>
          <w:lang w:val="lt-LT" w:eastAsia="en-US"/>
        </w:rPr>
        <w:t xml:space="preserve"> </w:t>
      </w:r>
      <w:r w:rsidR="00FD1FFD">
        <w:rPr>
          <w:rFonts w:cs="Times New Roman"/>
          <w:sz w:val="22"/>
          <w:szCs w:val="22"/>
          <w:lang w:val="lt-LT" w:eastAsia="en-US"/>
        </w:rPr>
        <w:t>AUC</w:t>
      </w:r>
      <w:r w:rsidRPr="00997273">
        <w:rPr>
          <w:rFonts w:cs="Times New Roman"/>
          <w:sz w:val="22"/>
          <w:szCs w:val="22"/>
          <w:lang w:val="lt-LT" w:eastAsia="en-US"/>
        </w:rPr>
        <w:t xml:space="preserve"> padidėjo vidutiniškai</w:t>
      </w:r>
      <w:r w:rsidR="009D16CA" w:rsidRPr="00997273">
        <w:rPr>
          <w:rFonts w:cs="Times New Roman"/>
          <w:sz w:val="22"/>
          <w:szCs w:val="22"/>
          <w:lang w:val="lt-LT" w:eastAsia="en-US"/>
        </w:rPr>
        <w:t xml:space="preserve"> </w:t>
      </w:r>
      <w:r w:rsidRPr="00997273">
        <w:rPr>
          <w:rFonts w:cs="Times New Roman"/>
          <w:sz w:val="22"/>
          <w:szCs w:val="22"/>
          <w:lang w:val="lt-LT" w:eastAsia="en-US"/>
        </w:rPr>
        <w:t>11</w:t>
      </w:r>
      <w:r w:rsidR="009D16CA" w:rsidRPr="00997273">
        <w:rPr>
          <w:rFonts w:cs="Times New Roman"/>
          <w:sz w:val="22"/>
          <w:szCs w:val="22"/>
          <w:lang w:val="lt-LT" w:eastAsia="en-US"/>
        </w:rPr>
        <w:t> </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C</w:t>
      </w:r>
      <w:r w:rsidRPr="00FD1FFD">
        <w:rPr>
          <w:rFonts w:cs="Times New Roman"/>
          <w:sz w:val="22"/>
          <w:szCs w:val="22"/>
          <w:vertAlign w:val="subscript"/>
          <w:lang w:val="lt-LT" w:eastAsia="en-US"/>
        </w:rPr>
        <w:t>max</w:t>
      </w:r>
      <w:proofErr w:type="spellEnd"/>
      <w:r w:rsidRPr="00997273">
        <w:rPr>
          <w:rFonts w:cs="Times New Roman"/>
          <w:sz w:val="22"/>
          <w:szCs w:val="22"/>
          <w:lang w:val="lt-LT" w:eastAsia="en-US"/>
        </w:rPr>
        <w:t xml:space="preserve"> – vidutiniškai 18</w:t>
      </w:r>
      <w:r w:rsidR="00177DFE" w:rsidRPr="00997273">
        <w:rPr>
          <w:rFonts w:cs="Times New Roman"/>
          <w:sz w:val="22"/>
          <w:szCs w:val="22"/>
          <w:lang w:val="lt-LT" w:eastAsia="en-US"/>
        </w:rPr>
        <w:t> </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Digoksino</w:t>
      </w:r>
      <w:proofErr w:type="spellEnd"/>
      <w:r w:rsidRPr="00997273">
        <w:rPr>
          <w:rFonts w:cs="Times New Roman"/>
          <w:sz w:val="22"/>
          <w:szCs w:val="22"/>
          <w:lang w:val="lt-LT" w:eastAsia="en-US"/>
        </w:rPr>
        <w:t xml:space="preserve"> dozės keisti nerekomenduojama. Vis dėlto</w:t>
      </w:r>
      <w:r w:rsidR="005A4ED9">
        <w:rPr>
          <w:rFonts w:cs="Times New Roman"/>
          <w:sz w:val="22"/>
          <w:szCs w:val="22"/>
          <w:lang w:val="lt-LT" w:eastAsia="en-US"/>
        </w:rPr>
        <w:t>,</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ir</w:t>
      </w:r>
      <w:r w:rsidR="009D16CA" w:rsidRPr="00997273">
        <w:rPr>
          <w:rFonts w:cs="Times New Roman"/>
          <w:sz w:val="22"/>
          <w:szCs w:val="22"/>
          <w:lang w:val="lt-LT" w:eastAsia="en-US"/>
        </w:rPr>
        <w:t xml:space="preserve"> </w:t>
      </w:r>
      <w:proofErr w:type="spellStart"/>
      <w:r w:rsidRPr="00997273">
        <w:rPr>
          <w:rFonts w:cs="Times New Roman"/>
          <w:sz w:val="22"/>
          <w:szCs w:val="22"/>
          <w:lang w:val="lt-LT" w:eastAsia="en-US"/>
        </w:rPr>
        <w:t>digoksino</w:t>
      </w:r>
      <w:proofErr w:type="spellEnd"/>
      <w:r w:rsidRPr="00997273">
        <w:rPr>
          <w:rFonts w:cs="Times New Roman"/>
          <w:sz w:val="22"/>
          <w:szCs w:val="22"/>
          <w:lang w:val="lt-LT" w:eastAsia="en-US"/>
        </w:rPr>
        <w:t xml:space="preserve"> deriniu gydomus pacientus, kuriems yra </w:t>
      </w:r>
      <w:proofErr w:type="spellStart"/>
      <w:r w:rsidRPr="00997273">
        <w:rPr>
          <w:rFonts w:cs="Times New Roman"/>
          <w:sz w:val="22"/>
          <w:szCs w:val="22"/>
          <w:lang w:val="lt-LT" w:eastAsia="en-US"/>
        </w:rPr>
        <w:t>digoksino</w:t>
      </w:r>
      <w:proofErr w:type="spellEnd"/>
      <w:r w:rsidRPr="00997273">
        <w:rPr>
          <w:rFonts w:cs="Times New Roman"/>
          <w:sz w:val="22"/>
          <w:szCs w:val="22"/>
          <w:lang w:val="lt-LT" w:eastAsia="en-US"/>
        </w:rPr>
        <w:t xml:space="preserve"> toksinio poveikio rizika, dėl šios</w:t>
      </w:r>
      <w:r w:rsidR="009D16CA" w:rsidRPr="00997273">
        <w:rPr>
          <w:rFonts w:cs="Times New Roman"/>
          <w:sz w:val="22"/>
          <w:szCs w:val="22"/>
          <w:lang w:val="lt-LT" w:eastAsia="en-US"/>
        </w:rPr>
        <w:t xml:space="preserve"> </w:t>
      </w:r>
      <w:r w:rsidRPr="00997273">
        <w:rPr>
          <w:rFonts w:cs="Times New Roman"/>
          <w:sz w:val="22"/>
          <w:szCs w:val="22"/>
          <w:lang w:val="lt-LT" w:eastAsia="en-US"/>
        </w:rPr>
        <w:t>sąveikos reikia stebėti.</w:t>
      </w:r>
    </w:p>
    <w:p w14:paraId="188CFD51" w14:textId="77777777" w:rsidR="008F244A" w:rsidRPr="00997273" w:rsidRDefault="008F244A" w:rsidP="000F14B1">
      <w:pPr>
        <w:autoSpaceDE w:val="0"/>
        <w:autoSpaceDN w:val="0"/>
        <w:adjustRightInd w:val="0"/>
        <w:rPr>
          <w:rFonts w:cs="Times New Roman"/>
          <w:sz w:val="22"/>
          <w:szCs w:val="22"/>
          <w:lang w:val="lt-LT" w:eastAsia="en-US"/>
        </w:rPr>
      </w:pPr>
    </w:p>
    <w:p w14:paraId="73DEBABB" w14:textId="0E441DCF" w:rsidR="000F14B1" w:rsidRPr="00997273" w:rsidRDefault="000F14B1" w:rsidP="000F14B1">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Tyrimų </w:t>
      </w:r>
      <w:proofErr w:type="spellStart"/>
      <w:r w:rsidRPr="00997273">
        <w:rPr>
          <w:rFonts w:eastAsia="TimesNewRoman,Italic" w:cs="Times New Roman"/>
          <w:i/>
          <w:iCs/>
          <w:sz w:val="22"/>
          <w:szCs w:val="22"/>
          <w:lang w:val="lt-LT" w:eastAsia="en-US"/>
        </w:rPr>
        <w:t>in</w:t>
      </w:r>
      <w:proofErr w:type="spellEnd"/>
      <w:r w:rsidR="00A95980">
        <w:rPr>
          <w:rFonts w:eastAsia="TimesNewRoman,Italic" w:cs="Times New Roman"/>
          <w:i/>
          <w:iCs/>
          <w:sz w:val="22"/>
          <w:szCs w:val="22"/>
          <w:lang w:val="lt-LT" w:eastAsia="en-US"/>
        </w:rPr>
        <w:t> </w:t>
      </w:r>
      <w:proofErr w:type="spellStart"/>
      <w:r w:rsidRPr="00997273">
        <w:rPr>
          <w:rFonts w:eastAsia="TimesNewRoman,Italic" w:cs="Times New Roman"/>
          <w:i/>
          <w:iCs/>
          <w:sz w:val="22"/>
          <w:szCs w:val="22"/>
          <w:lang w:val="lt-LT" w:eastAsia="en-US"/>
        </w:rPr>
        <w:t>vitro</w:t>
      </w:r>
      <w:proofErr w:type="spellEnd"/>
      <w:r w:rsidRPr="00997273">
        <w:rPr>
          <w:rFonts w:eastAsia="TimesNewRoman,Italic" w:cs="Times New Roman"/>
          <w:i/>
          <w:iCs/>
          <w:sz w:val="22"/>
          <w:szCs w:val="22"/>
          <w:lang w:val="lt-LT" w:eastAsia="en-US"/>
        </w:rPr>
        <w:t xml:space="preserve"> </w:t>
      </w:r>
      <w:r w:rsidRPr="00997273">
        <w:rPr>
          <w:rFonts w:cs="Times New Roman"/>
          <w:sz w:val="22"/>
          <w:szCs w:val="22"/>
          <w:lang w:val="lt-LT" w:eastAsia="en-US"/>
        </w:rPr>
        <w:t>d</w:t>
      </w:r>
      <w:r w:rsidR="00570186">
        <w:rPr>
          <w:rFonts w:cs="Times New Roman"/>
          <w:sz w:val="22"/>
          <w:szCs w:val="22"/>
          <w:lang w:val="lt-LT" w:eastAsia="en-US"/>
        </w:rPr>
        <w:t>u</w:t>
      </w:r>
      <w:r w:rsidRPr="00997273">
        <w:rPr>
          <w:rFonts w:cs="Times New Roman"/>
          <w:sz w:val="22"/>
          <w:szCs w:val="22"/>
          <w:lang w:val="lt-LT" w:eastAsia="en-US"/>
        </w:rPr>
        <w:t xml:space="preserve">omenys rodo, kad </w:t>
      </w:r>
      <w:proofErr w:type="spellStart"/>
      <w:r w:rsidRPr="00997273">
        <w:rPr>
          <w:rFonts w:cs="Times New Roman"/>
          <w:sz w:val="22"/>
          <w:szCs w:val="22"/>
          <w:lang w:val="lt-LT" w:eastAsia="en-US"/>
        </w:rPr>
        <w:t>sitagliptinas</w:t>
      </w:r>
      <w:proofErr w:type="spellEnd"/>
      <w:r w:rsidRPr="00997273">
        <w:rPr>
          <w:rFonts w:cs="Times New Roman"/>
          <w:sz w:val="22"/>
          <w:szCs w:val="22"/>
          <w:lang w:val="lt-LT" w:eastAsia="en-US"/>
        </w:rPr>
        <w:t xml:space="preserve"> CYP450 </w:t>
      </w:r>
      <w:proofErr w:type="spellStart"/>
      <w:r w:rsidRPr="00997273">
        <w:rPr>
          <w:rFonts w:cs="Times New Roman"/>
          <w:sz w:val="22"/>
          <w:szCs w:val="22"/>
          <w:lang w:val="lt-LT" w:eastAsia="en-US"/>
        </w:rPr>
        <w:t>izofermentų</w:t>
      </w:r>
      <w:proofErr w:type="spellEnd"/>
      <w:r w:rsidRPr="00997273">
        <w:rPr>
          <w:rFonts w:cs="Times New Roman"/>
          <w:sz w:val="22"/>
          <w:szCs w:val="22"/>
          <w:lang w:val="lt-LT" w:eastAsia="en-US"/>
        </w:rPr>
        <w:t xml:space="preserve"> neslopina ir neindukuoja.</w:t>
      </w:r>
    </w:p>
    <w:p w14:paraId="42AE7B83" w14:textId="1028347D" w:rsidR="000F14B1" w:rsidRPr="00997273" w:rsidRDefault="000F14B1" w:rsidP="009D16CA">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Klinikinių tyrimų metu </w:t>
      </w:r>
      <w:proofErr w:type="spellStart"/>
      <w:r w:rsidRPr="00997273">
        <w:rPr>
          <w:rFonts w:cs="Times New Roman"/>
          <w:sz w:val="22"/>
          <w:szCs w:val="22"/>
          <w:lang w:val="lt-LT" w:eastAsia="en-US"/>
        </w:rPr>
        <w:t>sitagliptinas</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metformino</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gliburido</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simvastatino</w:t>
      </w:r>
      <w:proofErr w:type="spellEnd"/>
      <w:r w:rsidR="00B85FD3" w:rsidRPr="00997273">
        <w:rPr>
          <w:rFonts w:cs="Times New Roman"/>
          <w:sz w:val="22"/>
          <w:szCs w:val="22"/>
          <w:lang w:val="lt-LT" w:eastAsia="en-US"/>
        </w:rPr>
        <w:t xml:space="preserve">, </w:t>
      </w:r>
      <w:proofErr w:type="spellStart"/>
      <w:r w:rsidR="00B85FD3" w:rsidRPr="00997273">
        <w:rPr>
          <w:rFonts w:cs="Times New Roman"/>
          <w:sz w:val="22"/>
          <w:szCs w:val="22"/>
          <w:lang w:val="lt-LT" w:eastAsia="en-US"/>
        </w:rPr>
        <w:t>ros</w:t>
      </w:r>
      <w:r w:rsidRPr="00997273">
        <w:rPr>
          <w:rFonts w:cs="Times New Roman"/>
          <w:sz w:val="22"/>
          <w:szCs w:val="22"/>
          <w:lang w:val="lt-LT" w:eastAsia="en-US"/>
        </w:rPr>
        <w:t>iglitazono</w:t>
      </w:r>
      <w:proofErr w:type="spellEnd"/>
      <w:r w:rsidRPr="00997273">
        <w:rPr>
          <w:rFonts w:cs="Times New Roman"/>
          <w:sz w:val="22"/>
          <w:szCs w:val="22"/>
          <w:lang w:val="lt-LT" w:eastAsia="en-US"/>
        </w:rPr>
        <w:t>,</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varfarino ar geriamųjų kontraceptikų farmakokinetikos reikšmingai nekeitė ir tai rodo, kad </w:t>
      </w:r>
      <w:proofErr w:type="spellStart"/>
      <w:r w:rsidRPr="00997273">
        <w:rPr>
          <w:rFonts w:eastAsia="TimesNewRoman,Italic" w:cs="Times New Roman"/>
          <w:i/>
          <w:iCs/>
          <w:sz w:val="22"/>
          <w:szCs w:val="22"/>
          <w:lang w:val="lt-LT" w:eastAsia="en-US"/>
        </w:rPr>
        <w:t>in</w:t>
      </w:r>
      <w:proofErr w:type="spellEnd"/>
      <w:r w:rsidR="007536F2">
        <w:rPr>
          <w:rFonts w:eastAsia="TimesNewRoman,Italic" w:cs="Times New Roman"/>
          <w:i/>
          <w:iCs/>
          <w:sz w:val="22"/>
          <w:szCs w:val="22"/>
          <w:lang w:val="lt-LT" w:eastAsia="en-US"/>
        </w:rPr>
        <w:t> </w:t>
      </w:r>
      <w:proofErr w:type="spellStart"/>
      <w:r w:rsidRPr="00997273">
        <w:rPr>
          <w:rFonts w:eastAsia="TimesNewRoman,Italic" w:cs="Times New Roman"/>
          <w:i/>
          <w:iCs/>
          <w:sz w:val="22"/>
          <w:szCs w:val="22"/>
          <w:lang w:val="lt-LT" w:eastAsia="en-US"/>
        </w:rPr>
        <w:t>vivo</w:t>
      </w:r>
      <w:proofErr w:type="spellEnd"/>
      <w:r w:rsidRPr="00997273">
        <w:rPr>
          <w:rFonts w:eastAsia="TimesNewRoman,Italic" w:cs="Times New Roman"/>
          <w:i/>
          <w:iCs/>
          <w:sz w:val="22"/>
          <w:szCs w:val="22"/>
          <w:lang w:val="lt-LT" w:eastAsia="en-US"/>
        </w:rPr>
        <w:t xml:space="preserve"> </w:t>
      </w:r>
      <w:r w:rsidRPr="00997273">
        <w:rPr>
          <w:rFonts w:cs="Times New Roman"/>
          <w:sz w:val="22"/>
          <w:szCs w:val="22"/>
          <w:lang w:val="lt-LT" w:eastAsia="en-US"/>
        </w:rPr>
        <w:t>jo</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polinkis į sąveiką su CYP3A4, CYP2C8 ar CYP2C9 substratais bei organinių katijonų </w:t>
      </w:r>
      <w:r w:rsidR="007536F2">
        <w:rPr>
          <w:rFonts w:cs="Times New Roman"/>
          <w:sz w:val="22"/>
          <w:szCs w:val="22"/>
          <w:lang w:val="lt-LT" w:eastAsia="en-US"/>
        </w:rPr>
        <w:t>nešikliu</w:t>
      </w:r>
      <w:r w:rsidR="00C76476">
        <w:rPr>
          <w:rFonts w:cs="Times New Roman"/>
          <w:sz w:val="22"/>
          <w:szCs w:val="22"/>
          <w:lang w:val="lt-LT" w:eastAsia="en-US"/>
        </w:rPr>
        <w:t xml:space="preserve"> (</w:t>
      </w:r>
      <w:r w:rsidR="001354A1">
        <w:rPr>
          <w:rFonts w:cs="Times New Roman"/>
          <w:sz w:val="22"/>
          <w:szCs w:val="22"/>
          <w:lang w:val="lt-LT" w:eastAsia="en-US"/>
        </w:rPr>
        <w:t xml:space="preserve">angl. </w:t>
      </w:r>
      <w:r w:rsidR="001354A1" w:rsidRPr="00A45AAA">
        <w:rPr>
          <w:i/>
          <w:sz w:val="22"/>
          <w:szCs w:val="22"/>
        </w:rPr>
        <w:t xml:space="preserve">organic cationic transporter, </w:t>
      </w:r>
      <w:r w:rsidR="00C76476" w:rsidRPr="00A45AAA">
        <w:rPr>
          <w:rFonts w:cs="Times New Roman"/>
          <w:i/>
          <w:sz w:val="22"/>
          <w:szCs w:val="22"/>
          <w:lang w:val="lt-LT" w:eastAsia="en-US"/>
        </w:rPr>
        <w:t>O</w:t>
      </w:r>
      <w:r w:rsidR="001354A1" w:rsidRPr="00A45AAA">
        <w:rPr>
          <w:rFonts w:cs="Times New Roman"/>
          <w:i/>
          <w:sz w:val="22"/>
          <w:szCs w:val="22"/>
          <w:lang w:val="lt-LT" w:eastAsia="en-US"/>
        </w:rPr>
        <w:t>C</w:t>
      </w:r>
      <w:r w:rsidR="00C76476" w:rsidRPr="00A45AAA">
        <w:rPr>
          <w:rFonts w:cs="Times New Roman"/>
          <w:i/>
          <w:sz w:val="22"/>
          <w:szCs w:val="22"/>
          <w:lang w:val="lt-LT" w:eastAsia="en-US"/>
        </w:rPr>
        <w:t>T</w:t>
      </w:r>
      <w:r w:rsidR="00C76476">
        <w:rPr>
          <w:rFonts w:cs="Times New Roman"/>
          <w:sz w:val="22"/>
          <w:szCs w:val="22"/>
          <w:lang w:val="lt-LT" w:eastAsia="en-US"/>
        </w:rPr>
        <w:t>)</w:t>
      </w:r>
      <w:r w:rsidRPr="00997273">
        <w:rPr>
          <w:rFonts w:cs="Times New Roman"/>
          <w:sz w:val="22"/>
          <w:szCs w:val="22"/>
          <w:lang w:val="lt-LT" w:eastAsia="en-US"/>
        </w:rPr>
        <w:t xml:space="preserve"> yra</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mažas. </w:t>
      </w:r>
      <w:proofErr w:type="spellStart"/>
      <w:r w:rsidRPr="00997273">
        <w:rPr>
          <w:rFonts w:cs="Times New Roman"/>
          <w:sz w:val="22"/>
          <w:szCs w:val="22"/>
          <w:lang w:val="lt-LT" w:eastAsia="en-US"/>
        </w:rPr>
        <w:t>Sitagliptinas</w:t>
      </w:r>
      <w:proofErr w:type="spellEnd"/>
      <w:r w:rsidRPr="00997273">
        <w:rPr>
          <w:rFonts w:cs="Times New Roman"/>
          <w:sz w:val="22"/>
          <w:szCs w:val="22"/>
          <w:lang w:val="lt-LT" w:eastAsia="en-US"/>
        </w:rPr>
        <w:t xml:space="preserve"> gali </w:t>
      </w:r>
      <w:proofErr w:type="spellStart"/>
      <w:r w:rsidRPr="00997273">
        <w:rPr>
          <w:rFonts w:eastAsia="TimesNewRoman,Italic" w:cs="Times New Roman"/>
          <w:i/>
          <w:iCs/>
          <w:sz w:val="22"/>
          <w:szCs w:val="22"/>
          <w:lang w:val="lt-LT" w:eastAsia="en-US"/>
        </w:rPr>
        <w:t>in</w:t>
      </w:r>
      <w:proofErr w:type="spellEnd"/>
      <w:r w:rsidR="00C76476">
        <w:rPr>
          <w:rFonts w:eastAsia="TimesNewRoman,Italic" w:cs="Times New Roman"/>
          <w:i/>
          <w:iCs/>
          <w:sz w:val="22"/>
          <w:szCs w:val="22"/>
          <w:lang w:val="lt-LT" w:eastAsia="en-US"/>
        </w:rPr>
        <w:t> </w:t>
      </w:r>
      <w:proofErr w:type="spellStart"/>
      <w:r w:rsidRPr="00997273">
        <w:rPr>
          <w:rFonts w:eastAsia="TimesNewRoman,Italic" w:cs="Times New Roman"/>
          <w:i/>
          <w:iCs/>
          <w:sz w:val="22"/>
          <w:szCs w:val="22"/>
          <w:lang w:val="lt-LT" w:eastAsia="en-US"/>
        </w:rPr>
        <w:t>vivo</w:t>
      </w:r>
      <w:proofErr w:type="spellEnd"/>
      <w:r w:rsidRPr="00997273">
        <w:rPr>
          <w:rFonts w:eastAsia="TimesNewRoman,Italic" w:cs="Times New Roman"/>
          <w:i/>
          <w:iCs/>
          <w:sz w:val="22"/>
          <w:szCs w:val="22"/>
          <w:lang w:val="lt-LT" w:eastAsia="en-US"/>
        </w:rPr>
        <w:t xml:space="preserve"> </w:t>
      </w:r>
      <w:r w:rsidRPr="00997273">
        <w:rPr>
          <w:rFonts w:cs="Times New Roman"/>
          <w:sz w:val="22"/>
          <w:szCs w:val="22"/>
          <w:lang w:val="lt-LT" w:eastAsia="en-US"/>
        </w:rPr>
        <w:t xml:space="preserve">silpnai slopinti </w:t>
      </w:r>
      <w:r w:rsidR="00243EF0">
        <w:rPr>
          <w:rFonts w:cs="Times New Roman"/>
          <w:sz w:val="22"/>
          <w:szCs w:val="22"/>
          <w:lang w:val="lt-LT" w:eastAsia="en-US"/>
        </w:rPr>
        <w:t>P</w:t>
      </w:r>
      <w:r w:rsidR="00C76476">
        <w:rPr>
          <w:rFonts w:cs="Times New Roman"/>
          <w:sz w:val="22"/>
          <w:szCs w:val="22"/>
          <w:lang w:val="lt-LT" w:eastAsia="en-US"/>
        </w:rPr>
        <w:t>-</w:t>
      </w:r>
      <w:proofErr w:type="spellStart"/>
      <w:r w:rsidRPr="00997273">
        <w:rPr>
          <w:rFonts w:cs="Times New Roman"/>
          <w:sz w:val="22"/>
          <w:szCs w:val="22"/>
          <w:lang w:val="lt-LT" w:eastAsia="en-US"/>
        </w:rPr>
        <w:t>glikoproteiną</w:t>
      </w:r>
      <w:proofErr w:type="spellEnd"/>
      <w:r w:rsidRPr="00997273">
        <w:rPr>
          <w:rFonts w:cs="Times New Roman"/>
          <w:sz w:val="22"/>
          <w:szCs w:val="22"/>
          <w:lang w:val="lt-LT" w:eastAsia="en-US"/>
        </w:rPr>
        <w:t>.</w:t>
      </w:r>
    </w:p>
    <w:p w14:paraId="3AC539DD" w14:textId="77777777" w:rsidR="00612A8E" w:rsidRPr="00997273" w:rsidRDefault="00612A8E" w:rsidP="00612A8E">
      <w:pPr>
        <w:tabs>
          <w:tab w:val="left" w:pos="567"/>
        </w:tabs>
        <w:rPr>
          <w:rFonts w:eastAsia="Times New Roman" w:cs="Times New Roman"/>
          <w:sz w:val="22"/>
          <w:szCs w:val="22"/>
          <w:lang w:val="lt-LT" w:eastAsia="lt-LT" w:bidi="lt-LT"/>
        </w:rPr>
      </w:pPr>
    </w:p>
    <w:p w14:paraId="3B49B4FE" w14:textId="77777777" w:rsidR="00612A8E" w:rsidRPr="0099727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997273">
        <w:rPr>
          <w:rFonts w:eastAsia="Times New Roman" w:cs="Times New Roman"/>
          <w:b/>
          <w:sz w:val="22"/>
          <w:szCs w:val="22"/>
          <w:lang w:val="lt-LT" w:eastAsia="lt-LT" w:bidi="lt-LT"/>
        </w:rPr>
        <w:t>Vaisingumas, nėštumo ir žindymo laikotarpis</w:t>
      </w:r>
    </w:p>
    <w:p w14:paraId="15B148B8"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4D3F8985" w14:textId="55C41B5D" w:rsidR="00612A8E" w:rsidRPr="00997273" w:rsidRDefault="00612A8E" w:rsidP="00612A8E">
      <w:pPr>
        <w:tabs>
          <w:tab w:val="left" w:pos="567"/>
        </w:tabs>
        <w:rPr>
          <w:rFonts w:eastAsia="Times New Roman" w:cs="Times New Roman"/>
          <w:noProof/>
          <w:sz w:val="22"/>
          <w:szCs w:val="22"/>
          <w:lang w:val="lt-LT" w:eastAsia="lt-LT" w:bidi="lt-LT"/>
        </w:rPr>
      </w:pPr>
      <w:r w:rsidRPr="00997273">
        <w:rPr>
          <w:rFonts w:eastAsia="Times New Roman" w:cs="Times New Roman"/>
          <w:sz w:val="22"/>
          <w:szCs w:val="22"/>
          <w:u w:val="single"/>
          <w:lang w:val="lt-LT" w:eastAsia="lt-LT" w:bidi="lt-LT"/>
        </w:rPr>
        <w:t>Nėštumas</w:t>
      </w:r>
    </w:p>
    <w:p w14:paraId="198B8285" w14:textId="066E7BE7" w:rsidR="000F14B1" w:rsidRPr="00997273" w:rsidRDefault="00243EF0" w:rsidP="000F14B1">
      <w:pPr>
        <w:autoSpaceDE w:val="0"/>
        <w:autoSpaceDN w:val="0"/>
        <w:adjustRightInd w:val="0"/>
        <w:rPr>
          <w:rFonts w:cs="Times New Roman"/>
          <w:sz w:val="22"/>
          <w:szCs w:val="22"/>
          <w:lang w:val="lt-LT" w:eastAsia="en-US"/>
        </w:rPr>
      </w:pPr>
      <w:r>
        <w:rPr>
          <w:rFonts w:cs="Times New Roman"/>
          <w:sz w:val="22"/>
          <w:szCs w:val="22"/>
          <w:lang w:val="lt-LT" w:eastAsia="en-US"/>
        </w:rPr>
        <w:t>Duomenų a</w:t>
      </w:r>
      <w:r w:rsidR="000F14B1" w:rsidRPr="00997273">
        <w:rPr>
          <w:rFonts w:cs="Times New Roman"/>
          <w:sz w:val="22"/>
          <w:szCs w:val="22"/>
          <w:lang w:val="lt-LT" w:eastAsia="en-US"/>
        </w:rPr>
        <w:t xml:space="preserve">pie </w:t>
      </w:r>
      <w:proofErr w:type="spellStart"/>
      <w:r w:rsidR="000F14B1" w:rsidRPr="00997273">
        <w:rPr>
          <w:rFonts w:cs="Times New Roman"/>
          <w:sz w:val="22"/>
          <w:szCs w:val="22"/>
          <w:lang w:val="lt-LT" w:eastAsia="en-US"/>
        </w:rPr>
        <w:t>sitagliptino</w:t>
      </w:r>
      <w:proofErr w:type="spellEnd"/>
      <w:r w:rsidR="000F14B1" w:rsidRPr="00997273">
        <w:rPr>
          <w:rFonts w:cs="Times New Roman"/>
          <w:sz w:val="22"/>
          <w:szCs w:val="22"/>
          <w:lang w:val="lt-LT" w:eastAsia="en-US"/>
        </w:rPr>
        <w:t xml:space="preserve"> vartojimą nė</w:t>
      </w:r>
      <w:r w:rsidR="00F07ACA">
        <w:rPr>
          <w:rFonts w:cs="Times New Roman"/>
          <w:sz w:val="22"/>
          <w:szCs w:val="22"/>
          <w:lang w:val="lt-LT" w:eastAsia="en-US"/>
        </w:rPr>
        <w:t>štumo metu</w:t>
      </w:r>
      <w:r w:rsidR="000F14B1" w:rsidRPr="00997273">
        <w:rPr>
          <w:rFonts w:cs="Times New Roman"/>
          <w:sz w:val="22"/>
          <w:szCs w:val="22"/>
          <w:lang w:val="lt-LT" w:eastAsia="en-US"/>
        </w:rPr>
        <w:t xml:space="preserve"> n</w:t>
      </w:r>
      <w:r w:rsidR="00A340A3" w:rsidRPr="00997273">
        <w:rPr>
          <w:rFonts w:cs="Times New Roman"/>
          <w:sz w:val="22"/>
          <w:szCs w:val="22"/>
          <w:lang w:val="lt-LT" w:eastAsia="en-US"/>
        </w:rPr>
        <w:t>epakanka</w:t>
      </w:r>
      <w:r w:rsidR="000F14B1" w:rsidRPr="00997273">
        <w:rPr>
          <w:rFonts w:cs="Times New Roman"/>
          <w:sz w:val="22"/>
          <w:szCs w:val="22"/>
          <w:lang w:val="lt-LT" w:eastAsia="en-US"/>
        </w:rPr>
        <w:t>. Su gyvūnais atlikti tyrimai parodė</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didelių dozių </w:t>
      </w:r>
      <w:r w:rsidR="00A340A3" w:rsidRPr="00997273">
        <w:rPr>
          <w:rFonts w:cs="Times New Roman"/>
          <w:sz w:val="22"/>
          <w:szCs w:val="22"/>
          <w:lang w:val="lt-LT" w:eastAsia="en-US"/>
        </w:rPr>
        <w:t xml:space="preserve">toksinį </w:t>
      </w:r>
      <w:r w:rsidR="000F14B1" w:rsidRPr="00997273">
        <w:rPr>
          <w:rFonts w:cs="Times New Roman"/>
          <w:sz w:val="22"/>
          <w:szCs w:val="22"/>
          <w:lang w:val="lt-LT" w:eastAsia="en-US"/>
        </w:rPr>
        <w:t>poveikį reprodukcijai (žr. 5.3 skyrių). Galima</w:t>
      </w:r>
      <w:r w:rsidR="002A0F3E">
        <w:rPr>
          <w:rFonts w:cs="Times New Roman"/>
          <w:sz w:val="22"/>
          <w:szCs w:val="22"/>
          <w:lang w:val="lt-LT" w:eastAsia="en-US"/>
        </w:rPr>
        <w:t xml:space="preserve"> rizika</w:t>
      </w:r>
      <w:r w:rsidR="000F14B1" w:rsidRPr="00997273">
        <w:rPr>
          <w:rFonts w:cs="Times New Roman"/>
          <w:sz w:val="22"/>
          <w:szCs w:val="22"/>
          <w:lang w:val="lt-LT" w:eastAsia="en-US"/>
        </w:rPr>
        <w:t xml:space="preserve"> žmogui nežinoma.</w:t>
      </w:r>
      <w:r w:rsidR="000C7A30" w:rsidRPr="00997273">
        <w:rPr>
          <w:rFonts w:cs="Times New Roman"/>
          <w:sz w:val="22"/>
          <w:szCs w:val="22"/>
          <w:lang w:val="lt-LT" w:eastAsia="en-US"/>
        </w:rPr>
        <w:t xml:space="preserve"> </w:t>
      </w:r>
      <w:r w:rsidR="005C6ECB">
        <w:rPr>
          <w:rFonts w:cs="Times New Roman"/>
          <w:sz w:val="22"/>
          <w:szCs w:val="22"/>
          <w:lang w:val="lt-LT" w:eastAsia="en-US"/>
        </w:rPr>
        <w:t>Dėl duomenų žmonėms</w:t>
      </w:r>
      <w:r w:rsidR="00AD60E6">
        <w:rPr>
          <w:rFonts w:cs="Times New Roman"/>
          <w:sz w:val="22"/>
          <w:szCs w:val="22"/>
          <w:lang w:val="lt-LT" w:eastAsia="en-US"/>
        </w:rPr>
        <w:t xml:space="preserve"> stokos </w:t>
      </w:r>
      <w:proofErr w:type="spellStart"/>
      <w:r w:rsidR="00AD60E6" w:rsidRPr="00BD18C5">
        <w:rPr>
          <w:rFonts w:cs="Times New Roman"/>
          <w:sz w:val="22"/>
          <w:szCs w:val="22"/>
          <w:lang w:val="lt-LT" w:eastAsia="en-US"/>
        </w:rPr>
        <w:t>sitagliptin</w:t>
      </w:r>
      <w:r w:rsidR="00BD18C5" w:rsidRPr="00297C23">
        <w:rPr>
          <w:rFonts w:cs="Times New Roman"/>
          <w:sz w:val="22"/>
          <w:szCs w:val="22"/>
          <w:lang w:val="lt-LT" w:eastAsia="en-US"/>
        </w:rPr>
        <w:t>o</w:t>
      </w:r>
      <w:proofErr w:type="spellEnd"/>
      <w:r w:rsidR="000F14B1" w:rsidRPr="00997273">
        <w:rPr>
          <w:rFonts w:cs="Times New Roman"/>
          <w:sz w:val="22"/>
          <w:szCs w:val="22"/>
          <w:lang w:val="lt-LT" w:eastAsia="en-US"/>
        </w:rPr>
        <w:t xml:space="preserve"> nėštumo metu </w:t>
      </w:r>
      <w:r w:rsidR="00BD18C5">
        <w:rPr>
          <w:rFonts w:cs="Times New Roman"/>
          <w:sz w:val="22"/>
          <w:szCs w:val="22"/>
          <w:lang w:val="lt-LT" w:eastAsia="en-US"/>
        </w:rPr>
        <w:t>vartoti negalima</w:t>
      </w:r>
      <w:r w:rsidR="000F14B1" w:rsidRPr="00997273">
        <w:rPr>
          <w:rFonts w:cs="Times New Roman"/>
          <w:sz w:val="22"/>
          <w:szCs w:val="22"/>
          <w:lang w:val="lt-LT" w:eastAsia="en-US"/>
        </w:rPr>
        <w:t>.</w:t>
      </w:r>
    </w:p>
    <w:p w14:paraId="0E01C515" w14:textId="77777777" w:rsidR="004548E7" w:rsidRDefault="004548E7" w:rsidP="000F14B1">
      <w:pPr>
        <w:autoSpaceDE w:val="0"/>
        <w:autoSpaceDN w:val="0"/>
        <w:adjustRightInd w:val="0"/>
        <w:rPr>
          <w:rFonts w:eastAsia="Times New Roman" w:cs="Times New Roman"/>
          <w:sz w:val="22"/>
          <w:szCs w:val="22"/>
          <w:u w:val="single"/>
          <w:lang w:val="lt-LT" w:eastAsia="lt-LT" w:bidi="lt-LT"/>
        </w:rPr>
      </w:pPr>
    </w:p>
    <w:p w14:paraId="59662CCE" w14:textId="0FDF8BC5" w:rsidR="009D16CA" w:rsidRPr="00997273" w:rsidRDefault="000F14B1" w:rsidP="000F14B1">
      <w:pPr>
        <w:autoSpaceDE w:val="0"/>
        <w:autoSpaceDN w:val="0"/>
        <w:adjustRightInd w:val="0"/>
        <w:rPr>
          <w:rFonts w:eastAsia="Times New Roman" w:cs="Times New Roman"/>
          <w:sz w:val="22"/>
          <w:szCs w:val="22"/>
          <w:lang w:val="lt-LT" w:eastAsia="lt-LT" w:bidi="lt-LT"/>
        </w:rPr>
      </w:pPr>
      <w:r w:rsidRPr="00997273">
        <w:rPr>
          <w:rFonts w:eastAsia="Times New Roman" w:cs="Times New Roman"/>
          <w:sz w:val="22"/>
          <w:szCs w:val="22"/>
          <w:u w:val="single"/>
          <w:lang w:val="lt-LT" w:eastAsia="lt-LT" w:bidi="lt-LT"/>
        </w:rPr>
        <w:t>Žindymas</w:t>
      </w:r>
    </w:p>
    <w:p w14:paraId="3FD1C097" w14:textId="7E5A5E0F" w:rsidR="000F14B1" w:rsidRPr="00997273" w:rsidRDefault="000F14B1" w:rsidP="000F14B1">
      <w:pPr>
        <w:autoSpaceDE w:val="0"/>
        <w:autoSpaceDN w:val="0"/>
        <w:adjustRightInd w:val="0"/>
        <w:rPr>
          <w:rFonts w:cs="Times New Roman"/>
          <w:sz w:val="22"/>
          <w:szCs w:val="22"/>
          <w:lang w:val="lt-LT" w:eastAsia="en-US"/>
        </w:rPr>
      </w:pPr>
      <w:r w:rsidRPr="00997273">
        <w:rPr>
          <w:rFonts w:cs="Times New Roman"/>
          <w:sz w:val="22"/>
          <w:szCs w:val="22"/>
          <w:lang w:val="lt-LT" w:eastAsia="en-US"/>
        </w:rPr>
        <w:lastRenderedPageBreak/>
        <w:t xml:space="preserve">Nežinoma, ar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išsiskiria </w:t>
      </w:r>
      <w:r w:rsidR="00FA5679">
        <w:rPr>
          <w:rFonts w:cs="Times New Roman"/>
          <w:sz w:val="22"/>
          <w:szCs w:val="22"/>
          <w:lang w:val="lt-LT" w:eastAsia="en-US"/>
        </w:rPr>
        <w:t>į gydytų moterų</w:t>
      </w:r>
      <w:r w:rsidRPr="00997273">
        <w:rPr>
          <w:rFonts w:cs="Times New Roman"/>
          <w:sz w:val="22"/>
          <w:szCs w:val="22"/>
          <w:lang w:val="lt-LT" w:eastAsia="en-US"/>
        </w:rPr>
        <w:t xml:space="preserve"> pien</w:t>
      </w:r>
      <w:r w:rsidR="00FA5679">
        <w:rPr>
          <w:rFonts w:cs="Times New Roman"/>
          <w:sz w:val="22"/>
          <w:szCs w:val="22"/>
          <w:lang w:val="lt-LT" w:eastAsia="en-US"/>
        </w:rPr>
        <w:t>ą</w:t>
      </w:r>
      <w:r w:rsidRPr="00997273">
        <w:rPr>
          <w:rFonts w:cs="Times New Roman"/>
          <w:sz w:val="22"/>
          <w:szCs w:val="22"/>
          <w:lang w:val="lt-LT" w:eastAsia="en-US"/>
        </w:rPr>
        <w:t xml:space="preserve">. Tyrimai su gyvūnais parodė, kad </w:t>
      </w:r>
      <w:proofErr w:type="spellStart"/>
      <w:r w:rsidRPr="00997273">
        <w:rPr>
          <w:rFonts w:cs="Times New Roman"/>
          <w:sz w:val="22"/>
          <w:szCs w:val="22"/>
          <w:lang w:val="lt-LT" w:eastAsia="en-US"/>
        </w:rPr>
        <w:t>sitagliptino</w:t>
      </w:r>
      <w:proofErr w:type="spellEnd"/>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išsiskiria </w:t>
      </w:r>
      <w:r w:rsidR="0010010A">
        <w:rPr>
          <w:rFonts w:cs="Times New Roman"/>
          <w:sz w:val="22"/>
          <w:szCs w:val="22"/>
          <w:lang w:val="lt-LT" w:eastAsia="en-US"/>
        </w:rPr>
        <w:t>į</w:t>
      </w:r>
      <w:r w:rsidR="00486690">
        <w:rPr>
          <w:rFonts w:cs="Times New Roman"/>
          <w:sz w:val="22"/>
          <w:szCs w:val="22"/>
          <w:lang w:val="lt-LT" w:eastAsia="en-US"/>
        </w:rPr>
        <w:t xml:space="preserve"> patelių</w:t>
      </w:r>
      <w:r w:rsidRPr="00997273">
        <w:rPr>
          <w:rFonts w:cs="Times New Roman"/>
          <w:sz w:val="22"/>
          <w:szCs w:val="22"/>
          <w:lang w:val="lt-LT" w:eastAsia="en-US"/>
        </w:rPr>
        <w:t xml:space="preserve"> pien</w:t>
      </w:r>
      <w:r w:rsidR="00937A23">
        <w:rPr>
          <w:rFonts w:cs="Times New Roman"/>
          <w:sz w:val="22"/>
          <w:szCs w:val="22"/>
          <w:lang w:val="lt-LT" w:eastAsia="en-US"/>
        </w:rPr>
        <w:t>ą</w:t>
      </w:r>
      <w:r w:rsidRPr="00997273">
        <w:rPr>
          <w:rFonts w:cs="Times New Roman"/>
          <w:sz w:val="22"/>
          <w:szCs w:val="22"/>
          <w:lang w:val="lt-LT" w:eastAsia="en-US"/>
        </w:rPr>
        <w:t xml:space="preserve">. </w:t>
      </w:r>
      <w:proofErr w:type="spellStart"/>
      <w:r w:rsidR="0097717A" w:rsidRPr="00BD18C5">
        <w:rPr>
          <w:rFonts w:cs="Times New Roman"/>
          <w:sz w:val="22"/>
          <w:szCs w:val="22"/>
          <w:lang w:val="lt-LT" w:eastAsia="en-US"/>
        </w:rPr>
        <w:t>Sitagliptin</w:t>
      </w:r>
      <w:r w:rsidR="00BD18C5" w:rsidRPr="00297C23">
        <w:rPr>
          <w:rFonts w:cs="Times New Roman"/>
          <w:sz w:val="22"/>
          <w:szCs w:val="22"/>
          <w:lang w:val="lt-LT" w:eastAsia="en-US"/>
        </w:rPr>
        <w:t>o</w:t>
      </w:r>
      <w:proofErr w:type="spellEnd"/>
      <w:r w:rsidR="00372095">
        <w:rPr>
          <w:rFonts w:cs="Times New Roman"/>
          <w:sz w:val="22"/>
          <w:szCs w:val="22"/>
          <w:lang w:val="lt-LT" w:eastAsia="en-US"/>
        </w:rPr>
        <w:t xml:space="preserve"> ž</w:t>
      </w:r>
      <w:r w:rsidRPr="00997273">
        <w:rPr>
          <w:rFonts w:cs="Times New Roman"/>
          <w:sz w:val="22"/>
          <w:szCs w:val="22"/>
          <w:lang w:val="lt-LT" w:eastAsia="en-US"/>
        </w:rPr>
        <w:t>indymo laikotarpiu</w:t>
      </w:r>
      <w:r w:rsidR="00BD18C5">
        <w:rPr>
          <w:rFonts w:cs="Times New Roman"/>
          <w:sz w:val="22"/>
          <w:szCs w:val="22"/>
          <w:lang w:val="lt-LT" w:eastAsia="en-US"/>
        </w:rPr>
        <w:t xml:space="preserve"> vartoti negalima</w:t>
      </w:r>
      <w:r w:rsidRPr="00997273">
        <w:rPr>
          <w:rFonts w:cs="Times New Roman"/>
          <w:sz w:val="22"/>
          <w:szCs w:val="22"/>
          <w:lang w:val="lt-LT" w:eastAsia="en-US"/>
        </w:rPr>
        <w:t>.</w:t>
      </w:r>
    </w:p>
    <w:p w14:paraId="6CD62DF4" w14:textId="77777777" w:rsidR="009D16CA" w:rsidRPr="00997273" w:rsidRDefault="009D16CA" w:rsidP="000F14B1">
      <w:pPr>
        <w:tabs>
          <w:tab w:val="left" w:pos="567"/>
        </w:tabs>
        <w:rPr>
          <w:rFonts w:eastAsia="Times New Roman" w:cs="Times New Roman"/>
          <w:sz w:val="22"/>
          <w:szCs w:val="22"/>
          <w:u w:val="single"/>
          <w:lang w:val="lt-LT" w:eastAsia="lt-LT" w:bidi="lt-LT"/>
        </w:rPr>
      </w:pPr>
    </w:p>
    <w:p w14:paraId="6FADE652" w14:textId="77777777" w:rsidR="000F14B1" w:rsidRPr="00997273" w:rsidRDefault="000F14B1" w:rsidP="000F14B1">
      <w:pPr>
        <w:tabs>
          <w:tab w:val="left" w:pos="567"/>
        </w:tabs>
        <w:rPr>
          <w:rFonts w:eastAsia="Times New Roman" w:cs="Times New Roman"/>
          <w:noProof/>
          <w:sz w:val="22"/>
          <w:szCs w:val="22"/>
          <w:lang w:val="lt-LT" w:eastAsia="lt-LT" w:bidi="lt-LT"/>
        </w:rPr>
      </w:pPr>
      <w:r w:rsidRPr="00997273">
        <w:rPr>
          <w:rFonts w:eastAsia="Times New Roman" w:cs="Times New Roman"/>
          <w:sz w:val="22"/>
          <w:szCs w:val="22"/>
          <w:u w:val="single"/>
          <w:lang w:val="lt-LT" w:eastAsia="lt-LT" w:bidi="lt-LT"/>
        </w:rPr>
        <w:t>Vaisingumas</w:t>
      </w:r>
    </w:p>
    <w:p w14:paraId="7D69BB37" w14:textId="77777777" w:rsidR="00612A8E" w:rsidRPr="00997273" w:rsidRDefault="000F14B1" w:rsidP="009D16CA">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Tyrimų su gyvūnais duomenys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nepageidaujamo poveikio patinų ir patelių vaisingumui</w:t>
      </w:r>
      <w:r w:rsidR="009D16CA" w:rsidRPr="00997273">
        <w:rPr>
          <w:rFonts w:cs="Times New Roman"/>
          <w:sz w:val="22"/>
          <w:szCs w:val="22"/>
          <w:lang w:val="lt-LT" w:eastAsia="en-US"/>
        </w:rPr>
        <w:t xml:space="preserve"> </w:t>
      </w:r>
      <w:r w:rsidRPr="00997273">
        <w:rPr>
          <w:rFonts w:cs="Times New Roman"/>
          <w:sz w:val="22"/>
          <w:szCs w:val="22"/>
          <w:lang w:val="lt-LT" w:eastAsia="en-US"/>
        </w:rPr>
        <w:t>neparod</w:t>
      </w:r>
      <w:r w:rsidR="00A340A3" w:rsidRPr="00997273">
        <w:rPr>
          <w:rFonts w:cs="Times New Roman"/>
          <w:sz w:val="22"/>
          <w:szCs w:val="22"/>
          <w:lang w:val="lt-LT" w:eastAsia="en-US"/>
        </w:rPr>
        <w:t>ė</w:t>
      </w:r>
      <w:r w:rsidRPr="00997273">
        <w:rPr>
          <w:rFonts w:cs="Times New Roman"/>
          <w:sz w:val="22"/>
          <w:szCs w:val="22"/>
          <w:lang w:val="lt-LT" w:eastAsia="en-US"/>
        </w:rPr>
        <w:t>. Duomenų apie žmones nėra.</w:t>
      </w:r>
    </w:p>
    <w:p w14:paraId="5C402EAE" w14:textId="77777777" w:rsidR="000F14B1" w:rsidRPr="00997273" w:rsidRDefault="000F14B1" w:rsidP="000F14B1">
      <w:pPr>
        <w:tabs>
          <w:tab w:val="left" w:pos="567"/>
        </w:tabs>
        <w:rPr>
          <w:rFonts w:eastAsia="Times New Roman" w:cs="Times New Roman"/>
          <w:i/>
          <w:noProof/>
          <w:sz w:val="22"/>
          <w:szCs w:val="22"/>
          <w:lang w:val="lt-LT" w:eastAsia="lt-LT" w:bidi="lt-LT"/>
        </w:rPr>
      </w:pPr>
    </w:p>
    <w:p w14:paraId="254BB33D" w14:textId="77777777" w:rsidR="00612A8E" w:rsidRPr="0099727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Poveikis gebėjimui vairuoti ir valdyti mechanizmus</w:t>
      </w:r>
    </w:p>
    <w:p w14:paraId="6427DF75"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68B48376" w14:textId="1B328646" w:rsidR="000F14B1" w:rsidRPr="00997273" w:rsidRDefault="005C1574" w:rsidP="000F14B1">
      <w:pPr>
        <w:autoSpaceDE w:val="0"/>
        <w:autoSpaceDN w:val="0"/>
        <w:adjustRightInd w:val="0"/>
        <w:rPr>
          <w:rFonts w:cs="Times New Roman"/>
          <w:sz w:val="22"/>
          <w:szCs w:val="22"/>
          <w:lang w:val="lt-LT" w:eastAsia="en-US"/>
        </w:rPr>
      </w:pPr>
      <w:proofErr w:type="spellStart"/>
      <w:r w:rsidRPr="00997273">
        <w:rPr>
          <w:rFonts w:cs="Times New Roman"/>
          <w:sz w:val="22"/>
          <w:szCs w:val="22"/>
          <w:lang w:val="lt-LT" w:eastAsia="en-US"/>
        </w:rPr>
        <w:t>Sitagliptinas</w:t>
      </w:r>
      <w:proofErr w:type="spellEnd"/>
      <w:r w:rsidR="00A340A3" w:rsidRPr="00997273">
        <w:rPr>
          <w:rFonts w:cs="Times New Roman"/>
          <w:sz w:val="22"/>
          <w:szCs w:val="22"/>
          <w:lang w:val="lt-LT" w:eastAsia="en-US"/>
        </w:rPr>
        <w:t xml:space="preserve"> </w:t>
      </w:r>
      <w:r w:rsidR="000F14B1" w:rsidRPr="00997273">
        <w:rPr>
          <w:rFonts w:cs="Times New Roman"/>
          <w:sz w:val="22"/>
          <w:szCs w:val="22"/>
          <w:lang w:val="lt-LT" w:eastAsia="en-US"/>
        </w:rPr>
        <w:t>gebėjimo vairuoti ir valdyti mechanizmus neveikia arba veikia nereikšmingai.</w:t>
      </w:r>
      <w:r w:rsidR="00955BA3">
        <w:rPr>
          <w:rFonts w:cs="Times New Roman"/>
          <w:sz w:val="22"/>
          <w:szCs w:val="22"/>
          <w:lang w:val="lt-LT" w:eastAsia="en-US"/>
        </w:rPr>
        <w:t xml:space="preserve"> </w:t>
      </w:r>
      <w:r w:rsidR="000F14B1" w:rsidRPr="00997273">
        <w:rPr>
          <w:rFonts w:cs="Times New Roman"/>
          <w:sz w:val="22"/>
          <w:szCs w:val="22"/>
          <w:lang w:val="lt-LT" w:eastAsia="en-US"/>
        </w:rPr>
        <w:t>Vis dėlto</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vairuojant ar valdant mechanizmus reikia </w:t>
      </w:r>
      <w:r w:rsidR="00D311AD">
        <w:rPr>
          <w:rFonts w:cs="Times New Roman"/>
          <w:sz w:val="22"/>
          <w:szCs w:val="22"/>
          <w:lang w:val="lt-LT" w:eastAsia="en-US"/>
        </w:rPr>
        <w:t>turėti omenyje</w:t>
      </w:r>
      <w:r w:rsidR="000C7A30" w:rsidRPr="00997273">
        <w:rPr>
          <w:rFonts w:cs="Times New Roman"/>
          <w:sz w:val="22"/>
          <w:szCs w:val="22"/>
          <w:lang w:val="lt-LT" w:eastAsia="en-US"/>
        </w:rPr>
        <w:t xml:space="preserve">, </w:t>
      </w:r>
      <w:r w:rsidR="000F14B1" w:rsidRPr="00997273">
        <w:rPr>
          <w:rFonts w:cs="Times New Roman"/>
          <w:sz w:val="22"/>
          <w:szCs w:val="22"/>
          <w:lang w:val="lt-LT" w:eastAsia="en-US"/>
        </w:rPr>
        <w:t xml:space="preserve">kad buvo </w:t>
      </w:r>
      <w:r w:rsidR="00680587">
        <w:rPr>
          <w:rFonts w:cs="Times New Roman"/>
          <w:sz w:val="22"/>
          <w:szCs w:val="22"/>
          <w:lang w:val="lt-LT" w:eastAsia="en-US"/>
        </w:rPr>
        <w:t>s</w:t>
      </w:r>
      <w:r w:rsidR="00955BA3">
        <w:rPr>
          <w:rFonts w:cs="Times New Roman"/>
          <w:sz w:val="22"/>
          <w:szCs w:val="22"/>
          <w:lang w:val="lt-LT" w:eastAsia="en-US"/>
        </w:rPr>
        <w:t>v</w:t>
      </w:r>
      <w:r w:rsidR="00680587">
        <w:rPr>
          <w:rFonts w:cs="Times New Roman"/>
          <w:sz w:val="22"/>
          <w:szCs w:val="22"/>
          <w:lang w:val="lt-LT" w:eastAsia="en-US"/>
        </w:rPr>
        <w:t>aigulio</w:t>
      </w:r>
      <w:r w:rsidR="00503D8C" w:rsidRPr="00997273">
        <w:rPr>
          <w:rFonts w:cs="Times New Roman"/>
          <w:sz w:val="22"/>
          <w:szCs w:val="22"/>
          <w:lang w:val="lt-LT" w:eastAsia="en-US"/>
        </w:rPr>
        <w:t xml:space="preserve"> </w:t>
      </w:r>
      <w:r w:rsidR="000F14B1" w:rsidRPr="00997273">
        <w:rPr>
          <w:rFonts w:cs="Times New Roman"/>
          <w:sz w:val="22"/>
          <w:szCs w:val="22"/>
          <w:lang w:val="lt-LT" w:eastAsia="en-US"/>
        </w:rPr>
        <w:t>ir</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mieguistum</w:t>
      </w:r>
      <w:r w:rsidR="00680587">
        <w:rPr>
          <w:rFonts w:cs="Times New Roman"/>
          <w:sz w:val="22"/>
          <w:szCs w:val="22"/>
          <w:lang w:val="lt-LT" w:eastAsia="en-US"/>
        </w:rPr>
        <w:t>o atvejų</w:t>
      </w:r>
      <w:r w:rsidR="000F14B1" w:rsidRPr="00997273">
        <w:rPr>
          <w:rFonts w:cs="Times New Roman"/>
          <w:sz w:val="22"/>
          <w:szCs w:val="22"/>
          <w:lang w:val="lt-LT" w:eastAsia="en-US"/>
        </w:rPr>
        <w:t>.</w:t>
      </w:r>
    </w:p>
    <w:p w14:paraId="4DFF39A1" w14:textId="77777777" w:rsidR="00EC503F" w:rsidRDefault="00EC503F" w:rsidP="009D16CA">
      <w:pPr>
        <w:autoSpaceDE w:val="0"/>
        <w:autoSpaceDN w:val="0"/>
        <w:adjustRightInd w:val="0"/>
        <w:rPr>
          <w:rFonts w:cs="Times New Roman"/>
          <w:sz w:val="22"/>
          <w:szCs w:val="22"/>
          <w:lang w:val="lt-LT" w:eastAsia="en-US"/>
        </w:rPr>
      </w:pPr>
    </w:p>
    <w:p w14:paraId="70243EA6" w14:textId="347035A1" w:rsidR="00612A8E" w:rsidRPr="00997273" w:rsidRDefault="000F14B1" w:rsidP="009D16CA">
      <w:pPr>
        <w:autoSpaceDE w:val="0"/>
        <w:autoSpaceDN w:val="0"/>
        <w:adjustRightInd w:val="0"/>
        <w:rPr>
          <w:rFonts w:cs="Times New Roman"/>
          <w:sz w:val="22"/>
          <w:szCs w:val="22"/>
          <w:lang w:val="lt-LT" w:eastAsia="en-US"/>
        </w:rPr>
      </w:pPr>
      <w:r w:rsidRPr="00997273">
        <w:rPr>
          <w:rFonts w:cs="Times New Roman"/>
          <w:sz w:val="22"/>
          <w:szCs w:val="22"/>
          <w:lang w:val="lt-LT" w:eastAsia="en-US"/>
        </w:rPr>
        <w:t>Be to, pacient</w:t>
      </w:r>
      <w:r w:rsidR="00EC503F">
        <w:rPr>
          <w:rFonts w:cs="Times New Roman"/>
          <w:sz w:val="22"/>
          <w:szCs w:val="22"/>
          <w:lang w:val="lt-LT" w:eastAsia="en-US"/>
        </w:rPr>
        <w:t>ai turi būti įspėti</w:t>
      </w:r>
      <w:r w:rsidRPr="00997273">
        <w:rPr>
          <w:rFonts w:cs="Times New Roman"/>
          <w:sz w:val="22"/>
          <w:szCs w:val="22"/>
          <w:lang w:val="lt-LT" w:eastAsia="en-US"/>
        </w:rPr>
        <w:t xml:space="preserve"> apie galimą hipoglikemijos </w:t>
      </w:r>
      <w:r w:rsidR="00680587">
        <w:rPr>
          <w:rFonts w:cs="Times New Roman"/>
          <w:sz w:val="22"/>
          <w:szCs w:val="22"/>
          <w:lang w:val="lt-LT" w:eastAsia="en-US"/>
        </w:rPr>
        <w:t>riziką</w:t>
      </w:r>
      <w:r w:rsidRPr="00997273">
        <w:rPr>
          <w:rFonts w:cs="Times New Roman"/>
          <w:sz w:val="22"/>
          <w:szCs w:val="22"/>
          <w:lang w:val="lt-LT" w:eastAsia="en-US"/>
        </w:rPr>
        <w:t xml:space="preserve">, </w:t>
      </w:r>
      <w:r w:rsidR="004410E6">
        <w:rPr>
          <w:rFonts w:cs="Times New Roman"/>
          <w:sz w:val="22"/>
          <w:szCs w:val="22"/>
          <w:lang w:val="lt-LT" w:eastAsia="en-US"/>
        </w:rPr>
        <w:t>jeigu</w:t>
      </w:r>
      <w:r w:rsidRPr="00997273">
        <w:rPr>
          <w:rFonts w:cs="Times New Roman"/>
          <w:sz w:val="22"/>
          <w:szCs w:val="22"/>
          <w:lang w:val="lt-LT" w:eastAsia="en-US"/>
        </w:rPr>
        <w:t xml:space="preserve"> </w:t>
      </w:r>
      <w:proofErr w:type="spellStart"/>
      <w:r w:rsidR="005C1574" w:rsidRPr="00997273">
        <w:rPr>
          <w:rFonts w:cs="Times New Roman"/>
          <w:sz w:val="22"/>
          <w:szCs w:val="22"/>
          <w:lang w:val="lt-LT" w:eastAsia="en-US"/>
        </w:rPr>
        <w:t>sitagliptin</w:t>
      </w:r>
      <w:r w:rsidR="005355D1">
        <w:rPr>
          <w:rFonts w:cs="Times New Roman"/>
          <w:sz w:val="22"/>
          <w:szCs w:val="22"/>
          <w:lang w:val="lt-LT" w:eastAsia="en-US"/>
        </w:rPr>
        <w:t>o</w:t>
      </w:r>
      <w:proofErr w:type="spellEnd"/>
      <w:r w:rsidRPr="00997273">
        <w:rPr>
          <w:rFonts w:cs="Times New Roman"/>
          <w:sz w:val="22"/>
          <w:szCs w:val="22"/>
          <w:lang w:val="lt-LT" w:eastAsia="en-US"/>
        </w:rPr>
        <w:t xml:space="preserve"> vartoja</w:t>
      </w:r>
      <w:r w:rsidR="004410E6">
        <w:rPr>
          <w:rFonts w:cs="Times New Roman"/>
          <w:sz w:val="22"/>
          <w:szCs w:val="22"/>
          <w:lang w:val="lt-LT" w:eastAsia="en-US"/>
        </w:rPr>
        <w:t>ma</w:t>
      </w:r>
      <w:r w:rsidR="008C1CF8">
        <w:rPr>
          <w:rFonts w:cs="Times New Roman"/>
          <w:sz w:val="22"/>
          <w:szCs w:val="22"/>
          <w:lang w:val="lt-LT" w:eastAsia="en-US"/>
        </w:rPr>
        <w:t xml:space="preserve"> derinyje</w:t>
      </w:r>
      <w:r w:rsidRPr="00997273">
        <w:rPr>
          <w:rFonts w:cs="Times New Roman"/>
          <w:sz w:val="22"/>
          <w:szCs w:val="22"/>
          <w:lang w:val="lt-LT" w:eastAsia="en-US"/>
        </w:rPr>
        <w:t xml:space="preserve"> su</w:t>
      </w:r>
      <w:r w:rsidR="009D16CA" w:rsidRPr="00997273">
        <w:rPr>
          <w:rFonts w:cs="Times New Roman"/>
          <w:sz w:val="22"/>
          <w:szCs w:val="22"/>
          <w:lang w:val="lt-LT" w:eastAsia="en-US"/>
        </w:rPr>
        <w:t xml:space="preserve"> </w:t>
      </w:r>
      <w:proofErr w:type="spellStart"/>
      <w:r w:rsidRPr="00997273">
        <w:rPr>
          <w:rFonts w:cs="Times New Roman"/>
          <w:sz w:val="22"/>
          <w:szCs w:val="22"/>
          <w:lang w:val="lt-LT" w:eastAsia="en-US"/>
        </w:rPr>
        <w:t>sulfonilurėjos</w:t>
      </w:r>
      <w:proofErr w:type="spellEnd"/>
      <w:r w:rsidRPr="00997273">
        <w:rPr>
          <w:rFonts w:cs="Times New Roman"/>
          <w:sz w:val="22"/>
          <w:szCs w:val="22"/>
          <w:lang w:val="lt-LT" w:eastAsia="en-US"/>
        </w:rPr>
        <w:t xml:space="preserve"> dariniu arba </w:t>
      </w:r>
      <w:r w:rsidR="008C1CF8">
        <w:rPr>
          <w:rFonts w:cs="Times New Roman"/>
          <w:sz w:val="22"/>
          <w:szCs w:val="22"/>
          <w:lang w:val="lt-LT" w:eastAsia="en-US"/>
        </w:rPr>
        <w:t xml:space="preserve">su </w:t>
      </w:r>
      <w:r w:rsidRPr="00997273">
        <w:rPr>
          <w:rFonts w:cs="Times New Roman"/>
          <w:sz w:val="22"/>
          <w:szCs w:val="22"/>
          <w:lang w:val="lt-LT" w:eastAsia="en-US"/>
        </w:rPr>
        <w:t>insulinu.</w:t>
      </w:r>
    </w:p>
    <w:p w14:paraId="39845F04" w14:textId="77777777" w:rsidR="000F14B1" w:rsidRPr="00997273" w:rsidRDefault="000F14B1" w:rsidP="000F14B1">
      <w:pPr>
        <w:tabs>
          <w:tab w:val="left" w:pos="567"/>
        </w:tabs>
        <w:rPr>
          <w:rFonts w:eastAsia="Times New Roman" w:cs="Times New Roman"/>
          <w:noProof/>
          <w:sz w:val="22"/>
          <w:szCs w:val="22"/>
          <w:lang w:val="lt-LT" w:eastAsia="lt-LT" w:bidi="lt-LT"/>
        </w:rPr>
      </w:pPr>
    </w:p>
    <w:p w14:paraId="263DE7E8" w14:textId="77777777" w:rsidR="00612A8E" w:rsidRPr="00997273" w:rsidRDefault="00612A8E" w:rsidP="00612A8E">
      <w:pPr>
        <w:keepNext/>
        <w:numPr>
          <w:ilvl w:val="1"/>
          <w:numId w:val="25"/>
        </w:numPr>
        <w:tabs>
          <w:tab w:val="left" w:pos="567"/>
        </w:tabs>
        <w:spacing w:line="260" w:lineRule="exact"/>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Nepageidaujamas poveikis</w:t>
      </w:r>
    </w:p>
    <w:p w14:paraId="2FF685C0" w14:textId="77777777" w:rsidR="00612A8E" w:rsidRPr="00997273" w:rsidRDefault="00612A8E" w:rsidP="00612A8E">
      <w:pPr>
        <w:keepNext/>
        <w:tabs>
          <w:tab w:val="left" w:pos="567"/>
        </w:tabs>
        <w:autoSpaceDE w:val="0"/>
        <w:autoSpaceDN w:val="0"/>
        <w:adjustRightInd w:val="0"/>
        <w:jc w:val="both"/>
        <w:rPr>
          <w:rFonts w:eastAsia="Times New Roman" w:cs="Times New Roman"/>
          <w:noProof/>
          <w:sz w:val="22"/>
          <w:szCs w:val="22"/>
          <w:lang w:val="lt-LT" w:eastAsia="lt-LT" w:bidi="lt-LT"/>
        </w:rPr>
      </w:pPr>
    </w:p>
    <w:p w14:paraId="1F75E1C1" w14:textId="77777777" w:rsidR="000F14B1" w:rsidRPr="00997273" w:rsidRDefault="000F14B1" w:rsidP="000F14B1">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Saugumo duomenų santrauka</w:t>
      </w:r>
    </w:p>
    <w:p w14:paraId="08627C23" w14:textId="63C7295C" w:rsidR="000F14B1" w:rsidRPr="00997273" w:rsidRDefault="00A340A3" w:rsidP="000F14B1">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Gauta pranešimų apie </w:t>
      </w:r>
      <w:r w:rsidR="000F14B1" w:rsidRPr="00997273">
        <w:rPr>
          <w:rFonts w:cs="Times New Roman"/>
          <w:sz w:val="22"/>
          <w:szCs w:val="22"/>
          <w:lang w:val="lt-LT" w:eastAsia="en-US"/>
        </w:rPr>
        <w:t>pastebėt</w:t>
      </w:r>
      <w:r w:rsidRPr="00997273">
        <w:rPr>
          <w:rFonts w:cs="Times New Roman"/>
          <w:sz w:val="22"/>
          <w:szCs w:val="22"/>
          <w:lang w:val="lt-LT" w:eastAsia="en-US"/>
        </w:rPr>
        <w:t>a</w:t>
      </w:r>
      <w:r w:rsidR="000F14B1" w:rsidRPr="00997273">
        <w:rPr>
          <w:rFonts w:cs="Times New Roman"/>
          <w:sz w:val="22"/>
          <w:szCs w:val="22"/>
          <w:lang w:val="lt-LT" w:eastAsia="en-US"/>
        </w:rPr>
        <w:t>s sunki</w:t>
      </w:r>
      <w:r w:rsidRPr="00997273">
        <w:rPr>
          <w:rFonts w:cs="Times New Roman"/>
          <w:sz w:val="22"/>
          <w:szCs w:val="22"/>
          <w:lang w:val="lt-LT" w:eastAsia="en-US"/>
        </w:rPr>
        <w:t>a</w:t>
      </w:r>
      <w:r w:rsidR="000F14B1" w:rsidRPr="00997273">
        <w:rPr>
          <w:rFonts w:cs="Times New Roman"/>
          <w:sz w:val="22"/>
          <w:szCs w:val="22"/>
          <w:lang w:val="lt-LT" w:eastAsia="en-US"/>
        </w:rPr>
        <w:t>s nepageidaujam</w:t>
      </w:r>
      <w:r w:rsidRPr="00997273">
        <w:rPr>
          <w:rFonts w:cs="Times New Roman"/>
          <w:sz w:val="22"/>
          <w:szCs w:val="22"/>
          <w:lang w:val="lt-LT" w:eastAsia="en-US"/>
        </w:rPr>
        <w:t>a</w:t>
      </w:r>
      <w:r w:rsidR="000F14B1" w:rsidRPr="00997273">
        <w:rPr>
          <w:rFonts w:cs="Times New Roman"/>
          <w:sz w:val="22"/>
          <w:szCs w:val="22"/>
          <w:lang w:val="lt-LT" w:eastAsia="en-US"/>
        </w:rPr>
        <w:t>s reakcij</w:t>
      </w:r>
      <w:r w:rsidRPr="00997273">
        <w:rPr>
          <w:rFonts w:cs="Times New Roman"/>
          <w:sz w:val="22"/>
          <w:szCs w:val="22"/>
          <w:lang w:val="lt-LT" w:eastAsia="en-US"/>
        </w:rPr>
        <w:t>a</w:t>
      </w:r>
      <w:r w:rsidR="000F14B1" w:rsidRPr="00997273">
        <w:rPr>
          <w:rFonts w:cs="Times New Roman"/>
          <w:sz w:val="22"/>
          <w:szCs w:val="22"/>
          <w:lang w:val="lt-LT" w:eastAsia="en-US"/>
        </w:rPr>
        <w:t>s, įskaitant pankreatitą ir padidėjusio jautrumo</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reakcijas. Vartojant </w:t>
      </w:r>
      <w:r w:rsidR="00380F6B">
        <w:rPr>
          <w:rFonts w:cs="Times New Roman"/>
          <w:sz w:val="22"/>
          <w:szCs w:val="22"/>
          <w:lang w:val="lt-LT" w:eastAsia="en-US"/>
        </w:rPr>
        <w:t>derin</w:t>
      </w:r>
      <w:r w:rsidR="008F1173">
        <w:rPr>
          <w:rFonts w:cs="Times New Roman"/>
          <w:sz w:val="22"/>
          <w:szCs w:val="22"/>
          <w:lang w:val="lt-LT" w:eastAsia="en-US"/>
        </w:rPr>
        <w:t>į</w:t>
      </w:r>
      <w:r w:rsidR="00380F6B" w:rsidRPr="00997273">
        <w:rPr>
          <w:rFonts w:cs="Times New Roman"/>
          <w:sz w:val="22"/>
          <w:szCs w:val="22"/>
          <w:lang w:val="lt-LT" w:eastAsia="en-US"/>
        </w:rPr>
        <w:t xml:space="preserve"> </w:t>
      </w:r>
      <w:r w:rsidR="000F14B1" w:rsidRPr="00997273">
        <w:rPr>
          <w:rFonts w:cs="Times New Roman"/>
          <w:sz w:val="22"/>
          <w:szCs w:val="22"/>
          <w:lang w:val="lt-LT" w:eastAsia="en-US"/>
        </w:rPr>
        <w:t xml:space="preserve">su </w:t>
      </w:r>
      <w:proofErr w:type="spellStart"/>
      <w:r w:rsidR="000F14B1" w:rsidRPr="00997273">
        <w:rPr>
          <w:rFonts w:cs="Times New Roman"/>
          <w:sz w:val="22"/>
          <w:szCs w:val="22"/>
          <w:lang w:val="lt-LT" w:eastAsia="en-US"/>
        </w:rPr>
        <w:t>sulfonilurėjos</w:t>
      </w:r>
      <w:proofErr w:type="spellEnd"/>
      <w:r w:rsidR="000F14B1" w:rsidRPr="00997273">
        <w:rPr>
          <w:rFonts w:cs="Times New Roman"/>
          <w:sz w:val="22"/>
          <w:szCs w:val="22"/>
          <w:lang w:val="lt-LT" w:eastAsia="en-US"/>
        </w:rPr>
        <w:t xml:space="preserve"> dariniu, hipoglikemija buvo pastebėta 4,7</w:t>
      </w:r>
      <w:r w:rsidR="00EA7938" w:rsidRPr="00997273">
        <w:rPr>
          <w:rFonts w:cs="Times New Roman"/>
          <w:sz w:val="22"/>
          <w:szCs w:val="22"/>
          <w:lang w:val="lt-LT" w:eastAsia="en-US"/>
        </w:rPr>
        <w:t>–</w:t>
      </w:r>
      <w:r w:rsidR="000F14B1" w:rsidRPr="00997273">
        <w:rPr>
          <w:rFonts w:cs="Times New Roman"/>
          <w:sz w:val="22"/>
          <w:szCs w:val="22"/>
          <w:lang w:val="lt-LT" w:eastAsia="en-US"/>
        </w:rPr>
        <w:t>13,8</w:t>
      </w:r>
      <w:r w:rsidR="0064111B" w:rsidRPr="00997273">
        <w:rPr>
          <w:rFonts w:cs="Times New Roman"/>
          <w:sz w:val="22"/>
          <w:szCs w:val="22"/>
          <w:lang w:val="lt-LT" w:eastAsia="en-US"/>
        </w:rPr>
        <w:t> </w:t>
      </w:r>
      <w:r w:rsidR="000F14B1" w:rsidRPr="00997273">
        <w:rPr>
          <w:rFonts w:cs="Times New Roman"/>
          <w:sz w:val="22"/>
          <w:szCs w:val="22"/>
          <w:lang w:val="lt-LT" w:eastAsia="en-US"/>
        </w:rPr>
        <w:t>%, o</w:t>
      </w:r>
      <w:r w:rsidR="009D16CA" w:rsidRPr="00997273">
        <w:rPr>
          <w:rFonts w:cs="Times New Roman"/>
          <w:sz w:val="22"/>
          <w:szCs w:val="22"/>
          <w:lang w:val="lt-LT" w:eastAsia="en-US"/>
        </w:rPr>
        <w:t xml:space="preserve"> </w:t>
      </w:r>
      <w:r w:rsidR="00380F6B">
        <w:rPr>
          <w:rFonts w:cs="Times New Roman"/>
          <w:sz w:val="22"/>
          <w:szCs w:val="22"/>
          <w:lang w:val="lt-LT" w:eastAsia="en-US"/>
        </w:rPr>
        <w:t>derin</w:t>
      </w:r>
      <w:r w:rsidR="008F1173">
        <w:rPr>
          <w:rFonts w:cs="Times New Roman"/>
          <w:sz w:val="22"/>
          <w:szCs w:val="22"/>
          <w:lang w:val="lt-LT" w:eastAsia="en-US"/>
        </w:rPr>
        <w:t>į</w:t>
      </w:r>
      <w:r w:rsidR="00380F6B" w:rsidRPr="00997273">
        <w:rPr>
          <w:rFonts w:cs="Times New Roman"/>
          <w:sz w:val="22"/>
          <w:szCs w:val="22"/>
          <w:lang w:val="lt-LT" w:eastAsia="en-US"/>
        </w:rPr>
        <w:t xml:space="preserve"> </w:t>
      </w:r>
      <w:r w:rsidR="000F14B1" w:rsidRPr="00997273">
        <w:rPr>
          <w:rFonts w:cs="Times New Roman"/>
          <w:sz w:val="22"/>
          <w:szCs w:val="22"/>
          <w:lang w:val="lt-LT" w:eastAsia="en-US"/>
        </w:rPr>
        <w:t>su insulinu – 9,6</w:t>
      </w:r>
      <w:r w:rsidR="0064111B" w:rsidRPr="00997273">
        <w:rPr>
          <w:rFonts w:cs="Times New Roman"/>
          <w:sz w:val="22"/>
          <w:szCs w:val="22"/>
          <w:lang w:val="lt-LT" w:eastAsia="en-US"/>
        </w:rPr>
        <w:t> </w:t>
      </w:r>
      <w:r w:rsidR="000F14B1" w:rsidRPr="00997273">
        <w:rPr>
          <w:rFonts w:cs="Times New Roman"/>
          <w:sz w:val="22"/>
          <w:szCs w:val="22"/>
          <w:lang w:val="lt-LT" w:eastAsia="en-US"/>
        </w:rPr>
        <w:t>% (žr. 4.4</w:t>
      </w:r>
      <w:r w:rsidR="00EA7938">
        <w:rPr>
          <w:rFonts w:cs="Times New Roman"/>
          <w:sz w:val="22"/>
          <w:szCs w:val="22"/>
          <w:lang w:val="lt-LT" w:eastAsia="en-US"/>
        </w:rPr>
        <w:t> </w:t>
      </w:r>
      <w:r w:rsidR="000F14B1" w:rsidRPr="00997273">
        <w:rPr>
          <w:rFonts w:cs="Times New Roman"/>
          <w:sz w:val="22"/>
          <w:szCs w:val="22"/>
          <w:lang w:val="lt-LT" w:eastAsia="en-US"/>
        </w:rPr>
        <w:t>skyrių).</w:t>
      </w:r>
    </w:p>
    <w:p w14:paraId="45410815" w14:textId="77777777" w:rsidR="000F14B1" w:rsidRPr="00997273" w:rsidRDefault="000F14B1" w:rsidP="000F14B1">
      <w:pPr>
        <w:autoSpaceDE w:val="0"/>
        <w:autoSpaceDN w:val="0"/>
        <w:adjustRightInd w:val="0"/>
        <w:rPr>
          <w:rFonts w:cs="Times New Roman"/>
          <w:sz w:val="22"/>
          <w:szCs w:val="22"/>
          <w:lang w:val="lt-LT" w:eastAsia="en-US"/>
        </w:rPr>
      </w:pPr>
    </w:p>
    <w:p w14:paraId="6ADFDE66" w14:textId="77777777" w:rsidR="000F14B1" w:rsidRPr="00997273" w:rsidRDefault="000F14B1" w:rsidP="000F14B1">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Nepageidaujamų reakcijų santrauka lentelėje</w:t>
      </w:r>
    </w:p>
    <w:p w14:paraId="78C4D565" w14:textId="55875FA9" w:rsidR="000F14B1" w:rsidRPr="00997273" w:rsidRDefault="000F14B1" w:rsidP="000F14B1">
      <w:pPr>
        <w:autoSpaceDE w:val="0"/>
        <w:autoSpaceDN w:val="0"/>
        <w:adjustRightInd w:val="0"/>
        <w:rPr>
          <w:rFonts w:cs="Times New Roman"/>
          <w:sz w:val="22"/>
          <w:szCs w:val="22"/>
          <w:lang w:val="lt-LT" w:eastAsia="en-US"/>
        </w:rPr>
      </w:pPr>
      <w:r w:rsidRPr="00997273">
        <w:rPr>
          <w:rFonts w:cs="Times New Roman"/>
          <w:sz w:val="22"/>
          <w:szCs w:val="22"/>
          <w:lang w:val="lt-LT" w:eastAsia="en-US"/>
        </w:rPr>
        <w:t>Nepageidaujamos reakcijos yra išvard</w:t>
      </w:r>
      <w:r w:rsidR="00EA7938">
        <w:rPr>
          <w:rFonts w:cs="Times New Roman"/>
          <w:sz w:val="22"/>
          <w:szCs w:val="22"/>
          <w:lang w:val="lt-LT" w:eastAsia="en-US"/>
        </w:rPr>
        <w:t>ytos</w:t>
      </w:r>
      <w:r w:rsidRPr="00997273">
        <w:rPr>
          <w:rFonts w:cs="Times New Roman"/>
          <w:sz w:val="22"/>
          <w:szCs w:val="22"/>
          <w:lang w:val="lt-LT" w:eastAsia="en-US"/>
        </w:rPr>
        <w:t xml:space="preserve"> </w:t>
      </w:r>
      <w:r w:rsidR="00EA7938">
        <w:rPr>
          <w:rFonts w:cs="Times New Roman"/>
          <w:sz w:val="22"/>
          <w:szCs w:val="22"/>
          <w:lang w:val="lt-LT" w:eastAsia="en-US"/>
        </w:rPr>
        <w:t>toliau</w:t>
      </w:r>
      <w:r w:rsidRPr="00997273">
        <w:rPr>
          <w:rFonts w:cs="Times New Roman"/>
          <w:sz w:val="22"/>
          <w:szCs w:val="22"/>
          <w:lang w:val="lt-LT" w:eastAsia="en-US"/>
        </w:rPr>
        <w:t xml:space="preserve"> (1</w:t>
      </w:r>
      <w:r w:rsidR="00EA7938">
        <w:rPr>
          <w:rFonts w:cs="Times New Roman"/>
          <w:sz w:val="22"/>
          <w:szCs w:val="22"/>
          <w:lang w:val="lt-LT" w:eastAsia="en-US"/>
        </w:rPr>
        <w:t> </w:t>
      </w:r>
      <w:r w:rsidRPr="00997273">
        <w:rPr>
          <w:rFonts w:cs="Times New Roman"/>
          <w:sz w:val="22"/>
          <w:szCs w:val="22"/>
          <w:lang w:val="lt-LT" w:eastAsia="en-US"/>
        </w:rPr>
        <w:t>lentelė) pagal organų sistemų klases ir</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dažnį. </w:t>
      </w:r>
      <w:r w:rsidR="00EA7938" w:rsidRPr="005D554B">
        <w:rPr>
          <w:snapToGrid w:val="0"/>
          <w:sz w:val="22"/>
          <w:szCs w:val="22"/>
        </w:rPr>
        <w:t xml:space="preserve">Nepageidaujamo poveikio </w:t>
      </w:r>
      <w:r w:rsidR="00EA7938">
        <w:rPr>
          <w:snapToGrid w:val="0"/>
          <w:sz w:val="22"/>
          <w:szCs w:val="22"/>
        </w:rPr>
        <w:t>d</w:t>
      </w:r>
      <w:proofErr w:type="spellStart"/>
      <w:r w:rsidRPr="00997273">
        <w:rPr>
          <w:rFonts w:cs="Times New Roman"/>
          <w:sz w:val="22"/>
          <w:szCs w:val="22"/>
          <w:lang w:val="lt-LT" w:eastAsia="en-US"/>
        </w:rPr>
        <w:t>ažnis</w:t>
      </w:r>
      <w:proofErr w:type="spellEnd"/>
      <w:r w:rsidRPr="00997273">
        <w:rPr>
          <w:rFonts w:cs="Times New Roman"/>
          <w:sz w:val="22"/>
          <w:szCs w:val="22"/>
          <w:lang w:val="lt-LT" w:eastAsia="en-US"/>
        </w:rPr>
        <w:t xml:space="preserve"> apibūdinamas taip: labai dažn</w:t>
      </w:r>
      <w:r w:rsidR="00E13293">
        <w:rPr>
          <w:rFonts w:cs="Times New Roman"/>
          <w:sz w:val="22"/>
          <w:szCs w:val="22"/>
          <w:lang w:val="lt-LT" w:eastAsia="en-US"/>
        </w:rPr>
        <w:t>as</w:t>
      </w:r>
      <w:r w:rsidRPr="00997273">
        <w:rPr>
          <w:rFonts w:cs="Times New Roman"/>
          <w:sz w:val="22"/>
          <w:szCs w:val="22"/>
          <w:lang w:val="lt-LT" w:eastAsia="en-US"/>
        </w:rPr>
        <w:t xml:space="preserve"> (≥</w:t>
      </w:r>
      <w:r w:rsidR="00E13293">
        <w:rPr>
          <w:rFonts w:cs="Times New Roman"/>
          <w:sz w:val="22"/>
          <w:szCs w:val="22"/>
          <w:lang w:val="lt-LT" w:eastAsia="en-US"/>
        </w:rPr>
        <w:t> </w:t>
      </w:r>
      <w:r w:rsidRPr="00997273">
        <w:rPr>
          <w:rFonts w:cs="Times New Roman"/>
          <w:sz w:val="22"/>
          <w:szCs w:val="22"/>
          <w:lang w:val="lt-LT" w:eastAsia="en-US"/>
        </w:rPr>
        <w:t>1/10), dažn</w:t>
      </w:r>
      <w:r w:rsidR="00E13293">
        <w:rPr>
          <w:rFonts w:cs="Times New Roman"/>
          <w:sz w:val="22"/>
          <w:szCs w:val="22"/>
          <w:lang w:val="lt-LT" w:eastAsia="en-US"/>
        </w:rPr>
        <w:t>as</w:t>
      </w:r>
      <w:r w:rsidRPr="00997273">
        <w:rPr>
          <w:rFonts w:cs="Times New Roman"/>
          <w:sz w:val="22"/>
          <w:szCs w:val="22"/>
          <w:lang w:val="lt-LT" w:eastAsia="en-US"/>
        </w:rPr>
        <w:t xml:space="preserve"> (nuo ≥</w:t>
      </w:r>
      <w:r w:rsidR="00E13293">
        <w:rPr>
          <w:rFonts w:cs="Times New Roman"/>
          <w:sz w:val="22"/>
          <w:szCs w:val="22"/>
          <w:lang w:val="lt-LT" w:eastAsia="en-US"/>
        </w:rPr>
        <w:t> </w:t>
      </w:r>
      <w:r w:rsidRPr="00997273">
        <w:rPr>
          <w:rFonts w:cs="Times New Roman"/>
          <w:sz w:val="22"/>
          <w:szCs w:val="22"/>
          <w:lang w:val="lt-LT" w:eastAsia="en-US"/>
        </w:rPr>
        <w:t>1/100 iki &lt;</w:t>
      </w:r>
      <w:r w:rsidR="00E13293">
        <w:rPr>
          <w:rFonts w:cs="Times New Roman"/>
          <w:sz w:val="22"/>
          <w:szCs w:val="22"/>
          <w:lang w:val="lt-LT" w:eastAsia="en-US"/>
        </w:rPr>
        <w:t> </w:t>
      </w:r>
      <w:r w:rsidRPr="00997273">
        <w:rPr>
          <w:rFonts w:cs="Times New Roman"/>
          <w:sz w:val="22"/>
          <w:szCs w:val="22"/>
          <w:lang w:val="lt-LT" w:eastAsia="en-US"/>
        </w:rPr>
        <w:t>1/10), nedažn</w:t>
      </w:r>
      <w:r w:rsidR="00E13293">
        <w:rPr>
          <w:rFonts w:cs="Times New Roman"/>
          <w:sz w:val="22"/>
          <w:szCs w:val="22"/>
          <w:lang w:val="lt-LT" w:eastAsia="en-US"/>
        </w:rPr>
        <w:t>as</w:t>
      </w:r>
      <w:r w:rsidRPr="00997273">
        <w:rPr>
          <w:rFonts w:cs="Times New Roman"/>
          <w:sz w:val="22"/>
          <w:szCs w:val="22"/>
          <w:lang w:val="lt-LT" w:eastAsia="en-US"/>
        </w:rPr>
        <w:t xml:space="preserve"> (nuo</w:t>
      </w:r>
      <w:r w:rsidR="009D16CA" w:rsidRPr="00997273">
        <w:rPr>
          <w:rFonts w:cs="Times New Roman"/>
          <w:sz w:val="22"/>
          <w:szCs w:val="22"/>
          <w:lang w:val="lt-LT" w:eastAsia="en-US"/>
        </w:rPr>
        <w:t xml:space="preserve"> </w:t>
      </w:r>
      <w:r w:rsidRPr="00997273">
        <w:rPr>
          <w:rFonts w:cs="Times New Roman"/>
          <w:sz w:val="22"/>
          <w:szCs w:val="22"/>
          <w:lang w:val="lt-LT" w:eastAsia="en-US"/>
        </w:rPr>
        <w:t>≥</w:t>
      </w:r>
      <w:r w:rsidR="00E13293">
        <w:rPr>
          <w:rFonts w:cs="Times New Roman"/>
          <w:sz w:val="22"/>
          <w:szCs w:val="22"/>
          <w:lang w:val="lt-LT" w:eastAsia="en-US"/>
        </w:rPr>
        <w:t> </w:t>
      </w:r>
      <w:r w:rsidRPr="00997273">
        <w:rPr>
          <w:rFonts w:cs="Times New Roman"/>
          <w:sz w:val="22"/>
          <w:szCs w:val="22"/>
          <w:lang w:val="lt-LT" w:eastAsia="en-US"/>
        </w:rPr>
        <w:t>1/1</w:t>
      </w:r>
      <w:r w:rsidR="00DB541C">
        <w:rPr>
          <w:rFonts w:cs="Times New Roman"/>
          <w:sz w:val="22"/>
          <w:szCs w:val="22"/>
          <w:lang w:val="lt-LT" w:eastAsia="en-US"/>
        </w:rPr>
        <w:t xml:space="preserve"> </w:t>
      </w:r>
      <w:r w:rsidRPr="00997273">
        <w:rPr>
          <w:rFonts w:cs="Times New Roman"/>
          <w:sz w:val="22"/>
          <w:szCs w:val="22"/>
          <w:lang w:val="lt-LT" w:eastAsia="en-US"/>
        </w:rPr>
        <w:t>000 iki &lt;</w:t>
      </w:r>
      <w:r w:rsidRPr="00E13293">
        <w:t xml:space="preserve"> </w:t>
      </w:r>
      <w:r w:rsidRPr="00997273">
        <w:rPr>
          <w:rFonts w:cs="Times New Roman"/>
          <w:sz w:val="22"/>
          <w:szCs w:val="22"/>
          <w:lang w:val="lt-LT" w:eastAsia="en-US"/>
        </w:rPr>
        <w:t>1/100), ret</w:t>
      </w:r>
      <w:r w:rsidR="00E13293">
        <w:rPr>
          <w:rFonts w:cs="Times New Roman"/>
          <w:sz w:val="22"/>
          <w:szCs w:val="22"/>
          <w:lang w:val="lt-LT" w:eastAsia="en-US"/>
        </w:rPr>
        <w:t>as</w:t>
      </w:r>
      <w:r w:rsidRPr="00997273">
        <w:rPr>
          <w:rFonts w:cs="Times New Roman"/>
          <w:sz w:val="22"/>
          <w:szCs w:val="22"/>
          <w:lang w:val="lt-LT" w:eastAsia="en-US"/>
        </w:rPr>
        <w:t xml:space="preserve"> (nuo ≥</w:t>
      </w:r>
      <w:r w:rsidR="00E13293">
        <w:rPr>
          <w:rFonts w:cs="Times New Roman"/>
          <w:sz w:val="22"/>
          <w:szCs w:val="22"/>
          <w:lang w:val="lt-LT" w:eastAsia="en-US"/>
        </w:rPr>
        <w:t> </w:t>
      </w:r>
      <w:r w:rsidRPr="00997273">
        <w:rPr>
          <w:rFonts w:cs="Times New Roman"/>
          <w:sz w:val="22"/>
          <w:szCs w:val="22"/>
          <w:lang w:val="lt-LT" w:eastAsia="en-US"/>
        </w:rPr>
        <w:t>1/10</w:t>
      </w:r>
      <w:r w:rsidR="007F6A50">
        <w:rPr>
          <w:rFonts w:cs="Times New Roman"/>
          <w:sz w:val="22"/>
          <w:szCs w:val="22"/>
          <w:lang w:val="lt-LT" w:eastAsia="en-US"/>
        </w:rPr>
        <w:t xml:space="preserve"> </w:t>
      </w:r>
      <w:r w:rsidRPr="00997273">
        <w:rPr>
          <w:rFonts w:cs="Times New Roman"/>
          <w:sz w:val="22"/>
          <w:szCs w:val="22"/>
          <w:lang w:val="lt-LT" w:eastAsia="en-US"/>
        </w:rPr>
        <w:t>000 iki &lt;</w:t>
      </w:r>
      <w:r w:rsidR="00E13293">
        <w:rPr>
          <w:rFonts w:cs="Times New Roman"/>
          <w:sz w:val="22"/>
          <w:szCs w:val="22"/>
          <w:lang w:val="lt-LT" w:eastAsia="en-US"/>
        </w:rPr>
        <w:t> </w:t>
      </w:r>
      <w:r w:rsidRPr="00997273">
        <w:rPr>
          <w:rFonts w:cs="Times New Roman"/>
          <w:sz w:val="22"/>
          <w:szCs w:val="22"/>
          <w:lang w:val="lt-LT" w:eastAsia="en-US"/>
        </w:rPr>
        <w:t>1/1</w:t>
      </w:r>
      <w:r w:rsidR="007F6A50">
        <w:rPr>
          <w:rFonts w:cs="Times New Roman"/>
          <w:sz w:val="22"/>
          <w:szCs w:val="22"/>
          <w:lang w:val="lt-LT" w:eastAsia="en-US"/>
        </w:rPr>
        <w:t xml:space="preserve"> </w:t>
      </w:r>
      <w:r w:rsidRPr="00997273">
        <w:rPr>
          <w:rFonts w:cs="Times New Roman"/>
          <w:sz w:val="22"/>
          <w:szCs w:val="22"/>
          <w:lang w:val="lt-LT" w:eastAsia="en-US"/>
        </w:rPr>
        <w:t>000), labai ret</w:t>
      </w:r>
      <w:r w:rsidR="00E13293">
        <w:rPr>
          <w:rFonts w:cs="Times New Roman"/>
          <w:sz w:val="22"/>
          <w:szCs w:val="22"/>
          <w:lang w:val="lt-LT" w:eastAsia="en-US"/>
        </w:rPr>
        <w:t>as</w:t>
      </w:r>
      <w:r w:rsidRPr="00997273">
        <w:rPr>
          <w:rFonts w:cs="Times New Roman"/>
          <w:sz w:val="22"/>
          <w:szCs w:val="22"/>
          <w:lang w:val="lt-LT" w:eastAsia="en-US"/>
        </w:rPr>
        <w:t xml:space="preserve"> (&lt;</w:t>
      </w:r>
      <w:r w:rsidR="00E13293">
        <w:rPr>
          <w:rFonts w:cs="Times New Roman"/>
          <w:sz w:val="22"/>
          <w:szCs w:val="22"/>
          <w:lang w:val="lt-LT" w:eastAsia="en-US"/>
        </w:rPr>
        <w:t> </w:t>
      </w:r>
      <w:r w:rsidRPr="00997273">
        <w:rPr>
          <w:rFonts w:cs="Times New Roman"/>
          <w:sz w:val="22"/>
          <w:szCs w:val="22"/>
          <w:lang w:val="lt-LT" w:eastAsia="en-US"/>
        </w:rPr>
        <w:t>1/10</w:t>
      </w:r>
      <w:r w:rsidR="00253D01">
        <w:rPr>
          <w:rFonts w:cs="Times New Roman"/>
          <w:sz w:val="22"/>
          <w:szCs w:val="22"/>
          <w:lang w:val="lt-LT" w:eastAsia="en-US"/>
        </w:rPr>
        <w:t xml:space="preserve"> </w:t>
      </w:r>
      <w:r w:rsidRPr="00997273">
        <w:rPr>
          <w:rFonts w:cs="Times New Roman"/>
          <w:sz w:val="22"/>
          <w:szCs w:val="22"/>
          <w:lang w:val="lt-LT" w:eastAsia="en-US"/>
        </w:rPr>
        <w:t>000) ir dažnis nežinomas</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(negali būti </w:t>
      </w:r>
      <w:r w:rsidR="0064111B" w:rsidRPr="00997273">
        <w:rPr>
          <w:rFonts w:cs="Times New Roman"/>
          <w:sz w:val="22"/>
          <w:szCs w:val="22"/>
          <w:lang w:val="lt-LT" w:eastAsia="en-US"/>
        </w:rPr>
        <w:t xml:space="preserve">apskaičiuotas </w:t>
      </w:r>
      <w:r w:rsidRPr="00997273">
        <w:rPr>
          <w:rFonts w:cs="Times New Roman"/>
          <w:sz w:val="22"/>
          <w:szCs w:val="22"/>
          <w:lang w:val="lt-LT" w:eastAsia="en-US"/>
        </w:rPr>
        <w:t>pagal turimus duomenis).</w:t>
      </w:r>
    </w:p>
    <w:p w14:paraId="323B7848" w14:textId="77777777" w:rsidR="000F14B1" w:rsidRPr="00997273" w:rsidRDefault="000F14B1" w:rsidP="000F14B1">
      <w:pPr>
        <w:autoSpaceDE w:val="0"/>
        <w:autoSpaceDN w:val="0"/>
        <w:adjustRightInd w:val="0"/>
        <w:rPr>
          <w:rFonts w:eastAsia="TimesNewRoman,Bold" w:cs="Times New Roman"/>
          <w:b/>
          <w:bCs/>
          <w:sz w:val="22"/>
          <w:szCs w:val="22"/>
          <w:lang w:val="lt-LT" w:eastAsia="en-US"/>
        </w:rPr>
      </w:pPr>
    </w:p>
    <w:p w14:paraId="2E822DE9" w14:textId="025456C3" w:rsidR="00612A8E" w:rsidRPr="00997273" w:rsidRDefault="000F14B1" w:rsidP="009D16CA">
      <w:pPr>
        <w:autoSpaceDE w:val="0"/>
        <w:autoSpaceDN w:val="0"/>
        <w:adjustRightInd w:val="0"/>
        <w:rPr>
          <w:rFonts w:eastAsia="TimesNewRoman,Bold" w:cs="Times New Roman"/>
          <w:b/>
          <w:bCs/>
          <w:sz w:val="22"/>
          <w:szCs w:val="22"/>
          <w:lang w:val="lt-LT" w:eastAsia="en-US"/>
        </w:rPr>
      </w:pPr>
      <w:r w:rsidRPr="00997273">
        <w:rPr>
          <w:rFonts w:eastAsia="TimesNewRoman,Bold" w:cs="Times New Roman"/>
          <w:b/>
          <w:bCs/>
          <w:sz w:val="22"/>
          <w:szCs w:val="22"/>
          <w:lang w:val="lt-LT" w:eastAsia="en-US"/>
        </w:rPr>
        <w:t>1</w:t>
      </w:r>
      <w:r w:rsidR="00EA7938">
        <w:rPr>
          <w:rFonts w:eastAsia="TimesNewRoman,Bold" w:cs="Times New Roman"/>
          <w:b/>
          <w:bCs/>
          <w:sz w:val="22"/>
          <w:szCs w:val="22"/>
          <w:lang w:val="lt-LT" w:eastAsia="en-US"/>
        </w:rPr>
        <w:t> </w:t>
      </w:r>
      <w:r w:rsidRPr="00997273">
        <w:rPr>
          <w:rFonts w:eastAsia="TimesNewRoman,Bold" w:cs="Times New Roman"/>
          <w:b/>
          <w:bCs/>
          <w:sz w:val="22"/>
          <w:szCs w:val="22"/>
          <w:lang w:val="lt-LT" w:eastAsia="en-US"/>
        </w:rPr>
        <w:t xml:space="preserve">lentelė. Nepageidaujamų reakcijų dažnis placebu kontroliuotų </w:t>
      </w:r>
      <w:proofErr w:type="spellStart"/>
      <w:r w:rsidRPr="00997273">
        <w:rPr>
          <w:rFonts w:eastAsia="TimesNewRoman,Bold" w:cs="Times New Roman"/>
          <w:b/>
          <w:bCs/>
          <w:sz w:val="22"/>
          <w:szCs w:val="22"/>
          <w:lang w:val="lt-LT" w:eastAsia="en-US"/>
        </w:rPr>
        <w:t>sitagliptino</w:t>
      </w:r>
      <w:proofErr w:type="spellEnd"/>
      <w:r w:rsidRPr="00997273">
        <w:rPr>
          <w:rFonts w:eastAsia="TimesNewRoman,Bold" w:cs="Times New Roman"/>
          <w:b/>
          <w:bCs/>
          <w:sz w:val="22"/>
          <w:szCs w:val="22"/>
          <w:lang w:val="lt-LT" w:eastAsia="en-US"/>
        </w:rPr>
        <w:t xml:space="preserve"> </w:t>
      </w:r>
      <w:proofErr w:type="spellStart"/>
      <w:r w:rsidRPr="00997273">
        <w:rPr>
          <w:rFonts w:eastAsia="TimesNewRoman,Bold" w:cs="Times New Roman"/>
          <w:b/>
          <w:bCs/>
          <w:sz w:val="22"/>
          <w:szCs w:val="22"/>
          <w:lang w:val="lt-LT" w:eastAsia="en-US"/>
        </w:rPr>
        <w:t>monoterapijos</w:t>
      </w:r>
      <w:proofErr w:type="spellEnd"/>
      <w:r w:rsidR="009D16CA" w:rsidRPr="00997273">
        <w:rPr>
          <w:rFonts w:eastAsia="TimesNewRoman,Bold" w:cs="Times New Roman"/>
          <w:b/>
          <w:bCs/>
          <w:sz w:val="22"/>
          <w:szCs w:val="22"/>
          <w:lang w:val="lt-LT" w:eastAsia="en-US"/>
        </w:rPr>
        <w:t xml:space="preserve"> </w:t>
      </w:r>
      <w:r w:rsidRPr="00997273">
        <w:rPr>
          <w:rFonts w:eastAsia="TimesNewRoman,Bold" w:cs="Times New Roman"/>
          <w:b/>
          <w:bCs/>
          <w:sz w:val="22"/>
          <w:szCs w:val="22"/>
          <w:lang w:val="lt-LT" w:eastAsia="en-US"/>
        </w:rPr>
        <w:t>klinikinių tyrimų metu ir vaistiniam preparatui esant rinkoje</w:t>
      </w:r>
    </w:p>
    <w:p w14:paraId="53280F9F" w14:textId="77777777" w:rsidR="0056255C" w:rsidRPr="00997273" w:rsidRDefault="0056255C" w:rsidP="000F14B1">
      <w:pPr>
        <w:tabs>
          <w:tab w:val="left" w:pos="567"/>
        </w:tabs>
        <w:autoSpaceDE w:val="0"/>
        <w:autoSpaceDN w:val="0"/>
        <w:adjustRightInd w:val="0"/>
        <w:jc w:val="both"/>
        <w:rPr>
          <w:rFonts w:eastAsia="Times New Roman" w:cs="Times New Roman"/>
          <w:b/>
          <w:i/>
          <w:sz w:val="22"/>
          <w:szCs w:val="22"/>
          <w:lang w:val="lt-LT" w:eastAsia="lt-LT" w:bidi="lt-LT"/>
        </w:rPr>
      </w:pPr>
    </w:p>
    <w:tbl>
      <w:tblPr>
        <w:tblStyle w:val="Lentelstinklelis"/>
        <w:tblW w:w="0" w:type="auto"/>
        <w:tblLook w:val="04A0" w:firstRow="1" w:lastRow="0" w:firstColumn="1" w:lastColumn="0" w:noHBand="0" w:noVBand="1"/>
      </w:tblPr>
      <w:tblGrid>
        <w:gridCol w:w="5483"/>
        <w:gridCol w:w="3578"/>
      </w:tblGrid>
      <w:tr w:rsidR="0056255C" w:rsidRPr="00997273" w14:paraId="080CB984" w14:textId="77777777" w:rsidTr="00A340A3">
        <w:tc>
          <w:tcPr>
            <w:tcW w:w="5637" w:type="dxa"/>
          </w:tcPr>
          <w:p w14:paraId="42EC27A5" w14:textId="77777777" w:rsidR="0056255C" w:rsidRPr="00997273" w:rsidRDefault="0056255C" w:rsidP="00297C23">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b/>
                <w:bCs/>
                <w:sz w:val="22"/>
                <w:szCs w:val="22"/>
                <w:lang w:val="lt-LT" w:eastAsia="en-US"/>
              </w:rPr>
              <w:t>Nepageidaujama reakcija</w:t>
            </w:r>
          </w:p>
        </w:tc>
        <w:tc>
          <w:tcPr>
            <w:tcW w:w="3650" w:type="dxa"/>
          </w:tcPr>
          <w:p w14:paraId="78B9B975" w14:textId="77777777" w:rsidR="0056255C" w:rsidRPr="00997273" w:rsidRDefault="0056255C" w:rsidP="00EA7938">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b/>
                <w:bCs/>
                <w:sz w:val="22"/>
                <w:szCs w:val="22"/>
                <w:lang w:val="lt-LT" w:eastAsia="en-US"/>
              </w:rPr>
              <w:t>Nepageidaujamos reakcijos dažnis</w:t>
            </w:r>
          </w:p>
        </w:tc>
      </w:tr>
      <w:tr w:rsidR="008413D9" w:rsidRPr="00997273" w14:paraId="723C8584" w14:textId="77777777" w:rsidTr="00177DFE">
        <w:tc>
          <w:tcPr>
            <w:tcW w:w="9287" w:type="dxa"/>
            <w:gridSpan w:val="2"/>
          </w:tcPr>
          <w:p w14:paraId="54DB0ADC" w14:textId="49A6C5D5" w:rsidR="008413D9" w:rsidRPr="00997273" w:rsidRDefault="008413D9" w:rsidP="00342937">
            <w:pPr>
              <w:autoSpaceDE w:val="0"/>
              <w:autoSpaceDN w:val="0"/>
              <w:adjustRightInd w:val="0"/>
              <w:rPr>
                <w:rFonts w:eastAsia="TimesNewRoman,Bold" w:cs="Times New Roman"/>
                <w:b/>
                <w:bCs/>
                <w:sz w:val="22"/>
                <w:szCs w:val="22"/>
                <w:lang w:val="lt-LT" w:eastAsia="en-US"/>
              </w:rPr>
            </w:pPr>
            <w:r w:rsidRPr="00997273">
              <w:rPr>
                <w:rFonts w:eastAsia="TimesNewRoman,Bold" w:cs="Times New Roman"/>
                <w:b/>
                <w:bCs/>
                <w:sz w:val="22"/>
                <w:szCs w:val="22"/>
                <w:lang w:val="lt-LT" w:eastAsia="en-US"/>
              </w:rPr>
              <w:t>Kraujo ir limfinės sistemos sutrikimai</w:t>
            </w:r>
          </w:p>
        </w:tc>
      </w:tr>
      <w:tr w:rsidR="008413D9" w:rsidRPr="00997273" w14:paraId="3FD89590" w14:textId="77777777" w:rsidTr="00A340A3">
        <w:tc>
          <w:tcPr>
            <w:tcW w:w="5637" w:type="dxa"/>
          </w:tcPr>
          <w:p w14:paraId="672DF655" w14:textId="6BD768CC" w:rsidR="008413D9" w:rsidRPr="00997273" w:rsidRDefault="005506F9" w:rsidP="00EA7938">
            <w:pPr>
              <w:tabs>
                <w:tab w:val="left" w:pos="567"/>
              </w:tabs>
              <w:autoSpaceDE w:val="0"/>
              <w:autoSpaceDN w:val="0"/>
              <w:adjustRightInd w:val="0"/>
              <w:rPr>
                <w:rFonts w:eastAsia="TimesNewRoman,Bold" w:cs="Times New Roman"/>
                <w:bCs/>
                <w:sz w:val="22"/>
                <w:szCs w:val="22"/>
                <w:lang w:val="lt-LT" w:eastAsia="en-US"/>
              </w:rPr>
            </w:pPr>
            <w:proofErr w:type="spellStart"/>
            <w:r>
              <w:rPr>
                <w:rFonts w:eastAsia="TimesNewRoman,Bold" w:cs="Times New Roman"/>
                <w:bCs/>
                <w:sz w:val="22"/>
                <w:szCs w:val="22"/>
                <w:lang w:val="lt-LT" w:eastAsia="en-US"/>
              </w:rPr>
              <w:t>T</w:t>
            </w:r>
            <w:r w:rsidR="008413D9" w:rsidRPr="00997273">
              <w:rPr>
                <w:rFonts w:eastAsia="TimesNewRoman,Bold" w:cs="Times New Roman"/>
                <w:bCs/>
                <w:sz w:val="22"/>
                <w:szCs w:val="22"/>
                <w:lang w:val="lt-LT" w:eastAsia="en-US"/>
              </w:rPr>
              <w:t>rombocitopenija</w:t>
            </w:r>
            <w:proofErr w:type="spellEnd"/>
          </w:p>
        </w:tc>
        <w:tc>
          <w:tcPr>
            <w:tcW w:w="3650" w:type="dxa"/>
          </w:tcPr>
          <w:p w14:paraId="6950123D" w14:textId="624635C5" w:rsidR="008413D9" w:rsidRPr="00997273" w:rsidRDefault="008413D9" w:rsidP="00342937">
            <w:pPr>
              <w:autoSpaceDE w:val="0"/>
              <w:autoSpaceDN w:val="0"/>
              <w:adjustRightInd w:val="0"/>
              <w:rPr>
                <w:rFonts w:eastAsia="TimesNewRoman,Bold" w:cs="Times New Roman"/>
                <w:bCs/>
                <w:sz w:val="22"/>
                <w:szCs w:val="22"/>
                <w:lang w:val="lt-LT" w:eastAsia="en-US"/>
              </w:rPr>
            </w:pPr>
            <w:r w:rsidRPr="00997273">
              <w:rPr>
                <w:rFonts w:eastAsia="TimesNewRoman,Bold" w:cs="Times New Roman"/>
                <w:bCs/>
                <w:sz w:val="22"/>
                <w:szCs w:val="22"/>
                <w:lang w:val="lt-LT" w:eastAsia="en-US"/>
              </w:rPr>
              <w:t>Ret</w:t>
            </w:r>
            <w:r w:rsidR="00471311">
              <w:rPr>
                <w:rFonts w:eastAsia="TimesNewRoman,Bold" w:cs="Times New Roman"/>
                <w:bCs/>
                <w:sz w:val="22"/>
                <w:szCs w:val="22"/>
                <w:lang w:val="lt-LT" w:eastAsia="en-US"/>
              </w:rPr>
              <w:t>as</w:t>
            </w:r>
          </w:p>
        </w:tc>
      </w:tr>
      <w:tr w:rsidR="00342937" w:rsidRPr="00997273" w14:paraId="038AD6FC" w14:textId="77777777" w:rsidTr="008F244A">
        <w:tc>
          <w:tcPr>
            <w:tcW w:w="9287" w:type="dxa"/>
            <w:gridSpan w:val="2"/>
          </w:tcPr>
          <w:p w14:paraId="6B35A1BE" w14:textId="543843EB" w:rsidR="00342937" w:rsidRPr="00997273" w:rsidRDefault="00342937"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b/>
                <w:bCs/>
                <w:sz w:val="22"/>
                <w:szCs w:val="22"/>
                <w:lang w:val="lt-LT" w:eastAsia="en-US"/>
              </w:rPr>
              <w:t>Imuninės sistemos sutrikimai</w:t>
            </w:r>
          </w:p>
        </w:tc>
      </w:tr>
      <w:tr w:rsidR="0056255C" w:rsidRPr="00997273" w14:paraId="42C0B62E" w14:textId="77777777" w:rsidTr="00A340A3">
        <w:tc>
          <w:tcPr>
            <w:tcW w:w="5637" w:type="dxa"/>
          </w:tcPr>
          <w:p w14:paraId="006636AD" w14:textId="41DC43FC" w:rsidR="0056255C" w:rsidRPr="00997273" w:rsidRDefault="005506F9" w:rsidP="00EA7938">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P</w:t>
            </w:r>
            <w:r w:rsidR="0056255C" w:rsidRPr="00997273">
              <w:rPr>
                <w:rFonts w:eastAsia="TimesNewRoman,Bold" w:cs="Times New Roman"/>
                <w:sz w:val="22"/>
                <w:szCs w:val="22"/>
                <w:lang w:val="lt-LT" w:eastAsia="en-US"/>
              </w:rPr>
              <w:t xml:space="preserve">adidėjusio jautrumo reakcijos, įskaitant </w:t>
            </w:r>
            <w:proofErr w:type="spellStart"/>
            <w:r w:rsidR="0056255C" w:rsidRPr="00997273">
              <w:rPr>
                <w:rFonts w:eastAsia="TimesNewRoman,Bold" w:cs="Times New Roman"/>
                <w:sz w:val="22"/>
                <w:szCs w:val="22"/>
                <w:lang w:val="lt-LT" w:eastAsia="en-US"/>
              </w:rPr>
              <w:t>anafilaksiją</w:t>
            </w:r>
            <w:proofErr w:type="spellEnd"/>
            <w:r w:rsidR="0056255C" w:rsidRPr="00997273">
              <w:rPr>
                <w:rFonts w:eastAsia="TimesNewRoman,Bold" w:cs="Times New Roman"/>
                <w:sz w:val="22"/>
                <w:szCs w:val="22"/>
                <w:vertAlign w:val="superscript"/>
                <w:lang w:val="lt-LT" w:eastAsia="en-US"/>
              </w:rPr>
              <w:t xml:space="preserve"> *,</w:t>
            </w:r>
            <w:r w:rsidR="0056255C" w:rsidRPr="00997273">
              <w:rPr>
                <w:rFonts w:eastAsia="TimesNewRoman,Bold" w:cs="Times New Roman"/>
                <w:b/>
                <w:bCs/>
                <w:sz w:val="22"/>
                <w:szCs w:val="22"/>
                <w:vertAlign w:val="superscript"/>
                <w:lang w:val="lt-LT" w:eastAsia="en-US"/>
              </w:rPr>
              <w:t>†</w:t>
            </w:r>
          </w:p>
        </w:tc>
        <w:tc>
          <w:tcPr>
            <w:tcW w:w="3650" w:type="dxa"/>
          </w:tcPr>
          <w:p w14:paraId="6C4C3601" w14:textId="77777777" w:rsidR="0056255C" w:rsidRPr="00997273" w:rsidRDefault="0056255C" w:rsidP="00A340A3">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342937" w:rsidRPr="00997273" w14:paraId="5AD28C03" w14:textId="77777777" w:rsidTr="008F244A">
        <w:tc>
          <w:tcPr>
            <w:tcW w:w="9287" w:type="dxa"/>
            <w:gridSpan w:val="2"/>
          </w:tcPr>
          <w:p w14:paraId="7619E77D" w14:textId="47B9EE80" w:rsidR="00342937" w:rsidRPr="00997273" w:rsidRDefault="00342937"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b/>
                <w:bCs/>
                <w:sz w:val="22"/>
                <w:szCs w:val="22"/>
                <w:lang w:val="lt-LT" w:eastAsia="en-US"/>
              </w:rPr>
              <w:t>Metabolizmo ir mitybos sutrikimai</w:t>
            </w:r>
          </w:p>
        </w:tc>
      </w:tr>
      <w:tr w:rsidR="0056255C" w:rsidRPr="00997273" w14:paraId="4B08ECAF" w14:textId="77777777" w:rsidTr="00A340A3">
        <w:tc>
          <w:tcPr>
            <w:tcW w:w="5637" w:type="dxa"/>
          </w:tcPr>
          <w:p w14:paraId="5A52349E" w14:textId="3A28E759" w:rsidR="0056255C" w:rsidRPr="00997273" w:rsidRDefault="005506F9" w:rsidP="00EA7938">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H</w:t>
            </w:r>
            <w:r w:rsidR="0056255C" w:rsidRPr="00997273">
              <w:rPr>
                <w:rFonts w:eastAsia="TimesNewRoman,Bold" w:cs="Times New Roman"/>
                <w:sz w:val="22"/>
                <w:szCs w:val="22"/>
                <w:lang w:val="lt-LT" w:eastAsia="en-US"/>
              </w:rPr>
              <w:t>ipoglikemija</w:t>
            </w:r>
            <w:r w:rsidR="0056255C" w:rsidRPr="00997273">
              <w:rPr>
                <w:rFonts w:eastAsia="TimesNewRoman,Bold" w:cs="Times New Roman"/>
                <w:b/>
                <w:bCs/>
                <w:sz w:val="22"/>
                <w:szCs w:val="22"/>
                <w:vertAlign w:val="superscript"/>
                <w:lang w:val="lt-LT" w:eastAsia="en-US"/>
              </w:rPr>
              <w:t xml:space="preserve">† </w:t>
            </w:r>
          </w:p>
        </w:tc>
        <w:tc>
          <w:tcPr>
            <w:tcW w:w="3650" w:type="dxa"/>
          </w:tcPr>
          <w:p w14:paraId="1EB96FF6" w14:textId="109664D5" w:rsidR="0056255C" w:rsidRPr="0099727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w:t>
            </w:r>
            <w:r w:rsidR="00DF54A0">
              <w:rPr>
                <w:rFonts w:eastAsia="TimesNewRoman,Bold" w:cs="Times New Roman"/>
                <w:sz w:val="22"/>
                <w:szCs w:val="22"/>
                <w:lang w:val="lt-LT" w:eastAsia="en-US"/>
              </w:rPr>
              <w:t>as</w:t>
            </w:r>
          </w:p>
        </w:tc>
      </w:tr>
      <w:tr w:rsidR="00342937" w:rsidRPr="00997273" w14:paraId="5AA2B891" w14:textId="77777777" w:rsidTr="008F244A">
        <w:tc>
          <w:tcPr>
            <w:tcW w:w="9287" w:type="dxa"/>
            <w:gridSpan w:val="2"/>
          </w:tcPr>
          <w:p w14:paraId="306CD7E2" w14:textId="74A6FF11" w:rsidR="00342937" w:rsidRPr="00997273" w:rsidRDefault="00342937"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b/>
                <w:bCs/>
                <w:sz w:val="22"/>
                <w:szCs w:val="22"/>
                <w:lang w:val="lt-LT" w:eastAsia="en-US"/>
              </w:rPr>
              <w:t>Nervų sistemos sutrikimai</w:t>
            </w:r>
          </w:p>
        </w:tc>
      </w:tr>
      <w:tr w:rsidR="0056255C" w:rsidRPr="00997273" w14:paraId="6FDC5AEE" w14:textId="77777777" w:rsidTr="00A340A3">
        <w:tc>
          <w:tcPr>
            <w:tcW w:w="5637" w:type="dxa"/>
          </w:tcPr>
          <w:p w14:paraId="2F8F66BF" w14:textId="4E402224" w:rsidR="0056255C" w:rsidRPr="00997273" w:rsidRDefault="005506F9" w:rsidP="00EA7938">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G</w:t>
            </w:r>
            <w:r w:rsidR="0056255C" w:rsidRPr="00997273">
              <w:rPr>
                <w:rFonts w:eastAsia="TimesNewRoman,Bold" w:cs="Times New Roman"/>
                <w:sz w:val="22"/>
                <w:szCs w:val="22"/>
                <w:lang w:val="lt-LT" w:eastAsia="en-US"/>
              </w:rPr>
              <w:t>alvos skausmas</w:t>
            </w:r>
          </w:p>
        </w:tc>
        <w:tc>
          <w:tcPr>
            <w:tcW w:w="3650" w:type="dxa"/>
          </w:tcPr>
          <w:p w14:paraId="2B657F96" w14:textId="7FE63B86" w:rsidR="0056255C" w:rsidRPr="00997273" w:rsidRDefault="0056255C"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w:t>
            </w:r>
            <w:r w:rsidR="00DF54A0">
              <w:rPr>
                <w:rFonts w:eastAsia="TimesNewRoman,Bold" w:cs="Times New Roman"/>
                <w:sz w:val="22"/>
                <w:szCs w:val="22"/>
                <w:lang w:val="lt-LT" w:eastAsia="en-US"/>
              </w:rPr>
              <w:t>as</w:t>
            </w:r>
          </w:p>
        </w:tc>
      </w:tr>
      <w:tr w:rsidR="0056255C" w:rsidRPr="00997273" w14:paraId="37CD1B5C" w14:textId="77777777" w:rsidTr="00A340A3">
        <w:tc>
          <w:tcPr>
            <w:tcW w:w="5637" w:type="dxa"/>
          </w:tcPr>
          <w:p w14:paraId="73995A90" w14:textId="0D6A8CA2" w:rsidR="0056255C" w:rsidRPr="00997273" w:rsidRDefault="005506F9" w:rsidP="00612A8E">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S</w:t>
            </w:r>
            <w:r w:rsidR="0056255C" w:rsidRPr="00997273">
              <w:rPr>
                <w:rFonts w:eastAsia="TimesNewRoman,Bold" w:cs="Times New Roman"/>
                <w:sz w:val="22"/>
                <w:szCs w:val="22"/>
                <w:lang w:val="lt-LT" w:eastAsia="en-US"/>
              </w:rPr>
              <w:t>vaigulys</w:t>
            </w:r>
          </w:p>
        </w:tc>
        <w:tc>
          <w:tcPr>
            <w:tcW w:w="3650" w:type="dxa"/>
          </w:tcPr>
          <w:p w14:paraId="5D343B20" w14:textId="047ACB7D" w:rsidR="0056255C" w:rsidRPr="00997273" w:rsidRDefault="0056255C"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Nedažn</w:t>
            </w:r>
            <w:r w:rsidR="00DF54A0">
              <w:rPr>
                <w:rFonts w:eastAsia="TimesNewRoman,Bold" w:cs="Times New Roman"/>
                <w:sz w:val="22"/>
                <w:szCs w:val="22"/>
                <w:lang w:val="lt-LT" w:eastAsia="en-US"/>
              </w:rPr>
              <w:t>as</w:t>
            </w:r>
          </w:p>
        </w:tc>
      </w:tr>
      <w:tr w:rsidR="00342937" w:rsidRPr="00997273" w14:paraId="470C8740" w14:textId="77777777" w:rsidTr="008F244A">
        <w:tc>
          <w:tcPr>
            <w:tcW w:w="9287" w:type="dxa"/>
            <w:gridSpan w:val="2"/>
          </w:tcPr>
          <w:p w14:paraId="529F5F01" w14:textId="75DD2D22" w:rsidR="00342937" w:rsidRPr="00997273" w:rsidRDefault="00342937" w:rsidP="00A340A3">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b/>
                <w:bCs/>
                <w:sz w:val="22"/>
                <w:szCs w:val="22"/>
                <w:lang w:val="lt-LT" w:eastAsia="en-US"/>
              </w:rPr>
              <w:t>Kvėpavimo sistemos, krūtinės ląstos ir</w:t>
            </w:r>
            <w:r w:rsidR="00A340A3" w:rsidRPr="00997273">
              <w:rPr>
                <w:rFonts w:eastAsia="TimesNewRoman,Bold" w:cs="Times New Roman"/>
                <w:b/>
                <w:bCs/>
                <w:sz w:val="22"/>
                <w:szCs w:val="22"/>
                <w:lang w:val="lt-LT" w:eastAsia="en-US"/>
              </w:rPr>
              <w:t xml:space="preserve"> </w:t>
            </w:r>
            <w:r w:rsidRPr="00997273">
              <w:rPr>
                <w:rFonts w:eastAsia="TimesNewRoman,Bold" w:cs="Times New Roman"/>
                <w:b/>
                <w:bCs/>
                <w:sz w:val="22"/>
                <w:szCs w:val="22"/>
                <w:lang w:val="lt-LT" w:eastAsia="en-US"/>
              </w:rPr>
              <w:t>tarpuplaučio sutrikimai</w:t>
            </w:r>
          </w:p>
        </w:tc>
      </w:tr>
      <w:tr w:rsidR="0056255C" w:rsidRPr="00997273" w14:paraId="45E15691" w14:textId="77777777" w:rsidTr="00A340A3">
        <w:tc>
          <w:tcPr>
            <w:tcW w:w="5637" w:type="dxa"/>
          </w:tcPr>
          <w:p w14:paraId="46AD6C94" w14:textId="4BA1D641" w:rsidR="0056255C" w:rsidRPr="00997273" w:rsidRDefault="005506F9" w:rsidP="00EA7938">
            <w:pPr>
              <w:tabs>
                <w:tab w:val="left" w:pos="567"/>
              </w:tabs>
              <w:autoSpaceDE w:val="0"/>
              <w:autoSpaceDN w:val="0"/>
              <w:adjustRightInd w:val="0"/>
              <w:rPr>
                <w:rFonts w:eastAsia="Times New Roman" w:cs="Times New Roman"/>
                <w:sz w:val="22"/>
                <w:szCs w:val="22"/>
                <w:u w:val="single"/>
                <w:lang w:val="lt-LT" w:eastAsia="lt-LT" w:bidi="lt-LT"/>
              </w:rPr>
            </w:pPr>
            <w:proofErr w:type="spellStart"/>
            <w:r>
              <w:rPr>
                <w:rFonts w:eastAsia="TimesNewRoman,Bold" w:cs="Times New Roman"/>
                <w:sz w:val="22"/>
                <w:szCs w:val="22"/>
                <w:lang w:val="lt-LT" w:eastAsia="en-US"/>
              </w:rPr>
              <w:t>I</w:t>
            </w:r>
            <w:r w:rsidR="0056255C" w:rsidRPr="00997273">
              <w:rPr>
                <w:rFonts w:eastAsia="TimesNewRoman,Bold" w:cs="Times New Roman"/>
                <w:sz w:val="22"/>
                <w:szCs w:val="22"/>
                <w:lang w:val="lt-LT" w:eastAsia="en-US"/>
              </w:rPr>
              <w:t>ntersticinė</w:t>
            </w:r>
            <w:proofErr w:type="spellEnd"/>
            <w:r w:rsidR="0056255C" w:rsidRPr="00997273">
              <w:rPr>
                <w:rFonts w:eastAsia="TimesNewRoman,Bold" w:cs="Times New Roman"/>
                <w:sz w:val="22"/>
                <w:szCs w:val="22"/>
                <w:lang w:val="lt-LT" w:eastAsia="en-US"/>
              </w:rPr>
              <w:t xml:space="preserve"> plaučių liga</w:t>
            </w:r>
            <w:r w:rsidR="0056255C" w:rsidRPr="00997273">
              <w:rPr>
                <w:rFonts w:eastAsia="TimesNewRoman,Bold" w:cs="Times New Roman"/>
                <w:sz w:val="22"/>
                <w:szCs w:val="22"/>
                <w:vertAlign w:val="superscript"/>
                <w:lang w:val="lt-LT" w:eastAsia="en-US"/>
              </w:rPr>
              <w:t>*</w:t>
            </w:r>
          </w:p>
        </w:tc>
        <w:tc>
          <w:tcPr>
            <w:tcW w:w="3650" w:type="dxa"/>
          </w:tcPr>
          <w:p w14:paraId="062B4ACD" w14:textId="77777777" w:rsidR="0056255C" w:rsidRPr="00997273" w:rsidRDefault="0056255C"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342937" w:rsidRPr="00997273" w14:paraId="7B35B917" w14:textId="77777777" w:rsidTr="008F244A">
        <w:tc>
          <w:tcPr>
            <w:tcW w:w="9287" w:type="dxa"/>
            <w:gridSpan w:val="2"/>
          </w:tcPr>
          <w:p w14:paraId="70C2C613" w14:textId="558447A0" w:rsidR="00342937" w:rsidRPr="00997273" w:rsidRDefault="00342937"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b/>
                <w:bCs/>
                <w:sz w:val="22"/>
                <w:szCs w:val="22"/>
                <w:lang w:val="lt-LT" w:eastAsia="en-US"/>
              </w:rPr>
              <w:t>Virškinimo trakto sutrikimai</w:t>
            </w:r>
          </w:p>
        </w:tc>
      </w:tr>
      <w:tr w:rsidR="0056255C" w:rsidRPr="00997273" w14:paraId="384C8115" w14:textId="77777777" w:rsidTr="00A340A3">
        <w:tc>
          <w:tcPr>
            <w:tcW w:w="5637" w:type="dxa"/>
          </w:tcPr>
          <w:p w14:paraId="570AA0AA" w14:textId="1AA54652" w:rsidR="0056255C" w:rsidRPr="00997273" w:rsidRDefault="005506F9" w:rsidP="00EA7938">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V</w:t>
            </w:r>
            <w:r w:rsidR="0056255C" w:rsidRPr="00997273">
              <w:rPr>
                <w:rFonts w:eastAsia="TimesNewRoman,Bold" w:cs="Times New Roman"/>
                <w:sz w:val="22"/>
                <w:szCs w:val="22"/>
                <w:lang w:val="lt-LT" w:eastAsia="en-US"/>
              </w:rPr>
              <w:t>idurių užkietėjimas</w:t>
            </w:r>
          </w:p>
        </w:tc>
        <w:tc>
          <w:tcPr>
            <w:tcW w:w="3650" w:type="dxa"/>
          </w:tcPr>
          <w:p w14:paraId="4DC27698" w14:textId="50C6E832" w:rsidR="0056255C" w:rsidRPr="00997273" w:rsidRDefault="0056255C"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Nedažn</w:t>
            </w:r>
            <w:r w:rsidR="001851D0">
              <w:rPr>
                <w:rFonts w:eastAsia="TimesNewRoman,Bold" w:cs="Times New Roman"/>
                <w:sz w:val="22"/>
                <w:szCs w:val="22"/>
                <w:lang w:val="lt-LT" w:eastAsia="en-US"/>
              </w:rPr>
              <w:t>as</w:t>
            </w:r>
          </w:p>
        </w:tc>
      </w:tr>
      <w:tr w:rsidR="0056255C" w:rsidRPr="00997273" w14:paraId="7958E45D" w14:textId="77777777" w:rsidTr="00A340A3">
        <w:tc>
          <w:tcPr>
            <w:tcW w:w="5637" w:type="dxa"/>
          </w:tcPr>
          <w:p w14:paraId="6A00D0A1" w14:textId="51876EEF" w:rsidR="0056255C" w:rsidRPr="00997273" w:rsidRDefault="005506F9" w:rsidP="00612A8E">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V</w:t>
            </w:r>
            <w:r w:rsidR="0056255C" w:rsidRPr="00997273">
              <w:rPr>
                <w:rFonts w:eastAsia="TimesNewRoman,Bold" w:cs="Times New Roman"/>
                <w:sz w:val="22"/>
                <w:szCs w:val="22"/>
                <w:lang w:val="lt-LT" w:eastAsia="en-US"/>
              </w:rPr>
              <w:t>ėmimas</w:t>
            </w:r>
            <w:r w:rsidR="0056255C" w:rsidRPr="00997273">
              <w:rPr>
                <w:rFonts w:eastAsia="TimesNewRoman,Bold" w:cs="Times New Roman"/>
                <w:sz w:val="22"/>
                <w:szCs w:val="22"/>
                <w:vertAlign w:val="superscript"/>
                <w:lang w:val="lt-LT" w:eastAsia="en-US"/>
              </w:rPr>
              <w:t>*</w:t>
            </w:r>
          </w:p>
        </w:tc>
        <w:tc>
          <w:tcPr>
            <w:tcW w:w="3650" w:type="dxa"/>
          </w:tcPr>
          <w:p w14:paraId="3C508DB3" w14:textId="77777777" w:rsidR="0056255C" w:rsidRPr="00997273" w:rsidRDefault="0056255C"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56255C" w:rsidRPr="00997273" w14:paraId="4482E4E1" w14:textId="77777777" w:rsidTr="00A340A3">
        <w:tc>
          <w:tcPr>
            <w:tcW w:w="5637" w:type="dxa"/>
          </w:tcPr>
          <w:p w14:paraId="623DC9E8" w14:textId="53B7BB0A" w:rsidR="0056255C" w:rsidRPr="00997273" w:rsidRDefault="005506F9" w:rsidP="00612A8E">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Ū</w:t>
            </w:r>
            <w:r w:rsidR="0056255C" w:rsidRPr="00997273">
              <w:rPr>
                <w:rFonts w:eastAsia="TimesNewRoman,Bold" w:cs="Times New Roman"/>
                <w:sz w:val="22"/>
                <w:szCs w:val="22"/>
                <w:lang w:val="lt-LT" w:eastAsia="en-US"/>
              </w:rPr>
              <w:t>minis pankreatitas</w:t>
            </w:r>
            <w:r w:rsidR="0056255C" w:rsidRPr="00997273">
              <w:rPr>
                <w:rFonts w:eastAsia="TimesNewRoman,Bold" w:cs="Times New Roman"/>
                <w:sz w:val="22"/>
                <w:szCs w:val="22"/>
                <w:vertAlign w:val="superscript"/>
                <w:lang w:val="lt-LT" w:eastAsia="en-US"/>
              </w:rPr>
              <w:t>*,</w:t>
            </w:r>
            <w:r w:rsidR="0056255C" w:rsidRPr="00997273">
              <w:rPr>
                <w:rFonts w:eastAsia="TimesNewRoman,Bold" w:cs="Times New Roman"/>
                <w:b/>
                <w:bCs/>
                <w:sz w:val="22"/>
                <w:szCs w:val="22"/>
                <w:vertAlign w:val="superscript"/>
                <w:lang w:val="lt-LT" w:eastAsia="en-US"/>
              </w:rPr>
              <w:t>†</w:t>
            </w:r>
            <w:r w:rsidR="0056255C" w:rsidRPr="00997273">
              <w:rPr>
                <w:rFonts w:eastAsia="TimesNewRoman,Bold" w:cs="Times New Roman"/>
                <w:sz w:val="22"/>
                <w:szCs w:val="22"/>
                <w:vertAlign w:val="superscript"/>
                <w:lang w:val="lt-LT" w:eastAsia="en-US"/>
              </w:rPr>
              <w:t>,‡</w:t>
            </w:r>
          </w:p>
        </w:tc>
        <w:tc>
          <w:tcPr>
            <w:tcW w:w="3650" w:type="dxa"/>
          </w:tcPr>
          <w:p w14:paraId="7777A85D" w14:textId="77777777" w:rsidR="0056255C" w:rsidRPr="00997273" w:rsidRDefault="0056255C"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56255C" w:rsidRPr="00997273" w14:paraId="76FCD7D5" w14:textId="77777777" w:rsidTr="00A340A3">
        <w:tc>
          <w:tcPr>
            <w:tcW w:w="5637" w:type="dxa"/>
          </w:tcPr>
          <w:p w14:paraId="6C93778F" w14:textId="4A8F3DE8" w:rsidR="0056255C" w:rsidRPr="00997273" w:rsidRDefault="005506F9" w:rsidP="00342937">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M</w:t>
            </w:r>
            <w:r w:rsidR="0056255C" w:rsidRPr="00997273">
              <w:rPr>
                <w:rFonts w:eastAsia="TimesNewRoman,Bold" w:cs="Times New Roman"/>
                <w:sz w:val="22"/>
                <w:szCs w:val="22"/>
                <w:lang w:val="lt-LT" w:eastAsia="en-US"/>
              </w:rPr>
              <w:t xml:space="preserve">irtinas ar nemirtinas hemoraginis ar </w:t>
            </w:r>
            <w:proofErr w:type="spellStart"/>
            <w:r w:rsidR="0056255C" w:rsidRPr="00997273">
              <w:rPr>
                <w:rFonts w:eastAsia="TimesNewRoman,Bold" w:cs="Times New Roman"/>
                <w:sz w:val="22"/>
                <w:szCs w:val="22"/>
                <w:lang w:val="lt-LT" w:eastAsia="en-US"/>
              </w:rPr>
              <w:t>nekrotizuojantis</w:t>
            </w:r>
            <w:proofErr w:type="spellEnd"/>
            <w:r w:rsidR="0056255C" w:rsidRPr="00997273">
              <w:rPr>
                <w:rFonts w:eastAsia="TimesNewRoman,Bold" w:cs="Times New Roman"/>
                <w:sz w:val="22"/>
                <w:szCs w:val="22"/>
                <w:lang w:val="lt-LT" w:eastAsia="en-US"/>
              </w:rPr>
              <w:t xml:space="preserve"> pankreatitas</w:t>
            </w:r>
            <w:r w:rsidR="0056255C" w:rsidRPr="00297C23">
              <w:rPr>
                <w:rFonts w:eastAsia="TimesNewRoman,Bold" w:cs="Times New Roman"/>
                <w:sz w:val="22"/>
                <w:szCs w:val="22"/>
                <w:vertAlign w:val="superscript"/>
                <w:lang w:val="lt-LT" w:eastAsia="en-US"/>
              </w:rPr>
              <w:t>*,</w:t>
            </w:r>
            <w:r w:rsidR="0056255C" w:rsidRPr="00297C23">
              <w:rPr>
                <w:rFonts w:eastAsia="TimesNewRoman,Bold" w:cs="Times New Roman"/>
                <w:b/>
                <w:bCs/>
                <w:sz w:val="22"/>
                <w:szCs w:val="22"/>
                <w:vertAlign w:val="superscript"/>
                <w:lang w:val="lt-LT" w:eastAsia="en-US"/>
              </w:rPr>
              <w:t>†</w:t>
            </w:r>
          </w:p>
        </w:tc>
        <w:tc>
          <w:tcPr>
            <w:tcW w:w="3650" w:type="dxa"/>
          </w:tcPr>
          <w:p w14:paraId="705E9166" w14:textId="77777777" w:rsidR="0056255C" w:rsidRPr="00997273" w:rsidRDefault="0056255C" w:rsidP="00B85FD3">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342937" w:rsidRPr="00997273" w14:paraId="25D59108" w14:textId="77777777" w:rsidTr="008F244A">
        <w:tc>
          <w:tcPr>
            <w:tcW w:w="9287" w:type="dxa"/>
            <w:gridSpan w:val="2"/>
          </w:tcPr>
          <w:p w14:paraId="5CF1083A" w14:textId="79C6962F" w:rsidR="00342937" w:rsidRPr="00997273" w:rsidRDefault="00342937"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b/>
                <w:bCs/>
                <w:sz w:val="22"/>
                <w:szCs w:val="22"/>
                <w:lang w:val="lt-LT" w:eastAsia="en-US"/>
              </w:rPr>
              <w:t>Odos ir poodinio audinio sutrikimai</w:t>
            </w:r>
          </w:p>
        </w:tc>
      </w:tr>
      <w:tr w:rsidR="0056255C" w:rsidRPr="00997273" w14:paraId="24FF73AA" w14:textId="77777777" w:rsidTr="00A340A3">
        <w:tc>
          <w:tcPr>
            <w:tcW w:w="5637" w:type="dxa"/>
          </w:tcPr>
          <w:p w14:paraId="0D29B255" w14:textId="5B54764B" w:rsidR="0056255C" w:rsidRPr="00997273" w:rsidRDefault="005506F9" w:rsidP="00A340A3">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N</w:t>
            </w:r>
            <w:r w:rsidR="0056255C" w:rsidRPr="00997273">
              <w:rPr>
                <w:rFonts w:eastAsia="TimesNewRoman,Bold" w:cs="Times New Roman"/>
                <w:sz w:val="22"/>
                <w:szCs w:val="22"/>
                <w:lang w:val="lt-LT" w:eastAsia="en-US"/>
              </w:rPr>
              <w:t>iež</w:t>
            </w:r>
            <w:r w:rsidR="00364EB9">
              <w:rPr>
                <w:rFonts w:eastAsia="TimesNewRoman,Bold" w:cs="Times New Roman"/>
                <w:sz w:val="22"/>
                <w:szCs w:val="22"/>
                <w:lang w:val="lt-LT" w:eastAsia="en-US"/>
              </w:rPr>
              <w:t>ėjima</w:t>
            </w:r>
            <w:r w:rsidR="00A340A3" w:rsidRPr="00997273">
              <w:rPr>
                <w:rFonts w:eastAsia="TimesNewRoman,Bold" w:cs="Times New Roman"/>
                <w:sz w:val="22"/>
                <w:szCs w:val="22"/>
                <w:lang w:val="lt-LT" w:eastAsia="en-US"/>
              </w:rPr>
              <w:t>s</w:t>
            </w:r>
            <w:r w:rsidR="0056255C" w:rsidRPr="00997273">
              <w:rPr>
                <w:rFonts w:eastAsia="TimesNewRoman,Bold" w:cs="Times New Roman"/>
                <w:sz w:val="22"/>
                <w:szCs w:val="22"/>
                <w:vertAlign w:val="superscript"/>
                <w:lang w:val="lt-LT" w:eastAsia="en-US"/>
              </w:rPr>
              <w:t>*</w:t>
            </w:r>
          </w:p>
        </w:tc>
        <w:tc>
          <w:tcPr>
            <w:tcW w:w="3650" w:type="dxa"/>
          </w:tcPr>
          <w:p w14:paraId="13AB12DD" w14:textId="18758B12" w:rsidR="0056255C" w:rsidRPr="00997273" w:rsidRDefault="0056255C"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Nedažn</w:t>
            </w:r>
            <w:r w:rsidR="001851D0">
              <w:rPr>
                <w:rFonts w:eastAsia="TimesNewRoman,Bold" w:cs="Times New Roman"/>
                <w:sz w:val="22"/>
                <w:szCs w:val="22"/>
                <w:lang w:val="lt-LT" w:eastAsia="en-US"/>
              </w:rPr>
              <w:t>as</w:t>
            </w:r>
          </w:p>
        </w:tc>
      </w:tr>
      <w:tr w:rsidR="0056255C" w:rsidRPr="00997273" w14:paraId="70AB4F17" w14:textId="77777777" w:rsidTr="00A340A3">
        <w:tc>
          <w:tcPr>
            <w:tcW w:w="5637" w:type="dxa"/>
          </w:tcPr>
          <w:p w14:paraId="77051041" w14:textId="524B015F" w:rsidR="0056255C" w:rsidRPr="00997273" w:rsidRDefault="005506F9" w:rsidP="00EA7938">
            <w:pPr>
              <w:tabs>
                <w:tab w:val="left" w:pos="567"/>
              </w:tabs>
              <w:autoSpaceDE w:val="0"/>
              <w:autoSpaceDN w:val="0"/>
              <w:adjustRightInd w:val="0"/>
              <w:rPr>
                <w:rFonts w:eastAsia="Times New Roman" w:cs="Times New Roman"/>
                <w:sz w:val="22"/>
                <w:szCs w:val="22"/>
                <w:u w:val="single"/>
                <w:lang w:val="lt-LT" w:eastAsia="lt-LT" w:bidi="lt-LT"/>
              </w:rPr>
            </w:pPr>
            <w:proofErr w:type="spellStart"/>
            <w:r>
              <w:rPr>
                <w:rFonts w:eastAsia="TimesNewRoman,Bold" w:cs="Times New Roman"/>
                <w:sz w:val="22"/>
                <w:szCs w:val="22"/>
                <w:lang w:val="lt-LT" w:eastAsia="en-US"/>
              </w:rPr>
              <w:t>A</w:t>
            </w:r>
            <w:r w:rsidR="0056255C" w:rsidRPr="00997273">
              <w:rPr>
                <w:rFonts w:eastAsia="TimesNewRoman,Bold" w:cs="Times New Roman"/>
                <w:sz w:val="22"/>
                <w:szCs w:val="22"/>
                <w:lang w:val="lt-LT" w:eastAsia="en-US"/>
              </w:rPr>
              <w:t>ngioneurozinė</w:t>
            </w:r>
            <w:proofErr w:type="spellEnd"/>
            <w:r w:rsidR="0056255C" w:rsidRPr="00997273">
              <w:rPr>
                <w:rFonts w:eastAsia="TimesNewRoman,Bold" w:cs="Times New Roman"/>
                <w:sz w:val="22"/>
                <w:szCs w:val="22"/>
                <w:lang w:val="lt-LT" w:eastAsia="en-US"/>
              </w:rPr>
              <w:t xml:space="preserve"> edema</w:t>
            </w:r>
            <w:r w:rsidR="0056255C" w:rsidRPr="00997273">
              <w:rPr>
                <w:rFonts w:eastAsia="TimesNewRoman,Bold" w:cs="Times New Roman"/>
                <w:sz w:val="22"/>
                <w:szCs w:val="22"/>
                <w:vertAlign w:val="superscript"/>
                <w:lang w:val="lt-LT" w:eastAsia="en-US"/>
              </w:rPr>
              <w:t>*,</w:t>
            </w:r>
            <w:r w:rsidR="0056255C" w:rsidRPr="00997273">
              <w:rPr>
                <w:rFonts w:eastAsia="TimesNewRoman,Bold" w:cs="Times New Roman"/>
                <w:b/>
                <w:bCs/>
                <w:sz w:val="22"/>
                <w:szCs w:val="22"/>
                <w:vertAlign w:val="superscript"/>
                <w:lang w:val="lt-LT" w:eastAsia="en-US"/>
              </w:rPr>
              <w:t>†</w:t>
            </w:r>
          </w:p>
        </w:tc>
        <w:tc>
          <w:tcPr>
            <w:tcW w:w="3650" w:type="dxa"/>
          </w:tcPr>
          <w:p w14:paraId="184D831B" w14:textId="77777777" w:rsidR="0056255C" w:rsidRPr="00997273" w:rsidRDefault="0056255C"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56255C" w:rsidRPr="00997273" w14:paraId="327BDFA3" w14:textId="77777777" w:rsidTr="00A340A3">
        <w:tc>
          <w:tcPr>
            <w:tcW w:w="5637" w:type="dxa"/>
          </w:tcPr>
          <w:p w14:paraId="77060C9B" w14:textId="22808975" w:rsidR="0056255C" w:rsidRPr="00997273" w:rsidRDefault="005506F9" w:rsidP="00342937">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I</w:t>
            </w:r>
            <w:r w:rsidR="0056255C" w:rsidRPr="00997273">
              <w:rPr>
                <w:rFonts w:eastAsia="TimesNewRoman,Bold" w:cs="Times New Roman"/>
                <w:sz w:val="22"/>
                <w:szCs w:val="22"/>
                <w:lang w:val="lt-LT" w:eastAsia="en-US"/>
              </w:rPr>
              <w:t>šbėrimas</w:t>
            </w:r>
            <w:r w:rsidR="0056255C" w:rsidRPr="00997273">
              <w:rPr>
                <w:rFonts w:eastAsia="TimesNewRoman,Bold" w:cs="Times New Roman"/>
                <w:sz w:val="22"/>
                <w:szCs w:val="22"/>
                <w:vertAlign w:val="superscript"/>
                <w:lang w:val="lt-LT" w:eastAsia="en-US"/>
              </w:rPr>
              <w:t>*,</w:t>
            </w:r>
            <w:r w:rsidR="0056255C" w:rsidRPr="00997273">
              <w:rPr>
                <w:rFonts w:eastAsia="TimesNewRoman,Bold" w:cs="Times New Roman"/>
                <w:b/>
                <w:bCs/>
                <w:sz w:val="22"/>
                <w:szCs w:val="22"/>
                <w:vertAlign w:val="superscript"/>
                <w:lang w:val="lt-LT" w:eastAsia="en-US"/>
              </w:rPr>
              <w:t xml:space="preserve">† </w:t>
            </w:r>
          </w:p>
        </w:tc>
        <w:tc>
          <w:tcPr>
            <w:tcW w:w="3650" w:type="dxa"/>
          </w:tcPr>
          <w:p w14:paraId="3E1E7BB0" w14:textId="77777777" w:rsidR="0056255C" w:rsidRPr="0099727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56255C" w:rsidRPr="00997273" w14:paraId="3E1B06C0" w14:textId="77777777" w:rsidTr="00A340A3">
        <w:tc>
          <w:tcPr>
            <w:tcW w:w="5637" w:type="dxa"/>
          </w:tcPr>
          <w:p w14:paraId="553F3BBE" w14:textId="38260F38" w:rsidR="0056255C" w:rsidRPr="00997273" w:rsidRDefault="005506F9" w:rsidP="00EA7938">
            <w:pPr>
              <w:tabs>
                <w:tab w:val="left" w:pos="567"/>
              </w:tabs>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D</w:t>
            </w:r>
            <w:r w:rsidR="0056255C" w:rsidRPr="00997273">
              <w:rPr>
                <w:rFonts w:eastAsia="TimesNewRoman,Bold" w:cs="Times New Roman"/>
                <w:sz w:val="22"/>
                <w:szCs w:val="22"/>
                <w:lang w:val="lt-LT" w:eastAsia="en-US"/>
              </w:rPr>
              <w:t>ilgėlinė</w:t>
            </w:r>
            <w:r w:rsidR="0056255C" w:rsidRPr="00997273">
              <w:rPr>
                <w:rFonts w:eastAsia="TimesNewRoman,Bold" w:cs="Times New Roman"/>
                <w:sz w:val="22"/>
                <w:szCs w:val="22"/>
                <w:vertAlign w:val="superscript"/>
                <w:lang w:val="lt-LT" w:eastAsia="en-US"/>
              </w:rPr>
              <w:t>*,</w:t>
            </w:r>
            <w:r w:rsidR="0056255C" w:rsidRPr="00997273">
              <w:rPr>
                <w:rFonts w:eastAsia="TimesNewRoman,Bold" w:cs="Times New Roman"/>
                <w:b/>
                <w:bCs/>
                <w:sz w:val="22"/>
                <w:szCs w:val="22"/>
                <w:vertAlign w:val="superscript"/>
                <w:lang w:val="lt-LT" w:eastAsia="en-US"/>
              </w:rPr>
              <w:t>†</w:t>
            </w:r>
          </w:p>
        </w:tc>
        <w:tc>
          <w:tcPr>
            <w:tcW w:w="3650" w:type="dxa"/>
          </w:tcPr>
          <w:p w14:paraId="75E3C575" w14:textId="77777777" w:rsidR="0056255C" w:rsidRPr="00997273" w:rsidRDefault="0056255C"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56255C" w:rsidRPr="00997273" w14:paraId="228DE0D6" w14:textId="77777777" w:rsidTr="00A340A3">
        <w:tc>
          <w:tcPr>
            <w:tcW w:w="5637" w:type="dxa"/>
          </w:tcPr>
          <w:p w14:paraId="2DDEC726" w14:textId="27229649" w:rsidR="0056255C" w:rsidRPr="00997273" w:rsidRDefault="005506F9" w:rsidP="00380F6B">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O</w:t>
            </w:r>
            <w:r w:rsidR="00380F6B">
              <w:rPr>
                <w:rFonts w:eastAsia="TimesNewRoman,Bold" w:cs="Times New Roman"/>
                <w:sz w:val="22"/>
                <w:szCs w:val="22"/>
                <w:lang w:val="lt-LT" w:eastAsia="en-US"/>
              </w:rPr>
              <w:t xml:space="preserve">dos </w:t>
            </w:r>
            <w:proofErr w:type="spellStart"/>
            <w:r w:rsidR="00380F6B">
              <w:rPr>
                <w:rFonts w:eastAsia="TimesNewRoman,Bold" w:cs="Times New Roman"/>
                <w:sz w:val="22"/>
                <w:szCs w:val="22"/>
                <w:lang w:val="lt-LT" w:eastAsia="en-US"/>
              </w:rPr>
              <w:t>v</w:t>
            </w:r>
            <w:r w:rsidR="0056255C" w:rsidRPr="00997273">
              <w:rPr>
                <w:rFonts w:eastAsia="TimesNewRoman,Bold" w:cs="Times New Roman"/>
                <w:sz w:val="22"/>
                <w:szCs w:val="22"/>
                <w:lang w:val="lt-LT" w:eastAsia="en-US"/>
              </w:rPr>
              <w:t>askulitas</w:t>
            </w:r>
            <w:proofErr w:type="spellEnd"/>
            <w:r w:rsidR="0056255C" w:rsidRPr="00997273">
              <w:rPr>
                <w:rFonts w:eastAsia="TimesNewRoman,Bold" w:cs="Times New Roman"/>
                <w:sz w:val="22"/>
                <w:szCs w:val="22"/>
                <w:vertAlign w:val="superscript"/>
                <w:lang w:val="lt-LT" w:eastAsia="en-US"/>
              </w:rPr>
              <w:t>*,</w:t>
            </w:r>
            <w:r w:rsidR="0056255C" w:rsidRPr="00997273">
              <w:rPr>
                <w:rFonts w:eastAsia="TimesNewRoman,Bold" w:cs="Times New Roman"/>
                <w:b/>
                <w:bCs/>
                <w:sz w:val="22"/>
                <w:szCs w:val="22"/>
                <w:vertAlign w:val="superscript"/>
                <w:lang w:val="lt-LT" w:eastAsia="en-US"/>
              </w:rPr>
              <w:t xml:space="preserve">† </w:t>
            </w:r>
          </w:p>
        </w:tc>
        <w:tc>
          <w:tcPr>
            <w:tcW w:w="3650" w:type="dxa"/>
          </w:tcPr>
          <w:p w14:paraId="568AB6A6" w14:textId="77777777" w:rsidR="0056255C" w:rsidRPr="0099727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56255C" w:rsidRPr="00997273" w14:paraId="34E2B3D8" w14:textId="77777777" w:rsidTr="00A340A3">
        <w:tc>
          <w:tcPr>
            <w:tcW w:w="5637" w:type="dxa"/>
          </w:tcPr>
          <w:p w14:paraId="37F7461D" w14:textId="0797C710" w:rsidR="0056255C" w:rsidRPr="00997273" w:rsidRDefault="00EA7938" w:rsidP="00EA7938">
            <w:pPr>
              <w:autoSpaceDE w:val="0"/>
              <w:autoSpaceDN w:val="0"/>
              <w:adjustRightInd w:val="0"/>
              <w:rPr>
                <w:rFonts w:eastAsia="Times New Roman" w:cs="Times New Roman"/>
                <w:sz w:val="22"/>
                <w:szCs w:val="22"/>
                <w:u w:val="single"/>
                <w:lang w:val="lt-LT" w:eastAsia="lt-LT" w:bidi="lt-LT"/>
              </w:rPr>
            </w:pPr>
            <w:proofErr w:type="spellStart"/>
            <w:r>
              <w:rPr>
                <w:rFonts w:eastAsia="TimesNewRoman,Bold" w:cs="Times New Roman"/>
                <w:sz w:val="22"/>
                <w:szCs w:val="22"/>
                <w:lang w:val="lt-LT" w:eastAsia="en-US"/>
              </w:rPr>
              <w:lastRenderedPageBreak/>
              <w:t>e</w:t>
            </w:r>
            <w:r w:rsidR="0056255C" w:rsidRPr="00997273">
              <w:rPr>
                <w:rFonts w:eastAsia="TimesNewRoman,Bold" w:cs="Times New Roman"/>
                <w:sz w:val="22"/>
                <w:szCs w:val="22"/>
                <w:lang w:val="lt-LT" w:eastAsia="en-US"/>
              </w:rPr>
              <w:t>ksfoliacinės</w:t>
            </w:r>
            <w:proofErr w:type="spellEnd"/>
            <w:r w:rsidR="0056255C" w:rsidRPr="00997273">
              <w:rPr>
                <w:rFonts w:eastAsia="TimesNewRoman,Bold" w:cs="Times New Roman"/>
                <w:sz w:val="22"/>
                <w:szCs w:val="22"/>
                <w:lang w:val="lt-LT" w:eastAsia="en-US"/>
              </w:rPr>
              <w:t xml:space="preserve"> odos būklės, </w:t>
            </w:r>
            <w:r w:rsidR="00E513B2">
              <w:rPr>
                <w:rFonts w:eastAsia="TimesNewRoman,Bold" w:cs="Times New Roman"/>
                <w:sz w:val="22"/>
                <w:szCs w:val="22"/>
                <w:lang w:val="lt-LT" w:eastAsia="en-US"/>
              </w:rPr>
              <w:t xml:space="preserve">įskaitant </w:t>
            </w:r>
            <w:proofErr w:type="spellStart"/>
            <w:r w:rsidR="00E513B2">
              <w:rPr>
                <w:rFonts w:eastAsia="TimesNewRoman,Bold" w:cs="Times New Roman"/>
                <w:sz w:val="22"/>
                <w:szCs w:val="22"/>
                <w:lang w:val="lt-LT" w:eastAsia="en-US"/>
              </w:rPr>
              <w:t>Stivenso</w:t>
            </w:r>
            <w:proofErr w:type="spellEnd"/>
            <w:r w:rsidR="00E513B2">
              <w:rPr>
                <w:rFonts w:eastAsia="TimesNewRoman,Bold" w:cs="Times New Roman"/>
                <w:sz w:val="22"/>
                <w:szCs w:val="22"/>
                <w:lang w:val="lt-LT" w:eastAsia="en-US"/>
              </w:rPr>
              <w:t>-Džonsono (</w:t>
            </w:r>
            <w:proofErr w:type="spellStart"/>
            <w:r w:rsidR="0056255C" w:rsidRPr="00A45AAA">
              <w:rPr>
                <w:rFonts w:eastAsia="TimesNewRoman,Italic" w:cs="Times New Roman"/>
                <w:i/>
                <w:sz w:val="22"/>
                <w:szCs w:val="22"/>
                <w:lang w:val="lt-LT" w:eastAsia="en-US"/>
              </w:rPr>
              <w:t>Stevens-Johnson</w:t>
            </w:r>
            <w:proofErr w:type="spellEnd"/>
            <w:r w:rsidR="0093461E" w:rsidRPr="0093461E">
              <w:rPr>
                <w:rFonts w:eastAsia="TimesNewRoman,Italic" w:cs="Times New Roman"/>
                <w:sz w:val="22"/>
                <w:szCs w:val="22"/>
                <w:lang w:val="lt-LT" w:eastAsia="en-US"/>
              </w:rPr>
              <w:t>)</w:t>
            </w:r>
            <w:r w:rsidR="00A340A3" w:rsidRPr="00997273">
              <w:rPr>
                <w:rFonts w:eastAsia="TimesNewRoman,Italic" w:cs="Times New Roman"/>
                <w:i/>
                <w:iCs/>
                <w:sz w:val="22"/>
                <w:szCs w:val="22"/>
                <w:lang w:val="lt-LT" w:eastAsia="en-US"/>
              </w:rPr>
              <w:t xml:space="preserve"> </w:t>
            </w:r>
            <w:r w:rsidR="0056255C" w:rsidRPr="00997273">
              <w:rPr>
                <w:rFonts w:eastAsia="TimesNewRoman,Bold" w:cs="Times New Roman"/>
                <w:sz w:val="22"/>
                <w:szCs w:val="22"/>
                <w:lang w:val="lt-LT" w:eastAsia="en-US"/>
              </w:rPr>
              <w:t>sindrom</w:t>
            </w:r>
            <w:r w:rsidR="0093461E">
              <w:rPr>
                <w:rFonts w:eastAsia="TimesNewRoman,Bold" w:cs="Times New Roman"/>
                <w:sz w:val="22"/>
                <w:szCs w:val="22"/>
                <w:lang w:val="lt-LT" w:eastAsia="en-US"/>
              </w:rPr>
              <w:t>ą</w:t>
            </w:r>
            <w:r w:rsidR="0056255C" w:rsidRPr="00997273">
              <w:rPr>
                <w:rFonts w:eastAsia="TimesNewRoman,Bold" w:cs="Times New Roman"/>
                <w:sz w:val="22"/>
                <w:szCs w:val="22"/>
                <w:vertAlign w:val="superscript"/>
                <w:lang w:val="lt-LT" w:eastAsia="en-US"/>
              </w:rPr>
              <w:t>*,</w:t>
            </w:r>
            <w:r w:rsidR="0056255C" w:rsidRPr="00997273">
              <w:rPr>
                <w:rFonts w:eastAsia="TimesNewRoman,Bold" w:cs="Times New Roman"/>
                <w:b/>
                <w:bCs/>
                <w:sz w:val="22"/>
                <w:szCs w:val="22"/>
                <w:vertAlign w:val="superscript"/>
                <w:lang w:val="lt-LT" w:eastAsia="en-US"/>
              </w:rPr>
              <w:t xml:space="preserve">† </w:t>
            </w:r>
          </w:p>
        </w:tc>
        <w:tc>
          <w:tcPr>
            <w:tcW w:w="3650" w:type="dxa"/>
          </w:tcPr>
          <w:p w14:paraId="24498E3E" w14:textId="77777777" w:rsidR="0056255C" w:rsidRPr="0099727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56255C" w:rsidRPr="00997273" w14:paraId="57EB45C6" w14:textId="77777777" w:rsidTr="00A340A3">
        <w:tc>
          <w:tcPr>
            <w:tcW w:w="5637" w:type="dxa"/>
          </w:tcPr>
          <w:p w14:paraId="781A3EB5" w14:textId="74EC382C" w:rsidR="0056255C" w:rsidRPr="00997273" w:rsidRDefault="005506F9" w:rsidP="0056255C">
            <w:pPr>
              <w:tabs>
                <w:tab w:val="left" w:pos="567"/>
              </w:tabs>
              <w:autoSpaceDE w:val="0"/>
              <w:autoSpaceDN w:val="0"/>
              <w:adjustRightInd w:val="0"/>
              <w:rPr>
                <w:rFonts w:eastAsia="Times New Roman" w:cs="Times New Roman"/>
                <w:sz w:val="22"/>
                <w:szCs w:val="22"/>
                <w:u w:val="single"/>
                <w:lang w:val="lt-LT" w:eastAsia="lt-LT" w:bidi="lt-LT"/>
              </w:rPr>
            </w:pPr>
            <w:proofErr w:type="spellStart"/>
            <w:r>
              <w:rPr>
                <w:rFonts w:eastAsia="TimesNewRoman,Bold" w:cs="Times New Roman"/>
                <w:sz w:val="22"/>
                <w:szCs w:val="22"/>
                <w:lang w:val="lt-LT" w:eastAsia="en-US"/>
              </w:rPr>
              <w:t>P</w:t>
            </w:r>
            <w:r w:rsidR="0056255C" w:rsidRPr="00997273">
              <w:rPr>
                <w:rFonts w:eastAsia="TimesNewRoman,Bold" w:cs="Times New Roman"/>
                <w:sz w:val="22"/>
                <w:szCs w:val="22"/>
                <w:lang w:val="lt-LT" w:eastAsia="en-US"/>
              </w:rPr>
              <w:t>ūslinis</w:t>
            </w:r>
            <w:proofErr w:type="spellEnd"/>
            <w:r w:rsidR="0056255C" w:rsidRPr="00997273">
              <w:rPr>
                <w:rFonts w:eastAsia="TimesNewRoman,Bold" w:cs="Times New Roman"/>
                <w:sz w:val="22"/>
                <w:szCs w:val="22"/>
                <w:lang w:val="lt-LT" w:eastAsia="en-US"/>
              </w:rPr>
              <w:t xml:space="preserve"> </w:t>
            </w:r>
            <w:proofErr w:type="spellStart"/>
            <w:r w:rsidR="0056255C" w:rsidRPr="00997273">
              <w:rPr>
                <w:rFonts w:eastAsia="TimesNewRoman,Bold" w:cs="Times New Roman"/>
                <w:sz w:val="22"/>
                <w:szCs w:val="22"/>
                <w:lang w:val="lt-LT" w:eastAsia="en-US"/>
              </w:rPr>
              <w:t>pemfigoidas</w:t>
            </w:r>
            <w:proofErr w:type="spellEnd"/>
            <w:r w:rsidR="0056255C" w:rsidRPr="00997273">
              <w:rPr>
                <w:rFonts w:eastAsia="TimesNewRoman,Bold" w:cs="Times New Roman"/>
                <w:sz w:val="22"/>
                <w:szCs w:val="22"/>
                <w:vertAlign w:val="superscript"/>
                <w:lang w:val="lt-LT" w:eastAsia="en-US"/>
              </w:rPr>
              <w:t xml:space="preserve">* </w:t>
            </w:r>
          </w:p>
        </w:tc>
        <w:tc>
          <w:tcPr>
            <w:tcW w:w="3650" w:type="dxa"/>
          </w:tcPr>
          <w:p w14:paraId="21E48C68" w14:textId="77777777" w:rsidR="0056255C" w:rsidRPr="0099727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342937" w:rsidRPr="00997273" w14:paraId="01940C3F" w14:textId="77777777" w:rsidTr="008F244A">
        <w:tc>
          <w:tcPr>
            <w:tcW w:w="9287" w:type="dxa"/>
            <w:gridSpan w:val="2"/>
          </w:tcPr>
          <w:p w14:paraId="77E0AE85" w14:textId="572DD236" w:rsidR="00342937" w:rsidRPr="00997273" w:rsidRDefault="00342937"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b/>
                <w:bCs/>
                <w:sz w:val="22"/>
                <w:szCs w:val="22"/>
                <w:lang w:val="lt-LT" w:eastAsia="en-US"/>
              </w:rPr>
              <w:t>Skeleto, raumenų ir jungiamojo audinio sutrikimai</w:t>
            </w:r>
          </w:p>
        </w:tc>
      </w:tr>
      <w:tr w:rsidR="0056255C" w:rsidRPr="00997273" w14:paraId="31E9CDE5" w14:textId="77777777" w:rsidTr="00A340A3">
        <w:tc>
          <w:tcPr>
            <w:tcW w:w="5637" w:type="dxa"/>
          </w:tcPr>
          <w:p w14:paraId="27A67DF7" w14:textId="2533DF08" w:rsidR="0056255C" w:rsidRPr="00997273" w:rsidRDefault="005506F9" w:rsidP="00EA7938">
            <w:pPr>
              <w:autoSpaceDE w:val="0"/>
              <w:autoSpaceDN w:val="0"/>
              <w:adjustRightInd w:val="0"/>
              <w:rPr>
                <w:rFonts w:eastAsia="Times New Roman" w:cs="Times New Roman"/>
                <w:sz w:val="22"/>
                <w:szCs w:val="22"/>
                <w:u w:val="single"/>
                <w:lang w:val="lt-LT" w:eastAsia="lt-LT" w:bidi="lt-LT"/>
              </w:rPr>
            </w:pPr>
            <w:proofErr w:type="spellStart"/>
            <w:r>
              <w:rPr>
                <w:rFonts w:eastAsia="TimesNewRoman,Bold" w:cs="Times New Roman"/>
                <w:sz w:val="22"/>
                <w:szCs w:val="22"/>
                <w:lang w:val="lt-LT" w:eastAsia="en-US"/>
              </w:rPr>
              <w:t>A</w:t>
            </w:r>
            <w:r w:rsidR="0056255C" w:rsidRPr="00997273">
              <w:rPr>
                <w:rFonts w:eastAsia="TimesNewRoman,Bold" w:cs="Times New Roman"/>
                <w:sz w:val="22"/>
                <w:szCs w:val="22"/>
                <w:lang w:val="lt-LT" w:eastAsia="en-US"/>
              </w:rPr>
              <w:t>rtralgija</w:t>
            </w:r>
            <w:proofErr w:type="spellEnd"/>
            <w:r w:rsidR="0056255C" w:rsidRPr="00997273">
              <w:rPr>
                <w:rFonts w:eastAsia="TimesNewRoman,Bold" w:cs="Times New Roman"/>
                <w:sz w:val="22"/>
                <w:szCs w:val="22"/>
                <w:vertAlign w:val="superscript"/>
                <w:lang w:val="lt-LT" w:eastAsia="en-US"/>
              </w:rPr>
              <w:t xml:space="preserve">* </w:t>
            </w:r>
          </w:p>
        </w:tc>
        <w:tc>
          <w:tcPr>
            <w:tcW w:w="3650" w:type="dxa"/>
          </w:tcPr>
          <w:p w14:paraId="393B4599" w14:textId="77777777" w:rsidR="0056255C" w:rsidRPr="0099727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56255C" w:rsidRPr="00997273" w14:paraId="1998063E" w14:textId="77777777" w:rsidTr="00A340A3">
        <w:tc>
          <w:tcPr>
            <w:tcW w:w="5637" w:type="dxa"/>
          </w:tcPr>
          <w:p w14:paraId="718C9B1C" w14:textId="51FFF0E0" w:rsidR="0056255C" w:rsidRPr="00997273" w:rsidRDefault="005506F9" w:rsidP="00342937">
            <w:pPr>
              <w:autoSpaceDE w:val="0"/>
              <w:autoSpaceDN w:val="0"/>
              <w:adjustRightInd w:val="0"/>
              <w:rPr>
                <w:rFonts w:eastAsia="Times New Roman" w:cs="Times New Roman"/>
                <w:sz w:val="22"/>
                <w:szCs w:val="22"/>
                <w:u w:val="single"/>
                <w:lang w:val="lt-LT" w:eastAsia="lt-LT" w:bidi="lt-LT"/>
              </w:rPr>
            </w:pPr>
            <w:proofErr w:type="spellStart"/>
            <w:r>
              <w:rPr>
                <w:rFonts w:eastAsia="TimesNewRoman,Bold" w:cs="Times New Roman"/>
                <w:sz w:val="22"/>
                <w:szCs w:val="22"/>
                <w:lang w:val="lt-LT" w:eastAsia="en-US"/>
              </w:rPr>
              <w:t>M</w:t>
            </w:r>
            <w:r w:rsidR="0056255C" w:rsidRPr="00997273">
              <w:rPr>
                <w:rFonts w:eastAsia="TimesNewRoman,Bold" w:cs="Times New Roman"/>
                <w:sz w:val="22"/>
                <w:szCs w:val="22"/>
                <w:lang w:val="lt-LT" w:eastAsia="en-US"/>
              </w:rPr>
              <w:t>ialgija</w:t>
            </w:r>
            <w:proofErr w:type="spellEnd"/>
            <w:r w:rsidR="0056255C" w:rsidRPr="00997273">
              <w:rPr>
                <w:rFonts w:eastAsia="TimesNewRoman,Bold" w:cs="Times New Roman"/>
                <w:sz w:val="22"/>
                <w:szCs w:val="22"/>
                <w:vertAlign w:val="superscript"/>
                <w:lang w:val="lt-LT" w:eastAsia="en-US"/>
              </w:rPr>
              <w:t xml:space="preserve">* </w:t>
            </w:r>
          </w:p>
        </w:tc>
        <w:tc>
          <w:tcPr>
            <w:tcW w:w="3650" w:type="dxa"/>
          </w:tcPr>
          <w:p w14:paraId="3A2787F8" w14:textId="77777777" w:rsidR="0056255C" w:rsidRPr="0099727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56255C" w:rsidRPr="00997273" w14:paraId="2638E6D3" w14:textId="77777777" w:rsidTr="00A340A3">
        <w:tc>
          <w:tcPr>
            <w:tcW w:w="5637" w:type="dxa"/>
          </w:tcPr>
          <w:p w14:paraId="7834477F" w14:textId="62C89957" w:rsidR="0056255C" w:rsidRPr="00997273" w:rsidRDefault="005506F9" w:rsidP="00342937">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N</w:t>
            </w:r>
            <w:r w:rsidR="0056255C" w:rsidRPr="00997273">
              <w:rPr>
                <w:rFonts w:eastAsia="TimesNewRoman,Bold" w:cs="Times New Roman"/>
                <w:sz w:val="22"/>
                <w:szCs w:val="22"/>
                <w:lang w:val="lt-LT" w:eastAsia="en-US"/>
              </w:rPr>
              <w:t>ugaros skausmas</w:t>
            </w:r>
            <w:r w:rsidR="0056255C" w:rsidRPr="00997273">
              <w:rPr>
                <w:rFonts w:eastAsia="TimesNewRoman,Bold" w:cs="Times New Roman"/>
                <w:sz w:val="22"/>
                <w:szCs w:val="22"/>
                <w:vertAlign w:val="superscript"/>
                <w:lang w:val="lt-LT" w:eastAsia="en-US"/>
              </w:rPr>
              <w:t xml:space="preserve">* </w:t>
            </w:r>
          </w:p>
        </w:tc>
        <w:tc>
          <w:tcPr>
            <w:tcW w:w="3650" w:type="dxa"/>
          </w:tcPr>
          <w:p w14:paraId="08A7BE37" w14:textId="77777777" w:rsidR="0056255C" w:rsidRPr="0099727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56255C" w:rsidRPr="00997273" w14:paraId="2BDEEBF3" w14:textId="77777777" w:rsidTr="00A340A3">
        <w:tc>
          <w:tcPr>
            <w:tcW w:w="5637" w:type="dxa"/>
          </w:tcPr>
          <w:p w14:paraId="6FFBF1E2" w14:textId="44AF81E3" w:rsidR="0056255C" w:rsidRPr="00997273" w:rsidRDefault="005506F9" w:rsidP="00342937">
            <w:pPr>
              <w:tabs>
                <w:tab w:val="left" w:pos="567"/>
              </w:tabs>
              <w:autoSpaceDE w:val="0"/>
              <w:autoSpaceDN w:val="0"/>
              <w:adjustRightInd w:val="0"/>
              <w:rPr>
                <w:rFonts w:eastAsia="Times New Roman" w:cs="Times New Roman"/>
                <w:sz w:val="22"/>
                <w:szCs w:val="22"/>
                <w:u w:val="single"/>
                <w:lang w:val="lt-LT" w:eastAsia="lt-LT" w:bidi="lt-LT"/>
              </w:rPr>
            </w:pPr>
            <w:proofErr w:type="spellStart"/>
            <w:r>
              <w:rPr>
                <w:rFonts w:eastAsia="TimesNewRoman,Bold" w:cs="Times New Roman"/>
                <w:sz w:val="22"/>
                <w:szCs w:val="22"/>
                <w:lang w:val="lt-LT" w:eastAsia="en-US"/>
              </w:rPr>
              <w:t>A</w:t>
            </w:r>
            <w:r w:rsidR="0056255C" w:rsidRPr="00997273">
              <w:rPr>
                <w:rFonts w:eastAsia="TimesNewRoman,Bold" w:cs="Times New Roman"/>
                <w:sz w:val="22"/>
                <w:szCs w:val="22"/>
                <w:lang w:val="lt-LT" w:eastAsia="en-US"/>
              </w:rPr>
              <w:t>rtropatija</w:t>
            </w:r>
            <w:proofErr w:type="spellEnd"/>
            <w:r w:rsidR="0056255C" w:rsidRPr="00997273">
              <w:rPr>
                <w:rFonts w:eastAsia="TimesNewRoman,Bold" w:cs="Times New Roman"/>
                <w:sz w:val="22"/>
                <w:szCs w:val="22"/>
                <w:vertAlign w:val="superscript"/>
                <w:lang w:val="lt-LT" w:eastAsia="en-US"/>
              </w:rPr>
              <w:t xml:space="preserve">* </w:t>
            </w:r>
          </w:p>
        </w:tc>
        <w:tc>
          <w:tcPr>
            <w:tcW w:w="3650" w:type="dxa"/>
          </w:tcPr>
          <w:p w14:paraId="2F7B6503" w14:textId="77777777" w:rsidR="0056255C" w:rsidRPr="0099727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342937" w:rsidRPr="00997273" w14:paraId="21F15CFC" w14:textId="77777777" w:rsidTr="008F244A">
        <w:tc>
          <w:tcPr>
            <w:tcW w:w="9287" w:type="dxa"/>
            <w:gridSpan w:val="2"/>
          </w:tcPr>
          <w:p w14:paraId="220E842C" w14:textId="025E6ADC" w:rsidR="00342937" w:rsidRPr="00997273" w:rsidRDefault="00342937" w:rsidP="00342937">
            <w:pPr>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b/>
                <w:bCs/>
                <w:sz w:val="22"/>
                <w:szCs w:val="22"/>
                <w:lang w:val="lt-LT" w:eastAsia="en-US"/>
              </w:rPr>
              <w:t>Inkstų ir šlapimo takų sutrikimai</w:t>
            </w:r>
          </w:p>
        </w:tc>
      </w:tr>
      <w:tr w:rsidR="0056255C" w:rsidRPr="00997273" w14:paraId="632D18CB" w14:textId="77777777" w:rsidTr="00A340A3">
        <w:tc>
          <w:tcPr>
            <w:tcW w:w="5637" w:type="dxa"/>
          </w:tcPr>
          <w:p w14:paraId="4388F096" w14:textId="1C16AECB" w:rsidR="0056255C" w:rsidRPr="00997273" w:rsidRDefault="005506F9" w:rsidP="00EA7938">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S</w:t>
            </w:r>
            <w:r w:rsidR="00380F6B">
              <w:rPr>
                <w:rFonts w:eastAsia="TimesNewRoman,Bold" w:cs="Times New Roman"/>
                <w:sz w:val="22"/>
                <w:szCs w:val="22"/>
                <w:lang w:val="lt-LT" w:eastAsia="en-US"/>
              </w:rPr>
              <w:t>utrikus</w:t>
            </w:r>
            <w:r w:rsidR="00380F6B" w:rsidRPr="00997273">
              <w:rPr>
                <w:rFonts w:eastAsia="TimesNewRoman,Bold" w:cs="Times New Roman"/>
                <w:sz w:val="22"/>
                <w:szCs w:val="22"/>
                <w:lang w:val="lt-LT" w:eastAsia="en-US"/>
              </w:rPr>
              <w:t xml:space="preserve"> </w:t>
            </w:r>
            <w:r w:rsidR="0056255C" w:rsidRPr="00997273">
              <w:rPr>
                <w:rFonts w:eastAsia="TimesNewRoman,Bold" w:cs="Times New Roman"/>
                <w:sz w:val="22"/>
                <w:szCs w:val="22"/>
                <w:lang w:val="lt-LT" w:eastAsia="en-US"/>
              </w:rPr>
              <w:t xml:space="preserve">inkstų </w:t>
            </w:r>
            <w:r w:rsidR="00380F6B">
              <w:rPr>
                <w:rFonts w:eastAsia="TimesNewRoman,Bold" w:cs="Times New Roman"/>
                <w:sz w:val="22"/>
                <w:szCs w:val="22"/>
                <w:lang w:val="lt-LT" w:eastAsia="en-US"/>
              </w:rPr>
              <w:t>funkcija</w:t>
            </w:r>
            <w:r w:rsidR="0056255C" w:rsidRPr="00997273">
              <w:rPr>
                <w:rFonts w:eastAsia="TimesNewRoman,Bold" w:cs="Times New Roman"/>
                <w:sz w:val="22"/>
                <w:szCs w:val="22"/>
                <w:vertAlign w:val="superscript"/>
                <w:lang w:val="lt-LT" w:eastAsia="en-US"/>
              </w:rPr>
              <w:t>*</w:t>
            </w:r>
            <w:r w:rsidR="0056255C" w:rsidRPr="00997273">
              <w:rPr>
                <w:rFonts w:eastAsia="TimesNewRoman,Bold" w:cs="Times New Roman"/>
                <w:sz w:val="22"/>
                <w:szCs w:val="22"/>
                <w:lang w:val="lt-LT" w:eastAsia="en-US"/>
              </w:rPr>
              <w:t xml:space="preserve"> </w:t>
            </w:r>
          </w:p>
        </w:tc>
        <w:tc>
          <w:tcPr>
            <w:tcW w:w="3650" w:type="dxa"/>
          </w:tcPr>
          <w:p w14:paraId="77827771" w14:textId="77777777" w:rsidR="0056255C" w:rsidRPr="0099727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r w:rsidR="0056255C" w:rsidRPr="00997273" w14:paraId="6E2FD79F" w14:textId="77777777" w:rsidTr="00A340A3">
        <w:tc>
          <w:tcPr>
            <w:tcW w:w="5637" w:type="dxa"/>
          </w:tcPr>
          <w:p w14:paraId="541D0F6B" w14:textId="2D3C669B" w:rsidR="0056255C" w:rsidRPr="00997273" w:rsidRDefault="005506F9" w:rsidP="00DC51B6">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Ū</w:t>
            </w:r>
            <w:r w:rsidR="0056255C" w:rsidRPr="00997273">
              <w:rPr>
                <w:rFonts w:eastAsia="TimesNewRoman,Bold" w:cs="Times New Roman"/>
                <w:sz w:val="22"/>
                <w:szCs w:val="22"/>
                <w:lang w:val="lt-LT" w:eastAsia="en-US"/>
              </w:rPr>
              <w:t>minis inkstų nepakankamumas</w:t>
            </w:r>
            <w:r w:rsidR="0056255C" w:rsidRPr="00997273">
              <w:rPr>
                <w:rFonts w:eastAsia="TimesNewRoman,Bold" w:cs="Times New Roman"/>
                <w:sz w:val="22"/>
                <w:szCs w:val="22"/>
                <w:vertAlign w:val="superscript"/>
                <w:lang w:val="lt-LT" w:eastAsia="en-US"/>
              </w:rPr>
              <w:t xml:space="preserve">* </w:t>
            </w:r>
          </w:p>
        </w:tc>
        <w:tc>
          <w:tcPr>
            <w:tcW w:w="3650" w:type="dxa"/>
          </w:tcPr>
          <w:p w14:paraId="79E55662" w14:textId="77777777" w:rsidR="0056255C" w:rsidRPr="0099727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NewRoman,Bold" w:cs="Times New Roman"/>
                <w:sz w:val="22"/>
                <w:szCs w:val="22"/>
                <w:lang w:val="lt-LT" w:eastAsia="en-US"/>
              </w:rPr>
              <w:t>Dažnis nežinomas</w:t>
            </w:r>
          </w:p>
        </w:tc>
      </w:tr>
    </w:tbl>
    <w:p w14:paraId="2D51C9ED" w14:textId="07377AC7" w:rsidR="000F14B1" w:rsidRPr="00877E30" w:rsidRDefault="000F14B1" w:rsidP="000F14B1">
      <w:pPr>
        <w:autoSpaceDE w:val="0"/>
        <w:autoSpaceDN w:val="0"/>
        <w:adjustRightInd w:val="0"/>
        <w:rPr>
          <w:rFonts w:eastAsia="TimesNewRoman,Bold" w:cs="Times New Roman"/>
          <w:sz w:val="20"/>
          <w:lang w:val="lt-LT" w:eastAsia="en-US"/>
        </w:rPr>
      </w:pPr>
      <w:r w:rsidRPr="00997273">
        <w:rPr>
          <w:rFonts w:eastAsia="TimesNewRoman,Bold" w:cs="Times New Roman"/>
          <w:sz w:val="22"/>
          <w:szCs w:val="22"/>
          <w:vertAlign w:val="superscript"/>
          <w:lang w:val="lt-LT" w:eastAsia="en-US"/>
        </w:rPr>
        <w:t>*</w:t>
      </w:r>
      <w:r w:rsidRPr="00877E30">
        <w:rPr>
          <w:rFonts w:eastAsia="TimesNewRoman,Bold" w:cs="Times New Roman"/>
          <w:sz w:val="20"/>
          <w:lang w:val="lt-LT" w:eastAsia="en-US"/>
        </w:rPr>
        <w:t xml:space="preserve">Nepageidaujamos reakcijos </w:t>
      </w:r>
      <w:r w:rsidR="00EA0D43">
        <w:rPr>
          <w:rFonts w:eastAsia="TimesNewRoman,Bold" w:cs="Times New Roman"/>
          <w:sz w:val="20"/>
          <w:lang w:val="lt-LT" w:eastAsia="en-US"/>
        </w:rPr>
        <w:t>nustatytos</w:t>
      </w:r>
      <w:r w:rsidR="00A740A0">
        <w:rPr>
          <w:rFonts w:eastAsia="TimesNewRoman,Bold" w:cs="Times New Roman"/>
          <w:sz w:val="20"/>
          <w:lang w:val="lt-LT" w:eastAsia="en-US"/>
        </w:rPr>
        <w:t xml:space="preserve"> </w:t>
      </w:r>
      <w:proofErr w:type="spellStart"/>
      <w:r w:rsidR="00EA7938">
        <w:rPr>
          <w:rFonts w:eastAsia="TimesNewRoman,Bold" w:cs="Times New Roman"/>
          <w:sz w:val="20"/>
          <w:lang w:val="lt-LT" w:eastAsia="en-US"/>
        </w:rPr>
        <w:t>poregistracinio</w:t>
      </w:r>
      <w:proofErr w:type="spellEnd"/>
      <w:r w:rsidR="00EA7938">
        <w:rPr>
          <w:rFonts w:eastAsia="TimesNewRoman,Bold" w:cs="Times New Roman"/>
          <w:sz w:val="20"/>
          <w:lang w:val="lt-LT" w:eastAsia="en-US"/>
        </w:rPr>
        <w:t xml:space="preserve"> </w:t>
      </w:r>
      <w:r w:rsidR="00A740A0">
        <w:rPr>
          <w:rFonts w:eastAsia="TimesNewRoman,Bold" w:cs="Times New Roman"/>
          <w:sz w:val="20"/>
          <w:lang w:val="lt-LT" w:eastAsia="en-US"/>
        </w:rPr>
        <w:t>stebėjimo</w:t>
      </w:r>
      <w:r w:rsidRPr="00877E30">
        <w:rPr>
          <w:rFonts w:eastAsia="TimesNewRoman,Bold" w:cs="Times New Roman"/>
          <w:sz w:val="20"/>
          <w:lang w:val="lt-LT" w:eastAsia="en-US"/>
        </w:rPr>
        <w:t xml:space="preserve"> </w:t>
      </w:r>
      <w:r w:rsidR="00AE7C1D">
        <w:rPr>
          <w:rFonts w:eastAsia="TimesNewRoman,Bold" w:cs="Times New Roman"/>
          <w:sz w:val="20"/>
          <w:lang w:val="lt-LT" w:eastAsia="en-US"/>
        </w:rPr>
        <w:t>metu</w:t>
      </w:r>
      <w:r w:rsidRPr="00877E30">
        <w:rPr>
          <w:rFonts w:eastAsia="TimesNewRoman,Bold" w:cs="Times New Roman"/>
          <w:sz w:val="20"/>
          <w:lang w:val="lt-LT" w:eastAsia="en-US"/>
        </w:rPr>
        <w:t>.</w:t>
      </w:r>
    </w:p>
    <w:p w14:paraId="35BC5E5E" w14:textId="0C56D53E" w:rsidR="000F14B1" w:rsidRPr="00877E30" w:rsidRDefault="000F14B1" w:rsidP="000F14B1">
      <w:pPr>
        <w:autoSpaceDE w:val="0"/>
        <w:autoSpaceDN w:val="0"/>
        <w:adjustRightInd w:val="0"/>
        <w:rPr>
          <w:rFonts w:eastAsia="TimesNewRoman,Bold" w:cs="Times New Roman"/>
          <w:b/>
          <w:bCs/>
          <w:sz w:val="20"/>
          <w:lang w:val="lt-LT" w:eastAsia="en-US"/>
        </w:rPr>
      </w:pPr>
      <w:r w:rsidRPr="00877E30">
        <w:rPr>
          <w:rFonts w:eastAsia="TimesNewRoman,Bold" w:cs="Times New Roman"/>
          <w:sz w:val="20"/>
          <w:vertAlign w:val="superscript"/>
          <w:lang w:val="lt-LT" w:eastAsia="en-US"/>
        </w:rPr>
        <w:t>†</w:t>
      </w:r>
      <w:r w:rsidR="003A0679">
        <w:rPr>
          <w:rFonts w:eastAsia="TimesNewRoman,Bold" w:cs="Times New Roman"/>
          <w:b/>
          <w:bCs/>
          <w:sz w:val="20"/>
          <w:lang w:val="lt-LT" w:eastAsia="en-US"/>
        </w:rPr>
        <w:t>Ž</w:t>
      </w:r>
      <w:r w:rsidRPr="00877E30">
        <w:rPr>
          <w:rFonts w:eastAsia="TimesNewRoman,Bold" w:cs="Times New Roman"/>
          <w:b/>
          <w:bCs/>
          <w:sz w:val="20"/>
          <w:lang w:val="lt-LT" w:eastAsia="en-US"/>
        </w:rPr>
        <w:t>r. 4.4 skyrių.</w:t>
      </w:r>
    </w:p>
    <w:p w14:paraId="167D0AC0" w14:textId="4757CBF1" w:rsidR="000F14B1" w:rsidRPr="00877E30" w:rsidRDefault="000F14B1" w:rsidP="000F14B1">
      <w:pPr>
        <w:autoSpaceDE w:val="0"/>
        <w:autoSpaceDN w:val="0"/>
        <w:adjustRightInd w:val="0"/>
        <w:rPr>
          <w:rFonts w:eastAsia="TimesNewRoman,Italic" w:cs="Times New Roman"/>
          <w:i/>
          <w:iCs/>
          <w:sz w:val="20"/>
          <w:lang w:val="lt-LT" w:eastAsia="en-US"/>
        </w:rPr>
      </w:pPr>
      <w:r w:rsidRPr="00877E30">
        <w:rPr>
          <w:rFonts w:eastAsia="TimesNewRoman,Bold" w:cs="Times New Roman"/>
          <w:sz w:val="20"/>
          <w:vertAlign w:val="superscript"/>
          <w:lang w:val="lt-LT" w:eastAsia="en-US"/>
        </w:rPr>
        <w:t xml:space="preserve">‡ </w:t>
      </w:r>
      <w:r w:rsidR="003A0679">
        <w:rPr>
          <w:rFonts w:eastAsia="TimesNewRoman,Bold" w:cs="Times New Roman"/>
          <w:sz w:val="20"/>
          <w:lang w:val="lt-LT" w:eastAsia="en-US"/>
        </w:rPr>
        <w:t>Ž</w:t>
      </w:r>
      <w:r w:rsidR="0037214C" w:rsidRPr="00877E30">
        <w:rPr>
          <w:rFonts w:eastAsia="TimesNewRoman,Bold" w:cs="Times New Roman"/>
          <w:sz w:val="20"/>
          <w:lang w:val="lt-LT" w:eastAsia="en-US"/>
        </w:rPr>
        <w:t>r.</w:t>
      </w:r>
      <w:r w:rsidR="00877E30" w:rsidRPr="00877E30">
        <w:rPr>
          <w:rFonts w:eastAsia="TimesNewRoman,Bold" w:cs="Times New Roman"/>
          <w:sz w:val="20"/>
          <w:lang w:val="lt-LT" w:eastAsia="en-US"/>
        </w:rPr>
        <w:t xml:space="preserve"> toliau</w:t>
      </w:r>
      <w:r w:rsidR="00A340A3" w:rsidRPr="00877E30">
        <w:rPr>
          <w:rFonts w:eastAsia="TimesNewRoman,Bold" w:cs="Times New Roman"/>
          <w:sz w:val="20"/>
          <w:lang w:val="lt-LT" w:eastAsia="en-US"/>
        </w:rPr>
        <w:t xml:space="preserve"> </w:t>
      </w:r>
      <w:r w:rsidRPr="00877E30">
        <w:rPr>
          <w:rFonts w:eastAsia="TimesNewRoman,Italic" w:cs="Times New Roman"/>
          <w:i/>
          <w:iCs/>
          <w:sz w:val="20"/>
          <w:lang w:val="lt-LT" w:eastAsia="en-US"/>
        </w:rPr>
        <w:t>TECOS Širdies ir kraujagyslių saugumo tyrimas.</w:t>
      </w:r>
    </w:p>
    <w:p w14:paraId="12C78DEC" w14:textId="77777777" w:rsidR="00A340A3" w:rsidRPr="00997273" w:rsidRDefault="00A340A3" w:rsidP="000F14B1">
      <w:pPr>
        <w:autoSpaceDE w:val="0"/>
        <w:autoSpaceDN w:val="0"/>
        <w:adjustRightInd w:val="0"/>
        <w:rPr>
          <w:rFonts w:eastAsia="TimesNewRoman,Bold" w:cs="Times New Roman"/>
          <w:sz w:val="22"/>
          <w:szCs w:val="22"/>
          <w:u w:val="single"/>
          <w:lang w:val="lt-LT" w:eastAsia="en-US"/>
        </w:rPr>
      </w:pPr>
    </w:p>
    <w:p w14:paraId="0C9C5321" w14:textId="77777777" w:rsidR="000F14B1" w:rsidRPr="00997273" w:rsidRDefault="000F14B1" w:rsidP="000F14B1">
      <w:pPr>
        <w:autoSpaceDE w:val="0"/>
        <w:autoSpaceDN w:val="0"/>
        <w:adjustRightInd w:val="0"/>
        <w:rPr>
          <w:rFonts w:eastAsia="TimesNewRoman,Bold" w:cs="Times New Roman"/>
          <w:sz w:val="22"/>
          <w:szCs w:val="22"/>
          <w:u w:val="single"/>
          <w:lang w:val="lt-LT" w:eastAsia="en-US"/>
        </w:rPr>
      </w:pPr>
      <w:r w:rsidRPr="00997273">
        <w:rPr>
          <w:rFonts w:eastAsia="TimesNewRoman,Bold" w:cs="Times New Roman"/>
          <w:sz w:val="22"/>
          <w:szCs w:val="22"/>
          <w:u w:val="single"/>
          <w:lang w:val="lt-LT" w:eastAsia="en-US"/>
        </w:rPr>
        <w:t>Atrinktų nepageidaujamų reakcijų apibūdinimas</w:t>
      </w:r>
    </w:p>
    <w:p w14:paraId="1FBDB519" w14:textId="7202D0DD" w:rsidR="00F33132" w:rsidRDefault="00F33132" w:rsidP="00F33132">
      <w:pPr>
        <w:widowControl w:val="0"/>
        <w:tabs>
          <w:tab w:val="left" w:pos="1296"/>
        </w:tabs>
        <w:autoSpaceDE w:val="0"/>
        <w:autoSpaceDN w:val="0"/>
        <w:adjustRightInd w:val="0"/>
        <w:snapToGrid w:val="0"/>
        <w:rPr>
          <w:rFonts w:eastAsia="Times New Roman" w:cs="Times New Roman"/>
          <w:sz w:val="22"/>
          <w:szCs w:val="22"/>
          <w:lang w:val="lt-LT" w:eastAsia="en-US"/>
        </w:rPr>
      </w:pPr>
      <w:r w:rsidRPr="00F33132">
        <w:rPr>
          <w:rFonts w:eastAsia="Times New Roman" w:cs="Times New Roman"/>
          <w:sz w:val="22"/>
          <w:szCs w:val="22"/>
          <w:lang w:val="lt-LT" w:eastAsia="en-US"/>
        </w:rPr>
        <w:t>Be anksčiau aprašytų su vaistiniu preparatu susijusių nepageidaujamų reiškinių, nepageidaujami reiškiniai, kuri</w:t>
      </w:r>
      <w:r w:rsidR="000650B8">
        <w:rPr>
          <w:rFonts w:eastAsia="Times New Roman" w:cs="Times New Roman"/>
          <w:sz w:val="22"/>
          <w:szCs w:val="22"/>
          <w:lang w:val="lt-LT" w:eastAsia="en-US"/>
        </w:rPr>
        <w:t>e</w:t>
      </w:r>
      <w:r w:rsidRPr="00F33132">
        <w:rPr>
          <w:rFonts w:eastAsia="Times New Roman" w:cs="Times New Roman"/>
          <w:sz w:val="22"/>
          <w:szCs w:val="22"/>
          <w:lang w:val="lt-LT" w:eastAsia="en-US"/>
        </w:rPr>
        <w:t xml:space="preserve"> atsirado mažiausiai 5 % </w:t>
      </w:r>
      <w:proofErr w:type="spellStart"/>
      <w:r w:rsidRPr="00F33132">
        <w:rPr>
          <w:rFonts w:eastAsia="Times New Roman" w:cs="Times New Roman"/>
          <w:sz w:val="22"/>
          <w:szCs w:val="22"/>
          <w:lang w:val="lt-LT" w:eastAsia="en-US"/>
        </w:rPr>
        <w:t>sitagliptinu</w:t>
      </w:r>
      <w:proofErr w:type="spellEnd"/>
      <w:r w:rsidRPr="00F33132">
        <w:rPr>
          <w:rFonts w:eastAsia="Times New Roman" w:cs="Times New Roman"/>
          <w:sz w:val="22"/>
          <w:szCs w:val="22"/>
          <w:lang w:val="lt-LT" w:eastAsia="en-US"/>
        </w:rPr>
        <w:t xml:space="preserve"> gydytų pacientų arba dažniau, nepaisant priežastinio ryšio su vaistinio preparato vartojimu, buvo viršutinių kvėpavimo takų infekcija ir </w:t>
      </w:r>
      <w:proofErr w:type="spellStart"/>
      <w:r w:rsidRPr="00F33132">
        <w:rPr>
          <w:rFonts w:eastAsia="Times New Roman" w:cs="Times New Roman"/>
          <w:sz w:val="22"/>
          <w:szCs w:val="22"/>
          <w:lang w:val="lt-LT" w:eastAsia="en-US"/>
        </w:rPr>
        <w:t>nazofaringitas</w:t>
      </w:r>
      <w:proofErr w:type="spellEnd"/>
      <w:r w:rsidRPr="00F33132">
        <w:rPr>
          <w:rFonts w:eastAsia="Times New Roman" w:cs="Times New Roman"/>
          <w:sz w:val="22"/>
          <w:szCs w:val="22"/>
          <w:lang w:val="lt-LT" w:eastAsia="en-US"/>
        </w:rPr>
        <w:t>. Papildomi nepageidaujami reiškiniai, kuri</w:t>
      </w:r>
      <w:r w:rsidR="000130DE">
        <w:rPr>
          <w:rFonts w:eastAsia="Times New Roman" w:cs="Times New Roman"/>
          <w:sz w:val="22"/>
          <w:szCs w:val="22"/>
          <w:lang w:val="lt-LT" w:eastAsia="en-US"/>
        </w:rPr>
        <w:t>e</w:t>
      </w:r>
      <w:r w:rsidRPr="00F33132">
        <w:rPr>
          <w:rFonts w:eastAsia="Times New Roman" w:cs="Times New Roman"/>
          <w:sz w:val="22"/>
          <w:szCs w:val="22"/>
          <w:lang w:val="lt-LT" w:eastAsia="en-US"/>
        </w:rPr>
        <w:t xml:space="preserve"> dažniau pasireiškė </w:t>
      </w:r>
      <w:proofErr w:type="spellStart"/>
      <w:r w:rsidRPr="00F33132">
        <w:rPr>
          <w:rFonts w:eastAsia="Times New Roman" w:cs="Times New Roman"/>
          <w:sz w:val="22"/>
          <w:szCs w:val="22"/>
          <w:lang w:val="lt-LT" w:eastAsia="en-US"/>
        </w:rPr>
        <w:t>sitagliptinu</w:t>
      </w:r>
      <w:proofErr w:type="spellEnd"/>
      <w:r w:rsidRPr="00F33132">
        <w:rPr>
          <w:rFonts w:eastAsia="Times New Roman" w:cs="Times New Roman"/>
          <w:sz w:val="22"/>
          <w:szCs w:val="22"/>
          <w:lang w:val="lt-LT" w:eastAsia="en-US"/>
        </w:rPr>
        <w:t xml:space="preserve"> gydytiems pacientams (dažnis nesiekė 5 %, tačiau pasireiškė daugiau kaip 0,5 % didesniu dažniu </w:t>
      </w:r>
      <w:proofErr w:type="spellStart"/>
      <w:r w:rsidRPr="00F33132">
        <w:rPr>
          <w:rFonts w:eastAsia="Times New Roman" w:cs="Times New Roman"/>
          <w:sz w:val="22"/>
          <w:szCs w:val="22"/>
          <w:lang w:val="lt-LT" w:eastAsia="en-US"/>
        </w:rPr>
        <w:t>sitagliptino</w:t>
      </w:r>
      <w:proofErr w:type="spellEnd"/>
      <w:r w:rsidRPr="00F33132">
        <w:rPr>
          <w:rFonts w:eastAsia="Times New Roman" w:cs="Times New Roman"/>
          <w:sz w:val="22"/>
          <w:szCs w:val="22"/>
          <w:lang w:val="lt-LT" w:eastAsia="en-US"/>
        </w:rPr>
        <w:t xml:space="preserve"> grupėje nei kontrolinėje grupėje), nepaisant priežastinio ryšio su vaistinio preparato vartojimu, buvo </w:t>
      </w:r>
      <w:proofErr w:type="spellStart"/>
      <w:r w:rsidRPr="00F33132">
        <w:rPr>
          <w:rFonts w:eastAsia="Times New Roman" w:cs="Times New Roman"/>
          <w:sz w:val="22"/>
          <w:szCs w:val="22"/>
          <w:lang w:val="lt-LT" w:eastAsia="en-US"/>
        </w:rPr>
        <w:t>osteoartritas</w:t>
      </w:r>
      <w:proofErr w:type="spellEnd"/>
      <w:r w:rsidRPr="00F33132">
        <w:rPr>
          <w:rFonts w:eastAsia="Times New Roman" w:cs="Times New Roman"/>
          <w:sz w:val="22"/>
          <w:szCs w:val="22"/>
          <w:lang w:val="lt-LT" w:eastAsia="en-US"/>
        </w:rPr>
        <w:t xml:space="preserve"> ir galūnių skausmas.</w:t>
      </w:r>
    </w:p>
    <w:p w14:paraId="153B1033" w14:textId="77777777" w:rsidR="00F47415" w:rsidRPr="00F33132" w:rsidRDefault="00F47415" w:rsidP="00F33132">
      <w:pPr>
        <w:widowControl w:val="0"/>
        <w:tabs>
          <w:tab w:val="left" w:pos="1296"/>
        </w:tabs>
        <w:autoSpaceDE w:val="0"/>
        <w:autoSpaceDN w:val="0"/>
        <w:adjustRightInd w:val="0"/>
        <w:snapToGrid w:val="0"/>
        <w:rPr>
          <w:rFonts w:eastAsia="Times New Roman" w:cs="Times New Roman"/>
          <w:sz w:val="22"/>
          <w:szCs w:val="22"/>
          <w:lang w:val="lt-LT" w:eastAsia="en-US"/>
        </w:rPr>
      </w:pPr>
    </w:p>
    <w:p w14:paraId="544CBBB1" w14:textId="01391F61" w:rsidR="000F14B1" w:rsidRPr="00997273" w:rsidRDefault="000F14B1" w:rsidP="000F14B1">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Kai kurios nepageidaujamos reakcijos dažniau buvo stebėtos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derinių su kitais vaistiniais</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preparatais nuo cukrinio diabeto klinikinių tyrimų metu, nei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monoterapijos</w:t>
      </w:r>
      <w:proofErr w:type="spellEnd"/>
      <w:r w:rsidRPr="00997273">
        <w:rPr>
          <w:rFonts w:cs="Times New Roman"/>
          <w:sz w:val="22"/>
          <w:szCs w:val="22"/>
          <w:lang w:val="lt-LT" w:eastAsia="en-US"/>
        </w:rPr>
        <w:t xml:space="preserve"> tyrimų metu.</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Tai buvo hipoglikemija (labai dažna vartojant su </w:t>
      </w:r>
      <w:proofErr w:type="spellStart"/>
      <w:r w:rsidRPr="00997273">
        <w:rPr>
          <w:rFonts w:cs="Times New Roman"/>
          <w:sz w:val="22"/>
          <w:szCs w:val="22"/>
          <w:lang w:val="lt-LT" w:eastAsia="en-US"/>
        </w:rPr>
        <w:t>sulfonil</w:t>
      </w:r>
      <w:r w:rsidR="00FC62F8" w:rsidRPr="00997273">
        <w:rPr>
          <w:rFonts w:cs="Times New Roman"/>
          <w:sz w:val="22"/>
          <w:szCs w:val="22"/>
          <w:lang w:val="lt-LT" w:eastAsia="en-US"/>
        </w:rPr>
        <w:t>urėjos</w:t>
      </w:r>
      <w:proofErr w:type="spellEnd"/>
      <w:r w:rsidRPr="00997273">
        <w:rPr>
          <w:rFonts w:cs="Times New Roman"/>
          <w:sz w:val="22"/>
          <w:szCs w:val="22"/>
          <w:lang w:val="lt-LT" w:eastAsia="en-US"/>
        </w:rPr>
        <w:t xml:space="preserve"> dariniu ir </w:t>
      </w:r>
      <w:proofErr w:type="spellStart"/>
      <w:r w:rsidRPr="00997273">
        <w:rPr>
          <w:rFonts w:cs="Times New Roman"/>
          <w:sz w:val="22"/>
          <w:szCs w:val="22"/>
          <w:lang w:val="lt-LT" w:eastAsia="en-US"/>
        </w:rPr>
        <w:t>metforminu</w:t>
      </w:r>
      <w:proofErr w:type="spellEnd"/>
      <w:r w:rsidRPr="00997273">
        <w:rPr>
          <w:rFonts w:cs="Times New Roman"/>
          <w:sz w:val="22"/>
          <w:szCs w:val="22"/>
          <w:lang w:val="lt-LT" w:eastAsia="en-US"/>
        </w:rPr>
        <w:t>), gripas</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(dažnas vartojant kartu su insulinu </w:t>
      </w:r>
      <w:r w:rsidR="00D3505D">
        <w:rPr>
          <w:rFonts w:cs="Times New Roman"/>
          <w:sz w:val="22"/>
          <w:szCs w:val="22"/>
          <w:lang w:val="lt-LT" w:eastAsia="en-US"/>
        </w:rPr>
        <w:t>[</w:t>
      </w:r>
      <w:r w:rsidRPr="00997273">
        <w:rPr>
          <w:rFonts w:cs="Times New Roman"/>
          <w:sz w:val="22"/>
          <w:szCs w:val="22"/>
          <w:lang w:val="lt-LT" w:eastAsia="en-US"/>
        </w:rPr>
        <w:t xml:space="preserve">kartu su </w:t>
      </w:r>
      <w:proofErr w:type="spellStart"/>
      <w:r w:rsidR="00FC62F8" w:rsidRPr="00997273">
        <w:rPr>
          <w:rFonts w:cs="Times New Roman"/>
          <w:sz w:val="22"/>
          <w:szCs w:val="22"/>
          <w:lang w:val="lt-LT" w:eastAsia="en-US"/>
        </w:rPr>
        <w:t>metforminu</w:t>
      </w:r>
      <w:proofErr w:type="spellEnd"/>
      <w:r w:rsidR="00FC62F8" w:rsidRPr="00997273">
        <w:rPr>
          <w:rFonts w:cs="Times New Roman"/>
          <w:sz w:val="22"/>
          <w:szCs w:val="22"/>
          <w:lang w:val="lt-LT" w:eastAsia="en-US"/>
        </w:rPr>
        <w:t xml:space="preserve"> </w:t>
      </w:r>
      <w:r w:rsidRPr="00997273">
        <w:rPr>
          <w:rFonts w:cs="Times New Roman"/>
          <w:sz w:val="22"/>
          <w:szCs w:val="22"/>
          <w:lang w:val="lt-LT" w:eastAsia="en-US"/>
        </w:rPr>
        <w:t>arba be</w:t>
      </w:r>
      <w:r w:rsidR="00FC62F8" w:rsidRPr="00997273">
        <w:rPr>
          <w:rFonts w:cs="Times New Roman"/>
          <w:sz w:val="22"/>
          <w:szCs w:val="22"/>
          <w:lang w:val="lt-LT" w:eastAsia="en-US"/>
        </w:rPr>
        <w:t xml:space="preserve"> jo</w:t>
      </w:r>
      <w:r w:rsidR="00D3505D">
        <w:rPr>
          <w:rFonts w:cs="Times New Roman"/>
          <w:sz w:val="22"/>
          <w:szCs w:val="22"/>
          <w:lang w:val="lt-LT" w:eastAsia="en-US"/>
        </w:rPr>
        <w:t>]</w:t>
      </w:r>
      <w:r w:rsidRPr="00997273">
        <w:rPr>
          <w:rFonts w:cs="Times New Roman"/>
          <w:sz w:val="22"/>
          <w:szCs w:val="22"/>
          <w:lang w:val="lt-LT" w:eastAsia="en-US"/>
        </w:rPr>
        <w:t>), pykinimas ir vėmimas (dažnas</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vartojant kartu su </w:t>
      </w:r>
      <w:proofErr w:type="spellStart"/>
      <w:r w:rsidRPr="00997273">
        <w:rPr>
          <w:rFonts w:cs="Times New Roman"/>
          <w:sz w:val="22"/>
          <w:szCs w:val="22"/>
          <w:lang w:val="lt-LT" w:eastAsia="en-US"/>
        </w:rPr>
        <w:t>metforminu</w:t>
      </w:r>
      <w:proofErr w:type="spellEnd"/>
      <w:r w:rsidRPr="00997273">
        <w:rPr>
          <w:rFonts w:cs="Times New Roman"/>
          <w:sz w:val="22"/>
          <w:szCs w:val="22"/>
          <w:lang w:val="lt-LT" w:eastAsia="en-US"/>
        </w:rPr>
        <w:t xml:space="preserve">), vidurių pūtimas (dažnas vartojant kartu su </w:t>
      </w:r>
      <w:proofErr w:type="spellStart"/>
      <w:r w:rsidRPr="00997273">
        <w:rPr>
          <w:rFonts w:cs="Times New Roman"/>
          <w:sz w:val="22"/>
          <w:szCs w:val="22"/>
          <w:lang w:val="lt-LT" w:eastAsia="en-US"/>
        </w:rPr>
        <w:t>metforminu</w:t>
      </w:r>
      <w:proofErr w:type="spellEnd"/>
      <w:r w:rsidRPr="00997273">
        <w:rPr>
          <w:rFonts w:cs="Times New Roman"/>
          <w:sz w:val="22"/>
          <w:szCs w:val="22"/>
          <w:lang w:val="lt-LT" w:eastAsia="en-US"/>
        </w:rPr>
        <w:t xml:space="preserve"> arba</w:t>
      </w:r>
      <w:r w:rsidR="009D16CA" w:rsidRPr="00997273">
        <w:rPr>
          <w:rFonts w:cs="Times New Roman"/>
          <w:sz w:val="22"/>
          <w:szCs w:val="22"/>
          <w:lang w:val="lt-LT" w:eastAsia="en-US"/>
        </w:rPr>
        <w:t xml:space="preserve"> </w:t>
      </w:r>
      <w:proofErr w:type="spellStart"/>
      <w:r w:rsidRPr="00997273">
        <w:rPr>
          <w:rFonts w:cs="Times New Roman"/>
          <w:sz w:val="22"/>
          <w:szCs w:val="22"/>
          <w:lang w:val="lt-LT" w:eastAsia="en-US"/>
        </w:rPr>
        <w:t>pioglitazonu</w:t>
      </w:r>
      <w:proofErr w:type="spellEnd"/>
      <w:r w:rsidRPr="00997273">
        <w:rPr>
          <w:rFonts w:cs="Times New Roman"/>
          <w:sz w:val="22"/>
          <w:szCs w:val="22"/>
          <w:lang w:val="lt-LT" w:eastAsia="en-US"/>
        </w:rPr>
        <w:t xml:space="preserve">), vidurių užkietėjimas (dažnas vartojant kartu su </w:t>
      </w:r>
      <w:proofErr w:type="spellStart"/>
      <w:r w:rsidRPr="00997273">
        <w:rPr>
          <w:rFonts w:cs="Times New Roman"/>
          <w:sz w:val="22"/>
          <w:szCs w:val="22"/>
          <w:lang w:val="lt-LT" w:eastAsia="en-US"/>
        </w:rPr>
        <w:t>sulfonil</w:t>
      </w:r>
      <w:r w:rsidR="00FC62F8" w:rsidRPr="00997273">
        <w:rPr>
          <w:rFonts w:cs="Times New Roman"/>
          <w:sz w:val="22"/>
          <w:szCs w:val="22"/>
          <w:lang w:val="lt-LT" w:eastAsia="en-US"/>
        </w:rPr>
        <w:t>urėjos</w:t>
      </w:r>
      <w:proofErr w:type="spellEnd"/>
      <w:r w:rsidR="000130DE">
        <w:rPr>
          <w:rFonts w:cs="Times New Roman"/>
          <w:sz w:val="22"/>
          <w:szCs w:val="22"/>
          <w:lang w:val="lt-LT" w:eastAsia="en-US"/>
        </w:rPr>
        <w:t xml:space="preserve"> darini</w:t>
      </w:r>
      <w:r w:rsidR="00712ABF">
        <w:rPr>
          <w:rFonts w:cs="Times New Roman"/>
          <w:sz w:val="22"/>
          <w:szCs w:val="22"/>
          <w:lang w:val="lt-LT" w:eastAsia="en-US"/>
        </w:rPr>
        <w:t>o</w:t>
      </w:r>
      <w:r w:rsidRPr="00997273">
        <w:rPr>
          <w:rFonts w:cs="Times New Roman"/>
          <w:sz w:val="22"/>
          <w:szCs w:val="22"/>
          <w:lang w:val="lt-LT" w:eastAsia="en-US"/>
        </w:rPr>
        <w:t xml:space="preserve"> ir </w:t>
      </w:r>
      <w:proofErr w:type="spellStart"/>
      <w:r w:rsidRPr="00997273">
        <w:rPr>
          <w:rFonts w:cs="Times New Roman"/>
          <w:sz w:val="22"/>
          <w:szCs w:val="22"/>
          <w:lang w:val="lt-LT" w:eastAsia="en-US"/>
        </w:rPr>
        <w:t>metformino</w:t>
      </w:r>
      <w:proofErr w:type="spellEnd"/>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deriniu), periferinė edema (dažna vartojant kartu su </w:t>
      </w:r>
      <w:proofErr w:type="spellStart"/>
      <w:r w:rsidRPr="00997273">
        <w:rPr>
          <w:rFonts w:cs="Times New Roman"/>
          <w:sz w:val="22"/>
          <w:szCs w:val="22"/>
          <w:lang w:val="lt-LT" w:eastAsia="en-US"/>
        </w:rPr>
        <w:t>pioglitazonu</w:t>
      </w:r>
      <w:proofErr w:type="spellEnd"/>
      <w:r w:rsidRPr="00997273">
        <w:rPr>
          <w:rFonts w:cs="Times New Roman"/>
          <w:sz w:val="22"/>
          <w:szCs w:val="22"/>
          <w:lang w:val="lt-LT" w:eastAsia="en-US"/>
        </w:rPr>
        <w:t xml:space="preserve"> arba </w:t>
      </w:r>
      <w:proofErr w:type="spellStart"/>
      <w:r w:rsidRPr="00997273">
        <w:rPr>
          <w:rFonts w:cs="Times New Roman"/>
          <w:sz w:val="22"/>
          <w:szCs w:val="22"/>
          <w:lang w:val="lt-LT" w:eastAsia="en-US"/>
        </w:rPr>
        <w:t>pioglitazono</w:t>
      </w:r>
      <w:proofErr w:type="spellEnd"/>
      <w:r w:rsidRPr="00997273">
        <w:rPr>
          <w:rFonts w:cs="Times New Roman"/>
          <w:sz w:val="22"/>
          <w:szCs w:val="22"/>
          <w:lang w:val="lt-LT" w:eastAsia="en-US"/>
        </w:rPr>
        <w:t xml:space="preserve"> ir </w:t>
      </w:r>
      <w:proofErr w:type="spellStart"/>
      <w:r w:rsidRPr="00997273">
        <w:rPr>
          <w:rFonts w:cs="Times New Roman"/>
          <w:sz w:val="22"/>
          <w:szCs w:val="22"/>
          <w:lang w:val="lt-LT" w:eastAsia="en-US"/>
        </w:rPr>
        <w:t>metformino</w:t>
      </w:r>
      <w:proofErr w:type="spellEnd"/>
      <w:r w:rsidR="009D16CA" w:rsidRPr="00997273">
        <w:rPr>
          <w:rFonts w:cs="Times New Roman"/>
          <w:sz w:val="22"/>
          <w:szCs w:val="22"/>
          <w:lang w:val="lt-LT" w:eastAsia="en-US"/>
        </w:rPr>
        <w:t xml:space="preserve"> </w:t>
      </w:r>
      <w:r w:rsidRPr="00997273">
        <w:rPr>
          <w:rFonts w:cs="Times New Roman"/>
          <w:sz w:val="22"/>
          <w:szCs w:val="22"/>
          <w:lang w:val="lt-LT" w:eastAsia="en-US"/>
        </w:rPr>
        <w:t>deriniu), mieguistumas ir viduriavimas (nedažn</w:t>
      </w:r>
      <w:r w:rsidR="00D3505D">
        <w:rPr>
          <w:rFonts w:cs="Times New Roman"/>
          <w:sz w:val="22"/>
          <w:szCs w:val="22"/>
          <w:lang w:val="lt-LT" w:eastAsia="en-US"/>
        </w:rPr>
        <w:t>as</w:t>
      </w:r>
      <w:r w:rsidRPr="00997273">
        <w:rPr>
          <w:rFonts w:cs="Times New Roman"/>
          <w:sz w:val="22"/>
          <w:szCs w:val="22"/>
          <w:lang w:val="lt-LT" w:eastAsia="en-US"/>
        </w:rPr>
        <w:t xml:space="preserve"> vartojant kartu su </w:t>
      </w:r>
      <w:proofErr w:type="spellStart"/>
      <w:r w:rsidRPr="00997273">
        <w:rPr>
          <w:rFonts w:cs="Times New Roman"/>
          <w:sz w:val="22"/>
          <w:szCs w:val="22"/>
          <w:lang w:val="lt-LT" w:eastAsia="en-US"/>
        </w:rPr>
        <w:t>metforminu</w:t>
      </w:r>
      <w:proofErr w:type="spellEnd"/>
      <w:r w:rsidRPr="00997273">
        <w:rPr>
          <w:rFonts w:cs="Times New Roman"/>
          <w:sz w:val="22"/>
          <w:szCs w:val="22"/>
          <w:lang w:val="lt-LT" w:eastAsia="en-US"/>
        </w:rPr>
        <w:t>) bei burnos džiūvimas</w:t>
      </w:r>
      <w:r w:rsidR="009D16CA" w:rsidRPr="00997273">
        <w:rPr>
          <w:rFonts w:cs="Times New Roman"/>
          <w:sz w:val="22"/>
          <w:szCs w:val="22"/>
          <w:lang w:val="lt-LT" w:eastAsia="en-US"/>
        </w:rPr>
        <w:t xml:space="preserve"> </w:t>
      </w:r>
      <w:r w:rsidRPr="00997273">
        <w:rPr>
          <w:rFonts w:cs="Times New Roman"/>
          <w:sz w:val="22"/>
          <w:szCs w:val="22"/>
          <w:lang w:val="lt-LT" w:eastAsia="en-US"/>
        </w:rPr>
        <w:t>(nedažn</w:t>
      </w:r>
      <w:r w:rsidR="00D3505D">
        <w:rPr>
          <w:rFonts w:cs="Times New Roman"/>
          <w:sz w:val="22"/>
          <w:szCs w:val="22"/>
          <w:lang w:val="lt-LT" w:eastAsia="en-US"/>
        </w:rPr>
        <w:t>as</w:t>
      </w:r>
      <w:r w:rsidRPr="00997273">
        <w:rPr>
          <w:rFonts w:cs="Times New Roman"/>
          <w:sz w:val="22"/>
          <w:szCs w:val="22"/>
          <w:lang w:val="lt-LT" w:eastAsia="en-US"/>
        </w:rPr>
        <w:t xml:space="preserve"> vartojant kartu su insulinu </w:t>
      </w:r>
      <w:r w:rsidR="00D3505D">
        <w:rPr>
          <w:rFonts w:cs="Times New Roman"/>
          <w:sz w:val="22"/>
          <w:szCs w:val="22"/>
          <w:lang w:val="lt-LT" w:eastAsia="en-US"/>
        </w:rPr>
        <w:t>[</w:t>
      </w:r>
      <w:r w:rsidRPr="00997273">
        <w:rPr>
          <w:rFonts w:cs="Times New Roman"/>
          <w:sz w:val="22"/>
          <w:szCs w:val="22"/>
          <w:lang w:val="lt-LT" w:eastAsia="en-US"/>
        </w:rPr>
        <w:t xml:space="preserve">kartu su </w:t>
      </w:r>
      <w:proofErr w:type="spellStart"/>
      <w:r w:rsidRPr="00997273">
        <w:rPr>
          <w:rFonts w:cs="Times New Roman"/>
          <w:sz w:val="22"/>
          <w:szCs w:val="22"/>
          <w:lang w:val="lt-LT" w:eastAsia="en-US"/>
        </w:rPr>
        <w:t>metformin</w:t>
      </w:r>
      <w:r w:rsidR="00D3505D">
        <w:rPr>
          <w:rFonts w:cs="Times New Roman"/>
          <w:sz w:val="22"/>
          <w:szCs w:val="22"/>
          <w:lang w:val="lt-LT" w:eastAsia="en-US"/>
        </w:rPr>
        <w:t>u</w:t>
      </w:r>
      <w:proofErr w:type="spellEnd"/>
      <w:r w:rsidR="00D3505D">
        <w:rPr>
          <w:rFonts w:cs="Times New Roman"/>
          <w:sz w:val="22"/>
          <w:szCs w:val="22"/>
          <w:lang w:val="lt-LT" w:eastAsia="en-US"/>
        </w:rPr>
        <w:t xml:space="preserve"> arba</w:t>
      </w:r>
      <w:r w:rsidR="00D3505D" w:rsidRPr="00D3505D">
        <w:rPr>
          <w:rFonts w:cs="Times New Roman"/>
          <w:sz w:val="22"/>
          <w:szCs w:val="22"/>
          <w:lang w:val="lt-LT" w:eastAsia="en-US"/>
        </w:rPr>
        <w:t xml:space="preserve"> </w:t>
      </w:r>
      <w:r w:rsidR="00D3505D" w:rsidRPr="00997273">
        <w:rPr>
          <w:rFonts w:cs="Times New Roman"/>
          <w:sz w:val="22"/>
          <w:szCs w:val="22"/>
          <w:lang w:val="lt-LT" w:eastAsia="en-US"/>
        </w:rPr>
        <w:t>be</w:t>
      </w:r>
      <w:r w:rsidR="00955BA3">
        <w:rPr>
          <w:rFonts w:cs="Times New Roman"/>
          <w:sz w:val="22"/>
          <w:szCs w:val="22"/>
          <w:lang w:val="lt-LT" w:eastAsia="en-US"/>
        </w:rPr>
        <w:t xml:space="preserve"> jo</w:t>
      </w:r>
      <w:r w:rsidR="00772053">
        <w:rPr>
          <w:rFonts w:cs="Times New Roman"/>
          <w:sz w:val="22"/>
          <w:szCs w:val="22"/>
          <w:lang w:val="lt-LT" w:eastAsia="en-US"/>
        </w:rPr>
        <w:t>]</w:t>
      </w:r>
      <w:r w:rsidRPr="00997273">
        <w:rPr>
          <w:rFonts w:cs="Times New Roman"/>
          <w:sz w:val="22"/>
          <w:szCs w:val="22"/>
          <w:lang w:val="lt-LT" w:eastAsia="en-US"/>
        </w:rPr>
        <w:t>).</w:t>
      </w:r>
    </w:p>
    <w:p w14:paraId="1EC96ADE" w14:textId="77777777" w:rsidR="009D16CA" w:rsidRPr="00997273" w:rsidRDefault="009D16CA" w:rsidP="000F14B1">
      <w:pPr>
        <w:autoSpaceDE w:val="0"/>
        <w:autoSpaceDN w:val="0"/>
        <w:adjustRightInd w:val="0"/>
        <w:rPr>
          <w:rFonts w:eastAsia="TimesNewRoman,Italic" w:cs="Times New Roman"/>
          <w:i/>
          <w:iCs/>
          <w:sz w:val="22"/>
          <w:szCs w:val="22"/>
          <w:lang w:val="lt-LT" w:eastAsia="en-US"/>
        </w:rPr>
      </w:pPr>
    </w:p>
    <w:p w14:paraId="17E66475" w14:textId="77777777" w:rsidR="008413D9" w:rsidRPr="00997273" w:rsidRDefault="008413D9" w:rsidP="008413D9">
      <w:pPr>
        <w:autoSpaceDE w:val="0"/>
        <w:autoSpaceDN w:val="0"/>
        <w:adjustRightInd w:val="0"/>
        <w:rPr>
          <w:rFonts w:eastAsia="TimesNewRoman,Italic" w:cs="Times New Roman"/>
          <w:iCs/>
          <w:sz w:val="22"/>
          <w:szCs w:val="22"/>
          <w:u w:val="single"/>
          <w:lang w:val="lt-LT" w:eastAsia="en-US"/>
        </w:rPr>
      </w:pPr>
      <w:r w:rsidRPr="00997273">
        <w:rPr>
          <w:rFonts w:eastAsia="TimesNewRoman,Italic" w:cs="Times New Roman"/>
          <w:iCs/>
          <w:sz w:val="22"/>
          <w:szCs w:val="22"/>
          <w:u w:val="single"/>
          <w:lang w:val="lt-LT" w:eastAsia="en-US"/>
        </w:rPr>
        <w:t>Vaikų populiacija</w:t>
      </w:r>
    </w:p>
    <w:p w14:paraId="7C0639C6" w14:textId="0253DAD5" w:rsidR="008413D9" w:rsidRPr="00997273" w:rsidRDefault="008413D9" w:rsidP="008413D9">
      <w:pPr>
        <w:autoSpaceDE w:val="0"/>
        <w:autoSpaceDN w:val="0"/>
        <w:adjustRightInd w:val="0"/>
        <w:rPr>
          <w:rFonts w:eastAsia="TimesNewRoman,Italic" w:cs="Times New Roman"/>
          <w:iCs/>
          <w:sz w:val="22"/>
          <w:szCs w:val="22"/>
          <w:lang w:val="lt-LT" w:eastAsia="en-US"/>
        </w:rPr>
      </w:pPr>
      <w:proofErr w:type="spellStart"/>
      <w:r w:rsidRPr="00997273">
        <w:rPr>
          <w:rFonts w:eastAsia="TimesNewRoman,Italic" w:cs="Times New Roman"/>
          <w:iCs/>
          <w:sz w:val="22"/>
          <w:szCs w:val="22"/>
          <w:lang w:val="lt-LT" w:eastAsia="en-US"/>
        </w:rPr>
        <w:t>Sitagliptino</w:t>
      </w:r>
      <w:proofErr w:type="spellEnd"/>
      <w:r w:rsidRPr="00997273">
        <w:rPr>
          <w:rFonts w:eastAsia="TimesNewRoman,Italic" w:cs="Times New Roman"/>
          <w:iCs/>
          <w:sz w:val="22"/>
          <w:szCs w:val="22"/>
          <w:lang w:val="lt-LT" w:eastAsia="en-US"/>
        </w:rPr>
        <w:t xml:space="preserve"> klinikinių tyrimų su 2</w:t>
      </w:r>
      <w:r w:rsidR="00F47415">
        <w:rPr>
          <w:rFonts w:eastAsia="TimesNewRoman,Italic" w:cs="Times New Roman"/>
          <w:iCs/>
          <w:sz w:val="22"/>
          <w:szCs w:val="22"/>
          <w:lang w:val="lt-LT" w:eastAsia="en-US"/>
        </w:rPr>
        <w:t> </w:t>
      </w:r>
      <w:r w:rsidRPr="00997273">
        <w:rPr>
          <w:rFonts w:eastAsia="TimesNewRoman,Italic" w:cs="Times New Roman"/>
          <w:iCs/>
          <w:sz w:val="22"/>
          <w:szCs w:val="22"/>
          <w:lang w:val="lt-LT" w:eastAsia="en-US"/>
        </w:rPr>
        <w:t>tipo cukriniu diabetu sergančiais vaikais nuo 10</w:t>
      </w:r>
      <w:r w:rsidR="00F47415">
        <w:rPr>
          <w:rFonts w:eastAsia="TimesNewRoman,Italic" w:cs="Times New Roman"/>
          <w:iCs/>
          <w:sz w:val="22"/>
          <w:szCs w:val="22"/>
          <w:lang w:val="lt-LT" w:eastAsia="en-US"/>
        </w:rPr>
        <w:t> </w:t>
      </w:r>
      <w:r w:rsidRPr="00997273">
        <w:rPr>
          <w:rFonts w:eastAsia="TimesNewRoman,Italic" w:cs="Times New Roman"/>
          <w:iCs/>
          <w:sz w:val="22"/>
          <w:szCs w:val="22"/>
          <w:lang w:val="lt-LT" w:eastAsia="en-US"/>
        </w:rPr>
        <w:t>iki 17</w:t>
      </w:r>
      <w:r w:rsidR="00F47415">
        <w:rPr>
          <w:rFonts w:eastAsia="TimesNewRoman,Italic" w:cs="Times New Roman"/>
          <w:iCs/>
          <w:sz w:val="22"/>
          <w:szCs w:val="22"/>
          <w:lang w:val="lt-LT" w:eastAsia="en-US"/>
        </w:rPr>
        <w:t> </w:t>
      </w:r>
      <w:r w:rsidRPr="00997273">
        <w:rPr>
          <w:rFonts w:eastAsia="TimesNewRoman,Italic" w:cs="Times New Roman"/>
          <w:iCs/>
          <w:sz w:val="22"/>
          <w:szCs w:val="22"/>
          <w:lang w:val="lt-LT" w:eastAsia="en-US"/>
        </w:rPr>
        <w:t>metų duomenimis, nepageidaujamų reakcijų pobūdis buvo panašus į nustatytąjį suaugusiesiems.</w:t>
      </w:r>
    </w:p>
    <w:p w14:paraId="15E3566C" w14:textId="77777777" w:rsidR="008413D9" w:rsidRPr="00997273" w:rsidRDefault="008413D9" w:rsidP="000F14B1">
      <w:pPr>
        <w:autoSpaceDE w:val="0"/>
        <w:autoSpaceDN w:val="0"/>
        <w:adjustRightInd w:val="0"/>
        <w:rPr>
          <w:rFonts w:eastAsia="TimesNewRoman,Italic" w:cs="Times New Roman"/>
          <w:i/>
          <w:iCs/>
          <w:sz w:val="22"/>
          <w:szCs w:val="22"/>
          <w:lang w:val="lt-LT" w:eastAsia="en-US"/>
        </w:rPr>
      </w:pPr>
    </w:p>
    <w:p w14:paraId="301579E7" w14:textId="7113AF16" w:rsidR="000F14B1" w:rsidRPr="00997273" w:rsidRDefault="00FC62F8" w:rsidP="000F14B1">
      <w:pPr>
        <w:autoSpaceDE w:val="0"/>
        <w:autoSpaceDN w:val="0"/>
        <w:adjustRightInd w:val="0"/>
        <w:rPr>
          <w:rFonts w:eastAsia="TimesNewRoman,Italic" w:cs="Times New Roman"/>
          <w:i/>
          <w:iCs/>
          <w:sz w:val="22"/>
          <w:szCs w:val="22"/>
          <w:lang w:val="lt-LT" w:eastAsia="en-US"/>
        </w:rPr>
      </w:pPr>
      <w:r w:rsidRPr="00997273">
        <w:rPr>
          <w:rFonts w:eastAsia="TimesNewRoman,Italic" w:cs="Times New Roman"/>
          <w:i/>
          <w:iCs/>
          <w:sz w:val="22"/>
          <w:szCs w:val="22"/>
          <w:lang w:val="lt-LT" w:eastAsia="en-US"/>
        </w:rPr>
        <w:t xml:space="preserve">TECOS </w:t>
      </w:r>
      <w:r w:rsidR="000130DE">
        <w:rPr>
          <w:rFonts w:eastAsia="TimesNewRoman,Italic" w:cs="Times New Roman"/>
          <w:i/>
          <w:iCs/>
          <w:sz w:val="22"/>
          <w:szCs w:val="22"/>
          <w:lang w:val="lt-LT" w:eastAsia="en-US"/>
        </w:rPr>
        <w:t>Š</w:t>
      </w:r>
      <w:r w:rsidR="000F14B1" w:rsidRPr="00997273">
        <w:rPr>
          <w:rFonts w:eastAsia="TimesNewRoman,Italic" w:cs="Times New Roman"/>
          <w:i/>
          <w:iCs/>
          <w:sz w:val="22"/>
          <w:szCs w:val="22"/>
          <w:lang w:val="lt-LT" w:eastAsia="en-US"/>
        </w:rPr>
        <w:t>irdies ir kraujagyslių saugumo tyrimas</w:t>
      </w:r>
    </w:p>
    <w:p w14:paraId="64E7D253" w14:textId="29A7A4EB" w:rsidR="000F14B1" w:rsidRDefault="000F14B1" w:rsidP="000F14B1">
      <w:pPr>
        <w:autoSpaceDE w:val="0"/>
        <w:autoSpaceDN w:val="0"/>
        <w:adjustRightInd w:val="0"/>
        <w:rPr>
          <w:rFonts w:cs="Times New Roman"/>
          <w:sz w:val="22"/>
          <w:szCs w:val="22"/>
          <w:lang w:val="lt-LT" w:eastAsia="en-US"/>
        </w:rPr>
      </w:pPr>
      <w:r w:rsidRPr="00997273">
        <w:rPr>
          <w:rFonts w:cs="Times New Roman"/>
          <w:sz w:val="22"/>
          <w:szCs w:val="22"/>
          <w:lang w:val="lt-LT" w:eastAsia="en-US"/>
        </w:rPr>
        <w:t>Į Širdies ir kraujagyslių baigčių</w:t>
      </w:r>
      <w:r w:rsidR="00C00C1E">
        <w:rPr>
          <w:rFonts w:cs="Times New Roman"/>
          <w:sz w:val="22"/>
          <w:szCs w:val="22"/>
          <w:lang w:val="lt-LT" w:eastAsia="en-US"/>
        </w:rPr>
        <w:t>,</w:t>
      </w:r>
      <w:r w:rsidRPr="00997273">
        <w:rPr>
          <w:rFonts w:cs="Times New Roman"/>
          <w:sz w:val="22"/>
          <w:szCs w:val="22"/>
          <w:lang w:val="lt-LT" w:eastAsia="en-US"/>
        </w:rPr>
        <w:t xml:space="preserve"> vartojant </w:t>
      </w:r>
      <w:proofErr w:type="spellStart"/>
      <w:r w:rsidRPr="00997273">
        <w:rPr>
          <w:rFonts w:cs="Times New Roman"/>
          <w:sz w:val="22"/>
          <w:szCs w:val="22"/>
          <w:lang w:val="lt-LT" w:eastAsia="en-US"/>
        </w:rPr>
        <w:t>sitagliptino</w:t>
      </w:r>
      <w:proofErr w:type="spellEnd"/>
      <w:r w:rsidR="00C00C1E">
        <w:rPr>
          <w:rFonts w:cs="Times New Roman"/>
          <w:sz w:val="22"/>
          <w:szCs w:val="22"/>
          <w:lang w:val="lt-LT" w:eastAsia="en-US"/>
        </w:rPr>
        <w:t>,</w:t>
      </w:r>
      <w:r w:rsidRPr="00997273">
        <w:rPr>
          <w:rFonts w:cs="Times New Roman"/>
          <w:sz w:val="22"/>
          <w:szCs w:val="22"/>
          <w:lang w:val="lt-LT" w:eastAsia="en-US"/>
        </w:rPr>
        <w:t xml:space="preserve"> vertinimo tyrim</w:t>
      </w:r>
      <w:r w:rsidR="000130DE">
        <w:rPr>
          <w:rFonts w:cs="Times New Roman"/>
          <w:sz w:val="22"/>
          <w:szCs w:val="22"/>
          <w:lang w:val="lt-LT" w:eastAsia="en-US"/>
        </w:rPr>
        <w:t>ą</w:t>
      </w:r>
      <w:r w:rsidRPr="00997273">
        <w:rPr>
          <w:rFonts w:cs="Times New Roman"/>
          <w:sz w:val="22"/>
          <w:szCs w:val="22"/>
          <w:lang w:val="lt-LT" w:eastAsia="en-US"/>
        </w:rPr>
        <w:t xml:space="preserve"> (angl. </w:t>
      </w:r>
      <w:proofErr w:type="spellStart"/>
      <w:r w:rsidRPr="00997273">
        <w:rPr>
          <w:rFonts w:eastAsia="TimesNewRoman,Italic" w:cs="Times New Roman"/>
          <w:i/>
          <w:iCs/>
          <w:sz w:val="22"/>
          <w:szCs w:val="22"/>
          <w:lang w:val="lt-LT" w:eastAsia="en-US"/>
        </w:rPr>
        <w:t>Trial</w:t>
      </w:r>
      <w:proofErr w:type="spellEnd"/>
      <w:r w:rsidR="009D16CA" w:rsidRPr="00997273">
        <w:rPr>
          <w:rFonts w:eastAsia="TimesNewRoman,Italic" w:cs="Times New Roman"/>
          <w:i/>
          <w:iCs/>
          <w:sz w:val="22"/>
          <w:szCs w:val="22"/>
          <w:lang w:val="lt-LT" w:eastAsia="en-US"/>
        </w:rPr>
        <w:t xml:space="preserve"> </w:t>
      </w:r>
      <w:proofErr w:type="spellStart"/>
      <w:r w:rsidRPr="00997273">
        <w:rPr>
          <w:rFonts w:eastAsia="TimesNewRoman,Italic" w:cs="Times New Roman"/>
          <w:i/>
          <w:iCs/>
          <w:sz w:val="22"/>
          <w:szCs w:val="22"/>
          <w:lang w:val="lt-LT" w:eastAsia="en-US"/>
        </w:rPr>
        <w:t>Evaluating</w:t>
      </w:r>
      <w:proofErr w:type="spellEnd"/>
      <w:r w:rsidRPr="00997273">
        <w:rPr>
          <w:rFonts w:eastAsia="TimesNewRoman,Italic" w:cs="Times New Roman"/>
          <w:i/>
          <w:iCs/>
          <w:sz w:val="22"/>
          <w:szCs w:val="22"/>
          <w:lang w:val="lt-LT" w:eastAsia="en-US"/>
        </w:rPr>
        <w:t xml:space="preserve"> </w:t>
      </w:r>
      <w:proofErr w:type="spellStart"/>
      <w:r w:rsidRPr="00997273">
        <w:rPr>
          <w:rFonts w:eastAsia="TimesNewRoman,Italic" w:cs="Times New Roman"/>
          <w:i/>
          <w:iCs/>
          <w:sz w:val="22"/>
          <w:szCs w:val="22"/>
          <w:lang w:val="lt-LT" w:eastAsia="en-US"/>
        </w:rPr>
        <w:t>Cardiovascular</w:t>
      </w:r>
      <w:proofErr w:type="spellEnd"/>
      <w:r w:rsidRPr="00997273">
        <w:rPr>
          <w:rFonts w:eastAsia="TimesNewRoman,Italic" w:cs="Times New Roman"/>
          <w:i/>
          <w:iCs/>
          <w:sz w:val="22"/>
          <w:szCs w:val="22"/>
          <w:lang w:val="lt-LT" w:eastAsia="en-US"/>
        </w:rPr>
        <w:t xml:space="preserve"> </w:t>
      </w:r>
      <w:proofErr w:type="spellStart"/>
      <w:r w:rsidRPr="00997273">
        <w:rPr>
          <w:rFonts w:eastAsia="TimesNewRoman,Italic" w:cs="Times New Roman"/>
          <w:i/>
          <w:iCs/>
          <w:sz w:val="22"/>
          <w:szCs w:val="22"/>
          <w:lang w:val="lt-LT" w:eastAsia="en-US"/>
        </w:rPr>
        <w:t>Outcomes</w:t>
      </w:r>
      <w:proofErr w:type="spellEnd"/>
      <w:r w:rsidRPr="00997273">
        <w:rPr>
          <w:rFonts w:eastAsia="TimesNewRoman,Italic" w:cs="Times New Roman"/>
          <w:i/>
          <w:iCs/>
          <w:sz w:val="22"/>
          <w:szCs w:val="22"/>
          <w:lang w:val="lt-LT" w:eastAsia="en-US"/>
        </w:rPr>
        <w:t xml:space="preserve"> </w:t>
      </w:r>
      <w:proofErr w:type="spellStart"/>
      <w:r w:rsidRPr="00997273">
        <w:rPr>
          <w:rFonts w:eastAsia="TimesNewRoman,Italic" w:cs="Times New Roman"/>
          <w:i/>
          <w:iCs/>
          <w:sz w:val="22"/>
          <w:szCs w:val="22"/>
          <w:lang w:val="lt-LT" w:eastAsia="en-US"/>
        </w:rPr>
        <w:t>with</w:t>
      </w:r>
      <w:proofErr w:type="spellEnd"/>
      <w:r w:rsidRPr="00997273">
        <w:rPr>
          <w:rFonts w:eastAsia="TimesNewRoman,Italic" w:cs="Times New Roman"/>
          <w:i/>
          <w:iCs/>
          <w:sz w:val="22"/>
          <w:szCs w:val="22"/>
          <w:lang w:val="lt-LT" w:eastAsia="en-US"/>
        </w:rPr>
        <w:t xml:space="preserve"> </w:t>
      </w:r>
      <w:proofErr w:type="spellStart"/>
      <w:r w:rsidRPr="00997273">
        <w:rPr>
          <w:rFonts w:eastAsia="TimesNewRoman,Italic" w:cs="Times New Roman"/>
          <w:i/>
          <w:iCs/>
          <w:sz w:val="22"/>
          <w:szCs w:val="22"/>
          <w:lang w:val="lt-LT" w:eastAsia="en-US"/>
        </w:rPr>
        <w:t>Sitagliptin</w:t>
      </w:r>
      <w:proofErr w:type="spellEnd"/>
      <w:r w:rsidR="000130DE">
        <w:rPr>
          <w:rFonts w:eastAsia="TimesNewRoman,Italic" w:cs="Times New Roman"/>
          <w:i/>
          <w:iCs/>
          <w:sz w:val="22"/>
          <w:szCs w:val="22"/>
          <w:lang w:val="lt-LT" w:eastAsia="en-US"/>
        </w:rPr>
        <w:t>,</w:t>
      </w:r>
      <w:r w:rsidRPr="00997273">
        <w:rPr>
          <w:rFonts w:eastAsia="TimesNewRoman,Italic" w:cs="Times New Roman"/>
          <w:i/>
          <w:iCs/>
          <w:sz w:val="22"/>
          <w:szCs w:val="22"/>
          <w:lang w:val="lt-LT" w:eastAsia="en-US"/>
        </w:rPr>
        <w:t xml:space="preserve"> TECOS</w:t>
      </w:r>
      <w:r w:rsidRPr="00997273">
        <w:rPr>
          <w:rFonts w:cs="Times New Roman"/>
          <w:sz w:val="22"/>
          <w:szCs w:val="22"/>
          <w:lang w:val="lt-LT" w:eastAsia="en-US"/>
        </w:rPr>
        <w:t>) įtraukti</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7332 pacientai buvo gydomi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100</w:t>
      </w:r>
      <w:r w:rsidR="009D16CA" w:rsidRPr="00997273">
        <w:rPr>
          <w:rFonts w:cs="Times New Roman"/>
          <w:sz w:val="22"/>
          <w:szCs w:val="22"/>
          <w:lang w:val="lt-LT" w:eastAsia="en-US"/>
        </w:rPr>
        <w:t> </w:t>
      </w:r>
      <w:r w:rsidRPr="00997273">
        <w:rPr>
          <w:rFonts w:cs="Times New Roman"/>
          <w:sz w:val="22"/>
          <w:szCs w:val="22"/>
          <w:lang w:val="lt-LT" w:eastAsia="en-US"/>
        </w:rPr>
        <w:t>mg per parą</w:t>
      </w:r>
      <w:r w:rsidR="00F446CD">
        <w:rPr>
          <w:rFonts w:cs="Times New Roman"/>
          <w:sz w:val="22"/>
          <w:szCs w:val="22"/>
          <w:lang w:val="lt-LT" w:eastAsia="en-US"/>
        </w:rPr>
        <w:t xml:space="preserve"> doze</w:t>
      </w:r>
      <w:r w:rsidRPr="00997273">
        <w:rPr>
          <w:rFonts w:cs="Times New Roman"/>
          <w:sz w:val="22"/>
          <w:szCs w:val="22"/>
          <w:lang w:val="lt-LT" w:eastAsia="en-US"/>
        </w:rPr>
        <w:t xml:space="preserve"> (arba 50</w:t>
      </w:r>
      <w:r w:rsidR="009D16CA" w:rsidRPr="00997273">
        <w:rPr>
          <w:rFonts w:cs="Times New Roman"/>
          <w:sz w:val="22"/>
          <w:szCs w:val="22"/>
          <w:lang w:val="lt-LT" w:eastAsia="en-US"/>
        </w:rPr>
        <w:t> </w:t>
      </w:r>
      <w:r w:rsidRPr="00997273">
        <w:rPr>
          <w:rFonts w:cs="Times New Roman"/>
          <w:sz w:val="22"/>
          <w:szCs w:val="22"/>
          <w:lang w:val="lt-LT" w:eastAsia="en-US"/>
        </w:rPr>
        <w:t>mg per parą, jeigu pradinis GFG</w:t>
      </w:r>
      <w:r w:rsidR="009D16CA" w:rsidRPr="00997273">
        <w:rPr>
          <w:rFonts w:cs="Times New Roman"/>
          <w:sz w:val="22"/>
          <w:szCs w:val="22"/>
          <w:lang w:val="lt-LT" w:eastAsia="en-US"/>
        </w:rPr>
        <w:t xml:space="preserve"> </w:t>
      </w:r>
      <w:r w:rsidRPr="00997273">
        <w:rPr>
          <w:rFonts w:cs="Times New Roman"/>
          <w:sz w:val="22"/>
          <w:szCs w:val="22"/>
          <w:lang w:val="lt-LT" w:eastAsia="en-US"/>
        </w:rPr>
        <w:t>buvo ≥</w:t>
      </w:r>
      <w:r w:rsidR="0043290A">
        <w:rPr>
          <w:rFonts w:cs="Times New Roman"/>
          <w:sz w:val="22"/>
          <w:szCs w:val="22"/>
          <w:lang w:val="lt-LT" w:eastAsia="en-US"/>
        </w:rPr>
        <w:t> </w:t>
      </w:r>
      <w:r w:rsidRPr="00997273">
        <w:rPr>
          <w:rFonts w:cs="Times New Roman"/>
          <w:sz w:val="22"/>
          <w:szCs w:val="22"/>
          <w:lang w:val="lt-LT" w:eastAsia="en-US"/>
        </w:rPr>
        <w:t>30 ir &lt;</w:t>
      </w:r>
      <w:r w:rsidR="0043290A">
        <w:rPr>
          <w:rFonts w:cs="Times New Roman"/>
          <w:sz w:val="22"/>
          <w:szCs w:val="22"/>
          <w:lang w:val="lt-LT" w:eastAsia="en-US"/>
        </w:rPr>
        <w:t> </w:t>
      </w:r>
      <w:r w:rsidRPr="00997273">
        <w:rPr>
          <w:rFonts w:cs="Times New Roman"/>
          <w:sz w:val="22"/>
          <w:szCs w:val="22"/>
          <w:lang w:val="lt-LT" w:eastAsia="en-US"/>
        </w:rPr>
        <w:t>50</w:t>
      </w:r>
      <w:r w:rsidR="009D16CA" w:rsidRPr="00997273">
        <w:rPr>
          <w:rFonts w:cs="Times New Roman"/>
          <w:sz w:val="22"/>
          <w:szCs w:val="22"/>
          <w:lang w:val="lt-LT" w:eastAsia="en-US"/>
        </w:rPr>
        <w:t> </w:t>
      </w:r>
      <w:r w:rsidRPr="00997273">
        <w:rPr>
          <w:rFonts w:cs="Times New Roman"/>
          <w:sz w:val="22"/>
          <w:szCs w:val="22"/>
          <w:lang w:val="lt-LT" w:eastAsia="en-US"/>
        </w:rPr>
        <w:t>ml/min/1,73</w:t>
      </w:r>
      <w:r w:rsidR="00B85FD3" w:rsidRPr="00997273">
        <w:rPr>
          <w:rFonts w:cs="Times New Roman"/>
          <w:sz w:val="22"/>
          <w:szCs w:val="22"/>
          <w:lang w:val="lt-LT" w:eastAsia="en-US"/>
        </w:rPr>
        <w:t> </w:t>
      </w:r>
      <w:r w:rsidRPr="00997273">
        <w:rPr>
          <w:rFonts w:cs="Times New Roman"/>
          <w:sz w:val="22"/>
          <w:szCs w:val="22"/>
          <w:lang w:val="lt-LT" w:eastAsia="en-US"/>
        </w:rPr>
        <w:t>m</w:t>
      </w:r>
      <w:r w:rsidRPr="00997273">
        <w:rPr>
          <w:rFonts w:cs="Times New Roman"/>
          <w:sz w:val="22"/>
          <w:szCs w:val="22"/>
          <w:vertAlign w:val="superscript"/>
          <w:lang w:val="lt-LT" w:eastAsia="en-US"/>
        </w:rPr>
        <w:t>2</w:t>
      </w:r>
      <w:r w:rsidRPr="00997273">
        <w:rPr>
          <w:rFonts w:cs="Times New Roman"/>
          <w:sz w:val="22"/>
          <w:szCs w:val="22"/>
          <w:lang w:val="lt-LT" w:eastAsia="en-US"/>
        </w:rPr>
        <w:t>) doze, o 7339 pacientai</w:t>
      </w:r>
      <w:r w:rsidR="000130DE">
        <w:rPr>
          <w:rFonts w:cs="Times New Roman"/>
          <w:sz w:val="22"/>
          <w:szCs w:val="22"/>
          <w:lang w:val="lt-LT" w:eastAsia="en-US"/>
        </w:rPr>
        <w:t>, ketinimo gydyti populiacijoje,</w:t>
      </w:r>
      <w:r w:rsidRPr="00997273">
        <w:rPr>
          <w:rFonts w:cs="Times New Roman"/>
          <w:sz w:val="22"/>
          <w:szCs w:val="22"/>
          <w:lang w:val="lt-LT" w:eastAsia="en-US"/>
        </w:rPr>
        <w:t xml:space="preserve"> vartojo placebo. Abu </w:t>
      </w:r>
      <w:r w:rsidR="0043290A">
        <w:rPr>
          <w:rFonts w:cs="Times New Roman"/>
          <w:sz w:val="22"/>
          <w:szCs w:val="22"/>
          <w:lang w:val="lt-LT" w:eastAsia="en-US"/>
        </w:rPr>
        <w:t>vaistiniai</w:t>
      </w:r>
      <w:r w:rsidR="006E0C82">
        <w:rPr>
          <w:rFonts w:cs="Times New Roman"/>
          <w:sz w:val="22"/>
          <w:szCs w:val="22"/>
          <w:lang w:val="lt-LT" w:eastAsia="en-US"/>
        </w:rPr>
        <w:t xml:space="preserve"> </w:t>
      </w:r>
      <w:r w:rsidRPr="00997273">
        <w:rPr>
          <w:rFonts w:cs="Times New Roman"/>
          <w:sz w:val="22"/>
          <w:szCs w:val="22"/>
          <w:lang w:val="lt-LT" w:eastAsia="en-US"/>
        </w:rPr>
        <w:t>preparatai buvo</w:t>
      </w:r>
      <w:r w:rsidR="009D16CA" w:rsidRPr="00997273">
        <w:rPr>
          <w:rFonts w:cs="Times New Roman"/>
          <w:sz w:val="22"/>
          <w:szCs w:val="22"/>
          <w:lang w:val="lt-LT" w:eastAsia="en-US"/>
        </w:rPr>
        <w:t xml:space="preserve"> </w:t>
      </w:r>
      <w:r w:rsidRPr="00997273">
        <w:rPr>
          <w:rFonts w:cs="Times New Roman"/>
          <w:sz w:val="22"/>
          <w:szCs w:val="22"/>
          <w:lang w:val="lt-LT" w:eastAsia="en-US"/>
        </w:rPr>
        <w:t>paskirti papildomai prie įprastos priežiūros, vykdytos pagal regioninius HbA</w:t>
      </w:r>
      <w:r w:rsidRPr="00997273">
        <w:rPr>
          <w:rFonts w:cs="Times New Roman"/>
          <w:sz w:val="22"/>
          <w:szCs w:val="22"/>
          <w:vertAlign w:val="subscript"/>
          <w:lang w:val="lt-LT" w:eastAsia="en-US"/>
        </w:rPr>
        <w:t>1c</w:t>
      </w:r>
      <w:r w:rsidRPr="00997273">
        <w:rPr>
          <w:rFonts w:cs="Times New Roman"/>
          <w:sz w:val="22"/>
          <w:szCs w:val="22"/>
          <w:lang w:val="lt-LT" w:eastAsia="en-US"/>
        </w:rPr>
        <w:t xml:space="preserve"> </w:t>
      </w:r>
      <w:r w:rsidR="00F47415">
        <w:rPr>
          <w:rFonts w:cs="Times New Roman"/>
          <w:sz w:val="22"/>
          <w:szCs w:val="22"/>
          <w:lang w:val="lt-LT" w:eastAsia="en-US"/>
        </w:rPr>
        <w:t>bei</w:t>
      </w:r>
      <w:r w:rsidRPr="00997273">
        <w:rPr>
          <w:rFonts w:cs="Times New Roman"/>
          <w:sz w:val="22"/>
          <w:szCs w:val="22"/>
          <w:lang w:val="lt-LT" w:eastAsia="en-US"/>
        </w:rPr>
        <w:t xml:space="preserve"> širdies ir</w:t>
      </w:r>
      <w:r w:rsidR="009D16CA" w:rsidRPr="00997273">
        <w:rPr>
          <w:rFonts w:cs="Times New Roman"/>
          <w:sz w:val="22"/>
          <w:szCs w:val="22"/>
          <w:lang w:val="lt-LT" w:eastAsia="en-US"/>
        </w:rPr>
        <w:t xml:space="preserve"> </w:t>
      </w:r>
      <w:r w:rsidRPr="00997273">
        <w:rPr>
          <w:rFonts w:cs="Times New Roman"/>
          <w:sz w:val="22"/>
          <w:szCs w:val="22"/>
          <w:lang w:val="lt-LT" w:eastAsia="en-US"/>
        </w:rPr>
        <w:t>kraujagyslių (ŠK) ligų rizikos veiksnių kontrolės standartus. Bendrasis sunkių nepageidaujamų</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reiškinių dažnis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ir placebo vartojusiems pacientams buvo panašus.</w:t>
      </w:r>
    </w:p>
    <w:p w14:paraId="0BB29CFC" w14:textId="77777777" w:rsidR="00F47415" w:rsidRPr="00997273" w:rsidRDefault="00F47415" w:rsidP="000F14B1">
      <w:pPr>
        <w:autoSpaceDE w:val="0"/>
        <w:autoSpaceDN w:val="0"/>
        <w:adjustRightInd w:val="0"/>
        <w:rPr>
          <w:rFonts w:cs="Times New Roman"/>
          <w:sz w:val="22"/>
          <w:szCs w:val="22"/>
          <w:lang w:val="lt-LT" w:eastAsia="en-US"/>
        </w:rPr>
      </w:pPr>
    </w:p>
    <w:p w14:paraId="461D5CB7" w14:textId="456DB7A7" w:rsidR="000F14B1" w:rsidRPr="00997273" w:rsidRDefault="000F14B1" w:rsidP="009D16CA">
      <w:pPr>
        <w:autoSpaceDE w:val="0"/>
        <w:autoSpaceDN w:val="0"/>
        <w:adjustRightInd w:val="0"/>
        <w:rPr>
          <w:rFonts w:eastAsia="Times New Roman" w:cs="Times New Roman"/>
          <w:sz w:val="22"/>
          <w:szCs w:val="22"/>
          <w:u w:val="single"/>
          <w:lang w:val="lt-LT" w:eastAsia="lt-LT" w:bidi="lt-LT"/>
        </w:rPr>
      </w:pPr>
      <w:r w:rsidRPr="001F1642">
        <w:rPr>
          <w:rFonts w:cs="Times New Roman"/>
          <w:sz w:val="22"/>
          <w:szCs w:val="22"/>
          <w:lang w:val="lt-LT" w:eastAsia="en-US"/>
        </w:rPr>
        <w:t xml:space="preserve">Ketinimo gydyti populiacijoje tarp pacientų, kurie prieš pradedant tyrimą jau buvo gydomi </w:t>
      </w:r>
      <w:r w:rsidR="009D16CA" w:rsidRPr="001F1642">
        <w:rPr>
          <w:rFonts w:cs="Times New Roman"/>
          <w:sz w:val="22"/>
          <w:szCs w:val="22"/>
          <w:lang w:val="lt-LT" w:eastAsia="en-US"/>
        </w:rPr>
        <w:t>insulin</w:t>
      </w:r>
      <w:r w:rsidR="00BD1CE0" w:rsidRPr="001F1642">
        <w:rPr>
          <w:rFonts w:cs="Times New Roman"/>
          <w:sz w:val="22"/>
          <w:szCs w:val="22"/>
          <w:lang w:val="lt-LT" w:eastAsia="en-US"/>
        </w:rPr>
        <w:t>u</w:t>
      </w:r>
      <w:r w:rsidR="009D16CA" w:rsidRPr="001F1642">
        <w:rPr>
          <w:rFonts w:cs="Times New Roman"/>
          <w:sz w:val="22"/>
          <w:szCs w:val="22"/>
          <w:lang w:val="lt-LT" w:eastAsia="en-US"/>
        </w:rPr>
        <w:t xml:space="preserve"> </w:t>
      </w:r>
      <w:r w:rsidRPr="001F1642">
        <w:rPr>
          <w:rFonts w:cs="Times New Roman"/>
          <w:sz w:val="22"/>
          <w:szCs w:val="22"/>
          <w:lang w:val="lt-LT" w:eastAsia="en-US"/>
        </w:rPr>
        <w:t>ir</w:t>
      </w:r>
      <w:r w:rsidR="009D16CA" w:rsidRPr="001F1642">
        <w:rPr>
          <w:rFonts w:cs="Times New Roman"/>
          <w:sz w:val="22"/>
          <w:szCs w:val="22"/>
          <w:lang w:val="lt-LT" w:eastAsia="en-US"/>
        </w:rPr>
        <w:t xml:space="preserve"> </w:t>
      </w:r>
      <w:r w:rsidRPr="001F1642">
        <w:rPr>
          <w:rFonts w:cs="Times New Roman"/>
          <w:sz w:val="22"/>
          <w:szCs w:val="22"/>
          <w:lang w:val="lt-LT" w:eastAsia="en-US"/>
        </w:rPr>
        <w:t xml:space="preserve">(arba) </w:t>
      </w:r>
      <w:r w:rsidR="00365017" w:rsidRPr="001F1642">
        <w:rPr>
          <w:rFonts w:cs="Times New Roman"/>
          <w:sz w:val="22"/>
          <w:szCs w:val="22"/>
          <w:lang w:val="lt-LT" w:eastAsia="en-US"/>
        </w:rPr>
        <w:t xml:space="preserve">vaistiniu preparatu, kurio sudėtyje yra </w:t>
      </w:r>
      <w:proofErr w:type="spellStart"/>
      <w:r w:rsidRPr="001F1642">
        <w:rPr>
          <w:rFonts w:cs="Times New Roman"/>
          <w:sz w:val="22"/>
          <w:szCs w:val="22"/>
          <w:lang w:val="lt-LT" w:eastAsia="en-US"/>
        </w:rPr>
        <w:t>sulfonil</w:t>
      </w:r>
      <w:r w:rsidR="00FC62F8" w:rsidRPr="001F1642">
        <w:rPr>
          <w:rFonts w:cs="Times New Roman"/>
          <w:sz w:val="22"/>
          <w:szCs w:val="22"/>
          <w:lang w:val="lt-LT" w:eastAsia="en-US"/>
        </w:rPr>
        <w:t>urėjos</w:t>
      </w:r>
      <w:proofErr w:type="spellEnd"/>
      <w:r w:rsidR="00365017" w:rsidRPr="001F1642">
        <w:rPr>
          <w:rFonts w:cs="Times New Roman"/>
          <w:sz w:val="22"/>
          <w:szCs w:val="22"/>
          <w:lang w:val="lt-LT" w:eastAsia="en-US"/>
        </w:rPr>
        <w:t>,</w:t>
      </w:r>
      <w:r w:rsidRPr="001F1642">
        <w:rPr>
          <w:rFonts w:cs="Times New Roman"/>
          <w:sz w:val="22"/>
          <w:szCs w:val="22"/>
          <w:lang w:val="lt-LT" w:eastAsia="en-US"/>
        </w:rPr>
        <w:t xml:space="preserve">, sunkios hipoglikemijos dažnis </w:t>
      </w:r>
      <w:proofErr w:type="spellStart"/>
      <w:r w:rsidRPr="001F1642">
        <w:rPr>
          <w:rFonts w:cs="Times New Roman"/>
          <w:sz w:val="22"/>
          <w:szCs w:val="22"/>
          <w:lang w:val="lt-LT" w:eastAsia="en-US"/>
        </w:rPr>
        <w:t>sitagliptinu</w:t>
      </w:r>
      <w:proofErr w:type="spellEnd"/>
      <w:r w:rsidRPr="001F1642">
        <w:rPr>
          <w:rFonts w:cs="Times New Roman"/>
          <w:sz w:val="22"/>
          <w:szCs w:val="22"/>
          <w:lang w:val="lt-LT" w:eastAsia="en-US"/>
        </w:rPr>
        <w:t xml:space="preserve"> gydytų pacientų</w:t>
      </w:r>
      <w:r w:rsidR="009D16CA" w:rsidRPr="001F1642">
        <w:rPr>
          <w:rFonts w:cs="Times New Roman"/>
          <w:sz w:val="22"/>
          <w:szCs w:val="22"/>
          <w:lang w:val="lt-LT" w:eastAsia="en-US"/>
        </w:rPr>
        <w:t xml:space="preserve"> </w:t>
      </w:r>
      <w:r w:rsidRPr="001F1642">
        <w:rPr>
          <w:rFonts w:cs="Times New Roman"/>
          <w:sz w:val="22"/>
          <w:szCs w:val="22"/>
          <w:lang w:val="lt-LT" w:eastAsia="en-US"/>
        </w:rPr>
        <w:t>grupėje buvo 2,7</w:t>
      </w:r>
      <w:r w:rsidR="0064111B" w:rsidRPr="001F1642">
        <w:rPr>
          <w:rFonts w:cs="Times New Roman"/>
          <w:sz w:val="22"/>
          <w:szCs w:val="22"/>
          <w:lang w:val="lt-LT" w:eastAsia="en-US"/>
        </w:rPr>
        <w:t> </w:t>
      </w:r>
      <w:r w:rsidRPr="001F1642">
        <w:rPr>
          <w:rFonts w:cs="Times New Roman"/>
          <w:sz w:val="22"/>
          <w:szCs w:val="22"/>
          <w:lang w:val="lt-LT" w:eastAsia="en-US"/>
        </w:rPr>
        <w:t>%, o placebą vartojusių</w:t>
      </w:r>
      <w:r w:rsidR="00F47415" w:rsidRPr="001F1642">
        <w:rPr>
          <w:rFonts w:cs="Times New Roman"/>
          <w:sz w:val="22"/>
          <w:szCs w:val="22"/>
          <w:lang w:val="lt-LT" w:eastAsia="en-US"/>
        </w:rPr>
        <w:t xml:space="preserve"> –</w:t>
      </w:r>
      <w:r w:rsidRPr="001F1642">
        <w:rPr>
          <w:rFonts w:cs="Times New Roman"/>
          <w:sz w:val="22"/>
          <w:szCs w:val="22"/>
          <w:lang w:val="lt-LT" w:eastAsia="en-US"/>
        </w:rPr>
        <w:t xml:space="preserve"> 2,5</w:t>
      </w:r>
      <w:r w:rsidR="0064111B" w:rsidRPr="001F1642">
        <w:rPr>
          <w:rFonts w:cs="Times New Roman"/>
          <w:sz w:val="22"/>
          <w:szCs w:val="22"/>
          <w:lang w:val="lt-LT" w:eastAsia="en-US"/>
        </w:rPr>
        <w:t> </w:t>
      </w:r>
      <w:r w:rsidRPr="001F1642">
        <w:rPr>
          <w:rFonts w:cs="Times New Roman"/>
          <w:sz w:val="22"/>
          <w:szCs w:val="22"/>
          <w:lang w:val="lt-LT" w:eastAsia="en-US"/>
        </w:rPr>
        <w:t>%; tarp pacientų, kurie prieš pradedant tyrimą</w:t>
      </w:r>
      <w:r w:rsidR="009D16CA" w:rsidRPr="001F1642">
        <w:rPr>
          <w:rFonts w:cs="Times New Roman"/>
          <w:sz w:val="22"/>
          <w:szCs w:val="22"/>
          <w:lang w:val="lt-LT" w:eastAsia="en-US"/>
        </w:rPr>
        <w:t xml:space="preserve"> </w:t>
      </w:r>
      <w:r w:rsidRPr="001F1642">
        <w:rPr>
          <w:rFonts w:cs="Times New Roman"/>
          <w:sz w:val="22"/>
          <w:szCs w:val="22"/>
          <w:lang w:val="lt-LT" w:eastAsia="en-US"/>
        </w:rPr>
        <w:t xml:space="preserve">nevartojo insulino ir (arba) </w:t>
      </w:r>
      <w:r w:rsidR="00365017" w:rsidRPr="001F1642">
        <w:rPr>
          <w:rFonts w:cs="Times New Roman"/>
          <w:sz w:val="22"/>
          <w:szCs w:val="22"/>
          <w:lang w:val="lt-LT" w:eastAsia="en-US"/>
        </w:rPr>
        <w:t xml:space="preserve">vaistinio preparato, kurio sudėtyje yra </w:t>
      </w:r>
      <w:proofErr w:type="spellStart"/>
      <w:r w:rsidRPr="001F1642">
        <w:rPr>
          <w:rFonts w:cs="Times New Roman"/>
          <w:sz w:val="22"/>
          <w:szCs w:val="22"/>
          <w:lang w:val="lt-LT" w:eastAsia="en-US"/>
        </w:rPr>
        <w:t>sulfonil</w:t>
      </w:r>
      <w:r w:rsidR="00FC62F8" w:rsidRPr="001F1642">
        <w:rPr>
          <w:rFonts w:cs="Times New Roman"/>
          <w:sz w:val="22"/>
          <w:szCs w:val="22"/>
          <w:lang w:val="lt-LT" w:eastAsia="en-US"/>
        </w:rPr>
        <w:t>urėjos</w:t>
      </w:r>
      <w:proofErr w:type="spellEnd"/>
      <w:r w:rsidRPr="001F1642">
        <w:rPr>
          <w:rFonts w:cs="Times New Roman"/>
          <w:sz w:val="22"/>
          <w:szCs w:val="22"/>
          <w:lang w:val="lt-LT" w:eastAsia="en-US"/>
        </w:rPr>
        <w:t xml:space="preserve">, sunkios hipoglikemijos dažnis </w:t>
      </w:r>
      <w:proofErr w:type="spellStart"/>
      <w:r w:rsidRPr="001F1642">
        <w:rPr>
          <w:rFonts w:cs="Times New Roman"/>
          <w:sz w:val="22"/>
          <w:szCs w:val="22"/>
          <w:lang w:val="lt-LT" w:eastAsia="en-US"/>
        </w:rPr>
        <w:t>sitagliptinu</w:t>
      </w:r>
      <w:proofErr w:type="spellEnd"/>
      <w:r w:rsidR="009D16CA" w:rsidRPr="001F1642">
        <w:rPr>
          <w:rFonts w:cs="Times New Roman"/>
          <w:sz w:val="22"/>
          <w:szCs w:val="22"/>
          <w:lang w:val="lt-LT" w:eastAsia="en-US"/>
        </w:rPr>
        <w:t xml:space="preserve"> </w:t>
      </w:r>
      <w:r w:rsidRPr="001F1642">
        <w:rPr>
          <w:rFonts w:cs="Times New Roman"/>
          <w:sz w:val="22"/>
          <w:szCs w:val="22"/>
          <w:lang w:val="lt-LT" w:eastAsia="en-US"/>
        </w:rPr>
        <w:t>gydytų pacientų grupėje buvo 1,0</w:t>
      </w:r>
      <w:r w:rsidR="00BD1CE0" w:rsidRPr="001F1642">
        <w:rPr>
          <w:rFonts w:cs="Times New Roman"/>
          <w:sz w:val="22"/>
          <w:szCs w:val="22"/>
          <w:lang w:val="lt-LT" w:eastAsia="en-US"/>
        </w:rPr>
        <w:t> </w:t>
      </w:r>
      <w:r w:rsidRPr="001F1642">
        <w:rPr>
          <w:rFonts w:cs="Times New Roman"/>
          <w:sz w:val="22"/>
          <w:szCs w:val="22"/>
          <w:lang w:val="lt-LT" w:eastAsia="en-US"/>
        </w:rPr>
        <w:t>%, o placebą vartojusių</w:t>
      </w:r>
      <w:r w:rsidR="00BD1CE0" w:rsidRPr="001F1642">
        <w:rPr>
          <w:rFonts w:cs="Times New Roman"/>
          <w:sz w:val="22"/>
          <w:szCs w:val="22"/>
          <w:lang w:val="lt-LT" w:eastAsia="en-US"/>
        </w:rPr>
        <w:t>jų grupėje</w:t>
      </w:r>
      <w:r w:rsidRPr="00997273">
        <w:rPr>
          <w:rFonts w:cs="Times New Roman"/>
          <w:sz w:val="22"/>
          <w:szCs w:val="22"/>
          <w:lang w:val="lt-LT" w:eastAsia="en-US"/>
        </w:rPr>
        <w:t xml:space="preserve"> </w:t>
      </w:r>
      <w:r w:rsidR="00F47415">
        <w:rPr>
          <w:rFonts w:cs="Times New Roman"/>
          <w:sz w:val="22"/>
          <w:szCs w:val="22"/>
          <w:lang w:val="lt-LT" w:eastAsia="en-US"/>
        </w:rPr>
        <w:t>–</w:t>
      </w:r>
      <w:r w:rsidRPr="00997273">
        <w:rPr>
          <w:rFonts w:cs="Times New Roman"/>
          <w:sz w:val="22"/>
          <w:szCs w:val="22"/>
          <w:lang w:val="lt-LT" w:eastAsia="en-US"/>
        </w:rPr>
        <w:t xml:space="preserve"> 0,7</w:t>
      </w:r>
      <w:r w:rsidR="00BD1CE0">
        <w:t> </w:t>
      </w:r>
      <w:r w:rsidRPr="00997273">
        <w:rPr>
          <w:rFonts w:cs="Times New Roman"/>
          <w:sz w:val="22"/>
          <w:szCs w:val="22"/>
          <w:lang w:val="lt-LT" w:eastAsia="en-US"/>
        </w:rPr>
        <w:t>%. Patvirtinto pankreatito reiškinių</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dažnis </w:t>
      </w:r>
      <w:proofErr w:type="spellStart"/>
      <w:r w:rsidRPr="00997273">
        <w:rPr>
          <w:rFonts w:cs="Times New Roman"/>
          <w:sz w:val="22"/>
          <w:szCs w:val="22"/>
          <w:lang w:val="lt-LT" w:eastAsia="en-US"/>
        </w:rPr>
        <w:t>sitagliptinu</w:t>
      </w:r>
      <w:proofErr w:type="spellEnd"/>
      <w:r w:rsidRPr="00997273">
        <w:rPr>
          <w:rFonts w:cs="Times New Roman"/>
          <w:sz w:val="22"/>
          <w:szCs w:val="22"/>
          <w:lang w:val="lt-LT" w:eastAsia="en-US"/>
        </w:rPr>
        <w:t xml:space="preserve"> gydytų pacientų grupėje buvo 0,3</w:t>
      </w:r>
      <w:r w:rsidR="00BD1CE0">
        <w:rPr>
          <w:rFonts w:cs="Times New Roman"/>
          <w:sz w:val="22"/>
          <w:szCs w:val="22"/>
          <w:lang w:val="lt-LT" w:eastAsia="en-US"/>
        </w:rPr>
        <w:t> </w:t>
      </w:r>
      <w:r w:rsidRPr="00997273">
        <w:rPr>
          <w:rFonts w:cs="Times New Roman"/>
          <w:sz w:val="22"/>
          <w:szCs w:val="22"/>
          <w:lang w:val="lt-LT" w:eastAsia="en-US"/>
        </w:rPr>
        <w:t>%, o placebą vartojusių</w:t>
      </w:r>
      <w:r w:rsidR="00BD1CE0">
        <w:rPr>
          <w:rFonts w:cs="Times New Roman"/>
          <w:sz w:val="22"/>
          <w:szCs w:val="22"/>
          <w:lang w:val="lt-LT" w:eastAsia="en-US"/>
        </w:rPr>
        <w:t>jų</w:t>
      </w:r>
      <w:r w:rsidRPr="00997273">
        <w:rPr>
          <w:rFonts w:cs="Times New Roman"/>
          <w:sz w:val="22"/>
          <w:szCs w:val="22"/>
          <w:lang w:val="lt-LT" w:eastAsia="en-US"/>
        </w:rPr>
        <w:t xml:space="preserve"> </w:t>
      </w:r>
      <w:r w:rsidR="00BD1CE0">
        <w:rPr>
          <w:rFonts w:cs="Times New Roman"/>
          <w:sz w:val="22"/>
          <w:szCs w:val="22"/>
          <w:lang w:val="lt-LT" w:eastAsia="en-US"/>
        </w:rPr>
        <w:t>grupėje</w:t>
      </w:r>
      <w:r w:rsidR="00F47415">
        <w:rPr>
          <w:rFonts w:cs="Times New Roman"/>
          <w:sz w:val="22"/>
          <w:szCs w:val="22"/>
          <w:lang w:val="lt-LT" w:eastAsia="en-US"/>
        </w:rPr>
        <w:t xml:space="preserve"> –</w:t>
      </w:r>
      <w:r w:rsidRPr="00997273">
        <w:rPr>
          <w:rFonts w:cs="Times New Roman"/>
          <w:sz w:val="22"/>
          <w:szCs w:val="22"/>
          <w:lang w:val="lt-LT" w:eastAsia="en-US"/>
        </w:rPr>
        <w:t xml:space="preserve"> 0,2</w:t>
      </w:r>
      <w:r w:rsidR="00BD1CE0">
        <w:rPr>
          <w:rFonts w:cs="Times New Roman"/>
          <w:sz w:val="22"/>
          <w:szCs w:val="22"/>
          <w:lang w:val="lt-LT" w:eastAsia="en-US"/>
        </w:rPr>
        <w:t> </w:t>
      </w:r>
      <w:r w:rsidRPr="00997273">
        <w:rPr>
          <w:rFonts w:cs="Times New Roman"/>
          <w:sz w:val="22"/>
          <w:szCs w:val="22"/>
          <w:lang w:val="lt-LT" w:eastAsia="en-US"/>
        </w:rPr>
        <w:t>%.</w:t>
      </w:r>
    </w:p>
    <w:p w14:paraId="6F7ABBE8" w14:textId="77777777" w:rsidR="000F14B1" w:rsidRPr="00997273" w:rsidRDefault="000F14B1" w:rsidP="00612A8E">
      <w:pPr>
        <w:tabs>
          <w:tab w:val="left" w:pos="567"/>
        </w:tabs>
        <w:autoSpaceDE w:val="0"/>
        <w:autoSpaceDN w:val="0"/>
        <w:adjustRightInd w:val="0"/>
        <w:rPr>
          <w:rFonts w:eastAsia="Times New Roman" w:cs="Times New Roman"/>
          <w:sz w:val="22"/>
          <w:szCs w:val="22"/>
          <w:u w:val="single"/>
          <w:lang w:val="lt-LT" w:eastAsia="lt-LT" w:bidi="lt-LT"/>
        </w:rPr>
      </w:pPr>
    </w:p>
    <w:p w14:paraId="5287B4E8" w14:textId="77777777" w:rsidR="00612A8E" w:rsidRPr="00997273" w:rsidRDefault="00612A8E" w:rsidP="00612A8E">
      <w:pPr>
        <w:tabs>
          <w:tab w:val="left" w:pos="567"/>
        </w:tabs>
        <w:autoSpaceDE w:val="0"/>
        <w:autoSpaceDN w:val="0"/>
        <w:adjustRightInd w:val="0"/>
        <w:rPr>
          <w:rFonts w:eastAsia="Times New Roman" w:cs="Times New Roman"/>
          <w:sz w:val="22"/>
          <w:szCs w:val="22"/>
          <w:u w:val="single"/>
          <w:lang w:val="lt-LT" w:eastAsia="lt-LT" w:bidi="lt-LT"/>
        </w:rPr>
      </w:pPr>
      <w:r w:rsidRPr="00997273">
        <w:rPr>
          <w:rFonts w:eastAsia="Times New Roman" w:cs="Times New Roman"/>
          <w:sz w:val="22"/>
          <w:szCs w:val="22"/>
          <w:u w:val="single"/>
          <w:lang w:val="lt-LT" w:eastAsia="lt-LT" w:bidi="lt-LT"/>
        </w:rPr>
        <w:t>Pranešimas apie įtariamas nepageidaujamas reakcijas</w:t>
      </w:r>
    </w:p>
    <w:p w14:paraId="3B340B43" w14:textId="35EB81FA" w:rsidR="00FC62F8" w:rsidRPr="00997273" w:rsidRDefault="0009386E" w:rsidP="00FC62F8">
      <w:pPr>
        <w:tabs>
          <w:tab w:val="left" w:pos="567"/>
        </w:tabs>
        <w:autoSpaceDE w:val="0"/>
        <w:autoSpaceDN w:val="0"/>
        <w:adjustRightInd w:val="0"/>
        <w:spacing w:line="260" w:lineRule="exact"/>
        <w:rPr>
          <w:rFonts w:eastAsia="Times New Roman" w:cs="Times New Roman"/>
          <w:noProof/>
          <w:snapToGrid w:val="0"/>
          <w:sz w:val="22"/>
          <w:szCs w:val="22"/>
          <w:lang w:val="lt-LT" w:eastAsia="en-US"/>
        </w:rPr>
      </w:pPr>
      <w:r>
        <w:rPr>
          <w:sz w:val="22"/>
          <w:szCs w:val="22"/>
          <w:lang w:eastAsia="lt-LT"/>
        </w:rPr>
        <w:lastRenderedPageBreak/>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r w:rsidR="00FC62F8" w:rsidRPr="00997273">
        <w:rPr>
          <w:rFonts w:eastAsia="Times New Roman" w:cs="Times New Roman"/>
          <w:noProof/>
          <w:snapToGrid w:val="0"/>
          <w:sz w:val="22"/>
          <w:szCs w:val="22"/>
          <w:lang w:val="lt-LT" w:eastAsia="en-US"/>
        </w:rPr>
        <w:t>.</w:t>
      </w:r>
    </w:p>
    <w:p w14:paraId="56A0E128"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74EA90DF" w14:textId="77777777" w:rsidR="00612A8E" w:rsidRPr="0099727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Perdozavimas</w:t>
      </w:r>
    </w:p>
    <w:p w14:paraId="2B963EEC" w14:textId="77777777" w:rsidR="00B96EE0" w:rsidRPr="00B96EE0" w:rsidRDefault="00B96EE0" w:rsidP="00B96EE0">
      <w:pPr>
        <w:widowControl w:val="0"/>
        <w:tabs>
          <w:tab w:val="left" w:pos="1296"/>
        </w:tabs>
        <w:autoSpaceDE w:val="0"/>
        <w:autoSpaceDN w:val="0"/>
        <w:adjustRightInd w:val="0"/>
        <w:snapToGrid w:val="0"/>
        <w:rPr>
          <w:rFonts w:eastAsia="Times New Roman" w:cs="Times New Roman"/>
          <w:bCs/>
          <w:sz w:val="22"/>
          <w:szCs w:val="22"/>
          <w:u w:val="single"/>
          <w:lang w:val="lt-LT" w:eastAsia="en-US"/>
        </w:rPr>
      </w:pPr>
    </w:p>
    <w:p w14:paraId="0843D469" w14:textId="1BC231F9" w:rsidR="00B96EE0" w:rsidRDefault="00B96EE0" w:rsidP="00B96EE0">
      <w:pPr>
        <w:widowControl w:val="0"/>
        <w:tabs>
          <w:tab w:val="left" w:pos="1296"/>
        </w:tabs>
        <w:autoSpaceDE w:val="0"/>
        <w:autoSpaceDN w:val="0"/>
        <w:adjustRightInd w:val="0"/>
        <w:snapToGrid w:val="0"/>
        <w:rPr>
          <w:rFonts w:eastAsia="Times New Roman" w:cs="Times New Roman"/>
          <w:sz w:val="22"/>
          <w:szCs w:val="22"/>
          <w:lang w:val="lt-LT" w:eastAsia="en-US"/>
        </w:rPr>
      </w:pPr>
      <w:r w:rsidRPr="00B96EE0">
        <w:rPr>
          <w:rFonts w:eastAsia="Times New Roman" w:cs="Times New Roman"/>
          <w:sz w:val="22"/>
          <w:szCs w:val="22"/>
          <w:lang w:val="lt-LT" w:eastAsia="en-US"/>
        </w:rPr>
        <w:t xml:space="preserve">Kontroliuotų klinikinių tyrimų su sveikais asmenimis metu buvo skiriamos ne didesnės kaip 800 mg vienkartinės </w:t>
      </w:r>
      <w:proofErr w:type="spellStart"/>
      <w:r w:rsidRPr="00B96EE0">
        <w:rPr>
          <w:rFonts w:eastAsia="Times New Roman" w:cs="Times New Roman"/>
          <w:sz w:val="22"/>
          <w:szCs w:val="22"/>
          <w:lang w:val="lt-LT" w:eastAsia="en-US"/>
        </w:rPr>
        <w:t>sitagliptino</w:t>
      </w:r>
      <w:proofErr w:type="spellEnd"/>
      <w:r w:rsidRPr="00B96EE0">
        <w:rPr>
          <w:rFonts w:eastAsia="Times New Roman" w:cs="Times New Roman"/>
          <w:sz w:val="22"/>
          <w:szCs w:val="22"/>
          <w:lang w:val="lt-LT" w:eastAsia="en-US"/>
        </w:rPr>
        <w:t xml:space="preserve"> dozės. Vieno</w:t>
      </w:r>
      <w:r w:rsidR="00F30808">
        <w:rPr>
          <w:rFonts w:eastAsia="Times New Roman" w:cs="Times New Roman"/>
          <w:sz w:val="22"/>
          <w:szCs w:val="22"/>
          <w:lang w:val="lt-LT" w:eastAsia="en-US"/>
        </w:rPr>
        <w:t xml:space="preserve"> </w:t>
      </w:r>
      <w:r w:rsidRPr="00B96EE0">
        <w:rPr>
          <w:rFonts w:eastAsia="Times New Roman" w:cs="Times New Roman"/>
          <w:sz w:val="22"/>
          <w:szCs w:val="22"/>
          <w:lang w:val="lt-LT" w:eastAsia="en-US"/>
        </w:rPr>
        <w:t>tyrimo metu</w:t>
      </w:r>
      <w:r w:rsidR="00284DB8">
        <w:rPr>
          <w:rFonts w:eastAsia="Times New Roman" w:cs="Times New Roman"/>
          <w:sz w:val="22"/>
          <w:szCs w:val="22"/>
          <w:lang w:val="lt-LT" w:eastAsia="en-US"/>
        </w:rPr>
        <w:t>, skiriant</w:t>
      </w:r>
      <w:r w:rsidRPr="00B96EE0">
        <w:rPr>
          <w:rFonts w:eastAsia="Times New Roman" w:cs="Times New Roman"/>
          <w:sz w:val="22"/>
          <w:szCs w:val="22"/>
          <w:lang w:val="lt-LT" w:eastAsia="en-US"/>
        </w:rPr>
        <w:t xml:space="preserve"> 800 mg </w:t>
      </w:r>
      <w:proofErr w:type="spellStart"/>
      <w:r w:rsidRPr="00B96EE0">
        <w:rPr>
          <w:rFonts w:eastAsia="Times New Roman" w:cs="Times New Roman"/>
          <w:sz w:val="22"/>
          <w:szCs w:val="22"/>
          <w:lang w:val="lt-LT" w:eastAsia="en-US"/>
        </w:rPr>
        <w:t>sitagliptino</w:t>
      </w:r>
      <w:proofErr w:type="spellEnd"/>
      <w:r w:rsidR="00284DB8">
        <w:rPr>
          <w:rFonts w:eastAsia="Times New Roman" w:cs="Times New Roman"/>
          <w:sz w:val="22"/>
          <w:szCs w:val="22"/>
          <w:lang w:val="lt-LT" w:eastAsia="en-US"/>
        </w:rPr>
        <w:t>, stebėtas</w:t>
      </w:r>
      <w:r w:rsidRPr="00B96EE0">
        <w:rPr>
          <w:rFonts w:eastAsia="Times New Roman" w:cs="Times New Roman"/>
          <w:sz w:val="22"/>
          <w:szCs w:val="22"/>
          <w:lang w:val="lt-LT" w:eastAsia="en-US"/>
        </w:rPr>
        <w:t xml:space="preserve"> minimal</w:t>
      </w:r>
      <w:r w:rsidR="00284DB8">
        <w:rPr>
          <w:rFonts w:eastAsia="Times New Roman" w:cs="Times New Roman"/>
          <w:sz w:val="22"/>
          <w:szCs w:val="22"/>
          <w:lang w:val="lt-LT" w:eastAsia="en-US"/>
        </w:rPr>
        <w:t>us</w:t>
      </w:r>
      <w:r w:rsidRPr="00B96EE0">
        <w:rPr>
          <w:rFonts w:eastAsia="Times New Roman" w:cs="Times New Roman"/>
          <w:sz w:val="22"/>
          <w:szCs w:val="22"/>
          <w:lang w:val="lt-LT" w:eastAsia="en-US"/>
        </w:rPr>
        <w:t xml:space="preserve"> </w:t>
      </w:r>
      <w:proofErr w:type="spellStart"/>
      <w:r w:rsidRPr="00B96EE0">
        <w:rPr>
          <w:rFonts w:eastAsia="Times New Roman" w:cs="Times New Roman"/>
          <w:sz w:val="22"/>
          <w:szCs w:val="22"/>
          <w:lang w:val="lt-LT" w:eastAsia="en-US"/>
        </w:rPr>
        <w:t>QT</w:t>
      </w:r>
      <w:r w:rsidR="0028034B">
        <w:rPr>
          <w:rFonts w:eastAsia="Times New Roman" w:cs="Times New Roman"/>
          <w:sz w:val="22"/>
          <w:szCs w:val="22"/>
          <w:lang w:val="lt-LT" w:eastAsia="en-US"/>
        </w:rPr>
        <w:t>c</w:t>
      </w:r>
      <w:proofErr w:type="spellEnd"/>
      <w:r w:rsidRPr="00B96EE0">
        <w:rPr>
          <w:rFonts w:eastAsia="Times New Roman" w:cs="Times New Roman"/>
          <w:sz w:val="22"/>
          <w:szCs w:val="22"/>
          <w:lang w:val="lt-LT" w:eastAsia="en-US"/>
        </w:rPr>
        <w:t> interval</w:t>
      </w:r>
      <w:r w:rsidR="00F44460">
        <w:rPr>
          <w:rFonts w:eastAsia="Times New Roman" w:cs="Times New Roman"/>
          <w:sz w:val="22"/>
          <w:szCs w:val="22"/>
          <w:lang w:val="lt-LT" w:eastAsia="en-US"/>
        </w:rPr>
        <w:t>o prailgėjimas</w:t>
      </w:r>
      <w:r w:rsidRPr="00B96EE0">
        <w:rPr>
          <w:rFonts w:eastAsia="Times New Roman" w:cs="Times New Roman"/>
          <w:sz w:val="22"/>
          <w:szCs w:val="22"/>
          <w:lang w:val="lt-LT" w:eastAsia="en-US"/>
        </w:rPr>
        <w:t xml:space="preserve">, </w:t>
      </w:r>
      <w:r w:rsidR="00F44460">
        <w:rPr>
          <w:rFonts w:eastAsia="Times New Roman" w:cs="Times New Roman"/>
          <w:sz w:val="22"/>
          <w:szCs w:val="22"/>
          <w:lang w:val="lt-LT" w:eastAsia="en-US"/>
        </w:rPr>
        <w:t>kuris</w:t>
      </w:r>
      <w:r w:rsidRPr="00B96EE0">
        <w:rPr>
          <w:rFonts w:eastAsia="Times New Roman" w:cs="Times New Roman"/>
          <w:sz w:val="22"/>
          <w:szCs w:val="22"/>
          <w:lang w:val="lt-LT" w:eastAsia="en-US"/>
        </w:rPr>
        <w:t xml:space="preserve"> nelaikytas kliniškai reikšmingu. Didesnės kaip 800 mg dozės vartojimo patirties klinikinių tyrimų metu nėra. I fazės kartotinų dozių tyrimų metu vartojant ne didesnes kaip 600 mg </w:t>
      </w:r>
      <w:proofErr w:type="spellStart"/>
      <w:r w:rsidRPr="00B96EE0">
        <w:rPr>
          <w:rFonts w:eastAsia="Times New Roman" w:cs="Times New Roman"/>
          <w:sz w:val="22"/>
          <w:szCs w:val="22"/>
          <w:lang w:val="lt-LT" w:eastAsia="en-US"/>
        </w:rPr>
        <w:t>sitagliptino</w:t>
      </w:r>
      <w:proofErr w:type="spellEnd"/>
      <w:r w:rsidRPr="00B96EE0">
        <w:rPr>
          <w:rFonts w:eastAsia="Times New Roman" w:cs="Times New Roman"/>
          <w:sz w:val="22"/>
          <w:szCs w:val="22"/>
          <w:lang w:val="lt-LT" w:eastAsia="en-US"/>
        </w:rPr>
        <w:t xml:space="preserve"> paros dozes iki 10 dienų ir 400 mg paros dozes iki 28 dienų, su doze susijusių klinikinių nepageidaujamų reakcijų nenustatyta.</w:t>
      </w:r>
    </w:p>
    <w:p w14:paraId="4CBE60F1" w14:textId="77777777" w:rsidR="00F47415" w:rsidRPr="00B96EE0" w:rsidRDefault="00F47415" w:rsidP="00B96EE0">
      <w:pPr>
        <w:widowControl w:val="0"/>
        <w:tabs>
          <w:tab w:val="left" w:pos="1296"/>
        </w:tabs>
        <w:autoSpaceDE w:val="0"/>
        <w:autoSpaceDN w:val="0"/>
        <w:adjustRightInd w:val="0"/>
        <w:snapToGrid w:val="0"/>
        <w:rPr>
          <w:rFonts w:eastAsia="Times New Roman" w:cs="Times New Roman"/>
          <w:sz w:val="22"/>
          <w:szCs w:val="22"/>
          <w:lang w:val="lt-LT" w:eastAsia="en-US"/>
        </w:rPr>
      </w:pPr>
    </w:p>
    <w:p w14:paraId="6936BB39" w14:textId="402197D6" w:rsidR="00B96EE0" w:rsidRDefault="00B96EE0" w:rsidP="00B96EE0">
      <w:pPr>
        <w:widowControl w:val="0"/>
        <w:tabs>
          <w:tab w:val="left" w:pos="1296"/>
        </w:tabs>
        <w:autoSpaceDE w:val="0"/>
        <w:autoSpaceDN w:val="0"/>
        <w:adjustRightInd w:val="0"/>
        <w:snapToGrid w:val="0"/>
        <w:rPr>
          <w:rFonts w:eastAsia="Times New Roman" w:cs="Times New Roman"/>
          <w:sz w:val="22"/>
          <w:szCs w:val="22"/>
          <w:lang w:val="lt-LT" w:eastAsia="en-US"/>
        </w:rPr>
      </w:pPr>
      <w:r w:rsidRPr="00B96EE0">
        <w:rPr>
          <w:rFonts w:eastAsia="Times New Roman" w:cs="Times New Roman"/>
          <w:sz w:val="22"/>
          <w:szCs w:val="22"/>
          <w:lang w:val="lt-LT" w:eastAsia="en-US"/>
        </w:rPr>
        <w:t>Perdozavimo atveju reikia taikyti įprastas palaikomąsias priemones, pvz., šalinti neabsorbuotą vaistinį preparatą iš virškinimo trakto, stebėti klinikinę būklę (įskaitant elektrokardiogramos užrašymą) ir</w:t>
      </w:r>
      <w:r w:rsidR="00A035C3">
        <w:rPr>
          <w:rFonts w:eastAsia="Times New Roman" w:cs="Times New Roman"/>
          <w:sz w:val="22"/>
          <w:szCs w:val="22"/>
          <w:lang w:val="lt-LT" w:eastAsia="en-US"/>
        </w:rPr>
        <w:t xml:space="preserve"> prireikus</w:t>
      </w:r>
      <w:r w:rsidR="00C52915">
        <w:rPr>
          <w:rFonts w:eastAsia="Times New Roman" w:cs="Times New Roman"/>
          <w:sz w:val="22"/>
          <w:szCs w:val="22"/>
          <w:lang w:val="lt-LT" w:eastAsia="en-US"/>
        </w:rPr>
        <w:t xml:space="preserve"> pradėti</w:t>
      </w:r>
      <w:r w:rsidRPr="00B96EE0">
        <w:rPr>
          <w:rFonts w:eastAsia="Times New Roman" w:cs="Times New Roman"/>
          <w:sz w:val="22"/>
          <w:szCs w:val="22"/>
          <w:lang w:val="lt-LT" w:eastAsia="en-US"/>
        </w:rPr>
        <w:t xml:space="preserve"> palaikomąjį gydymą.</w:t>
      </w:r>
    </w:p>
    <w:p w14:paraId="3E99CBDA" w14:textId="77777777" w:rsidR="00F47415" w:rsidRPr="00B96EE0" w:rsidRDefault="00F47415" w:rsidP="00B96EE0">
      <w:pPr>
        <w:widowControl w:val="0"/>
        <w:tabs>
          <w:tab w:val="left" w:pos="1296"/>
        </w:tabs>
        <w:autoSpaceDE w:val="0"/>
        <w:autoSpaceDN w:val="0"/>
        <w:adjustRightInd w:val="0"/>
        <w:snapToGrid w:val="0"/>
        <w:rPr>
          <w:rFonts w:eastAsia="Times New Roman" w:cs="Times New Roman"/>
          <w:sz w:val="22"/>
          <w:szCs w:val="22"/>
          <w:lang w:val="lt-LT" w:eastAsia="en-US"/>
        </w:rPr>
      </w:pPr>
    </w:p>
    <w:p w14:paraId="2CA67B68" w14:textId="5EA991FF" w:rsidR="00B96EE0" w:rsidRPr="00B96EE0" w:rsidRDefault="00B96EE0" w:rsidP="00B96EE0">
      <w:pPr>
        <w:widowControl w:val="0"/>
        <w:tabs>
          <w:tab w:val="left" w:pos="1296"/>
        </w:tabs>
        <w:autoSpaceDE w:val="0"/>
        <w:autoSpaceDN w:val="0"/>
        <w:adjustRightInd w:val="0"/>
        <w:snapToGrid w:val="0"/>
        <w:rPr>
          <w:rFonts w:eastAsia="Times New Roman" w:cs="Times New Roman"/>
          <w:sz w:val="22"/>
          <w:szCs w:val="22"/>
          <w:lang w:val="lt-LT" w:eastAsia="en-US"/>
        </w:rPr>
      </w:pPr>
      <w:r w:rsidRPr="00B96EE0">
        <w:rPr>
          <w:rFonts w:eastAsia="Times New Roman" w:cs="Times New Roman"/>
          <w:sz w:val="22"/>
          <w:szCs w:val="22"/>
          <w:lang w:val="lt-LT" w:eastAsia="en-US"/>
        </w:rPr>
        <w:t xml:space="preserve">Dialize </w:t>
      </w:r>
      <w:proofErr w:type="spellStart"/>
      <w:r w:rsidRPr="00B96EE0">
        <w:rPr>
          <w:rFonts w:eastAsia="Times New Roman" w:cs="Times New Roman"/>
          <w:sz w:val="22"/>
          <w:szCs w:val="22"/>
          <w:lang w:val="lt-LT" w:eastAsia="en-US"/>
        </w:rPr>
        <w:t>sitagliptino</w:t>
      </w:r>
      <w:proofErr w:type="spellEnd"/>
      <w:r w:rsidRPr="00B96EE0">
        <w:rPr>
          <w:rFonts w:eastAsia="Times New Roman" w:cs="Times New Roman"/>
          <w:sz w:val="22"/>
          <w:szCs w:val="22"/>
          <w:lang w:val="lt-LT" w:eastAsia="en-US"/>
        </w:rPr>
        <w:t xml:space="preserve"> iš organizmo pašalinama nedaug. Klinikinių tyrimų metu vienos 3</w:t>
      </w:r>
      <w:r w:rsidR="00F47415">
        <w:rPr>
          <w:rFonts w:eastAsia="Times New Roman" w:cs="Times New Roman"/>
          <w:sz w:val="22"/>
          <w:szCs w:val="22"/>
          <w:lang w:val="lt-LT" w:eastAsia="en-US"/>
        </w:rPr>
        <w:t>–</w:t>
      </w:r>
      <w:r w:rsidRPr="00B96EE0">
        <w:rPr>
          <w:rFonts w:eastAsia="Times New Roman" w:cs="Times New Roman"/>
          <w:sz w:val="22"/>
          <w:szCs w:val="22"/>
          <w:lang w:val="lt-LT" w:eastAsia="en-US"/>
        </w:rPr>
        <w:t xml:space="preserve">4 valandų trukmės hemodializės metu buvo pašalinta maždaug 13,5 % dozės. Jei kliniškai tinka, galima svarstyti ilgesnės trukmės hemodializės taikymą. Ar </w:t>
      </w:r>
      <w:proofErr w:type="spellStart"/>
      <w:r w:rsidRPr="00B96EE0">
        <w:rPr>
          <w:rFonts w:eastAsia="Times New Roman" w:cs="Times New Roman"/>
          <w:sz w:val="22"/>
          <w:szCs w:val="22"/>
          <w:lang w:val="lt-LT" w:eastAsia="en-US"/>
        </w:rPr>
        <w:t>sitagliptino</w:t>
      </w:r>
      <w:proofErr w:type="spellEnd"/>
      <w:r w:rsidRPr="00B96EE0">
        <w:rPr>
          <w:rFonts w:eastAsia="Times New Roman" w:cs="Times New Roman"/>
          <w:sz w:val="22"/>
          <w:szCs w:val="22"/>
          <w:lang w:val="lt-LT" w:eastAsia="en-US"/>
        </w:rPr>
        <w:t xml:space="preserve"> galima pašalinti iš organizmo </w:t>
      </w:r>
      <w:proofErr w:type="spellStart"/>
      <w:r w:rsidRPr="00B96EE0">
        <w:rPr>
          <w:rFonts w:eastAsia="Times New Roman" w:cs="Times New Roman"/>
          <w:sz w:val="22"/>
          <w:szCs w:val="22"/>
          <w:lang w:val="lt-LT" w:eastAsia="en-US"/>
        </w:rPr>
        <w:t>per</w:t>
      </w:r>
      <w:r w:rsidR="00F30808">
        <w:rPr>
          <w:rFonts w:eastAsia="Times New Roman" w:cs="Times New Roman"/>
          <w:sz w:val="22"/>
          <w:szCs w:val="22"/>
          <w:lang w:val="lt-LT" w:eastAsia="en-US"/>
        </w:rPr>
        <w:t>i</w:t>
      </w:r>
      <w:r w:rsidRPr="00B96EE0">
        <w:rPr>
          <w:rFonts w:eastAsia="Times New Roman" w:cs="Times New Roman"/>
          <w:sz w:val="22"/>
          <w:szCs w:val="22"/>
          <w:lang w:val="lt-LT" w:eastAsia="en-US"/>
        </w:rPr>
        <w:t>tonine</w:t>
      </w:r>
      <w:proofErr w:type="spellEnd"/>
      <w:r w:rsidRPr="00B96EE0">
        <w:rPr>
          <w:rFonts w:eastAsia="Times New Roman" w:cs="Times New Roman"/>
          <w:sz w:val="22"/>
          <w:szCs w:val="22"/>
          <w:lang w:val="lt-LT" w:eastAsia="en-US"/>
        </w:rPr>
        <w:t xml:space="preserve"> dialize, nežinoma.</w:t>
      </w:r>
    </w:p>
    <w:p w14:paraId="09D90659" w14:textId="77777777" w:rsidR="00B96EE0" w:rsidRPr="00B96EE0" w:rsidRDefault="00B96EE0" w:rsidP="00B96EE0">
      <w:pPr>
        <w:widowControl w:val="0"/>
        <w:tabs>
          <w:tab w:val="left" w:pos="1296"/>
        </w:tabs>
        <w:snapToGrid w:val="0"/>
        <w:ind w:left="567" w:hanging="567"/>
        <w:rPr>
          <w:rFonts w:eastAsia="Times New Roman" w:cs="Times New Roman"/>
          <w:sz w:val="22"/>
          <w:szCs w:val="22"/>
          <w:lang w:val="lt-LT" w:eastAsia="en-US"/>
        </w:rPr>
      </w:pPr>
    </w:p>
    <w:p w14:paraId="241A37D1" w14:textId="77777777" w:rsidR="00612A8E" w:rsidRPr="00997273" w:rsidRDefault="00612A8E" w:rsidP="00612A8E">
      <w:pPr>
        <w:tabs>
          <w:tab w:val="left" w:pos="567"/>
        </w:tabs>
        <w:rPr>
          <w:rFonts w:eastAsia="Times New Roman" w:cs="Times New Roman"/>
          <w:sz w:val="22"/>
          <w:szCs w:val="22"/>
          <w:lang w:val="lt-LT" w:eastAsia="lt-LT" w:bidi="lt-LT"/>
        </w:rPr>
      </w:pPr>
    </w:p>
    <w:p w14:paraId="1CDC014E" w14:textId="77777777" w:rsidR="00612A8E" w:rsidRPr="00997273" w:rsidRDefault="00612A8E" w:rsidP="00B92AF6">
      <w:pPr>
        <w:keepNext/>
        <w:numPr>
          <w:ilvl w:val="0"/>
          <w:numId w:val="25"/>
        </w:numPr>
        <w:suppressAutoHyphens/>
        <w:spacing w:line="260" w:lineRule="exact"/>
        <w:ind w:left="540" w:hanging="540"/>
        <w:rPr>
          <w:rFonts w:eastAsia="Times New Roman" w:cs="Times New Roman"/>
          <w:sz w:val="22"/>
          <w:szCs w:val="22"/>
          <w:lang w:val="lt-LT" w:eastAsia="lt-LT" w:bidi="lt-LT"/>
        </w:rPr>
      </w:pPr>
      <w:r w:rsidRPr="00997273">
        <w:rPr>
          <w:rFonts w:eastAsia="Times New Roman" w:cs="Times New Roman"/>
          <w:b/>
          <w:sz w:val="22"/>
          <w:szCs w:val="22"/>
          <w:lang w:val="lt-LT" w:eastAsia="lt-LT" w:bidi="lt-LT"/>
        </w:rPr>
        <w:t>FARMAKOLOGINĖS SAVYBĖS</w:t>
      </w:r>
    </w:p>
    <w:p w14:paraId="3F2ABF8A" w14:textId="77777777" w:rsidR="00612A8E" w:rsidRPr="00997273" w:rsidRDefault="00612A8E" w:rsidP="00B92AF6">
      <w:pPr>
        <w:keepNext/>
        <w:ind w:left="540" w:hanging="540"/>
        <w:rPr>
          <w:rFonts w:eastAsia="Times New Roman" w:cs="Times New Roman"/>
          <w:sz w:val="22"/>
          <w:szCs w:val="22"/>
          <w:lang w:val="lt-LT" w:eastAsia="lt-LT" w:bidi="lt-LT"/>
        </w:rPr>
      </w:pPr>
    </w:p>
    <w:p w14:paraId="6602DF6E" w14:textId="77777777" w:rsidR="00612A8E" w:rsidRPr="00997273" w:rsidRDefault="00612A8E" w:rsidP="00B92AF6">
      <w:pPr>
        <w:keepNext/>
        <w:numPr>
          <w:ilvl w:val="1"/>
          <w:numId w:val="25"/>
        </w:numPr>
        <w:spacing w:line="260" w:lineRule="exact"/>
        <w:ind w:left="540" w:hanging="540"/>
        <w:outlineLvl w:val="0"/>
        <w:rPr>
          <w:rFonts w:eastAsia="Times New Roman" w:cs="Times New Roman"/>
          <w:sz w:val="22"/>
          <w:szCs w:val="22"/>
          <w:lang w:val="lt-LT" w:eastAsia="lt-LT" w:bidi="lt-LT"/>
        </w:rPr>
      </w:pPr>
      <w:proofErr w:type="spellStart"/>
      <w:r w:rsidRPr="00997273">
        <w:rPr>
          <w:rFonts w:eastAsia="Times New Roman" w:cs="Times New Roman"/>
          <w:b/>
          <w:sz w:val="22"/>
          <w:szCs w:val="22"/>
          <w:lang w:val="lt-LT" w:eastAsia="lt-LT" w:bidi="lt-LT"/>
        </w:rPr>
        <w:t>Farmakodinaminės</w:t>
      </w:r>
      <w:proofErr w:type="spellEnd"/>
      <w:r w:rsidRPr="00997273">
        <w:rPr>
          <w:rFonts w:eastAsia="Times New Roman" w:cs="Times New Roman"/>
          <w:b/>
          <w:sz w:val="22"/>
          <w:szCs w:val="22"/>
          <w:lang w:val="lt-LT" w:eastAsia="lt-LT" w:bidi="lt-LT"/>
        </w:rPr>
        <w:t xml:space="preserve"> savybės</w:t>
      </w:r>
    </w:p>
    <w:p w14:paraId="1742780C" w14:textId="77777777" w:rsidR="00612A8E" w:rsidRPr="00997273" w:rsidRDefault="00612A8E" w:rsidP="00612A8E">
      <w:pPr>
        <w:keepNext/>
        <w:tabs>
          <w:tab w:val="left" w:pos="567"/>
        </w:tabs>
        <w:rPr>
          <w:rFonts w:eastAsia="Times New Roman" w:cs="Times New Roman"/>
          <w:sz w:val="22"/>
          <w:szCs w:val="22"/>
          <w:lang w:val="lt-LT" w:eastAsia="lt-LT" w:bidi="lt-LT"/>
        </w:rPr>
      </w:pPr>
    </w:p>
    <w:p w14:paraId="6C042C37" w14:textId="77777777" w:rsidR="000F14B1" w:rsidRPr="00997273" w:rsidRDefault="000F14B1" w:rsidP="000F14B1">
      <w:pPr>
        <w:autoSpaceDE w:val="0"/>
        <w:autoSpaceDN w:val="0"/>
        <w:adjustRightInd w:val="0"/>
        <w:rPr>
          <w:rFonts w:cs="Times New Roman"/>
          <w:sz w:val="22"/>
          <w:szCs w:val="22"/>
          <w:lang w:val="lt-LT" w:eastAsia="en-US"/>
        </w:rPr>
      </w:pPr>
      <w:proofErr w:type="spellStart"/>
      <w:r w:rsidRPr="00997273">
        <w:rPr>
          <w:rFonts w:cs="Times New Roman"/>
          <w:sz w:val="22"/>
          <w:szCs w:val="22"/>
          <w:lang w:val="lt-LT" w:eastAsia="en-US"/>
        </w:rPr>
        <w:t>Farmakoterapinė</w:t>
      </w:r>
      <w:proofErr w:type="spellEnd"/>
      <w:r w:rsidRPr="00997273">
        <w:rPr>
          <w:rFonts w:cs="Times New Roman"/>
          <w:sz w:val="22"/>
          <w:szCs w:val="22"/>
          <w:lang w:val="lt-LT" w:eastAsia="en-US"/>
        </w:rPr>
        <w:t xml:space="preserve"> grupė – vaistai cukriniam diabetui gydyti, dipeptidilpeptidazės-4 (DPP-4)</w:t>
      </w:r>
      <w:r w:rsidR="009D16CA" w:rsidRPr="00997273">
        <w:rPr>
          <w:rFonts w:cs="Times New Roman"/>
          <w:sz w:val="22"/>
          <w:szCs w:val="22"/>
          <w:lang w:val="lt-LT" w:eastAsia="en-US"/>
        </w:rPr>
        <w:t xml:space="preserve"> </w:t>
      </w:r>
      <w:r w:rsidRPr="00997273">
        <w:rPr>
          <w:rFonts w:cs="Times New Roman"/>
          <w:sz w:val="22"/>
          <w:szCs w:val="22"/>
          <w:lang w:val="lt-LT" w:eastAsia="en-US"/>
        </w:rPr>
        <w:t>inhibitoriai, ATC kodas – A10BH01.</w:t>
      </w:r>
    </w:p>
    <w:p w14:paraId="77211B3C" w14:textId="77777777" w:rsidR="009D16CA" w:rsidRPr="00997273" w:rsidRDefault="009D16CA" w:rsidP="000F14B1">
      <w:pPr>
        <w:autoSpaceDE w:val="0"/>
        <w:autoSpaceDN w:val="0"/>
        <w:adjustRightInd w:val="0"/>
        <w:rPr>
          <w:rFonts w:cs="Times New Roman"/>
          <w:sz w:val="22"/>
          <w:szCs w:val="22"/>
          <w:u w:val="single"/>
          <w:lang w:val="lt-LT" w:eastAsia="en-US"/>
        </w:rPr>
      </w:pPr>
    </w:p>
    <w:p w14:paraId="4C1EC428" w14:textId="77777777" w:rsidR="000F14B1" w:rsidRPr="00997273" w:rsidRDefault="000F14B1" w:rsidP="000F14B1">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Veikimo mechanizmas</w:t>
      </w:r>
    </w:p>
    <w:p w14:paraId="53581A02" w14:textId="0403EE89" w:rsidR="000F14B1" w:rsidRPr="00997273" w:rsidRDefault="00B92AF6" w:rsidP="000F14B1">
      <w:pPr>
        <w:autoSpaceDE w:val="0"/>
        <w:autoSpaceDN w:val="0"/>
        <w:adjustRightInd w:val="0"/>
        <w:rPr>
          <w:rFonts w:cs="Times New Roman"/>
          <w:sz w:val="22"/>
          <w:szCs w:val="22"/>
          <w:lang w:val="lt-LT" w:eastAsia="en-US"/>
        </w:rPr>
      </w:pPr>
      <w:proofErr w:type="spellStart"/>
      <w:r>
        <w:rPr>
          <w:rFonts w:cs="Times New Roman"/>
          <w:sz w:val="22"/>
          <w:szCs w:val="22"/>
          <w:lang w:val="lt-LT" w:eastAsia="en-US"/>
        </w:rPr>
        <w:t>Meliglix</w:t>
      </w:r>
      <w:proofErr w:type="spellEnd"/>
      <w:r w:rsidRPr="00997273">
        <w:rPr>
          <w:rFonts w:cs="Times New Roman"/>
          <w:sz w:val="22"/>
          <w:szCs w:val="22"/>
          <w:lang w:val="lt-LT" w:eastAsia="en-US"/>
        </w:rPr>
        <w:t xml:space="preserve"> </w:t>
      </w:r>
      <w:r w:rsidR="000F14B1" w:rsidRPr="00997273">
        <w:rPr>
          <w:rFonts w:cs="Times New Roman"/>
          <w:sz w:val="22"/>
          <w:szCs w:val="22"/>
          <w:lang w:val="lt-LT" w:eastAsia="en-US"/>
        </w:rPr>
        <w:t>priklauso geriamųjų gliukozės koncentraciją kraujyje mažinančių vaistinių preparatų klasei,</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kuri vadinama dipeptidilpeptidazės-4 (DPP-4) inhibitoriais. </w:t>
      </w:r>
      <w:proofErr w:type="spellStart"/>
      <w:r w:rsidR="001E4CB6" w:rsidRPr="00997273">
        <w:rPr>
          <w:rFonts w:cs="Times New Roman"/>
          <w:sz w:val="22"/>
          <w:szCs w:val="22"/>
          <w:lang w:val="lt-LT" w:eastAsia="en-US"/>
        </w:rPr>
        <w:t>Glikemijos</w:t>
      </w:r>
      <w:proofErr w:type="spellEnd"/>
      <w:r w:rsidR="001E4CB6" w:rsidRPr="00997273">
        <w:rPr>
          <w:rFonts w:cs="Times New Roman"/>
          <w:sz w:val="22"/>
          <w:szCs w:val="22"/>
          <w:lang w:val="lt-LT" w:eastAsia="en-US"/>
        </w:rPr>
        <w:t xml:space="preserve"> </w:t>
      </w:r>
      <w:r w:rsidR="00F41BA7">
        <w:rPr>
          <w:rFonts w:cs="Times New Roman"/>
          <w:sz w:val="22"/>
          <w:szCs w:val="22"/>
          <w:lang w:val="lt-LT" w:eastAsia="en-US"/>
        </w:rPr>
        <w:t>sureguliavimo</w:t>
      </w:r>
      <w:r w:rsidR="00F41BA7" w:rsidRPr="00997273">
        <w:rPr>
          <w:rFonts w:cs="Times New Roman"/>
          <w:sz w:val="22"/>
          <w:szCs w:val="22"/>
          <w:lang w:val="lt-LT" w:eastAsia="en-US"/>
        </w:rPr>
        <w:t xml:space="preserve"> </w:t>
      </w:r>
      <w:r w:rsidR="000F14B1" w:rsidRPr="00997273">
        <w:rPr>
          <w:rFonts w:cs="Times New Roman"/>
          <w:sz w:val="22"/>
          <w:szCs w:val="22"/>
          <w:lang w:val="lt-LT" w:eastAsia="en-US"/>
        </w:rPr>
        <w:t>pagerėjimas</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vartojant šį vaistinį preparatą galėtų būti susijęs su aktyvių </w:t>
      </w:r>
      <w:proofErr w:type="spellStart"/>
      <w:r w:rsidR="000F14B1" w:rsidRPr="00997273">
        <w:rPr>
          <w:rFonts w:cs="Times New Roman"/>
          <w:sz w:val="22"/>
          <w:szCs w:val="22"/>
          <w:lang w:val="lt-LT" w:eastAsia="en-US"/>
        </w:rPr>
        <w:t>inkretinų</w:t>
      </w:r>
      <w:proofErr w:type="spellEnd"/>
      <w:r w:rsidR="000F14B1" w:rsidRPr="00997273">
        <w:rPr>
          <w:rFonts w:cs="Times New Roman"/>
          <w:sz w:val="22"/>
          <w:szCs w:val="22"/>
          <w:lang w:val="lt-LT" w:eastAsia="en-US"/>
        </w:rPr>
        <w:t xml:space="preserve"> kiekio padidėjimu.</w:t>
      </w:r>
      <w:r w:rsidR="009D16CA" w:rsidRPr="00997273">
        <w:rPr>
          <w:rFonts w:cs="Times New Roman"/>
          <w:sz w:val="22"/>
          <w:szCs w:val="22"/>
          <w:lang w:val="lt-LT" w:eastAsia="en-US"/>
        </w:rPr>
        <w:t xml:space="preserve"> </w:t>
      </w:r>
      <w:proofErr w:type="spellStart"/>
      <w:r w:rsidR="000F14B1" w:rsidRPr="00997273">
        <w:rPr>
          <w:rFonts w:cs="Times New Roman"/>
          <w:sz w:val="22"/>
          <w:szCs w:val="22"/>
          <w:lang w:val="lt-LT" w:eastAsia="en-US"/>
        </w:rPr>
        <w:t>Inkretinų</w:t>
      </w:r>
      <w:proofErr w:type="spellEnd"/>
      <w:r w:rsidR="000F14B1" w:rsidRPr="00997273">
        <w:rPr>
          <w:rFonts w:cs="Times New Roman"/>
          <w:sz w:val="22"/>
          <w:szCs w:val="22"/>
          <w:lang w:val="lt-LT" w:eastAsia="en-US"/>
        </w:rPr>
        <w:t xml:space="preserve">, įskaitant į </w:t>
      </w:r>
      <w:proofErr w:type="spellStart"/>
      <w:r w:rsidR="000F14B1" w:rsidRPr="00997273">
        <w:rPr>
          <w:rFonts w:cs="Times New Roman"/>
          <w:sz w:val="22"/>
          <w:szCs w:val="22"/>
          <w:lang w:val="lt-LT" w:eastAsia="en-US"/>
        </w:rPr>
        <w:t>gliukagoną</w:t>
      </w:r>
      <w:proofErr w:type="spellEnd"/>
      <w:r w:rsidR="000F14B1" w:rsidRPr="00997273">
        <w:rPr>
          <w:rFonts w:cs="Times New Roman"/>
          <w:sz w:val="22"/>
          <w:szCs w:val="22"/>
          <w:lang w:val="lt-LT" w:eastAsia="en-US"/>
        </w:rPr>
        <w:t xml:space="preserve"> panašų peptidą-1 (GPP-1) ir nuo gliukozės priklausantį</w:t>
      </w:r>
      <w:r w:rsidR="009D16CA" w:rsidRPr="00997273">
        <w:rPr>
          <w:rFonts w:cs="Times New Roman"/>
          <w:sz w:val="22"/>
          <w:szCs w:val="22"/>
          <w:lang w:val="lt-LT" w:eastAsia="en-US"/>
        </w:rPr>
        <w:t xml:space="preserve"> </w:t>
      </w:r>
      <w:proofErr w:type="spellStart"/>
      <w:r w:rsidR="000F14B1" w:rsidRPr="00997273">
        <w:rPr>
          <w:rFonts w:cs="Times New Roman"/>
          <w:sz w:val="22"/>
          <w:szCs w:val="22"/>
          <w:lang w:val="lt-LT" w:eastAsia="en-US"/>
        </w:rPr>
        <w:t>insulinotropinį</w:t>
      </w:r>
      <w:proofErr w:type="spellEnd"/>
      <w:r w:rsidR="000F14B1" w:rsidRPr="00997273">
        <w:rPr>
          <w:rFonts w:cs="Times New Roman"/>
          <w:sz w:val="22"/>
          <w:szCs w:val="22"/>
          <w:lang w:val="lt-LT" w:eastAsia="en-US"/>
        </w:rPr>
        <w:t xml:space="preserve"> </w:t>
      </w:r>
      <w:proofErr w:type="spellStart"/>
      <w:r w:rsidR="000F14B1" w:rsidRPr="00997273">
        <w:rPr>
          <w:rFonts w:cs="Times New Roman"/>
          <w:sz w:val="22"/>
          <w:szCs w:val="22"/>
          <w:lang w:val="lt-LT" w:eastAsia="en-US"/>
        </w:rPr>
        <w:t>polipeptidą</w:t>
      </w:r>
      <w:proofErr w:type="spellEnd"/>
      <w:r w:rsidR="000F14B1" w:rsidRPr="00997273">
        <w:rPr>
          <w:rFonts w:cs="Times New Roman"/>
          <w:sz w:val="22"/>
          <w:szCs w:val="22"/>
          <w:lang w:val="lt-LT" w:eastAsia="en-US"/>
        </w:rPr>
        <w:t xml:space="preserve"> (GIP), visą </w:t>
      </w:r>
      <w:r w:rsidR="00A25F07">
        <w:rPr>
          <w:rFonts w:cs="Times New Roman"/>
          <w:sz w:val="22"/>
          <w:szCs w:val="22"/>
          <w:lang w:val="lt-LT" w:eastAsia="en-US"/>
        </w:rPr>
        <w:t>parą</w:t>
      </w:r>
      <w:r w:rsidR="000F14B1" w:rsidRPr="00997273">
        <w:rPr>
          <w:rFonts w:cs="Times New Roman"/>
          <w:sz w:val="22"/>
          <w:szCs w:val="22"/>
          <w:lang w:val="lt-LT" w:eastAsia="en-US"/>
        </w:rPr>
        <w:t xml:space="preserve"> išskiria žarnynas, o jų kiekis didėja dėl atsako į maistą.</w:t>
      </w:r>
      <w:r w:rsidR="001E4CB6" w:rsidRPr="00997273">
        <w:rPr>
          <w:rFonts w:cs="Times New Roman"/>
          <w:sz w:val="22"/>
          <w:szCs w:val="22"/>
          <w:lang w:val="lt-LT" w:eastAsia="en-US"/>
        </w:rPr>
        <w:t xml:space="preserve"> </w:t>
      </w:r>
      <w:proofErr w:type="spellStart"/>
      <w:r w:rsidR="000F14B1" w:rsidRPr="00997273">
        <w:rPr>
          <w:rFonts w:cs="Times New Roman"/>
          <w:sz w:val="22"/>
          <w:szCs w:val="22"/>
          <w:lang w:val="lt-LT" w:eastAsia="en-US"/>
        </w:rPr>
        <w:t>Inkretinai</w:t>
      </w:r>
      <w:proofErr w:type="spellEnd"/>
      <w:r w:rsidR="000F14B1" w:rsidRPr="00997273">
        <w:rPr>
          <w:rFonts w:cs="Times New Roman"/>
          <w:sz w:val="22"/>
          <w:szCs w:val="22"/>
          <w:lang w:val="lt-LT" w:eastAsia="en-US"/>
        </w:rPr>
        <w:t xml:space="preserve"> yra endogeninės sistemos, kuri dalyvauja fiziologiniame gliukozės homeostazės</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reguliavime, dalis. Kai gliukozės koncentracija kraujyje yra normali arba padidėjusi, GPP-1 ir GIP</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didina insulino gamybą ir išskyrimą iš kasos beta ląstelių, </w:t>
      </w:r>
      <w:proofErr w:type="spellStart"/>
      <w:r w:rsidR="000F14B1" w:rsidRPr="00997273">
        <w:rPr>
          <w:rFonts w:cs="Times New Roman"/>
          <w:sz w:val="22"/>
          <w:szCs w:val="22"/>
          <w:lang w:val="lt-LT" w:eastAsia="en-US"/>
        </w:rPr>
        <w:t>intraląsteliniu</w:t>
      </w:r>
      <w:proofErr w:type="spellEnd"/>
      <w:r w:rsidR="000F14B1" w:rsidRPr="00997273">
        <w:rPr>
          <w:rFonts w:cs="Times New Roman"/>
          <w:sz w:val="22"/>
          <w:szCs w:val="22"/>
          <w:lang w:val="lt-LT" w:eastAsia="en-US"/>
        </w:rPr>
        <w:t xml:space="preserve"> signaliniu keliu, kuriame</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dalyvauja ciklinis AMF. </w:t>
      </w:r>
      <w:r w:rsidR="006D63C1">
        <w:rPr>
          <w:rFonts w:cs="Times New Roman"/>
          <w:sz w:val="22"/>
          <w:szCs w:val="22"/>
          <w:lang w:val="lt-LT" w:eastAsia="en-US"/>
        </w:rPr>
        <w:t>2 </w:t>
      </w:r>
      <w:r w:rsidR="000F14B1" w:rsidRPr="00997273">
        <w:rPr>
          <w:rFonts w:cs="Times New Roman"/>
          <w:sz w:val="22"/>
          <w:szCs w:val="22"/>
          <w:lang w:val="lt-LT" w:eastAsia="en-US"/>
        </w:rPr>
        <w:t xml:space="preserve">tipo cukrinio diabeto </w:t>
      </w:r>
      <w:r w:rsidR="001E4CB6" w:rsidRPr="00997273">
        <w:rPr>
          <w:rFonts w:cs="Times New Roman"/>
          <w:sz w:val="22"/>
          <w:szCs w:val="22"/>
          <w:lang w:val="lt-LT" w:eastAsia="en-US"/>
        </w:rPr>
        <w:t xml:space="preserve">gydymas </w:t>
      </w:r>
      <w:r w:rsidR="000F14B1" w:rsidRPr="00997273">
        <w:rPr>
          <w:rFonts w:cs="Times New Roman"/>
          <w:sz w:val="22"/>
          <w:szCs w:val="22"/>
          <w:lang w:val="lt-LT" w:eastAsia="en-US"/>
        </w:rPr>
        <w:t>gyvūnų modeli</w:t>
      </w:r>
      <w:r w:rsidR="001E4CB6" w:rsidRPr="00997273">
        <w:rPr>
          <w:rFonts w:cs="Times New Roman"/>
          <w:sz w:val="22"/>
          <w:szCs w:val="22"/>
          <w:lang w:val="lt-LT" w:eastAsia="en-US"/>
        </w:rPr>
        <w:t>uose</w:t>
      </w:r>
      <w:r w:rsidR="000F14B1" w:rsidRPr="00997273">
        <w:rPr>
          <w:rFonts w:cs="Times New Roman"/>
          <w:sz w:val="22"/>
          <w:szCs w:val="22"/>
          <w:lang w:val="lt-LT" w:eastAsia="en-US"/>
        </w:rPr>
        <w:t xml:space="preserve"> </w:t>
      </w:r>
      <w:r w:rsidR="001E4CB6" w:rsidRPr="00997273">
        <w:rPr>
          <w:rFonts w:cs="Times New Roman"/>
          <w:sz w:val="22"/>
          <w:szCs w:val="22"/>
          <w:lang w:val="lt-LT" w:eastAsia="en-US"/>
        </w:rPr>
        <w:t xml:space="preserve">panaudojant </w:t>
      </w:r>
      <w:r w:rsidR="000F14B1" w:rsidRPr="00997273">
        <w:rPr>
          <w:rFonts w:cs="Times New Roman"/>
          <w:sz w:val="22"/>
          <w:szCs w:val="22"/>
          <w:lang w:val="lt-LT" w:eastAsia="en-US"/>
        </w:rPr>
        <w:t>GPP-1 ar DPP-4 rodo, kad</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pagerėja beta ląstelių atsakas į gliukozę, stimuliuojama insulino gamyba ir išskyrimas. Esant didesnei</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insulino koncentracijai, padidėja gliukozės patekimas į audinius. Be to, GPP-1 sumažina </w:t>
      </w:r>
      <w:proofErr w:type="spellStart"/>
      <w:r w:rsidR="000F14B1" w:rsidRPr="00997273">
        <w:rPr>
          <w:rFonts w:cs="Times New Roman"/>
          <w:sz w:val="22"/>
          <w:szCs w:val="22"/>
          <w:lang w:val="lt-LT" w:eastAsia="en-US"/>
        </w:rPr>
        <w:t>gliukagono</w:t>
      </w:r>
      <w:proofErr w:type="spellEnd"/>
      <w:r w:rsidR="009D16CA" w:rsidRPr="00997273">
        <w:rPr>
          <w:rFonts w:cs="Times New Roman"/>
          <w:sz w:val="22"/>
          <w:szCs w:val="22"/>
          <w:lang w:val="lt-LT" w:eastAsia="en-US"/>
        </w:rPr>
        <w:t xml:space="preserve"> </w:t>
      </w:r>
      <w:r w:rsidR="001E4CB6" w:rsidRPr="00997273">
        <w:rPr>
          <w:rFonts w:cs="Times New Roman"/>
          <w:sz w:val="22"/>
          <w:szCs w:val="22"/>
          <w:lang w:val="lt-LT" w:eastAsia="en-US"/>
        </w:rPr>
        <w:t>sekreciją</w:t>
      </w:r>
      <w:r w:rsidR="000F14B1" w:rsidRPr="00997273">
        <w:rPr>
          <w:rFonts w:cs="Times New Roman"/>
          <w:sz w:val="22"/>
          <w:szCs w:val="22"/>
          <w:lang w:val="lt-LT" w:eastAsia="en-US"/>
        </w:rPr>
        <w:t xml:space="preserve"> iš kasos alfa-ląstelių. Dėl sumažėjusios </w:t>
      </w:r>
      <w:proofErr w:type="spellStart"/>
      <w:r w:rsidR="000F14B1" w:rsidRPr="00997273">
        <w:rPr>
          <w:rFonts w:cs="Times New Roman"/>
          <w:sz w:val="22"/>
          <w:szCs w:val="22"/>
          <w:lang w:val="lt-LT" w:eastAsia="en-US"/>
        </w:rPr>
        <w:t>gliukagono</w:t>
      </w:r>
      <w:proofErr w:type="spellEnd"/>
      <w:r w:rsidR="000F14B1" w:rsidRPr="00997273">
        <w:rPr>
          <w:rFonts w:cs="Times New Roman"/>
          <w:sz w:val="22"/>
          <w:szCs w:val="22"/>
          <w:lang w:val="lt-LT" w:eastAsia="en-US"/>
        </w:rPr>
        <w:t xml:space="preserve"> koncentracijos ir kartu padidėjusio</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insulino kiekio sumažėja gliukozės gamyba kepenyse, todėl sumažėja ir jos </w:t>
      </w:r>
      <w:r w:rsidR="00C63A21">
        <w:rPr>
          <w:rFonts w:cs="Times New Roman"/>
          <w:sz w:val="22"/>
          <w:szCs w:val="22"/>
          <w:lang w:val="lt-LT" w:eastAsia="en-US"/>
        </w:rPr>
        <w:t>kiekis</w:t>
      </w:r>
      <w:r w:rsidR="000F14B1" w:rsidRPr="00997273">
        <w:rPr>
          <w:rFonts w:cs="Times New Roman"/>
          <w:sz w:val="22"/>
          <w:szCs w:val="22"/>
          <w:lang w:val="lt-LT" w:eastAsia="en-US"/>
        </w:rPr>
        <w:t xml:space="preserve"> kraujyje.</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GPP-1 ir GIP </w:t>
      </w:r>
      <w:r w:rsidR="001E4CB6" w:rsidRPr="00997273">
        <w:rPr>
          <w:rFonts w:cs="Times New Roman"/>
          <w:sz w:val="22"/>
          <w:szCs w:val="22"/>
          <w:lang w:val="lt-LT" w:eastAsia="en-US"/>
        </w:rPr>
        <w:t xml:space="preserve">poveikis </w:t>
      </w:r>
      <w:r w:rsidR="000F14B1" w:rsidRPr="00997273">
        <w:rPr>
          <w:rFonts w:cs="Times New Roman"/>
          <w:sz w:val="22"/>
          <w:szCs w:val="22"/>
          <w:lang w:val="lt-LT" w:eastAsia="en-US"/>
        </w:rPr>
        <w:t>priklauso nuo gliukozės, todėl tuo atveju, kai jos koncentracija maža, GPP-1</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sukeliamo insulino išsiskyrimo stimuliavimo ir </w:t>
      </w:r>
      <w:proofErr w:type="spellStart"/>
      <w:r w:rsidR="000F14B1" w:rsidRPr="00997273">
        <w:rPr>
          <w:rFonts w:cs="Times New Roman"/>
          <w:sz w:val="22"/>
          <w:szCs w:val="22"/>
          <w:lang w:val="lt-LT" w:eastAsia="en-US"/>
        </w:rPr>
        <w:t>gliukagono</w:t>
      </w:r>
      <w:proofErr w:type="spellEnd"/>
      <w:r w:rsidR="000F14B1" w:rsidRPr="00997273">
        <w:rPr>
          <w:rFonts w:cs="Times New Roman"/>
          <w:sz w:val="22"/>
          <w:szCs w:val="22"/>
          <w:lang w:val="lt-LT" w:eastAsia="en-US"/>
        </w:rPr>
        <w:t xml:space="preserve"> sekrecijos slopinimo, nepasireiškia. Kai</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gliukozės koncentracija tampa didesnė už normalią, sustiprėja tiek GPP-1, tiek GIP sukeliamas</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insulino </w:t>
      </w:r>
      <w:r w:rsidR="001E4CB6" w:rsidRPr="00997273">
        <w:rPr>
          <w:rFonts w:cs="Times New Roman"/>
          <w:sz w:val="22"/>
          <w:szCs w:val="22"/>
          <w:lang w:val="lt-LT" w:eastAsia="en-US"/>
        </w:rPr>
        <w:t>sekrecijos</w:t>
      </w:r>
      <w:r w:rsidR="000F14B1" w:rsidRPr="00997273">
        <w:rPr>
          <w:rFonts w:cs="Times New Roman"/>
          <w:sz w:val="22"/>
          <w:szCs w:val="22"/>
          <w:lang w:val="lt-LT" w:eastAsia="en-US"/>
        </w:rPr>
        <w:t xml:space="preserve"> stimuliavimas. Be to, GPP-1 netrikdo normalaus </w:t>
      </w:r>
      <w:proofErr w:type="spellStart"/>
      <w:r w:rsidR="000F14B1" w:rsidRPr="00997273">
        <w:rPr>
          <w:rFonts w:cs="Times New Roman"/>
          <w:sz w:val="22"/>
          <w:szCs w:val="22"/>
          <w:lang w:val="lt-LT" w:eastAsia="en-US"/>
        </w:rPr>
        <w:t>gliukagono</w:t>
      </w:r>
      <w:proofErr w:type="spellEnd"/>
      <w:r w:rsidR="000F14B1" w:rsidRPr="00997273">
        <w:rPr>
          <w:rFonts w:cs="Times New Roman"/>
          <w:sz w:val="22"/>
          <w:szCs w:val="22"/>
          <w:lang w:val="lt-LT" w:eastAsia="en-US"/>
        </w:rPr>
        <w:t xml:space="preserve"> atsako į</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hipoglikemiją. GPP-1 ir GIP aktyvumą riboja fermentas DPP-4, kuris hormonus </w:t>
      </w:r>
      <w:proofErr w:type="spellStart"/>
      <w:r w:rsidR="000F14B1" w:rsidRPr="00997273">
        <w:rPr>
          <w:rFonts w:cs="Times New Roman"/>
          <w:sz w:val="22"/>
          <w:szCs w:val="22"/>
          <w:lang w:val="lt-LT" w:eastAsia="en-US"/>
        </w:rPr>
        <w:t>inkretinus</w:t>
      </w:r>
      <w:proofErr w:type="spellEnd"/>
      <w:r w:rsidR="000F14B1" w:rsidRPr="00997273">
        <w:rPr>
          <w:rFonts w:cs="Times New Roman"/>
          <w:sz w:val="22"/>
          <w:szCs w:val="22"/>
          <w:lang w:val="lt-LT" w:eastAsia="en-US"/>
        </w:rPr>
        <w:t xml:space="preserve"> hidrolizės</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būdu greitai verčia neaktyviais produktais. </w:t>
      </w:r>
      <w:proofErr w:type="spellStart"/>
      <w:r w:rsidR="000F14B1" w:rsidRPr="00997273">
        <w:rPr>
          <w:rFonts w:cs="Times New Roman"/>
          <w:sz w:val="22"/>
          <w:szCs w:val="22"/>
          <w:lang w:val="lt-LT" w:eastAsia="en-US"/>
        </w:rPr>
        <w:t>Sitagliptinas</w:t>
      </w:r>
      <w:proofErr w:type="spellEnd"/>
      <w:r w:rsidR="000F14B1" w:rsidRPr="00997273">
        <w:rPr>
          <w:rFonts w:cs="Times New Roman"/>
          <w:sz w:val="22"/>
          <w:szCs w:val="22"/>
          <w:lang w:val="lt-LT" w:eastAsia="en-US"/>
        </w:rPr>
        <w:t xml:space="preserve"> neleidžia fermentui DPP-4 hidrolizuoti</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hormonus </w:t>
      </w:r>
      <w:proofErr w:type="spellStart"/>
      <w:r w:rsidR="000F14B1" w:rsidRPr="00997273">
        <w:rPr>
          <w:rFonts w:cs="Times New Roman"/>
          <w:sz w:val="22"/>
          <w:szCs w:val="22"/>
          <w:lang w:val="lt-LT" w:eastAsia="en-US"/>
        </w:rPr>
        <w:t>inkretinus</w:t>
      </w:r>
      <w:proofErr w:type="spellEnd"/>
      <w:r w:rsidR="000F14B1" w:rsidRPr="00997273">
        <w:rPr>
          <w:rFonts w:cs="Times New Roman"/>
          <w:sz w:val="22"/>
          <w:szCs w:val="22"/>
          <w:lang w:val="lt-LT" w:eastAsia="en-US"/>
        </w:rPr>
        <w:t>, todėl kraujo plazmoje padidėja aktyvių GPP-1 ir GIP formų koncentracij</w:t>
      </w:r>
      <w:r w:rsidR="001E4CB6" w:rsidRPr="00997273">
        <w:rPr>
          <w:rFonts w:cs="Times New Roman"/>
          <w:sz w:val="22"/>
          <w:szCs w:val="22"/>
          <w:lang w:val="lt-LT" w:eastAsia="en-US"/>
        </w:rPr>
        <w:t>a</w:t>
      </w:r>
      <w:r w:rsidR="000F14B1" w:rsidRPr="00997273">
        <w:rPr>
          <w:rFonts w:cs="Times New Roman"/>
          <w:sz w:val="22"/>
          <w:szCs w:val="22"/>
          <w:lang w:val="lt-LT" w:eastAsia="en-US"/>
        </w:rPr>
        <w:t>.</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Didindamas aktyvių </w:t>
      </w:r>
      <w:proofErr w:type="spellStart"/>
      <w:r w:rsidR="000F14B1" w:rsidRPr="00997273">
        <w:rPr>
          <w:rFonts w:cs="Times New Roman"/>
          <w:sz w:val="22"/>
          <w:szCs w:val="22"/>
          <w:lang w:val="lt-LT" w:eastAsia="en-US"/>
        </w:rPr>
        <w:t>inkretinų</w:t>
      </w:r>
      <w:proofErr w:type="spellEnd"/>
      <w:r w:rsidR="000F14B1" w:rsidRPr="00997273">
        <w:rPr>
          <w:rFonts w:cs="Times New Roman"/>
          <w:sz w:val="22"/>
          <w:szCs w:val="22"/>
          <w:lang w:val="lt-LT" w:eastAsia="en-US"/>
        </w:rPr>
        <w:t xml:space="preserve"> kiekį, </w:t>
      </w:r>
      <w:proofErr w:type="spellStart"/>
      <w:r w:rsidR="000F14B1" w:rsidRPr="00997273">
        <w:rPr>
          <w:rFonts w:cs="Times New Roman"/>
          <w:sz w:val="22"/>
          <w:szCs w:val="22"/>
          <w:lang w:val="lt-LT" w:eastAsia="en-US"/>
        </w:rPr>
        <w:t>sitagliptinas</w:t>
      </w:r>
      <w:proofErr w:type="spellEnd"/>
      <w:r w:rsidR="000F14B1" w:rsidRPr="00997273">
        <w:rPr>
          <w:rFonts w:cs="Times New Roman"/>
          <w:sz w:val="22"/>
          <w:szCs w:val="22"/>
          <w:lang w:val="lt-LT" w:eastAsia="en-US"/>
        </w:rPr>
        <w:t xml:space="preserve"> didina insulino išskyrimą ir mažina </w:t>
      </w:r>
      <w:proofErr w:type="spellStart"/>
      <w:r w:rsidR="000F14B1" w:rsidRPr="00997273">
        <w:rPr>
          <w:rFonts w:cs="Times New Roman"/>
          <w:sz w:val="22"/>
          <w:szCs w:val="22"/>
          <w:lang w:val="lt-LT" w:eastAsia="en-US"/>
        </w:rPr>
        <w:t>gliukagono</w:t>
      </w:r>
      <w:proofErr w:type="spellEnd"/>
      <w:r w:rsidR="000F14B1" w:rsidRPr="00997273">
        <w:rPr>
          <w:rFonts w:cs="Times New Roman"/>
          <w:sz w:val="22"/>
          <w:szCs w:val="22"/>
          <w:lang w:val="lt-LT" w:eastAsia="en-US"/>
        </w:rPr>
        <w:t xml:space="preserve"> kiekį</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priklausomai nuo gliukozės koncentracijos. </w:t>
      </w:r>
      <w:r w:rsidR="00F41BA7" w:rsidRPr="00817AB1">
        <w:rPr>
          <w:sz w:val="22"/>
          <w:lang w:val="lt-LT"/>
        </w:rPr>
        <w:t>2</w:t>
      </w:r>
      <w:r w:rsidR="000F14B1" w:rsidRPr="00997273">
        <w:rPr>
          <w:rFonts w:cs="Times New Roman"/>
          <w:sz w:val="22"/>
          <w:szCs w:val="22"/>
          <w:lang w:val="lt-LT" w:eastAsia="en-US"/>
        </w:rPr>
        <w:t xml:space="preserve"> tipo diabetu sergantiems pacient</w:t>
      </w:r>
      <w:r w:rsidR="00F41BA7">
        <w:rPr>
          <w:rFonts w:cs="Times New Roman"/>
          <w:sz w:val="22"/>
          <w:szCs w:val="22"/>
          <w:lang w:val="lt-LT" w:eastAsia="en-US"/>
        </w:rPr>
        <w:t>ams</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hiperglikemij</w:t>
      </w:r>
      <w:r w:rsidR="001E4CB6" w:rsidRPr="00997273">
        <w:rPr>
          <w:rFonts w:cs="Times New Roman"/>
          <w:sz w:val="22"/>
          <w:szCs w:val="22"/>
          <w:lang w:val="lt-LT" w:eastAsia="en-US"/>
        </w:rPr>
        <w:t>os metu</w:t>
      </w:r>
      <w:r w:rsidR="000F14B1" w:rsidRPr="00997273">
        <w:rPr>
          <w:rFonts w:cs="Times New Roman"/>
          <w:sz w:val="22"/>
          <w:szCs w:val="22"/>
          <w:lang w:val="lt-LT" w:eastAsia="en-US"/>
        </w:rPr>
        <w:t xml:space="preserve"> šie insulino ir </w:t>
      </w:r>
      <w:proofErr w:type="spellStart"/>
      <w:r w:rsidR="000F14B1" w:rsidRPr="00997273">
        <w:rPr>
          <w:rFonts w:cs="Times New Roman"/>
          <w:sz w:val="22"/>
          <w:szCs w:val="22"/>
          <w:lang w:val="lt-LT" w:eastAsia="en-US"/>
        </w:rPr>
        <w:t>gliukagono</w:t>
      </w:r>
      <w:proofErr w:type="spellEnd"/>
      <w:r w:rsidR="000F14B1" w:rsidRPr="00997273">
        <w:rPr>
          <w:rFonts w:cs="Times New Roman"/>
          <w:sz w:val="22"/>
          <w:szCs w:val="22"/>
          <w:lang w:val="lt-LT" w:eastAsia="en-US"/>
        </w:rPr>
        <w:t xml:space="preserve"> kiekių pokyčiai lemia hemoglobino A1c (HbA</w:t>
      </w:r>
      <w:r w:rsidR="000F14B1" w:rsidRPr="00997273">
        <w:rPr>
          <w:rFonts w:cs="Times New Roman"/>
          <w:sz w:val="22"/>
          <w:szCs w:val="22"/>
          <w:vertAlign w:val="subscript"/>
          <w:lang w:val="lt-LT" w:eastAsia="en-US"/>
        </w:rPr>
        <w:t>1c</w:t>
      </w:r>
      <w:r w:rsidR="000F14B1" w:rsidRPr="00997273">
        <w:rPr>
          <w:rFonts w:cs="Times New Roman"/>
          <w:sz w:val="22"/>
          <w:szCs w:val="22"/>
          <w:lang w:val="lt-LT" w:eastAsia="en-US"/>
        </w:rPr>
        <w:t>) bei</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gliukozės koncentracijos sumažėjimą nevalgius ir po valgio. Nuo gliukozės priklausomas </w:t>
      </w:r>
      <w:proofErr w:type="spellStart"/>
      <w:r w:rsidR="000F14B1" w:rsidRPr="00997273">
        <w:rPr>
          <w:rFonts w:cs="Times New Roman"/>
          <w:sz w:val="22"/>
          <w:szCs w:val="22"/>
          <w:lang w:val="lt-LT" w:eastAsia="en-US"/>
        </w:rPr>
        <w:t>sitagliptino</w:t>
      </w:r>
      <w:proofErr w:type="spellEnd"/>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veikimo mechanizmas skiriasi nuo </w:t>
      </w:r>
      <w:proofErr w:type="spellStart"/>
      <w:r w:rsidR="000F14B1" w:rsidRPr="00997273">
        <w:rPr>
          <w:rFonts w:cs="Times New Roman"/>
          <w:sz w:val="22"/>
          <w:szCs w:val="22"/>
          <w:lang w:val="lt-LT" w:eastAsia="en-US"/>
        </w:rPr>
        <w:lastRenderedPageBreak/>
        <w:t>sulfonilurėjos</w:t>
      </w:r>
      <w:proofErr w:type="spellEnd"/>
      <w:r w:rsidR="000F14B1" w:rsidRPr="00997273">
        <w:rPr>
          <w:rFonts w:cs="Times New Roman"/>
          <w:sz w:val="22"/>
          <w:szCs w:val="22"/>
          <w:lang w:val="lt-LT" w:eastAsia="en-US"/>
        </w:rPr>
        <w:t xml:space="preserve"> darinių, kurie didina insulino sekreciją, net ir tuo</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atveju, kai gliukozės koncentracija yra maža, todėl gali sukelti hipoglikemiją tiek sergantiems </w:t>
      </w:r>
      <w:r w:rsidR="00F41BA7">
        <w:rPr>
          <w:rFonts w:cs="Times New Roman"/>
          <w:sz w:val="22"/>
          <w:szCs w:val="22"/>
          <w:lang w:val="lt-LT" w:eastAsia="en-US"/>
        </w:rPr>
        <w:t>2</w:t>
      </w:r>
      <w:r w:rsidR="000F14B1" w:rsidRPr="00997273">
        <w:rPr>
          <w:rFonts w:cs="Times New Roman"/>
          <w:sz w:val="22"/>
          <w:szCs w:val="22"/>
          <w:lang w:val="lt-LT" w:eastAsia="en-US"/>
        </w:rPr>
        <w:t xml:space="preserve"> tipo</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cukriniu diabetu, tiek sveikiems asmenims. </w:t>
      </w:r>
      <w:proofErr w:type="spellStart"/>
      <w:r w:rsidR="000F14B1" w:rsidRPr="00997273">
        <w:rPr>
          <w:rFonts w:cs="Times New Roman"/>
          <w:sz w:val="22"/>
          <w:szCs w:val="22"/>
          <w:lang w:val="lt-LT" w:eastAsia="en-US"/>
        </w:rPr>
        <w:t>Sitagliptinas</w:t>
      </w:r>
      <w:proofErr w:type="spellEnd"/>
      <w:r w:rsidR="000F14B1" w:rsidRPr="00997273">
        <w:rPr>
          <w:rFonts w:cs="Times New Roman"/>
          <w:sz w:val="22"/>
          <w:szCs w:val="22"/>
          <w:lang w:val="lt-LT" w:eastAsia="en-US"/>
        </w:rPr>
        <w:t xml:space="preserve"> yra stiprus ir labai selektyvus </w:t>
      </w:r>
      <w:r w:rsidR="009D16CA" w:rsidRPr="00997273">
        <w:rPr>
          <w:rFonts w:cs="Times New Roman"/>
          <w:sz w:val="22"/>
          <w:szCs w:val="22"/>
          <w:lang w:val="lt-LT" w:eastAsia="en-US"/>
        </w:rPr>
        <w:t>ferment</w:t>
      </w:r>
      <w:r w:rsidR="001E4CB6" w:rsidRPr="00997273">
        <w:rPr>
          <w:rFonts w:cs="Times New Roman"/>
          <w:sz w:val="22"/>
          <w:szCs w:val="22"/>
          <w:lang w:val="lt-LT" w:eastAsia="en-US"/>
        </w:rPr>
        <w:t>o</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DPP-4 inhibitorius</w:t>
      </w:r>
      <w:r w:rsidR="000A3C70" w:rsidRPr="00997273">
        <w:rPr>
          <w:rFonts w:cs="Times New Roman"/>
          <w:sz w:val="22"/>
          <w:szCs w:val="22"/>
          <w:lang w:val="lt-LT" w:eastAsia="en-US"/>
        </w:rPr>
        <w:t xml:space="preserve"> ir </w:t>
      </w:r>
      <w:r w:rsidR="000F14B1" w:rsidRPr="00997273">
        <w:rPr>
          <w:rFonts w:cs="Times New Roman"/>
          <w:sz w:val="22"/>
          <w:szCs w:val="22"/>
          <w:lang w:val="lt-LT" w:eastAsia="en-US"/>
        </w:rPr>
        <w:t xml:space="preserve">į šį fermentą </w:t>
      </w:r>
      <w:r w:rsidR="00B85FD3" w:rsidRPr="00997273">
        <w:rPr>
          <w:rFonts w:cs="Times New Roman"/>
          <w:sz w:val="22"/>
          <w:szCs w:val="22"/>
          <w:lang w:val="lt-LT" w:eastAsia="en-US"/>
        </w:rPr>
        <w:t xml:space="preserve">labai </w:t>
      </w:r>
      <w:r w:rsidR="000F14B1" w:rsidRPr="00997273">
        <w:rPr>
          <w:rFonts w:cs="Times New Roman"/>
          <w:sz w:val="22"/>
          <w:szCs w:val="22"/>
          <w:lang w:val="lt-LT" w:eastAsia="en-US"/>
        </w:rPr>
        <w:t>panašių DPP-8 bei DPP-9 fermentų terapinė</w:t>
      </w:r>
      <w:r w:rsidR="009E6448">
        <w:rPr>
          <w:rFonts w:cs="Times New Roman"/>
          <w:sz w:val="22"/>
          <w:szCs w:val="22"/>
          <w:lang w:val="lt-LT" w:eastAsia="en-US"/>
        </w:rPr>
        <w:t>mis</w:t>
      </w:r>
      <w:r w:rsidR="000F14B1" w:rsidRPr="00997273">
        <w:rPr>
          <w:rFonts w:cs="Times New Roman"/>
          <w:sz w:val="22"/>
          <w:szCs w:val="22"/>
          <w:lang w:val="lt-LT" w:eastAsia="en-US"/>
        </w:rPr>
        <w:t xml:space="preserve"> koncentracij</w:t>
      </w:r>
      <w:r w:rsidR="009E6448">
        <w:rPr>
          <w:rFonts w:cs="Times New Roman"/>
          <w:sz w:val="22"/>
          <w:szCs w:val="22"/>
          <w:lang w:val="lt-LT" w:eastAsia="en-US"/>
        </w:rPr>
        <w:t>omis</w:t>
      </w:r>
      <w:r w:rsidR="000F14B1" w:rsidRPr="00997273">
        <w:rPr>
          <w:rFonts w:cs="Times New Roman"/>
          <w:sz w:val="22"/>
          <w:szCs w:val="22"/>
          <w:lang w:val="lt-LT" w:eastAsia="en-US"/>
        </w:rPr>
        <w:t xml:space="preserve"> </w:t>
      </w:r>
      <w:r w:rsidR="00D314B8">
        <w:rPr>
          <w:rFonts w:cs="Times New Roman"/>
          <w:sz w:val="22"/>
          <w:szCs w:val="22"/>
          <w:lang w:val="lt-LT" w:eastAsia="en-US"/>
        </w:rPr>
        <w:t xml:space="preserve">jis </w:t>
      </w:r>
      <w:r w:rsidR="000F14B1" w:rsidRPr="00997273">
        <w:rPr>
          <w:rFonts w:cs="Times New Roman"/>
          <w:sz w:val="22"/>
          <w:szCs w:val="22"/>
          <w:lang w:val="lt-LT" w:eastAsia="en-US"/>
        </w:rPr>
        <w:t>neslopina.</w:t>
      </w:r>
    </w:p>
    <w:p w14:paraId="75EA92A5" w14:textId="77777777" w:rsidR="000A3C70" w:rsidRPr="00997273" w:rsidRDefault="000A3C70" w:rsidP="009D16CA">
      <w:pPr>
        <w:autoSpaceDE w:val="0"/>
        <w:autoSpaceDN w:val="0"/>
        <w:adjustRightInd w:val="0"/>
        <w:rPr>
          <w:rFonts w:cs="Times New Roman"/>
          <w:sz w:val="22"/>
          <w:szCs w:val="22"/>
          <w:lang w:val="lt-LT" w:eastAsia="en-US"/>
        </w:rPr>
      </w:pPr>
    </w:p>
    <w:p w14:paraId="4308AE91" w14:textId="7DEB3C88" w:rsidR="00612A8E" w:rsidRPr="00997273" w:rsidRDefault="000A3C70" w:rsidP="009D16CA">
      <w:pPr>
        <w:autoSpaceDE w:val="0"/>
        <w:autoSpaceDN w:val="0"/>
        <w:adjustRightInd w:val="0"/>
        <w:rPr>
          <w:rFonts w:cs="Times New Roman"/>
          <w:sz w:val="22"/>
          <w:szCs w:val="22"/>
          <w:lang w:val="lt-LT" w:eastAsia="en-US"/>
        </w:rPr>
      </w:pPr>
      <w:r w:rsidRPr="00997273">
        <w:rPr>
          <w:rFonts w:cs="Times New Roman"/>
          <w:sz w:val="22"/>
          <w:szCs w:val="22"/>
          <w:lang w:val="lt-LT" w:eastAsia="en-US"/>
        </w:rPr>
        <w:t>Sveikų asmenų d</w:t>
      </w:r>
      <w:r w:rsidR="000F14B1" w:rsidRPr="00997273">
        <w:rPr>
          <w:rFonts w:cs="Times New Roman"/>
          <w:sz w:val="22"/>
          <w:szCs w:val="22"/>
          <w:lang w:val="lt-LT" w:eastAsia="en-US"/>
        </w:rPr>
        <w:t xml:space="preserve">viejų </w:t>
      </w:r>
      <w:r w:rsidR="00426E00">
        <w:rPr>
          <w:rFonts w:cs="Times New Roman"/>
          <w:sz w:val="22"/>
          <w:szCs w:val="22"/>
          <w:lang w:val="lt-LT" w:eastAsia="en-US"/>
        </w:rPr>
        <w:t>parų</w:t>
      </w:r>
      <w:r w:rsidR="00426E00" w:rsidRPr="00997273">
        <w:rPr>
          <w:rFonts w:cs="Times New Roman"/>
          <w:sz w:val="22"/>
          <w:szCs w:val="22"/>
          <w:lang w:val="lt-LT" w:eastAsia="en-US"/>
        </w:rPr>
        <w:t xml:space="preserve"> </w:t>
      </w:r>
      <w:r w:rsidR="000F14B1" w:rsidRPr="00997273">
        <w:rPr>
          <w:rFonts w:cs="Times New Roman"/>
          <w:sz w:val="22"/>
          <w:szCs w:val="22"/>
          <w:lang w:val="lt-LT" w:eastAsia="en-US"/>
        </w:rPr>
        <w:t xml:space="preserve">trukmės tyrimo metu, vartojant vien </w:t>
      </w:r>
      <w:proofErr w:type="spellStart"/>
      <w:r w:rsidR="000F14B1" w:rsidRPr="00997273">
        <w:rPr>
          <w:rFonts w:cs="Times New Roman"/>
          <w:sz w:val="22"/>
          <w:szCs w:val="22"/>
          <w:lang w:val="lt-LT" w:eastAsia="en-US"/>
        </w:rPr>
        <w:t>sitagliptin</w:t>
      </w:r>
      <w:r w:rsidR="00066243">
        <w:rPr>
          <w:rFonts w:cs="Times New Roman"/>
          <w:sz w:val="22"/>
          <w:szCs w:val="22"/>
          <w:lang w:val="lt-LT" w:eastAsia="en-US"/>
        </w:rPr>
        <w:t>o</w:t>
      </w:r>
      <w:proofErr w:type="spellEnd"/>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padidėjo aktyvaus GPP-1 koncentracija, tuo tarpu, vartojant vien </w:t>
      </w:r>
      <w:proofErr w:type="spellStart"/>
      <w:r w:rsidR="000F14B1" w:rsidRPr="00997273">
        <w:rPr>
          <w:rFonts w:cs="Times New Roman"/>
          <w:sz w:val="22"/>
          <w:szCs w:val="22"/>
          <w:lang w:val="lt-LT" w:eastAsia="en-US"/>
        </w:rPr>
        <w:t>metformin</w:t>
      </w:r>
      <w:r w:rsidR="00A337DA">
        <w:rPr>
          <w:rFonts w:cs="Times New Roman"/>
          <w:sz w:val="22"/>
          <w:szCs w:val="22"/>
          <w:lang w:val="lt-LT" w:eastAsia="en-US"/>
        </w:rPr>
        <w:t>o</w:t>
      </w:r>
      <w:proofErr w:type="spellEnd"/>
      <w:r w:rsidR="000F14B1" w:rsidRPr="00997273">
        <w:rPr>
          <w:rFonts w:cs="Times New Roman"/>
          <w:sz w:val="22"/>
          <w:szCs w:val="22"/>
          <w:lang w:val="lt-LT" w:eastAsia="en-US"/>
        </w:rPr>
        <w:t>, vienodu dydžiu</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padidėjo aktyvaus ir bendrojo GPP-1 koncentracijos. </w:t>
      </w:r>
      <w:proofErr w:type="spellStart"/>
      <w:r w:rsidR="000F14B1" w:rsidRPr="00997273">
        <w:rPr>
          <w:rFonts w:cs="Times New Roman"/>
          <w:sz w:val="22"/>
          <w:szCs w:val="22"/>
          <w:lang w:val="lt-LT" w:eastAsia="en-US"/>
        </w:rPr>
        <w:t>Sitagliptino</w:t>
      </w:r>
      <w:proofErr w:type="spellEnd"/>
      <w:r w:rsidR="000F14B1" w:rsidRPr="00997273">
        <w:rPr>
          <w:rFonts w:cs="Times New Roman"/>
          <w:sz w:val="22"/>
          <w:szCs w:val="22"/>
          <w:lang w:val="lt-LT" w:eastAsia="en-US"/>
        </w:rPr>
        <w:t xml:space="preserve"> vartojant kartu su </w:t>
      </w:r>
      <w:proofErr w:type="spellStart"/>
      <w:r w:rsidR="000F14B1" w:rsidRPr="00997273">
        <w:rPr>
          <w:rFonts w:cs="Times New Roman"/>
          <w:sz w:val="22"/>
          <w:szCs w:val="22"/>
          <w:lang w:val="lt-LT" w:eastAsia="en-US"/>
        </w:rPr>
        <w:t>metforminu</w:t>
      </w:r>
      <w:proofErr w:type="spellEnd"/>
      <w:r w:rsidR="000F14B1" w:rsidRPr="00997273">
        <w:rPr>
          <w:rFonts w:cs="Times New Roman"/>
          <w:sz w:val="22"/>
          <w:szCs w:val="22"/>
          <w:lang w:val="lt-LT" w:eastAsia="en-US"/>
        </w:rPr>
        <w:t>,</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 xml:space="preserve">nustatytas papildomas poveikis aktyvaus GPP-1 koncentracijai. </w:t>
      </w:r>
      <w:proofErr w:type="spellStart"/>
      <w:r w:rsidR="000F14B1" w:rsidRPr="00997273">
        <w:rPr>
          <w:rFonts w:cs="Times New Roman"/>
          <w:sz w:val="22"/>
          <w:szCs w:val="22"/>
          <w:lang w:val="lt-LT" w:eastAsia="en-US"/>
        </w:rPr>
        <w:t>Sitagliptinas</w:t>
      </w:r>
      <w:proofErr w:type="spellEnd"/>
      <w:r w:rsidR="000F14B1" w:rsidRPr="00997273">
        <w:rPr>
          <w:rFonts w:cs="Times New Roman"/>
          <w:sz w:val="22"/>
          <w:szCs w:val="22"/>
          <w:lang w:val="lt-LT" w:eastAsia="en-US"/>
        </w:rPr>
        <w:t xml:space="preserve">, bet ne </w:t>
      </w:r>
      <w:proofErr w:type="spellStart"/>
      <w:r w:rsidR="000F14B1" w:rsidRPr="00997273">
        <w:rPr>
          <w:rFonts w:cs="Times New Roman"/>
          <w:sz w:val="22"/>
          <w:szCs w:val="22"/>
          <w:lang w:val="lt-LT" w:eastAsia="en-US"/>
        </w:rPr>
        <w:t>metforminas</w:t>
      </w:r>
      <w:proofErr w:type="spellEnd"/>
      <w:r w:rsidR="000F14B1" w:rsidRPr="00997273">
        <w:rPr>
          <w:rFonts w:cs="Times New Roman"/>
          <w:sz w:val="22"/>
          <w:szCs w:val="22"/>
          <w:lang w:val="lt-LT" w:eastAsia="en-US"/>
        </w:rPr>
        <w:t>,</w:t>
      </w:r>
      <w:r w:rsidR="009D16CA" w:rsidRPr="00997273">
        <w:rPr>
          <w:rFonts w:cs="Times New Roman"/>
          <w:sz w:val="22"/>
          <w:szCs w:val="22"/>
          <w:lang w:val="lt-LT" w:eastAsia="en-US"/>
        </w:rPr>
        <w:t xml:space="preserve"> </w:t>
      </w:r>
      <w:r w:rsidR="000F14B1" w:rsidRPr="00997273">
        <w:rPr>
          <w:rFonts w:cs="Times New Roman"/>
          <w:sz w:val="22"/>
          <w:szCs w:val="22"/>
          <w:lang w:val="lt-LT" w:eastAsia="en-US"/>
        </w:rPr>
        <w:t>padidino aktyvaus GIP koncentraciją.</w:t>
      </w:r>
    </w:p>
    <w:p w14:paraId="3F1DB66F" w14:textId="77777777" w:rsidR="009D16CA" w:rsidRPr="00997273" w:rsidRDefault="009D16CA" w:rsidP="000F14B1">
      <w:pPr>
        <w:autoSpaceDE w:val="0"/>
        <w:autoSpaceDN w:val="0"/>
        <w:adjustRightInd w:val="0"/>
        <w:rPr>
          <w:rFonts w:cs="Times New Roman"/>
          <w:sz w:val="22"/>
          <w:szCs w:val="22"/>
          <w:lang w:val="lt-LT" w:eastAsia="en-US"/>
        </w:rPr>
      </w:pPr>
    </w:p>
    <w:p w14:paraId="71EC9E48" w14:textId="77777777" w:rsidR="000F14B1" w:rsidRPr="00997273" w:rsidRDefault="000F14B1" w:rsidP="000F14B1">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Klinikinis veiksmingumas ir saugumas</w:t>
      </w:r>
    </w:p>
    <w:p w14:paraId="1D8127D2" w14:textId="6C690FDA" w:rsidR="000F14B1" w:rsidRPr="00997273" w:rsidRDefault="000F14B1" w:rsidP="000F14B1">
      <w:pPr>
        <w:autoSpaceDE w:val="0"/>
        <w:autoSpaceDN w:val="0"/>
        <w:adjustRightInd w:val="0"/>
        <w:rPr>
          <w:rFonts w:cs="Times New Roman"/>
          <w:sz w:val="22"/>
          <w:szCs w:val="22"/>
          <w:lang w:val="lt-LT" w:eastAsia="en-US"/>
        </w:rPr>
      </w:pPr>
      <w:r w:rsidRPr="00997273">
        <w:rPr>
          <w:rFonts w:cs="Times New Roman"/>
          <w:sz w:val="22"/>
          <w:szCs w:val="22"/>
          <w:lang w:val="lt-LT" w:eastAsia="en-US"/>
        </w:rPr>
        <w:t>Apskritai</w:t>
      </w:r>
      <w:r w:rsidR="008413D9" w:rsidRPr="00997273">
        <w:rPr>
          <w:rFonts w:cs="Times New Roman"/>
          <w:sz w:val="22"/>
          <w:szCs w:val="22"/>
          <w:lang w:val="lt-LT" w:eastAsia="en-US"/>
        </w:rPr>
        <w:t xml:space="preserve">, </w:t>
      </w:r>
      <w:r w:rsidR="00B92AF6" w:rsidRPr="00997273">
        <w:rPr>
          <w:rFonts w:cs="Times New Roman"/>
          <w:sz w:val="22"/>
          <w:szCs w:val="22"/>
          <w:lang w:val="lt-LT" w:eastAsia="en-US"/>
        </w:rPr>
        <w:t>2</w:t>
      </w:r>
      <w:r w:rsidR="00B92AF6">
        <w:rPr>
          <w:rFonts w:cs="Times New Roman"/>
          <w:sz w:val="22"/>
          <w:szCs w:val="22"/>
          <w:lang w:val="lt-LT" w:eastAsia="en-US"/>
        </w:rPr>
        <w:t> </w:t>
      </w:r>
      <w:r w:rsidR="008413D9" w:rsidRPr="00997273">
        <w:rPr>
          <w:rFonts w:cs="Times New Roman"/>
          <w:sz w:val="22"/>
          <w:szCs w:val="22"/>
          <w:lang w:val="lt-LT" w:eastAsia="en-US"/>
        </w:rPr>
        <w:t>tipo diabetu sergantiems suaugusiems pacientams</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sitagliptinas</w:t>
      </w:r>
      <w:proofErr w:type="spellEnd"/>
      <w:r w:rsidRPr="00997273">
        <w:rPr>
          <w:rFonts w:cs="Times New Roman"/>
          <w:sz w:val="22"/>
          <w:szCs w:val="22"/>
          <w:lang w:val="lt-LT" w:eastAsia="en-US"/>
        </w:rPr>
        <w:t xml:space="preserve"> pagerino </w:t>
      </w:r>
      <w:proofErr w:type="spellStart"/>
      <w:r w:rsidRPr="00997273">
        <w:rPr>
          <w:rFonts w:cs="Times New Roman"/>
          <w:sz w:val="22"/>
          <w:szCs w:val="22"/>
          <w:lang w:val="lt-LT" w:eastAsia="en-US"/>
        </w:rPr>
        <w:t>glikemijos</w:t>
      </w:r>
      <w:proofErr w:type="spellEnd"/>
      <w:r w:rsidRPr="00997273">
        <w:rPr>
          <w:rFonts w:cs="Times New Roman"/>
          <w:sz w:val="22"/>
          <w:szCs w:val="22"/>
          <w:lang w:val="lt-LT" w:eastAsia="en-US"/>
        </w:rPr>
        <w:t xml:space="preserve"> </w:t>
      </w:r>
      <w:r w:rsidR="00426E00">
        <w:rPr>
          <w:rFonts w:cs="Times New Roman"/>
          <w:sz w:val="22"/>
          <w:szCs w:val="22"/>
          <w:lang w:val="lt-LT" w:eastAsia="en-US"/>
        </w:rPr>
        <w:t>sureguliavimą</w:t>
      </w:r>
      <w:r w:rsidR="00426E00" w:rsidRPr="00997273">
        <w:rPr>
          <w:rFonts w:cs="Times New Roman"/>
          <w:sz w:val="22"/>
          <w:szCs w:val="22"/>
          <w:lang w:val="lt-LT" w:eastAsia="en-US"/>
        </w:rPr>
        <w:t xml:space="preserve"> </w:t>
      </w:r>
      <w:r w:rsidR="000A3C70" w:rsidRPr="00997273">
        <w:rPr>
          <w:rFonts w:cs="Times New Roman"/>
          <w:sz w:val="22"/>
          <w:szCs w:val="22"/>
          <w:lang w:val="lt-LT" w:eastAsia="en-US"/>
        </w:rPr>
        <w:t xml:space="preserve">tiek </w:t>
      </w:r>
      <w:r w:rsidR="00F35F7F" w:rsidRPr="00F35F7F">
        <w:rPr>
          <w:rFonts w:eastAsia="Times New Roman" w:cs="Times New Roman"/>
          <w:sz w:val="22"/>
          <w:szCs w:val="22"/>
          <w:lang w:val="lt-LT" w:eastAsia="en-US"/>
        </w:rPr>
        <w:t xml:space="preserve">taikant </w:t>
      </w:r>
      <w:proofErr w:type="spellStart"/>
      <w:r w:rsidR="00F35F7F" w:rsidRPr="00F35F7F">
        <w:rPr>
          <w:rFonts w:eastAsia="Times New Roman" w:cs="Times New Roman"/>
          <w:sz w:val="22"/>
          <w:szCs w:val="22"/>
          <w:lang w:val="lt-LT" w:eastAsia="en-US"/>
        </w:rPr>
        <w:t>monoterapiją</w:t>
      </w:r>
      <w:proofErr w:type="spellEnd"/>
      <w:r w:rsidR="00F35F7F" w:rsidRPr="00F35F7F">
        <w:rPr>
          <w:rFonts w:eastAsia="Times New Roman" w:cs="Times New Roman"/>
          <w:sz w:val="22"/>
          <w:szCs w:val="22"/>
          <w:lang w:val="lt-LT" w:eastAsia="en-US"/>
        </w:rPr>
        <w:t xml:space="preserve">, </w:t>
      </w:r>
      <w:r w:rsidR="00F35F7F">
        <w:rPr>
          <w:rFonts w:eastAsia="Times New Roman" w:cs="Times New Roman"/>
          <w:sz w:val="22"/>
          <w:szCs w:val="22"/>
          <w:lang w:val="lt-LT" w:eastAsia="en-US"/>
        </w:rPr>
        <w:t xml:space="preserve">tiek </w:t>
      </w:r>
      <w:r w:rsidR="00F35F7F" w:rsidRPr="00F35F7F">
        <w:rPr>
          <w:rFonts w:eastAsia="Times New Roman" w:cs="Times New Roman"/>
          <w:sz w:val="22"/>
          <w:szCs w:val="22"/>
          <w:lang w:val="lt-LT" w:eastAsia="en-US"/>
        </w:rPr>
        <w:t>gydymą</w:t>
      </w:r>
      <w:r w:rsidR="00426E00">
        <w:rPr>
          <w:rFonts w:eastAsia="Times New Roman" w:cs="Times New Roman"/>
          <w:sz w:val="22"/>
          <w:szCs w:val="22"/>
          <w:lang w:val="lt-LT" w:eastAsia="en-US"/>
        </w:rPr>
        <w:t xml:space="preserve"> jo deriniu</w:t>
      </w:r>
      <w:r w:rsidR="00F35F7F" w:rsidRPr="00F35F7F">
        <w:rPr>
          <w:rFonts w:eastAsia="Times New Roman" w:cs="Times New Roman"/>
          <w:sz w:val="22"/>
          <w:szCs w:val="22"/>
          <w:lang w:val="lt-LT" w:eastAsia="en-US"/>
        </w:rPr>
        <w:t xml:space="preserve"> </w:t>
      </w:r>
      <w:r w:rsidRPr="00997273">
        <w:rPr>
          <w:rFonts w:cs="Times New Roman"/>
          <w:sz w:val="22"/>
          <w:szCs w:val="22"/>
          <w:lang w:val="lt-LT" w:eastAsia="en-US"/>
        </w:rPr>
        <w:t>(žr.</w:t>
      </w:r>
      <w:r w:rsidR="009D16CA" w:rsidRPr="00997273">
        <w:rPr>
          <w:rFonts w:cs="Times New Roman"/>
          <w:sz w:val="22"/>
          <w:szCs w:val="22"/>
          <w:lang w:val="lt-LT" w:eastAsia="en-US"/>
        </w:rPr>
        <w:t xml:space="preserve"> </w:t>
      </w:r>
      <w:r w:rsidRPr="00997273">
        <w:rPr>
          <w:rFonts w:cs="Times New Roman"/>
          <w:sz w:val="22"/>
          <w:szCs w:val="22"/>
          <w:lang w:val="lt-LT" w:eastAsia="en-US"/>
        </w:rPr>
        <w:t>2</w:t>
      </w:r>
      <w:r w:rsidR="00B92AF6">
        <w:rPr>
          <w:rFonts w:cs="Times New Roman"/>
          <w:sz w:val="22"/>
          <w:szCs w:val="22"/>
          <w:lang w:val="lt-LT" w:eastAsia="en-US"/>
        </w:rPr>
        <w:t> </w:t>
      </w:r>
      <w:r w:rsidRPr="00997273">
        <w:rPr>
          <w:rFonts w:cs="Times New Roman"/>
          <w:sz w:val="22"/>
          <w:szCs w:val="22"/>
          <w:lang w:val="lt-LT" w:eastAsia="en-US"/>
        </w:rPr>
        <w:t>lentelę).</w:t>
      </w:r>
    </w:p>
    <w:p w14:paraId="7EE159E9" w14:textId="77777777" w:rsidR="000A3C70" w:rsidRPr="00997273" w:rsidRDefault="000A3C70" w:rsidP="000F14B1">
      <w:pPr>
        <w:autoSpaceDE w:val="0"/>
        <w:autoSpaceDN w:val="0"/>
        <w:adjustRightInd w:val="0"/>
        <w:rPr>
          <w:rFonts w:cs="Times New Roman"/>
          <w:sz w:val="22"/>
          <w:szCs w:val="22"/>
          <w:lang w:val="lt-LT" w:eastAsia="en-US"/>
        </w:rPr>
      </w:pPr>
    </w:p>
    <w:p w14:paraId="26432972" w14:textId="159214E2" w:rsidR="000F14B1" w:rsidRPr="00997273" w:rsidRDefault="000F14B1" w:rsidP="000F14B1">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Dviejų tyrimų metu buvo vertintas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monoterapijos</w:t>
      </w:r>
      <w:proofErr w:type="spellEnd"/>
      <w:r w:rsidRPr="00997273">
        <w:rPr>
          <w:rFonts w:cs="Times New Roman"/>
          <w:sz w:val="22"/>
          <w:szCs w:val="22"/>
          <w:lang w:val="lt-LT" w:eastAsia="en-US"/>
        </w:rPr>
        <w:t xml:space="preserve"> veiksmingumas ir saugumas. Dviejų</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tyrimų </w:t>
      </w:r>
      <w:r w:rsidR="00A70C2D" w:rsidRPr="00997273">
        <w:rPr>
          <w:rFonts w:cs="Times New Roman"/>
          <w:sz w:val="22"/>
          <w:szCs w:val="22"/>
          <w:lang w:val="lt-LT" w:eastAsia="en-US"/>
        </w:rPr>
        <w:t xml:space="preserve">metu </w:t>
      </w:r>
      <w:r w:rsidRPr="00997273">
        <w:rPr>
          <w:rFonts w:cs="Times New Roman"/>
          <w:sz w:val="22"/>
          <w:szCs w:val="22"/>
          <w:lang w:val="lt-LT" w:eastAsia="en-US"/>
        </w:rPr>
        <w:t>(vienas 18, kitas – 24 savaičių trukmės)</w:t>
      </w:r>
      <w:r w:rsidR="000A3527">
        <w:rPr>
          <w:rFonts w:cs="Times New Roman"/>
          <w:sz w:val="22"/>
          <w:szCs w:val="22"/>
          <w:lang w:val="lt-LT" w:eastAsia="en-US"/>
        </w:rPr>
        <w:t>,</w:t>
      </w:r>
      <w:r w:rsidRPr="00997273">
        <w:rPr>
          <w:rFonts w:cs="Times New Roman"/>
          <w:sz w:val="22"/>
          <w:szCs w:val="22"/>
          <w:lang w:val="lt-LT" w:eastAsia="en-US"/>
        </w:rPr>
        <w:t xml:space="preserve"> </w:t>
      </w:r>
      <w:r w:rsidR="000A3C70" w:rsidRPr="00997273">
        <w:rPr>
          <w:rFonts w:cs="Times New Roman"/>
          <w:sz w:val="22"/>
          <w:szCs w:val="22"/>
          <w:lang w:val="lt-LT" w:eastAsia="en-US"/>
        </w:rPr>
        <w:t>vartojant</w:t>
      </w:r>
      <w:r w:rsidR="000A3527">
        <w:rPr>
          <w:rFonts w:cs="Times New Roman"/>
          <w:sz w:val="22"/>
          <w:szCs w:val="22"/>
          <w:lang w:val="lt-LT" w:eastAsia="en-US"/>
        </w:rPr>
        <w:t xml:space="preserve"> </w:t>
      </w:r>
      <w:proofErr w:type="spellStart"/>
      <w:r w:rsidR="000A3527" w:rsidRPr="00997273">
        <w:rPr>
          <w:rFonts w:cs="Times New Roman"/>
          <w:sz w:val="22"/>
          <w:szCs w:val="22"/>
          <w:lang w:val="lt-LT" w:eastAsia="en-US"/>
        </w:rPr>
        <w:t>sitagliptino</w:t>
      </w:r>
      <w:proofErr w:type="spellEnd"/>
      <w:r w:rsidR="000A3C70" w:rsidRPr="00997273">
        <w:rPr>
          <w:rFonts w:cs="Times New Roman"/>
          <w:sz w:val="22"/>
          <w:szCs w:val="22"/>
          <w:lang w:val="lt-LT" w:eastAsia="en-US"/>
        </w:rPr>
        <w:t xml:space="preserve"> </w:t>
      </w:r>
      <w:r w:rsidR="000A3527" w:rsidRPr="00997273">
        <w:rPr>
          <w:rFonts w:cs="Times New Roman"/>
          <w:sz w:val="22"/>
          <w:szCs w:val="22"/>
          <w:lang w:val="lt-LT" w:eastAsia="en-US"/>
        </w:rPr>
        <w:t>100 mg</w:t>
      </w:r>
      <w:r w:rsidR="000A3527">
        <w:rPr>
          <w:rFonts w:cs="Times New Roman"/>
          <w:sz w:val="22"/>
          <w:szCs w:val="22"/>
          <w:lang w:val="lt-LT" w:eastAsia="en-US"/>
        </w:rPr>
        <w:t xml:space="preserve"> </w:t>
      </w:r>
      <w:r w:rsidR="000A3527" w:rsidRPr="00997273">
        <w:rPr>
          <w:rFonts w:cs="Times New Roman"/>
          <w:sz w:val="22"/>
          <w:szCs w:val="22"/>
          <w:lang w:val="lt-LT" w:eastAsia="en-US"/>
        </w:rPr>
        <w:t xml:space="preserve">dozę </w:t>
      </w:r>
      <w:r w:rsidRPr="00997273">
        <w:rPr>
          <w:rFonts w:cs="Times New Roman"/>
          <w:sz w:val="22"/>
          <w:szCs w:val="22"/>
          <w:lang w:val="lt-LT" w:eastAsia="en-US"/>
        </w:rPr>
        <w:t>vien</w:t>
      </w:r>
      <w:r w:rsidR="00426E00">
        <w:rPr>
          <w:rFonts w:cs="Times New Roman"/>
          <w:sz w:val="22"/>
          <w:szCs w:val="22"/>
          <w:lang w:val="lt-LT" w:eastAsia="en-US"/>
        </w:rPr>
        <w:t>ą</w:t>
      </w:r>
      <w:r w:rsidRPr="00997273">
        <w:rPr>
          <w:rFonts w:cs="Times New Roman"/>
          <w:sz w:val="22"/>
          <w:szCs w:val="22"/>
          <w:lang w:val="lt-LT" w:eastAsia="en-US"/>
        </w:rPr>
        <w:t xml:space="preserve"> kartą per parą, reikšmingai pagerėjo HbA1c, gliukozės kieki</w:t>
      </w:r>
      <w:r w:rsidR="000A3527">
        <w:rPr>
          <w:rFonts w:cs="Times New Roman"/>
          <w:sz w:val="22"/>
          <w:szCs w:val="22"/>
          <w:lang w:val="lt-LT" w:eastAsia="en-US"/>
        </w:rPr>
        <w:t>s</w:t>
      </w:r>
      <w:r w:rsidRPr="00997273">
        <w:rPr>
          <w:rFonts w:cs="Times New Roman"/>
          <w:sz w:val="22"/>
          <w:szCs w:val="22"/>
          <w:lang w:val="lt-LT" w:eastAsia="en-US"/>
        </w:rPr>
        <w:t xml:space="preserve"> kraujo</w:t>
      </w:r>
      <w:r w:rsidR="009D16CA" w:rsidRPr="00997273">
        <w:rPr>
          <w:rFonts w:cs="Times New Roman"/>
          <w:sz w:val="22"/>
          <w:szCs w:val="22"/>
          <w:lang w:val="lt-LT" w:eastAsia="en-US"/>
        </w:rPr>
        <w:t xml:space="preserve"> </w:t>
      </w:r>
      <w:r w:rsidRPr="00997273">
        <w:rPr>
          <w:rFonts w:cs="Times New Roman"/>
          <w:sz w:val="22"/>
          <w:szCs w:val="22"/>
          <w:lang w:val="lt-LT" w:eastAsia="en-US"/>
        </w:rPr>
        <w:t>plazmoje nevalgius ir gliukozės kieki</w:t>
      </w:r>
      <w:r w:rsidR="000A3527">
        <w:rPr>
          <w:rFonts w:cs="Times New Roman"/>
          <w:sz w:val="22"/>
          <w:szCs w:val="22"/>
          <w:lang w:val="lt-LT" w:eastAsia="en-US"/>
        </w:rPr>
        <w:t>s</w:t>
      </w:r>
      <w:r w:rsidRPr="00997273">
        <w:rPr>
          <w:rFonts w:cs="Times New Roman"/>
          <w:sz w:val="22"/>
          <w:szCs w:val="22"/>
          <w:lang w:val="lt-LT" w:eastAsia="en-US"/>
        </w:rPr>
        <w:t xml:space="preserve"> kraujo plazmoje, praėjus 2 valandoms po valgio, </w:t>
      </w:r>
      <w:r w:rsidR="000A3527">
        <w:rPr>
          <w:rFonts w:cs="Times New Roman"/>
          <w:sz w:val="22"/>
          <w:szCs w:val="22"/>
          <w:lang w:val="lt-LT" w:eastAsia="en-US"/>
        </w:rPr>
        <w:t>palygin</w:t>
      </w:r>
      <w:r w:rsidR="00B65BE2">
        <w:rPr>
          <w:rFonts w:cs="Times New Roman"/>
          <w:sz w:val="22"/>
          <w:szCs w:val="22"/>
          <w:lang w:val="lt-LT" w:eastAsia="en-US"/>
        </w:rPr>
        <w:t>ti</w:t>
      </w:r>
      <w:r w:rsidR="000A3527" w:rsidRPr="00997273">
        <w:rPr>
          <w:rFonts w:cs="Times New Roman"/>
          <w:sz w:val="22"/>
          <w:szCs w:val="22"/>
          <w:lang w:val="lt-LT" w:eastAsia="en-US"/>
        </w:rPr>
        <w:t xml:space="preserve"> su placebu</w:t>
      </w:r>
      <w:r w:rsidRPr="00997273">
        <w:rPr>
          <w:rFonts w:cs="Times New Roman"/>
          <w:sz w:val="22"/>
          <w:szCs w:val="22"/>
          <w:lang w:val="lt-LT" w:eastAsia="en-US"/>
        </w:rPr>
        <w:t>.</w:t>
      </w:r>
      <w:r w:rsidR="009D16CA" w:rsidRPr="00997273">
        <w:rPr>
          <w:rFonts w:cs="Times New Roman"/>
          <w:sz w:val="22"/>
          <w:szCs w:val="22"/>
          <w:lang w:val="lt-LT" w:eastAsia="en-US"/>
        </w:rPr>
        <w:t xml:space="preserve"> </w:t>
      </w:r>
      <w:r w:rsidRPr="00997273">
        <w:rPr>
          <w:rFonts w:cs="Times New Roman"/>
          <w:sz w:val="22"/>
          <w:szCs w:val="22"/>
          <w:lang w:val="lt-LT" w:eastAsia="en-US"/>
        </w:rPr>
        <w:t>Buvo stebimas reikšmingas beta</w:t>
      </w:r>
      <w:r w:rsidR="008C2A19">
        <w:rPr>
          <w:rFonts w:cs="Times New Roman"/>
          <w:sz w:val="22"/>
          <w:szCs w:val="22"/>
          <w:lang w:val="lt-LT" w:eastAsia="en-US"/>
        </w:rPr>
        <w:t> </w:t>
      </w:r>
      <w:r w:rsidRPr="00997273">
        <w:rPr>
          <w:rFonts w:cs="Times New Roman"/>
          <w:sz w:val="22"/>
          <w:szCs w:val="22"/>
          <w:lang w:val="lt-LT" w:eastAsia="en-US"/>
        </w:rPr>
        <w:t xml:space="preserve">ląstelių funkcijos </w:t>
      </w:r>
      <w:r w:rsidR="00797F21">
        <w:rPr>
          <w:rFonts w:cs="Times New Roman"/>
          <w:sz w:val="22"/>
          <w:szCs w:val="22"/>
          <w:lang w:val="lt-LT" w:eastAsia="en-US"/>
        </w:rPr>
        <w:t xml:space="preserve">pakaitinių </w:t>
      </w:r>
      <w:r w:rsidRPr="00997273">
        <w:rPr>
          <w:rFonts w:cs="Times New Roman"/>
          <w:sz w:val="22"/>
          <w:szCs w:val="22"/>
          <w:lang w:val="lt-LT" w:eastAsia="en-US"/>
        </w:rPr>
        <w:t>žymenų, tarp jų ir HOMA-β</w:t>
      </w:r>
      <w:r w:rsidR="009D16CA" w:rsidRPr="00997273">
        <w:rPr>
          <w:rFonts w:cs="Times New Roman"/>
          <w:sz w:val="22"/>
          <w:szCs w:val="22"/>
          <w:lang w:val="lt-LT" w:eastAsia="en-US"/>
        </w:rPr>
        <w:t xml:space="preserve"> </w:t>
      </w:r>
      <w:r w:rsidRPr="00997273">
        <w:rPr>
          <w:rFonts w:eastAsia="TimesNewRoman,Italic" w:cs="Times New Roman"/>
          <w:i/>
          <w:iCs/>
          <w:sz w:val="22"/>
          <w:szCs w:val="22"/>
          <w:lang w:val="lt-LT" w:eastAsia="en-US"/>
        </w:rPr>
        <w:t>(</w:t>
      </w:r>
      <w:r w:rsidR="006603AD" w:rsidRPr="006603AD">
        <w:rPr>
          <w:rFonts w:eastAsia="TimesNewRoman,Italic" w:cs="Times New Roman"/>
          <w:iCs/>
          <w:sz w:val="22"/>
          <w:szCs w:val="22"/>
          <w:lang w:val="lt-LT" w:eastAsia="en-US"/>
        </w:rPr>
        <w:t>angl</w:t>
      </w:r>
      <w:r w:rsidR="006603AD">
        <w:rPr>
          <w:rFonts w:eastAsia="TimesNewRoman,Italic" w:cs="Times New Roman"/>
          <w:i/>
          <w:iCs/>
          <w:sz w:val="22"/>
          <w:szCs w:val="22"/>
          <w:lang w:val="lt-LT" w:eastAsia="en-US"/>
        </w:rPr>
        <w:t xml:space="preserve">. </w:t>
      </w:r>
      <w:proofErr w:type="spellStart"/>
      <w:r w:rsidRPr="00997273">
        <w:rPr>
          <w:rFonts w:eastAsia="TimesNewRoman,Italic" w:cs="Times New Roman"/>
          <w:i/>
          <w:iCs/>
          <w:sz w:val="22"/>
          <w:szCs w:val="22"/>
          <w:lang w:val="lt-LT" w:eastAsia="en-US"/>
        </w:rPr>
        <w:t>Homeostasis</w:t>
      </w:r>
      <w:proofErr w:type="spellEnd"/>
      <w:r w:rsidRPr="00997273">
        <w:rPr>
          <w:rFonts w:eastAsia="TimesNewRoman,Italic" w:cs="Times New Roman"/>
          <w:i/>
          <w:iCs/>
          <w:sz w:val="22"/>
          <w:szCs w:val="22"/>
          <w:lang w:val="lt-LT" w:eastAsia="en-US"/>
        </w:rPr>
        <w:t xml:space="preserve"> </w:t>
      </w:r>
      <w:proofErr w:type="spellStart"/>
      <w:r w:rsidRPr="00997273">
        <w:rPr>
          <w:rFonts w:eastAsia="TimesNewRoman,Italic" w:cs="Times New Roman"/>
          <w:i/>
          <w:iCs/>
          <w:sz w:val="22"/>
          <w:szCs w:val="22"/>
          <w:lang w:val="lt-LT" w:eastAsia="en-US"/>
        </w:rPr>
        <w:t>Model</w:t>
      </w:r>
      <w:proofErr w:type="spellEnd"/>
      <w:r w:rsidRPr="00997273">
        <w:rPr>
          <w:rFonts w:eastAsia="TimesNewRoman,Italic" w:cs="Times New Roman"/>
          <w:i/>
          <w:iCs/>
          <w:sz w:val="22"/>
          <w:szCs w:val="22"/>
          <w:lang w:val="lt-LT" w:eastAsia="en-US"/>
        </w:rPr>
        <w:t xml:space="preserve"> </w:t>
      </w:r>
      <w:proofErr w:type="spellStart"/>
      <w:r w:rsidRPr="00997273">
        <w:rPr>
          <w:rFonts w:eastAsia="TimesNewRoman,Italic" w:cs="Times New Roman"/>
          <w:i/>
          <w:iCs/>
          <w:sz w:val="22"/>
          <w:szCs w:val="22"/>
          <w:lang w:val="lt-LT" w:eastAsia="en-US"/>
        </w:rPr>
        <w:t>Assessment</w:t>
      </w:r>
      <w:proofErr w:type="spellEnd"/>
      <w:r w:rsidRPr="00997273">
        <w:rPr>
          <w:rFonts w:eastAsia="TimesNewRoman,Italic" w:cs="Times New Roman"/>
          <w:i/>
          <w:iCs/>
          <w:sz w:val="22"/>
          <w:szCs w:val="22"/>
          <w:lang w:val="lt-LT" w:eastAsia="en-US"/>
        </w:rPr>
        <w:t>-β)</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proinsulino</w:t>
      </w:r>
      <w:proofErr w:type="spellEnd"/>
      <w:r w:rsidRPr="00997273">
        <w:rPr>
          <w:rFonts w:cs="Times New Roman"/>
          <w:sz w:val="22"/>
          <w:szCs w:val="22"/>
          <w:lang w:val="lt-LT" w:eastAsia="en-US"/>
        </w:rPr>
        <w:t xml:space="preserve"> ir insulino santykio bei beta</w:t>
      </w:r>
      <w:r w:rsidR="008C2A19">
        <w:rPr>
          <w:rFonts w:cs="Times New Roman"/>
          <w:sz w:val="22"/>
          <w:szCs w:val="22"/>
          <w:lang w:val="lt-LT" w:eastAsia="en-US"/>
        </w:rPr>
        <w:t> </w:t>
      </w:r>
      <w:r w:rsidRPr="00997273">
        <w:rPr>
          <w:rFonts w:cs="Times New Roman"/>
          <w:sz w:val="22"/>
          <w:szCs w:val="22"/>
          <w:lang w:val="lt-LT" w:eastAsia="en-US"/>
        </w:rPr>
        <w:t>ląstelių reaktyvumo,</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nustatyto pagal maisto </w:t>
      </w:r>
      <w:r w:rsidR="00F176DC" w:rsidRPr="00F176DC">
        <w:rPr>
          <w:rFonts w:eastAsia="Times New Roman" w:cs="Times New Roman"/>
          <w:sz w:val="22"/>
          <w:szCs w:val="22"/>
          <w:lang w:val="lt-LT" w:eastAsia="en-US"/>
        </w:rPr>
        <w:t xml:space="preserve">toleravimo testus su dažnu </w:t>
      </w:r>
      <w:r w:rsidR="000A3527">
        <w:rPr>
          <w:rFonts w:eastAsia="Times New Roman" w:cs="Times New Roman"/>
          <w:sz w:val="22"/>
          <w:szCs w:val="22"/>
          <w:lang w:val="lt-LT" w:eastAsia="en-US"/>
        </w:rPr>
        <w:t>mėginių</w:t>
      </w:r>
      <w:r w:rsidR="00F176DC" w:rsidRPr="00F176DC">
        <w:rPr>
          <w:rFonts w:eastAsia="Times New Roman" w:cs="Times New Roman"/>
          <w:sz w:val="22"/>
          <w:szCs w:val="22"/>
          <w:lang w:val="lt-LT" w:eastAsia="en-US"/>
        </w:rPr>
        <w:t xml:space="preserve"> ėmimu</w:t>
      </w:r>
      <w:r w:rsidRPr="00997273">
        <w:rPr>
          <w:rFonts w:cs="Times New Roman"/>
          <w:sz w:val="22"/>
          <w:szCs w:val="22"/>
          <w:lang w:val="lt-LT" w:eastAsia="en-US"/>
        </w:rPr>
        <w:t xml:space="preserve">, rodmenų pagerėjimas. </w:t>
      </w:r>
      <w:proofErr w:type="spellStart"/>
      <w:r w:rsidRPr="00997273">
        <w:rPr>
          <w:rFonts w:cs="Times New Roman"/>
          <w:sz w:val="22"/>
          <w:szCs w:val="22"/>
          <w:lang w:val="lt-LT" w:eastAsia="en-US"/>
        </w:rPr>
        <w:t>Sitagliptinu</w:t>
      </w:r>
      <w:proofErr w:type="spellEnd"/>
      <w:r w:rsidRPr="00997273">
        <w:rPr>
          <w:rFonts w:cs="Times New Roman"/>
          <w:sz w:val="22"/>
          <w:szCs w:val="22"/>
          <w:lang w:val="lt-LT" w:eastAsia="en-US"/>
        </w:rPr>
        <w:t xml:space="preserve"> gydytiems</w:t>
      </w:r>
      <w:r w:rsidR="009D16CA" w:rsidRPr="00997273">
        <w:rPr>
          <w:rFonts w:cs="Times New Roman"/>
          <w:sz w:val="22"/>
          <w:szCs w:val="22"/>
          <w:lang w:val="lt-LT" w:eastAsia="en-US"/>
        </w:rPr>
        <w:t xml:space="preserve"> </w:t>
      </w:r>
      <w:r w:rsidRPr="00997273">
        <w:rPr>
          <w:rFonts w:cs="Times New Roman"/>
          <w:sz w:val="22"/>
          <w:szCs w:val="22"/>
          <w:lang w:val="lt-LT" w:eastAsia="en-US"/>
        </w:rPr>
        <w:t xml:space="preserve">pacientams hipoglikemijos dažnis buvo panašus į </w:t>
      </w:r>
      <w:r w:rsidR="00EF317C">
        <w:rPr>
          <w:rFonts w:cs="Times New Roman"/>
          <w:sz w:val="22"/>
          <w:szCs w:val="22"/>
          <w:lang w:val="lt-LT" w:eastAsia="en-US"/>
        </w:rPr>
        <w:t xml:space="preserve">nustatytą vartojant </w:t>
      </w:r>
      <w:r w:rsidRPr="00997273">
        <w:rPr>
          <w:rFonts w:cs="Times New Roman"/>
          <w:sz w:val="22"/>
          <w:szCs w:val="22"/>
          <w:lang w:val="lt-LT" w:eastAsia="en-US"/>
        </w:rPr>
        <w:t xml:space="preserve">placebo. Abiejų tyrimų metu </w:t>
      </w:r>
      <w:proofErr w:type="spellStart"/>
      <w:r w:rsidRPr="00997273">
        <w:rPr>
          <w:rFonts w:cs="Times New Roman"/>
          <w:sz w:val="22"/>
          <w:szCs w:val="22"/>
          <w:lang w:val="lt-LT" w:eastAsia="en-US"/>
        </w:rPr>
        <w:t>sitagliptino</w:t>
      </w:r>
      <w:proofErr w:type="spellEnd"/>
      <w:r w:rsidR="009D16CA" w:rsidRPr="00997273">
        <w:rPr>
          <w:rFonts w:cs="Times New Roman"/>
          <w:sz w:val="22"/>
          <w:szCs w:val="22"/>
          <w:lang w:val="lt-LT" w:eastAsia="en-US"/>
        </w:rPr>
        <w:t xml:space="preserve"> </w:t>
      </w:r>
      <w:r w:rsidRPr="00997273">
        <w:rPr>
          <w:rFonts w:cs="Times New Roman"/>
          <w:sz w:val="22"/>
          <w:szCs w:val="22"/>
          <w:lang w:val="lt-LT" w:eastAsia="en-US"/>
        </w:rPr>
        <w:t>vartojusių pacientų kūno svoris nepadidėjo</w:t>
      </w:r>
      <w:r w:rsidR="001063F3">
        <w:rPr>
          <w:rFonts w:cs="Times New Roman"/>
          <w:sz w:val="22"/>
          <w:szCs w:val="22"/>
          <w:lang w:val="lt-LT" w:eastAsia="en-US"/>
        </w:rPr>
        <w:t xml:space="preserve"> nuo pradinio rodmens</w:t>
      </w:r>
      <w:r w:rsidRPr="00997273">
        <w:rPr>
          <w:rFonts w:cs="Times New Roman"/>
          <w:sz w:val="22"/>
          <w:szCs w:val="22"/>
          <w:lang w:val="lt-LT" w:eastAsia="en-US"/>
        </w:rPr>
        <w:t>, o vartojusių</w:t>
      </w:r>
      <w:r w:rsidR="00113D81">
        <w:rPr>
          <w:rFonts w:cs="Times New Roman"/>
          <w:sz w:val="22"/>
          <w:szCs w:val="22"/>
          <w:lang w:val="lt-LT" w:eastAsia="en-US"/>
        </w:rPr>
        <w:t>jų</w:t>
      </w:r>
      <w:r w:rsidRPr="00997273">
        <w:rPr>
          <w:rFonts w:cs="Times New Roman"/>
          <w:sz w:val="22"/>
          <w:szCs w:val="22"/>
          <w:lang w:val="lt-LT" w:eastAsia="en-US"/>
        </w:rPr>
        <w:t xml:space="preserve"> placebo </w:t>
      </w:r>
      <w:r w:rsidR="00113D81">
        <w:rPr>
          <w:rFonts w:cs="Times New Roman"/>
          <w:sz w:val="22"/>
          <w:szCs w:val="22"/>
          <w:lang w:val="lt-LT" w:eastAsia="en-US"/>
        </w:rPr>
        <w:t>– šiek tiek</w:t>
      </w:r>
      <w:r w:rsidRPr="00997273">
        <w:rPr>
          <w:rFonts w:cs="Times New Roman"/>
          <w:sz w:val="22"/>
          <w:szCs w:val="22"/>
          <w:lang w:val="lt-LT" w:eastAsia="en-US"/>
        </w:rPr>
        <w:t xml:space="preserve"> sumažėjo.</w:t>
      </w:r>
    </w:p>
    <w:p w14:paraId="7999C02B" w14:textId="77777777" w:rsidR="000A3C70" w:rsidRPr="00997273" w:rsidRDefault="000A3C70" w:rsidP="000F14B1">
      <w:pPr>
        <w:autoSpaceDE w:val="0"/>
        <w:autoSpaceDN w:val="0"/>
        <w:adjustRightInd w:val="0"/>
        <w:rPr>
          <w:rFonts w:cs="Times New Roman"/>
          <w:sz w:val="22"/>
          <w:szCs w:val="22"/>
          <w:lang w:val="lt-LT" w:eastAsia="en-US"/>
        </w:rPr>
      </w:pPr>
    </w:p>
    <w:p w14:paraId="1A6E35F2" w14:textId="2037F127" w:rsidR="004D13AD" w:rsidRPr="00997273" w:rsidRDefault="004D13AD" w:rsidP="004D13AD">
      <w:pPr>
        <w:autoSpaceDE w:val="0"/>
        <w:autoSpaceDN w:val="0"/>
        <w:adjustRightInd w:val="0"/>
        <w:rPr>
          <w:rFonts w:cs="Times New Roman"/>
          <w:sz w:val="22"/>
          <w:szCs w:val="22"/>
          <w:lang w:val="lt-LT" w:eastAsia="en-US"/>
        </w:rPr>
      </w:pPr>
      <w:r w:rsidRPr="00997273">
        <w:rPr>
          <w:rFonts w:cs="Times New Roman"/>
          <w:sz w:val="22"/>
          <w:szCs w:val="22"/>
          <w:lang w:val="lt-LT" w:eastAsia="en-US"/>
        </w:rPr>
        <w:t>Dviejų 24</w:t>
      </w:r>
      <w:r w:rsidR="00B92AF6">
        <w:rPr>
          <w:rFonts w:cs="Times New Roman"/>
          <w:sz w:val="22"/>
          <w:szCs w:val="22"/>
          <w:lang w:val="lt-LT" w:eastAsia="en-US"/>
        </w:rPr>
        <w:t> </w:t>
      </w:r>
      <w:r w:rsidRPr="00997273">
        <w:rPr>
          <w:rFonts w:cs="Times New Roman"/>
          <w:sz w:val="22"/>
          <w:szCs w:val="22"/>
          <w:lang w:val="lt-LT" w:eastAsia="en-US"/>
        </w:rPr>
        <w:t>savaičių trukmės klinikini</w:t>
      </w:r>
      <w:r w:rsidR="00B65BE2">
        <w:rPr>
          <w:rFonts w:cs="Times New Roman"/>
          <w:sz w:val="22"/>
          <w:szCs w:val="22"/>
          <w:lang w:val="lt-LT" w:eastAsia="en-US"/>
        </w:rPr>
        <w:t>ų</w:t>
      </w:r>
      <w:r w:rsidRPr="00997273">
        <w:rPr>
          <w:rFonts w:cs="Times New Roman"/>
          <w:sz w:val="22"/>
          <w:szCs w:val="22"/>
          <w:lang w:val="lt-LT" w:eastAsia="en-US"/>
        </w:rPr>
        <w:t xml:space="preserve"> tyrim</w:t>
      </w:r>
      <w:r w:rsidR="00B65BE2">
        <w:rPr>
          <w:rFonts w:cs="Times New Roman"/>
          <w:sz w:val="22"/>
          <w:szCs w:val="22"/>
          <w:lang w:val="lt-LT" w:eastAsia="en-US"/>
        </w:rPr>
        <w:t>ų</w:t>
      </w:r>
      <w:r w:rsidRPr="00997273">
        <w:rPr>
          <w:rFonts w:cs="Times New Roman"/>
          <w:sz w:val="22"/>
          <w:szCs w:val="22"/>
          <w:lang w:val="lt-LT" w:eastAsia="en-US"/>
        </w:rPr>
        <w:t xml:space="preserve"> metu vartojant papildomai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w:t>
      </w:r>
      <w:r w:rsidR="00B65BE2" w:rsidRPr="00997273">
        <w:rPr>
          <w:rFonts w:cs="Times New Roman"/>
          <w:sz w:val="22"/>
          <w:szCs w:val="22"/>
          <w:lang w:val="lt-LT" w:eastAsia="en-US"/>
        </w:rPr>
        <w:t>100 mg doz</w:t>
      </w:r>
      <w:r w:rsidR="00B65BE2">
        <w:rPr>
          <w:rFonts w:cs="Times New Roman"/>
          <w:sz w:val="22"/>
          <w:szCs w:val="22"/>
          <w:lang w:val="lt-LT" w:eastAsia="en-US"/>
        </w:rPr>
        <w:t>ę</w:t>
      </w:r>
      <w:r w:rsidR="00B65BE2" w:rsidRPr="00997273">
        <w:rPr>
          <w:rFonts w:cs="Times New Roman"/>
          <w:sz w:val="22"/>
          <w:szCs w:val="22"/>
          <w:lang w:val="lt-LT" w:eastAsia="en-US"/>
        </w:rPr>
        <w:t xml:space="preserve"> </w:t>
      </w:r>
      <w:r w:rsidRPr="00997273">
        <w:rPr>
          <w:rFonts w:cs="Times New Roman"/>
          <w:sz w:val="22"/>
          <w:szCs w:val="22"/>
          <w:lang w:val="lt-LT" w:eastAsia="en-US"/>
        </w:rPr>
        <w:t xml:space="preserve">vieną kartą per parą kartu su </w:t>
      </w:r>
      <w:proofErr w:type="spellStart"/>
      <w:r w:rsidRPr="00997273">
        <w:rPr>
          <w:rFonts w:cs="Times New Roman"/>
          <w:sz w:val="22"/>
          <w:szCs w:val="22"/>
          <w:lang w:val="lt-LT" w:eastAsia="en-US"/>
        </w:rPr>
        <w:t>metf</w:t>
      </w:r>
      <w:r w:rsidR="00E305A3" w:rsidRPr="00997273">
        <w:rPr>
          <w:rFonts w:cs="Times New Roman"/>
          <w:sz w:val="22"/>
          <w:szCs w:val="22"/>
          <w:lang w:val="lt-LT" w:eastAsia="en-US"/>
        </w:rPr>
        <w:t>orminu</w:t>
      </w:r>
      <w:proofErr w:type="spellEnd"/>
      <w:r w:rsidR="00E305A3" w:rsidRPr="00997273">
        <w:rPr>
          <w:rFonts w:cs="Times New Roman"/>
          <w:sz w:val="22"/>
          <w:szCs w:val="22"/>
          <w:lang w:val="lt-LT" w:eastAsia="en-US"/>
        </w:rPr>
        <w:t xml:space="preserve"> (pirmas tyrimas) arba </w:t>
      </w:r>
      <w:proofErr w:type="spellStart"/>
      <w:r w:rsidRPr="00997273">
        <w:rPr>
          <w:rFonts w:cs="Times New Roman"/>
          <w:sz w:val="22"/>
          <w:szCs w:val="22"/>
          <w:lang w:val="lt-LT" w:eastAsia="en-US"/>
        </w:rPr>
        <w:t>pioglitazonu</w:t>
      </w:r>
      <w:proofErr w:type="spellEnd"/>
      <w:r w:rsidRPr="00997273">
        <w:rPr>
          <w:rFonts w:cs="Times New Roman"/>
          <w:sz w:val="22"/>
          <w:szCs w:val="22"/>
          <w:lang w:val="lt-LT" w:eastAsia="en-US"/>
        </w:rPr>
        <w:t xml:space="preserve"> (kitas tyrimas) </w:t>
      </w:r>
      <w:proofErr w:type="spellStart"/>
      <w:r w:rsidRPr="00997273">
        <w:rPr>
          <w:rFonts w:cs="Times New Roman"/>
          <w:sz w:val="22"/>
          <w:szCs w:val="22"/>
          <w:lang w:val="lt-LT" w:eastAsia="en-US"/>
        </w:rPr>
        <w:t>glikemijos</w:t>
      </w:r>
      <w:proofErr w:type="spellEnd"/>
      <w:r w:rsidRPr="00997273">
        <w:rPr>
          <w:rFonts w:cs="Times New Roman"/>
          <w:sz w:val="22"/>
          <w:szCs w:val="22"/>
          <w:lang w:val="lt-LT" w:eastAsia="en-US"/>
        </w:rPr>
        <w:t xml:space="preserve"> rodmenys buvo reikšmingai geresni palyginti su placebo. </w:t>
      </w:r>
      <w:r w:rsidR="001734AC" w:rsidRPr="00997273">
        <w:rPr>
          <w:rFonts w:cs="Times New Roman"/>
          <w:sz w:val="22"/>
          <w:szCs w:val="22"/>
          <w:lang w:val="lt-LT" w:eastAsia="en-US"/>
        </w:rPr>
        <w:t xml:space="preserve">Kūno svorio pokyčiai, palyginti su pradiniu, </w:t>
      </w:r>
      <w:proofErr w:type="spellStart"/>
      <w:r w:rsidR="001734AC" w:rsidRPr="00997273">
        <w:rPr>
          <w:rFonts w:cs="Times New Roman"/>
          <w:sz w:val="22"/>
          <w:szCs w:val="22"/>
          <w:lang w:val="lt-LT" w:eastAsia="en-US"/>
        </w:rPr>
        <w:t>sitagliptinu</w:t>
      </w:r>
      <w:proofErr w:type="spellEnd"/>
      <w:r w:rsidR="001734AC" w:rsidRPr="00997273">
        <w:rPr>
          <w:rFonts w:cs="Times New Roman"/>
          <w:sz w:val="22"/>
          <w:szCs w:val="22"/>
          <w:lang w:val="lt-LT" w:eastAsia="en-US"/>
        </w:rPr>
        <w:t xml:space="preserve"> gydytų pacientų ir placebo grupėse buvo panašūs. </w:t>
      </w:r>
      <w:r w:rsidR="00E305A3" w:rsidRPr="00997273">
        <w:rPr>
          <w:rFonts w:cs="Times New Roman"/>
          <w:sz w:val="22"/>
          <w:szCs w:val="22"/>
          <w:lang w:val="lt-LT" w:eastAsia="en-US"/>
        </w:rPr>
        <w:t>Ši</w:t>
      </w:r>
      <w:r w:rsidR="000A028D">
        <w:rPr>
          <w:rFonts w:cs="Times New Roman"/>
          <w:sz w:val="22"/>
          <w:szCs w:val="22"/>
          <w:lang w:val="lt-LT" w:eastAsia="en-US"/>
        </w:rPr>
        <w:t>ų</w:t>
      </w:r>
      <w:r w:rsidR="00E305A3" w:rsidRPr="00997273">
        <w:rPr>
          <w:rFonts w:cs="Times New Roman"/>
          <w:sz w:val="22"/>
          <w:szCs w:val="22"/>
          <w:lang w:val="lt-LT" w:eastAsia="en-US"/>
        </w:rPr>
        <w:t xml:space="preserve"> tyrim</w:t>
      </w:r>
      <w:r w:rsidR="000A028D">
        <w:rPr>
          <w:rFonts w:cs="Times New Roman"/>
          <w:sz w:val="22"/>
          <w:szCs w:val="22"/>
          <w:lang w:val="lt-LT" w:eastAsia="en-US"/>
        </w:rPr>
        <w:t>ų</w:t>
      </w:r>
      <w:r w:rsidR="00E305A3" w:rsidRPr="00997273">
        <w:rPr>
          <w:rFonts w:cs="Times New Roman"/>
          <w:sz w:val="22"/>
          <w:szCs w:val="22"/>
          <w:lang w:val="lt-LT" w:eastAsia="en-US"/>
        </w:rPr>
        <w:t xml:space="preserve"> metu hipoglikemijos epizodų dažnis </w:t>
      </w:r>
      <w:proofErr w:type="spellStart"/>
      <w:r w:rsidR="00E305A3" w:rsidRPr="00997273">
        <w:rPr>
          <w:rFonts w:cs="Times New Roman"/>
          <w:sz w:val="22"/>
          <w:szCs w:val="22"/>
          <w:lang w:val="lt-LT" w:eastAsia="en-US"/>
        </w:rPr>
        <w:t>sitagliptino</w:t>
      </w:r>
      <w:proofErr w:type="spellEnd"/>
      <w:r w:rsidR="00E305A3" w:rsidRPr="00997273">
        <w:rPr>
          <w:rFonts w:cs="Times New Roman"/>
          <w:sz w:val="22"/>
          <w:szCs w:val="22"/>
          <w:lang w:val="lt-LT" w:eastAsia="en-US"/>
        </w:rPr>
        <w:t xml:space="preserve"> ir placebo grupėse buvo panašus.</w:t>
      </w:r>
    </w:p>
    <w:p w14:paraId="11185637" w14:textId="77777777" w:rsidR="004D13AD" w:rsidRPr="00997273" w:rsidRDefault="004D13AD" w:rsidP="004D13AD">
      <w:pPr>
        <w:autoSpaceDE w:val="0"/>
        <w:autoSpaceDN w:val="0"/>
        <w:adjustRightInd w:val="0"/>
        <w:rPr>
          <w:rFonts w:cs="Times New Roman"/>
          <w:sz w:val="22"/>
          <w:szCs w:val="22"/>
          <w:lang w:val="lt-LT" w:eastAsia="en-US"/>
        </w:rPr>
      </w:pPr>
    </w:p>
    <w:p w14:paraId="6DB03287" w14:textId="1D2B30D9" w:rsidR="004D13AD" w:rsidRPr="00997273" w:rsidRDefault="004D13AD" w:rsidP="004D13AD">
      <w:pPr>
        <w:autoSpaceDE w:val="0"/>
        <w:autoSpaceDN w:val="0"/>
        <w:adjustRightInd w:val="0"/>
        <w:rPr>
          <w:rFonts w:cs="Times New Roman"/>
          <w:sz w:val="22"/>
          <w:szCs w:val="22"/>
          <w:lang w:val="lt-LT" w:eastAsia="en-US"/>
        </w:rPr>
      </w:pPr>
      <w:r w:rsidRPr="00997273">
        <w:rPr>
          <w:rFonts w:cs="Times New Roman"/>
          <w:sz w:val="22"/>
          <w:szCs w:val="22"/>
          <w:lang w:val="lt-LT" w:eastAsia="en-US"/>
        </w:rPr>
        <w:t>24</w:t>
      </w:r>
      <w:r w:rsidR="00B92AF6">
        <w:rPr>
          <w:rFonts w:cs="Times New Roman"/>
          <w:sz w:val="22"/>
          <w:szCs w:val="22"/>
          <w:lang w:val="lt-LT" w:eastAsia="en-US"/>
        </w:rPr>
        <w:t> </w:t>
      </w:r>
      <w:r w:rsidRPr="00997273">
        <w:rPr>
          <w:rFonts w:cs="Times New Roman"/>
          <w:sz w:val="22"/>
          <w:szCs w:val="22"/>
          <w:lang w:val="lt-LT" w:eastAsia="en-US"/>
        </w:rPr>
        <w:t xml:space="preserve">savaičių trukmės placebu kontroliuojamo tyrimo metu buvo vertintas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(100 mg kartą per parą) veiksmingumas ir saugumas tuo atveju, kai juo buvo papildytas gydymas vien </w:t>
      </w:r>
      <w:proofErr w:type="spellStart"/>
      <w:r w:rsidRPr="00997273">
        <w:rPr>
          <w:rFonts w:cs="Times New Roman"/>
          <w:sz w:val="22"/>
          <w:szCs w:val="22"/>
          <w:lang w:val="lt-LT" w:eastAsia="en-US"/>
        </w:rPr>
        <w:t>glimepiridu</w:t>
      </w:r>
      <w:proofErr w:type="spellEnd"/>
      <w:r w:rsidRPr="00997273">
        <w:rPr>
          <w:rFonts w:cs="Times New Roman"/>
          <w:sz w:val="22"/>
          <w:szCs w:val="22"/>
          <w:lang w:val="lt-LT" w:eastAsia="en-US"/>
        </w:rPr>
        <w:t xml:space="preserve"> arba </w:t>
      </w:r>
      <w:proofErr w:type="spellStart"/>
      <w:r w:rsidRPr="00997273">
        <w:rPr>
          <w:rFonts w:cs="Times New Roman"/>
          <w:sz w:val="22"/>
          <w:szCs w:val="22"/>
          <w:lang w:val="lt-LT" w:eastAsia="en-US"/>
        </w:rPr>
        <w:t>glimepirido</w:t>
      </w:r>
      <w:proofErr w:type="spellEnd"/>
      <w:r w:rsidRPr="00997273">
        <w:rPr>
          <w:rFonts w:cs="Times New Roman"/>
          <w:sz w:val="22"/>
          <w:szCs w:val="22"/>
          <w:lang w:val="lt-LT" w:eastAsia="en-US"/>
        </w:rPr>
        <w:t xml:space="preserve"> ir </w:t>
      </w:r>
      <w:proofErr w:type="spellStart"/>
      <w:r w:rsidRPr="00997273">
        <w:rPr>
          <w:rFonts w:cs="Times New Roman"/>
          <w:sz w:val="22"/>
          <w:szCs w:val="22"/>
          <w:lang w:val="lt-LT" w:eastAsia="en-US"/>
        </w:rPr>
        <w:t>metformino</w:t>
      </w:r>
      <w:proofErr w:type="spellEnd"/>
      <w:r w:rsidRPr="00997273">
        <w:rPr>
          <w:rFonts w:cs="Times New Roman"/>
          <w:sz w:val="22"/>
          <w:szCs w:val="22"/>
          <w:lang w:val="lt-LT" w:eastAsia="en-US"/>
        </w:rPr>
        <w:t xml:space="preserve"> deriniu. Gydymą vien </w:t>
      </w:r>
      <w:proofErr w:type="spellStart"/>
      <w:r w:rsidRPr="00997273">
        <w:rPr>
          <w:rFonts w:cs="Times New Roman"/>
          <w:sz w:val="22"/>
          <w:szCs w:val="22"/>
          <w:lang w:val="lt-LT" w:eastAsia="en-US"/>
        </w:rPr>
        <w:t>glimepiridu</w:t>
      </w:r>
      <w:proofErr w:type="spellEnd"/>
      <w:r w:rsidRPr="00997273">
        <w:rPr>
          <w:rFonts w:cs="Times New Roman"/>
          <w:sz w:val="22"/>
          <w:szCs w:val="22"/>
          <w:lang w:val="lt-LT" w:eastAsia="en-US"/>
        </w:rPr>
        <w:t xml:space="preserve"> ar </w:t>
      </w:r>
      <w:proofErr w:type="spellStart"/>
      <w:r w:rsidRPr="00997273">
        <w:rPr>
          <w:rFonts w:cs="Times New Roman"/>
          <w:sz w:val="22"/>
          <w:szCs w:val="22"/>
          <w:lang w:val="lt-LT" w:eastAsia="en-US"/>
        </w:rPr>
        <w:t>glimepirido</w:t>
      </w:r>
      <w:proofErr w:type="spellEnd"/>
      <w:r w:rsidRPr="00997273">
        <w:rPr>
          <w:rFonts w:cs="Times New Roman"/>
          <w:sz w:val="22"/>
          <w:szCs w:val="22"/>
          <w:lang w:val="lt-LT" w:eastAsia="en-US"/>
        </w:rPr>
        <w:t xml:space="preserve"> ir </w:t>
      </w:r>
      <w:proofErr w:type="spellStart"/>
      <w:r w:rsidRPr="00997273">
        <w:rPr>
          <w:rFonts w:cs="Times New Roman"/>
          <w:sz w:val="22"/>
          <w:szCs w:val="22"/>
          <w:lang w:val="lt-LT" w:eastAsia="en-US"/>
        </w:rPr>
        <w:t>metformino</w:t>
      </w:r>
      <w:proofErr w:type="spellEnd"/>
      <w:r w:rsidRPr="00997273">
        <w:rPr>
          <w:rFonts w:cs="Times New Roman"/>
          <w:sz w:val="22"/>
          <w:szCs w:val="22"/>
          <w:lang w:val="lt-LT" w:eastAsia="en-US"/>
        </w:rPr>
        <w:t xml:space="preserve"> deriniu papildžius </w:t>
      </w:r>
      <w:proofErr w:type="spellStart"/>
      <w:r w:rsidRPr="00997273">
        <w:rPr>
          <w:rFonts w:cs="Times New Roman"/>
          <w:sz w:val="22"/>
          <w:szCs w:val="22"/>
          <w:lang w:val="lt-LT" w:eastAsia="en-US"/>
        </w:rPr>
        <w:t>sitagliptinu</w:t>
      </w:r>
      <w:proofErr w:type="spellEnd"/>
      <w:r w:rsidRPr="00997273">
        <w:rPr>
          <w:rFonts w:cs="Times New Roman"/>
          <w:sz w:val="22"/>
          <w:szCs w:val="22"/>
          <w:lang w:val="lt-LT" w:eastAsia="en-US"/>
        </w:rPr>
        <w:t xml:space="preserve">, reikšmingai pagerėjo </w:t>
      </w:r>
      <w:proofErr w:type="spellStart"/>
      <w:r w:rsidRPr="00997273">
        <w:rPr>
          <w:rFonts w:cs="Times New Roman"/>
          <w:sz w:val="22"/>
          <w:szCs w:val="22"/>
          <w:lang w:val="lt-LT" w:eastAsia="en-US"/>
        </w:rPr>
        <w:t>glikemijos</w:t>
      </w:r>
      <w:proofErr w:type="spellEnd"/>
      <w:r w:rsidRPr="00997273">
        <w:rPr>
          <w:rFonts w:cs="Times New Roman"/>
          <w:sz w:val="22"/>
          <w:szCs w:val="22"/>
          <w:lang w:val="lt-LT" w:eastAsia="en-US"/>
        </w:rPr>
        <w:t xml:space="preserve"> parametrai. </w:t>
      </w:r>
      <w:proofErr w:type="spellStart"/>
      <w:r w:rsidRPr="00997273">
        <w:rPr>
          <w:rFonts w:cs="Times New Roman"/>
          <w:sz w:val="22"/>
          <w:szCs w:val="22"/>
          <w:lang w:val="lt-LT" w:eastAsia="en-US"/>
        </w:rPr>
        <w:t>Sitagliptinu</w:t>
      </w:r>
      <w:proofErr w:type="spellEnd"/>
      <w:r w:rsidRPr="00997273">
        <w:rPr>
          <w:rFonts w:cs="Times New Roman"/>
          <w:sz w:val="22"/>
          <w:szCs w:val="22"/>
          <w:lang w:val="lt-LT" w:eastAsia="en-US"/>
        </w:rPr>
        <w:t xml:space="preserve">, palyginti su placebu, gydytiems pacientams </w:t>
      </w:r>
      <w:r w:rsidR="00A01E7A">
        <w:rPr>
          <w:rFonts w:cs="Times New Roman"/>
          <w:sz w:val="22"/>
          <w:szCs w:val="22"/>
          <w:lang w:val="lt-LT" w:eastAsia="en-US"/>
        </w:rPr>
        <w:t>šiek tiek</w:t>
      </w:r>
      <w:r w:rsidRPr="00997273">
        <w:rPr>
          <w:rFonts w:cs="Times New Roman"/>
          <w:sz w:val="22"/>
          <w:szCs w:val="22"/>
          <w:lang w:val="lt-LT" w:eastAsia="en-US"/>
        </w:rPr>
        <w:t xml:space="preserve"> padidėjo kūno svoris.</w:t>
      </w:r>
    </w:p>
    <w:p w14:paraId="1B8F47E0" w14:textId="77777777" w:rsidR="004D13AD" w:rsidRPr="00997273" w:rsidRDefault="004D13AD" w:rsidP="000F14B1">
      <w:pPr>
        <w:autoSpaceDE w:val="0"/>
        <w:autoSpaceDN w:val="0"/>
        <w:adjustRightInd w:val="0"/>
        <w:rPr>
          <w:rFonts w:cs="Times New Roman"/>
          <w:sz w:val="22"/>
          <w:szCs w:val="22"/>
          <w:lang w:val="lt-LT" w:eastAsia="en-US"/>
        </w:rPr>
      </w:pPr>
    </w:p>
    <w:p w14:paraId="62C52654" w14:textId="1CFDB9D8" w:rsidR="000F14B1" w:rsidRPr="00997273" w:rsidRDefault="000F14B1" w:rsidP="000F14B1">
      <w:pPr>
        <w:autoSpaceDE w:val="0"/>
        <w:autoSpaceDN w:val="0"/>
        <w:adjustRightInd w:val="0"/>
        <w:rPr>
          <w:rFonts w:cs="Times New Roman"/>
          <w:sz w:val="22"/>
          <w:szCs w:val="22"/>
          <w:lang w:val="lt-LT" w:eastAsia="en-US"/>
        </w:rPr>
      </w:pPr>
      <w:r w:rsidRPr="00997273">
        <w:rPr>
          <w:rFonts w:cs="Times New Roman"/>
          <w:sz w:val="22"/>
          <w:szCs w:val="22"/>
          <w:lang w:val="lt-LT" w:eastAsia="en-US"/>
        </w:rPr>
        <w:t>26</w:t>
      </w:r>
      <w:r w:rsidR="00B92AF6">
        <w:rPr>
          <w:rFonts w:cs="Times New Roman"/>
          <w:sz w:val="22"/>
          <w:szCs w:val="22"/>
          <w:lang w:val="lt-LT" w:eastAsia="en-US"/>
        </w:rPr>
        <w:t> </w:t>
      </w:r>
      <w:r w:rsidRPr="00997273">
        <w:rPr>
          <w:rFonts w:cs="Times New Roman"/>
          <w:sz w:val="22"/>
          <w:szCs w:val="22"/>
          <w:lang w:val="lt-LT" w:eastAsia="en-US"/>
        </w:rPr>
        <w:t xml:space="preserve">savaičių trukmės placebu kontroliuotas klinikinis tyrimas buvo </w:t>
      </w:r>
      <w:r w:rsidR="004F3D5F">
        <w:rPr>
          <w:rFonts w:cs="Times New Roman"/>
          <w:sz w:val="22"/>
          <w:szCs w:val="22"/>
          <w:lang w:val="lt-LT" w:eastAsia="en-US"/>
        </w:rPr>
        <w:t>skirtas</w:t>
      </w:r>
      <w:r w:rsidRPr="00997273">
        <w:rPr>
          <w:rFonts w:cs="Times New Roman"/>
          <w:sz w:val="22"/>
          <w:szCs w:val="22"/>
          <w:lang w:val="lt-LT" w:eastAsia="en-US"/>
        </w:rPr>
        <w:t xml:space="preserve"> įvertinti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w:t>
      </w:r>
      <w:r w:rsidR="004D13AD" w:rsidRPr="00997273">
        <w:rPr>
          <w:rFonts w:cs="Times New Roman"/>
          <w:sz w:val="22"/>
          <w:szCs w:val="22"/>
          <w:lang w:val="lt-LT" w:eastAsia="en-US"/>
        </w:rPr>
        <w:t xml:space="preserve">(vieną kartą per parą vartojamos 100 mg </w:t>
      </w:r>
      <w:r w:rsidRPr="00997273">
        <w:rPr>
          <w:rFonts w:cs="Times New Roman"/>
          <w:sz w:val="22"/>
          <w:szCs w:val="22"/>
          <w:lang w:val="lt-LT" w:eastAsia="en-US"/>
        </w:rPr>
        <w:t>dozės</w:t>
      </w:r>
      <w:r w:rsidR="004D13AD" w:rsidRPr="00997273">
        <w:rPr>
          <w:rFonts w:cs="Times New Roman"/>
          <w:sz w:val="22"/>
          <w:szCs w:val="22"/>
          <w:lang w:val="lt-LT" w:eastAsia="en-US"/>
        </w:rPr>
        <w:t>)</w:t>
      </w:r>
      <w:r w:rsidRPr="00997273">
        <w:rPr>
          <w:rFonts w:cs="Times New Roman"/>
          <w:sz w:val="22"/>
          <w:szCs w:val="22"/>
          <w:lang w:val="lt-LT" w:eastAsia="en-US"/>
        </w:rPr>
        <w:t xml:space="preserve"> saugumą ir veiksmingumą, papildant juo gydymą</w:t>
      </w:r>
      <w:r w:rsidR="004D3290" w:rsidRPr="00997273">
        <w:rPr>
          <w:rFonts w:cs="Times New Roman"/>
          <w:sz w:val="22"/>
          <w:szCs w:val="22"/>
          <w:lang w:val="lt-LT" w:eastAsia="en-US"/>
        </w:rPr>
        <w:t xml:space="preserve"> </w:t>
      </w:r>
      <w:proofErr w:type="spellStart"/>
      <w:r w:rsidRPr="00997273">
        <w:rPr>
          <w:rFonts w:cs="Times New Roman"/>
          <w:sz w:val="22"/>
          <w:szCs w:val="22"/>
          <w:lang w:val="lt-LT" w:eastAsia="en-US"/>
        </w:rPr>
        <w:t>pioglitazono</w:t>
      </w:r>
      <w:proofErr w:type="spellEnd"/>
      <w:r w:rsidRPr="00997273">
        <w:rPr>
          <w:rFonts w:cs="Times New Roman"/>
          <w:sz w:val="22"/>
          <w:szCs w:val="22"/>
          <w:lang w:val="lt-LT" w:eastAsia="en-US"/>
        </w:rPr>
        <w:t xml:space="preserve"> ir </w:t>
      </w:r>
      <w:proofErr w:type="spellStart"/>
      <w:r w:rsidRPr="00997273">
        <w:rPr>
          <w:rFonts w:cs="Times New Roman"/>
          <w:sz w:val="22"/>
          <w:szCs w:val="22"/>
          <w:lang w:val="lt-LT" w:eastAsia="en-US"/>
        </w:rPr>
        <w:t>metformino</w:t>
      </w:r>
      <w:proofErr w:type="spellEnd"/>
      <w:r w:rsidRPr="00997273">
        <w:rPr>
          <w:rFonts w:cs="Times New Roman"/>
          <w:sz w:val="22"/>
          <w:szCs w:val="22"/>
          <w:lang w:val="lt-LT" w:eastAsia="en-US"/>
        </w:rPr>
        <w:t xml:space="preserve"> deriniu. Gydymo </w:t>
      </w:r>
      <w:proofErr w:type="spellStart"/>
      <w:r w:rsidRPr="00997273">
        <w:rPr>
          <w:rFonts w:cs="Times New Roman"/>
          <w:sz w:val="22"/>
          <w:szCs w:val="22"/>
          <w:lang w:val="lt-LT" w:eastAsia="en-US"/>
        </w:rPr>
        <w:t>pioglitazono</w:t>
      </w:r>
      <w:proofErr w:type="spellEnd"/>
      <w:r w:rsidRPr="00997273">
        <w:rPr>
          <w:rFonts w:cs="Times New Roman"/>
          <w:sz w:val="22"/>
          <w:szCs w:val="22"/>
          <w:lang w:val="lt-LT" w:eastAsia="en-US"/>
        </w:rPr>
        <w:t xml:space="preserve"> ir </w:t>
      </w:r>
      <w:proofErr w:type="spellStart"/>
      <w:r w:rsidRPr="00997273">
        <w:rPr>
          <w:rFonts w:cs="Times New Roman"/>
          <w:sz w:val="22"/>
          <w:szCs w:val="22"/>
          <w:lang w:val="lt-LT" w:eastAsia="en-US"/>
        </w:rPr>
        <w:t>metformino</w:t>
      </w:r>
      <w:proofErr w:type="spellEnd"/>
      <w:r w:rsidRPr="00997273">
        <w:rPr>
          <w:rFonts w:cs="Times New Roman"/>
          <w:sz w:val="22"/>
          <w:szCs w:val="22"/>
          <w:lang w:val="lt-LT" w:eastAsia="en-US"/>
        </w:rPr>
        <w:t xml:space="preserve"> deriniu papildymas</w:t>
      </w:r>
      <w:r w:rsidR="004D3290" w:rsidRPr="00997273">
        <w:rPr>
          <w:rFonts w:cs="Times New Roman"/>
          <w:sz w:val="22"/>
          <w:szCs w:val="22"/>
          <w:lang w:val="lt-LT" w:eastAsia="en-US"/>
        </w:rPr>
        <w:t xml:space="preserve"> </w:t>
      </w:r>
      <w:proofErr w:type="spellStart"/>
      <w:r w:rsidRPr="00997273">
        <w:rPr>
          <w:rFonts w:cs="Times New Roman"/>
          <w:sz w:val="22"/>
          <w:szCs w:val="22"/>
          <w:lang w:val="lt-LT" w:eastAsia="en-US"/>
        </w:rPr>
        <w:t>sitagliptinu</w:t>
      </w:r>
      <w:proofErr w:type="spellEnd"/>
      <w:r w:rsidRPr="00997273">
        <w:rPr>
          <w:rFonts w:cs="Times New Roman"/>
          <w:sz w:val="22"/>
          <w:szCs w:val="22"/>
          <w:lang w:val="lt-LT" w:eastAsia="en-US"/>
        </w:rPr>
        <w:t xml:space="preserve"> reikšmingai pagerino </w:t>
      </w:r>
      <w:proofErr w:type="spellStart"/>
      <w:r w:rsidRPr="00997273">
        <w:rPr>
          <w:rFonts w:cs="Times New Roman"/>
          <w:sz w:val="22"/>
          <w:szCs w:val="22"/>
          <w:lang w:val="lt-LT" w:eastAsia="en-US"/>
        </w:rPr>
        <w:t>glikemijos</w:t>
      </w:r>
      <w:proofErr w:type="spellEnd"/>
      <w:r w:rsidRPr="00997273">
        <w:rPr>
          <w:rFonts w:cs="Times New Roman"/>
          <w:sz w:val="22"/>
          <w:szCs w:val="22"/>
          <w:lang w:val="lt-LT" w:eastAsia="en-US"/>
        </w:rPr>
        <w:t xml:space="preserve"> parametrus. </w:t>
      </w:r>
      <w:proofErr w:type="spellStart"/>
      <w:r w:rsidR="003D178F" w:rsidRPr="003D178F">
        <w:rPr>
          <w:rFonts w:eastAsia="Times New Roman" w:cs="Times New Roman"/>
          <w:sz w:val="22"/>
          <w:szCs w:val="22"/>
          <w:lang w:val="lt-LT" w:eastAsia="en-US"/>
        </w:rPr>
        <w:t>Sitagliptino</w:t>
      </w:r>
      <w:proofErr w:type="spellEnd"/>
      <w:r w:rsidR="003D178F" w:rsidRPr="003D178F">
        <w:rPr>
          <w:rFonts w:eastAsia="Times New Roman" w:cs="Times New Roman"/>
          <w:sz w:val="22"/>
          <w:szCs w:val="22"/>
          <w:lang w:val="lt-LT" w:eastAsia="en-US"/>
        </w:rPr>
        <w:t xml:space="preserve"> ar placebo vartojusių pacientų kūno svorio pokyčiai buvo panašūs</w:t>
      </w:r>
      <w:r w:rsidR="004A66B2">
        <w:rPr>
          <w:rFonts w:eastAsia="Times New Roman" w:cs="Times New Roman"/>
          <w:sz w:val="22"/>
          <w:szCs w:val="22"/>
          <w:lang w:val="lt-LT" w:eastAsia="en-US"/>
        </w:rPr>
        <w:t xml:space="preserve"> </w:t>
      </w:r>
      <w:r w:rsidR="004A66B2" w:rsidRPr="003D178F">
        <w:rPr>
          <w:rFonts w:eastAsia="Times New Roman" w:cs="Times New Roman"/>
          <w:sz w:val="22"/>
          <w:szCs w:val="22"/>
          <w:lang w:val="lt-LT" w:eastAsia="en-US"/>
        </w:rPr>
        <w:t>palyginti su pradiniu,</w:t>
      </w:r>
      <w:r w:rsidRPr="00997273">
        <w:rPr>
          <w:rFonts w:cs="Times New Roman"/>
          <w:sz w:val="22"/>
          <w:szCs w:val="22"/>
          <w:lang w:val="lt-LT" w:eastAsia="en-US"/>
        </w:rPr>
        <w:t>. Hipoglikemijos dažnis</w:t>
      </w:r>
      <w:r w:rsidR="004D3290" w:rsidRPr="00997273">
        <w:rPr>
          <w:rFonts w:cs="Times New Roman"/>
          <w:sz w:val="22"/>
          <w:szCs w:val="22"/>
          <w:lang w:val="lt-LT" w:eastAsia="en-US"/>
        </w:rPr>
        <w:t xml:space="preserve"> </w:t>
      </w:r>
      <w:proofErr w:type="spellStart"/>
      <w:r w:rsidRPr="00997273">
        <w:rPr>
          <w:rFonts w:cs="Times New Roman"/>
          <w:sz w:val="22"/>
          <w:szCs w:val="22"/>
          <w:lang w:val="lt-LT" w:eastAsia="en-US"/>
        </w:rPr>
        <w:t>sitagliptin</w:t>
      </w:r>
      <w:r w:rsidR="003D178F">
        <w:rPr>
          <w:rFonts w:cs="Times New Roman"/>
          <w:sz w:val="22"/>
          <w:szCs w:val="22"/>
          <w:lang w:val="lt-LT" w:eastAsia="en-US"/>
        </w:rPr>
        <w:t>o</w:t>
      </w:r>
      <w:proofErr w:type="spellEnd"/>
      <w:r w:rsidRPr="00997273">
        <w:rPr>
          <w:rFonts w:cs="Times New Roman"/>
          <w:sz w:val="22"/>
          <w:szCs w:val="22"/>
          <w:lang w:val="lt-LT" w:eastAsia="en-US"/>
        </w:rPr>
        <w:t xml:space="preserve"> ir placeb</w:t>
      </w:r>
      <w:r w:rsidR="003D178F">
        <w:rPr>
          <w:rFonts w:cs="Times New Roman"/>
          <w:sz w:val="22"/>
          <w:szCs w:val="22"/>
          <w:lang w:val="lt-LT" w:eastAsia="en-US"/>
        </w:rPr>
        <w:t>o</w:t>
      </w:r>
      <w:r w:rsidRPr="00997273">
        <w:rPr>
          <w:rFonts w:cs="Times New Roman"/>
          <w:sz w:val="22"/>
          <w:szCs w:val="22"/>
          <w:lang w:val="lt-LT" w:eastAsia="en-US"/>
        </w:rPr>
        <w:t xml:space="preserve"> vartojusiems pacientams taip pat buvo panašus.</w:t>
      </w:r>
    </w:p>
    <w:p w14:paraId="405C4912" w14:textId="77777777" w:rsidR="004D13AD" w:rsidRPr="00997273" w:rsidRDefault="004D13AD" w:rsidP="000F14B1">
      <w:pPr>
        <w:autoSpaceDE w:val="0"/>
        <w:autoSpaceDN w:val="0"/>
        <w:adjustRightInd w:val="0"/>
        <w:rPr>
          <w:rFonts w:cs="Times New Roman"/>
          <w:sz w:val="22"/>
          <w:szCs w:val="22"/>
          <w:lang w:val="lt-LT" w:eastAsia="en-US"/>
        </w:rPr>
      </w:pPr>
    </w:p>
    <w:p w14:paraId="358AE31A" w14:textId="0B11BA16" w:rsidR="00214519" w:rsidRPr="00214519" w:rsidRDefault="00214519" w:rsidP="00214519">
      <w:pPr>
        <w:widowControl w:val="0"/>
        <w:autoSpaceDE w:val="0"/>
        <w:autoSpaceDN w:val="0"/>
        <w:adjustRightInd w:val="0"/>
        <w:rPr>
          <w:rFonts w:eastAsia="Times New Roman" w:cs="Times New Roman"/>
          <w:sz w:val="22"/>
          <w:szCs w:val="22"/>
          <w:lang w:val="lt-LT" w:eastAsia="en-US"/>
        </w:rPr>
      </w:pPr>
      <w:r w:rsidRPr="00214519">
        <w:rPr>
          <w:rFonts w:eastAsia="Times New Roman" w:cs="Times New Roman"/>
          <w:sz w:val="22"/>
          <w:szCs w:val="22"/>
          <w:lang w:val="lt-LT" w:eastAsia="en-US"/>
        </w:rPr>
        <w:t xml:space="preserve">24 savaičių trukmės placebu kontroliuotas klinikinis tyrimas buvo skirtas įvertinti kartą per parą vartotos 100 mg </w:t>
      </w:r>
      <w:proofErr w:type="spellStart"/>
      <w:r w:rsidRPr="00214519">
        <w:rPr>
          <w:rFonts w:eastAsia="Times New Roman" w:cs="Times New Roman"/>
          <w:sz w:val="22"/>
          <w:szCs w:val="22"/>
          <w:lang w:val="lt-LT" w:eastAsia="en-US"/>
        </w:rPr>
        <w:t>sitagliptino</w:t>
      </w:r>
      <w:proofErr w:type="spellEnd"/>
      <w:r w:rsidRPr="00214519">
        <w:rPr>
          <w:rFonts w:eastAsia="Times New Roman" w:cs="Times New Roman"/>
          <w:sz w:val="22"/>
          <w:szCs w:val="22"/>
          <w:lang w:val="lt-LT" w:eastAsia="en-US"/>
        </w:rPr>
        <w:t xml:space="preserve"> dozės saugumą ir veiksmingumą, juo papildant gydymą insulinu (kai ne mažiau kaip 10 savaičių vartojama stabili insulino dozė) kartu su </w:t>
      </w:r>
      <w:proofErr w:type="spellStart"/>
      <w:r w:rsidRPr="00214519">
        <w:rPr>
          <w:rFonts w:eastAsia="Times New Roman" w:cs="Times New Roman"/>
          <w:sz w:val="22"/>
          <w:szCs w:val="22"/>
          <w:lang w:val="lt-LT" w:eastAsia="en-US"/>
        </w:rPr>
        <w:t>metforminu</w:t>
      </w:r>
      <w:proofErr w:type="spellEnd"/>
      <w:r w:rsidRPr="00214519">
        <w:rPr>
          <w:rFonts w:eastAsia="Times New Roman" w:cs="Times New Roman"/>
          <w:sz w:val="22"/>
          <w:szCs w:val="22"/>
          <w:lang w:val="lt-LT" w:eastAsia="en-US"/>
        </w:rPr>
        <w:t xml:space="preserve"> arba be jo (dozė ne mažesnė kaip 1500 mg). Pacientams, vartojusiems mišraus </w:t>
      </w:r>
      <w:r w:rsidR="004A66B2">
        <w:rPr>
          <w:rFonts w:eastAsia="Times New Roman" w:cs="Times New Roman"/>
          <w:sz w:val="22"/>
          <w:szCs w:val="22"/>
          <w:lang w:val="lt-LT" w:eastAsia="en-US"/>
        </w:rPr>
        <w:t xml:space="preserve">veikimo </w:t>
      </w:r>
      <w:r w:rsidRPr="00214519">
        <w:rPr>
          <w:rFonts w:eastAsia="Times New Roman" w:cs="Times New Roman"/>
          <w:sz w:val="22"/>
          <w:szCs w:val="22"/>
          <w:lang w:val="lt-LT" w:eastAsia="en-US"/>
        </w:rPr>
        <w:t xml:space="preserve">insulino, vidutinė paros dozė buvo 70,9 vieneto. Pacientams, vartojusiems ne mišraus </w:t>
      </w:r>
      <w:r w:rsidR="004A66B2">
        <w:rPr>
          <w:rFonts w:eastAsia="Times New Roman" w:cs="Times New Roman"/>
          <w:sz w:val="22"/>
          <w:szCs w:val="22"/>
          <w:lang w:val="lt-LT" w:eastAsia="en-US"/>
        </w:rPr>
        <w:t xml:space="preserve">veikimo </w:t>
      </w:r>
      <w:r w:rsidRPr="00214519">
        <w:rPr>
          <w:rFonts w:eastAsia="Times New Roman" w:cs="Times New Roman"/>
          <w:sz w:val="22"/>
          <w:szCs w:val="22"/>
          <w:lang w:val="lt-LT" w:eastAsia="en-US"/>
        </w:rPr>
        <w:t xml:space="preserve">insulino (vidutinės veikimo trukmės arba ilgo veikimo), vidutinė paros dozė buvo 44,3 vieneto. Gydymo papildymas </w:t>
      </w:r>
      <w:proofErr w:type="spellStart"/>
      <w:r w:rsidRPr="00214519">
        <w:rPr>
          <w:rFonts w:eastAsia="Times New Roman" w:cs="Times New Roman"/>
          <w:sz w:val="22"/>
          <w:szCs w:val="22"/>
          <w:lang w:val="lt-LT" w:eastAsia="en-US"/>
        </w:rPr>
        <w:t>sitagliptinu</w:t>
      </w:r>
      <w:proofErr w:type="spellEnd"/>
      <w:r w:rsidRPr="00214519">
        <w:rPr>
          <w:rFonts w:eastAsia="Times New Roman" w:cs="Times New Roman"/>
          <w:sz w:val="22"/>
          <w:szCs w:val="22"/>
          <w:lang w:val="lt-LT" w:eastAsia="en-US"/>
        </w:rPr>
        <w:t xml:space="preserve"> reikšming</w:t>
      </w:r>
      <w:r w:rsidR="004A66B2">
        <w:rPr>
          <w:rFonts w:eastAsia="Times New Roman" w:cs="Times New Roman"/>
          <w:sz w:val="22"/>
          <w:szCs w:val="22"/>
          <w:lang w:val="lt-LT" w:eastAsia="en-US"/>
        </w:rPr>
        <w:t>ai</w:t>
      </w:r>
      <w:r w:rsidRPr="00214519">
        <w:rPr>
          <w:rFonts w:eastAsia="Times New Roman" w:cs="Times New Roman"/>
          <w:sz w:val="22"/>
          <w:szCs w:val="22"/>
          <w:lang w:val="lt-LT" w:eastAsia="en-US"/>
        </w:rPr>
        <w:t xml:space="preserve"> </w:t>
      </w:r>
      <w:r w:rsidR="004A66B2">
        <w:rPr>
          <w:rFonts w:eastAsia="Times New Roman" w:cs="Times New Roman"/>
          <w:sz w:val="22"/>
          <w:szCs w:val="22"/>
          <w:lang w:val="lt-LT" w:eastAsia="en-US"/>
        </w:rPr>
        <w:t xml:space="preserve">pagerino </w:t>
      </w:r>
      <w:proofErr w:type="spellStart"/>
      <w:r w:rsidRPr="00214519">
        <w:rPr>
          <w:rFonts w:eastAsia="Times New Roman" w:cs="Times New Roman"/>
          <w:sz w:val="22"/>
          <w:szCs w:val="22"/>
          <w:lang w:val="lt-LT" w:eastAsia="en-US"/>
        </w:rPr>
        <w:t>glikemijos</w:t>
      </w:r>
      <w:proofErr w:type="spellEnd"/>
      <w:r w:rsidRPr="00214519">
        <w:rPr>
          <w:rFonts w:eastAsia="Times New Roman" w:cs="Times New Roman"/>
          <w:sz w:val="22"/>
          <w:szCs w:val="22"/>
          <w:lang w:val="lt-LT" w:eastAsia="en-US"/>
        </w:rPr>
        <w:t xml:space="preserve"> rodmen</w:t>
      </w:r>
      <w:r w:rsidR="004A66B2">
        <w:rPr>
          <w:rFonts w:eastAsia="Times New Roman" w:cs="Times New Roman"/>
          <w:sz w:val="22"/>
          <w:szCs w:val="22"/>
          <w:lang w:val="lt-LT" w:eastAsia="en-US"/>
        </w:rPr>
        <w:t>is</w:t>
      </w:r>
      <w:r w:rsidRPr="00214519">
        <w:rPr>
          <w:rFonts w:eastAsia="Times New Roman" w:cs="Times New Roman"/>
          <w:sz w:val="22"/>
          <w:szCs w:val="22"/>
          <w:lang w:val="lt-LT" w:eastAsia="en-US"/>
        </w:rPr>
        <w:t>. Nė vienoje grupėje reikšmingų kūno svorio pokyčių</w:t>
      </w:r>
      <w:r w:rsidR="004A66B2">
        <w:rPr>
          <w:rFonts w:eastAsia="Times New Roman" w:cs="Times New Roman"/>
          <w:sz w:val="22"/>
          <w:szCs w:val="22"/>
          <w:lang w:val="lt-LT" w:eastAsia="en-US"/>
        </w:rPr>
        <w:t xml:space="preserve">, </w:t>
      </w:r>
      <w:r w:rsidR="004A66B2" w:rsidRPr="00214519">
        <w:rPr>
          <w:rFonts w:eastAsia="Times New Roman" w:cs="Times New Roman"/>
          <w:sz w:val="22"/>
          <w:szCs w:val="22"/>
          <w:lang w:val="lt-LT" w:eastAsia="en-US"/>
        </w:rPr>
        <w:t>palyginti su pradiniu</w:t>
      </w:r>
      <w:r w:rsidR="004A66B2">
        <w:rPr>
          <w:rFonts w:eastAsia="Times New Roman" w:cs="Times New Roman"/>
          <w:sz w:val="22"/>
          <w:szCs w:val="22"/>
          <w:lang w:val="lt-LT" w:eastAsia="en-US"/>
        </w:rPr>
        <w:t>,</w:t>
      </w:r>
      <w:r w:rsidRPr="00214519">
        <w:rPr>
          <w:rFonts w:eastAsia="Times New Roman" w:cs="Times New Roman"/>
          <w:sz w:val="22"/>
          <w:szCs w:val="22"/>
          <w:lang w:val="lt-LT" w:eastAsia="en-US"/>
        </w:rPr>
        <w:t xml:space="preserve"> nebuvo.</w:t>
      </w:r>
    </w:p>
    <w:p w14:paraId="29535860" w14:textId="77777777" w:rsidR="002557D3" w:rsidRPr="00997273" w:rsidRDefault="002557D3" w:rsidP="004D3290">
      <w:pPr>
        <w:autoSpaceDE w:val="0"/>
        <w:autoSpaceDN w:val="0"/>
        <w:adjustRightInd w:val="0"/>
        <w:rPr>
          <w:rFonts w:cs="Times New Roman"/>
          <w:sz w:val="22"/>
          <w:szCs w:val="22"/>
          <w:lang w:val="lt-LT" w:eastAsia="en-US"/>
        </w:rPr>
      </w:pPr>
    </w:p>
    <w:p w14:paraId="25CE90BD" w14:textId="1F1224CF" w:rsidR="004C68F5" w:rsidRPr="004C68F5" w:rsidRDefault="004C68F5" w:rsidP="004C68F5">
      <w:pPr>
        <w:widowControl w:val="0"/>
        <w:autoSpaceDE w:val="0"/>
        <w:autoSpaceDN w:val="0"/>
        <w:adjustRightInd w:val="0"/>
        <w:rPr>
          <w:rFonts w:eastAsia="Times New Roman" w:cs="Times New Roman"/>
          <w:sz w:val="22"/>
          <w:szCs w:val="22"/>
          <w:lang w:val="lt-LT" w:eastAsia="en-US"/>
        </w:rPr>
      </w:pPr>
      <w:r w:rsidRPr="004C68F5">
        <w:rPr>
          <w:rFonts w:eastAsia="Times New Roman" w:cs="Times New Roman"/>
          <w:sz w:val="22"/>
          <w:szCs w:val="22"/>
          <w:lang w:val="lt-LT" w:eastAsia="en-US"/>
        </w:rPr>
        <w:t xml:space="preserve">24 savaičių trukmės placebu kontroliuoto </w:t>
      </w:r>
      <w:proofErr w:type="spellStart"/>
      <w:r w:rsidRPr="004C68F5">
        <w:rPr>
          <w:rFonts w:eastAsia="Times New Roman" w:cs="Times New Roman"/>
          <w:sz w:val="22"/>
          <w:szCs w:val="22"/>
          <w:lang w:val="lt-LT" w:eastAsia="en-US"/>
        </w:rPr>
        <w:t>faktorinio</w:t>
      </w:r>
      <w:proofErr w:type="spellEnd"/>
      <w:r w:rsidRPr="004C68F5">
        <w:rPr>
          <w:rFonts w:eastAsia="Times New Roman" w:cs="Times New Roman"/>
          <w:sz w:val="22"/>
          <w:szCs w:val="22"/>
          <w:lang w:val="lt-LT" w:eastAsia="en-US"/>
        </w:rPr>
        <w:t xml:space="preserve"> pradinio gydymo tyrimo metu pacientams, du kartus per parą vartojusiems 50 mg </w:t>
      </w:r>
      <w:proofErr w:type="spellStart"/>
      <w:r w:rsidRPr="004C68F5">
        <w:rPr>
          <w:rFonts w:eastAsia="Times New Roman" w:cs="Times New Roman"/>
          <w:sz w:val="22"/>
          <w:szCs w:val="22"/>
          <w:lang w:val="lt-LT" w:eastAsia="en-US"/>
        </w:rPr>
        <w:t>sitagliptino</w:t>
      </w:r>
      <w:proofErr w:type="spellEnd"/>
      <w:r w:rsidRPr="004C68F5">
        <w:rPr>
          <w:rFonts w:eastAsia="Times New Roman" w:cs="Times New Roman"/>
          <w:sz w:val="22"/>
          <w:szCs w:val="22"/>
          <w:lang w:val="lt-LT" w:eastAsia="en-US"/>
        </w:rPr>
        <w:t xml:space="preserve"> </w:t>
      </w:r>
      <w:r w:rsidR="000D44A1">
        <w:rPr>
          <w:rFonts w:eastAsia="Times New Roman" w:cs="Times New Roman"/>
          <w:sz w:val="22"/>
          <w:szCs w:val="22"/>
          <w:lang w:val="lt-LT" w:eastAsia="en-US"/>
        </w:rPr>
        <w:t>ir</w:t>
      </w:r>
      <w:r w:rsidRPr="004C68F5">
        <w:rPr>
          <w:rFonts w:eastAsia="Times New Roman" w:cs="Times New Roman"/>
          <w:sz w:val="22"/>
          <w:szCs w:val="22"/>
          <w:lang w:val="lt-LT" w:eastAsia="en-US"/>
        </w:rPr>
        <w:t xml:space="preserve"> </w:t>
      </w:r>
      <w:proofErr w:type="spellStart"/>
      <w:r w:rsidRPr="004C68F5">
        <w:rPr>
          <w:rFonts w:eastAsia="Times New Roman" w:cs="Times New Roman"/>
          <w:sz w:val="22"/>
          <w:szCs w:val="22"/>
          <w:lang w:val="lt-LT" w:eastAsia="en-US"/>
        </w:rPr>
        <w:t>metformin</w:t>
      </w:r>
      <w:r w:rsidR="000D44A1">
        <w:rPr>
          <w:rFonts w:eastAsia="Times New Roman" w:cs="Times New Roman"/>
          <w:sz w:val="22"/>
          <w:szCs w:val="22"/>
          <w:lang w:val="lt-LT" w:eastAsia="en-US"/>
        </w:rPr>
        <w:t>o</w:t>
      </w:r>
      <w:proofErr w:type="spellEnd"/>
      <w:r w:rsidRPr="004C68F5">
        <w:rPr>
          <w:rFonts w:eastAsia="Times New Roman" w:cs="Times New Roman"/>
          <w:sz w:val="22"/>
          <w:szCs w:val="22"/>
          <w:lang w:val="lt-LT" w:eastAsia="en-US"/>
        </w:rPr>
        <w:t xml:space="preserve"> (500 mg arba 1 000 mg du kartus per parą)</w:t>
      </w:r>
      <w:r w:rsidR="000D44A1">
        <w:rPr>
          <w:rFonts w:eastAsia="Times New Roman" w:cs="Times New Roman"/>
          <w:sz w:val="22"/>
          <w:szCs w:val="22"/>
          <w:lang w:val="lt-LT" w:eastAsia="en-US"/>
        </w:rPr>
        <w:t xml:space="preserve"> derinį</w:t>
      </w:r>
      <w:r w:rsidRPr="004C68F5">
        <w:rPr>
          <w:rFonts w:eastAsia="Times New Roman" w:cs="Times New Roman"/>
          <w:sz w:val="22"/>
          <w:szCs w:val="22"/>
          <w:lang w:val="lt-LT" w:eastAsia="en-US"/>
        </w:rPr>
        <w:t xml:space="preserve">, palyginti su tiriamaisiais, kuriems buvo taikyta </w:t>
      </w:r>
      <w:proofErr w:type="spellStart"/>
      <w:r w:rsidRPr="004C68F5">
        <w:rPr>
          <w:rFonts w:eastAsia="Times New Roman" w:cs="Times New Roman"/>
          <w:sz w:val="22"/>
          <w:szCs w:val="22"/>
          <w:lang w:val="lt-LT" w:eastAsia="en-US"/>
        </w:rPr>
        <w:t>monoterapija</w:t>
      </w:r>
      <w:proofErr w:type="spellEnd"/>
      <w:r w:rsidRPr="004C68F5">
        <w:rPr>
          <w:rFonts w:eastAsia="Times New Roman" w:cs="Times New Roman"/>
          <w:sz w:val="22"/>
          <w:szCs w:val="22"/>
          <w:lang w:val="lt-LT" w:eastAsia="en-US"/>
        </w:rPr>
        <w:t xml:space="preserve"> bet kuriuo iš minėtų </w:t>
      </w:r>
      <w:r w:rsidRPr="004C68F5">
        <w:rPr>
          <w:rFonts w:eastAsia="Times New Roman" w:cs="Times New Roman"/>
          <w:sz w:val="22"/>
          <w:szCs w:val="22"/>
          <w:lang w:val="lt-LT" w:eastAsia="en-US"/>
        </w:rPr>
        <w:lastRenderedPageBreak/>
        <w:t xml:space="preserve">vaistinių preparatų, reikšmingai pagerėjo </w:t>
      </w:r>
      <w:proofErr w:type="spellStart"/>
      <w:r w:rsidRPr="004C68F5">
        <w:rPr>
          <w:rFonts w:eastAsia="Times New Roman" w:cs="Times New Roman"/>
          <w:sz w:val="22"/>
          <w:szCs w:val="22"/>
          <w:lang w:val="lt-LT" w:eastAsia="en-US"/>
        </w:rPr>
        <w:t>glikemijos</w:t>
      </w:r>
      <w:proofErr w:type="spellEnd"/>
      <w:r w:rsidRPr="004C68F5">
        <w:rPr>
          <w:rFonts w:eastAsia="Times New Roman" w:cs="Times New Roman"/>
          <w:sz w:val="22"/>
          <w:szCs w:val="22"/>
          <w:lang w:val="lt-LT" w:eastAsia="en-US"/>
        </w:rPr>
        <w:t xml:space="preserve"> rodmenys. </w:t>
      </w:r>
      <w:proofErr w:type="spellStart"/>
      <w:r w:rsidRPr="004C68F5">
        <w:rPr>
          <w:rFonts w:eastAsia="Times New Roman" w:cs="Times New Roman"/>
          <w:sz w:val="22"/>
          <w:szCs w:val="22"/>
          <w:lang w:val="lt-LT" w:eastAsia="en-US"/>
        </w:rPr>
        <w:t>Sitagliptino</w:t>
      </w:r>
      <w:proofErr w:type="spellEnd"/>
      <w:r w:rsidRPr="004C68F5">
        <w:rPr>
          <w:rFonts w:eastAsia="Times New Roman" w:cs="Times New Roman"/>
          <w:sz w:val="22"/>
          <w:szCs w:val="22"/>
          <w:lang w:val="lt-LT" w:eastAsia="en-US"/>
        </w:rPr>
        <w:t xml:space="preserve"> ir </w:t>
      </w:r>
      <w:proofErr w:type="spellStart"/>
      <w:r w:rsidRPr="004C68F5">
        <w:rPr>
          <w:rFonts w:eastAsia="Times New Roman" w:cs="Times New Roman"/>
          <w:sz w:val="22"/>
          <w:szCs w:val="22"/>
          <w:lang w:val="lt-LT" w:eastAsia="en-US"/>
        </w:rPr>
        <w:t>metformino</w:t>
      </w:r>
      <w:proofErr w:type="spellEnd"/>
      <w:r w:rsidRPr="004C68F5">
        <w:rPr>
          <w:rFonts w:eastAsia="Times New Roman" w:cs="Times New Roman"/>
          <w:sz w:val="22"/>
          <w:szCs w:val="22"/>
          <w:lang w:val="lt-LT" w:eastAsia="en-US"/>
        </w:rPr>
        <w:t xml:space="preserve"> deriniu gydytų pacientų kūno svorio sumažėjimas buvo panašus į nustatytą vartojant vien </w:t>
      </w:r>
      <w:proofErr w:type="spellStart"/>
      <w:r w:rsidRPr="004C68F5">
        <w:rPr>
          <w:rFonts w:eastAsia="Times New Roman" w:cs="Times New Roman"/>
          <w:sz w:val="22"/>
          <w:szCs w:val="22"/>
          <w:lang w:val="lt-LT" w:eastAsia="en-US"/>
        </w:rPr>
        <w:t>metformino</w:t>
      </w:r>
      <w:proofErr w:type="spellEnd"/>
      <w:r w:rsidRPr="004C68F5">
        <w:rPr>
          <w:rFonts w:eastAsia="Times New Roman" w:cs="Times New Roman"/>
          <w:sz w:val="22"/>
          <w:szCs w:val="22"/>
          <w:lang w:val="lt-LT" w:eastAsia="en-US"/>
        </w:rPr>
        <w:t xml:space="preserve"> arba placebo; tiriamųjų, vartojusių tik </w:t>
      </w:r>
      <w:proofErr w:type="spellStart"/>
      <w:r w:rsidRPr="004C68F5">
        <w:rPr>
          <w:rFonts w:eastAsia="Times New Roman" w:cs="Times New Roman"/>
          <w:sz w:val="22"/>
          <w:szCs w:val="22"/>
          <w:lang w:val="lt-LT" w:eastAsia="en-US"/>
        </w:rPr>
        <w:t>sitagliptino</w:t>
      </w:r>
      <w:proofErr w:type="spellEnd"/>
      <w:r w:rsidRPr="004C68F5">
        <w:rPr>
          <w:rFonts w:eastAsia="Times New Roman" w:cs="Times New Roman"/>
          <w:sz w:val="22"/>
          <w:szCs w:val="22"/>
          <w:lang w:val="lt-LT" w:eastAsia="en-US"/>
        </w:rPr>
        <w:t>, kūno svoris nuo pradinio rodmens nepakito. Visų gydymo grupių tiriamiesiems hipoglikemijos dažnis buvo panašus.</w:t>
      </w:r>
    </w:p>
    <w:p w14:paraId="1E85E2E0" w14:textId="77777777" w:rsidR="000F14B1" w:rsidRPr="00997273" w:rsidRDefault="000F14B1" w:rsidP="000F14B1">
      <w:pPr>
        <w:tabs>
          <w:tab w:val="left" w:pos="567"/>
        </w:tabs>
        <w:rPr>
          <w:rFonts w:cs="Times New Roman"/>
          <w:sz w:val="22"/>
          <w:szCs w:val="22"/>
          <w:lang w:val="lt-LT" w:eastAsia="en-US"/>
        </w:rPr>
      </w:pPr>
    </w:p>
    <w:p w14:paraId="115D654C" w14:textId="4CCF521C" w:rsidR="000F14B1" w:rsidRPr="00997273" w:rsidRDefault="000F14B1" w:rsidP="004D3290">
      <w:pPr>
        <w:autoSpaceDE w:val="0"/>
        <w:autoSpaceDN w:val="0"/>
        <w:adjustRightInd w:val="0"/>
        <w:rPr>
          <w:rFonts w:eastAsia="TimesNewRoman,Bold" w:cs="Times New Roman"/>
          <w:b/>
          <w:bCs/>
          <w:sz w:val="22"/>
          <w:szCs w:val="22"/>
          <w:lang w:val="lt-LT" w:eastAsia="en-US"/>
        </w:rPr>
      </w:pPr>
      <w:r w:rsidRPr="00997273">
        <w:rPr>
          <w:rFonts w:eastAsia="TimesNewRoman,Bold" w:cs="Times New Roman"/>
          <w:b/>
          <w:bCs/>
          <w:sz w:val="22"/>
          <w:szCs w:val="22"/>
          <w:lang w:val="lt-LT" w:eastAsia="en-US"/>
        </w:rPr>
        <w:t>2</w:t>
      </w:r>
      <w:r w:rsidR="003B27F2">
        <w:rPr>
          <w:rFonts w:eastAsia="TimesNewRoman,Bold" w:cs="Times New Roman"/>
          <w:b/>
          <w:bCs/>
          <w:sz w:val="22"/>
          <w:szCs w:val="22"/>
          <w:lang w:val="lt-LT" w:eastAsia="en-US"/>
        </w:rPr>
        <w:t> </w:t>
      </w:r>
      <w:r w:rsidRPr="00997273">
        <w:rPr>
          <w:rFonts w:eastAsia="TimesNewRoman,Bold" w:cs="Times New Roman"/>
          <w:b/>
          <w:bCs/>
          <w:sz w:val="22"/>
          <w:szCs w:val="22"/>
          <w:lang w:val="lt-LT" w:eastAsia="en-US"/>
        </w:rPr>
        <w:t>lentelė. HbA1c kiekio pokyčiai placebu kontroliuo</w:t>
      </w:r>
      <w:r w:rsidR="007C3DA0">
        <w:rPr>
          <w:rFonts w:eastAsia="TimesNewRoman,Bold" w:cs="Times New Roman"/>
          <w:b/>
          <w:bCs/>
          <w:sz w:val="22"/>
          <w:szCs w:val="22"/>
          <w:lang w:val="lt-LT" w:eastAsia="en-US"/>
        </w:rPr>
        <w:t>tų</w:t>
      </w:r>
      <w:r w:rsidRPr="00997273">
        <w:rPr>
          <w:rFonts w:eastAsia="TimesNewRoman,Bold" w:cs="Times New Roman"/>
          <w:b/>
          <w:bCs/>
          <w:sz w:val="22"/>
          <w:szCs w:val="22"/>
          <w:lang w:val="lt-LT" w:eastAsia="en-US"/>
        </w:rPr>
        <w:t xml:space="preserve"> </w:t>
      </w:r>
      <w:proofErr w:type="spellStart"/>
      <w:r w:rsidRPr="00997273">
        <w:rPr>
          <w:rFonts w:eastAsia="TimesNewRoman,Bold" w:cs="Times New Roman"/>
          <w:b/>
          <w:bCs/>
          <w:sz w:val="22"/>
          <w:szCs w:val="22"/>
          <w:lang w:val="lt-LT" w:eastAsia="en-US"/>
        </w:rPr>
        <w:t>monoterapijos</w:t>
      </w:r>
      <w:proofErr w:type="spellEnd"/>
      <w:r w:rsidRPr="00997273">
        <w:rPr>
          <w:rFonts w:eastAsia="TimesNewRoman,Bold" w:cs="Times New Roman"/>
          <w:b/>
          <w:bCs/>
          <w:sz w:val="22"/>
          <w:szCs w:val="22"/>
          <w:lang w:val="lt-LT" w:eastAsia="en-US"/>
        </w:rPr>
        <w:t xml:space="preserve"> ir </w:t>
      </w:r>
      <w:r w:rsidR="007C3DA0">
        <w:rPr>
          <w:rFonts w:eastAsia="TimesNewRoman,Bold" w:cs="Times New Roman"/>
          <w:b/>
          <w:bCs/>
          <w:sz w:val="22"/>
          <w:szCs w:val="22"/>
          <w:lang w:val="lt-LT" w:eastAsia="en-US"/>
        </w:rPr>
        <w:t>kombinuotojo</w:t>
      </w:r>
      <w:r w:rsidRPr="00997273">
        <w:rPr>
          <w:rFonts w:eastAsia="TimesNewRoman,Bold" w:cs="Times New Roman"/>
          <w:b/>
          <w:bCs/>
          <w:sz w:val="22"/>
          <w:szCs w:val="22"/>
          <w:lang w:val="lt-LT" w:eastAsia="en-US"/>
        </w:rPr>
        <w:t xml:space="preserve"> gydymo</w:t>
      </w:r>
      <w:r w:rsidR="004D3290" w:rsidRPr="00997273">
        <w:rPr>
          <w:rFonts w:eastAsia="TimesNewRoman,Bold" w:cs="Times New Roman"/>
          <w:b/>
          <w:bCs/>
          <w:sz w:val="22"/>
          <w:szCs w:val="22"/>
          <w:lang w:val="lt-LT" w:eastAsia="en-US"/>
        </w:rPr>
        <w:t xml:space="preserve"> </w:t>
      </w:r>
      <w:r w:rsidRPr="00997273">
        <w:rPr>
          <w:rFonts w:eastAsia="TimesNewRoman,Bold" w:cs="Times New Roman"/>
          <w:b/>
          <w:bCs/>
          <w:sz w:val="22"/>
          <w:szCs w:val="22"/>
          <w:lang w:val="lt-LT" w:eastAsia="en-US"/>
        </w:rPr>
        <w:t xml:space="preserve">tyrimų </w:t>
      </w:r>
      <w:r w:rsidR="00482287" w:rsidRPr="00997273">
        <w:rPr>
          <w:rFonts w:eastAsia="TimesNewRoman,Bold" w:cs="Times New Roman"/>
          <w:b/>
          <w:bCs/>
          <w:sz w:val="22"/>
          <w:szCs w:val="22"/>
          <w:lang w:val="lt-LT" w:eastAsia="en-US"/>
        </w:rPr>
        <w:t>metu</w:t>
      </w:r>
      <w:r w:rsidR="002557D3" w:rsidRPr="00997273">
        <w:rPr>
          <w:rFonts w:eastAsia="TimesNewRoman,Bold" w:cs="Times New Roman"/>
          <w:b/>
          <w:bCs/>
          <w:sz w:val="22"/>
          <w:szCs w:val="22"/>
          <w:lang w:val="lt-LT" w:eastAsia="en-US"/>
        </w:rPr>
        <w:t>*</w:t>
      </w:r>
    </w:p>
    <w:tbl>
      <w:tblPr>
        <w:tblStyle w:val="Lentelstinklelis"/>
        <w:tblW w:w="0" w:type="auto"/>
        <w:tblLook w:val="04A0" w:firstRow="1" w:lastRow="0" w:firstColumn="1" w:lastColumn="0" w:noHBand="0" w:noVBand="1"/>
      </w:tblPr>
      <w:tblGrid>
        <w:gridCol w:w="2594"/>
        <w:gridCol w:w="2066"/>
        <w:gridCol w:w="2116"/>
        <w:gridCol w:w="2285"/>
      </w:tblGrid>
      <w:tr w:rsidR="004D3290" w:rsidRPr="00997273" w14:paraId="133CF8D2" w14:textId="77777777" w:rsidTr="00D7448E">
        <w:tc>
          <w:tcPr>
            <w:tcW w:w="2660" w:type="dxa"/>
          </w:tcPr>
          <w:p w14:paraId="4703D7BF" w14:textId="77777777" w:rsidR="004D3290" w:rsidRPr="00997273" w:rsidRDefault="004D3290" w:rsidP="002557D3">
            <w:pPr>
              <w:autoSpaceDE w:val="0"/>
              <w:autoSpaceDN w:val="0"/>
              <w:adjustRightInd w:val="0"/>
              <w:jc w:val="center"/>
              <w:rPr>
                <w:rFonts w:cs="Times New Roman"/>
                <w:sz w:val="22"/>
                <w:szCs w:val="22"/>
                <w:lang w:val="lt-LT" w:eastAsia="en-US"/>
              </w:rPr>
            </w:pPr>
            <w:r w:rsidRPr="00997273">
              <w:rPr>
                <w:rFonts w:eastAsia="TimesNewRoman,Bold" w:cs="Times New Roman"/>
                <w:b/>
                <w:bCs/>
                <w:sz w:val="22"/>
                <w:szCs w:val="22"/>
                <w:lang w:val="lt-LT" w:eastAsia="en-US"/>
              </w:rPr>
              <w:t>Tyrimas</w:t>
            </w:r>
          </w:p>
        </w:tc>
        <w:tc>
          <w:tcPr>
            <w:tcW w:w="2126" w:type="dxa"/>
          </w:tcPr>
          <w:p w14:paraId="79788AA2" w14:textId="4BE68DC6" w:rsidR="004D3290" w:rsidRPr="00997273" w:rsidRDefault="004D3290" w:rsidP="004D3290">
            <w:pPr>
              <w:autoSpaceDE w:val="0"/>
              <w:autoSpaceDN w:val="0"/>
              <w:adjustRightInd w:val="0"/>
              <w:rPr>
                <w:rFonts w:cs="Times New Roman"/>
                <w:sz w:val="22"/>
                <w:szCs w:val="22"/>
                <w:lang w:val="lt-LT" w:eastAsia="en-US"/>
              </w:rPr>
            </w:pPr>
            <w:r w:rsidRPr="00997273">
              <w:rPr>
                <w:rFonts w:eastAsia="TimesNewRoman,Bold" w:cs="Times New Roman"/>
                <w:b/>
                <w:bCs/>
                <w:sz w:val="22"/>
                <w:szCs w:val="22"/>
                <w:lang w:val="lt-LT" w:eastAsia="en-US"/>
              </w:rPr>
              <w:t>Vidutinis pradinis HbA</w:t>
            </w:r>
            <w:r w:rsidRPr="00997273">
              <w:rPr>
                <w:rFonts w:eastAsia="TimesNewRoman,Bold" w:cs="Times New Roman"/>
                <w:b/>
                <w:bCs/>
                <w:sz w:val="22"/>
                <w:szCs w:val="22"/>
                <w:vertAlign w:val="subscript"/>
                <w:lang w:val="lt-LT" w:eastAsia="en-US"/>
              </w:rPr>
              <w:t xml:space="preserve">1c </w:t>
            </w:r>
            <w:r w:rsidR="00195A1E">
              <w:rPr>
                <w:rFonts w:eastAsia="TimesNewRoman,Bold" w:cs="Times New Roman"/>
                <w:b/>
                <w:bCs/>
                <w:sz w:val="22"/>
                <w:szCs w:val="22"/>
                <w:lang w:val="lt-LT" w:eastAsia="en-US"/>
              </w:rPr>
              <w:t>rodmuo</w:t>
            </w:r>
            <w:r w:rsidRPr="00997273">
              <w:rPr>
                <w:rFonts w:eastAsia="TimesNewRoman,Bold" w:cs="Times New Roman"/>
                <w:b/>
                <w:bCs/>
                <w:sz w:val="22"/>
                <w:szCs w:val="22"/>
                <w:lang w:val="lt-LT" w:eastAsia="en-US"/>
              </w:rPr>
              <w:t xml:space="preserve"> (%)</w:t>
            </w:r>
          </w:p>
        </w:tc>
        <w:tc>
          <w:tcPr>
            <w:tcW w:w="2179" w:type="dxa"/>
          </w:tcPr>
          <w:p w14:paraId="206B574C" w14:textId="77777777" w:rsidR="004D3290" w:rsidRPr="00997273" w:rsidRDefault="004D3290" w:rsidP="004D3290">
            <w:pPr>
              <w:autoSpaceDE w:val="0"/>
              <w:autoSpaceDN w:val="0"/>
              <w:adjustRightInd w:val="0"/>
              <w:rPr>
                <w:rFonts w:eastAsia="TimesNewRoman,Bold" w:cs="Times New Roman"/>
                <w:b/>
                <w:bCs/>
                <w:sz w:val="22"/>
                <w:szCs w:val="22"/>
                <w:lang w:val="lt-LT" w:eastAsia="en-US"/>
              </w:rPr>
            </w:pPr>
            <w:r w:rsidRPr="00997273">
              <w:rPr>
                <w:rFonts w:eastAsia="TimesNewRoman,Bold" w:cs="Times New Roman"/>
                <w:b/>
                <w:bCs/>
                <w:sz w:val="22"/>
                <w:szCs w:val="22"/>
                <w:lang w:val="lt-LT" w:eastAsia="en-US"/>
              </w:rPr>
              <w:t>Vidutinis HbA</w:t>
            </w:r>
            <w:r w:rsidRPr="00195A1E">
              <w:rPr>
                <w:rFonts w:eastAsia="TimesNewRoman,Bold" w:cs="Times New Roman"/>
                <w:b/>
                <w:bCs/>
                <w:sz w:val="22"/>
                <w:szCs w:val="22"/>
                <w:vertAlign w:val="subscript"/>
                <w:lang w:val="lt-LT" w:eastAsia="en-US"/>
              </w:rPr>
              <w:t>1c</w:t>
            </w:r>
          </w:p>
          <w:p w14:paraId="5100CE68" w14:textId="0F6AF871" w:rsidR="004D3290" w:rsidRPr="00997273" w:rsidRDefault="004D3290" w:rsidP="004D3290">
            <w:pPr>
              <w:autoSpaceDE w:val="0"/>
              <w:autoSpaceDN w:val="0"/>
              <w:adjustRightInd w:val="0"/>
              <w:rPr>
                <w:rFonts w:cs="Times New Roman"/>
                <w:sz w:val="22"/>
                <w:szCs w:val="22"/>
                <w:lang w:val="lt-LT" w:eastAsia="en-US"/>
              </w:rPr>
            </w:pPr>
            <w:r w:rsidRPr="00997273">
              <w:rPr>
                <w:rFonts w:eastAsia="TimesNewRoman,Bold" w:cs="Times New Roman"/>
                <w:b/>
                <w:bCs/>
                <w:sz w:val="22"/>
                <w:szCs w:val="22"/>
                <w:lang w:val="lt-LT" w:eastAsia="en-US"/>
              </w:rPr>
              <w:t>(%) pokytis</w:t>
            </w:r>
            <w:r w:rsidRPr="00997273">
              <w:rPr>
                <w:rFonts w:eastAsia="TimesNewRoman,Bold" w:cs="Times New Roman"/>
                <w:sz w:val="22"/>
                <w:szCs w:val="22"/>
                <w:vertAlign w:val="superscript"/>
                <w:lang w:val="lt-LT" w:eastAsia="en-US"/>
              </w:rPr>
              <w:t>†</w:t>
            </w:r>
            <w:r w:rsidRPr="00997273">
              <w:rPr>
                <w:rFonts w:eastAsia="TimesNewRoman,Bold" w:cs="Times New Roman"/>
                <w:b/>
                <w:bCs/>
                <w:sz w:val="22"/>
                <w:szCs w:val="22"/>
                <w:lang w:val="lt-LT" w:eastAsia="en-US"/>
              </w:rPr>
              <w:t xml:space="preserve"> </w:t>
            </w:r>
            <w:r w:rsidR="00195A1E">
              <w:rPr>
                <w:rFonts w:eastAsia="TimesNewRoman,Bold" w:cs="Times New Roman"/>
                <w:b/>
                <w:bCs/>
                <w:sz w:val="22"/>
                <w:szCs w:val="22"/>
                <w:lang w:val="lt-LT" w:eastAsia="en-US"/>
              </w:rPr>
              <w:t>nuo pradinio rodmens</w:t>
            </w:r>
            <w:r w:rsidRPr="00997273">
              <w:rPr>
                <w:rFonts w:eastAsia="TimesNewRoman,Bold" w:cs="Times New Roman"/>
                <w:b/>
                <w:bCs/>
                <w:sz w:val="22"/>
                <w:szCs w:val="22"/>
                <w:lang w:val="lt-LT" w:eastAsia="en-US"/>
              </w:rPr>
              <w:t xml:space="preserve"> </w:t>
            </w:r>
          </w:p>
        </w:tc>
        <w:tc>
          <w:tcPr>
            <w:tcW w:w="2322" w:type="dxa"/>
          </w:tcPr>
          <w:p w14:paraId="4409C4DE" w14:textId="77777777" w:rsidR="009D519E" w:rsidRPr="009D519E" w:rsidRDefault="009D519E" w:rsidP="009D519E">
            <w:pPr>
              <w:widowControl w:val="0"/>
              <w:autoSpaceDE w:val="0"/>
              <w:autoSpaceDN w:val="0"/>
              <w:adjustRightInd w:val="0"/>
              <w:jc w:val="center"/>
              <w:rPr>
                <w:rFonts w:eastAsia="TimesNewRoman" w:cs="Times New Roman"/>
                <w:b/>
                <w:sz w:val="22"/>
                <w:szCs w:val="22"/>
                <w:lang w:val="lt-LT" w:eastAsia="en-US"/>
              </w:rPr>
            </w:pPr>
            <w:r w:rsidRPr="009D519E">
              <w:rPr>
                <w:rFonts w:eastAsia="TimesNewRoman,Bold" w:cs="Times New Roman"/>
                <w:b/>
                <w:sz w:val="22"/>
                <w:szCs w:val="22"/>
                <w:lang w:val="lt-LT" w:eastAsia="en-US"/>
              </w:rPr>
              <w:t>Pagal placebą koreguotas vidutinis HbA</w:t>
            </w:r>
            <w:r w:rsidRPr="009D519E">
              <w:rPr>
                <w:rFonts w:eastAsia="TimesNewRoman,Bold" w:cs="Times New Roman"/>
                <w:b/>
                <w:sz w:val="22"/>
                <w:szCs w:val="22"/>
                <w:vertAlign w:val="subscript"/>
                <w:lang w:val="lt-LT" w:eastAsia="en-US"/>
              </w:rPr>
              <w:t>1c</w:t>
            </w:r>
            <w:r w:rsidRPr="009D519E">
              <w:rPr>
                <w:rFonts w:eastAsia="TimesNewRoman,Bold" w:cs="Times New Roman"/>
                <w:b/>
                <w:sz w:val="22"/>
                <w:szCs w:val="22"/>
                <w:lang w:val="lt-LT" w:eastAsia="en-US"/>
              </w:rPr>
              <w:t> rodmens pokytis</w:t>
            </w:r>
            <w:r w:rsidRPr="009D519E">
              <w:rPr>
                <w:rFonts w:eastAsia="TimesNewRoman" w:cs="Times New Roman"/>
                <w:b/>
                <w:sz w:val="22"/>
                <w:szCs w:val="22"/>
                <w:lang w:val="lt-LT" w:eastAsia="en-US"/>
              </w:rPr>
              <w:t xml:space="preserve"> (%)</w:t>
            </w:r>
            <w:r w:rsidRPr="009D519E">
              <w:rPr>
                <w:rFonts w:eastAsia="TimesNewRoman" w:cs="Times New Roman"/>
                <w:b/>
                <w:sz w:val="22"/>
                <w:szCs w:val="22"/>
                <w:vertAlign w:val="superscript"/>
                <w:lang w:val="lt-LT" w:eastAsia="en-US"/>
              </w:rPr>
              <w:t>†</w:t>
            </w:r>
          </w:p>
          <w:p w14:paraId="26FB56C8" w14:textId="5DC0AB4D" w:rsidR="004D3290" w:rsidRPr="00997273" w:rsidRDefault="004D3290" w:rsidP="009D519E">
            <w:pPr>
              <w:autoSpaceDE w:val="0"/>
              <w:autoSpaceDN w:val="0"/>
              <w:adjustRightInd w:val="0"/>
              <w:jc w:val="center"/>
              <w:rPr>
                <w:rFonts w:cs="Times New Roman"/>
                <w:sz w:val="22"/>
                <w:szCs w:val="22"/>
                <w:lang w:val="lt-LT" w:eastAsia="en-US"/>
              </w:rPr>
            </w:pPr>
            <w:r w:rsidRPr="00997273">
              <w:rPr>
                <w:rFonts w:eastAsia="TimesNewRoman,Bold" w:cs="Times New Roman"/>
                <w:b/>
                <w:bCs/>
                <w:sz w:val="22"/>
                <w:szCs w:val="22"/>
                <w:lang w:val="lt-LT" w:eastAsia="en-US"/>
              </w:rPr>
              <w:t>(95</w:t>
            </w:r>
            <w:r w:rsidR="009651FD">
              <w:rPr>
                <w:rFonts w:eastAsia="TimesNewRoman,Bold" w:cs="Times New Roman"/>
                <w:b/>
                <w:bCs/>
                <w:sz w:val="22"/>
                <w:szCs w:val="22"/>
                <w:lang w:val="lt-LT" w:eastAsia="en-US"/>
              </w:rPr>
              <w:t> </w:t>
            </w:r>
            <w:r w:rsidRPr="00997273">
              <w:rPr>
                <w:rFonts w:eastAsia="TimesNewRoman,Bold" w:cs="Times New Roman"/>
                <w:b/>
                <w:bCs/>
                <w:sz w:val="22"/>
                <w:szCs w:val="22"/>
                <w:lang w:val="lt-LT" w:eastAsia="en-US"/>
              </w:rPr>
              <w:t>% PI)</w:t>
            </w:r>
          </w:p>
        </w:tc>
      </w:tr>
      <w:tr w:rsidR="004D3290" w:rsidRPr="00997273" w14:paraId="30CA8E24" w14:textId="77777777" w:rsidTr="008F244A">
        <w:tc>
          <w:tcPr>
            <w:tcW w:w="9287" w:type="dxa"/>
            <w:gridSpan w:val="4"/>
          </w:tcPr>
          <w:p w14:paraId="252252AD" w14:textId="77777777" w:rsidR="004D3290" w:rsidRPr="00997273" w:rsidRDefault="004D3290" w:rsidP="002557D3">
            <w:pPr>
              <w:autoSpaceDE w:val="0"/>
              <w:autoSpaceDN w:val="0"/>
              <w:adjustRightInd w:val="0"/>
              <w:rPr>
                <w:rFonts w:cs="Times New Roman"/>
                <w:sz w:val="22"/>
                <w:szCs w:val="22"/>
                <w:lang w:val="lt-LT" w:eastAsia="en-US"/>
              </w:rPr>
            </w:pPr>
            <w:proofErr w:type="spellStart"/>
            <w:r w:rsidRPr="00997273">
              <w:rPr>
                <w:rFonts w:eastAsia="TimesNewRoman,Bold" w:cs="Times New Roman"/>
                <w:b/>
                <w:bCs/>
                <w:sz w:val="22"/>
                <w:szCs w:val="22"/>
                <w:lang w:val="lt-LT" w:eastAsia="en-US"/>
              </w:rPr>
              <w:t>Monoterapijos</w:t>
            </w:r>
            <w:proofErr w:type="spellEnd"/>
            <w:r w:rsidRPr="00997273">
              <w:rPr>
                <w:rFonts w:eastAsia="TimesNewRoman,Bold" w:cs="Times New Roman"/>
                <w:b/>
                <w:bCs/>
                <w:sz w:val="22"/>
                <w:szCs w:val="22"/>
                <w:lang w:val="lt-LT" w:eastAsia="en-US"/>
              </w:rPr>
              <w:t xml:space="preserve"> </w:t>
            </w:r>
            <w:r w:rsidR="002557D3" w:rsidRPr="00997273">
              <w:rPr>
                <w:rFonts w:eastAsia="TimesNewRoman,Bold" w:cs="Times New Roman"/>
                <w:b/>
                <w:bCs/>
                <w:sz w:val="22"/>
                <w:szCs w:val="22"/>
                <w:lang w:val="lt-LT" w:eastAsia="en-US"/>
              </w:rPr>
              <w:t>tyrimai</w:t>
            </w:r>
          </w:p>
        </w:tc>
      </w:tr>
      <w:tr w:rsidR="004D3290" w:rsidRPr="00997273" w14:paraId="6BD03648" w14:textId="77777777" w:rsidTr="00D7448E">
        <w:tc>
          <w:tcPr>
            <w:tcW w:w="2660" w:type="dxa"/>
          </w:tcPr>
          <w:p w14:paraId="719BCC67" w14:textId="037D8C98" w:rsidR="00281E39" w:rsidRDefault="004D3290" w:rsidP="00D7448E">
            <w:pPr>
              <w:autoSpaceDE w:val="0"/>
              <w:autoSpaceDN w:val="0"/>
              <w:adjustRightInd w:val="0"/>
              <w:rPr>
                <w:rFonts w:eastAsia="TimesNewRoman,Bold" w:cs="Times New Roman"/>
                <w:sz w:val="22"/>
                <w:szCs w:val="22"/>
                <w:lang w:val="lt-LT" w:eastAsia="en-US"/>
              </w:rPr>
            </w:pPr>
            <w:proofErr w:type="spellStart"/>
            <w:r w:rsidRPr="00997273">
              <w:rPr>
                <w:rFonts w:eastAsia="TimesNewRoman,Bold" w:cs="Times New Roman"/>
                <w:sz w:val="22"/>
                <w:szCs w:val="22"/>
                <w:lang w:val="lt-LT" w:eastAsia="en-US"/>
              </w:rPr>
              <w:t>Sitagliptinas</w:t>
            </w:r>
            <w:proofErr w:type="spellEnd"/>
            <w:r w:rsidRPr="00997273">
              <w:rPr>
                <w:rFonts w:eastAsia="TimesNewRoman,Bold" w:cs="Times New Roman"/>
                <w:sz w:val="22"/>
                <w:szCs w:val="22"/>
                <w:lang w:val="lt-LT" w:eastAsia="en-US"/>
              </w:rPr>
              <w:t xml:space="preserve"> 100 mg kartą per parą</w:t>
            </w:r>
            <w:r w:rsidRPr="00997273">
              <w:rPr>
                <w:rFonts w:eastAsia="TimesNewRoman,Bold" w:cs="Times New Roman"/>
                <w:sz w:val="22"/>
                <w:szCs w:val="22"/>
                <w:vertAlign w:val="superscript"/>
                <w:lang w:val="lt-LT" w:eastAsia="en-US"/>
              </w:rPr>
              <w:t>§</w:t>
            </w:r>
          </w:p>
          <w:p w14:paraId="65BBC601" w14:textId="29CB26CA" w:rsidR="004D3290" w:rsidRPr="00997273" w:rsidRDefault="004D3290" w:rsidP="00D7448E">
            <w:pPr>
              <w:autoSpaceDE w:val="0"/>
              <w:autoSpaceDN w:val="0"/>
              <w:adjustRightInd w:val="0"/>
              <w:rPr>
                <w:rFonts w:cs="Times New Roman"/>
                <w:sz w:val="22"/>
                <w:szCs w:val="22"/>
                <w:lang w:val="lt-LT" w:eastAsia="en-US"/>
              </w:rPr>
            </w:pPr>
            <w:r w:rsidRPr="00997273">
              <w:rPr>
                <w:rFonts w:eastAsia="TimesNewRoman,Bold" w:cs="Times New Roman"/>
                <w:sz w:val="22"/>
                <w:szCs w:val="22"/>
                <w:lang w:val="lt-LT" w:eastAsia="en-US"/>
              </w:rPr>
              <w:t>(N = 193)</w:t>
            </w:r>
          </w:p>
        </w:tc>
        <w:tc>
          <w:tcPr>
            <w:tcW w:w="2126" w:type="dxa"/>
          </w:tcPr>
          <w:p w14:paraId="6FA806C7"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1C18E825" w14:textId="77777777" w:rsidR="004D3290" w:rsidRPr="00997273" w:rsidRDefault="004D3290"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8,0</w:t>
            </w:r>
          </w:p>
        </w:tc>
        <w:tc>
          <w:tcPr>
            <w:tcW w:w="2179" w:type="dxa"/>
          </w:tcPr>
          <w:p w14:paraId="028EA3D8" w14:textId="77777777" w:rsidR="002557D3" w:rsidRPr="00997273" w:rsidRDefault="002557D3" w:rsidP="00482287">
            <w:pPr>
              <w:tabs>
                <w:tab w:val="left" w:pos="567"/>
              </w:tabs>
              <w:jc w:val="center"/>
              <w:rPr>
                <w:rFonts w:eastAsia="TimesNewRoman,Bold" w:cs="Times New Roman"/>
                <w:sz w:val="22"/>
                <w:szCs w:val="22"/>
                <w:lang w:val="lt-LT" w:eastAsia="en-US"/>
              </w:rPr>
            </w:pPr>
          </w:p>
          <w:p w14:paraId="35304520" w14:textId="77777777" w:rsidR="004D3290" w:rsidRPr="00997273" w:rsidRDefault="004D3290" w:rsidP="00482287">
            <w:pPr>
              <w:tabs>
                <w:tab w:val="left" w:pos="567"/>
              </w:tabs>
              <w:jc w:val="center"/>
              <w:rPr>
                <w:rFonts w:cs="Times New Roman"/>
                <w:sz w:val="22"/>
                <w:szCs w:val="22"/>
                <w:lang w:val="lt-LT" w:eastAsia="en-US"/>
              </w:rPr>
            </w:pPr>
            <w:r w:rsidRPr="00997273">
              <w:rPr>
                <w:rFonts w:eastAsia="TimesNewRoman,Bold" w:cs="Times New Roman"/>
                <w:sz w:val="22"/>
                <w:szCs w:val="22"/>
                <w:lang w:val="lt-LT" w:eastAsia="en-US"/>
              </w:rPr>
              <w:t>-0,5</w:t>
            </w:r>
          </w:p>
        </w:tc>
        <w:tc>
          <w:tcPr>
            <w:tcW w:w="2322" w:type="dxa"/>
          </w:tcPr>
          <w:p w14:paraId="17D8A430" w14:textId="77777777" w:rsidR="002557D3" w:rsidRPr="00997273" w:rsidRDefault="004D3290" w:rsidP="002557D3">
            <w:pPr>
              <w:autoSpaceDE w:val="0"/>
              <w:autoSpaceDN w:val="0"/>
              <w:adjustRightInd w:val="0"/>
              <w:jc w:val="center"/>
              <w:rPr>
                <w:rFonts w:eastAsia="TimesNewRoman,Bold" w:cs="Times New Roman"/>
                <w:sz w:val="22"/>
                <w:szCs w:val="22"/>
                <w:vertAlign w:val="superscript"/>
                <w:lang w:val="lt-LT" w:eastAsia="en-US"/>
              </w:rPr>
            </w:pPr>
            <w:r w:rsidRPr="00997273">
              <w:rPr>
                <w:rFonts w:eastAsia="TimesNewRoman,Bold" w:cs="Times New Roman"/>
                <w:sz w:val="22"/>
                <w:szCs w:val="22"/>
                <w:lang w:val="lt-LT" w:eastAsia="en-US"/>
              </w:rPr>
              <w:t>-0,6</w:t>
            </w:r>
            <w:r w:rsidRPr="00997273">
              <w:rPr>
                <w:rFonts w:eastAsia="TimesNewRoman,Bold" w:cs="Times New Roman"/>
                <w:sz w:val="22"/>
                <w:szCs w:val="22"/>
                <w:vertAlign w:val="superscript"/>
                <w:lang w:val="lt-LT" w:eastAsia="en-US"/>
              </w:rPr>
              <w:t>‡</w:t>
            </w:r>
          </w:p>
          <w:p w14:paraId="6D1F7B75" w14:textId="77777777" w:rsidR="004D3290" w:rsidRPr="00997273" w:rsidRDefault="004D3290" w:rsidP="002557D3">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(-0,8; -0,4)</w:t>
            </w:r>
          </w:p>
        </w:tc>
      </w:tr>
      <w:tr w:rsidR="004D3290" w:rsidRPr="00997273" w14:paraId="601B3740" w14:textId="77777777" w:rsidTr="00D7448E">
        <w:tc>
          <w:tcPr>
            <w:tcW w:w="2660" w:type="dxa"/>
          </w:tcPr>
          <w:p w14:paraId="1572B785" w14:textId="77777777" w:rsidR="00281E39" w:rsidRDefault="004D3290" w:rsidP="00D7448E">
            <w:pPr>
              <w:autoSpaceDE w:val="0"/>
              <w:autoSpaceDN w:val="0"/>
              <w:adjustRightInd w:val="0"/>
              <w:rPr>
                <w:rFonts w:eastAsia="TimesNewRoman,Bold" w:cs="Times New Roman"/>
                <w:sz w:val="22"/>
                <w:szCs w:val="22"/>
                <w:lang w:val="lt-LT" w:eastAsia="en-US"/>
              </w:rPr>
            </w:pPr>
            <w:proofErr w:type="spellStart"/>
            <w:r w:rsidRPr="00997273">
              <w:rPr>
                <w:rFonts w:eastAsia="TimesNewRoman,Bold" w:cs="Times New Roman"/>
                <w:sz w:val="22"/>
                <w:szCs w:val="22"/>
                <w:lang w:val="lt-LT" w:eastAsia="en-US"/>
              </w:rPr>
              <w:t>Sitagliptinas</w:t>
            </w:r>
            <w:proofErr w:type="spellEnd"/>
            <w:r w:rsidRPr="00997273">
              <w:rPr>
                <w:rFonts w:eastAsia="TimesNewRoman,Bold" w:cs="Times New Roman"/>
                <w:sz w:val="22"/>
                <w:szCs w:val="22"/>
                <w:lang w:val="lt-LT" w:eastAsia="en-US"/>
              </w:rPr>
              <w:t xml:space="preserve"> 100 mg kartą per </w:t>
            </w:r>
            <w:proofErr w:type="spellStart"/>
            <w:r w:rsidRPr="00997273">
              <w:rPr>
                <w:rFonts w:eastAsia="TimesNewRoman,Bold" w:cs="Times New Roman"/>
                <w:sz w:val="22"/>
                <w:szCs w:val="22"/>
                <w:lang w:val="lt-LT" w:eastAsia="en-US"/>
              </w:rPr>
              <w:t>parą</w:t>
            </w:r>
            <w:r w:rsidR="002557D3" w:rsidRPr="00997273">
              <w:rPr>
                <w:rFonts w:eastAsia="TimesNewRoman,Bold" w:cs="Times New Roman"/>
                <w:sz w:val="22"/>
                <w:szCs w:val="22"/>
                <w:vertAlign w:val="superscript"/>
                <w:lang w:val="lt-LT" w:eastAsia="en-US"/>
              </w:rPr>
              <w:t>II</w:t>
            </w:r>
            <w:proofErr w:type="spellEnd"/>
            <w:r w:rsidR="00AB6775" w:rsidRPr="00997273">
              <w:rPr>
                <w:rFonts w:eastAsia="TimesNewRoman,Bold" w:cs="Times New Roman"/>
                <w:sz w:val="22"/>
                <w:szCs w:val="22"/>
                <w:lang w:val="lt-LT" w:eastAsia="en-US"/>
              </w:rPr>
              <w:t xml:space="preserve"> </w:t>
            </w:r>
          </w:p>
          <w:p w14:paraId="2DBF4EE2" w14:textId="00FD6E07" w:rsidR="004D3290" w:rsidRPr="00997273" w:rsidRDefault="004D3290" w:rsidP="00D7448E">
            <w:pPr>
              <w:autoSpaceDE w:val="0"/>
              <w:autoSpaceDN w:val="0"/>
              <w:adjustRightInd w:val="0"/>
              <w:rPr>
                <w:rFonts w:cs="Times New Roman"/>
                <w:sz w:val="22"/>
                <w:szCs w:val="22"/>
                <w:lang w:val="lt-LT" w:eastAsia="en-US"/>
              </w:rPr>
            </w:pPr>
            <w:r w:rsidRPr="00997273">
              <w:rPr>
                <w:rFonts w:eastAsia="TimesNewRoman,Bold" w:cs="Times New Roman"/>
                <w:sz w:val="22"/>
                <w:szCs w:val="22"/>
                <w:lang w:val="lt-LT" w:eastAsia="en-US"/>
              </w:rPr>
              <w:t>(N = 229)</w:t>
            </w:r>
          </w:p>
        </w:tc>
        <w:tc>
          <w:tcPr>
            <w:tcW w:w="2126" w:type="dxa"/>
          </w:tcPr>
          <w:p w14:paraId="1F420F24"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444BA627" w14:textId="77777777" w:rsidR="004D3290" w:rsidRPr="00997273" w:rsidRDefault="00AB6775"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8,0</w:t>
            </w:r>
          </w:p>
        </w:tc>
        <w:tc>
          <w:tcPr>
            <w:tcW w:w="2179" w:type="dxa"/>
          </w:tcPr>
          <w:p w14:paraId="25320A59" w14:textId="77777777" w:rsidR="002557D3" w:rsidRPr="00997273" w:rsidRDefault="002557D3" w:rsidP="00482287">
            <w:pPr>
              <w:tabs>
                <w:tab w:val="left" w:pos="567"/>
              </w:tabs>
              <w:jc w:val="center"/>
              <w:rPr>
                <w:rFonts w:eastAsia="TimesNewRoman,Bold" w:cs="Times New Roman"/>
                <w:sz w:val="22"/>
                <w:szCs w:val="22"/>
                <w:lang w:val="lt-LT" w:eastAsia="en-US"/>
              </w:rPr>
            </w:pPr>
          </w:p>
          <w:p w14:paraId="0BC3CC8E" w14:textId="77777777" w:rsidR="004D3290" w:rsidRPr="00997273" w:rsidRDefault="00AB6775" w:rsidP="00482287">
            <w:pPr>
              <w:tabs>
                <w:tab w:val="left" w:pos="567"/>
              </w:tabs>
              <w:jc w:val="center"/>
              <w:rPr>
                <w:rFonts w:cs="Times New Roman"/>
                <w:sz w:val="22"/>
                <w:szCs w:val="22"/>
                <w:lang w:val="lt-LT" w:eastAsia="en-US"/>
              </w:rPr>
            </w:pPr>
            <w:r w:rsidRPr="00997273">
              <w:rPr>
                <w:rFonts w:eastAsia="TimesNewRoman,Bold" w:cs="Times New Roman"/>
                <w:sz w:val="22"/>
                <w:szCs w:val="22"/>
                <w:lang w:val="lt-LT" w:eastAsia="en-US"/>
              </w:rPr>
              <w:t>-0,6</w:t>
            </w:r>
          </w:p>
        </w:tc>
        <w:tc>
          <w:tcPr>
            <w:tcW w:w="2322" w:type="dxa"/>
          </w:tcPr>
          <w:p w14:paraId="718B1D5A" w14:textId="77777777" w:rsidR="00AB6775" w:rsidRPr="00997273" w:rsidRDefault="00AB6775" w:rsidP="00482287">
            <w:pPr>
              <w:autoSpaceDE w:val="0"/>
              <w:autoSpaceDN w:val="0"/>
              <w:adjustRightInd w:val="0"/>
              <w:jc w:val="center"/>
              <w:rPr>
                <w:rFonts w:eastAsia="TimesNewRoman,Bold" w:cs="Times New Roman"/>
                <w:sz w:val="22"/>
                <w:szCs w:val="22"/>
                <w:vertAlign w:val="superscript"/>
                <w:lang w:val="lt-LT" w:eastAsia="en-US"/>
              </w:rPr>
            </w:pPr>
            <w:r w:rsidRPr="00997273">
              <w:rPr>
                <w:rFonts w:eastAsia="TimesNewRoman,Bold" w:cs="Times New Roman"/>
                <w:sz w:val="22"/>
                <w:szCs w:val="22"/>
                <w:lang w:val="lt-LT" w:eastAsia="en-US"/>
              </w:rPr>
              <w:t>-0,8</w:t>
            </w:r>
            <w:r w:rsidRPr="00997273">
              <w:rPr>
                <w:rFonts w:eastAsia="TimesNewRoman,Bold" w:cs="Times New Roman"/>
                <w:sz w:val="22"/>
                <w:szCs w:val="22"/>
                <w:vertAlign w:val="superscript"/>
                <w:lang w:val="lt-LT" w:eastAsia="en-US"/>
              </w:rPr>
              <w:t>‡</w:t>
            </w:r>
          </w:p>
          <w:p w14:paraId="00F207A0" w14:textId="77777777" w:rsidR="004D3290" w:rsidRPr="00997273" w:rsidRDefault="00AB6775"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(-1</w:t>
            </w:r>
            <w:r w:rsidR="00482287" w:rsidRPr="00997273">
              <w:rPr>
                <w:rFonts w:eastAsia="TimesNewRoman,Bold" w:cs="Times New Roman"/>
                <w:sz w:val="22"/>
                <w:szCs w:val="22"/>
                <w:lang w:val="lt-LT" w:eastAsia="en-US"/>
              </w:rPr>
              <w:t>,0</w:t>
            </w:r>
            <w:r w:rsidRPr="00997273">
              <w:rPr>
                <w:rFonts w:eastAsia="TimesNewRoman,Bold" w:cs="Times New Roman"/>
                <w:sz w:val="22"/>
                <w:szCs w:val="22"/>
                <w:lang w:val="lt-LT" w:eastAsia="en-US"/>
              </w:rPr>
              <w:t>; -0,6)</w:t>
            </w:r>
          </w:p>
        </w:tc>
      </w:tr>
      <w:tr w:rsidR="00AB6775" w:rsidRPr="00997273" w14:paraId="5FF04938" w14:textId="77777777" w:rsidTr="008F244A">
        <w:tc>
          <w:tcPr>
            <w:tcW w:w="9287" w:type="dxa"/>
            <w:gridSpan w:val="4"/>
          </w:tcPr>
          <w:p w14:paraId="0F237FF3" w14:textId="1EE8667A" w:rsidR="00AB6775" w:rsidRPr="00997273" w:rsidRDefault="009651FD" w:rsidP="009651FD">
            <w:pPr>
              <w:autoSpaceDE w:val="0"/>
              <w:autoSpaceDN w:val="0"/>
              <w:adjustRightInd w:val="0"/>
              <w:rPr>
                <w:rFonts w:cs="Times New Roman"/>
                <w:sz w:val="22"/>
                <w:szCs w:val="22"/>
                <w:lang w:val="lt-LT" w:eastAsia="en-US"/>
              </w:rPr>
            </w:pPr>
            <w:r>
              <w:rPr>
                <w:rFonts w:eastAsia="TimesNewRoman,Bold" w:cs="Times New Roman"/>
                <w:b/>
                <w:bCs/>
                <w:sz w:val="22"/>
                <w:szCs w:val="22"/>
                <w:lang w:val="lt-LT" w:eastAsia="en-US"/>
              </w:rPr>
              <w:t>G</w:t>
            </w:r>
            <w:r w:rsidR="00AB6775" w:rsidRPr="00997273">
              <w:rPr>
                <w:rFonts w:eastAsia="TimesNewRoman,Bold" w:cs="Times New Roman"/>
                <w:b/>
                <w:bCs/>
                <w:sz w:val="22"/>
                <w:szCs w:val="22"/>
                <w:lang w:val="lt-LT" w:eastAsia="en-US"/>
              </w:rPr>
              <w:t xml:space="preserve">ydymo </w:t>
            </w:r>
            <w:r>
              <w:rPr>
                <w:rFonts w:eastAsia="TimesNewRoman,Bold" w:cs="Times New Roman"/>
                <w:b/>
                <w:bCs/>
                <w:sz w:val="22"/>
                <w:szCs w:val="22"/>
                <w:lang w:val="lt-LT" w:eastAsia="en-US"/>
              </w:rPr>
              <w:t xml:space="preserve">deriniu </w:t>
            </w:r>
            <w:r w:rsidR="002557D3" w:rsidRPr="00997273">
              <w:rPr>
                <w:rFonts w:eastAsia="TimesNewRoman,Bold" w:cs="Times New Roman"/>
                <w:b/>
                <w:bCs/>
                <w:sz w:val="22"/>
                <w:szCs w:val="22"/>
                <w:lang w:val="lt-LT" w:eastAsia="en-US"/>
              </w:rPr>
              <w:t>tyrimai</w:t>
            </w:r>
          </w:p>
        </w:tc>
      </w:tr>
      <w:tr w:rsidR="004D3290" w:rsidRPr="00997273" w14:paraId="56669387" w14:textId="77777777" w:rsidTr="00D7448E">
        <w:tc>
          <w:tcPr>
            <w:tcW w:w="2660" w:type="dxa"/>
          </w:tcPr>
          <w:p w14:paraId="637F6A34" w14:textId="29248D2F" w:rsidR="003C60DB" w:rsidRDefault="004D3290" w:rsidP="00B85FD3">
            <w:pPr>
              <w:autoSpaceDE w:val="0"/>
              <w:autoSpaceDN w:val="0"/>
              <w:adjustRightInd w:val="0"/>
              <w:rPr>
                <w:rFonts w:eastAsia="TimesNewRoman,Bold" w:cs="Times New Roman"/>
                <w:sz w:val="22"/>
                <w:szCs w:val="22"/>
                <w:vertAlign w:val="superscript"/>
                <w:lang w:val="lt-LT" w:eastAsia="en-US"/>
              </w:rPr>
            </w:pPr>
            <w:proofErr w:type="spellStart"/>
            <w:r w:rsidRPr="00997273">
              <w:rPr>
                <w:rFonts w:eastAsia="TimesNewRoman,Bold" w:cs="Times New Roman"/>
                <w:sz w:val="22"/>
                <w:szCs w:val="22"/>
                <w:lang w:val="lt-LT" w:eastAsia="en-US"/>
              </w:rPr>
              <w:t>Sitagliptinas</w:t>
            </w:r>
            <w:proofErr w:type="spellEnd"/>
            <w:r w:rsidRPr="00997273">
              <w:rPr>
                <w:rFonts w:eastAsia="TimesNewRoman,Bold" w:cs="Times New Roman"/>
                <w:sz w:val="22"/>
                <w:szCs w:val="22"/>
                <w:lang w:val="lt-LT" w:eastAsia="en-US"/>
              </w:rPr>
              <w:t xml:space="preserve"> 100</w:t>
            </w:r>
            <w:r w:rsidR="00AB6775" w:rsidRPr="00997273">
              <w:rPr>
                <w:rFonts w:eastAsia="TimesNewRoman,Bold" w:cs="Times New Roman"/>
                <w:sz w:val="22"/>
                <w:szCs w:val="22"/>
                <w:lang w:val="lt-LT" w:eastAsia="en-US"/>
              </w:rPr>
              <w:t> </w:t>
            </w:r>
            <w:r w:rsidRPr="00997273">
              <w:rPr>
                <w:rFonts w:eastAsia="TimesNewRoman,Bold" w:cs="Times New Roman"/>
                <w:sz w:val="22"/>
                <w:szCs w:val="22"/>
                <w:lang w:val="lt-LT" w:eastAsia="en-US"/>
              </w:rPr>
              <w:t>mg kartą per</w:t>
            </w:r>
            <w:r w:rsidR="00AB6775" w:rsidRPr="00997273">
              <w:rPr>
                <w:rFonts w:eastAsia="TimesNewRoman,Bold" w:cs="Times New Roman"/>
                <w:sz w:val="22"/>
                <w:szCs w:val="22"/>
                <w:lang w:val="lt-LT" w:eastAsia="en-US"/>
              </w:rPr>
              <w:t xml:space="preserve"> </w:t>
            </w:r>
            <w:r w:rsidRPr="00997273">
              <w:rPr>
                <w:rFonts w:eastAsia="TimesNewRoman,Bold" w:cs="Times New Roman"/>
                <w:sz w:val="22"/>
                <w:szCs w:val="22"/>
                <w:lang w:val="lt-LT" w:eastAsia="en-US"/>
              </w:rPr>
              <w:t xml:space="preserve">parą, </w:t>
            </w:r>
            <w:r w:rsidR="00281E39">
              <w:rPr>
                <w:rFonts w:eastAsia="TimesNewRoman,Bold" w:cs="Times New Roman"/>
                <w:sz w:val="22"/>
                <w:szCs w:val="22"/>
                <w:lang w:val="lt-LT" w:eastAsia="en-US"/>
              </w:rPr>
              <w:t xml:space="preserve">juo </w:t>
            </w:r>
            <w:r w:rsidRPr="00997273">
              <w:rPr>
                <w:rFonts w:eastAsia="TimesNewRoman,Bold" w:cs="Times New Roman"/>
                <w:sz w:val="22"/>
                <w:szCs w:val="22"/>
                <w:lang w:val="lt-LT" w:eastAsia="en-US"/>
              </w:rPr>
              <w:t>papildant gydymą</w:t>
            </w:r>
            <w:r w:rsidR="00AB6775" w:rsidRPr="00997273">
              <w:rPr>
                <w:rFonts w:eastAsia="TimesNewRoman,Bold" w:cs="Times New Roman"/>
                <w:sz w:val="22"/>
                <w:szCs w:val="22"/>
                <w:lang w:val="lt-LT" w:eastAsia="en-US"/>
              </w:rPr>
              <w:t xml:space="preserve"> </w:t>
            </w:r>
            <w:proofErr w:type="spellStart"/>
            <w:r w:rsidRPr="00997273">
              <w:rPr>
                <w:rFonts w:eastAsia="TimesNewRoman,Bold" w:cs="Times New Roman"/>
                <w:sz w:val="22"/>
                <w:szCs w:val="22"/>
                <w:lang w:val="lt-LT" w:eastAsia="en-US"/>
              </w:rPr>
              <w:t>metforminu</w:t>
            </w:r>
            <w:r w:rsidR="00482287" w:rsidRPr="00997273">
              <w:rPr>
                <w:rFonts w:eastAsia="TimesNewRoman,Bold" w:cs="Times New Roman"/>
                <w:sz w:val="22"/>
                <w:szCs w:val="22"/>
                <w:vertAlign w:val="superscript"/>
                <w:lang w:val="lt-LT" w:eastAsia="en-US"/>
              </w:rPr>
              <w:t>II</w:t>
            </w:r>
            <w:proofErr w:type="spellEnd"/>
            <w:r w:rsidR="00B85FD3" w:rsidRPr="00997273">
              <w:rPr>
                <w:rFonts w:eastAsia="TimesNewRoman,Bold" w:cs="Times New Roman"/>
                <w:sz w:val="22"/>
                <w:szCs w:val="22"/>
                <w:vertAlign w:val="superscript"/>
                <w:lang w:val="lt-LT" w:eastAsia="en-US"/>
              </w:rPr>
              <w:t xml:space="preserve">  </w:t>
            </w:r>
          </w:p>
          <w:p w14:paraId="2035CF2C" w14:textId="04023387" w:rsidR="004D3290" w:rsidRPr="00997273" w:rsidRDefault="004D3290" w:rsidP="00B85FD3">
            <w:pPr>
              <w:autoSpaceDE w:val="0"/>
              <w:autoSpaceDN w:val="0"/>
              <w:adjustRightInd w:val="0"/>
              <w:rPr>
                <w:rFonts w:cs="Times New Roman"/>
                <w:sz w:val="22"/>
                <w:szCs w:val="22"/>
                <w:lang w:val="lt-LT" w:eastAsia="en-US"/>
              </w:rPr>
            </w:pPr>
            <w:r w:rsidRPr="00997273">
              <w:rPr>
                <w:rFonts w:eastAsia="TimesNewRoman,Bold" w:cs="Times New Roman"/>
                <w:sz w:val="22"/>
                <w:szCs w:val="22"/>
                <w:lang w:val="lt-LT" w:eastAsia="en-US"/>
              </w:rPr>
              <w:t>(N = 453)</w:t>
            </w:r>
          </w:p>
        </w:tc>
        <w:tc>
          <w:tcPr>
            <w:tcW w:w="2126" w:type="dxa"/>
          </w:tcPr>
          <w:p w14:paraId="4B599F0E" w14:textId="77777777" w:rsidR="002557D3" w:rsidRPr="00997273" w:rsidRDefault="002557D3" w:rsidP="00482287">
            <w:pPr>
              <w:tabs>
                <w:tab w:val="left" w:pos="567"/>
              </w:tabs>
              <w:jc w:val="center"/>
              <w:rPr>
                <w:rFonts w:eastAsia="TimesNewRoman,Bold" w:cs="Times New Roman"/>
                <w:sz w:val="22"/>
                <w:szCs w:val="22"/>
                <w:lang w:val="lt-LT" w:eastAsia="en-US"/>
              </w:rPr>
            </w:pPr>
          </w:p>
          <w:p w14:paraId="4837AE48" w14:textId="77777777" w:rsidR="002557D3" w:rsidRPr="00997273" w:rsidRDefault="002557D3" w:rsidP="00482287">
            <w:pPr>
              <w:tabs>
                <w:tab w:val="left" w:pos="567"/>
              </w:tabs>
              <w:jc w:val="center"/>
              <w:rPr>
                <w:rFonts w:eastAsia="TimesNewRoman,Bold" w:cs="Times New Roman"/>
                <w:sz w:val="22"/>
                <w:szCs w:val="22"/>
                <w:lang w:val="lt-LT" w:eastAsia="en-US"/>
              </w:rPr>
            </w:pPr>
          </w:p>
          <w:p w14:paraId="1B25E3F7" w14:textId="77777777" w:rsidR="004D3290" w:rsidRPr="00997273" w:rsidRDefault="00AB6775" w:rsidP="00482287">
            <w:pPr>
              <w:tabs>
                <w:tab w:val="left" w:pos="567"/>
              </w:tabs>
              <w:jc w:val="center"/>
              <w:rPr>
                <w:rFonts w:cs="Times New Roman"/>
                <w:sz w:val="22"/>
                <w:szCs w:val="22"/>
                <w:lang w:val="lt-LT" w:eastAsia="en-US"/>
              </w:rPr>
            </w:pPr>
            <w:r w:rsidRPr="00997273">
              <w:rPr>
                <w:rFonts w:eastAsia="TimesNewRoman,Bold" w:cs="Times New Roman"/>
                <w:sz w:val="22"/>
                <w:szCs w:val="22"/>
                <w:lang w:val="lt-LT" w:eastAsia="en-US"/>
              </w:rPr>
              <w:t>8,0</w:t>
            </w:r>
          </w:p>
        </w:tc>
        <w:tc>
          <w:tcPr>
            <w:tcW w:w="2179" w:type="dxa"/>
          </w:tcPr>
          <w:p w14:paraId="17A72C1C"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0353FC8D"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480C608C" w14:textId="77777777" w:rsidR="004D3290" w:rsidRPr="00997273" w:rsidRDefault="00AB6775"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-0,7</w:t>
            </w:r>
          </w:p>
        </w:tc>
        <w:tc>
          <w:tcPr>
            <w:tcW w:w="2322" w:type="dxa"/>
          </w:tcPr>
          <w:p w14:paraId="1DE0C4F6"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52F0E3A3" w14:textId="77777777" w:rsidR="00AB6775" w:rsidRPr="00997273" w:rsidRDefault="00AB6775" w:rsidP="00482287">
            <w:pPr>
              <w:autoSpaceDE w:val="0"/>
              <w:autoSpaceDN w:val="0"/>
              <w:adjustRightInd w:val="0"/>
              <w:jc w:val="center"/>
              <w:rPr>
                <w:rFonts w:eastAsia="TimesNewRoman,Bold" w:cs="Times New Roman"/>
                <w:sz w:val="22"/>
                <w:szCs w:val="22"/>
                <w:lang w:val="lt-LT" w:eastAsia="en-US"/>
              </w:rPr>
            </w:pPr>
            <w:r w:rsidRPr="00997273">
              <w:rPr>
                <w:rFonts w:eastAsia="TimesNewRoman,Bold" w:cs="Times New Roman"/>
                <w:sz w:val="22"/>
                <w:szCs w:val="22"/>
                <w:lang w:val="lt-LT" w:eastAsia="en-US"/>
              </w:rPr>
              <w:t>-0,7</w:t>
            </w:r>
            <w:r w:rsidRPr="00997273">
              <w:rPr>
                <w:rFonts w:eastAsia="TimesNewRoman,Bold" w:cs="Times New Roman"/>
                <w:sz w:val="22"/>
                <w:szCs w:val="22"/>
                <w:vertAlign w:val="superscript"/>
                <w:lang w:val="lt-LT" w:eastAsia="en-US"/>
              </w:rPr>
              <w:t>‡</w:t>
            </w:r>
          </w:p>
          <w:p w14:paraId="7E59CEFC" w14:textId="77777777" w:rsidR="004D3290" w:rsidRPr="00997273" w:rsidRDefault="00AB6775"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(-0,8; -0,5)</w:t>
            </w:r>
          </w:p>
        </w:tc>
      </w:tr>
      <w:tr w:rsidR="00AB6775" w:rsidRPr="00997273" w14:paraId="7F127EF7" w14:textId="77777777" w:rsidTr="00D7448E">
        <w:tc>
          <w:tcPr>
            <w:tcW w:w="2660" w:type="dxa"/>
          </w:tcPr>
          <w:p w14:paraId="4A5D8DCF" w14:textId="02875C8B" w:rsidR="003C60DB" w:rsidRDefault="00AB6775" w:rsidP="00B85FD3">
            <w:pPr>
              <w:autoSpaceDE w:val="0"/>
              <w:autoSpaceDN w:val="0"/>
              <w:adjustRightInd w:val="0"/>
              <w:rPr>
                <w:rFonts w:eastAsia="MathExt" w:cs="Times New Roman"/>
                <w:sz w:val="22"/>
                <w:szCs w:val="22"/>
                <w:vertAlign w:val="superscript"/>
                <w:lang w:val="lt-LT" w:eastAsia="en-US"/>
              </w:rPr>
            </w:pPr>
            <w:proofErr w:type="spellStart"/>
            <w:r w:rsidRPr="00997273">
              <w:rPr>
                <w:rFonts w:eastAsia="TimesNewRoman,Bold" w:cs="Times New Roman"/>
                <w:sz w:val="22"/>
                <w:szCs w:val="22"/>
                <w:lang w:val="lt-LT" w:eastAsia="en-US"/>
              </w:rPr>
              <w:t>Sitagliptinas</w:t>
            </w:r>
            <w:proofErr w:type="spellEnd"/>
            <w:r w:rsidRPr="00997273">
              <w:rPr>
                <w:rFonts w:eastAsia="TimesNewRoman,Bold" w:cs="Times New Roman"/>
                <w:sz w:val="22"/>
                <w:szCs w:val="22"/>
                <w:lang w:val="lt-LT" w:eastAsia="en-US"/>
              </w:rPr>
              <w:t xml:space="preserve"> 100 mg kartą per parą, </w:t>
            </w:r>
            <w:r w:rsidR="00281E39">
              <w:rPr>
                <w:rFonts w:eastAsia="TimesNewRoman,Bold" w:cs="Times New Roman"/>
                <w:sz w:val="22"/>
                <w:szCs w:val="22"/>
                <w:lang w:val="lt-LT" w:eastAsia="en-US"/>
              </w:rPr>
              <w:t xml:space="preserve">juo </w:t>
            </w:r>
            <w:r w:rsidRPr="00997273">
              <w:rPr>
                <w:rFonts w:eastAsia="TimesNewRoman,Bold" w:cs="Times New Roman"/>
                <w:sz w:val="22"/>
                <w:szCs w:val="22"/>
                <w:lang w:val="lt-LT" w:eastAsia="en-US"/>
              </w:rPr>
              <w:t xml:space="preserve">papildant gydymą </w:t>
            </w:r>
            <w:proofErr w:type="spellStart"/>
            <w:r w:rsidRPr="00997273">
              <w:rPr>
                <w:rFonts w:eastAsia="TimesNewRoman,Bold" w:cs="Times New Roman"/>
                <w:sz w:val="22"/>
                <w:szCs w:val="22"/>
                <w:lang w:val="lt-LT" w:eastAsia="en-US"/>
              </w:rPr>
              <w:t>pioglitazonu</w:t>
            </w:r>
            <w:r w:rsidR="00D7448E" w:rsidRPr="00997273">
              <w:rPr>
                <w:rFonts w:eastAsia="MathExt" w:cs="Times New Roman"/>
                <w:sz w:val="22"/>
                <w:szCs w:val="22"/>
                <w:vertAlign w:val="superscript"/>
                <w:lang w:val="lt-LT" w:eastAsia="en-US"/>
              </w:rPr>
              <w:t>II</w:t>
            </w:r>
            <w:proofErr w:type="spellEnd"/>
          </w:p>
          <w:p w14:paraId="38369728" w14:textId="2A1A3485" w:rsidR="00AB6775" w:rsidRPr="00997273" w:rsidRDefault="00AB6775" w:rsidP="00B85FD3">
            <w:pPr>
              <w:autoSpaceDE w:val="0"/>
              <w:autoSpaceDN w:val="0"/>
              <w:adjustRightInd w:val="0"/>
              <w:rPr>
                <w:rFonts w:eastAsia="TimesNewRoman,Bold" w:cs="Times New Roman"/>
                <w:sz w:val="22"/>
                <w:szCs w:val="22"/>
                <w:lang w:val="lt-LT" w:eastAsia="en-US"/>
              </w:rPr>
            </w:pPr>
            <w:r w:rsidRPr="00997273">
              <w:rPr>
                <w:rFonts w:eastAsia="TimesNewRoman,Bold" w:cs="Times New Roman"/>
                <w:sz w:val="22"/>
                <w:szCs w:val="22"/>
                <w:lang w:val="lt-LT" w:eastAsia="en-US"/>
              </w:rPr>
              <w:t>(N = 163)</w:t>
            </w:r>
          </w:p>
        </w:tc>
        <w:tc>
          <w:tcPr>
            <w:tcW w:w="2126" w:type="dxa"/>
          </w:tcPr>
          <w:p w14:paraId="2151AFB3"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55CE3B85"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63CE40D2" w14:textId="77777777" w:rsidR="00AB6775" w:rsidRPr="00997273" w:rsidRDefault="00AB6775" w:rsidP="00482287">
            <w:pPr>
              <w:autoSpaceDE w:val="0"/>
              <w:autoSpaceDN w:val="0"/>
              <w:adjustRightInd w:val="0"/>
              <w:jc w:val="center"/>
              <w:rPr>
                <w:rFonts w:eastAsia="TimesNewRoman,Bold" w:cs="Times New Roman"/>
                <w:sz w:val="22"/>
                <w:szCs w:val="22"/>
                <w:lang w:val="lt-LT" w:eastAsia="en-US"/>
              </w:rPr>
            </w:pPr>
            <w:r w:rsidRPr="00997273">
              <w:rPr>
                <w:rFonts w:eastAsia="TimesNewRoman,Bold" w:cs="Times New Roman"/>
                <w:sz w:val="22"/>
                <w:szCs w:val="22"/>
                <w:lang w:val="lt-LT" w:eastAsia="en-US"/>
              </w:rPr>
              <w:t>8,1</w:t>
            </w:r>
          </w:p>
        </w:tc>
        <w:tc>
          <w:tcPr>
            <w:tcW w:w="2179" w:type="dxa"/>
          </w:tcPr>
          <w:p w14:paraId="7A999A84"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71C9BF2C"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63B7F989" w14:textId="77777777" w:rsidR="00AB6775" w:rsidRPr="00997273" w:rsidRDefault="00AB6775" w:rsidP="00482287">
            <w:pPr>
              <w:autoSpaceDE w:val="0"/>
              <w:autoSpaceDN w:val="0"/>
              <w:adjustRightInd w:val="0"/>
              <w:jc w:val="center"/>
              <w:rPr>
                <w:rFonts w:eastAsia="TimesNewRoman,Bold" w:cs="Times New Roman"/>
                <w:sz w:val="22"/>
                <w:szCs w:val="22"/>
                <w:lang w:val="lt-LT" w:eastAsia="en-US"/>
              </w:rPr>
            </w:pPr>
            <w:r w:rsidRPr="00997273">
              <w:rPr>
                <w:rFonts w:eastAsia="TimesNewRoman,Bold" w:cs="Times New Roman"/>
                <w:sz w:val="22"/>
                <w:szCs w:val="22"/>
                <w:lang w:val="lt-LT" w:eastAsia="en-US"/>
              </w:rPr>
              <w:t>-0,9</w:t>
            </w:r>
          </w:p>
        </w:tc>
        <w:tc>
          <w:tcPr>
            <w:tcW w:w="2322" w:type="dxa"/>
          </w:tcPr>
          <w:p w14:paraId="23ECF508"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5480FBD6" w14:textId="77777777" w:rsidR="00AB6775" w:rsidRPr="00997273" w:rsidRDefault="00AB6775" w:rsidP="00482287">
            <w:pPr>
              <w:autoSpaceDE w:val="0"/>
              <w:autoSpaceDN w:val="0"/>
              <w:adjustRightInd w:val="0"/>
              <w:jc w:val="center"/>
              <w:rPr>
                <w:rFonts w:eastAsia="TimesNewRoman,Bold" w:cs="Times New Roman"/>
                <w:sz w:val="22"/>
                <w:szCs w:val="22"/>
                <w:lang w:val="lt-LT" w:eastAsia="en-US"/>
              </w:rPr>
            </w:pPr>
            <w:r w:rsidRPr="00997273">
              <w:rPr>
                <w:rFonts w:eastAsia="TimesNewRoman,Bold" w:cs="Times New Roman"/>
                <w:sz w:val="22"/>
                <w:szCs w:val="22"/>
                <w:lang w:val="lt-LT" w:eastAsia="en-US"/>
              </w:rPr>
              <w:t>-0,7</w:t>
            </w:r>
            <w:r w:rsidRPr="00997273">
              <w:rPr>
                <w:rFonts w:eastAsia="TimesNewRoman,Bold" w:cs="Times New Roman"/>
                <w:sz w:val="22"/>
                <w:szCs w:val="22"/>
                <w:vertAlign w:val="superscript"/>
                <w:lang w:val="lt-LT" w:eastAsia="en-US"/>
              </w:rPr>
              <w:t>‡</w:t>
            </w:r>
          </w:p>
          <w:p w14:paraId="734A28F7" w14:textId="77777777" w:rsidR="00AB6775" w:rsidRPr="00997273" w:rsidRDefault="00AB6775" w:rsidP="00482287">
            <w:pPr>
              <w:autoSpaceDE w:val="0"/>
              <w:autoSpaceDN w:val="0"/>
              <w:adjustRightInd w:val="0"/>
              <w:jc w:val="center"/>
              <w:rPr>
                <w:rFonts w:eastAsia="TimesNewRoman,Bold" w:cs="Times New Roman"/>
                <w:sz w:val="22"/>
                <w:szCs w:val="22"/>
                <w:lang w:val="lt-LT" w:eastAsia="en-US"/>
              </w:rPr>
            </w:pPr>
            <w:r w:rsidRPr="00997273">
              <w:rPr>
                <w:rFonts w:eastAsia="TimesNewRoman,Bold" w:cs="Times New Roman"/>
                <w:sz w:val="22"/>
                <w:szCs w:val="22"/>
                <w:lang w:val="lt-LT" w:eastAsia="en-US"/>
              </w:rPr>
              <w:t>(-0,9; -0,5)</w:t>
            </w:r>
          </w:p>
        </w:tc>
      </w:tr>
      <w:tr w:rsidR="004D3290" w:rsidRPr="00997273" w14:paraId="719FA0BA" w14:textId="77777777" w:rsidTr="00D7448E">
        <w:tc>
          <w:tcPr>
            <w:tcW w:w="2660" w:type="dxa"/>
          </w:tcPr>
          <w:p w14:paraId="757DDAAF" w14:textId="11A37FE0" w:rsidR="00BF6E60" w:rsidRDefault="004D3290" w:rsidP="00B85FD3">
            <w:pPr>
              <w:autoSpaceDE w:val="0"/>
              <w:autoSpaceDN w:val="0"/>
              <w:adjustRightInd w:val="0"/>
              <w:rPr>
                <w:rFonts w:eastAsia="TimesNewRoman,Bold" w:cs="Times New Roman"/>
                <w:sz w:val="22"/>
                <w:szCs w:val="22"/>
                <w:vertAlign w:val="superscript"/>
                <w:lang w:val="lt-LT" w:eastAsia="en-US"/>
              </w:rPr>
            </w:pPr>
            <w:proofErr w:type="spellStart"/>
            <w:r w:rsidRPr="00997273">
              <w:rPr>
                <w:rFonts w:eastAsia="TimesNewRoman,Bold" w:cs="Times New Roman"/>
                <w:sz w:val="22"/>
                <w:szCs w:val="22"/>
                <w:lang w:val="lt-LT" w:eastAsia="en-US"/>
              </w:rPr>
              <w:t>Sitagliptinas</w:t>
            </w:r>
            <w:proofErr w:type="spellEnd"/>
            <w:r w:rsidRPr="00997273">
              <w:rPr>
                <w:rFonts w:eastAsia="TimesNewRoman,Bold" w:cs="Times New Roman"/>
                <w:sz w:val="22"/>
                <w:szCs w:val="22"/>
                <w:lang w:val="lt-LT" w:eastAsia="en-US"/>
              </w:rPr>
              <w:t xml:space="preserve"> 100</w:t>
            </w:r>
            <w:r w:rsidR="00AB6775" w:rsidRPr="00997273">
              <w:rPr>
                <w:rFonts w:eastAsia="TimesNewRoman,Bold" w:cs="Times New Roman"/>
                <w:sz w:val="22"/>
                <w:szCs w:val="22"/>
                <w:lang w:val="lt-LT" w:eastAsia="en-US"/>
              </w:rPr>
              <w:t> m</w:t>
            </w:r>
            <w:r w:rsidRPr="00997273">
              <w:rPr>
                <w:rFonts w:eastAsia="TimesNewRoman,Bold" w:cs="Times New Roman"/>
                <w:sz w:val="22"/>
                <w:szCs w:val="22"/>
                <w:lang w:val="lt-LT" w:eastAsia="en-US"/>
              </w:rPr>
              <w:t>g kartą per</w:t>
            </w:r>
            <w:r w:rsidR="00AB6775" w:rsidRPr="00997273">
              <w:rPr>
                <w:rFonts w:eastAsia="TimesNewRoman,Bold" w:cs="Times New Roman"/>
                <w:sz w:val="22"/>
                <w:szCs w:val="22"/>
                <w:lang w:val="lt-LT" w:eastAsia="en-US"/>
              </w:rPr>
              <w:t xml:space="preserve"> </w:t>
            </w:r>
            <w:r w:rsidRPr="00997273">
              <w:rPr>
                <w:rFonts w:eastAsia="TimesNewRoman,Bold" w:cs="Times New Roman"/>
                <w:sz w:val="22"/>
                <w:szCs w:val="22"/>
                <w:lang w:val="lt-LT" w:eastAsia="en-US"/>
              </w:rPr>
              <w:t xml:space="preserve">parą, </w:t>
            </w:r>
            <w:r w:rsidR="00281E39">
              <w:rPr>
                <w:rFonts w:eastAsia="TimesNewRoman,Bold" w:cs="Times New Roman"/>
                <w:sz w:val="22"/>
                <w:szCs w:val="22"/>
                <w:lang w:val="lt-LT" w:eastAsia="en-US"/>
              </w:rPr>
              <w:t xml:space="preserve">juo </w:t>
            </w:r>
            <w:r w:rsidRPr="00997273">
              <w:rPr>
                <w:rFonts w:eastAsia="TimesNewRoman,Bold" w:cs="Times New Roman"/>
                <w:sz w:val="22"/>
                <w:szCs w:val="22"/>
                <w:lang w:val="lt-LT" w:eastAsia="en-US"/>
              </w:rPr>
              <w:t>papildant gydymą</w:t>
            </w:r>
            <w:r w:rsidR="00AB6775" w:rsidRPr="00997273">
              <w:rPr>
                <w:rFonts w:eastAsia="TimesNewRoman,Bold" w:cs="Times New Roman"/>
                <w:sz w:val="22"/>
                <w:szCs w:val="22"/>
                <w:lang w:val="lt-LT" w:eastAsia="en-US"/>
              </w:rPr>
              <w:t xml:space="preserve"> </w:t>
            </w:r>
            <w:proofErr w:type="spellStart"/>
            <w:r w:rsidRPr="00997273">
              <w:rPr>
                <w:rFonts w:eastAsia="TimesNewRoman,Bold" w:cs="Times New Roman"/>
                <w:sz w:val="22"/>
                <w:szCs w:val="22"/>
                <w:lang w:val="lt-LT" w:eastAsia="en-US"/>
              </w:rPr>
              <w:t>glimepiridu</w:t>
            </w:r>
            <w:r w:rsidR="00482287" w:rsidRPr="00997273">
              <w:rPr>
                <w:rFonts w:eastAsia="TimesNewRoman,Bold" w:cs="Times New Roman"/>
                <w:sz w:val="22"/>
                <w:szCs w:val="22"/>
                <w:vertAlign w:val="superscript"/>
                <w:lang w:val="lt-LT" w:eastAsia="en-US"/>
              </w:rPr>
              <w:t>II</w:t>
            </w:r>
            <w:proofErr w:type="spellEnd"/>
            <w:r w:rsidR="00B85FD3" w:rsidRPr="00997273">
              <w:rPr>
                <w:rFonts w:eastAsia="TimesNewRoman,Bold" w:cs="Times New Roman"/>
                <w:sz w:val="22"/>
                <w:szCs w:val="22"/>
                <w:vertAlign w:val="superscript"/>
                <w:lang w:val="lt-LT" w:eastAsia="en-US"/>
              </w:rPr>
              <w:t xml:space="preserve"> </w:t>
            </w:r>
          </w:p>
          <w:p w14:paraId="039DD7E0" w14:textId="2E5E5F61" w:rsidR="004D3290" w:rsidRPr="00997273" w:rsidRDefault="00AB6775" w:rsidP="00B85FD3">
            <w:pPr>
              <w:autoSpaceDE w:val="0"/>
              <w:autoSpaceDN w:val="0"/>
              <w:adjustRightInd w:val="0"/>
              <w:rPr>
                <w:rFonts w:eastAsia="TimesNewRoman,Bold" w:cs="Times New Roman"/>
                <w:sz w:val="22"/>
                <w:szCs w:val="22"/>
                <w:lang w:val="lt-LT" w:eastAsia="en-US"/>
              </w:rPr>
            </w:pPr>
            <w:r w:rsidRPr="00997273">
              <w:rPr>
                <w:rFonts w:eastAsia="TimesNewRoman,Bold" w:cs="Times New Roman"/>
                <w:sz w:val="22"/>
                <w:szCs w:val="22"/>
                <w:lang w:val="lt-LT" w:eastAsia="en-US"/>
              </w:rPr>
              <w:t>(N = 102)</w:t>
            </w:r>
          </w:p>
        </w:tc>
        <w:tc>
          <w:tcPr>
            <w:tcW w:w="2126" w:type="dxa"/>
          </w:tcPr>
          <w:p w14:paraId="596F4F84"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1E4A5C10"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25BA94E0" w14:textId="77777777" w:rsidR="004D3290" w:rsidRPr="00997273" w:rsidRDefault="00AB6775"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8,4</w:t>
            </w:r>
          </w:p>
        </w:tc>
        <w:tc>
          <w:tcPr>
            <w:tcW w:w="2179" w:type="dxa"/>
          </w:tcPr>
          <w:p w14:paraId="01EE1EA9"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271ADF3C"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4CF2D039" w14:textId="77777777" w:rsidR="004D3290" w:rsidRPr="00997273" w:rsidRDefault="00AB6775"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-0,3</w:t>
            </w:r>
          </w:p>
        </w:tc>
        <w:tc>
          <w:tcPr>
            <w:tcW w:w="2322" w:type="dxa"/>
          </w:tcPr>
          <w:p w14:paraId="1A2AF9DE"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7DC08758" w14:textId="77777777" w:rsidR="00AB6775" w:rsidRPr="00997273" w:rsidRDefault="00AB6775" w:rsidP="00482287">
            <w:pPr>
              <w:autoSpaceDE w:val="0"/>
              <w:autoSpaceDN w:val="0"/>
              <w:adjustRightInd w:val="0"/>
              <w:jc w:val="center"/>
              <w:rPr>
                <w:rFonts w:eastAsia="TimesNewRoman,Bold" w:cs="Times New Roman"/>
                <w:sz w:val="22"/>
                <w:szCs w:val="22"/>
                <w:lang w:val="lt-LT" w:eastAsia="en-US"/>
              </w:rPr>
            </w:pPr>
            <w:r w:rsidRPr="00997273">
              <w:rPr>
                <w:rFonts w:eastAsia="TimesNewRoman,Bold" w:cs="Times New Roman"/>
                <w:sz w:val="22"/>
                <w:szCs w:val="22"/>
                <w:lang w:val="lt-LT" w:eastAsia="en-US"/>
              </w:rPr>
              <w:t>-0,6</w:t>
            </w:r>
            <w:r w:rsidRPr="00997273">
              <w:rPr>
                <w:rFonts w:eastAsia="TimesNewRoman,Bold" w:cs="Times New Roman"/>
                <w:sz w:val="22"/>
                <w:szCs w:val="22"/>
                <w:vertAlign w:val="superscript"/>
                <w:lang w:val="lt-LT" w:eastAsia="en-US"/>
              </w:rPr>
              <w:t>‡</w:t>
            </w:r>
          </w:p>
          <w:p w14:paraId="5E154908" w14:textId="77777777" w:rsidR="004D3290" w:rsidRPr="00997273" w:rsidRDefault="00AB6775"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(-0,8; -0,3)</w:t>
            </w:r>
          </w:p>
        </w:tc>
      </w:tr>
      <w:tr w:rsidR="004D3290" w:rsidRPr="00997273" w14:paraId="74F1708B" w14:textId="77777777" w:rsidTr="00D7448E">
        <w:tc>
          <w:tcPr>
            <w:tcW w:w="2660" w:type="dxa"/>
          </w:tcPr>
          <w:p w14:paraId="1BA81759" w14:textId="1DF5F240" w:rsidR="00BF6E60" w:rsidRDefault="004D3290" w:rsidP="00B85FD3">
            <w:pPr>
              <w:autoSpaceDE w:val="0"/>
              <w:autoSpaceDN w:val="0"/>
              <w:adjustRightInd w:val="0"/>
              <w:rPr>
                <w:rFonts w:eastAsia="TimesNewRoman,Bold" w:cs="Times New Roman"/>
                <w:sz w:val="22"/>
                <w:szCs w:val="22"/>
                <w:vertAlign w:val="superscript"/>
                <w:lang w:val="lt-LT" w:eastAsia="en-US"/>
              </w:rPr>
            </w:pPr>
            <w:proofErr w:type="spellStart"/>
            <w:r w:rsidRPr="00997273">
              <w:rPr>
                <w:rFonts w:eastAsia="TimesNewRoman,Bold" w:cs="Times New Roman"/>
                <w:sz w:val="22"/>
                <w:szCs w:val="22"/>
                <w:lang w:val="lt-LT" w:eastAsia="en-US"/>
              </w:rPr>
              <w:t>Sitagliptinas</w:t>
            </w:r>
            <w:proofErr w:type="spellEnd"/>
            <w:r w:rsidRPr="00997273">
              <w:rPr>
                <w:rFonts w:eastAsia="TimesNewRoman,Bold" w:cs="Times New Roman"/>
                <w:sz w:val="22"/>
                <w:szCs w:val="22"/>
                <w:lang w:val="lt-LT" w:eastAsia="en-US"/>
              </w:rPr>
              <w:t xml:space="preserve"> 100</w:t>
            </w:r>
            <w:r w:rsidR="00AB6775" w:rsidRPr="00997273">
              <w:rPr>
                <w:rFonts w:eastAsia="TimesNewRoman,Bold" w:cs="Times New Roman"/>
                <w:sz w:val="22"/>
                <w:szCs w:val="22"/>
                <w:lang w:val="lt-LT" w:eastAsia="en-US"/>
              </w:rPr>
              <w:t> </w:t>
            </w:r>
            <w:r w:rsidRPr="00997273">
              <w:rPr>
                <w:rFonts w:eastAsia="TimesNewRoman,Bold" w:cs="Times New Roman"/>
                <w:sz w:val="22"/>
                <w:szCs w:val="22"/>
                <w:lang w:val="lt-LT" w:eastAsia="en-US"/>
              </w:rPr>
              <w:t>mg kartą per</w:t>
            </w:r>
            <w:r w:rsidR="00AB6775" w:rsidRPr="00997273">
              <w:rPr>
                <w:rFonts w:eastAsia="TimesNewRoman,Bold" w:cs="Times New Roman"/>
                <w:sz w:val="22"/>
                <w:szCs w:val="22"/>
                <w:lang w:val="lt-LT" w:eastAsia="en-US"/>
              </w:rPr>
              <w:t xml:space="preserve"> </w:t>
            </w:r>
            <w:r w:rsidRPr="00997273">
              <w:rPr>
                <w:rFonts w:eastAsia="TimesNewRoman,Bold" w:cs="Times New Roman"/>
                <w:sz w:val="22"/>
                <w:szCs w:val="22"/>
                <w:lang w:val="lt-LT" w:eastAsia="en-US"/>
              </w:rPr>
              <w:t xml:space="preserve">parą, </w:t>
            </w:r>
            <w:r w:rsidR="008B5465">
              <w:rPr>
                <w:rFonts w:eastAsia="TimesNewRoman,Bold" w:cs="Times New Roman"/>
                <w:sz w:val="22"/>
                <w:szCs w:val="22"/>
                <w:lang w:val="lt-LT" w:eastAsia="en-US"/>
              </w:rPr>
              <w:t xml:space="preserve">juo </w:t>
            </w:r>
            <w:r w:rsidRPr="00997273">
              <w:rPr>
                <w:rFonts w:eastAsia="TimesNewRoman,Bold" w:cs="Times New Roman"/>
                <w:sz w:val="22"/>
                <w:szCs w:val="22"/>
                <w:lang w:val="lt-LT" w:eastAsia="en-US"/>
              </w:rPr>
              <w:t>papildant gydymą</w:t>
            </w:r>
            <w:r w:rsidR="00AB6775" w:rsidRPr="00997273">
              <w:rPr>
                <w:rFonts w:eastAsia="TimesNewRoman,Bold" w:cs="Times New Roman"/>
                <w:sz w:val="22"/>
                <w:szCs w:val="22"/>
                <w:lang w:val="lt-LT" w:eastAsia="en-US"/>
              </w:rPr>
              <w:t xml:space="preserve"> </w:t>
            </w:r>
            <w:proofErr w:type="spellStart"/>
            <w:r w:rsidRPr="00997273">
              <w:rPr>
                <w:rFonts w:eastAsia="TimesNewRoman,Bold" w:cs="Times New Roman"/>
                <w:sz w:val="22"/>
                <w:szCs w:val="22"/>
                <w:lang w:val="lt-LT" w:eastAsia="en-US"/>
              </w:rPr>
              <w:t>glimepirido</w:t>
            </w:r>
            <w:proofErr w:type="spellEnd"/>
            <w:r w:rsidRPr="00997273">
              <w:rPr>
                <w:rFonts w:eastAsia="TimesNewRoman,Bold" w:cs="Times New Roman"/>
                <w:sz w:val="22"/>
                <w:szCs w:val="22"/>
                <w:lang w:val="lt-LT" w:eastAsia="en-US"/>
              </w:rPr>
              <w:t xml:space="preserve"> ir </w:t>
            </w:r>
            <w:proofErr w:type="spellStart"/>
            <w:r w:rsidRPr="00997273">
              <w:rPr>
                <w:rFonts w:eastAsia="TimesNewRoman,Bold" w:cs="Times New Roman"/>
                <w:sz w:val="22"/>
                <w:szCs w:val="22"/>
                <w:lang w:val="lt-LT" w:eastAsia="en-US"/>
              </w:rPr>
              <w:t>metformino</w:t>
            </w:r>
            <w:proofErr w:type="spellEnd"/>
            <w:r w:rsidR="00AB6775" w:rsidRPr="00997273">
              <w:rPr>
                <w:rFonts w:eastAsia="TimesNewRoman,Bold" w:cs="Times New Roman"/>
                <w:sz w:val="22"/>
                <w:szCs w:val="22"/>
                <w:lang w:val="lt-LT" w:eastAsia="en-US"/>
              </w:rPr>
              <w:t xml:space="preserve"> </w:t>
            </w:r>
            <w:proofErr w:type="spellStart"/>
            <w:r w:rsidRPr="00997273">
              <w:rPr>
                <w:rFonts w:eastAsia="TimesNewRoman,Bold" w:cs="Times New Roman"/>
                <w:sz w:val="22"/>
                <w:szCs w:val="22"/>
                <w:lang w:val="lt-LT" w:eastAsia="en-US"/>
              </w:rPr>
              <w:t>deriniu</w:t>
            </w:r>
            <w:r w:rsidR="00AB6775" w:rsidRPr="00997273">
              <w:rPr>
                <w:rFonts w:eastAsia="TimesNewRoman,Bold" w:cs="Times New Roman"/>
                <w:sz w:val="22"/>
                <w:szCs w:val="22"/>
                <w:vertAlign w:val="superscript"/>
                <w:lang w:val="lt-LT" w:eastAsia="en-US"/>
              </w:rPr>
              <w:t>II</w:t>
            </w:r>
            <w:proofErr w:type="spellEnd"/>
          </w:p>
          <w:p w14:paraId="13E60432" w14:textId="783B7298" w:rsidR="004D3290" w:rsidRPr="00997273" w:rsidRDefault="004D3290" w:rsidP="00B85FD3">
            <w:pPr>
              <w:autoSpaceDE w:val="0"/>
              <w:autoSpaceDN w:val="0"/>
              <w:adjustRightInd w:val="0"/>
              <w:rPr>
                <w:rFonts w:cs="Times New Roman"/>
                <w:sz w:val="22"/>
                <w:szCs w:val="22"/>
                <w:lang w:val="lt-LT" w:eastAsia="en-US"/>
              </w:rPr>
            </w:pPr>
            <w:r w:rsidRPr="00997273">
              <w:rPr>
                <w:rFonts w:eastAsia="TimesNewRoman,Bold" w:cs="Times New Roman"/>
                <w:sz w:val="22"/>
                <w:szCs w:val="22"/>
                <w:lang w:val="lt-LT" w:eastAsia="en-US"/>
              </w:rPr>
              <w:t>(N = 115)</w:t>
            </w:r>
          </w:p>
        </w:tc>
        <w:tc>
          <w:tcPr>
            <w:tcW w:w="2126" w:type="dxa"/>
          </w:tcPr>
          <w:p w14:paraId="7A3BB8F8"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6033F4E2"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4446666E"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5BD46C1E" w14:textId="77777777" w:rsidR="004D3290" w:rsidRPr="00997273" w:rsidRDefault="00482287"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 xml:space="preserve">8,3 </w:t>
            </w:r>
          </w:p>
        </w:tc>
        <w:tc>
          <w:tcPr>
            <w:tcW w:w="2179" w:type="dxa"/>
          </w:tcPr>
          <w:p w14:paraId="7F4492C9"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04C02BB3"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5B591D1C"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04BEA606" w14:textId="77777777" w:rsidR="004D3290" w:rsidRPr="00997273" w:rsidRDefault="00AB6775"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-0,6</w:t>
            </w:r>
          </w:p>
        </w:tc>
        <w:tc>
          <w:tcPr>
            <w:tcW w:w="2322" w:type="dxa"/>
          </w:tcPr>
          <w:p w14:paraId="20F3E868"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4827A869"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34749AB0" w14:textId="77777777" w:rsidR="00AB6775" w:rsidRPr="00997273" w:rsidRDefault="00AB6775" w:rsidP="00482287">
            <w:pPr>
              <w:autoSpaceDE w:val="0"/>
              <w:autoSpaceDN w:val="0"/>
              <w:adjustRightInd w:val="0"/>
              <w:jc w:val="center"/>
              <w:rPr>
                <w:rFonts w:eastAsia="TimesNewRoman,Bold" w:cs="Times New Roman"/>
                <w:sz w:val="22"/>
                <w:szCs w:val="22"/>
                <w:lang w:val="lt-LT" w:eastAsia="en-US"/>
              </w:rPr>
            </w:pPr>
            <w:r w:rsidRPr="00997273">
              <w:rPr>
                <w:rFonts w:eastAsia="TimesNewRoman,Bold" w:cs="Times New Roman"/>
                <w:sz w:val="22"/>
                <w:szCs w:val="22"/>
                <w:lang w:val="lt-LT" w:eastAsia="en-US"/>
              </w:rPr>
              <w:t>-0,9</w:t>
            </w:r>
            <w:r w:rsidRPr="00997273">
              <w:rPr>
                <w:rFonts w:eastAsia="TimesNewRoman,Bold" w:cs="Times New Roman"/>
                <w:sz w:val="22"/>
                <w:szCs w:val="22"/>
                <w:vertAlign w:val="superscript"/>
                <w:lang w:val="lt-LT" w:eastAsia="en-US"/>
              </w:rPr>
              <w:t>‡</w:t>
            </w:r>
          </w:p>
          <w:p w14:paraId="785F23E8" w14:textId="77777777" w:rsidR="004D3290" w:rsidRPr="00997273" w:rsidRDefault="00AB6775" w:rsidP="00482287">
            <w:pPr>
              <w:tabs>
                <w:tab w:val="left" w:pos="567"/>
              </w:tabs>
              <w:jc w:val="center"/>
              <w:rPr>
                <w:rFonts w:cs="Times New Roman"/>
                <w:sz w:val="22"/>
                <w:szCs w:val="22"/>
                <w:lang w:val="lt-LT" w:eastAsia="en-US"/>
              </w:rPr>
            </w:pPr>
            <w:r w:rsidRPr="00997273">
              <w:rPr>
                <w:rFonts w:eastAsia="TimesNewRoman,Bold" w:cs="Times New Roman"/>
                <w:sz w:val="22"/>
                <w:szCs w:val="22"/>
                <w:lang w:val="lt-LT" w:eastAsia="en-US"/>
              </w:rPr>
              <w:t>(-1,1; -0,7)</w:t>
            </w:r>
          </w:p>
        </w:tc>
      </w:tr>
      <w:tr w:rsidR="004D3290" w:rsidRPr="00997273" w14:paraId="6F452FDD" w14:textId="77777777" w:rsidTr="00D7448E">
        <w:tc>
          <w:tcPr>
            <w:tcW w:w="2660" w:type="dxa"/>
          </w:tcPr>
          <w:p w14:paraId="4D3F0497" w14:textId="0DB38C67" w:rsidR="00BF6E60" w:rsidRDefault="004D3290" w:rsidP="00B85FD3">
            <w:pPr>
              <w:autoSpaceDE w:val="0"/>
              <w:autoSpaceDN w:val="0"/>
              <w:adjustRightInd w:val="0"/>
              <w:rPr>
                <w:rFonts w:eastAsia="TimesNewRoman,Bold" w:cs="Times New Roman"/>
                <w:sz w:val="22"/>
                <w:szCs w:val="22"/>
                <w:lang w:val="lt-LT" w:eastAsia="en-US"/>
              </w:rPr>
            </w:pPr>
            <w:proofErr w:type="spellStart"/>
            <w:r w:rsidRPr="00997273">
              <w:rPr>
                <w:rFonts w:eastAsia="TimesNewRoman,Bold" w:cs="Times New Roman"/>
                <w:sz w:val="22"/>
                <w:szCs w:val="22"/>
                <w:lang w:val="lt-LT" w:eastAsia="en-US"/>
              </w:rPr>
              <w:t>Sitaglipti</w:t>
            </w:r>
            <w:r w:rsidR="00AB6775" w:rsidRPr="00997273">
              <w:rPr>
                <w:rFonts w:eastAsia="TimesNewRoman,Bold" w:cs="Times New Roman"/>
                <w:sz w:val="22"/>
                <w:szCs w:val="22"/>
                <w:lang w:val="lt-LT" w:eastAsia="en-US"/>
              </w:rPr>
              <w:t>nas</w:t>
            </w:r>
            <w:proofErr w:type="spellEnd"/>
            <w:r w:rsidR="00AB6775" w:rsidRPr="00997273">
              <w:rPr>
                <w:rFonts w:eastAsia="TimesNewRoman,Bold" w:cs="Times New Roman"/>
                <w:sz w:val="22"/>
                <w:szCs w:val="22"/>
                <w:lang w:val="lt-LT" w:eastAsia="en-US"/>
              </w:rPr>
              <w:t xml:space="preserve"> 100 </w:t>
            </w:r>
            <w:r w:rsidRPr="00997273">
              <w:rPr>
                <w:rFonts w:eastAsia="TimesNewRoman,Bold" w:cs="Times New Roman"/>
                <w:sz w:val="22"/>
                <w:szCs w:val="22"/>
                <w:lang w:val="lt-LT" w:eastAsia="en-US"/>
              </w:rPr>
              <w:t>mg kartą per</w:t>
            </w:r>
            <w:r w:rsidR="00AB6775" w:rsidRPr="00997273">
              <w:rPr>
                <w:rFonts w:eastAsia="TimesNewRoman,Bold" w:cs="Times New Roman"/>
                <w:sz w:val="22"/>
                <w:szCs w:val="22"/>
                <w:lang w:val="lt-LT" w:eastAsia="en-US"/>
              </w:rPr>
              <w:t xml:space="preserve"> </w:t>
            </w:r>
            <w:r w:rsidRPr="00997273">
              <w:rPr>
                <w:rFonts w:eastAsia="TimesNewRoman,Bold" w:cs="Times New Roman"/>
                <w:sz w:val="22"/>
                <w:szCs w:val="22"/>
                <w:lang w:val="lt-LT" w:eastAsia="en-US"/>
              </w:rPr>
              <w:t xml:space="preserve">parą, </w:t>
            </w:r>
            <w:r w:rsidR="00BF0714">
              <w:rPr>
                <w:rFonts w:eastAsia="TimesNewRoman,Bold" w:cs="Times New Roman"/>
                <w:sz w:val="22"/>
                <w:szCs w:val="22"/>
                <w:lang w:val="lt-LT" w:eastAsia="en-US"/>
              </w:rPr>
              <w:t xml:space="preserve">juo </w:t>
            </w:r>
            <w:r w:rsidRPr="00997273">
              <w:rPr>
                <w:rFonts w:eastAsia="TimesNewRoman,Bold" w:cs="Times New Roman"/>
                <w:sz w:val="22"/>
                <w:szCs w:val="22"/>
                <w:lang w:val="lt-LT" w:eastAsia="en-US"/>
              </w:rPr>
              <w:t>papildant gydymą</w:t>
            </w:r>
            <w:r w:rsidR="00AB6775" w:rsidRPr="00997273">
              <w:rPr>
                <w:rFonts w:eastAsia="TimesNewRoman,Bold" w:cs="Times New Roman"/>
                <w:sz w:val="22"/>
                <w:szCs w:val="22"/>
                <w:lang w:val="lt-LT" w:eastAsia="en-US"/>
              </w:rPr>
              <w:t xml:space="preserve"> </w:t>
            </w:r>
            <w:proofErr w:type="spellStart"/>
            <w:r w:rsidRPr="00997273">
              <w:rPr>
                <w:rFonts w:eastAsia="TimesNewRoman,Bold" w:cs="Times New Roman"/>
                <w:sz w:val="22"/>
                <w:szCs w:val="22"/>
                <w:lang w:val="lt-LT" w:eastAsia="en-US"/>
              </w:rPr>
              <w:t>pioglitazono</w:t>
            </w:r>
            <w:proofErr w:type="spellEnd"/>
            <w:r w:rsidRPr="00997273">
              <w:rPr>
                <w:rFonts w:eastAsia="TimesNewRoman,Bold" w:cs="Times New Roman"/>
                <w:sz w:val="22"/>
                <w:szCs w:val="22"/>
                <w:lang w:val="lt-LT" w:eastAsia="en-US"/>
              </w:rPr>
              <w:t xml:space="preserve"> ir </w:t>
            </w:r>
            <w:proofErr w:type="spellStart"/>
            <w:r w:rsidRPr="00997273">
              <w:rPr>
                <w:rFonts w:eastAsia="TimesNewRoman,Bold" w:cs="Times New Roman"/>
                <w:sz w:val="22"/>
                <w:szCs w:val="22"/>
                <w:lang w:val="lt-LT" w:eastAsia="en-US"/>
              </w:rPr>
              <w:t>metformino</w:t>
            </w:r>
            <w:proofErr w:type="spellEnd"/>
            <w:r w:rsidR="00AB6775" w:rsidRPr="00997273">
              <w:rPr>
                <w:rFonts w:eastAsia="TimesNewRoman,Bold" w:cs="Times New Roman"/>
                <w:sz w:val="22"/>
                <w:szCs w:val="22"/>
                <w:lang w:val="lt-LT" w:eastAsia="en-US"/>
              </w:rPr>
              <w:t xml:space="preserve"> </w:t>
            </w:r>
            <w:r w:rsidRPr="00997273">
              <w:rPr>
                <w:rFonts w:eastAsia="TimesNewRoman,Bold" w:cs="Times New Roman"/>
                <w:sz w:val="22"/>
                <w:szCs w:val="22"/>
                <w:lang w:val="lt-LT" w:eastAsia="en-US"/>
              </w:rPr>
              <w:t>deriniu</w:t>
            </w:r>
            <w:r w:rsidRPr="00997273">
              <w:rPr>
                <w:rFonts w:eastAsia="TimesNewRoman,Bold" w:cs="Times New Roman"/>
                <w:sz w:val="22"/>
                <w:szCs w:val="22"/>
                <w:vertAlign w:val="superscript"/>
                <w:lang w:val="lt-LT" w:eastAsia="en-US"/>
              </w:rPr>
              <w:t>#</w:t>
            </w:r>
          </w:p>
          <w:p w14:paraId="6D7768AC" w14:textId="1A947AFD" w:rsidR="004D3290" w:rsidRPr="00997273" w:rsidRDefault="004D3290" w:rsidP="00B85FD3">
            <w:pPr>
              <w:autoSpaceDE w:val="0"/>
              <w:autoSpaceDN w:val="0"/>
              <w:adjustRightInd w:val="0"/>
              <w:rPr>
                <w:rFonts w:cs="Times New Roman"/>
                <w:sz w:val="22"/>
                <w:szCs w:val="22"/>
                <w:lang w:val="lt-LT" w:eastAsia="en-US"/>
              </w:rPr>
            </w:pPr>
            <w:r w:rsidRPr="00997273">
              <w:rPr>
                <w:rFonts w:eastAsia="TimesNewRoman,Bold" w:cs="Times New Roman"/>
                <w:sz w:val="22"/>
                <w:szCs w:val="22"/>
                <w:lang w:val="lt-LT" w:eastAsia="en-US"/>
              </w:rPr>
              <w:t>(N = 152)</w:t>
            </w:r>
          </w:p>
        </w:tc>
        <w:tc>
          <w:tcPr>
            <w:tcW w:w="2126" w:type="dxa"/>
          </w:tcPr>
          <w:p w14:paraId="18F78925"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6B551141"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3983C906"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0FC3BFED" w14:textId="77777777" w:rsidR="004D3290" w:rsidRPr="00997273" w:rsidRDefault="00AB6775"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8,8</w:t>
            </w:r>
          </w:p>
        </w:tc>
        <w:tc>
          <w:tcPr>
            <w:tcW w:w="2179" w:type="dxa"/>
          </w:tcPr>
          <w:p w14:paraId="63A6AB48"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0C05CE3D"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55C5AEE9"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1BD3F5B1" w14:textId="77777777" w:rsidR="004D3290" w:rsidRPr="00997273" w:rsidRDefault="00AB6775"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-1,2</w:t>
            </w:r>
          </w:p>
        </w:tc>
        <w:tc>
          <w:tcPr>
            <w:tcW w:w="2322" w:type="dxa"/>
          </w:tcPr>
          <w:p w14:paraId="2D8540FF"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6C1B4B3A"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6E21F30B" w14:textId="77777777" w:rsidR="00AB6775" w:rsidRPr="00997273" w:rsidRDefault="00AB6775" w:rsidP="00482287">
            <w:pPr>
              <w:autoSpaceDE w:val="0"/>
              <w:autoSpaceDN w:val="0"/>
              <w:adjustRightInd w:val="0"/>
              <w:jc w:val="center"/>
              <w:rPr>
                <w:rFonts w:eastAsia="TimesNewRoman,Bold" w:cs="Times New Roman"/>
                <w:sz w:val="22"/>
                <w:szCs w:val="22"/>
                <w:lang w:val="lt-LT" w:eastAsia="en-US"/>
              </w:rPr>
            </w:pPr>
            <w:r w:rsidRPr="00997273">
              <w:rPr>
                <w:rFonts w:eastAsia="TimesNewRoman,Bold" w:cs="Times New Roman"/>
                <w:sz w:val="22"/>
                <w:szCs w:val="22"/>
                <w:lang w:val="lt-LT" w:eastAsia="en-US"/>
              </w:rPr>
              <w:t>-0,7</w:t>
            </w:r>
            <w:r w:rsidRPr="00997273">
              <w:rPr>
                <w:rFonts w:eastAsia="TimesNewRoman,Bold" w:cs="Times New Roman"/>
                <w:sz w:val="22"/>
                <w:szCs w:val="22"/>
                <w:vertAlign w:val="superscript"/>
                <w:lang w:val="lt-LT" w:eastAsia="en-US"/>
              </w:rPr>
              <w:t>‡</w:t>
            </w:r>
          </w:p>
          <w:p w14:paraId="2775DA51" w14:textId="77777777" w:rsidR="004D3290" w:rsidRPr="00997273" w:rsidRDefault="00AB6775" w:rsidP="002557D3">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(-1,0; -0,5)</w:t>
            </w:r>
          </w:p>
        </w:tc>
      </w:tr>
      <w:tr w:rsidR="004D3290" w:rsidRPr="00997273" w14:paraId="302AED5C" w14:textId="77777777" w:rsidTr="00D7448E">
        <w:tc>
          <w:tcPr>
            <w:tcW w:w="2660" w:type="dxa"/>
          </w:tcPr>
          <w:p w14:paraId="4C4A1457" w14:textId="20B2AB72" w:rsidR="00D7448E" w:rsidRPr="00997273" w:rsidRDefault="004D3290" w:rsidP="008C1B8D">
            <w:pPr>
              <w:autoSpaceDE w:val="0"/>
              <w:autoSpaceDN w:val="0"/>
              <w:adjustRightInd w:val="0"/>
              <w:rPr>
                <w:rFonts w:eastAsia="TimesNewRoman,Bold" w:cs="Times New Roman"/>
                <w:sz w:val="22"/>
                <w:szCs w:val="22"/>
                <w:lang w:val="lt-LT" w:eastAsia="en-US"/>
              </w:rPr>
            </w:pPr>
            <w:r w:rsidRPr="00997273">
              <w:rPr>
                <w:rFonts w:eastAsia="TimesNewRoman,Bold" w:cs="Times New Roman"/>
                <w:sz w:val="22"/>
                <w:szCs w:val="22"/>
                <w:lang w:val="lt-LT" w:eastAsia="en-US"/>
              </w:rPr>
              <w:t>Pradinis gydymas (du kartus per</w:t>
            </w:r>
            <w:r w:rsidR="00AB6775" w:rsidRPr="00997273">
              <w:rPr>
                <w:rFonts w:eastAsia="TimesNewRoman,Bold" w:cs="Times New Roman"/>
                <w:sz w:val="22"/>
                <w:szCs w:val="22"/>
                <w:lang w:val="lt-LT" w:eastAsia="en-US"/>
              </w:rPr>
              <w:t xml:space="preserve"> </w:t>
            </w:r>
            <w:r w:rsidR="00482287" w:rsidRPr="00997273">
              <w:rPr>
                <w:rFonts w:eastAsia="TimesNewRoman,Bold" w:cs="Times New Roman"/>
                <w:sz w:val="22"/>
                <w:szCs w:val="22"/>
                <w:lang w:val="lt-LT" w:eastAsia="en-US"/>
              </w:rPr>
              <w:t>parą)</w:t>
            </w:r>
            <w:r w:rsidR="00AB6775" w:rsidRPr="00997273">
              <w:rPr>
                <w:rFonts w:eastAsia="TimesNewRoman,Bold" w:cs="Times New Roman"/>
                <w:sz w:val="22"/>
                <w:szCs w:val="22"/>
                <w:vertAlign w:val="superscript"/>
                <w:lang w:val="lt-LT" w:eastAsia="en-US"/>
              </w:rPr>
              <w:t>II</w:t>
            </w:r>
            <w:r w:rsidRPr="00997273">
              <w:rPr>
                <w:rFonts w:eastAsia="TimesNewRoman,Bold" w:cs="Times New Roman"/>
                <w:sz w:val="22"/>
                <w:szCs w:val="22"/>
                <w:lang w:val="lt-LT" w:eastAsia="en-US"/>
              </w:rPr>
              <w:t xml:space="preserve">: </w:t>
            </w:r>
            <w:proofErr w:type="spellStart"/>
            <w:r w:rsidRPr="00997273">
              <w:rPr>
                <w:rFonts w:eastAsia="TimesNewRoman,Bold" w:cs="Times New Roman"/>
                <w:sz w:val="22"/>
                <w:szCs w:val="22"/>
                <w:lang w:val="lt-LT" w:eastAsia="en-US"/>
              </w:rPr>
              <w:t>sitagliptinas</w:t>
            </w:r>
            <w:proofErr w:type="spellEnd"/>
            <w:r w:rsidRPr="00997273">
              <w:rPr>
                <w:rFonts w:eastAsia="TimesNewRoman,Bold" w:cs="Times New Roman"/>
                <w:sz w:val="22"/>
                <w:szCs w:val="22"/>
                <w:lang w:val="lt-LT" w:eastAsia="en-US"/>
              </w:rPr>
              <w:t xml:space="preserve"> 50</w:t>
            </w:r>
            <w:r w:rsidR="00AB6775" w:rsidRPr="00997273">
              <w:rPr>
                <w:rFonts w:eastAsia="TimesNewRoman,Bold" w:cs="Times New Roman"/>
                <w:sz w:val="22"/>
                <w:szCs w:val="22"/>
                <w:lang w:val="lt-LT" w:eastAsia="en-US"/>
              </w:rPr>
              <w:t> </w:t>
            </w:r>
            <w:r w:rsidRPr="00997273">
              <w:rPr>
                <w:rFonts w:eastAsia="TimesNewRoman,Bold" w:cs="Times New Roman"/>
                <w:sz w:val="22"/>
                <w:szCs w:val="22"/>
                <w:lang w:val="lt-LT" w:eastAsia="en-US"/>
              </w:rPr>
              <w:t>mg ir</w:t>
            </w:r>
            <w:r w:rsidR="00AB6775" w:rsidRPr="00997273">
              <w:rPr>
                <w:rFonts w:eastAsia="TimesNewRoman,Bold" w:cs="Times New Roman"/>
                <w:sz w:val="22"/>
                <w:szCs w:val="22"/>
                <w:lang w:val="lt-LT" w:eastAsia="en-US"/>
              </w:rPr>
              <w:t xml:space="preserve"> </w:t>
            </w:r>
            <w:proofErr w:type="spellStart"/>
            <w:r w:rsidRPr="00997273">
              <w:rPr>
                <w:rFonts w:eastAsia="TimesNewRoman,Bold" w:cs="Times New Roman"/>
                <w:sz w:val="22"/>
                <w:szCs w:val="22"/>
                <w:lang w:val="lt-LT" w:eastAsia="en-US"/>
              </w:rPr>
              <w:t>metforminas</w:t>
            </w:r>
            <w:proofErr w:type="spellEnd"/>
            <w:r w:rsidRPr="00997273">
              <w:rPr>
                <w:rFonts w:eastAsia="TimesNewRoman,Bold" w:cs="Times New Roman"/>
                <w:sz w:val="22"/>
                <w:szCs w:val="22"/>
                <w:lang w:val="lt-LT" w:eastAsia="en-US"/>
              </w:rPr>
              <w:t xml:space="preserve"> 500</w:t>
            </w:r>
            <w:r w:rsidR="00AB6775" w:rsidRPr="00997273">
              <w:rPr>
                <w:rFonts w:eastAsia="TimesNewRoman,Bold" w:cs="Times New Roman"/>
                <w:sz w:val="22"/>
                <w:szCs w:val="22"/>
                <w:lang w:val="lt-LT" w:eastAsia="en-US"/>
              </w:rPr>
              <w:t> </w:t>
            </w:r>
            <w:r w:rsidRPr="00997273">
              <w:rPr>
                <w:rFonts w:eastAsia="TimesNewRoman,Bold" w:cs="Times New Roman"/>
                <w:sz w:val="22"/>
                <w:szCs w:val="22"/>
                <w:lang w:val="lt-LT" w:eastAsia="en-US"/>
              </w:rPr>
              <w:t>mg</w:t>
            </w:r>
            <w:r w:rsidR="00AB6775" w:rsidRPr="00997273">
              <w:rPr>
                <w:rFonts w:eastAsia="TimesNewRoman,Bold" w:cs="Times New Roman"/>
                <w:sz w:val="22"/>
                <w:szCs w:val="22"/>
                <w:lang w:val="lt-LT" w:eastAsia="en-US"/>
              </w:rPr>
              <w:t xml:space="preserve"> </w:t>
            </w:r>
          </w:p>
          <w:p w14:paraId="50FB2C64" w14:textId="77777777" w:rsidR="004D3290" w:rsidRPr="00997273" w:rsidRDefault="004D3290" w:rsidP="008C1B8D">
            <w:pPr>
              <w:autoSpaceDE w:val="0"/>
              <w:autoSpaceDN w:val="0"/>
              <w:adjustRightInd w:val="0"/>
              <w:rPr>
                <w:rFonts w:cs="Times New Roman"/>
                <w:sz w:val="22"/>
                <w:szCs w:val="22"/>
                <w:lang w:val="lt-LT" w:eastAsia="en-US"/>
              </w:rPr>
            </w:pPr>
            <w:r w:rsidRPr="00997273">
              <w:rPr>
                <w:rFonts w:eastAsia="TimesNewRoman,Bold" w:cs="Times New Roman"/>
                <w:sz w:val="22"/>
                <w:szCs w:val="22"/>
                <w:lang w:val="lt-LT" w:eastAsia="en-US"/>
              </w:rPr>
              <w:t>(N = 183)</w:t>
            </w:r>
          </w:p>
        </w:tc>
        <w:tc>
          <w:tcPr>
            <w:tcW w:w="2126" w:type="dxa"/>
          </w:tcPr>
          <w:p w14:paraId="4EE2C98D"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6D5AFC2A"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5688BE35"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56F5E71F" w14:textId="77777777" w:rsidR="004D3290" w:rsidRPr="00997273" w:rsidRDefault="008C1B8D"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8,8</w:t>
            </w:r>
          </w:p>
        </w:tc>
        <w:tc>
          <w:tcPr>
            <w:tcW w:w="2179" w:type="dxa"/>
          </w:tcPr>
          <w:p w14:paraId="32B0715F"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35FA0C93"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54C12CAE"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11DC01C8" w14:textId="77777777" w:rsidR="004D3290" w:rsidRPr="00997273" w:rsidRDefault="008C1B8D"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-1,4</w:t>
            </w:r>
          </w:p>
        </w:tc>
        <w:tc>
          <w:tcPr>
            <w:tcW w:w="2322" w:type="dxa"/>
          </w:tcPr>
          <w:p w14:paraId="403CFEB8"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7F04A0FF"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6FA153C4"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1B176D15" w14:textId="77777777" w:rsidR="008C1B8D" w:rsidRPr="00997273" w:rsidRDefault="008C1B8D" w:rsidP="00482287">
            <w:pPr>
              <w:autoSpaceDE w:val="0"/>
              <w:autoSpaceDN w:val="0"/>
              <w:adjustRightInd w:val="0"/>
              <w:jc w:val="center"/>
              <w:rPr>
                <w:rFonts w:eastAsia="TimesNewRoman,Bold" w:cs="Times New Roman"/>
                <w:sz w:val="22"/>
                <w:szCs w:val="22"/>
                <w:lang w:val="lt-LT" w:eastAsia="en-US"/>
              </w:rPr>
            </w:pPr>
            <w:r w:rsidRPr="00997273">
              <w:rPr>
                <w:rFonts w:eastAsia="TimesNewRoman,Bold" w:cs="Times New Roman"/>
                <w:sz w:val="22"/>
                <w:szCs w:val="22"/>
                <w:lang w:val="lt-LT" w:eastAsia="en-US"/>
              </w:rPr>
              <w:t>-1,6</w:t>
            </w:r>
            <w:r w:rsidRPr="00997273">
              <w:rPr>
                <w:rFonts w:eastAsia="TimesNewRoman,Bold" w:cs="Times New Roman"/>
                <w:sz w:val="22"/>
                <w:szCs w:val="22"/>
                <w:vertAlign w:val="superscript"/>
                <w:lang w:val="lt-LT" w:eastAsia="en-US"/>
              </w:rPr>
              <w:t>‡</w:t>
            </w:r>
          </w:p>
          <w:p w14:paraId="6CC0813D" w14:textId="77777777" w:rsidR="004D3290" w:rsidRPr="00997273" w:rsidRDefault="008C1B8D"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(-1,8; -1,3)</w:t>
            </w:r>
          </w:p>
        </w:tc>
      </w:tr>
      <w:tr w:rsidR="004D3290" w:rsidRPr="00997273" w14:paraId="112E3A85" w14:textId="77777777" w:rsidTr="00D7448E">
        <w:tc>
          <w:tcPr>
            <w:tcW w:w="2660" w:type="dxa"/>
          </w:tcPr>
          <w:p w14:paraId="79E0A0FC" w14:textId="19FE642B" w:rsidR="008C1B8D" w:rsidRPr="00997273" w:rsidRDefault="004D3290" w:rsidP="004D3290">
            <w:pPr>
              <w:autoSpaceDE w:val="0"/>
              <w:autoSpaceDN w:val="0"/>
              <w:adjustRightInd w:val="0"/>
              <w:rPr>
                <w:rFonts w:eastAsia="TimesNewRoman,Bold" w:cs="Times New Roman"/>
                <w:sz w:val="22"/>
                <w:szCs w:val="22"/>
                <w:lang w:val="lt-LT" w:eastAsia="en-US"/>
              </w:rPr>
            </w:pPr>
            <w:r w:rsidRPr="00997273">
              <w:rPr>
                <w:rFonts w:eastAsia="TimesNewRoman,Bold" w:cs="Times New Roman"/>
                <w:sz w:val="22"/>
                <w:szCs w:val="22"/>
                <w:lang w:val="lt-LT" w:eastAsia="en-US"/>
              </w:rPr>
              <w:t>Pradinis gydymas (du kartus per</w:t>
            </w:r>
            <w:r w:rsidR="008C1B8D" w:rsidRPr="00997273">
              <w:rPr>
                <w:rFonts w:eastAsia="TimesNewRoman,Bold" w:cs="Times New Roman"/>
                <w:sz w:val="22"/>
                <w:szCs w:val="22"/>
                <w:lang w:val="lt-LT" w:eastAsia="en-US"/>
              </w:rPr>
              <w:t xml:space="preserve"> </w:t>
            </w:r>
            <w:r w:rsidR="00482287" w:rsidRPr="00997273">
              <w:rPr>
                <w:rFonts w:eastAsia="TimesNewRoman,Bold" w:cs="Times New Roman"/>
                <w:sz w:val="22"/>
                <w:szCs w:val="22"/>
                <w:lang w:val="lt-LT" w:eastAsia="en-US"/>
              </w:rPr>
              <w:t>parą)</w:t>
            </w:r>
            <w:r w:rsidR="008C1B8D" w:rsidRPr="00997273">
              <w:rPr>
                <w:rFonts w:eastAsia="TimesNewRoman,Bold" w:cs="Times New Roman"/>
                <w:sz w:val="22"/>
                <w:szCs w:val="22"/>
                <w:vertAlign w:val="superscript"/>
                <w:lang w:val="lt-LT" w:eastAsia="en-US"/>
              </w:rPr>
              <w:t>II</w:t>
            </w:r>
            <w:r w:rsidRPr="00997273">
              <w:rPr>
                <w:rFonts w:eastAsia="TimesNewRoman,Bold" w:cs="Times New Roman"/>
                <w:sz w:val="22"/>
                <w:szCs w:val="22"/>
                <w:lang w:val="lt-LT" w:eastAsia="en-US"/>
              </w:rPr>
              <w:t xml:space="preserve">: </w:t>
            </w:r>
            <w:proofErr w:type="spellStart"/>
            <w:r w:rsidRPr="00997273">
              <w:rPr>
                <w:rFonts w:eastAsia="TimesNewRoman,Bold" w:cs="Times New Roman"/>
                <w:sz w:val="22"/>
                <w:szCs w:val="22"/>
                <w:lang w:val="lt-LT" w:eastAsia="en-US"/>
              </w:rPr>
              <w:t>sitagliptinas</w:t>
            </w:r>
            <w:proofErr w:type="spellEnd"/>
            <w:r w:rsidRPr="00997273">
              <w:rPr>
                <w:rFonts w:eastAsia="TimesNewRoman,Bold" w:cs="Times New Roman"/>
                <w:sz w:val="22"/>
                <w:szCs w:val="22"/>
                <w:lang w:val="lt-LT" w:eastAsia="en-US"/>
              </w:rPr>
              <w:t xml:space="preserve"> 50</w:t>
            </w:r>
            <w:r w:rsidR="008C1B8D" w:rsidRPr="00997273">
              <w:rPr>
                <w:rFonts w:eastAsia="TimesNewRoman,Bold" w:cs="Times New Roman"/>
                <w:sz w:val="22"/>
                <w:szCs w:val="22"/>
                <w:lang w:val="lt-LT" w:eastAsia="en-US"/>
              </w:rPr>
              <w:t> </w:t>
            </w:r>
            <w:r w:rsidRPr="00997273">
              <w:rPr>
                <w:rFonts w:eastAsia="TimesNewRoman,Bold" w:cs="Times New Roman"/>
                <w:sz w:val="22"/>
                <w:szCs w:val="22"/>
                <w:lang w:val="lt-LT" w:eastAsia="en-US"/>
              </w:rPr>
              <w:t>mg ir</w:t>
            </w:r>
            <w:r w:rsidR="008C1B8D" w:rsidRPr="00997273">
              <w:rPr>
                <w:rFonts w:eastAsia="TimesNewRoman,Bold" w:cs="Times New Roman"/>
                <w:sz w:val="22"/>
                <w:szCs w:val="22"/>
                <w:lang w:val="lt-LT" w:eastAsia="en-US"/>
              </w:rPr>
              <w:t xml:space="preserve"> </w:t>
            </w:r>
            <w:proofErr w:type="spellStart"/>
            <w:r w:rsidRPr="00997273">
              <w:rPr>
                <w:rFonts w:eastAsia="TimesNewRoman,Bold" w:cs="Times New Roman"/>
                <w:sz w:val="22"/>
                <w:szCs w:val="22"/>
                <w:lang w:val="lt-LT" w:eastAsia="en-US"/>
              </w:rPr>
              <w:t>metforminas</w:t>
            </w:r>
            <w:proofErr w:type="spellEnd"/>
            <w:r w:rsidRPr="00997273">
              <w:rPr>
                <w:rFonts w:eastAsia="TimesNewRoman,Bold" w:cs="Times New Roman"/>
                <w:sz w:val="22"/>
                <w:szCs w:val="22"/>
                <w:lang w:val="lt-LT" w:eastAsia="en-US"/>
              </w:rPr>
              <w:t xml:space="preserve"> 1000</w:t>
            </w:r>
            <w:r w:rsidR="008C1B8D" w:rsidRPr="00997273">
              <w:rPr>
                <w:rFonts w:eastAsia="TimesNewRoman,Bold" w:cs="Times New Roman"/>
                <w:sz w:val="22"/>
                <w:szCs w:val="22"/>
                <w:lang w:val="lt-LT" w:eastAsia="en-US"/>
              </w:rPr>
              <w:t> </w:t>
            </w:r>
            <w:r w:rsidRPr="00997273">
              <w:rPr>
                <w:rFonts w:eastAsia="TimesNewRoman,Bold" w:cs="Times New Roman"/>
                <w:sz w:val="22"/>
                <w:szCs w:val="22"/>
                <w:lang w:val="lt-LT" w:eastAsia="en-US"/>
              </w:rPr>
              <w:t>mg</w:t>
            </w:r>
          </w:p>
          <w:p w14:paraId="398CD716" w14:textId="77777777" w:rsidR="004D3290" w:rsidRPr="00997273" w:rsidRDefault="004D3290" w:rsidP="008C1B8D">
            <w:pPr>
              <w:autoSpaceDE w:val="0"/>
              <w:autoSpaceDN w:val="0"/>
              <w:adjustRightInd w:val="0"/>
              <w:rPr>
                <w:rFonts w:cs="Times New Roman"/>
                <w:sz w:val="22"/>
                <w:szCs w:val="22"/>
                <w:lang w:val="lt-LT" w:eastAsia="en-US"/>
              </w:rPr>
            </w:pPr>
            <w:r w:rsidRPr="00997273">
              <w:rPr>
                <w:rFonts w:eastAsia="TimesNewRoman,Bold" w:cs="Times New Roman"/>
                <w:sz w:val="22"/>
                <w:szCs w:val="22"/>
                <w:lang w:val="lt-LT" w:eastAsia="en-US"/>
              </w:rPr>
              <w:t>(N = 178)</w:t>
            </w:r>
          </w:p>
        </w:tc>
        <w:tc>
          <w:tcPr>
            <w:tcW w:w="2126" w:type="dxa"/>
          </w:tcPr>
          <w:p w14:paraId="6B244447"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695C3719"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11BABC16" w14:textId="77777777" w:rsidR="002557D3" w:rsidRPr="00997273" w:rsidRDefault="002557D3" w:rsidP="00482287">
            <w:pPr>
              <w:autoSpaceDE w:val="0"/>
              <w:autoSpaceDN w:val="0"/>
              <w:adjustRightInd w:val="0"/>
              <w:jc w:val="center"/>
              <w:rPr>
                <w:rFonts w:eastAsia="TimesNewRoman,Bold" w:cs="Times New Roman"/>
                <w:sz w:val="22"/>
                <w:szCs w:val="22"/>
                <w:lang w:val="lt-LT" w:eastAsia="en-US"/>
              </w:rPr>
            </w:pPr>
          </w:p>
          <w:p w14:paraId="43CE5116" w14:textId="77777777" w:rsidR="004D3290" w:rsidRPr="00997273" w:rsidRDefault="008C1B8D" w:rsidP="00482287">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8,8</w:t>
            </w:r>
          </w:p>
        </w:tc>
        <w:tc>
          <w:tcPr>
            <w:tcW w:w="2179" w:type="dxa"/>
          </w:tcPr>
          <w:p w14:paraId="5D09A291" w14:textId="77777777" w:rsidR="002557D3" w:rsidRPr="00997273" w:rsidRDefault="002557D3" w:rsidP="00482287">
            <w:pPr>
              <w:tabs>
                <w:tab w:val="left" w:pos="567"/>
              </w:tabs>
              <w:jc w:val="center"/>
              <w:rPr>
                <w:rFonts w:eastAsia="TimesNewRoman,Bold" w:cs="Times New Roman"/>
                <w:sz w:val="22"/>
                <w:szCs w:val="22"/>
                <w:lang w:val="lt-LT" w:eastAsia="en-US"/>
              </w:rPr>
            </w:pPr>
          </w:p>
          <w:p w14:paraId="55AE6BE4" w14:textId="77777777" w:rsidR="002557D3" w:rsidRPr="00997273" w:rsidRDefault="002557D3" w:rsidP="00482287">
            <w:pPr>
              <w:tabs>
                <w:tab w:val="left" w:pos="567"/>
              </w:tabs>
              <w:jc w:val="center"/>
              <w:rPr>
                <w:rFonts w:eastAsia="TimesNewRoman,Bold" w:cs="Times New Roman"/>
                <w:sz w:val="22"/>
                <w:szCs w:val="22"/>
                <w:lang w:val="lt-LT" w:eastAsia="en-US"/>
              </w:rPr>
            </w:pPr>
          </w:p>
          <w:p w14:paraId="1F6DF427" w14:textId="77777777" w:rsidR="002557D3" w:rsidRPr="00997273" w:rsidRDefault="002557D3" w:rsidP="00482287">
            <w:pPr>
              <w:tabs>
                <w:tab w:val="left" w:pos="567"/>
              </w:tabs>
              <w:jc w:val="center"/>
              <w:rPr>
                <w:rFonts w:eastAsia="TimesNewRoman,Bold" w:cs="Times New Roman"/>
                <w:sz w:val="22"/>
                <w:szCs w:val="22"/>
                <w:lang w:val="lt-LT" w:eastAsia="en-US"/>
              </w:rPr>
            </w:pPr>
          </w:p>
          <w:p w14:paraId="583C4C57" w14:textId="77777777" w:rsidR="004D3290" w:rsidRPr="00997273" w:rsidRDefault="008C1B8D" w:rsidP="00482287">
            <w:pPr>
              <w:tabs>
                <w:tab w:val="left" w:pos="567"/>
              </w:tabs>
              <w:jc w:val="center"/>
              <w:rPr>
                <w:rFonts w:cs="Times New Roman"/>
                <w:sz w:val="22"/>
                <w:szCs w:val="22"/>
                <w:lang w:val="lt-LT" w:eastAsia="en-US"/>
              </w:rPr>
            </w:pPr>
            <w:r w:rsidRPr="00997273">
              <w:rPr>
                <w:rFonts w:eastAsia="TimesNewRoman,Bold" w:cs="Times New Roman"/>
                <w:sz w:val="22"/>
                <w:szCs w:val="22"/>
                <w:lang w:val="lt-LT" w:eastAsia="en-US"/>
              </w:rPr>
              <w:t>-1,9</w:t>
            </w:r>
          </w:p>
        </w:tc>
        <w:tc>
          <w:tcPr>
            <w:tcW w:w="2322" w:type="dxa"/>
          </w:tcPr>
          <w:p w14:paraId="1C498D15" w14:textId="77777777" w:rsidR="002557D3" w:rsidRPr="00997273" w:rsidRDefault="002557D3" w:rsidP="00482287">
            <w:pPr>
              <w:tabs>
                <w:tab w:val="left" w:pos="567"/>
              </w:tabs>
              <w:jc w:val="center"/>
              <w:rPr>
                <w:rFonts w:eastAsia="TimesNewRoman,Bold" w:cs="Times New Roman"/>
                <w:sz w:val="22"/>
                <w:szCs w:val="22"/>
                <w:lang w:val="lt-LT" w:eastAsia="en-US"/>
              </w:rPr>
            </w:pPr>
          </w:p>
          <w:p w14:paraId="4CB6328C" w14:textId="77777777" w:rsidR="002557D3" w:rsidRPr="00997273" w:rsidRDefault="002557D3" w:rsidP="00482287">
            <w:pPr>
              <w:tabs>
                <w:tab w:val="left" w:pos="567"/>
              </w:tabs>
              <w:jc w:val="center"/>
              <w:rPr>
                <w:rFonts w:eastAsia="TimesNewRoman,Bold" w:cs="Times New Roman"/>
                <w:sz w:val="22"/>
                <w:szCs w:val="22"/>
                <w:lang w:val="lt-LT" w:eastAsia="en-US"/>
              </w:rPr>
            </w:pPr>
          </w:p>
          <w:p w14:paraId="04BE0F7C" w14:textId="77777777" w:rsidR="002557D3" w:rsidRPr="00997273" w:rsidRDefault="002557D3" w:rsidP="00482287">
            <w:pPr>
              <w:tabs>
                <w:tab w:val="left" w:pos="567"/>
              </w:tabs>
              <w:jc w:val="center"/>
              <w:rPr>
                <w:rFonts w:eastAsia="TimesNewRoman,Bold" w:cs="Times New Roman"/>
                <w:sz w:val="22"/>
                <w:szCs w:val="22"/>
                <w:lang w:val="lt-LT" w:eastAsia="en-US"/>
              </w:rPr>
            </w:pPr>
          </w:p>
          <w:p w14:paraId="0A64CDBC" w14:textId="77777777" w:rsidR="008C1B8D" w:rsidRPr="00997273" w:rsidRDefault="008C1B8D" w:rsidP="00482287">
            <w:pPr>
              <w:tabs>
                <w:tab w:val="left" w:pos="567"/>
              </w:tabs>
              <w:jc w:val="center"/>
              <w:rPr>
                <w:rFonts w:eastAsia="TimesNewRoman,Bold" w:cs="Times New Roman"/>
                <w:sz w:val="22"/>
                <w:szCs w:val="22"/>
                <w:lang w:val="lt-LT" w:eastAsia="en-US"/>
              </w:rPr>
            </w:pPr>
            <w:r w:rsidRPr="00997273">
              <w:rPr>
                <w:rFonts w:eastAsia="TimesNewRoman,Bold" w:cs="Times New Roman"/>
                <w:sz w:val="22"/>
                <w:szCs w:val="22"/>
                <w:lang w:val="lt-LT" w:eastAsia="en-US"/>
              </w:rPr>
              <w:t>-2,1</w:t>
            </w:r>
            <w:r w:rsidRPr="00997273">
              <w:rPr>
                <w:rFonts w:eastAsia="TimesNewRoman,Bold" w:cs="Times New Roman"/>
                <w:sz w:val="22"/>
                <w:szCs w:val="22"/>
                <w:vertAlign w:val="superscript"/>
                <w:lang w:val="lt-LT" w:eastAsia="en-US"/>
              </w:rPr>
              <w:t>‡</w:t>
            </w:r>
          </w:p>
          <w:p w14:paraId="583555ED" w14:textId="77777777" w:rsidR="004D3290" w:rsidRPr="00997273" w:rsidRDefault="008C1B8D" w:rsidP="00482287">
            <w:pPr>
              <w:tabs>
                <w:tab w:val="left" w:pos="567"/>
              </w:tabs>
              <w:jc w:val="center"/>
              <w:rPr>
                <w:rFonts w:cs="Times New Roman"/>
                <w:sz w:val="22"/>
                <w:szCs w:val="22"/>
                <w:lang w:val="lt-LT" w:eastAsia="en-US"/>
              </w:rPr>
            </w:pPr>
            <w:r w:rsidRPr="00997273">
              <w:rPr>
                <w:rFonts w:eastAsia="TimesNewRoman,Bold" w:cs="Times New Roman"/>
                <w:sz w:val="22"/>
                <w:szCs w:val="22"/>
                <w:lang w:val="lt-LT" w:eastAsia="en-US"/>
              </w:rPr>
              <w:t>(-2,3; -1,8)</w:t>
            </w:r>
          </w:p>
        </w:tc>
      </w:tr>
      <w:tr w:rsidR="004D3290" w:rsidRPr="00997273" w14:paraId="47EDCDF4" w14:textId="77777777" w:rsidTr="00D7448E">
        <w:tc>
          <w:tcPr>
            <w:tcW w:w="2660" w:type="dxa"/>
          </w:tcPr>
          <w:p w14:paraId="3587B67E" w14:textId="4F557B32" w:rsidR="008C1B8D" w:rsidRPr="00997273" w:rsidRDefault="004D3290" w:rsidP="004D3290">
            <w:pPr>
              <w:autoSpaceDE w:val="0"/>
              <w:autoSpaceDN w:val="0"/>
              <w:adjustRightInd w:val="0"/>
              <w:rPr>
                <w:rFonts w:eastAsia="TimesNewRoman,Bold" w:cs="Times New Roman"/>
                <w:sz w:val="22"/>
                <w:szCs w:val="22"/>
                <w:lang w:val="lt-LT" w:eastAsia="en-US"/>
              </w:rPr>
            </w:pPr>
            <w:proofErr w:type="spellStart"/>
            <w:r w:rsidRPr="00997273">
              <w:rPr>
                <w:rFonts w:eastAsia="TimesNewRoman,Bold" w:cs="Times New Roman"/>
                <w:sz w:val="22"/>
                <w:szCs w:val="22"/>
                <w:lang w:val="lt-LT" w:eastAsia="en-US"/>
              </w:rPr>
              <w:t>Sitagliptinas</w:t>
            </w:r>
            <w:proofErr w:type="spellEnd"/>
            <w:r w:rsidRPr="00997273">
              <w:rPr>
                <w:rFonts w:eastAsia="TimesNewRoman,Bold" w:cs="Times New Roman"/>
                <w:sz w:val="22"/>
                <w:szCs w:val="22"/>
                <w:lang w:val="lt-LT" w:eastAsia="en-US"/>
              </w:rPr>
              <w:t xml:space="preserve"> 100</w:t>
            </w:r>
            <w:r w:rsidR="008C1B8D" w:rsidRPr="00997273">
              <w:rPr>
                <w:rFonts w:eastAsia="TimesNewRoman,Bold" w:cs="Times New Roman"/>
                <w:sz w:val="22"/>
                <w:szCs w:val="22"/>
                <w:lang w:val="lt-LT" w:eastAsia="en-US"/>
              </w:rPr>
              <w:t> </w:t>
            </w:r>
            <w:r w:rsidRPr="00997273">
              <w:rPr>
                <w:rFonts w:eastAsia="TimesNewRoman,Bold" w:cs="Times New Roman"/>
                <w:sz w:val="22"/>
                <w:szCs w:val="22"/>
                <w:lang w:val="lt-LT" w:eastAsia="en-US"/>
              </w:rPr>
              <w:t>mg vieną kartą</w:t>
            </w:r>
            <w:r w:rsidR="008C1B8D" w:rsidRPr="00997273">
              <w:rPr>
                <w:rFonts w:eastAsia="TimesNewRoman,Bold" w:cs="Times New Roman"/>
                <w:sz w:val="22"/>
                <w:szCs w:val="22"/>
                <w:lang w:val="lt-LT" w:eastAsia="en-US"/>
              </w:rPr>
              <w:t xml:space="preserve"> </w:t>
            </w:r>
            <w:r w:rsidRPr="00997273">
              <w:rPr>
                <w:rFonts w:eastAsia="TimesNewRoman,Bold" w:cs="Times New Roman"/>
                <w:sz w:val="22"/>
                <w:szCs w:val="22"/>
                <w:lang w:val="lt-LT" w:eastAsia="en-US"/>
              </w:rPr>
              <w:t xml:space="preserve">per parą, </w:t>
            </w:r>
            <w:r w:rsidR="00D11F45">
              <w:rPr>
                <w:rFonts w:eastAsia="TimesNewRoman,Bold" w:cs="Times New Roman"/>
                <w:sz w:val="22"/>
                <w:szCs w:val="22"/>
                <w:lang w:val="lt-LT" w:eastAsia="en-US"/>
              </w:rPr>
              <w:t xml:space="preserve">juo </w:t>
            </w:r>
            <w:r w:rsidRPr="00997273">
              <w:rPr>
                <w:rFonts w:eastAsia="TimesNewRoman,Bold" w:cs="Times New Roman"/>
                <w:sz w:val="22"/>
                <w:szCs w:val="22"/>
                <w:lang w:val="lt-LT" w:eastAsia="en-US"/>
              </w:rPr>
              <w:t xml:space="preserve">papildant </w:t>
            </w:r>
            <w:r w:rsidR="009651FD" w:rsidRPr="009B48C4">
              <w:rPr>
                <w:rFonts w:eastAsia="TimesNewRoman,Bold" w:cs="Times New Roman"/>
                <w:sz w:val="22"/>
                <w:szCs w:val="22"/>
                <w:lang w:val="lt-LT" w:eastAsia="en-US"/>
              </w:rPr>
              <w:t>pradinį</w:t>
            </w:r>
            <w:r w:rsidR="009651FD" w:rsidRPr="00997273">
              <w:rPr>
                <w:rFonts w:eastAsia="TimesNewRoman,Bold" w:cs="Times New Roman"/>
                <w:sz w:val="22"/>
                <w:szCs w:val="22"/>
                <w:lang w:val="lt-LT" w:eastAsia="en-US"/>
              </w:rPr>
              <w:t xml:space="preserve"> </w:t>
            </w:r>
            <w:r w:rsidRPr="00997273">
              <w:rPr>
                <w:rFonts w:eastAsia="TimesNewRoman,Bold" w:cs="Times New Roman"/>
                <w:sz w:val="22"/>
                <w:szCs w:val="22"/>
                <w:lang w:val="lt-LT" w:eastAsia="en-US"/>
              </w:rPr>
              <w:t xml:space="preserve">gydymą </w:t>
            </w:r>
            <w:r w:rsidR="008C1B8D" w:rsidRPr="00997273">
              <w:rPr>
                <w:rFonts w:eastAsia="TimesNewRoman,Bold" w:cs="Times New Roman"/>
                <w:sz w:val="22"/>
                <w:szCs w:val="22"/>
                <w:lang w:val="lt-LT" w:eastAsia="en-US"/>
              </w:rPr>
              <w:t>insulin</w:t>
            </w:r>
            <w:r w:rsidR="00EC4BD4">
              <w:rPr>
                <w:rFonts w:eastAsia="TimesNewRoman,Bold" w:cs="Times New Roman"/>
                <w:sz w:val="22"/>
                <w:szCs w:val="22"/>
                <w:lang w:val="lt-LT" w:eastAsia="en-US"/>
              </w:rPr>
              <w:t>u</w:t>
            </w:r>
            <w:r w:rsidR="008C1B8D" w:rsidRPr="00997273">
              <w:rPr>
                <w:rFonts w:eastAsia="TimesNewRoman,Bold" w:cs="Times New Roman"/>
                <w:sz w:val="22"/>
                <w:szCs w:val="22"/>
                <w:lang w:val="lt-LT" w:eastAsia="en-US"/>
              </w:rPr>
              <w:t xml:space="preserve"> </w:t>
            </w:r>
            <w:r w:rsidRPr="00997273">
              <w:rPr>
                <w:rFonts w:eastAsia="TimesNewRoman,Bold" w:cs="Times New Roman"/>
                <w:sz w:val="22"/>
                <w:szCs w:val="22"/>
                <w:lang w:val="lt-LT" w:eastAsia="en-US"/>
              </w:rPr>
              <w:t xml:space="preserve">(+/- </w:t>
            </w:r>
            <w:proofErr w:type="spellStart"/>
            <w:r w:rsidRPr="00997273">
              <w:rPr>
                <w:rFonts w:eastAsia="TimesNewRoman,Bold" w:cs="Times New Roman"/>
                <w:sz w:val="22"/>
                <w:szCs w:val="22"/>
                <w:lang w:val="lt-LT" w:eastAsia="en-US"/>
              </w:rPr>
              <w:t>metforminas</w:t>
            </w:r>
            <w:proofErr w:type="spellEnd"/>
            <w:r w:rsidRPr="00997273">
              <w:rPr>
                <w:rFonts w:eastAsia="TimesNewRoman,Bold" w:cs="Times New Roman"/>
                <w:sz w:val="22"/>
                <w:szCs w:val="22"/>
                <w:lang w:val="lt-LT" w:eastAsia="en-US"/>
              </w:rPr>
              <w:t>)</w:t>
            </w:r>
            <w:r w:rsidR="008C1B8D" w:rsidRPr="00997273">
              <w:rPr>
                <w:rFonts w:eastAsia="TimesNewRoman,Bold" w:cs="Times New Roman"/>
                <w:sz w:val="22"/>
                <w:szCs w:val="22"/>
                <w:vertAlign w:val="superscript"/>
                <w:lang w:val="lt-LT" w:eastAsia="en-US"/>
              </w:rPr>
              <w:t>II</w:t>
            </w:r>
          </w:p>
          <w:p w14:paraId="3270BFC3" w14:textId="77777777" w:rsidR="004D3290" w:rsidRPr="00997273" w:rsidRDefault="004D3290" w:rsidP="008C1B8D">
            <w:pPr>
              <w:autoSpaceDE w:val="0"/>
              <w:autoSpaceDN w:val="0"/>
              <w:adjustRightInd w:val="0"/>
              <w:rPr>
                <w:rFonts w:cs="Times New Roman"/>
                <w:sz w:val="22"/>
                <w:szCs w:val="22"/>
                <w:lang w:val="lt-LT" w:eastAsia="en-US"/>
              </w:rPr>
            </w:pPr>
            <w:r w:rsidRPr="00997273">
              <w:rPr>
                <w:rFonts w:eastAsia="TimesNewRoman,Bold" w:cs="Times New Roman"/>
                <w:sz w:val="22"/>
                <w:szCs w:val="22"/>
                <w:lang w:val="lt-LT" w:eastAsia="en-US"/>
              </w:rPr>
              <w:lastRenderedPageBreak/>
              <w:t>(N = 305)</w:t>
            </w:r>
          </w:p>
        </w:tc>
        <w:tc>
          <w:tcPr>
            <w:tcW w:w="2126" w:type="dxa"/>
          </w:tcPr>
          <w:p w14:paraId="2A797A53" w14:textId="77777777" w:rsidR="00CF45D9" w:rsidRPr="00997273" w:rsidRDefault="00CF45D9" w:rsidP="00CF45D9">
            <w:pPr>
              <w:autoSpaceDE w:val="0"/>
              <w:autoSpaceDN w:val="0"/>
              <w:adjustRightInd w:val="0"/>
              <w:jc w:val="center"/>
              <w:rPr>
                <w:rFonts w:eastAsia="TimesNewRoman,Bold" w:cs="Times New Roman"/>
                <w:sz w:val="22"/>
                <w:szCs w:val="22"/>
                <w:lang w:val="lt-LT" w:eastAsia="en-US"/>
              </w:rPr>
            </w:pPr>
          </w:p>
          <w:p w14:paraId="11569DDE" w14:textId="77777777" w:rsidR="00CF45D9" w:rsidRPr="00997273" w:rsidRDefault="00CF45D9" w:rsidP="00CF45D9">
            <w:pPr>
              <w:autoSpaceDE w:val="0"/>
              <w:autoSpaceDN w:val="0"/>
              <w:adjustRightInd w:val="0"/>
              <w:jc w:val="center"/>
              <w:rPr>
                <w:rFonts w:eastAsia="TimesNewRoman,Bold" w:cs="Times New Roman"/>
                <w:sz w:val="22"/>
                <w:szCs w:val="22"/>
                <w:lang w:val="lt-LT" w:eastAsia="en-US"/>
              </w:rPr>
            </w:pPr>
          </w:p>
          <w:p w14:paraId="42F30DB6" w14:textId="77777777" w:rsidR="00CF45D9" w:rsidRPr="00997273" w:rsidRDefault="00CF45D9" w:rsidP="00CF45D9">
            <w:pPr>
              <w:autoSpaceDE w:val="0"/>
              <w:autoSpaceDN w:val="0"/>
              <w:adjustRightInd w:val="0"/>
              <w:jc w:val="center"/>
              <w:rPr>
                <w:rFonts w:eastAsia="TimesNewRoman,Bold" w:cs="Times New Roman"/>
                <w:sz w:val="22"/>
                <w:szCs w:val="22"/>
                <w:lang w:val="lt-LT" w:eastAsia="en-US"/>
              </w:rPr>
            </w:pPr>
          </w:p>
          <w:p w14:paraId="0161E493" w14:textId="77777777" w:rsidR="004D3290" w:rsidRPr="00997273" w:rsidRDefault="008C1B8D" w:rsidP="00CF45D9">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8,7</w:t>
            </w:r>
          </w:p>
        </w:tc>
        <w:tc>
          <w:tcPr>
            <w:tcW w:w="2179" w:type="dxa"/>
          </w:tcPr>
          <w:p w14:paraId="238A8CA2" w14:textId="77777777" w:rsidR="00CF45D9" w:rsidRPr="00997273" w:rsidRDefault="00CF45D9" w:rsidP="00CF45D9">
            <w:pPr>
              <w:autoSpaceDE w:val="0"/>
              <w:autoSpaceDN w:val="0"/>
              <w:adjustRightInd w:val="0"/>
              <w:jc w:val="center"/>
              <w:rPr>
                <w:rFonts w:eastAsia="TimesNewRoman,Bold" w:cs="Times New Roman"/>
                <w:sz w:val="22"/>
                <w:szCs w:val="22"/>
                <w:lang w:val="lt-LT" w:eastAsia="en-US"/>
              </w:rPr>
            </w:pPr>
          </w:p>
          <w:p w14:paraId="1541E34B" w14:textId="77777777" w:rsidR="00CF45D9" w:rsidRPr="00997273" w:rsidRDefault="00CF45D9" w:rsidP="00CF45D9">
            <w:pPr>
              <w:autoSpaceDE w:val="0"/>
              <w:autoSpaceDN w:val="0"/>
              <w:adjustRightInd w:val="0"/>
              <w:jc w:val="center"/>
              <w:rPr>
                <w:rFonts w:eastAsia="TimesNewRoman,Bold" w:cs="Times New Roman"/>
                <w:sz w:val="22"/>
                <w:szCs w:val="22"/>
                <w:lang w:val="lt-LT" w:eastAsia="en-US"/>
              </w:rPr>
            </w:pPr>
          </w:p>
          <w:p w14:paraId="1BB97B51" w14:textId="77777777" w:rsidR="00CF45D9" w:rsidRPr="00997273" w:rsidRDefault="00CF45D9" w:rsidP="00CF45D9">
            <w:pPr>
              <w:autoSpaceDE w:val="0"/>
              <w:autoSpaceDN w:val="0"/>
              <w:adjustRightInd w:val="0"/>
              <w:jc w:val="center"/>
              <w:rPr>
                <w:rFonts w:eastAsia="TimesNewRoman,Bold" w:cs="Times New Roman"/>
                <w:sz w:val="22"/>
                <w:szCs w:val="22"/>
                <w:lang w:val="lt-LT" w:eastAsia="en-US"/>
              </w:rPr>
            </w:pPr>
          </w:p>
          <w:p w14:paraId="35BCA410" w14:textId="77777777" w:rsidR="004D3290" w:rsidRPr="00997273" w:rsidRDefault="008C1B8D" w:rsidP="00CF45D9">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t>-0,6</w:t>
            </w:r>
            <w:r w:rsidR="007F391F" w:rsidRPr="00997273">
              <w:rPr>
                <w:iCs/>
                <w:noProof/>
                <w:szCs w:val="22"/>
                <w:vertAlign w:val="superscript"/>
              </w:rPr>
              <w:t>¶</w:t>
            </w:r>
          </w:p>
        </w:tc>
        <w:tc>
          <w:tcPr>
            <w:tcW w:w="2322" w:type="dxa"/>
          </w:tcPr>
          <w:p w14:paraId="20EEBC8A" w14:textId="77777777" w:rsidR="00CF45D9" w:rsidRPr="00997273" w:rsidRDefault="00CF45D9" w:rsidP="00CF45D9">
            <w:pPr>
              <w:autoSpaceDE w:val="0"/>
              <w:autoSpaceDN w:val="0"/>
              <w:adjustRightInd w:val="0"/>
              <w:jc w:val="center"/>
              <w:rPr>
                <w:rFonts w:eastAsia="TimesNewRoman,Bold" w:cs="Times New Roman"/>
                <w:sz w:val="22"/>
                <w:szCs w:val="22"/>
                <w:lang w:val="lt-LT" w:eastAsia="en-US"/>
              </w:rPr>
            </w:pPr>
          </w:p>
          <w:p w14:paraId="01C3B747" w14:textId="77777777" w:rsidR="00CF45D9" w:rsidRPr="00997273" w:rsidRDefault="00CF45D9" w:rsidP="00CF45D9">
            <w:pPr>
              <w:autoSpaceDE w:val="0"/>
              <w:autoSpaceDN w:val="0"/>
              <w:adjustRightInd w:val="0"/>
              <w:jc w:val="center"/>
              <w:rPr>
                <w:rFonts w:eastAsia="TimesNewRoman,Bold" w:cs="Times New Roman"/>
                <w:sz w:val="22"/>
                <w:szCs w:val="22"/>
                <w:lang w:val="lt-LT" w:eastAsia="en-US"/>
              </w:rPr>
            </w:pPr>
          </w:p>
          <w:p w14:paraId="4C5ADAA9" w14:textId="77777777" w:rsidR="00CF45D9" w:rsidRPr="00997273" w:rsidRDefault="00CF45D9" w:rsidP="00CF45D9">
            <w:pPr>
              <w:autoSpaceDE w:val="0"/>
              <w:autoSpaceDN w:val="0"/>
              <w:adjustRightInd w:val="0"/>
              <w:jc w:val="center"/>
              <w:rPr>
                <w:rFonts w:eastAsia="TimesNewRoman,Bold" w:cs="Times New Roman"/>
                <w:sz w:val="22"/>
                <w:szCs w:val="22"/>
                <w:lang w:val="lt-LT" w:eastAsia="en-US"/>
              </w:rPr>
            </w:pPr>
          </w:p>
          <w:p w14:paraId="54836441" w14:textId="77777777" w:rsidR="008C1B8D" w:rsidRPr="00997273" w:rsidRDefault="008C1B8D" w:rsidP="00CF45D9">
            <w:pPr>
              <w:autoSpaceDE w:val="0"/>
              <w:autoSpaceDN w:val="0"/>
              <w:adjustRightInd w:val="0"/>
              <w:jc w:val="center"/>
              <w:rPr>
                <w:rFonts w:eastAsia="TimesNewRoman,Bold" w:cs="Times New Roman"/>
                <w:sz w:val="22"/>
                <w:szCs w:val="22"/>
                <w:lang w:val="lt-LT" w:eastAsia="en-US"/>
              </w:rPr>
            </w:pPr>
            <w:r w:rsidRPr="00997273">
              <w:rPr>
                <w:rFonts w:eastAsia="TimesNewRoman,Bold" w:cs="Times New Roman"/>
                <w:sz w:val="22"/>
                <w:szCs w:val="22"/>
                <w:lang w:val="lt-LT" w:eastAsia="en-US"/>
              </w:rPr>
              <w:t>-0,6</w:t>
            </w:r>
            <w:r w:rsidRPr="00997273">
              <w:rPr>
                <w:rFonts w:eastAsia="TimesNewRoman,Bold" w:cs="Times New Roman"/>
                <w:sz w:val="22"/>
                <w:szCs w:val="22"/>
                <w:vertAlign w:val="superscript"/>
                <w:lang w:val="lt-LT" w:eastAsia="en-US"/>
              </w:rPr>
              <w:t>‡,</w:t>
            </w:r>
            <w:r w:rsidR="007F391F" w:rsidRPr="00997273">
              <w:rPr>
                <w:iCs/>
                <w:noProof/>
                <w:szCs w:val="22"/>
                <w:vertAlign w:val="superscript"/>
              </w:rPr>
              <w:t>¶</w:t>
            </w:r>
          </w:p>
          <w:p w14:paraId="4FAA00CE" w14:textId="77777777" w:rsidR="004D3290" w:rsidRPr="00997273" w:rsidRDefault="008C1B8D" w:rsidP="00CF45D9">
            <w:pPr>
              <w:autoSpaceDE w:val="0"/>
              <w:autoSpaceDN w:val="0"/>
              <w:adjustRightInd w:val="0"/>
              <w:jc w:val="center"/>
              <w:rPr>
                <w:rFonts w:cs="Times New Roman"/>
                <w:sz w:val="22"/>
                <w:szCs w:val="22"/>
                <w:lang w:val="lt-LT" w:eastAsia="en-US"/>
              </w:rPr>
            </w:pPr>
            <w:r w:rsidRPr="00997273">
              <w:rPr>
                <w:rFonts w:eastAsia="TimesNewRoman,Bold" w:cs="Times New Roman"/>
                <w:sz w:val="22"/>
                <w:szCs w:val="22"/>
                <w:lang w:val="lt-LT" w:eastAsia="en-US"/>
              </w:rPr>
              <w:lastRenderedPageBreak/>
              <w:t>(-0,7; -0,4)</w:t>
            </w:r>
          </w:p>
        </w:tc>
      </w:tr>
    </w:tbl>
    <w:p w14:paraId="5102BEA7" w14:textId="692B276B" w:rsidR="000F14B1" w:rsidRPr="002F14E6" w:rsidRDefault="000F14B1" w:rsidP="000F14B1">
      <w:pPr>
        <w:autoSpaceDE w:val="0"/>
        <w:autoSpaceDN w:val="0"/>
        <w:adjustRightInd w:val="0"/>
        <w:rPr>
          <w:rFonts w:eastAsia="TimesNewRoman,Bold" w:cs="Times New Roman"/>
          <w:sz w:val="20"/>
          <w:lang w:val="lt-LT" w:eastAsia="en-US"/>
        </w:rPr>
      </w:pPr>
      <w:r w:rsidRPr="002F14E6">
        <w:rPr>
          <w:rFonts w:eastAsia="TimesNewRoman,Bold" w:cs="Times New Roman"/>
          <w:sz w:val="20"/>
          <w:lang w:val="lt-LT" w:eastAsia="en-US"/>
        </w:rPr>
        <w:lastRenderedPageBreak/>
        <w:t>* Visi gydyti pacientai (</w:t>
      </w:r>
      <w:r w:rsidR="00DA5454" w:rsidRPr="002F14E6">
        <w:rPr>
          <w:rFonts w:eastAsia="TimesNewRoman,Bold" w:cs="Times New Roman"/>
          <w:sz w:val="20"/>
          <w:lang w:val="lt-LT" w:eastAsia="en-US"/>
        </w:rPr>
        <w:t xml:space="preserve">ketinimo gydyti </w:t>
      </w:r>
      <w:r w:rsidR="00FF0E04">
        <w:rPr>
          <w:rFonts w:eastAsia="TimesNewRoman,Bold" w:cs="Times New Roman"/>
          <w:sz w:val="20"/>
          <w:lang w:val="lt-LT" w:eastAsia="en-US"/>
        </w:rPr>
        <w:t>[</w:t>
      </w:r>
      <w:r w:rsidR="00892F00" w:rsidRPr="002F14E6">
        <w:rPr>
          <w:rFonts w:eastAsia="TimesNewRoman,Bold" w:cs="Times New Roman"/>
          <w:sz w:val="20"/>
          <w:lang w:val="lt-LT" w:eastAsia="en-US"/>
        </w:rPr>
        <w:t>angl.</w:t>
      </w:r>
      <w:r w:rsidR="002F0F08">
        <w:rPr>
          <w:rFonts w:eastAsia="TimesNewRoman,Bold" w:cs="Times New Roman"/>
          <w:sz w:val="20"/>
          <w:lang w:val="lt-LT" w:eastAsia="en-US"/>
        </w:rPr>
        <w:t xml:space="preserve"> </w:t>
      </w:r>
      <w:proofErr w:type="spellStart"/>
      <w:r w:rsidRPr="002F14E6">
        <w:rPr>
          <w:rFonts w:eastAsia="TimesNewRoman,Italic" w:cs="Times New Roman"/>
          <w:i/>
          <w:iCs/>
          <w:sz w:val="20"/>
          <w:lang w:val="lt-LT" w:eastAsia="en-US"/>
        </w:rPr>
        <w:t>intention</w:t>
      </w:r>
      <w:proofErr w:type="spellEnd"/>
      <w:r w:rsidRPr="002F14E6">
        <w:rPr>
          <w:rFonts w:eastAsia="TimesNewRoman,Italic" w:cs="Times New Roman"/>
          <w:i/>
          <w:iCs/>
          <w:sz w:val="20"/>
          <w:lang w:val="lt-LT" w:eastAsia="en-US"/>
        </w:rPr>
        <w:t>-to-</w:t>
      </w:r>
      <w:proofErr w:type="spellStart"/>
      <w:r w:rsidRPr="002F14E6">
        <w:rPr>
          <w:rFonts w:eastAsia="TimesNewRoman,Italic" w:cs="Times New Roman"/>
          <w:i/>
          <w:iCs/>
          <w:sz w:val="20"/>
          <w:lang w:val="lt-LT" w:eastAsia="en-US"/>
        </w:rPr>
        <w:t>treat</w:t>
      </w:r>
      <w:proofErr w:type="spellEnd"/>
      <w:r w:rsidR="00FF0E04">
        <w:rPr>
          <w:rFonts w:eastAsia="TimesNewRoman,Italic" w:cs="Times New Roman"/>
          <w:sz w:val="20"/>
          <w:lang w:val="lt-LT" w:eastAsia="en-US"/>
        </w:rPr>
        <w:t>]</w:t>
      </w:r>
      <w:r w:rsidRPr="002F14E6">
        <w:rPr>
          <w:rFonts w:eastAsia="TimesNewRoman,Italic" w:cs="Times New Roman"/>
          <w:i/>
          <w:iCs/>
          <w:sz w:val="20"/>
          <w:lang w:val="lt-LT" w:eastAsia="en-US"/>
        </w:rPr>
        <w:t xml:space="preserve"> </w:t>
      </w:r>
      <w:r w:rsidRPr="002F14E6">
        <w:rPr>
          <w:rFonts w:eastAsia="TimesNewRoman,Bold" w:cs="Times New Roman"/>
          <w:sz w:val="20"/>
          <w:lang w:val="lt-LT" w:eastAsia="en-US"/>
        </w:rPr>
        <w:t>analizė)</w:t>
      </w:r>
      <w:r w:rsidR="00D7448E" w:rsidRPr="002F14E6">
        <w:rPr>
          <w:rFonts w:cs="Times New Roman"/>
          <w:sz w:val="20"/>
          <w:lang w:val="lt-LT" w:eastAsia="en-US"/>
        </w:rPr>
        <w:t>.</w:t>
      </w:r>
    </w:p>
    <w:p w14:paraId="7158F890" w14:textId="522F0415" w:rsidR="000F14B1" w:rsidRPr="002F14E6" w:rsidRDefault="000F14B1" w:rsidP="000F14B1">
      <w:pPr>
        <w:autoSpaceDE w:val="0"/>
        <w:autoSpaceDN w:val="0"/>
        <w:adjustRightInd w:val="0"/>
        <w:rPr>
          <w:rFonts w:eastAsia="TimesNewRoman,Bold" w:cs="Times New Roman"/>
          <w:sz w:val="20"/>
          <w:lang w:val="lt-LT" w:eastAsia="en-US"/>
        </w:rPr>
      </w:pPr>
      <w:r w:rsidRPr="002F14E6">
        <w:rPr>
          <w:rFonts w:eastAsia="TimesNewRoman,Bold" w:cs="Times New Roman"/>
          <w:sz w:val="20"/>
          <w:lang w:val="lt-LT" w:eastAsia="en-US"/>
        </w:rPr>
        <w:t xml:space="preserve">† Mažiausiųjų kvadratų vidurkiai koreguoti pagal ankstesnį </w:t>
      </w:r>
      <w:proofErr w:type="spellStart"/>
      <w:r w:rsidR="0017714D">
        <w:rPr>
          <w:rFonts w:eastAsia="TimesNewRoman,Bold" w:cs="Times New Roman"/>
          <w:sz w:val="20"/>
          <w:lang w:val="lt-LT" w:eastAsia="en-US"/>
        </w:rPr>
        <w:t>glikemiją</w:t>
      </w:r>
      <w:proofErr w:type="spellEnd"/>
      <w:r w:rsidR="0017714D">
        <w:rPr>
          <w:rFonts w:eastAsia="TimesNewRoman,Bold" w:cs="Times New Roman"/>
          <w:sz w:val="20"/>
          <w:lang w:val="lt-LT" w:eastAsia="en-US"/>
        </w:rPr>
        <w:t xml:space="preserve"> mažinantį</w:t>
      </w:r>
      <w:r w:rsidR="009651FD" w:rsidRPr="002F14E6">
        <w:rPr>
          <w:rFonts w:eastAsia="TimesNewRoman,Bold" w:cs="Times New Roman"/>
          <w:sz w:val="20"/>
          <w:lang w:val="lt-LT" w:eastAsia="en-US"/>
        </w:rPr>
        <w:t xml:space="preserve"> </w:t>
      </w:r>
      <w:r w:rsidRPr="002F14E6">
        <w:rPr>
          <w:rFonts w:eastAsia="TimesNewRoman,Bold" w:cs="Times New Roman"/>
          <w:sz w:val="20"/>
          <w:lang w:val="lt-LT" w:eastAsia="en-US"/>
        </w:rPr>
        <w:t xml:space="preserve">gydymą ir </w:t>
      </w:r>
      <w:r w:rsidR="00892F00" w:rsidRPr="002F14E6">
        <w:rPr>
          <w:rFonts w:eastAsia="TimesNewRoman,Bold" w:cs="Times New Roman"/>
          <w:sz w:val="20"/>
          <w:lang w:val="lt-LT" w:eastAsia="en-US"/>
        </w:rPr>
        <w:t>pradinį rodmenį.</w:t>
      </w:r>
    </w:p>
    <w:p w14:paraId="7D449BBA" w14:textId="0B6C9453" w:rsidR="000F14B1" w:rsidRPr="002F14E6" w:rsidRDefault="000F14B1" w:rsidP="000F14B1">
      <w:pPr>
        <w:autoSpaceDE w:val="0"/>
        <w:autoSpaceDN w:val="0"/>
        <w:adjustRightInd w:val="0"/>
        <w:rPr>
          <w:rFonts w:eastAsia="TimesNewRoman,Bold" w:cs="Times New Roman"/>
          <w:sz w:val="20"/>
          <w:lang w:val="lt-LT" w:eastAsia="en-US"/>
        </w:rPr>
      </w:pPr>
      <w:r w:rsidRPr="002F14E6">
        <w:rPr>
          <w:rFonts w:eastAsia="TimesNewRoman,Bold" w:cs="Times New Roman"/>
          <w:sz w:val="20"/>
          <w:lang w:val="lt-LT" w:eastAsia="en-US"/>
        </w:rPr>
        <w:t>‡ p</w:t>
      </w:r>
      <w:r w:rsidR="0017714D">
        <w:rPr>
          <w:rFonts w:eastAsia="TimesNewRoman,Bold" w:cs="Times New Roman"/>
          <w:sz w:val="20"/>
          <w:lang w:val="lt-LT" w:eastAsia="en-US"/>
        </w:rPr>
        <w:t> </w:t>
      </w:r>
      <w:r w:rsidRPr="002F14E6">
        <w:rPr>
          <w:rFonts w:eastAsia="TimesNewRoman,Bold" w:cs="Times New Roman"/>
          <w:sz w:val="20"/>
          <w:lang w:val="lt-LT" w:eastAsia="en-US"/>
        </w:rPr>
        <w:t>&lt;</w:t>
      </w:r>
      <w:r w:rsidR="0017714D">
        <w:rPr>
          <w:rFonts w:eastAsia="TimesNewRoman,Bold" w:cs="Times New Roman"/>
          <w:sz w:val="20"/>
          <w:lang w:val="lt-LT" w:eastAsia="en-US"/>
        </w:rPr>
        <w:t> </w:t>
      </w:r>
      <w:r w:rsidRPr="002F14E6">
        <w:rPr>
          <w:rFonts w:eastAsia="TimesNewRoman,Bold" w:cs="Times New Roman"/>
          <w:sz w:val="20"/>
          <w:lang w:val="lt-LT" w:eastAsia="en-US"/>
        </w:rPr>
        <w:t>0,001 palyginti su placebu arba placebu ir gydymu</w:t>
      </w:r>
      <w:r w:rsidR="0017714D">
        <w:rPr>
          <w:rFonts w:eastAsia="TimesNewRoman,Bold" w:cs="Times New Roman"/>
          <w:sz w:val="20"/>
          <w:lang w:val="lt-LT" w:eastAsia="en-US"/>
        </w:rPr>
        <w:t xml:space="preserve"> deriniu</w:t>
      </w:r>
      <w:r w:rsidR="00D7448E" w:rsidRPr="002F14E6">
        <w:rPr>
          <w:rFonts w:eastAsia="TimesNewRoman,Bold" w:cs="Times New Roman"/>
          <w:sz w:val="20"/>
          <w:lang w:val="lt-LT" w:eastAsia="en-US"/>
        </w:rPr>
        <w:t>.</w:t>
      </w:r>
    </w:p>
    <w:p w14:paraId="4C1732AB" w14:textId="77777777" w:rsidR="000F14B1" w:rsidRPr="002F14E6" w:rsidRDefault="000F14B1" w:rsidP="00412789">
      <w:pPr>
        <w:tabs>
          <w:tab w:val="left" w:pos="2970"/>
        </w:tabs>
        <w:autoSpaceDE w:val="0"/>
        <w:autoSpaceDN w:val="0"/>
        <w:adjustRightInd w:val="0"/>
        <w:rPr>
          <w:rFonts w:eastAsia="TimesNewRoman,Bold" w:cs="Times New Roman"/>
          <w:sz w:val="20"/>
          <w:lang w:val="lt-LT" w:eastAsia="en-US"/>
        </w:rPr>
      </w:pPr>
      <w:r w:rsidRPr="002F14E6">
        <w:rPr>
          <w:rFonts w:eastAsia="TimesNewRoman,Bold" w:cs="Times New Roman"/>
          <w:sz w:val="20"/>
          <w:lang w:val="lt-LT" w:eastAsia="en-US"/>
        </w:rPr>
        <w:t>§ HbA</w:t>
      </w:r>
      <w:r w:rsidRPr="002F14E6">
        <w:rPr>
          <w:rFonts w:eastAsia="TimesNewRoman,Bold" w:cs="Times New Roman"/>
          <w:sz w:val="20"/>
          <w:vertAlign w:val="subscript"/>
          <w:lang w:val="lt-LT" w:eastAsia="en-US"/>
        </w:rPr>
        <w:t>1c</w:t>
      </w:r>
      <w:r w:rsidRPr="002F14E6">
        <w:rPr>
          <w:rFonts w:eastAsia="TimesNewRoman,Bold" w:cs="Times New Roman"/>
          <w:sz w:val="20"/>
          <w:lang w:val="lt-LT" w:eastAsia="en-US"/>
        </w:rPr>
        <w:t xml:space="preserve"> (%) 18-ąją savaitę.</w:t>
      </w:r>
    </w:p>
    <w:p w14:paraId="30FFACF4" w14:textId="1D640223" w:rsidR="000F14B1" w:rsidRPr="002F14E6" w:rsidRDefault="008C1B8D" w:rsidP="000F14B1">
      <w:pPr>
        <w:autoSpaceDE w:val="0"/>
        <w:autoSpaceDN w:val="0"/>
        <w:adjustRightInd w:val="0"/>
        <w:rPr>
          <w:rFonts w:eastAsia="TimesNewRoman,Bold" w:cs="Times New Roman"/>
          <w:sz w:val="20"/>
          <w:lang w:val="lt-LT" w:eastAsia="en-US"/>
        </w:rPr>
      </w:pPr>
      <w:r w:rsidRPr="002F14E6">
        <w:rPr>
          <w:rFonts w:eastAsia="TimesNewRoman,Bold" w:cs="Times New Roman"/>
          <w:sz w:val="20"/>
          <w:vertAlign w:val="superscript"/>
          <w:lang w:val="lt-LT" w:eastAsia="en-US"/>
        </w:rPr>
        <w:t>II</w:t>
      </w:r>
      <w:r w:rsidR="000F14B1" w:rsidRPr="002F14E6">
        <w:rPr>
          <w:rFonts w:eastAsia="TimesNewRoman,Bold" w:cs="Times New Roman"/>
          <w:sz w:val="20"/>
          <w:lang w:val="lt-LT" w:eastAsia="en-US"/>
        </w:rPr>
        <w:t>HbA</w:t>
      </w:r>
      <w:r w:rsidR="000F14B1" w:rsidRPr="002F14E6">
        <w:rPr>
          <w:rFonts w:eastAsia="TimesNewRoman,Bold" w:cs="Times New Roman"/>
          <w:sz w:val="20"/>
          <w:vertAlign w:val="subscript"/>
          <w:lang w:val="lt-LT" w:eastAsia="en-US"/>
        </w:rPr>
        <w:t>1c</w:t>
      </w:r>
      <w:r w:rsidR="000F14B1" w:rsidRPr="002F14E6">
        <w:rPr>
          <w:rFonts w:eastAsia="TimesNewRoman,Bold" w:cs="Times New Roman"/>
          <w:sz w:val="20"/>
          <w:lang w:val="lt-LT" w:eastAsia="en-US"/>
        </w:rPr>
        <w:t xml:space="preserve"> (%) 24-ąją savaitę.</w:t>
      </w:r>
    </w:p>
    <w:p w14:paraId="5B9AD685" w14:textId="77777777" w:rsidR="000F14B1" w:rsidRPr="002F14E6" w:rsidRDefault="000F14B1" w:rsidP="000F14B1">
      <w:pPr>
        <w:tabs>
          <w:tab w:val="left" w:pos="567"/>
        </w:tabs>
        <w:rPr>
          <w:rFonts w:cs="Times New Roman"/>
          <w:sz w:val="20"/>
          <w:lang w:val="lt-LT" w:eastAsia="en-US"/>
        </w:rPr>
      </w:pPr>
      <w:r w:rsidRPr="002F14E6">
        <w:rPr>
          <w:rFonts w:eastAsia="TimesNewRoman,Bold" w:cs="Times New Roman"/>
          <w:sz w:val="20"/>
          <w:lang w:val="lt-LT" w:eastAsia="en-US"/>
        </w:rPr>
        <w:t># HbA</w:t>
      </w:r>
      <w:r w:rsidRPr="002F14E6">
        <w:rPr>
          <w:rFonts w:eastAsia="TimesNewRoman,Bold" w:cs="Times New Roman"/>
          <w:sz w:val="20"/>
          <w:vertAlign w:val="subscript"/>
          <w:lang w:val="lt-LT" w:eastAsia="en-US"/>
        </w:rPr>
        <w:t>1c</w:t>
      </w:r>
      <w:r w:rsidRPr="002F14E6">
        <w:rPr>
          <w:rFonts w:eastAsia="TimesNewRoman,Bold" w:cs="Times New Roman"/>
          <w:sz w:val="20"/>
          <w:lang w:val="lt-LT" w:eastAsia="en-US"/>
        </w:rPr>
        <w:t xml:space="preserve"> (%) 26-ąją savaitę.</w:t>
      </w:r>
    </w:p>
    <w:p w14:paraId="5E2489E6" w14:textId="3E9D7EE6" w:rsidR="00090B48" w:rsidRPr="002F14E6" w:rsidRDefault="00D172A1" w:rsidP="00090B48">
      <w:pPr>
        <w:autoSpaceDE w:val="0"/>
        <w:autoSpaceDN w:val="0"/>
        <w:adjustRightInd w:val="0"/>
        <w:rPr>
          <w:rFonts w:eastAsia="MathExt" w:cs="Times New Roman"/>
          <w:sz w:val="20"/>
          <w:lang w:val="lt-LT" w:eastAsia="en-US"/>
        </w:rPr>
      </w:pPr>
      <w:r w:rsidRPr="002F14E6">
        <w:rPr>
          <w:iCs/>
          <w:noProof/>
          <w:sz w:val="20"/>
          <w:vertAlign w:val="superscript"/>
        </w:rPr>
        <w:t>¶</w:t>
      </w:r>
      <w:r w:rsidR="00090B48" w:rsidRPr="002F14E6">
        <w:rPr>
          <w:rFonts w:eastAsia="MathExt" w:cs="Times New Roman"/>
          <w:sz w:val="20"/>
          <w:lang w:val="lt-LT" w:eastAsia="en-US"/>
        </w:rPr>
        <w:t xml:space="preserve">Mažiausiųjų kvadratų vidurkiai koreguoti pagal gydymą </w:t>
      </w:r>
      <w:proofErr w:type="spellStart"/>
      <w:r w:rsidR="00090B48" w:rsidRPr="002F14E6">
        <w:rPr>
          <w:rFonts w:eastAsia="MathExt" w:cs="Times New Roman"/>
          <w:sz w:val="20"/>
          <w:lang w:val="lt-LT" w:eastAsia="en-US"/>
        </w:rPr>
        <w:t>metforminu</w:t>
      </w:r>
      <w:proofErr w:type="spellEnd"/>
      <w:r w:rsidR="00090B48" w:rsidRPr="002F14E6">
        <w:rPr>
          <w:rFonts w:eastAsia="MathExt" w:cs="Times New Roman"/>
          <w:sz w:val="20"/>
          <w:lang w:val="lt-LT" w:eastAsia="en-US"/>
        </w:rPr>
        <w:t xml:space="preserve"> pirmojo vizito metu (taip arba ne), pagal gydymą</w:t>
      </w:r>
      <w:r w:rsidR="004D3290" w:rsidRPr="002F14E6">
        <w:rPr>
          <w:rFonts w:eastAsia="MathExt" w:cs="Times New Roman"/>
          <w:sz w:val="20"/>
          <w:lang w:val="lt-LT" w:eastAsia="en-US"/>
        </w:rPr>
        <w:t xml:space="preserve"> </w:t>
      </w:r>
      <w:r w:rsidR="00090B48" w:rsidRPr="002F14E6">
        <w:rPr>
          <w:rFonts w:eastAsia="MathExt" w:cs="Times New Roman"/>
          <w:sz w:val="20"/>
          <w:lang w:val="lt-LT" w:eastAsia="en-US"/>
        </w:rPr>
        <w:t>insul</w:t>
      </w:r>
      <w:r w:rsidR="00D7448E" w:rsidRPr="002F14E6">
        <w:rPr>
          <w:rFonts w:eastAsia="MathExt" w:cs="Times New Roman"/>
          <w:sz w:val="20"/>
          <w:lang w:val="lt-LT" w:eastAsia="en-US"/>
        </w:rPr>
        <w:t>inu pirmojo vizito metu (mišrus</w:t>
      </w:r>
      <w:r w:rsidR="00090B48" w:rsidRPr="002F14E6">
        <w:rPr>
          <w:rFonts w:eastAsia="MathExt" w:cs="Times New Roman"/>
          <w:sz w:val="20"/>
          <w:lang w:val="lt-LT" w:eastAsia="en-US"/>
        </w:rPr>
        <w:t xml:space="preserve">, lyginant su nemišriu </w:t>
      </w:r>
      <w:r w:rsidR="00D7448E" w:rsidRPr="002F14E6">
        <w:rPr>
          <w:rFonts w:eastAsia="MathExt" w:cs="Times New Roman"/>
          <w:sz w:val="20"/>
          <w:lang w:val="lt-LT" w:eastAsia="en-US"/>
        </w:rPr>
        <w:t>[</w:t>
      </w:r>
      <w:r w:rsidR="00090B48" w:rsidRPr="002F14E6">
        <w:rPr>
          <w:rFonts w:eastAsia="MathExt" w:cs="Times New Roman"/>
          <w:sz w:val="20"/>
          <w:lang w:val="lt-LT" w:eastAsia="en-US"/>
        </w:rPr>
        <w:t>vidutinės veikimo trukmės arba ilgo veikimo insulinas</w:t>
      </w:r>
      <w:r w:rsidR="00D7448E" w:rsidRPr="002F14E6">
        <w:rPr>
          <w:rFonts w:eastAsia="MathExt" w:cs="Times New Roman"/>
          <w:sz w:val="20"/>
          <w:lang w:val="lt-LT" w:eastAsia="en-US"/>
        </w:rPr>
        <w:t>]</w:t>
      </w:r>
      <w:r w:rsidR="0049182D">
        <w:rPr>
          <w:rFonts w:eastAsia="MathExt" w:cs="Times New Roman"/>
          <w:sz w:val="20"/>
          <w:lang w:val="lt-LT" w:eastAsia="en-US"/>
        </w:rPr>
        <w:t>)</w:t>
      </w:r>
      <w:r w:rsidR="004D3290" w:rsidRPr="002F14E6">
        <w:rPr>
          <w:rFonts w:eastAsia="MathExt" w:cs="Times New Roman"/>
          <w:sz w:val="20"/>
          <w:lang w:val="lt-LT" w:eastAsia="en-US"/>
        </w:rPr>
        <w:t xml:space="preserve"> </w:t>
      </w:r>
      <w:r w:rsidR="00090B48" w:rsidRPr="002F14E6">
        <w:rPr>
          <w:rFonts w:eastAsia="MathExt" w:cs="Times New Roman"/>
          <w:sz w:val="20"/>
          <w:lang w:val="lt-LT" w:eastAsia="en-US"/>
        </w:rPr>
        <w:t xml:space="preserve">ir </w:t>
      </w:r>
      <w:r w:rsidR="002F14E6" w:rsidRPr="002F14E6">
        <w:rPr>
          <w:rFonts w:eastAsia="MathExt" w:cs="Times New Roman"/>
          <w:sz w:val="20"/>
          <w:lang w:val="lt-LT" w:eastAsia="en-US"/>
        </w:rPr>
        <w:t>pradinį rodmenį</w:t>
      </w:r>
      <w:r w:rsidR="00090B48" w:rsidRPr="002F14E6">
        <w:rPr>
          <w:rFonts w:eastAsia="MathExt" w:cs="Times New Roman"/>
          <w:sz w:val="20"/>
          <w:lang w:val="lt-LT" w:eastAsia="en-US"/>
        </w:rPr>
        <w:t xml:space="preserve">. Sąveikos pagal gydymo </w:t>
      </w:r>
      <w:r w:rsidR="00090B48" w:rsidRPr="0017714D">
        <w:rPr>
          <w:rFonts w:eastAsia="MathExt" w:cs="Times New Roman"/>
          <w:sz w:val="20"/>
          <w:lang w:val="lt-LT" w:eastAsia="en-US"/>
        </w:rPr>
        <w:t>slu</w:t>
      </w:r>
      <w:r w:rsidR="00090B48" w:rsidRPr="0049182D">
        <w:rPr>
          <w:rFonts w:eastAsia="MathExt" w:cs="Times New Roman"/>
          <w:sz w:val="20"/>
          <w:lang w:val="lt-LT" w:eastAsia="en-US"/>
        </w:rPr>
        <w:t>oksnius</w:t>
      </w:r>
      <w:r w:rsidR="00090B48" w:rsidRPr="002F14E6">
        <w:rPr>
          <w:rFonts w:eastAsia="MathExt" w:cs="Times New Roman"/>
          <w:sz w:val="20"/>
          <w:lang w:val="lt-LT" w:eastAsia="en-US"/>
        </w:rPr>
        <w:t xml:space="preserve"> (</w:t>
      </w:r>
      <w:proofErr w:type="spellStart"/>
      <w:r w:rsidR="00090B48" w:rsidRPr="002F14E6">
        <w:rPr>
          <w:rFonts w:eastAsia="MathExt" w:cs="Times New Roman"/>
          <w:sz w:val="20"/>
          <w:lang w:val="lt-LT" w:eastAsia="en-US"/>
        </w:rPr>
        <w:t>metformino</w:t>
      </w:r>
      <w:proofErr w:type="spellEnd"/>
      <w:r w:rsidR="00090B48" w:rsidRPr="002F14E6">
        <w:rPr>
          <w:rFonts w:eastAsia="MathExt" w:cs="Times New Roman"/>
          <w:sz w:val="20"/>
          <w:lang w:val="lt-LT" w:eastAsia="en-US"/>
        </w:rPr>
        <w:t xml:space="preserve"> ir insulino vartojimas) nebuvo reikšmingos (p</w:t>
      </w:r>
      <w:r w:rsidR="00311D0A" w:rsidRPr="00817AB1">
        <w:rPr>
          <w:sz w:val="20"/>
          <w:lang w:val="lt-LT"/>
        </w:rPr>
        <w:t> </w:t>
      </w:r>
      <w:r w:rsidR="00090B48" w:rsidRPr="002F14E6">
        <w:rPr>
          <w:rFonts w:eastAsia="MathExt" w:cs="Times New Roman"/>
          <w:sz w:val="20"/>
          <w:lang w:val="lt-LT" w:eastAsia="en-US"/>
        </w:rPr>
        <w:t>&gt;</w:t>
      </w:r>
      <w:r w:rsidR="00311D0A">
        <w:rPr>
          <w:rFonts w:eastAsia="MathExt" w:cs="Times New Roman"/>
          <w:sz w:val="20"/>
          <w:lang w:val="lt-LT" w:eastAsia="en-US"/>
        </w:rPr>
        <w:t> </w:t>
      </w:r>
      <w:r w:rsidR="00090B48" w:rsidRPr="002F14E6">
        <w:rPr>
          <w:rFonts w:eastAsia="MathExt" w:cs="Times New Roman"/>
          <w:sz w:val="20"/>
          <w:lang w:val="lt-LT" w:eastAsia="en-US"/>
        </w:rPr>
        <w:t>0,10).</w:t>
      </w:r>
    </w:p>
    <w:p w14:paraId="3ACB37BD" w14:textId="77777777" w:rsidR="00CF45D9" w:rsidRPr="00997273" w:rsidRDefault="00CF45D9" w:rsidP="00090B48">
      <w:pPr>
        <w:autoSpaceDE w:val="0"/>
        <w:autoSpaceDN w:val="0"/>
        <w:adjustRightInd w:val="0"/>
        <w:rPr>
          <w:rFonts w:eastAsia="MathExt" w:cs="Times New Roman"/>
          <w:sz w:val="22"/>
          <w:szCs w:val="22"/>
          <w:lang w:val="lt-LT" w:eastAsia="en-US"/>
        </w:rPr>
      </w:pPr>
    </w:p>
    <w:p w14:paraId="212618D1" w14:textId="020A6E58" w:rsidR="00090B48" w:rsidRPr="00997273" w:rsidRDefault="00090B48" w:rsidP="00090B48">
      <w:pPr>
        <w:autoSpaceDE w:val="0"/>
        <w:autoSpaceDN w:val="0"/>
        <w:adjustRightInd w:val="0"/>
        <w:rPr>
          <w:rFonts w:eastAsia="MathExt" w:cs="Times New Roman"/>
          <w:sz w:val="22"/>
          <w:szCs w:val="22"/>
          <w:lang w:val="lt-LT" w:eastAsia="en-US"/>
        </w:rPr>
      </w:pPr>
      <w:r w:rsidRPr="00997273">
        <w:rPr>
          <w:rFonts w:eastAsia="MathExt" w:cs="Times New Roman"/>
          <w:sz w:val="22"/>
          <w:szCs w:val="22"/>
          <w:lang w:val="lt-LT" w:eastAsia="en-US"/>
        </w:rPr>
        <w:t>24</w:t>
      </w:r>
      <w:r w:rsidR="003B27F2">
        <w:rPr>
          <w:rFonts w:eastAsia="MathExt" w:cs="Times New Roman"/>
          <w:sz w:val="22"/>
          <w:szCs w:val="22"/>
          <w:lang w:val="lt-LT" w:eastAsia="en-US"/>
        </w:rPr>
        <w:t> </w:t>
      </w:r>
      <w:r w:rsidRPr="00997273">
        <w:rPr>
          <w:rFonts w:eastAsia="MathExt" w:cs="Times New Roman"/>
          <w:sz w:val="22"/>
          <w:szCs w:val="22"/>
          <w:lang w:val="lt-LT" w:eastAsia="en-US"/>
        </w:rPr>
        <w:t>savaičių aktyvi</w:t>
      </w:r>
      <w:r w:rsidR="008165FB">
        <w:rPr>
          <w:rFonts w:eastAsia="MathExt" w:cs="Times New Roman"/>
          <w:sz w:val="22"/>
          <w:szCs w:val="22"/>
          <w:lang w:val="lt-LT" w:eastAsia="en-US"/>
        </w:rPr>
        <w:t>u</w:t>
      </w:r>
      <w:r w:rsidRPr="00997273">
        <w:rPr>
          <w:rFonts w:eastAsia="MathExt" w:cs="Times New Roman"/>
          <w:sz w:val="22"/>
          <w:szCs w:val="22"/>
          <w:lang w:val="lt-LT" w:eastAsia="en-US"/>
        </w:rPr>
        <w:t xml:space="preserve"> vaistiniu preparatu (</w:t>
      </w:r>
      <w:proofErr w:type="spellStart"/>
      <w:r w:rsidRPr="00997273">
        <w:rPr>
          <w:rFonts w:eastAsia="MathExt" w:cs="Times New Roman"/>
          <w:sz w:val="22"/>
          <w:szCs w:val="22"/>
          <w:lang w:val="lt-LT" w:eastAsia="en-US"/>
        </w:rPr>
        <w:t>metforminu</w:t>
      </w:r>
      <w:proofErr w:type="spellEnd"/>
      <w:r w:rsidRPr="00997273">
        <w:rPr>
          <w:rFonts w:eastAsia="MathExt" w:cs="Times New Roman"/>
          <w:sz w:val="22"/>
          <w:szCs w:val="22"/>
          <w:lang w:val="lt-LT" w:eastAsia="en-US"/>
        </w:rPr>
        <w:t>) kontroliuoto tyrimo tikslas buvo</w:t>
      </w:r>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 xml:space="preserve">įvertinti </w:t>
      </w:r>
      <w:proofErr w:type="spellStart"/>
      <w:r w:rsidRPr="00997273">
        <w:rPr>
          <w:rFonts w:eastAsia="MathExt" w:cs="Times New Roman"/>
          <w:sz w:val="22"/>
          <w:szCs w:val="22"/>
          <w:lang w:val="lt-LT" w:eastAsia="en-US"/>
        </w:rPr>
        <w:t>sitagliptino</w:t>
      </w:r>
      <w:proofErr w:type="spellEnd"/>
      <w:r w:rsidRPr="00997273">
        <w:rPr>
          <w:rFonts w:eastAsia="MathExt" w:cs="Times New Roman"/>
          <w:sz w:val="22"/>
          <w:szCs w:val="22"/>
          <w:lang w:val="lt-LT" w:eastAsia="en-US"/>
        </w:rPr>
        <w:t xml:space="preserve"> 100</w:t>
      </w:r>
      <w:r w:rsidR="00CF45D9" w:rsidRPr="00997273">
        <w:rPr>
          <w:rFonts w:eastAsia="MathExt" w:cs="Times New Roman"/>
          <w:sz w:val="22"/>
          <w:szCs w:val="22"/>
          <w:lang w:val="lt-LT" w:eastAsia="en-US"/>
        </w:rPr>
        <w:t> </w:t>
      </w:r>
      <w:r w:rsidRPr="00997273">
        <w:rPr>
          <w:rFonts w:eastAsia="MathExt" w:cs="Times New Roman"/>
          <w:sz w:val="22"/>
          <w:szCs w:val="22"/>
          <w:lang w:val="lt-LT" w:eastAsia="en-US"/>
        </w:rPr>
        <w:t xml:space="preserve">mg </w:t>
      </w:r>
      <w:r w:rsidR="00311D0A" w:rsidRPr="00997273">
        <w:rPr>
          <w:rFonts w:eastAsia="MathExt" w:cs="Times New Roman"/>
          <w:sz w:val="22"/>
          <w:szCs w:val="22"/>
          <w:lang w:val="lt-LT" w:eastAsia="en-US"/>
        </w:rPr>
        <w:t xml:space="preserve">dozės </w:t>
      </w:r>
      <w:r w:rsidRPr="00997273">
        <w:rPr>
          <w:rFonts w:eastAsia="MathExt" w:cs="Times New Roman"/>
          <w:sz w:val="22"/>
          <w:szCs w:val="22"/>
          <w:lang w:val="lt-LT" w:eastAsia="en-US"/>
        </w:rPr>
        <w:t>vieną kartą per parą (N = 528) veiksmingumą ir saugumą,</w:t>
      </w:r>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 xml:space="preserve">palyginus su </w:t>
      </w:r>
      <w:proofErr w:type="spellStart"/>
      <w:r w:rsidRPr="00997273">
        <w:rPr>
          <w:rFonts w:eastAsia="MathExt" w:cs="Times New Roman"/>
          <w:sz w:val="22"/>
          <w:szCs w:val="22"/>
          <w:lang w:val="lt-LT" w:eastAsia="en-US"/>
        </w:rPr>
        <w:t>metforminu</w:t>
      </w:r>
      <w:proofErr w:type="spellEnd"/>
      <w:r w:rsidRPr="00997273">
        <w:rPr>
          <w:rFonts w:eastAsia="MathExt" w:cs="Times New Roman"/>
          <w:sz w:val="22"/>
          <w:szCs w:val="22"/>
          <w:lang w:val="lt-LT" w:eastAsia="en-US"/>
        </w:rPr>
        <w:t xml:space="preserve"> (N = 522) pacientams, kuriems </w:t>
      </w:r>
      <w:r w:rsidR="00311D0A">
        <w:rPr>
          <w:rFonts w:eastAsia="MathExt" w:cs="Times New Roman"/>
          <w:sz w:val="22"/>
          <w:szCs w:val="22"/>
          <w:lang w:val="lt-LT" w:eastAsia="en-US"/>
        </w:rPr>
        <w:t xml:space="preserve">taikant </w:t>
      </w:r>
      <w:r w:rsidRPr="00997273">
        <w:rPr>
          <w:rFonts w:eastAsia="MathExt" w:cs="Times New Roman"/>
          <w:sz w:val="22"/>
          <w:szCs w:val="22"/>
          <w:lang w:val="lt-LT" w:eastAsia="en-US"/>
        </w:rPr>
        <w:t>diet</w:t>
      </w:r>
      <w:r w:rsidR="008C73B3">
        <w:rPr>
          <w:rFonts w:eastAsia="MathExt" w:cs="Times New Roman"/>
          <w:sz w:val="22"/>
          <w:szCs w:val="22"/>
          <w:lang w:val="lt-LT" w:eastAsia="en-US"/>
        </w:rPr>
        <w:t>ą</w:t>
      </w:r>
      <w:r w:rsidRPr="00997273">
        <w:rPr>
          <w:rFonts w:eastAsia="MathExt" w:cs="Times New Roman"/>
          <w:sz w:val="22"/>
          <w:szCs w:val="22"/>
          <w:lang w:val="lt-LT" w:eastAsia="en-US"/>
        </w:rPr>
        <w:t xml:space="preserve"> ir fizin</w:t>
      </w:r>
      <w:r w:rsidR="00311D0A">
        <w:rPr>
          <w:rFonts w:eastAsia="MathExt" w:cs="Times New Roman"/>
          <w:sz w:val="22"/>
          <w:szCs w:val="22"/>
          <w:lang w:val="lt-LT" w:eastAsia="en-US"/>
        </w:rPr>
        <w:t>į krūvį</w:t>
      </w:r>
      <w:r w:rsidRPr="00997273">
        <w:rPr>
          <w:rFonts w:eastAsia="MathExt" w:cs="Times New Roman"/>
          <w:sz w:val="22"/>
          <w:szCs w:val="22"/>
          <w:lang w:val="lt-LT" w:eastAsia="en-US"/>
        </w:rPr>
        <w:t xml:space="preserve"> </w:t>
      </w:r>
      <w:proofErr w:type="spellStart"/>
      <w:r w:rsidRPr="00997273">
        <w:rPr>
          <w:rFonts w:eastAsia="MathExt" w:cs="Times New Roman"/>
          <w:sz w:val="22"/>
          <w:szCs w:val="22"/>
          <w:lang w:val="lt-LT" w:eastAsia="en-US"/>
        </w:rPr>
        <w:t>glikemijos</w:t>
      </w:r>
      <w:proofErr w:type="spellEnd"/>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pakankamai sureguliuoti nepavyksta ir kurie</w:t>
      </w:r>
      <w:r w:rsidR="00A92E01">
        <w:rPr>
          <w:rFonts w:eastAsia="MathExt" w:cs="Times New Roman"/>
          <w:sz w:val="22"/>
          <w:szCs w:val="22"/>
          <w:lang w:val="lt-LT" w:eastAsia="en-US"/>
        </w:rPr>
        <w:t>ms nebuvo taikomas</w:t>
      </w:r>
      <w:r w:rsidRPr="00997273">
        <w:rPr>
          <w:rFonts w:eastAsia="MathExt" w:cs="Times New Roman"/>
          <w:sz w:val="22"/>
          <w:szCs w:val="22"/>
          <w:lang w:val="lt-LT" w:eastAsia="en-US"/>
        </w:rPr>
        <w:t xml:space="preserve"> </w:t>
      </w:r>
      <w:r w:rsidR="00311D0A">
        <w:rPr>
          <w:rFonts w:eastAsia="MathExt" w:cs="Times New Roman"/>
          <w:sz w:val="22"/>
          <w:szCs w:val="22"/>
          <w:lang w:val="lt-LT" w:eastAsia="en-US"/>
        </w:rPr>
        <w:t xml:space="preserve">cukrinio diabeto </w:t>
      </w:r>
      <w:r w:rsidRPr="00997273">
        <w:rPr>
          <w:rFonts w:eastAsia="MathExt" w:cs="Times New Roman"/>
          <w:sz w:val="22"/>
          <w:szCs w:val="22"/>
          <w:lang w:val="lt-LT" w:eastAsia="en-US"/>
        </w:rPr>
        <w:t>gydym</w:t>
      </w:r>
      <w:r w:rsidR="00811E34">
        <w:rPr>
          <w:rFonts w:eastAsia="MathExt" w:cs="Times New Roman"/>
          <w:sz w:val="22"/>
          <w:szCs w:val="22"/>
          <w:lang w:val="lt-LT" w:eastAsia="en-US"/>
        </w:rPr>
        <w:t>as</w:t>
      </w:r>
      <w:r w:rsidRPr="00997273">
        <w:rPr>
          <w:rFonts w:eastAsia="MathExt" w:cs="Times New Roman"/>
          <w:sz w:val="22"/>
          <w:szCs w:val="22"/>
          <w:lang w:val="lt-LT" w:eastAsia="en-US"/>
        </w:rPr>
        <w:t xml:space="preserve"> (</w:t>
      </w:r>
      <w:r w:rsidR="00811E34">
        <w:rPr>
          <w:rFonts w:eastAsia="MathExt" w:cs="Times New Roman"/>
          <w:sz w:val="22"/>
          <w:szCs w:val="22"/>
          <w:lang w:val="lt-LT" w:eastAsia="en-US"/>
        </w:rPr>
        <w:t xml:space="preserve">buvo negydyti </w:t>
      </w:r>
      <w:r w:rsidRPr="00997273">
        <w:rPr>
          <w:rFonts w:eastAsia="MathExt" w:cs="Times New Roman"/>
          <w:sz w:val="22"/>
          <w:szCs w:val="22"/>
          <w:lang w:val="lt-LT" w:eastAsia="en-US"/>
        </w:rPr>
        <w:t>mažiausiai</w:t>
      </w:r>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 xml:space="preserve">4 mėnesius). </w:t>
      </w:r>
      <w:r w:rsidR="00B85FD3" w:rsidRPr="00997273">
        <w:rPr>
          <w:rFonts w:eastAsia="MathExt" w:cs="Times New Roman"/>
          <w:sz w:val="22"/>
          <w:szCs w:val="22"/>
          <w:lang w:val="lt-LT" w:eastAsia="en-US"/>
        </w:rPr>
        <w:t xml:space="preserve">Vidutinė </w:t>
      </w:r>
      <w:proofErr w:type="spellStart"/>
      <w:r w:rsidR="00B85FD3" w:rsidRPr="00997273">
        <w:rPr>
          <w:rFonts w:eastAsia="MathExt" w:cs="Times New Roman"/>
          <w:sz w:val="22"/>
          <w:szCs w:val="22"/>
          <w:lang w:val="lt-LT" w:eastAsia="en-US"/>
        </w:rPr>
        <w:t>metformino</w:t>
      </w:r>
      <w:proofErr w:type="spellEnd"/>
      <w:r w:rsidR="00B85FD3" w:rsidRPr="00997273">
        <w:rPr>
          <w:rFonts w:eastAsia="MathExt" w:cs="Times New Roman"/>
          <w:sz w:val="22"/>
          <w:szCs w:val="22"/>
          <w:lang w:val="lt-LT" w:eastAsia="en-US"/>
        </w:rPr>
        <w:t xml:space="preserve"> dozė buvo 1</w:t>
      </w:r>
      <w:r w:rsidRPr="00997273">
        <w:rPr>
          <w:rFonts w:eastAsia="MathExt" w:cs="Times New Roman"/>
          <w:sz w:val="22"/>
          <w:szCs w:val="22"/>
          <w:lang w:val="lt-LT" w:eastAsia="en-US"/>
        </w:rPr>
        <w:t>900</w:t>
      </w:r>
      <w:r w:rsidR="00CF45D9" w:rsidRPr="00997273">
        <w:rPr>
          <w:rFonts w:eastAsia="MathExt" w:cs="Times New Roman"/>
          <w:sz w:val="22"/>
          <w:szCs w:val="22"/>
          <w:lang w:val="lt-LT" w:eastAsia="en-US"/>
        </w:rPr>
        <w:t> </w:t>
      </w:r>
      <w:r w:rsidRPr="00997273">
        <w:rPr>
          <w:rFonts w:eastAsia="MathExt" w:cs="Times New Roman"/>
          <w:sz w:val="22"/>
          <w:szCs w:val="22"/>
          <w:lang w:val="lt-LT" w:eastAsia="en-US"/>
        </w:rPr>
        <w:t>mg per parą. HbA</w:t>
      </w:r>
      <w:r w:rsidRPr="00CF6B46">
        <w:rPr>
          <w:rFonts w:eastAsia="MathExt" w:cs="Times New Roman"/>
          <w:sz w:val="22"/>
          <w:szCs w:val="22"/>
          <w:vertAlign w:val="subscript"/>
          <w:lang w:val="lt-LT" w:eastAsia="en-US"/>
        </w:rPr>
        <w:t>1c</w:t>
      </w:r>
      <w:r w:rsidRPr="00997273">
        <w:rPr>
          <w:rFonts w:eastAsia="MathExt" w:cs="Times New Roman"/>
          <w:sz w:val="22"/>
          <w:szCs w:val="22"/>
          <w:lang w:val="lt-LT" w:eastAsia="en-US"/>
        </w:rPr>
        <w:t xml:space="preserve"> sumažėjimas</w:t>
      </w:r>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nuo vidutinio pradinio 7,2</w:t>
      </w:r>
      <w:r w:rsidR="00CF6B46">
        <w:rPr>
          <w:rFonts w:eastAsia="MathExt" w:cs="Times New Roman"/>
          <w:sz w:val="22"/>
          <w:szCs w:val="22"/>
          <w:lang w:val="lt-LT" w:eastAsia="en-US"/>
        </w:rPr>
        <w:t> </w:t>
      </w:r>
      <w:r w:rsidRPr="00997273">
        <w:rPr>
          <w:rFonts w:eastAsia="MathExt" w:cs="Times New Roman"/>
          <w:sz w:val="22"/>
          <w:szCs w:val="22"/>
          <w:lang w:val="lt-LT" w:eastAsia="en-US"/>
        </w:rPr>
        <w:t xml:space="preserve">% </w:t>
      </w:r>
      <w:r w:rsidR="00CF6B46">
        <w:rPr>
          <w:rFonts w:eastAsia="MathExt" w:cs="Times New Roman"/>
          <w:sz w:val="22"/>
          <w:szCs w:val="22"/>
          <w:lang w:val="lt-LT" w:eastAsia="en-US"/>
        </w:rPr>
        <w:t>rodmens</w:t>
      </w:r>
      <w:r w:rsidRPr="00997273">
        <w:rPr>
          <w:rFonts w:eastAsia="MathExt" w:cs="Times New Roman"/>
          <w:sz w:val="22"/>
          <w:szCs w:val="22"/>
          <w:lang w:val="lt-LT" w:eastAsia="en-US"/>
        </w:rPr>
        <w:t xml:space="preserve"> buvo -0,43</w:t>
      </w:r>
      <w:r w:rsidR="00CF6B46">
        <w:rPr>
          <w:rFonts w:eastAsia="MathExt" w:cs="Times New Roman"/>
          <w:sz w:val="22"/>
          <w:szCs w:val="22"/>
          <w:lang w:val="lt-LT" w:eastAsia="en-US"/>
        </w:rPr>
        <w:t> </w:t>
      </w:r>
      <w:r w:rsidRPr="00997273">
        <w:rPr>
          <w:rFonts w:eastAsia="MathExt" w:cs="Times New Roman"/>
          <w:sz w:val="22"/>
          <w:szCs w:val="22"/>
          <w:lang w:val="lt-LT" w:eastAsia="en-US"/>
        </w:rPr>
        <w:t>%</w:t>
      </w:r>
      <w:r w:rsidR="00755DA3">
        <w:rPr>
          <w:rFonts w:eastAsia="MathExt" w:cs="Times New Roman"/>
          <w:sz w:val="22"/>
          <w:szCs w:val="22"/>
          <w:lang w:val="lt-LT" w:eastAsia="en-US"/>
        </w:rPr>
        <w:t>,</w:t>
      </w:r>
      <w:r w:rsidRPr="00997273">
        <w:rPr>
          <w:rFonts w:eastAsia="MathExt" w:cs="Times New Roman"/>
          <w:sz w:val="22"/>
          <w:szCs w:val="22"/>
          <w:lang w:val="lt-LT" w:eastAsia="en-US"/>
        </w:rPr>
        <w:t xml:space="preserve"> vartojant </w:t>
      </w:r>
      <w:proofErr w:type="spellStart"/>
      <w:r w:rsidRPr="00997273">
        <w:rPr>
          <w:rFonts w:eastAsia="MathExt" w:cs="Times New Roman"/>
          <w:sz w:val="22"/>
          <w:szCs w:val="22"/>
          <w:lang w:val="lt-LT" w:eastAsia="en-US"/>
        </w:rPr>
        <w:t>sitagliptin</w:t>
      </w:r>
      <w:r w:rsidR="00CF6B46">
        <w:rPr>
          <w:rFonts w:eastAsia="MathExt" w:cs="Times New Roman"/>
          <w:sz w:val="22"/>
          <w:szCs w:val="22"/>
          <w:lang w:val="lt-LT" w:eastAsia="en-US"/>
        </w:rPr>
        <w:t>o</w:t>
      </w:r>
      <w:proofErr w:type="spellEnd"/>
      <w:r w:rsidR="00D55A5A">
        <w:rPr>
          <w:rFonts w:eastAsia="MathExt" w:cs="Times New Roman"/>
          <w:sz w:val="22"/>
          <w:szCs w:val="22"/>
          <w:lang w:val="lt-LT" w:eastAsia="en-US"/>
        </w:rPr>
        <w:t>,</w:t>
      </w:r>
      <w:r w:rsidRPr="00997273">
        <w:rPr>
          <w:rFonts w:eastAsia="MathExt" w:cs="Times New Roman"/>
          <w:sz w:val="22"/>
          <w:szCs w:val="22"/>
          <w:lang w:val="lt-LT" w:eastAsia="en-US"/>
        </w:rPr>
        <w:t xml:space="preserve"> ir -0,57</w:t>
      </w:r>
      <w:r w:rsidR="00CF6B46">
        <w:rPr>
          <w:rFonts w:eastAsia="MathExt" w:cs="Times New Roman"/>
          <w:sz w:val="22"/>
          <w:szCs w:val="22"/>
          <w:lang w:val="lt-LT" w:eastAsia="en-US"/>
        </w:rPr>
        <w:t> </w:t>
      </w:r>
      <w:r w:rsidRPr="00997273">
        <w:rPr>
          <w:rFonts w:eastAsia="MathExt" w:cs="Times New Roman"/>
          <w:sz w:val="22"/>
          <w:szCs w:val="22"/>
          <w:lang w:val="lt-LT" w:eastAsia="en-US"/>
        </w:rPr>
        <w:t>%</w:t>
      </w:r>
      <w:r w:rsidR="00D55A5A">
        <w:rPr>
          <w:rFonts w:eastAsia="MathExt" w:cs="Times New Roman"/>
          <w:sz w:val="22"/>
          <w:szCs w:val="22"/>
          <w:lang w:val="lt-LT" w:eastAsia="en-US"/>
        </w:rPr>
        <w:t>,</w:t>
      </w:r>
      <w:r w:rsidRPr="00997273">
        <w:rPr>
          <w:rFonts w:eastAsia="MathExt" w:cs="Times New Roman"/>
          <w:sz w:val="22"/>
          <w:szCs w:val="22"/>
          <w:lang w:val="lt-LT" w:eastAsia="en-US"/>
        </w:rPr>
        <w:t xml:space="preserve"> vartojant</w:t>
      </w:r>
      <w:r w:rsidR="00CF45D9" w:rsidRPr="00997273">
        <w:rPr>
          <w:rFonts w:eastAsia="MathExt" w:cs="Times New Roman"/>
          <w:sz w:val="22"/>
          <w:szCs w:val="22"/>
          <w:lang w:val="lt-LT" w:eastAsia="en-US"/>
        </w:rPr>
        <w:t xml:space="preserve"> </w:t>
      </w:r>
      <w:proofErr w:type="spellStart"/>
      <w:r w:rsidRPr="00997273">
        <w:rPr>
          <w:rFonts w:eastAsia="MathExt" w:cs="Times New Roman"/>
          <w:sz w:val="22"/>
          <w:szCs w:val="22"/>
          <w:lang w:val="lt-LT" w:eastAsia="en-US"/>
        </w:rPr>
        <w:t>metformin</w:t>
      </w:r>
      <w:r w:rsidR="00CF6B46">
        <w:rPr>
          <w:rFonts w:eastAsia="MathExt" w:cs="Times New Roman"/>
          <w:sz w:val="22"/>
          <w:szCs w:val="22"/>
          <w:lang w:val="lt-LT" w:eastAsia="en-US"/>
        </w:rPr>
        <w:t>o</w:t>
      </w:r>
      <w:proofErr w:type="spellEnd"/>
      <w:r w:rsidRPr="00997273">
        <w:rPr>
          <w:rFonts w:eastAsia="MathExt" w:cs="Times New Roman"/>
          <w:sz w:val="22"/>
          <w:szCs w:val="22"/>
          <w:lang w:val="lt-LT" w:eastAsia="en-US"/>
        </w:rPr>
        <w:t xml:space="preserve"> (analizė pagal protokolą). Bendras</w:t>
      </w:r>
      <w:r w:rsidR="00026916">
        <w:rPr>
          <w:rFonts w:eastAsia="MathExt" w:cs="Times New Roman"/>
          <w:sz w:val="22"/>
          <w:szCs w:val="22"/>
          <w:lang w:val="lt-LT" w:eastAsia="en-US"/>
        </w:rPr>
        <w:t>is</w:t>
      </w:r>
      <w:r w:rsidRPr="00997273">
        <w:rPr>
          <w:rFonts w:eastAsia="MathExt" w:cs="Times New Roman"/>
          <w:sz w:val="22"/>
          <w:szCs w:val="22"/>
          <w:lang w:val="lt-LT" w:eastAsia="en-US"/>
        </w:rPr>
        <w:t xml:space="preserve"> </w:t>
      </w:r>
      <w:r w:rsidR="00824249" w:rsidRPr="00997273">
        <w:rPr>
          <w:rFonts w:eastAsia="MathExt" w:cs="Times New Roman"/>
          <w:sz w:val="22"/>
          <w:szCs w:val="22"/>
          <w:lang w:val="lt-LT" w:eastAsia="en-US"/>
        </w:rPr>
        <w:t xml:space="preserve">virškinimo trakto </w:t>
      </w:r>
      <w:r w:rsidRPr="00997273">
        <w:rPr>
          <w:rFonts w:eastAsia="MathExt" w:cs="Times New Roman"/>
          <w:sz w:val="22"/>
          <w:szCs w:val="22"/>
          <w:lang w:val="lt-LT" w:eastAsia="en-US"/>
        </w:rPr>
        <w:t>nepageidaujamų reakcijų</w:t>
      </w:r>
      <w:r w:rsidR="00824249" w:rsidRPr="00997273">
        <w:rPr>
          <w:rFonts w:eastAsia="MathExt" w:cs="Times New Roman"/>
          <w:sz w:val="22"/>
          <w:szCs w:val="22"/>
          <w:lang w:val="lt-LT" w:eastAsia="en-US"/>
        </w:rPr>
        <w:t xml:space="preserve">, vertintų kaip susijusių su vaistiniu preparatu, </w:t>
      </w:r>
      <w:r w:rsidRPr="00997273">
        <w:rPr>
          <w:rFonts w:eastAsia="MathExt" w:cs="Times New Roman"/>
          <w:sz w:val="22"/>
          <w:szCs w:val="22"/>
          <w:lang w:val="lt-LT" w:eastAsia="en-US"/>
        </w:rPr>
        <w:t xml:space="preserve">dažnis </w:t>
      </w:r>
      <w:proofErr w:type="spellStart"/>
      <w:r w:rsidRPr="00997273">
        <w:rPr>
          <w:rFonts w:eastAsia="MathExt" w:cs="Times New Roman"/>
          <w:sz w:val="22"/>
          <w:szCs w:val="22"/>
          <w:lang w:val="lt-LT" w:eastAsia="en-US"/>
        </w:rPr>
        <w:t>sitagliptinu</w:t>
      </w:r>
      <w:proofErr w:type="spellEnd"/>
      <w:r w:rsidRPr="00997273">
        <w:rPr>
          <w:rFonts w:eastAsia="MathExt" w:cs="Times New Roman"/>
          <w:sz w:val="22"/>
          <w:szCs w:val="22"/>
          <w:lang w:val="lt-LT" w:eastAsia="en-US"/>
        </w:rPr>
        <w:t xml:space="preserve"> gydytiems pacientams buvo 2,7</w:t>
      </w:r>
      <w:r w:rsidR="00ED6ADA">
        <w:rPr>
          <w:rFonts w:eastAsia="MathExt" w:cs="Times New Roman"/>
          <w:sz w:val="22"/>
          <w:szCs w:val="22"/>
          <w:lang w:val="lt-LT" w:eastAsia="en-US"/>
        </w:rPr>
        <w:t> </w:t>
      </w:r>
      <w:r w:rsidRPr="00997273">
        <w:rPr>
          <w:rFonts w:eastAsia="MathExt" w:cs="Times New Roman"/>
          <w:sz w:val="22"/>
          <w:szCs w:val="22"/>
          <w:lang w:val="lt-LT" w:eastAsia="en-US"/>
        </w:rPr>
        <w:t>%,</w:t>
      </w:r>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palygin</w:t>
      </w:r>
      <w:r w:rsidR="00824249" w:rsidRPr="00997273">
        <w:rPr>
          <w:rFonts w:eastAsia="MathExt" w:cs="Times New Roman"/>
          <w:sz w:val="22"/>
          <w:szCs w:val="22"/>
          <w:lang w:val="lt-LT" w:eastAsia="en-US"/>
        </w:rPr>
        <w:t>ti</w:t>
      </w:r>
      <w:r w:rsidRPr="00997273">
        <w:rPr>
          <w:rFonts w:eastAsia="MathExt" w:cs="Times New Roman"/>
          <w:sz w:val="22"/>
          <w:szCs w:val="22"/>
          <w:lang w:val="lt-LT" w:eastAsia="en-US"/>
        </w:rPr>
        <w:t xml:space="preserve"> su 12,6</w:t>
      </w:r>
      <w:r w:rsidR="00ED6ADA">
        <w:rPr>
          <w:rFonts w:eastAsia="MathExt" w:cs="Times New Roman"/>
          <w:sz w:val="22"/>
          <w:szCs w:val="22"/>
          <w:lang w:val="lt-LT" w:eastAsia="en-US"/>
        </w:rPr>
        <w:t> </w:t>
      </w:r>
      <w:r w:rsidRPr="00997273">
        <w:rPr>
          <w:rFonts w:eastAsia="MathExt" w:cs="Times New Roman"/>
          <w:sz w:val="22"/>
          <w:szCs w:val="22"/>
          <w:lang w:val="lt-LT" w:eastAsia="en-US"/>
        </w:rPr>
        <w:t xml:space="preserve">% gydytiesiems </w:t>
      </w:r>
      <w:proofErr w:type="spellStart"/>
      <w:r w:rsidRPr="00997273">
        <w:rPr>
          <w:rFonts w:eastAsia="MathExt" w:cs="Times New Roman"/>
          <w:sz w:val="22"/>
          <w:szCs w:val="22"/>
          <w:lang w:val="lt-LT" w:eastAsia="en-US"/>
        </w:rPr>
        <w:t>metforminu</w:t>
      </w:r>
      <w:proofErr w:type="spellEnd"/>
      <w:r w:rsidRPr="00997273">
        <w:rPr>
          <w:rFonts w:eastAsia="MathExt" w:cs="Times New Roman"/>
          <w:sz w:val="22"/>
          <w:szCs w:val="22"/>
          <w:lang w:val="lt-LT" w:eastAsia="en-US"/>
        </w:rPr>
        <w:t>. Hipoglikemijos dažnis gydymo grupėse reikšmingai</w:t>
      </w:r>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nesiskyrė (</w:t>
      </w:r>
      <w:proofErr w:type="spellStart"/>
      <w:r w:rsidRPr="00997273">
        <w:rPr>
          <w:rFonts w:eastAsia="MathExt" w:cs="Times New Roman"/>
          <w:sz w:val="22"/>
          <w:szCs w:val="22"/>
          <w:lang w:val="lt-LT" w:eastAsia="en-US"/>
        </w:rPr>
        <w:t>sitagliptino</w:t>
      </w:r>
      <w:proofErr w:type="spellEnd"/>
      <w:r w:rsidRPr="00997273">
        <w:rPr>
          <w:rFonts w:eastAsia="MathExt" w:cs="Times New Roman"/>
          <w:sz w:val="22"/>
          <w:szCs w:val="22"/>
          <w:lang w:val="lt-LT" w:eastAsia="en-US"/>
        </w:rPr>
        <w:t xml:space="preserve"> </w:t>
      </w:r>
      <w:r w:rsidR="003E4B36">
        <w:rPr>
          <w:rFonts w:eastAsia="MathExt" w:cs="Times New Roman"/>
          <w:sz w:val="22"/>
          <w:szCs w:val="22"/>
          <w:lang w:val="lt-LT" w:eastAsia="en-US"/>
        </w:rPr>
        <w:t xml:space="preserve">- </w:t>
      </w:r>
      <w:r w:rsidRPr="00997273">
        <w:rPr>
          <w:rFonts w:eastAsia="MathExt" w:cs="Times New Roman"/>
          <w:sz w:val="22"/>
          <w:szCs w:val="22"/>
          <w:lang w:val="lt-LT" w:eastAsia="en-US"/>
        </w:rPr>
        <w:t>1,3</w:t>
      </w:r>
      <w:r w:rsidR="00ED6ADA">
        <w:rPr>
          <w:rFonts w:eastAsia="MathExt" w:cs="Times New Roman"/>
          <w:sz w:val="22"/>
          <w:szCs w:val="22"/>
          <w:lang w:val="lt-LT" w:eastAsia="en-US"/>
        </w:rPr>
        <w:t> </w:t>
      </w:r>
      <w:r w:rsidRPr="00997273">
        <w:rPr>
          <w:rFonts w:eastAsia="MathExt" w:cs="Times New Roman"/>
          <w:sz w:val="22"/>
          <w:szCs w:val="22"/>
          <w:lang w:val="lt-LT" w:eastAsia="en-US"/>
        </w:rPr>
        <w:t xml:space="preserve">%, </w:t>
      </w:r>
      <w:proofErr w:type="spellStart"/>
      <w:r w:rsidRPr="00997273">
        <w:rPr>
          <w:rFonts w:eastAsia="MathExt" w:cs="Times New Roman"/>
          <w:sz w:val="22"/>
          <w:szCs w:val="22"/>
          <w:lang w:val="lt-LT" w:eastAsia="en-US"/>
        </w:rPr>
        <w:t>metformino</w:t>
      </w:r>
      <w:proofErr w:type="spellEnd"/>
      <w:r w:rsidR="003E4B36">
        <w:rPr>
          <w:rFonts w:eastAsia="MathExt" w:cs="Times New Roman"/>
          <w:sz w:val="22"/>
          <w:szCs w:val="22"/>
          <w:lang w:val="lt-LT" w:eastAsia="en-US"/>
        </w:rPr>
        <w:t xml:space="preserve"> -</w:t>
      </w:r>
      <w:r w:rsidRPr="00997273">
        <w:rPr>
          <w:rFonts w:eastAsia="MathExt" w:cs="Times New Roman"/>
          <w:sz w:val="22"/>
          <w:szCs w:val="22"/>
          <w:lang w:val="lt-LT" w:eastAsia="en-US"/>
        </w:rPr>
        <w:t xml:space="preserve"> 1,9</w:t>
      </w:r>
      <w:r w:rsidR="008C73B3">
        <w:t> </w:t>
      </w:r>
      <w:r w:rsidRPr="00997273">
        <w:rPr>
          <w:rFonts w:eastAsia="MathExt" w:cs="Times New Roman"/>
          <w:sz w:val="22"/>
          <w:szCs w:val="22"/>
          <w:lang w:val="lt-LT" w:eastAsia="en-US"/>
        </w:rPr>
        <w:t xml:space="preserve">%). Kūno </w:t>
      </w:r>
      <w:r w:rsidR="00824249" w:rsidRPr="00997273">
        <w:rPr>
          <w:rFonts w:eastAsia="MathExt" w:cs="Times New Roman"/>
          <w:sz w:val="22"/>
          <w:szCs w:val="22"/>
          <w:lang w:val="lt-LT" w:eastAsia="en-US"/>
        </w:rPr>
        <w:t>svoris</w:t>
      </w:r>
      <w:r w:rsidRPr="00997273">
        <w:rPr>
          <w:rFonts w:eastAsia="MathExt" w:cs="Times New Roman"/>
          <w:sz w:val="22"/>
          <w:szCs w:val="22"/>
          <w:lang w:val="lt-LT" w:eastAsia="en-US"/>
        </w:rPr>
        <w:t xml:space="preserve"> nuo pradinio </w:t>
      </w:r>
      <w:r w:rsidR="00F87147">
        <w:rPr>
          <w:rFonts w:eastAsia="MathExt" w:cs="Times New Roman"/>
          <w:sz w:val="22"/>
          <w:szCs w:val="22"/>
          <w:lang w:val="lt-LT" w:eastAsia="en-US"/>
        </w:rPr>
        <w:t>rodmens</w:t>
      </w:r>
      <w:r w:rsidRPr="00997273">
        <w:rPr>
          <w:rFonts w:eastAsia="MathExt" w:cs="Times New Roman"/>
          <w:sz w:val="22"/>
          <w:szCs w:val="22"/>
          <w:lang w:val="lt-LT" w:eastAsia="en-US"/>
        </w:rPr>
        <w:t xml:space="preserve"> </w:t>
      </w:r>
      <w:r w:rsidR="003E4B36" w:rsidRPr="00997273">
        <w:rPr>
          <w:rFonts w:eastAsia="MathExt" w:cs="Times New Roman"/>
          <w:sz w:val="22"/>
          <w:szCs w:val="22"/>
          <w:lang w:val="lt-LT" w:eastAsia="en-US"/>
        </w:rPr>
        <w:t xml:space="preserve">sumažėjo </w:t>
      </w:r>
      <w:r w:rsidRPr="00997273">
        <w:rPr>
          <w:rFonts w:eastAsia="MathExt" w:cs="Times New Roman"/>
          <w:sz w:val="22"/>
          <w:szCs w:val="22"/>
          <w:lang w:val="lt-LT" w:eastAsia="en-US"/>
        </w:rPr>
        <w:t>abejose</w:t>
      </w:r>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grupėse (</w:t>
      </w:r>
      <w:proofErr w:type="spellStart"/>
      <w:r w:rsidRPr="00997273">
        <w:rPr>
          <w:rFonts w:eastAsia="MathExt" w:cs="Times New Roman"/>
          <w:sz w:val="22"/>
          <w:szCs w:val="22"/>
          <w:lang w:val="lt-LT" w:eastAsia="en-US"/>
        </w:rPr>
        <w:t>sitagliptino</w:t>
      </w:r>
      <w:proofErr w:type="spellEnd"/>
      <w:r w:rsidRPr="00997273">
        <w:rPr>
          <w:rFonts w:eastAsia="MathExt" w:cs="Times New Roman"/>
          <w:sz w:val="22"/>
          <w:szCs w:val="22"/>
          <w:lang w:val="lt-LT" w:eastAsia="en-US"/>
        </w:rPr>
        <w:t xml:space="preserve"> -0,6</w:t>
      </w:r>
      <w:r w:rsidR="00CF45D9" w:rsidRPr="00997273">
        <w:rPr>
          <w:rFonts w:eastAsia="MathExt" w:cs="Times New Roman"/>
          <w:sz w:val="22"/>
          <w:szCs w:val="22"/>
          <w:lang w:val="lt-LT" w:eastAsia="en-US"/>
        </w:rPr>
        <w:t> </w:t>
      </w:r>
      <w:r w:rsidRPr="00997273">
        <w:rPr>
          <w:rFonts w:eastAsia="MathExt" w:cs="Times New Roman"/>
          <w:sz w:val="22"/>
          <w:szCs w:val="22"/>
          <w:lang w:val="lt-LT" w:eastAsia="en-US"/>
        </w:rPr>
        <w:t xml:space="preserve">kg, </w:t>
      </w:r>
      <w:proofErr w:type="spellStart"/>
      <w:r w:rsidRPr="00997273">
        <w:rPr>
          <w:rFonts w:eastAsia="MathExt" w:cs="Times New Roman"/>
          <w:sz w:val="22"/>
          <w:szCs w:val="22"/>
          <w:lang w:val="lt-LT" w:eastAsia="en-US"/>
        </w:rPr>
        <w:t>metformino</w:t>
      </w:r>
      <w:proofErr w:type="spellEnd"/>
      <w:r w:rsidRPr="00997273">
        <w:rPr>
          <w:rFonts w:eastAsia="MathExt" w:cs="Times New Roman"/>
          <w:sz w:val="22"/>
          <w:szCs w:val="22"/>
          <w:lang w:val="lt-LT" w:eastAsia="en-US"/>
        </w:rPr>
        <w:t xml:space="preserve"> -1,9</w:t>
      </w:r>
      <w:r w:rsidR="00CF45D9" w:rsidRPr="00997273">
        <w:rPr>
          <w:rFonts w:eastAsia="MathExt" w:cs="Times New Roman"/>
          <w:sz w:val="22"/>
          <w:szCs w:val="22"/>
          <w:lang w:val="lt-LT" w:eastAsia="en-US"/>
        </w:rPr>
        <w:t> </w:t>
      </w:r>
      <w:r w:rsidRPr="00997273">
        <w:rPr>
          <w:rFonts w:eastAsia="MathExt" w:cs="Times New Roman"/>
          <w:sz w:val="22"/>
          <w:szCs w:val="22"/>
          <w:lang w:val="lt-LT" w:eastAsia="en-US"/>
        </w:rPr>
        <w:t>kg).</w:t>
      </w:r>
    </w:p>
    <w:p w14:paraId="4D92C485" w14:textId="77777777" w:rsidR="00824249" w:rsidRPr="00997273" w:rsidRDefault="00824249" w:rsidP="00090B48">
      <w:pPr>
        <w:autoSpaceDE w:val="0"/>
        <w:autoSpaceDN w:val="0"/>
        <w:adjustRightInd w:val="0"/>
        <w:rPr>
          <w:rFonts w:eastAsia="MathExt" w:cs="Times New Roman"/>
          <w:sz w:val="22"/>
          <w:szCs w:val="22"/>
          <w:lang w:val="lt-LT" w:eastAsia="en-US"/>
        </w:rPr>
      </w:pPr>
    </w:p>
    <w:p w14:paraId="1289FDCF" w14:textId="574B6B91" w:rsidR="00090B48" w:rsidRPr="00997273" w:rsidRDefault="00090B48" w:rsidP="00090B48">
      <w:pPr>
        <w:autoSpaceDE w:val="0"/>
        <w:autoSpaceDN w:val="0"/>
        <w:adjustRightInd w:val="0"/>
        <w:rPr>
          <w:rFonts w:eastAsia="MathExt" w:cs="Times New Roman"/>
          <w:sz w:val="22"/>
          <w:szCs w:val="22"/>
          <w:lang w:val="lt-LT" w:eastAsia="en-US"/>
        </w:rPr>
      </w:pPr>
      <w:r w:rsidRPr="00997273">
        <w:rPr>
          <w:rFonts w:eastAsia="MathExt" w:cs="Times New Roman"/>
          <w:sz w:val="22"/>
          <w:szCs w:val="22"/>
          <w:lang w:val="lt-LT" w:eastAsia="en-US"/>
        </w:rPr>
        <w:t xml:space="preserve">Tyrimu, kurio metu buvo </w:t>
      </w:r>
      <w:r w:rsidR="00824249" w:rsidRPr="00997273">
        <w:rPr>
          <w:rFonts w:eastAsia="MathExt" w:cs="Times New Roman"/>
          <w:sz w:val="22"/>
          <w:szCs w:val="22"/>
          <w:lang w:val="lt-LT" w:eastAsia="en-US"/>
        </w:rPr>
        <w:t>pa</w:t>
      </w:r>
      <w:r w:rsidRPr="00997273">
        <w:rPr>
          <w:rFonts w:eastAsia="MathExt" w:cs="Times New Roman"/>
          <w:sz w:val="22"/>
          <w:szCs w:val="22"/>
          <w:lang w:val="lt-LT" w:eastAsia="en-US"/>
        </w:rPr>
        <w:t>lygintas papildomos kartą per parą vartojamos 100</w:t>
      </w:r>
      <w:r w:rsidR="00CF45D9" w:rsidRPr="00997273">
        <w:rPr>
          <w:rFonts w:eastAsia="MathExt" w:cs="Times New Roman"/>
          <w:sz w:val="22"/>
          <w:szCs w:val="22"/>
          <w:lang w:val="lt-LT" w:eastAsia="en-US"/>
        </w:rPr>
        <w:t> </w:t>
      </w:r>
      <w:r w:rsidRPr="00997273">
        <w:rPr>
          <w:rFonts w:eastAsia="MathExt" w:cs="Times New Roman"/>
          <w:sz w:val="22"/>
          <w:szCs w:val="22"/>
          <w:lang w:val="lt-LT" w:eastAsia="en-US"/>
        </w:rPr>
        <w:t xml:space="preserve">mg </w:t>
      </w:r>
      <w:proofErr w:type="spellStart"/>
      <w:r w:rsidRPr="00997273">
        <w:rPr>
          <w:rFonts w:eastAsia="MathExt" w:cs="Times New Roman"/>
          <w:sz w:val="22"/>
          <w:szCs w:val="22"/>
          <w:lang w:val="lt-LT" w:eastAsia="en-US"/>
        </w:rPr>
        <w:t>sitagliptino</w:t>
      </w:r>
      <w:proofErr w:type="spellEnd"/>
      <w:r w:rsidRPr="00997273">
        <w:rPr>
          <w:rFonts w:eastAsia="MathExt" w:cs="Times New Roman"/>
          <w:sz w:val="22"/>
          <w:szCs w:val="22"/>
          <w:lang w:val="lt-LT" w:eastAsia="en-US"/>
        </w:rPr>
        <w:t xml:space="preserve"> dozės</w:t>
      </w:r>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 xml:space="preserve">arba </w:t>
      </w:r>
      <w:proofErr w:type="spellStart"/>
      <w:r w:rsidRPr="00997273">
        <w:rPr>
          <w:rFonts w:eastAsia="MathExt" w:cs="Times New Roman"/>
          <w:sz w:val="22"/>
          <w:szCs w:val="22"/>
          <w:lang w:val="lt-LT" w:eastAsia="en-US"/>
        </w:rPr>
        <w:t>glipizido</w:t>
      </w:r>
      <w:proofErr w:type="spellEnd"/>
      <w:r w:rsidRPr="00997273">
        <w:rPr>
          <w:rFonts w:eastAsia="MathExt" w:cs="Times New Roman"/>
          <w:sz w:val="22"/>
          <w:szCs w:val="22"/>
          <w:lang w:val="lt-LT" w:eastAsia="en-US"/>
        </w:rPr>
        <w:t xml:space="preserve"> (</w:t>
      </w:r>
      <w:proofErr w:type="spellStart"/>
      <w:r w:rsidRPr="00997273">
        <w:rPr>
          <w:rFonts w:eastAsia="MathExt" w:cs="Times New Roman"/>
          <w:sz w:val="22"/>
          <w:szCs w:val="22"/>
          <w:lang w:val="lt-LT" w:eastAsia="en-US"/>
        </w:rPr>
        <w:t>sulfonilurėjos</w:t>
      </w:r>
      <w:proofErr w:type="spellEnd"/>
      <w:r w:rsidR="0059093B">
        <w:rPr>
          <w:rFonts w:eastAsia="MathExt" w:cs="Times New Roman"/>
          <w:sz w:val="22"/>
          <w:szCs w:val="22"/>
          <w:lang w:val="lt-LT" w:eastAsia="en-US"/>
        </w:rPr>
        <w:t xml:space="preserve"> darinio</w:t>
      </w:r>
      <w:r w:rsidRPr="00997273">
        <w:rPr>
          <w:rFonts w:eastAsia="MathExt" w:cs="Times New Roman"/>
          <w:sz w:val="22"/>
          <w:szCs w:val="22"/>
          <w:lang w:val="lt-LT" w:eastAsia="en-US"/>
        </w:rPr>
        <w:t>) veiksmingumas ir saugumas pacientams, kuriems gydym</w:t>
      </w:r>
      <w:r w:rsidR="00EF2BC4">
        <w:rPr>
          <w:rFonts w:eastAsia="MathExt" w:cs="Times New Roman"/>
          <w:sz w:val="22"/>
          <w:szCs w:val="22"/>
          <w:lang w:val="lt-LT" w:eastAsia="en-US"/>
        </w:rPr>
        <w:t>u</w:t>
      </w:r>
      <w:r w:rsidRPr="00997273">
        <w:rPr>
          <w:rFonts w:eastAsia="MathExt" w:cs="Times New Roman"/>
          <w:sz w:val="22"/>
          <w:szCs w:val="22"/>
          <w:lang w:val="lt-LT" w:eastAsia="en-US"/>
        </w:rPr>
        <w:t xml:space="preserve"> vien</w:t>
      </w:r>
      <w:r w:rsidR="00A57290">
        <w:rPr>
          <w:rFonts w:eastAsia="MathExt" w:cs="Times New Roman"/>
          <w:sz w:val="22"/>
          <w:szCs w:val="22"/>
          <w:lang w:val="lt-LT" w:eastAsia="en-US"/>
        </w:rPr>
        <w:t>u</w:t>
      </w:r>
      <w:r w:rsidR="00CF45D9" w:rsidRPr="00997273">
        <w:rPr>
          <w:rFonts w:eastAsia="MathExt" w:cs="Times New Roman"/>
          <w:sz w:val="22"/>
          <w:szCs w:val="22"/>
          <w:lang w:val="lt-LT" w:eastAsia="en-US"/>
        </w:rPr>
        <w:t xml:space="preserve"> </w:t>
      </w:r>
      <w:proofErr w:type="spellStart"/>
      <w:r w:rsidRPr="00997273">
        <w:rPr>
          <w:rFonts w:eastAsia="MathExt" w:cs="Times New Roman"/>
          <w:sz w:val="22"/>
          <w:szCs w:val="22"/>
          <w:lang w:val="lt-LT" w:eastAsia="en-US"/>
        </w:rPr>
        <w:t>metforminu</w:t>
      </w:r>
      <w:proofErr w:type="spellEnd"/>
      <w:r w:rsidRPr="00997273">
        <w:rPr>
          <w:rFonts w:eastAsia="MathExt" w:cs="Times New Roman"/>
          <w:sz w:val="22"/>
          <w:szCs w:val="22"/>
          <w:lang w:val="lt-LT" w:eastAsia="en-US"/>
        </w:rPr>
        <w:t xml:space="preserve"> gliukozės kiekis kraujyje buvo </w:t>
      </w:r>
      <w:r w:rsidR="00D057A9">
        <w:rPr>
          <w:rFonts w:eastAsia="MathExt" w:cs="Times New Roman"/>
          <w:sz w:val="22"/>
          <w:szCs w:val="22"/>
          <w:lang w:val="lt-LT" w:eastAsia="en-US"/>
        </w:rPr>
        <w:t xml:space="preserve">sureguliuojamas </w:t>
      </w:r>
      <w:r w:rsidRPr="00997273">
        <w:rPr>
          <w:rFonts w:eastAsia="MathExt" w:cs="Times New Roman"/>
          <w:sz w:val="22"/>
          <w:szCs w:val="22"/>
          <w:lang w:val="lt-LT" w:eastAsia="en-US"/>
        </w:rPr>
        <w:t>nepakankamai, nustatyta, kad</w:t>
      </w:r>
      <w:r w:rsidR="00CF45D9" w:rsidRPr="00997273">
        <w:rPr>
          <w:rFonts w:eastAsia="MathExt" w:cs="Times New Roman"/>
          <w:sz w:val="22"/>
          <w:szCs w:val="22"/>
          <w:lang w:val="lt-LT" w:eastAsia="en-US"/>
        </w:rPr>
        <w:t xml:space="preserve"> </w:t>
      </w:r>
      <w:proofErr w:type="spellStart"/>
      <w:r w:rsidRPr="00997273">
        <w:rPr>
          <w:rFonts w:eastAsia="MathExt" w:cs="Times New Roman"/>
          <w:sz w:val="22"/>
          <w:szCs w:val="22"/>
          <w:lang w:val="lt-LT" w:eastAsia="en-US"/>
        </w:rPr>
        <w:t>sitagliptinas</w:t>
      </w:r>
      <w:proofErr w:type="spellEnd"/>
      <w:r w:rsidRPr="00997273">
        <w:rPr>
          <w:rFonts w:eastAsia="MathExt" w:cs="Times New Roman"/>
          <w:sz w:val="22"/>
          <w:szCs w:val="22"/>
          <w:lang w:val="lt-LT" w:eastAsia="en-US"/>
        </w:rPr>
        <w:t xml:space="preserve"> HbA</w:t>
      </w:r>
      <w:r w:rsidRPr="00EE5D5F">
        <w:rPr>
          <w:rFonts w:eastAsia="MathExt" w:cs="Times New Roman"/>
          <w:sz w:val="22"/>
          <w:szCs w:val="22"/>
          <w:vertAlign w:val="subscript"/>
          <w:lang w:val="lt-LT" w:eastAsia="en-US"/>
        </w:rPr>
        <w:t>1c</w:t>
      </w:r>
      <w:r w:rsidRPr="00997273">
        <w:rPr>
          <w:rFonts w:eastAsia="MathExt" w:cs="Times New Roman"/>
          <w:sz w:val="22"/>
          <w:szCs w:val="22"/>
          <w:lang w:val="lt-LT" w:eastAsia="en-US"/>
        </w:rPr>
        <w:t xml:space="preserve"> kiekį sumažino panašiai kaip </w:t>
      </w:r>
      <w:proofErr w:type="spellStart"/>
      <w:r w:rsidRPr="00997273">
        <w:rPr>
          <w:rFonts w:eastAsia="MathExt" w:cs="Times New Roman"/>
          <w:sz w:val="22"/>
          <w:szCs w:val="22"/>
          <w:lang w:val="lt-LT" w:eastAsia="en-US"/>
        </w:rPr>
        <w:t>glipizidas</w:t>
      </w:r>
      <w:proofErr w:type="spellEnd"/>
      <w:r w:rsidRPr="00997273">
        <w:rPr>
          <w:rFonts w:eastAsia="MathExt" w:cs="Times New Roman"/>
          <w:sz w:val="22"/>
          <w:szCs w:val="22"/>
          <w:lang w:val="lt-LT" w:eastAsia="en-US"/>
        </w:rPr>
        <w:t xml:space="preserve">. Vidutinė </w:t>
      </w:r>
      <w:proofErr w:type="spellStart"/>
      <w:r w:rsidRPr="00997273">
        <w:rPr>
          <w:rFonts w:eastAsia="MathExt" w:cs="Times New Roman"/>
          <w:sz w:val="22"/>
          <w:szCs w:val="22"/>
          <w:lang w:val="lt-LT" w:eastAsia="en-US"/>
        </w:rPr>
        <w:t>glipizido</w:t>
      </w:r>
      <w:proofErr w:type="spellEnd"/>
      <w:r w:rsidRPr="00997273">
        <w:rPr>
          <w:rFonts w:eastAsia="MathExt" w:cs="Times New Roman"/>
          <w:sz w:val="22"/>
          <w:szCs w:val="22"/>
          <w:lang w:val="lt-LT" w:eastAsia="en-US"/>
        </w:rPr>
        <w:t xml:space="preserve"> paros dozė, kurią</w:t>
      </w:r>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vartojo lyginamosios grupės tiriamieji, buvo 10</w:t>
      </w:r>
      <w:r w:rsidR="00EE5D5F">
        <w:rPr>
          <w:rFonts w:eastAsia="MathExt" w:cs="Times New Roman"/>
          <w:sz w:val="22"/>
          <w:szCs w:val="22"/>
          <w:lang w:val="lt-LT" w:eastAsia="en-US"/>
        </w:rPr>
        <w:t> </w:t>
      </w:r>
      <w:r w:rsidRPr="00997273">
        <w:rPr>
          <w:rFonts w:eastAsia="MathExt" w:cs="Times New Roman"/>
          <w:sz w:val="22"/>
          <w:szCs w:val="22"/>
          <w:lang w:val="lt-LT" w:eastAsia="en-US"/>
        </w:rPr>
        <w:t>mg ir apytikriai 40</w:t>
      </w:r>
      <w:r w:rsidR="00EE5D5F">
        <w:rPr>
          <w:rFonts w:eastAsia="MathExt" w:cs="Times New Roman"/>
          <w:sz w:val="22"/>
          <w:szCs w:val="22"/>
          <w:lang w:val="lt-LT" w:eastAsia="en-US"/>
        </w:rPr>
        <w:t> </w:t>
      </w:r>
      <w:r w:rsidRPr="00997273">
        <w:rPr>
          <w:rFonts w:eastAsia="MathExt" w:cs="Times New Roman"/>
          <w:sz w:val="22"/>
          <w:szCs w:val="22"/>
          <w:lang w:val="lt-LT" w:eastAsia="en-US"/>
        </w:rPr>
        <w:t>% pacientų visu tyrimo laikotarpiu</w:t>
      </w:r>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reikėjo ≤</w:t>
      </w:r>
      <w:r w:rsidR="0059093B">
        <w:rPr>
          <w:rFonts w:eastAsia="MathExt" w:cs="Times New Roman"/>
          <w:sz w:val="22"/>
          <w:szCs w:val="22"/>
          <w:lang w:val="lt-LT" w:eastAsia="en-US"/>
        </w:rPr>
        <w:t> </w:t>
      </w:r>
      <w:r w:rsidRPr="00997273">
        <w:rPr>
          <w:rFonts w:eastAsia="MathExt" w:cs="Times New Roman"/>
          <w:sz w:val="22"/>
          <w:szCs w:val="22"/>
          <w:lang w:val="lt-LT" w:eastAsia="en-US"/>
        </w:rPr>
        <w:t>5</w:t>
      </w:r>
      <w:r w:rsidR="00CF45D9" w:rsidRPr="00997273">
        <w:rPr>
          <w:rFonts w:eastAsia="MathExt" w:cs="Times New Roman"/>
          <w:sz w:val="22"/>
          <w:szCs w:val="22"/>
          <w:lang w:val="lt-LT" w:eastAsia="en-US"/>
        </w:rPr>
        <w:t> </w:t>
      </w:r>
      <w:r w:rsidRPr="00997273">
        <w:rPr>
          <w:rFonts w:eastAsia="MathExt" w:cs="Times New Roman"/>
          <w:sz w:val="22"/>
          <w:szCs w:val="22"/>
          <w:lang w:val="lt-LT" w:eastAsia="en-US"/>
        </w:rPr>
        <w:t xml:space="preserve">mg </w:t>
      </w:r>
      <w:r w:rsidR="00824249" w:rsidRPr="00997273">
        <w:rPr>
          <w:rFonts w:eastAsia="MathExt" w:cs="Times New Roman"/>
          <w:sz w:val="22"/>
          <w:szCs w:val="22"/>
          <w:lang w:val="lt-LT" w:eastAsia="en-US"/>
        </w:rPr>
        <w:t xml:space="preserve">per </w:t>
      </w:r>
      <w:r w:rsidRPr="00997273">
        <w:rPr>
          <w:rFonts w:eastAsia="MathExt" w:cs="Times New Roman"/>
          <w:sz w:val="22"/>
          <w:szCs w:val="22"/>
          <w:lang w:val="lt-LT" w:eastAsia="en-US"/>
        </w:rPr>
        <w:t>par</w:t>
      </w:r>
      <w:r w:rsidR="00824249" w:rsidRPr="00997273">
        <w:rPr>
          <w:rFonts w:eastAsia="MathExt" w:cs="Times New Roman"/>
          <w:sz w:val="22"/>
          <w:szCs w:val="22"/>
          <w:lang w:val="lt-LT" w:eastAsia="en-US"/>
        </w:rPr>
        <w:t>ą</w:t>
      </w:r>
      <w:r w:rsidRPr="00997273">
        <w:rPr>
          <w:rFonts w:eastAsia="MathExt" w:cs="Times New Roman"/>
          <w:sz w:val="22"/>
          <w:szCs w:val="22"/>
          <w:lang w:val="lt-LT" w:eastAsia="en-US"/>
        </w:rPr>
        <w:t xml:space="preserve"> dozės. </w:t>
      </w:r>
      <w:r w:rsidR="00263CD5">
        <w:rPr>
          <w:rFonts w:eastAsia="MathExt" w:cs="Times New Roman"/>
          <w:sz w:val="22"/>
          <w:szCs w:val="22"/>
          <w:lang w:val="lt-LT" w:eastAsia="en-US"/>
        </w:rPr>
        <w:t>Vis dėlto</w:t>
      </w:r>
      <w:r w:rsidRPr="00997273">
        <w:rPr>
          <w:rFonts w:eastAsia="MathExt" w:cs="Times New Roman"/>
          <w:sz w:val="22"/>
          <w:szCs w:val="22"/>
          <w:lang w:val="lt-LT" w:eastAsia="en-US"/>
        </w:rPr>
        <w:t xml:space="preserve"> dėl nepakankamo veiksmingumo </w:t>
      </w:r>
      <w:r w:rsidR="009C2C34">
        <w:rPr>
          <w:rFonts w:eastAsia="MathExt" w:cs="Times New Roman"/>
          <w:sz w:val="22"/>
          <w:szCs w:val="22"/>
          <w:lang w:val="lt-LT" w:eastAsia="en-US"/>
        </w:rPr>
        <w:t xml:space="preserve">daugiau pacientų nutraukė </w:t>
      </w:r>
      <w:r w:rsidRPr="00997273">
        <w:rPr>
          <w:rFonts w:eastAsia="MathExt" w:cs="Times New Roman"/>
          <w:sz w:val="22"/>
          <w:szCs w:val="22"/>
          <w:lang w:val="lt-LT" w:eastAsia="en-US"/>
        </w:rPr>
        <w:t xml:space="preserve">gydymą </w:t>
      </w:r>
      <w:proofErr w:type="spellStart"/>
      <w:r w:rsidRPr="00997273">
        <w:rPr>
          <w:rFonts w:eastAsia="MathExt" w:cs="Times New Roman"/>
          <w:sz w:val="22"/>
          <w:szCs w:val="22"/>
          <w:lang w:val="lt-LT" w:eastAsia="en-US"/>
        </w:rPr>
        <w:t>sitagliptinu</w:t>
      </w:r>
      <w:proofErr w:type="spellEnd"/>
      <w:r w:rsidRPr="00997273">
        <w:rPr>
          <w:rFonts w:eastAsia="MathExt" w:cs="Times New Roman"/>
          <w:sz w:val="22"/>
          <w:szCs w:val="22"/>
          <w:lang w:val="lt-LT" w:eastAsia="en-US"/>
        </w:rPr>
        <w:t xml:space="preserve">, negu gydymą </w:t>
      </w:r>
      <w:proofErr w:type="spellStart"/>
      <w:r w:rsidRPr="00997273">
        <w:rPr>
          <w:rFonts w:eastAsia="MathExt" w:cs="Times New Roman"/>
          <w:sz w:val="22"/>
          <w:szCs w:val="22"/>
          <w:lang w:val="lt-LT" w:eastAsia="en-US"/>
        </w:rPr>
        <w:t>glipizidu</w:t>
      </w:r>
      <w:proofErr w:type="spellEnd"/>
      <w:r w:rsidRPr="00997273">
        <w:rPr>
          <w:rFonts w:eastAsia="MathExt" w:cs="Times New Roman"/>
          <w:sz w:val="22"/>
          <w:szCs w:val="22"/>
          <w:lang w:val="lt-LT" w:eastAsia="en-US"/>
        </w:rPr>
        <w:t xml:space="preserve">. </w:t>
      </w:r>
      <w:proofErr w:type="spellStart"/>
      <w:r w:rsidRPr="00997273">
        <w:rPr>
          <w:rFonts w:eastAsia="MathExt" w:cs="Times New Roman"/>
          <w:sz w:val="22"/>
          <w:szCs w:val="22"/>
          <w:lang w:val="lt-LT" w:eastAsia="en-US"/>
        </w:rPr>
        <w:t>Sitagliptino</w:t>
      </w:r>
      <w:proofErr w:type="spellEnd"/>
      <w:r w:rsidRPr="00997273">
        <w:rPr>
          <w:rFonts w:eastAsia="MathExt" w:cs="Times New Roman"/>
          <w:sz w:val="22"/>
          <w:szCs w:val="22"/>
          <w:lang w:val="lt-LT" w:eastAsia="en-US"/>
        </w:rPr>
        <w:t xml:space="preserve"> vartojusių pacientų kūno </w:t>
      </w:r>
      <w:r w:rsidR="00824249" w:rsidRPr="00997273">
        <w:rPr>
          <w:rFonts w:eastAsia="MathExt" w:cs="Times New Roman"/>
          <w:sz w:val="22"/>
          <w:szCs w:val="22"/>
          <w:lang w:val="lt-LT" w:eastAsia="en-US"/>
        </w:rPr>
        <w:t>svoris</w:t>
      </w:r>
      <w:r w:rsidRPr="00997273">
        <w:rPr>
          <w:rFonts w:eastAsia="MathExt" w:cs="Times New Roman"/>
          <w:sz w:val="22"/>
          <w:szCs w:val="22"/>
          <w:lang w:val="lt-LT" w:eastAsia="en-US"/>
        </w:rPr>
        <w:t>, palyginti su</w:t>
      </w:r>
      <w:r w:rsidR="00CF45D9" w:rsidRPr="00997273">
        <w:rPr>
          <w:rFonts w:eastAsia="MathExt" w:cs="Times New Roman"/>
          <w:sz w:val="22"/>
          <w:szCs w:val="22"/>
          <w:lang w:val="lt-LT" w:eastAsia="en-US"/>
        </w:rPr>
        <w:t xml:space="preserve"> </w:t>
      </w:r>
      <w:r w:rsidR="004B215D">
        <w:rPr>
          <w:rFonts w:eastAsia="MathExt" w:cs="Times New Roman"/>
          <w:sz w:val="22"/>
          <w:szCs w:val="22"/>
          <w:lang w:val="lt-LT" w:eastAsia="en-US"/>
        </w:rPr>
        <w:t>pradiniu</w:t>
      </w:r>
      <w:r w:rsidRPr="00997273">
        <w:rPr>
          <w:rFonts w:eastAsia="MathExt" w:cs="Times New Roman"/>
          <w:sz w:val="22"/>
          <w:szCs w:val="22"/>
          <w:lang w:val="lt-LT" w:eastAsia="en-US"/>
        </w:rPr>
        <w:t xml:space="preserve">, tyrimo metu reikšmingai sumažėjo, </w:t>
      </w:r>
      <w:proofErr w:type="spellStart"/>
      <w:r w:rsidRPr="00997273">
        <w:rPr>
          <w:rFonts w:eastAsia="MathExt" w:cs="Times New Roman"/>
          <w:sz w:val="22"/>
          <w:szCs w:val="22"/>
          <w:lang w:val="lt-LT" w:eastAsia="en-US"/>
        </w:rPr>
        <w:t>glipizido</w:t>
      </w:r>
      <w:proofErr w:type="spellEnd"/>
      <w:r w:rsidRPr="00997273">
        <w:rPr>
          <w:rFonts w:eastAsia="MathExt" w:cs="Times New Roman"/>
          <w:sz w:val="22"/>
          <w:szCs w:val="22"/>
          <w:lang w:val="lt-LT" w:eastAsia="en-US"/>
        </w:rPr>
        <w:t xml:space="preserve"> vartojusių pacientų - reikšmingai padidėjo</w:t>
      </w:r>
      <w:r w:rsidR="00F85A07">
        <w:rPr>
          <w:rFonts w:eastAsia="MathExt" w:cs="Times New Roman"/>
          <w:sz w:val="22"/>
          <w:szCs w:val="22"/>
          <w:lang w:val="lt-LT" w:eastAsia="en-US"/>
        </w:rPr>
        <w:t>,</w:t>
      </w:r>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 xml:space="preserve">atitinkamai </w:t>
      </w:r>
      <w:r w:rsidR="0029442A">
        <w:rPr>
          <w:rFonts w:eastAsia="MathExt" w:cs="Times New Roman"/>
          <w:sz w:val="22"/>
          <w:szCs w:val="22"/>
          <w:lang w:val="lt-LT" w:eastAsia="en-US"/>
        </w:rPr>
        <w:t>–</w:t>
      </w:r>
      <w:r w:rsidRPr="00997273">
        <w:rPr>
          <w:rFonts w:eastAsia="MathExt" w:cs="Times New Roman"/>
          <w:sz w:val="22"/>
          <w:szCs w:val="22"/>
          <w:lang w:val="lt-LT" w:eastAsia="en-US"/>
        </w:rPr>
        <w:t>1,5</w:t>
      </w:r>
      <w:r w:rsidR="00CF45D9" w:rsidRPr="00997273">
        <w:rPr>
          <w:rFonts w:eastAsia="MathExt" w:cs="Times New Roman"/>
          <w:sz w:val="22"/>
          <w:szCs w:val="22"/>
          <w:lang w:val="lt-LT" w:eastAsia="en-US"/>
        </w:rPr>
        <w:t> </w:t>
      </w:r>
      <w:r w:rsidRPr="00997273">
        <w:rPr>
          <w:rFonts w:eastAsia="MathExt" w:cs="Times New Roman"/>
          <w:sz w:val="22"/>
          <w:szCs w:val="22"/>
          <w:lang w:val="lt-LT" w:eastAsia="en-US"/>
        </w:rPr>
        <w:t>kg ir +1,1</w:t>
      </w:r>
      <w:r w:rsidR="00CF45D9" w:rsidRPr="00997273">
        <w:rPr>
          <w:rFonts w:eastAsia="MathExt" w:cs="Times New Roman"/>
          <w:sz w:val="22"/>
          <w:szCs w:val="22"/>
          <w:lang w:val="lt-LT" w:eastAsia="en-US"/>
        </w:rPr>
        <w:t> </w:t>
      </w:r>
      <w:r w:rsidRPr="00997273">
        <w:rPr>
          <w:rFonts w:eastAsia="MathExt" w:cs="Times New Roman"/>
          <w:sz w:val="22"/>
          <w:szCs w:val="22"/>
          <w:lang w:val="lt-LT" w:eastAsia="en-US"/>
        </w:rPr>
        <w:t xml:space="preserve">kg. Šio tyrimo metu insulino gamybos ir išskyrimo </w:t>
      </w:r>
      <w:r w:rsidR="009B48C4">
        <w:rPr>
          <w:rFonts w:eastAsia="MathExt" w:cs="Times New Roman"/>
          <w:sz w:val="22"/>
          <w:szCs w:val="22"/>
          <w:lang w:val="lt-LT" w:eastAsia="en-US"/>
        </w:rPr>
        <w:t>efek</w:t>
      </w:r>
      <w:r w:rsidR="005F69D7">
        <w:rPr>
          <w:rFonts w:eastAsia="MathExt" w:cs="Times New Roman"/>
          <w:sz w:val="22"/>
          <w:szCs w:val="22"/>
          <w:lang w:val="lt-LT" w:eastAsia="en-US"/>
        </w:rPr>
        <w:t>tyvumo</w:t>
      </w:r>
      <w:r w:rsidR="005F69D7"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žymuo,</w:t>
      </w:r>
      <w:r w:rsidR="00CF45D9" w:rsidRPr="00997273">
        <w:rPr>
          <w:rFonts w:eastAsia="MathExt" w:cs="Times New Roman"/>
          <w:sz w:val="22"/>
          <w:szCs w:val="22"/>
          <w:lang w:val="lt-LT" w:eastAsia="en-US"/>
        </w:rPr>
        <w:t xml:space="preserve"> </w:t>
      </w:r>
      <w:proofErr w:type="spellStart"/>
      <w:r w:rsidRPr="00997273">
        <w:rPr>
          <w:rFonts w:eastAsia="MathExt" w:cs="Times New Roman"/>
          <w:sz w:val="22"/>
          <w:szCs w:val="22"/>
          <w:lang w:val="lt-LT" w:eastAsia="en-US"/>
        </w:rPr>
        <w:t>t.y</w:t>
      </w:r>
      <w:proofErr w:type="spellEnd"/>
      <w:r w:rsidRPr="00997273">
        <w:rPr>
          <w:rFonts w:eastAsia="MathExt" w:cs="Times New Roman"/>
          <w:sz w:val="22"/>
          <w:szCs w:val="22"/>
          <w:lang w:val="lt-LT" w:eastAsia="en-US"/>
        </w:rPr>
        <w:t xml:space="preserve">., </w:t>
      </w:r>
      <w:proofErr w:type="spellStart"/>
      <w:r w:rsidRPr="00997273">
        <w:rPr>
          <w:rFonts w:eastAsia="MathExt" w:cs="Times New Roman"/>
          <w:sz w:val="22"/>
          <w:szCs w:val="22"/>
          <w:lang w:val="lt-LT" w:eastAsia="en-US"/>
        </w:rPr>
        <w:t>proinsulino</w:t>
      </w:r>
      <w:proofErr w:type="spellEnd"/>
      <w:r w:rsidRPr="00997273">
        <w:rPr>
          <w:rFonts w:eastAsia="MathExt" w:cs="Times New Roman"/>
          <w:sz w:val="22"/>
          <w:szCs w:val="22"/>
          <w:lang w:val="lt-LT" w:eastAsia="en-US"/>
        </w:rPr>
        <w:t xml:space="preserve"> ir insulino santykis, gydant </w:t>
      </w:r>
      <w:proofErr w:type="spellStart"/>
      <w:r w:rsidRPr="00997273">
        <w:rPr>
          <w:rFonts w:eastAsia="MathExt" w:cs="Times New Roman"/>
          <w:sz w:val="22"/>
          <w:szCs w:val="22"/>
          <w:lang w:val="lt-LT" w:eastAsia="en-US"/>
        </w:rPr>
        <w:t>sitagliptinu</w:t>
      </w:r>
      <w:proofErr w:type="spellEnd"/>
      <w:r w:rsidRPr="00997273">
        <w:rPr>
          <w:rFonts w:eastAsia="MathExt" w:cs="Times New Roman"/>
          <w:sz w:val="22"/>
          <w:szCs w:val="22"/>
          <w:lang w:val="lt-LT" w:eastAsia="en-US"/>
        </w:rPr>
        <w:t xml:space="preserve"> pagerėjo, o gydant </w:t>
      </w:r>
      <w:proofErr w:type="spellStart"/>
      <w:r w:rsidRPr="00997273">
        <w:rPr>
          <w:rFonts w:eastAsia="MathExt" w:cs="Times New Roman"/>
          <w:sz w:val="22"/>
          <w:szCs w:val="22"/>
          <w:lang w:val="lt-LT" w:eastAsia="en-US"/>
        </w:rPr>
        <w:t>glipizidu</w:t>
      </w:r>
      <w:proofErr w:type="spellEnd"/>
      <w:r w:rsidR="005F69D7">
        <w:rPr>
          <w:rFonts w:eastAsia="MathExt" w:cs="Times New Roman"/>
          <w:sz w:val="22"/>
          <w:szCs w:val="22"/>
          <w:lang w:val="lt-LT" w:eastAsia="en-US"/>
        </w:rPr>
        <w:t xml:space="preserve"> -</w:t>
      </w:r>
      <w:r w:rsidRPr="00997273">
        <w:rPr>
          <w:rFonts w:eastAsia="MathExt" w:cs="Times New Roman"/>
          <w:sz w:val="22"/>
          <w:szCs w:val="22"/>
          <w:lang w:val="lt-LT" w:eastAsia="en-US"/>
        </w:rPr>
        <w:t xml:space="preserve"> pablogėjo.</w:t>
      </w:r>
      <w:r w:rsidR="00CF45D9" w:rsidRPr="00997273">
        <w:rPr>
          <w:rFonts w:eastAsia="MathExt" w:cs="Times New Roman"/>
          <w:sz w:val="22"/>
          <w:szCs w:val="22"/>
          <w:lang w:val="lt-LT" w:eastAsia="en-US"/>
        </w:rPr>
        <w:t xml:space="preserve"> </w:t>
      </w:r>
      <w:proofErr w:type="spellStart"/>
      <w:r w:rsidRPr="00997273">
        <w:rPr>
          <w:rFonts w:eastAsia="MathExt" w:cs="Times New Roman"/>
          <w:sz w:val="22"/>
          <w:szCs w:val="22"/>
          <w:lang w:val="lt-LT" w:eastAsia="en-US"/>
        </w:rPr>
        <w:t>Sitagliptino</w:t>
      </w:r>
      <w:proofErr w:type="spellEnd"/>
      <w:r w:rsidRPr="00997273">
        <w:rPr>
          <w:rFonts w:eastAsia="MathExt" w:cs="Times New Roman"/>
          <w:sz w:val="22"/>
          <w:szCs w:val="22"/>
          <w:lang w:val="lt-LT" w:eastAsia="en-US"/>
        </w:rPr>
        <w:t xml:space="preserve"> </w:t>
      </w:r>
      <w:r w:rsidR="0029442A">
        <w:rPr>
          <w:rFonts w:eastAsia="MathExt" w:cs="Times New Roman"/>
          <w:sz w:val="22"/>
          <w:szCs w:val="22"/>
          <w:lang w:val="lt-LT" w:eastAsia="en-US"/>
        </w:rPr>
        <w:t>grupėje</w:t>
      </w:r>
      <w:r w:rsidRPr="00997273">
        <w:rPr>
          <w:rFonts w:eastAsia="MathExt" w:cs="Times New Roman"/>
          <w:sz w:val="22"/>
          <w:szCs w:val="22"/>
          <w:lang w:val="lt-LT" w:eastAsia="en-US"/>
        </w:rPr>
        <w:t xml:space="preserve"> hipoglikemijos dažnis (4,9</w:t>
      </w:r>
      <w:r w:rsidR="0029442A">
        <w:rPr>
          <w:rFonts w:eastAsia="MathExt" w:cs="Times New Roman"/>
          <w:sz w:val="22"/>
          <w:szCs w:val="22"/>
          <w:lang w:val="lt-LT" w:eastAsia="en-US"/>
        </w:rPr>
        <w:t> </w:t>
      </w:r>
      <w:r w:rsidRPr="00997273">
        <w:rPr>
          <w:rFonts w:eastAsia="MathExt" w:cs="Times New Roman"/>
          <w:sz w:val="22"/>
          <w:szCs w:val="22"/>
          <w:lang w:val="lt-LT" w:eastAsia="en-US"/>
        </w:rPr>
        <w:t>%) buvo reikšmingai mažesnis negu</w:t>
      </w:r>
      <w:r w:rsidR="00CF45D9" w:rsidRPr="00997273">
        <w:rPr>
          <w:rFonts w:eastAsia="MathExt" w:cs="Times New Roman"/>
          <w:sz w:val="22"/>
          <w:szCs w:val="22"/>
          <w:lang w:val="lt-LT" w:eastAsia="en-US"/>
        </w:rPr>
        <w:t xml:space="preserve"> </w:t>
      </w:r>
      <w:proofErr w:type="spellStart"/>
      <w:r w:rsidRPr="00997273">
        <w:rPr>
          <w:rFonts w:eastAsia="MathExt" w:cs="Times New Roman"/>
          <w:sz w:val="22"/>
          <w:szCs w:val="22"/>
          <w:lang w:val="lt-LT" w:eastAsia="en-US"/>
        </w:rPr>
        <w:t>glipizido</w:t>
      </w:r>
      <w:proofErr w:type="spellEnd"/>
      <w:r w:rsidRPr="00997273">
        <w:rPr>
          <w:rFonts w:eastAsia="MathExt" w:cs="Times New Roman"/>
          <w:sz w:val="22"/>
          <w:szCs w:val="22"/>
          <w:lang w:val="lt-LT" w:eastAsia="en-US"/>
        </w:rPr>
        <w:t xml:space="preserve"> </w:t>
      </w:r>
      <w:r w:rsidR="0029442A">
        <w:rPr>
          <w:rFonts w:eastAsia="MathExt" w:cs="Times New Roman"/>
          <w:sz w:val="22"/>
          <w:szCs w:val="22"/>
          <w:lang w:val="lt-LT" w:eastAsia="en-US"/>
        </w:rPr>
        <w:t>grupėje</w:t>
      </w:r>
      <w:r w:rsidR="009E20A5">
        <w:rPr>
          <w:rFonts w:eastAsia="MathExt" w:cs="Times New Roman"/>
          <w:sz w:val="22"/>
          <w:szCs w:val="22"/>
          <w:lang w:val="lt-LT" w:eastAsia="en-US"/>
        </w:rPr>
        <w:t xml:space="preserve"> </w:t>
      </w:r>
      <w:r w:rsidRPr="00997273">
        <w:rPr>
          <w:rFonts w:eastAsia="MathExt" w:cs="Times New Roman"/>
          <w:sz w:val="22"/>
          <w:szCs w:val="22"/>
          <w:lang w:val="lt-LT" w:eastAsia="en-US"/>
        </w:rPr>
        <w:t>(32</w:t>
      </w:r>
      <w:r w:rsidR="0029442A">
        <w:rPr>
          <w:rFonts w:eastAsia="MathExt" w:cs="Times New Roman"/>
          <w:sz w:val="22"/>
          <w:szCs w:val="22"/>
          <w:lang w:val="lt-LT" w:eastAsia="en-US"/>
        </w:rPr>
        <w:t> </w:t>
      </w:r>
      <w:r w:rsidRPr="00997273">
        <w:rPr>
          <w:rFonts w:eastAsia="MathExt" w:cs="Times New Roman"/>
          <w:sz w:val="22"/>
          <w:szCs w:val="22"/>
          <w:lang w:val="lt-LT" w:eastAsia="en-US"/>
        </w:rPr>
        <w:t>%).</w:t>
      </w:r>
    </w:p>
    <w:p w14:paraId="52DA995B" w14:textId="77777777" w:rsidR="00824249" w:rsidRPr="00997273" w:rsidRDefault="00824249" w:rsidP="00090B48">
      <w:pPr>
        <w:autoSpaceDE w:val="0"/>
        <w:autoSpaceDN w:val="0"/>
        <w:adjustRightInd w:val="0"/>
        <w:rPr>
          <w:rFonts w:eastAsia="MathExt" w:cs="Times New Roman"/>
          <w:sz w:val="22"/>
          <w:szCs w:val="22"/>
          <w:lang w:val="lt-LT" w:eastAsia="en-US"/>
        </w:rPr>
      </w:pPr>
    </w:p>
    <w:p w14:paraId="53F34761" w14:textId="0C67CB2D" w:rsidR="00041897" w:rsidRPr="00041897" w:rsidRDefault="00090B48" w:rsidP="00041897">
      <w:pPr>
        <w:widowControl w:val="0"/>
        <w:autoSpaceDE w:val="0"/>
        <w:autoSpaceDN w:val="0"/>
        <w:adjustRightInd w:val="0"/>
        <w:rPr>
          <w:rFonts w:eastAsia="TimesNewRoman" w:cs="Times New Roman"/>
          <w:sz w:val="22"/>
          <w:szCs w:val="22"/>
          <w:lang w:val="lt-LT" w:eastAsia="en-US"/>
        </w:rPr>
      </w:pPr>
      <w:r w:rsidRPr="00997273">
        <w:rPr>
          <w:rFonts w:eastAsia="MathExt" w:cs="Times New Roman"/>
          <w:sz w:val="22"/>
          <w:szCs w:val="22"/>
          <w:lang w:val="lt-LT" w:eastAsia="en-US"/>
        </w:rPr>
        <w:t>24</w:t>
      </w:r>
      <w:r w:rsidR="003B27F2">
        <w:rPr>
          <w:rFonts w:eastAsia="MathExt" w:cs="Times New Roman"/>
          <w:sz w:val="22"/>
          <w:szCs w:val="22"/>
          <w:lang w:val="lt-LT" w:eastAsia="en-US"/>
        </w:rPr>
        <w:t> </w:t>
      </w:r>
      <w:r w:rsidRPr="00997273">
        <w:rPr>
          <w:rFonts w:eastAsia="MathExt" w:cs="Times New Roman"/>
          <w:sz w:val="22"/>
          <w:szCs w:val="22"/>
          <w:lang w:val="lt-LT" w:eastAsia="en-US"/>
        </w:rPr>
        <w:t>savaičių trukmės placebu kontroliuo</w:t>
      </w:r>
      <w:r w:rsidR="00824249" w:rsidRPr="00997273">
        <w:rPr>
          <w:rFonts w:eastAsia="MathExt" w:cs="Times New Roman"/>
          <w:sz w:val="22"/>
          <w:szCs w:val="22"/>
          <w:lang w:val="lt-LT" w:eastAsia="en-US"/>
        </w:rPr>
        <w:t>jam</w:t>
      </w:r>
      <w:r w:rsidRPr="00997273">
        <w:rPr>
          <w:rFonts w:eastAsia="MathExt" w:cs="Times New Roman"/>
          <w:sz w:val="22"/>
          <w:szCs w:val="22"/>
          <w:lang w:val="lt-LT" w:eastAsia="en-US"/>
        </w:rPr>
        <w:t>as klinikinis tyrimas, kuriame dalyvavo 660 pacientų, buvo</w:t>
      </w:r>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 xml:space="preserve">skirtas įvertinti </w:t>
      </w:r>
      <w:proofErr w:type="spellStart"/>
      <w:r w:rsidRPr="00997273">
        <w:rPr>
          <w:rFonts w:eastAsia="MathExt" w:cs="Times New Roman"/>
          <w:sz w:val="22"/>
          <w:szCs w:val="22"/>
          <w:lang w:val="lt-LT" w:eastAsia="en-US"/>
        </w:rPr>
        <w:t>sitagliptino</w:t>
      </w:r>
      <w:proofErr w:type="spellEnd"/>
      <w:r w:rsidRPr="00997273">
        <w:rPr>
          <w:rFonts w:eastAsia="MathExt" w:cs="Times New Roman"/>
          <w:sz w:val="22"/>
          <w:szCs w:val="22"/>
          <w:lang w:val="lt-LT" w:eastAsia="en-US"/>
        </w:rPr>
        <w:t xml:space="preserve"> (</w:t>
      </w:r>
      <w:r w:rsidR="00824249" w:rsidRPr="00997273">
        <w:rPr>
          <w:rFonts w:eastAsia="MathExt" w:cs="Times New Roman"/>
          <w:sz w:val="22"/>
          <w:szCs w:val="22"/>
          <w:lang w:val="lt-LT" w:eastAsia="en-US"/>
        </w:rPr>
        <w:t xml:space="preserve">vartojant </w:t>
      </w:r>
      <w:r w:rsidRPr="00997273">
        <w:rPr>
          <w:rFonts w:eastAsia="MathExt" w:cs="Times New Roman"/>
          <w:sz w:val="22"/>
          <w:szCs w:val="22"/>
          <w:lang w:val="lt-LT" w:eastAsia="en-US"/>
        </w:rPr>
        <w:t>100</w:t>
      </w:r>
      <w:r w:rsidR="00CF45D9" w:rsidRPr="00997273">
        <w:rPr>
          <w:rFonts w:eastAsia="MathExt" w:cs="Times New Roman"/>
          <w:sz w:val="22"/>
          <w:szCs w:val="22"/>
          <w:lang w:val="lt-LT" w:eastAsia="en-US"/>
        </w:rPr>
        <w:t> </w:t>
      </w:r>
      <w:r w:rsidRPr="00997273">
        <w:rPr>
          <w:rFonts w:eastAsia="MathExt" w:cs="Times New Roman"/>
          <w:sz w:val="22"/>
          <w:szCs w:val="22"/>
          <w:lang w:val="lt-LT" w:eastAsia="en-US"/>
        </w:rPr>
        <w:t>mg vieną kartą per parą)</w:t>
      </w:r>
      <w:r w:rsidR="001147AA">
        <w:rPr>
          <w:rFonts w:eastAsia="MathExt" w:cs="Times New Roman"/>
          <w:sz w:val="22"/>
          <w:szCs w:val="22"/>
          <w:lang w:val="lt-LT" w:eastAsia="en-US"/>
        </w:rPr>
        <w:t xml:space="preserve">, kaip </w:t>
      </w:r>
      <w:r w:rsidR="00FD4B5C">
        <w:rPr>
          <w:rFonts w:eastAsia="MathExt" w:cs="Times New Roman"/>
          <w:sz w:val="22"/>
          <w:szCs w:val="22"/>
          <w:lang w:val="lt-LT" w:eastAsia="en-US"/>
        </w:rPr>
        <w:t>insulino poreikį mažinančio vaistinio preparato,</w:t>
      </w:r>
      <w:r w:rsidRPr="00997273">
        <w:rPr>
          <w:rFonts w:eastAsia="MathExt" w:cs="Times New Roman"/>
          <w:sz w:val="22"/>
          <w:szCs w:val="22"/>
          <w:lang w:val="lt-LT" w:eastAsia="en-US"/>
        </w:rPr>
        <w:t xml:space="preserve"> veiksmingumą</w:t>
      </w:r>
      <w:r w:rsidR="00CF45D9" w:rsidRPr="00997273">
        <w:rPr>
          <w:rFonts w:eastAsia="MathExt" w:cs="Times New Roman"/>
          <w:sz w:val="22"/>
          <w:szCs w:val="22"/>
          <w:lang w:val="lt-LT" w:eastAsia="en-US"/>
        </w:rPr>
        <w:t xml:space="preserve"> </w:t>
      </w:r>
      <w:r w:rsidRPr="00997273">
        <w:rPr>
          <w:rFonts w:eastAsia="MathExt" w:cs="Times New Roman"/>
          <w:sz w:val="22"/>
          <w:szCs w:val="22"/>
          <w:lang w:val="lt-LT" w:eastAsia="en-US"/>
        </w:rPr>
        <w:t xml:space="preserve">ir saugumą, </w:t>
      </w:r>
      <w:r w:rsidR="00041897" w:rsidRPr="00041897">
        <w:rPr>
          <w:rFonts w:eastAsia="TimesNewRoman" w:cs="Times New Roman"/>
          <w:sz w:val="22"/>
          <w:szCs w:val="22"/>
          <w:lang w:val="lt-LT" w:eastAsia="en-US"/>
        </w:rPr>
        <w:t xml:space="preserve">juo papildant gydymą insulinu </w:t>
      </w:r>
      <w:proofErr w:type="spellStart"/>
      <w:r w:rsidR="00041897" w:rsidRPr="00041897">
        <w:rPr>
          <w:rFonts w:eastAsia="TimesNewRoman" w:cs="Times New Roman"/>
          <w:sz w:val="22"/>
          <w:szCs w:val="22"/>
          <w:lang w:val="lt-LT" w:eastAsia="en-US"/>
        </w:rPr>
        <w:t>glarginu</w:t>
      </w:r>
      <w:proofErr w:type="spellEnd"/>
      <w:r w:rsidR="00041897" w:rsidRPr="00041897">
        <w:rPr>
          <w:rFonts w:eastAsia="TimesNewRoman" w:cs="Times New Roman"/>
          <w:sz w:val="22"/>
          <w:szCs w:val="22"/>
          <w:lang w:val="lt-LT" w:eastAsia="en-US"/>
        </w:rPr>
        <w:t xml:space="preserve"> kartu su </w:t>
      </w:r>
      <w:proofErr w:type="spellStart"/>
      <w:r w:rsidR="00041897" w:rsidRPr="00041897">
        <w:rPr>
          <w:rFonts w:eastAsia="TimesNewRoman" w:cs="Times New Roman"/>
          <w:sz w:val="22"/>
          <w:szCs w:val="22"/>
          <w:lang w:val="lt-LT" w:eastAsia="en-US"/>
        </w:rPr>
        <w:t>metforminu</w:t>
      </w:r>
      <w:proofErr w:type="spellEnd"/>
      <w:r w:rsidR="00041897" w:rsidRPr="00041897">
        <w:rPr>
          <w:rFonts w:eastAsia="TimesNewRoman" w:cs="Times New Roman"/>
          <w:sz w:val="22"/>
          <w:szCs w:val="22"/>
          <w:lang w:val="lt-LT" w:eastAsia="en-US"/>
        </w:rPr>
        <w:t xml:space="preserve"> (dozė ne mažesnė kaip 1500 mg) arba be jo</w:t>
      </w:r>
      <w:r w:rsidR="00041897">
        <w:rPr>
          <w:rFonts w:eastAsia="TimesNewRoman" w:cs="Times New Roman"/>
          <w:sz w:val="22"/>
          <w:szCs w:val="22"/>
          <w:lang w:val="lt-LT" w:eastAsia="en-US"/>
        </w:rPr>
        <w:t>,</w:t>
      </w:r>
      <w:r w:rsidR="00041897" w:rsidRPr="00041897">
        <w:rPr>
          <w:rFonts w:eastAsia="TimesNewRoman" w:cs="Times New Roman"/>
          <w:sz w:val="22"/>
          <w:szCs w:val="22"/>
          <w:lang w:val="lt-LT" w:eastAsia="en-US"/>
        </w:rPr>
        <w:t xml:space="preserve"> </w:t>
      </w:r>
      <w:r w:rsidR="00041897">
        <w:rPr>
          <w:rFonts w:eastAsia="TimesNewRoman" w:cs="Times New Roman"/>
          <w:sz w:val="22"/>
          <w:szCs w:val="22"/>
          <w:lang w:val="lt-LT" w:eastAsia="en-US"/>
        </w:rPr>
        <w:t>gydymo</w:t>
      </w:r>
      <w:r w:rsidR="003558DA">
        <w:rPr>
          <w:rFonts w:eastAsia="TimesNewRoman" w:cs="Times New Roman"/>
          <w:sz w:val="22"/>
          <w:szCs w:val="22"/>
          <w:lang w:val="lt-LT" w:eastAsia="en-US"/>
        </w:rPr>
        <w:t xml:space="preserve"> </w:t>
      </w:r>
      <w:r w:rsidR="00041897" w:rsidRPr="00041897">
        <w:rPr>
          <w:rFonts w:eastAsia="TimesNewRoman" w:cs="Times New Roman"/>
          <w:sz w:val="22"/>
          <w:szCs w:val="22"/>
          <w:lang w:val="lt-LT" w:eastAsia="en-US"/>
        </w:rPr>
        <w:t>insulin</w:t>
      </w:r>
      <w:r w:rsidR="003558DA">
        <w:rPr>
          <w:rFonts w:eastAsia="TimesNewRoman" w:cs="Times New Roman"/>
          <w:sz w:val="22"/>
          <w:szCs w:val="22"/>
          <w:lang w:val="lt-LT" w:eastAsia="en-US"/>
        </w:rPr>
        <w:t>u</w:t>
      </w:r>
      <w:r w:rsidR="00041897" w:rsidRPr="00041897">
        <w:rPr>
          <w:rFonts w:eastAsia="TimesNewRoman" w:cs="Times New Roman"/>
          <w:sz w:val="22"/>
          <w:szCs w:val="22"/>
          <w:lang w:val="lt-LT" w:eastAsia="en-US"/>
        </w:rPr>
        <w:t xml:space="preserve"> intensyvinimo laikotarpiu. Prieš pradedant tyrimą vidutinis HbA</w:t>
      </w:r>
      <w:r w:rsidR="00041897" w:rsidRPr="00041897">
        <w:rPr>
          <w:rFonts w:eastAsia="TimesNewRoman" w:cs="Times New Roman"/>
          <w:sz w:val="22"/>
          <w:szCs w:val="22"/>
          <w:vertAlign w:val="subscript"/>
          <w:lang w:val="lt-LT" w:eastAsia="en-US"/>
        </w:rPr>
        <w:t>1c</w:t>
      </w:r>
      <w:r w:rsidR="00041897" w:rsidRPr="00041897">
        <w:rPr>
          <w:rFonts w:eastAsia="TimesNewRoman" w:cs="Times New Roman"/>
          <w:sz w:val="22"/>
          <w:szCs w:val="22"/>
          <w:lang w:val="lt-LT" w:eastAsia="en-US"/>
        </w:rPr>
        <w:t xml:space="preserve"> buvo 8,74 %, vidutinė insulino paros dozė – 37 TV. Pacientams buvo nurodyta </w:t>
      </w:r>
      <w:r w:rsidR="005F69D7">
        <w:rPr>
          <w:rFonts w:eastAsia="TimesNewRoman" w:cs="Times New Roman"/>
          <w:sz w:val="22"/>
          <w:szCs w:val="22"/>
          <w:lang w:val="lt-LT" w:eastAsia="en-US"/>
        </w:rPr>
        <w:t>koreguoti</w:t>
      </w:r>
      <w:r w:rsidR="005F69D7" w:rsidRPr="00041897">
        <w:rPr>
          <w:rFonts w:eastAsia="TimesNewRoman" w:cs="Times New Roman"/>
          <w:sz w:val="22"/>
          <w:szCs w:val="22"/>
          <w:lang w:val="lt-LT" w:eastAsia="en-US"/>
        </w:rPr>
        <w:t xml:space="preserve"> </w:t>
      </w:r>
      <w:r w:rsidR="00041897" w:rsidRPr="00041897">
        <w:rPr>
          <w:rFonts w:eastAsia="TimesNewRoman" w:cs="Times New Roman"/>
          <w:sz w:val="22"/>
          <w:szCs w:val="22"/>
          <w:lang w:val="lt-LT" w:eastAsia="en-US"/>
        </w:rPr>
        <w:t xml:space="preserve">insulino </w:t>
      </w:r>
      <w:proofErr w:type="spellStart"/>
      <w:r w:rsidR="00041897" w:rsidRPr="00041897">
        <w:rPr>
          <w:rFonts w:eastAsia="TimesNewRoman" w:cs="Times New Roman"/>
          <w:sz w:val="22"/>
          <w:szCs w:val="22"/>
          <w:lang w:val="lt-LT" w:eastAsia="en-US"/>
        </w:rPr>
        <w:t>glargino</w:t>
      </w:r>
      <w:proofErr w:type="spellEnd"/>
      <w:r w:rsidR="00041897" w:rsidRPr="00041897">
        <w:rPr>
          <w:rFonts w:eastAsia="TimesNewRoman" w:cs="Times New Roman"/>
          <w:sz w:val="22"/>
          <w:szCs w:val="22"/>
          <w:lang w:val="lt-LT" w:eastAsia="en-US"/>
        </w:rPr>
        <w:t xml:space="preserve"> dozę remiantis gliukozės kiekiu nevalgius kraujyje iš </w:t>
      </w:r>
      <w:r w:rsidR="00233105">
        <w:rPr>
          <w:rFonts w:eastAsia="TimesNewRoman" w:cs="Times New Roman"/>
          <w:sz w:val="22"/>
          <w:szCs w:val="22"/>
          <w:lang w:val="lt-LT" w:eastAsia="en-US"/>
        </w:rPr>
        <w:t>kapil</w:t>
      </w:r>
      <w:r w:rsidR="005F69D7">
        <w:rPr>
          <w:rFonts w:eastAsia="TimesNewRoman" w:cs="Times New Roman"/>
          <w:sz w:val="22"/>
          <w:szCs w:val="22"/>
          <w:lang w:val="lt-LT" w:eastAsia="en-US"/>
        </w:rPr>
        <w:t>i</w:t>
      </w:r>
      <w:r w:rsidR="00233105">
        <w:rPr>
          <w:rFonts w:eastAsia="TimesNewRoman" w:cs="Times New Roman"/>
          <w:sz w:val="22"/>
          <w:szCs w:val="22"/>
          <w:lang w:val="lt-LT" w:eastAsia="en-US"/>
        </w:rPr>
        <w:t>a</w:t>
      </w:r>
      <w:r w:rsidR="005F69D7">
        <w:rPr>
          <w:rFonts w:eastAsia="TimesNewRoman" w:cs="Times New Roman"/>
          <w:sz w:val="22"/>
          <w:szCs w:val="22"/>
          <w:lang w:val="lt-LT" w:eastAsia="en-US"/>
        </w:rPr>
        <w:t xml:space="preserve">rinės </w:t>
      </w:r>
      <w:proofErr w:type="spellStart"/>
      <w:r w:rsidR="005F69D7">
        <w:rPr>
          <w:rFonts w:eastAsia="TimesNewRoman" w:cs="Times New Roman"/>
          <w:sz w:val="22"/>
          <w:szCs w:val="22"/>
          <w:lang w:val="lt-LT" w:eastAsia="en-US"/>
        </w:rPr>
        <w:t>glikemijos</w:t>
      </w:r>
      <w:proofErr w:type="spellEnd"/>
      <w:r w:rsidR="00041897" w:rsidRPr="00041897">
        <w:rPr>
          <w:rFonts w:eastAsia="TimesNewRoman" w:cs="Times New Roman"/>
          <w:sz w:val="22"/>
          <w:szCs w:val="22"/>
          <w:lang w:val="lt-LT" w:eastAsia="en-US"/>
        </w:rPr>
        <w:t>. 24</w:t>
      </w:r>
      <w:r w:rsidR="00041897" w:rsidRPr="00041897">
        <w:rPr>
          <w:rFonts w:eastAsia="TimesNewRoman" w:cs="Times New Roman"/>
          <w:sz w:val="22"/>
          <w:szCs w:val="22"/>
          <w:lang w:val="lt-LT" w:eastAsia="en-US"/>
        </w:rPr>
        <w:noBreakHyphen/>
        <w:t xml:space="preserve">ąją savaitę </w:t>
      </w:r>
      <w:proofErr w:type="spellStart"/>
      <w:r w:rsidR="00041897" w:rsidRPr="00041897">
        <w:rPr>
          <w:rFonts w:eastAsia="TimesNewRoman" w:cs="Times New Roman"/>
          <w:sz w:val="22"/>
          <w:szCs w:val="22"/>
          <w:lang w:val="lt-LT" w:eastAsia="en-US"/>
        </w:rPr>
        <w:t>sitagliptinu</w:t>
      </w:r>
      <w:proofErr w:type="spellEnd"/>
      <w:r w:rsidR="00041897" w:rsidRPr="00041897">
        <w:rPr>
          <w:rFonts w:eastAsia="TimesNewRoman" w:cs="Times New Roman"/>
          <w:sz w:val="22"/>
          <w:szCs w:val="22"/>
          <w:lang w:val="lt-LT" w:eastAsia="en-US"/>
        </w:rPr>
        <w:t xml:space="preserve"> gydytiems pacientams kasdienės insulino paros dozės padidėjimas buvo 19 TV, o placebu gydytiems pacientams – 24 TV. HbA</w:t>
      </w:r>
      <w:r w:rsidR="00041897" w:rsidRPr="00041897">
        <w:rPr>
          <w:rFonts w:eastAsia="TimesNewRoman" w:cs="Times New Roman"/>
          <w:sz w:val="22"/>
          <w:szCs w:val="22"/>
          <w:vertAlign w:val="subscript"/>
          <w:lang w:val="lt-LT" w:eastAsia="en-US"/>
        </w:rPr>
        <w:t>1c</w:t>
      </w:r>
      <w:r w:rsidR="00041897" w:rsidRPr="00041897">
        <w:rPr>
          <w:rFonts w:eastAsia="TimesNewRoman" w:cs="Times New Roman"/>
          <w:sz w:val="22"/>
          <w:szCs w:val="22"/>
          <w:lang w:val="lt-LT" w:eastAsia="en-US"/>
        </w:rPr>
        <w:t xml:space="preserve"> sumažėjimas </w:t>
      </w:r>
      <w:proofErr w:type="spellStart"/>
      <w:r w:rsidR="00041897" w:rsidRPr="00041897">
        <w:rPr>
          <w:rFonts w:eastAsia="TimesNewRoman" w:cs="Times New Roman"/>
          <w:sz w:val="22"/>
          <w:szCs w:val="22"/>
          <w:lang w:val="lt-LT" w:eastAsia="en-US"/>
        </w:rPr>
        <w:t>sitagliptino</w:t>
      </w:r>
      <w:proofErr w:type="spellEnd"/>
      <w:r w:rsidR="00041897" w:rsidRPr="00041897">
        <w:rPr>
          <w:rFonts w:eastAsia="TimesNewRoman" w:cs="Times New Roman"/>
          <w:sz w:val="22"/>
          <w:szCs w:val="22"/>
          <w:lang w:val="lt-LT" w:eastAsia="en-US"/>
        </w:rPr>
        <w:t xml:space="preserve"> ir insulino deriniu (kartu su </w:t>
      </w:r>
      <w:proofErr w:type="spellStart"/>
      <w:r w:rsidR="00041897" w:rsidRPr="00041897">
        <w:rPr>
          <w:rFonts w:eastAsia="TimesNewRoman" w:cs="Times New Roman"/>
          <w:sz w:val="22"/>
          <w:szCs w:val="22"/>
          <w:lang w:val="lt-LT" w:eastAsia="en-US"/>
        </w:rPr>
        <w:t>metforminu</w:t>
      </w:r>
      <w:proofErr w:type="spellEnd"/>
      <w:r w:rsidR="00041897" w:rsidRPr="00041897">
        <w:rPr>
          <w:rFonts w:eastAsia="TimesNewRoman" w:cs="Times New Roman"/>
          <w:sz w:val="22"/>
          <w:szCs w:val="22"/>
          <w:lang w:val="lt-LT" w:eastAsia="en-US"/>
        </w:rPr>
        <w:t xml:space="preserve"> arba be jo) gydytiems pacientams buvo </w:t>
      </w:r>
      <w:r w:rsidR="00051DE5">
        <w:rPr>
          <w:rFonts w:eastAsia="TimesNewRoman" w:cs="Times New Roman"/>
          <w:sz w:val="22"/>
          <w:szCs w:val="22"/>
          <w:lang w:val="lt-LT" w:eastAsia="en-US"/>
        </w:rPr>
        <w:t>–</w:t>
      </w:r>
      <w:r w:rsidR="00041897" w:rsidRPr="00041897">
        <w:rPr>
          <w:rFonts w:eastAsia="TimesNewRoman" w:cs="Times New Roman"/>
          <w:sz w:val="22"/>
          <w:szCs w:val="22"/>
          <w:lang w:val="lt-LT" w:eastAsia="en-US"/>
        </w:rPr>
        <w:t xml:space="preserve">1,31 %, palyginti su </w:t>
      </w:r>
      <w:r w:rsidR="00051DE5">
        <w:rPr>
          <w:rFonts w:eastAsia="TimesNewRoman" w:cs="Times New Roman"/>
          <w:sz w:val="22"/>
          <w:szCs w:val="22"/>
          <w:lang w:val="lt-LT" w:eastAsia="en-US"/>
        </w:rPr>
        <w:t>–</w:t>
      </w:r>
      <w:r w:rsidR="00041897" w:rsidRPr="00041897">
        <w:rPr>
          <w:rFonts w:eastAsia="TimesNewRoman" w:cs="Times New Roman"/>
          <w:sz w:val="22"/>
          <w:szCs w:val="22"/>
          <w:lang w:val="lt-LT" w:eastAsia="en-US"/>
        </w:rPr>
        <w:t xml:space="preserve">0,87 % placebo ir insulino derinio (kartu su </w:t>
      </w:r>
      <w:proofErr w:type="spellStart"/>
      <w:r w:rsidR="00041897" w:rsidRPr="00041897">
        <w:rPr>
          <w:rFonts w:eastAsia="TimesNewRoman" w:cs="Times New Roman"/>
          <w:sz w:val="22"/>
          <w:szCs w:val="22"/>
          <w:lang w:val="lt-LT" w:eastAsia="en-US"/>
        </w:rPr>
        <w:t>metforminu</w:t>
      </w:r>
      <w:proofErr w:type="spellEnd"/>
      <w:r w:rsidR="00041897" w:rsidRPr="00041897">
        <w:rPr>
          <w:rFonts w:eastAsia="TimesNewRoman" w:cs="Times New Roman"/>
          <w:sz w:val="22"/>
          <w:szCs w:val="22"/>
          <w:lang w:val="lt-LT" w:eastAsia="en-US"/>
        </w:rPr>
        <w:t xml:space="preserve"> arba be jo) vartojusiems pacientams, skirtumas buvo </w:t>
      </w:r>
      <w:r w:rsidR="00051DE5">
        <w:rPr>
          <w:rFonts w:eastAsia="TimesNewRoman" w:cs="Times New Roman"/>
          <w:sz w:val="22"/>
          <w:szCs w:val="22"/>
          <w:lang w:val="lt-LT" w:eastAsia="en-US"/>
        </w:rPr>
        <w:t>–</w:t>
      </w:r>
      <w:r w:rsidR="00041897" w:rsidRPr="00041897">
        <w:rPr>
          <w:rFonts w:eastAsia="TimesNewRoman" w:cs="Times New Roman"/>
          <w:sz w:val="22"/>
          <w:szCs w:val="22"/>
          <w:lang w:val="lt-LT" w:eastAsia="en-US"/>
        </w:rPr>
        <w:t xml:space="preserve">0,45 % (95 % PI: </w:t>
      </w:r>
      <w:r w:rsidR="00051DE5">
        <w:rPr>
          <w:rFonts w:eastAsia="TimesNewRoman" w:cs="Times New Roman"/>
          <w:sz w:val="22"/>
          <w:szCs w:val="22"/>
          <w:lang w:val="lt-LT" w:eastAsia="en-US"/>
        </w:rPr>
        <w:t>–</w:t>
      </w:r>
      <w:r w:rsidR="00041897" w:rsidRPr="00041897">
        <w:rPr>
          <w:rFonts w:eastAsia="TimesNewRoman" w:cs="Times New Roman"/>
          <w:sz w:val="22"/>
          <w:szCs w:val="22"/>
          <w:lang w:val="lt-LT" w:eastAsia="en-US"/>
        </w:rPr>
        <w:t xml:space="preserve">0,60; </w:t>
      </w:r>
      <w:r w:rsidR="00051DE5">
        <w:rPr>
          <w:rFonts w:eastAsia="TimesNewRoman" w:cs="Times New Roman"/>
          <w:sz w:val="22"/>
          <w:szCs w:val="22"/>
          <w:lang w:val="lt-LT" w:eastAsia="en-US"/>
        </w:rPr>
        <w:t>–</w:t>
      </w:r>
      <w:r w:rsidR="00041897" w:rsidRPr="00041897">
        <w:rPr>
          <w:rFonts w:eastAsia="TimesNewRoman" w:cs="Times New Roman"/>
          <w:sz w:val="22"/>
          <w:szCs w:val="22"/>
          <w:lang w:val="lt-LT" w:eastAsia="en-US"/>
        </w:rPr>
        <w:t xml:space="preserve">0,29). Hipoglikemijos dažnis </w:t>
      </w:r>
      <w:proofErr w:type="spellStart"/>
      <w:r w:rsidR="00041897" w:rsidRPr="00041897">
        <w:rPr>
          <w:rFonts w:eastAsia="TimesNewRoman" w:cs="Times New Roman"/>
          <w:sz w:val="22"/>
          <w:szCs w:val="22"/>
          <w:lang w:val="lt-LT" w:eastAsia="en-US"/>
        </w:rPr>
        <w:t>sitagliptino</w:t>
      </w:r>
      <w:proofErr w:type="spellEnd"/>
      <w:r w:rsidR="00041897" w:rsidRPr="00041897">
        <w:rPr>
          <w:rFonts w:eastAsia="TimesNewRoman" w:cs="Times New Roman"/>
          <w:sz w:val="22"/>
          <w:szCs w:val="22"/>
          <w:lang w:val="lt-LT" w:eastAsia="en-US"/>
        </w:rPr>
        <w:t xml:space="preserve"> ir insulino deriniu (kartu su </w:t>
      </w:r>
      <w:proofErr w:type="spellStart"/>
      <w:r w:rsidR="00041897" w:rsidRPr="00041897">
        <w:rPr>
          <w:rFonts w:eastAsia="TimesNewRoman" w:cs="Times New Roman"/>
          <w:sz w:val="22"/>
          <w:szCs w:val="22"/>
          <w:lang w:val="lt-LT" w:eastAsia="en-US"/>
        </w:rPr>
        <w:t>metforminu</w:t>
      </w:r>
      <w:proofErr w:type="spellEnd"/>
      <w:r w:rsidR="00041897" w:rsidRPr="00041897">
        <w:rPr>
          <w:rFonts w:eastAsia="TimesNewRoman" w:cs="Times New Roman"/>
          <w:sz w:val="22"/>
          <w:szCs w:val="22"/>
          <w:lang w:val="lt-LT" w:eastAsia="en-US"/>
        </w:rPr>
        <w:t xml:space="preserve"> arba be jo) gydytiems pacientams buvo 25,2 %, o placebo ir insulino derinio (kartu su </w:t>
      </w:r>
      <w:proofErr w:type="spellStart"/>
      <w:r w:rsidR="00041897" w:rsidRPr="00041897">
        <w:rPr>
          <w:rFonts w:eastAsia="TimesNewRoman" w:cs="Times New Roman"/>
          <w:sz w:val="22"/>
          <w:szCs w:val="22"/>
          <w:lang w:val="lt-LT" w:eastAsia="en-US"/>
        </w:rPr>
        <w:t>metforminu</w:t>
      </w:r>
      <w:proofErr w:type="spellEnd"/>
      <w:r w:rsidR="00041897" w:rsidRPr="00041897">
        <w:rPr>
          <w:rFonts w:eastAsia="TimesNewRoman" w:cs="Times New Roman"/>
          <w:sz w:val="22"/>
          <w:szCs w:val="22"/>
          <w:lang w:val="lt-LT" w:eastAsia="en-US"/>
        </w:rPr>
        <w:t xml:space="preserve"> arba be jo) vartojusiems pacientams – 36,8 %. Šį skirtumą iš esmės lėmė didesnė procentinė dalis placebo grupės pacientų, patyrusių tris ar daugiau hipoglikemijos epizodų, (9,4 %, palyginus su 19,1 %). Sunkios hipoglikemijos dažnis nesiskyrė.</w:t>
      </w:r>
    </w:p>
    <w:p w14:paraId="273A29E0" w14:textId="186FBCCF" w:rsidR="00090B48" w:rsidRPr="00997273" w:rsidRDefault="00090B48" w:rsidP="00090B48">
      <w:pPr>
        <w:autoSpaceDE w:val="0"/>
        <w:autoSpaceDN w:val="0"/>
        <w:adjustRightInd w:val="0"/>
        <w:rPr>
          <w:rFonts w:eastAsia="MathExt" w:cs="Times New Roman"/>
          <w:sz w:val="22"/>
          <w:szCs w:val="22"/>
          <w:lang w:val="lt-LT" w:eastAsia="en-US"/>
        </w:rPr>
      </w:pPr>
    </w:p>
    <w:p w14:paraId="78339684" w14:textId="028CD58F" w:rsidR="009F176D" w:rsidRPr="009F176D" w:rsidRDefault="009F176D" w:rsidP="009F176D">
      <w:pPr>
        <w:widowControl w:val="0"/>
        <w:autoSpaceDE w:val="0"/>
        <w:autoSpaceDN w:val="0"/>
        <w:adjustRightInd w:val="0"/>
        <w:rPr>
          <w:rFonts w:eastAsia="TimesNewRoman" w:cs="Times New Roman"/>
          <w:sz w:val="22"/>
          <w:szCs w:val="22"/>
          <w:lang w:val="lt-LT" w:eastAsia="en-US"/>
        </w:rPr>
      </w:pPr>
      <w:r w:rsidRPr="009F176D">
        <w:rPr>
          <w:rFonts w:eastAsia="TimesNewRoman" w:cs="Times New Roman"/>
          <w:sz w:val="22"/>
          <w:szCs w:val="22"/>
          <w:lang w:val="lt-LT" w:eastAsia="en-US"/>
        </w:rPr>
        <w:t xml:space="preserve">Buvo atliktas klinikinis tyrimas, kuriame dalyvavusiems pacientams buvo vidutinio sunkumo ar sunkus inkstų funkcijos sutrikimas ir kurio metu lygintas </w:t>
      </w:r>
      <w:proofErr w:type="spellStart"/>
      <w:r w:rsidRPr="009F176D">
        <w:rPr>
          <w:rFonts w:eastAsia="TimesNewRoman" w:cs="Times New Roman"/>
          <w:sz w:val="22"/>
          <w:szCs w:val="22"/>
          <w:lang w:val="lt-LT" w:eastAsia="en-US"/>
        </w:rPr>
        <w:t>sitagliptino</w:t>
      </w:r>
      <w:proofErr w:type="spellEnd"/>
      <w:r w:rsidRPr="009F176D">
        <w:rPr>
          <w:rFonts w:eastAsia="TimesNewRoman" w:cs="Times New Roman"/>
          <w:sz w:val="22"/>
          <w:szCs w:val="22"/>
          <w:lang w:val="lt-LT" w:eastAsia="en-US"/>
        </w:rPr>
        <w:t xml:space="preserve"> (25 mg ar 50 mg kartą per parą) bei </w:t>
      </w:r>
      <w:proofErr w:type="spellStart"/>
      <w:r w:rsidRPr="009F176D">
        <w:rPr>
          <w:rFonts w:eastAsia="TimesNewRoman" w:cs="Times New Roman"/>
          <w:sz w:val="22"/>
          <w:szCs w:val="22"/>
          <w:lang w:val="lt-LT" w:eastAsia="en-US"/>
        </w:rPr>
        <w:t>glipizido</w:t>
      </w:r>
      <w:proofErr w:type="spellEnd"/>
      <w:r w:rsidRPr="009F176D">
        <w:rPr>
          <w:rFonts w:eastAsia="TimesNewRoman" w:cs="Times New Roman"/>
          <w:sz w:val="22"/>
          <w:szCs w:val="22"/>
          <w:lang w:val="lt-LT" w:eastAsia="en-US"/>
        </w:rPr>
        <w:t xml:space="preserve"> (paros dozė nuo 2,5 mg iki 20 mg) poveikis. Šiame tyrime dalyvavusiems 423 pacientams buvo lėtinis inkstų funkcijos sutrikimas (apskaičiuotasis </w:t>
      </w:r>
      <w:proofErr w:type="spellStart"/>
      <w:r w:rsidRPr="009F176D">
        <w:rPr>
          <w:rFonts w:eastAsia="TimesNewRoman" w:cs="Times New Roman"/>
          <w:sz w:val="22"/>
          <w:szCs w:val="22"/>
          <w:lang w:val="lt-LT" w:eastAsia="en-US"/>
        </w:rPr>
        <w:t>glomerulų</w:t>
      </w:r>
      <w:proofErr w:type="spellEnd"/>
      <w:r w:rsidRPr="009F176D">
        <w:rPr>
          <w:rFonts w:eastAsia="TimesNewRoman" w:cs="Times New Roman"/>
          <w:sz w:val="22"/>
          <w:szCs w:val="22"/>
          <w:lang w:val="lt-LT" w:eastAsia="en-US"/>
        </w:rPr>
        <w:t xml:space="preserve"> filtracijos greitis buvo mažesnis kaip 50 ml/min). Po 54 savaičių HbA</w:t>
      </w:r>
      <w:r w:rsidRPr="009F176D">
        <w:rPr>
          <w:rFonts w:eastAsia="TimesNewRoman" w:cs="Times New Roman"/>
          <w:sz w:val="22"/>
          <w:szCs w:val="22"/>
          <w:vertAlign w:val="subscript"/>
          <w:lang w:val="lt-LT" w:eastAsia="en-US"/>
        </w:rPr>
        <w:t>1c</w:t>
      </w:r>
      <w:r w:rsidRPr="009F176D">
        <w:rPr>
          <w:rFonts w:eastAsia="TimesNewRoman" w:cs="Times New Roman"/>
          <w:sz w:val="22"/>
          <w:szCs w:val="22"/>
          <w:lang w:val="lt-LT" w:eastAsia="en-US"/>
        </w:rPr>
        <w:t xml:space="preserve">, palyginti su pradiniu rodmeniu, gydant </w:t>
      </w:r>
      <w:proofErr w:type="spellStart"/>
      <w:r w:rsidRPr="009F176D">
        <w:rPr>
          <w:rFonts w:eastAsia="TimesNewRoman" w:cs="Times New Roman"/>
          <w:sz w:val="22"/>
          <w:szCs w:val="22"/>
          <w:lang w:val="lt-LT" w:eastAsia="en-US"/>
        </w:rPr>
        <w:t>sitagliptinu</w:t>
      </w:r>
      <w:proofErr w:type="spellEnd"/>
      <w:r w:rsidRPr="009F176D">
        <w:rPr>
          <w:rFonts w:eastAsia="TimesNewRoman" w:cs="Times New Roman"/>
          <w:sz w:val="22"/>
          <w:szCs w:val="22"/>
          <w:lang w:val="lt-LT" w:eastAsia="en-US"/>
        </w:rPr>
        <w:t xml:space="preserve"> sumažėjo vidutiniškai </w:t>
      </w:r>
      <w:r>
        <w:rPr>
          <w:rFonts w:eastAsia="TimesNewRoman" w:cs="Times New Roman"/>
          <w:sz w:val="22"/>
          <w:szCs w:val="22"/>
          <w:lang w:val="lt-LT" w:eastAsia="en-US"/>
        </w:rPr>
        <w:t>–</w:t>
      </w:r>
      <w:r w:rsidRPr="009F176D">
        <w:rPr>
          <w:rFonts w:eastAsia="TimesNewRoman" w:cs="Times New Roman"/>
          <w:sz w:val="22"/>
          <w:szCs w:val="22"/>
          <w:lang w:val="lt-LT" w:eastAsia="en-US"/>
        </w:rPr>
        <w:t xml:space="preserve">0,76 %, o gydant </w:t>
      </w:r>
      <w:proofErr w:type="spellStart"/>
      <w:r w:rsidRPr="009F176D">
        <w:rPr>
          <w:rFonts w:eastAsia="TimesNewRoman" w:cs="Times New Roman"/>
          <w:sz w:val="22"/>
          <w:szCs w:val="22"/>
          <w:lang w:val="lt-LT" w:eastAsia="en-US"/>
        </w:rPr>
        <w:t>glipizidu</w:t>
      </w:r>
      <w:proofErr w:type="spellEnd"/>
      <w:r w:rsidRPr="009F176D">
        <w:rPr>
          <w:rFonts w:eastAsia="TimesNewRoman" w:cs="Times New Roman"/>
          <w:sz w:val="22"/>
          <w:szCs w:val="22"/>
          <w:lang w:val="lt-LT" w:eastAsia="en-US"/>
        </w:rPr>
        <w:t xml:space="preserve"> − </w:t>
      </w:r>
      <w:r>
        <w:rPr>
          <w:rFonts w:eastAsia="TimesNewRoman" w:cs="Times New Roman"/>
          <w:sz w:val="22"/>
          <w:szCs w:val="22"/>
          <w:lang w:val="lt-LT" w:eastAsia="en-US"/>
        </w:rPr>
        <w:t>–</w:t>
      </w:r>
      <w:r w:rsidRPr="009F176D">
        <w:rPr>
          <w:rFonts w:eastAsia="TimesNewRoman" w:cs="Times New Roman"/>
          <w:sz w:val="22"/>
          <w:szCs w:val="22"/>
          <w:lang w:val="lt-LT" w:eastAsia="en-US"/>
        </w:rPr>
        <w:t xml:space="preserve">0,64 % (analizė pagal protokolą). </w:t>
      </w:r>
      <w:r w:rsidRPr="009F176D">
        <w:rPr>
          <w:rFonts w:eastAsia="TimesNewRoman" w:cs="Times New Roman"/>
          <w:sz w:val="22"/>
          <w:szCs w:val="22"/>
          <w:lang w:val="lt-LT" w:eastAsia="en-US"/>
        </w:rPr>
        <w:lastRenderedPageBreak/>
        <w:t xml:space="preserve">Kartą per parą vartojamų </w:t>
      </w:r>
      <w:proofErr w:type="spellStart"/>
      <w:r w:rsidRPr="009F176D">
        <w:rPr>
          <w:rFonts w:eastAsia="TimesNewRoman" w:cs="Times New Roman"/>
          <w:sz w:val="22"/>
          <w:szCs w:val="22"/>
          <w:lang w:val="lt-LT" w:eastAsia="en-US"/>
        </w:rPr>
        <w:t>sitagliptino</w:t>
      </w:r>
      <w:proofErr w:type="spellEnd"/>
      <w:r w:rsidRPr="009F176D">
        <w:rPr>
          <w:rFonts w:eastAsia="TimesNewRoman" w:cs="Times New Roman"/>
          <w:sz w:val="22"/>
          <w:szCs w:val="22"/>
          <w:lang w:val="lt-LT" w:eastAsia="en-US"/>
        </w:rPr>
        <w:t xml:space="preserve"> 25 mg ar 50 mg dozių veiksmingumo ir saugumo savybių pobūdis šiame tyrime iš esmės buvo panašus į stebėtą kituose </w:t>
      </w:r>
      <w:proofErr w:type="spellStart"/>
      <w:r w:rsidRPr="009F176D">
        <w:rPr>
          <w:rFonts w:eastAsia="TimesNewRoman" w:cs="Times New Roman"/>
          <w:sz w:val="22"/>
          <w:szCs w:val="22"/>
          <w:lang w:val="lt-LT" w:eastAsia="en-US"/>
        </w:rPr>
        <w:t>monoterapijos</w:t>
      </w:r>
      <w:proofErr w:type="spellEnd"/>
      <w:r w:rsidRPr="009F176D">
        <w:rPr>
          <w:rFonts w:eastAsia="TimesNewRoman" w:cs="Times New Roman"/>
          <w:sz w:val="22"/>
          <w:szCs w:val="22"/>
          <w:lang w:val="lt-LT" w:eastAsia="en-US"/>
        </w:rPr>
        <w:t xml:space="preserve"> tyrimuose, kuriuose dalyvavusių pacientų inkstų funkcija buvo normali. Hipoglikemijos dažnis </w:t>
      </w:r>
      <w:proofErr w:type="spellStart"/>
      <w:r w:rsidRPr="009F176D">
        <w:rPr>
          <w:rFonts w:eastAsia="TimesNewRoman" w:cs="Times New Roman"/>
          <w:sz w:val="22"/>
          <w:szCs w:val="22"/>
          <w:lang w:val="lt-LT" w:eastAsia="en-US"/>
        </w:rPr>
        <w:t>sitagliptino</w:t>
      </w:r>
      <w:proofErr w:type="spellEnd"/>
      <w:r w:rsidRPr="009F176D">
        <w:rPr>
          <w:rFonts w:eastAsia="TimesNewRoman" w:cs="Times New Roman"/>
          <w:sz w:val="22"/>
          <w:szCs w:val="22"/>
          <w:lang w:val="lt-LT" w:eastAsia="en-US"/>
        </w:rPr>
        <w:t xml:space="preserve"> grupėje (6,2 %) buvo reikšmingai mažesnis, nei </w:t>
      </w:r>
      <w:proofErr w:type="spellStart"/>
      <w:r w:rsidRPr="009F176D">
        <w:rPr>
          <w:rFonts w:eastAsia="TimesNewRoman" w:cs="Times New Roman"/>
          <w:sz w:val="22"/>
          <w:szCs w:val="22"/>
          <w:lang w:val="lt-LT" w:eastAsia="en-US"/>
        </w:rPr>
        <w:t>glipizido</w:t>
      </w:r>
      <w:proofErr w:type="spellEnd"/>
      <w:r w:rsidRPr="009F176D">
        <w:rPr>
          <w:rFonts w:eastAsia="TimesNewRoman" w:cs="Times New Roman"/>
          <w:sz w:val="22"/>
          <w:szCs w:val="22"/>
          <w:lang w:val="lt-LT" w:eastAsia="en-US"/>
        </w:rPr>
        <w:t xml:space="preserve"> grupėje (17,0 %). Be to, kūno svorio pokyčio nuo pradinio rodmens skirtumas tarp grupių taip pat buvo reikšmingas (</w:t>
      </w:r>
      <w:proofErr w:type="spellStart"/>
      <w:r w:rsidRPr="009F176D">
        <w:rPr>
          <w:rFonts w:eastAsia="TimesNewRoman" w:cs="Times New Roman"/>
          <w:sz w:val="22"/>
          <w:szCs w:val="22"/>
          <w:lang w:val="lt-LT" w:eastAsia="en-US"/>
        </w:rPr>
        <w:t>sitagliptino</w:t>
      </w:r>
      <w:proofErr w:type="spellEnd"/>
      <w:r w:rsidRPr="009F176D">
        <w:rPr>
          <w:rFonts w:eastAsia="TimesNewRoman" w:cs="Times New Roman"/>
          <w:sz w:val="22"/>
          <w:szCs w:val="22"/>
          <w:lang w:val="lt-LT" w:eastAsia="en-US"/>
        </w:rPr>
        <w:t xml:space="preserve"> grupėje </w:t>
      </w:r>
      <w:r>
        <w:rPr>
          <w:rFonts w:eastAsia="TimesNewRoman" w:cs="Times New Roman"/>
          <w:sz w:val="22"/>
          <w:szCs w:val="22"/>
          <w:lang w:val="lt-LT" w:eastAsia="en-US"/>
        </w:rPr>
        <w:t>–</w:t>
      </w:r>
      <w:r w:rsidRPr="009F176D">
        <w:rPr>
          <w:rFonts w:eastAsia="TimesNewRoman" w:cs="Times New Roman"/>
          <w:sz w:val="22"/>
          <w:szCs w:val="22"/>
          <w:lang w:val="lt-LT" w:eastAsia="en-US"/>
        </w:rPr>
        <w:t xml:space="preserve">0,6 kg, </w:t>
      </w:r>
      <w:proofErr w:type="spellStart"/>
      <w:r w:rsidRPr="009F176D">
        <w:rPr>
          <w:rFonts w:eastAsia="TimesNewRoman" w:cs="Times New Roman"/>
          <w:sz w:val="22"/>
          <w:szCs w:val="22"/>
          <w:lang w:val="lt-LT" w:eastAsia="en-US"/>
        </w:rPr>
        <w:t>glipizido</w:t>
      </w:r>
      <w:proofErr w:type="spellEnd"/>
      <w:r w:rsidRPr="009F176D">
        <w:rPr>
          <w:rFonts w:eastAsia="TimesNewRoman" w:cs="Times New Roman"/>
          <w:sz w:val="22"/>
          <w:szCs w:val="22"/>
          <w:lang w:val="lt-LT" w:eastAsia="en-US"/>
        </w:rPr>
        <w:t xml:space="preserve"> grupėje +1,2 kg).</w:t>
      </w:r>
    </w:p>
    <w:p w14:paraId="3241C579" w14:textId="5B94D81C" w:rsidR="00090B48" w:rsidRPr="00997273" w:rsidRDefault="00090B48" w:rsidP="00CF45D9">
      <w:pPr>
        <w:autoSpaceDE w:val="0"/>
        <w:autoSpaceDN w:val="0"/>
        <w:adjustRightInd w:val="0"/>
        <w:rPr>
          <w:rFonts w:eastAsia="MathExt" w:cs="Times New Roman"/>
          <w:sz w:val="22"/>
          <w:szCs w:val="22"/>
          <w:lang w:val="lt-LT" w:eastAsia="en-US"/>
        </w:rPr>
      </w:pPr>
    </w:p>
    <w:p w14:paraId="1E5A6E2D" w14:textId="1D2B69AC" w:rsidR="00A83542" w:rsidRPr="00A83542" w:rsidRDefault="00A83542" w:rsidP="00A83542">
      <w:pPr>
        <w:widowControl w:val="0"/>
        <w:autoSpaceDE w:val="0"/>
        <w:autoSpaceDN w:val="0"/>
        <w:adjustRightInd w:val="0"/>
        <w:rPr>
          <w:rFonts w:eastAsia="TimesNewRoman" w:cs="Times New Roman"/>
          <w:sz w:val="22"/>
          <w:szCs w:val="22"/>
          <w:lang w:val="lt-LT" w:eastAsia="en-US"/>
        </w:rPr>
      </w:pPr>
      <w:r w:rsidRPr="00A83542">
        <w:rPr>
          <w:rFonts w:eastAsia="TimesNewRoman" w:cs="Times New Roman"/>
          <w:sz w:val="22"/>
          <w:szCs w:val="22"/>
          <w:lang w:val="lt-LT" w:eastAsia="en-US"/>
        </w:rPr>
        <w:t xml:space="preserve">Kitas klinikinis tyrimas, kurio metu buvo palyginta kartą per parą vartojama </w:t>
      </w:r>
      <w:proofErr w:type="spellStart"/>
      <w:r w:rsidRPr="00A83542">
        <w:rPr>
          <w:rFonts w:eastAsia="TimesNewRoman" w:cs="Times New Roman"/>
          <w:sz w:val="22"/>
          <w:szCs w:val="22"/>
          <w:lang w:val="lt-LT" w:eastAsia="en-US"/>
        </w:rPr>
        <w:t>sitagliptino</w:t>
      </w:r>
      <w:proofErr w:type="spellEnd"/>
      <w:r w:rsidRPr="00A83542">
        <w:rPr>
          <w:rFonts w:eastAsia="TimesNewRoman" w:cs="Times New Roman"/>
          <w:sz w:val="22"/>
          <w:szCs w:val="22"/>
          <w:lang w:val="lt-LT" w:eastAsia="en-US"/>
        </w:rPr>
        <w:t xml:space="preserve"> 25 mg dozė ir </w:t>
      </w:r>
      <w:proofErr w:type="spellStart"/>
      <w:r w:rsidRPr="00A83542">
        <w:rPr>
          <w:rFonts w:eastAsia="TimesNewRoman" w:cs="Times New Roman"/>
          <w:sz w:val="22"/>
          <w:szCs w:val="22"/>
          <w:lang w:val="lt-LT" w:eastAsia="en-US"/>
        </w:rPr>
        <w:t>glipizido</w:t>
      </w:r>
      <w:proofErr w:type="spellEnd"/>
      <w:r w:rsidRPr="00A83542">
        <w:rPr>
          <w:rFonts w:eastAsia="TimesNewRoman" w:cs="Times New Roman"/>
          <w:sz w:val="22"/>
          <w:szCs w:val="22"/>
          <w:lang w:val="lt-LT" w:eastAsia="en-US"/>
        </w:rPr>
        <w:t xml:space="preserve"> paros dozė nuo 2,5</w:t>
      </w:r>
      <w:r>
        <w:rPr>
          <w:rFonts w:eastAsia="TimesNewRoman" w:cs="Times New Roman"/>
          <w:sz w:val="22"/>
          <w:szCs w:val="22"/>
          <w:lang w:val="lt-LT" w:eastAsia="en-US"/>
        </w:rPr>
        <w:t> </w:t>
      </w:r>
      <w:r w:rsidRPr="00A83542">
        <w:rPr>
          <w:rFonts w:eastAsia="TimesNewRoman" w:cs="Times New Roman"/>
          <w:sz w:val="22"/>
          <w:szCs w:val="22"/>
          <w:lang w:val="lt-LT" w:eastAsia="en-US"/>
        </w:rPr>
        <w:t>mg iki 20 mg, buvo atliktas su 129 GS</w:t>
      </w:r>
      <w:r w:rsidR="00C50A9C">
        <w:rPr>
          <w:rFonts w:eastAsia="TimesNewRoman" w:cs="Times New Roman"/>
          <w:sz w:val="22"/>
          <w:szCs w:val="22"/>
          <w:lang w:val="lt-LT" w:eastAsia="en-US"/>
        </w:rPr>
        <w:t>L</w:t>
      </w:r>
      <w:r w:rsidRPr="00A83542">
        <w:rPr>
          <w:rFonts w:eastAsia="TimesNewRoman" w:cs="Times New Roman"/>
          <w:sz w:val="22"/>
          <w:szCs w:val="22"/>
          <w:lang w:val="lt-LT" w:eastAsia="en-US"/>
        </w:rPr>
        <w:t xml:space="preserve">IL sirgusiais ir dializėmis gydytais pacientais. Po 54 savaičių gydant </w:t>
      </w:r>
      <w:proofErr w:type="spellStart"/>
      <w:r w:rsidRPr="00A83542">
        <w:rPr>
          <w:rFonts w:eastAsia="TimesNewRoman" w:cs="Times New Roman"/>
          <w:sz w:val="22"/>
          <w:szCs w:val="22"/>
          <w:lang w:val="lt-LT" w:eastAsia="en-US"/>
        </w:rPr>
        <w:t>sitagliptinu</w:t>
      </w:r>
      <w:proofErr w:type="spellEnd"/>
      <w:r w:rsidRPr="00A83542">
        <w:rPr>
          <w:rFonts w:eastAsia="TimesNewRoman" w:cs="Times New Roman"/>
          <w:sz w:val="22"/>
          <w:szCs w:val="22"/>
          <w:lang w:val="lt-LT" w:eastAsia="en-US"/>
        </w:rPr>
        <w:t xml:space="preserve"> HbA</w:t>
      </w:r>
      <w:r w:rsidRPr="00A83542">
        <w:rPr>
          <w:rFonts w:eastAsia="TimesNewRoman" w:cs="Times New Roman"/>
          <w:sz w:val="22"/>
          <w:szCs w:val="22"/>
          <w:vertAlign w:val="subscript"/>
          <w:lang w:val="lt-LT" w:eastAsia="en-US"/>
        </w:rPr>
        <w:t>1c</w:t>
      </w:r>
      <w:r w:rsidRPr="00A83542">
        <w:rPr>
          <w:rFonts w:eastAsia="TimesNewRoman" w:cs="Times New Roman"/>
          <w:sz w:val="22"/>
          <w:szCs w:val="22"/>
          <w:lang w:val="lt-LT" w:eastAsia="en-US"/>
        </w:rPr>
        <w:t xml:space="preserve"> nuo pradinio rodmens sumažėjo vidutiniškai </w:t>
      </w:r>
      <w:r>
        <w:rPr>
          <w:rFonts w:eastAsia="TimesNewRoman" w:cs="Times New Roman"/>
          <w:sz w:val="22"/>
          <w:szCs w:val="22"/>
          <w:lang w:val="lt-LT" w:eastAsia="en-US"/>
        </w:rPr>
        <w:t>–</w:t>
      </w:r>
      <w:r w:rsidRPr="00A83542">
        <w:rPr>
          <w:rFonts w:eastAsia="TimesNewRoman" w:cs="Times New Roman"/>
          <w:sz w:val="22"/>
          <w:szCs w:val="22"/>
          <w:lang w:val="lt-LT" w:eastAsia="en-US"/>
        </w:rPr>
        <w:t xml:space="preserve">0,72 %, gydant </w:t>
      </w:r>
      <w:proofErr w:type="spellStart"/>
      <w:r w:rsidRPr="00A83542">
        <w:rPr>
          <w:rFonts w:eastAsia="TimesNewRoman" w:cs="Times New Roman"/>
          <w:sz w:val="22"/>
          <w:szCs w:val="22"/>
          <w:lang w:val="lt-LT" w:eastAsia="en-US"/>
        </w:rPr>
        <w:t>glipizidu</w:t>
      </w:r>
      <w:proofErr w:type="spellEnd"/>
      <w:r w:rsidRPr="00A83542">
        <w:rPr>
          <w:rFonts w:eastAsia="TimesNewRoman" w:cs="Times New Roman"/>
          <w:sz w:val="22"/>
          <w:szCs w:val="22"/>
          <w:lang w:val="lt-LT" w:eastAsia="en-US"/>
        </w:rPr>
        <w:t xml:space="preserve"> − </w:t>
      </w:r>
      <w:r>
        <w:rPr>
          <w:rFonts w:eastAsia="TimesNewRoman" w:cs="Times New Roman"/>
          <w:sz w:val="22"/>
          <w:szCs w:val="22"/>
          <w:lang w:val="lt-LT" w:eastAsia="en-US"/>
        </w:rPr>
        <w:t>–</w:t>
      </w:r>
      <w:r w:rsidRPr="00A83542">
        <w:rPr>
          <w:rFonts w:eastAsia="TimesNewRoman" w:cs="Times New Roman"/>
          <w:sz w:val="22"/>
          <w:szCs w:val="22"/>
          <w:lang w:val="lt-LT" w:eastAsia="en-US"/>
        </w:rPr>
        <w:t xml:space="preserve">0,87 %. Kartą per parą vartojamos </w:t>
      </w:r>
      <w:proofErr w:type="spellStart"/>
      <w:r w:rsidRPr="00A83542">
        <w:rPr>
          <w:rFonts w:eastAsia="TimesNewRoman" w:cs="Times New Roman"/>
          <w:sz w:val="22"/>
          <w:szCs w:val="22"/>
          <w:lang w:val="lt-LT" w:eastAsia="en-US"/>
        </w:rPr>
        <w:t>sitagliptino</w:t>
      </w:r>
      <w:proofErr w:type="spellEnd"/>
      <w:r w:rsidRPr="00A83542">
        <w:rPr>
          <w:rFonts w:eastAsia="TimesNewRoman" w:cs="Times New Roman"/>
          <w:sz w:val="22"/>
          <w:szCs w:val="22"/>
          <w:lang w:val="lt-LT" w:eastAsia="en-US"/>
        </w:rPr>
        <w:t xml:space="preserve"> 25 mg dozės veiksmingumo ir saugumo savybių pobūdis šiame tyrime iš esmės buvo panašus į stebėtą kituose </w:t>
      </w:r>
      <w:proofErr w:type="spellStart"/>
      <w:r w:rsidRPr="00A83542">
        <w:rPr>
          <w:rFonts w:eastAsia="TimesNewRoman" w:cs="Times New Roman"/>
          <w:sz w:val="22"/>
          <w:szCs w:val="22"/>
          <w:lang w:val="lt-LT" w:eastAsia="en-US"/>
        </w:rPr>
        <w:t>monoterapijos</w:t>
      </w:r>
      <w:proofErr w:type="spellEnd"/>
      <w:r w:rsidRPr="00A83542">
        <w:rPr>
          <w:rFonts w:eastAsia="TimesNewRoman" w:cs="Times New Roman"/>
          <w:sz w:val="22"/>
          <w:szCs w:val="22"/>
          <w:lang w:val="lt-LT" w:eastAsia="en-US"/>
        </w:rPr>
        <w:t xml:space="preserve"> tyrimuose, kuriuose dalyvavusių pacientų inkstų funkcija buvo normali. Hipoglikemijos dažnis gydymo grupėse reikšmingai nesiskyrė (</w:t>
      </w:r>
      <w:proofErr w:type="spellStart"/>
      <w:r w:rsidRPr="00A83542">
        <w:rPr>
          <w:rFonts w:eastAsia="TimesNewRoman" w:cs="Times New Roman"/>
          <w:sz w:val="22"/>
          <w:szCs w:val="22"/>
          <w:lang w:val="lt-LT" w:eastAsia="en-US"/>
        </w:rPr>
        <w:t>sitagliptino</w:t>
      </w:r>
      <w:proofErr w:type="spellEnd"/>
      <w:r w:rsidRPr="00A83542">
        <w:rPr>
          <w:rFonts w:eastAsia="TimesNewRoman" w:cs="Times New Roman"/>
          <w:sz w:val="22"/>
          <w:szCs w:val="22"/>
          <w:lang w:val="lt-LT" w:eastAsia="en-US"/>
        </w:rPr>
        <w:t xml:space="preserve"> grupėje − 6,3 %, </w:t>
      </w:r>
      <w:proofErr w:type="spellStart"/>
      <w:r w:rsidRPr="00A83542">
        <w:rPr>
          <w:rFonts w:eastAsia="TimesNewRoman" w:cs="Times New Roman"/>
          <w:sz w:val="22"/>
          <w:szCs w:val="22"/>
          <w:lang w:val="lt-LT" w:eastAsia="en-US"/>
        </w:rPr>
        <w:t>glipizido</w:t>
      </w:r>
      <w:proofErr w:type="spellEnd"/>
      <w:r w:rsidRPr="00A83542">
        <w:rPr>
          <w:rFonts w:eastAsia="TimesNewRoman" w:cs="Times New Roman"/>
          <w:sz w:val="22"/>
          <w:szCs w:val="22"/>
          <w:lang w:val="lt-LT" w:eastAsia="en-US"/>
        </w:rPr>
        <w:t xml:space="preserve"> grupėje – 10,8 %).</w:t>
      </w:r>
    </w:p>
    <w:p w14:paraId="51B17AE3" w14:textId="77777777" w:rsidR="00610132" w:rsidRPr="00997273" w:rsidRDefault="00610132" w:rsidP="00090B48">
      <w:pPr>
        <w:autoSpaceDE w:val="0"/>
        <w:autoSpaceDN w:val="0"/>
        <w:adjustRightInd w:val="0"/>
        <w:rPr>
          <w:rFonts w:cs="Times New Roman"/>
          <w:sz w:val="22"/>
          <w:szCs w:val="22"/>
          <w:lang w:val="lt-LT" w:eastAsia="en-US"/>
        </w:rPr>
      </w:pPr>
    </w:p>
    <w:p w14:paraId="2DF426AD" w14:textId="24AB435E" w:rsidR="00282126" w:rsidRPr="00282126" w:rsidRDefault="00282126" w:rsidP="00282126">
      <w:pPr>
        <w:widowControl w:val="0"/>
        <w:autoSpaceDE w:val="0"/>
        <w:autoSpaceDN w:val="0"/>
        <w:adjustRightInd w:val="0"/>
        <w:rPr>
          <w:rFonts w:eastAsia="TimesNewRoman" w:cs="Times New Roman"/>
          <w:sz w:val="22"/>
          <w:szCs w:val="22"/>
          <w:lang w:val="lt-LT" w:eastAsia="en-US"/>
        </w:rPr>
      </w:pPr>
      <w:r w:rsidRPr="00282126">
        <w:rPr>
          <w:rFonts w:eastAsia="TimesNewRoman" w:cs="Times New Roman"/>
          <w:sz w:val="22"/>
          <w:szCs w:val="22"/>
          <w:lang w:val="lt-LT" w:eastAsia="en-US"/>
        </w:rPr>
        <w:t>Kitame klinikiniame tyrime, kuriame dalyvavo 91 2 tipo cukriniu diabetu ir lėtiniu inkstų funkcijos sutrikimu (</w:t>
      </w:r>
      <w:r w:rsidR="00026474">
        <w:rPr>
          <w:rFonts w:eastAsia="TimesNewRoman" w:cs="Times New Roman"/>
          <w:sz w:val="22"/>
          <w:szCs w:val="22"/>
          <w:lang w:val="lt-LT" w:eastAsia="en-US"/>
        </w:rPr>
        <w:t xml:space="preserve">kreatinino klirensas </w:t>
      </w:r>
      <w:r w:rsidRPr="00282126">
        <w:rPr>
          <w:rFonts w:eastAsia="TimesNewRoman" w:cs="Times New Roman"/>
          <w:sz w:val="22"/>
          <w:szCs w:val="22"/>
          <w:lang w:val="lt-LT" w:eastAsia="en-US"/>
        </w:rPr>
        <w:t xml:space="preserve">&lt; 50 ml/min) sirgęs pacientas, gydymo kartą per parą vartojama </w:t>
      </w:r>
      <w:proofErr w:type="spellStart"/>
      <w:r w:rsidRPr="00282126">
        <w:rPr>
          <w:rFonts w:eastAsia="TimesNewRoman" w:cs="Times New Roman"/>
          <w:sz w:val="22"/>
          <w:szCs w:val="22"/>
          <w:lang w:val="lt-LT" w:eastAsia="en-US"/>
        </w:rPr>
        <w:t>sitagliptino</w:t>
      </w:r>
      <w:proofErr w:type="spellEnd"/>
      <w:r w:rsidRPr="00282126">
        <w:rPr>
          <w:rFonts w:eastAsia="TimesNewRoman" w:cs="Times New Roman"/>
          <w:sz w:val="22"/>
          <w:szCs w:val="22"/>
          <w:lang w:val="lt-LT" w:eastAsia="en-US"/>
        </w:rPr>
        <w:t xml:space="preserve"> 25 mg ar 50 mg doze saugumas ir toleravimas apskritai buvo panašus į placebo vartojimo duomenis. Be to, po 12 savaičių vidutinis HbA</w:t>
      </w:r>
      <w:r w:rsidRPr="00282126">
        <w:rPr>
          <w:rFonts w:eastAsia="TimesNewRoman" w:cs="Times New Roman"/>
          <w:sz w:val="22"/>
          <w:szCs w:val="22"/>
          <w:vertAlign w:val="subscript"/>
          <w:lang w:val="lt-LT" w:eastAsia="en-US"/>
        </w:rPr>
        <w:t>1c</w:t>
      </w:r>
      <w:r w:rsidRPr="00282126">
        <w:rPr>
          <w:rFonts w:eastAsia="TimesNewRoman" w:cs="Times New Roman"/>
          <w:sz w:val="22"/>
          <w:szCs w:val="22"/>
          <w:lang w:val="lt-LT" w:eastAsia="en-US"/>
        </w:rPr>
        <w:t xml:space="preserve"> (</w:t>
      </w:r>
      <w:proofErr w:type="spellStart"/>
      <w:r w:rsidRPr="00282126">
        <w:rPr>
          <w:rFonts w:eastAsia="TimesNewRoman" w:cs="Times New Roman"/>
          <w:sz w:val="22"/>
          <w:szCs w:val="22"/>
          <w:lang w:val="lt-LT" w:eastAsia="en-US"/>
        </w:rPr>
        <w:t>sitagliptino</w:t>
      </w:r>
      <w:proofErr w:type="spellEnd"/>
      <w:r w:rsidRPr="00282126">
        <w:rPr>
          <w:rFonts w:eastAsia="TimesNewRoman" w:cs="Times New Roman"/>
          <w:sz w:val="22"/>
          <w:szCs w:val="22"/>
          <w:lang w:val="lt-LT" w:eastAsia="en-US"/>
        </w:rPr>
        <w:t xml:space="preserve"> grupėje </w:t>
      </w:r>
      <w:r w:rsidR="00E8671E">
        <w:rPr>
          <w:rFonts w:eastAsia="TimesNewRoman" w:cs="Times New Roman"/>
          <w:sz w:val="22"/>
          <w:szCs w:val="22"/>
          <w:lang w:val="lt-LT" w:eastAsia="en-US"/>
        </w:rPr>
        <w:t>–</w:t>
      </w:r>
      <w:r w:rsidRPr="00282126">
        <w:rPr>
          <w:rFonts w:eastAsia="TimesNewRoman" w:cs="Times New Roman"/>
          <w:sz w:val="22"/>
          <w:szCs w:val="22"/>
          <w:lang w:val="lt-LT" w:eastAsia="en-US"/>
        </w:rPr>
        <w:t xml:space="preserve">0,59 %, placebo grupėje </w:t>
      </w:r>
      <w:r w:rsidR="00E8671E">
        <w:rPr>
          <w:rFonts w:eastAsia="TimesNewRoman" w:cs="Times New Roman"/>
          <w:sz w:val="22"/>
          <w:szCs w:val="22"/>
          <w:lang w:val="lt-LT" w:eastAsia="en-US"/>
        </w:rPr>
        <w:t>–</w:t>
      </w:r>
      <w:r w:rsidRPr="00282126">
        <w:rPr>
          <w:rFonts w:eastAsia="TimesNewRoman" w:cs="Times New Roman"/>
          <w:sz w:val="22"/>
          <w:szCs w:val="22"/>
          <w:lang w:val="lt-LT" w:eastAsia="en-US"/>
        </w:rPr>
        <w:t>0,18 %) ir gliukozės kiekio kraujo plazmoje nevalgius (</w:t>
      </w:r>
      <w:proofErr w:type="spellStart"/>
      <w:r w:rsidRPr="00282126">
        <w:rPr>
          <w:rFonts w:eastAsia="TimesNewRoman" w:cs="Times New Roman"/>
          <w:sz w:val="22"/>
          <w:szCs w:val="22"/>
          <w:lang w:val="lt-LT" w:eastAsia="en-US"/>
        </w:rPr>
        <w:t>sitagliptino</w:t>
      </w:r>
      <w:proofErr w:type="spellEnd"/>
      <w:r w:rsidRPr="00282126">
        <w:rPr>
          <w:rFonts w:eastAsia="TimesNewRoman" w:cs="Times New Roman"/>
          <w:sz w:val="22"/>
          <w:szCs w:val="22"/>
          <w:lang w:val="lt-LT" w:eastAsia="en-US"/>
        </w:rPr>
        <w:t xml:space="preserve"> grupėje </w:t>
      </w:r>
      <w:r w:rsidR="00E8671E">
        <w:rPr>
          <w:rFonts w:eastAsia="TimesNewRoman" w:cs="Times New Roman"/>
          <w:sz w:val="22"/>
          <w:szCs w:val="22"/>
          <w:lang w:val="lt-LT" w:eastAsia="en-US"/>
        </w:rPr>
        <w:t>–</w:t>
      </w:r>
      <w:r w:rsidRPr="00282126">
        <w:rPr>
          <w:rFonts w:eastAsia="TimesNewRoman" w:cs="Times New Roman"/>
          <w:sz w:val="22"/>
          <w:szCs w:val="22"/>
          <w:lang w:val="lt-LT" w:eastAsia="en-US"/>
        </w:rPr>
        <w:t xml:space="preserve">25,5 mg/dl, placebo grupėje </w:t>
      </w:r>
      <w:r w:rsidR="00E8671E">
        <w:rPr>
          <w:rFonts w:eastAsia="TimesNewRoman" w:cs="Times New Roman"/>
          <w:sz w:val="22"/>
          <w:szCs w:val="22"/>
          <w:lang w:val="lt-LT" w:eastAsia="en-US"/>
        </w:rPr>
        <w:t>–</w:t>
      </w:r>
      <w:r w:rsidRPr="00282126">
        <w:rPr>
          <w:rFonts w:eastAsia="TimesNewRoman" w:cs="Times New Roman"/>
          <w:sz w:val="22"/>
          <w:szCs w:val="22"/>
          <w:lang w:val="lt-LT" w:eastAsia="en-US"/>
        </w:rPr>
        <w:t xml:space="preserve">3,0 mg/dl) sumažėjimas iš esmės buvo panašūs į stebėtus kituose </w:t>
      </w:r>
      <w:proofErr w:type="spellStart"/>
      <w:r w:rsidRPr="00282126">
        <w:rPr>
          <w:rFonts w:eastAsia="TimesNewRoman" w:cs="Times New Roman"/>
          <w:sz w:val="22"/>
          <w:szCs w:val="22"/>
          <w:lang w:val="lt-LT" w:eastAsia="en-US"/>
        </w:rPr>
        <w:t>monoterapijos</w:t>
      </w:r>
      <w:proofErr w:type="spellEnd"/>
      <w:r w:rsidRPr="00282126">
        <w:rPr>
          <w:rFonts w:eastAsia="TimesNewRoman" w:cs="Times New Roman"/>
          <w:sz w:val="22"/>
          <w:szCs w:val="22"/>
          <w:lang w:val="lt-LT" w:eastAsia="en-US"/>
        </w:rPr>
        <w:t xml:space="preserve"> tyrimuose, kuriuose dalyvavusių pacientų inkstų funkcija buvo normali (žr. 5.2 skyrių).</w:t>
      </w:r>
    </w:p>
    <w:p w14:paraId="0A7C8AF3" w14:textId="77777777" w:rsidR="00282126" w:rsidRPr="00282126" w:rsidRDefault="00282126" w:rsidP="00282126">
      <w:pPr>
        <w:widowControl w:val="0"/>
        <w:autoSpaceDE w:val="0"/>
        <w:autoSpaceDN w:val="0"/>
        <w:adjustRightInd w:val="0"/>
        <w:rPr>
          <w:rFonts w:eastAsia="TimesNewRoman" w:cs="Times New Roman"/>
          <w:sz w:val="22"/>
          <w:szCs w:val="22"/>
          <w:lang w:val="lt-LT" w:eastAsia="en-US"/>
        </w:rPr>
      </w:pPr>
    </w:p>
    <w:p w14:paraId="66EB466B" w14:textId="76F159D9" w:rsidR="00282126" w:rsidRPr="00282126" w:rsidRDefault="00282126" w:rsidP="00282126">
      <w:pPr>
        <w:widowControl w:val="0"/>
        <w:autoSpaceDE w:val="0"/>
        <w:autoSpaceDN w:val="0"/>
        <w:adjustRightInd w:val="0"/>
        <w:rPr>
          <w:rFonts w:eastAsia="Times New Roman" w:cs="Times New Roman"/>
          <w:sz w:val="22"/>
          <w:szCs w:val="22"/>
          <w:lang w:val="lt-LT" w:eastAsia="en-US"/>
        </w:rPr>
      </w:pPr>
      <w:r w:rsidRPr="00282126">
        <w:rPr>
          <w:rFonts w:eastAsia="TimesNewRoman" w:cs="Times New Roman"/>
          <w:sz w:val="22"/>
          <w:szCs w:val="22"/>
          <w:lang w:val="lt-LT" w:eastAsia="en-US"/>
        </w:rPr>
        <w:t>Atsitiktinių imčių klinikinio tyrimo </w:t>
      </w:r>
      <w:r w:rsidRPr="00282126">
        <w:rPr>
          <w:rFonts w:eastAsia="TimesNewRoman" w:cs="Times New Roman"/>
          <w:i/>
          <w:iCs/>
          <w:sz w:val="22"/>
          <w:szCs w:val="22"/>
          <w:lang w:val="lt-LT" w:eastAsia="en-US"/>
        </w:rPr>
        <w:t>TECOS</w:t>
      </w:r>
      <w:r w:rsidRPr="00282126">
        <w:rPr>
          <w:rFonts w:eastAsia="TimesNewRoman" w:cs="Times New Roman"/>
          <w:sz w:val="22"/>
          <w:szCs w:val="22"/>
          <w:lang w:val="lt-LT" w:eastAsia="en-US"/>
        </w:rPr>
        <w:t xml:space="preserve"> </w:t>
      </w:r>
      <w:r w:rsidR="005710D6">
        <w:rPr>
          <w:rFonts w:eastAsia="TimesNewRoman" w:cs="Times New Roman"/>
          <w:sz w:val="22"/>
          <w:szCs w:val="22"/>
          <w:lang w:val="lt-LT" w:eastAsia="en-US"/>
        </w:rPr>
        <w:t xml:space="preserve">į </w:t>
      </w:r>
      <w:r w:rsidRPr="00282126">
        <w:rPr>
          <w:rFonts w:eastAsia="TimesNewRoman" w:cs="Times New Roman"/>
          <w:sz w:val="22"/>
          <w:szCs w:val="22"/>
          <w:lang w:val="lt-LT" w:eastAsia="en-US"/>
        </w:rPr>
        <w:t xml:space="preserve">ketinimo gydyti populiaciją </w:t>
      </w:r>
      <w:r w:rsidR="005710D6">
        <w:rPr>
          <w:rFonts w:eastAsia="TimesNewRoman" w:cs="Times New Roman"/>
          <w:sz w:val="22"/>
          <w:szCs w:val="22"/>
          <w:lang w:val="lt-LT" w:eastAsia="en-US"/>
        </w:rPr>
        <w:t>buvo įtrauktas</w:t>
      </w:r>
      <w:r w:rsidRPr="00282126">
        <w:rPr>
          <w:rFonts w:eastAsia="TimesNewRoman" w:cs="Times New Roman"/>
          <w:sz w:val="22"/>
          <w:szCs w:val="22"/>
          <w:lang w:val="lt-LT" w:eastAsia="en-US"/>
        </w:rPr>
        <w:t xml:space="preserve"> 14671 pacientas, kuri</w:t>
      </w:r>
      <w:r w:rsidR="00551C85">
        <w:rPr>
          <w:rFonts w:eastAsia="TimesNewRoman" w:cs="Times New Roman"/>
          <w:sz w:val="22"/>
          <w:szCs w:val="22"/>
          <w:lang w:val="lt-LT" w:eastAsia="en-US"/>
        </w:rPr>
        <w:t>ų</w:t>
      </w:r>
      <w:r w:rsidRPr="00282126">
        <w:rPr>
          <w:rFonts w:eastAsia="TimesNewRoman" w:cs="Times New Roman"/>
          <w:sz w:val="22"/>
          <w:szCs w:val="22"/>
          <w:lang w:val="lt-LT" w:eastAsia="en-US"/>
        </w:rPr>
        <w:t xml:space="preserve"> HbA</w:t>
      </w:r>
      <w:r w:rsidRPr="00282126">
        <w:rPr>
          <w:rFonts w:eastAsia="TimesNewRoman" w:cs="Times New Roman"/>
          <w:sz w:val="22"/>
          <w:szCs w:val="22"/>
          <w:vertAlign w:val="subscript"/>
          <w:lang w:val="lt-LT" w:eastAsia="en-US"/>
        </w:rPr>
        <w:t>1c</w:t>
      </w:r>
      <w:r w:rsidRPr="00282126">
        <w:rPr>
          <w:rFonts w:eastAsia="TimesNewRoman" w:cs="Times New Roman"/>
          <w:sz w:val="22"/>
          <w:szCs w:val="22"/>
          <w:lang w:val="lt-LT" w:eastAsia="en-US"/>
        </w:rPr>
        <w:t xml:space="preserve"> buvo nuo ≥ 6,5 % iki 8,0 %, tiriamieji sirgo patvirtinta </w:t>
      </w:r>
      <w:r w:rsidR="00233105">
        <w:rPr>
          <w:rFonts w:eastAsia="TimesNewRoman" w:cs="Times New Roman"/>
          <w:sz w:val="22"/>
          <w:szCs w:val="22"/>
          <w:lang w:val="lt-LT" w:eastAsia="en-US"/>
        </w:rPr>
        <w:t>Š</w:t>
      </w:r>
      <w:r w:rsidRPr="00282126">
        <w:rPr>
          <w:rFonts w:eastAsia="TimesNewRoman" w:cs="Times New Roman"/>
          <w:sz w:val="22"/>
          <w:szCs w:val="22"/>
          <w:lang w:val="lt-LT" w:eastAsia="en-US"/>
        </w:rPr>
        <w:t xml:space="preserve">K liga ir buvo gydyti </w:t>
      </w:r>
      <w:proofErr w:type="spellStart"/>
      <w:r w:rsidRPr="00282126">
        <w:rPr>
          <w:rFonts w:eastAsia="TimesNewRoman" w:cs="Times New Roman"/>
          <w:sz w:val="22"/>
          <w:szCs w:val="22"/>
          <w:lang w:val="lt-LT" w:eastAsia="en-US"/>
        </w:rPr>
        <w:t>sitagliptino</w:t>
      </w:r>
      <w:proofErr w:type="spellEnd"/>
      <w:r w:rsidRPr="00282126">
        <w:rPr>
          <w:rFonts w:eastAsia="TimesNewRoman" w:cs="Times New Roman"/>
          <w:sz w:val="22"/>
          <w:szCs w:val="22"/>
          <w:lang w:val="lt-LT" w:eastAsia="en-US"/>
        </w:rPr>
        <w:t xml:space="preserve"> (n = 7332) 100 mg paros doze (arba 50 mg paros doze, jeigu pradinis </w:t>
      </w:r>
      <w:proofErr w:type="spellStart"/>
      <w:r w:rsidRPr="00282126">
        <w:rPr>
          <w:rFonts w:eastAsia="TimesNewRoman" w:cs="Times New Roman"/>
          <w:sz w:val="22"/>
          <w:szCs w:val="22"/>
          <w:lang w:val="lt-LT" w:eastAsia="en-US"/>
        </w:rPr>
        <w:t>aGFG</w:t>
      </w:r>
      <w:proofErr w:type="spellEnd"/>
      <w:r w:rsidRPr="00282126">
        <w:rPr>
          <w:rFonts w:eastAsia="TimesNewRoman" w:cs="Times New Roman"/>
          <w:sz w:val="22"/>
          <w:szCs w:val="22"/>
          <w:lang w:val="lt-LT" w:eastAsia="en-US"/>
        </w:rPr>
        <w:t xml:space="preserve"> buvo ≥ 30 ir &lt; 50 ml/min/1,73 m</w:t>
      </w:r>
      <w:r w:rsidRPr="00282126">
        <w:rPr>
          <w:rFonts w:eastAsia="TimesNewRoman" w:cs="Times New Roman"/>
          <w:sz w:val="22"/>
          <w:szCs w:val="22"/>
          <w:vertAlign w:val="superscript"/>
          <w:lang w:val="lt-LT" w:eastAsia="en-US"/>
        </w:rPr>
        <w:t>2</w:t>
      </w:r>
      <w:r w:rsidRPr="00282126">
        <w:rPr>
          <w:rFonts w:eastAsia="TimesNewRoman" w:cs="Times New Roman"/>
          <w:sz w:val="22"/>
          <w:szCs w:val="22"/>
          <w:lang w:val="lt-LT" w:eastAsia="en-US"/>
        </w:rPr>
        <w:t>) doze arba placebu (n = 7339).</w:t>
      </w:r>
      <w:r w:rsidRPr="00282126">
        <w:rPr>
          <w:rFonts w:eastAsia="TimesNewRoman,Italic" w:cs="Times New Roman"/>
          <w:sz w:val="22"/>
          <w:szCs w:val="22"/>
          <w:lang w:val="lt-LT" w:eastAsia="en-US"/>
        </w:rPr>
        <w:t xml:space="preserve"> Ir </w:t>
      </w:r>
      <w:proofErr w:type="spellStart"/>
      <w:r w:rsidRPr="00282126">
        <w:rPr>
          <w:rFonts w:eastAsia="TimesNewRoman,Italic" w:cs="Times New Roman"/>
          <w:sz w:val="22"/>
          <w:szCs w:val="22"/>
          <w:lang w:val="lt-LT" w:eastAsia="en-US"/>
        </w:rPr>
        <w:t>sit</w:t>
      </w:r>
      <w:r w:rsidR="00200330">
        <w:rPr>
          <w:rFonts w:eastAsia="TimesNewRoman,Italic" w:cs="Times New Roman"/>
          <w:sz w:val="22"/>
          <w:szCs w:val="22"/>
          <w:lang w:val="lt-LT" w:eastAsia="en-US"/>
        </w:rPr>
        <w:t>a</w:t>
      </w:r>
      <w:r w:rsidRPr="00282126">
        <w:rPr>
          <w:rFonts w:eastAsia="TimesNewRoman,Italic" w:cs="Times New Roman"/>
          <w:sz w:val="22"/>
          <w:szCs w:val="22"/>
          <w:lang w:val="lt-LT" w:eastAsia="en-US"/>
        </w:rPr>
        <w:t>gliptinas</w:t>
      </w:r>
      <w:proofErr w:type="spellEnd"/>
      <w:r w:rsidRPr="00282126">
        <w:rPr>
          <w:rFonts w:eastAsia="TimesNewRoman,Italic" w:cs="Times New Roman"/>
          <w:sz w:val="22"/>
          <w:szCs w:val="22"/>
          <w:lang w:val="lt-LT" w:eastAsia="en-US"/>
        </w:rPr>
        <w:t>, ir placebas buvo skirti papildomai kartu su įprasta priežiūra, vykdyta pagal regioninius HbA</w:t>
      </w:r>
      <w:r w:rsidRPr="00282126">
        <w:rPr>
          <w:rFonts w:eastAsia="TimesNewRoman,Italic" w:cs="Times New Roman"/>
          <w:sz w:val="22"/>
          <w:szCs w:val="22"/>
          <w:vertAlign w:val="subscript"/>
          <w:lang w:val="lt-LT" w:eastAsia="en-US"/>
        </w:rPr>
        <w:t>1c</w:t>
      </w:r>
      <w:r w:rsidRPr="00282126">
        <w:rPr>
          <w:rFonts w:eastAsia="TimesNewRoman,Italic" w:cs="Times New Roman"/>
          <w:sz w:val="22"/>
          <w:szCs w:val="22"/>
          <w:lang w:val="lt-LT" w:eastAsia="en-US"/>
        </w:rPr>
        <w:t xml:space="preserve"> ir kardiovaskulinių ligų rizikos veiksnių kontrolės standartus</w:t>
      </w:r>
      <w:r w:rsidRPr="00282126">
        <w:rPr>
          <w:rFonts w:eastAsia="TimesNewRoman" w:cs="Times New Roman"/>
          <w:sz w:val="22"/>
          <w:szCs w:val="22"/>
          <w:lang w:val="lt-LT" w:eastAsia="en-US"/>
        </w:rPr>
        <w:t xml:space="preserve">. Pacientai, kurių </w:t>
      </w:r>
      <w:proofErr w:type="spellStart"/>
      <w:r w:rsidRPr="00282126">
        <w:rPr>
          <w:rFonts w:eastAsia="TimesNewRoman" w:cs="Times New Roman"/>
          <w:sz w:val="22"/>
          <w:szCs w:val="22"/>
          <w:lang w:val="lt-LT" w:eastAsia="en-US"/>
        </w:rPr>
        <w:t>aGFG</w:t>
      </w:r>
      <w:proofErr w:type="spellEnd"/>
      <w:r w:rsidRPr="00282126">
        <w:rPr>
          <w:rFonts w:eastAsia="TimesNewRoman" w:cs="Times New Roman"/>
          <w:sz w:val="22"/>
          <w:szCs w:val="22"/>
          <w:lang w:val="lt-LT" w:eastAsia="en-US"/>
        </w:rPr>
        <w:t xml:space="preserve"> buvo &lt; 30 ml/min/1,73 m</w:t>
      </w:r>
      <w:r w:rsidRPr="00282126">
        <w:rPr>
          <w:rFonts w:eastAsia="TimesNewRoman" w:cs="Times New Roman"/>
          <w:sz w:val="22"/>
          <w:szCs w:val="22"/>
          <w:vertAlign w:val="superscript"/>
          <w:lang w:val="lt-LT" w:eastAsia="en-US"/>
        </w:rPr>
        <w:t>2</w:t>
      </w:r>
      <w:r w:rsidRPr="00282126">
        <w:rPr>
          <w:rFonts w:eastAsia="TimesNewRoman" w:cs="Times New Roman"/>
          <w:sz w:val="22"/>
          <w:szCs w:val="22"/>
          <w:lang w:val="lt-LT" w:eastAsia="en-US"/>
        </w:rPr>
        <w:t xml:space="preserve">, į šį tyrimą nebuvo įtraukti. Tyrimo populiacijoje buvo </w:t>
      </w:r>
      <w:r w:rsidR="00B53EB5">
        <w:rPr>
          <w:rFonts w:eastAsia="TimesNewRoman" w:cs="Times New Roman"/>
          <w:sz w:val="22"/>
          <w:szCs w:val="22"/>
          <w:lang w:val="lt-LT" w:eastAsia="en-US"/>
        </w:rPr>
        <w:t xml:space="preserve">įtraukti </w:t>
      </w:r>
      <w:r w:rsidRPr="00282126">
        <w:rPr>
          <w:rFonts w:eastAsia="TimesNewRoman" w:cs="Times New Roman"/>
          <w:sz w:val="22"/>
          <w:szCs w:val="22"/>
          <w:lang w:val="lt-LT" w:eastAsia="en-US"/>
        </w:rPr>
        <w:t>2004 75 metų ir vyresni pacientai bei 3324 pacientai, kurių inkstų funkcija sutrikusi (</w:t>
      </w:r>
      <w:proofErr w:type="spellStart"/>
      <w:r w:rsidRPr="00282126">
        <w:rPr>
          <w:rFonts w:eastAsia="TimesNewRoman" w:cs="Times New Roman"/>
          <w:sz w:val="22"/>
          <w:szCs w:val="22"/>
          <w:lang w:val="lt-LT" w:eastAsia="en-US"/>
        </w:rPr>
        <w:t>aGFG</w:t>
      </w:r>
      <w:proofErr w:type="spellEnd"/>
      <w:r w:rsidRPr="00282126">
        <w:rPr>
          <w:rFonts w:eastAsia="TimesNewRoman" w:cs="Times New Roman"/>
          <w:sz w:val="22"/>
          <w:szCs w:val="22"/>
          <w:lang w:val="lt-LT" w:eastAsia="en-US"/>
        </w:rPr>
        <w:t> &lt; 60 ml/min/1,73 m</w:t>
      </w:r>
      <w:r w:rsidRPr="00282126">
        <w:rPr>
          <w:rFonts w:eastAsia="TimesNewRoman" w:cs="Times New Roman"/>
          <w:sz w:val="22"/>
          <w:szCs w:val="22"/>
          <w:vertAlign w:val="superscript"/>
          <w:lang w:val="lt-LT" w:eastAsia="en-US"/>
        </w:rPr>
        <w:t>2</w:t>
      </w:r>
      <w:r w:rsidRPr="00282126">
        <w:rPr>
          <w:rFonts w:eastAsia="TimesNewRoman" w:cs="Times New Roman"/>
          <w:sz w:val="22"/>
          <w:szCs w:val="22"/>
          <w:lang w:val="lt-LT" w:eastAsia="en-US"/>
        </w:rPr>
        <w:t>).</w:t>
      </w:r>
    </w:p>
    <w:p w14:paraId="6AF97546" w14:textId="77777777" w:rsidR="00282126" w:rsidRPr="00282126" w:rsidRDefault="00282126" w:rsidP="00282126">
      <w:pPr>
        <w:widowControl w:val="0"/>
        <w:autoSpaceDE w:val="0"/>
        <w:autoSpaceDN w:val="0"/>
        <w:adjustRightInd w:val="0"/>
        <w:rPr>
          <w:rFonts w:eastAsia="TimesNewRoman" w:cs="Times New Roman"/>
          <w:sz w:val="22"/>
          <w:szCs w:val="22"/>
          <w:lang w:val="lt-LT" w:eastAsia="en-US"/>
        </w:rPr>
      </w:pPr>
    </w:p>
    <w:p w14:paraId="7F14E8AD" w14:textId="4B770188" w:rsidR="00282126" w:rsidRPr="00282126" w:rsidRDefault="00282126" w:rsidP="00282126">
      <w:pPr>
        <w:widowControl w:val="0"/>
        <w:autoSpaceDE w:val="0"/>
        <w:autoSpaceDN w:val="0"/>
        <w:adjustRightInd w:val="0"/>
        <w:rPr>
          <w:rFonts w:eastAsia="TimesNewRoman" w:cs="Times New Roman"/>
          <w:sz w:val="22"/>
          <w:szCs w:val="22"/>
          <w:lang w:val="lt-LT" w:eastAsia="en-US"/>
        </w:rPr>
      </w:pPr>
      <w:r w:rsidRPr="00282126">
        <w:rPr>
          <w:rFonts w:eastAsia="TimesNewRoman" w:cs="Times New Roman"/>
          <w:sz w:val="22"/>
          <w:szCs w:val="22"/>
          <w:lang w:val="lt-LT" w:eastAsia="en-US"/>
        </w:rPr>
        <w:t xml:space="preserve">Šio tyrimo metu bendrasis apskaičiuotasis </w:t>
      </w:r>
      <w:r w:rsidR="00DD4FCA" w:rsidRPr="00282126">
        <w:rPr>
          <w:rFonts w:eastAsia="TimesNewRoman" w:cs="Times New Roman"/>
          <w:sz w:val="22"/>
          <w:szCs w:val="22"/>
          <w:lang w:val="lt-LT" w:eastAsia="en-US"/>
        </w:rPr>
        <w:t>HbA</w:t>
      </w:r>
      <w:r w:rsidR="00DD4FCA" w:rsidRPr="00282126">
        <w:rPr>
          <w:rFonts w:eastAsia="TimesNewRoman" w:cs="Times New Roman"/>
          <w:sz w:val="22"/>
          <w:szCs w:val="22"/>
          <w:vertAlign w:val="subscript"/>
          <w:lang w:val="lt-LT" w:eastAsia="en-US"/>
        </w:rPr>
        <w:t>1c</w:t>
      </w:r>
      <w:r w:rsidR="00DD4FCA" w:rsidRPr="00282126">
        <w:rPr>
          <w:rFonts w:eastAsia="TimesNewRoman" w:cs="Times New Roman"/>
          <w:sz w:val="22"/>
          <w:szCs w:val="22"/>
          <w:lang w:val="lt-LT" w:eastAsia="en-US"/>
        </w:rPr>
        <w:t xml:space="preserve"> </w:t>
      </w:r>
      <w:r w:rsidRPr="00282126">
        <w:rPr>
          <w:rFonts w:eastAsia="TimesNewRoman" w:cs="Times New Roman"/>
          <w:sz w:val="22"/>
          <w:szCs w:val="22"/>
          <w:lang w:val="lt-LT" w:eastAsia="en-US"/>
        </w:rPr>
        <w:t>vidutinis</w:t>
      </w:r>
      <w:r w:rsidR="009B48C4">
        <w:rPr>
          <w:rFonts w:eastAsia="TimesNewRoman" w:cs="Times New Roman"/>
          <w:sz w:val="22"/>
          <w:szCs w:val="22"/>
          <w:lang w:val="lt-LT" w:eastAsia="en-US"/>
        </w:rPr>
        <w:t xml:space="preserve"> skirtumas</w:t>
      </w:r>
      <w:r w:rsidRPr="00282126">
        <w:rPr>
          <w:rFonts w:eastAsia="TimesNewRoman" w:cs="Times New Roman"/>
          <w:sz w:val="22"/>
          <w:szCs w:val="22"/>
          <w:lang w:val="lt-LT" w:eastAsia="en-US"/>
        </w:rPr>
        <w:t xml:space="preserve"> (SN) tarp </w:t>
      </w:r>
      <w:proofErr w:type="spellStart"/>
      <w:r w:rsidRPr="00282126">
        <w:rPr>
          <w:rFonts w:eastAsia="TimesNewRoman" w:cs="Times New Roman"/>
          <w:sz w:val="22"/>
          <w:szCs w:val="22"/>
          <w:lang w:val="lt-LT" w:eastAsia="en-US"/>
        </w:rPr>
        <w:t>sitagliptino</w:t>
      </w:r>
      <w:proofErr w:type="spellEnd"/>
      <w:r w:rsidRPr="00282126">
        <w:rPr>
          <w:rFonts w:eastAsia="TimesNewRoman" w:cs="Times New Roman"/>
          <w:sz w:val="22"/>
          <w:szCs w:val="22"/>
          <w:lang w:val="lt-LT" w:eastAsia="en-US"/>
        </w:rPr>
        <w:t xml:space="preserve"> ir placebo grupių buvo 0,29 % (0,01), 95 % PI: </w:t>
      </w:r>
      <w:r w:rsidR="003E1055">
        <w:rPr>
          <w:rFonts w:eastAsia="TimesNewRoman" w:cs="Times New Roman"/>
          <w:sz w:val="22"/>
          <w:szCs w:val="22"/>
          <w:lang w:val="lt-LT" w:eastAsia="en-US"/>
        </w:rPr>
        <w:t>–</w:t>
      </w:r>
      <w:r w:rsidRPr="00282126">
        <w:rPr>
          <w:rFonts w:eastAsia="TimesNewRoman" w:cs="Times New Roman"/>
          <w:sz w:val="22"/>
          <w:szCs w:val="22"/>
          <w:lang w:val="lt-LT" w:eastAsia="en-US"/>
        </w:rPr>
        <w:t xml:space="preserve">0,32; </w:t>
      </w:r>
      <w:r w:rsidR="003E1055">
        <w:rPr>
          <w:rFonts w:eastAsia="TimesNewRoman" w:cs="Times New Roman"/>
          <w:sz w:val="22"/>
          <w:szCs w:val="22"/>
          <w:lang w:val="lt-LT" w:eastAsia="en-US"/>
        </w:rPr>
        <w:t>–</w:t>
      </w:r>
      <w:r w:rsidRPr="00282126">
        <w:rPr>
          <w:rFonts w:eastAsia="TimesNewRoman" w:cs="Times New Roman"/>
          <w:sz w:val="22"/>
          <w:szCs w:val="22"/>
          <w:lang w:val="lt-LT" w:eastAsia="en-US"/>
        </w:rPr>
        <w:t>0,27, p &lt; 0,001.</w:t>
      </w:r>
    </w:p>
    <w:p w14:paraId="602F2490" w14:textId="77777777" w:rsidR="00282126" w:rsidRPr="00282126" w:rsidRDefault="00282126" w:rsidP="00282126">
      <w:pPr>
        <w:widowControl w:val="0"/>
        <w:autoSpaceDE w:val="0"/>
        <w:autoSpaceDN w:val="0"/>
        <w:adjustRightInd w:val="0"/>
        <w:rPr>
          <w:rFonts w:eastAsia="TimesNewRoman" w:cs="Times New Roman"/>
          <w:sz w:val="22"/>
          <w:szCs w:val="22"/>
          <w:lang w:val="lt-LT" w:eastAsia="en-US"/>
        </w:rPr>
      </w:pPr>
    </w:p>
    <w:p w14:paraId="0B9AA1ED" w14:textId="7AE286A8" w:rsidR="00282126" w:rsidRPr="00282126" w:rsidRDefault="00282126" w:rsidP="00282126">
      <w:pPr>
        <w:widowControl w:val="0"/>
        <w:autoSpaceDE w:val="0"/>
        <w:autoSpaceDN w:val="0"/>
        <w:adjustRightInd w:val="0"/>
        <w:rPr>
          <w:rFonts w:eastAsia="TimesNewRoman" w:cs="Times New Roman"/>
          <w:sz w:val="22"/>
          <w:szCs w:val="22"/>
          <w:lang w:val="lt-LT" w:eastAsia="en-US"/>
        </w:rPr>
      </w:pPr>
      <w:r w:rsidRPr="00282126">
        <w:rPr>
          <w:rFonts w:eastAsia="TimesNewRoman" w:cs="Times New Roman"/>
          <w:sz w:val="22"/>
          <w:szCs w:val="22"/>
          <w:lang w:val="lt-LT" w:eastAsia="en-US"/>
        </w:rPr>
        <w:t xml:space="preserve">Pagrindinė kardiovaskulinė vertinamoji baigtis buvo sudėtinė, ją sudarė kardiovaskulinė mirtis, nemirtinas miokardo infarktas, nemirtinas insultas ar hospitalizavimas dėl nestabiliosios krūtinės anginos. </w:t>
      </w:r>
      <w:r w:rsidR="00D04D71">
        <w:rPr>
          <w:rFonts w:eastAsia="TimesNewRoman" w:cs="Times New Roman"/>
          <w:sz w:val="22"/>
          <w:szCs w:val="22"/>
          <w:lang w:val="lt-LT" w:eastAsia="en-US"/>
        </w:rPr>
        <w:t>Antr</w:t>
      </w:r>
      <w:r w:rsidR="00B53EB5">
        <w:rPr>
          <w:rFonts w:eastAsia="TimesNewRoman" w:cs="Times New Roman"/>
          <w:sz w:val="22"/>
          <w:szCs w:val="22"/>
          <w:lang w:val="lt-LT" w:eastAsia="en-US"/>
        </w:rPr>
        <w:t>in</w:t>
      </w:r>
      <w:r w:rsidR="00D04D71">
        <w:rPr>
          <w:rFonts w:eastAsia="TimesNewRoman" w:cs="Times New Roman"/>
          <w:sz w:val="22"/>
          <w:szCs w:val="22"/>
          <w:lang w:val="lt-LT" w:eastAsia="en-US"/>
        </w:rPr>
        <w:t>ės</w:t>
      </w:r>
      <w:r w:rsidRPr="00282126">
        <w:rPr>
          <w:rFonts w:eastAsia="TimesNewRoman" w:cs="Times New Roman"/>
          <w:sz w:val="22"/>
          <w:szCs w:val="22"/>
          <w:lang w:val="lt-LT" w:eastAsia="en-US"/>
        </w:rPr>
        <w:t xml:space="preserve"> kardiovaskulinės vertinamosios baigtys buvo kardiovaskulinės mirties, nemirtino miokardo infarkto ar nemirtino insulto pirmasis pasireiškimas</w:t>
      </w:r>
      <w:r w:rsidR="00B53EB5">
        <w:rPr>
          <w:rFonts w:eastAsia="TimesNewRoman" w:cs="Times New Roman"/>
          <w:sz w:val="22"/>
          <w:szCs w:val="22"/>
          <w:lang w:val="lt-LT" w:eastAsia="en-US"/>
        </w:rPr>
        <w:t>;</w:t>
      </w:r>
      <w:r w:rsidRPr="00282126">
        <w:rPr>
          <w:rFonts w:eastAsia="TimesNewRoman" w:cs="Times New Roman"/>
          <w:sz w:val="22"/>
          <w:szCs w:val="22"/>
          <w:lang w:val="lt-LT" w:eastAsia="en-US"/>
        </w:rPr>
        <w:t xml:space="preserve"> pagrindinės vertinamosios baigties atskirų komponentų pirmasis pasireiškimas</w:t>
      </w:r>
      <w:r w:rsidR="00B53EB5">
        <w:rPr>
          <w:rFonts w:eastAsia="TimesNewRoman" w:cs="Times New Roman"/>
          <w:sz w:val="22"/>
          <w:szCs w:val="22"/>
          <w:lang w:val="lt-LT" w:eastAsia="en-US"/>
        </w:rPr>
        <w:t>;</w:t>
      </w:r>
      <w:r w:rsidRPr="00282126">
        <w:rPr>
          <w:rFonts w:eastAsia="TimesNewRoman" w:cs="Times New Roman"/>
          <w:sz w:val="22"/>
          <w:szCs w:val="22"/>
          <w:lang w:val="lt-LT" w:eastAsia="en-US"/>
        </w:rPr>
        <w:t xml:space="preserve"> mirtis dėl bet kokios priežasties ir hospitalizavimas dėl </w:t>
      </w:r>
      <w:proofErr w:type="spellStart"/>
      <w:r w:rsidRPr="00282126">
        <w:rPr>
          <w:rFonts w:eastAsia="TimesNewRoman" w:cs="Times New Roman"/>
          <w:sz w:val="22"/>
          <w:szCs w:val="22"/>
          <w:lang w:val="lt-LT" w:eastAsia="en-US"/>
        </w:rPr>
        <w:t>stazinio</w:t>
      </w:r>
      <w:proofErr w:type="spellEnd"/>
      <w:r w:rsidRPr="00282126">
        <w:rPr>
          <w:rFonts w:eastAsia="TimesNewRoman" w:cs="Times New Roman"/>
          <w:sz w:val="22"/>
          <w:szCs w:val="22"/>
          <w:lang w:val="lt-LT" w:eastAsia="en-US"/>
        </w:rPr>
        <w:t xml:space="preserve"> širdies nepakankamumo.</w:t>
      </w:r>
    </w:p>
    <w:p w14:paraId="4642AD01" w14:textId="77777777" w:rsidR="00282126" w:rsidRPr="00282126" w:rsidRDefault="00282126" w:rsidP="00282126">
      <w:pPr>
        <w:widowControl w:val="0"/>
        <w:autoSpaceDE w:val="0"/>
        <w:autoSpaceDN w:val="0"/>
        <w:adjustRightInd w:val="0"/>
        <w:rPr>
          <w:rFonts w:eastAsia="TimesNewRoman" w:cs="Times New Roman"/>
          <w:sz w:val="22"/>
          <w:szCs w:val="22"/>
          <w:lang w:val="lt-LT" w:eastAsia="en-US"/>
        </w:rPr>
      </w:pPr>
    </w:p>
    <w:p w14:paraId="06F3EA24" w14:textId="77777777" w:rsidR="00282126" w:rsidRPr="00282126" w:rsidRDefault="00282126" w:rsidP="00282126">
      <w:pPr>
        <w:widowControl w:val="0"/>
        <w:autoSpaceDE w:val="0"/>
        <w:autoSpaceDN w:val="0"/>
        <w:adjustRightInd w:val="0"/>
        <w:rPr>
          <w:rFonts w:eastAsia="TimesNewRoman" w:cs="Times New Roman"/>
          <w:sz w:val="22"/>
          <w:szCs w:val="22"/>
          <w:lang w:val="lt-LT" w:eastAsia="en-US"/>
        </w:rPr>
      </w:pPr>
      <w:r w:rsidRPr="00282126">
        <w:rPr>
          <w:rFonts w:eastAsia="TimesNewRoman" w:cs="Times New Roman"/>
          <w:sz w:val="22"/>
          <w:szCs w:val="22"/>
          <w:lang w:val="lt-LT" w:eastAsia="en-US"/>
        </w:rPr>
        <w:t xml:space="preserve">2 tipo cukriniu diabetu sirgusiems pacientams po stebėjimo laikotarpio, kurio trukmės mediana buvo 3 metai, </w:t>
      </w:r>
      <w:proofErr w:type="spellStart"/>
      <w:r w:rsidRPr="00282126">
        <w:rPr>
          <w:rFonts w:eastAsia="TimesNewRoman" w:cs="Times New Roman"/>
          <w:sz w:val="22"/>
          <w:szCs w:val="22"/>
          <w:lang w:val="lt-LT" w:eastAsia="en-US"/>
        </w:rPr>
        <w:t>sitagliptinas</w:t>
      </w:r>
      <w:proofErr w:type="spellEnd"/>
      <w:r w:rsidRPr="00282126">
        <w:rPr>
          <w:rFonts w:eastAsia="TimesNewRoman" w:cs="Times New Roman"/>
          <w:sz w:val="22"/>
          <w:szCs w:val="22"/>
          <w:lang w:val="lt-LT" w:eastAsia="en-US"/>
        </w:rPr>
        <w:t xml:space="preserve"> kartu su įprasta priežiūra, palyginus su įprasta priežiūra be </w:t>
      </w:r>
      <w:proofErr w:type="spellStart"/>
      <w:r w:rsidRPr="00282126">
        <w:rPr>
          <w:rFonts w:eastAsia="TimesNewRoman" w:cs="Times New Roman"/>
          <w:sz w:val="22"/>
          <w:szCs w:val="22"/>
          <w:lang w:val="lt-LT" w:eastAsia="en-US"/>
        </w:rPr>
        <w:t>sitagliptino</w:t>
      </w:r>
      <w:proofErr w:type="spellEnd"/>
      <w:r w:rsidRPr="00282126">
        <w:rPr>
          <w:rFonts w:eastAsia="TimesNewRoman" w:cs="Times New Roman"/>
          <w:sz w:val="22"/>
          <w:szCs w:val="22"/>
          <w:lang w:val="lt-LT" w:eastAsia="en-US"/>
        </w:rPr>
        <w:t>, sunkių nepageidaujamų kardiovaskulinių reiškinių arba hospitalizavimo dėl širdies nepakankamumo rizikos nepadidino (3 lentelė).</w:t>
      </w:r>
    </w:p>
    <w:p w14:paraId="5037517F" w14:textId="77777777" w:rsidR="00090B48" w:rsidRPr="00997273" w:rsidRDefault="00090B48" w:rsidP="00090B48">
      <w:pPr>
        <w:autoSpaceDE w:val="0"/>
        <w:autoSpaceDN w:val="0"/>
        <w:adjustRightInd w:val="0"/>
        <w:rPr>
          <w:rFonts w:eastAsia="TimesNewRoman,Bold" w:cs="Times New Roman"/>
          <w:b/>
          <w:bCs/>
          <w:sz w:val="22"/>
          <w:szCs w:val="22"/>
          <w:lang w:val="lt-LT" w:eastAsia="en-US"/>
        </w:rPr>
      </w:pPr>
    </w:p>
    <w:p w14:paraId="753E63F4" w14:textId="04EA2EE1" w:rsidR="00D7448E" w:rsidRDefault="00090B48" w:rsidP="00BC05CD">
      <w:pPr>
        <w:autoSpaceDE w:val="0"/>
        <w:autoSpaceDN w:val="0"/>
        <w:adjustRightInd w:val="0"/>
        <w:ind w:left="993" w:hanging="993"/>
        <w:rPr>
          <w:rFonts w:eastAsia="TimesNewRoman,Bold" w:cs="Times New Roman"/>
          <w:b/>
          <w:bCs/>
          <w:sz w:val="22"/>
          <w:szCs w:val="22"/>
          <w:lang w:val="lt-LT" w:eastAsia="en-US"/>
        </w:rPr>
      </w:pPr>
      <w:r w:rsidRPr="00997273">
        <w:rPr>
          <w:rFonts w:eastAsia="TimesNewRoman,Bold" w:cs="Times New Roman"/>
          <w:b/>
          <w:bCs/>
          <w:sz w:val="22"/>
          <w:szCs w:val="22"/>
          <w:lang w:val="lt-LT" w:eastAsia="en-US"/>
        </w:rPr>
        <w:t>3</w:t>
      </w:r>
      <w:r w:rsidR="005A1E01">
        <w:rPr>
          <w:rFonts w:eastAsia="TimesNewRoman,Bold" w:cs="Times New Roman"/>
          <w:b/>
          <w:bCs/>
          <w:sz w:val="22"/>
          <w:szCs w:val="22"/>
          <w:lang w:val="lt-LT" w:eastAsia="en-US"/>
        </w:rPr>
        <w:t> </w:t>
      </w:r>
      <w:r w:rsidRPr="00997273">
        <w:rPr>
          <w:rFonts w:eastAsia="TimesNewRoman,Bold" w:cs="Times New Roman"/>
          <w:b/>
          <w:bCs/>
          <w:sz w:val="22"/>
          <w:szCs w:val="22"/>
          <w:lang w:val="lt-LT" w:eastAsia="en-US"/>
        </w:rPr>
        <w:t xml:space="preserve">lentelė. Sudėtinių širdies ir kraujagyslių vertinamųjų baigčių ir svarbiausiųjų </w:t>
      </w:r>
      <w:r w:rsidR="00D04D71">
        <w:rPr>
          <w:rFonts w:eastAsia="TimesNewRoman,Bold" w:cs="Times New Roman"/>
          <w:b/>
          <w:bCs/>
          <w:sz w:val="22"/>
          <w:szCs w:val="22"/>
          <w:lang w:val="lt-LT" w:eastAsia="en-US"/>
        </w:rPr>
        <w:t>antr</w:t>
      </w:r>
      <w:r w:rsidR="00B53EB5">
        <w:rPr>
          <w:rFonts w:eastAsia="TimesNewRoman,Bold" w:cs="Times New Roman"/>
          <w:b/>
          <w:bCs/>
          <w:sz w:val="22"/>
          <w:szCs w:val="22"/>
          <w:lang w:val="lt-LT" w:eastAsia="en-US"/>
        </w:rPr>
        <w:t>in</w:t>
      </w:r>
      <w:r w:rsidR="00D04D71">
        <w:rPr>
          <w:rFonts w:eastAsia="TimesNewRoman,Bold" w:cs="Times New Roman"/>
          <w:b/>
          <w:bCs/>
          <w:sz w:val="22"/>
          <w:szCs w:val="22"/>
          <w:lang w:val="lt-LT" w:eastAsia="en-US"/>
        </w:rPr>
        <w:t>ių</w:t>
      </w:r>
      <w:r w:rsidR="00BC05CD">
        <w:rPr>
          <w:rFonts w:eastAsia="TimesNewRoman,Bold" w:cs="Times New Roman"/>
          <w:b/>
          <w:bCs/>
          <w:sz w:val="22"/>
          <w:szCs w:val="22"/>
          <w:lang w:val="lt-LT" w:eastAsia="en-US"/>
        </w:rPr>
        <w:t xml:space="preserve"> </w:t>
      </w:r>
      <w:r w:rsidRPr="00997273">
        <w:rPr>
          <w:rFonts w:eastAsia="TimesNewRoman,Bold" w:cs="Times New Roman"/>
          <w:b/>
          <w:bCs/>
          <w:sz w:val="22"/>
          <w:szCs w:val="22"/>
          <w:lang w:val="lt-LT" w:eastAsia="en-US"/>
        </w:rPr>
        <w:t>vertinamųjų baigčių dažniai</w:t>
      </w:r>
    </w:p>
    <w:p w14:paraId="7A579AA1" w14:textId="77777777" w:rsidR="005A1E01" w:rsidRPr="00997273" w:rsidRDefault="005A1E01" w:rsidP="00BC05CD">
      <w:pPr>
        <w:autoSpaceDE w:val="0"/>
        <w:autoSpaceDN w:val="0"/>
        <w:adjustRightInd w:val="0"/>
        <w:ind w:left="993" w:hanging="993"/>
        <w:rPr>
          <w:rFonts w:eastAsia="TimesNewRoman,Bold" w:cs="Times New Roman"/>
          <w:b/>
          <w:bCs/>
          <w:sz w:val="22"/>
          <w:szCs w:val="22"/>
          <w:lang w:val="lt-LT" w:eastAsia="en-US"/>
        </w:rPr>
      </w:pPr>
    </w:p>
    <w:tbl>
      <w:tblPr>
        <w:tblStyle w:val="Lentelstinklelis"/>
        <w:tblW w:w="9464" w:type="dxa"/>
        <w:tblLayout w:type="fixed"/>
        <w:tblLook w:val="04A0" w:firstRow="1" w:lastRow="0" w:firstColumn="1" w:lastColumn="0" w:noHBand="0" w:noVBand="1"/>
      </w:tblPr>
      <w:tblGrid>
        <w:gridCol w:w="2660"/>
        <w:gridCol w:w="1134"/>
        <w:gridCol w:w="1134"/>
        <w:gridCol w:w="992"/>
        <w:gridCol w:w="142"/>
        <w:gridCol w:w="992"/>
        <w:gridCol w:w="1276"/>
        <w:gridCol w:w="142"/>
        <w:gridCol w:w="992"/>
      </w:tblGrid>
      <w:tr w:rsidR="00DE0443" w:rsidRPr="00997273" w14:paraId="68660EAE" w14:textId="77777777" w:rsidTr="00ED5669">
        <w:tc>
          <w:tcPr>
            <w:tcW w:w="2660" w:type="dxa"/>
            <w:vMerge w:val="restart"/>
          </w:tcPr>
          <w:p w14:paraId="758D7A47" w14:textId="77777777" w:rsidR="00DE0443" w:rsidRPr="00997273" w:rsidRDefault="00DE0443" w:rsidP="00D7448E">
            <w:pPr>
              <w:autoSpaceDE w:val="0"/>
              <w:autoSpaceDN w:val="0"/>
              <w:adjustRightInd w:val="0"/>
              <w:rPr>
                <w:rFonts w:eastAsia="TimesNewRoman,Bold" w:cs="Times New Roman"/>
                <w:b/>
                <w:bCs/>
                <w:sz w:val="20"/>
                <w:lang w:val="lt-LT" w:eastAsia="en-US"/>
              </w:rPr>
            </w:pPr>
          </w:p>
        </w:tc>
        <w:tc>
          <w:tcPr>
            <w:tcW w:w="2268" w:type="dxa"/>
            <w:gridSpan w:val="2"/>
          </w:tcPr>
          <w:p w14:paraId="4F98F28C" w14:textId="55E1392A" w:rsidR="00DE0443" w:rsidRPr="00997273" w:rsidRDefault="00DE0443" w:rsidP="00F46014">
            <w:pPr>
              <w:autoSpaceDE w:val="0"/>
              <w:autoSpaceDN w:val="0"/>
              <w:adjustRightInd w:val="0"/>
              <w:jc w:val="center"/>
              <w:rPr>
                <w:rFonts w:eastAsia="TimesNewRoman,Bold" w:cs="Times New Roman"/>
                <w:b/>
                <w:bCs/>
                <w:sz w:val="20"/>
                <w:lang w:val="lt-LT" w:eastAsia="en-US"/>
              </w:rPr>
            </w:pPr>
            <w:proofErr w:type="spellStart"/>
            <w:r w:rsidRPr="00997273">
              <w:rPr>
                <w:rFonts w:eastAsia="TimesNewRoman,Bold" w:cs="Times New Roman"/>
                <w:b/>
                <w:bCs/>
                <w:sz w:val="20"/>
                <w:lang w:val="lt-LT" w:eastAsia="en-US"/>
              </w:rPr>
              <w:t>Sitagliptinas</w:t>
            </w:r>
            <w:proofErr w:type="spellEnd"/>
            <w:r w:rsidRPr="00997273">
              <w:rPr>
                <w:rFonts w:eastAsia="TimesNewRoman,Bold" w:cs="Times New Roman"/>
                <w:b/>
                <w:bCs/>
                <w:sz w:val="20"/>
                <w:lang w:val="lt-LT" w:eastAsia="en-US"/>
              </w:rPr>
              <w:t xml:space="preserve"> 100</w:t>
            </w:r>
            <w:r w:rsidR="00B53EB5">
              <w:rPr>
                <w:rFonts w:eastAsia="TimesNewRoman,Bold" w:cs="Times New Roman"/>
                <w:b/>
                <w:bCs/>
                <w:sz w:val="20"/>
                <w:lang w:val="lt-LT" w:eastAsia="en-US"/>
              </w:rPr>
              <w:t> </w:t>
            </w:r>
            <w:r w:rsidRPr="00997273">
              <w:rPr>
                <w:rFonts w:eastAsia="TimesNewRoman,Bold" w:cs="Times New Roman"/>
                <w:b/>
                <w:bCs/>
                <w:sz w:val="20"/>
                <w:lang w:val="lt-LT" w:eastAsia="en-US"/>
              </w:rPr>
              <w:t>mg</w:t>
            </w:r>
          </w:p>
        </w:tc>
        <w:tc>
          <w:tcPr>
            <w:tcW w:w="2126" w:type="dxa"/>
            <w:gridSpan w:val="3"/>
          </w:tcPr>
          <w:p w14:paraId="399DCF55" w14:textId="77777777" w:rsidR="00DE0443" w:rsidRPr="00997273" w:rsidRDefault="00DE0443" w:rsidP="00F46014">
            <w:pPr>
              <w:autoSpaceDE w:val="0"/>
              <w:autoSpaceDN w:val="0"/>
              <w:adjustRightInd w:val="0"/>
              <w:jc w:val="center"/>
              <w:rPr>
                <w:rFonts w:eastAsia="TimesNewRoman,Bold" w:cs="Times New Roman"/>
                <w:b/>
                <w:bCs/>
                <w:sz w:val="20"/>
                <w:lang w:val="lt-LT" w:eastAsia="en-US"/>
              </w:rPr>
            </w:pPr>
            <w:r w:rsidRPr="00997273">
              <w:rPr>
                <w:rFonts w:eastAsia="TimesNewRoman,Bold" w:cs="Times New Roman"/>
                <w:b/>
                <w:bCs/>
                <w:sz w:val="20"/>
                <w:lang w:val="lt-LT" w:eastAsia="en-US"/>
              </w:rPr>
              <w:t>Placebas</w:t>
            </w:r>
          </w:p>
        </w:tc>
        <w:tc>
          <w:tcPr>
            <w:tcW w:w="1276" w:type="dxa"/>
            <w:vMerge w:val="restart"/>
          </w:tcPr>
          <w:p w14:paraId="7627CDFC" w14:textId="77777777" w:rsidR="00854D3A" w:rsidRPr="00997273" w:rsidRDefault="00854D3A" w:rsidP="00F46014">
            <w:pPr>
              <w:autoSpaceDE w:val="0"/>
              <w:autoSpaceDN w:val="0"/>
              <w:adjustRightInd w:val="0"/>
              <w:jc w:val="center"/>
              <w:rPr>
                <w:rFonts w:eastAsia="TimesNewRoman,Bold" w:cs="Times New Roman"/>
                <w:b/>
                <w:bCs/>
                <w:sz w:val="20"/>
                <w:lang w:val="lt-LT" w:eastAsia="en-US"/>
              </w:rPr>
            </w:pPr>
          </w:p>
          <w:p w14:paraId="70164224" w14:textId="77777777" w:rsidR="00854D3A" w:rsidRPr="00997273" w:rsidRDefault="00854D3A" w:rsidP="00F46014">
            <w:pPr>
              <w:autoSpaceDE w:val="0"/>
              <w:autoSpaceDN w:val="0"/>
              <w:adjustRightInd w:val="0"/>
              <w:jc w:val="center"/>
              <w:rPr>
                <w:rFonts w:eastAsia="TimesNewRoman,Bold" w:cs="Times New Roman"/>
                <w:b/>
                <w:bCs/>
                <w:sz w:val="20"/>
                <w:lang w:val="lt-LT" w:eastAsia="en-US"/>
              </w:rPr>
            </w:pPr>
          </w:p>
          <w:p w14:paraId="20F45A30" w14:textId="271523B0" w:rsidR="00DE0443" w:rsidRPr="00997273" w:rsidRDefault="00DE0443" w:rsidP="00F46014">
            <w:pPr>
              <w:autoSpaceDE w:val="0"/>
              <w:autoSpaceDN w:val="0"/>
              <w:adjustRightInd w:val="0"/>
              <w:jc w:val="center"/>
              <w:rPr>
                <w:rFonts w:eastAsia="TimesNewRoman,Bold" w:cs="Times New Roman"/>
                <w:b/>
                <w:bCs/>
                <w:sz w:val="20"/>
                <w:lang w:val="lt-LT" w:eastAsia="en-US"/>
              </w:rPr>
            </w:pPr>
            <w:r w:rsidRPr="00997273">
              <w:rPr>
                <w:rFonts w:eastAsia="TimesNewRoman,Bold" w:cs="Times New Roman"/>
                <w:b/>
                <w:bCs/>
                <w:sz w:val="20"/>
                <w:lang w:val="lt-LT" w:eastAsia="en-US"/>
              </w:rPr>
              <w:t>Rizikos santykis</w:t>
            </w:r>
            <w:r w:rsidR="003D349F" w:rsidRPr="00997273">
              <w:rPr>
                <w:rFonts w:eastAsia="TimesNewRoman,Bold" w:cs="Times New Roman"/>
                <w:b/>
                <w:bCs/>
                <w:sz w:val="20"/>
                <w:lang w:val="lt-LT" w:eastAsia="en-US"/>
              </w:rPr>
              <w:t xml:space="preserve"> </w:t>
            </w:r>
            <w:r w:rsidRPr="00997273">
              <w:rPr>
                <w:rFonts w:eastAsia="TimesNewRoman,Bold" w:cs="Times New Roman"/>
                <w:b/>
                <w:bCs/>
                <w:sz w:val="20"/>
                <w:lang w:val="lt-LT" w:eastAsia="en-US"/>
              </w:rPr>
              <w:t>(95</w:t>
            </w:r>
            <w:r w:rsidR="00B53EB5">
              <w:rPr>
                <w:rFonts w:eastAsia="TimesNewRoman,Bold" w:cs="Times New Roman"/>
                <w:b/>
                <w:bCs/>
                <w:sz w:val="20"/>
                <w:lang w:val="lt-LT" w:eastAsia="en-US"/>
              </w:rPr>
              <w:t> </w:t>
            </w:r>
            <w:r w:rsidRPr="00997273">
              <w:rPr>
                <w:rFonts w:eastAsia="TimesNewRoman,Bold" w:cs="Times New Roman"/>
                <w:b/>
                <w:bCs/>
                <w:sz w:val="20"/>
                <w:lang w:val="lt-LT" w:eastAsia="en-US"/>
              </w:rPr>
              <w:t>% PI)</w:t>
            </w:r>
          </w:p>
        </w:tc>
        <w:tc>
          <w:tcPr>
            <w:tcW w:w="1134" w:type="dxa"/>
            <w:gridSpan w:val="2"/>
            <w:vMerge w:val="restart"/>
          </w:tcPr>
          <w:p w14:paraId="5934A7B2" w14:textId="77777777" w:rsidR="00854D3A" w:rsidRPr="00997273" w:rsidRDefault="00854D3A" w:rsidP="00F46014">
            <w:pPr>
              <w:autoSpaceDE w:val="0"/>
              <w:autoSpaceDN w:val="0"/>
              <w:adjustRightInd w:val="0"/>
              <w:jc w:val="center"/>
              <w:rPr>
                <w:rFonts w:eastAsia="TimesNewRoman,Bold" w:cs="Times New Roman"/>
                <w:b/>
                <w:bCs/>
                <w:sz w:val="20"/>
                <w:lang w:val="lt-LT" w:eastAsia="en-US"/>
              </w:rPr>
            </w:pPr>
          </w:p>
          <w:p w14:paraId="541243B6" w14:textId="77777777" w:rsidR="00854D3A" w:rsidRPr="00997273" w:rsidRDefault="00854D3A" w:rsidP="00F46014">
            <w:pPr>
              <w:autoSpaceDE w:val="0"/>
              <w:autoSpaceDN w:val="0"/>
              <w:adjustRightInd w:val="0"/>
              <w:jc w:val="center"/>
              <w:rPr>
                <w:rFonts w:eastAsia="TimesNewRoman,Bold" w:cs="Times New Roman"/>
                <w:b/>
                <w:bCs/>
                <w:sz w:val="20"/>
                <w:lang w:val="lt-LT" w:eastAsia="en-US"/>
              </w:rPr>
            </w:pPr>
          </w:p>
          <w:p w14:paraId="5BBC741C" w14:textId="77777777" w:rsidR="00854D3A" w:rsidRPr="00997273" w:rsidRDefault="00854D3A" w:rsidP="00F46014">
            <w:pPr>
              <w:autoSpaceDE w:val="0"/>
              <w:autoSpaceDN w:val="0"/>
              <w:adjustRightInd w:val="0"/>
              <w:jc w:val="center"/>
              <w:rPr>
                <w:rFonts w:eastAsia="TimesNewRoman,Bold" w:cs="Times New Roman"/>
                <w:b/>
                <w:bCs/>
                <w:sz w:val="20"/>
                <w:lang w:val="lt-LT" w:eastAsia="en-US"/>
              </w:rPr>
            </w:pPr>
          </w:p>
          <w:p w14:paraId="67BF2B97" w14:textId="77777777" w:rsidR="004325AB" w:rsidRPr="00997273" w:rsidRDefault="004325AB" w:rsidP="00F46014">
            <w:pPr>
              <w:autoSpaceDE w:val="0"/>
              <w:autoSpaceDN w:val="0"/>
              <w:adjustRightInd w:val="0"/>
              <w:jc w:val="center"/>
              <w:rPr>
                <w:rFonts w:eastAsia="TimesNewRoman,Bold" w:cs="Times New Roman"/>
                <w:b/>
                <w:bCs/>
                <w:sz w:val="20"/>
                <w:lang w:val="lt-LT" w:eastAsia="en-US"/>
              </w:rPr>
            </w:pPr>
          </w:p>
          <w:p w14:paraId="2BF81C65" w14:textId="7106E862" w:rsidR="00DE0443" w:rsidRPr="00997273" w:rsidRDefault="00DE0443" w:rsidP="005A1E01">
            <w:pPr>
              <w:autoSpaceDE w:val="0"/>
              <w:autoSpaceDN w:val="0"/>
              <w:adjustRightInd w:val="0"/>
              <w:jc w:val="center"/>
              <w:rPr>
                <w:rFonts w:eastAsia="TimesNewRoman,Bold" w:cs="Times New Roman"/>
                <w:b/>
                <w:bCs/>
                <w:sz w:val="20"/>
                <w:lang w:val="lt-LT" w:eastAsia="en-US"/>
              </w:rPr>
            </w:pPr>
            <w:r w:rsidRPr="00997273">
              <w:rPr>
                <w:rFonts w:eastAsia="TimesNewRoman,Bold" w:cs="Times New Roman"/>
                <w:b/>
                <w:bCs/>
                <w:sz w:val="20"/>
                <w:lang w:val="lt-LT" w:eastAsia="en-US"/>
              </w:rPr>
              <w:t>p-</w:t>
            </w:r>
            <w:r w:rsidR="005A1E01">
              <w:rPr>
                <w:rFonts w:eastAsia="TimesNewRoman,Bold" w:cs="Times New Roman"/>
                <w:b/>
                <w:bCs/>
                <w:sz w:val="20"/>
                <w:lang w:val="lt-LT" w:eastAsia="en-US"/>
              </w:rPr>
              <w:t>reikšmė</w:t>
            </w:r>
            <w:r w:rsidRPr="00997273">
              <w:rPr>
                <w:rFonts w:eastAsia="TimesNewRoman,Bold" w:cs="Times New Roman"/>
                <w:sz w:val="20"/>
                <w:lang w:val="lt-LT" w:eastAsia="en-US"/>
              </w:rPr>
              <w:t>†</w:t>
            </w:r>
          </w:p>
        </w:tc>
      </w:tr>
      <w:tr w:rsidR="00854D3A" w:rsidRPr="00997273" w14:paraId="68D1DD63" w14:textId="77777777" w:rsidTr="00ED5669">
        <w:tc>
          <w:tcPr>
            <w:tcW w:w="2660" w:type="dxa"/>
            <w:vMerge/>
          </w:tcPr>
          <w:p w14:paraId="2E4E07B2" w14:textId="77777777" w:rsidR="00DE0443" w:rsidRPr="00997273" w:rsidRDefault="00DE0443" w:rsidP="00D7448E">
            <w:pPr>
              <w:autoSpaceDE w:val="0"/>
              <w:autoSpaceDN w:val="0"/>
              <w:adjustRightInd w:val="0"/>
              <w:rPr>
                <w:rFonts w:eastAsia="TimesNewRoman,Bold" w:cs="Times New Roman"/>
                <w:b/>
                <w:bCs/>
                <w:sz w:val="20"/>
                <w:lang w:val="lt-LT" w:eastAsia="en-US"/>
              </w:rPr>
            </w:pPr>
          </w:p>
        </w:tc>
        <w:tc>
          <w:tcPr>
            <w:tcW w:w="1134" w:type="dxa"/>
          </w:tcPr>
          <w:p w14:paraId="028A1361" w14:textId="77777777" w:rsidR="00F46014" w:rsidRPr="00997273" w:rsidRDefault="00F46014" w:rsidP="00F46014">
            <w:pPr>
              <w:autoSpaceDE w:val="0"/>
              <w:autoSpaceDN w:val="0"/>
              <w:adjustRightInd w:val="0"/>
              <w:jc w:val="center"/>
              <w:rPr>
                <w:rFonts w:eastAsia="TimesNewRoman,Bold" w:cs="Times New Roman"/>
                <w:b/>
                <w:bCs/>
                <w:sz w:val="20"/>
                <w:lang w:val="lt-LT" w:eastAsia="en-US"/>
              </w:rPr>
            </w:pPr>
          </w:p>
          <w:p w14:paraId="0616304E" w14:textId="77777777" w:rsidR="00F46014" w:rsidRPr="00997273" w:rsidRDefault="00F46014" w:rsidP="00F46014">
            <w:pPr>
              <w:autoSpaceDE w:val="0"/>
              <w:autoSpaceDN w:val="0"/>
              <w:adjustRightInd w:val="0"/>
              <w:jc w:val="center"/>
              <w:rPr>
                <w:rFonts w:eastAsia="TimesNewRoman,Bold" w:cs="Times New Roman"/>
                <w:b/>
                <w:bCs/>
                <w:sz w:val="20"/>
                <w:lang w:val="lt-LT" w:eastAsia="en-US"/>
              </w:rPr>
            </w:pPr>
          </w:p>
          <w:p w14:paraId="1C47DF6E" w14:textId="77777777" w:rsidR="00F46014" w:rsidRPr="00997273" w:rsidRDefault="00F46014" w:rsidP="00F46014">
            <w:pPr>
              <w:autoSpaceDE w:val="0"/>
              <w:autoSpaceDN w:val="0"/>
              <w:adjustRightInd w:val="0"/>
              <w:jc w:val="center"/>
              <w:rPr>
                <w:rFonts w:eastAsia="TimesNewRoman,Bold" w:cs="Times New Roman"/>
                <w:b/>
                <w:bCs/>
                <w:sz w:val="20"/>
                <w:lang w:val="lt-LT" w:eastAsia="en-US"/>
              </w:rPr>
            </w:pPr>
          </w:p>
          <w:p w14:paraId="0C534731" w14:textId="77777777" w:rsidR="00DE0443" w:rsidRPr="00997273" w:rsidRDefault="00DE0443" w:rsidP="00F46014">
            <w:pPr>
              <w:autoSpaceDE w:val="0"/>
              <w:autoSpaceDN w:val="0"/>
              <w:adjustRightInd w:val="0"/>
              <w:jc w:val="center"/>
              <w:rPr>
                <w:rFonts w:eastAsia="TimesNewRoman,Bold" w:cs="Times New Roman"/>
                <w:b/>
                <w:bCs/>
                <w:sz w:val="20"/>
                <w:lang w:val="lt-LT" w:eastAsia="en-US"/>
              </w:rPr>
            </w:pPr>
            <w:r w:rsidRPr="00997273">
              <w:rPr>
                <w:rFonts w:eastAsia="TimesNewRoman,Bold" w:cs="Times New Roman"/>
                <w:b/>
                <w:bCs/>
                <w:sz w:val="20"/>
                <w:lang w:val="lt-LT" w:eastAsia="en-US"/>
              </w:rPr>
              <w:t>N (%)</w:t>
            </w:r>
          </w:p>
        </w:tc>
        <w:tc>
          <w:tcPr>
            <w:tcW w:w="1134" w:type="dxa"/>
          </w:tcPr>
          <w:p w14:paraId="71DED287" w14:textId="77777777" w:rsidR="00DE0443" w:rsidRPr="00997273" w:rsidRDefault="00DE0443" w:rsidP="00F46014">
            <w:pPr>
              <w:autoSpaceDE w:val="0"/>
              <w:autoSpaceDN w:val="0"/>
              <w:adjustRightInd w:val="0"/>
              <w:jc w:val="center"/>
              <w:rPr>
                <w:rFonts w:eastAsia="TimesNewRoman,Bold" w:cs="Times New Roman"/>
                <w:b/>
                <w:bCs/>
                <w:sz w:val="20"/>
                <w:lang w:val="lt-LT" w:eastAsia="en-US"/>
              </w:rPr>
            </w:pPr>
            <w:r w:rsidRPr="00997273">
              <w:rPr>
                <w:rFonts w:eastAsia="TimesNewRoman,Bold" w:cs="Times New Roman"/>
                <w:b/>
                <w:bCs/>
                <w:sz w:val="20"/>
                <w:lang w:val="lt-LT" w:eastAsia="en-US"/>
              </w:rPr>
              <w:t>Dažnis</w:t>
            </w:r>
            <w:r w:rsidR="00F46014" w:rsidRPr="00997273">
              <w:rPr>
                <w:rFonts w:eastAsia="TimesNewRoman,Bold" w:cs="Times New Roman"/>
                <w:b/>
                <w:bCs/>
                <w:sz w:val="20"/>
                <w:lang w:val="lt-LT" w:eastAsia="en-US"/>
              </w:rPr>
              <w:t xml:space="preserve"> </w:t>
            </w:r>
            <w:r w:rsidRPr="00997273">
              <w:rPr>
                <w:rFonts w:eastAsia="TimesNewRoman,Bold" w:cs="Times New Roman"/>
                <w:b/>
                <w:bCs/>
                <w:sz w:val="20"/>
                <w:lang w:val="lt-LT" w:eastAsia="en-US"/>
              </w:rPr>
              <w:t>per 100</w:t>
            </w:r>
            <w:r w:rsidR="00F46014" w:rsidRPr="00997273">
              <w:rPr>
                <w:rFonts w:eastAsia="TimesNewRoman,Bold" w:cs="Times New Roman"/>
                <w:b/>
                <w:bCs/>
                <w:sz w:val="20"/>
                <w:lang w:val="lt-LT" w:eastAsia="en-US"/>
              </w:rPr>
              <w:t xml:space="preserve"> </w:t>
            </w:r>
            <w:r w:rsidRPr="00997273">
              <w:rPr>
                <w:rFonts w:eastAsia="TimesNewRoman,Bold" w:cs="Times New Roman"/>
                <w:b/>
                <w:bCs/>
                <w:sz w:val="20"/>
                <w:lang w:val="lt-LT" w:eastAsia="en-US"/>
              </w:rPr>
              <w:t>paciento</w:t>
            </w:r>
            <w:r w:rsidR="00F46014" w:rsidRPr="00997273">
              <w:rPr>
                <w:rFonts w:eastAsia="TimesNewRoman,Bold" w:cs="Times New Roman"/>
                <w:b/>
                <w:bCs/>
                <w:sz w:val="20"/>
                <w:lang w:val="lt-LT" w:eastAsia="en-US"/>
              </w:rPr>
              <w:t xml:space="preserve"> </w:t>
            </w:r>
            <w:r w:rsidRPr="00997273">
              <w:rPr>
                <w:rFonts w:eastAsia="TimesNewRoman,Bold" w:cs="Times New Roman"/>
                <w:b/>
                <w:bCs/>
                <w:sz w:val="20"/>
                <w:lang w:val="lt-LT" w:eastAsia="en-US"/>
              </w:rPr>
              <w:t>metų</w:t>
            </w:r>
            <w:r w:rsidRPr="00997273">
              <w:rPr>
                <w:rFonts w:eastAsia="TimesNewRoman,Bold" w:cs="Times New Roman"/>
                <w:sz w:val="20"/>
                <w:lang w:val="lt-LT" w:eastAsia="en-US"/>
              </w:rPr>
              <w:t>*</w:t>
            </w:r>
          </w:p>
        </w:tc>
        <w:tc>
          <w:tcPr>
            <w:tcW w:w="992" w:type="dxa"/>
          </w:tcPr>
          <w:p w14:paraId="0C3F79EF" w14:textId="77777777" w:rsidR="00F46014" w:rsidRPr="00997273" w:rsidRDefault="00F46014" w:rsidP="00F46014">
            <w:pPr>
              <w:autoSpaceDE w:val="0"/>
              <w:autoSpaceDN w:val="0"/>
              <w:adjustRightInd w:val="0"/>
              <w:jc w:val="center"/>
              <w:rPr>
                <w:rFonts w:eastAsia="TimesNewRoman,Bold" w:cs="Times New Roman"/>
                <w:b/>
                <w:bCs/>
                <w:sz w:val="20"/>
                <w:lang w:val="lt-LT" w:eastAsia="en-US"/>
              </w:rPr>
            </w:pPr>
          </w:p>
          <w:p w14:paraId="7A358715" w14:textId="77777777" w:rsidR="00F46014" w:rsidRPr="00997273" w:rsidRDefault="00F46014" w:rsidP="00F46014">
            <w:pPr>
              <w:autoSpaceDE w:val="0"/>
              <w:autoSpaceDN w:val="0"/>
              <w:adjustRightInd w:val="0"/>
              <w:jc w:val="center"/>
              <w:rPr>
                <w:rFonts w:eastAsia="TimesNewRoman,Bold" w:cs="Times New Roman"/>
                <w:b/>
                <w:bCs/>
                <w:sz w:val="20"/>
                <w:lang w:val="lt-LT" w:eastAsia="en-US"/>
              </w:rPr>
            </w:pPr>
          </w:p>
          <w:p w14:paraId="728C38D9" w14:textId="77777777" w:rsidR="00F46014" w:rsidRPr="00997273" w:rsidRDefault="00F46014" w:rsidP="00F46014">
            <w:pPr>
              <w:autoSpaceDE w:val="0"/>
              <w:autoSpaceDN w:val="0"/>
              <w:adjustRightInd w:val="0"/>
              <w:jc w:val="center"/>
              <w:rPr>
                <w:rFonts w:eastAsia="TimesNewRoman,Bold" w:cs="Times New Roman"/>
                <w:b/>
                <w:bCs/>
                <w:sz w:val="20"/>
                <w:lang w:val="lt-LT" w:eastAsia="en-US"/>
              </w:rPr>
            </w:pPr>
          </w:p>
          <w:p w14:paraId="086DBF37" w14:textId="77777777" w:rsidR="00DE0443" w:rsidRPr="00997273" w:rsidRDefault="00DE0443" w:rsidP="00F46014">
            <w:pPr>
              <w:autoSpaceDE w:val="0"/>
              <w:autoSpaceDN w:val="0"/>
              <w:adjustRightInd w:val="0"/>
              <w:jc w:val="center"/>
              <w:rPr>
                <w:rFonts w:eastAsia="TimesNewRoman,Bold" w:cs="Times New Roman"/>
                <w:b/>
                <w:bCs/>
                <w:sz w:val="20"/>
                <w:lang w:val="lt-LT" w:eastAsia="en-US"/>
              </w:rPr>
            </w:pPr>
            <w:r w:rsidRPr="00997273">
              <w:rPr>
                <w:rFonts w:eastAsia="TimesNewRoman,Bold" w:cs="Times New Roman"/>
                <w:b/>
                <w:bCs/>
                <w:sz w:val="20"/>
                <w:lang w:val="lt-LT" w:eastAsia="en-US"/>
              </w:rPr>
              <w:t>N (%)</w:t>
            </w:r>
          </w:p>
        </w:tc>
        <w:tc>
          <w:tcPr>
            <w:tcW w:w="1134" w:type="dxa"/>
            <w:gridSpan w:val="2"/>
          </w:tcPr>
          <w:p w14:paraId="754D677C" w14:textId="77777777" w:rsidR="00DE0443" w:rsidRPr="00997273" w:rsidRDefault="00DE0443" w:rsidP="00F46014">
            <w:pPr>
              <w:autoSpaceDE w:val="0"/>
              <w:autoSpaceDN w:val="0"/>
              <w:adjustRightInd w:val="0"/>
              <w:jc w:val="center"/>
              <w:rPr>
                <w:rFonts w:eastAsia="TimesNewRoman,Bold" w:cs="Times New Roman"/>
                <w:b/>
                <w:bCs/>
                <w:sz w:val="20"/>
                <w:lang w:val="lt-LT" w:eastAsia="en-US"/>
              </w:rPr>
            </w:pPr>
            <w:r w:rsidRPr="00997273">
              <w:rPr>
                <w:rFonts w:eastAsia="TimesNewRoman,Bold" w:cs="Times New Roman"/>
                <w:b/>
                <w:bCs/>
                <w:sz w:val="20"/>
                <w:lang w:val="lt-LT" w:eastAsia="en-US"/>
              </w:rPr>
              <w:t>Dažnis</w:t>
            </w:r>
            <w:r w:rsidR="00F46014" w:rsidRPr="00997273">
              <w:rPr>
                <w:rFonts w:eastAsia="TimesNewRoman,Bold" w:cs="Times New Roman"/>
                <w:b/>
                <w:bCs/>
                <w:sz w:val="20"/>
                <w:lang w:val="lt-LT" w:eastAsia="en-US"/>
              </w:rPr>
              <w:t xml:space="preserve"> </w:t>
            </w:r>
            <w:r w:rsidRPr="00997273">
              <w:rPr>
                <w:rFonts w:eastAsia="TimesNewRoman,Bold" w:cs="Times New Roman"/>
                <w:b/>
                <w:bCs/>
                <w:sz w:val="20"/>
                <w:lang w:val="lt-LT" w:eastAsia="en-US"/>
              </w:rPr>
              <w:t>per 100</w:t>
            </w:r>
            <w:r w:rsidR="00F46014" w:rsidRPr="00997273">
              <w:rPr>
                <w:rFonts w:eastAsia="TimesNewRoman,Bold" w:cs="Times New Roman"/>
                <w:b/>
                <w:bCs/>
                <w:sz w:val="20"/>
                <w:lang w:val="lt-LT" w:eastAsia="en-US"/>
              </w:rPr>
              <w:t xml:space="preserve"> </w:t>
            </w:r>
            <w:r w:rsidRPr="00997273">
              <w:rPr>
                <w:rFonts w:eastAsia="TimesNewRoman,Bold" w:cs="Times New Roman"/>
                <w:b/>
                <w:bCs/>
                <w:sz w:val="20"/>
                <w:lang w:val="lt-LT" w:eastAsia="en-US"/>
              </w:rPr>
              <w:t>paciento</w:t>
            </w:r>
            <w:r w:rsidR="00F46014" w:rsidRPr="00997273">
              <w:rPr>
                <w:rFonts w:eastAsia="TimesNewRoman,Bold" w:cs="Times New Roman"/>
                <w:b/>
                <w:bCs/>
                <w:sz w:val="20"/>
                <w:lang w:val="lt-LT" w:eastAsia="en-US"/>
              </w:rPr>
              <w:t xml:space="preserve"> </w:t>
            </w:r>
            <w:r w:rsidRPr="00997273">
              <w:rPr>
                <w:rFonts w:eastAsia="TimesNewRoman,Bold" w:cs="Times New Roman"/>
                <w:b/>
                <w:bCs/>
                <w:sz w:val="20"/>
                <w:lang w:val="lt-LT" w:eastAsia="en-US"/>
              </w:rPr>
              <w:t>metų</w:t>
            </w:r>
            <w:r w:rsidRPr="00997273">
              <w:rPr>
                <w:rFonts w:eastAsia="TimesNewRoman,Bold" w:cs="Times New Roman"/>
                <w:sz w:val="20"/>
                <w:lang w:val="lt-LT" w:eastAsia="en-US"/>
              </w:rPr>
              <w:t>*</w:t>
            </w:r>
          </w:p>
        </w:tc>
        <w:tc>
          <w:tcPr>
            <w:tcW w:w="1276" w:type="dxa"/>
            <w:vMerge/>
          </w:tcPr>
          <w:p w14:paraId="3587FD54" w14:textId="77777777" w:rsidR="00DE0443" w:rsidRPr="00997273" w:rsidRDefault="00DE0443" w:rsidP="00D7448E">
            <w:pPr>
              <w:autoSpaceDE w:val="0"/>
              <w:autoSpaceDN w:val="0"/>
              <w:adjustRightInd w:val="0"/>
              <w:rPr>
                <w:rFonts w:eastAsia="TimesNewRoman,Bold" w:cs="Times New Roman"/>
                <w:b/>
                <w:bCs/>
                <w:sz w:val="20"/>
                <w:lang w:val="lt-LT" w:eastAsia="en-US"/>
              </w:rPr>
            </w:pPr>
          </w:p>
        </w:tc>
        <w:tc>
          <w:tcPr>
            <w:tcW w:w="1134" w:type="dxa"/>
            <w:gridSpan w:val="2"/>
            <w:vMerge/>
          </w:tcPr>
          <w:p w14:paraId="3D0E4DF7" w14:textId="77777777" w:rsidR="00DE0443" w:rsidRPr="00997273" w:rsidRDefault="00DE0443" w:rsidP="00D7448E">
            <w:pPr>
              <w:autoSpaceDE w:val="0"/>
              <w:autoSpaceDN w:val="0"/>
              <w:adjustRightInd w:val="0"/>
              <w:rPr>
                <w:rFonts w:eastAsia="TimesNewRoman,Bold" w:cs="Times New Roman"/>
                <w:b/>
                <w:bCs/>
                <w:sz w:val="20"/>
                <w:lang w:val="lt-LT" w:eastAsia="en-US"/>
              </w:rPr>
            </w:pPr>
          </w:p>
        </w:tc>
      </w:tr>
      <w:tr w:rsidR="00DE0443" w:rsidRPr="00997273" w14:paraId="31F5738F" w14:textId="77777777" w:rsidTr="00ED5669">
        <w:tc>
          <w:tcPr>
            <w:tcW w:w="9464" w:type="dxa"/>
            <w:gridSpan w:val="9"/>
          </w:tcPr>
          <w:p w14:paraId="562704F1" w14:textId="77777777" w:rsidR="00DE0443" w:rsidRPr="00997273" w:rsidRDefault="00DE0443" w:rsidP="00DE0443">
            <w:pPr>
              <w:autoSpaceDE w:val="0"/>
              <w:autoSpaceDN w:val="0"/>
              <w:adjustRightInd w:val="0"/>
              <w:rPr>
                <w:rFonts w:eastAsia="TimesNewRoman,Bold" w:cs="Times New Roman"/>
                <w:b/>
                <w:bCs/>
                <w:sz w:val="20"/>
                <w:lang w:val="lt-LT" w:eastAsia="en-US"/>
              </w:rPr>
            </w:pPr>
            <w:r w:rsidRPr="00997273">
              <w:rPr>
                <w:rFonts w:eastAsia="TimesNewRoman,Bold" w:cs="Times New Roman"/>
                <w:b/>
                <w:bCs/>
                <w:sz w:val="20"/>
                <w:lang w:val="lt-LT" w:eastAsia="en-US"/>
              </w:rPr>
              <w:t>Ketinimo gydyti populiacijos analizė</w:t>
            </w:r>
          </w:p>
        </w:tc>
      </w:tr>
      <w:tr w:rsidR="00DE0443" w:rsidRPr="00997273" w14:paraId="66CE496C" w14:textId="77777777" w:rsidTr="00ED5669">
        <w:tc>
          <w:tcPr>
            <w:tcW w:w="2660" w:type="dxa"/>
          </w:tcPr>
          <w:p w14:paraId="305EFEE8" w14:textId="77777777" w:rsidR="00DE0443" w:rsidRPr="00997273" w:rsidRDefault="00DE0443" w:rsidP="005A1E01">
            <w:pPr>
              <w:autoSpaceDE w:val="0"/>
              <w:autoSpaceDN w:val="0"/>
              <w:adjustRightInd w:val="0"/>
              <w:ind w:left="180"/>
              <w:rPr>
                <w:rFonts w:eastAsia="TimesNewRoman,Bold" w:cs="Times New Roman"/>
                <w:b/>
                <w:bCs/>
                <w:sz w:val="20"/>
                <w:lang w:val="lt-LT" w:eastAsia="en-US"/>
              </w:rPr>
            </w:pPr>
            <w:r w:rsidRPr="00997273">
              <w:rPr>
                <w:rFonts w:eastAsia="TimesNewRoman,Bold" w:cs="Times New Roman"/>
                <w:b/>
                <w:bCs/>
                <w:sz w:val="20"/>
                <w:lang w:val="lt-LT" w:eastAsia="en-US"/>
              </w:rPr>
              <w:lastRenderedPageBreak/>
              <w:t>Pacientų skaičius</w:t>
            </w:r>
          </w:p>
        </w:tc>
        <w:tc>
          <w:tcPr>
            <w:tcW w:w="2268" w:type="dxa"/>
            <w:gridSpan w:val="2"/>
          </w:tcPr>
          <w:p w14:paraId="4765C879" w14:textId="77777777" w:rsidR="00DE0443" w:rsidRPr="00997273" w:rsidRDefault="00DE0443" w:rsidP="00854D3A">
            <w:pPr>
              <w:autoSpaceDE w:val="0"/>
              <w:autoSpaceDN w:val="0"/>
              <w:adjustRightInd w:val="0"/>
              <w:jc w:val="center"/>
              <w:rPr>
                <w:rFonts w:eastAsia="TimesNewRoman,Bold" w:cs="Times New Roman"/>
                <w:b/>
                <w:bCs/>
                <w:sz w:val="20"/>
                <w:lang w:val="lt-LT" w:eastAsia="en-US"/>
              </w:rPr>
            </w:pPr>
            <w:r w:rsidRPr="00997273">
              <w:rPr>
                <w:rFonts w:eastAsia="TimesNewRoman,Bold" w:cs="Times New Roman"/>
                <w:b/>
                <w:bCs/>
                <w:sz w:val="20"/>
                <w:lang w:val="lt-LT" w:eastAsia="en-US"/>
              </w:rPr>
              <w:t>7332</w:t>
            </w:r>
          </w:p>
        </w:tc>
        <w:tc>
          <w:tcPr>
            <w:tcW w:w="2126" w:type="dxa"/>
            <w:gridSpan w:val="3"/>
          </w:tcPr>
          <w:p w14:paraId="26C89AA8" w14:textId="77777777" w:rsidR="00DE0443" w:rsidRPr="00997273" w:rsidRDefault="00DE0443" w:rsidP="00854D3A">
            <w:pPr>
              <w:autoSpaceDE w:val="0"/>
              <w:autoSpaceDN w:val="0"/>
              <w:adjustRightInd w:val="0"/>
              <w:jc w:val="center"/>
              <w:rPr>
                <w:rFonts w:eastAsia="TimesNewRoman,Bold" w:cs="Times New Roman"/>
                <w:b/>
                <w:bCs/>
                <w:sz w:val="20"/>
                <w:lang w:val="lt-LT" w:eastAsia="en-US"/>
              </w:rPr>
            </w:pPr>
            <w:r w:rsidRPr="00997273">
              <w:rPr>
                <w:rFonts w:eastAsia="TimesNewRoman,Bold" w:cs="Times New Roman"/>
                <w:b/>
                <w:bCs/>
                <w:sz w:val="20"/>
                <w:lang w:val="lt-LT" w:eastAsia="en-US"/>
              </w:rPr>
              <w:t>7339</w:t>
            </w:r>
          </w:p>
        </w:tc>
        <w:tc>
          <w:tcPr>
            <w:tcW w:w="1418" w:type="dxa"/>
            <w:gridSpan w:val="2"/>
            <w:vMerge w:val="restart"/>
          </w:tcPr>
          <w:p w14:paraId="78E1EA8E"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0DF04D63"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56D595EC"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5AE55919"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2B97F02C"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7EE58486"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4619FFE4" w14:textId="77777777" w:rsidR="00854D3A" w:rsidRPr="00997273" w:rsidRDefault="00DE0443" w:rsidP="00854D3A">
            <w:pPr>
              <w:autoSpaceDE w:val="0"/>
              <w:autoSpaceDN w:val="0"/>
              <w:adjustRightInd w:val="0"/>
              <w:jc w:val="center"/>
              <w:rPr>
                <w:rFonts w:eastAsia="TimesNewRoman,Bold" w:cs="Times New Roman"/>
                <w:sz w:val="20"/>
                <w:lang w:val="lt-LT" w:eastAsia="en-US"/>
              </w:rPr>
            </w:pPr>
            <w:r w:rsidRPr="00997273">
              <w:rPr>
                <w:rFonts w:eastAsia="TimesNewRoman,Bold" w:cs="Times New Roman"/>
                <w:sz w:val="20"/>
                <w:lang w:val="lt-LT" w:eastAsia="en-US"/>
              </w:rPr>
              <w:t xml:space="preserve">0,98 </w:t>
            </w:r>
          </w:p>
          <w:p w14:paraId="6E7AA75D" w14:textId="77777777" w:rsidR="00DE0443" w:rsidRPr="00997273" w:rsidRDefault="00DE0443" w:rsidP="00854D3A">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(0,89 – 1,08)</w:t>
            </w:r>
          </w:p>
        </w:tc>
        <w:tc>
          <w:tcPr>
            <w:tcW w:w="992" w:type="dxa"/>
            <w:vMerge w:val="restart"/>
          </w:tcPr>
          <w:p w14:paraId="72739D4F" w14:textId="77777777" w:rsidR="00854D3A" w:rsidRPr="00997273" w:rsidRDefault="00854D3A" w:rsidP="00DE0443">
            <w:pPr>
              <w:tabs>
                <w:tab w:val="left" w:pos="567"/>
              </w:tabs>
              <w:autoSpaceDE w:val="0"/>
              <w:autoSpaceDN w:val="0"/>
              <w:adjustRightInd w:val="0"/>
              <w:rPr>
                <w:rFonts w:eastAsia="TimesNewRoman,Bold" w:cs="Times New Roman"/>
                <w:sz w:val="20"/>
                <w:lang w:val="lt-LT" w:eastAsia="en-US"/>
              </w:rPr>
            </w:pPr>
          </w:p>
          <w:p w14:paraId="5866C992" w14:textId="77777777" w:rsidR="00854D3A" w:rsidRPr="00997273" w:rsidRDefault="00854D3A" w:rsidP="00DE0443">
            <w:pPr>
              <w:tabs>
                <w:tab w:val="left" w:pos="567"/>
              </w:tabs>
              <w:autoSpaceDE w:val="0"/>
              <w:autoSpaceDN w:val="0"/>
              <w:adjustRightInd w:val="0"/>
              <w:rPr>
                <w:rFonts w:eastAsia="TimesNewRoman,Bold" w:cs="Times New Roman"/>
                <w:sz w:val="20"/>
                <w:lang w:val="lt-LT" w:eastAsia="en-US"/>
              </w:rPr>
            </w:pPr>
          </w:p>
          <w:p w14:paraId="7A4FD933" w14:textId="77777777" w:rsidR="00854D3A" w:rsidRPr="00997273" w:rsidRDefault="00854D3A" w:rsidP="00DE0443">
            <w:pPr>
              <w:tabs>
                <w:tab w:val="left" w:pos="567"/>
              </w:tabs>
              <w:autoSpaceDE w:val="0"/>
              <w:autoSpaceDN w:val="0"/>
              <w:adjustRightInd w:val="0"/>
              <w:rPr>
                <w:rFonts w:eastAsia="TimesNewRoman,Bold" w:cs="Times New Roman"/>
                <w:sz w:val="20"/>
                <w:lang w:val="lt-LT" w:eastAsia="en-US"/>
              </w:rPr>
            </w:pPr>
          </w:p>
          <w:p w14:paraId="644C80B2" w14:textId="77777777" w:rsidR="00854D3A" w:rsidRPr="00997273" w:rsidRDefault="00854D3A" w:rsidP="00DE0443">
            <w:pPr>
              <w:tabs>
                <w:tab w:val="left" w:pos="567"/>
              </w:tabs>
              <w:autoSpaceDE w:val="0"/>
              <w:autoSpaceDN w:val="0"/>
              <w:adjustRightInd w:val="0"/>
              <w:rPr>
                <w:rFonts w:eastAsia="TimesNewRoman,Bold" w:cs="Times New Roman"/>
                <w:sz w:val="20"/>
                <w:lang w:val="lt-LT" w:eastAsia="en-US"/>
              </w:rPr>
            </w:pPr>
          </w:p>
          <w:p w14:paraId="65F22093" w14:textId="77777777" w:rsidR="00854D3A" w:rsidRPr="00997273" w:rsidRDefault="00854D3A" w:rsidP="00DE0443">
            <w:pPr>
              <w:tabs>
                <w:tab w:val="left" w:pos="567"/>
              </w:tabs>
              <w:autoSpaceDE w:val="0"/>
              <w:autoSpaceDN w:val="0"/>
              <w:adjustRightInd w:val="0"/>
              <w:rPr>
                <w:rFonts w:eastAsia="TimesNewRoman,Bold" w:cs="Times New Roman"/>
                <w:sz w:val="20"/>
                <w:lang w:val="lt-LT" w:eastAsia="en-US"/>
              </w:rPr>
            </w:pPr>
          </w:p>
          <w:p w14:paraId="14D8A788" w14:textId="77777777" w:rsidR="00854D3A" w:rsidRPr="00997273" w:rsidRDefault="00854D3A" w:rsidP="00DE0443">
            <w:pPr>
              <w:tabs>
                <w:tab w:val="left" w:pos="567"/>
              </w:tabs>
              <w:autoSpaceDE w:val="0"/>
              <w:autoSpaceDN w:val="0"/>
              <w:adjustRightInd w:val="0"/>
              <w:rPr>
                <w:rFonts w:eastAsia="TimesNewRoman,Bold" w:cs="Times New Roman"/>
                <w:sz w:val="20"/>
                <w:lang w:val="lt-LT" w:eastAsia="en-US"/>
              </w:rPr>
            </w:pPr>
          </w:p>
          <w:p w14:paraId="569FD71C" w14:textId="77777777" w:rsidR="00854D3A" w:rsidRPr="00997273" w:rsidRDefault="00854D3A" w:rsidP="00DE0443">
            <w:pPr>
              <w:tabs>
                <w:tab w:val="left" w:pos="567"/>
              </w:tabs>
              <w:autoSpaceDE w:val="0"/>
              <w:autoSpaceDN w:val="0"/>
              <w:adjustRightInd w:val="0"/>
              <w:rPr>
                <w:rFonts w:eastAsia="TimesNewRoman,Bold" w:cs="Times New Roman"/>
                <w:sz w:val="20"/>
                <w:lang w:val="lt-LT" w:eastAsia="en-US"/>
              </w:rPr>
            </w:pPr>
          </w:p>
          <w:p w14:paraId="4D0C2AAF" w14:textId="07C93C17" w:rsidR="00DE0443" w:rsidRPr="00997273" w:rsidRDefault="00DE0443" w:rsidP="00854D3A">
            <w:pPr>
              <w:tabs>
                <w:tab w:val="left" w:pos="567"/>
              </w:tabs>
              <w:autoSpaceDE w:val="0"/>
              <w:autoSpaceDN w:val="0"/>
              <w:adjustRightInd w:val="0"/>
              <w:rPr>
                <w:rFonts w:eastAsia="TimesNewRoman,Bold" w:cs="Times New Roman"/>
                <w:b/>
                <w:bCs/>
                <w:sz w:val="20"/>
                <w:lang w:val="lt-LT" w:eastAsia="en-US"/>
              </w:rPr>
            </w:pPr>
            <w:r w:rsidRPr="00997273">
              <w:rPr>
                <w:rFonts w:eastAsia="TimesNewRoman,Bold" w:cs="Times New Roman"/>
                <w:sz w:val="20"/>
                <w:lang w:val="lt-LT" w:eastAsia="en-US"/>
              </w:rPr>
              <w:t>&lt;</w:t>
            </w:r>
            <w:r w:rsidR="00EC0FB3">
              <w:rPr>
                <w:rFonts w:eastAsia="TimesNewRoman,Bold" w:cs="Times New Roman"/>
                <w:sz w:val="20"/>
                <w:lang w:val="lt-LT" w:eastAsia="en-US"/>
              </w:rPr>
              <w:t> </w:t>
            </w:r>
            <w:r w:rsidRPr="00997273">
              <w:rPr>
                <w:rFonts w:eastAsia="TimesNewRoman,Bold" w:cs="Times New Roman"/>
                <w:sz w:val="20"/>
                <w:lang w:val="lt-LT" w:eastAsia="en-US"/>
              </w:rPr>
              <w:t>0,001</w:t>
            </w:r>
          </w:p>
        </w:tc>
      </w:tr>
      <w:tr w:rsidR="00DE0443" w:rsidRPr="00997273" w14:paraId="468B360D" w14:textId="77777777" w:rsidTr="00ED5669">
        <w:tc>
          <w:tcPr>
            <w:tcW w:w="2660" w:type="dxa"/>
          </w:tcPr>
          <w:p w14:paraId="12E3A9E0" w14:textId="77777777" w:rsidR="00DE0443" w:rsidRPr="00997273" w:rsidRDefault="00DE0443" w:rsidP="005A1E01">
            <w:pPr>
              <w:autoSpaceDE w:val="0"/>
              <w:autoSpaceDN w:val="0"/>
              <w:adjustRightInd w:val="0"/>
              <w:ind w:left="180"/>
              <w:rPr>
                <w:rFonts w:eastAsia="TimesNewRoman,Bold" w:cs="Times New Roman"/>
                <w:b/>
                <w:bCs/>
                <w:sz w:val="20"/>
                <w:lang w:val="lt-LT" w:eastAsia="en-US"/>
              </w:rPr>
            </w:pPr>
            <w:r w:rsidRPr="00997273">
              <w:rPr>
                <w:rFonts w:eastAsia="TimesNewRoman,Bold" w:cs="Times New Roman"/>
                <w:b/>
                <w:bCs/>
                <w:sz w:val="20"/>
                <w:lang w:val="lt-LT" w:eastAsia="en-US"/>
              </w:rPr>
              <w:t>Pagrindinė sudėtinė vertinamoji baigtis</w:t>
            </w:r>
            <w:r w:rsidR="00F46014" w:rsidRPr="00997273">
              <w:rPr>
                <w:rFonts w:eastAsia="TimesNewRoman,Bold" w:cs="Times New Roman"/>
                <w:b/>
                <w:bCs/>
                <w:sz w:val="20"/>
                <w:lang w:val="lt-LT" w:eastAsia="en-US"/>
              </w:rPr>
              <w:t xml:space="preserve"> </w:t>
            </w:r>
            <w:r w:rsidRPr="00997273">
              <w:rPr>
                <w:rFonts w:eastAsia="TimesNewRoman,Bold" w:cs="Times New Roman"/>
                <w:sz w:val="20"/>
                <w:lang w:val="lt-LT" w:eastAsia="en-US"/>
              </w:rPr>
              <w:t>(kardiovaskulinė mirtis,</w:t>
            </w:r>
            <w:r w:rsidR="00F46014" w:rsidRPr="00997273">
              <w:rPr>
                <w:rFonts w:eastAsia="TimesNewRoman,Bold" w:cs="Times New Roman"/>
                <w:sz w:val="20"/>
                <w:lang w:val="lt-LT" w:eastAsia="en-US"/>
              </w:rPr>
              <w:t xml:space="preserve"> </w:t>
            </w:r>
            <w:r w:rsidRPr="00997273">
              <w:rPr>
                <w:rFonts w:eastAsia="TimesNewRoman,Bold" w:cs="Times New Roman"/>
                <w:sz w:val="20"/>
                <w:lang w:val="lt-LT" w:eastAsia="en-US"/>
              </w:rPr>
              <w:t>nemirtinas miokardo infarktas, nemirtinas insultas ar</w:t>
            </w:r>
            <w:r w:rsidR="00854D3A" w:rsidRPr="00997273">
              <w:rPr>
                <w:rFonts w:eastAsia="TimesNewRoman,Bold" w:cs="Times New Roman"/>
                <w:sz w:val="20"/>
                <w:lang w:val="lt-LT" w:eastAsia="en-US"/>
              </w:rPr>
              <w:t>ba</w:t>
            </w:r>
            <w:r w:rsidRPr="00997273">
              <w:rPr>
                <w:rFonts w:eastAsia="TimesNewRoman,Bold" w:cs="Times New Roman"/>
                <w:sz w:val="20"/>
                <w:lang w:val="lt-LT" w:eastAsia="en-US"/>
              </w:rPr>
              <w:t xml:space="preserve"> hospitalizacija dėl nestabilios krūtinės anginos)</w:t>
            </w:r>
          </w:p>
        </w:tc>
        <w:tc>
          <w:tcPr>
            <w:tcW w:w="1134" w:type="dxa"/>
          </w:tcPr>
          <w:p w14:paraId="42F8B098"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599B963A"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40DF1533"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493D0F1B"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467966E2"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3A6CD168"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7BAA4C6F" w14:textId="77777777" w:rsidR="00DE0443" w:rsidRPr="00997273" w:rsidRDefault="00DE0443" w:rsidP="00854D3A">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839</w:t>
            </w:r>
            <w:r w:rsidR="00854D3A" w:rsidRPr="00997273">
              <w:rPr>
                <w:rFonts w:eastAsia="TimesNewRoman,Bold" w:cs="Times New Roman"/>
                <w:sz w:val="20"/>
                <w:lang w:val="lt-LT" w:eastAsia="en-US"/>
              </w:rPr>
              <w:t xml:space="preserve"> </w:t>
            </w:r>
            <w:r w:rsidRPr="00997273">
              <w:rPr>
                <w:rFonts w:eastAsia="TimesNewRoman,Bold" w:cs="Times New Roman"/>
                <w:sz w:val="20"/>
                <w:lang w:val="lt-LT" w:eastAsia="en-US"/>
              </w:rPr>
              <w:t>(11,4)</w:t>
            </w:r>
          </w:p>
        </w:tc>
        <w:tc>
          <w:tcPr>
            <w:tcW w:w="1134" w:type="dxa"/>
          </w:tcPr>
          <w:p w14:paraId="4F432D5E"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5F305054"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5B8696E8"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55582DCD"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32E2046A"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23D0226A"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02C4F010" w14:textId="77777777" w:rsidR="00DE0443" w:rsidRPr="00997273" w:rsidRDefault="00DE0443" w:rsidP="00854D3A">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4,1</w:t>
            </w:r>
          </w:p>
        </w:tc>
        <w:tc>
          <w:tcPr>
            <w:tcW w:w="1134" w:type="dxa"/>
            <w:gridSpan w:val="2"/>
          </w:tcPr>
          <w:p w14:paraId="583A4817"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4EEC6FA0"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5F8332BA"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473DEF19"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2E0A70A5"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61902642"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72189448" w14:textId="77777777" w:rsidR="00DE0443" w:rsidRPr="00997273" w:rsidRDefault="00DE0443" w:rsidP="00854D3A">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851 (11,6)</w:t>
            </w:r>
          </w:p>
        </w:tc>
        <w:tc>
          <w:tcPr>
            <w:tcW w:w="992" w:type="dxa"/>
          </w:tcPr>
          <w:p w14:paraId="33FD73FC"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1D575EB2"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3BD88577"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7C8505E9"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1640BA20"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4C31287A" w14:textId="77777777" w:rsidR="00DE0443" w:rsidRPr="00997273" w:rsidRDefault="00DE0443" w:rsidP="00854D3A">
            <w:pPr>
              <w:autoSpaceDE w:val="0"/>
              <w:autoSpaceDN w:val="0"/>
              <w:adjustRightInd w:val="0"/>
              <w:jc w:val="center"/>
              <w:rPr>
                <w:rFonts w:eastAsia="TimesNewRoman,Bold" w:cs="Times New Roman"/>
                <w:sz w:val="20"/>
                <w:lang w:val="lt-LT" w:eastAsia="en-US"/>
              </w:rPr>
            </w:pPr>
          </w:p>
          <w:p w14:paraId="14EABBC5" w14:textId="77777777" w:rsidR="00DE0443" w:rsidRPr="00997273" w:rsidRDefault="00DE0443" w:rsidP="00854D3A">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4,2</w:t>
            </w:r>
          </w:p>
        </w:tc>
        <w:tc>
          <w:tcPr>
            <w:tcW w:w="1418" w:type="dxa"/>
            <w:gridSpan w:val="2"/>
            <w:vMerge/>
          </w:tcPr>
          <w:p w14:paraId="0C323A2E" w14:textId="77777777" w:rsidR="00DE0443" w:rsidRPr="00997273" w:rsidRDefault="00DE0443" w:rsidP="00854D3A">
            <w:pPr>
              <w:autoSpaceDE w:val="0"/>
              <w:autoSpaceDN w:val="0"/>
              <w:adjustRightInd w:val="0"/>
              <w:jc w:val="center"/>
              <w:rPr>
                <w:rFonts w:eastAsia="TimesNewRoman,Bold" w:cs="Times New Roman"/>
                <w:b/>
                <w:bCs/>
                <w:sz w:val="20"/>
                <w:lang w:val="lt-LT" w:eastAsia="en-US"/>
              </w:rPr>
            </w:pPr>
          </w:p>
        </w:tc>
        <w:tc>
          <w:tcPr>
            <w:tcW w:w="992" w:type="dxa"/>
            <w:vMerge/>
          </w:tcPr>
          <w:p w14:paraId="7DEEA05E" w14:textId="77777777" w:rsidR="00DE0443" w:rsidRPr="00997273" w:rsidRDefault="00DE0443" w:rsidP="00D7448E">
            <w:pPr>
              <w:autoSpaceDE w:val="0"/>
              <w:autoSpaceDN w:val="0"/>
              <w:adjustRightInd w:val="0"/>
              <w:rPr>
                <w:rFonts w:eastAsia="TimesNewRoman,Bold" w:cs="Times New Roman"/>
                <w:b/>
                <w:bCs/>
                <w:sz w:val="20"/>
                <w:lang w:val="lt-LT" w:eastAsia="en-US"/>
              </w:rPr>
            </w:pPr>
          </w:p>
        </w:tc>
      </w:tr>
      <w:tr w:rsidR="00854D3A" w:rsidRPr="00997273" w14:paraId="3ED17EAF" w14:textId="77777777" w:rsidTr="00ED5669">
        <w:tc>
          <w:tcPr>
            <w:tcW w:w="2660" w:type="dxa"/>
          </w:tcPr>
          <w:p w14:paraId="65A56CF5" w14:textId="4713B2B7" w:rsidR="00D7448E" w:rsidRPr="00997273" w:rsidRDefault="00EC0FB3" w:rsidP="005A1E01">
            <w:pPr>
              <w:autoSpaceDE w:val="0"/>
              <w:autoSpaceDN w:val="0"/>
              <w:adjustRightInd w:val="0"/>
              <w:ind w:left="180"/>
              <w:rPr>
                <w:rFonts w:eastAsia="TimesNewRoman,Bold" w:cs="Times New Roman"/>
                <w:b/>
                <w:bCs/>
                <w:sz w:val="20"/>
                <w:lang w:val="lt-LT" w:eastAsia="en-US"/>
              </w:rPr>
            </w:pPr>
            <w:r>
              <w:rPr>
                <w:rFonts w:eastAsia="TimesNewRoman,Bold" w:cs="Times New Roman"/>
                <w:b/>
                <w:bCs/>
                <w:sz w:val="20"/>
                <w:lang w:val="lt-LT" w:eastAsia="en-US"/>
              </w:rPr>
              <w:t>Antrinė</w:t>
            </w:r>
            <w:r w:rsidRPr="00997273">
              <w:rPr>
                <w:rFonts w:eastAsia="TimesNewRoman,Bold" w:cs="Times New Roman"/>
                <w:b/>
                <w:bCs/>
                <w:sz w:val="20"/>
                <w:lang w:val="lt-LT" w:eastAsia="en-US"/>
              </w:rPr>
              <w:t xml:space="preserve"> </w:t>
            </w:r>
            <w:r w:rsidR="00DE0443" w:rsidRPr="00997273">
              <w:rPr>
                <w:rFonts w:eastAsia="TimesNewRoman,Bold" w:cs="Times New Roman"/>
                <w:b/>
                <w:bCs/>
                <w:sz w:val="20"/>
                <w:lang w:val="lt-LT" w:eastAsia="en-US"/>
              </w:rPr>
              <w:t>sudėtinė vertinamoji</w:t>
            </w:r>
            <w:r w:rsidR="00854D3A" w:rsidRPr="00997273">
              <w:rPr>
                <w:rFonts w:eastAsia="TimesNewRoman,Bold" w:cs="Times New Roman"/>
                <w:b/>
                <w:bCs/>
                <w:sz w:val="20"/>
                <w:lang w:val="lt-LT" w:eastAsia="en-US"/>
              </w:rPr>
              <w:t xml:space="preserve"> </w:t>
            </w:r>
            <w:r w:rsidR="00DE0443" w:rsidRPr="00997273">
              <w:rPr>
                <w:rFonts w:eastAsia="TimesNewRoman,Bold" w:cs="Times New Roman"/>
                <w:b/>
                <w:bCs/>
                <w:sz w:val="20"/>
                <w:lang w:val="lt-LT" w:eastAsia="en-US"/>
              </w:rPr>
              <w:t>baigtis</w:t>
            </w:r>
            <w:r w:rsidR="00F46014" w:rsidRPr="00997273">
              <w:rPr>
                <w:rFonts w:eastAsia="TimesNewRoman,Bold" w:cs="Times New Roman"/>
                <w:b/>
                <w:bCs/>
                <w:sz w:val="20"/>
                <w:lang w:val="lt-LT" w:eastAsia="en-US"/>
              </w:rPr>
              <w:t xml:space="preserve"> </w:t>
            </w:r>
            <w:r w:rsidR="00DE0443" w:rsidRPr="00997273">
              <w:rPr>
                <w:rFonts w:eastAsia="TimesNewRoman,Bold" w:cs="Times New Roman"/>
                <w:sz w:val="20"/>
                <w:lang w:val="lt-LT" w:eastAsia="en-US"/>
              </w:rPr>
              <w:t>(kardiovaskulinė mirtis,</w:t>
            </w:r>
            <w:r w:rsidR="00F46014" w:rsidRPr="00997273">
              <w:rPr>
                <w:rFonts w:eastAsia="TimesNewRoman,Bold" w:cs="Times New Roman"/>
                <w:sz w:val="20"/>
                <w:lang w:val="lt-LT" w:eastAsia="en-US"/>
              </w:rPr>
              <w:t xml:space="preserve"> </w:t>
            </w:r>
            <w:r w:rsidR="00DE0443" w:rsidRPr="00997273">
              <w:rPr>
                <w:rFonts w:eastAsia="TimesNewRoman,Bold" w:cs="Times New Roman"/>
                <w:sz w:val="20"/>
                <w:lang w:val="lt-LT" w:eastAsia="en-US"/>
              </w:rPr>
              <w:t>nemirtinas miokardo infarktas ar</w:t>
            </w:r>
            <w:r w:rsidR="00854D3A" w:rsidRPr="00997273">
              <w:rPr>
                <w:rFonts w:eastAsia="TimesNewRoman,Bold" w:cs="Times New Roman"/>
                <w:sz w:val="20"/>
                <w:lang w:val="lt-LT" w:eastAsia="en-US"/>
              </w:rPr>
              <w:t xml:space="preserve">ba </w:t>
            </w:r>
            <w:r w:rsidR="00DE0443" w:rsidRPr="00997273">
              <w:rPr>
                <w:rFonts w:eastAsia="TimesNewRoman,Bold" w:cs="Times New Roman"/>
                <w:sz w:val="20"/>
                <w:lang w:val="lt-LT" w:eastAsia="en-US"/>
              </w:rPr>
              <w:t>nemirtinas insultas)</w:t>
            </w:r>
          </w:p>
        </w:tc>
        <w:tc>
          <w:tcPr>
            <w:tcW w:w="1134" w:type="dxa"/>
          </w:tcPr>
          <w:p w14:paraId="1651E3D9"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5E9EC470"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0BE2D6E8"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185B2A12"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7C69B952" w14:textId="77777777" w:rsidR="00D7448E" w:rsidRPr="00997273" w:rsidRDefault="00DE0443" w:rsidP="00854D3A">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745 (10,2)</w:t>
            </w:r>
          </w:p>
        </w:tc>
        <w:tc>
          <w:tcPr>
            <w:tcW w:w="1134" w:type="dxa"/>
          </w:tcPr>
          <w:p w14:paraId="7EF7753F"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7659F8D4"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74ABE276"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011BB60B"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1F236A23" w14:textId="77777777" w:rsidR="00D7448E" w:rsidRPr="00997273" w:rsidRDefault="00DE0443" w:rsidP="00854D3A">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3,6</w:t>
            </w:r>
          </w:p>
        </w:tc>
        <w:tc>
          <w:tcPr>
            <w:tcW w:w="1134" w:type="dxa"/>
            <w:gridSpan w:val="2"/>
          </w:tcPr>
          <w:p w14:paraId="2CAB85A7"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4B331AD7"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02999106"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585D460E"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0D556DBE" w14:textId="77777777" w:rsidR="00D7448E" w:rsidRPr="00997273" w:rsidRDefault="00DE0443" w:rsidP="00854D3A">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746 (10,2)</w:t>
            </w:r>
          </w:p>
        </w:tc>
        <w:tc>
          <w:tcPr>
            <w:tcW w:w="992" w:type="dxa"/>
          </w:tcPr>
          <w:p w14:paraId="215FD6A9"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74BAD38E"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3E52D756"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0B1BD58A"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45DBB3B3" w14:textId="77777777" w:rsidR="00D7448E" w:rsidRPr="00997273" w:rsidRDefault="00DE0443" w:rsidP="00854D3A">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3,6</w:t>
            </w:r>
          </w:p>
        </w:tc>
        <w:tc>
          <w:tcPr>
            <w:tcW w:w="1418" w:type="dxa"/>
            <w:gridSpan w:val="2"/>
          </w:tcPr>
          <w:p w14:paraId="1889A615"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73B5351D"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09C3904D"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2E8389B4" w14:textId="77777777" w:rsidR="00854D3A" w:rsidRPr="00997273" w:rsidRDefault="00DE0443" w:rsidP="00854D3A">
            <w:pPr>
              <w:autoSpaceDE w:val="0"/>
              <w:autoSpaceDN w:val="0"/>
              <w:adjustRightInd w:val="0"/>
              <w:jc w:val="center"/>
              <w:rPr>
                <w:rFonts w:eastAsia="TimesNewRoman,Bold" w:cs="Times New Roman"/>
                <w:sz w:val="20"/>
                <w:lang w:val="lt-LT" w:eastAsia="en-US"/>
              </w:rPr>
            </w:pPr>
            <w:r w:rsidRPr="00997273">
              <w:rPr>
                <w:rFonts w:eastAsia="TimesNewRoman,Bold" w:cs="Times New Roman"/>
                <w:sz w:val="20"/>
                <w:lang w:val="lt-LT" w:eastAsia="en-US"/>
              </w:rPr>
              <w:t>0,99</w:t>
            </w:r>
          </w:p>
          <w:p w14:paraId="07468CEB" w14:textId="77777777" w:rsidR="00D7448E" w:rsidRPr="00997273" w:rsidRDefault="00DE0443" w:rsidP="00854D3A">
            <w:pPr>
              <w:autoSpaceDE w:val="0"/>
              <w:autoSpaceDN w:val="0"/>
              <w:adjustRightInd w:val="0"/>
              <w:ind w:firstLine="34"/>
              <w:jc w:val="center"/>
              <w:rPr>
                <w:rFonts w:eastAsia="TimesNewRoman,Bold" w:cs="Times New Roman"/>
                <w:b/>
                <w:bCs/>
                <w:sz w:val="20"/>
                <w:lang w:val="lt-LT" w:eastAsia="en-US"/>
              </w:rPr>
            </w:pPr>
            <w:r w:rsidRPr="00997273">
              <w:rPr>
                <w:rFonts w:eastAsia="TimesNewRoman,Bold" w:cs="Times New Roman"/>
                <w:sz w:val="20"/>
                <w:lang w:val="lt-LT" w:eastAsia="en-US"/>
              </w:rPr>
              <w:t>(0,89 –1,10)</w:t>
            </w:r>
          </w:p>
        </w:tc>
        <w:tc>
          <w:tcPr>
            <w:tcW w:w="992" w:type="dxa"/>
          </w:tcPr>
          <w:p w14:paraId="3898D4A2"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5A222CB5"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6C19FE22"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3C374B26" w14:textId="77777777" w:rsidR="00854D3A" w:rsidRPr="00997273" w:rsidRDefault="00854D3A" w:rsidP="00854D3A">
            <w:pPr>
              <w:autoSpaceDE w:val="0"/>
              <w:autoSpaceDN w:val="0"/>
              <w:adjustRightInd w:val="0"/>
              <w:jc w:val="center"/>
              <w:rPr>
                <w:rFonts w:eastAsia="TimesNewRoman,Bold" w:cs="Times New Roman"/>
                <w:sz w:val="20"/>
                <w:lang w:val="lt-LT" w:eastAsia="en-US"/>
              </w:rPr>
            </w:pPr>
          </w:p>
          <w:p w14:paraId="304AC0C1" w14:textId="59BBF770" w:rsidR="00D7448E" w:rsidRPr="00997273" w:rsidRDefault="00DE0443" w:rsidP="00854D3A">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&lt;</w:t>
            </w:r>
            <w:r w:rsidR="00EC0FB3">
              <w:rPr>
                <w:rFonts w:eastAsia="TimesNewRoman,Bold" w:cs="Times New Roman"/>
                <w:sz w:val="20"/>
                <w:lang w:val="lt-LT" w:eastAsia="en-US"/>
              </w:rPr>
              <w:t> </w:t>
            </w:r>
            <w:r w:rsidRPr="00997273">
              <w:rPr>
                <w:rFonts w:eastAsia="TimesNewRoman,Bold" w:cs="Times New Roman"/>
                <w:sz w:val="20"/>
                <w:lang w:val="lt-LT" w:eastAsia="en-US"/>
              </w:rPr>
              <w:t>0,001</w:t>
            </w:r>
          </w:p>
        </w:tc>
      </w:tr>
      <w:tr w:rsidR="00854D3A" w:rsidRPr="00997273" w14:paraId="4499BE0F" w14:textId="77777777" w:rsidTr="00ED5669">
        <w:tc>
          <w:tcPr>
            <w:tcW w:w="9464" w:type="dxa"/>
            <w:gridSpan w:val="9"/>
          </w:tcPr>
          <w:p w14:paraId="05F5DFDC" w14:textId="5E2012DE" w:rsidR="00854D3A" w:rsidRPr="00997273" w:rsidRDefault="00427CDB" w:rsidP="00854D3A">
            <w:pPr>
              <w:autoSpaceDE w:val="0"/>
              <w:autoSpaceDN w:val="0"/>
              <w:adjustRightInd w:val="0"/>
              <w:rPr>
                <w:rFonts w:eastAsia="TimesNewRoman,Bold" w:cs="Times New Roman"/>
                <w:b/>
                <w:bCs/>
                <w:sz w:val="20"/>
                <w:lang w:val="lt-LT" w:eastAsia="en-US"/>
              </w:rPr>
            </w:pPr>
            <w:r>
              <w:rPr>
                <w:rFonts w:eastAsia="TimesNewRoman,Bold" w:cs="Times New Roman"/>
                <w:b/>
                <w:bCs/>
                <w:sz w:val="20"/>
                <w:lang w:val="lt-LT" w:eastAsia="en-US"/>
              </w:rPr>
              <w:t>Antr</w:t>
            </w:r>
            <w:r w:rsidR="00EC0FB3">
              <w:rPr>
                <w:rFonts w:eastAsia="TimesNewRoman,Bold" w:cs="Times New Roman"/>
                <w:b/>
                <w:bCs/>
                <w:sz w:val="20"/>
                <w:lang w:val="lt-LT" w:eastAsia="en-US"/>
              </w:rPr>
              <w:t>in</w:t>
            </w:r>
            <w:r>
              <w:rPr>
                <w:rFonts w:eastAsia="TimesNewRoman,Bold" w:cs="Times New Roman"/>
                <w:b/>
                <w:bCs/>
                <w:sz w:val="20"/>
                <w:lang w:val="lt-LT" w:eastAsia="en-US"/>
              </w:rPr>
              <w:t>ės</w:t>
            </w:r>
            <w:r w:rsidR="00854D3A" w:rsidRPr="00997273">
              <w:rPr>
                <w:rFonts w:eastAsia="TimesNewRoman,Bold" w:cs="Times New Roman"/>
                <w:b/>
                <w:bCs/>
                <w:sz w:val="20"/>
                <w:lang w:val="lt-LT" w:eastAsia="en-US"/>
              </w:rPr>
              <w:t xml:space="preserve"> vertinamosios baigtys</w:t>
            </w:r>
          </w:p>
        </w:tc>
      </w:tr>
      <w:tr w:rsidR="00854D3A" w:rsidRPr="00997273" w14:paraId="37554C0B" w14:textId="77777777" w:rsidTr="004325AB">
        <w:tc>
          <w:tcPr>
            <w:tcW w:w="2660" w:type="dxa"/>
          </w:tcPr>
          <w:p w14:paraId="591D15B2" w14:textId="77777777" w:rsidR="00D7448E" w:rsidRPr="00997273" w:rsidRDefault="00854D3A" w:rsidP="005A1E01">
            <w:pPr>
              <w:autoSpaceDE w:val="0"/>
              <w:autoSpaceDN w:val="0"/>
              <w:adjustRightInd w:val="0"/>
              <w:ind w:left="180"/>
              <w:rPr>
                <w:rFonts w:eastAsia="TimesNewRoman,Bold" w:cs="Times New Roman"/>
                <w:b/>
                <w:bCs/>
                <w:sz w:val="20"/>
                <w:lang w:val="lt-LT" w:eastAsia="en-US"/>
              </w:rPr>
            </w:pPr>
            <w:r w:rsidRPr="00997273">
              <w:rPr>
                <w:rFonts w:eastAsia="TimesNewRoman,Bold" w:cs="Times New Roman"/>
                <w:sz w:val="20"/>
                <w:lang w:val="lt-LT" w:eastAsia="en-US"/>
              </w:rPr>
              <w:t>Kardiovaskulinė mirtis</w:t>
            </w:r>
          </w:p>
        </w:tc>
        <w:tc>
          <w:tcPr>
            <w:tcW w:w="1134" w:type="dxa"/>
          </w:tcPr>
          <w:p w14:paraId="4BD63C1C" w14:textId="77777777" w:rsidR="00D7448E" w:rsidRPr="00997273" w:rsidRDefault="00854D3A"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380 (5,2)</w:t>
            </w:r>
          </w:p>
        </w:tc>
        <w:tc>
          <w:tcPr>
            <w:tcW w:w="1134" w:type="dxa"/>
          </w:tcPr>
          <w:p w14:paraId="74CCCDF8" w14:textId="77777777" w:rsidR="00D7448E" w:rsidRPr="00997273" w:rsidRDefault="00854D3A"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1,7</w:t>
            </w:r>
          </w:p>
        </w:tc>
        <w:tc>
          <w:tcPr>
            <w:tcW w:w="1134" w:type="dxa"/>
            <w:gridSpan w:val="2"/>
          </w:tcPr>
          <w:p w14:paraId="70068E17" w14:textId="77777777" w:rsidR="00D7448E" w:rsidRPr="00997273" w:rsidRDefault="00854D3A"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366 (5,0)</w:t>
            </w:r>
          </w:p>
        </w:tc>
        <w:tc>
          <w:tcPr>
            <w:tcW w:w="992" w:type="dxa"/>
          </w:tcPr>
          <w:p w14:paraId="4685F0E1" w14:textId="77777777" w:rsidR="00D7448E" w:rsidRPr="00997273" w:rsidRDefault="00854D3A"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1,7</w:t>
            </w:r>
          </w:p>
        </w:tc>
        <w:tc>
          <w:tcPr>
            <w:tcW w:w="1418" w:type="dxa"/>
            <w:gridSpan w:val="2"/>
          </w:tcPr>
          <w:p w14:paraId="1B76D091" w14:textId="77777777" w:rsidR="004325AB" w:rsidRPr="00997273" w:rsidRDefault="00854D3A" w:rsidP="004325AB">
            <w:pPr>
              <w:autoSpaceDE w:val="0"/>
              <w:autoSpaceDN w:val="0"/>
              <w:adjustRightInd w:val="0"/>
              <w:jc w:val="center"/>
              <w:rPr>
                <w:rFonts w:eastAsia="TimesNewRoman,Bold" w:cs="Times New Roman"/>
                <w:sz w:val="20"/>
                <w:lang w:val="lt-LT" w:eastAsia="en-US"/>
              </w:rPr>
            </w:pPr>
            <w:r w:rsidRPr="00997273">
              <w:rPr>
                <w:rFonts w:eastAsia="TimesNewRoman,Bold" w:cs="Times New Roman"/>
                <w:sz w:val="20"/>
                <w:lang w:val="lt-LT" w:eastAsia="en-US"/>
              </w:rPr>
              <w:t xml:space="preserve">1,03 </w:t>
            </w:r>
          </w:p>
          <w:p w14:paraId="382C0293" w14:textId="77777777" w:rsidR="00D7448E" w:rsidRPr="00997273" w:rsidRDefault="00854D3A" w:rsidP="004325AB">
            <w:pPr>
              <w:autoSpaceDE w:val="0"/>
              <w:autoSpaceDN w:val="0"/>
              <w:adjustRightInd w:val="0"/>
              <w:jc w:val="center"/>
              <w:rPr>
                <w:rFonts w:eastAsia="TimesNewRoman,Bold" w:cs="Times New Roman"/>
                <w:sz w:val="20"/>
                <w:lang w:val="lt-LT" w:eastAsia="en-US"/>
              </w:rPr>
            </w:pPr>
            <w:r w:rsidRPr="00997273">
              <w:rPr>
                <w:rFonts w:eastAsia="TimesNewRoman,Bold" w:cs="Times New Roman"/>
                <w:sz w:val="20"/>
                <w:lang w:val="lt-LT" w:eastAsia="en-US"/>
              </w:rPr>
              <w:t>(0,89 – 1,19)</w:t>
            </w:r>
          </w:p>
        </w:tc>
        <w:tc>
          <w:tcPr>
            <w:tcW w:w="992" w:type="dxa"/>
          </w:tcPr>
          <w:p w14:paraId="0B6B8837" w14:textId="77777777" w:rsidR="00D7448E" w:rsidRPr="00997273" w:rsidRDefault="00854D3A" w:rsidP="00F46014">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0,711</w:t>
            </w:r>
          </w:p>
        </w:tc>
      </w:tr>
      <w:tr w:rsidR="00DE0443" w:rsidRPr="00997273" w14:paraId="7218E6FA" w14:textId="77777777" w:rsidTr="004325AB">
        <w:tc>
          <w:tcPr>
            <w:tcW w:w="2660" w:type="dxa"/>
          </w:tcPr>
          <w:p w14:paraId="5E532653" w14:textId="77777777" w:rsidR="00DE0443" w:rsidRPr="00997273" w:rsidRDefault="00854D3A" w:rsidP="005A1E01">
            <w:pPr>
              <w:autoSpaceDE w:val="0"/>
              <w:autoSpaceDN w:val="0"/>
              <w:adjustRightInd w:val="0"/>
              <w:ind w:left="180"/>
              <w:rPr>
                <w:rFonts w:eastAsia="TimesNewRoman,Bold" w:cs="Times New Roman"/>
                <w:b/>
                <w:bCs/>
                <w:sz w:val="20"/>
                <w:lang w:val="lt-LT" w:eastAsia="en-US"/>
              </w:rPr>
            </w:pPr>
            <w:r w:rsidRPr="00997273">
              <w:rPr>
                <w:rFonts w:eastAsia="TimesNewRoman,Bold" w:cs="Times New Roman"/>
                <w:sz w:val="20"/>
                <w:lang w:val="lt-LT" w:eastAsia="en-US"/>
              </w:rPr>
              <w:t>Visi miokardo infarktai (mirtini ir</w:t>
            </w:r>
            <w:r w:rsidR="001B416D" w:rsidRPr="00997273">
              <w:rPr>
                <w:rFonts w:eastAsia="TimesNewRoman,Bold" w:cs="Times New Roman"/>
                <w:sz w:val="20"/>
                <w:lang w:val="lt-LT" w:eastAsia="en-US"/>
              </w:rPr>
              <w:t xml:space="preserve"> </w:t>
            </w:r>
            <w:r w:rsidRPr="00997273">
              <w:rPr>
                <w:rFonts w:eastAsia="TimesNewRoman,Bold" w:cs="Times New Roman"/>
                <w:sz w:val="20"/>
                <w:lang w:val="lt-LT" w:eastAsia="en-US"/>
              </w:rPr>
              <w:t>nemirtini)</w:t>
            </w:r>
          </w:p>
        </w:tc>
        <w:tc>
          <w:tcPr>
            <w:tcW w:w="1134" w:type="dxa"/>
          </w:tcPr>
          <w:p w14:paraId="36F2204F"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01CE4E98" w14:textId="77777777" w:rsidR="00DE0443" w:rsidRPr="00997273" w:rsidRDefault="00854D3A" w:rsidP="00F46014">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300 (4,1)</w:t>
            </w:r>
          </w:p>
        </w:tc>
        <w:tc>
          <w:tcPr>
            <w:tcW w:w="1134" w:type="dxa"/>
          </w:tcPr>
          <w:p w14:paraId="62A9D32A"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2816EA13" w14:textId="77777777" w:rsidR="00DE0443" w:rsidRPr="00997273" w:rsidRDefault="00854D3A"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1,4</w:t>
            </w:r>
          </w:p>
        </w:tc>
        <w:tc>
          <w:tcPr>
            <w:tcW w:w="1134" w:type="dxa"/>
            <w:gridSpan w:val="2"/>
          </w:tcPr>
          <w:p w14:paraId="121E9008"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39882E11" w14:textId="77777777" w:rsidR="00DE0443"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316 (4,3)</w:t>
            </w:r>
          </w:p>
        </w:tc>
        <w:tc>
          <w:tcPr>
            <w:tcW w:w="992" w:type="dxa"/>
          </w:tcPr>
          <w:p w14:paraId="385C0DA1"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3E83AFF5" w14:textId="77777777" w:rsidR="00DE0443"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1,5</w:t>
            </w:r>
          </w:p>
        </w:tc>
        <w:tc>
          <w:tcPr>
            <w:tcW w:w="1418" w:type="dxa"/>
            <w:gridSpan w:val="2"/>
          </w:tcPr>
          <w:p w14:paraId="5D021501" w14:textId="77777777" w:rsidR="001734AC" w:rsidRPr="00997273" w:rsidRDefault="001B416D" w:rsidP="001734AC">
            <w:pPr>
              <w:autoSpaceDE w:val="0"/>
              <w:autoSpaceDN w:val="0"/>
              <w:adjustRightInd w:val="0"/>
              <w:jc w:val="center"/>
              <w:rPr>
                <w:rFonts w:eastAsia="TimesNewRoman,Bold" w:cs="Times New Roman"/>
                <w:sz w:val="20"/>
                <w:lang w:val="lt-LT" w:eastAsia="en-US"/>
              </w:rPr>
            </w:pPr>
            <w:r w:rsidRPr="00997273">
              <w:rPr>
                <w:rFonts w:eastAsia="TimesNewRoman,Bold" w:cs="Times New Roman"/>
                <w:sz w:val="20"/>
                <w:lang w:val="lt-LT" w:eastAsia="en-US"/>
              </w:rPr>
              <w:t>0,95</w:t>
            </w:r>
          </w:p>
          <w:p w14:paraId="33ECC0C0" w14:textId="77777777" w:rsidR="00DE0443" w:rsidRPr="00997273" w:rsidRDefault="007B0F3C" w:rsidP="001734AC">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(0,81 – 1,</w:t>
            </w:r>
            <w:r w:rsidR="001B416D" w:rsidRPr="00997273">
              <w:rPr>
                <w:rFonts w:eastAsia="TimesNewRoman,Bold" w:cs="Times New Roman"/>
                <w:sz w:val="20"/>
                <w:lang w:val="lt-LT" w:eastAsia="en-US"/>
              </w:rPr>
              <w:t>11)</w:t>
            </w:r>
          </w:p>
        </w:tc>
        <w:tc>
          <w:tcPr>
            <w:tcW w:w="992" w:type="dxa"/>
          </w:tcPr>
          <w:p w14:paraId="1CAB431E"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713AA6AB" w14:textId="77777777" w:rsidR="00DE0443"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0,487</w:t>
            </w:r>
          </w:p>
        </w:tc>
      </w:tr>
      <w:tr w:rsidR="00DE0443" w:rsidRPr="00997273" w14:paraId="1BCB57BD" w14:textId="77777777" w:rsidTr="004325AB">
        <w:tc>
          <w:tcPr>
            <w:tcW w:w="2660" w:type="dxa"/>
          </w:tcPr>
          <w:p w14:paraId="40620493" w14:textId="77777777" w:rsidR="00DE0443" w:rsidRPr="00997273" w:rsidRDefault="00854D3A" w:rsidP="005A1E01">
            <w:pPr>
              <w:autoSpaceDE w:val="0"/>
              <w:autoSpaceDN w:val="0"/>
              <w:adjustRightInd w:val="0"/>
              <w:ind w:left="180"/>
              <w:rPr>
                <w:rFonts w:eastAsia="TimesNewRoman,Bold" w:cs="Times New Roman"/>
                <w:b/>
                <w:bCs/>
                <w:sz w:val="20"/>
                <w:lang w:val="lt-LT" w:eastAsia="en-US"/>
              </w:rPr>
            </w:pPr>
            <w:r w:rsidRPr="00997273">
              <w:rPr>
                <w:rFonts w:eastAsia="TimesNewRoman,Bold" w:cs="Times New Roman"/>
                <w:sz w:val="20"/>
                <w:lang w:val="lt-LT" w:eastAsia="en-US"/>
              </w:rPr>
              <w:t>Visi insultai (mirtini ir nemirtini)</w:t>
            </w:r>
          </w:p>
        </w:tc>
        <w:tc>
          <w:tcPr>
            <w:tcW w:w="1134" w:type="dxa"/>
          </w:tcPr>
          <w:p w14:paraId="0B5649B5" w14:textId="77777777" w:rsidR="00F46014" w:rsidRPr="00997273" w:rsidRDefault="00F46014" w:rsidP="00F46014">
            <w:pPr>
              <w:autoSpaceDE w:val="0"/>
              <w:autoSpaceDN w:val="0"/>
              <w:adjustRightInd w:val="0"/>
              <w:jc w:val="center"/>
              <w:rPr>
                <w:rFonts w:eastAsia="TimesNewRoman,Bold" w:cs="Times New Roman"/>
                <w:sz w:val="20"/>
                <w:lang w:val="lt-LT" w:eastAsia="en-US"/>
              </w:rPr>
            </w:pPr>
          </w:p>
          <w:p w14:paraId="0856511D" w14:textId="77777777" w:rsidR="00DE0443" w:rsidRPr="00997273" w:rsidRDefault="00854D3A" w:rsidP="00F46014">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178 (2,4)</w:t>
            </w:r>
          </w:p>
        </w:tc>
        <w:tc>
          <w:tcPr>
            <w:tcW w:w="1134" w:type="dxa"/>
          </w:tcPr>
          <w:p w14:paraId="72728D63" w14:textId="77777777" w:rsidR="00F46014" w:rsidRPr="00997273" w:rsidRDefault="00F46014" w:rsidP="001B416D">
            <w:pPr>
              <w:autoSpaceDE w:val="0"/>
              <w:autoSpaceDN w:val="0"/>
              <w:adjustRightInd w:val="0"/>
              <w:jc w:val="center"/>
              <w:rPr>
                <w:rFonts w:eastAsia="TimesNewRoman,Bold" w:cs="Times New Roman"/>
                <w:sz w:val="20"/>
                <w:lang w:val="lt-LT" w:eastAsia="en-US"/>
              </w:rPr>
            </w:pPr>
          </w:p>
          <w:p w14:paraId="2FA71696" w14:textId="77777777" w:rsidR="00DE0443"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0,8</w:t>
            </w:r>
          </w:p>
        </w:tc>
        <w:tc>
          <w:tcPr>
            <w:tcW w:w="1134" w:type="dxa"/>
            <w:gridSpan w:val="2"/>
          </w:tcPr>
          <w:p w14:paraId="381A497E" w14:textId="77777777" w:rsidR="00F46014" w:rsidRPr="00997273" w:rsidRDefault="00F46014" w:rsidP="001B416D">
            <w:pPr>
              <w:autoSpaceDE w:val="0"/>
              <w:autoSpaceDN w:val="0"/>
              <w:adjustRightInd w:val="0"/>
              <w:jc w:val="center"/>
              <w:rPr>
                <w:rFonts w:eastAsia="TimesNewRoman,Bold" w:cs="Times New Roman"/>
                <w:sz w:val="20"/>
                <w:lang w:val="lt-LT" w:eastAsia="en-US"/>
              </w:rPr>
            </w:pPr>
          </w:p>
          <w:p w14:paraId="638227CF" w14:textId="77777777" w:rsidR="00DE0443"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183 (2,5)</w:t>
            </w:r>
          </w:p>
        </w:tc>
        <w:tc>
          <w:tcPr>
            <w:tcW w:w="992" w:type="dxa"/>
          </w:tcPr>
          <w:p w14:paraId="133E2384" w14:textId="77777777" w:rsidR="00F46014" w:rsidRPr="00997273" w:rsidRDefault="00F46014" w:rsidP="001B416D">
            <w:pPr>
              <w:autoSpaceDE w:val="0"/>
              <w:autoSpaceDN w:val="0"/>
              <w:adjustRightInd w:val="0"/>
              <w:jc w:val="center"/>
              <w:rPr>
                <w:rFonts w:eastAsia="TimesNewRoman,Bold" w:cs="Times New Roman"/>
                <w:sz w:val="20"/>
                <w:lang w:val="lt-LT" w:eastAsia="en-US"/>
              </w:rPr>
            </w:pPr>
          </w:p>
          <w:p w14:paraId="51E54755" w14:textId="77777777" w:rsidR="00DE0443"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0,9</w:t>
            </w:r>
          </w:p>
        </w:tc>
        <w:tc>
          <w:tcPr>
            <w:tcW w:w="1418" w:type="dxa"/>
            <w:gridSpan w:val="2"/>
          </w:tcPr>
          <w:p w14:paraId="63EE738D" w14:textId="77777777" w:rsidR="007B0F3C" w:rsidRPr="00997273" w:rsidRDefault="004325AB" w:rsidP="001B416D">
            <w:pPr>
              <w:autoSpaceDE w:val="0"/>
              <w:autoSpaceDN w:val="0"/>
              <w:adjustRightInd w:val="0"/>
              <w:jc w:val="center"/>
              <w:rPr>
                <w:rFonts w:eastAsia="TimesNewRoman,Bold" w:cs="Times New Roman"/>
                <w:sz w:val="20"/>
                <w:lang w:val="lt-LT" w:eastAsia="en-US"/>
              </w:rPr>
            </w:pPr>
            <w:r w:rsidRPr="00997273">
              <w:rPr>
                <w:rFonts w:eastAsia="TimesNewRoman,Bold" w:cs="Times New Roman"/>
                <w:sz w:val="20"/>
                <w:lang w:val="lt-LT" w:eastAsia="en-US"/>
              </w:rPr>
              <w:t>0,97</w:t>
            </w:r>
          </w:p>
          <w:p w14:paraId="4DD3C2BC" w14:textId="77777777" w:rsidR="00DE0443"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(0,79 – 1,19)</w:t>
            </w:r>
          </w:p>
        </w:tc>
        <w:tc>
          <w:tcPr>
            <w:tcW w:w="992" w:type="dxa"/>
          </w:tcPr>
          <w:p w14:paraId="4FE29052" w14:textId="77777777" w:rsidR="00F46014" w:rsidRPr="00997273" w:rsidRDefault="00F46014" w:rsidP="001B416D">
            <w:pPr>
              <w:autoSpaceDE w:val="0"/>
              <w:autoSpaceDN w:val="0"/>
              <w:adjustRightInd w:val="0"/>
              <w:jc w:val="center"/>
              <w:rPr>
                <w:rFonts w:eastAsia="TimesNewRoman,Bold" w:cs="Times New Roman"/>
                <w:sz w:val="20"/>
                <w:lang w:val="lt-LT" w:eastAsia="en-US"/>
              </w:rPr>
            </w:pPr>
          </w:p>
          <w:p w14:paraId="41C77474" w14:textId="77777777" w:rsidR="00DE0443"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0,760</w:t>
            </w:r>
          </w:p>
        </w:tc>
      </w:tr>
      <w:tr w:rsidR="00854D3A" w:rsidRPr="00997273" w14:paraId="5D8AAF8B" w14:textId="77777777" w:rsidTr="004325AB">
        <w:tc>
          <w:tcPr>
            <w:tcW w:w="2660" w:type="dxa"/>
          </w:tcPr>
          <w:p w14:paraId="62F1C014" w14:textId="77777777" w:rsidR="00854D3A" w:rsidRPr="00997273" w:rsidRDefault="00854D3A" w:rsidP="005A1E01">
            <w:pPr>
              <w:autoSpaceDE w:val="0"/>
              <w:autoSpaceDN w:val="0"/>
              <w:adjustRightInd w:val="0"/>
              <w:ind w:left="180"/>
              <w:rPr>
                <w:rFonts w:eastAsia="TimesNewRoman,Bold" w:cs="Times New Roman"/>
                <w:b/>
                <w:bCs/>
                <w:sz w:val="20"/>
                <w:lang w:val="lt-LT" w:eastAsia="en-US"/>
              </w:rPr>
            </w:pPr>
            <w:r w:rsidRPr="00997273">
              <w:rPr>
                <w:rFonts w:eastAsia="TimesNewRoman,Bold" w:cs="Times New Roman"/>
                <w:sz w:val="20"/>
                <w:lang w:val="lt-LT" w:eastAsia="en-US"/>
              </w:rPr>
              <w:t>Hospitalizacija dėl nestabilios</w:t>
            </w:r>
            <w:r w:rsidR="001734AC" w:rsidRPr="00997273">
              <w:rPr>
                <w:rFonts w:eastAsia="TimesNewRoman,Bold" w:cs="Times New Roman"/>
                <w:sz w:val="20"/>
                <w:lang w:val="lt-LT" w:eastAsia="en-US"/>
              </w:rPr>
              <w:t xml:space="preserve"> </w:t>
            </w:r>
            <w:r w:rsidRPr="00997273">
              <w:rPr>
                <w:rFonts w:eastAsia="TimesNewRoman,Bold" w:cs="Times New Roman"/>
                <w:sz w:val="20"/>
                <w:lang w:val="lt-LT" w:eastAsia="en-US"/>
              </w:rPr>
              <w:t>krūtinės anginos</w:t>
            </w:r>
          </w:p>
        </w:tc>
        <w:tc>
          <w:tcPr>
            <w:tcW w:w="1134" w:type="dxa"/>
          </w:tcPr>
          <w:p w14:paraId="6F62B7F9"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3938BD33" w14:textId="77777777" w:rsidR="00854D3A" w:rsidRPr="00997273" w:rsidRDefault="00854D3A" w:rsidP="00F46014">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116 (1,6)</w:t>
            </w:r>
          </w:p>
        </w:tc>
        <w:tc>
          <w:tcPr>
            <w:tcW w:w="1134" w:type="dxa"/>
          </w:tcPr>
          <w:p w14:paraId="50BF1D07"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4EC964AB" w14:textId="77777777" w:rsidR="00854D3A"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0,5</w:t>
            </w:r>
          </w:p>
        </w:tc>
        <w:tc>
          <w:tcPr>
            <w:tcW w:w="1134" w:type="dxa"/>
            <w:gridSpan w:val="2"/>
          </w:tcPr>
          <w:p w14:paraId="1F27C6C5"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54013474" w14:textId="77777777" w:rsidR="00854D3A"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129 (1,8)</w:t>
            </w:r>
          </w:p>
        </w:tc>
        <w:tc>
          <w:tcPr>
            <w:tcW w:w="992" w:type="dxa"/>
          </w:tcPr>
          <w:p w14:paraId="4D462B85"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18005DF1" w14:textId="77777777" w:rsidR="00854D3A"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0,6</w:t>
            </w:r>
          </w:p>
        </w:tc>
        <w:tc>
          <w:tcPr>
            <w:tcW w:w="1418" w:type="dxa"/>
            <w:gridSpan w:val="2"/>
          </w:tcPr>
          <w:p w14:paraId="6120AB1C" w14:textId="77777777" w:rsidR="007B0F3C" w:rsidRPr="00997273" w:rsidRDefault="004325AB" w:rsidP="001B416D">
            <w:pPr>
              <w:autoSpaceDE w:val="0"/>
              <w:autoSpaceDN w:val="0"/>
              <w:adjustRightInd w:val="0"/>
              <w:jc w:val="center"/>
              <w:rPr>
                <w:rFonts w:eastAsia="TimesNewRoman,Bold" w:cs="Times New Roman"/>
                <w:sz w:val="20"/>
                <w:lang w:val="lt-LT" w:eastAsia="en-US"/>
              </w:rPr>
            </w:pPr>
            <w:r w:rsidRPr="00997273">
              <w:rPr>
                <w:rFonts w:eastAsia="TimesNewRoman,Bold" w:cs="Times New Roman"/>
                <w:sz w:val="20"/>
                <w:lang w:val="lt-LT" w:eastAsia="en-US"/>
              </w:rPr>
              <w:t>0,90</w:t>
            </w:r>
          </w:p>
          <w:p w14:paraId="3D5132BB" w14:textId="77777777" w:rsidR="00854D3A"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(0,70 – 1,16)</w:t>
            </w:r>
          </w:p>
        </w:tc>
        <w:tc>
          <w:tcPr>
            <w:tcW w:w="992" w:type="dxa"/>
          </w:tcPr>
          <w:p w14:paraId="6F13F670"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6BE223F7" w14:textId="77777777" w:rsidR="00854D3A"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0,419</w:t>
            </w:r>
          </w:p>
        </w:tc>
      </w:tr>
      <w:tr w:rsidR="00854D3A" w:rsidRPr="00997273" w14:paraId="3A146B66" w14:textId="77777777" w:rsidTr="004325AB">
        <w:tc>
          <w:tcPr>
            <w:tcW w:w="2660" w:type="dxa"/>
          </w:tcPr>
          <w:p w14:paraId="2C7D483B" w14:textId="77777777" w:rsidR="00854D3A" w:rsidRPr="00997273" w:rsidRDefault="00854D3A" w:rsidP="005A1E01">
            <w:pPr>
              <w:autoSpaceDE w:val="0"/>
              <w:autoSpaceDN w:val="0"/>
              <w:adjustRightInd w:val="0"/>
              <w:ind w:left="180"/>
              <w:rPr>
                <w:rFonts w:eastAsia="TimesNewRoman,Bold" w:cs="Times New Roman"/>
                <w:b/>
                <w:bCs/>
                <w:sz w:val="20"/>
                <w:lang w:val="lt-LT" w:eastAsia="en-US"/>
              </w:rPr>
            </w:pPr>
            <w:r w:rsidRPr="00997273">
              <w:rPr>
                <w:rFonts w:eastAsia="TimesNewRoman,Bold" w:cs="Times New Roman"/>
                <w:sz w:val="20"/>
                <w:lang w:val="lt-LT" w:eastAsia="en-US"/>
              </w:rPr>
              <w:t>Mirtis dėl bet kokios priežasties</w:t>
            </w:r>
          </w:p>
        </w:tc>
        <w:tc>
          <w:tcPr>
            <w:tcW w:w="1134" w:type="dxa"/>
          </w:tcPr>
          <w:p w14:paraId="5D48C604"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4BE16556" w14:textId="77777777" w:rsidR="00854D3A" w:rsidRPr="00997273" w:rsidRDefault="00854D3A" w:rsidP="00F46014">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547 (7,5)</w:t>
            </w:r>
          </w:p>
        </w:tc>
        <w:tc>
          <w:tcPr>
            <w:tcW w:w="1134" w:type="dxa"/>
          </w:tcPr>
          <w:p w14:paraId="20F984F0"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1F6DA5DC" w14:textId="77777777" w:rsidR="00854D3A"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2,5</w:t>
            </w:r>
          </w:p>
        </w:tc>
        <w:tc>
          <w:tcPr>
            <w:tcW w:w="1134" w:type="dxa"/>
            <w:gridSpan w:val="2"/>
          </w:tcPr>
          <w:p w14:paraId="4C80A504"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7E4757DA" w14:textId="77777777" w:rsidR="00854D3A"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537 (7,3)</w:t>
            </w:r>
          </w:p>
        </w:tc>
        <w:tc>
          <w:tcPr>
            <w:tcW w:w="992" w:type="dxa"/>
          </w:tcPr>
          <w:p w14:paraId="12023864" w14:textId="77777777" w:rsidR="007B0F3C" w:rsidRPr="00997273" w:rsidRDefault="007B0F3C" w:rsidP="007B0F3C">
            <w:pPr>
              <w:autoSpaceDE w:val="0"/>
              <w:autoSpaceDN w:val="0"/>
              <w:adjustRightInd w:val="0"/>
              <w:jc w:val="center"/>
              <w:rPr>
                <w:rFonts w:eastAsia="TimesNewRoman,Bold" w:cs="Times New Roman"/>
                <w:sz w:val="20"/>
                <w:lang w:val="lt-LT" w:eastAsia="en-US"/>
              </w:rPr>
            </w:pPr>
          </w:p>
          <w:p w14:paraId="7A3A00E8" w14:textId="77777777" w:rsidR="00854D3A" w:rsidRPr="00997273" w:rsidRDefault="001B416D" w:rsidP="007B0F3C">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 xml:space="preserve">2,5 </w:t>
            </w:r>
          </w:p>
        </w:tc>
        <w:tc>
          <w:tcPr>
            <w:tcW w:w="1418" w:type="dxa"/>
            <w:gridSpan w:val="2"/>
          </w:tcPr>
          <w:p w14:paraId="1E41C768" w14:textId="77777777" w:rsidR="007B0F3C" w:rsidRPr="00997273" w:rsidRDefault="004325AB" w:rsidP="001B416D">
            <w:pPr>
              <w:autoSpaceDE w:val="0"/>
              <w:autoSpaceDN w:val="0"/>
              <w:adjustRightInd w:val="0"/>
              <w:jc w:val="center"/>
              <w:rPr>
                <w:rFonts w:eastAsia="TimesNewRoman,Bold" w:cs="Times New Roman"/>
                <w:sz w:val="20"/>
                <w:lang w:val="lt-LT" w:eastAsia="en-US"/>
              </w:rPr>
            </w:pPr>
            <w:r w:rsidRPr="00997273">
              <w:rPr>
                <w:rFonts w:eastAsia="TimesNewRoman,Bold" w:cs="Times New Roman"/>
                <w:sz w:val="20"/>
                <w:lang w:val="lt-LT" w:eastAsia="en-US"/>
              </w:rPr>
              <w:t>1,01</w:t>
            </w:r>
          </w:p>
          <w:p w14:paraId="5C8BB5AC" w14:textId="77777777" w:rsidR="00854D3A"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(0,90 – 1,14)</w:t>
            </w:r>
          </w:p>
        </w:tc>
        <w:tc>
          <w:tcPr>
            <w:tcW w:w="992" w:type="dxa"/>
          </w:tcPr>
          <w:p w14:paraId="76C57FF7"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11CB29EF" w14:textId="77777777" w:rsidR="00854D3A"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0,875</w:t>
            </w:r>
          </w:p>
        </w:tc>
      </w:tr>
      <w:tr w:rsidR="00854D3A" w:rsidRPr="00997273" w14:paraId="20D2B0E0" w14:textId="77777777" w:rsidTr="004325AB">
        <w:tc>
          <w:tcPr>
            <w:tcW w:w="2660" w:type="dxa"/>
          </w:tcPr>
          <w:p w14:paraId="3C68FD06" w14:textId="77777777" w:rsidR="00854D3A" w:rsidRPr="00997273" w:rsidRDefault="00854D3A" w:rsidP="005A1E01">
            <w:pPr>
              <w:autoSpaceDE w:val="0"/>
              <w:autoSpaceDN w:val="0"/>
              <w:adjustRightInd w:val="0"/>
              <w:ind w:left="180"/>
              <w:rPr>
                <w:rFonts w:eastAsia="TimesNewRoman,Bold" w:cs="Times New Roman"/>
                <w:b/>
                <w:bCs/>
                <w:sz w:val="20"/>
                <w:lang w:val="lt-LT" w:eastAsia="en-US"/>
              </w:rPr>
            </w:pPr>
            <w:r w:rsidRPr="00997273">
              <w:rPr>
                <w:rFonts w:eastAsia="TimesNewRoman,Bold" w:cs="Times New Roman"/>
                <w:sz w:val="20"/>
                <w:lang w:val="lt-LT" w:eastAsia="en-US"/>
              </w:rPr>
              <w:t>Hospitalizacija dėl širdies</w:t>
            </w:r>
            <w:r w:rsidR="001734AC" w:rsidRPr="00997273">
              <w:rPr>
                <w:rFonts w:eastAsia="TimesNewRoman,Bold" w:cs="Times New Roman"/>
                <w:sz w:val="20"/>
                <w:lang w:val="lt-LT" w:eastAsia="en-US"/>
              </w:rPr>
              <w:t xml:space="preserve"> </w:t>
            </w:r>
            <w:r w:rsidRPr="00997273">
              <w:rPr>
                <w:rFonts w:eastAsia="TimesNewRoman,Bold" w:cs="Times New Roman"/>
                <w:sz w:val="20"/>
                <w:lang w:val="lt-LT" w:eastAsia="en-US"/>
              </w:rPr>
              <w:t>nepakankamumo</w:t>
            </w:r>
            <w:r w:rsidRPr="00997273">
              <w:rPr>
                <w:rFonts w:eastAsia="TimesNewRoman,Bold" w:cs="Times New Roman"/>
                <w:sz w:val="20"/>
                <w:vertAlign w:val="superscript"/>
                <w:lang w:val="lt-LT" w:eastAsia="en-US"/>
              </w:rPr>
              <w:t>‡</w:t>
            </w:r>
          </w:p>
        </w:tc>
        <w:tc>
          <w:tcPr>
            <w:tcW w:w="1134" w:type="dxa"/>
          </w:tcPr>
          <w:p w14:paraId="22BFA846"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2DA737C8" w14:textId="77777777" w:rsidR="00854D3A" w:rsidRPr="00997273" w:rsidRDefault="001B416D" w:rsidP="00F46014">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228 (3,1)</w:t>
            </w:r>
          </w:p>
        </w:tc>
        <w:tc>
          <w:tcPr>
            <w:tcW w:w="1134" w:type="dxa"/>
          </w:tcPr>
          <w:p w14:paraId="0313CFE6"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2A1B4EAC" w14:textId="77777777" w:rsidR="00854D3A"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1,1</w:t>
            </w:r>
          </w:p>
        </w:tc>
        <w:tc>
          <w:tcPr>
            <w:tcW w:w="1134" w:type="dxa"/>
            <w:gridSpan w:val="2"/>
          </w:tcPr>
          <w:p w14:paraId="74A5E517"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1B529493" w14:textId="77777777" w:rsidR="00854D3A"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229 (3,1)</w:t>
            </w:r>
          </w:p>
        </w:tc>
        <w:tc>
          <w:tcPr>
            <w:tcW w:w="992" w:type="dxa"/>
          </w:tcPr>
          <w:p w14:paraId="4A1A9090"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7828B0E3" w14:textId="77777777" w:rsidR="00854D3A"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1,1</w:t>
            </w:r>
          </w:p>
        </w:tc>
        <w:tc>
          <w:tcPr>
            <w:tcW w:w="1418" w:type="dxa"/>
            <w:gridSpan w:val="2"/>
          </w:tcPr>
          <w:p w14:paraId="4C16E6BB" w14:textId="77777777" w:rsidR="007B0F3C" w:rsidRPr="00997273" w:rsidRDefault="004325AB" w:rsidP="001B416D">
            <w:pPr>
              <w:autoSpaceDE w:val="0"/>
              <w:autoSpaceDN w:val="0"/>
              <w:adjustRightInd w:val="0"/>
              <w:jc w:val="center"/>
              <w:rPr>
                <w:rFonts w:eastAsia="TimesNewRoman,Bold" w:cs="Times New Roman"/>
                <w:sz w:val="20"/>
                <w:lang w:val="lt-LT" w:eastAsia="en-US"/>
              </w:rPr>
            </w:pPr>
            <w:r w:rsidRPr="00997273">
              <w:rPr>
                <w:rFonts w:eastAsia="TimesNewRoman,Bold" w:cs="Times New Roman"/>
                <w:sz w:val="20"/>
                <w:lang w:val="lt-LT" w:eastAsia="en-US"/>
              </w:rPr>
              <w:t>1,00</w:t>
            </w:r>
          </w:p>
          <w:p w14:paraId="259E6DED" w14:textId="77777777" w:rsidR="00854D3A"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(0,83 – 1,20)</w:t>
            </w:r>
          </w:p>
        </w:tc>
        <w:tc>
          <w:tcPr>
            <w:tcW w:w="992" w:type="dxa"/>
          </w:tcPr>
          <w:p w14:paraId="49EBD658" w14:textId="77777777" w:rsidR="007B0F3C" w:rsidRPr="00997273" w:rsidRDefault="007B0F3C" w:rsidP="001B416D">
            <w:pPr>
              <w:autoSpaceDE w:val="0"/>
              <w:autoSpaceDN w:val="0"/>
              <w:adjustRightInd w:val="0"/>
              <w:jc w:val="center"/>
              <w:rPr>
                <w:rFonts w:eastAsia="TimesNewRoman,Bold" w:cs="Times New Roman"/>
                <w:sz w:val="20"/>
                <w:lang w:val="lt-LT" w:eastAsia="en-US"/>
              </w:rPr>
            </w:pPr>
          </w:p>
          <w:p w14:paraId="778ABF1D" w14:textId="77777777" w:rsidR="00854D3A" w:rsidRPr="00997273" w:rsidRDefault="001B416D" w:rsidP="001B416D">
            <w:pPr>
              <w:autoSpaceDE w:val="0"/>
              <w:autoSpaceDN w:val="0"/>
              <w:adjustRightInd w:val="0"/>
              <w:jc w:val="center"/>
              <w:rPr>
                <w:rFonts w:eastAsia="TimesNewRoman,Bold" w:cs="Times New Roman"/>
                <w:b/>
                <w:bCs/>
                <w:sz w:val="20"/>
                <w:lang w:val="lt-LT" w:eastAsia="en-US"/>
              </w:rPr>
            </w:pPr>
            <w:r w:rsidRPr="00997273">
              <w:rPr>
                <w:rFonts w:eastAsia="TimesNewRoman,Bold" w:cs="Times New Roman"/>
                <w:sz w:val="20"/>
                <w:lang w:val="lt-LT" w:eastAsia="en-US"/>
              </w:rPr>
              <w:t>0,983</w:t>
            </w:r>
          </w:p>
        </w:tc>
      </w:tr>
    </w:tbl>
    <w:p w14:paraId="4DD84615" w14:textId="310DE273" w:rsidR="00D7448E" w:rsidRPr="004F28A1" w:rsidRDefault="00D7448E" w:rsidP="00D7448E">
      <w:pPr>
        <w:autoSpaceDE w:val="0"/>
        <w:autoSpaceDN w:val="0"/>
        <w:adjustRightInd w:val="0"/>
        <w:rPr>
          <w:rFonts w:eastAsia="TimesNewRoman,Bold" w:cs="Times New Roman"/>
          <w:sz w:val="20"/>
          <w:lang w:val="lt-LT" w:eastAsia="en-US"/>
        </w:rPr>
      </w:pPr>
      <w:r w:rsidRPr="00997273">
        <w:rPr>
          <w:rFonts w:eastAsia="TimesNewRoman,Bold" w:cs="Times New Roman"/>
          <w:sz w:val="22"/>
          <w:szCs w:val="22"/>
          <w:vertAlign w:val="superscript"/>
          <w:lang w:val="lt-LT" w:eastAsia="en-US"/>
        </w:rPr>
        <w:t xml:space="preserve">* </w:t>
      </w:r>
      <w:r w:rsidRPr="004F28A1">
        <w:rPr>
          <w:rFonts w:eastAsia="TimesNewRoman,Bold" w:cs="Times New Roman"/>
          <w:sz w:val="20"/>
          <w:lang w:val="lt-LT" w:eastAsia="en-US"/>
        </w:rPr>
        <w:t xml:space="preserve">Dažnis per 100 paciento metų apskaičiuotas taip: 100 </w:t>
      </w:r>
      <w:r w:rsidR="005A1E01">
        <w:rPr>
          <w:rFonts w:eastAsia="TimesNewRoman,Bold" w:cs="Times New Roman"/>
          <w:sz w:val="20"/>
          <w:lang w:val="lt-LT" w:eastAsia="en-US"/>
        </w:rPr>
        <w:t>x</w:t>
      </w:r>
      <w:r w:rsidRPr="004F28A1">
        <w:rPr>
          <w:rFonts w:eastAsia="TimesNewRoman,Bold" w:cs="Times New Roman"/>
          <w:sz w:val="20"/>
          <w:lang w:val="lt-LT" w:eastAsia="en-US"/>
        </w:rPr>
        <w:t xml:space="preserve"> (iš viso pacientų, patyrusių 1 ar daugiau reiškinių tinkamų</w:t>
      </w:r>
      <w:r w:rsidR="001B416D" w:rsidRPr="004F28A1">
        <w:rPr>
          <w:rFonts w:eastAsia="TimesNewRoman,Bold" w:cs="Times New Roman"/>
          <w:sz w:val="20"/>
          <w:lang w:val="lt-LT" w:eastAsia="en-US"/>
        </w:rPr>
        <w:t xml:space="preserve"> </w:t>
      </w:r>
      <w:r w:rsidRPr="004F28A1">
        <w:rPr>
          <w:rFonts w:eastAsia="TimesNewRoman,Bold" w:cs="Times New Roman"/>
          <w:sz w:val="20"/>
          <w:lang w:val="lt-LT" w:eastAsia="en-US"/>
        </w:rPr>
        <w:t>stebėsenos laikotarpiu per visą paciento stebėsenos laikotarpį</w:t>
      </w:r>
      <w:r w:rsidR="00EC0FB3">
        <w:rPr>
          <w:rFonts w:eastAsia="TimesNewRoman,Bold" w:cs="Times New Roman"/>
          <w:sz w:val="20"/>
          <w:lang w:val="lt-LT" w:eastAsia="en-US"/>
        </w:rPr>
        <w:t xml:space="preserve"> metais</w:t>
      </w:r>
      <w:r w:rsidRPr="004F28A1">
        <w:rPr>
          <w:rFonts w:eastAsia="TimesNewRoman,Bold" w:cs="Times New Roman"/>
          <w:sz w:val="20"/>
          <w:lang w:val="lt-LT" w:eastAsia="en-US"/>
        </w:rPr>
        <w:t>).</w:t>
      </w:r>
    </w:p>
    <w:p w14:paraId="7D05831E" w14:textId="7CB5305D" w:rsidR="00D7448E" w:rsidRPr="004F28A1" w:rsidRDefault="00D7448E" w:rsidP="00D7448E">
      <w:pPr>
        <w:autoSpaceDE w:val="0"/>
        <w:autoSpaceDN w:val="0"/>
        <w:adjustRightInd w:val="0"/>
        <w:rPr>
          <w:rFonts w:eastAsia="TimesNewRoman,Bold" w:cs="Times New Roman"/>
          <w:sz w:val="20"/>
          <w:lang w:val="lt-LT" w:eastAsia="en-US"/>
        </w:rPr>
      </w:pPr>
      <w:r w:rsidRPr="004F28A1">
        <w:rPr>
          <w:rFonts w:eastAsia="TimesNewRoman,Bold" w:cs="Times New Roman"/>
          <w:sz w:val="20"/>
          <w:vertAlign w:val="superscript"/>
          <w:lang w:val="lt-LT" w:eastAsia="en-US"/>
        </w:rPr>
        <w:t xml:space="preserve">† </w:t>
      </w:r>
      <w:r w:rsidRPr="004F28A1">
        <w:rPr>
          <w:rFonts w:eastAsia="TimesNewRoman,Bold" w:cs="Times New Roman"/>
          <w:sz w:val="20"/>
          <w:lang w:val="lt-LT" w:eastAsia="en-US"/>
        </w:rPr>
        <w:t xml:space="preserve">Remiantis </w:t>
      </w:r>
      <w:proofErr w:type="spellStart"/>
      <w:r w:rsidRPr="004F28A1">
        <w:rPr>
          <w:rFonts w:eastAsia="TimesNewRoman,Italic" w:cs="Times New Roman"/>
          <w:i/>
          <w:iCs/>
          <w:sz w:val="20"/>
          <w:lang w:val="lt-LT" w:eastAsia="en-US"/>
        </w:rPr>
        <w:t>Cox</w:t>
      </w:r>
      <w:proofErr w:type="spellEnd"/>
      <w:r w:rsidRPr="004F28A1">
        <w:rPr>
          <w:rFonts w:eastAsia="TimesNewRoman,Italic" w:cs="Times New Roman"/>
          <w:i/>
          <w:iCs/>
          <w:sz w:val="20"/>
          <w:lang w:val="lt-LT" w:eastAsia="en-US"/>
        </w:rPr>
        <w:t xml:space="preserve"> </w:t>
      </w:r>
      <w:r w:rsidRPr="004F28A1">
        <w:rPr>
          <w:rFonts w:eastAsia="TimesNewRoman,Bold" w:cs="Times New Roman"/>
          <w:sz w:val="20"/>
          <w:lang w:val="lt-LT" w:eastAsia="en-US"/>
        </w:rPr>
        <w:t>modeliu, suskirstant pagal regioną. Sudėtinių vertinamųjų baigčių p-vertės atitinka „neprastesnio“ tyrimo,</w:t>
      </w:r>
      <w:r w:rsidR="001B416D" w:rsidRPr="004F28A1">
        <w:rPr>
          <w:rFonts w:eastAsia="TimesNewRoman,Bold" w:cs="Times New Roman"/>
          <w:sz w:val="20"/>
          <w:lang w:val="lt-LT" w:eastAsia="en-US"/>
        </w:rPr>
        <w:t xml:space="preserve"> </w:t>
      </w:r>
      <w:r w:rsidRPr="004F28A1">
        <w:rPr>
          <w:rFonts w:eastAsia="TimesNewRoman,Bold" w:cs="Times New Roman"/>
          <w:sz w:val="20"/>
          <w:lang w:val="lt-LT" w:eastAsia="en-US"/>
        </w:rPr>
        <w:t>kuriuo siekiama įrodyti, kad rizikos santykis yra mažesnis nei 1,3. Visų kitų vertinamųjų baigčių p-</w:t>
      </w:r>
      <w:r w:rsidR="005A1E01">
        <w:rPr>
          <w:rFonts w:eastAsia="TimesNewRoman,Bold" w:cs="Times New Roman"/>
          <w:sz w:val="20"/>
          <w:lang w:val="lt-LT" w:eastAsia="en-US"/>
        </w:rPr>
        <w:t>reikšmė</w:t>
      </w:r>
      <w:r w:rsidRPr="004F28A1">
        <w:rPr>
          <w:rFonts w:eastAsia="TimesNewRoman,Bold" w:cs="Times New Roman"/>
          <w:sz w:val="20"/>
          <w:lang w:val="lt-LT" w:eastAsia="en-US"/>
        </w:rPr>
        <w:t xml:space="preserve"> atitinka rizikos</w:t>
      </w:r>
      <w:r w:rsidR="001B416D" w:rsidRPr="004F28A1">
        <w:rPr>
          <w:rFonts w:eastAsia="TimesNewRoman,Bold" w:cs="Times New Roman"/>
          <w:sz w:val="20"/>
          <w:lang w:val="lt-LT" w:eastAsia="en-US"/>
        </w:rPr>
        <w:t xml:space="preserve"> </w:t>
      </w:r>
      <w:r w:rsidRPr="004F28A1">
        <w:rPr>
          <w:rFonts w:eastAsia="TimesNewRoman,Bold" w:cs="Times New Roman"/>
          <w:sz w:val="20"/>
          <w:lang w:val="lt-LT" w:eastAsia="en-US"/>
        </w:rPr>
        <w:t>santykio skirtumų testą.</w:t>
      </w:r>
    </w:p>
    <w:p w14:paraId="578420E4" w14:textId="77777777" w:rsidR="00D7448E" w:rsidRPr="004F28A1" w:rsidRDefault="00D7448E" w:rsidP="00D7448E">
      <w:pPr>
        <w:autoSpaceDE w:val="0"/>
        <w:autoSpaceDN w:val="0"/>
        <w:adjustRightInd w:val="0"/>
        <w:rPr>
          <w:rFonts w:eastAsia="TimesNewRoman,Bold" w:cs="Times New Roman"/>
          <w:sz w:val="20"/>
          <w:lang w:val="lt-LT" w:eastAsia="en-US"/>
        </w:rPr>
      </w:pPr>
      <w:r w:rsidRPr="004F28A1">
        <w:rPr>
          <w:rFonts w:eastAsia="TimesNewRoman,Bold" w:cs="Times New Roman"/>
          <w:sz w:val="20"/>
          <w:vertAlign w:val="superscript"/>
          <w:lang w:val="lt-LT" w:eastAsia="en-US"/>
        </w:rPr>
        <w:t xml:space="preserve">‡ </w:t>
      </w:r>
      <w:r w:rsidRPr="004F28A1">
        <w:rPr>
          <w:rFonts w:eastAsia="TimesNewRoman,Bold" w:cs="Times New Roman"/>
          <w:sz w:val="20"/>
          <w:lang w:val="lt-LT" w:eastAsia="en-US"/>
        </w:rPr>
        <w:t>Hospitalizavimo dėl širdies nepakankamumo analizė buvo pakoreguota pagal prieš pradedant tyrimą buvusį širdies</w:t>
      </w:r>
      <w:r w:rsidR="001B416D" w:rsidRPr="004F28A1">
        <w:rPr>
          <w:rFonts w:eastAsia="TimesNewRoman,Bold" w:cs="Times New Roman"/>
          <w:sz w:val="20"/>
          <w:lang w:val="lt-LT" w:eastAsia="en-US"/>
        </w:rPr>
        <w:t xml:space="preserve"> </w:t>
      </w:r>
      <w:r w:rsidRPr="004F28A1">
        <w:rPr>
          <w:rFonts w:eastAsia="TimesNewRoman,Bold" w:cs="Times New Roman"/>
          <w:sz w:val="20"/>
          <w:lang w:val="lt-LT" w:eastAsia="en-US"/>
        </w:rPr>
        <w:t>nepakankamumą.</w:t>
      </w:r>
    </w:p>
    <w:p w14:paraId="02EEA293" w14:textId="77777777" w:rsidR="001B416D" w:rsidRPr="00997273" w:rsidRDefault="001B416D" w:rsidP="00D7448E">
      <w:pPr>
        <w:autoSpaceDE w:val="0"/>
        <w:autoSpaceDN w:val="0"/>
        <w:adjustRightInd w:val="0"/>
        <w:rPr>
          <w:rFonts w:eastAsia="TimesNewRoman,Bold" w:cs="Times New Roman"/>
          <w:sz w:val="22"/>
          <w:szCs w:val="22"/>
          <w:lang w:val="lt-LT" w:eastAsia="en-US"/>
        </w:rPr>
      </w:pPr>
    </w:p>
    <w:p w14:paraId="17DF896B" w14:textId="77777777" w:rsidR="00D7448E" w:rsidRPr="00997273" w:rsidRDefault="00D7448E" w:rsidP="00D7448E">
      <w:pPr>
        <w:autoSpaceDE w:val="0"/>
        <w:autoSpaceDN w:val="0"/>
        <w:adjustRightInd w:val="0"/>
        <w:rPr>
          <w:rFonts w:eastAsia="TimesNewRoman,Bold" w:cs="Times New Roman"/>
          <w:sz w:val="22"/>
          <w:szCs w:val="22"/>
          <w:u w:val="single"/>
          <w:lang w:val="lt-LT" w:eastAsia="en-US"/>
        </w:rPr>
      </w:pPr>
      <w:r w:rsidRPr="00997273">
        <w:rPr>
          <w:rFonts w:eastAsia="TimesNewRoman,Bold" w:cs="Times New Roman"/>
          <w:sz w:val="22"/>
          <w:szCs w:val="22"/>
          <w:u w:val="single"/>
          <w:lang w:val="lt-LT" w:eastAsia="en-US"/>
        </w:rPr>
        <w:t>Vaikų populiacija</w:t>
      </w:r>
    </w:p>
    <w:p w14:paraId="764CBFD6" w14:textId="041A9039" w:rsidR="00DD1DDB" w:rsidRPr="00997273" w:rsidRDefault="00DD1DDB" w:rsidP="00DD1DDB">
      <w:pPr>
        <w:autoSpaceDE w:val="0"/>
        <w:autoSpaceDN w:val="0"/>
        <w:adjustRightInd w:val="0"/>
        <w:rPr>
          <w:rFonts w:eastAsia="TimesNewRoman,Bold" w:cs="Times New Roman"/>
          <w:sz w:val="22"/>
          <w:szCs w:val="22"/>
          <w:lang w:val="lt-LT" w:eastAsia="en-US"/>
        </w:rPr>
      </w:pPr>
      <w:r w:rsidRPr="00997273">
        <w:rPr>
          <w:rFonts w:eastAsia="TimesNewRoman,Bold" w:cs="Times New Roman"/>
          <w:sz w:val="22"/>
          <w:szCs w:val="22"/>
          <w:lang w:val="lt-LT" w:eastAsia="en-US"/>
        </w:rPr>
        <w:t>54</w:t>
      </w:r>
      <w:r w:rsidR="005A1E01">
        <w:rPr>
          <w:rFonts w:eastAsia="TimesNewRoman,Bold" w:cs="Times New Roman"/>
          <w:sz w:val="22"/>
          <w:szCs w:val="22"/>
          <w:lang w:val="lt-LT" w:eastAsia="en-US"/>
        </w:rPr>
        <w:t> </w:t>
      </w:r>
      <w:r w:rsidRPr="00997273">
        <w:rPr>
          <w:rFonts w:eastAsia="TimesNewRoman,Bold" w:cs="Times New Roman"/>
          <w:sz w:val="22"/>
          <w:szCs w:val="22"/>
          <w:lang w:val="lt-LT" w:eastAsia="en-US"/>
        </w:rPr>
        <w:t>savai</w:t>
      </w:r>
      <w:r w:rsidRPr="00997273">
        <w:rPr>
          <w:rFonts w:eastAsia="TimesNewRoman,Bold" w:cs="Times New Roman" w:hint="eastAsia"/>
          <w:sz w:val="22"/>
          <w:szCs w:val="22"/>
          <w:lang w:val="lt-LT" w:eastAsia="en-US"/>
        </w:rPr>
        <w:t>č</w:t>
      </w:r>
      <w:r w:rsidRPr="00997273">
        <w:rPr>
          <w:rFonts w:eastAsia="TimesNewRoman,Bold" w:cs="Times New Roman"/>
          <w:sz w:val="22"/>
          <w:szCs w:val="22"/>
          <w:lang w:val="lt-LT" w:eastAsia="en-US"/>
        </w:rPr>
        <w:t>i</w:t>
      </w:r>
      <w:r w:rsidRPr="00997273">
        <w:rPr>
          <w:rFonts w:eastAsia="TimesNewRoman,Bold" w:cs="Times New Roman" w:hint="eastAsia"/>
          <w:sz w:val="22"/>
          <w:szCs w:val="22"/>
          <w:lang w:val="lt-LT" w:eastAsia="en-US"/>
        </w:rPr>
        <w:t>ų</w:t>
      </w:r>
      <w:r w:rsidRPr="00997273">
        <w:rPr>
          <w:rFonts w:eastAsia="TimesNewRoman,Bold" w:cs="Times New Roman"/>
          <w:sz w:val="22"/>
          <w:szCs w:val="22"/>
          <w:lang w:val="lt-LT" w:eastAsia="en-US"/>
        </w:rPr>
        <w:t xml:space="preserve"> trukm</w:t>
      </w:r>
      <w:r w:rsidRPr="00997273">
        <w:rPr>
          <w:rFonts w:eastAsia="TimesNewRoman,Bold" w:cs="Times New Roman" w:hint="eastAsia"/>
          <w:sz w:val="22"/>
          <w:szCs w:val="22"/>
          <w:lang w:val="lt-LT" w:eastAsia="en-US"/>
        </w:rPr>
        <w:t>ė</w:t>
      </w:r>
      <w:r w:rsidRPr="00997273">
        <w:rPr>
          <w:rFonts w:eastAsia="TimesNewRoman,Bold" w:cs="Times New Roman"/>
          <w:sz w:val="22"/>
          <w:szCs w:val="22"/>
          <w:lang w:val="lt-LT" w:eastAsia="en-US"/>
        </w:rPr>
        <w:t xml:space="preserve">s, dvigubai koduotas tyrimas, </w:t>
      </w:r>
      <w:r w:rsidR="00272DDF">
        <w:rPr>
          <w:rFonts w:eastAsia="TimesNewRoman,Bold" w:cs="Times New Roman"/>
          <w:sz w:val="22"/>
          <w:szCs w:val="22"/>
          <w:lang w:val="lt-LT" w:eastAsia="en-US"/>
        </w:rPr>
        <w:t>buvo skirtas</w:t>
      </w:r>
      <w:r w:rsidRPr="00997273">
        <w:rPr>
          <w:rFonts w:eastAsia="TimesNewRoman,Bold" w:cs="Times New Roman"/>
          <w:sz w:val="22"/>
          <w:szCs w:val="22"/>
          <w:lang w:val="lt-LT" w:eastAsia="en-US"/>
        </w:rPr>
        <w:t xml:space="preserve"> </w:t>
      </w:r>
      <w:r w:rsidRPr="00997273">
        <w:rPr>
          <w:rFonts w:eastAsia="TimesNewRoman,Bold" w:cs="Times New Roman" w:hint="eastAsia"/>
          <w:sz w:val="22"/>
          <w:szCs w:val="22"/>
          <w:lang w:val="lt-LT" w:eastAsia="en-US"/>
        </w:rPr>
        <w:t>į</w:t>
      </w:r>
      <w:r w:rsidRPr="00997273">
        <w:rPr>
          <w:rFonts w:eastAsia="TimesNewRoman,Bold" w:cs="Times New Roman"/>
          <w:sz w:val="22"/>
          <w:szCs w:val="22"/>
          <w:lang w:val="lt-LT" w:eastAsia="en-US"/>
        </w:rPr>
        <w:t>vertinti kart</w:t>
      </w:r>
      <w:r w:rsidRPr="00997273">
        <w:rPr>
          <w:rFonts w:eastAsia="TimesNewRoman,Bold" w:cs="Times New Roman" w:hint="eastAsia"/>
          <w:sz w:val="22"/>
          <w:szCs w:val="22"/>
          <w:lang w:val="lt-LT" w:eastAsia="en-US"/>
        </w:rPr>
        <w:t>ą</w:t>
      </w:r>
      <w:r w:rsidRPr="00997273">
        <w:rPr>
          <w:rFonts w:eastAsia="TimesNewRoman,Bold" w:cs="Times New Roman"/>
          <w:sz w:val="22"/>
          <w:szCs w:val="22"/>
          <w:lang w:val="lt-LT" w:eastAsia="en-US"/>
        </w:rPr>
        <w:t xml:space="preserve"> per par</w:t>
      </w:r>
      <w:r w:rsidRPr="00997273">
        <w:rPr>
          <w:rFonts w:eastAsia="TimesNewRoman,Bold" w:cs="Times New Roman" w:hint="eastAsia"/>
          <w:sz w:val="22"/>
          <w:szCs w:val="22"/>
          <w:lang w:val="lt-LT" w:eastAsia="en-US"/>
        </w:rPr>
        <w:t>ą</w:t>
      </w:r>
      <w:r w:rsidRPr="00997273">
        <w:rPr>
          <w:rFonts w:eastAsia="TimesNewRoman,Bold" w:cs="Times New Roman"/>
          <w:sz w:val="22"/>
          <w:szCs w:val="22"/>
          <w:lang w:val="lt-LT" w:eastAsia="en-US"/>
        </w:rPr>
        <w:t xml:space="preserve"> skiriamos 100</w:t>
      </w:r>
      <w:r w:rsidR="00272DDF">
        <w:rPr>
          <w:rFonts w:eastAsia="TimesNewRoman,Bold" w:cs="Times New Roman"/>
          <w:sz w:val="22"/>
          <w:szCs w:val="22"/>
          <w:lang w:val="lt-LT" w:eastAsia="en-US"/>
        </w:rPr>
        <w:t> </w:t>
      </w:r>
      <w:r w:rsidRPr="00997273">
        <w:rPr>
          <w:rFonts w:eastAsia="TimesNewRoman,Bold" w:cs="Times New Roman"/>
          <w:sz w:val="22"/>
          <w:szCs w:val="22"/>
          <w:lang w:val="lt-LT" w:eastAsia="en-US"/>
        </w:rPr>
        <w:t xml:space="preserve">mg </w:t>
      </w:r>
      <w:proofErr w:type="spellStart"/>
      <w:r w:rsidRPr="00997273">
        <w:rPr>
          <w:rFonts w:eastAsia="TimesNewRoman,Bold" w:cs="Times New Roman"/>
          <w:sz w:val="22"/>
          <w:szCs w:val="22"/>
          <w:lang w:val="lt-LT" w:eastAsia="en-US"/>
        </w:rPr>
        <w:t>sitagliptino</w:t>
      </w:r>
      <w:proofErr w:type="spellEnd"/>
      <w:r w:rsidRPr="00997273">
        <w:rPr>
          <w:rFonts w:eastAsia="TimesNewRoman,Bold" w:cs="Times New Roman"/>
          <w:sz w:val="22"/>
          <w:szCs w:val="22"/>
          <w:lang w:val="lt-LT" w:eastAsia="en-US"/>
        </w:rPr>
        <w:t xml:space="preserve"> doz</w:t>
      </w:r>
      <w:r w:rsidRPr="00997273">
        <w:rPr>
          <w:rFonts w:eastAsia="TimesNewRoman,Bold" w:cs="Times New Roman" w:hint="eastAsia"/>
          <w:sz w:val="22"/>
          <w:szCs w:val="22"/>
          <w:lang w:val="lt-LT" w:eastAsia="en-US"/>
        </w:rPr>
        <w:t>ė</w:t>
      </w:r>
      <w:r w:rsidRPr="00997273">
        <w:rPr>
          <w:rFonts w:eastAsia="TimesNewRoman,Bold" w:cs="Times New Roman"/>
          <w:sz w:val="22"/>
          <w:szCs w:val="22"/>
          <w:lang w:val="lt-LT" w:eastAsia="en-US"/>
        </w:rPr>
        <w:t>s veiksmingum</w:t>
      </w:r>
      <w:r w:rsidRPr="00997273">
        <w:rPr>
          <w:rFonts w:eastAsia="TimesNewRoman,Bold" w:cs="Times New Roman" w:hint="eastAsia"/>
          <w:sz w:val="22"/>
          <w:szCs w:val="22"/>
          <w:lang w:val="lt-LT" w:eastAsia="en-US"/>
        </w:rPr>
        <w:t>ą</w:t>
      </w:r>
      <w:r w:rsidRPr="00997273">
        <w:rPr>
          <w:rFonts w:eastAsia="TimesNewRoman,Bold" w:cs="Times New Roman"/>
          <w:sz w:val="22"/>
          <w:szCs w:val="22"/>
          <w:lang w:val="lt-LT" w:eastAsia="en-US"/>
        </w:rPr>
        <w:t xml:space="preserve"> ir saugum</w:t>
      </w:r>
      <w:r w:rsidRPr="00997273">
        <w:rPr>
          <w:rFonts w:eastAsia="TimesNewRoman,Bold" w:cs="Times New Roman" w:hint="eastAsia"/>
          <w:sz w:val="22"/>
          <w:szCs w:val="22"/>
          <w:lang w:val="lt-LT" w:eastAsia="en-US"/>
        </w:rPr>
        <w:t>ą</w:t>
      </w:r>
      <w:r w:rsidRPr="00997273">
        <w:rPr>
          <w:rFonts w:eastAsia="TimesNewRoman,Bold" w:cs="Times New Roman"/>
          <w:sz w:val="22"/>
          <w:szCs w:val="22"/>
          <w:lang w:val="lt-LT" w:eastAsia="en-US"/>
        </w:rPr>
        <w:t xml:space="preserve"> </w:t>
      </w:r>
      <w:r w:rsidR="00DF7E6B" w:rsidRPr="00997273">
        <w:rPr>
          <w:rFonts w:eastAsia="TimesNewRoman,Bold" w:cs="Times New Roman"/>
          <w:sz w:val="22"/>
          <w:szCs w:val="22"/>
          <w:lang w:val="lt-LT" w:eastAsia="en-US"/>
        </w:rPr>
        <w:t>2</w:t>
      </w:r>
      <w:r w:rsidR="005A1E01">
        <w:rPr>
          <w:rFonts w:eastAsia="TimesNewRoman,Bold" w:cs="Times New Roman"/>
          <w:sz w:val="22"/>
          <w:szCs w:val="22"/>
          <w:lang w:val="lt-LT" w:eastAsia="en-US"/>
        </w:rPr>
        <w:t> </w:t>
      </w:r>
      <w:r w:rsidR="00DF7E6B" w:rsidRPr="00997273">
        <w:rPr>
          <w:rFonts w:eastAsia="TimesNewRoman,Bold" w:cs="Times New Roman"/>
          <w:sz w:val="22"/>
          <w:szCs w:val="22"/>
          <w:lang w:val="lt-LT" w:eastAsia="en-US"/>
        </w:rPr>
        <w:t xml:space="preserve">tipo diabetu </w:t>
      </w:r>
      <w:r w:rsidR="00DF7E6B">
        <w:rPr>
          <w:rFonts w:eastAsia="TimesNewRoman,Bold" w:cs="Times New Roman"/>
          <w:sz w:val="22"/>
          <w:szCs w:val="22"/>
          <w:lang w:val="lt-LT" w:eastAsia="en-US"/>
        </w:rPr>
        <w:t xml:space="preserve">sergantiems </w:t>
      </w:r>
      <w:r w:rsidRPr="00997273">
        <w:rPr>
          <w:rFonts w:eastAsia="TimesNewRoman,Bold" w:cs="Times New Roman"/>
          <w:sz w:val="22"/>
          <w:szCs w:val="22"/>
          <w:lang w:val="lt-LT" w:eastAsia="en-US"/>
        </w:rPr>
        <w:t>vaikams (nuo 10 iki 17</w:t>
      </w:r>
      <w:r w:rsidR="005A1E01">
        <w:rPr>
          <w:rFonts w:eastAsia="TimesNewRoman,Bold" w:cs="Times New Roman"/>
          <w:sz w:val="22"/>
          <w:szCs w:val="22"/>
          <w:lang w:val="lt-LT" w:eastAsia="en-US"/>
        </w:rPr>
        <w:t> </w:t>
      </w:r>
      <w:r w:rsidRPr="00997273">
        <w:rPr>
          <w:rFonts w:eastAsia="TimesNewRoman,Bold" w:cs="Times New Roman"/>
          <w:sz w:val="22"/>
          <w:szCs w:val="22"/>
          <w:lang w:val="lt-LT" w:eastAsia="en-US"/>
        </w:rPr>
        <w:t>met</w:t>
      </w:r>
      <w:r w:rsidRPr="00997273">
        <w:rPr>
          <w:rFonts w:eastAsia="TimesNewRoman,Bold" w:cs="Times New Roman" w:hint="eastAsia"/>
          <w:sz w:val="22"/>
          <w:szCs w:val="22"/>
          <w:lang w:val="lt-LT" w:eastAsia="en-US"/>
        </w:rPr>
        <w:t>ų</w:t>
      </w:r>
      <w:r w:rsidRPr="00997273">
        <w:rPr>
          <w:rFonts w:eastAsia="TimesNewRoman,Bold" w:cs="Times New Roman"/>
          <w:sz w:val="22"/>
          <w:szCs w:val="22"/>
          <w:lang w:val="lt-LT" w:eastAsia="en-US"/>
        </w:rPr>
        <w:t>), kurie</w:t>
      </w:r>
      <w:r w:rsidR="00EC0FB3">
        <w:rPr>
          <w:rFonts w:eastAsia="TimesNewRoman,Bold" w:cs="Times New Roman"/>
          <w:sz w:val="22"/>
          <w:szCs w:val="22"/>
          <w:lang w:val="lt-LT" w:eastAsia="en-US"/>
        </w:rPr>
        <w:t>ms</w:t>
      </w:r>
      <w:r w:rsidRPr="00997273">
        <w:rPr>
          <w:rFonts w:eastAsia="TimesNewRoman,Bold" w:cs="Times New Roman"/>
          <w:sz w:val="22"/>
          <w:szCs w:val="22"/>
          <w:lang w:val="lt-LT" w:eastAsia="en-US"/>
        </w:rPr>
        <w:t xml:space="preserve"> bent 12</w:t>
      </w:r>
      <w:r w:rsidR="005A1E01">
        <w:rPr>
          <w:rFonts w:eastAsia="TimesNewRoman,Bold" w:cs="Times New Roman"/>
          <w:sz w:val="22"/>
          <w:szCs w:val="22"/>
          <w:lang w:val="lt-LT" w:eastAsia="en-US"/>
        </w:rPr>
        <w:t> </w:t>
      </w:r>
      <w:r w:rsidRPr="00997273">
        <w:rPr>
          <w:rFonts w:eastAsia="TimesNewRoman,Bold" w:cs="Times New Roman"/>
          <w:sz w:val="22"/>
          <w:szCs w:val="22"/>
          <w:lang w:val="lt-LT" w:eastAsia="en-US"/>
        </w:rPr>
        <w:t>savai</w:t>
      </w:r>
      <w:r w:rsidRPr="00997273">
        <w:rPr>
          <w:rFonts w:eastAsia="TimesNewRoman,Bold" w:cs="Times New Roman" w:hint="eastAsia"/>
          <w:sz w:val="22"/>
          <w:szCs w:val="22"/>
          <w:lang w:val="lt-LT" w:eastAsia="en-US"/>
        </w:rPr>
        <w:t>č</w:t>
      </w:r>
      <w:r w:rsidRPr="00997273">
        <w:rPr>
          <w:rFonts w:eastAsia="TimesNewRoman,Bold" w:cs="Times New Roman"/>
          <w:sz w:val="22"/>
          <w:szCs w:val="22"/>
          <w:lang w:val="lt-LT" w:eastAsia="en-US"/>
        </w:rPr>
        <w:t>i</w:t>
      </w:r>
      <w:r w:rsidRPr="00997273">
        <w:rPr>
          <w:rFonts w:eastAsia="TimesNewRoman,Bold" w:cs="Times New Roman" w:hint="eastAsia"/>
          <w:sz w:val="22"/>
          <w:szCs w:val="22"/>
          <w:lang w:val="lt-LT" w:eastAsia="en-US"/>
        </w:rPr>
        <w:t>ų</w:t>
      </w:r>
      <w:r w:rsidRPr="00997273">
        <w:rPr>
          <w:rFonts w:eastAsia="TimesNewRoman,Bold" w:cs="Times New Roman"/>
          <w:sz w:val="22"/>
          <w:szCs w:val="22"/>
          <w:lang w:val="lt-LT" w:eastAsia="en-US"/>
        </w:rPr>
        <w:t xml:space="preserve"> </w:t>
      </w:r>
      <w:r w:rsidR="00DF7E6B">
        <w:rPr>
          <w:rFonts w:eastAsia="TimesNewRoman,Bold" w:cs="Times New Roman"/>
          <w:sz w:val="22"/>
          <w:szCs w:val="22"/>
          <w:lang w:val="lt-LT" w:eastAsia="en-US"/>
        </w:rPr>
        <w:t xml:space="preserve">nebuvo taikytas joks </w:t>
      </w:r>
      <w:proofErr w:type="spellStart"/>
      <w:r w:rsidR="00EC0FB3">
        <w:rPr>
          <w:rFonts w:eastAsia="TimesNewRoman,Bold" w:cs="Times New Roman"/>
          <w:sz w:val="22"/>
          <w:szCs w:val="22"/>
          <w:lang w:val="lt-LT" w:eastAsia="en-US"/>
        </w:rPr>
        <w:t>glikemiją</w:t>
      </w:r>
      <w:proofErr w:type="spellEnd"/>
      <w:r w:rsidR="00EC0FB3">
        <w:rPr>
          <w:rFonts w:eastAsia="TimesNewRoman,Bold" w:cs="Times New Roman"/>
          <w:sz w:val="22"/>
          <w:szCs w:val="22"/>
          <w:lang w:val="lt-LT" w:eastAsia="en-US"/>
        </w:rPr>
        <w:t xml:space="preserve"> mažinantis</w:t>
      </w:r>
      <w:r w:rsidR="00B276FD">
        <w:rPr>
          <w:rFonts w:eastAsia="TimesNewRoman,Bold" w:cs="Times New Roman"/>
          <w:sz w:val="22"/>
          <w:szCs w:val="22"/>
          <w:lang w:val="lt-LT" w:eastAsia="en-US"/>
        </w:rPr>
        <w:t xml:space="preserve"> gy</w:t>
      </w:r>
      <w:r w:rsidR="00200330">
        <w:rPr>
          <w:rFonts w:eastAsia="TimesNewRoman,Bold" w:cs="Times New Roman"/>
          <w:sz w:val="22"/>
          <w:szCs w:val="22"/>
          <w:lang w:val="lt-LT" w:eastAsia="en-US"/>
        </w:rPr>
        <w:t>d</w:t>
      </w:r>
      <w:r w:rsidR="00B276FD">
        <w:rPr>
          <w:rFonts w:eastAsia="TimesNewRoman,Bold" w:cs="Times New Roman"/>
          <w:sz w:val="22"/>
          <w:szCs w:val="22"/>
          <w:lang w:val="lt-LT" w:eastAsia="en-US"/>
        </w:rPr>
        <w:t xml:space="preserve">ymas </w:t>
      </w:r>
      <w:r w:rsidRPr="00997273">
        <w:rPr>
          <w:rFonts w:eastAsia="TimesNewRoman,Bold" w:cs="Times New Roman"/>
          <w:sz w:val="22"/>
          <w:szCs w:val="22"/>
          <w:lang w:val="lt-LT" w:eastAsia="en-US"/>
        </w:rPr>
        <w:t>(kai HbA</w:t>
      </w:r>
      <w:r w:rsidRPr="00B276FD">
        <w:rPr>
          <w:rFonts w:eastAsia="TimesNewRoman,Bold" w:cs="Times New Roman"/>
          <w:sz w:val="22"/>
          <w:szCs w:val="22"/>
          <w:vertAlign w:val="subscript"/>
          <w:lang w:val="lt-LT" w:eastAsia="en-US"/>
        </w:rPr>
        <w:t>1c</w:t>
      </w:r>
      <w:r w:rsidRPr="00997273">
        <w:rPr>
          <w:rFonts w:eastAsia="TimesNewRoman,Bold" w:cs="Times New Roman"/>
          <w:sz w:val="22"/>
          <w:szCs w:val="22"/>
          <w:lang w:val="lt-LT" w:eastAsia="en-US"/>
        </w:rPr>
        <w:t xml:space="preserve"> rodmuo buvo nuo 6,5</w:t>
      </w:r>
      <w:r w:rsidR="00B276FD">
        <w:rPr>
          <w:rFonts w:eastAsia="TimesNewRoman,Bold" w:cs="Times New Roman"/>
          <w:sz w:val="22"/>
          <w:szCs w:val="22"/>
          <w:lang w:val="lt-LT" w:eastAsia="en-US"/>
        </w:rPr>
        <w:t> </w:t>
      </w:r>
      <w:r w:rsidRPr="00997273">
        <w:rPr>
          <w:rFonts w:eastAsia="TimesNewRoman,Bold" w:cs="Times New Roman"/>
          <w:sz w:val="22"/>
          <w:szCs w:val="22"/>
          <w:lang w:val="lt-LT" w:eastAsia="en-US"/>
        </w:rPr>
        <w:t>% iki 10</w:t>
      </w:r>
      <w:r w:rsidR="00B276FD">
        <w:rPr>
          <w:rFonts w:eastAsia="TimesNewRoman,Bold" w:cs="Times New Roman"/>
          <w:sz w:val="22"/>
          <w:szCs w:val="22"/>
          <w:lang w:val="lt-LT" w:eastAsia="en-US"/>
        </w:rPr>
        <w:t> </w:t>
      </w:r>
      <w:r w:rsidRPr="00997273">
        <w:rPr>
          <w:rFonts w:eastAsia="TimesNewRoman,Bold" w:cs="Times New Roman"/>
          <w:sz w:val="22"/>
          <w:szCs w:val="22"/>
          <w:lang w:val="lt-LT" w:eastAsia="en-US"/>
        </w:rPr>
        <w:t>%) arba bent 12</w:t>
      </w:r>
      <w:r w:rsidR="005A1E01">
        <w:rPr>
          <w:rFonts w:eastAsia="TimesNewRoman,Bold" w:cs="Times New Roman"/>
          <w:sz w:val="22"/>
          <w:szCs w:val="22"/>
          <w:lang w:val="lt-LT" w:eastAsia="en-US"/>
        </w:rPr>
        <w:t> </w:t>
      </w:r>
      <w:r w:rsidRPr="00997273">
        <w:rPr>
          <w:rFonts w:eastAsia="TimesNewRoman,Bold" w:cs="Times New Roman"/>
          <w:sz w:val="22"/>
          <w:szCs w:val="22"/>
          <w:lang w:val="lt-LT" w:eastAsia="en-US"/>
        </w:rPr>
        <w:t>savai</w:t>
      </w:r>
      <w:r w:rsidRPr="00997273">
        <w:rPr>
          <w:rFonts w:eastAsia="TimesNewRoman,Bold" w:cs="Times New Roman" w:hint="eastAsia"/>
          <w:sz w:val="22"/>
          <w:szCs w:val="22"/>
          <w:lang w:val="lt-LT" w:eastAsia="en-US"/>
        </w:rPr>
        <w:t>č</w:t>
      </w:r>
      <w:r w:rsidRPr="00997273">
        <w:rPr>
          <w:rFonts w:eastAsia="TimesNewRoman,Bold" w:cs="Times New Roman"/>
          <w:sz w:val="22"/>
          <w:szCs w:val="22"/>
          <w:lang w:val="lt-LT" w:eastAsia="en-US"/>
        </w:rPr>
        <w:t>i</w:t>
      </w:r>
      <w:r w:rsidRPr="00997273">
        <w:rPr>
          <w:rFonts w:eastAsia="TimesNewRoman,Bold" w:cs="Times New Roman" w:hint="eastAsia"/>
          <w:sz w:val="22"/>
          <w:szCs w:val="22"/>
          <w:lang w:val="lt-LT" w:eastAsia="en-US"/>
        </w:rPr>
        <w:t>ų</w:t>
      </w:r>
      <w:r w:rsidRPr="00997273">
        <w:rPr>
          <w:rFonts w:eastAsia="TimesNewRoman,Bold" w:cs="Times New Roman"/>
          <w:sz w:val="22"/>
          <w:szCs w:val="22"/>
          <w:lang w:val="lt-LT" w:eastAsia="en-US"/>
        </w:rPr>
        <w:t xml:space="preserve"> vartojo stabili</w:t>
      </w:r>
      <w:r w:rsidRPr="00997273">
        <w:rPr>
          <w:rFonts w:eastAsia="TimesNewRoman,Bold" w:cs="Times New Roman" w:hint="eastAsia"/>
          <w:sz w:val="22"/>
          <w:szCs w:val="22"/>
          <w:lang w:val="lt-LT" w:eastAsia="en-US"/>
        </w:rPr>
        <w:t>ą</w:t>
      </w:r>
      <w:r w:rsidRPr="00997273">
        <w:rPr>
          <w:rFonts w:eastAsia="TimesNewRoman,Bold" w:cs="Times New Roman"/>
          <w:sz w:val="22"/>
          <w:szCs w:val="22"/>
          <w:lang w:val="lt-LT" w:eastAsia="en-US"/>
        </w:rPr>
        <w:t xml:space="preserve"> insulino doz</w:t>
      </w:r>
      <w:r w:rsidRPr="00997273">
        <w:rPr>
          <w:rFonts w:eastAsia="TimesNewRoman,Bold" w:cs="Times New Roman" w:hint="eastAsia"/>
          <w:sz w:val="22"/>
          <w:szCs w:val="22"/>
          <w:lang w:val="lt-LT" w:eastAsia="en-US"/>
        </w:rPr>
        <w:t>ę</w:t>
      </w:r>
      <w:r w:rsidRPr="00997273">
        <w:rPr>
          <w:rFonts w:eastAsia="TimesNewRoman,Bold" w:cs="Times New Roman"/>
          <w:sz w:val="22"/>
          <w:szCs w:val="22"/>
          <w:lang w:val="lt-LT" w:eastAsia="en-US"/>
        </w:rPr>
        <w:t xml:space="preserve"> (kai HbA</w:t>
      </w:r>
      <w:r w:rsidRPr="00B276FD">
        <w:rPr>
          <w:rFonts w:eastAsia="TimesNewRoman,Bold" w:cs="Times New Roman"/>
          <w:sz w:val="22"/>
          <w:szCs w:val="22"/>
          <w:vertAlign w:val="subscript"/>
          <w:lang w:val="lt-LT" w:eastAsia="en-US"/>
        </w:rPr>
        <w:t>1c</w:t>
      </w:r>
      <w:r w:rsidRPr="00997273">
        <w:rPr>
          <w:rFonts w:eastAsia="TimesNewRoman,Bold" w:cs="Times New Roman"/>
          <w:sz w:val="22"/>
          <w:szCs w:val="22"/>
          <w:lang w:val="lt-LT" w:eastAsia="en-US"/>
        </w:rPr>
        <w:t xml:space="preserve"> rodmuo buvo nuo 7</w:t>
      </w:r>
      <w:r w:rsidR="009229B8">
        <w:rPr>
          <w:rFonts w:eastAsia="TimesNewRoman,Bold" w:cs="Times New Roman"/>
          <w:sz w:val="22"/>
          <w:szCs w:val="22"/>
          <w:lang w:val="lt-LT" w:eastAsia="en-US"/>
        </w:rPr>
        <w:t> </w:t>
      </w:r>
      <w:r w:rsidRPr="00997273">
        <w:rPr>
          <w:rFonts w:eastAsia="TimesNewRoman,Bold" w:cs="Times New Roman"/>
          <w:sz w:val="22"/>
          <w:szCs w:val="22"/>
          <w:lang w:val="lt-LT" w:eastAsia="en-US"/>
        </w:rPr>
        <w:t>% iki 10</w:t>
      </w:r>
      <w:r w:rsidR="009229B8">
        <w:rPr>
          <w:rFonts w:eastAsia="TimesNewRoman,Bold" w:cs="Times New Roman"/>
          <w:sz w:val="22"/>
          <w:szCs w:val="22"/>
          <w:lang w:val="lt-LT" w:eastAsia="en-US"/>
        </w:rPr>
        <w:t> </w:t>
      </w:r>
      <w:r w:rsidRPr="00997273">
        <w:rPr>
          <w:rFonts w:eastAsia="TimesNewRoman,Bold" w:cs="Times New Roman"/>
          <w:sz w:val="22"/>
          <w:szCs w:val="22"/>
          <w:lang w:val="lt-LT" w:eastAsia="en-US"/>
        </w:rPr>
        <w:t xml:space="preserve">%). Pacientai atsitiktine tvarka buvo suskirstyti </w:t>
      </w:r>
      <w:r w:rsidRPr="00997273">
        <w:rPr>
          <w:rFonts w:eastAsia="TimesNewRoman,Bold" w:cs="Times New Roman" w:hint="eastAsia"/>
          <w:sz w:val="22"/>
          <w:szCs w:val="22"/>
          <w:lang w:val="lt-LT" w:eastAsia="en-US"/>
        </w:rPr>
        <w:t>į</w:t>
      </w:r>
      <w:r w:rsidRPr="00997273">
        <w:rPr>
          <w:rFonts w:eastAsia="TimesNewRoman,Bold" w:cs="Times New Roman"/>
          <w:sz w:val="22"/>
          <w:szCs w:val="22"/>
          <w:lang w:val="lt-LT" w:eastAsia="en-US"/>
        </w:rPr>
        <w:t xml:space="preserve"> grupes </w:t>
      </w:r>
      <w:r w:rsidR="00565F8C" w:rsidRPr="00997273">
        <w:rPr>
          <w:rFonts w:eastAsia="TimesNewRoman,Bold" w:cs="Times New Roman"/>
          <w:sz w:val="22"/>
          <w:szCs w:val="22"/>
          <w:lang w:val="lt-LT" w:eastAsia="en-US"/>
        </w:rPr>
        <w:t>20</w:t>
      </w:r>
      <w:r w:rsidR="005A1E01">
        <w:rPr>
          <w:rFonts w:eastAsia="TimesNewRoman,Bold" w:cs="Times New Roman"/>
          <w:sz w:val="22"/>
          <w:szCs w:val="22"/>
          <w:lang w:val="lt-LT" w:eastAsia="en-US"/>
        </w:rPr>
        <w:t> </w:t>
      </w:r>
      <w:r w:rsidR="00565F8C" w:rsidRPr="00997273">
        <w:rPr>
          <w:rFonts w:eastAsia="TimesNewRoman,Bold" w:cs="Times New Roman"/>
          <w:sz w:val="22"/>
          <w:szCs w:val="22"/>
          <w:lang w:val="lt-LT" w:eastAsia="en-US"/>
        </w:rPr>
        <w:t>savai</w:t>
      </w:r>
      <w:r w:rsidR="00565F8C" w:rsidRPr="00997273">
        <w:rPr>
          <w:rFonts w:eastAsia="TimesNewRoman,Bold" w:cs="Times New Roman" w:hint="eastAsia"/>
          <w:sz w:val="22"/>
          <w:szCs w:val="22"/>
          <w:lang w:val="lt-LT" w:eastAsia="en-US"/>
        </w:rPr>
        <w:t>č</w:t>
      </w:r>
      <w:r w:rsidR="00565F8C" w:rsidRPr="00997273">
        <w:rPr>
          <w:rFonts w:eastAsia="TimesNewRoman,Bold" w:cs="Times New Roman"/>
          <w:sz w:val="22"/>
          <w:szCs w:val="22"/>
          <w:lang w:val="lt-LT" w:eastAsia="en-US"/>
        </w:rPr>
        <w:t>i</w:t>
      </w:r>
      <w:r w:rsidR="00565F8C" w:rsidRPr="00997273">
        <w:rPr>
          <w:rFonts w:eastAsia="TimesNewRoman,Bold" w:cs="Times New Roman" w:hint="eastAsia"/>
          <w:sz w:val="22"/>
          <w:szCs w:val="22"/>
          <w:lang w:val="lt-LT" w:eastAsia="en-US"/>
        </w:rPr>
        <w:t>ų</w:t>
      </w:r>
      <w:r w:rsidR="00565F8C" w:rsidRPr="00997273">
        <w:rPr>
          <w:rFonts w:eastAsia="TimesNewRoman,Bold" w:cs="Times New Roman"/>
          <w:sz w:val="22"/>
          <w:szCs w:val="22"/>
          <w:lang w:val="lt-LT" w:eastAsia="en-US"/>
        </w:rPr>
        <w:t xml:space="preserve"> </w:t>
      </w:r>
      <w:r w:rsidR="00F20B32">
        <w:rPr>
          <w:rFonts w:eastAsia="TimesNewRoman,Bold" w:cs="Times New Roman"/>
          <w:sz w:val="22"/>
          <w:szCs w:val="22"/>
          <w:lang w:val="lt-LT" w:eastAsia="en-US"/>
        </w:rPr>
        <w:t>vartoti</w:t>
      </w:r>
      <w:r w:rsidRPr="00997273">
        <w:rPr>
          <w:rFonts w:eastAsia="TimesNewRoman,Bold" w:cs="Times New Roman"/>
          <w:sz w:val="22"/>
          <w:szCs w:val="22"/>
          <w:lang w:val="lt-LT" w:eastAsia="en-US"/>
        </w:rPr>
        <w:t xml:space="preserve"> </w:t>
      </w:r>
      <w:r w:rsidR="00565F8C" w:rsidRPr="00997273">
        <w:rPr>
          <w:rFonts w:eastAsia="TimesNewRoman,Bold" w:cs="Times New Roman"/>
          <w:sz w:val="22"/>
          <w:szCs w:val="22"/>
          <w:lang w:val="lt-LT" w:eastAsia="en-US"/>
        </w:rPr>
        <w:t>kart</w:t>
      </w:r>
      <w:r w:rsidR="00565F8C" w:rsidRPr="00997273">
        <w:rPr>
          <w:rFonts w:eastAsia="TimesNewRoman,Bold" w:cs="Times New Roman" w:hint="eastAsia"/>
          <w:sz w:val="22"/>
          <w:szCs w:val="22"/>
          <w:lang w:val="lt-LT" w:eastAsia="en-US"/>
        </w:rPr>
        <w:t>ą</w:t>
      </w:r>
      <w:r w:rsidR="00565F8C" w:rsidRPr="00997273">
        <w:rPr>
          <w:rFonts w:eastAsia="TimesNewRoman,Bold" w:cs="Times New Roman"/>
          <w:sz w:val="22"/>
          <w:szCs w:val="22"/>
          <w:lang w:val="lt-LT" w:eastAsia="en-US"/>
        </w:rPr>
        <w:t xml:space="preserve"> per par</w:t>
      </w:r>
      <w:r w:rsidR="00565F8C" w:rsidRPr="00997273">
        <w:rPr>
          <w:rFonts w:eastAsia="TimesNewRoman,Bold" w:cs="Times New Roman" w:hint="eastAsia"/>
          <w:sz w:val="22"/>
          <w:szCs w:val="22"/>
          <w:lang w:val="lt-LT" w:eastAsia="en-US"/>
        </w:rPr>
        <w:t>ą</w:t>
      </w:r>
      <w:r w:rsidR="00565F8C" w:rsidRPr="00997273">
        <w:rPr>
          <w:rFonts w:eastAsia="TimesNewRoman,Bold" w:cs="Times New Roman"/>
          <w:sz w:val="22"/>
          <w:szCs w:val="22"/>
          <w:lang w:val="lt-LT" w:eastAsia="en-US"/>
        </w:rPr>
        <w:t xml:space="preserve"> </w:t>
      </w:r>
      <w:r w:rsidRPr="00997273">
        <w:rPr>
          <w:rFonts w:eastAsia="TimesNewRoman,Bold" w:cs="Times New Roman"/>
          <w:sz w:val="22"/>
          <w:szCs w:val="22"/>
          <w:lang w:val="lt-LT" w:eastAsia="en-US"/>
        </w:rPr>
        <w:t>100</w:t>
      </w:r>
      <w:r w:rsidR="009229B8">
        <w:rPr>
          <w:rFonts w:eastAsia="TimesNewRoman,Bold" w:cs="Times New Roman"/>
          <w:sz w:val="22"/>
          <w:szCs w:val="22"/>
          <w:lang w:val="lt-LT" w:eastAsia="en-US"/>
        </w:rPr>
        <w:t> </w:t>
      </w:r>
      <w:r w:rsidRPr="00997273">
        <w:rPr>
          <w:rFonts w:eastAsia="TimesNewRoman,Bold" w:cs="Times New Roman"/>
          <w:sz w:val="22"/>
          <w:szCs w:val="22"/>
          <w:lang w:val="lt-LT" w:eastAsia="en-US"/>
        </w:rPr>
        <w:t xml:space="preserve">mg </w:t>
      </w:r>
      <w:proofErr w:type="spellStart"/>
      <w:r w:rsidRPr="00997273">
        <w:rPr>
          <w:rFonts w:eastAsia="TimesNewRoman,Bold" w:cs="Times New Roman"/>
          <w:sz w:val="22"/>
          <w:szCs w:val="22"/>
          <w:lang w:val="lt-LT" w:eastAsia="en-US"/>
        </w:rPr>
        <w:t>sitagliptino</w:t>
      </w:r>
      <w:proofErr w:type="spellEnd"/>
      <w:r w:rsidRPr="00997273">
        <w:rPr>
          <w:rFonts w:eastAsia="TimesNewRoman,Bold" w:cs="Times New Roman"/>
          <w:sz w:val="22"/>
          <w:szCs w:val="22"/>
          <w:lang w:val="lt-LT" w:eastAsia="en-US"/>
        </w:rPr>
        <w:t xml:space="preserve"> arba placeb</w:t>
      </w:r>
      <w:r w:rsidR="00565F8C">
        <w:rPr>
          <w:rFonts w:eastAsia="TimesNewRoman,Bold" w:cs="Times New Roman"/>
          <w:sz w:val="22"/>
          <w:szCs w:val="22"/>
          <w:lang w:val="lt-LT" w:eastAsia="en-US"/>
        </w:rPr>
        <w:t>o</w:t>
      </w:r>
      <w:r w:rsidRPr="00997273">
        <w:rPr>
          <w:rFonts w:eastAsia="TimesNewRoman,Bold" w:cs="Times New Roman"/>
          <w:sz w:val="22"/>
          <w:szCs w:val="22"/>
          <w:lang w:val="lt-LT" w:eastAsia="en-US"/>
        </w:rPr>
        <w:t>.</w:t>
      </w:r>
    </w:p>
    <w:p w14:paraId="4DA33664" w14:textId="77777777" w:rsidR="00DD1DDB" w:rsidRPr="00997273" w:rsidRDefault="00DD1DDB" w:rsidP="00DD1DDB">
      <w:pPr>
        <w:autoSpaceDE w:val="0"/>
        <w:autoSpaceDN w:val="0"/>
        <w:adjustRightInd w:val="0"/>
        <w:rPr>
          <w:rFonts w:eastAsia="TimesNewRoman,Bold" w:cs="Times New Roman"/>
          <w:sz w:val="22"/>
          <w:szCs w:val="22"/>
          <w:lang w:val="lt-LT" w:eastAsia="en-US"/>
        </w:rPr>
      </w:pPr>
    </w:p>
    <w:p w14:paraId="75A78132" w14:textId="5FBA00C5" w:rsidR="00090B48" w:rsidRPr="00997273" w:rsidRDefault="00DD1DDB" w:rsidP="00DD1DDB">
      <w:pPr>
        <w:autoSpaceDE w:val="0"/>
        <w:autoSpaceDN w:val="0"/>
        <w:adjustRightInd w:val="0"/>
        <w:rPr>
          <w:rFonts w:eastAsia="MathExt" w:cs="Times New Roman"/>
          <w:sz w:val="22"/>
          <w:szCs w:val="22"/>
          <w:lang w:val="lt-LT" w:eastAsia="en-US"/>
        </w:rPr>
      </w:pPr>
      <w:r w:rsidRPr="00997273">
        <w:rPr>
          <w:rFonts w:eastAsia="TimesNewRoman,Bold" w:cs="Times New Roman"/>
          <w:sz w:val="22"/>
          <w:szCs w:val="22"/>
          <w:lang w:val="lt-LT" w:eastAsia="en-US"/>
        </w:rPr>
        <w:t>Vidutinis pradinis HbA</w:t>
      </w:r>
      <w:r w:rsidRPr="001D5D6C">
        <w:rPr>
          <w:rFonts w:eastAsia="TimesNewRoman,Bold" w:cs="Times New Roman"/>
          <w:sz w:val="22"/>
          <w:szCs w:val="22"/>
          <w:vertAlign w:val="subscript"/>
          <w:lang w:val="lt-LT" w:eastAsia="en-US"/>
        </w:rPr>
        <w:t>1c</w:t>
      </w:r>
      <w:r w:rsidRPr="00997273">
        <w:rPr>
          <w:rFonts w:eastAsia="TimesNewRoman,Bold" w:cs="Times New Roman"/>
          <w:sz w:val="22"/>
          <w:szCs w:val="22"/>
          <w:lang w:val="lt-LT" w:eastAsia="en-US"/>
        </w:rPr>
        <w:t xml:space="preserve"> rodmuo buvo 7,5</w:t>
      </w:r>
      <w:r w:rsidR="002666DA">
        <w:rPr>
          <w:rFonts w:eastAsia="TimesNewRoman,Bold" w:cs="Times New Roman"/>
          <w:sz w:val="22"/>
          <w:szCs w:val="22"/>
          <w:lang w:val="lt-LT" w:eastAsia="en-US"/>
        </w:rPr>
        <w:t> </w:t>
      </w:r>
      <w:r w:rsidRPr="00997273">
        <w:rPr>
          <w:rFonts w:eastAsia="TimesNewRoman,Bold" w:cs="Times New Roman"/>
          <w:sz w:val="22"/>
          <w:szCs w:val="22"/>
          <w:lang w:val="lt-LT" w:eastAsia="en-US"/>
        </w:rPr>
        <w:t>%. Gydymas 100</w:t>
      </w:r>
      <w:r w:rsidR="00D628A7">
        <w:rPr>
          <w:rFonts w:eastAsia="TimesNewRoman,Bold" w:cs="Times New Roman"/>
          <w:sz w:val="22"/>
          <w:szCs w:val="22"/>
          <w:lang w:val="lt-LT" w:eastAsia="en-US"/>
        </w:rPr>
        <w:t> </w:t>
      </w:r>
      <w:r w:rsidRPr="00997273">
        <w:rPr>
          <w:rFonts w:eastAsia="TimesNewRoman,Bold" w:cs="Times New Roman"/>
          <w:sz w:val="22"/>
          <w:szCs w:val="22"/>
          <w:lang w:val="lt-LT" w:eastAsia="en-US"/>
        </w:rPr>
        <w:t xml:space="preserve">mg </w:t>
      </w:r>
      <w:proofErr w:type="spellStart"/>
      <w:r w:rsidRPr="00997273">
        <w:rPr>
          <w:rFonts w:eastAsia="TimesNewRoman,Bold" w:cs="Times New Roman"/>
          <w:sz w:val="22"/>
          <w:szCs w:val="22"/>
          <w:lang w:val="lt-LT" w:eastAsia="en-US"/>
        </w:rPr>
        <w:t>sitagliptino</w:t>
      </w:r>
      <w:proofErr w:type="spellEnd"/>
      <w:r w:rsidRPr="00997273">
        <w:rPr>
          <w:rFonts w:eastAsia="TimesNewRoman,Bold" w:cs="Times New Roman"/>
          <w:sz w:val="22"/>
          <w:szCs w:val="22"/>
          <w:lang w:val="lt-LT" w:eastAsia="en-US"/>
        </w:rPr>
        <w:t xml:space="preserve"> doze ne</w:t>
      </w:r>
      <w:r w:rsidR="002C3ABA">
        <w:rPr>
          <w:rFonts w:eastAsia="TimesNewRoman,Bold" w:cs="Times New Roman"/>
          <w:sz w:val="22"/>
          <w:szCs w:val="22"/>
          <w:lang w:val="lt-LT" w:eastAsia="en-US"/>
        </w:rPr>
        <w:t xml:space="preserve">sukėlė </w:t>
      </w:r>
      <w:r w:rsidRPr="00997273">
        <w:rPr>
          <w:rFonts w:eastAsia="TimesNewRoman,Bold" w:cs="Times New Roman"/>
          <w:sz w:val="22"/>
          <w:szCs w:val="22"/>
          <w:lang w:val="lt-LT" w:eastAsia="en-US"/>
        </w:rPr>
        <w:t>reik</w:t>
      </w:r>
      <w:r w:rsidRPr="00997273">
        <w:rPr>
          <w:rFonts w:eastAsia="TimesNewRoman,Bold" w:cs="Times New Roman" w:hint="eastAsia"/>
          <w:sz w:val="22"/>
          <w:szCs w:val="22"/>
          <w:lang w:val="lt-LT" w:eastAsia="en-US"/>
        </w:rPr>
        <w:t>š</w:t>
      </w:r>
      <w:r w:rsidRPr="00997273">
        <w:rPr>
          <w:rFonts w:eastAsia="TimesNewRoman,Bold" w:cs="Times New Roman"/>
          <w:sz w:val="22"/>
          <w:szCs w:val="22"/>
          <w:lang w:val="lt-LT" w:eastAsia="en-US"/>
        </w:rPr>
        <w:t>mingo HbA</w:t>
      </w:r>
      <w:r w:rsidRPr="002C3ABA">
        <w:rPr>
          <w:rFonts w:eastAsia="TimesNewRoman,Bold" w:cs="Times New Roman"/>
          <w:sz w:val="22"/>
          <w:szCs w:val="22"/>
          <w:vertAlign w:val="subscript"/>
          <w:lang w:val="lt-LT" w:eastAsia="en-US"/>
        </w:rPr>
        <w:t>1c</w:t>
      </w:r>
      <w:r w:rsidRPr="00997273">
        <w:rPr>
          <w:rFonts w:eastAsia="TimesNewRoman,Bold" w:cs="Times New Roman"/>
          <w:sz w:val="22"/>
          <w:szCs w:val="22"/>
          <w:lang w:val="lt-LT" w:eastAsia="en-US"/>
        </w:rPr>
        <w:t xml:space="preserve"> rodmens pager</w:t>
      </w:r>
      <w:r w:rsidRPr="00997273">
        <w:rPr>
          <w:rFonts w:eastAsia="TimesNewRoman,Bold" w:cs="Times New Roman" w:hint="eastAsia"/>
          <w:sz w:val="22"/>
          <w:szCs w:val="22"/>
          <w:lang w:val="lt-LT" w:eastAsia="en-US"/>
        </w:rPr>
        <w:t>ė</w:t>
      </w:r>
      <w:r w:rsidRPr="00997273">
        <w:rPr>
          <w:rFonts w:eastAsia="TimesNewRoman,Bold" w:cs="Times New Roman"/>
          <w:sz w:val="22"/>
          <w:szCs w:val="22"/>
          <w:lang w:val="lt-LT" w:eastAsia="en-US"/>
        </w:rPr>
        <w:t>jimo po 20</w:t>
      </w:r>
      <w:r w:rsidR="005A1E01">
        <w:rPr>
          <w:rFonts w:eastAsia="TimesNewRoman,Bold" w:cs="Times New Roman"/>
          <w:sz w:val="22"/>
          <w:szCs w:val="22"/>
          <w:lang w:val="lt-LT" w:eastAsia="en-US"/>
        </w:rPr>
        <w:t> </w:t>
      </w:r>
      <w:r w:rsidRPr="00997273">
        <w:rPr>
          <w:rFonts w:eastAsia="TimesNewRoman,Bold" w:cs="Times New Roman"/>
          <w:sz w:val="22"/>
          <w:szCs w:val="22"/>
          <w:lang w:val="lt-LT" w:eastAsia="en-US"/>
        </w:rPr>
        <w:t>savai</w:t>
      </w:r>
      <w:r w:rsidRPr="00997273">
        <w:rPr>
          <w:rFonts w:eastAsia="TimesNewRoman,Bold" w:cs="Times New Roman" w:hint="eastAsia"/>
          <w:sz w:val="22"/>
          <w:szCs w:val="22"/>
          <w:lang w:val="lt-LT" w:eastAsia="en-US"/>
        </w:rPr>
        <w:t>č</w:t>
      </w:r>
      <w:r w:rsidRPr="00997273">
        <w:rPr>
          <w:rFonts w:eastAsia="TimesNewRoman,Bold" w:cs="Times New Roman"/>
          <w:sz w:val="22"/>
          <w:szCs w:val="22"/>
          <w:lang w:val="lt-LT" w:eastAsia="en-US"/>
        </w:rPr>
        <w:t>i</w:t>
      </w:r>
      <w:r w:rsidRPr="00997273">
        <w:rPr>
          <w:rFonts w:eastAsia="TimesNewRoman,Bold" w:cs="Times New Roman" w:hint="eastAsia"/>
          <w:sz w:val="22"/>
          <w:szCs w:val="22"/>
          <w:lang w:val="lt-LT" w:eastAsia="en-US"/>
        </w:rPr>
        <w:t>ų</w:t>
      </w:r>
      <w:r w:rsidRPr="00997273">
        <w:rPr>
          <w:rFonts w:eastAsia="TimesNewRoman,Bold" w:cs="Times New Roman"/>
          <w:sz w:val="22"/>
          <w:szCs w:val="22"/>
          <w:lang w:val="lt-LT" w:eastAsia="en-US"/>
        </w:rPr>
        <w:t>. HbA</w:t>
      </w:r>
      <w:r w:rsidRPr="002C3ABA">
        <w:rPr>
          <w:rFonts w:eastAsia="TimesNewRoman,Bold" w:cs="Times New Roman"/>
          <w:sz w:val="22"/>
          <w:szCs w:val="22"/>
          <w:vertAlign w:val="subscript"/>
          <w:lang w:val="lt-LT" w:eastAsia="en-US"/>
        </w:rPr>
        <w:t>1c</w:t>
      </w:r>
      <w:r w:rsidRPr="00997273">
        <w:rPr>
          <w:rFonts w:eastAsia="TimesNewRoman,Bold" w:cs="Times New Roman"/>
          <w:sz w:val="22"/>
          <w:szCs w:val="22"/>
          <w:lang w:val="lt-LT" w:eastAsia="en-US"/>
        </w:rPr>
        <w:t xml:space="preserve"> rodmens suma</w:t>
      </w:r>
      <w:r w:rsidRPr="00997273">
        <w:rPr>
          <w:rFonts w:eastAsia="TimesNewRoman,Bold" w:cs="Times New Roman" w:hint="eastAsia"/>
          <w:sz w:val="22"/>
          <w:szCs w:val="22"/>
          <w:lang w:val="lt-LT" w:eastAsia="en-US"/>
        </w:rPr>
        <w:t>žė</w:t>
      </w:r>
      <w:r w:rsidRPr="00997273">
        <w:rPr>
          <w:rFonts w:eastAsia="TimesNewRoman,Bold" w:cs="Times New Roman"/>
          <w:sz w:val="22"/>
          <w:szCs w:val="22"/>
          <w:lang w:val="lt-LT" w:eastAsia="en-US"/>
        </w:rPr>
        <w:t xml:space="preserve">jimas pacientams, kurie vartojo </w:t>
      </w:r>
      <w:proofErr w:type="spellStart"/>
      <w:r w:rsidRPr="00997273">
        <w:rPr>
          <w:rFonts w:eastAsia="TimesNewRoman,Bold" w:cs="Times New Roman"/>
          <w:sz w:val="22"/>
          <w:szCs w:val="22"/>
          <w:lang w:val="lt-LT" w:eastAsia="en-US"/>
        </w:rPr>
        <w:t>sitagliptino</w:t>
      </w:r>
      <w:proofErr w:type="spellEnd"/>
      <w:r w:rsidRPr="00997273">
        <w:rPr>
          <w:rFonts w:eastAsia="TimesNewRoman,Bold" w:cs="Times New Roman"/>
          <w:sz w:val="22"/>
          <w:szCs w:val="22"/>
          <w:lang w:val="lt-LT" w:eastAsia="en-US"/>
        </w:rPr>
        <w:t xml:space="preserve"> (N = 95), buvo 0,0</w:t>
      </w:r>
      <w:r w:rsidR="00D12FF3">
        <w:rPr>
          <w:rFonts w:eastAsia="TimesNewRoman,Bold" w:cs="Times New Roman"/>
          <w:sz w:val="22"/>
          <w:szCs w:val="22"/>
          <w:lang w:val="lt-LT" w:eastAsia="en-US"/>
        </w:rPr>
        <w:t> </w:t>
      </w:r>
      <w:r w:rsidRPr="00997273">
        <w:rPr>
          <w:rFonts w:eastAsia="TimesNewRoman,Bold" w:cs="Times New Roman"/>
          <w:sz w:val="22"/>
          <w:szCs w:val="22"/>
          <w:lang w:val="lt-LT" w:eastAsia="en-US"/>
        </w:rPr>
        <w:t>%, lyginant su 0,2</w:t>
      </w:r>
      <w:r w:rsidR="00D12FF3">
        <w:rPr>
          <w:rFonts w:eastAsia="TimesNewRoman,Bold" w:cs="Times New Roman"/>
          <w:sz w:val="22"/>
          <w:szCs w:val="22"/>
          <w:lang w:val="lt-LT" w:eastAsia="en-US"/>
        </w:rPr>
        <w:t> </w:t>
      </w:r>
      <w:r w:rsidRPr="00997273">
        <w:rPr>
          <w:rFonts w:eastAsia="TimesNewRoman,Bold" w:cs="Times New Roman"/>
          <w:sz w:val="22"/>
          <w:szCs w:val="22"/>
          <w:lang w:val="lt-LT" w:eastAsia="en-US"/>
        </w:rPr>
        <w:t>% suma</w:t>
      </w:r>
      <w:r w:rsidRPr="00997273">
        <w:rPr>
          <w:rFonts w:eastAsia="TimesNewRoman,Bold" w:cs="Times New Roman" w:hint="eastAsia"/>
          <w:sz w:val="22"/>
          <w:szCs w:val="22"/>
          <w:lang w:val="lt-LT" w:eastAsia="en-US"/>
        </w:rPr>
        <w:t>žė</w:t>
      </w:r>
      <w:r w:rsidRPr="00997273">
        <w:rPr>
          <w:rFonts w:eastAsia="TimesNewRoman,Bold" w:cs="Times New Roman"/>
          <w:sz w:val="22"/>
          <w:szCs w:val="22"/>
          <w:lang w:val="lt-LT" w:eastAsia="en-US"/>
        </w:rPr>
        <w:t>jimu placebo vartojusiems pacientams (N</w:t>
      </w:r>
      <w:r w:rsidR="002C3ABA">
        <w:rPr>
          <w:rFonts w:eastAsia="TimesNewRoman,Bold" w:cs="Times New Roman"/>
          <w:sz w:val="22"/>
          <w:szCs w:val="22"/>
          <w:lang w:val="lt-LT" w:eastAsia="en-US"/>
        </w:rPr>
        <w:t> </w:t>
      </w:r>
      <w:r w:rsidRPr="00997273">
        <w:rPr>
          <w:rFonts w:eastAsia="TimesNewRoman,Bold" w:cs="Times New Roman"/>
          <w:sz w:val="22"/>
          <w:szCs w:val="22"/>
          <w:lang w:val="lt-LT" w:eastAsia="en-US"/>
        </w:rPr>
        <w:t xml:space="preserve">= 95), t. y., skirtumas buvo </w:t>
      </w:r>
      <w:r w:rsidR="00B624EC">
        <w:rPr>
          <w:rFonts w:eastAsia="TimesNewRoman,Bold" w:cs="Times New Roman"/>
          <w:sz w:val="22"/>
          <w:szCs w:val="22"/>
          <w:lang w:val="lt-LT" w:eastAsia="en-US"/>
        </w:rPr>
        <w:t>–</w:t>
      </w:r>
      <w:r w:rsidRPr="00997273">
        <w:rPr>
          <w:rFonts w:eastAsia="TimesNewRoman,Bold" w:cs="Times New Roman"/>
          <w:sz w:val="22"/>
          <w:szCs w:val="22"/>
          <w:lang w:val="lt-LT" w:eastAsia="en-US"/>
        </w:rPr>
        <w:t>0,2 % (95</w:t>
      </w:r>
      <w:r w:rsidR="002666DA">
        <w:rPr>
          <w:rFonts w:eastAsia="TimesNewRoman,Bold" w:cs="Times New Roman"/>
          <w:sz w:val="22"/>
          <w:szCs w:val="22"/>
          <w:lang w:val="lt-LT" w:eastAsia="en-US"/>
        </w:rPr>
        <w:t> </w:t>
      </w:r>
      <w:r w:rsidRPr="00997273">
        <w:rPr>
          <w:rFonts w:eastAsia="TimesNewRoman,Bold" w:cs="Times New Roman"/>
          <w:sz w:val="22"/>
          <w:szCs w:val="22"/>
          <w:lang w:val="lt-LT" w:eastAsia="en-US"/>
        </w:rPr>
        <w:t xml:space="preserve">% PI: </w:t>
      </w:r>
      <w:r w:rsidR="00B624EC">
        <w:rPr>
          <w:rFonts w:eastAsia="TimesNewRoman,Bold" w:cs="Times New Roman"/>
          <w:sz w:val="22"/>
          <w:szCs w:val="22"/>
          <w:lang w:val="lt-LT" w:eastAsia="en-US"/>
        </w:rPr>
        <w:t xml:space="preserve">– </w:t>
      </w:r>
      <w:r w:rsidR="005A1E01">
        <w:rPr>
          <w:rFonts w:eastAsia="TimesNewRoman,Bold" w:cs="Times New Roman"/>
          <w:sz w:val="22"/>
          <w:szCs w:val="22"/>
          <w:lang w:val="lt-LT" w:eastAsia="en-US"/>
        </w:rPr>
        <w:t>0</w:t>
      </w:r>
      <w:r w:rsidRPr="00997273">
        <w:rPr>
          <w:rFonts w:eastAsia="TimesNewRoman,Bold" w:cs="Times New Roman"/>
          <w:sz w:val="22"/>
          <w:szCs w:val="22"/>
          <w:lang w:val="lt-LT" w:eastAsia="en-US"/>
        </w:rPr>
        <w:t xml:space="preserve">,7; 0,3). </w:t>
      </w:r>
      <w:r w:rsidRPr="00997273">
        <w:rPr>
          <w:rFonts w:eastAsia="TimesNewRoman,Bold" w:cs="Times New Roman" w:hint="eastAsia"/>
          <w:sz w:val="22"/>
          <w:szCs w:val="22"/>
          <w:lang w:val="lt-LT" w:eastAsia="en-US"/>
        </w:rPr>
        <w:t>Ž</w:t>
      </w:r>
      <w:r w:rsidRPr="00997273">
        <w:rPr>
          <w:rFonts w:eastAsia="TimesNewRoman,Bold" w:cs="Times New Roman"/>
          <w:sz w:val="22"/>
          <w:szCs w:val="22"/>
          <w:lang w:val="lt-LT" w:eastAsia="en-US"/>
        </w:rPr>
        <w:t>r. 4.2</w:t>
      </w:r>
      <w:r w:rsidR="005A1E01">
        <w:rPr>
          <w:rFonts w:eastAsia="TimesNewRoman,Bold" w:cs="Times New Roman"/>
          <w:sz w:val="22"/>
          <w:szCs w:val="22"/>
          <w:lang w:val="lt-LT" w:eastAsia="en-US"/>
        </w:rPr>
        <w:t> </w:t>
      </w:r>
      <w:r w:rsidRPr="00997273">
        <w:rPr>
          <w:rFonts w:eastAsia="TimesNewRoman,Bold" w:cs="Times New Roman"/>
          <w:sz w:val="22"/>
          <w:szCs w:val="22"/>
          <w:lang w:val="lt-LT" w:eastAsia="en-US"/>
        </w:rPr>
        <w:t>skyri</w:t>
      </w:r>
      <w:r w:rsidRPr="00997273">
        <w:rPr>
          <w:rFonts w:eastAsia="TimesNewRoman,Bold" w:cs="Times New Roman" w:hint="eastAsia"/>
          <w:sz w:val="22"/>
          <w:szCs w:val="22"/>
          <w:lang w:val="lt-LT" w:eastAsia="en-US"/>
        </w:rPr>
        <w:t>ų</w:t>
      </w:r>
      <w:r w:rsidRPr="00997273">
        <w:rPr>
          <w:rFonts w:eastAsia="TimesNewRoman,Bold" w:cs="Times New Roman"/>
          <w:sz w:val="22"/>
          <w:szCs w:val="22"/>
          <w:lang w:val="lt-LT" w:eastAsia="en-US"/>
        </w:rPr>
        <w:t>.</w:t>
      </w:r>
    </w:p>
    <w:p w14:paraId="36145C44" w14:textId="77777777" w:rsidR="00090B48" w:rsidRPr="00997273" w:rsidRDefault="00090B48" w:rsidP="00090B48">
      <w:pPr>
        <w:tabs>
          <w:tab w:val="left" w:pos="567"/>
        </w:tabs>
        <w:autoSpaceDE w:val="0"/>
        <w:autoSpaceDN w:val="0"/>
        <w:adjustRightInd w:val="0"/>
        <w:rPr>
          <w:rFonts w:eastAsia="MathExt" w:cs="Times New Roman"/>
          <w:sz w:val="22"/>
          <w:szCs w:val="22"/>
          <w:lang w:val="lt-LT" w:eastAsia="en-US"/>
        </w:rPr>
      </w:pPr>
    </w:p>
    <w:p w14:paraId="46247558" w14:textId="77777777" w:rsidR="00612A8E" w:rsidRPr="00997273" w:rsidRDefault="00612A8E" w:rsidP="00612A8E">
      <w:pPr>
        <w:keepNext/>
        <w:numPr>
          <w:ilvl w:val="1"/>
          <w:numId w:val="25"/>
        </w:numPr>
        <w:tabs>
          <w:tab w:val="left" w:pos="567"/>
        </w:tabs>
        <w:spacing w:line="260" w:lineRule="exact"/>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Farmakokinetinės savybės</w:t>
      </w:r>
    </w:p>
    <w:p w14:paraId="7FB6863C" w14:textId="77777777" w:rsidR="00612A8E" w:rsidRPr="00997273" w:rsidRDefault="00612A8E" w:rsidP="00612A8E">
      <w:pPr>
        <w:keepNext/>
        <w:tabs>
          <w:tab w:val="left" w:pos="567"/>
        </w:tabs>
        <w:ind w:left="567" w:hanging="567"/>
        <w:outlineLvl w:val="0"/>
        <w:rPr>
          <w:rFonts w:eastAsia="Times New Roman" w:cs="Times New Roman"/>
          <w:b/>
          <w:noProof/>
          <w:sz w:val="22"/>
          <w:szCs w:val="22"/>
          <w:lang w:val="lt-LT" w:eastAsia="lt-LT" w:bidi="lt-LT"/>
        </w:rPr>
      </w:pPr>
    </w:p>
    <w:p w14:paraId="1848A0C3" w14:textId="77777777" w:rsidR="0000506F" w:rsidRPr="00997273" w:rsidRDefault="0000506F" w:rsidP="0000506F">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Absorbcija</w:t>
      </w:r>
    </w:p>
    <w:p w14:paraId="354C2126" w14:textId="036A7AA3" w:rsidR="0000506F" w:rsidRPr="00997273" w:rsidRDefault="0000506F" w:rsidP="0000506F">
      <w:pPr>
        <w:autoSpaceDE w:val="0"/>
        <w:autoSpaceDN w:val="0"/>
        <w:adjustRightInd w:val="0"/>
        <w:rPr>
          <w:rFonts w:cs="Times New Roman"/>
          <w:sz w:val="22"/>
          <w:szCs w:val="22"/>
          <w:lang w:val="lt-LT" w:eastAsia="en-US"/>
        </w:rPr>
      </w:pPr>
      <w:r w:rsidRPr="00997273">
        <w:rPr>
          <w:rFonts w:cs="Times New Roman"/>
          <w:sz w:val="22"/>
          <w:szCs w:val="22"/>
          <w:lang w:val="lt-LT" w:eastAsia="en-US"/>
        </w:rPr>
        <w:t>Sveikų tiriamųjų išgėrusių vieną 100</w:t>
      </w:r>
      <w:r w:rsidR="00967713">
        <w:rPr>
          <w:rFonts w:cs="Times New Roman"/>
          <w:sz w:val="22"/>
          <w:szCs w:val="22"/>
          <w:lang w:val="lt-LT" w:eastAsia="en-US"/>
        </w:rPr>
        <w:t> </w:t>
      </w:r>
      <w:r w:rsidRPr="00997273">
        <w:rPr>
          <w:rFonts w:cs="Times New Roman"/>
          <w:sz w:val="22"/>
          <w:szCs w:val="22"/>
          <w:lang w:val="lt-LT" w:eastAsia="en-US"/>
        </w:rPr>
        <w:t xml:space="preserve">mg dozę, organizme </w:t>
      </w:r>
      <w:proofErr w:type="spellStart"/>
      <w:r w:rsidRPr="00997273">
        <w:rPr>
          <w:rFonts w:cs="Times New Roman"/>
          <w:sz w:val="22"/>
          <w:szCs w:val="22"/>
          <w:lang w:val="lt-LT" w:eastAsia="en-US"/>
        </w:rPr>
        <w:t>sitagliptinas</w:t>
      </w:r>
      <w:proofErr w:type="spellEnd"/>
      <w:r w:rsidRPr="00997273">
        <w:rPr>
          <w:rFonts w:cs="Times New Roman"/>
          <w:sz w:val="22"/>
          <w:szCs w:val="22"/>
          <w:lang w:val="lt-LT" w:eastAsia="en-US"/>
        </w:rPr>
        <w:t xml:space="preserve"> buvo greitai absorbuotas, didžiausia koncentracija plazmoje (</w:t>
      </w:r>
      <w:proofErr w:type="spellStart"/>
      <w:r w:rsidRPr="00997273">
        <w:rPr>
          <w:rFonts w:cs="Times New Roman"/>
          <w:sz w:val="22"/>
          <w:szCs w:val="22"/>
          <w:lang w:val="lt-LT" w:eastAsia="en-US"/>
        </w:rPr>
        <w:t>T</w:t>
      </w:r>
      <w:r w:rsidRPr="00997273">
        <w:rPr>
          <w:rFonts w:cs="Times New Roman"/>
          <w:sz w:val="22"/>
          <w:szCs w:val="22"/>
          <w:vertAlign w:val="subscript"/>
          <w:lang w:val="lt-LT" w:eastAsia="en-US"/>
        </w:rPr>
        <w:t>max</w:t>
      </w:r>
      <w:proofErr w:type="spellEnd"/>
      <w:r w:rsidRPr="00997273">
        <w:rPr>
          <w:rFonts w:cs="Times New Roman"/>
          <w:sz w:val="22"/>
          <w:szCs w:val="22"/>
          <w:lang w:val="lt-LT" w:eastAsia="en-US"/>
        </w:rPr>
        <w:t xml:space="preserve"> mediana) </w:t>
      </w:r>
      <w:r w:rsidR="002666DA">
        <w:rPr>
          <w:rFonts w:cs="Times New Roman"/>
          <w:sz w:val="22"/>
          <w:szCs w:val="22"/>
          <w:lang w:val="lt-LT" w:eastAsia="en-US"/>
        </w:rPr>
        <w:t>susidarė</w:t>
      </w:r>
      <w:r w:rsidR="002666DA" w:rsidRPr="00997273">
        <w:rPr>
          <w:rFonts w:cs="Times New Roman"/>
          <w:sz w:val="22"/>
          <w:szCs w:val="22"/>
          <w:lang w:val="lt-LT" w:eastAsia="en-US"/>
        </w:rPr>
        <w:t xml:space="preserve"> </w:t>
      </w:r>
      <w:r w:rsidRPr="00997273">
        <w:rPr>
          <w:rFonts w:cs="Times New Roman"/>
          <w:sz w:val="22"/>
          <w:szCs w:val="22"/>
          <w:lang w:val="lt-LT" w:eastAsia="en-US"/>
        </w:rPr>
        <w:t xml:space="preserve">po 1–4 valandų, vidutinis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w:t>
      </w:r>
      <w:r w:rsidR="00967713">
        <w:rPr>
          <w:rFonts w:cs="Times New Roman"/>
          <w:sz w:val="22"/>
          <w:szCs w:val="22"/>
          <w:lang w:val="lt-LT" w:eastAsia="en-US"/>
        </w:rPr>
        <w:t>AUC</w:t>
      </w:r>
      <w:r w:rsidRPr="00997273">
        <w:rPr>
          <w:rFonts w:cs="Times New Roman"/>
          <w:sz w:val="22"/>
          <w:szCs w:val="22"/>
          <w:lang w:val="lt-LT" w:eastAsia="en-US"/>
        </w:rPr>
        <w:t xml:space="preserve"> buvo 8,52</w:t>
      </w:r>
      <w:r w:rsidR="00967713">
        <w:rPr>
          <w:rFonts w:cs="Times New Roman"/>
          <w:sz w:val="22"/>
          <w:szCs w:val="22"/>
          <w:lang w:val="lt-LT" w:eastAsia="en-US"/>
        </w:rPr>
        <w:t> </w:t>
      </w:r>
      <w:r w:rsidR="003F103F" w:rsidRPr="00997273">
        <w:rPr>
          <w:rFonts w:cs="Times New Roman"/>
          <w:sz w:val="22"/>
          <w:szCs w:val="22"/>
          <w:lang w:val="lt-LT" w:eastAsia="en-US"/>
        </w:rPr>
        <w:t>µ</w:t>
      </w:r>
      <w:proofErr w:type="spellStart"/>
      <w:r w:rsidRPr="00997273">
        <w:rPr>
          <w:rFonts w:cs="Times New Roman"/>
          <w:sz w:val="22"/>
          <w:szCs w:val="22"/>
          <w:lang w:val="lt-LT" w:eastAsia="en-US"/>
        </w:rPr>
        <w:t>M•</w:t>
      </w:r>
      <w:r w:rsidR="003F103F" w:rsidRPr="00997273">
        <w:rPr>
          <w:rFonts w:cs="Times New Roman"/>
          <w:sz w:val="22"/>
          <w:szCs w:val="22"/>
          <w:lang w:val="lt-LT" w:eastAsia="en-US"/>
        </w:rPr>
        <w:t>val</w:t>
      </w:r>
      <w:proofErr w:type="spellEnd"/>
      <w:r w:rsidR="003F103F" w:rsidRPr="00997273">
        <w:rPr>
          <w:rFonts w:cs="Times New Roman"/>
          <w:sz w:val="22"/>
          <w:szCs w:val="22"/>
          <w:lang w:val="lt-LT" w:eastAsia="en-US"/>
        </w:rPr>
        <w:t>.</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C</w:t>
      </w:r>
      <w:r w:rsidRPr="00997273">
        <w:rPr>
          <w:rFonts w:cs="Times New Roman"/>
          <w:sz w:val="22"/>
          <w:szCs w:val="22"/>
          <w:vertAlign w:val="subscript"/>
          <w:lang w:val="lt-LT" w:eastAsia="en-US"/>
        </w:rPr>
        <w:t>max</w:t>
      </w:r>
      <w:proofErr w:type="spellEnd"/>
      <w:r w:rsidRPr="00997273">
        <w:rPr>
          <w:rFonts w:cs="Times New Roman"/>
          <w:sz w:val="22"/>
          <w:szCs w:val="22"/>
          <w:lang w:val="lt-LT" w:eastAsia="en-US"/>
        </w:rPr>
        <w:t xml:space="preserve"> – 950</w:t>
      </w:r>
      <w:r w:rsidR="00967713">
        <w:rPr>
          <w:rFonts w:cs="Times New Roman"/>
          <w:sz w:val="22"/>
          <w:szCs w:val="22"/>
          <w:lang w:val="lt-LT" w:eastAsia="en-US"/>
        </w:rPr>
        <w:t> </w:t>
      </w:r>
      <w:proofErr w:type="spellStart"/>
      <w:r w:rsidRPr="00997273">
        <w:rPr>
          <w:rFonts w:cs="Times New Roman"/>
          <w:sz w:val="22"/>
          <w:szCs w:val="22"/>
          <w:lang w:val="lt-LT" w:eastAsia="en-US"/>
        </w:rPr>
        <w:t>nM</w:t>
      </w:r>
      <w:proofErr w:type="spellEnd"/>
      <w:r w:rsidRPr="00997273">
        <w:rPr>
          <w:rFonts w:cs="Times New Roman"/>
          <w:sz w:val="22"/>
          <w:szCs w:val="22"/>
          <w:lang w:val="lt-LT" w:eastAsia="en-US"/>
        </w:rPr>
        <w:t xml:space="preserve">. Absoliutus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bio</w:t>
      </w:r>
      <w:r w:rsidR="00AA0902">
        <w:rPr>
          <w:rFonts w:cs="Times New Roman"/>
          <w:sz w:val="22"/>
          <w:szCs w:val="22"/>
          <w:lang w:val="lt-LT" w:eastAsia="en-US"/>
        </w:rPr>
        <w:t>loginis prieinamumas</w:t>
      </w:r>
      <w:r w:rsidRPr="00997273">
        <w:rPr>
          <w:rFonts w:cs="Times New Roman"/>
          <w:sz w:val="22"/>
          <w:szCs w:val="22"/>
          <w:lang w:val="lt-LT" w:eastAsia="en-US"/>
        </w:rPr>
        <w:t xml:space="preserve"> yra maždaug 87</w:t>
      </w:r>
      <w:r w:rsidR="003F103F" w:rsidRPr="00997273">
        <w:rPr>
          <w:rFonts w:cs="Times New Roman"/>
          <w:sz w:val="22"/>
          <w:szCs w:val="22"/>
          <w:lang w:val="lt-LT" w:eastAsia="en-US"/>
        </w:rPr>
        <w:t> </w:t>
      </w:r>
      <w:r w:rsidRPr="00997273">
        <w:rPr>
          <w:rFonts w:cs="Times New Roman"/>
          <w:sz w:val="22"/>
          <w:szCs w:val="22"/>
          <w:lang w:val="lt-LT" w:eastAsia="en-US"/>
        </w:rPr>
        <w:t xml:space="preserve">%. Kadangi labai riebus maistas kartu vartojamo </w:t>
      </w:r>
      <w:proofErr w:type="spellStart"/>
      <w:r w:rsidR="00B4779A">
        <w:rPr>
          <w:rFonts w:cs="Times New Roman"/>
          <w:sz w:val="22"/>
          <w:szCs w:val="22"/>
          <w:lang w:val="lt-LT" w:eastAsia="en-US"/>
        </w:rPr>
        <w:t>Meliglix</w:t>
      </w:r>
      <w:proofErr w:type="spellEnd"/>
      <w:r w:rsidR="00B4779A" w:rsidRPr="00997273">
        <w:rPr>
          <w:rFonts w:cs="Times New Roman"/>
          <w:sz w:val="22"/>
          <w:szCs w:val="22"/>
          <w:lang w:val="lt-LT" w:eastAsia="en-US"/>
        </w:rPr>
        <w:t xml:space="preserve"> </w:t>
      </w:r>
      <w:r w:rsidRPr="00997273">
        <w:rPr>
          <w:rFonts w:cs="Times New Roman"/>
          <w:sz w:val="22"/>
          <w:szCs w:val="22"/>
          <w:lang w:val="lt-LT" w:eastAsia="en-US"/>
        </w:rPr>
        <w:t>farmakokinetikai įtakos ne</w:t>
      </w:r>
      <w:r w:rsidR="00AC7CF7">
        <w:rPr>
          <w:rFonts w:cs="Times New Roman"/>
          <w:sz w:val="22"/>
          <w:szCs w:val="22"/>
          <w:lang w:val="lt-LT" w:eastAsia="en-US"/>
        </w:rPr>
        <w:t>darė</w:t>
      </w:r>
      <w:r w:rsidRPr="00997273">
        <w:rPr>
          <w:rFonts w:cs="Times New Roman"/>
          <w:sz w:val="22"/>
          <w:szCs w:val="22"/>
          <w:lang w:val="lt-LT" w:eastAsia="en-US"/>
        </w:rPr>
        <w:t xml:space="preserve">, </w:t>
      </w:r>
      <w:proofErr w:type="spellStart"/>
      <w:r w:rsidR="00AC7CF7">
        <w:rPr>
          <w:rFonts w:cs="Times New Roman"/>
          <w:sz w:val="22"/>
          <w:szCs w:val="22"/>
          <w:lang w:val="lt-LT" w:eastAsia="en-US"/>
        </w:rPr>
        <w:t>sitagliptino</w:t>
      </w:r>
      <w:proofErr w:type="spellEnd"/>
      <w:r w:rsidRPr="00997273">
        <w:rPr>
          <w:rFonts w:cs="Times New Roman"/>
          <w:sz w:val="22"/>
          <w:szCs w:val="22"/>
          <w:lang w:val="lt-LT" w:eastAsia="en-US"/>
        </w:rPr>
        <w:t xml:space="preserve"> galima gerti valgant arba nevalgius.</w:t>
      </w:r>
    </w:p>
    <w:p w14:paraId="44A06D25" w14:textId="77777777" w:rsidR="003F103F" w:rsidRPr="00997273" w:rsidRDefault="003F103F" w:rsidP="0000506F">
      <w:pPr>
        <w:autoSpaceDE w:val="0"/>
        <w:autoSpaceDN w:val="0"/>
        <w:adjustRightInd w:val="0"/>
        <w:rPr>
          <w:rFonts w:cs="Times New Roman"/>
          <w:sz w:val="22"/>
          <w:szCs w:val="22"/>
          <w:lang w:val="lt-LT" w:eastAsia="en-US"/>
        </w:rPr>
      </w:pPr>
    </w:p>
    <w:p w14:paraId="59880313" w14:textId="680F0766" w:rsidR="0000506F" w:rsidRPr="00997273" w:rsidRDefault="0000506F" w:rsidP="0000506F">
      <w:pPr>
        <w:autoSpaceDE w:val="0"/>
        <w:autoSpaceDN w:val="0"/>
        <w:adjustRightInd w:val="0"/>
        <w:rPr>
          <w:rFonts w:cs="Times New Roman"/>
          <w:sz w:val="22"/>
          <w:szCs w:val="22"/>
          <w:lang w:val="lt-LT" w:eastAsia="en-US"/>
        </w:rPr>
      </w:pP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w:t>
      </w:r>
      <w:r w:rsidR="00AC7CF7">
        <w:rPr>
          <w:rFonts w:cs="Times New Roman"/>
          <w:sz w:val="22"/>
          <w:szCs w:val="22"/>
          <w:lang w:val="lt-LT" w:eastAsia="en-US"/>
        </w:rPr>
        <w:t>AUC</w:t>
      </w:r>
      <w:r w:rsidRPr="00997273">
        <w:rPr>
          <w:rFonts w:cs="Times New Roman"/>
          <w:sz w:val="22"/>
          <w:szCs w:val="22"/>
          <w:lang w:val="lt-LT" w:eastAsia="en-US"/>
        </w:rPr>
        <w:t xml:space="preserve"> didėjo proporcingai dozei. </w:t>
      </w:r>
      <w:proofErr w:type="spellStart"/>
      <w:r w:rsidRPr="00997273">
        <w:rPr>
          <w:rFonts w:cs="Times New Roman"/>
          <w:sz w:val="22"/>
          <w:szCs w:val="22"/>
          <w:lang w:val="lt-LT" w:eastAsia="en-US"/>
        </w:rPr>
        <w:t>C</w:t>
      </w:r>
      <w:r w:rsidRPr="00997273">
        <w:rPr>
          <w:rFonts w:cs="Times New Roman"/>
          <w:sz w:val="22"/>
          <w:szCs w:val="22"/>
          <w:vertAlign w:val="subscript"/>
          <w:lang w:val="lt-LT" w:eastAsia="en-US"/>
        </w:rPr>
        <w:t>max</w:t>
      </w:r>
      <w:proofErr w:type="spellEnd"/>
      <w:r w:rsidRPr="00997273">
        <w:rPr>
          <w:rFonts w:cs="Times New Roman"/>
          <w:sz w:val="22"/>
          <w:szCs w:val="22"/>
          <w:lang w:val="lt-LT" w:eastAsia="en-US"/>
        </w:rPr>
        <w:t xml:space="preserve"> ir C</w:t>
      </w:r>
      <w:r w:rsidRPr="00997273">
        <w:rPr>
          <w:rFonts w:cs="Times New Roman"/>
          <w:sz w:val="22"/>
          <w:szCs w:val="22"/>
          <w:vertAlign w:val="subscript"/>
          <w:lang w:val="lt-LT" w:eastAsia="en-US"/>
        </w:rPr>
        <w:t>24val</w:t>
      </w:r>
      <w:r w:rsidR="003F103F" w:rsidRPr="00997273">
        <w:rPr>
          <w:rFonts w:cs="Times New Roman"/>
          <w:sz w:val="22"/>
          <w:szCs w:val="22"/>
          <w:lang w:val="lt-LT" w:eastAsia="en-US"/>
        </w:rPr>
        <w:t>.</w:t>
      </w:r>
      <w:r w:rsidRPr="00997273">
        <w:rPr>
          <w:rFonts w:cs="Times New Roman"/>
          <w:sz w:val="22"/>
          <w:szCs w:val="22"/>
          <w:lang w:val="lt-LT" w:eastAsia="en-US"/>
        </w:rPr>
        <w:t xml:space="preserve"> proporcingumas dozei nebuvo nustatytas (</w:t>
      </w:r>
      <w:proofErr w:type="spellStart"/>
      <w:r w:rsidRPr="00997273">
        <w:rPr>
          <w:rFonts w:cs="Times New Roman"/>
          <w:sz w:val="22"/>
          <w:szCs w:val="22"/>
          <w:lang w:val="lt-LT" w:eastAsia="en-US"/>
        </w:rPr>
        <w:t>C</w:t>
      </w:r>
      <w:r w:rsidRPr="00997273">
        <w:rPr>
          <w:rFonts w:cs="Times New Roman"/>
          <w:sz w:val="22"/>
          <w:szCs w:val="22"/>
          <w:vertAlign w:val="subscript"/>
          <w:lang w:val="lt-LT" w:eastAsia="en-US"/>
        </w:rPr>
        <w:t>max</w:t>
      </w:r>
      <w:proofErr w:type="spellEnd"/>
      <w:r w:rsidRPr="00997273">
        <w:rPr>
          <w:rFonts w:cs="Times New Roman"/>
          <w:sz w:val="22"/>
          <w:szCs w:val="22"/>
          <w:lang w:val="lt-LT" w:eastAsia="en-US"/>
        </w:rPr>
        <w:t xml:space="preserve"> didėjo daugiau negu proporcingai dozei, C</w:t>
      </w:r>
      <w:r w:rsidRPr="00997273">
        <w:rPr>
          <w:rFonts w:cs="Times New Roman"/>
          <w:sz w:val="22"/>
          <w:szCs w:val="22"/>
          <w:vertAlign w:val="subscript"/>
          <w:lang w:val="lt-LT" w:eastAsia="en-US"/>
        </w:rPr>
        <w:t>24val</w:t>
      </w:r>
      <w:r w:rsidR="003F103F" w:rsidRPr="00997273">
        <w:rPr>
          <w:rFonts w:cs="Times New Roman"/>
          <w:sz w:val="22"/>
          <w:szCs w:val="22"/>
          <w:vertAlign w:val="subscript"/>
          <w:lang w:val="lt-LT" w:eastAsia="en-US"/>
        </w:rPr>
        <w:t>.</w:t>
      </w:r>
      <w:r w:rsidRPr="00997273">
        <w:rPr>
          <w:rFonts w:cs="Times New Roman"/>
          <w:sz w:val="22"/>
          <w:szCs w:val="22"/>
          <w:vertAlign w:val="subscript"/>
          <w:lang w:val="lt-LT" w:eastAsia="en-US"/>
        </w:rPr>
        <w:t xml:space="preserve"> </w:t>
      </w:r>
      <w:r w:rsidRPr="00997273">
        <w:rPr>
          <w:rFonts w:cs="Times New Roman"/>
          <w:sz w:val="22"/>
          <w:szCs w:val="22"/>
          <w:lang w:val="lt-LT" w:eastAsia="en-US"/>
        </w:rPr>
        <w:t>– mažiau negu proporcingai dozei).</w:t>
      </w:r>
    </w:p>
    <w:p w14:paraId="51EAD98D" w14:textId="77777777" w:rsidR="0000506F" w:rsidRPr="00997273" w:rsidRDefault="0000506F" w:rsidP="0000506F">
      <w:pPr>
        <w:autoSpaceDE w:val="0"/>
        <w:autoSpaceDN w:val="0"/>
        <w:adjustRightInd w:val="0"/>
        <w:rPr>
          <w:rFonts w:cs="Times New Roman"/>
          <w:sz w:val="22"/>
          <w:szCs w:val="22"/>
          <w:lang w:val="lt-LT" w:eastAsia="en-US"/>
        </w:rPr>
      </w:pPr>
    </w:p>
    <w:p w14:paraId="39A8D469" w14:textId="77777777" w:rsidR="0000506F" w:rsidRPr="00997273" w:rsidRDefault="0000506F" w:rsidP="0000506F">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Pasiskirstymas</w:t>
      </w:r>
    </w:p>
    <w:p w14:paraId="1CE97FFC" w14:textId="30A65518" w:rsidR="0000506F" w:rsidRPr="00997273" w:rsidRDefault="004325AB" w:rsidP="0000506F">
      <w:pPr>
        <w:autoSpaceDE w:val="0"/>
        <w:autoSpaceDN w:val="0"/>
        <w:adjustRightInd w:val="0"/>
        <w:rPr>
          <w:rFonts w:cs="Times New Roman"/>
          <w:sz w:val="22"/>
          <w:szCs w:val="22"/>
          <w:lang w:val="lt-LT" w:eastAsia="en-US"/>
        </w:rPr>
      </w:pPr>
      <w:r w:rsidRPr="00997273">
        <w:rPr>
          <w:rFonts w:cs="Times New Roman"/>
          <w:sz w:val="22"/>
          <w:szCs w:val="22"/>
          <w:lang w:val="lt-LT" w:eastAsia="en-US"/>
        </w:rPr>
        <w:t>Su</w:t>
      </w:r>
      <w:r w:rsidR="008B7DA3">
        <w:rPr>
          <w:rFonts w:cs="Times New Roman"/>
          <w:sz w:val="22"/>
          <w:szCs w:val="22"/>
          <w:lang w:val="lt-LT" w:eastAsia="en-US"/>
        </w:rPr>
        <w:t>leidus</w:t>
      </w:r>
      <w:r w:rsidRPr="00997273">
        <w:rPr>
          <w:rFonts w:cs="Times New Roman"/>
          <w:sz w:val="22"/>
          <w:szCs w:val="22"/>
          <w:lang w:val="lt-LT" w:eastAsia="en-US"/>
        </w:rPr>
        <w:t xml:space="preserve"> į veną vieną 100 </w:t>
      </w:r>
      <w:r w:rsidR="0000506F" w:rsidRPr="00997273">
        <w:rPr>
          <w:rFonts w:cs="Times New Roman"/>
          <w:sz w:val="22"/>
          <w:szCs w:val="22"/>
          <w:lang w:val="lt-LT" w:eastAsia="en-US"/>
        </w:rPr>
        <w:t xml:space="preserve">mg </w:t>
      </w:r>
      <w:proofErr w:type="spellStart"/>
      <w:r w:rsidR="0000506F" w:rsidRPr="00997273">
        <w:rPr>
          <w:rFonts w:cs="Times New Roman"/>
          <w:sz w:val="22"/>
          <w:szCs w:val="22"/>
          <w:lang w:val="lt-LT" w:eastAsia="en-US"/>
        </w:rPr>
        <w:t>sitagliptino</w:t>
      </w:r>
      <w:proofErr w:type="spellEnd"/>
      <w:r w:rsidR="0000506F" w:rsidRPr="00997273">
        <w:rPr>
          <w:rFonts w:cs="Times New Roman"/>
          <w:sz w:val="22"/>
          <w:szCs w:val="22"/>
          <w:lang w:val="lt-LT" w:eastAsia="en-US"/>
        </w:rPr>
        <w:t xml:space="preserve"> dozę, sveikų žmonių organizme vidutinis pasiskirstymo tūris </w:t>
      </w:r>
      <w:r w:rsidR="008B7DA3">
        <w:rPr>
          <w:rFonts w:cs="Times New Roman"/>
          <w:sz w:val="22"/>
          <w:szCs w:val="22"/>
          <w:lang w:val="lt-LT" w:eastAsia="en-US"/>
        </w:rPr>
        <w:t>nusistovėjus</w:t>
      </w:r>
      <w:r w:rsidR="0000506F" w:rsidRPr="00997273">
        <w:rPr>
          <w:rFonts w:cs="Times New Roman"/>
          <w:sz w:val="22"/>
          <w:szCs w:val="22"/>
          <w:lang w:val="lt-LT" w:eastAsia="en-US"/>
        </w:rPr>
        <w:t xml:space="preserve"> </w:t>
      </w:r>
      <w:proofErr w:type="spellStart"/>
      <w:r w:rsidR="0000506F" w:rsidRPr="00997273">
        <w:rPr>
          <w:rFonts w:cs="Times New Roman"/>
          <w:sz w:val="22"/>
          <w:szCs w:val="22"/>
          <w:lang w:val="lt-LT" w:eastAsia="en-US"/>
        </w:rPr>
        <w:t>pusiausvyrin</w:t>
      </w:r>
      <w:r w:rsidR="007B0083">
        <w:rPr>
          <w:rFonts w:cs="Times New Roman"/>
          <w:sz w:val="22"/>
          <w:szCs w:val="22"/>
          <w:lang w:val="lt-LT" w:eastAsia="en-US"/>
        </w:rPr>
        <w:t>ei</w:t>
      </w:r>
      <w:proofErr w:type="spellEnd"/>
      <w:r w:rsidR="007B0083">
        <w:rPr>
          <w:rFonts w:cs="Times New Roman"/>
          <w:sz w:val="22"/>
          <w:szCs w:val="22"/>
          <w:lang w:val="lt-LT" w:eastAsia="en-US"/>
        </w:rPr>
        <w:t xml:space="preserve"> apykaitai</w:t>
      </w:r>
      <w:r w:rsidR="0000506F" w:rsidRPr="00997273">
        <w:rPr>
          <w:rFonts w:cs="Times New Roman"/>
          <w:sz w:val="22"/>
          <w:szCs w:val="22"/>
          <w:lang w:val="lt-LT" w:eastAsia="en-US"/>
        </w:rPr>
        <w:t xml:space="preserve">, </w:t>
      </w:r>
      <w:r w:rsidR="002666DA">
        <w:rPr>
          <w:rFonts w:cs="Times New Roman"/>
          <w:sz w:val="22"/>
          <w:szCs w:val="22"/>
          <w:lang w:val="lt-LT" w:eastAsia="en-US"/>
        </w:rPr>
        <w:t>buvo</w:t>
      </w:r>
      <w:r w:rsidR="002666DA" w:rsidRPr="00997273">
        <w:rPr>
          <w:rFonts w:cs="Times New Roman"/>
          <w:sz w:val="22"/>
          <w:szCs w:val="22"/>
          <w:lang w:val="lt-LT" w:eastAsia="en-US"/>
        </w:rPr>
        <w:t xml:space="preserve"> </w:t>
      </w:r>
      <w:r w:rsidR="0000506F" w:rsidRPr="00997273">
        <w:rPr>
          <w:rFonts w:cs="Times New Roman"/>
          <w:sz w:val="22"/>
          <w:szCs w:val="22"/>
          <w:lang w:val="lt-LT" w:eastAsia="en-US"/>
        </w:rPr>
        <w:t>maždaug 198</w:t>
      </w:r>
      <w:r w:rsidR="007B0083">
        <w:rPr>
          <w:rFonts w:cs="Times New Roman"/>
          <w:sz w:val="22"/>
          <w:szCs w:val="22"/>
          <w:lang w:val="lt-LT" w:eastAsia="en-US"/>
        </w:rPr>
        <w:t> </w:t>
      </w:r>
      <w:r w:rsidR="0000506F" w:rsidRPr="00997273">
        <w:rPr>
          <w:rFonts w:cs="Times New Roman"/>
          <w:sz w:val="22"/>
          <w:szCs w:val="22"/>
          <w:lang w:val="lt-LT" w:eastAsia="en-US"/>
        </w:rPr>
        <w:t xml:space="preserve">litrai. </w:t>
      </w:r>
      <w:proofErr w:type="spellStart"/>
      <w:r w:rsidR="0000506F" w:rsidRPr="00997273">
        <w:rPr>
          <w:rFonts w:cs="Times New Roman"/>
          <w:sz w:val="22"/>
          <w:szCs w:val="22"/>
          <w:lang w:val="lt-LT" w:eastAsia="en-US"/>
        </w:rPr>
        <w:t>Sitagliptino</w:t>
      </w:r>
      <w:proofErr w:type="spellEnd"/>
      <w:r w:rsidR="0000506F" w:rsidRPr="00997273">
        <w:rPr>
          <w:rFonts w:cs="Times New Roman"/>
          <w:sz w:val="22"/>
          <w:szCs w:val="22"/>
          <w:lang w:val="lt-LT" w:eastAsia="en-US"/>
        </w:rPr>
        <w:t xml:space="preserve"> kiekis, kuris laikinai prisijungia prie plazmos baltymų yra mažas (38</w:t>
      </w:r>
      <w:r w:rsidR="007B0083">
        <w:rPr>
          <w:rFonts w:cs="Times New Roman"/>
          <w:sz w:val="22"/>
          <w:szCs w:val="22"/>
          <w:lang w:val="lt-LT" w:eastAsia="en-US"/>
        </w:rPr>
        <w:t> </w:t>
      </w:r>
      <w:r w:rsidR="0000506F" w:rsidRPr="00997273">
        <w:rPr>
          <w:rFonts w:cs="Times New Roman"/>
          <w:sz w:val="22"/>
          <w:szCs w:val="22"/>
          <w:lang w:val="lt-LT" w:eastAsia="en-US"/>
        </w:rPr>
        <w:t>%).</w:t>
      </w:r>
    </w:p>
    <w:p w14:paraId="44DFB718" w14:textId="77777777" w:rsidR="0000506F" w:rsidRPr="00997273" w:rsidRDefault="0000506F" w:rsidP="0000506F">
      <w:pPr>
        <w:autoSpaceDE w:val="0"/>
        <w:autoSpaceDN w:val="0"/>
        <w:adjustRightInd w:val="0"/>
        <w:rPr>
          <w:rFonts w:cs="Times New Roman"/>
          <w:sz w:val="22"/>
          <w:szCs w:val="22"/>
          <w:lang w:val="lt-LT" w:eastAsia="en-US"/>
        </w:rPr>
      </w:pPr>
    </w:p>
    <w:p w14:paraId="557FF7AC" w14:textId="77777777" w:rsidR="0000506F" w:rsidRPr="00997273" w:rsidRDefault="0000506F" w:rsidP="0000506F">
      <w:pPr>
        <w:autoSpaceDE w:val="0"/>
        <w:autoSpaceDN w:val="0"/>
        <w:adjustRightInd w:val="0"/>
        <w:rPr>
          <w:rFonts w:cs="Times New Roman"/>
          <w:sz w:val="22"/>
          <w:szCs w:val="22"/>
          <w:u w:val="single"/>
          <w:lang w:val="lt-LT" w:eastAsia="en-US"/>
        </w:rPr>
      </w:pPr>
      <w:proofErr w:type="spellStart"/>
      <w:r w:rsidRPr="00997273">
        <w:rPr>
          <w:rFonts w:cs="Times New Roman"/>
          <w:sz w:val="22"/>
          <w:szCs w:val="22"/>
          <w:u w:val="single"/>
          <w:lang w:val="lt-LT" w:eastAsia="en-US"/>
        </w:rPr>
        <w:t>Biotransformacija</w:t>
      </w:r>
      <w:proofErr w:type="spellEnd"/>
    </w:p>
    <w:p w14:paraId="294D672A" w14:textId="1DBE811D" w:rsidR="0000506F" w:rsidRPr="00997273" w:rsidRDefault="0000506F" w:rsidP="0000506F">
      <w:pPr>
        <w:autoSpaceDE w:val="0"/>
        <w:autoSpaceDN w:val="0"/>
        <w:adjustRightInd w:val="0"/>
        <w:rPr>
          <w:rFonts w:cs="Times New Roman"/>
          <w:sz w:val="22"/>
          <w:szCs w:val="22"/>
          <w:lang w:val="lt-LT" w:eastAsia="en-US"/>
        </w:rPr>
      </w:pP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metabolizuojama</w:t>
      </w:r>
      <w:proofErr w:type="spellEnd"/>
      <w:r w:rsidRPr="00997273">
        <w:rPr>
          <w:rFonts w:cs="Times New Roman"/>
          <w:sz w:val="22"/>
          <w:szCs w:val="22"/>
          <w:lang w:val="lt-LT" w:eastAsia="en-US"/>
        </w:rPr>
        <w:t xml:space="preserve"> mažai, daugiausia jis šalinamas su šlapimu nepakitęs. Maždaug 79</w:t>
      </w:r>
      <w:r w:rsidR="009A2527">
        <w:rPr>
          <w:rFonts w:cs="Times New Roman"/>
          <w:sz w:val="22"/>
          <w:szCs w:val="22"/>
          <w:lang w:val="lt-LT" w:eastAsia="en-US"/>
        </w:rPr>
        <w:t> </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w:t>
      </w:r>
      <w:r w:rsidR="009A2527">
        <w:rPr>
          <w:rFonts w:cs="Times New Roman"/>
          <w:sz w:val="22"/>
          <w:szCs w:val="22"/>
          <w:lang w:val="lt-LT" w:eastAsia="en-US"/>
        </w:rPr>
        <w:t>šalinama</w:t>
      </w:r>
      <w:r w:rsidRPr="00997273">
        <w:rPr>
          <w:rFonts w:cs="Times New Roman"/>
          <w:sz w:val="22"/>
          <w:szCs w:val="22"/>
          <w:lang w:val="lt-LT" w:eastAsia="en-US"/>
        </w:rPr>
        <w:t xml:space="preserve"> su šlapimu nepakitusi</w:t>
      </w:r>
      <w:r w:rsidR="009A2527">
        <w:rPr>
          <w:rFonts w:cs="Times New Roman"/>
          <w:sz w:val="22"/>
          <w:szCs w:val="22"/>
          <w:lang w:val="lt-LT" w:eastAsia="en-US"/>
        </w:rPr>
        <w:t>u</w:t>
      </w:r>
      <w:r w:rsidRPr="00997273">
        <w:rPr>
          <w:rFonts w:cs="Times New Roman"/>
          <w:sz w:val="22"/>
          <w:szCs w:val="22"/>
          <w:lang w:val="lt-LT" w:eastAsia="en-US"/>
        </w:rPr>
        <w:t xml:space="preserve"> pavidalu.</w:t>
      </w:r>
    </w:p>
    <w:p w14:paraId="197B7C65" w14:textId="77777777" w:rsidR="006B6C1D" w:rsidRPr="00997273" w:rsidRDefault="006B6C1D" w:rsidP="0000506F">
      <w:pPr>
        <w:autoSpaceDE w:val="0"/>
        <w:autoSpaceDN w:val="0"/>
        <w:adjustRightInd w:val="0"/>
        <w:rPr>
          <w:rFonts w:cs="Times New Roman"/>
          <w:sz w:val="22"/>
          <w:szCs w:val="22"/>
          <w:lang w:val="lt-LT" w:eastAsia="en-US"/>
        </w:rPr>
      </w:pPr>
    </w:p>
    <w:p w14:paraId="315FE2C5" w14:textId="142F382D" w:rsidR="0000506F" w:rsidRPr="00997273" w:rsidRDefault="0000506F" w:rsidP="0000506F">
      <w:pPr>
        <w:autoSpaceDE w:val="0"/>
        <w:autoSpaceDN w:val="0"/>
        <w:adjustRightInd w:val="0"/>
        <w:rPr>
          <w:rFonts w:cs="Times New Roman"/>
          <w:sz w:val="22"/>
          <w:szCs w:val="22"/>
          <w:lang w:val="lt-LT" w:eastAsia="en-US"/>
        </w:rPr>
      </w:pPr>
      <w:r w:rsidRPr="00997273">
        <w:rPr>
          <w:rFonts w:cs="Times New Roman"/>
          <w:sz w:val="22"/>
          <w:szCs w:val="22"/>
          <w:lang w:val="lt-LT" w:eastAsia="en-US"/>
        </w:rPr>
        <w:t>Išgėrus žymėto [</w:t>
      </w:r>
      <w:r w:rsidRPr="00997273">
        <w:rPr>
          <w:rFonts w:cs="Times New Roman"/>
          <w:sz w:val="22"/>
          <w:szCs w:val="22"/>
          <w:vertAlign w:val="superscript"/>
          <w:lang w:val="lt-LT" w:eastAsia="en-US"/>
        </w:rPr>
        <w:t>14</w:t>
      </w:r>
      <w:r w:rsidRPr="00997273">
        <w:rPr>
          <w:rFonts w:cs="Times New Roman"/>
          <w:sz w:val="22"/>
          <w:szCs w:val="22"/>
          <w:lang w:val="lt-LT" w:eastAsia="en-US"/>
        </w:rPr>
        <w:t xml:space="preserve">C]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dozę, maždaug 16</w:t>
      </w:r>
      <w:r w:rsidR="0033797B">
        <w:rPr>
          <w:rFonts w:cs="Times New Roman"/>
          <w:sz w:val="22"/>
          <w:szCs w:val="22"/>
          <w:lang w:val="lt-LT" w:eastAsia="en-US"/>
        </w:rPr>
        <w:t> </w:t>
      </w:r>
      <w:r w:rsidRPr="00997273">
        <w:rPr>
          <w:rFonts w:cs="Times New Roman"/>
          <w:sz w:val="22"/>
          <w:szCs w:val="22"/>
          <w:lang w:val="lt-LT" w:eastAsia="en-US"/>
        </w:rPr>
        <w:t xml:space="preserve">% radioaktyvumo buvo </w:t>
      </w:r>
      <w:r w:rsidR="006B6C1D" w:rsidRPr="00997273">
        <w:rPr>
          <w:rFonts w:cs="Times New Roman"/>
          <w:sz w:val="22"/>
          <w:szCs w:val="22"/>
          <w:lang w:val="lt-LT" w:eastAsia="en-US"/>
        </w:rPr>
        <w:t>išskirta</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metabolit</w:t>
      </w:r>
      <w:r w:rsidR="0033797B">
        <w:rPr>
          <w:rFonts w:cs="Times New Roman"/>
          <w:sz w:val="22"/>
          <w:szCs w:val="22"/>
          <w:lang w:val="lt-LT" w:eastAsia="en-US"/>
        </w:rPr>
        <w:t>ų pavidalu</w:t>
      </w:r>
      <w:r w:rsidRPr="00997273">
        <w:rPr>
          <w:rFonts w:cs="Times New Roman"/>
          <w:sz w:val="22"/>
          <w:szCs w:val="22"/>
          <w:lang w:val="lt-LT" w:eastAsia="en-US"/>
        </w:rPr>
        <w:t xml:space="preserve">. Buvo aptikti šešių metabolitų pėdsakai ir </w:t>
      </w:r>
      <w:r w:rsidR="004911C0">
        <w:rPr>
          <w:rFonts w:cs="Times New Roman"/>
          <w:sz w:val="22"/>
          <w:szCs w:val="22"/>
          <w:lang w:val="lt-LT" w:eastAsia="en-US"/>
        </w:rPr>
        <w:t>nesitikima</w:t>
      </w:r>
      <w:r w:rsidRPr="00997273">
        <w:rPr>
          <w:rFonts w:cs="Times New Roman"/>
          <w:sz w:val="22"/>
          <w:szCs w:val="22"/>
          <w:lang w:val="lt-LT" w:eastAsia="en-US"/>
        </w:rPr>
        <w:t xml:space="preserve">, kad jie prisideda prie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DPP-4 slopinamojo aktyvumo plazmoje. Tyrimai </w:t>
      </w:r>
      <w:proofErr w:type="spellStart"/>
      <w:r w:rsidRPr="00997273">
        <w:rPr>
          <w:rFonts w:eastAsia="TimesNewRoman,Italic" w:cs="Times New Roman"/>
          <w:i/>
          <w:iCs/>
          <w:sz w:val="22"/>
          <w:szCs w:val="22"/>
          <w:lang w:val="lt-LT" w:eastAsia="en-US"/>
        </w:rPr>
        <w:t>in</w:t>
      </w:r>
      <w:proofErr w:type="spellEnd"/>
      <w:r w:rsidR="00DF494B">
        <w:rPr>
          <w:rFonts w:eastAsia="TimesNewRoman,Italic" w:cs="Times New Roman"/>
          <w:i/>
          <w:iCs/>
          <w:sz w:val="22"/>
          <w:szCs w:val="22"/>
          <w:lang w:val="lt-LT" w:eastAsia="en-US"/>
        </w:rPr>
        <w:t> </w:t>
      </w:r>
      <w:proofErr w:type="spellStart"/>
      <w:r w:rsidRPr="00997273">
        <w:rPr>
          <w:rFonts w:eastAsia="TimesNewRoman,Italic" w:cs="Times New Roman"/>
          <w:i/>
          <w:iCs/>
          <w:sz w:val="22"/>
          <w:szCs w:val="22"/>
          <w:lang w:val="lt-LT" w:eastAsia="en-US"/>
        </w:rPr>
        <w:t>vitro</w:t>
      </w:r>
      <w:proofErr w:type="spellEnd"/>
      <w:r w:rsidRPr="00997273">
        <w:rPr>
          <w:rFonts w:eastAsia="TimesNewRoman,Italic" w:cs="Times New Roman"/>
          <w:i/>
          <w:iCs/>
          <w:sz w:val="22"/>
          <w:szCs w:val="22"/>
          <w:lang w:val="lt-LT" w:eastAsia="en-US"/>
        </w:rPr>
        <w:t xml:space="preserve"> </w:t>
      </w:r>
      <w:r w:rsidRPr="00997273">
        <w:rPr>
          <w:rFonts w:cs="Times New Roman"/>
          <w:sz w:val="22"/>
          <w:szCs w:val="22"/>
          <w:lang w:val="lt-LT" w:eastAsia="en-US"/>
        </w:rPr>
        <w:t xml:space="preserve">parodė, kad svarbiausias fermentas, atsakingas už ribotą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metabolizmą yra CYP3A4, dalyvaujant ir CYP2C8.</w:t>
      </w:r>
    </w:p>
    <w:p w14:paraId="468B5C42" w14:textId="77777777" w:rsidR="006B6C1D" w:rsidRPr="00997273" w:rsidRDefault="006B6C1D" w:rsidP="0000506F">
      <w:pPr>
        <w:autoSpaceDE w:val="0"/>
        <w:autoSpaceDN w:val="0"/>
        <w:adjustRightInd w:val="0"/>
        <w:rPr>
          <w:rFonts w:cs="Times New Roman"/>
          <w:sz w:val="22"/>
          <w:szCs w:val="22"/>
          <w:lang w:val="lt-LT" w:eastAsia="en-US"/>
        </w:rPr>
      </w:pPr>
    </w:p>
    <w:p w14:paraId="6B5F2EC2" w14:textId="1AC71160" w:rsidR="0000506F" w:rsidRPr="00997273" w:rsidRDefault="0000506F" w:rsidP="0000506F">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Tyrimų </w:t>
      </w:r>
      <w:proofErr w:type="spellStart"/>
      <w:r w:rsidRPr="00997273">
        <w:rPr>
          <w:rFonts w:eastAsia="TimesNewRoman,Italic" w:cs="Times New Roman"/>
          <w:i/>
          <w:iCs/>
          <w:sz w:val="22"/>
          <w:szCs w:val="22"/>
          <w:lang w:val="lt-LT" w:eastAsia="en-US"/>
        </w:rPr>
        <w:t>in</w:t>
      </w:r>
      <w:proofErr w:type="spellEnd"/>
      <w:r w:rsidR="00DF494B">
        <w:rPr>
          <w:rFonts w:eastAsia="TimesNewRoman,Italic" w:cs="Times New Roman"/>
          <w:i/>
          <w:iCs/>
          <w:sz w:val="22"/>
          <w:szCs w:val="22"/>
          <w:lang w:val="lt-LT" w:eastAsia="en-US"/>
        </w:rPr>
        <w:t> </w:t>
      </w:r>
      <w:proofErr w:type="spellStart"/>
      <w:r w:rsidRPr="00997273">
        <w:rPr>
          <w:rFonts w:eastAsia="TimesNewRoman,Italic" w:cs="Times New Roman"/>
          <w:i/>
          <w:iCs/>
          <w:sz w:val="22"/>
          <w:szCs w:val="22"/>
          <w:lang w:val="lt-LT" w:eastAsia="en-US"/>
        </w:rPr>
        <w:t>vitro</w:t>
      </w:r>
      <w:proofErr w:type="spellEnd"/>
      <w:r w:rsidRPr="00997273">
        <w:rPr>
          <w:rFonts w:eastAsia="TimesNewRoman,Italic" w:cs="Times New Roman"/>
          <w:i/>
          <w:iCs/>
          <w:sz w:val="22"/>
          <w:szCs w:val="22"/>
          <w:lang w:val="lt-LT" w:eastAsia="en-US"/>
        </w:rPr>
        <w:t xml:space="preserve"> </w:t>
      </w:r>
      <w:r w:rsidRPr="00997273">
        <w:rPr>
          <w:rFonts w:cs="Times New Roman"/>
          <w:sz w:val="22"/>
          <w:szCs w:val="22"/>
          <w:lang w:val="lt-LT" w:eastAsia="en-US"/>
        </w:rPr>
        <w:t xml:space="preserve">duomenys rodo, kad </w:t>
      </w:r>
      <w:proofErr w:type="spellStart"/>
      <w:r w:rsidRPr="00997273">
        <w:rPr>
          <w:rFonts w:cs="Times New Roman"/>
          <w:sz w:val="22"/>
          <w:szCs w:val="22"/>
          <w:lang w:val="lt-LT" w:eastAsia="en-US"/>
        </w:rPr>
        <w:t>sitagliptinas</w:t>
      </w:r>
      <w:proofErr w:type="spellEnd"/>
      <w:r w:rsidRPr="00997273">
        <w:rPr>
          <w:rFonts w:cs="Times New Roman"/>
          <w:sz w:val="22"/>
          <w:szCs w:val="22"/>
          <w:lang w:val="lt-LT" w:eastAsia="en-US"/>
        </w:rPr>
        <w:t xml:space="preserve"> </w:t>
      </w:r>
      <w:r w:rsidR="00893CCE" w:rsidRPr="00997273">
        <w:rPr>
          <w:rFonts w:cs="Times New Roman"/>
          <w:sz w:val="22"/>
          <w:szCs w:val="22"/>
          <w:lang w:val="lt-LT" w:eastAsia="en-US"/>
        </w:rPr>
        <w:t xml:space="preserve">neslopina </w:t>
      </w:r>
      <w:r w:rsidRPr="00997273">
        <w:rPr>
          <w:rFonts w:cs="Times New Roman"/>
          <w:sz w:val="22"/>
          <w:szCs w:val="22"/>
          <w:lang w:val="lt-LT" w:eastAsia="en-US"/>
        </w:rPr>
        <w:t xml:space="preserve">CYP </w:t>
      </w:r>
      <w:proofErr w:type="spellStart"/>
      <w:r w:rsidRPr="00997273">
        <w:rPr>
          <w:rFonts w:cs="Times New Roman"/>
          <w:sz w:val="22"/>
          <w:szCs w:val="22"/>
          <w:lang w:val="lt-LT" w:eastAsia="en-US"/>
        </w:rPr>
        <w:t>izofermentų</w:t>
      </w:r>
      <w:proofErr w:type="spellEnd"/>
      <w:r w:rsidRPr="00997273">
        <w:rPr>
          <w:rFonts w:cs="Times New Roman"/>
          <w:sz w:val="22"/>
          <w:szCs w:val="22"/>
          <w:lang w:val="lt-LT" w:eastAsia="en-US"/>
        </w:rPr>
        <w:t xml:space="preserve"> CYP3A4, 2C8, 2C9, 2D6, 1A2, 2C19</w:t>
      </w:r>
      <w:r w:rsidR="00893CCE">
        <w:rPr>
          <w:rFonts w:cs="Times New Roman"/>
          <w:sz w:val="22"/>
          <w:szCs w:val="22"/>
          <w:lang w:val="lt-LT" w:eastAsia="en-US"/>
        </w:rPr>
        <w:t>,</w:t>
      </w:r>
      <w:r w:rsidRPr="00997273">
        <w:rPr>
          <w:rFonts w:cs="Times New Roman"/>
          <w:sz w:val="22"/>
          <w:szCs w:val="22"/>
          <w:lang w:val="lt-LT" w:eastAsia="en-US"/>
        </w:rPr>
        <w:t xml:space="preserve"> 2B6</w:t>
      </w:r>
      <w:r w:rsidR="00893CCE">
        <w:rPr>
          <w:rFonts w:cs="Times New Roman"/>
          <w:sz w:val="22"/>
          <w:szCs w:val="22"/>
          <w:lang w:val="lt-LT" w:eastAsia="en-US"/>
        </w:rPr>
        <w:t xml:space="preserve"> ir </w:t>
      </w:r>
      <w:r w:rsidR="00893CCE" w:rsidRPr="00997273">
        <w:rPr>
          <w:rFonts w:cs="Times New Roman"/>
          <w:sz w:val="22"/>
          <w:szCs w:val="22"/>
          <w:lang w:val="lt-LT" w:eastAsia="en-US"/>
        </w:rPr>
        <w:t>neindukuoja</w:t>
      </w:r>
      <w:r w:rsidRPr="00997273">
        <w:rPr>
          <w:rFonts w:cs="Times New Roman"/>
          <w:sz w:val="22"/>
          <w:szCs w:val="22"/>
          <w:lang w:val="lt-LT" w:eastAsia="en-US"/>
        </w:rPr>
        <w:t xml:space="preserve"> CYP3A4 </w:t>
      </w:r>
      <w:r w:rsidR="00893CCE">
        <w:rPr>
          <w:rFonts w:cs="Times New Roman"/>
          <w:sz w:val="22"/>
          <w:szCs w:val="22"/>
          <w:lang w:val="lt-LT" w:eastAsia="en-US"/>
        </w:rPr>
        <w:t>bei</w:t>
      </w:r>
      <w:r w:rsidRPr="00997273">
        <w:rPr>
          <w:rFonts w:cs="Times New Roman"/>
          <w:sz w:val="22"/>
          <w:szCs w:val="22"/>
          <w:lang w:val="lt-LT" w:eastAsia="en-US"/>
        </w:rPr>
        <w:t xml:space="preserve"> CYP1A2.</w:t>
      </w:r>
    </w:p>
    <w:p w14:paraId="3D91C010" w14:textId="77777777" w:rsidR="0000506F" w:rsidRPr="00997273" w:rsidRDefault="0000506F" w:rsidP="0000506F">
      <w:pPr>
        <w:autoSpaceDE w:val="0"/>
        <w:autoSpaceDN w:val="0"/>
        <w:adjustRightInd w:val="0"/>
        <w:rPr>
          <w:rFonts w:cs="Times New Roman"/>
          <w:sz w:val="22"/>
          <w:szCs w:val="22"/>
          <w:lang w:val="lt-LT" w:eastAsia="en-US"/>
        </w:rPr>
      </w:pPr>
    </w:p>
    <w:p w14:paraId="1B81FBC2" w14:textId="77777777" w:rsidR="0000506F" w:rsidRPr="00997273" w:rsidRDefault="0000506F" w:rsidP="0000506F">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Eliminacija</w:t>
      </w:r>
    </w:p>
    <w:p w14:paraId="64A40210" w14:textId="0C978E17" w:rsidR="0000506F" w:rsidRPr="00997273" w:rsidRDefault="0000506F" w:rsidP="0000506F">
      <w:pPr>
        <w:autoSpaceDE w:val="0"/>
        <w:autoSpaceDN w:val="0"/>
        <w:adjustRightInd w:val="0"/>
        <w:rPr>
          <w:rFonts w:cs="Times New Roman"/>
          <w:sz w:val="22"/>
          <w:szCs w:val="22"/>
          <w:lang w:val="lt-LT" w:eastAsia="en-US"/>
        </w:rPr>
      </w:pPr>
      <w:r w:rsidRPr="00997273">
        <w:rPr>
          <w:rFonts w:cs="Times New Roman"/>
          <w:sz w:val="22"/>
          <w:szCs w:val="22"/>
          <w:lang w:val="lt-LT" w:eastAsia="en-US"/>
        </w:rPr>
        <w:t>Iš sveikų asmenų, išgėrusių 100</w:t>
      </w:r>
      <w:r w:rsidR="004325AB" w:rsidRPr="00997273">
        <w:rPr>
          <w:rFonts w:cs="Times New Roman"/>
          <w:sz w:val="22"/>
          <w:szCs w:val="22"/>
          <w:lang w:val="lt-LT" w:eastAsia="en-US"/>
        </w:rPr>
        <w:t> </w:t>
      </w:r>
      <w:r w:rsidRPr="00997273">
        <w:rPr>
          <w:rFonts w:cs="Times New Roman"/>
          <w:sz w:val="22"/>
          <w:szCs w:val="22"/>
          <w:lang w:val="lt-LT" w:eastAsia="en-US"/>
        </w:rPr>
        <w:t>mg žymėto [</w:t>
      </w:r>
      <w:r w:rsidRPr="00997273">
        <w:rPr>
          <w:rFonts w:cs="Times New Roman"/>
          <w:sz w:val="22"/>
          <w:szCs w:val="22"/>
          <w:vertAlign w:val="superscript"/>
          <w:lang w:val="lt-LT" w:eastAsia="en-US"/>
        </w:rPr>
        <w:t>14</w:t>
      </w:r>
      <w:r w:rsidRPr="00997273">
        <w:rPr>
          <w:rFonts w:cs="Times New Roman"/>
          <w:sz w:val="22"/>
          <w:szCs w:val="22"/>
          <w:lang w:val="lt-LT" w:eastAsia="en-US"/>
        </w:rPr>
        <w:t xml:space="preserve">C]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dozę, organizmo maždaug 100</w:t>
      </w:r>
      <w:r w:rsidR="00F73245">
        <w:rPr>
          <w:rFonts w:cs="Times New Roman"/>
          <w:sz w:val="22"/>
          <w:szCs w:val="22"/>
          <w:lang w:val="lt-LT" w:eastAsia="en-US"/>
        </w:rPr>
        <w:t> </w:t>
      </w:r>
      <w:r w:rsidRPr="00997273">
        <w:rPr>
          <w:rFonts w:cs="Times New Roman"/>
          <w:sz w:val="22"/>
          <w:szCs w:val="22"/>
          <w:lang w:val="lt-LT" w:eastAsia="en-US"/>
        </w:rPr>
        <w:t xml:space="preserve">% radioaktyvumo </w:t>
      </w:r>
      <w:r w:rsidR="00F73245">
        <w:rPr>
          <w:rFonts w:cs="Times New Roman"/>
          <w:sz w:val="22"/>
          <w:szCs w:val="22"/>
          <w:lang w:val="lt-LT" w:eastAsia="en-US"/>
        </w:rPr>
        <w:t>buvo pašalinta</w:t>
      </w:r>
      <w:r w:rsidRPr="00997273">
        <w:rPr>
          <w:rFonts w:cs="Times New Roman"/>
          <w:sz w:val="22"/>
          <w:szCs w:val="22"/>
          <w:lang w:val="lt-LT" w:eastAsia="en-US"/>
        </w:rPr>
        <w:t xml:space="preserve"> </w:t>
      </w:r>
      <w:r w:rsidR="004911C0">
        <w:rPr>
          <w:rFonts w:cs="Times New Roman"/>
          <w:sz w:val="22"/>
          <w:szCs w:val="22"/>
          <w:lang w:val="lt-LT" w:eastAsia="en-US"/>
        </w:rPr>
        <w:t>per savaitę</w:t>
      </w:r>
      <w:r w:rsidR="00233105">
        <w:rPr>
          <w:rFonts w:cs="Times New Roman"/>
          <w:sz w:val="22"/>
          <w:szCs w:val="22"/>
          <w:lang w:val="lt-LT" w:eastAsia="en-US"/>
        </w:rPr>
        <w:t>:</w:t>
      </w:r>
      <w:r w:rsidR="004911C0">
        <w:rPr>
          <w:rFonts w:cs="Times New Roman"/>
          <w:sz w:val="22"/>
          <w:szCs w:val="22"/>
          <w:lang w:val="lt-LT" w:eastAsia="en-US"/>
        </w:rPr>
        <w:t xml:space="preserve"> </w:t>
      </w:r>
      <w:r w:rsidRPr="00997273">
        <w:rPr>
          <w:rFonts w:cs="Times New Roman"/>
          <w:sz w:val="22"/>
          <w:szCs w:val="22"/>
          <w:lang w:val="lt-LT" w:eastAsia="en-US"/>
        </w:rPr>
        <w:t>su išmatomis (13</w:t>
      </w:r>
      <w:r w:rsidR="00F73245">
        <w:rPr>
          <w:rFonts w:cs="Times New Roman"/>
          <w:sz w:val="22"/>
          <w:szCs w:val="22"/>
          <w:lang w:val="lt-LT" w:eastAsia="en-US"/>
        </w:rPr>
        <w:t> </w:t>
      </w:r>
      <w:r w:rsidRPr="00997273">
        <w:rPr>
          <w:rFonts w:cs="Times New Roman"/>
          <w:sz w:val="22"/>
          <w:szCs w:val="22"/>
          <w:lang w:val="lt-LT" w:eastAsia="en-US"/>
        </w:rPr>
        <w:t xml:space="preserve">%) bei šlapimu </w:t>
      </w:r>
      <w:r w:rsidR="004325AB" w:rsidRPr="00997273">
        <w:rPr>
          <w:rFonts w:cs="Times New Roman"/>
          <w:sz w:val="22"/>
          <w:szCs w:val="22"/>
          <w:lang w:val="lt-LT" w:eastAsia="en-US"/>
        </w:rPr>
        <w:t>(87</w:t>
      </w:r>
      <w:r w:rsidR="00F73245">
        <w:rPr>
          <w:rFonts w:cs="Times New Roman"/>
          <w:sz w:val="22"/>
          <w:szCs w:val="22"/>
          <w:lang w:val="lt-LT" w:eastAsia="en-US"/>
        </w:rPr>
        <w:t> </w:t>
      </w:r>
      <w:r w:rsidR="004325AB" w:rsidRPr="00997273">
        <w:rPr>
          <w:rFonts w:cs="Times New Roman"/>
          <w:sz w:val="22"/>
          <w:szCs w:val="22"/>
          <w:lang w:val="lt-LT" w:eastAsia="en-US"/>
        </w:rPr>
        <w:t>%). Išgėrus 100 </w:t>
      </w:r>
      <w:r w:rsidRPr="00997273">
        <w:rPr>
          <w:rFonts w:cs="Times New Roman"/>
          <w:sz w:val="22"/>
          <w:szCs w:val="22"/>
          <w:lang w:val="lt-LT" w:eastAsia="en-US"/>
        </w:rPr>
        <w:t xml:space="preserve">mg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dozę, jo</w:t>
      </w:r>
      <w:r w:rsidR="004911C0">
        <w:rPr>
          <w:rFonts w:cs="Times New Roman"/>
          <w:sz w:val="22"/>
          <w:szCs w:val="22"/>
          <w:lang w:val="lt-LT" w:eastAsia="en-US"/>
        </w:rPr>
        <w:t xml:space="preserve"> </w:t>
      </w:r>
      <w:r w:rsidR="004911C0" w:rsidRPr="00997273">
        <w:rPr>
          <w:rFonts w:cs="Times New Roman"/>
          <w:sz w:val="22"/>
          <w:szCs w:val="22"/>
          <w:lang w:val="lt-LT" w:eastAsia="en-US"/>
        </w:rPr>
        <w:t>tariamasis</w:t>
      </w:r>
      <w:r w:rsidRPr="00997273">
        <w:rPr>
          <w:rFonts w:cs="Times New Roman"/>
          <w:sz w:val="22"/>
          <w:szCs w:val="22"/>
          <w:lang w:val="lt-LT" w:eastAsia="en-US"/>
        </w:rPr>
        <w:t xml:space="preserve"> galutin</w:t>
      </w:r>
      <w:r w:rsidR="004911C0">
        <w:rPr>
          <w:rFonts w:cs="Times New Roman"/>
          <w:sz w:val="22"/>
          <w:szCs w:val="22"/>
          <w:lang w:val="lt-LT" w:eastAsia="en-US"/>
        </w:rPr>
        <w:t>i</w:t>
      </w:r>
      <w:r w:rsidRPr="00997273">
        <w:rPr>
          <w:rFonts w:cs="Times New Roman"/>
          <w:sz w:val="22"/>
          <w:szCs w:val="22"/>
          <w:lang w:val="lt-LT" w:eastAsia="en-US"/>
        </w:rPr>
        <w:t xml:space="preserve">s pusinės eliminacijos </w:t>
      </w:r>
      <w:r w:rsidR="004911C0">
        <w:rPr>
          <w:rFonts w:cs="Times New Roman"/>
          <w:sz w:val="22"/>
          <w:szCs w:val="22"/>
          <w:lang w:val="lt-LT" w:eastAsia="en-US"/>
        </w:rPr>
        <w:t>laikas</w:t>
      </w:r>
      <w:r w:rsidR="004911C0" w:rsidRPr="00997273">
        <w:rPr>
          <w:rFonts w:cs="Times New Roman"/>
          <w:sz w:val="22"/>
          <w:szCs w:val="22"/>
          <w:lang w:val="lt-LT" w:eastAsia="en-US"/>
        </w:rPr>
        <w:t xml:space="preserve"> </w:t>
      </w:r>
      <w:r w:rsidRPr="00997273">
        <w:rPr>
          <w:rFonts w:cs="Times New Roman"/>
          <w:sz w:val="22"/>
          <w:szCs w:val="22"/>
          <w:lang w:val="lt-LT" w:eastAsia="en-US"/>
        </w:rPr>
        <w:t>(t</w:t>
      </w:r>
      <w:r w:rsidRPr="00997273">
        <w:rPr>
          <w:rFonts w:cs="Times New Roman"/>
          <w:sz w:val="22"/>
          <w:szCs w:val="22"/>
          <w:vertAlign w:val="subscript"/>
          <w:lang w:val="lt-LT" w:eastAsia="en-US"/>
        </w:rPr>
        <w:t>1/2</w:t>
      </w:r>
      <w:r w:rsidRPr="00997273">
        <w:rPr>
          <w:rFonts w:cs="Times New Roman"/>
          <w:sz w:val="22"/>
          <w:szCs w:val="22"/>
          <w:lang w:val="lt-LT" w:eastAsia="en-US"/>
        </w:rPr>
        <w:t>) buvo</w:t>
      </w:r>
      <w:r w:rsidR="004911C0">
        <w:rPr>
          <w:rFonts w:cs="Times New Roman"/>
          <w:sz w:val="22"/>
          <w:szCs w:val="22"/>
          <w:lang w:val="lt-LT" w:eastAsia="en-US"/>
        </w:rPr>
        <w:t xml:space="preserve"> maždaug</w:t>
      </w:r>
      <w:r w:rsidRPr="00997273">
        <w:rPr>
          <w:rFonts w:cs="Times New Roman"/>
          <w:sz w:val="22"/>
          <w:szCs w:val="22"/>
          <w:lang w:val="lt-LT" w:eastAsia="en-US"/>
        </w:rPr>
        <w:t xml:space="preserve"> 12,4</w:t>
      </w:r>
      <w:r w:rsidR="00F73245">
        <w:rPr>
          <w:rFonts w:cs="Times New Roman"/>
          <w:sz w:val="22"/>
          <w:szCs w:val="22"/>
          <w:lang w:val="lt-LT" w:eastAsia="en-US"/>
        </w:rPr>
        <w:t> </w:t>
      </w:r>
      <w:r w:rsidRPr="00997273">
        <w:rPr>
          <w:rFonts w:cs="Times New Roman"/>
          <w:sz w:val="22"/>
          <w:szCs w:val="22"/>
          <w:lang w:val="lt-LT" w:eastAsia="en-US"/>
        </w:rPr>
        <w:t>valandos. Vartoja</w:t>
      </w:r>
      <w:r w:rsidR="009B4DDA">
        <w:rPr>
          <w:rFonts w:cs="Times New Roman"/>
          <w:sz w:val="22"/>
          <w:szCs w:val="22"/>
          <w:lang w:val="lt-LT" w:eastAsia="en-US"/>
        </w:rPr>
        <w:t>mas</w:t>
      </w:r>
      <w:r w:rsidRPr="00997273">
        <w:rPr>
          <w:rFonts w:cs="Times New Roman"/>
          <w:sz w:val="22"/>
          <w:szCs w:val="22"/>
          <w:lang w:val="lt-LT" w:eastAsia="en-US"/>
        </w:rPr>
        <w:t xml:space="preserve"> kartotin</w:t>
      </w:r>
      <w:r w:rsidR="00F73245">
        <w:rPr>
          <w:rFonts w:cs="Times New Roman"/>
          <w:sz w:val="22"/>
          <w:szCs w:val="22"/>
          <w:lang w:val="lt-LT" w:eastAsia="en-US"/>
        </w:rPr>
        <w:t>ėmis dozėmis</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sitagliptin</w:t>
      </w:r>
      <w:r w:rsidR="004911C0">
        <w:rPr>
          <w:rFonts w:cs="Times New Roman"/>
          <w:sz w:val="22"/>
          <w:szCs w:val="22"/>
          <w:lang w:val="lt-LT" w:eastAsia="en-US"/>
        </w:rPr>
        <w:t>o</w:t>
      </w:r>
      <w:proofErr w:type="spellEnd"/>
      <w:r w:rsidRPr="00997273">
        <w:rPr>
          <w:rFonts w:cs="Times New Roman"/>
          <w:sz w:val="22"/>
          <w:szCs w:val="22"/>
          <w:lang w:val="lt-LT" w:eastAsia="en-US"/>
        </w:rPr>
        <w:t xml:space="preserve"> organizme kaupiasi labai </w:t>
      </w:r>
      <w:r w:rsidR="009B4DDA">
        <w:rPr>
          <w:rFonts w:cs="Times New Roman"/>
          <w:sz w:val="22"/>
          <w:szCs w:val="22"/>
          <w:lang w:val="lt-LT" w:eastAsia="en-US"/>
        </w:rPr>
        <w:t>mažai</w:t>
      </w:r>
      <w:r w:rsidRPr="00997273">
        <w:rPr>
          <w:rFonts w:cs="Times New Roman"/>
          <w:sz w:val="22"/>
          <w:szCs w:val="22"/>
          <w:lang w:val="lt-LT" w:eastAsia="en-US"/>
        </w:rPr>
        <w:t xml:space="preserve">. </w:t>
      </w:r>
      <w:r w:rsidR="00DD35B5" w:rsidRPr="00997273">
        <w:rPr>
          <w:rFonts w:cs="Times New Roman"/>
          <w:sz w:val="22"/>
          <w:szCs w:val="22"/>
          <w:lang w:val="lt-LT" w:eastAsia="en-US"/>
        </w:rPr>
        <w:t xml:space="preserve">Vaistinio preparato </w:t>
      </w:r>
      <w:r w:rsidRPr="00997273">
        <w:rPr>
          <w:rFonts w:cs="Times New Roman"/>
          <w:sz w:val="22"/>
          <w:szCs w:val="22"/>
          <w:lang w:val="lt-LT" w:eastAsia="en-US"/>
        </w:rPr>
        <w:t>klire</w:t>
      </w:r>
      <w:r w:rsidR="004325AB" w:rsidRPr="00997273">
        <w:rPr>
          <w:rFonts w:cs="Times New Roman"/>
          <w:sz w:val="22"/>
          <w:szCs w:val="22"/>
          <w:lang w:val="lt-LT" w:eastAsia="en-US"/>
        </w:rPr>
        <w:t>nsas inkstuose buvo maždaug 350 </w:t>
      </w:r>
      <w:r w:rsidRPr="00997273">
        <w:rPr>
          <w:rFonts w:cs="Times New Roman"/>
          <w:sz w:val="22"/>
          <w:szCs w:val="22"/>
          <w:lang w:val="lt-LT" w:eastAsia="en-US"/>
        </w:rPr>
        <w:t>ml/min.</w:t>
      </w:r>
    </w:p>
    <w:p w14:paraId="02F00FAF" w14:textId="77777777" w:rsidR="006B6C1D" w:rsidRPr="00997273" w:rsidRDefault="006B6C1D" w:rsidP="0000506F">
      <w:pPr>
        <w:autoSpaceDE w:val="0"/>
        <w:autoSpaceDN w:val="0"/>
        <w:adjustRightInd w:val="0"/>
        <w:rPr>
          <w:rFonts w:cs="Times New Roman"/>
          <w:sz w:val="22"/>
          <w:szCs w:val="22"/>
          <w:lang w:val="lt-LT" w:eastAsia="en-US"/>
        </w:rPr>
      </w:pPr>
    </w:p>
    <w:p w14:paraId="4E966751" w14:textId="46E6A585" w:rsidR="0000506F" w:rsidRPr="00997273" w:rsidRDefault="0000506F" w:rsidP="0000506F">
      <w:pPr>
        <w:autoSpaceDE w:val="0"/>
        <w:autoSpaceDN w:val="0"/>
        <w:adjustRightInd w:val="0"/>
        <w:rPr>
          <w:rFonts w:cs="Times New Roman"/>
          <w:sz w:val="22"/>
          <w:szCs w:val="22"/>
          <w:lang w:val="lt-LT" w:eastAsia="en-US"/>
        </w:rPr>
      </w:pPr>
      <w:proofErr w:type="spellStart"/>
      <w:r w:rsidRPr="00997273">
        <w:rPr>
          <w:rFonts w:cs="Times New Roman"/>
          <w:sz w:val="22"/>
          <w:szCs w:val="22"/>
          <w:lang w:val="lt-LT" w:eastAsia="en-US"/>
        </w:rPr>
        <w:t>Sitagliptinas</w:t>
      </w:r>
      <w:proofErr w:type="spellEnd"/>
      <w:r w:rsidRPr="00997273">
        <w:rPr>
          <w:rFonts w:cs="Times New Roman"/>
          <w:sz w:val="22"/>
          <w:szCs w:val="22"/>
          <w:lang w:val="lt-LT" w:eastAsia="en-US"/>
        </w:rPr>
        <w:t xml:space="preserve"> šalinamas daugiausiai </w:t>
      </w:r>
      <w:r w:rsidR="004911C0">
        <w:rPr>
          <w:rFonts w:cs="Times New Roman"/>
          <w:sz w:val="22"/>
          <w:szCs w:val="22"/>
          <w:lang w:val="lt-LT" w:eastAsia="en-US"/>
        </w:rPr>
        <w:t>per</w:t>
      </w:r>
      <w:r w:rsidRPr="00997273">
        <w:rPr>
          <w:rFonts w:cs="Times New Roman"/>
          <w:sz w:val="22"/>
          <w:szCs w:val="22"/>
          <w:lang w:val="lt-LT" w:eastAsia="en-US"/>
        </w:rPr>
        <w:t xml:space="preserve"> inkstus aktyv</w:t>
      </w:r>
      <w:r w:rsidR="008A1A53">
        <w:rPr>
          <w:rFonts w:cs="Times New Roman"/>
          <w:sz w:val="22"/>
          <w:szCs w:val="22"/>
          <w:lang w:val="lt-LT" w:eastAsia="en-US"/>
        </w:rPr>
        <w:t>ios kanalėlių sekr</w:t>
      </w:r>
      <w:r w:rsidR="00200330">
        <w:rPr>
          <w:rFonts w:cs="Times New Roman"/>
          <w:sz w:val="22"/>
          <w:szCs w:val="22"/>
          <w:lang w:val="lt-LT" w:eastAsia="en-US"/>
        </w:rPr>
        <w:t>e</w:t>
      </w:r>
      <w:r w:rsidR="00DF2E01">
        <w:rPr>
          <w:rFonts w:cs="Times New Roman"/>
          <w:sz w:val="22"/>
          <w:szCs w:val="22"/>
          <w:lang w:val="lt-LT" w:eastAsia="en-US"/>
        </w:rPr>
        <w:t>cijos būdu</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Sitagliptinas</w:t>
      </w:r>
      <w:proofErr w:type="spellEnd"/>
      <w:r w:rsidRPr="00997273">
        <w:rPr>
          <w:rFonts w:cs="Times New Roman"/>
          <w:sz w:val="22"/>
          <w:szCs w:val="22"/>
          <w:lang w:val="lt-LT" w:eastAsia="en-US"/>
        </w:rPr>
        <w:t xml:space="preserve"> yra žmogaus organinių anijonų nešiklio-3 (angl. </w:t>
      </w:r>
      <w:proofErr w:type="spellStart"/>
      <w:r w:rsidR="004911C0" w:rsidRPr="00810A04">
        <w:rPr>
          <w:rFonts w:cs="Times New Roman"/>
          <w:i/>
          <w:sz w:val="22"/>
          <w:szCs w:val="22"/>
          <w:lang w:val="lt-LT" w:eastAsia="en-US"/>
        </w:rPr>
        <w:t>human</w:t>
      </w:r>
      <w:proofErr w:type="spellEnd"/>
      <w:r w:rsidR="004911C0" w:rsidRPr="00810A04">
        <w:rPr>
          <w:rFonts w:cs="Times New Roman"/>
          <w:i/>
          <w:sz w:val="22"/>
          <w:szCs w:val="22"/>
          <w:lang w:val="lt-LT" w:eastAsia="en-US"/>
        </w:rPr>
        <w:t xml:space="preserve"> </w:t>
      </w:r>
      <w:proofErr w:type="spellStart"/>
      <w:r w:rsidR="004911C0" w:rsidRPr="00810A04">
        <w:rPr>
          <w:rFonts w:cs="Times New Roman"/>
          <w:i/>
          <w:sz w:val="22"/>
          <w:szCs w:val="22"/>
          <w:lang w:val="lt-LT" w:eastAsia="en-US"/>
        </w:rPr>
        <w:t>organic</w:t>
      </w:r>
      <w:proofErr w:type="spellEnd"/>
      <w:r w:rsidR="004911C0" w:rsidRPr="00810A04">
        <w:rPr>
          <w:rFonts w:cs="Times New Roman"/>
          <w:i/>
          <w:sz w:val="22"/>
          <w:szCs w:val="22"/>
          <w:lang w:val="lt-LT" w:eastAsia="en-US"/>
        </w:rPr>
        <w:t xml:space="preserve"> </w:t>
      </w:r>
      <w:proofErr w:type="spellStart"/>
      <w:r w:rsidR="004911C0" w:rsidRPr="00810A04">
        <w:rPr>
          <w:rFonts w:cs="Times New Roman"/>
          <w:i/>
          <w:sz w:val="22"/>
          <w:szCs w:val="22"/>
          <w:lang w:val="lt-LT" w:eastAsia="en-US"/>
        </w:rPr>
        <w:t>anion</w:t>
      </w:r>
      <w:proofErr w:type="spellEnd"/>
      <w:r w:rsidR="004911C0" w:rsidRPr="00810A04">
        <w:rPr>
          <w:rFonts w:cs="Times New Roman"/>
          <w:i/>
          <w:sz w:val="22"/>
          <w:szCs w:val="22"/>
          <w:lang w:val="lt-LT" w:eastAsia="en-US"/>
        </w:rPr>
        <w:t xml:space="preserve"> transporter-</w:t>
      </w:r>
      <w:r w:rsidR="004911C0" w:rsidRPr="00817AB1">
        <w:rPr>
          <w:i/>
          <w:sz w:val="22"/>
          <w:lang w:val="lt-LT"/>
        </w:rPr>
        <w:t>3,</w:t>
      </w:r>
      <w:r w:rsidR="004911C0" w:rsidRPr="00817AB1">
        <w:rPr>
          <w:sz w:val="22"/>
          <w:lang w:val="lt-LT"/>
        </w:rPr>
        <w:t xml:space="preserve"> </w:t>
      </w:r>
      <w:r w:rsidRPr="00997273">
        <w:rPr>
          <w:rFonts w:cs="Times New Roman"/>
          <w:i/>
          <w:sz w:val="22"/>
          <w:szCs w:val="22"/>
          <w:lang w:val="lt-LT" w:eastAsia="en-US"/>
        </w:rPr>
        <w:t>hOAT-3</w:t>
      </w:r>
      <w:r w:rsidRPr="00997273">
        <w:rPr>
          <w:rFonts w:cs="Times New Roman"/>
          <w:sz w:val="22"/>
          <w:szCs w:val="22"/>
          <w:lang w:val="lt-LT" w:eastAsia="en-US"/>
        </w:rPr>
        <w:t xml:space="preserve">), kuris galbūt dalyvauja </w:t>
      </w:r>
      <w:r w:rsidR="00DF2E01">
        <w:rPr>
          <w:rFonts w:cs="Times New Roman"/>
          <w:sz w:val="22"/>
          <w:szCs w:val="22"/>
          <w:lang w:val="lt-LT" w:eastAsia="en-US"/>
        </w:rPr>
        <w:t>ir šalinant</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sitagliptin</w:t>
      </w:r>
      <w:r w:rsidR="00DF2E01">
        <w:rPr>
          <w:rFonts w:cs="Times New Roman"/>
          <w:sz w:val="22"/>
          <w:szCs w:val="22"/>
          <w:lang w:val="lt-LT" w:eastAsia="en-US"/>
        </w:rPr>
        <w:t>ą</w:t>
      </w:r>
      <w:proofErr w:type="spellEnd"/>
      <w:r w:rsidRPr="00997273">
        <w:rPr>
          <w:rFonts w:cs="Times New Roman"/>
          <w:sz w:val="22"/>
          <w:szCs w:val="22"/>
          <w:lang w:val="lt-LT" w:eastAsia="en-US"/>
        </w:rPr>
        <w:t xml:space="preserve"> </w:t>
      </w:r>
      <w:r w:rsidR="00DF2E01">
        <w:rPr>
          <w:rFonts w:cs="Times New Roman"/>
          <w:sz w:val="22"/>
          <w:szCs w:val="22"/>
          <w:lang w:val="lt-LT" w:eastAsia="en-US"/>
        </w:rPr>
        <w:t>per inkstus</w:t>
      </w:r>
      <w:r w:rsidRPr="00997273">
        <w:rPr>
          <w:rFonts w:cs="Times New Roman"/>
          <w:sz w:val="22"/>
          <w:szCs w:val="22"/>
          <w:lang w:val="lt-LT" w:eastAsia="en-US"/>
        </w:rPr>
        <w:t xml:space="preserve">, substratas. Klinikinė </w:t>
      </w:r>
      <w:r w:rsidRPr="00DF2E01">
        <w:rPr>
          <w:rFonts w:cs="Times New Roman"/>
          <w:i/>
          <w:iCs/>
          <w:sz w:val="22"/>
          <w:szCs w:val="22"/>
          <w:lang w:val="lt-LT" w:eastAsia="en-US"/>
        </w:rPr>
        <w:t>hOAT-3</w:t>
      </w:r>
      <w:r w:rsidRPr="00997273">
        <w:rPr>
          <w:rFonts w:cs="Times New Roman"/>
          <w:sz w:val="22"/>
          <w:szCs w:val="22"/>
          <w:lang w:val="lt-LT" w:eastAsia="en-US"/>
        </w:rPr>
        <w:t xml:space="preserve"> dalyvavimo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pernašoje reikšmė nenustatyta. Be to, </w:t>
      </w:r>
      <w:proofErr w:type="spellStart"/>
      <w:r w:rsidRPr="00997273">
        <w:rPr>
          <w:rFonts w:cs="Times New Roman"/>
          <w:sz w:val="22"/>
          <w:szCs w:val="22"/>
          <w:lang w:val="lt-LT" w:eastAsia="en-US"/>
        </w:rPr>
        <w:t>sitagliptinas</w:t>
      </w:r>
      <w:proofErr w:type="spellEnd"/>
      <w:r w:rsidRPr="00997273">
        <w:rPr>
          <w:rFonts w:cs="Times New Roman"/>
          <w:sz w:val="22"/>
          <w:szCs w:val="22"/>
          <w:lang w:val="lt-LT" w:eastAsia="en-US"/>
        </w:rPr>
        <w:t xml:space="preserve"> yra ir </w:t>
      </w:r>
      <w:r w:rsidR="004911C0">
        <w:rPr>
          <w:rFonts w:cs="Times New Roman"/>
          <w:sz w:val="22"/>
          <w:szCs w:val="22"/>
          <w:lang w:val="lt-LT" w:eastAsia="en-US"/>
        </w:rPr>
        <w:t>P-</w:t>
      </w:r>
      <w:proofErr w:type="spellStart"/>
      <w:r w:rsidRPr="00997273">
        <w:rPr>
          <w:rFonts w:cs="Times New Roman"/>
          <w:sz w:val="22"/>
          <w:szCs w:val="22"/>
          <w:lang w:val="lt-LT" w:eastAsia="en-US"/>
        </w:rPr>
        <w:t>glikoproteino</w:t>
      </w:r>
      <w:proofErr w:type="spellEnd"/>
      <w:r w:rsidRPr="00997273">
        <w:rPr>
          <w:rFonts w:cs="Times New Roman"/>
          <w:sz w:val="22"/>
          <w:szCs w:val="22"/>
          <w:lang w:val="lt-LT" w:eastAsia="en-US"/>
        </w:rPr>
        <w:t xml:space="preserve">, irgi galinčio dalyvauti </w:t>
      </w:r>
      <w:r w:rsidR="00DF2E01">
        <w:rPr>
          <w:rFonts w:cs="Times New Roman"/>
          <w:sz w:val="22"/>
          <w:szCs w:val="22"/>
          <w:lang w:val="lt-LT" w:eastAsia="en-US"/>
        </w:rPr>
        <w:t xml:space="preserve">šalinant </w:t>
      </w:r>
      <w:proofErr w:type="spellStart"/>
      <w:r w:rsidRPr="00997273">
        <w:rPr>
          <w:rFonts w:cs="Times New Roman"/>
          <w:sz w:val="22"/>
          <w:szCs w:val="22"/>
          <w:lang w:val="lt-LT" w:eastAsia="en-US"/>
        </w:rPr>
        <w:t>sitagliptin</w:t>
      </w:r>
      <w:r w:rsidR="00DF2E01">
        <w:rPr>
          <w:rFonts w:cs="Times New Roman"/>
          <w:sz w:val="22"/>
          <w:szCs w:val="22"/>
          <w:lang w:val="lt-LT" w:eastAsia="en-US"/>
        </w:rPr>
        <w:t>ą</w:t>
      </w:r>
      <w:proofErr w:type="spellEnd"/>
      <w:r w:rsidRPr="00997273">
        <w:rPr>
          <w:rFonts w:cs="Times New Roman"/>
          <w:sz w:val="22"/>
          <w:szCs w:val="22"/>
          <w:lang w:val="lt-LT" w:eastAsia="en-US"/>
        </w:rPr>
        <w:t xml:space="preserve"> p</w:t>
      </w:r>
      <w:r w:rsidR="00DF2E01">
        <w:rPr>
          <w:rFonts w:cs="Times New Roman"/>
          <w:sz w:val="22"/>
          <w:szCs w:val="22"/>
          <w:lang w:val="lt-LT" w:eastAsia="en-US"/>
        </w:rPr>
        <w:t>er</w:t>
      </w:r>
      <w:r w:rsidRPr="00997273">
        <w:rPr>
          <w:rFonts w:cs="Times New Roman"/>
          <w:sz w:val="22"/>
          <w:szCs w:val="22"/>
          <w:lang w:val="lt-LT" w:eastAsia="en-US"/>
        </w:rPr>
        <w:t xml:space="preserve"> inkstus, substratas. Vis dėlto </w:t>
      </w:r>
      <w:r w:rsidR="004911C0">
        <w:rPr>
          <w:rFonts w:cs="Times New Roman"/>
          <w:sz w:val="22"/>
          <w:szCs w:val="22"/>
          <w:lang w:val="lt-LT" w:eastAsia="en-US"/>
        </w:rPr>
        <w:t>P-</w:t>
      </w:r>
      <w:proofErr w:type="spellStart"/>
      <w:r w:rsidRPr="00997273">
        <w:rPr>
          <w:rFonts w:cs="Times New Roman"/>
          <w:sz w:val="22"/>
          <w:szCs w:val="22"/>
          <w:lang w:val="lt-LT" w:eastAsia="en-US"/>
        </w:rPr>
        <w:t>glikoproteino</w:t>
      </w:r>
      <w:proofErr w:type="spellEnd"/>
      <w:r w:rsidRPr="00997273">
        <w:rPr>
          <w:rFonts w:cs="Times New Roman"/>
          <w:sz w:val="22"/>
          <w:szCs w:val="22"/>
          <w:lang w:val="lt-LT" w:eastAsia="en-US"/>
        </w:rPr>
        <w:t xml:space="preserve"> inhibitorius </w:t>
      </w:r>
      <w:proofErr w:type="spellStart"/>
      <w:r w:rsidRPr="00997273">
        <w:rPr>
          <w:rFonts w:cs="Times New Roman"/>
          <w:sz w:val="22"/>
          <w:szCs w:val="22"/>
          <w:lang w:val="lt-LT" w:eastAsia="en-US"/>
        </w:rPr>
        <w:t>ciklosporinas</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inkstų klirenso nemažina. </w:t>
      </w:r>
      <w:proofErr w:type="spellStart"/>
      <w:r w:rsidRPr="00997273">
        <w:rPr>
          <w:rFonts w:cs="Times New Roman"/>
          <w:sz w:val="22"/>
          <w:szCs w:val="22"/>
          <w:lang w:val="lt-LT" w:eastAsia="en-US"/>
        </w:rPr>
        <w:t>Sitagliptinas</w:t>
      </w:r>
      <w:proofErr w:type="spellEnd"/>
      <w:r w:rsidRPr="00997273">
        <w:rPr>
          <w:rFonts w:cs="Times New Roman"/>
          <w:sz w:val="22"/>
          <w:szCs w:val="22"/>
          <w:lang w:val="lt-LT" w:eastAsia="en-US"/>
        </w:rPr>
        <w:t xml:space="preserve"> nėra nešiklių OCT2, OAT1 ar PEPT1/2 substratas. </w:t>
      </w:r>
      <w:proofErr w:type="spellStart"/>
      <w:r w:rsidRPr="00997273">
        <w:rPr>
          <w:rFonts w:eastAsia="TimesNewRoman,Italic" w:cs="Times New Roman"/>
          <w:i/>
          <w:iCs/>
          <w:sz w:val="22"/>
          <w:szCs w:val="22"/>
          <w:lang w:val="lt-LT" w:eastAsia="en-US"/>
        </w:rPr>
        <w:t>In</w:t>
      </w:r>
      <w:proofErr w:type="spellEnd"/>
      <w:r w:rsidR="00DF2E01">
        <w:rPr>
          <w:rFonts w:eastAsia="TimesNewRoman,Italic" w:cs="Times New Roman"/>
          <w:i/>
          <w:iCs/>
          <w:sz w:val="22"/>
          <w:szCs w:val="22"/>
          <w:lang w:val="lt-LT" w:eastAsia="en-US"/>
        </w:rPr>
        <w:t> </w:t>
      </w:r>
      <w:proofErr w:type="spellStart"/>
      <w:r w:rsidRPr="00997273">
        <w:rPr>
          <w:rFonts w:eastAsia="TimesNewRoman,Italic" w:cs="Times New Roman"/>
          <w:i/>
          <w:iCs/>
          <w:sz w:val="22"/>
          <w:szCs w:val="22"/>
          <w:lang w:val="lt-LT" w:eastAsia="en-US"/>
        </w:rPr>
        <w:t>vitro</w:t>
      </w:r>
      <w:proofErr w:type="spellEnd"/>
      <w:r w:rsidRPr="00997273">
        <w:rPr>
          <w:rFonts w:eastAsia="TimesNewRoman,Italic" w:cs="Times New Roman"/>
          <w:i/>
          <w:iCs/>
          <w:sz w:val="22"/>
          <w:szCs w:val="22"/>
          <w:lang w:val="lt-LT" w:eastAsia="en-US"/>
        </w:rPr>
        <w:t xml:space="preserve"> </w:t>
      </w:r>
      <w:r w:rsidRPr="00997273">
        <w:rPr>
          <w:rFonts w:cs="Times New Roman"/>
          <w:sz w:val="22"/>
          <w:szCs w:val="22"/>
          <w:lang w:val="lt-LT" w:eastAsia="en-US"/>
        </w:rPr>
        <w:t xml:space="preserve">gydymui reikšminga </w:t>
      </w:r>
      <w:proofErr w:type="spellStart"/>
      <w:r w:rsidRPr="00997273">
        <w:rPr>
          <w:rFonts w:cs="Times New Roman"/>
          <w:sz w:val="22"/>
          <w:szCs w:val="22"/>
          <w:lang w:val="lt-LT" w:eastAsia="en-US"/>
        </w:rPr>
        <w:t>sitagliptino</w:t>
      </w:r>
      <w:proofErr w:type="spellEnd"/>
      <w:r w:rsidR="004325AB" w:rsidRPr="00997273">
        <w:rPr>
          <w:rFonts w:cs="Times New Roman"/>
          <w:sz w:val="22"/>
          <w:szCs w:val="22"/>
          <w:lang w:val="lt-LT" w:eastAsia="en-US"/>
        </w:rPr>
        <w:t xml:space="preserve"> koncentracija OAT3 (IC50 = 160 </w:t>
      </w:r>
      <w:r w:rsidR="006B6C1D" w:rsidRPr="00997273">
        <w:rPr>
          <w:rFonts w:cs="Times New Roman"/>
          <w:sz w:val="22"/>
          <w:szCs w:val="22"/>
          <w:lang w:val="lt-LT" w:eastAsia="en-US"/>
        </w:rPr>
        <w:t>µ</w:t>
      </w:r>
      <w:r w:rsidR="004325AB" w:rsidRPr="00997273">
        <w:rPr>
          <w:rFonts w:cs="Times New Roman"/>
          <w:sz w:val="22"/>
          <w:szCs w:val="22"/>
          <w:lang w:val="lt-LT" w:eastAsia="en-US"/>
        </w:rPr>
        <w:t xml:space="preserve">M) ar </w:t>
      </w:r>
      <w:r w:rsidR="004911C0">
        <w:rPr>
          <w:rFonts w:cs="Times New Roman"/>
          <w:sz w:val="22"/>
          <w:szCs w:val="22"/>
          <w:lang w:val="lt-LT" w:eastAsia="en-US"/>
        </w:rPr>
        <w:t>P-</w:t>
      </w:r>
      <w:proofErr w:type="spellStart"/>
      <w:r w:rsidR="004325AB" w:rsidRPr="00997273">
        <w:rPr>
          <w:rFonts w:cs="Times New Roman"/>
          <w:sz w:val="22"/>
          <w:szCs w:val="22"/>
          <w:lang w:val="lt-LT" w:eastAsia="en-US"/>
        </w:rPr>
        <w:t>glikoproteino</w:t>
      </w:r>
      <w:proofErr w:type="spellEnd"/>
      <w:r w:rsidR="004325AB" w:rsidRPr="00997273">
        <w:rPr>
          <w:rFonts w:cs="Times New Roman"/>
          <w:sz w:val="22"/>
          <w:szCs w:val="22"/>
          <w:lang w:val="lt-LT" w:eastAsia="en-US"/>
        </w:rPr>
        <w:t xml:space="preserve"> (iki 250 </w:t>
      </w:r>
      <w:r w:rsidR="006B6C1D" w:rsidRPr="00997273">
        <w:rPr>
          <w:rFonts w:cs="Times New Roman"/>
          <w:sz w:val="22"/>
          <w:szCs w:val="22"/>
          <w:lang w:val="lt-LT" w:eastAsia="en-US"/>
        </w:rPr>
        <w:t>µ</w:t>
      </w:r>
      <w:r w:rsidRPr="00997273">
        <w:rPr>
          <w:rFonts w:cs="Times New Roman"/>
          <w:sz w:val="22"/>
          <w:szCs w:val="22"/>
          <w:lang w:val="lt-LT" w:eastAsia="en-US"/>
        </w:rPr>
        <w:t xml:space="preserve">M) vykdomos pernašos neslopino. Klinikinių tyrimų metu </w:t>
      </w:r>
      <w:proofErr w:type="spellStart"/>
      <w:r w:rsidRPr="00997273">
        <w:rPr>
          <w:rFonts w:cs="Times New Roman"/>
          <w:sz w:val="22"/>
          <w:szCs w:val="22"/>
          <w:lang w:val="lt-LT" w:eastAsia="en-US"/>
        </w:rPr>
        <w:t>sitagliptinas</w:t>
      </w:r>
      <w:proofErr w:type="spellEnd"/>
      <w:r w:rsidRPr="00997273">
        <w:rPr>
          <w:rFonts w:cs="Times New Roman"/>
          <w:sz w:val="22"/>
          <w:szCs w:val="22"/>
          <w:lang w:val="lt-LT" w:eastAsia="en-US"/>
        </w:rPr>
        <w:t xml:space="preserve"> šiek tiek veikė </w:t>
      </w:r>
      <w:proofErr w:type="spellStart"/>
      <w:r w:rsidRPr="00997273">
        <w:rPr>
          <w:rFonts w:cs="Times New Roman"/>
          <w:sz w:val="22"/>
          <w:szCs w:val="22"/>
          <w:lang w:val="lt-LT" w:eastAsia="en-US"/>
        </w:rPr>
        <w:t>digoksino</w:t>
      </w:r>
      <w:proofErr w:type="spellEnd"/>
      <w:r w:rsidRPr="00997273">
        <w:rPr>
          <w:rFonts w:cs="Times New Roman"/>
          <w:sz w:val="22"/>
          <w:szCs w:val="22"/>
          <w:lang w:val="lt-LT" w:eastAsia="en-US"/>
        </w:rPr>
        <w:t xml:space="preserve"> koncentraciją </w:t>
      </w:r>
      <w:r w:rsidR="004911C0">
        <w:rPr>
          <w:rFonts w:cs="Times New Roman"/>
          <w:sz w:val="22"/>
          <w:szCs w:val="22"/>
          <w:lang w:val="lt-LT" w:eastAsia="en-US"/>
        </w:rPr>
        <w:t xml:space="preserve">kraujo </w:t>
      </w:r>
      <w:r w:rsidRPr="00997273">
        <w:rPr>
          <w:rFonts w:cs="Times New Roman"/>
          <w:sz w:val="22"/>
          <w:szCs w:val="22"/>
          <w:lang w:val="lt-LT" w:eastAsia="en-US"/>
        </w:rPr>
        <w:t>plazmoje, taigi, galėtų</w:t>
      </w:r>
      <w:r w:rsidR="00DE130E">
        <w:rPr>
          <w:rFonts w:cs="Times New Roman"/>
          <w:sz w:val="22"/>
          <w:szCs w:val="22"/>
          <w:lang w:val="lt-LT" w:eastAsia="en-US"/>
        </w:rPr>
        <w:t xml:space="preserve"> būti laikomas silpnu</w:t>
      </w:r>
      <w:r w:rsidRPr="00997273">
        <w:rPr>
          <w:rFonts w:cs="Times New Roman"/>
          <w:sz w:val="22"/>
          <w:szCs w:val="22"/>
          <w:lang w:val="lt-LT" w:eastAsia="en-US"/>
        </w:rPr>
        <w:t xml:space="preserve"> </w:t>
      </w:r>
      <w:r w:rsidR="004911C0">
        <w:rPr>
          <w:rFonts w:cs="Times New Roman"/>
          <w:sz w:val="22"/>
          <w:szCs w:val="22"/>
          <w:lang w:val="lt-LT" w:eastAsia="en-US"/>
        </w:rPr>
        <w:t>P-</w:t>
      </w:r>
      <w:proofErr w:type="spellStart"/>
      <w:r w:rsidRPr="00997273">
        <w:rPr>
          <w:rFonts w:cs="Times New Roman"/>
          <w:sz w:val="22"/>
          <w:szCs w:val="22"/>
          <w:lang w:val="lt-LT" w:eastAsia="en-US"/>
        </w:rPr>
        <w:t>glikoprotein</w:t>
      </w:r>
      <w:r w:rsidR="00DE130E">
        <w:rPr>
          <w:rFonts w:cs="Times New Roman"/>
          <w:sz w:val="22"/>
          <w:szCs w:val="22"/>
          <w:lang w:val="lt-LT" w:eastAsia="en-US"/>
        </w:rPr>
        <w:t>o</w:t>
      </w:r>
      <w:proofErr w:type="spellEnd"/>
      <w:r w:rsidR="00DE130E">
        <w:rPr>
          <w:rFonts w:cs="Times New Roman"/>
          <w:sz w:val="22"/>
          <w:szCs w:val="22"/>
          <w:lang w:val="lt-LT" w:eastAsia="en-US"/>
        </w:rPr>
        <w:t xml:space="preserve"> inhibitoriumi</w:t>
      </w:r>
      <w:r w:rsidRPr="00997273">
        <w:rPr>
          <w:rFonts w:cs="Times New Roman"/>
          <w:sz w:val="22"/>
          <w:szCs w:val="22"/>
          <w:lang w:val="lt-LT" w:eastAsia="en-US"/>
        </w:rPr>
        <w:t>.</w:t>
      </w:r>
    </w:p>
    <w:p w14:paraId="7B0677D9" w14:textId="77777777" w:rsidR="0000506F" w:rsidRPr="00997273" w:rsidRDefault="0000506F" w:rsidP="0000506F">
      <w:pPr>
        <w:autoSpaceDE w:val="0"/>
        <w:autoSpaceDN w:val="0"/>
        <w:adjustRightInd w:val="0"/>
        <w:rPr>
          <w:rFonts w:cs="Times New Roman"/>
          <w:sz w:val="22"/>
          <w:szCs w:val="22"/>
          <w:lang w:val="lt-LT" w:eastAsia="en-US"/>
        </w:rPr>
      </w:pPr>
    </w:p>
    <w:p w14:paraId="4230C67A" w14:textId="77777777" w:rsidR="0000506F" w:rsidRPr="00997273" w:rsidRDefault="0000506F" w:rsidP="0000506F">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Ypatingos populiacijos</w:t>
      </w:r>
    </w:p>
    <w:p w14:paraId="643B1FE4" w14:textId="55BD3C6F" w:rsidR="0000506F" w:rsidRPr="00997273" w:rsidRDefault="0000506F" w:rsidP="0000506F">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Sveikų žmonių ar pacientų, sergančių </w:t>
      </w:r>
      <w:r w:rsidR="00B4779A">
        <w:rPr>
          <w:rFonts w:cs="Times New Roman"/>
          <w:sz w:val="22"/>
          <w:szCs w:val="22"/>
          <w:lang w:val="lt-LT" w:eastAsia="en-US"/>
        </w:rPr>
        <w:t>2 </w:t>
      </w:r>
      <w:r w:rsidRPr="00997273">
        <w:rPr>
          <w:rFonts w:cs="Times New Roman"/>
          <w:sz w:val="22"/>
          <w:szCs w:val="22"/>
          <w:lang w:val="lt-LT" w:eastAsia="en-US"/>
        </w:rPr>
        <w:t xml:space="preserve">tipo cukriniu diabetu, organizme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farmakokinetika paprastai buvo panaši.</w:t>
      </w:r>
    </w:p>
    <w:p w14:paraId="4B436B68" w14:textId="77777777" w:rsidR="0000506F" w:rsidRPr="00997273" w:rsidRDefault="0000506F" w:rsidP="0000506F">
      <w:pPr>
        <w:autoSpaceDE w:val="0"/>
        <w:autoSpaceDN w:val="0"/>
        <w:adjustRightInd w:val="0"/>
        <w:rPr>
          <w:rFonts w:eastAsia="TimesNewRoman,Italic" w:cs="Times New Roman"/>
          <w:i/>
          <w:iCs/>
          <w:sz w:val="22"/>
          <w:szCs w:val="22"/>
          <w:lang w:val="lt-LT" w:eastAsia="en-US"/>
        </w:rPr>
      </w:pPr>
    </w:p>
    <w:p w14:paraId="747C5F1A" w14:textId="77777777" w:rsidR="0000506F" w:rsidRPr="00297C23" w:rsidRDefault="0000506F" w:rsidP="0000506F">
      <w:pPr>
        <w:autoSpaceDE w:val="0"/>
        <w:autoSpaceDN w:val="0"/>
        <w:adjustRightInd w:val="0"/>
        <w:rPr>
          <w:rFonts w:eastAsia="TimesNewRoman,Italic" w:cs="Times New Roman"/>
          <w:i/>
          <w:iCs/>
          <w:sz w:val="22"/>
          <w:szCs w:val="22"/>
          <w:lang w:val="lt-LT" w:eastAsia="en-US"/>
        </w:rPr>
      </w:pPr>
      <w:r w:rsidRPr="00297C23">
        <w:rPr>
          <w:rFonts w:eastAsia="TimesNewRoman,Italic" w:cs="Times New Roman"/>
          <w:i/>
          <w:iCs/>
          <w:sz w:val="22"/>
          <w:szCs w:val="22"/>
          <w:lang w:val="lt-LT" w:eastAsia="en-US"/>
        </w:rPr>
        <w:t>Sutrikusi inkstų funkcija</w:t>
      </w:r>
    </w:p>
    <w:p w14:paraId="472DBC9A" w14:textId="2581A375" w:rsidR="0070707D" w:rsidRPr="00997273" w:rsidRDefault="0000506F" w:rsidP="0070707D">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Buvo atliktas vienos dozės atviras klinikinis tyrimas, kurio metu vertinta sumažintos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doz</w:t>
      </w:r>
      <w:r w:rsidR="00CC4C59">
        <w:rPr>
          <w:rFonts w:cs="Times New Roman"/>
          <w:sz w:val="22"/>
          <w:szCs w:val="22"/>
          <w:lang w:val="lt-LT" w:eastAsia="en-US"/>
        </w:rPr>
        <w:t>ė</w:t>
      </w:r>
      <w:r w:rsidRPr="00997273">
        <w:rPr>
          <w:rFonts w:cs="Times New Roman"/>
          <w:sz w:val="22"/>
          <w:szCs w:val="22"/>
          <w:lang w:val="lt-LT" w:eastAsia="en-US"/>
        </w:rPr>
        <w:t>s (50</w:t>
      </w:r>
      <w:r w:rsidR="004325AB" w:rsidRPr="00997273">
        <w:rPr>
          <w:rFonts w:cs="Times New Roman"/>
          <w:sz w:val="22"/>
          <w:szCs w:val="22"/>
          <w:lang w:val="lt-LT" w:eastAsia="en-US"/>
        </w:rPr>
        <w:t> </w:t>
      </w:r>
      <w:r w:rsidRPr="00997273">
        <w:rPr>
          <w:rFonts w:cs="Times New Roman"/>
          <w:sz w:val="22"/>
          <w:szCs w:val="22"/>
          <w:lang w:val="lt-LT" w:eastAsia="en-US"/>
        </w:rPr>
        <w:t xml:space="preserve">mg) farmakokinetika pacientų, </w:t>
      </w:r>
      <w:r w:rsidR="00FE323D">
        <w:rPr>
          <w:rFonts w:cs="Times New Roman"/>
          <w:sz w:val="22"/>
          <w:szCs w:val="22"/>
          <w:lang w:val="lt-LT" w:eastAsia="en-US"/>
        </w:rPr>
        <w:t xml:space="preserve">sergančių </w:t>
      </w:r>
      <w:r w:rsidRPr="00997273">
        <w:rPr>
          <w:rFonts w:cs="Times New Roman"/>
          <w:sz w:val="22"/>
          <w:szCs w:val="22"/>
          <w:lang w:val="lt-LT" w:eastAsia="en-US"/>
        </w:rPr>
        <w:t>įvairaus sunkumo lėtin</w:t>
      </w:r>
      <w:r w:rsidR="00FE323D">
        <w:rPr>
          <w:rFonts w:cs="Times New Roman"/>
          <w:sz w:val="22"/>
          <w:szCs w:val="22"/>
          <w:lang w:val="lt-LT" w:eastAsia="en-US"/>
        </w:rPr>
        <w:t>e</w:t>
      </w:r>
      <w:r w:rsidRPr="00997273">
        <w:rPr>
          <w:rFonts w:cs="Times New Roman"/>
          <w:sz w:val="22"/>
          <w:szCs w:val="22"/>
          <w:lang w:val="lt-LT" w:eastAsia="en-US"/>
        </w:rPr>
        <w:t xml:space="preserve"> inkstų </w:t>
      </w:r>
      <w:r w:rsidR="00FE323D">
        <w:rPr>
          <w:rFonts w:cs="Times New Roman"/>
          <w:sz w:val="22"/>
          <w:szCs w:val="22"/>
          <w:lang w:val="lt-LT" w:eastAsia="en-US"/>
        </w:rPr>
        <w:t>liga</w:t>
      </w:r>
      <w:r w:rsidRPr="00997273">
        <w:rPr>
          <w:rFonts w:cs="Times New Roman"/>
          <w:sz w:val="22"/>
          <w:szCs w:val="22"/>
          <w:lang w:val="lt-LT" w:eastAsia="en-US"/>
        </w:rPr>
        <w:t xml:space="preserve">, organizme, palyginti su farmakokinetika sveikų kontrolinės grupės tiriamųjų organizme. Tyrime dalyvavo </w:t>
      </w:r>
      <w:r w:rsidR="0070707D" w:rsidRPr="00997273">
        <w:rPr>
          <w:rFonts w:cs="Times New Roman"/>
          <w:sz w:val="22"/>
          <w:szCs w:val="22"/>
          <w:lang w:val="lt-LT" w:eastAsia="en-US"/>
        </w:rPr>
        <w:t>pacientai, kuriems buvo nustatytas lengvas, vidutinio sunkumo ar sunkus inkst</w:t>
      </w:r>
      <w:r w:rsidR="0070707D" w:rsidRPr="00997273">
        <w:rPr>
          <w:rFonts w:cs="Times New Roman" w:hint="eastAsia"/>
          <w:sz w:val="22"/>
          <w:szCs w:val="22"/>
          <w:lang w:val="lt-LT" w:eastAsia="en-US"/>
        </w:rPr>
        <w:t>ų</w:t>
      </w:r>
      <w:r w:rsidR="0070707D" w:rsidRPr="00997273">
        <w:rPr>
          <w:rFonts w:cs="Times New Roman"/>
          <w:sz w:val="22"/>
          <w:szCs w:val="22"/>
          <w:lang w:val="lt-LT" w:eastAsia="en-US"/>
        </w:rPr>
        <w:t xml:space="preserve"> funkcijos sutrikimas, o taip pat pacientai, kuriems buvo GS</w:t>
      </w:r>
      <w:r w:rsidR="00F963F7">
        <w:rPr>
          <w:rFonts w:cs="Times New Roman"/>
          <w:sz w:val="22"/>
          <w:szCs w:val="22"/>
          <w:lang w:val="lt-LT" w:eastAsia="en-US"/>
        </w:rPr>
        <w:t>L</w:t>
      </w:r>
      <w:r w:rsidR="0070707D" w:rsidRPr="00997273">
        <w:rPr>
          <w:rFonts w:cs="Times New Roman"/>
          <w:sz w:val="22"/>
          <w:szCs w:val="22"/>
          <w:lang w:val="lt-LT" w:eastAsia="en-US"/>
        </w:rPr>
        <w:t>IL ir kuriems buvo atliekamos hemodializ</w:t>
      </w:r>
      <w:r w:rsidR="0070707D" w:rsidRPr="00997273">
        <w:rPr>
          <w:rFonts w:cs="Times New Roman" w:hint="eastAsia"/>
          <w:sz w:val="22"/>
          <w:szCs w:val="22"/>
          <w:lang w:val="lt-LT" w:eastAsia="en-US"/>
        </w:rPr>
        <w:t>ė</w:t>
      </w:r>
      <w:r w:rsidR="0070707D" w:rsidRPr="00997273">
        <w:rPr>
          <w:rFonts w:cs="Times New Roman"/>
          <w:sz w:val="22"/>
          <w:szCs w:val="22"/>
          <w:lang w:val="lt-LT" w:eastAsia="en-US"/>
        </w:rPr>
        <w:t>s proced</w:t>
      </w:r>
      <w:r w:rsidR="0070707D" w:rsidRPr="00997273">
        <w:rPr>
          <w:rFonts w:cs="Times New Roman" w:hint="eastAsia"/>
          <w:sz w:val="22"/>
          <w:szCs w:val="22"/>
          <w:lang w:val="lt-LT" w:eastAsia="en-US"/>
        </w:rPr>
        <w:t>ū</w:t>
      </w:r>
      <w:r w:rsidR="0070707D" w:rsidRPr="00997273">
        <w:rPr>
          <w:rFonts w:cs="Times New Roman"/>
          <w:sz w:val="22"/>
          <w:szCs w:val="22"/>
          <w:lang w:val="lt-LT" w:eastAsia="en-US"/>
        </w:rPr>
        <w:t>ros. Be to, inkst</w:t>
      </w:r>
      <w:r w:rsidR="0070707D" w:rsidRPr="00997273">
        <w:rPr>
          <w:rFonts w:cs="Times New Roman" w:hint="eastAsia"/>
          <w:sz w:val="22"/>
          <w:szCs w:val="22"/>
          <w:lang w:val="lt-LT" w:eastAsia="en-US"/>
        </w:rPr>
        <w:t>ų</w:t>
      </w:r>
      <w:r w:rsidR="0070707D" w:rsidRPr="00997273">
        <w:rPr>
          <w:rFonts w:cs="Times New Roman"/>
          <w:sz w:val="22"/>
          <w:szCs w:val="22"/>
          <w:lang w:val="lt-LT" w:eastAsia="en-US"/>
        </w:rPr>
        <w:t xml:space="preserve"> funkcijos sutrikimo </w:t>
      </w:r>
      <w:r w:rsidR="0070707D" w:rsidRPr="00997273">
        <w:rPr>
          <w:rFonts w:cs="Times New Roman" w:hint="eastAsia"/>
          <w:sz w:val="22"/>
          <w:szCs w:val="22"/>
          <w:lang w:val="lt-LT" w:eastAsia="en-US"/>
        </w:rPr>
        <w:t>į</w:t>
      </w:r>
      <w:r w:rsidR="0070707D" w:rsidRPr="00997273">
        <w:rPr>
          <w:rFonts w:cs="Times New Roman"/>
          <w:sz w:val="22"/>
          <w:szCs w:val="22"/>
          <w:lang w:val="lt-LT" w:eastAsia="en-US"/>
        </w:rPr>
        <w:t xml:space="preserve">taka </w:t>
      </w:r>
      <w:proofErr w:type="spellStart"/>
      <w:r w:rsidR="0070707D" w:rsidRPr="00997273">
        <w:rPr>
          <w:rFonts w:cs="Times New Roman"/>
          <w:sz w:val="22"/>
          <w:szCs w:val="22"/>
          <w:lang w:val="lt-LT" w:eastAsia="en-US"/>
        </w:rPr>
        <w:t>sitagliptino</w:t>
      </w:r>
      <w:proofErr w:type="spellEnd"/>
      <w:r w:rsidR="0070707D" w:rsidRPr="00997273">
        <w:rPr>
          <w:rFonts w:cs="Times New Roman"/>
          <w:sz w:val="22"/>
          <w:szCs w:val="22"/>
          <w:lang w:val="lt-LT" w:eastAsia="en-US"/>
        </w:rPr>
        <w:t xml:space="preserve"> farmakokinetikai 2</w:t>
      </w:r>
      <w:r w:rsidR="00B4779A">
        <w:rPr>
          <w:rFonts w:cs="Times New Roman"/>
          <w:sz w:val="22"/>
          <w:szCs w:val="22"/>
          <w:lang w:val="lt-LT" w:eastAsia="en-US"/>
        </w:rPr>
        <w:t> </w:t>
      </w:r>
      <w:r w:rsidR="0070707D" w:rsidRPr="00997273">
        <w:rPr>
          <w:rFonts w:cs="Times New Roman"/>
          <w:sz w:val="22"/>
          <w:szCs w:val="22"/>
          <w:lang w:val="lt-LT" w:eastAsia="en-US"/>
        </w:rPr>
        <w:t>tipo cukriniu diabetu sergantiems pacientams, kuriems buvo lengvas, vidutinio sunkumo ar sunkus inkst</w:t>
      </w:r>
      <w:r w:rsidR="0070707D" w:rsidRPr="00997273">
        <w:rPr>
          <w:rFonts w:cs="Times New Roman" w:hint="eastAsia"/>
          <w:sz w:val="22"/>
          <w:szCs w:val="22"/>
          <w:lang w:val="lt-LT" w:eastAsia="en-US"/>
        </w:rPr>
        <w:t>ų</w:t>
      </w:r>
      <w:r w:rsidR="0070707D" w:rsidRPr="00997273">
        <w:rPr>
          <w:rFonts w:cs="Times New Roman"/>
          <w:sz w:val="22"/>
          <w:szCs w:val="22"/>
          <w:lang w:val="lt-LT" w:eastAsia="en-US"/>
        </w:rPr>
        <w:t xml:space="preserve"> funkcijos sutrikimas (</w:t>
      </w:r>
      <w:r w:rsidR="0070707D" w:rsidRPr="00997273">
        <w:rPr>
          <w:rFonts w:cs="Times New Roman" w:hint="eastAsia"/>
          <w:sz w:val="22"/>
          <w:szCs w:val="22"/>
          <w:lang w:val="lt-LT" w:eastAsia="en-US"/>
        </w:rPr>
        <w:t>į</w:t>
      </w:r>
      <w:r w:rsidR="0070707D" w:rsidRPr="00997273">
        <w:rPr>
          <w:rFonts w:cs="Times New Roman"/>
          <w:sz w:val="22"/>
          <w:szCs w:val="22"/>
          <w:lang w:val="lt-LT" w:eastAsia="en-US"/>
        </w:rPr>
        <w:t>skaitant GS</w:t>
      </w:r>
      <w:r w:rsidR="001D64D0">
        <w:rPr>
          <w:rFonts w:cs="Times New Roman"/>
          <w:sz w:val="22"/>
          <w:szCs w:val="22"/>
          <w:lang w:val="lt-LT" w:eastAsia="en-US"/>
        </w:rPr>
        <w:t>L</w:t>
      </w:r>
      <w:r w:rsidR="0070707D" w:rsidRPr="00997273">
        <w:rPr>
          <w:rFonts w:cs="Times New Roman"/>
          <w:sz w:val="22"/>
          <w:szCs w:val="22"/>
          <w:lang w:val="lt-LT" w:eastAsia="en-US"/>
        </w:rPr>
        <w:t xml:space="preserve">IL), buvo </w:t>
      </w:r>
      <w:r w:rsidR="0070707D" w:rsidRPr="00997273">
        <w:rPr>
          <w:rFonts w:cs="Times New Roman" w:hint="eastAsia"/>
          <w:sz w:val="22"/>
          <w:szCs w:val="22"/>
          <w:lang w:val="lt-LT" w:eastAsia="en-US"/>
        </w:rPr>
        <w:t>į</w:t>
      </w:r>
      <w:r w:rsidR="0070707D" w:rsidRPr="00997273">
        <w:rPr>
          <w:rFonts w:cs="Times New Roman"/>
          <w:sz w:val="22"/>
          <w:szCs w:val="22"/>
          <w:lang w:val="lt-LT" w:eastAsia="en-US"/>
        </w:rPr>
        <w:t>vertinta populiacij</w:t>
      </w:r>
      <w:r w:rsidR="0070707D" w:rsidRPr="00997273">
        <w:rPr>
          <w:rFonts w:cs="Times New Roman" w:hint="eastAsia"/>
          <w:sz w:val="22"/>
          <w:szCs w:val="22"/>
          <w:lang w:val="lt-LT" w:eastAsia="en-US"/>
        </w:rPr>
        <w:t>ų</w:t>
      </w:r>
      <w:r w:rsidR="0070707D" w:rsidRPr="00997273">
        <w:rPr>
          <w:rFonts w:cs="Times New Roman"/>
          <w:sz w:val="22"/>
          <w:szCs w:val="22"/>
          <w:lang w:val="lt-LT" w:eastAsia="en-US"/>
        </w:rPr>
        <w:t xml:space="preserve"> farmakokinetikos analiz</w:t>
      </w:r>
      <w:r w:rsidR="0070707D" w:rsidRPr="00997273">
        <w:rPr>
          <w:rFonts w:cs="Times New Roman" w:hint="eastAsia"/>
          <w:sz w:val="22"/>
          <w:szCs w:val="22"/>
          <w:lang w:val="lt-LT" w:eastAsia="en-US"/>
        </w:rPr>
        <w:t>ė</w:t>
      </w:r>
      <w:r w:rsidR="0070707D" w:rsidRPr="00997273">
        <w:rPr>
          <w:rFonts w:cs="Times New Roman"/>
          <w:sz w:val="22"/>
          <w:szCs w:val="22"/>
          <w:lang w:val="lt-LT" w:eastAsia="en-US"/>
        </w:rPr>
        <w:t>s metodu.</w:t>
      </w:r>
    </w:p>
    <w:p w14:paraId="3B885950" w14:textId="77777777" w:rsidR="0070707D" w:rsidRPr="00997273" w:rsidRDefault="0070707D" w:rsidP="0070707D">
      <w:pPr>
        <w:autoSpaceDE w:val="0"/>
        <w:autoSpaceDN w:val="0"/>
        <w:adjustRightInd w:val="0"/>
        <w:rPr>
          <w:rFonts w:cs="Times New Roman"/>
          <w:sz w:val="22"/>
          <w:szCs w:val="22"/>
          <w:lang w:val="lt-LT" w:eastAsia="en-US"/>
        </w:rPr>
      </w:pPr>
    </w:p>
    <w:p w14:paraId="34F587E9" w14:textId="12628CC7" w:rsidR="0070707D" w:rsidRPr="00997273" w:rsidRDefault="00CE6508" w:rsidP="0070707D">
      <w:pPr>
        <w:autoSpaceDE w:val="0"/>
        <w:autoSpaceDN w:val="0"/>
        <w:adjustRightInd w:val="0"/>
        <w:rPr>
          <w:rFonts w:cs="Times New Roman"/>
          <w:sz w:val="22"/>
          <w:szCs w:val="22"/>
          <w:lang w:val="lt-LT" w:eastAsia="en-US"/>
        </w:rPr>
      </w:pPr>
      <w:r w:rsidRPr="00997273">
        <w:rPr>
          <w:rFonts w:eastAsia="Calibri" w:cs="Times New Roman"/>
          <w:sz w:val="22"/>
          <w:szCs w:val="22"/>
          <w:lang w:val="lt-LT" w:eastAsia="en-US"/>
        </w:rPr>
        <w:t>Lyginant su sveikais kontrolinės grupės tiriamaisiais, pacientams, kuriems buvo lengvas inkstų funkcijos sutrikimas (GFG nuo ≥</w:t>
      </w:r>
      <w:r w:rsidR="00FB7E6F">
        <w:rPr>
          <w:rFonts w:eastAsia="Calibri" w:cs="Times New Roman"/>
          <w:sz w:val="22"/>
          <w:szCs w:val="22"/>
          <w:lang w:val="lt-LT" w:eastAsia="en-US"/>
        </w:rPr>
        <w:t> </w:t>
      </w:r>
      <w:r w:rsidRPr="00997273">
        <w:rPr>
          <w:rFonts w:eastAsia="Calibri" w:cs="Times New Roman"/>
          <w:sz w:val="22"/>
          <w:szCs w:val="22"/>
          <w:lang w:val="lt-LT" w:eastAsia="en-US"/>
        </w:rPr>
        <w:t>60</w:t>
      </w:r>
      <w:r w:rsidR="002C6D3F">
        <w:rPr>
          <w:rFonts w:eastAsia="Calibri" w:cs="Times New Roman"/>
          <w:sz w:val="22"/>
          <w:szCs w:val="22"/>
          <w:lang w:val="lt-LT" w:eastAsia="en-US"/>
        </w:rPr>
        <w:t> </w:t>
      </w:r>
      <w:r w:rsidRPr="00997273">
        <w:rPr>
          <w:rFonts w:eastAsia="Calibri" w:cs="Times New Roman"/>
          <w:sz w:val="22"/>
          <w:szCs w:val="22"/>
          <w:lang w:val="lt-LT" w:eastAsia="en-US"/>
        </w:rPr>
        <w:t>ml/min iki &lt;</w:t>
      </w:r>
      <w:r w:rsidR="00FB7E6F">
        <w:rPr>
          <w:rFonts w:eastAsia="Calibri" w:cs="Times New Roman"/>
          <w:sz w:val="22"/>
          <w:szCs w:val="22"/>
          <w:lang w:val="lt-LT" w:eastAsia="en-US"/>
        </w:rPr>
        <w:t> </w:t>
      </w:r>
      <w:r w:rsidRPr="00997273">
        <w:rPr>
          <w:rFonts w:eastAsia="Calibri" w:cs="Times New Roman"/>
          <w:sz w:val="22"/>
          <w:szCs w:val="22"/>
          <w:lang w:val="lt-LT" w:eastAsia="en-US"/>
        </w:rPr>
        <w:t>90</w:t>
      </w:r>
      <w:r w:rsidR="00FB7E6F">
        <w:rPr>
          <w:rFonts w:eastAsia="Calibri" w:cs="Times New Roman"/>
          <w:sz w:val="22"/>
          <w:szCs w:val="22"/>
          <w:lang w:val="lt-LT" w:eastAsia="en-US"/>
        </w:rPr>
        <w:t> </w:t>
      </w:r>
      <w:r w:rsidRPr="00997273">
        <w:rPr>
          <w:rFonts w:eastAsia="Calibri" w:cs="Times New Roman"/>
          <w:sz w:val="22"/>
          <w:szCs w:val="22"/>
          <w:lang w:val="lt-LT" w:eastAsia="en-US"/>
        </w:rPr>
        <w:t>ml/min.) arba vidutinio sunkumo inkstų funkcijos sutrikimas (GFG nuo ≥</w:t>
      </w:r>
      <w:r w:rsidR="00FB7E6F">
        <w:rPr>
          <w:rFonts w:eastAsia="Calibri" w:cs="Times New Roman"/>
          <w:sz w:val="22"/>
          <w:szCs w:val="22"/>
          <w:lang w:val="lt-LT" w:eastAsia="en-US"/>
        </w:rPr>
        <w:t> </w:t>
      </w:r>
      <w:r w:rsidRPr="00997273">
        <w:rPr>
          <w:rFonts w:eastAsia="Calibri" w:cs="Times New Roman"/>
          <w:sz w:val="22"/>
          <w:szCs w:val="22"/>
          <w:lang w:val="lt-LT" w:eastAsia="en-US"/>
        </w:rPr>
        <w:t>45</w:t>
      </w:r>
      <w:r w:rsidR="00FB7E6F">
        <w:rPr>
          <w:rFonts w:eastAsia="Calibri" w:cs="Times New Roman"/>
          <w:sz w:val="22"/>
          <w:szCs w:val="22"/>
          <w:lang w:val="lt-LT" w:eastAsia="en-US"/>
        </w:rPr>
        <w:t> </w:t>
      </w:r>
      <w:r w:rsidRPr="00997273">
        <w:rPr>
          <w:rFonts w:eastAsia="Calibri" w:cs="Times New Roman"/>
          <w:sz w:val="22"/>
          <w:szCs w:val="22"/>
          <w:lang w:val="lt-LT" w:eastAsia="en-US"/>
        </w:rPr>
        <w:t>ml/min iki &lt;</w:t>
      </w:r>
      <w:r w:rsidR="00FB7E6F">
        <w:rPr>
          <w:rFonts w:eastAsia="Calibri" w:cs="Times New Roman"/>
          <w:sz w:val="22"/>
          <w:szCs w:val="22"/>
          <w:lang w:val="lt-LT" w:eastAsia="en-US"/>
        </w:rPr>
        <w:t> </w:t>
      </w:r>
      <w:r w:rsidRPr="00997273">
        <w:rPr>
          <w:rFonts w:eastAsia="Calibri" w:cs="Times New Roman"/>
          <w:sz w:val="22"/>
          <w:szCs w:val="22"/>
          <w:lang w:val="lt-LT" w:eastAsia="en-US"/>
        </w:rPr>
        <w:t>60</w:t>
      </w:r>
      <w:r w:rsidR="00FB7E6F">
        <w:rPr>
          <w:rFonts w:eastAsia="Calibri" w:cs="Times New Roman"/>
          <w:sz w:val="22"/>
          <w:szCs w:val="22"/>
          <w:lang w:val="lt-LT" w:eastAsia="en-US"/>
        </w:rPr>
        <w:t> </w:t>
      </w:r>
      <w:r w:rsidRPr="00997273">
        <w:rPr>
          <w:rFonts w:eastAsia="Calibri" w:cs="Times New Roman"/>
          <w:sz w:val="22"/>
          <w:szCs w:val="22"/>
          <w:lang w:val="lt-LT" w:eastAsia="en-US"/>
        </w:rPr>
        <w:t xml:space="preserve">ml/min.), </w:t>
      </w:r>
      <w:proofErr w:type="spellStart"/>
      <w:r w:rsidRPr="00997273">
        <w:rPr>
          <w:rFonts w:eastAsia="Calibri" w:cs="Times New Roman"/>
          <w:sz w:val="22"/>
          <w:szCs w:val="22"/>
          <w:lang w:val="lt-LT" w:eastAsia="en-US"/>
        </w:rPr>
        <w:t>sitagliptino</w:t>
      </w:r>
      <w:proofErr w:type="spellEnd"/>
      <w:r w:rsidRPr="00997273">
        <w:rPr>
          <w:rFonts w:eastAsia="Calibri" w:cs="Times New Roman"/>
          <w:sz w:val="22"/>
          <w:szCs w:val="22"/>
          <w:lang w:val="lt-LT" w:eastAsia="en-US"/>
        </w:rPr>
        <w:t xml:space="preserve"> AUC plazmoje buvo padidėjęs atitinkamai maždaug 1,2</w:t>
      </w:r>
      <w:r w:rsidR="00B4779A">
        <w:rPr>
          <w:rFonts w:eastAsia="Calibri" w:cs="Times New Roman"/>
          <w:sz w:val="22"/>
          <w:szCs w:val="22"/>
          <w:lang w:val="lt-LT" w:eastAsia="en-US"/>
        </w:rPr>
        <w:t> </w:t>
      </w:r>
      <w:r w:rsidRPr="00997273">
        <w:rPr>
          <w:rFonts w:eastAsia="Calibri" w:cs="Times New Roman"/>
          <w:sz w:val="22"/>
          <w:szCs w:val="22"/>
          <w:lang w:val="lt-LT" w:eastAsia="en-US"/>
        </w:rPr>
        <w:t>karto ir 1,6</w:t>
      </w:r>
      <w:r w:rsidR="00B4779A">
        <w:rPr>
          <w:rFonts w:eastAsia="Calibri" w:cs="Times New Roman"/>
          <w:sz w:val="22"/>
          <w:szCs w:val="22"/>
          <w:lang w:val="lt-LT" w:eastAsia="en-US"/>
        </w:rPr>
        <w:t> </w:t>
      </w:r>
      <w:r w:rsidRPr="00997273">
        <w:rPr>
          <w:rFonts w:eastAsia="Calibri" w:cs="Times New Roman"/>
          <w:sz w:val="22"/>
          <w:szCs w:val="22"/>
          <w:lang w:val="lt-LT" w:eastAsia="en-US"/>
        </w:rPr>
        <w:t>karto. Kadangi toks padidėjim</w:t>
      </w:r>
      <w:r w:rsidR="001D1C45">
        <w:rPr>
          <w:rFonts w:eastAsia="Calibri" w:cs="Times New Roman"/>
          <w:sz w:val="22"/>
          <w:szCs w:val="22"/>
          <w:lang w:val="lt-LT" w:eastAsia="en-US"/>
        </w:rPr>
        <w:t>as</w:t>
      </w:r>
      <w:r w:rsidRPr="00997273">
        <w:rPr>
          <w:rFonts w:eastAsia="Calibri" w:cs="Times New Roman"/>
          <w:sz w:val="22"/>
          <w:szCs w:val="22"/>
          <w:lang w:val="lt-LT" w:eastAsia="en-US"/>
        </w:rPr>
        <w:t xml:space="preserve"> nėra kliniškai reikšmingas, šiems pacientams dozės keisti nereikia.</w:t>
      </w:r>
    </w:p>
    <w:p w14:paraId="77471E76" w14:textId="77777777" w:rsidR="0070707D" w:rsidRPr="00997273" w:rsidRDefault="0070707D" w:rsidP="0070707D">
      <w:pPr>
        <w:autoSpaceDE w:val="0"/>
        <w:autoSpaceDN w:val="0"/>
        <w:adjustRightInd w:val="0"/>
        <w:rPr>
          <w:rFonts w:cs="Times New Roman"/>
          <w:sz w:val="22"/>
          <w:szCs w:val="22"/>
          <w:lang w:val="lt-LT" w:eastAsia="en-US"/>
        </w:rPr>
      </w:pPr>
    </w:p>
    <w:p w14:paraId="1B131E82" w14:textId="79688D47" w:rsidR="0064111B" w:rsidRPr="00997273" w:rsidRDefault="00CE6508" w:rsidP="0070707D">
      <w:pPr>
        <w:autoSpaceDE w:val="0"/>
        <w:autoSpaceDN w:val="0"/>
        <w:adjustRightInd w:val="0"/>
        <w:rPr>
          <w:rFonts w:eastAsia="TimesNewRoman,Italic" w:cs="Times New Roman"/>
          <w:i/>
          <w:iCs/>
          <w:sz w:val="22"/>
          <w:szCs w:val="22"/>
          <w:lang w:val="lt-LT" w:eastAsia="en-US"/>
        </w:rPr>
      </w:pPr>
      <w:r w:rsidRPr="00997273">
        <w:rPr>
          <w:rFonts w:eastAsia="Calibri" w:cs="Times New Roman"/>
          <w:sz w:val="22"/>
          <w:szCs w:val="22"/>
          <w:lang w:val="lt-LT" w:eastAsia="en-US"/>
        </w:rPr>
        <w:lastRenderedPageBreak/>
        <w:t xml:space="preserve">Pacientų, kuriems buvo vidutinio sunkumo inkstų </w:t>
      </w:r>
      <w:r w:rsidR="001D1C45">
        <w:rPr>
          <w:rFonts w:eastAsia="Calibri" w:cs="Times New Roman"/>
          <w:sz w:val="22"/>
          <w:szCs w:val="22"/>
          <w:lang w:val="lt-LT" w:eastAsia="en-US"/>
        </w:rPr>
        <w:t xml:space="preserve">funkcijos </w:t>
      </w:r>
      <w:r w:rsidRPr="00997273">
        <w:rPr>
          <w:rFonts w:eastAsia="Calibri" w:cs="Times New Roman"/>
          <w:sz w:val="22"/>
          <w:szCs w:val="22"/>
          <w:lang w:val="lt-LT" w:eastAsia="en-US"/>
        </w:rPr>
        <w:t>sutrikimas (GFG nuo ≥</w:t>
      </w:r>
      <w:r w:rsidR="00FB7E6F">
        <w:rPr>
          <w:rFonts w:eastAsia="Calibri" w:cs="Times New Roman"/>
          <w:sz w:val="22"/>
          <w:szCs w:val="22"/>
          <w:lang w:val="lt-LT" w:eastAsia="en-US"/>
        </w:rPr>
        <w:t> </w:t>
      </w:r>
      <w:r w:rsidRPr="00997273">
        <w:rPr>
          <w:rFonts w:eastAsia="Calibri" w:cs="Times New Roman"/>
          <w:sz w:val="22"/>
          <w:szCs w:val="22"/>
          <w:lang w:val="lt-LT" w:eastAsia="en-US"/>
        </w:rPr>
        <w:t>30</w:t>
      </w:r>
      <w:r w:rsidR="00FB7E6F">
        <w:rPr>
          <w:rFonts w:eastAsia="Calibri" w:cs="Times New Roman"/>
          <w:sz w:val="22"/>
          <w:szCs w:val="22"/>
          <w:lang w:val="lt-LT" w:eastAsia="en-US"/>
        </w:rPr>
        <w:t> </w:t>
      </w:r>
      <w:r w:rsidRPr="00997273">
        <w:rPr>
          <w:rFonts w:eastAsia="Calibri" w:cs="Times New Roman"/>
          <w:sz w:val="22"/>
          <w:szCs w:val="22"/>
          <w:lang w:val="lt-LT" w:eastAsia="en-US"/>
        </w:rPr>
        <w:t>ml/min. iki &lt;</w:t>
      </w:r>
      <w:r w:rsidR="00FB7E6F">
        <w:t> </w:t>
      </w:r>
      <w:r w:rsidRPr="00997273">
        <w:rPr>
          <w:rFonts w:eastAsia="Calibri" w:cs="Times New Roman"/>
          <w:sz w:val="22"/>
          <w:szCs w:val="22"/>
          <w:lang w:val="lt-LT" w:eastAsia="en-US"/>
        </w:rPr>
        <w:t>45</w:t>
      </w:r>
      <w:r w:rsidR="00FB7E6F">
        <w:rPr>
          <w:rFonts w:eastAsia="Calibri" w:cs="Times New Roman"/>
          <w:sz w:val="22"/>
          <w:szCs w:val="22"/>
          <w:lang w:val="lt-LT" w:eastAsia="en-US"/>
        </w:rPr>
        <w:t> </w:t>
      </w:r>
      <w:r w:rsidRPr="00997273">
        <w:rPr>
          <w:rFonts w:eastAsia="Calibri" w:cs="Times New Roman"/>
          <w:sz w:val="22"/>
          <w:szCs w:val="22"/>
          <w:lang w:val="lt-LT" w:eastAsia="en-US"/>
        </w:rPr>
        <w:t xml:space="preserve">ml/min.), organizme </w:t>
      </w:r>
      <w:proofErr w:type="spellStart"/>
      <w:r w:rsidRPr="00997273">
        <w:rPr>
          <w:rFonts w:eastAsia="Calibri" w:cs="Times New Roman"/>
          <w:sz w:val="22"/>
          <w:szCs w:val="22"/>
          <w:lang w:val="lt-LT" w:eastAsia="en-US"/>
        </w:rPr>
        <w:t>sitagliptino</w:t>
      </w:r>
      <w:proofErr w:type="spellEnd"/>
      <w:r w:rsidRPr="00997273">
        <w:rPr>
          <w:rFonts w:eastAsia="Calibri" w:cs="Times New Roman"/>
          <w:sz w:val="22"/>
          <w:szCs w:val="22"/>
          <w:lang w:val="lt-LT" w:eastAsia="en-US"/>
        </w:rPr>
        <w:t xml:space="preserve"> AUC plazmoje buvo padidėjęs maždaug </w:t>
      </w:r>
      <w:r w:rsidR="00B4779A" w:rsidRPr="00997273">
        <w:rPr>
          <w:rFonts w:eastAsia="Calibri" w:cs="Times New Roman"/>
          <w:sz w:val="22"/>
          <w:szCs w:val="22"/>
          <w:lang w:val="lt-LT" w:eastAsia="en-US"/>
        </w:rPr>
        <w:t>2</w:t>
      </w:r>
      <w:r w:rsidR="00B4779A">
        <w:rPr>
          <w:rFonts w:eastAsia="Calibri" w:cs="Times New Roman"/>
          <w:sz w:val="22"/>
          <w:szCs w:val="22"/>
          <w:lang w:val="lt-LT" w:eastAsia="en-US"/>
        </w:rPr>
        <w:t> </w:t>
      </w:r>
      <w:r w:rsidRPr="00997273">
        <w:rPr>
          <w:rFonts w:eastAsia="Calibri" w:cs="Times New Roman"/>
          <w:sz w:val="22"/>
          <w:szCs w:val="22"/>
          <w:lang w:val="lt-LT" w:eastAsia="en-US"/>
        </w:rPr>
        <w:t xml:space="preserve">kartus, o pacientų, kuriems buvo sunkus inkstų </w:t>
      </w:r>
      <w:r w:rsidR="001D1C45">
        <w:rPr>
          <w:rFonts w:eastAsia="Calibri" w:cs="Times New Roman"/>
          <w:sz w:val="22"/>
          <w:szCs w:val="22"/>
          <w:lang w:val="lt-LT" w:eastAsia="en-US"/>
        </w:rPr>
        <w:t xml:space="preserve">funkcijos </w:t>
      </w:r>
      <w:r w:rsidRPr="00997273">
        <w:rPr>
          <w:rFonts w:eastAsia="Calibri" w:cs="Times New Roman"/>
          <w:sz w:val="22"/>
          <w:szCs w:val="22"/>
          <w:lang w:val="lt-LT" w:eastAsia="en-US"/>
        </w:rPr>
        <w:t>sutrikimas (GFG &lt;</w:t>
      </w:r>
      <w:r w:rsidR="00FB7E6F">
        <w:rPr>
          <w:rFonts w:eastAsia="Calibri" w:cs="Times New Roman"/>
          <w:sz w:val="22"/>
          <w:szCs w:val="22"/>
          <w:lang w:val="lt-LT" w:eastAsia="en-US"/>
        </w:rPr>
        <w:t> </w:t>
      </w:r>
      <w:r w:rsidRPr="00997273">
        <w:rPr>
          <w:rFonts w:eastAsia="Calibri" w:cs="Times New Roman"/>
          <w:sz w:val="22"/>
          <w:szCs w:val="22"/>
          <w:lang w:val="lt-LT" w:eastAsia="en-US"/>
        </w:rPr>
        <w:t>30</w:t>
      </w:r>
      <w:r w:rsidR="00FB7E6F">
        <w:rPr>
          <w:rFonts w:eastAsia="Calibri" w:cs="Times New Roman"/>
          <w:sz w:val="22"/>
          <w:szCs w:val="22"/>
          <w:lang w:val="lt-LT" w:eastAsia="en-US"/>
        </w:rPr>
        <w:t> </w:t>
      </w:r>
      <w:r w:rsidRPr="00997273">
        <w:rPr>
          <w:rFonts w:eastAsia="Calibri" w:cs="Times New Roman"/>
          <w:sz w:val="22"/>
          <w:szCs w:val="22"/>
          <w:lang w:val="lt-LT" w:eastAsia="en-US"/>
        </w:rPr>
        <w:t>ml/min.) ar kurie dėl GS</w:t>
      </w:r>
      <w:r w:rsidR="00E70552">
        <w:rPr>
          <w:rFonts w:eastAsia="Calibri" w:cs="Times New Roman"/>
          <w:sz w:val="22"/>
          <w:szCs w:val="22"/>
          <w:lang w:val="lt-LT" w:eastAsia="en-US"/>
        </w:rPr>
        <w:t>L</w:t>
      </w:r>
      <w:r w:rsidRPr="00997273">
        <w:rPr>
          <w:rFonts w:eastAsia="Calibri" w:cs="Times New Roman"/>
          <w:sz w:val="22"/>
          <w:szCs w:val="22"/>
          <w:lang w:val="lt-LT" w:eastAsia="en-US"/>
        </w:rPr>
        <w:t xml:space="preserve">IL buvo gydomi hemodialize – maždaug 4 kartus. Hemodialize </w:t>
      </w:r>
      <w:proofErr w:type="spellStart"/>
      <w:r w:rsidRPr="00997273">
        <w:rPr>
          <w:rFonts w:eastAsia="Calibri" w:cs="Times New Roman"/>
          <w:sz w:val="22"/>
          <w:szCs w:val="22"/>
          <w:lang w:val="lt-LT" w:eastAsia="en-US"/>
        </w:rPr>
        <w:t>sitagliptino</w:t>
      </w:r>
      <w:proofErr w:type="spellEnd"/>
      <w:r w:rsidRPr="00997273">
        <w:rPr>
          <w:rFonts w:eastAsia="Calibri" w:cs="Times New Roman"/>
          <w:sz w:val="22"/>
          <w:szCs w:val="22"/>
          <w:lang w:val="lt-LT" w:eastAsia="en-US"/>
        </w:rPr>
        <w:t xml:space="preserve"> buvo pašalinta nedaug (13,5</w:t>
      </w:r>
      <w:r w:rsidR="00FB7E6F">
        <w:rPr>
          <w:rFonts w:eastAsia="Calibri" w:cs="Times New Roman"/>
          <w:sz w:val="22"/>
          <w:szCs w:val="22"/>
          <w:lang w:val="lt-LT" w:eastAsia="en-US"/>
        </w:rPr>
        <w:t> </w:t>
      </w:r>
      <w:r w:rsidRPr="00997273">
        <w:rPr>
          <w:rFonts w:eastAsia="Calibri" w:cs="Times New Roman"/>
          <w:sz w:val="22"/>
          <w:szCs w:val="22"/>
          <w:lang w:val="lt-LT" w:eastAsia="en-US"/>
        </w:rPr>
        <w:t>% per 3</w:t>
      </w:r>
      <w:r w:rsidR="00B4779A" w:rsidRPr="00997273">
        <w:rPr>
          <w:rFonts w:eastAsia="Calibri" w:cs="Times New Roman"/>
          <w:sz w:val="22"/>
          <w:szCs w:val="22"/>
          <w:lang w:val="lt-LT" w:eastAsia="en-US"/>
        </w:rPr>
        <w:t>–</w:t>
      </w:r>
      <w:r w:rsidRPr="00997273">
        <w:rPr>
          <w:rFonts w:eastAsia="Calibri" w:cs="Times New Roman"/>
          <w:sz w:val="22"/>
          <w:szCs w:val="22"/>
          <w:lang w:val="lt-LT" w:eastAsia="en-US"/>
        </w:rPr>
        <w:t>4 valandų hemodializę, kuri buvo pradėta, praėjus 4</w:t>
      </w:r>
      <w:r w:rsidR="00B4779A">
        <w:rPr>
          <w:rFonts w:eastAsia="Calibri" w:cs="Times New Roman"/>
          <w:sz w:val="22"/>
          <w:szCs w:val="22"/>
          <w:lang w:val="lt-LT" w:eastAsia="en-US"/>
        </w:rPr>
        <w:t> </w:t>
      </w:r>
      <w:r w:rsidRPr="00997273">
        <w:rPr>
          <w:rFonts w:eastAsia="Calibri" w:cs="Times New Roman"/>
          <w:sz w:val="22"/>
          <w:szCs w:val="22"/>
          <w:lang w:val="lt-LT" w:eastAsia="en-US"/>
        </w:rPr>
        <w:t xml:space="preserve">val. po dozės </w:t>
      </w:r>
      <w:r w:rsidR="00FB7E6F">
        <w:rPr>
          <w:rFonts w:eastAsia="Calibri" w:cs="Times New Roman"/>
          <w:sz w:val="22"/>
          <w:szCs w:val="22"/>
          <w:lang w:val="lt-LT" w:eastAsia="en-US"/>
        </w:rPr>
        <w:t>su</w:t>
      </w:r>
      <w:r w:rsidRPr="00997273">
        <w:rPr>
          <w:rFonts w:eastAsia="Calibri" w:cs="Times New Roman"/>
          <w:sz w:val="22"/>
          <w:szCs w:val="22"/>
          <w:lang w:val="lt-LT" w:eastAsia="en-US"/>
        </w:rPr>
        <w:t xml:space="preserve">vartojimo). Norint pasiekti </w:t>
      </w:r>
      <w:proofErr w:type="spellStart"/>
      <w:r w:rsidRPr="00997273">
        <w:rPr>
          <w:rFonts w:eastAsia="Calibri" w:cs="Times New Roman"/>
          <w:sz w:val="22"/>
          <w:szCs w:val="22"/>
          <w:lang w:val="lt-LT" w:eastAsia="en-US"/>
        </w:rPr>
        <w:t>sitagliptino</w:t>
      </w:r>
      <w:proofErr w:type="spellEnd"/>
      <w:r w:rsidRPr="00997273">
        <w:rPr>
          <w:rFonts w:eastAsia="Calibri" w:cs="Times New Roman"/>
          <w:sz w:val="22"/>
          <w:szCs w:val="22"/>
          <w:lang w:val="lt-LT" w:eastAsia="en-US"/>
        </w:rPr>
        <w:t xml:space="preserve"> koncentraciją plazmoje panašią į tą, kuri susidaro pacientų, kurių inkstų </w:t>
      </w:r>
      <w:r w:rsidR="00224758">
        <w:rPr>
          <w:rFonts w:eastAsia="Calibri" w:cs="Times New Roman"/>
          <w:sz w:val="22"/>
          <w:szCs w:val="22"/>
          <w:lang w:val="lt-LT" w:eastAsia="en-US"/>
        </w:rPr>
        <w:t>funkcija</w:t>
      </w:r>
      <w:r w:rsidRPr="00997273">
        <w:rPr>
          <w:rFonts w:eastAsia="Calibri" w:cs="Times New Roman"/>
          <w:sz w:val="22"/>
          <w:szCs w:val="22"/>
          <w:lang w:val="lt-LT" w:eastAsia="en-US"/>
        </w:rPr>
        <w:t xml:space="preserve"> yra normali, organizme, pacientus, kuriems GFG yra &lt;</w:t>
      </w:r>
      <w:r w:rsidR="00FB7E6F">
        <w:rPr>
          <w:rFonts w:eastAsia="Calibri" w:cs="Times New Roman"/>
          <w:sz w:val="22"/>
          <w:szCs w:val="22"/>
          <w:lang w:val="lt-LT" w:eastAsia="en-US"/>
        </w:rPr>
        <w:t> </w:t>
      </w:r>
      <w:r w:rsidRPr="00997273">
        <w:rPr>
          <w:rFonts w:eastAsia="Calibri" w:cs="Times New Roman"/>
          <w:sz w:val="22"/>
          <w:szCs w:val="22"/>
          <w:lang w:val="lt-LT" w:eastAsia="en-US"/>
        </w:rPr>
        <w:t>45</w:t>
      </w:r>
      <w:r w:rsidR="00FB7E6F">
        <w:rPr>
          <w:rFonts w:eastAsia="Calibri" w:cs="Times New Roman"/>
          <w:sz w:val="22"/>
          <w:szCs w:val="22"/>
          <w:lang w:val="lt-LT" w:eastAsia="en-US"/>
        </w:rPr>
        <w:t> </w:t>
      </w:r>
      <w:r w:rsidRPr="00997273">
        <w:rPr>
          <w:rFonts w:eastAsia="Calibri" w:cs="Times New Roman"/>
          <w:sz w:val="22"/>
          <w:szCs w:val="22"/>
          <w:lang w:val="lt-LT" w:eastAsia="en-US"/>
        </w:rPr>
        <w:t>ml/min., rekomenduojama gydyti mažesnėmis dozėmis (žr. 4.2</w:t>
      </w:r>
      <w:r w:rsidR="00B4779A">
        <w:rPr>
          <w:rFonts w:eastAsia="Calibri" w:cs="Times New Roman"/>
          <w:sz w:val="22"/>
          <w:szCs w:val="22"/>
          <w:lang w:val="lt-LT" w:eastAsia="en-US"/>
        </w:rPr>
        <w:t> </w:t>
      </w:r>
      <w:r w:rsidRPr="00997273">
        <w:rPr>
          <w:rFonts w:eastAsia="Calibri" w:cs="Times New Roman"/>
          <w:sz w:val="22"/>
          <w:szCs w:val="22"/>
          <w:lang w:val="lt-LT" w:eastAsia="en-US"/>
        </w:rPr>
        <w:t>skyrių).</w:t>
      </w:r>
    </w:p>
    <w:p w14:paraId="4EEAD42A" w14:textId="77777777" w:rsidR="00FB7E6F" w:rsidRDefault="00FB7E6F" w:rsidP="0000506F">
      <w:pPr>
        <w:autoSpaceDE w:val="0"/>
        <w:autoSpaceDN w:val="0"/>
        <w:adjustRightInd w:val="0"/>
        <w:rPr>
          <w:rFonts w:eastAsia="TimesNewRoman,Italic" w:cs="Times New Roman"/>
          <w:i/>
          <w:iCs/>
          <w:sz w:val="22"/>
          <w:szCs w:val="22"/>
          <w:lang w:val="lt-LT" w:eastAsia="en-US"/>
        </w:rPr>
      </w:pPr>
    </w:p>
    <w:p w14:paraId="052101A0" w14:textId="22B32DA5" w:rsidR="0000506F" w:rsidRPr="00297C23" w:rsidRDefault="0000506F" w:rsidP="0000506F">
      <w:pPr>
        <w:autoSpaceDE w:val="0"/>
        <w:autoSpaceDN w:val="0"/>
        <w:adjustRightInd w:val="0"/>
        <w:rPr>
          <w:rFonts w:eastAsia="TimesNewRoman,Italic" w:cs="Times New Roman"/>
          <w:i/>
          <w:iCs/>
          <w:sz w:val="22"/>
          <w:szCs w:val="22"/>
          <w:lang w:val="lt-LT" w:eastAsia="en-US"/>
        </w:rPr>
      </w:pPr>
      <w:r w:rsidRPr="00297C23">
        <w:rPr>
          <w:rFonts w:eastAsia="TimesNewRoman,Italic" w:cs="Times New Roman"/>
          <w:i/>
          <w:iCs/>
          <w:sz w:val="22"/>
          <w:szCs w:val="22"/>
          <w:lang w:val="lt-LT" w:eastAsia="en-US"/>
        </w:rPr>
        <w:t>Sutrikusi kepenų funkcija</w:t>
      </w:r>
    </w:p>
    <w:p w14:paraId="5E4807C0" w14:textId="70ACEBB5" w:rsidR="0000506F" w:rsidRPr="00997273" w:rsidRDefault="0000506F" w:rsidP="0000506F">
      <w:pPr>
        <w:autoSpaceDE w:val="0"/>
        <w:autoSpaceDN w:val="0"/>
        <w:adjustRightInd w:val="0"/>
        <w:rPr>
          <w:rFonts w:eastAsia="TimesNewRoman,Italic" w:cs="Times New Roman"/>
          <w:sz w:val="22"/>
          <w:szCs w:val="22"/>
          <w:lang w:val="lt-LT" w:eastAsia="en-US"/>
        </w:rPr>
      </w:pPr>
      <w:r w:rsidRPr="00997273">
        <w:rPr>
          <w:rFonts w:eastAsia="TimesNewRoman,Italic" w:cs="Times New Roman"/>
          <w:sz w:val="22"/>
          <w:szCs w:val="22"/>
          <w:lang w:val="lt-LT" w:eastAsia="en-US"/>
        </w:rPr>
        <w:t xml:space="preserve">Pacientams, kuriems yra lengvas arba vidutinio sunkumo kepenų </w:t>
      </w:r>
      <w:r w:rsidR="00336F5E" w:rsidRPr="00997273">
        <w:rPr>
          <w:rFonts w:eastAsia="TimesNewRoman,Italic" w:cs="Times New Roman"/>
          <w:sz w:val="22"/>
          <w:szCs w:val="22"/>
          <w:lang w:val="lt-LT" w:eastAsia="en-US"/>
        </w:rPr>
        <w:t xml:space="preserve">funkcijos </w:t>
      </w:r>
      <w:r w:rsidRPr="00997273">
        <w:rPr>
          <w:rFonts w:eastAsia="TimesNewRoman,Italic" w:cs="Times New Roman"/>
          <w:sz w:val="22"/>
          <w:szCs w:val="22"/>
          <w:lang w:val="lt-LT" w:eastAsia="en-US"/>
        </w:rPr>
        <w:t>sutrikimas (≤</w:t>
      </w:r>
      <w:r w:rsidR="00B87417">
        <w:rPr>
          <w:rFonts w:eastAsia="TimesNewRoman,Italic" w:cs="Times New Roman"/>
          <w:sz w:val="22"/>
          <w:szCs w:val="22"/>
          <w:lang w:val="lt-LT" w:eastAsia="en-US"/>
        </w:rPr>
        <w:t> </w:t>
      </w:r>
      <w:r w:rsidRPr="00997273">
        <w:rPr>
          <w:rFonts w:eastAsia="TimesNewRoman,Italic" w:cs="Times New Roman"/>
          <w:sz w:val="22"/>
          <w:szCs w:val="22"/>
          <w:lang w:val="lt-LT" w:eastAsia="en-US"/>
        </w:rPr>
        <w:t>9</w:t>
      </w:r>
      <w:r w:rsidR="00C94CDD">
        <w:rPr>
          <w:rFonts w:eastAsia="TimesNewRoman,Italic" w:cs="Times New Roman"/>
          <w:sz w:val="22"/>
          <w:szCs w:val="22"/>
          <w:lang w:val="lt-LT" w:eastAsia="en-US"/>
        </w:rPr>
        <w:t xml:space="preserve"> balai pagal </w:t>
      </w:r>
      <w:proofErr w:type="spellStart"/>
      <w:r w:rsidR="00C94CDD" w:rsidRPr="00997273">
        <w:rPr>
          <w:rFonts w:eastAsia="TimesNewRoman,Italic" w:cs="Times New Roman"/>
          <w:i/>
          <w:sz w:val="22"/>
          <w:szCs w:val="22"/>
          <w:lang w:val="lt-LT" w:eastAsia="en-US"/>
        </w:rPr>
        <w:t>Child-Pugh</w:t>
      </w:r>
      <w:proofErr w:type="spellEnd"/>
      <w:r w:rsidR="00224758">
        <w:rPr>
          <w:rFonts w:eastAsia="TimesNewRoman,Italic" w:cs="Times New Roman"/>
          <w:i/>
          <w:sz w:val="22"/>
          <w:szCs w:val="22"/>
          <w:lang w:val="lt-LT" w:eastAsia="en-US"/>
        </w:rPr>
        <w:t xml:space="preserve"> </w:t>
      </w:r>
      <w:r w:rsidR="00224758" w:rsidRPr="001F1642">
        <w:rPr>
          <w:rFonts w:eastAsia="TimesNewRoman,Italic" w:cs="Times New Roman"/>
          <w:sz w:val="22"/>
          <w:szCs w:val="22"/>
          <w:lang w:val="lt-LT" w:eastAsia="en-US"/>
        </w:rPr>
        <w:t>skalę</w:t>
      </w:r>
      <w:r w:rsidRPr="00997273">
        <w:rPr>
          <w:rFonts w:eastAsia="TimesNewRoman,Italic" w:cs="Times New Roman"/>
          <w:sz w:val="22"/>
          <w:szCs w:val="22"/>
          <w:lang w:val="lt-LT" w:eastAsia="en-US"/>
        </w:rPr>
        <w:t>),</w:t>
      </w:r>
      <w:r w:rsidR="00D500FB" w:rsidRPr="00997273">
        <w:rPr>
          <w:rFonts w:eastAsia="TimesNewRoman,Italic" w:cs="Times New Roman"/>
          <w:sz w:val="22"/>
          <w:szCs w:val="22"/>
          <w:lang w:val="lt-LT" w:eastAsia="en-US"/>
        </w:rPr>
        <w:t xml:space="preserve"> </w:t>
      </w:r>
      <w:proofErr w:type="spellStart"/>
      <w:r w:rsidR="00783193" w:rsidRPr="00997273">
        <w:rPr>
          <w:rFonts w:eastAsia="TimesNewRoman,Italic" w:cs="Times New Roman"/>
          <w:sz w:val="22"/>
          <w:szCs w:val="22"/>
          <w:lang w:val="lt-LT" w:eastAsia="en-US"/>
        </w:rPr>
        <w:t>sitagliptino</w:t>
      </w:r>
      <w:proofErr w:type="spellEnd"/>
      <w:r w:rsidRPr="00997273">
        <w:rPr>
          <w:rFonts w:eastAsia="TimesNewRoman,Italic" w:cs="Times New Roman"/>
          <w:sz w:val="22"/>
          <w:szCs w:val="22"/>
          <w:lang w:val="lt-LT" w:eastAsia="en-US"/>
        </w:rPr>
        <w:t xml:space="preserve"> dozės keisti nereikia. </w:t>
      </w:r>
      <w:r w:rsidR="001D1C45">
        <w:rPr>
          <w:rFonts w:eastAsia="TimesNewRoman,Italic" w:cs="Times New Roman"/>
          <w:sz w:val="22"/>
          <w:szCs w:val="22"/>
          <w:lang w:val="lt-LT" w:eastAsia="en-US"/>
        </w:rPr>
        <w:t>Nėra</w:t>
      </w:r>
      <w:r w:rsidR="001D1C45" w:rsidRPr="00997273">
        <w:rPr>
          <w:rFonts w:eastAsia="TimesNewRoman,Italic" w:cs="Times New Roman"/>
          <w:sz w:val="22"/>
          <w:szCs w:val="22"/>
          <w:lang w:val="lt-LT" w:eastAsia="en-US"/>
        </w:rPr>
        <w:t xml:space="preserve"> klinikinės gydymo patirties </w:t>
      </w:r>
      <w:r w:rsidR="001D1C45">
        <w:rPr>
          <w:rFonts w:eastAsia="TimesNewRoman,Italic" w:cs="Times New Roman"/>
          <w:sz w:val="22"/>
          <w:szCs w:val="22"/>
          <w:lang w:val="lt-LT" w:eastAsia="en-US"/>
        </w:rPr>
        <w:t>su p</w:t>
      </w:r>
      <w:r w:rsidRPr="00997273">
        <w:rPr>
          <w:rFonts w:eastAsia="TimesNewRoman,Italic" w:cs="Times New Roman"/>
          <w:sz w:val="22"/>
          <w:szCs w:val="22"/>
          <w:lang w:val="lt-LT" w:eastAsia="en-US"/>
        </w:rPr>
        <w:t>acient</w:t>
      </w:r>
      <w:r w:rsidR="001D1C45">
        <w:rPr>
          <w:rFonts w:eastAsia="TimesNewRoman,Italic" w:cs="Times New Roman"/>
          <w:sz w:val="22"/>
          <w:szCs w:val="22"/>
          <w:lang w:val="lt-LT" w:eastAsia="en-US"/>
        </w:rPr>
        <w:t>ais</w:t>
      </w:r>
      <w:r w:rsidRPr="00997273">
        <w:rPr>
          <w:rFonts w:eastAsia="TimesNewRoman,Italic" w:cs="Times New Roman"/>
          <w:sz w:val="22"/>
          <w:szCs w:val="22"/>
          <w:lang w:val="lt-LT" w:eastAsia="en-US"/>
        </w:rPr>
        <w:t xml:space="preserve">, kuriems yra sunkus kepenų </w:t>
      </w:r>
      <w:r w:rsidR="00336F5E" w:rsidRPr="00997273">
        <w:rPr>
          <w:rFonts w:eastAsia="TimesNewRoman,Italic" w:cs="Times New Roman"/>
          <w:sz w:val="22"/>
          <w:szCs w:val="22"/>
          <w:lang w:val="lt-LT" w:eastAsia="en-US"/>
        </w:rPr>
        <w:t xml:space="preserve">funkcijos </w:t>
      </w:r>
      <w:r w:rsidRPr="00997273">
        <w:rPr>
          <w:rFonts w:eastAsia="TimesNewRoman,Italic" w:cs="Times New Roman"/>
          <w:sz w:val="22"/>
          <w:szCs w:val="22"/>
          <w:lang w:val="lt-LT" w:eastAsia="en-US"/>
        </w:rPr>
        <w:t>sutrikimas (</w:t>
      </w:r>
      <w:r w:rsidR="00C94CDD" w:rsidRPr="00997273">
        <w:rPr>
          <w:rFonts w:eastAsia="TimesNewRoman,Italic" w:cs="Times New Roman"/>
          <w:sz w:val="22"/>
          <w:szCs w:val="22"/>
          <w:lang w:val="lt-LT" w:eastAsia="en-US"/>
        </w:rPr>
        <w:t>&gt;</w:t>
      </w:r>
      <w:r w:rsidR="00C94CDD">
        <w:rPr>
          <w:rFonts w:eastAsia="TimesNewRoman,Italic" w:cs="Times New Roman"/>
          <w:sz w:val="22"/>
          <w:szCs w:val="22"/>
          <w:lang w:val="lt-LT" w:eastAsia="en-US"/>
        </w:rPr>
        <w:t> </w:t>
      </w:r>
      <w:r w:rsidR="00C94CDD" w:rsidRPr="00997273">
        <w:rPr>
          <w:rFonts w:eastAsia="TimesNewRoman,Italic" w:cs="Times New Roman"/>
          <w:sz w:val="22"/>
          <w:szCs w:val="22"/>
          <w:lang w:val="lt-LT" w:eastAsia="en-US"/>
        </w:rPr>
        <w:t>9</w:t>
      </w:r>
      <w:r w:rsidR="00C94CDD">
        <w:rPr>
          <w:rFonts w:eastAsia="TimesNewRoman,Italic" w:cs="Times New Roman"/>
          <w:sz w:val="22"/>
          <w:szCs w:val="22"/>
          <w:lang w:val="lt-LT" w:eastAsia="en-US"/>
        </w:rPr>
        <w:t xml:space="preserve"> balai pagal </w:t>
      </w:r>
      <w:proofErr w:type="spellStart"/>
      <w:r w:rsidRPr="00997273">
        <w:rPr>
          <w:rFonts w:eastAsia="TimesNewRoman,Italic" w:cs="Times New Roman"/>
          <w:i/>
          <w:sz w:val="22"/>
          <w:szCs w:val="22"/>
          <w:lang w:val="lt-LT" w:eastAsia="en-US"/>
        </w:rPr>
        <w:t>Child-Pugh</w:t>
      </w:r>
      <w:proofErr w:type="spellEnd"/>
      <w:r w:rsidR="00AE271E">
        <w:rPr>
          <w:rFonts w:eastAsia="TimesNewRoman,Italic" w:cs="Times New Roman"/>
          <w:i/>
          <w:sz w:val="22"/>
          <w:szCs w:val="22"/>
          <w:lang w:val="lt-LT" w:eastAsia="en-US"/>
        </w:rPr>
        <w:t xml:space="preserve"> </w:t>
      </w:r>
      <w:r w:rsidR="00AE271E" w:rsidRPr="001F1642">
        <w:rPr>
          <w:rFonts w:eastAsia="TimesNewRoman,Italic" w:cs="Times New Roman"/>
          <w:sz w:val="22"/>
          <w:szCs w:val="22"/>
          <w:lang w:val="lt-LT" w:eastAsia="en-US"/>
        </w:rPr>
        <w:t>skalę</w:t>
      </w:r>
      <w:r w:rsidRPr="00997273">
        <w:rPr>
          <w:rFonts w:eastAsia="TimesNewRoman,Italic" w:cs="Times New Roman"/>
          <w:sz w:val="22"/>
          <w:szCs w:val="22"/>
          <w:lang w:val="lt-LT" w:eastAsia="en-US"/>
        </w:rPr>
        <w:t xml:space="preserve">). Vis dėlto nėra tikėtina, kad sunkus kepenų </w:t>
      </w:r>
      <w:r w:rsidR="00336F5E" w:rsidRPr="00997273">
        <w:rPr>
          <w:rFonts w:eastAsia="TimesNewRoman,Italic" w:cs="Times New Roman"/>
          <w:sz w:val="22"/>
          <w:szCs w:val="22"/>
          <w:lang w:val="lt-LT" w:eastAsia="en-US"/>
        </w:rPr>
        <w:t xml:space="preserve">funkcijos </w:t>
      </w:r>
      <w:r w:rsidRPr="00997273">
        <w:rPr>
          <w:rFonts w:eastAsia="TimesNewRoman,Italic" w:cs="Times New Roman"/>
          <w:sz w:val="22"/>
          <w:szCs w:val="22"/>
          <w:lang w:val="lt-LT" w:eastAsia="en-US"/>
        </w:rPr>
        <w:t>sutrikimas galėtų</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 xml:space="preserve">paveikti </w:t>
      </w:r>
      <w:proofErr w:type="spellStart"/>
      <w:r w:rsidRPr="00997273">
        <w:rPr>
          <w:rFonts w:eastAsia="TimesNewRoman,Italic" w:cs="Times New Roman"/>
          <w:sz w:val="22"/>
          <w:szCs w:val="22"/>
          <w:lang w:val="lt-LT" w:eastAsia="en-US"/>
        </w:rPr>
        <w:t>sitagliptino</w:t>
      </w:r>
      <w:proofErr w:type="spellEnd"/>
      <w:r w:rsidRPr="00997273">
        <w:rPr>
          <w:rFonts w:eastAsia="TimesNewRoman,Italic" w:cs="Times New Roman"/>
          <w:sz w:val="22"/>
          <w:szCs w:val="22"/>
          <w:lang w:val="lt-LT" w:eastAsia="en-US"/>
        </w:rPr>
        <w:t xml:space="preserve"> farmakokinetiką, nes daugiausiai vaistinio preparato šalinama p</w:t>
      </w:r>
      <w:r w:rsidR="00B87417">
        <w:rPr>
          <w:rFonts w:eastAsia="TimesNewRoman,Italic" w:cs="Times New Roman"/>
          <w:sz w:val="22"/>
          <w:szCs w:val="22"/>
          <w:lang w:val="lt-LT" w:eastAsia="en-US"/>
        </w:rPr>
        <w:t>er</w:t>
      </w:r>
      <w:r w:rsidRPr="00997273">
        <w:rPr>
          <w:rFonts w:eastAsia="TimesNewRoman,Italic" w:cs="Times New Roman"/>
          <w:sz w:val="22"/>
          <w:szCs w:val="22"/>
          <w:lang w:val="lt-LT" w:eastAsia="en-US"/>
        </w:rPr>
        <w:t xml:space="preserve"> inkstus.</w:t>
      </w:r>
    </w:p>
    <w:p w14:paraId="0C5E4C89" w14:textId="77777777" w:rsidR="00D500FB" w:rsidRPr="00997273" w:rsidRDefault="00D500FB" w:rsidP="0000506F">
      <w:pPr>
        <w:autoSpaceDE w:val="0"/>
        <w:autoSpaceDN w:val="0"/>
        <w:adjustRightInd w:val="0"/>
        <w:rPr>
          <w:rFonts w:eastAsia="TimesNewRoman,Italic" w:cs="Times New Roman"/>
          <w:i/>
          <w:iCs/>
          <w:sz w:val="22"/>
          <w:szCs w:val="22"/>
          <w:lang w:val="lt-LT" w:eastAsia="en-US"/>
        </w:rPr>
      </w:pPr>
    </w:p>
    <w:p w14:paraId="18AAD9F2" w14:textId="77777777" w:rsidR="0000506F" w:rsidRPr="00297C23" w:rsidRDefault="0000506F" w:rsidP="0000506F">
      <w:pPr>
        <w:autoSpaceDE w:val="0"/>
        <w:autoSpaceDN w:val="0"/>
        <w:adjustRightInd w:val="0"/>
        <w:rPr>
          <w:rFonts w:eastAsia="TimesNewRoman,Italic" w:cs="Times New Roman"/>
          <w:i/>
          <w:iCs/>
          <w:sz w:val="22"/>
          <w:szCs w:val="22"/>
          <w:lang w:val="lt-LT" w:eastAsia="en-US"/>
        </w:rPr>
      </w:pPr>
      <w:r w:rsidRPr="00297C23">
        <w:rPr>
          <w:rFonts w:eastAsia="TimesNewRoman,Italic" w:cs="Times New Roman"/>
          <w:i/>
          <w:iCs/>
          <w:sz w:val="22"/>
          <w:szCs w:val="22"/>
          <w:lang w:val="lt-LT" w:eastAsia="en-US"/>
        </w:rPr>
        <w:t>Senyvi pacientai</w:t>
      </w:r>
    </w:p>
    <w:p w14:paraId="6D77D8E6" w14:textId="38F286BD" w:rsidR="0000506F" w:rsidRPr="00997273" w:rsidRDefault="0000506F" w:rsidP="0000506F">
      <w:pPr>
        <w:autoSpaceDE w:val="0"/>
        <w:autoSpaceDN w:val="0"/>
        <w:adjustRightInd w:val="0"/>
        <w:rPr>
          <w:rFonts w:eastAsia="TimesNewRoman,Italic" w:cs="Times New Roman"/>
          <w:sz w:val="22"/>
          <w:szCs w:val="22"/>
          <w:lang w:val="lt-LT" w:eastAsia="en-US"/>
        </w:rPr>
      </w:pPr>
      <w:r w:rsidRPr="00997273">
        <w:rPr>
          <w:rFonts w:eastAsia="TimesNewRoman,Italic" w:cs="Times New Roman"/>
          <w:sz w:val="22"/>
          <w:szCs w:val="22"/>
          <w:lang w:val="lt-LT" w:eastAsia="en-US"/>
        </w:rPr>
        <w:t>Dėl amžiaus dozės keisti nereikia. Remiantis populiacij</w:t>
      </w:r>
      <w:r w:rsidR="00AB2633">
        <w:rPr>
          <w:rFonts w:eastAsia="TimesNewRoman,Italic" w:cs="Times New Roman"/>
          <w:sz w:val="22"/>
          <w:szCs w:val="22"/>
          <w:lang w:val="lt-LT" w:eastAsia="en-US"/>
        </w:rPr>
        <w:t>os</w:t>
      </w:r>
      <w:r w:rsidRPr="00997273">
        <w:rPr>
          <w:rFonts w:eastAsia="TimesNewRoman,Italic" w:cs="Times New Roman"/>
          <w:sz w:val="22"/>
          <w:szCs w:val="22"/>
          <w:lang w:val="lt-LT" w:eastAsia="en-US"/>
        </w:rPr>
        <w:t xml:space="preserve"> farmakokinetikos duomenų, gautų I ir II</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 xml:space="preserve">fazės tyrimų metu, analize, amžius </w:t>
      </w:r>
      <w:proofErr w:type="spellStart"/>
      <w:r w:rsidRPr="00997273">
        <w:rPr>
          <w:rFonts w:eastAsia="TimesNewRoman,Italic" w:cs="Times New Roman"/>
          <w:sz w:val="22"/>
          <w:szCs w:val="22"/>
          <w:lang w:val="lt-LT" w:eastAsia="en-US"/>
        </w:rPr>
        <w:t>sitagliptino</w:t>
      </w:r>
      <w:proofErr w:type="spellEnd"/>
      <w:r w:rsidRPr="00997273">
        <w:rPr>
          <w:rFonts w:eastAsia="TimesNewRoman,Italic" w:cs="Times New Roman"/>
          <w:sz w:val="22"/>
          <w:szCs w:val="22"/>
          <w:lang w:val="lt-LT" w:eastAsia="en-US"/>
        </w:rPr>
        <w:t xml:space="preserve"> farmakokinetikai klini</w:t>
      </w:r>
      <w:r w:rsidR="00896C69">
        <w:rPr>
          <w:rFonts w:eastAsia="TimesNewRoman,Italic" w:cs="Times New Roman"/>
          <w:sz w:val="22"/>
          <w:szCs w:val="22"/>
          <w:lang w:val="lt-LT" w:eastAsia="en-US"/>
        </w:rPr>
        <w:t>š</w:t>
      </w:r>
      <w:r w:rsidRPr="00997273">
        <w:rPr>
          <w:rFonts w:eastAsia="TimesNewRoman,Italic" w:cs="Times New Roman"/>
          <w:sz w:val="22"/>
          <w:szCs w:val="22"/>
          <w:lang w:val="lt-LT" w:eastAsia="en-US"/>
        </w:rPr>
        <w:t>kai reikšmingo poveikio nedarė.</w:t>
      </w:r>
      <w:r w:rsidR="00D500FB" w:rsidRPr="00997273">
        <w:rPr>
          <w:rFonts w:eastAsia="TimesNewRoman,Italic" w:cs="Times New Roman"/>
          <w:sz w:val="22"/>
          <w:szCs w:val="22"/>
          <w:lang w:val="lt-LT" w:eastAsia="en-US"/>
        </w:rPr>
        <w:t xml:space="preserve"> </w:t>
      </w:r>
      <w:r w:rsidR="00783193" w:rsidRPr="00997273">
        <w:rPr>
          <w:rFonts w:eastAsia="TimesNewRoman,Italic" w:cs="Times New Roman"/>
          <w:sz w:val="22"/>
          <w:szCs w:val="22"/>
          <w:lang w:val="lt-LT" w:eastAsia="en-US"/>
        </w:rPr>
        <w:t>Senyv</w:t>
      </w:r>
      <w:r w:rsidRPr="00997273">
        <w:rPr>
          <w:rFonts w:eastAsia="TimesNewRoman,Italic" w:cs="Times New Roman"/>
          <w:sz w:val="22"/>
          <w:szCs w:val="22"/>
          <w:lang w:val="lt-LT" w:eastAsia="en-US"/>
        </w:rPr>
        <w:t>ų (65</w:t>
      </w:r>
      <w:r w:rsidR="00AB2633">
        <w:rPr>
          <w:rFonts w:eastAsia="TimesNewRoman,Italic" w:cs="Times New Roman"/>
          <w:sz w:val="22"/>
          <w:szCs w:val="22"/>
          <w:lang w:val="lt-LT" w:eastAsia="en-US"/>
        </w:rPr>
        <w:t>–</w:t>
      </w:r>
      <w:r w:rsidRPr="00997273">
        <w:rPr>
          <w:rFonts w:eastAsia="TimesNewRoman,Italic" w:cs="Times New Roman"/>
          <w:sz w:val="22"/>
          <w:szCs w:val="22"/>
          <w:lang w:val="lt-LT" w:eastAsia="en-US"/>
        </w:rPr>
        <w:t>80</w:t>
      </w:r>
      <w:r w:rsidR="00AB2633">
        <w:rPr>
          <w:rFonts w:eastAsia="TimesNewRoman,Italic" w:cs="Times New Roman"/>
          <w:sz w:val="22"/>
          <w:szCs w:val="22"/>
          <w:lang w:val="lt-LT" w:eastAsia="en-US"/>
        </w:rPr>
        <w:t> </w:t>
      </w:r>
      <w:r w:rsidRPr="00997273">
        <w:rPr>
          <w:rFonts w:eastAsia="TimesNewRoman,Italic" w:cs="Times New Roman"/>
          <w:sz w:val="22"/>
          <w:szCs w:val="22"/>
          <w:lang w:val="lt-LT" w:eastAsia="en-US"/>
        </w:rPr>
        <w:t xml:space="preserve">metų) žmonių kraujo plazmoje </w:t>
      </w:r>
      <w:proofErr w:type="spellStart"/>
      <w:r w:rsidRPr="00997273">
        <w:rPr>
          <w:rFonts w:eastAsia="TimesNewRoman,Italic" w:cs="Times New Roman"/>
          <w:sz w:val="22"/>
          <w:szCs w:val="22"/>
          <w:lang w:val="lt-LT" w:eastAsia="en-US"/>
        </w:rPr>
        <w:t>sitagliptino</w:t>
      </w:r>
      <w:proofErr w:type="spellEnd"/>
      <w:r w:rsidRPr="00997273">
        <w:rPr>
          <w:rFonts w:eastAsia="TimesNewRoman,Italic" w:cs="Times New Roman"/>
          <w:sz w:val="22"/>
          <w:szCs w:val="22"/>
          <w:lang w:val="lt-LT" w:eastAsia="en-US"/>
        </w:rPr>
        <w:t xml:space="preserve"> koncentracija buvo maždaug 19</w:t>
      </w:r>
      <w:r w:rsidR="00B86B75" w:rsidRPr="00997273">
        <w:rPr>
          <w:rFonts w:eastAsia="TimesNewRoman,Italic" w:cs="Times New Roman"/>
          <w:sz w:val="22"/>
          <w:szCs w:val="22"/>
          <w:lang w:val="lt-LT" w:eastAsia="en-US"/>
        </w:rPr>
        <w:t> </w:t>
      </w:r>
      <w:r w:rsidRPr="00997273">
        <w:rPr>
          <w:rFonts w:eastAsia="TimesNewRoman,Italic" w:cs="Times New Roman"/>
          <w:sz w:val="22"/>
          <w:szCs w:val="22"/>
          <w:lang w:val="lt-LT" w:eastAsia="en-US"/>
        </w:rPr>
        <w:t>%</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didesnė nei jaunesnių asmenų.</w:t>
      </w:r>
    </w:p>
    <w:p w14:paraId="29C8F467" w14:textId="77777777" w:rsidR="00D500FB" w:rsidRPr="00997273" w:rsidRDefault="00D500FB" w:rsidP="0000506F">
      <w:pPr>
        <w:autoSpaceDE w:val="0"/>
        <w:autoSpaceDN w:val="0"/>
        <w:adjustRightInd w:val="0"/>
        <w:rPr>
          <w:rFonts w:eastAsia="TimesNewRoman,Italic" w:cs="Times New Roman"/>
          <w:i/>
          <w:iCs/>
          <w:sz w:val="22"/>
          <w:szCs w:val="22"/>
          <w:lang w:val="lt-LT" w:eastAsia="en-US"/>
        </w:rPr>
      </w:pPr>
    </w:p>
    <w:p w14:paraId="1D54EF35" w14:textId="77777777" w:rsidR="0000506F" w:rsidRPr="00297C23" w:rsidRDefault="0000506F" w:rsidP="0000506F">
      <w:pPr>
        <w:autoSpaceDE w:val="0"/>
        <w:autoSpaceDN w:val="0"/>
        <w:adjustRightInd w:val="0"/>
        <w:rPr>
          <w:rFonts w:eastAsia="TimesNewRoman,Italic" w:cs="Times New Roman"/>
          <w:i/>
          <w:iCs/>
          <w:sz w:val="22"/>
          <w:szCs w:val="22"/>
          <w:lang w:val="lt-LT" w:eastAsia="en-US"/>
        </w:rPr>
      </w:pPr>
      <w:r w:rsidRPr="00297C23">
        <w:rPr>
          <w:rFonts w:eastAsia="TimesNewRoman,Italic" w:cs="Times New Roman"/>
          <w:i/>
          <w:iCs/>
          <w:sz w:val="22"/>
          <w:szCs w:val="22"/>
          <w:lang w:val="lt-LT" w:eastAsia="en-US"/>
        </w:rPr>
        <w:t>Vaikų populiacija</w:t>
      </w:r>
    </w:p>
    <w:p w14:paraId="5E698B49" w14:textId="403AA950" w:rsidR="0000506F" w:rsidRPr="00997273" w:rsidRDefault="0070707D" w:rsidP="0070707D">
      <w:pPr>
        <w:autoSpaceDE w:val="0"/>
        <w:autoSpaceDN w:val="0"/>
        <w:adjustRightInd w:val="0"/>
        <w:rPr>
          <w:rFonts w:eastAsia="TimesNewRoman,Italic" w:cs="Times New Roman"/>
          <w:sz w:val="22"/>
          <w:szCs w:val="22"/>
          <w:lang w:val="lt-LT" w:eastAsia="en-US"/>
        </w:rPr>
      </w:pPr>
      <w:r w:rsidRPr="00997273">
        <w:rPr>
          <w:rFonts w:eastAsia="TimesNewRoman,Italic" w:cs="Times New Roman"/>
          <w:sz w:val="22"/>
          <w:szCs w:val="22"/>
          <w:lang w:val="lt-LT" w:eastAsia="en-US"/>
        </w:rPr>
        <w:t>Buvo i</w:t>
      </w:r>
      <w:r w:rsidRPr="00997273">
        <w:rPr>
          <w:rFonts w:eastAsia="TimesNewRoman,Italic" w:cs="Times New Roman" w:hint="eastAsia"/>
          <w:sz w:val="22"/>
          <w:szCs w:val="22"/>
          <w:lang w:val="lt-LT" w:eastAsia="en-US"/>
        </w:rPr>
        <w:t>š</w:t>
      </w:r>
      <w:r w:rsidRPr="00997273">
        <w:rPr>
          <w:rFonts w:eastAsia="TimesNewRoman,Italic" w:cs="Times New Roman"/>
          <w:sz w:val="22"/>
          <w:szCs w:val="22"/>
          <w:lang w:val="lt-LT" w:eastAsia="en-US"/>
        </w:rPr>
        <w:t xml:space="preserve">tirtos </w:t>
      </w:r>
      <w:proofErr w:type="spellStart"/>
      <w:r w:rsidR="00896C69" w:rsidRPr="00997273">
        <w:rPr>
          <w:rFonts w:eastAsia="TimesNewRoman,Italic" w:cs="Times New Roman"/>
          <w:sz w:val="22"/>
          <w:szCs w:val="22"/>
          <w:lang w:val="lt-LT" w:eastAsia="en-US"/>
        </w:rPr>
        <w:t>farmakokinetin</w:t>
      </w:r>
      <w:r w:rsidR="00896C69" w:rsidRPr="00997273">
        <w:rPr>
          <w:rFonts w:eastAsia="TimesNewRoman,Italic" w:cs="Times New Roman" w:hint="eastAsia"/>
          <w:sz w:val="22"/>
          <w:szCs w:val="22"/>
          <w:lang w:val="lt-LT" w:eastAsia="en-US"/>
        </w:rPr>
        <w:t>ė</w:t>
      </w:r>
      <w:r w:rsidR="00896C69" w:rsidRPr="00997273">
        <w:rPr>
          <w:rFonts w:eastAsia="TimesNewRoman,Italic" w:cs="Times New Roman"/>
          <w:sz w:val="22"/>
          <w:szCs w:val="22"/>
          <w:lang w:val="lt-LT" w:eastAsia="en-US"/>
        </w:rPr>
        <w:t>s</w:t>
      </w:r>
      <w:proofErr w:type="spellEnd"/>
      <w:r w:rsidR="00896C69" w:rsidRPr="00997273">
        <w:rPr>
          <w:rFonts w:eastAsia="TimesNewRoman,Italic" w:cs="Times New Roman"/>
          <w:sz w:val="22"/>
          <w:szCs w:val="22"/>
          <w:lang w:val="lt-LT" w:eastAsia="en-US"/>
        </w:rPr>
        <w:t xml:space="preserve"> </w:t>
      </w:r>
      <w:proofErr w:type="spellStart"/>
      <w:r w:rsidRPr="00997273">
        <w:rPr>
          <w:rFonts w:eastAsia="TimesNewRoman,Italic" w:cs="Times New Roman"/>
          <w:sz w:val="22"/>
          <w:szCs w:val="22"/>
          <w:lang w:val="lt-LT" w:eastAsia="en-US"/>
        </w:rPr>
        <w:t>sitagliptino</w:t>
      </w:r>
      <w:proofErr w:type="spellEnd"/>
      <w:r w:rsidRPr="00997273">
        <w:rPr>
          <w:rFonts w:eastAsia="TimesNewRoman,Italic" w:cs="Times New Roman"/>
          <w:sz w:val="22"/>
          <w:szCs w:val="22"/>
          <w:lang w:val="lt-LT" w:eastAsia="en-US"/>
        </w:rPr>
        <w:t xml:space="preserve"> </w:t>
      </w:r>
      <w:r w:rsidR="00896C69" w:rsidRPr="00997273">
        <w:rPr>
          <w:rFonts w:eastAsia="TimesNewRoman,Italic" w:cs="Times New Roman"/>
          <w:sz w:val="22"/>
          <w:szCs w:val="22"/>
          <w:lang w:val="lt-LT" w:eastAsia="en-US"/>
        </w:rPr>
        <w:t>savyb</w:t>
      </w:r>
      <w:r w:rsidR="00896C69" w:rsidRPr="00997273">
        <w:rPr>
          <w:rFonts w:eastAsia="TimesNewRoman,Italic" w:cs="Times New Roman" w:hint="eastAsia"/>
          <w:sz w:val="22"/>
          <w:szCs w:val="22"/>
          <w:lang w:val="lt-LT" w:eastAsia="en-US"/>
        </w:rPr>
        <w:t>ė</w:t>
      </w:r>
      <w:r w:rsidR="00896C69" w:rsidRPr="00997273">
        <w:rPr>
          <w:rFonts w:eastAsia="TimesNewRoman,Italic" w:cs="Times New Roman"/>
          <w:sz w:val="22"/>
          <w:szCs w:val="22"/>
          <w:lang w:val="lt-LT" w:eastAsia="en-US"/>
        </w:rPr>
        <w:t xml:space="preserve">s </w:t>
      </w:r>
      <w:r w:rsidRPr="00997273">
        <w:rPr>
          <w:rFonts w:eastAsia="TimesNewRoman,Italic" w:cs="Times New Roman"/>
          <w:sz w:val="22"/>
          <w:szCs w:val="22"/>
          <w:lang w:val="lt-LT" w:eastAsia="en-US"/>
        </w:rPr>
        <w:t>(</w:t>
      </w:r>
      <w:r w:rsidR="00896C69">
        <w:rPr>
          <w:rFonts w:eastAsia="TimesNewRoman,Italic" w:cs="Times New Roman"/>
          <w:sz w:val="22"/>
          <w:szCs w:val="22"/>
          <w:lang w:val="lt-LT" w:eastAsia="en-US"/>
        </w:rPr>
        <w:t xml:space="preserve">skiriant </w:t>
      </w:r>
      <w:r w:rsidRPr="00997273">
        <w:rPr>
          <w:rFonts w:eastAsia="TimesNewRoman,Italic" w:cs="Times New Roman"/>
          <w:sz w:val="22"/>
          <w:szCs w:val="22"/>
          <w:lang w:val="lt-LT" w:eastAsia="en-US"/>
        </w:rPr>
        <w:t>vienkartin</w:t>
      </w:r>
      <w:r w:rsidR="00896C69">
        <w:rPr>
          <w:rFonts w:eastAsia="TimesNewRoman,Italic" w:cs="Times New Roman"/>
          <w:sz w:val="22"/>
          <w:szCs w:val="22"/>
          <w:lang w:val="lt-LT" w:eastAsia="en-US"/>
        </w:rPr>
        <w:t>es</w:t>
      </w:r>
      <w:r w:rsidRPr="00997273">
        <w:rPr>
          <w:rFonts w:eastAsia="TimesNewRoman,Italic" w:cs="Times New Roman"/>
          <w:sz w:val="22"/>
          <w:szCs w:val="22"/>
          <w:lang w:val="lt-LT" w:eastAsia="en-US"/>
        </w:rPr>
        <w:t xml:space="preserve"> 50</w:t>
      </w:r>
      <w:r w:rsidR="00B86B75" w:rsidRPr="00997273">
        <w:rPr>
          <w:rFonts w:eastAsia="TimesNewRoman,Italic" w:cs="Times New Roman"/>
          <w:sz w:val="22"/>
          <w:szCs w:val="22"/>
          <w:lang w:val="lt-LT" w:eastAsia="en-US"/>
        </w:rPr>
        <w:t> </w:t>
      </w:r>
      <w:r w:rsidRPr="00997273">
        <w:rPr>
          <w:rFonts w:eastAsia="TimesNewRoman,Italic" w:cs="Times New Roman"/>
          <w:sz w:val="22"/>
          <w:szCs w:val="22"/>
          <w:lang w:val="lt-LT" w:eastAsia="en-US"/>
        </w:rPr>
        <w:t>mg, 100</w:t>
      </w:r>
      <w:r w:rsidR="00B86B75" w:rsidRPr="00997273">
        <w:rPr>
          <w:rFonts w:eastAsia="TimesNewRoman,Italic" w:cs="Times New Roman"/>
          <w:sz w:val="22"/>
          <w:szCs w:val="22"/>
          <w:lang w:val="lt-LT" w:eastAsia="en-US"/>
        </w:rPr>
        <w:t> </w:t>
      </w:r>
      <w:r w:rsidRPr="00997273">
        <w:rPr>
          <w:rFonts w:eastAsia="TimesNewRoman,Italic" w:cs="Times New Roman"/>
          <w:sz w:val="22"/>
          <w:szCs w:val="22"/>
          <w:lang w:val="lt-LT" w:eastAsia="en-US"/>
        </w:rPr>
        <w:t>mg ir 200</w:t>
      </w:r>
      <w:r w:rsidR="00B86B75" w:rsidRPr="00997273">
        <w:rPr>
          <w:rFonts w:eastAsia="TimesNewRoman,Italic" w:cs="Times New Roman"/>
          <w:sz w:val="22"/>
          <w:szCs w:val="22"/>
          <w:lang w:val="lt-LT" w:eastAsia="en-US"/>
        </w:rPr>
        <w:t> </w:t>
      </w:r>
      <w:r w:rsidRPr="00997273">
        <w:rPr>
          <w:rFonts w:eastAsia="TimesNewRoman,Italic" w:cs="Times New Roman"/>
          <w:sz w:val="22"/>
          <w:szCs w:val="22"/>
          <w:lang w:val="lt-LT" w:eastAsia="en-US"/>
        </w:rPr>
        <w:t>mg doz</w:t>
      </w:r>
      <w:r w:rsidR="00896C69">
        <w:rPr>
          <w:rFonts w:eastAsia="TimesNewRoman,Italic" w:cs="Times New Roman"/>
          <w:sz w:val="22"/>
          <w:szCs w:val="22"/>
          <w:lang w:val="lt-LT" w:eastAsia="en-US"/>
        </w:rPr>
        <w:t>es</w:t>
      </w:r>
      <w:r w:rsidRPr="00997273">
        <w:rPr>
          <w:rFonts w:eastAsia="TimesNewRoman,Italic" w:cs="Times New Roman"/>
          <w:sz w:val="22"/>
          <w:szCs w:val="22"/>
          <w:lang w:val="lt-LT" w:eastAsia="en-US"/>
        </w:rPr>
        <w:t>) 2</w:t>
      </w:r>
      <w:r w:rsidR="00AB2633">
        <w:rPr>
          <w:rFonts w:eastAsia="TimesNewRoman,Italic" w:cs="Times New Roman"/>
          <w:sz w:val="22"/>
          <w:szCs w:val="22"/>
          <w:lang w:val="lt-LT" w:eastAsia="en-US"/>
        </w:rPr>
        <w:t> </w:t>
      </w:r>
      <w:r w:rsidRPr="00997273">
        <w:rPr>
          <w:rFonts w:eastAsia="TimesNewRoman,Italic" w:cs="Times New Roman"/>
          <w:sz w:val="22"/>
          <w:szCs w:val="22"/>
          <w:lang w:val="lt-LT" w:eastAsia="en-US"/>
        </w:rPr>
        <w:t>tipo diabetu sergantiems vaikams (nuo 10 iki 17 met</w:t>
      </w:r>
      <w:r w:rsidRPr="00997273">
        <w:rPr>
          <w:rFonts w:eastAsia="TimesNewRoman,Italic" w:cs="Times New Roman" w:hint="eastAsia"/>
          <w:sz w:val="22"/>
          <w:szCs w:val="22"/>
          <w:lang w:val="lt-LT" w:eastAsia="en-US"/>
        </w:rPr>
        <w:t>ų</w:t>
      </w:r>
      <w:r w:rsidRPr="00997273">
        <w:rPr>
          <w:rFonts w:eastAsia="TimesNewRoman,Italic" w:cs="Times New Roman"/>
          <w:sz w:val="22"/>
          <w:szCs w:val="22"/>
          <w:lang w:val="lt-LT" w:eastAsia="en-US"/>
        </w:rPr>
        <w:t xml:space="preserve">). </w:t>
      </w:r>
      <w:r w:rsidRPr="00997273">
        <w:rPr>
          <w:rFonts w:eastAsia="TimesNewRoman,Italic" w:cs="Times New Roman" w:hint="eastAsia"/>
          <w:sz w:val="22"/>
          <w:szCs w:val="22"/>
          <w:lang w:val="lt-LT" w:eastAsia="en-US"/>
        </w:rPr>
        <w:t>Š</w:t>
      </w:r>
      <w:r w:rsidRPr="00997273">
        <w:rPr>
          <w:rFonts w:eastAsia="TimesNewRoman,Italic" w:cs="Times New Roman"/>
          <w:sz w:val="22"/>
          <w:szCs w:val="22"/>
          <w:lang w:val="lt-LT" w:eastAsia="en-US"/>
        </w:rPr>
        <w:t>ioje populiacijoje pagal doz</w:t>
      </w:r>
      <w:r w:rsidRPr="00997273">
        <w:rPr>
          <w:rFonts w:eastAsia="TimesNewRoman,Italic" w:cs="Times New Roman" w:hint="eastAsia"/>
          <w:sz w:val="22"/>
          <w:szCs w:val="22"/>
          <w:lang w:val="lt-LT" w:eastAsia="en-US"/>
        </w:rPr>
        <w:t>ę</w:t>
      </w:r>
      <w:r w:rsidRPr="00997273">
        <w:rPr>
          <w:rFonts w:eastAsia="TimesNewRoman,Italic" w:cs="Times New Roman"/>
          <w:sz w:val="22"/>
          <w:szCs w:val="22"/>
          <w:lang w:val="lt-LT" w:eastAsia="en-US"/>
        </w:rPr>
        <w:t xml:space="preserve"> koreguotas </w:t>
      </w:r>
      <w:proofErr w:type="spellStart"/>
      <w:r w:rsidRPr="00997273">
        <w:rPr>
          <w:rFonts w:eastAsia="TimesNewRoman,Italic" w:cs="Times New Roman"/>
          <w:sz w:val="22"/>
          <w:szCs w:val="22"/>
          <w:lang w:val="lt-LT" w:eastAsia="en-US"/>
        </w:rPr>
        <w:t>sitagliptino</w:t>
      </w:r>
      <w:proofErr w:type="spellEnd"/>
      <w:r w:rsidRPr="00997273">
        <w:rPr>
          <w:rFonts w:eastAsia="TimesNewRoman,Italic" w:cs="Times New Roman"/>
          <w:sz w:val="22"/>
          <w:szCs w:val="22"/>
          <w:lang w:val="lt-LT" w:eastAsia="en-US"/>
        </w:rPr>
        <w:t xml:space="preserve"> AUC plazmoje buvo ma</w:t>
      </w:r>
      <w:r w:rsidRPr="00997273">
        <w:rPr>
          <w:rFonts w:eastAsia="TimesNewRoman,Italic" w:cs="Times New Roman" w:hint="eastAsia"/>
          <w:sz w:val="22"/>
          <w:szCs w:val="22"/>
          <w:lang w:val="lt-LT" w:eastAsia="en-US"/>
        </w:rPr>
        <w:t>ž</w:t>
      </w:r>
      <w:r w:rsidRPr="00997273">
        <w:rPr>
          <w:rFonts w:eastAsia="TimesNewRoman,Italic" w:cs="Times New Roman"/>
          <w:sz w:val="22"/>
          <w:szCs w:val="22"/>
          <w:lang w:val="lt-LT" w:eastAsia="en-US"/>
        </w:rPr>
        <w:t>daug 18</w:t>
      </w:r>
      <w:r w:rsidR="00B86B75" w:rsidRPr="00997273">
        <w:rPr>
          <w:rFonts w:eastAsia="TimesNewRoman,Italic" w:cs="Times New Roman"/>
          <w:sz w:val="22"/>
          <w:szCs w:val="22"/>
          <w:lang w:val="lt-LT" w:eastAsia="en-US"/>
        </w:rPr>
        <w:t> </w:t>
      </w:r>
      <w:r w:rsidRPr="00997273">
        <w:rPr>
          <w:rFonts w:eastAsia="TimesNewRoman,Italic" w:cs="Times New Roman"/>
          <w:sz w:val="22"/>
          <w:szCs w:val="22"/>
          <w:lang w:val="lt-LT" w:eastAsia="en-US"/>
        </w:rPr>
        <w:t>% ma</w:t>
      </w:r>
      <w:r w:rsidRPr="00997273">
        <w:rPr>
          <w:rFonts w:eastAsia="TimesNewRoman,Italic" w:cs="Times New Roman" w:hint="eastAsia"/>
          <w:sz w:val="22"/>
          <w:szCs w:val="22"/>
          <w:lang w:val="lt-LT" w:eastAsia="en-US"/>
        </w:rPr>
        <w:t>ž</w:t>
      </w:r>
      <w:r w:rsidRPr="00997273">
        <w:rPr>
          <w:rFonts w:eastAsia="TimesNewRoman,Italic" w:cs="Times New Roman"/>
          <w:sz w:val="22"/>
          <w:szCs w:val="22"/>
          <w:lang w:val="lt-LT" w:eastAsia="en-US"/>
        </w:rPr>
        <w:t xml:space="preserve">esnis, lyginant su </w:t>
      </w:r>
      <w:r w:rsidR="00AB2633">
        <w:rPr>
          <w:rFonts w:eastAsia="TimesNewRoman,Italic" w:cs="Times New Roman"/>
          <w:sz w:val="22"/>
          <w:szCs w:val="22"/>
          <w:lang w:val="lt-LT" w:eastAsia="en-US"/>
        </w:rPr>
        <w:t>AUC</w:t>
      </w:r>
      <w:r w:rsidR="00581701">
        <w:rPr>
          <w:rFonts w:eastAsia="TimesNewRoman,Italic" w:cs="Times New Roman"/>
          <w:sz w:val="22"/>
          <w:szCs w:val="22"/>
          <w:lang w:val="lt-LT" w:eastAsia="en-US"/>
        </w:rPr>
        <w:t>,</w:t>
      </w:r>
      <w:r w:rsidR="00AB2633">
        <w:rPr>
          <w:rFonts w:eastAsia="TimesNewRoman,Italic" w:cs="Times New Roman"/>
          <w:sz w:val="22"/>
          <w:szCs w:val="22"/>
          <w:lang w:val="lt-LT" w:eastAsia="en-US"/>
        </w:rPr>
        <w:t xml:space="preserve"> </w:t>
      </w:r>
      <w:r w:rsidR="00581701" w:rsidRPr="00997273">
        <w:rPr>
          <w:rFonts w:eastAsia="TimesNewRoman,Italic" w:cs="Times New Roman"/>
          <w:sz w:val="22"/>
          <w:szCs w:val="22"/>
          <w:lang w:val="lt-LT" w:eastAsia="en-US"/>
        </w:rPr>
        <w:t xml:space="preserve">nustatytu </w:t>
      </w:r>
      <w:r w:rsidR="00581701">
        <w:rPr>
          <w:rFonts w:eastAsia="TimesNewRoman,Italic" w:cs="Times New Roman"/>
          <w:sz w:val="22"/>
          <w:szCs w:val="22"/>
          <w:lang w:val="lt-LT" w:eastAsia="en-US"/>
        </w:rPr>
        <w:t xml:space="preserve">suvartojus </w:t>
      </w:r>
      <w:r w:rsidR="00581701" w:rsidRPr="00997273">
        <w:rPr>
          <w:rFonts w:eastAsia="TimesNewRoman,Italic" w:cs="Times New Roman"/>
          <w:sz w:val="22"/>
          <w:szCs w:val="22"/>
          <w:lang w:val="lt-LT" w:eastAsia="en-US"/>
        </w:rPr>
        <w:t>100 mg doz</w:t>
      </w:r>
      <w:r w:rsidR="00581701" w:rsidRPr="00997273">
        <w:rPr>
          <w:rFonts w:eastAsia="TimesNewRoman,Italic" w:cs="Times New Roman" w:hint="eastAsia"/>
          <w:sz w:val="22"/>
          <w:szCs w:val="22"/>
          <w:lang w:val="lt-LT" w:eastAsia="en-US"/>
        </w:rPr>
        <w:t>ę</w:t>
      </w:r>
      <w:r w:rsidR="00581701" w:rsidRPr="00997273">
        <w:rPr>
          <w:rFonts w:eastAsia="TimesNewRoman,Italic" w:cs="Times New Roman"/>
          <w:sz w:val="22"/>
          <w:szCs w:val="22"/>
          <w:lang w:val="lt-LT" w:eastAsia="en-US"/>
        </w:rPr>
        <w:t xml:space="preserve"> suaugusiems pacientams</w:t>
      </w:r>
      <w:r w:rsidR="00581701">
        <w:rPr>
          <w:rFonts w:eastAsia="TimesNewRoman,Italic" w:cs="Times New Roman"/>
          <w:sz w:val="22"/>
          <w:szCs w:val="22"/>
          <w:lang w:val="lt-LT" w:eastAsia="en-US"/>
        </w:rPr>
        <w:t>, kurie</w:t>
      </w:r>
      <w:r w:rsidR="00EC52F7">
        <w:rPr>
          <w:rFonts w:eastAsia="TimesNewRoman,Italic" w:cs="Times New Roman"/>
          <w:sz w:val="22"/>
          <w:szCs w:val="22"/>
          <w:lang w:val="lt-LT" w:eastAsia="en-US"/>
        </w:rPr>
        <w:t xml:space="preserve"> serga</w:t>
      </w:r>
      <w:r w:rsidR="00581701"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2 tipo</w:t>
      </w:r>
      <w:r w:rsidR="00EC52F7">
        <w:rPr>
          <w:rFonts w:eastAsia="TimesNewRoman,Italic" w:cs="Times New Roman"/>
          <w:sz w:val="22"/>
          <w:szCs w:val="22"/>
          <w:lang w:val="lt-LT" w:eastAsia="en-US"/>
        </w:rPr>
        <w:t xml:space="preserve"> cukriniu</w:t>
      </w:r>
      <w:r w:rsidRPr="00997273">
        <w:rPr>
          <w:rFonts w:eastAsia="TimesNewRoman,Italic" w:cs="Times New Roman"/>
          <w:sz w:val="22"/>
          <w:szCs w:val="22"/>
          <w:lang w:val="lt-LT" w:eastAsia="en-US"/>
        </w:rPr>
        <w:t xml:space="preserve"> diabet</w:t>
      </w:r>
      <w:r w:rsidR="00EC52F7">
        <w:rPr>
          <w:rFonts w:eastAsia="TimesNewRoman,Italic" w:cs="Times New Roman"/>
          <w:sz w:val="22"/>
          <w:szCs w:val="22"/>
          <w:lang w:val="lt-LT" w:eastAsia="en-US"/>
        </w:rPr>
        <w:t>u</w:t>
      </w:r>
      <w:r w:rsidRPr="00997273">
        <w:rPr>
          <w:rFonts w:eastAsia="TimesNewRoman,Italic" w:cs="Times New Roman"/>
          <w:sz w:val="22"/>
          <w:szCs w:val="22"/>
          <w:lang w:val="lt-LT" w:eastAsia="en-US"/>
        </w:rPr>
        <w:t xml:space="preserve">. </w:t>
      </w:r>
      <w:r w:rsidRPr="00997273">
        <w:rPr>
          <w:rFonts w:eastAsia="TimesNewRoman,Italic" w:cs="Times New Roman" w:hint="eastAsia"/>
          <w:sz w:val="22"/>
          <w:szCs w:val="22"/>
          <w:lang w:val="lt-LT" w:eastAsia="en-US"/>
        </w:rPr>
        <w:t>Š</w:t>
      </w:r>
      <w:r w:rsidRPr="00997273">
        <w:rPr>
          <w:rFonts w:eastAsia="TimesNewRoman,Italic" w:cs="Times New Roman"/>
          <w:sz w:val="22"/>
          <w:szCs w:val="22"/>
          <w:lang w:val="lt-LT" w:eastAsia="en-US"/>
        </w:rPr>
        <w:t>is skirtumas, lyginant su suaugusiais pacientais, nelaikomas klini</w:t>
      </w:r>
      <w:r w:rsidRPr="00997273">
        <w:rPr>
          <w:rFonts w:eastAsia="TimesNewRoman,Italic" w:cs="Times New Roman" w:hint="eastAsia"/>
          <w:sz w:val="22"/>
          <w:szCs w:val="22"/>
          <w:lang w:val="lt-LT" w:eastAsia="en-US"/>
        </w:rPr>
        <w:t>š</w:t>
      </w:r>
      <w:r w:rsidRPr="00997273">
        <w:rPr>
          <w:rFonts w:eastAsia="TimesNewRoman,Italic" w:cs="Times New Roman"/>
          <w:sz w:val="22"/>
          <w:szCs w:val="22"/>
          <w:lang w:val="lt-LT" w:eastAsia="en-US"/>
        </w:rPr>
        <w:t>kai reik</w:t>
      </w:r>
      <w:r w:rsidRPr="00997273">
        <w:rPr>
          <w:rFonts w:eastAsia="TimesNewRoman,Italic" w:cs="Times New Roman" w:hint="eastAsia"/>
          <w:sz w:val="22"/>
          <w:szCs w:val="22"/>
          <w:lang w:val="lt-LT" w:eastAsia="en-US"/>
        </w:rPr>
        <w:t>š</w:t>
      </w:r>
      <w:r w:rsidRPr="00997273">
        <w:rPr>
          <w:rFonts w:eastAsia="TimesNewRoman,Italic" w:cs="Times New Roman"/>
          <w:sz w:val="22"/>
          <w:szCs w:val="22"/>
          <w:lang w:val="lt-LT" w:eastAsia="en-US"/>
        </w:rPr>
        <w:t>mingu, atsi</w:t>
      </w:r>
      <w:r w:rsidRPr="00997273">
        <w:rPr>
          <w:rFonts w:eastAsia="TimesNewRoman,Italic" w:cs="Times New Roman" w:hint="eastAsia"/>
          <w:sz w:val="22"/>
          <w:szCs w:val="22"/>
          <w:lang w:val="lt-LT" w:eastAsia="en-US"/>
        </w:rPr>
        <w:t>ž</w:t>
      </w:r>
      <w:r w:rsidRPr="00997273">
        <w:rPr>
          <w:rFonts w:eastAsia="TimesNewRoman,Italic" w:cs="Times New Roman"/>
          <w:sz w:val="22"/>
          <w:szCs w:val="22"/>
          <w:lang w:val="lt-LT" w:eastAsia="en-US"/>
        </w:rPr>
        <w:t xml:space="preserve">velgiant </w:t>
      </w:r>
      <w:r w:rsidRPr="00997273">
        <w:rPr>
          <w:rFonts w:eastAsia="TimesNewRoman,Italic" w:cs="Times New Roman" w:hint="eastAsia"/>
          <w:sz w:val="22"/>
          <w:szCs w:val="22"/>
          <w:lang w:val="lt-LT" w:eastAsia="en-US"/>
        </w:rPr>
        <w:t>į</w:t>
      </w:r>
      <w:r w:rsidRPr="00997273">
        <w:rPr>
          <w:rFonts w:eastAsia="TimesNewRoman,Italic" w:cs="Times New Roman"/>
          <w:sz w:val="22"/>
          <w:szCs w:val="22"/>
          <w:lang w:val="lt-LT" w:eastAsia="en-US"/>
        </w:rPr>
        <w:t xml:space="preserve"> plok</w:t>
      </w:r>
      <w:r w:rsidRPr="00997273">
        <w:rPr>
          <w:rFonts w:eastAsia="TimesNewRoman,Italic" w:cs="Times New Roman" w:hint="eastAsia"/>
          <w:sz w:val="22"/>
          <w:szCs w:val="22"/>
          <w:lang w:val="lt-LT" w:eastAsia="en-US"/>
        </w:rPr>
        <w:t>šč</w:t>
      </w:r>
      <w:r w:rsidRPr="00997273">
        <w:rPr>
          <w:rFonts w:eastAsia="TimesNewRoman,Italic" w:cs="Times New Roman"/>
          <w:sz w:val="22"/>
          <w:szCs w:val="22"/>
          <w:lang w:val="lt-LT" w:eastAsia="en-US"/>
        </w:rPr>
        <w:t>i</w:t>
      </w:r>
      <w:r w:rsidRPr="00997273">
        <w:rPr>
          <w:rFonts w:eastAsia="TimesNewRoman,Italic" w:cs="Times New Roman" w:hint="eastAsia"/>
          <w:sz w:val="22"/>
          <w:szCs w:val="22"/>
          <w:lang w:val="lt-LT" w:eastAsia="en-US"/>
        </w:rPr>
        <w:t>ą</w:t>
      </w:r>
      <w:r w:rsidRPr="00997273">
        <w:rPr>
          <w:rFonts w:eastAsia="TimesNewRoman,Italic" w:cs="Times New Roman"/>
          <w:sz w:val="22"/>
          <w:szCs w:val="22"/>
          <w:lang w:val="lt-LT" w:eastAsia="en-US"/>
        </w:rPr>
        <w:t xml:space="preserve"> </w:t>
      </w:r>
      <w:r w:rsidR="00896C69" w:rsidRPr="009B48C4">
        <w:rPr>
          <w:rFonts w:eastAsia="TimesNewRoman,Italic" w:cs="Times New Roman"/>
          <w:sz w:val="22"/>
          <w:szCs w:val="22"/>
          <w:lang w:val="lt-LT" w:eastAsia="en-US"/>
        </w:rPr>
        <w:t>farmakokinetikos ir farmakodinamikos (</w:t>
      </w:r>
      <w:r w:rsidRPr="009B48C4">
        <w:rPr>
          <w:rFonts w:eastAsia="TimesNewRoman,Italic" w:cs="Times New Roman"/>
          <w:sz w:val="22"/>
          <w:szCs w:val="22"/>
          <w:lang w:val="lt-LT" w:eastAsia="en-US"/>
        </w:rPr>
        <w:t>FK/FD</w:t>
      </w:r>
      <w:r w:rsidR="00896C69" w:rsidRPr="009B48C4">
        <w:rPr>
          <w:rFonts w:eastAsia="TimesNewRoman,Italic" w:cs="Times New Roman"/>
          <w:sz w:val="22"/>
          <w:szCs w:val="22"/>
          <w:lang w:val="lt-LT" w:eastAsia="en-US"/>
        </w:rPr>
        <w:t>)</w:t>
      </w:r>
      <w:r w:rsidRPr="009B48C4">
        <w:rPr>
          <w:rFonts w:eastAsia="TimesNewRoman,Italic" w:cs="Times New Roman"/>
          <w:sz w:val="22"/>
          <w:szCs w:val="22"/>
          <w:lang w:val="lt-LT" w:eastAsia="en-US"/>
        </w:rPr>
        <w:t xml:space="preserve"> </w:t>
      </w:r>
      <w:r w:rsidR="003B6AEB">
        <w:rPr>
          <w:rFonts w:eastAsia="TimesNewRoman,Italic" w:cs="Times New Roman"/>
          <w:sz w:val="22"/>
          <w:szCs w:val="22"/>
          <w:lang w:val="lt-LT" w:eastAsia="en-US"/>
        </w:rPr>
        <w:t>santykį</w:t>
      </w:r>
      <w:r w:rsidRPr="00997273">
        <w:rPr>
          <w:rFonts w:eastAsia="TimesNewRoman,Italic" w:cs="Times New Roman"/>
          <w:sz w:val="22"/>
          <w:szCs w:val="22"/>
          <w:lang w:val="lt-LT" w:eastAsia="en-US"/>
        </w:rPr>
        <w:t xml:space="preserve"> tarp 50</w:t>
      </w:r>
      <w:r w:rsidR="00B86B75" w:rsidRPr="00997273">
        <w:rPr>
          <w:rFonts w:eastAsia="TimesNewRoman,Italic" w:cs="Times New Roman"/>
          <w:sz w:val="22"/>
          <w:szCs w:val="22"/>
          <w:lang w:val="lt-LT" w:eastAsia="en-US"/>
        </w:rPr>
        <w:t> </w:t>
      </w:r>
      <w:r w:rsidRPr="00997273">
        <w:rPr>
          <w:rFonts w:eastAsia="TimesNewRoman,Italic" w:cs="Times New Roman"/>
          <w:sz w:val="22"/>
          <w:szCs w:val="22"/>
          <w:lang w:val="lt-LT" w:eastAsia="en-US"/>
        </w:rPr>
        <w:t>mg ir 100</w:t>
      </w:r>
      <w:r w:rsidR="00B86B75" w:rsidRPr="00997273">
        <w:rPr>
          <w:rFonts w:eastAsia="TimesNewRoman,Italic" w:cs="Times New Roman"/>
          <w:sz w:val="22"/>
          <w:szCs w:val="22"/>
          <w:lang w:val="lt-LT" w:eastAsia="en-US"/>
        </w:rPr>
        <w:t> </w:t>
      </w:r>
      <w:r w:rsidRPr="00997273">
        <w:rPr>
          <w:rFonts w:eastAsia="TimesNewRoman,Italic" w:cs="Times New Roman"/>
          <w:sz w:val="22"/>
          <w:szCs w:val="22"/>
          <w:lang w:val="lt-LT" w:eastAsia="en-US"/>
        </w:rPr>
        <w:t>mg dozi</w:t>
      </w:r>
      <w:r w:rsidRPr="00997273">
        <w:rPr>
          <w:rFonts w:eastAsia="TimesNewRoman,Italic" w:cs="Times New Roman" w:hint="eastAsia"/>
          <w:sz w:val="22"/>
          <w:szCs w:val="22"/>
          <w:lang w:val="lt-LT" w:eastAsia="en-US"/>
        </w:rPr>
        <w:t>ų</w:t>
      </w:r>
      <w:r w:rsidRPr="00997273">
        <w:rPr>
          <w:rFonts w:eastAsia="TimesNewRoman,Italic" w:cs="Times New Roman"/>
          <w:sz w:val="22"/>
          <w:szCs w:val="22"/>
          <w:lang w:val="lt-LT" w:eastAsia="en-US"/>
        </w:rPr>
        <w:t>. Su jaunesniais kaip 10</w:t>
      </w:r>
      <w:r w:rsidR="00B86B75" w:rsidRPr="00997273">
        <w:rPr>
          <w:rFonts w:eastAsia="TimesNewRoman,Italic" w:cs="Times New Roman"/>
          <w:sz w:val="22"/>
          <w:szCs w:val="22"/>
          <w:lang w:val="lt-LT" w:eastAsia="en-US"/>
        </w:rPr>
        <w:t> </w:t>
      </w:r>
      <w:r w:rsidRPr="00997273">
        <w:rPr>
          <w:rFonts w:eastAsia="TimesNewRoman,Italic" w:cs="Times New Roman"/>
          <w:sz w:val="22"/>
          <w:szCs w:val="22"/>
          <w:lang w:val="lt-LT" w:eastAsia="en-US"/>
        </w:rPr>
        <w:t>met</w:t>
      </w:r>
      <w:r w:rsidRPr="00997273">
        <w:rPr>
          <w:rFonts w:eastAsia="TimesNewRoman,Italic" w:cs="Times New Roman" w:hint="eastAsia"/>
          <w:sz w:val="22"/>
          <w:szCs w:val="22"/>
          <w:lang w:val="lt-LT" w:eastAsia="en-US"/>
        </w:rPr>
        <w:t>ų</w:t>
      </w:r>
      <w:r w:rsidRPr="00997273">
        <w:rPr>
          <w:rFonts w:eastAsia="TimesNewRoman,Italic" w:cs="Times New Roman"/>
          <w:sz w:val="22"/>
          <w:szCs w:val="22"/>
          <w:lang w:val="lt-LT" w:eastAsia="en-US"/>
        </w:rPr>
        <w:t xml:space="preserve"> vaikais klinikini</w:t>
      </w:r>
      <w:r w:rsidRPr="00997273">
        <w:rPr>
          <w:rFonts w:eastAsia="TimesNewRoman,Italic" w:cs="Times New Roman" w:hint="eastAsia"/>
          <w:sz w:val="22"/>
          <w:szCs w:val="22"/>
          <w:lang w:val="lt-LT" w:eastAsia="en-US"/>
        </w:rPr>
        <w:t>ų</w:t>
      </w:r>
      <w:r w:rsidRPr="00997273">
        <w:rPr>
          <w:rFonts w:eastAsia="TimesNewRoman,Italic" w:cs="Times New Roman"/>
          <w:sz w:val="22"/>
          <w:szCs w:val="22"/>
          <w:lang w:val="lt-LT" w:eastAsia="en-US"/>
        </w:rPr>
        <w:t xml:space="preserve"> </w:t>
      </w:r>
      <w:proofErr w:type="spellStart"/>
      <w:r w:rsidRPr="00997273">
        <w:rPr>
          <w:rFonts w:eastAsia="TimesNewRoman,Italic" w:cs="Times New Roman"/>
          <w:sz w:val="22"/>
          <w:szCs w:val="22"/>
          <w:lang w:val="lt-LT" w:eastAsia="en-US"/>
        </w:rPr>
        <w:t>sitagliptino</w:t>
      </w:r>
      <w:proofErr w:type="spellEnd"/>
      <w:r w:rsidRPr="00997273">
        <w:rPr>
          <w:rFonts w:eastAsia="TimesNewRoman,Italic" w:cs="Times New Roman"/>
          <w:sz w:val="22"/>
          <w:szCs w:val="22"/>
          <w:lang w:val="lt-LT" w:eastAsia="en-US"/>
        </w:rPr>
        <w:t xml:space="preserve"> tyrim</w:t>
      </w:r>
      <w:r w:rsidRPr="00997273">
        <w:rPr>
          <w:rFonts w:eastAsia="TimesNewRoman,Italic" w:cs="Times New Roman" w:hint="eastAsia"/>
          <w:sz w:val="22"/>
          <w:szCs w:val="22"/>
          <w:lang w:val="lt-LT" w:eastAsia="en-US"/>
        </w:rPr>
        <w:t>ų</w:t>
      </w:r>
      <w:r w:rsidRPr="00997273">
        <w:rPr>
          <w:rFonts w:eastAsia="TimesNewRoman,Italic" w:cs="Times New Roman"/>
          <w:sz w:val="22"/>
          <w:szCs w:val="22"/>
          <w:lang w:val="lt-LT" w:eastAsia="en-US"/>
        </w:rPr>
        <w:t xml:space="preserve"> neatlikta.</w:t>
      </w:r>
    </w:p>
    <w:p w14:paraId="121150DB" w14:textId="77777777" w:rsidR="00D500FB" w:rsidRPr="00997273" w:rsidRDefault="00D500FB" w:rsidP="0000506F">
      <w:pPr>
        <w:autoSpaceDE w:val="0"/>
        <w:autoSpaceDN w:val="0"/>
        <w:adjustRightInd w:val="0"/>
        <w:rPr>
          <w:rFonts w:eastAsia="TimesNewRoman,Italic" w:cs="Times New Roman"/>
          <w:i/>
          <w:iCs/>
          <w:sz w:val="22"/>
          <w:szCs w:val="22"/>
          <w:lang w:val="lt-LT" w:eastAsia="en-US"/>
        </w:rPr>
      </w:pPr>
    </w:p>
    <w:p w14:paraId="3D579329" w14:textId="77777777" w:rsidR="0000506F" w:rsidRPr="00297C23" w:rsidRDefault="0000506F" w:rsidP="0000506F">
      <w:pPr>
        <w:autoSpaceDE w:val="0"/>
        <w:autoSpaceDN w:val="0"/>
        <w:adjustRightInd w:val="0"/>
        <w:rPr>
          <w:rFonts w:eastAsia="TimesNewRoman,Italic" w:cs="Times New Roman"/>
          <w:i/>
          <w:iCs/>
          <w:sz w:val="22"/>
          <w:szCs w:val="22"/>
          <w:lang w:val="lt-LT" w:eastAsia="en-US"/>
        </w:rPr>
      </w:pPr>
      <w:r w:rsidRPr="00297C23">
        <w:rPr>
          <w:rFonts w:eastAsia="TimesNewRoman,Italic" w:cs="Times New Roman"/>
          <w:i/>
          <w:iCs/>
          <w:sz w:val="22"/>
          <w:szCs w:val="22"/>
          <w:lang w:val="lt-LT" w:eastAsia="en-US"/>
        </w:rPr>
        <w:t>Kitų grupių pacientai</w:t>
      </w:r>
    </w:p>
    <w:p w14:paraId="63B56F2C" w14:textId="68A9BE3A" w:rsidR="0000506F" w:rsidRPr="00997273" w:rsidRDefault="0000506F" w:rsidP="0000506F">
      <w:pPr>
        <w:autoSpaceDE w:val="0"/>
        <w:autoSpaceDN w:val="0"/>
        <w:adjustRightInd w:val="0"/>
        <w:rPr>
          <w:rFonts w:eastAsia="TimesNewRoman,Italic" w:cs="Times New Roman"/>
          <w:sz w:val="22"/>
          <w:szCs w:val="22"/>
          <w:lang w:val="lt-LT" w:eastAsia="en-US"/>
        </w:rPr>
      </w:pPr>
      <w:r w:rsidRPr="00997273">
        <w:rPr>
          <w:rFonts w:eastAsia="TimesNewRoman,Italic" w:cs="Times New Roman"/>
          <w:sz w:val="22"/>
          <w:szCs w:val="22"/>
          <w:lang w:val="lt-LT" w:eastAsia="en-US"/>
        </w:rPr>
        <w:t xml:space="preserve">Dėl lyties, rasės ar kūno masės indekso (KMI) dozės keisti nereikia. Remiantis bendra I </w:t>
      </w:r>
      <w:r w:rsidR="00783193" w:rsidRPr="00997273">
        <w:rPr>
          <w:rFonts w:eastAsia="TimesNewRoman,Italic" w:cs="Times New Roman"/>
          <w:sz w:val="22"/>
          <w:szCs w:val="22"/>
          <w:lang w:val="lt-LT" w:eastAsia="en-US"/>
        </w:rPr>
        <w:t>fazė</w:t>
      </w:r>
      <w:r w:rsidR="00D500FB" w:rsidRPr="00997273">
        <w:rPr>
          <w:rFonts w:eastAsia="TimesNewRoman,Italic" w:cs="Times New Roman"/>
          <w:sz w:val="22"/>
          <w:szCs w:val="22"/>
          <w:lang w:val="lt-LT" w:eastAsia="en-US"/>
        </w:rPr>
        <w:t xml:space="preserve">s </w:t>
      </w:r>
      <w:r w:rsidRPr="00997273">
        <w:rPr>
          <w:rFonts w:eastAsia="TimesNewRoman,Italic" w:cs="Times New Roman"/>
          <w:sz w:val="22"/>
          <w:szCs w:val="22"/>
          <w:lang w:val="lt-LT" w:eastAsia="en-US"/>
        </w:rPr>
        <w:t xml:space="preserve">farmakokinetikos tyrimų duomenų ir populiacijos farmakokinetikos duomenų, gautų I ir II </w:t>
      </w:r>
      <w:r w:rsidR="00783193" w:rsidRPr="00997273">
        <w:rPr>
          <w:rFonts w:eastAsia="TimesNewRoman,Italic" w:cs="Times New Roman"/>
          <w:sz w:val="22"/>
          <w:szCs w:val="22"/>
          <w:lang w:val="lt-LT" w:eastAsia="en-US"/>
        </w:rPr>
        <w:t>fazių</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tyrimų metu, analize, minėti veiksniai klini</w:t>
      </w:r>
      <w:r w:rsidR="003703F2">
        <w:rPr>
          <w:rFonts w:eastAsia="TimesNewRoman,Italic" w:cs="Times New Roman"/>
          <w:sz w:val="22"/>
          <w:szCs w:val="22"/>
          <w:lang w:val="lt-LT" w:eastAsia="en-US"/>
        </w:rPr>
        <w:t>škai</w:t>
      </w:r>
      <w:r w:rsidRPr="00997273">
        <w:rPr>
          <w:rFonts w:eastAsia="TimesNewRoman,Italic" w:cs="Times New Roman"/>
          <w:sz w:val="22"/>
          <w:szCs w:val="22"/>
          <w:lang w:val="lt-LT" w:eastAsia="en-US"/>
        </w:rPr>
        <w:t xml:space="preserve"> reikšmingo poveikio </w:t>
      </w:r>
      <w:proofErr w:type="spellStart"/>
      <w:r w:rsidRPr="00997273">
        <w:rPr>
          <w:rFonts w:eastAsia="TimesNewRoman,Italic" w:cs="Times New Roman"/>
          <w:sz w:val="22"/>
          <w:szCs w:val="22"/>
          <w:lang w:val="lt-LT" w:eastAsia="en-US"/>
        </w:rPr>
        <w:t>sitagliptino</w:t>
      </w:r>
      <w:proofErr w:type="spellEnd"/>
      <w:r w:rsidRPr="00997273">
        <w:rPr>
          <w:rFonts w:eastAsia="TimesNewRoman,Italic" w:cs="Times New Roman"/>
          <w:sz w:val="22"/>
          <w:szCs w:val="22"/>
          <w:lang w:val="lt-LT" w:eastAsia="en-US"/>
        </w:rPr>
        <w:t xml:space="preserve"> farmakokinetikai</w:t>
      </w:r>
      <w:r w:rsidR="00D500FB" w:rsidRPr="00997273">
        <w:rPr>
          <w:rFonts w:eastAsia="TimesNewRoman,Italic" w:cs="Times New Roman"/>
          <w:sz w:val="22"/>
          <w:szCs w:val="22"/>
          <w:lang w:val="lt-LT" w:eastAsia="en-US"/>
        </w:rPr>
        <w:t xml:space="preserve"> </w:t>
      </w:r>
      <w:r w:rsidR="003703F2">
        <w:rPr>
          <w:rFonts w:eastAsia="TimesNewRoman,Italic" w:cs="Times New Roman"/>
          <w:sz w:val="22"/>
          <w:szCs w:val="22"/>
          <w:lang w:val="lt-LT" w:eastAsia="en-US"/>
        </w:rPr>
        <w:t>nedaro</w:t>
      </w:r>
      <w:r w:rsidRPr="00997273">
        <w:rPr>
          <w:rFonts w:eastAsia="TimesNewRoman,Italic" w:cs="Times New Roman"/>
          <w:sz w:val="22"/>
          <w:szCs w:val="22"/>
          <w:lang w:val="lt-LT" w:eastAsia="en-US"/>
        </w:rPr>
        <w:t>.</w:t>
      </w:r>
    </w:p>
    <w:p w14:paraId="4276DEAD" w14:textId="77777777" w:rsidR="004325AB" w:rsidRPr="00997273" w:rsidRDefault="004325AB" w:rsidP="0000506F">
      <w:pPr>
        <w:autoSpaceDE w:val="0"/>
        <w:autoSpaceDN w:val="0"/>
        <w:adjustRightInd w:val="0"/>
        <w:rPr>
          <w:rFonts w:eastAsia="TimesNewRoman,Italic" w:cs="Times New Roman"/>
          <w:sz w:val="22"/>
          <w:szCs w:val="22"/>
          <w:lang w:val="lt-LT" w:eastAsia="en-US"/>
        </w:rPr>
      </w:pPr>
    </w:p>
    <w:p w14:paraId="654957B4" w14:textId="77777777" w:rsidR="0000506F" w:rsidRPr="00997273" w:rsidRDefault="0000506F" w:rsidP="0000506F">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Ikiklinikinių saugumo tyrimų duomenys</w:t>
      </w:r>
    </w:p>
    <w:p w14:paraId="49B691D2" w14:textId="77777777" w:rsidR="0000506F" w:rsidRPr="00997273" w:rsidRDefault="0000506F" w:rsidP="0000506F">
      <w:pPr>
        <w:autoSpaceDE w:val="0"/>
        <w:autoSpaceDN w:val="0"/>
        <w:adjustRightInd w:val="0"/>
        <w:rPr>
          <w:rFonts w:eastAsia="TimesNewRoman,Italic" w:cs="Times New Roman"/>
          <w:sz w:val="22"/>
          <w:szCs w:val="22"/>
          <w:lang w:val="lt-LT" w:eastAsia="en-US"/>
        </w:rPr>
      </w:pPr>
    </w:p>
    <w:p w14:paraId="7C0501AC" w14:textId="4B27C525" w:rsidR="0000506F" w:rsidRPr="00997273" w:rsidRDefault="0000506F" w:rsidP="0000506F">
      <w:pPr>
        <w:autoSpaceDE w:val="0"/>
        <w:autoSpaceDN w:val="0"/>
        <w:adjustRightInd w:val="0"/>
        <w:rPr>
          <w:rFonts w:eastAsia="TimesNewRoman,Italic" w:cs="Times New Roman"/>
          <w:sz w:val="22"/>
          <w:szCs w:val="22"/>
          <w:lang w:val="lt-LT" w:eastAsia="en-US"/>
        </w:rPr>
      </w:pPr>
      <w:r w:rsidRPr="00997273">
        <w:rPr>
          <w:rFonts w:eastAsia="TimesNewRoman,Italic" w:cs="Times New Roman"/>
          <w:sz w:val="22"/>
          <w:szCs w:val="22"/>
          <w:lang w:val="lt-LT" w:eastAsia="en-US"/>
        </w:rPr>
        <w:t>Toksinis poveikis graužikų inkstams ir kepenims pasireiškė tada, kai vaistinio preparato ekspozicija jų</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organizme buvo 58</w:t>
      </w:r>
      <w:r w:rsidR="00B4779A">
        <w:rPr>
          <w:rFonts w:eastAsia="TimesNewRoman,Italic" w:cs="Times New Roman"/>
          <w:sz w:val="22"/>
          <w:szCs w:val="22"/>
          <w:lang w:val="lt-LT" w:eastAsia="en-US"/>
        </w:rPr>
        <w:t> </w:t>
      </w:r>
      <w:r w:rsidRPr="00997273">
        <w:rPr>
          <w:rFonts w:eastAsia="TimesNewRoman,Italic" w:cs="Times New Roman"/>
          <w:sz w:val="22"/>
          <w:szCs w:val="22"/>
          <w:lang w:val="lt-LT" w:eastAsia="en-US"/>
        </w:rPr>
        <w:t xml:space="preserve">kartus didesnė už </w:t>
      </w:r>
      <w:r w:rsidR="00C825B0">
        <w:rPr>
          <w:rFonts w:eastAsia="TimesNewRoman,Italic" w:cs="Times New Roman"/>
          <w:sz w:val="22"/>
          <w:szCs w:val="22"/>
          <w:lang w:val="lt-LT" w:eastAsia="en-US"/>
        </w:rPr>
        <w:t>ekspoziciją</w:t>
      </w:r>
      <w:r w:rsidRPr="00997273">
        <w:rPr>
          <w:rFonts w:eastAsia="TimesNewRoman,Italic" w:cs="Times New Roman"/>
          <w:sz w:val="22"/>
          <w:szCs w:val="22"/>
          <w:lang w:val="lt-LT" w:eastAsia="en-US"/>
        </w:rPr>
        <w:t xml:space="preserve"> žmogaus organizme. Poveikio nesukelianti</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 xml:space="preserve">ekspozicija graužikų organizme buvo 19 kartų didesnė už </w:t>
      </w:r>
      <w:r w:rsidR="00C825B0">
        <w:rPr>
          <w:rFonts w:eastAsia="TimesNewRoman,Italic" w:cs="Times New Roman"/>
          <w:sz w:val="22"/>
          <w:szCs w:val="22"/>
          <w:lang w:val="lt-LT" w:eastAsia="en-US"/>
        </w:rPr>
        <w:t>ekspoziciją</w:t>
      </w:r>
      <w:r w:rsidRPr="00997273">
        <w:rPr>
          <w:rFonts w:eastAsia="TimesNewRoman,Italic" w:cs="Times New Roman"/>
          <w:sz w:val="22"/>
          <w:szCs w:val="22"/>
          <w:lang w:val="lt-LT" w:eastAsia="en-US"/>
        </w:rPr>
        <w:t xml:space="preserve"> žmogaus organizme.</w:t>
      </w:r>
    </w:p>
    <w:p w14:paraId="549A91F1" w14:textId="5E8137D3" w:rsidR="00F3620A" w:rsidRDefault="0000506F" w:rsidP="0000506F">
      <w:pPr>
        <w:autoSpaceDE w:val="0"/>
        <w:autoSpaceDN w:val="0"/>
        <w:adjustRightInd w:val="0"/>
        <w:rPr>
          <w:rFonts w:eastAsia="TimesNewRoman,Italic" w:cs="Times New Roman"/>
          <w:sz w:val="22"/>
          <w:szCs w:val="22"/>
          <w:lang w:val="lt-LT" w:eastAsia="en-US"/>
        </w:rPr>
      </w:pPr>
      <w:r w:rsidRPr="00997273">
        <w:rPr>
          <w:rFonts w:eastAsia="TimesNewRoman,Italic" w:cs="Times New Roman"/>
          <w:sz w:val="22"/>
          <w:szCs w:val="22"/>
          <w:lang w:val="lt-LT" w:eastAsia="en-US"/>
        </w:rPr>
        <w:t xml:space="preserve">Žiurkėms, kurių organizme </w:t>
      </w:r>
      <w:r w:rsidR="00C825B0">
        <w:rPr>
          <w:rFonts w:eastAsia="TimesNewRoman,Italic" w:cs="Times New Roman"/>
          <w:sz w:val="22"/>
          <w:szCs w:val="22"/>
          <w:lang w:val="lt-LT" w:eastAsia="en-US"/>
        </w:rPr>
        <w:t xml:space="preserve">vaistinio preparato </w:t>
      </w:r>
      <w:r w:rsidRPr="00997273">
        <w:rPr>
          <w:rFonts w:eastAsia="TimesNewRoman,Italic" w:cs="Times New Roman"/>
          <w:sz w:val="22"/>
          <w:szCs w:val="22"/>
          <w:lang w:val="lt-LT" w:eastAsia="en-US"/>
        </w:rPr>
        <w:t>ekspozicija buvo 67</w:t>
      </w:r>
      <w:r w:rsidR="00B4779A">
        <w:rPr>
          <w:rFonts w:eastAsia="TimesNewRoman,Italic" w:cs="Times New Roman"/>
          <w:sz w:val="22"/>
          <w:szCs w:val="22"/>
          <w:lang w:val="lt-LT" w:eastAsia="en-US"/>
        </w:rPr>
        <w:t> </w:t>
      </w:r>
      <w:r w:rsidRPr="00997273">
        <w:rPr>
          <w:rFonts w:eastAsia="TimesNewRoman,Italic" w:cs="Times New Roman"/>
          <w:sz w:val="22"/>
          <w:szCs w:val="22"/>
          <w:lang w:val="lt-LT" w:eastAsia="en-US"/>
        </w:rPr>
        <w:t xml:space="preserve">kartus didesnė už </w:t>
      </w:r>
      <w:r w:rsidR="00BD7C6D">
        <w:rPr>
          <w:rFonts w:eastAsia="TimesNewRoman,Italic" w:cs="Times New Roman"/>
          <w:sz w:val="22"/>
          <w:szCs w:val="22"/>
          <w:lang w:val="lt-LT" w:eastAsia="en-US"/>
        </w:rPr>
        <w:t>ekspoziciją</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 xml:space="preserve">žmogaus organizme, buvo </w:t>
      </w:r>
      <w:r w:rsidR="00DA5226">
        <w:rPr>
          <w:rFonts w:eastAsia="TimesNewRoman,Italic" w:cs="Times New Roman"/>
          <w:sz w:val="22"/>
          <w:szCs w:val="22"/>
          <w:lang w:val="lt-LT" w:eastAsia="en-US"/>
        </w:rPr>
        <w:t xml:space="preserve">pastebėta </w:t>
      </w:r>
      <w:r w:rsidRPr="00997273">
        <w:rPr>
          <w:rFonts w:eastAsia="TimesNewRoman,Italic" w:cs="Times New Roman"/>
          <w:sz w:val="22"/>
          <w:szCs w:val="22"/>
          <w:lang w:val="lt-LT" w:eastAsia="en-US"/>
        </w:rPr>
        <w:t>prie</w:t>
      </w:r>
      <w:r w:rsidR="00BD7C6D">
        <w:rPr>
          <w:rFonts w:eastAsia="TimesNewRoman,Italic" w:cs="Times New Roman"/>
          <w:sz w:val="22"/>
          <w:szCs w:val="22"/>
          <w:lang w:val="lt-LT" w:eastAsia="en-US"/>
        </w:rPr>
        <w:t>kinių</w:t>
      </w:r>
      <w:r w:rsidRPr="00997273">
        <w:rPr>
          <w:rFonts w:eastAsia="TimesNewRoman,Italic" w:cs="Times New Roman"/>
          <w:sz w:val="22"/>
          <w:szCs w:val="22"/>
          <w:lang w:val="lt-LT" w:eastAsia="en-US"/>
        </w:rPr>
        <w:t xml:space="preserve"> dantų pokyčių. Remiantis 14</w:t>
      </w:r>
      <w:r w:rsidR="00B4779A">
        <w:rPr>
          <w:rFonts w:eastAsia="TimesNewRoman,Italic" w:cs="Times New Roman"/>
          <w:sz w:val="22"/>
          <w:szCs w:val="22"/>
          <w:lang w:val="lt-LT" w:eastAsia="en-US"/>
        </w:rPr>
        <w:t> </w:t>
      </w:r>
      <w:r w:rsidRPr="00997273">
        <w:rPr>
          <w:rFonts w:eastAsia="TimesNewRoman,Italic" w:cs="Times New Roman"/>
          <w:sz w:val="22"/>
          <w:szCs w:val="22"/>
          <w:lang w:val="lt-LT" w:eastAsia="en-US"/>
        </w:rPr>
        <w:t>savaičių trukmės tyrimais su</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žiurkėmis, šio poveikio nesukelianti ekspozicija buvo 58</w:t>
      </w:r>
      <w:r w:rsidR="00B4779A">
        <w:rPr>
          <w:rFonts w:eastAsia="TimesNewRoman,Italic" w:cs="Times New Roman"/>
          <w:sz w:val="22"/>
          <w:szCs w:val="22"/>
          <w:lang w:val="lt-LT" w:eastAsia="en-US"/>
        </w:rPr>
        <w:t> </w:t>
      </w:r>
      <w:r w:rsidRPr="00997273">
        <w:rPr>
          <w:rFonts w:eastAsia="TimesNewRoman,Italic" w:cs="Times New Roman"/>
          <w:sz w:val="22"/>
          <w:szCs w:val="22"/>
          <w:lang w:val="lt-LT" w:eastAsia="en-US"/>
        </w:rPr>
        <w:t xml:space="preserve">kartus didesnė už </w:t>
      </w:r>
      <w:r w:rsidR="00CE266F">
        <w:rPr>
          <w:rFonts w:eastAsia="TimesNewRoman,Italic" w:cs="Times New Roman"/>
          <w:sz w:val="22"/>
          <w:szCs w:val="22"/>
          <w:lang w:val="lt-LT" w:eastAsia="en-US"/>
        </w:rPr>
        <w:t>ekspoziciją, kuri būna gydomąją</w:t>
      </w:r>
      <w:r w:rsidRPr="00997273">
        <w:rPr>
          <w:rFonts w:eastAsia="TimesNewRoman,Italic" w:cs="Times New Roman"/>
          <w:sz w:val="22"/>
          <w:szCs w:val="22"/>
          <w:lang w:val="lt-LT" w:eastAsia="en-US"/>
        </w:rPr>
        <w:t xml:space="preserve"> </w:t>
      </w:r>
      <w:r w:rsidR="00D500FB" w:rsidRPr="00997273">
        <w:rPr>
          <w:rFonts w:eastAsia="TimesNewRoman,Italic" w:cs="Times New Roman"/>
          <w:sz w:val="22"/>
          <w:szCs w:val="22"/>
          <w:lang w:val="lt-LT" w:eastAsia="en-US"/>
        </w:rPr>
        <w:t>doz</w:t>
      </w:r>
      <w:r w:rsidR="00760CDC">
        <w:rPr>
          <w:rFonts w:eastAsia="TimesNewRoman,Italic" w:cs="Times New Roman"/>
          <w:sz w:val="22"/>
          <w:szCs w:val="22"/>
          <w:lang w:val="lt-LT" w:eastAsia="en-US"/>
        </w:rPr>
        <w:t>ę</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vartojančio žmogaus organizme. Šių duomenų reikšmė žmogui nežinoma. Šunims, kurių organizme</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ekspozicija buvo 23</w:t>
      </w:r>
      <w:r w:rsidR="00B4779A">
        <w:rPr>
          <w:rFonts w:eastAsia="TimesNewRoman,Italic" w:cs="Times New Roman"/>
          <w:sz w:val="22"/>
          <w:szCs w:val="22"/>
          <w:lang w:val="lt-LT" w:eastAsia="en-US"/>
        </w:rPr>
        <w:t> </w:t>
      </w:r>
      <w:r w:rsidRPr="00997273">
        <w:rPr>
          <w:rFonts w:eastAsia="TimesNewRoman,Italic" w:cs="Times New Roman"/>
          <w:sz w:val="22"/>
          <w:szCs w:val="22"/>
          <w:lang w:val="lt-LT" w:eastAsia="en-US"/>
        </w:rPr>
        <w:t xml:space="preserve">kartus didesnė už </w:t>
      </w:r>
      <w:r w:rsidR="00F010BB">
        <w:rPr>
          <w:rFonts w:eastAsia="TimesNewRoman,Italic" w:cs="Times New Roman"/>
          <w:sz w:val="22"/>
          <w:szCs w:val="22"/>
          <w:lang w:val="lt-LT" w:eastAsia="en-US"/>
        </w:rPr>
        <w:t>ekspoziciją, kuri būna gydomąją</w:t>
      </w:r>
      <w:r w:rsidR="00F010BB" w:rsidRPr="00997273">
        <w:rPr>
          <w:rFonts w:eastAsia="TimesNewRoman,Italic" w:cs="Times New Roman"/>
          <w:sz w:val="22"/>
          <w:szCs w:val="22"/>
          <w:lang w:val="lt-LT" w:eastAsia="en-US"/>
        </w:rPr>
        <w:t xml:space="preserve"> doz</w:t>
      </w:r>
      <w:r w:rsidR="00F010BB">
        <w:rPr>
          <w:rFonts w:eastAsia="TimesNewRoman,Italic" w:cs="Times New Roman"/>
          <w:sz w:val="22"/>
          <w:szCs w:val="22"/>
          <w:lang w:val="lt-LT" w:eastAsia="en-US"/>
        </w:rPr>
        <w:t>ę</w:t>
      </w:r>
      <w:r w:rsidR="00F010BB" w:rsidRPr="00997273">
        <w:rPr>
          <w:rFonts w:eastAsia="TimesNewRoman,Italic" w:cs="Times New Roman"/>
          <w:sz w:val="22"/>
          <w:szCs w:val="22"/>
          <w:lang w:val="lt-LT" w:eastAsia="en-US"/>
        </w:rPr>
        <w:t xml:space="preserve"> vartojančio žmogaus organ</w:t>
      </w:r>
      <w:r w:rsidRPr="00997273">
        <w:rPr>
          <w:rFonts w:eastAsia="TimesNewRoman,Italic" w:cs="Times New Roman"/>
          <w:sz w:val="22"/>
          <w:szCs w:val="22"/>
          <w:lang w:val="lt-LT" w:eastAsia="en-US"/>
        </w:rPr>
        <w:t>izme,</w:t>
      </w:r>
      <w:r w:rsidR="00D500FB" w:rsidRPr="00997273">
        <w:rPr>
          <w:rFonts w:eastAsia="TimesNewRoman,Italic" w:cs="Times New Roman"/>
          <w:sz w:val="22"/>
          <w:szCs w:val="22"/>
          <w:lang w:val="lt-LT" w:eastAsia="en-US"/>
        </w:rPr>
        <w:t xml:space="preserve"> </w:t>
      </w:r>
      <w:r w:rsidR="00F6069B">
        <w:rPr>
          <w:rFonts w:eastAsia="TimesNewRoman,Italic" w:cs="Times New Roman"/>
          <w:sz w:val="22"/>
          <w:szCs w:val="22"/>
          <w:lang w:val="lt-LT" w:eastAsia="en-US"/>
        </w:rPr>
        <w:t>pasireiškė</w:t>
      </w:r>
      <w:r w:rsidRPr="00997273">
        <w:rPr>
          <w:rFonts w:eastAsia="TimesNewRoman,Italic" w:cs="Times New Roman"/>
          <w:sz w:val="22"/>
          <w:szCs w:val="22"/>
          <w:lang w:val="lt-LT" w:eastAsia="en-US"/>
        </w:rPr>
        <w:t xml:space="preserve"> laikinų su gydymu susijusių fizinių simptomų. Kai kurie iš jų rodo toksinį poveikį nervų</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 xml:space="preserve">sistemai, pvz., kvėpavimas prasižiojus, seilėtekis, vėmimas baltomis putomis, </w:t>
      </w:r>
      <w:proofErr w:type="spellStart"/>
      <w:r w:rsidRPr="00997273">
        <w:rPr>
          <w:rFonts w:eastAsia="TimesNewRoman,Italic" w:cs="Times New Roman"/>
          <w:sz w:val="22"/>
          <w:szCs w:val="22"/>
          <w:lang w:val="lt-LT" w:eastAsia="en-US"/>
        </w:rPr>
        <w:t>ataksija</w:t>
      </w:r>
      <w:proofErr w:type="spellEnd"/>
      <w:r w:rsidRPr="00997273">
        <w:rPr>
          <w:rFonts w:eastAsia="TimesNewRoman,Italic" w:cs="Times New Roman"/>
          <w:sz w:val="22"/>
          <w:szCs w:val="22"/>
          <w:lang w:val="lt-LT" w:eastAsia="en-US"/>
        </w:rPr>
        <w:t>, drebulys,</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 xml:space="preserve">aktyvumo sumažėjimas ir (arba) </w:t>
      </w:r>
      <w:r w:rsidR="00713F05">
        <w:rPr>
          <w:rFonts w:eastAsia="TimesNewRoman,Italic" w:cs="Times New Roman"/>
          <w:sz w:val="22"/>
          <w:szCs w:val="22"/>
          <w:lang w:val="lt-LT" w:eastAsia="en-US"/>
        </w:rPr>
        <w:t>kūprinimasis</w:t>
      </w:r>
      <w:r w:rsidRPr="00997273">
        <w:rPr>
          <w:rFonts w:eastAsia="TimesNewRoman,Italic" w:cs="Times New Roman"/>
          <w:sz w:val="22"/>
          <w:szCs w:val="22"/>
          <w:lang w:val="lt-LT" w:eastAsia="en-US"/>
        </w:rPr>
        <w:t>. Be to, histologiniu tyrimu nustatyta labai lengva ar</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lengva skeleto raumenų degeneracija</w:t>
      </w:r>
      <w:r w:rsidR="00F3620A">
        <w:rPr>
          <w:rFonts w:eastAsia="TimesNewRoman,Italic" w:cs="Times New Roman"/>
          <w:sz w:val="22"/>
          <w:szCs w:val="22"/>
          <w:lang w:val="lt-LT" w:eastAsia="en-US"/>
        </w:rPr>
        <w:t xml:space="preserve"> vartojant dozes</w:t>
      </w:r>
      <w:r w:rsidRPr="00997273">
        <w:rPr>
          <w:rFonts w:eastAsia="TimesNewRoman,Italic" w:cs="Times New Roman"/>
          <w:sz w:val="22"/>
          <w:szCs w:val="22"/>
          <w:lang w:val="lt-LT" w:eastAsia="en-US"/>
        </w:rPr>
        <w:t>, kai ekspozicija buvo maždaug 23</w:t>
      </w:r>
      <w:r w:rsidR="00B4779A">
        <w:rPr>
          <w:rFonts w:eastAsia="TimesNewRoman,Italic" w:cs="Times New Roman"/>
          <w:sz w:val="22"/>
          <w:szCs w:val="22"/>
          <w:lang w:val="lt-LT" w:eastAsia="en-US"/>
        </w:rPr>
        <w:t> </w:t>
      </w:r>
      <w:r w:rsidRPr="00997273">
        <w:rPr>
          <w:rFonts w:eastAsia="TimesNewRoman,Italic" w:cs="Times New Roman"/>
          <w:sz w:val="22"/>
          <w:szCs w:val="22"/>
          <w:lang w:val="lt-LT" w:eastAsia="en-US"/>
        </w:rPr>
        <w:t>kartus didesnė už</w:t>
      </w:r>
      <w:r w:rsidR="00D500FB" w:rsidRPr="00997273">
        <w:rPr>
          <w:rFonts w:eastAsia="TimesNewRoman,Italic" w:cs="Times New Roman"/>
          <w:sz w:val="22"/>
          <w:szCs w:val="22"/>
          <w:lang w:val="lt-LT" w:eastAsia="en-US"/>
        </w:rPr>
        <w:t xml:space="preserve"> </w:t>
      </w:r>
      <w:r w:rsidR="00F3620A">
        <w:rPr>
          <w:rFonts w:eastAsia="TimesNewRoman,Italic" w:cs="Times New Roman"/>
          <w:sz w:val="22"/>
          <w:szCs w:val="22"/>
          <w:lang w:val="lt-LT" w:eastAsia="en-US"/>
        </w:rPr>
        <w:t>ekspoziciją</w:t>
      </w:r>
      <w:r w:rsidRPr="00997273">
        <w:rPr>
          <w:rFonts w:eastAsia="TimesNewRoman,Italic" w:cs="Times New Roman"/>
          <w:sz w:val="22"/>
          <w:szCs w:val="22"/>
          <w:lang w:val="lt-LT" w:eastAsia="en-US"/>
        </w:rPr>
        <w:t xml:space="preserve"> žmogaus organizme. Šio pokyčio nesukelianti ekspozicija buvo 6</w:t>
      </w:r>
      <w:r w:rsidR="00B4779A">
        <w:rPr>
          <w:rFonts w:eastAsia="TimesNewRoman,Italic" w:cs="Times New Roman"/>
          <w:sz w:val="22"/>
          <w:szCs w:val="22"/>
          <w:lang w:val="lt-LT" w:eastAsia="en-US"/>
        </w:rPr>
        <w:t> </w:t>
      </w:r>
      <w:r w:rsidRPr="00997273">
        <w:rPr>
          <w:rFonts w:eastAsia="TimesNewRoman,Italic" w:cs="Times New Roman"/>
          <w:sz w:val="22"/>
          <w:szCs w:val="22"/>
          <w:lang w:val="lt-LT" w:eastAsia="en-US"/>
        </w:rPr>
        <w:t>kartus didesnė už</w:t>
      </w:r>
      <w:r w:rsidR="00D500FB" w:rsidRPr="00997273">
        <w:rPr>
          <w:rFonts w:eastAsia="TimesNewRoman,Italic" w:cs="Times New Roman"/>
          <w:sz w:val="22"/>
          <w:szCs w:val="22"/>
          <w:lang w:val="lt-LT" w:eastAsia="en-US"/>
        </w:rPr>
        <w:t xml:space="preserve"> </w:t>
      </w:r>
      <w:r w:rsidR="00F3620A">
        <w:rPr>
          <w:rFonts w:eastAsia="TimesNewRoman,Italic" w:cs="Times New Roman"/>
          <w:sz w:val="22"/>
          <w:szCs w:val="22"/>
          <w:lang w:val="lt-LT" w:eastAsia="en-US"/>
        </w:rPr>
        <w:t>ekspoziciją, kuri būna gydomąją</w:t>
      </w:r>
      <w:r w:rsidR="00F3620A" w:rsidRPr="00997273">
        <w:rPr>
          <w:rFonts w:eastAsia="TimesNewRoman,Italic" w:cs="Times New Roman"/>
          <w:sz w:val="22"/>
          <w:szCs w:val="22"/>
          <w:lang w:val="lt-LT" w:eastAsia="en-US"/>
        </w:rPr>
        <w:t xml:space="preserve"> doz</w:t>
      </w:r>
      <w:r w:rsidR="00F3620A">
        <w:rPr>
          <w:rFonts w:eastAsia="TimesNewRoman,Italic" w:cs="Times New Roman"/>
          <w:sz w:val="22"/>
          <w:szCs w:val="22"/>
          <w:lang w:val="lt-LT" w:eastAsia="en-US"/>
        </w:rPr>
        <w:t>ę</w:t>
      </w:r>
      <w:r w:rsidR="00F3620A" w:rsidRPr="00997273">
        <w:rPr>
          <w:rFonts w:eastAsia="TimesNewRoman,Italic" w:cs="Times New Roman"/>
          <w:sz w:val="22"/>
          <w:szCs w:val="22"/>
          <w:lang w:val="lt-LT" w:eastAsia="en-US"/>
        </w:rPr>
        <w:t xml:space="preserve"> vartojančio žmogaus organ</w:t>
      </w:r>
      <w:r w:rsidRPr="00997273">
        <w:rPr>
          <w:rFonts w:eastAsia="TimesNewRoman,Italic" w:cs="Times New Roman"/>
          <w:sz w:val="22"/>
          <w:szCs w:val="22"/>
          <w:lang w:val="lt-LT" w:eastAsia="en-US"/>
        </w:rPr>
        <w:t>izme.</w:t>
      </w:r>
      <w:r w:rsidR="00D500FB" w:rsidRPr="00997273">
        <w:rPr>
          <w:rFonts w:eastAsia="TimesNewRoman,Italic" w:cs="Times New Roman"/>
          <w:sz w:val="22"/>
          <w:szCs w:val="22"/>
          <w:lang w:val="lt-LT" w:eastAsia="en-US"/>
        </w:rPr>
        <w:t xml:space="preserve"> </w:t>
      </w:r>
    </w:p>
    <w:p w14:paraId="03E7245D" w14:textId="77777777" w:rsidR="00C4716A" w:rsidRDefault="00C4716A" w:rsidP="0000506F">
      <w:pPr>
        <w:autoSpaceDE w:val="0"/>
        <w:autoSpaceDN w:val="0"/>
        <w:adjustRightInd w:val="0"/>
        <w:rPr>
          <w:rFonts w:eastAsia="TimesNewRoman,Italic" w:cs="Times New Roman"/>
          <w:sz w:val="22"/>
          <w:szCs w:val="22"/>
          <w:lang w:val="lt-LT" w:eastAsia="en-US"/>
        </w:rPr>
      </w:pPr>
    </w:p>
    <w:p w14:paraId="671E2243" w14:textId="5CCCE818" w:rsidR="0000506F" w:rsidRPr="00997273" w:rsidRDefault="0000506F" w:rsidP="0000506F">
      <w:pPr>
        <w:autoSpaceDE w:val="0"/>
        <w:autoSpaceDN w:val="0"/>
        <w:adjustRightInd w:val="0"/>
        <w:rPr>
          <w:rFonts w:eastAsia="TimesNewRoman,Italic" w:cs="Times New Roman"/>
          <w:sz w:val="22"/>
          <w:szCs w:val="22"/>
          <w:lang w:val="lt-LT" w:eastAsia="en-US"/>
        </w:rPr>
      </w:pPr>
      <w:proofErr w:type="spellStart"/>
      <w:r w:rsidRPr="00997273">
        <w:rPr>
          <w:rFonts w:eastAsia="TimesNewRoman,Italic" w:cs="Times New Roman"/>
          <w:sz w:val="22"/>
          <w:szCs w:val="22"/>
          <w:lang w:val="lt-LT" w:eastAsia="en-US"/>
        </w:rPr>
        <w:t>Ikiklinikinių</w:t>
      </w:r>
      <w:proofErr w:type="spellEnd"/>
      <w:r w:rsidRPr="00997273">
        <w:rPr>
          <w:rFonts w:eastAsia="TimesNewRoman,Italic" w:cs="Times New Roman"/>
          <w:sz w:val="22"/>
          <w:szCs w:val="22"/>
          <w:lang w:val="lt-LT" w:eastAsia="en-US"/>
        </w:rPr>
        <w:t xml:space="preserve"> tyrimų metu </w:t>
      </w:r>
      <w:proofErr w:type="spellStart"/>
      <w:r w:rsidRPr="00997273">
        <w:rPr>
          <w:rFonts w:eastAsia="TimesNewRoman,Italic" w:cs="Times New Roman"/>
          <w:sz w:val="22"/>
          <w:szCs w:val="22"/>
          <w:lang w:val="lt-LT" w:eastAsia="en-US"/>
        </w:rPr>
        <w:t>sitagliptino</w:t>
      </w:r>
      <w:proofErr w:type="spellEnd"/>
      <w:r w:rsidRPr="00997273">
        <w:rPr>
          <w:rFonts w:eastAsia="TimesNewRoman,Italic" w:cs="Times New Roman"/>
          <w:sz w:val="22"/>
          <w:szCs w:val="22"/>
          <w:lang w:val="lt-LT" w:eastAsia="en-US"/>
        </w:rPr>
        <w:t xml:space="preserve"> </w:t>
      </w:r>
      <w:proofErr w:type="spellStart"/>
      <w:r w:rsidRPr="00997273">
        <w:rPr>
          <w:rFonts w:eastAsia="TimesNewRoman,Italic" w:cs="Times New Roman"/>
          <w:sz w:val="22"/>
          <w:szCs w:val="22"/>
          <w:lang w:val="lt-LT" w:eastAsia="en-US"/>
        </w:rPr>
        <w:t>genotoksinio</w:t>
      </w:r>
      <w:proofErr w:type="spellEnd"/>
      <w:r w:rsidRPr="00997273">
        <w:rPr>
          <w:rFonts w:eastAsia="TimesNewRoman,Italic" w:cs="Times New Roman"/>
          <w:sz w:val="22"/>
          <w:szCs w:val="22"/>
          <w:lang w:val="lt-LT" w:eastAsia="en-US"/>
        </w:rPr>
        <w:t xml:space="preserve"> poveikio nepastebėta. Pelėms </w:t>
      </w:r>
      <w:proofErr w:type="spellStart"/>
      <w:r w:rsidRPr="00997273">
        <w:rPr>
          <w:rFonts w:eastAsia="TimesNewRoman,Italic" w:cs="Times New Roman"/>
          <w:sz w:val="22"/>
          <w:szCs w:val="22"/>
          <w:lang w:val="lt-LT" w:eastAsia="en-US"/>
        </w:rPr>
        <w:t>sitagliptinas</w:t>
      </w:r>
      <w:proofErr w:type="spellEnd"/>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kancerogeninio poveikio nesukėlė. Žiurkėms, kurių organizme ekspozicija buvo 58 kartus didesnė už</w:t>
      </w:r>
      <w:r w:rsidR="00D500FB" w:rsidRPr="00997273">
        <w:rPr>
          <w:rFonts w:eastAsia="TimesNewRoman,Italic" w:cs="Times New Roman"/>
          <w:sz w:val="22"/>
          <w:szCs w:val="22"/>
          <w:lang w:val="lt-LT" w:eastAsia="en-US"/>
        </w:rPr>
        <w:t xml:space="preserve"> </w:t>
      </w:r>
      <w:r w:rsidR="007B0BEE">
        <w:rPr>
          <w:rFonts w:eastAsia="TimesNewRoman,Italic" w:cs="Times New Roman"/>
          <w:sz w:val="22"/>
          <w:szCs w:val="22"/>
          <w:lang w:val="lt-LT" w:eastAsia="en-US"/>
        </w:rPr>
        <w:t>ekspoziciją, kuri būna gydomąją</w:t>
      </w:r>
      <w:r w:rsidR="007B0BEE" w:rsidRPr="00997273">
        <w:rPr>
          <w:rFonts w:eastAsia="TimesNewRoman,Italic" w:cs="Times New Roman"/>
          <w:sz w:val="22"/>
          <w:szCs w:val="22"/>
          <w:lang w:val="lt-LT" w:eastAsia="en-US"/>
        </w:rPr>
        <w:t xml:space="preserve"> doz</w:t>
      </w:r>
      <w:r w:rsidR="007B0BEE">
        <w:rPr>
          <w:rFonts w:eastAsia="TimesNewRoman,Italic" w:cs="Times New Roman"/>
          <w:sz w:val="22"/>
          <w:szCs w:val="22"/>
          <w:lang w:val="lt-LT" w:eastAsia="en-US"/>
        </w:rPr>
        <w:t>ę</w:t>
      </w:r>
      <w:r w:rsidR="007B0BEE" w:rsidRPr="00997273">
        <w:rPr>
          <w:rFonts w:eastAsia="TimesNewRoman,Italic" w:cs="Times New Roman"/>
          <w:sz w:val="22"/>
          <w:szCs w:val="22"/>
          <w:lang w:val="lt-LT" w:eastAsia="en-US"/>
        </w:rPr>
        <w:t xml:space="preserve"> vartojančio žmogaus organ</w:t>
      </w:r>
      <w:r w:rsidR="007B0BEE">
        <w:rPr>
          <w:rFonts w:eastAsia="TimesNewRoman,Italic" w:cs="Times New Roman"/>
          <w:sz w:val="22"/>
          <w:szCs w:val="22"/>
          <w:lang w:val="lt-LT" w:eastAsia="en-US"/>
        </w:rPr>
        <w:t>izme</w:t>
      </w:r>
      <w:r w:rsidRPr="00997273">
        <w:rPr>
          <w:rFonts w:eastAsia="TimesNewRoman,Italic" w:cs="Times New Roman"/>
          <w:sz w:val="22"/>
          <w:szCs w:val="22"/>
          <w:lang w:val="lt-LT" w:eastAsia="en-US"/>
        </w:rPr>
        <w:t xml:space="preserve">, dažniau </w:t>
      </w:r>
      <w:r w:rsidR="00833C55">
        <w:rPr>
          <w:rFonts w:eastAsia="TimesNewRoman,Italic" w:cs="Times New Roman"/>
          <w:sz w:val="22"/>
          <w:szCs w:val="22"/>
          <w:lang w:val="lt-LT" w:eastAsia="en-US"/>
        </w:rPr>
        <w:t>pa</w:t>
      </w:r>
      <w:r w:rsidR="00200330">
        <w:rPr>
          <w:rFonts w:eastAsia="TimesNewRoman,Italic" w:cs="Times New Roman"/>
          <w:sz w:val="22"/>
          <w:szCs w:val="22"/>
          <w:lang w:val="lt-LT" w:eastAsia="en-US"/>
        </w:rPr>
        <w:t>s</w:t>
      </w:r>
      <w:r w:rsidR="00833C55">
        <w:rPr>
          <w:rFonts w:eastAsia="TimesNewRoman,Italic" w:cs="Times New Roman"/>
          <w:sz w:val="22"/>
          <w:szCs w:val="22"/>
          <w:lang w:val="lt-LT" w:eastAsia="en-US"/>
        </w:rPr>
        <w:t>ireiškė</w:t>
      </w:r>
      <w:r w:rsidRPr="00997273">
        <w:rPr>
          <w:rFonts w:eastAsia="TimesNewRoman,Italic" w:cs="Times New Roman"/>
          <w:sz w:val="22"/>
          <w:szCs w:val="22"/>
          <w:lang w:val="lt-LT" w:eastAsia="en-US"/>
        </w:rPr>
        <w:t xml:space="preserve"> kepenų </w:t>
      </w:r>
      <w:r w:rsidRPr="00997273">
        <w:rPr>
          <w:rFonts w:eastAsia="TimesNewRoman,Italic" w:cs="Times New Roman"/>
          <w:sz w:val="22"/>
          <w:szCs w:val="22"/>
          <w:lang w:val="lt-LT" w:eastAsia="en-US"/>
        </w:rPr>
        <w:lastRenderedPageBreak/>
        <w:t>adenoma ar</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 xml:space="preserve">karcinoma. </w:t>
      </w:r>
      <w:r w:rsidR="00833C55">
        <w:rPr>
          <w:rFonts w:eastAsia="TimesNewRoman,Italic" w:cs="Times New Roman"/>
          <w:sz w:val="22"/>
          <w:szCs w:val="22"/>
          <w:lang w:val="lt-LT" w:eastAsia="en-US"/>
        </w:rPr>
        <w:t>Į</w:t>
      </w:r>
      <w:r w:rsidRPr="00997273">
        <w:rPr>
          <w:rFonts w:eastAsia="TimesNewRoman,Italic" w:cs="Times New Roman"/>
          <w:sz w:val="22"/>
          <w:szCs w:val="22"/>
          <w:lang w:val="lt-LT" w:eastAsia="en-US"/>
        </w:rPr>
        <w:t>rodyta, jog žiurkėms toksinis poveikis kepenims koreliuoja su kepenų naviko</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atsiradimu, todėl tikėtina, kad šis kepenų naviko padažnėjimas žiurkėms buvo antrinis dėl šios didelės</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dozės sukel</w:t>
      </w:r>
      <w:r w:rsidR="00833C55">
        <w:rPr>
          <w:rFonts w:eastAsia="TimesNewRoman,Italic" w:cs="Times New Roman"/>
          <w:sz w:val="22"/>
          <w:szCs w:val="22"/>
          <w:lang w:val="lt-LT" w:eastAsia="en-US"/>
        </w:rPr>
        <w:t>to</w:t>
      </w:r>
      <w:r w:rsidRPr="00997273">
        <w:rPr>
          <w:rFonts w:eastAsia="TimesNewRoman,Italic" w:cs="Times New Roman"/>
          <w:sz w:val="22"/>
          <w:szCs w:val="22"/>
          <w:lang w:val="lt-LT" w:eastAsia="en-US"/>
        </w:rPr>
        <w:t xml:space="preserve"> lėtinio toksinio poveikio kepenims. Nemanoma, kad pastebėti navikiniai pokyčiai</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gal</w:t>
      </w:r>
      <w:r w:rsidR="002764F3">
        <w:rPr>
          <w:rFonts w:eastAsia="TimesNewRoman,Italic" w:cs="Times New Roman"/>
          <w:sz w:val="22"/>
          <w:szCs w:val="22"/>
          <w:lang w:val="lt-LT" w:eastAsia="en-US"/>
        </w:rPr>
        <w:t>i</w:t>
      </w:r>
      <w:r w:rsidRPr="00997273">
        <w:rPr>
          <w:rFonts w:eastAsia="TimesNewRoman,Italic" w:cs="Times New Roman"/>
          <w:sz w:val="22"/>
          <w:szCs w:val="22"/>
          <w:lang w:val="lt-LT" w:eastAsia="en-US"/>
        </w:rPr>
        <w:t xml:space="preserve"> būti svarbūs gydant žmogų, nes saugumo ribos yra </w:t>
      </w:r>
      <w:r w:rsidR="002764F3">
        <w:rPr>
          <w:rFonts w:eastAsia="TimesNewRoman,Italic" w:cs="Times New Roman"/>
          <w:sz w:val="22"/>
          <w:szCs w:val="22"/>
          <w:lang w:val="lt-LT" w:eastAsia="en-US"/>
        </w:rPr>
        <w:t>plačios</w:t>
      </w:r>
      <w:r w:rsidRPr="00997273">
        <w:rPr>
          <w:rFonts w:eastAsia="TimesNewRoman,Italic" w:cs="Times New Roman"/>
          <w:sz w:val="22"/>
          <w:szCs w:val="22"/>
          <w:lang w:val="lt-LT" w:eastAsia="en-US"/>
        </w:rPr>
        <w:t xml:space="preserve"> (šių pokyčių nesukelianti ekspozicija</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yra 19</w:t>
      </w:r>
      <w:r w:rsidR="00E01377">
        <w:rPr>
          <w:rFonts w:eastAsia="TimesNewRoman,Italic" w:cs="Times New Roman"/>
          <w:sz w:val="22"/>
          <w:szCs w:val="22"/>
          <w:lang w:val="lt-LT" w:eastAsia="en-US"/>
        </w:rPr>
        <w:t> </w:t>
      </w:r>
      <w:r w:rsidRPr="00997273">
        <w:rPr>
          <w:rFonts w:eastAsia="TimesNewRoman,Italic" w:cs="Times New Roman"/>
          <w:sz w:val="22"/>
          <w:szCs w:val="22"/>
          <w:lang w:val="lt-LT" w:eastAsia="en-US"/>
        </w:rPr>
        <w:t xml:space="preserve">kartų didesnė už </w:t>
      </w:r>
      <w:r w:rsidR="002764F3">
        <w:rPr>
          <w:rFonts w:eastAsia="TimesNewRoman,Italic" w:cs="Times New Roman"/>
          <w:sz w:val="22"/>
          <w:szCs w:val="22"/>
          <w:lang w:val="lt-LT" w:eastAsia="en-US"/>
        </w:rPr>
        <w:t>ekspoziciją, kuri būna gydomąją</w:t>
      </w:r>
      <w:r w:rsidR="002764F3" w:rsidRPr="00997273">
        <w:rPr>
          <w:rFonts w:eastAsia="TimesNewRoman,Italic" w:cs="Times New Roman"/>
          <w:sz w:val="22"/>
          <w:szCs w:val="22"/>
          <w:lang w:val="lt-LT" w:eastAsia="en-US"/>
        </w:rPr>
        <w:t xml:space="preserve"> doz</w:t>
      </w:r>
      <w:r w:rsidR="002764F3">
        <w:rPr>
          <w:rFonts w:eastAsia="TimesNewRoman,Italic" w:cs="Times New Roman"/>
          <w:sz w:val="22"/>
          <w:szCs w:val="22"/>
          <w:lang w:val="lt-LT" w:eastAsia="en-US"/>
        </w:rPr>
        <w:t>ę</w:t>
      </w:r>
      <w:r w:rsidR="002764F3" w:rsidRPr="00997273">
        <w:rPr>
          <w:rFonts w:eastAsia="TimesNewRoman,Italic" w:cs="Times New Roman"/>
          <w:sz w:val="22"/>
          <w:szCs w:val="22"/>
          <w:lang w:val="lt-LT" w:eastAsia="en-US"/>
        </w:rPr>
        <w:t xml:space="preserve"> vartojančio žmogaus organ</w:t>
      </w:r>
      <w:r w:rsidRPr="00997273">
        <w:rPr>
          <w:rFonts w:eastAsia="TimesNewRoman,Italic" w:cs="Times New Roman"/>
          <w:sz w:val="22"/>
          <w:szCs w:val="22"/>
          <w:lang w:val="lt-LT" w:eastAsia="en-US"/>
        </w:rPr>
        <w:t>izme).</w:t>
      </w:r>
    </w:p>
    <w:p w14:paraId="4169E9EB" w14:textId="77777777" w:rsidR="00E01377" w:rsidRDefault="00E01377" w:rsidP="0000506F">
      <w:pPr>
        <w:autoSpaceDE w:val="0"/>
        <w:autoSpaceDN w:val="0"/>
        <w:adjustRightInd w:val="0"/>
        <w:rPr>
          <w:rFonts w:eastAsia="TimesNewRoman,Italic" w:cs="Times New Roman"/>
          <w:sz w:val="22"/>
          <w:szCs w:val="22"/>
          <w:lang w:val="lt-LT" w:eastAsia="en-US"/>
        </w:rPr>
      </w:pPr>
    </w:p>
    <w:p w14:paraId="0A154B12" w14:textId="3D996950" w:rsidR="0000506F" w:rsidRPr="00997273" w:rsidRDefault="0000506F" w:rsidP="0000506F">
      <w:pPr>
        <w:autoSpaceDE w:val="0"/>
        <w:autoSpaceDN w:val="0"/>
        <w:adjustRightInd w:val="0"/>
        <w:rPr>
          <w:rFonts w:eastAsia="TimesNewRoman,Italic" w:cs="Times New Roman"/>
          <w:sz w:val="22"/>
          <w:szCs w:val="22"/>
          <w:lang w:val="lt-LT" w:eastAsia="en-US"/>
        </w:rPr>
      </w:pPr>
      <w:r w:rsidRPr="00997273">
        <w:rPr>
          <w:rFonts w:eastAsia="TimesNewRoman,Italic" w:cs="Times New Roman"/>
          <w:sz w:val="22"/>
          <w:szCs w:val="22"/>
          <w:lang w:val="lt-LT" w:eastAsia="en-US"/>
        </w:rPr>
        <w:t>Nepageidaujamo poveikio žiurkių patelių ir patin</w:t>
      </w:r>
      <w:r w:rsidR="004325AB" w:rsidRPr="00997273">
        <w:rPr>
          <w:rFonts w:eastAsia="TimesNewRoman,Italic" w:cs="Times New Roman"/>
          <w:sz w:val="22"/>
          <w:szCs w:val="22"/>
          <w:lang w:val="lt-LT" w:eastAsia="en-US"/>
        </w:rPr>
        <w:t>ų</w:t>
      </w:r>
      <w:r w:rsidRPr="00997273">
        <w:rPr>
          <w:rFonts w:eastAsia="TimesNewRoman,Italic" w:cs="Times New Roman"/>
          <w:sz w:val="22"/>
          <w:szCs w:val="22"/>
          <w:lang w:val="lt-LT" w:eastAsia="en-US"/>
        </w:rPr>
        <w:t xml:space="preserve">, </w:t>
      </w:r>
      <w:proofErr w:type="spellStart"/>
      <w:r w:rsidRPr="00997273">
        <w:rPr>
          <w:rFonts w:eastAsia="TimesNewRoman,Italic" w:cs="Times New Roman"/>
          <w:sz w:val="22"/>
          <w:szCs w:val="22"/>
          <w:lang w:val="lt-LT" w:eastAsia="en-US"/>
        </w:rPr>
        <w:t>sitagliptino</w:t>
      </w:r>
      <w:proofErr w:type="spellEnd"/>
      <w:r w:rsidRPr="00997273">
        <w:rPr>
          <w:rFonts w:eastAsia="TimesNewRoman,Italic" w:cs="Times New Roman"/>
          <w:sz w:val="22"/>
          <w:szCs w:val="22"/>
          <w:lang w:val="lt-LT" w:eastAsia="en-US"/>
        </w:rPr>
        <w:t xml:space="preserve"> vartojusių prieš poravimąsi ir</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poravimosi metu, vaisingumui nepastebėta.</w:t>
      </w:r>
    </w:p>
    <w:p w14:paraId="6E4D2C38" w14:textId="77777777" w:rsidR="00EB02AC" w:rsidRDefault="00EB02AC" w:rsidP="0000506F">
      <w:pPr>
        <w:autoSpaceDE w:val="0"/>
        <w:autoSpaceDN w:val="0"/>
        <w:adjustRightInd w:val="0"/>
        <w:rPr>
          <w:rFonts w:eastAsia="TimesNewRoman,Italic" w:cs="Times New Roman"/>
          <w:sz w:val="22"/>
          <w:szCs w:val="22"/>
          <w:lang w:val="lt-LT" w:eastAsia="en-US"/>
        </w:rPr>
      </w:pPr>
    </w:p>
    <w:p w14:paraId="6DEDA623" w14:textId="30BA1890" w:rsidR="0000506F" w:rsidRPr="00997273" w:rsidRDefault="0000506F" w:rsidP="0000506F">
      <w:pPr>
        <w:autoSpaceDE w:val="0"/>
        <w:autoSpaceDN w:val="0"/>
        <w:adjustRightInd w:val="0"/>
        <w:rPr>
          <w:rFonts w:eastAsia="TimesNewRoman,Italic" w:cs="Times New Roman"/>
          <w:sz w:val="22"/>
          <w:szCs w:val="22"/>
          <w:lang w:val="lt-LT" w:eastAsia="en-US"/>
        </w:rPr>
      </w:pPr>
      <w:r w:rsidRPr="00997273">
        <w:rPr>
          <w:rFonts w:eastAsia="TimesNewRoman,Italic" w:cs="Times New Roman"/>
          <w:sz w:val="22"/>
          <w:szCs w:val="22"/>
          <w:lang w:val="lt-LT" w:eastAsia="en-US"/>
        </w:rPr>
        <w:t xml:space="preserve">Tyrimų su žiurkėmis metu nepageidaujamo poveikio vystymuisi </w:t>
      </w:r>
      <w:proofErr w:type="spellStart"/>
      <w:r w:rsidRPr="00997273">
        <w:rPr>
          <w:rFonts w:eastAsia="TimesNewRoman,Italic" w:cs="Times New Roman"/>
          <w:sz w:val="22"/>
          <w:szCs w:val="22"/>
          <w:lang w:val="lt-LT" w:eastAsia="en-US"/>
        </w:rPr>
        <w:t>prenataliniu</w:t>
      </w:r>
      <w:proofErr w:type="spellEnd"/>
      <w:r w:rsidRPr="00997273">
        <w:rPr>
          <w:rFonts w:eastAsia="TimesNewRoman,Italic" w:cs="Times New Roman"/>
          <w:sz w:val="22"/>
          <w:szCs w:val="22"/>
          <w:lang w:val="lt-LT" w:eastAsia="en-US"/>
        </w:rPr>
        <w:t xml:space="preserve"> ir </w:t>
      </w:r>
      <w:proofErr w:type="spellStart"/>
      <w:r w:rsidRPr="00997273">
        <w:rPr>
          <w:rFonts w:eastAsia="TimesNewRoman,Italic" w:cs="Times New Roman"/>
          <w:sz w:val="22"/>
          <w:szCs w:val="22"/>
          <w:lang w:val="lt-LT" w:eastAsia="en-US"/>
        </w:rPr>
        <w:t>postnataliniu</w:t>
      </w:r>
      <w:proofErr w:type="spellEnd"/>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laikotarpiu nepastebėta.</w:t>
      </w:r>
    </w:p>
    <w:p w14:paraId="07654617" w14:textId="77777777" w:rsidR="00EB02AC" w:rsidRDefault="00EB02AC" w:rsidP="00D500FB">
      <w:pPr>
        <w:autoSpaceDE w:val="0"/>
        <w:autoSpaceDN w:val="0"/>
        <w:adjustRightInd w:val="0"/>
        <w:rPr>
          <w:rFonts w:eastAsia="TimesNewRoman,Italic" w:cs="Times New Roman"/>
          <w:sz w:val="22"/>
          <w:szCs w:val="22"/>
          <w:lang w:val="lt-LT" w:eastAsia="en-US"/>
        </w:rPr>
      </w:pPr>
    </w:p>
    <w:p w14:paraId="510B7A2F" w14:textId="773A19AC" w:rsidR="0000506F" w:rsidRPr="00997273" w:rsidRDefault="0000506F" w:rsidP="00D500FB">
      <w:pPr>
        <w:autoSpaceDE w:val="0"/>
        <w:autoSpaceDN w:val="0"/>
        <w:adjustRightInd w:val="0"/>
        <w:rPr>
          <w:rFonts w:eastAsia="TimesNewRoman,Italic" w:cs="Times New Roman"/>
          <w:sz w:val="22"/>
          <w:szCs w:val="22"/>
          <w:lang w:val="lt-LT" w:eastAsia="en-US"/>
        </w:rPr>
      </w:pPr>
      <w:r w:rsidRPr="00997273">
        <w:rPr>
          <w:rFonts w:eastAsia="TimesNewRoman,Italic" w:cs="Times New Roman"/>
          <w:sz w:val="22"/>
          <w:szCs w:val="22"/>
          <w:lang w:val="lt-LT" w:eastAsia="en-US"/>
        </w:rPr>
        <w:t>Toksinio poveikio reprodukcijai tyrimų metu vaikingų žiurkių, kurių organizme ekspozicija buvo</w:t>
      </w:r>
      <w:r w:rsidR="00D500FB" w:rsidRPr="00997273">
        <w:rPr>
          <w:rFonts w:eastAsia="TimesNewRoman,Italic" w:cs="Times New Roman"/>
          <w:sz w:val="22"/>
          <w:szCs w:val="22"/>
          <w:lang w:val="lt-LT" w:eastAsia="en-US"/>
        </w:rPr>
        <w:t xml:space="preserve"> </w:t>
      </w:r>
      <w:r w:rsidRPr="00997273">
        <w:rPr>
          <w:rFonts w:eastAsia="TimesNewRoman,Italic" w:cs="Times New Roman"/>
          <w:sz w:val="22"/>
          <w:szCs w:val="22"/>
          <w:lang w:val="lt-LT" w:eastAsia="en-US"/>
        </w:rPr>
        <w:t>daugiau kaip 29</w:t>
      </w:r>
      <w:r w:rsidR="00B4779A">
        <w:rPr>
          <w:rFonts w:eastAsia="TimesNewRoman,Italic" w:cs="Times New Roman"/>
          <w:sz w:val="22"/>
          <w:szCs w:val="22"/>
          <w:lang w:val="lt-LT" w:eastAsia="en-US"/>
        </w:rPr>
        <w:t> </w:t>
      </w:r>
      <w:r w:rsidRPr="00997273">
        <w:rPr>
          <w:rFonts w:eastAsia="TimesNewRoman,Italic" w:cs="Times New Roman"/>
          <w:sz w:val="22"/>
          <w:szCs w:val="22"/>
          <w:lang w:val="lt-LT" w:eastAsia="en-US"/>
        </w:rPr>
        <w:t xml:space="preserve">kartus didesnė už </w:t>
      </w:r>
      <w:r w:rsidR="0030278D">
        <w:rPr>
          <w:rFonts w:eastAsia="TimesNewRoman,Italic" w:cs="Times New Roman"/>
          <w:sz w:val="22"/>
          <w:szCs w:val="22"/>
          <w:lang w:val="lt-LT" w:eastAsia="en-US"/>
        </w:rPr>
        <w:t>ekspoziciją, kuri būna gydomąją</w:t>
      </w:r>
      <w:r w:rsidR="0030278D" w:rsidRPr="00997273">
        <w:rPr>
          <w:rFonts w:eastAsia="TimesNewRoman,Italic" w:cs="Times New Roman"/>
          <w:sz w:val="22"/>
          <w:szCs w:val="22"/>
          <w:lang w:val="lt-LT" w:eastAsia="en-US"/>
        </w:rPr>
        <w:t xml:space="preserve"> doz</w:t>
      </w:r>
      <w:r w:rsidR="0030278D">
        <w:rPr>
          <w:rFonts w:eastAsia="TimesNewRoman,Italic" w:cs="Times New Roman"/>
          <w:sz w:val="22"/>
          <w:szCs w:val="22"/>
          <w:lang w:val="lt-LT" w:eastAsia="en-US"/>
        </w:rPr>
        <w:t>ę</w:t>
      </w:r>
      <w:r w:rsidR="0030278D" w:rsidRPr="00997273">
        <w:rPr>
          <w:rFonts w:eastAsia="TimesNewRoman,Italic" w:cs="Times New Roman"/>
          <w:sz w:val="22"/>
          <w:szCs w:val="22"/>
          <w:lang w:val="lt-LT" w:eastAsia="en-US"/>
        </w:rPr>
        <w:t xml:space="preserve"> vartojančio žmogaus organ</w:t>
      </w:r>
      <w:r w:rsidRPr="00997273">
        <w:rPr>
          <w:rFonts w:eastAsia="TimesNewRoman,Italic" w:cs="Times New Roman"/>
          <w:sz w:val="22"/>
          <w:szCs w:val="22"/>
          <w:lang w:val="lt-LT" w:eastAsia="en-US"/>
        </w:rPr>
        <w:t>izme, vaisiu</w:t>
      </w:r>
      <w:r w:rsidR="00E93C20" w:rsidRPr="00997273">
        <w:rPr>
          <w:rFonts w:eastAsia="TimesNewRoman,Italic" w:cs="Times New Roman"/>
          <w:sz w:val="22"/>
          <w:szCs w:val="22"/>
          <w:lang w:val="lt-LT" w:eastAsia="en-US"/>
        </w:rPr>
        <w:t>i</w:t>
      </w:r>
      <w:r w:rsidRPr="00997273">
        <w:rPr>
          <w:rFonts w:cs="Times New Roman"/>
          <w:sz w:val="22"/>
          <w:szCs w:val="22"/>
          <w:lang w:val="lt-LT" w:eastAsia="en-US"/>
        </w:rPr>
        <w:t xml:space="preserve"> šiek tiek dažniau atsirado nuo vaistinio preparato priklausomų šonkaulių sklaidos trūkumų (ne vis</w:t>
      </w:r>
      <w:r w:rsidR="00BE42C8">
        <w:rPr>
          <w:rFonts w:cs="Times New Roman"/>
          <w:sz w:val="22"/>
          <w:szCs w:val="22"/>
          <w:lang w:val="lt-LT" w:eastAsia="en-US"/>
        </w:rPr>
        <w:t>ų</w:t>
      </w:r>
      <w:r w:rsidR="00D500FB" w:rsidRPr="00997273">
        <w:rPr>
          <w:rFonts w:cs="Times New Roman"/>
          <w:sz w:val="22"/>
          <w:szCs w:val="22"/>
          <w:lang w:val="lt-LT" w:eastAsia="en-US"/>
        </w:rPr>
        <w:t xml:space="preserve"> </w:t>
      </w:r>
      <w:r w:rsidRPr="00997273">
        <w:rPr>
          <w:rFonts w:cs="Times New Roman"/>
          <w:sz w:val="22"/>
          <w:szCs w:val="22"/>
          <w:lang w:val="lt-LT" w:eastAsia="en-US"/>
        </w:rPr>
        <w:t>šonkauli</w:t>
      </w:r>
      <w:r w:rsidR="00BE42C8">
        <w:rPr>
          <w:rFonts w:cs="Times New Roman"/>
          <w:sz w:val="22"/>
          <w:szCs w:val="22"/>
          <w:lang w:val="lt-LT" w:eastAsia="en-US"/>
        </w:rPr>
        <w:t>ų išsivystymas</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hipoplastiški</w:t>
      </w:r>
      <w:proofErr w:type="spellEnd"/>
      <w:r w:rsidRPr="00997273">
        <w:rPr>
          <w:rFonts w:cs="Times New Roman"/>
          <w:sz w:val="22"/>
          <w:szCs w:val="22"/>
          <w:lang w:val="lt-LT" w:eastAsia="en-US"/>
        </w:rPr>
        <w:t xml:space="preserve"> ar banguoti šonkauliai). Toksinis poveikis vaikingoms triušių patelėms</w:t>
      </w:r>
      <w:r w:rsidR="00D500FB" w:rsidRPr="00997273">
        <w:rPr>
          <w:rFonts w:cs="Times New Roman"/>
          <w:sz w:val="22"/>
          <w:szCs w:val="22"/>
          <w:lang w:val="lt-LT" w:eastAsia="en-US"/>
        </w:rPr>
        <w:t xml:space="preserve"> </w:t>
      </w:r>
      <w:r w:rsidRPr="00997273">
        <w:rPr>
          <w:rFonts w:cs="Times New Roman"/>
          <w:sz w:val="22"/>
          <w:szCs w:val="22"/>
          <w:lang w:val="lt-LT" w:eastAsia="en-US"/>
        </w:rPr>
        <w:t>pasireiškė tada, kai jų organizme ekspozicija buvo daugiau kaip 29</w:t>
      </w:r>
      <w:r w:rsidR="00C3403E">
        <w:rPr>
          <w:rFonts w:cs="Times New Roman"/>
          <w:sz w:val="22"/>
          <w:szCs w:val="22"/>
          <w:lang w:val="lt-LT" w:eastAsia="en-US"/>
        </w:rPr>
        <w:t> </w:t>
      </w:r>
      <w:r w:rsidRPr="00997273">
        <w:rPr>
          <w:rFonts w:cs="Times New Roman"/>
          <w:sz w:val="22"/>
          <w:szCs w:val="22"/>
          <w:lang w:val="lt-LT" w:eastAsia="en-US"/>
        </w:rPr>
        <w:t xml:space="preserve">kartus didesnė už </w:t>
      </w:r>
      <w:r w:rsidR="00C3403E">
        <w:rPr>
          <w:rFonts w:eastAsia="TimesNewRoman,Italic" w:cs="Times New Roman"/>
          <w:sz w:val="22"/>
          <w:szCs w:val="22"/>
          <w:lang w:val="lt-LT" w:eastAsia="en-US"/>
        </w:rPr>
        <w:t>ekspoziciją, kuri būna gydomąją</w:t>
      </w:r>
      <w:r w:rsidR="00C3403E" w:rsidRPr="00997273">
        <w:rPr>
          <w:rFonts w:eastAsia="TimesNewRoman,Italic" w:cs="Times New Roman"/>
          <w:sz w:val="22"/>
          <w:szCs w:val="22"/>
          <w:lang w:val="lt-LT" w:eastAsia="en-US"/>
        </w:rPr>
        <w:t xml:space="preserve"> doz</w:t>
      </w:r>
      <w:r w:rsidR="00C3403E">
        <w:rPr>
          <w:rFonts w:eastAsia="TimesNewRoman,Italic" w:cs="Times New Roman"/>
          <w:sz w:val="22"/>
          <w:szCs w:val="22"/>
          <w:lang w:val="lt-LT" w:eastAsia="en-US"/>
        </w:rPr>
        <w:t>ę</w:t>
      </w:r>
      <w:r w:rsidR="00C3403E" w:rsidRPr="00997273">
        <w:rPr>
          <w:rFonts w:eastAsia="TimesNewRoman,Italic" w:cs="Times New Roman"/>
          <w:sz w:val="22"/>
          <w:szCs w:val="22"/>
          <w:lang w:val="lt-LT" w:eastAsia="en-US"/>
        </w:rPr>
        <w:t xml:space="preserve"> vartojančio žmogaus organ</w:t>
      </w:r>
      <w:r w:rsidRPr="00997273">
        <w:rPr>
          <w:rFonts w:cs="Times New Roman"/>
          <w:sz w:val="22"/>
          <w:szCs w:val="22"/>
          <w:lang w:val="lt-LT" w:eastAsia="en-US"/>
        </w:rPr>
        <w:t>izme. Kadangi saugumo ribos yra plačios, todėl šie</w:t>
      </w:r>
      <w:r w:rsidR="00D500FB" w:rsidRPr="00997273">
        <w:rPr>
          <w:rFonts w:cs="Times New Roman"/>
          <w:sz w:val="22"/>
          <w:szCs w:val="22"/>
          <w:lang w:val="lt-LT" w:eastAsia="en-US"/>
        </w:rPr>
        <w:t xml:space="preserve"> </w:t>
      </w:r>
      <w:r w:rsidRPr="00997273">
        <w:rPr>
          <w:rFonts w:cs="Times New Roman"/>
          <w:sz w:val="22"/>
          <w:szCs w:val="22"/>
          <w:lang w:val="lt-LT" w:eastAsia="en-US"/>
        </w:rPr>
        <w:t xml:space="preserve">duomenys reikšmingos rizikos žmogaus reprodukcinei funkcijai nerodo. </w:t>
      </w:r>
      <w:r w:rsidR="00BE37C2" w:rsidRPr="00BE37C2">
        <w:rPr>
          <w:rFonts w:eastAsia="TimesNewRoman" w:cs="Times New Roman"/>
          <w:sz w:val="22"/>
          <w:szCs w:val="22"/>
          <w:lang w:val="lt-LT" w:eastAsia="en-US"/>
        </w:rPr>
        <w:t xml:space="preserve">Žindymo laikotarpiu į žiurkių pieną </w:t>
      </w:r>
      <w:proofErr w:type="spellStart"/>
      <w:r w:rsidR="00BE37C2" w:rsidRPr="00BE37C2">
        <w:rPr>
          <w:rFonts w:eastAsia="TimesNewRoman" w:cs="Times New Roman"/>
          <w:sz w:val="22"/>
          <w:szCs w:val="22"/>
          <w:lang w:val="lt-LT" w:eastAsia="en-US"/>
        </w:rPr>
        <w:t>sitagliptin</w:t>
      </w:r>
      <w:r w:rsidR="00BE37C2">
        <w:rPr>
          <w:rFonts w:eastAsia="TimesNewRoman" w:cs="Times New Roman"/>
          <w:sz w:val="22"/>
          <w:szCs w:val="22"/>
          <w:lang w:val="lt-LT" w:eastAsia="en-US"/>
        </w:rPr>
        <w:t>as</w:t>
      </w:r>
      <w:proofErr w:type="spellEnd"/>
      <w:r w:rsidR="00BE37C2" w:rsidRPr="00BE37C2">
        <w:rPr>
          <w:rFonts w:eastAsia="TimesNewRoman" w:cs="Times New Roman"/>
          <w:sz w:val="22"/>
          <w:szCs w:val="22"/>
          <w:lang w:val="lt-LT" w:eastAsia="en-US"/>
        </w:rPr>
        <w:t xml:space="preserve"> iš</w:t>
      </w:r>
      <w:r w:rsidR="00BE37C2">
        <w:rPr>
          <w:rFonts w:eastAsia="TimesNewRoman" w:cs="Times New Roman"/>
          <w:sz w:val="22"/>
          <w:szCs w:val="22"/>
          <w:lang w:val="lt-LT" w:eastAsia="en-US"/>
        </w:rPr>
        <w:t>skiriamas</w:t>
      </w:r>
      <w:r w:rsidR="00BE37C2" w:rsidRPr="00BE37C2">
        <w:rPr>
          <w:rFonts w:eastAsia="TimesNewRoman" w:cs="Times New Roman"/>
          <w:sz w:val="22"/>
          <w:szCs w:val="22"/>
          <w:lang w:val="lt-LT" w:eastAsia="en-US"/>
        </w:rPr>
        <w:t xml:space="preserve"> reikšmingais kiekiais (kiekio piene ir plazmoje santykis yra 4:1).</w:t>
      </w:r>
    </w:p>
    <w:p w14:paraId="405B4573" w14:textId="77777777" w:rsidR="00612A8E" w:rsidRPr="00997273" w:rsidRDefault="00612A8E" w:rsidP="00612A8E">
      <w:pPr>
        <w:numPr>
          <w:ilvl w:val="12"/>
          <w:numId w:val="0"/>
        </w:numPr>
        <w:tabs>
          <w:tab w:val="left" w:pos="567"/>
        </w:tabs>
        <w:ind w:right="-2"/>
        <w:rPr>
          <w:rFonts w:eastAsia="Times New Roman" w:cs="Times New Roman"/>
          <w:iCs/>
          <w:noProof/>
          <w:sz w:val="22"/>
          <w:szCs w:val="22"/>
          <w:lang w:val="lt-LT" w:eastAsia="lt-LT" w:bidi="lt-LT"/>
        </w:rPr>
      </w:pPr>
    </w:p>
    <w:p w14:paraId="08842798"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50EFAB63" w14:textId="77777777" w:rsidR="00612A8E" w:rsidRPr="00997273" w:rsidRDefault="00612A8E" w:rsidP="00612A8E">
      <w:pPr>
        <w:keepNext/>
        <w:numPr>
          <w:ilvl w:val="0"/>
          <w:numId w:val="25"/>
        </w:numPr>
        <w:tabs>
          <w:tab w:val="left" w:pos="567"/>
        </w:tabs>
        <w:suppressAutoHyphens/>
        <w:spacing w:line="260" w:lineRule="exact"/>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FARMACINĖ INFORMACIJA</w:t>
      </w:r>
    </w:p>
    <w:p w14:paraId="158EE583"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26077F53" w14:textId="77777777" w:rsidR="00612A8E" w:rsidRPr="0099727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Pagalbinių medžiagų sąrašas</w:t>
      </w:r>
    </w:p>
    <w:p w14:paraId="08AC577E" w14:textId="77777777" w:rsidR="00612A8E" w:rsidRPr="00997273" w:rsidRDefault="00612A8E" w:rsidP="00612A8E">
      <w:pPr>
        <w:keepNext/>
        <w:tabs>
          <w:tab w:val="left" w:pos="567"/>
        </w:tabs>
        <w:rPr>
          <w:rFonts w:eastAsia="Times New Roman" w:cs="Times New Roman"/>
          <w:i/>
          <w:noProof/>
          <w:sz w:val="22"/>
          <w:szCs w:val="22"/>
          <w:lang w:val="lt-LT" w:eastAsia="lt-LT" w:bidi="lt-LT"/>
        </w:rPr>
      </w:pPr>
    </w:p>
    <w:p w14:paraId="56A52310" w14:textId="77777777" w:rsidR="00783193" w:rsidRPr="00997273" w:rsidRDefault="00783193" w:rsidP="00783193">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Tabletės šerdis</w:t>
      </w:r>
    </w:p>
    <w:p w14:paraId="183EEFB0" w14:textId="2E3E6DEF" w:rsidR="00783193" w:rsidRPr="00997273" w:rsidRDefault="00783193" w:rsidP="00783193">
      <w:pPr>
        <w:autoSpaceDE w:val="0"/>
        <w:autoSpaceDN w:val="0"/>
        <w:adjustRightInd w:val="0"/>
        <w:rPr>
          <w:rFonts w:cs="Times New Roman"/>
          <w:sz w:val="22"/>
          <w:szCs w:val="22"/>
          <w:lang w:val="lt-LT" w:eastAsia="en-US"/>
        </w:rPr>
      </w:pPr>
      <w:proofErr w:type="spellStart"/>
      <w:r w:rsidRPr="00997273">
        <w:rPr>
          <w:rFonts w:cs="Times New Roman"/>
          <w:sz w:val="22"/>
          <w:szCs w:val="22"/>
          <w:lang w:val="lt-LT" w:eastAsia="en-US"/>
        </w:rPr>
        <w:t>Mikrokristalinė</w:t>
      </w:r>
      <w:proofErr w:type="spellEnd"/>
      <w:r w:rsidRPr="00997273">
        <w:rPr>
          <w:rFonts w:cs="Times New Roman"/>
          <w:sz w:val="22"/>
          <w:szCs w:val="22"/>
          <w:lang w:val="lt-LT" w:eastAsia="en-US"/>
        </w:rPr>
        <w:t xml:space="preserve"> celiuliozė </w:t>
      </w:r>
      <w:r w:rsidR="00E255E7" w:rsidRPr="00BB40BE">
        <w:rPr>
          <w:rFonts w:cs="Times New Roman"/>
          <w:sz w:val="22"/>
          <w:szCs w:val="22"/>
          <w:lang w:val="lt-LT" w:eastAsia="en-US"/>
        </w:rPr>
        <w:t>(</w:t>
      </w:r>
      <w:r w:rsidR="00B4779A" w:rsidRPr="001F1642">
        <w:rPr>
          <w:sz w:val="22"/>
          <w:szCs w:val="22"/>
        </w:rPr>
        <w:t>PH101, PH102</w:t>
      </w:r>
      <w:r w:rsidR="00E255E7" w:rsidRPr="00BB40BE">
        <w:rPr>
          <w:rFonts w:cs="Times New Roman"/>
          <w:sz w:val="22"/>
          <w:szCs w:val="22"/>
          <w:lang w:val="lt-LT" w:eastAsia="en-US"/>
        </w:rPr>
        <w:t>)</w:t>
      </w:r>
      <w:r w:rsidR="00605373" w:rsidRPr="00605373">
        <w:t xml:space="preserve"> </w:t>
      </w:r>
    </w:p>
    <w:p w14:paraId="68F4B38F" w14:textId="255D86BF" w:rsidR="00B4779A" w:rsidRPr="00997273" w:rsidRDefault="00B4779A" w:rsidP="00B4779A">
      <w:pPr>
        <w:autoSpaceDE w:val="0"/>
        <w:autoSpaceDN w:val="0"/>
        <w:adjustRightInd w:val="0"/>
        <w:rPr>
          <w:rFonts w:cs="Times New Roman"/>
          <w:sz w:val="22"/>
          <w:szCs w:val="22"/>
          <w:lang w:val="lt-LT" w:eastAsia="en-US"/>
        </w:rPr>
      </w:pPr>
      <w:r w:rsidRPr="00997273">
        <w:rPr>
          <w:rFonts w:cs="Times New Roman"/>
          <w:sz w:val="22"/>
          <w:szCs w:val="22"/>
          <w:lang w:val="lt-LT" w:eastAsia="en-US"/>
        </w:rPr>
        <w:t>Kalcio-vandenilio fosfatas</w:t>
      </w:r>
    </w:p>
    <w:p w14:paraId="1562092B" w14:textId="6F60CB50" w:rsidR="00783193" w:rsidRPr="00997273" w:rsidRDefault="00783193" w:rsidP="00783193">
      <w:pPr>
        <w:autoSpaceDE w:val="0"/>
        <w:autoSpaceDN w:val="0"/>
        <w:adjustRightInd w:val="0"/>
        <w:rPr>
          <w:rFonts w:cs="Times New Roman"/>
          <w:sz w:val="22"/>
          <w:szCs w:val="22"/>
          <w:lang w:val="lt-LT" w:eastAsia="en-US"/>
        </w:rPr>
      </w:pPr>
      <w:proofErr w:type="spellStart"/>
      <w:r w:rsidRPr="00997273">
        <w:rPr>
          <w:rFonts w:cs="Times New Roman"/>
          <w:sz w:val="22"/>
          <w:szCs w:val="22"/>
          <w:lang w:val="lt-LT" w:eastAsia="en-US"/>
        </w:rPr>
        <w:t>Kros</w:t>
      </w:r>
      <w:r w:rsidR="00B4779A">
        <w:rPr>
          <w:rFonts w:cs="Times New Roman"/>
          <w:sz w:val="22"/>
          <w:szCs w:val="22"/>
          <w:lang w:val="lt-LT" w:eastAsia="en-US"/>
        </w:rPr>
        <w:t>povidonas</w:t>
      </w:r>
      <w:proofErr w:type="spellEnd"/>
      <w:r w:rsidR="00B4779A">
        <w:rPr>
          <w:rFonts w:cs="Times New Roman"/>
          <w:sz w:val="22"/>
          <w:szCs w:val="22"/>
          <w:lang w:val="lt-LT" w:eastAsia="en-US"/>
        </w:rPr>
        <w:t xml:space="preserve"> B tipo</w:t>
      </w:r>
    </w:p>
    <w:p w14:paraId="6D066201" w14:textId="0DF18043" w:rsidR="00783193" w:rsidRPr="00997273" w:rsidRDefault="00783193" w:rsidP="00783193">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Magnio </w:t>
      </w:r>
      <w:proofErr w:type="spellStart"/>
      <w:r w:rsidRPr="00997273">
        <w:rPr>
          <w:rFonts w:cs="Times New Roman"/>
          <w:sz w:val="22"/>
          <w:szCs w:val="22"/>
          <w:lang w:val="lt-LT" w:eastAsia="en-US"/>
        </w:rPr>
        <w:t>stearatas</w:t>
      </w:r>
      <w:proofErr w:type="spellEnd"/>
      <w:r w:rsidR="00B4779A">
        <w:rPr>
          <w:rFonts w:cs="Times New Roman"/>
          <w:sz w:val="22"/>
          <w:szCs w:val="22"/>
          <w:lang w:val="lt-LT" w:eastAsia="en-US"/>
        </w:rPr>
        <w:t xml:space="preserve"> augalinės kilmės</w:t>
      </w:r>
    </w:p>
    <w:p w14:paraId="377C459B" w14:textId="77777777" w:rsidR="00242C7A" w:rsidRPr="00242C7A" w:rsidRDefault="00242C7A" w:rsidP="00242C7A">
      <w:pPr>
        <w:widowControl w:val="0"/>
        <w:rPr>
          <w:rFonts w:eastAsia="TimesNewRoman" w:cs="Times New Roman"/>
          <w:sz w:val="22"/>
          <w:szCs w:val="22"/>
          <w:lang w:val="lt-LT" w:eastAsia="en-US"/>
        </w:rPr>
      </w:pPr>
      <w:r w:rsidRPr="00242C7A">
        <w:rPr>
          <w:rFonts w:eastAsia="TimesNewRoman" w:cs="Times New Roman"/>
          <w:sz w:val="22"/>
          <w:szCs w:val="22"/>
          <w:lang w:val="lt-LT" w:eastAsia="en-US"/>
        </w:rPr>
        <w:t xml:space="preserve">Natrio </w:t>
      </w:r>
      <w:proofErr w:type="spellStart"/>
      <w:r w:rsidRPr="00242C7A">
        <w:rPr>
          <w:rFonts w:eastAsia="TimesNewRoman" w:cs="Times New Roman"/>
          <w:sz w:val="22"/>
          <w:szCs w:val="22"/>
          <w:lang w:val="lt-LT" w:eastAsia="en-US"/>
        </w:rPr>
        <w:t>stearilfumaratas</w:t>
      </w:r>
      <w:proofErr w:type="spellEnd"/>
    </w:p>
    <w:p w14:paraId="28EAA0B9" w14:textId="77777777" w:rsidR="00D268BB" w:rsidRPr="00997273" w:rsidRDefault="00D268BB" w:rsidP="00783193">
      <w:pPr>
        <w:autoSpaceDE w:val="0"/>
        <w:autoSpaceDN w:val="0"/>
        <w:adjustRightInd w:val="0"/>
        <w:rPr>
          <w:rFonts w:cs="Times New Roman"/>
          <w:sz w:val="22"/>
          <w:szCs w:val="22"/>
          <w:lang w:val="lt-LT" w:eastAsia="en-US"/>
        </w:rPr>
      </w:pPr>
    </w:p>
    <w:p w14:paraId="4C24A350" w14:textId="77777777" w:rsidR="00783193" w:rsidRPr="00997273" w:rsidRDefault="00386434" w:rsidP="00783193">
      <w:pPr>
        <w:autoSpaceDE w:val="0"/>
        <w:autoSpaceDN w:val="0"/>
        <w:adjustRightInd w:val="0"/>
        <w:rPr>
          <w:rFonts w:cs="Times New Roman"/>
          <w:sz w:val="22"/>
          <w:szCs w:val="22"/>
          <w:u w:val="single"/>
          <w:lang w:val="lt-LT" w:eastAsia="en-US"/>
        </w:rPr>
      </w:pPr>
      <w:r w:rsidRPr="00997273">
        <w:rPr>
          <w:rFonts w:cs="Times New Roman"/>
          <w:sz w:val="22"/>
          <w:szCs w:val="22"/>
          <w:u w:val="single"/>
          <w:lang w:val="lt-LT" w:eastAsia="en-US"/>
        </w:rPr>
        <w:t>Tabletės p</w:t>
      </w:r>
      <w:r w:rsidR="00783193" w:rsidRPr="00997273">
        <w:rPr>
          <w:rFonts w:cs="Times New Roman"/>
          <w:sz w:val="22"/>
          <w:szCs w:val="22"/>
          <w:u w:val="single"/>
          <w:lang w:val="lt-LT" w:eastAsia="en-US"/>
        </w:rPr>
        <w:t>lėvelė</w:t>
      </w:r>
    </w:p>
    <w:p w14:paraId="1C3464F3" w14:textId="0AF7D818" w:rsidR="00F55182" w:rsidRDefault="00B4779A" w:rsidP="00783193">
      <w:pPr>
        <w:autoSpaceDE w:val="0"/>
        <w:autoSpaceDN w:val="0"/>
        <w:adjustRightInd w:val="0"/>
        <w:rPr>
          <w:rFonts w:cs="Times New Roman"/>
          <w:sz w:val="22"/>
          <w:szCs w:val="22"/>
          <w:lang w:val="lt-LT" w:eastAsia="en-US"/>
        </w:rPr>
      </w:pPr>
      <w:r>
        <w:rPr>
          <w:rFonts w:cs="Times New Roman"/>
          <w:sz w:val="22"/>
          <w:szCs w:val="22"/>
          <w:lang w:val="lt-LT" w:eastAsia="en-US"/>
        </w:rPr>
        <w:t>Polivinilo alkoholis</w:t>
      </w:r>
      <w:r w:rsidR="00F55182">
        <w:rPr>
          <w:rFonts w:cs="Times New Roman"/>
          <w:sz w:val="22"/>
          <w:szCs w:val="22"/>
          <w:lang w:val="lt-LT" w:eastAsia="en-US"/>
        </w:rPr>
        <w:t xml:space="preserve"> (E</w:t>
      </w:r>
      <w:r>
        <w:rPr>
          <w:rFonts w:cs="Times New Roman"/>
          <w:sz w:val="22"/>
          <w:szCs w:val="22"/>
          <w:lang w:val="lt-LT" w:eastAsia="en-US"/>
        </w:rPr>
        <w:t>1203</w:t>
      </w:r>
      <w:r w:rsidR="00F55182">
        <w:rPr>
          <w:rFonts w:cs="Times New Roman"/>
          <w:sz w:val="22"/>
          <w:szCs w:val="22"/>
          <w:lang w:val="lt-LT" w:eastAsia="en-US"/>
        </w:rPr>
        <w:t>)</w:t>
      </w:r>
    </w:p>
    <w:p w14:paraId="13062042" w14:textId="6129C6E4" w:rsidR="00783193" w:rsidRPr="00997273" w:rsidRDefault="00783193" w:rsidP="00783193">
      <w:pPr>
        <w:autoSpaceDE w:val="0"/>
        <w:autoSpaceDN w:val="0"/>
        <w:adjustRightInd w:val="0"/>
        <w:rPr>
          <w:rFonts w:cs="Times New Roman"/>
          <w:sz w:val="22"/>
          <w:szCs w:val="22"/>
          <w:lang w:val="lt-LT" w:eastAsia="en-US"/>
        </w:rPr>
      </w:pPr>
      <w:proofErr w:type="spellStart"/>
      <w:r w:rsidRPr="00997273">
        <w:rPr>
          <w:rFonts w:cs="Times New Roman"/>
          <w:sz w:val="22"/>
          <w:szCs w:val="22"/>
          <w:lang w:val="lt-LT" w:eastAsia="en-US"/>
        </w:rPr>
        <w:t>Makrogolis</w:t>
      </w:r>
      <w:proofErr w:type="spellEnd"/>
      <w:r w:rsidRPr="00997273">
        <w:rPr>
          <w:rFonts w:cs="Times New Roman"/>
          <w:sz w:val="22"/>
          <w:szCs w:val="22"/>
          <w:lang w:val="lt-LT" w:eastAsia="en-US"/>
        </w:rPr>
        <w:t xml:space="preserve"> </w:t>
      </w:r>
      <w:r w:rsidR="00FB4CAA">
        <w:rPr>
          <w:rFonts w:cs="Times New Roman"/>
          <w:sz w:val="22"/>
          <w:szCs w:val="22"/>
          <w:lang w:val="lt-LT" w:eastAsia="en-US"/>
        </w:rPr>
        <w:t>(</w:t>
      </w:r>
      <w:r w:rsidR="00811659">
        <w:rPr>
          <w:rFonts w:cs="Times New Roman"/>
          <w:sz w:val="22"/>
          <w:szCs w:val="22"/>
          <w:lang w:val="lt-LT" w:eastAsia="en-US"/>
        </w:rPr>
        <w:t>E1521)</w:t>
      </w:r>
    </w:p>
    <w:p w14:paraId="33CC37E8" w14:textId="1ABFFF2F" w:rsidR="00B4779A" w:rsidRPr="00997273" w:rsidRDefault="00B4779A" w:rsidP="00B4779A">
      <w:pPr>
        <w:autoSpaceDE w:val="0"/>
        <w:autoSpaceDN w:val="0"/>
        <w:adjustRightInd w:val="0"/>
        <w:rPr>
          <w:rFonts w:cs="Times New Roman"/>
          <w:sz w:val="22"/>
          <w:szCs w:val="22"/>
          <w:lang w:val="lt-LT" w:eastAsia="en-US"/>
        </w:rPr>
      </w:pPr>
      <w:r>
        <w:rPr>
          <w:rFonts w:cs="Times New Roman"/>
          <w:sz w:val="22"/>
          <w:szCs w:val="22"/>
          <w:lang w:val="lt-LT" w:eastAsia="en-US"/>
        </w:rPr>
        <w:t>T</w:t>
      </w:r>
      <w:r w:rsidRPr="00997273">
        <w:rPr>
          <w:rFonts w:cs="Times New Roman"/>
          <w:sz w:val="22"/>
          <w:szCs w:val="22"/>
          <w:lang w:val="lt-LT" w:eastAsia="en-US"/>
        </w:rPr>
        <w:t>alkas</w:t>
      </w:r>
      <w:r>
        <w:rPr>
          <w:rFonts w:cs="Times New Roman"/>
          <w:sz w:val="22"/>
          <w:szCs w:val="22"/>
          <w:lang w:val="lt-LT" w:eastAsia="en-US"/>
        </w:rPr>
        <w:t xml:space="preserve"> (E553b)</w:t>
      </w:r>
    </w:p>
    <w:p w14:paraId="6D105040" w14:textId="52AD6632" w:rsidR="00D268BB" w:rsidRPr="00997273" w:rsidRDefault="00D268BB" w:rsidP="00D268BB">
      <w:pPr>
        <w:autoSpaceDE w:val="0"/>
        <w:autoSpaceDN w:val="0"/>
        <w:adjustRightInd w:val="0"/>
        <w:rPr>
          <w:rFonts w:cs="Times New Roman"/>
          <w:sz w:val="22"/>
          <w:szCs w:val="22"/>
          <w:lang w:val="lt-LT" w:eastAsia="en-US"/>
        </w:rPr>
      </w:pPr>
      <w:r w:rsidRPr="00997273">
        <w:rPr>
          <w:rFonts w:cs="Times New Roman"/>
          <w:sz w:val="22"/>
          <w:szCs w:val="22"/>
          <w:lang w:val="lt-LT" w:eastAsia="en-US"/>
        </w:rPr>
        <w:t>Titano dioksidas (E171)</w:t>
      </w:r>
    </w:p>
    <w:p w14:paraId="4EAE96ED" w14:textId="613667E0" w:rsidR="00B4779A" w:rsidRPr="00997273" w:rsidRDefault="00B4779A" w:rsidP="00B4779A">
      <w:pPr>
        <w:autoSpaceDE w:val="0"/>
        <w:autoSpaceDN w:val="0"/>
        <w:adjustRightInd w:val="0"/>
        <w:rPr>
          <w:rFonts w:cs="Times New Roman"/>
          <w:sz w:val="22"/>
          <w:szCs w:val="22"/>
          <w:lang w:val="lt-LT" w:eastAsia="en-US"/>
        </w:rPr>
      </w:pPr>
      <w:r w:rsidRPr="00997273">
        <w:rPr>
          <w:rFonts w:cs="Times New Roman"/>
          <w:sz w:val="22"/>
          <w:szCs w:val="22"/>
          <w:lang w:val="lt-LT" w:eastAsia="en-US"/>
        </w:rPr>
        <w:t>Raudonasis geležies oksidas (E172)</w:t>
      </w:r>
    </w:p>
    <w:p w14:paraId="2917A4D7" w14:textId="7F3BE2CC" w:rsidR="00D268BB" w:rsidRPr="00997273" w:rsidRDefault="00D268BB" w:rsidP="00D268BB">
      <w:pPr>
        <w:tabs>
          <w:tab w:val="left" w:pos="567"/>
        </w:tabs>
        <w:rPr>
          <w:rFonts w:cs="Times New Roman"/>
          <w:sz w:val="22"/>
          <w:szCs w:val="22"/>
          <w:lang w:val="lt-LT" w:eastAsia="en-US"/>
        </w:rPr>
      </w:pPr>
      <w:r w:rsidRPr="00997273">
        <w:rPr>
          <w:rFonts w:cs="Times New Roman"/>
          <w:sz w:val="22"/>
          <w:szCs w:val="22"/>
          <w:lang w:val="lt-LT" w:eastAsia="en-US"/>
        </w:rPr>
        <w:t>Geltonasis geležies oksidas (E172)</w:t>
      </w:r>
    </w:p>
    <w:p w14:paraId="710C5E60" w14:textId="77777777" w:rsidR="00D268BB" w:rsidRPr="00997273" w:rsidRDefault="00D268BB" w:rsidP="00783193">
      <w:pPr>
        <w:tabs>
          <w:tab w:val="left" w:pos="567"/>
        </w:tabs>
        <w:rPr>
          <w:rFonts w:eastAsia="Times New Roman" w:cs="Times New Roman"/>
          <w:noProof/>
          <w:sz w:val="22"/>
          <w:szCs w:val="22"/>
          <w:lang w:val="lt-LT" w:eastAsia="lt-LT" w:bidi="lt-LT"/>
        </w:rPr>
      </w:pPr>
    </w:p>
    <w:p w14:paraId="028D7A9F" w14:textId="77777777" w:rsidR="00612A8E" w:rsidRPr="0099727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Nesuderinamumas</w:t>
      </w:r>
    </w:p>
    <w:p w14:paraId="08A5CEE7"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5BFF1CAE" w14:textId="77777777" w:rsidR="00612A8E" w:rsidRPr="00997273" w:rsidRDefault="00783193" w:rsidP="00612A8E">
      <w:pPr>
        <w:tabs>
          <w:tab w:val="left" w:pos="567"/>
        </w:tabs>
        <w:rPr>
          <w:rFonts w:eastAsia="Times New Roman" w:cs="Times New Roman"/>
          <w:sz w:val="22"/>
          <w:szCs w:val="22"/>
          <w:lang w:val="lt-LT" w:eastAsia="lt-LT" w:bidi="lt-LT"/>
        </w:rPr>
      </w:pPr>
      <w:r w:rsidRPr="00997273">
        <w:rPr>
          <w:rFonts w:eastAsia="Times New Roman" w:cs="Times New Roman"/>
          <w:sz w:val="22"/>
          <w:szCs w:val="22"/>
          <w:lang w:val="lt-LT" w:eastAsia="lt-LT" w:bidi="lt-LT"/>
        </w:rPr>
        <w:t>Duomenys nebūtini.</w:t>
      </w:r>
    </w:p>
    <w:p w14:paraId="64FC28D9" w14:textId="77777777" w:rsidR="004325AB" w:rsidRPr="00997273" w:rsidRDefault="004325AB" w:rsidP="00612A8E">
      <w:pPr>
        <w:tabs>
          <w:tab w:val="left" w:pos="567"/>
        </w:tabs>
        <w:rPr>
          <w:rFonts w:eastAsia="Times New Roman" w:cs="Times New Roman"/>
          <w:noProof/>
          <w:sz w:val="22"/>
          <w:szCs w:val="22"/>
          <w:lang w:val="lt-LT" w:eastAsia="lt-LT" w:bidi="lt-LT"/>
        </w:rPr>
      </w:pPr>
    </w:p>
    <w:p w14:paraId="38B80218" w14:textId="77777777" w:rsidR="00612A8E" w:rsidRPr="0099727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Tinkamumo laikas</w:t>
      </w:r>
    </w:p>
    <w:p w14:paraId="063536D4"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428509E7" w14:textId="5D0E1A12" w:rsidR="00612A8E" w:rsidRPr="00997273" w:rsidRDefault="00F17522" w:rsidP="00612A8E">
      <w:pPr>
        <w:tabs>
          <w:tab w:val="left" w:pos="567"/>
        </w:tabs>
        <w:rPr>
          <w:rFonts w:eastAsia="Times New Roman" w:cs="Times New Roman"/>
          <w:noProof/>
          <w:sz w:val="22"/>
          <w:szCs w:val="22"/>
          <w:lang w:val="lt-LT" w:eastAsia="lt-LT" w:bidi="lt-LT"/>
        </w:rPr>
      </w:pPr>
      <w:r w:rsidRPr="00F17522">
        <w:rPr>
          <w:sz w:val="22"/>
          <w:lang w:val="lt-LT"/>
        </w:rPr>
        <w:t>2 metai</w:t>
      </w:r>
      <w:r w:rsidR="00D268BB" w:rsidRPr="00B05148">
        <w:rPr>
          <w:sz w:val="22"/>
          <w:lang w:val="lt-LT"/>
        </w:rPr>
        <w:t>.</w:t>
      </w:r>
    </w:p>
    <w:p w14:paraId="04D9C72D"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31BABE2C" w14:textId="77777777" w:rsidR="00612A8E" w:rsidRPr="00997273" w:rsidRDefault="00612A8E" w:rsidP="00612A8E">
      <w:pPr>
        <w:keepNext/>
        <w:numPr>
          <w:ilvl w:val="1"/>
          <w:numId w:val="25"/>
        </w:numPr>
        <w:tabs>
          <w:tab w:val="left" w:pos="567"/>
        </w:tabs>
        <w:spacing w:line="260" w:lineRule="exact"/>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Specialios laikymo sąlygos</w:t>
      </w:r>
    </w:p>
    <w:p w14:paraId="641E79FF" w14:textId="77777777" w:rsidR="00612A8E" w:rsidRPr="00997273" w:rsidRDefault="00612A8E" w:rsidP="00612A8E">
      <w:pPr>
        <w:keepNext/>
        <w:tabs>
          <w:tab w:val="left" w:pos="567"/>
        </w:tabs>
        <w:ind w:left="567" w:hanging="567"/>
        <w:outlineLvl w:val="0"/>
        <w:rPr>
          <w:rFonts w:eastAsia="Times New Roman" w:cs="Times New Roman"/>
          <w:noProof/>
          <w:sz w:val="22"/>
          <w:szCs w:val="22"/>
          <w:lang w:val="lt-LT" w:eastAsia="lt-LT" w:bidi="lt-LT"/>
        </w:rPr>
      </w:pPr>
    </w:p>
    <w:p w14:paraId="003B0794" w14:textId="35D65107" w:rsidR="00612A8E" w:rsidRPr="00997273" w:rsidRDefault="00B4779A" w:rsidP="00612A8E">
      <w:pPr>
        <w:tabs>
          <w:tab w:val="left" w:pos="567"/>
        </w:tabs>
        <w:rPr>
          <w:rFonts w:eastAsia="Times New Roman" w:cs="Times New Roman"/>
          <w:noProof/>
          <w:sz w:val="22"/>
          <w:szCs w:val="22"/>
          <w:lang w:val="lt-LT" w:eastAsia="lt-LT" w:bidi="lt-LT"/>
        </w:rPr>
      </w:pPr>
      <w:r>
        <w:rPr>
          <w:rFonts w:cs="Times New Roman"/>
          <w:sz w:val="22"/>
          <w:szCs w:val="22"/>
          <w:lang w:val="lt-LT" w:eastAsia="en-US"/>
        </w:rPr>
        <w:t xml:space="preserve">Laikyti ne aukštesnėje kaip </w:t>
      </w:r>
      <w:r w:rsidRPr="00B4779A">
        <w:rPr>
          <w:rFonts w:cs="Times New Roman"/>
          <w:sz w:val="22"/>
          <w:szCs w:val="22"/>
          <w:lang w:val="lt-LT" w:eastAsia="en-US"/>
        </w:rPr>
        <w:t>30</w:t>
      </w:r>
      <w:r>
        <w:rPr>
          <w:rFonts w:cs="Times New Roman"/>
          <w:sz w:val="22"/>
          <w:szCs w:val="22"/>
          <w:lang w:val="lt-LT" w:eastAsia="en-US"/>
        </w:rPr>
        <w:t> </w:t>
      </w:r>
      <w:r w:rsidRPr="00B84715">
        <w:t>°</w:t>
      </w:r>
      <w:r>
        <w:rPr>
          <w:rFonts w:cs="Times New Roman"/>
          <w:sz w:val="22"/>
          <w:szCs w:val="22"/>
          <w:lang w:val="lt-LT" w:eastAsia="en-US"/>
        </w:rPr>
        <w:t>C</w:t>
      </w:r>
      <w:r w:rsidRPr="00B4779A">
        <w:rPr>
          <w:rFonts w:cs="Times New Roman"/>
          <w:sz w:val="22"/>
          <w:szCs w:val="22"/>
          <w:lang w:val="lt-LT" w:eastAsia="en-US"/>
        </w:rPr>
        <w:t xml:space="preserve"> temperatūroje</w:t>
      </w:r>
      <w:r w:rsidR="00783193" w:rsidRPr="00997273">
        <w:rPr>
          <w:rFonts w:cs="Times New Roman"/>
          <w:sz w:val="22"/>
          <w:szCs w:val="22"/>
          <w:lang w:val="lt-LT" w:eastAsia="en-US"/>
        </w:rPr>
        <w:t>.</w:t>
      </w:r>
    </w:p>
    <w:p w14:paraId="739E675E" w14:textId="77777777" w:rsidR="00783193" w:rsidRPr="009366B0" w:rsidRDefault="00783193" w:rsidP="009366B0">
      <w:pPr>
        <w:rPr>
          <w:noProof/>
          <w:sz w:val="22"/>
          <w:szCs w:val="22"/>
          <w:lang w:val="lt-LT" w:eastAsia="lt-LT" w:bidi="lt-LT"/>
        </w:rPr>
      </w:pPr>
    </w:p>
    <w:p w14:paraId="1EF0809B" w14:textId="442FD2E0" w:rsidR="00612A8E" w:rsidRPr="009366B0" w:rsidRDefault="009366B0" w:rsidP="009366B0">
      <w:pPr>
        <w:ind w:left="567" w:hanging="567"/>
        <w:rPr>
          <w:b/>
          <w:bCs/>
          <w:noProof/>
          <w:sz w:val="22"/>
          <w:szCs w:val="22"/>
          <w:lang w:val="lt-LT" w:eastAsia="lt-LT" w:bidi="lt-LT"/>
        </w:rPr>
      </w:pPr>
      <w:r w:rsidRPr="009366B0">
        <w:rPr>
          <w:b/>
          <w:bCs/>
          <w:noProof/>
          <w:sz w:val="22"/>
          <w:szCs w:val="22"/>
          <w:lang w:val="lt-LT" w:eastAsia="lt-LT" w:bidi="lt-LT"/>
        </w:rPr>
        <w:t>6.4</w:t>
      </w:r>
      <w:r w:rsidRPr="009366B0">
        <w:rPr>
          <w:b/>
          <w:bCs/>
          <w:noProof/>
          <w:sz w:val="22"/>
          <w:szCs w:val="22"/>
          <w:lang w:val="lt-LT" w:eastAsia="lt-LT" w:bidi="lt-LT"/>
        </w:rPr>
        <w:tab/>
      </w:r>
      <w:r w:rsidR="00612A8E" w:rsidRPr="009366B0">
        <w:rPr>
          <w:b/>
          <w:bCs/>
          <w:noProof/>
          <w:sz w:val="22"/>
          <w:szCs w:val="22"/>
          <w:lang w:val="lt-LT" w:eastAsia="lt-LT" w:bidi="lt-LT"/>
        </w:rPr>
        <w:t xml:space="preserve">Talpyklės pobūdis ir jos turinys </w:t>
      </w:r>
    </w:p>
    <w:p w14:paraId="0B827AFA" w14:textId="77777777" w:rsidR="004325AB" w:rsidRPr="009366B0" w:rsidRDefault="004325AB" w:rsidP="009366B0">
      <w:pPr>
        <w:rPr>
          <w:noProof/>
          <w:sz w:val="22"/>
          <w:szCs w:val="22"/>
          <w:lang w:val="lt-LT" w:eastAsia="lt-LT" w:bidi="lt-LT"/>
        </w:rPr>
      </w:pPr>
    </w:p>
    <w:p w14:paraId="6A7920DC" w14:textId="3778B7ED" w:rsidR="00F73BC1" w:rsidRPr="00A039D8" w:rsidRDefault="00B4779A" w:rsidP="00FA4290">
      <w:pPr>
        <w:autoSpaceDE w:val="0"/>
        <w:autoSpaceDN w:val="0"/>
        <w:adjustRightInd w:val="0"/>
        <w:rPr>
          <w:rFonts w:eastAsia="TimesNewRoman" w:cs="Times New Roman"/>
          <w:sz w:val="22"/>
          <w:szCs w:val="22"/>
          <w:lang w:val="lt-LT" w:eastAsia="en-US"/>
        </w:rPr>
      </w:pPr>
      <w:r>
        <w:rPr>
          <w:rFonts w:eastAsia="TimesNewRoman" w:cs="Times New Roman"/>
          <w:sz w:val="22"/>
          <w:szCs w:val="22"/>
          <w:lang w:val="lt-LT" w:eastAsia="en-US"/>
        </w:rPr>
        <w:lastRenderedPageBreak/>
        <w:t xml:space="preserve">Plėvele dengtos 25 mg, 50 mg ir 100 mg </w:t>
      </w:r>
      <w:proofErr w:type="spellStart"/>
      <w:r>
        <w:rPr>
          <w:rFonts w:eastAsia="TimesNewRoman" w:cs="Times New Roman"/>
          <w:sz w:val="22"/>
          <w:szCs w:val="22"/>
          <w:lang w:val="lt-LT" w:eastAsia="en-US"/>
        </w:rPr>
        <w:t>sitagliptino</w:t>
      </w:r>
      <w:proofErr w:type="spellEnd"/>
      <w:r>
        <w:rPr>
          <w:rFonts w:eastAsia="TimesNewRoman" w:cs="Times New Roman"/>
          <w:sz w:val="22"/>
          <w:szCs w:val="22"/>
          <w:lang w:val="lt-LT" w:eastAsia="en-US"/>
        </w:rPr>
        <w:t xml:space="preserve"> tabletės supakuotos į </w:t>
      </w:r>
      <w:r w:rsidR="002355D4" w:rsidRPr="00A039D8">
        <w:rPr>
          <w:rFonts w:eastAsia="TimesNewRoman" w:cs="Times New Roman"/>
          <w:sz w:val="22"/>
          <w:szCs w:val="22"/>
          <w:lang w:val="lt-LT" w:eastAsia="en-US"/>
        </w:rPr>
        <w:t>Al/PVC/</w:t>
      </w:r>
      <w:r>
        <w:rPr>
          <w:rFonts w:eastAsia="TimesNewRoman" w:cs="Times New Roman"/>
          <w:sz w:val="22"/>
          <w:szCs w:val="22"/>
          <w:lang w:val="lt-LT" w:eastAsia="en-US"/>
        </w:rPr>
        <w:t>PE</w:t>
      </w:r>
      <w:r w:rsidR="002355D4" w:rsidRPr="00A039D8">
        <w:rPr>
          <w:rFonts w:eastAsia="TimesNewRoman" w:cs="Times New Roman"/>
          <w:sz w:val="22"/>
          <w:szCs w:val="22"/>
          <w:lang w:val="lt-LT" w:eastAsia="en-US"/>
        </w:rPr>
        <w:t>/</w:t>
      </w:r>
      <w:r>
        <w:rPr>
          <w:rFonts w:eastAsia="TimesNewRoman" w:cs="Times New Roman"/>
          <w:sz w:val="22"/>
          <w:szCs w:val="22"/>
          <w:lang w:val="lt-LT" w:eastAsia="en-US"/>
        </w:rPr>
        <w:t>PVDC</w:t>
      </w:r>
      <w:r w:rsidR="002355D4" w:rsidRPr="00A039D8">
        <w:rPr>
          <w:rFonts w:eastAsia="TimesNewRoman" w:cs="Times New Roman"/>
          <w:sz w:val="22"/>
          <w:szCs w:val="22"/>
          <w:lang w:val="lt-LT" w:eastAsia="en-US"/>
        </w:rPr>
        <w:t xml:space="preserve"> lizdin</w:t>
      </w:r>
      <w:r>
        <w:rPr>
          <w:rFonts w:eastAsia="TimesNewRoman" w:cs="Times New Roman"/>
          <w:sz w:val="22"/>
          <w:szCs w:val="22"/>
          <w:lang w:val="lt-LT" w:eastAsia="en-US"/>
        </w:rPr>
        <w:t>e</w:t>
      </w:r>
      <w:r w:rsidR="002355D4" w:rsidRPr="00A039D8">
        <w:rPr>
          <w:rFonts w:eastAsia="TimesNewRoman" w:cs="Times New Roman"/>
          <w:sz w:val="22"/>
          <w:szCs w:val="22"/>
          <w:lang w:val="lt-LT" w:eastAsia="en-US"/>
        </w:rPr>
        <w:t>s plokštel</w:t>
      </w:r>
      <w:r>
        <w:rPr>
          <w:rFonts w:eastAsia="TimesNewRoman" w:cs="Times New Roman"/>
          <w:sz w:val="22"/>
          <w:szCs w:val="22"/>
          <w:lang w:val="lt-LT" w:eastAsia="en-US"/>
        </w:rPr>
        <w:t>e</w:t>
      </w:r>
      <w:r w:rsidR="002355D4" w:rsidRPr="00A039D8">
        <w:rPr>
          <w:rFonts w:eastAsia="TimesNewRoman" w:cs="Times New Roman"/>
          <w:sz w:val="22"/>
          <w:szCs w:val="22"/>
          <w:lang w:val="lt-LT" w:eastAsia="en-US"/>
        </w:rPr>
        <w:t>s</w:t>
      </w:r>
      <w:r w:rsidR="00F73BC1" w:rsidRPr="00A039D8">
        <w:rPr>
          <w:rFonts w:eastAsia="TimesNewRoman" w:cs="Times New Roman"/>
          <w:sz w:val="22"/>
          <w:szCs w:val="22"/>
          <w:lang w:val="lt-LT" w:eastAsia="en-US"/>
        </w:rPr>
        <w:t>.</w:t>
      </w:r>
      <w:r>
        <w:rPr>
          <w:rFonts w:eastAsia="TimesNewRoman" w:cs="Times New Roman"/>
          <w:sz w:val="22"/>
          <w:szCs w:val="22"/>
          <w:lang w:val="lt-LT" w:eastAsia="en-US"/>
        </w:rPr>
        <w:t xml:space="preserve"> Pakuotėse yra po 14, 28, 30, 56, 84, 90 </w:t>
      </w:r>
      <w:r w:rsidR="00BB40BE">
        <w:rPr>
          <w:rFonts w:eastAsia="TimesNewRoman" w:cs="Times New Roman"/>
          <w:sz w:val="22"/>
          <w:szCs w:val="22"/>
          <w:lang w:val="lt-LT" w:eastAsia="en-US"/>
        </w:rPr>
        <w:t>arba</w:t>
      </w:r>
      <w:r>
        <w:rPr>
          <w:rFonts w:eastAsia="TimesNewRoman" w:cs="Times New Roman"/>
          <w:sz w:val="22"/>
          <w:szCs w:val="22"/>
          <w:lang w:val="lt-LT" w:eastAsia="en-US"/>
        </w:rPr>
        <w:t xml:space="preserve"> 98 plėvele dengtas tabletes.</w:t>
      </w:r>
    </w:p>
    <w:p w14:paraId="056E2001" w14:textId="77777777" w:rsidR="00F237A6" w:rsidRPr="00817AB1" w:rsidRDefault="00F237A6" w:rsidP="00783193">
      <w:pPr>
        <w:tabs>
          <w:tab w:val="left" w:pos="567"/>
        </w:tabs>
        <w:rPr>
          <w:sz w:val="22"/>
        </w:rPr>
      </w:pPr>
    </w:p>
    <w:p w14:paraId="042FDFBE" w14:textId="77777777" w:rsidR="00612A8E" w:rsidRPr="00997273" w:rsidRDefault="00612A8E" w:rsidP="00783193">
      <w:pPr>
        <w:tabs>
          <w:tab w:val="left" w:pos="567"/>
        </w:tabs>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Gali būti tiekiamos ne visų dydžių pakuotės</w:t>
      </w:r>
      <w:r w:rsidR="00D268BB" w:rsidRPr="00997273">
        <w:rPr>
          <w:rFonts w:eastAsia="Times New Roman" w:cs="Times New Roman"/>
          <w:sz w:val="22"/>
          <w:szCs w:val="22"/>
          <w:lang w:val="lt-LT" w:eastAsia="lt-LT" w:bidi="lt-LT"/>
        </w:rPr>
        <w:t>.</w:t>
      </w:r>
    </w:p>
    <w:p w14:paraId="3BA7339F"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18742C10" w14:textId="33FE8590" w:rsidR="00612A8E" w:rsidRPr="0099727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bookmarkStart w:id="1" w:name="OLE_LINK1"/>
      <w:r w:rsidRPr="00997273">
        <w:rPr>
          <w:rFonts w:eastAsia="Times New Roman" w:cs="Times New Roman"/>
          <w:b/>
          <w:noProof/>
          <w:sz w:val="22"/>
          <w:szCs w:val="22"/>
          <w:lang w:val="lt-LT" w:eastAsia="lt-LT" w:bidi="lt-LT"/>
        </w:rPr>
        <w:t xml:space="preserve">Specialūs reikalavimai atliekoms tvarkyti </w:t>
      </w:r>
      <w:r w:rsidR="00063B26">
        <w:rPr>
          <w:rFonts w:eastAsia="Times New Roman" w:cs="Times New Roman"/>
          <w:b/>
          <w:noProof/>
          <w:sz w:val="22"/>
          <w:szCs w:val="22"/>
          <w:lang w:val="lt-LT" w:eastAsia="lt-LT" w:bidi="lt-LT"/>
        </w:rPr>
        <w:t>ir vaistiniam preparatui ruošti</w:t>
      </w:r>
    </w:p>
    <w:p w14:paraId="3BCB185C"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79726440" w14:textId="77777777" w:rsidR="00612A8E" w:rsidRPr="00997273" w:rsidRDefault="00612A8E" w:rsidP="00612A8E">
      <w:pPr>
        <w:tabs>
          <w:tab w:val="left" w:pos="567"/>
        </w:tabs>
        <w:rPr>
          <w:rFonts w:eastAsia="Times New Roman" w:cs="Times New Roman"/>
          <w:sz w:val="22"/>
          <w:szCs w:val="22"/>
          <w:lang w:val="lt-LT" w:eastAsia="lt-LT" w:bidi="lt-LT"/>
        </w:rPr>
      </w:pPr>
      <w:r w:rsidRPr="00997273">
        <w:rPr>
          <w:rFonts w:eastAsia="Times New Roman" w:cs="Times New Roman"/>
          <w:sz w:val="22"/>
          <w:szCs w:val="22"/>
          <w:lang w:val="lt-LT" w:eastAsia="lt-LT" w:bidi="lt-LT"/>
        </w:rPr>
        <w:t>Nesuvartotą vaistinį preparatą ar atliekas reikia tvarkyti l</w:t>
      </w:r>
      <w:r w:rsidR="00D268BB" w:rsidRPr="00997273">
        <w:rPr>
          <w:rFonts w:eastAsia="Times New Roman" w:cs="Times New Roman"/>
          <w:sz w:val="22"/>
          <w:szCs w:val="22"/>
          <w:lang w:val="lt-LT" w:eastAsia="lt-LT" w:bidi="lt-LT"/>
        </w:rPr>
        <w:t>aikantis vietinių reikalavimų.</w:t>
      </w:r>
    </w:p>
    <w:bookmarkEnd w:id="1"/>
    <w:p w14:paraId="347CDB7E" w14:textId="77777777" w:rsidR="00612A8E" w:rsidRPr="00997273" w:rsidRDefault="00612A8E" w:rsidP="00612A8E">
      <w:pPr>
        <w:tabs>
          <w:tab w:val="left" w:pos="567"/>
        </w:tabs>
        <w:rPr>
          <w:rFonts w:eastAsia="Times New Roman" w:cs="Times New Roman"/>
          <w:sz w:val="22"/>
          <w:szCs w:val="22"/>
          <w:lang w:val="lt-LT" w:eastAsia="lt-LT" w:bidi="lt-LT"/>
        </w:rPr>
      </w:pPr>
    </w:p>
    <w:p w14:paraId="34FD4E5C"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74B3F43D" w14:textId="77777777" w:rsidR="00612A8E" w:rsidRPr="00997273" w:rsidRDefault="00612A8E" w:rsidP="00612A8E">
      <w:pPr>
        <w:keepNext/>
        <w:numPr>
          <w:ilvl w:val="0"/>
          <w:numId w:val="25"/>
        </w:numPr>
        <w:tabs>
          <w:tab w:val="left" w:pos="567"/>
        </w:tabs>
        <w:spacing w:line="260" w:lineRule="exact"/>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REGISTRUOTOJAS</w:t>
      </w:r>
    </w:p>
    <w:p w14:paraId="5CBA5F11" w14:textId="77777777" w:rsidR="00D07264" w:rsidRPr="00C65653" w:rsidRDefault="00D07264" w:rsidP="00D07264">
      <w:pPr>
        <w:rPr>
          <w:noProof/>
          <w:lang w:val="lt-LT" w:eastAsia="lt-LT" w:bidi="lt-LT"/>
        </w:rPr>
      </w:pPr>
    </w:p>
    <w:p w14:paraId="57706AE3" w14:textId="77777777" w:rsidR="002024B4" w:rsidRPr="002024B4" w:rsidRDefault="002024B4" w:rsidP="002024B4">
      <w:pPr>
        <w:tabs>
          <w:tab w:val="left" w:pos="567"/>
        </w:tabs>
        <w:rPr>
          <w:rFonts w:eastAsia="Times New Roman" w:cs="Times New Roman"/>
          <w:noProof/>
          <w:sz w:val="22"/>
          <w:szCs w:val="22"/>
          <w:lang w:val="lt-LT" w:eastAsia="lt-LT" w:bidi="lt-LT"/>
        </w:rPr>
      </w:pPr>
      <w:r w:rsidRPr="002024B4">
        <w:rPr>
          <w:rFonts w:eastAsia="Times New Roman" w:cs="Times New Roman"/>
          <w:noProof/>
          <w:sz w:val="22"/>
          <w:szCs w:val="22"/>
          <w:lang w:val="lt-LT" w:eastAsia="lt-LT" w:bidi="lt-LT"/>
        </w:rPr>
        <w:t>PHARMAZAC S.A.</w:t>
      </w:r>
    </w:p>
    <w:p w14:paraId="02D5D938" w14:textId="77777777" w:rsidR="00D07264" w:rsidRDefault="00C151FC" w:rsidP="00D07264">
      <w:pPr>
        <w:tabs>
          <w:tab w:val="left" w:pos="567"/>
        </w:tabs>
        <w:rPr>
          <w:rFonts w:eastAsia="Times New Roman" w:cs="Times New Roman"/>
          <w:noProof/>
          <w:sz w:val="22"/>
          <w:szCs w:val="22"/>
          <w:lang w:val="lt-LT" w:eastAsia="lt-LT" w:bidi="lt-LT"/>
        </w:rPr>
      </w:pPr>
      <w:r w:rsidRPr="00C151FC">
        <w:rPr>
          <w:rFonts w:eastAsia="Times New Roman" w:cs="Times New Roman"/>
          <w:noProof/>
          <w:sz w:val="22"/>
          <w:szCs w:val="22"/>
          <w:lang w:val="lt-LT" w:eastAsia="lt-LT" w:bidi="lt-LT"/>
        </w:rPr>
        <w:t>Anastasiou Zaroliagki 1 and Dimitriou Lampros 6, Kerateas Industrial Park, Veniza, Lavreotiki, Keratea, Attica, 190 01</w:t>
      </w:r>
      <w:r>
        <w:rPr>
          <w:rFonts w:eastAsia="Times New Roman" w:cs="Times New Roman"/>
          <w:noProof/>
          <w:sz w:val="22"/>
          <w:szCs w:val="22"/>
          <w:lang w:val="lt-LT" w:eastAsia="lt-LT" w:bidi="lt-LT"/>
        </w:rPr>
        <w:t xml:space="preserve"> </w:t>
      </w:r>
      <w:r w:rsidR="002024B4" w:rsidRPr="002024B4">
        <w:rPr>
          <w:rFonts w:eastAsia="Times New Roman" w:cs="Times New Roman"/>
          <w:noProof/>
          <w:sz w:val="22"/>
          <w:szCs w:val="22"/>
          <w:lang w:val="lt-LT" w:eastAsia="lt-LT" w:bidi="lt-LT"/>
        </w:rPr>
        <w:t xml:space="preserve">, </w:t>
      </w:r>
      <w:r w:rsidR="002024B4">
        <w:rPr>
          <w:rFonts w:eastAsia="Times New Roman" w:cs="Times New Roman"/>
          <w:noProof/>
          <w:sz w:val="22"/>
          <w:szCs w:val="22"/>
          <w:lang w:val="lt-LT" w:eastAsia="lt-LT" w:bidi="lt-LT"/>
        </w:rPr>
        <w:t>Graikija</w:t>
      </w:r>
    </w:p>
    <w:p w14:paraId="7FF13CAD" w14:textId="77777777" w:rsidR="00D00DE9" w:rsidRPr="00997273" w:rsidRDefault="00D00DE9" w:rsidP="00612A8E">
      <w:pPr>
        <w:tabs>
          <w:tab w:val="left" w:pos="567"/>
        </w:tabs>
        <w:rPr>
          <w:rFonts w:eastAsia="Times New Roman" w:cs="Times New Roman"/>
          <w:noProof/>
          <w:sz w:val="22"/>
          <w:szCs w:val="22"/>
          <w:lang w:val="lt-LT" w:eastAsia="lt-LT" w:bidi="lt-LT"/>
        </w:rPr>
      </w:pPr>
    </w:p>
    <w:p w14:paraId="64B1B7D9"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10E6FB8B" w14:textId="77777777" w:rsidR="00612A8E" w:rsidRPr="00997273" w:rsidRDefault="00612A8E" w:rsidP="00612A8E">
      <w:pPr>
        <w:keepNext/>
        <w:numPr>
          <w:ilvl w:val="0"/>
          <w:numId w:val="25"/>
        </w:numPr>
        <w:tabs>
          <w:tab w:val="left" w:pos="567"/>
        </w:tabs>
        <w:spacing w:line="260" w:lineRule="exact"/>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 xml:space="preserve">REGISTRACIJOS PAŽYMĖJIMO NUMERIS (-IAI) </w:t>
      </w:r>
    </w:p>
    <w:p w14:paraId="01706781" w14:textId="77777777" w:rsidR="00612A8E" w:rsidRPr="00997273" w:rsidRDefault="00612A8E" w:rsidP="00612A8E">
      <w:pPr>
        <w:tabs>
          <w:tab w:val="left" w:pos="567"/>
        </w:tabs>
        <w:rPr>
          <w:rFonts w:eastAsia="Times New Roman" w:cs="Times New Roman"/>
          <w:noProof/>
          <w:sz w:val="22"/>
          <w:szCs w:val="22"/>
          <w:lang w:val="lt-LT" w:eastAsia="lt-LT" w:bidi="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263D7D" w14:paraId="203C6776" w14:textId="77777777" w:rsidTr="00263D7D">
        <w:tc>
          <w:tcPr>
            <w:tcW w:w="3020" w:type="dxa"/>
          </w:tcPr>
          <w:p w14:paraId="405758DC" w14:textId="32C51DF2" w:rsidR="00263D7D" w:rsidRDefault="00263D7D" w:rsidP="00263D7D">
            <w:pPr>
              <w:tabs>
                <w:tab w:val="left" w:pos="567"/>
              </w:tabs>
              <w:rPr>
                <w:rFonts w:eastAsia="Times New Roman" w:cs="Times New Roman"/>
                <w:noProof/>
                <w:sz w:val="22"/>
                <w:szCs w:val="22"/>
                <w:lang w:val="lt-LT" w:eastAsia="lt-LT" w:bidi="lt-LT"/>
              </w:rPr>
            </w:pPr>
            <w:r>
              <w:rPr>
                <w:rFonts w:eastAsia="Times New Roman" w:cs="Times New Roman"/>
                <w:noProof/>
                <w:sz w:val="22"/>
                <w:szCs w:val="22"/>
                <w:lang w:val="lt-LT" w:eastAsia="lt-LT" w:bidi="lt-LT"/>
              </w:rPr>
              <w:t>25 mg</w:t>
            </w:r>
          </w:p>
          <w:p w14:paraId="316A282E" w14:textId="77777777" w:rsidR="00263D7D" w:rsidRPr="00263D7D" w:rsidRDefault="00263D7D" w:rsidP="00263D7D">
            <w:pPr>
              <w:tabs>
                <w:tab w:val="left" w:pos="567"/>
              </w:tabs>
              <w:rPr>
                <w:rFonts w:eastAsia="Times New Roman" w:cs="Times New Roman"/>
                <w:noProof/>
                <w:sz w:val="22"/>
                <w:szCs w:val="22"/>
                <w:lang w:val="lt-LT" w:eastAsia="lt-LT" w:bidi="lt-LT"/>
              </w:rPr>
            </w:pPr>
            <w:r w:rsidRPr="00263D7D">
              <w:rPr>
                <w:rFonts w:eastAsia="Times New Roman" w:cs="Times New Roman"/>
                <w:noProof/>
                <w:sz w:val="22"/>
                <w:szCs w:val="22"/>
                <w:lang w:val="lt-LT" w:eastAsia="lt-LT" w:bidi="lt-LT"/>
              </w:rPr>
              <w:t>LT/1/26/5981/001 – N14</w:t>
            </w:r>
          </w:p>
          <w:p w14:paraId="5094455A" w14:textId="77777777" w:rsidR="00263D7D" w:rsidRPr="00263D7D" w:rsidRDefault="00263D7D" w:rsidP="00263D7D">
            <w:pPr>
              <w:tabs>
                <w:tab w:val="left" w:pos="567"/>
              </w:tabs>
              <w:rPr>
                <w:rFonts w:eastAsia="Times New Roman" w:cs="Times New Roman"/>
                <w:noProof/>
                <w:sz w:val="22"/>
                <w:szCs w:val="22"/>
                <w:lang w:val="lt-LT" w:eastAsia="lt-LT" w:bidi="lt-LT"/>
              </w:rPr>
            </w:pPr>
            <w:r w:rsidRPr="00263D7D">
              <w:rPr>
                <w:rFonts w:eastAsia="Times New Roman" w:cs="Times New Roman"/>
                <w:noProof/>
                <w:sz w:val="22"/>
                <w:szCs w:val="22"/>
                <w:lang w:val="lt-LT" w:eastAsia="lt-LT" w:bidi="lt-LT"/>
              </w:rPr>
              <w:t>LT/1/26/5981/002 – N28</w:t>
            </w:r>
          </w:p>
          <w:p w14:paraId="633562F6" w14:textId="77777777" w:rsidR="00263D7D" w:rsidRPr="00263D7D" w:rsidRDefault="00263D7D" w:rsidP="00263D7D">
            <w:pPr>
              <w:tabs>
                <w:tab w:val="left" w:pos="567"/>
              </w:tabs>
              <w:rPr>
                <w:rFonts w:eastAsia="Times New Roman" w:cs="Times New Roman"/>
                <w:noProof/>
                <w:sz w:val="22"/>
                <w:szCs w:val="22"/>
                <w:lang w:val="lt-LT" w:eastAsia="lt-LT" w:bidi="lt-LT"/>
              </w:rPr>
            </w:pPr>
            <w:r w:rsidRPr="00263D7D">
              <w:rPr>
                <w:rFonts w:eastAsia="Times New Roman" w:cs="Times New Roman"/>
                <w:noProof/>
                <w:sz w:val="22"/>
                <w:szCs w:val="22"/>
                <w:lang w:val="lt-LT" w:eastAsia="lt-LT" w:bidi="lt-LT"/>
              </w:rPr>
              <w:t>LT/1/26/5981/003 – N30</w:t>
            </w:r>
          </w:p>
          <w:p w14:paraId="12226C55" w14:textId="77777777" w:rsidR="00263D7D" w:rsidRPr="00263D7D" w:rsidRDefault="00263D7D" w:rsidP="00263D7D">
            <w:pPr>
              <w:tabs>
                <w:tab w:val="left" w:pos="567"/>
              </w:tabs>
              <w:rPr>
                <w:rFonts w:eastAsia="Times New Roman" w:cs="Times New Roman"/>
                <w:noProof/>
                <w:sz w:val="22"/>
                <w:szCs w:val="22"/>
                <w:lang w:val="lt-LT" w:eastAsia="lt-LT" w:bidi="lt-LT"/>
              </w:rPr>
            </w:pPr>
            <w:r w:rsidRPr="00263D7D">
              <w:rPr>
                <w:rFonts w:eastAsia="Times New Roman" w:cs="Times New Roman"/>
                <w:noProof/>
                <w:sz w:val="22"/>
                <w:szCs w:val="22"/>
                <w:lang w:val="lt-LT" w:eastAsia="lt-LT" w:bidi="lt-LT"/>
              </w:rPr>
              <w:t>LT/1/26/5981/004 – N56</w:t>
            </w:r>
          </w:p>
          <w:p w14:paraId="4DA2C11C" w14:textId="77777777" w:rsidR="00263D7D" w:rsidRPr="00263D7D" w:rsidRDefault="00263D7D" w:rsidP="00263D7D">
            <w:pPr>
              <w:tabs>
                <w:tab w:val="left" w:pos="567"/>
              </w:tabs>
              <w:rPr>
                <w:rFonts w:eastAsia="Times New Roman" w:cs="Times New Roman"/>
                <w:noProof/>
                <w:sz w:val="22"/>
                <w:szCs w:val="22"/>
                <w:lang w:val="lt-LT" w:eastAsia="lt-LT" w:bidi="lt-LT"/>
              </w:rPr>
            </w:pPr>
            <w:r w:rsidRPr="00263D7D">
              <w:rPr>
                <w:rFonts w:eastAsia="Times New Roman" w:cs="Times New Roman"/>
                <w:noProof/>
                <w:sz w:val="22"/>
                <w:szCs w:val="22"/>
                <w:lang w:val="lt-LT" w:eastAsia="lt-LT" w:bidi="lt-LT"/>
              </w:rPr>
              <w:t>LT/1/26/5981/005 – N84</w:t>
            </w:r>
          </w:p>
          <w:p w14:paraId="77D72CE7" w14:textId="77777777" w:rsidR="00263D7D" w:rsidRPr="00263D7D" w:rsidRDefault="00263D7D" w:rsidP="00263D7D">
            <w:pPr>
              <w:tabs>
                <w:tab w:val="left" w:pos="567"/>
              </w:tabs>
              <w:rPr>
                <w:rFonts w:eastAsia="Times New Roman" w:cs="Times New Roman"/>
                <w:noProof/>
                <w:sz w:val="22"/>
                <w:szCs w:val="22"/>
                <w:lang w:val="lt-LT" w:eastAsia="lt-LT" w:bidi="lt-LT"/>
              </w:rPr>
            </w:pPr>
            <w:r w:rsidRPr="00263D7D">
              <w:rPr>
                <w:rFonts w:eastAsia="Times New Roman" w:cs="Times New Roman"/>
                <w:noProof/>
                <w:sz w:val="22"/>
                <w:szCs w:val="22"/>
                <w:lang w:val="lt-LT" w:eastAsia="lt-LT" w:bidi="lt-LT"/>
              </w:rPr>
              <w:t>LT/1/26/5981/006 – N90</w:t>
            </w:r>
          </w:p>
          <w:p w14:paraId="01B49828" w14:textId="559579B1" w:rsidR="00263D7D" w:rsidRDefault="00263D7D" w:rsidP="00263D7D">
            <w:pPr>
              <w:tabs>
                <w:tab w:val="left" w:pos="567"/>
              </w:tabs>
              <w:rPr>
                <w:rFonts w:eastAsia="Times New Roman" w:cs="Times New Roman"/>
                <w:noProof/>
                <w:sz w:val="22"/>
                <w:szCs w:val="22"/>
                <w:lang w:val="lt-LT" w:eastAsia="lt-LT" w:bidi="lt-LT"/>
              </w:rPr>
            </w:pPr>
            <w:r w:rsidRPr="00263D7D">
              <w:rPr>
                <w:rFonts w:eastAsia="Times New Roman" w:cs="Times New Roman"/>
                <w:noProof/>
                <w:sz w:val="22"/>
                <w:szCs w:val="22"/>
                <w:lang w:val="lt-LT" w:eastAsia="lt-LT" w:bidi="lt-LT"/>
              </w:rPr>
              <w:t>LT/1/26/5981/007 – N98</w:t>
            </w:r>
          </w:p>
        </w:tc>
        <w:tc>
          <w:tcPr>
            <w:tcW w:w="3020" w:type="dxa"/>
          </w:tcPr>
          <w:p w14:paraId="01B2C574" w14:textId="77777777" w:rsidR="00263D7D" w:rsidRDefault="00263D7D" w:rsidP="00263D7D">
            <w:pPr>
              <w:tabs>
                <w:tab w:val="left" w:pos="567"/>
              </w:tabs>
              <w:rPr>
                <w:rFonts w:eastAsia="Times New Roman" w:cs="Times New Roman"/>
                <w:noProof/>
                <w:sz w:val="22"/>
                <w:szCs w:val="22"/>
                <w:lang w:val="lt-LT" w:eastAsia="lt-LT" w:bidi="lt-LT"/>
              </w:rPr>
            </w:pPr>
            <w:r>
              <w:rPr>
                <w:rFonts w:eastAsia="Times New Roman" w:cs="Times New Roman"/>
                <w:noProof/>
                <w:sz w:val="22"/>
                <w:szCs w:val="22"/>
                <w:lang w:val="lt-LT" w:eastAsia="lt-LT" w:bidi="lt-LT"/>
              </w:rPr>
              <w:t>50 mg</w:t>
            </w:r>
          </w:p>
          <w:p w14:paraId="1D9CC086" w14:textId="77777777" w:rsidR="00263D7D" w:rsidRPr="00263D7D" w:rsidRDefault="00263D7D" w:rsidP="00263D7D">
            <w:pPr>
              <w:tabs>
                <w:tab w:val="left" w:pos="567"/>
              </w:tabs>
              <w:rPr>
                <w:rFonts w:eastAsia="Times New Roman" w:cs="Times New Roman"/>
                <w:noProof/>
                <w:sz w:val="22"/>
                <w:szCs w:val="22"/>
                <w:lang w:val="lt-LT" w:eastAsia="lt-LT" w:bidi="lt-LT"/>
              </w:rPr>
            </w:pPr>
            <w:r w:rsidRPr="00263D7D">
              <w:rPr>
                <w:rFonts w:eastAsia="Times New Roman" w:cs="Times New Roman"/>
                <w:noProof/>
                <w:sz w:val="22"/>
                <w:szCs w:val="22"/>
                <w:lang w:val="lt-LT" w:eastAsia="lt-LT" w:bidi="lt-LT"/>
              </w:rPr>
              <w:t>LT/1/26/5982/001 – N14</w:t>
            </w:r>
          </w:p>
          <w:p w14:paraId="219287A2" w14:textId="77777777" w:rsidR="00263D7D" w:rsidRPr="00263D7D" w:rsidRDefault="00263D7D" w:rsidP="00263D7D">
            <w:pPr>
              <w:tabs>
                <w:tab w:val="left" w:pos="567"/>
              </w:tabs>
              <w:rPr>
                <w:rFonts w:eastAsia="Times New Roman" w:cs="Times New Roman"/>
                <w:noProof/>
                <w:sz w:val="22"/>
                <w:szCs w:val="22"/>
                <w:lang w:val="lt-LT" w:eastAsia="lt-LT" w:bidi="lt-LT"/>
              </w:rPr>
            </w:pPr>
            <w:r w:rsidRPr="00263D7D">
              <w:rPr>
                <w:rFonts w:eastAsia="Times New Roman" w:cs="Times New Roman"/>
                <w:noProof/>
                <w:sz w:val="22"/>
                <w:szCs w:val="22"/>
                <w:lang w:val="lt-LT" w:eastAsia="lt-LT" w:bidi="lt-LT"/>
              </w:rPr>
              <w:t>LT/1/26/5982/002 – N28</w:t>
            </w:r>
          </w:p>
          <w:p w14:paraId="0D6A191D" w14:textId="77777777" w:rsidR="00263D7D" w:rsidRPr="00263D7D" w:rsidRDefault="00263D7D" w:rsidP="00263D7D">
            <w:pPr>
              <w:tabs>
                <w:tab w:val="left" w:pos="567"/>
              </w:tabs>
              <w:rPr>
                <w:rFonts w:eastAsia="Times New Roman" w:cs="Times New Roman"/>
                <w:noProof/>
                <w:sz w:val="22"/>
                <w:szCs w:val="22"/>
                <w:lang w:val="lt-LT" w:eastAsia="lt-LT" w:bidi="lt-LT"/>
              </w:rPr>
            </w:pPr>
            <w:r w:rsidRPr="00263D7D">
              <w:rPr>
                <w:rFonts w:eastAsia="Times New Roman" w:cs="Times New Roman"/>
                <w:noProof/>
                <w:sz w:val="22"/>
                <w:szCs w:val="22"/>
                <w:lang w:val="lt-LT" w:eastAsia="lt-LT" w:bidi="lt-LT"/>
              </w:rPr>
              <w:t>LT/1/26/5982/003 – N30</w:t>
            </w:r>
          </w:p>
          <w:p w14:paraId="3A52170C" w14:textId="77777777" w:rsidR="00263D7D" w:rsidRPr="00263D7D" w:rsidRDefault="00263D7D" w:rsidP="00263D7D">
            <w:pPr>
              <w:tabs>
                <w:tab w:val="left" w:pos="567"/>
              </w:tabs>
              <w:rPr>
                <w:rFonts w:eastAsia="Times New Roman" w:cs="Times New Roman"/>
                <w:noProof/>
                <w:sz w:val="22"/>
                <w:szCs w:val="22"/>
                <w:lang w:val="lt-LT" w:eastAsia="lt-LT" w:bidi="lt-LT"/>
              </w:rPr>
            </w:pPr>
            <w:r w:rsidRPr="00263D7D">
              <w:rPr>
                <w:rFonts w:eastAsia="Times New Roman" w:cs="Times New Roman"/>
                <w:noProof/>
                <w:sz w:val="22"/>
                <w:szCs w:val="22"/>
                <w:lang w:val="lt-LT" w:eastAsia="lt-LT" w:bidi="lt-LT"/>
              </w:rPr>
              <w:t>LT/1/26/5982/004 – N56</w:t>
            </w:r>
          </w:p>
          <w:p w14:paraId="7A4AF2F5" w14:textId="77777777" w:rsidR="00263D7D" w:rsidRPr="00263D7D" w:rsidRDefault="00263D7D" w:rsidP="00263D7D">
            <w:pPr>
              <w:tabs>
                <w:tab w:val="left" w:pos="567"/>
              </w:tabs>
              <w:rPr>
                <w:rFonts w:eastAsia="Times New Roman" w:cs="Times New Roman"/>
                <w:noProof/>
                <w:sz w:val="22"/>
                <w:szCs w:val="22"/>
                <w:lang w:val="lt-LT" w:eastAsia="lt-LT" w:bidi="lt-LT"/>
              </w:rPr>
            </w:pPr>
            <w:r w:rsidRPr="00263D7D">
              <w:rPr>
                <w:rFonts w:eastAsia="Times New Roman" w:cs="Times New Roman"/>
                <w:noProof/>
                <w:sz w:val="22"/>
                <w:szCs w:val="22"/>
                <w:lang w:val="lt-LT" w:eastAsia="lt-LT" w:bidi="lt-LT"/>
              </w:rPr>
              <w:t>LT/1/26/5982/005 – N84</w:t>
            </w:r>
          </w:p>
          <w:p w14:paraId="2857ABC6" w14:textId="77777777" w:rsidR="00263D7D" w:rsidRPr="00263D7D" w:rsidRDefault="00263D7D" w:rsidP="00263D7D">
            <w:pPr>
              <w:tabs>
                <w:tab w:val="left" w:pos="567"/>
              </w:tabs>
              <w:rPr>
                <w:rFonts w:eastAsia="Times New Roman" w:cs="Times New Roman"/>
                <w:noProof/>
                <w:sz w:val="22"/>
                <w:szCs w:val="22"/>
                <w:lang w:val="lt-LT" w:eastAsia="lt-LT" w:bidi="lt-LT"/>
              </w:rPr>
            </w:pPr>
            <w:r w:rsidRPr="00263D7D">
              <w:rPr>
                <w:rFonts w:eastAsia="Times New Roman" w:cs="Times New Roman"/>
                <w:noProof/>
                <w:sz w:val="22"/>
                <w:szCs w:val="22"/>
                <w:lang w:val="lt-LT" w:eastAsia="lt-LT" w:bidi="lt-LT"/>
              </w:rPr>
              <w:t>LT/1/26/5982/006 – N90</w:t>
            </w:r>
          </w:p>
          <w:p w14:paraId="083DD82E" w14:textId="40F99312" w:rsidR="00263D7D" w:rsidRDefault="00263D7D" w:rsidP="00263D7D">
            <w:pPr>
              <w:tabs>
                <w:tab w:val="left" w:pos="567"/>
              </w:tabs>
              <w:rPr>
                <w:rFonts w:eastAsia="Times New Roman" w:cs="Times New Roman"/>
                <w:noProof/>
                <w:sz w:val="22"/>
                <w:szCs w:val="22"/>
                <w:lang w:val="lt-LT" w:eastAsia="lt-LT" w:bidi="lt-LT"/>
              </w:rPr>
            </w:pPr>
            <w:r w:rsidRPr="00263D7D">
              <w:rPr>
                <w:rFonts w:eastAsia="Times New Roman" w:cs="Times New Roman"/>
                <w:noProof/>
                <w:sz w:val="22"/>
                <w:szCs w:val="22"/>
                <w:lang w:val="lt-LT" w:eastAsia="lt-LT" w:bidi="lt-LT"/>
              </w:rPr>
              <w:t>LT/1/26/5982/007 – N98</w:t>
            </w:r>
          </w:p>
        </w:tc>
        <w:tc>
          <w:tcPr>
            <w:tcW w:w="3021" w:type="dxa"/>
          </w:tcPr>
          <w:p w14:paraId="38A93EF8" w14:textId="77777777" w:rsidR="00263D7D" w:rsidRDefault="00263D7D" w:rsidP="00263D7D">
            <w:pPr>
              <w:tabs>
                <w:tab w:val="left" w:pos="567"/>
              </w:tabs>
              <w:rPr>
                <w:rFonts w:eastAsia="Times New Roman" w:cs="Times New Roman"/>
                <w:noProof/>
                <w:sz w:val="22"/>
                <w:szCs w:val="22"/>
                <w:lang w:val="lt-LT" w:eastAsia="lt-LT" w:bidi="lt-LT"/>
              </w:rPr>
            </w:pPr>
            <w:r>
              <w:rPr>
                <w:rFonts w:eastAsia="Times New Roman" w:cs="Times New Roman"/>
                <w:noProof/>
                <w:sz w:val="22"/>
                <w:szCs w:val="22"/>
                <w:lang w:val="lt-LT" w:eastAsia="lt-LT" w:bidi="lt-LT"/>
              </w:rPr>
              <w:t>100 mg</w:t>
            </w:r>
          </w:p>
          <w:p w14:paraId="59B41E4E" w14:textId="77777777" w:rsidR="00263D7D" w:rsidRPr="00263D7D" w:rsidRDefault="00263D7D" w:rsidP="00263D7D">
            <w:pPr>
              <w:tabs>
                <w:tab w:val="left" w:pos="567"/>
              </w:tabs>
              <w:rPr>
                <w:rFonts w:eastAsia="Times New Roman" w:cs="Times New Roman"/>
                <w:noProof/>
                <w:sz w:val="22"/>
                <w:szCs w:val="22"/>
                <w:lang w:val="lt-LT" w:eastAsia="lt-LT" w:bidi="lt-LT"/>
              </w:rPr>
            </w:pPr>
            <w:r w:rsidRPr="00263D7D">
              <w:rPr>
                <w:rFonts w:eastAsia="Times New Roman" w:cs="Times New Roman"/>
                <w:noProof/>
                <w:sz w:val="22"/>
                <w:szCs w:val="22"/>
                <w:lang w:val="lt-LT" w:eastAsia="lt-LT" w:bidi="lt-LT"/>
              </w:rPr>
              <w:t>LT/1/26/5983/001 – N14</w:t>
            </w:r>
          </w:p>
          <w:p w14:paraId="6DFB6981" w14:textId="77777777" w:rsidR="00263D7D" w:rsidRPr="00263D7D" w:rsidRDefault="00263D7D" w:rsidP="00263D7D">
            <w:pPr>
              <w:tabs>
                <w:tab w:val="left" w:pos="567"/>
              </w:tabs>
              <w:rPr>
                <w:rFonts w:eastAsia="Times New Roman" w:cs="Times New Roman"/>
                <w:noProof/>
                <w:sz w:val="22"/>
                <w:szCs w:val="22"/>
                <w:lang w:val="lt-LT" w:eastAsia="lt-LT" w:bidi="lt-LT"/>
              </w:rPr>
            </w:pPr>
            <w:r w:rsidRPr="00263D7D">
              <w:rPr>
                <w:rFonts w:eastAsia="Times New Roman" w:cs="Times New Roman"/>
                <w:noProof/>
                <w:sz w:val="22"/>
                <w:szCs w:val="22"/>
                <w:lang w:val="lt-LT" w:eastAsia="lt-LT" w:bidi="lt-LT"/>
              </w:rPr>
              <w:t>LT/1/26/5983/002 – N28</w:t>
            </w:r>
          </w:p>
          <w:p w14:paraId="610B6B87" w14:textId="77777777" w:rsidR="00263D7D" w:rsidRPr="00263D7D" w:rsidRDefault="00263D7D" w:rsidP="00263D7D">
            <w:pPr>
              <w:tabs>
                <w:tab w:val="left" w:pos="567"/>
              </w:tabs>
              <w:rPr>
                <w:rFonts w:eastAsia="Times New Roman" w:cs="Times New Roman"/>
                <w:noProof/>
                <w:sz w:val="22"/>
                <w:szCs w:val="22"/>
                <w:lang w:val="lt-LT" w:eastAsia="lt-LT" w:bidi="lt-LT"/>
              </w:rPr>
            </w:pPr>
            <w:r w:rsidRPr="00263D7D">
              <w:rPr>
                <w:rFonts w:eastAsia="Times New Roman" w:cs="Times New Roman"/>
                <w:noProof/>
                <w:sz w:val="22"/>
                <w:szCs w:val="22"/>
                <w:lang w:val="lt-LT" w:eastAsia="lt-LT" w:bidi="lt-LT"/>
              </w:rPr>
              <w:t>LT/1/26/5983/003 – N30</w:t>
            </w:r>
          </w:p>
          <w:p w14:paraId="0E290904" w14:textId="77777777" w:rsidR="00263D7D" w:rsidRPr="00263D7D" w:rsidRDefault="00263D7D" w:rsidP="00263D7D">
            <w:pPr>
              <w:tabs>
                <w:tab w:val="left" w:pos="567"/>
              </w:tabs>
              <w:rPr>
                <w:rFonts w:eastAsia="Times New Roman" w:cs="Times New Roman"/>
                <w:noProof/>
                <w:sz w:val="22"/>
                <w:szCs w:val="22"/>
                <w:lang w:val="lt-LT" w:eastAsia="lt-LT" w:bidi="lt-LT"/>
              </w:rPr>
            </w:pPr>
            <w:r w:rsidRPr="00263D7D">
              <w:rPr>
                <w:rFonts w:eastAsia="Times New Roman" w:cs="Times New Roman"/>
                <w:noProof/>
                <w:sz w:val="22"/>
                <w:szCs w:val="22"/>
                <w:lang w:val="lt-LT" w:eastAsia="lt-LT" w:bidi="lt-LT"/>
              </w:rPr>
              <w:t>LT/1/26/5983/004 – N56</w:t>
            </w:r>
          </w:p>
          <w:p w14:paraId="574B924D" w14:textId="77777777" w:rsidR="00263D7D" w:rsidRPr="00263D7D" w:rsidRDefault="00263D7D" w:rsidP="00263D7D">
            <w:pPr>
              <w:tabs>
                <w:tab w:val="left" w:pos="567"/>
              </w:tabs>
              <w:rPr>
                <w:rFonts w:eastAsia="Times New Roman" w:cs="Times New Roman"/>
                <w:noProof/>
                <w:sz w:val="22"/>
                <w:szCs w:val="22"/>
                <w:lang w:val="lt-LT" w:eastAsia="lt-LT" w:bidi="lt-LT"/>
              </w:rPr>
            </w:pPr>
            <w:r w:rsidRPr="00263D7D">
              <w:rPr>
                <w:rFonts w:eastAsia="Times New Roman" w:cs="Times New Roman"/>
                <w:noProof/>
                <w:sz w:val="22"/>
                <w:szCs w:val="22"/>
                <w:lang w:val="lt-LT" w:eastAsia="lt-LT" w:bidi="lt-LT"/>
              </w:rPr>
              <w:t>LT/1/26/5983/005 – N84</w:t>
            </w:r>
          </w:p>
          <w:p w14:paraId="0938887D" w14:textId="77777777" w:rsidR="00263D7D" w:rsidRPr="00263D7D" w:rsidRDefault="00263D7D" w:rsidP="00263D7D">
            <w:pPr>
              <w:tabs>
                <w:tab w:val="left" w:pos="567"/>
              </w:tabs>
              <w:rPr>
                <w:rFonts w:eastAsia="Times New Roman" w:cs="Times New Roman"/>
                <w:noProof/>
                <w:sz w:val="22"/>
                <w:szCs w:val="22"/>
                <w:lang w:val="lt-LT" w:eastAsia="lt-LT" w:bidi="lt-LT"/>
              </w:rPr>
            </w:pPr>
            <w:r w:rsidRPr="00263D7D">
              <w:rPr>
                <w:rFonts w:eastAsia="Times New Roman" w:cs="Times New Roman"/>
                <w:noProof/>
                <w:sz w:val="22"/>
                <w:szCs w:val="22"/>
                <w:lang w:val="lt-LT" w:eastAsia="lt-LT" w:bidi="lt-LT"/>
              </w:rPr>
              <w:t>LT/1/26/5983/006 – N90</w:t>
            </w:r>
          </w:p>
          <w:p w14:paraId="479AFF2E" w14:textId="58D8E831" w:rsidR="00263D7D" w:rsidRDefault="00263D7D" w:rsidP="00263D7D">
            <w:pPr>
              <w:tabs>
                <w:tab w:val="left" w:pos="567"/>
              </w:tabs>
              <w:rPr>
                <w:rFonts w:eastAsia="Times New Roman" w:cs="Times New Roman"/>
                <w:noProof/>
                <w:sz w:val="22"/>
                <w:szCs w:val="22"/>
                <w:lang w:val="lt-LT" w:eastAsia="lt-LT" w:bidi="lt-LT"/>
              </w:rPr>
            </w:pPr>
            <w:r w:rsidRPr="00263D7D">
              <w:rPr>
                <w:rFonts w:eastAsia="Times New Roman" w:cs="Times New Roman"/>
                <w:noProof/>
                <w:sz w:val="22"/>
                <w:szCs w:val="22"/>
                <w:lang w:val="lt-LT" w:eastAsia="lt-LT" w:bidi="lt-LT"/>
              </w:rPr>
              <w:t>LT/1/26/5983/007 – N98</w:t>
            </w:r>
          </w:p>
        </w:tc>
      </w:tr>
    </w:tbl>
    <w:p w14:paraId="4F4D8C6B" w14:textId="77777777" w:rsidR="002024B4" w:rsidRDefault="002024B4" w:rsidP="00612A8E">
      <w:pPr>
        <w:tabs>
          <w:tab w:val="left" w:pos="567"/>
        </w:tabs>
        <w:rPr>
          <w:rFonts w:eastAsia="Times New Roman" w:cs="Times New Roman"/>
          <w:noProof/>
          <w:sz w:val="22"/>
          <w:szCs w:val="22"/>
          <w:lang w:val="lt-LT" w:eastAsia="lt-LT" w:bidi="lt-LT"/>
        </w:rPr>
      </w:pPr>
    </w:p>
    <w:p w14:paraId="66AD3335" w14:textId="77777777" w:rsidR="002024B4" w:rsidRPr="00997273" w:rsidRDefault="002024B4" w:rsidP="00612A8E">
      <w:pPr>
        <w:tabs>
          <w:tab w:val="left" w:pos="567"/>
        </w:tabs>
        <w:rPr>
          <w:rFonts w:eastAsia="Times New Roman" w:cs="Times New Roman"/>
          <w:noProof/>
          <w:sz w:val="22"/>
          <w:szCs w:val="22"/>
          <w:lang w:val="lt-LT" w:eastAsia="lt-LT" w:bidi="lt-LT"/>
        </w:rPr>
      </w:pPr>
    </w:p>
    <w:p w14:paraId="503F779C" w14:textId="77777777" w:rsidR="00612A8E" w:rsidRPr="00997273" w:rsidRDefault="00612A8E" w:rsidP="00612A8E">
      <w:pPr>
        <w:keepNext/>
        <w:numPr>
          <w:ilvl w:val="0"/>
          <w:numId w:val="25"/>
        </w:numPr>
        <w:tabs>
          <w:tab w:val="left" w:pos="567"/>
        </w:tabs>
        <w:spacing w:line="260" w:lineRule="exact"/>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REGISTRAVIMO / PERREGISTRAVIMO DATA</w:t>
      </w:r>
    </w:p>
    <w:p w14:paraId="2DDC7AE9" w14:textId="77777777" w:rsidR="00612A8E" w:rsidRPr="00997273" w:rsidRDefault="00612A8E" w:rsidP="00612A8E">
      <w:pPr>
        <w:keepNext/>
        <w:tabs>
          <w:tab w:val="left" w:pos="567"/>
        </w:tabs>
        <w:rPr>
          <w:rFonts w:eastAsia="Times New Roman" w:cs="Times New Roman"/>
          <w:i/>
          <w:noProof/>
          <w:sz w:val="22"/>
          <w:szCs w:val="22"/>
          <w:lang w:val="lt-LT" w:eastAsia="lt-LT" w:bidi="lt-LT"/>
        </w:rPr>
      </w:pPr>
    </w:p>
    <w:p w14:paraId="2E32E476" w14:textId="399C8EBD" w:rsidR="00F60EF8" w:rsidRPr="00C65653" w:rsidRDefault="00F60EF8" w:rsidP="00F60EF8">
      <w:pPr>
        <w:tabs>
          <w:tab w:val="left" w:pos="567"/>
        </w:tabs>
        <w:rPr>
          <w:rFonts w:eastAsia="Times New Roman" w:cs="Times New Roman"/>
          <w:noProof/>
          <w:sz w:val="22"/>
          <w:szCs w:val="22"/>
          <w:lang w:val="lt-LT" w:eastAsia="lt-LT" w:bidi="lt-LT"/>
        </w:rPr>
      </w:pPr>
      <w:r w:rsidRPr="00DD6860">
        <w:rPr>
          <w:rFonts w:eastAsia="Times New Roman" w:cs="Times New Roman"/>
          <w:sz w:val="22"/>
          <w:szCs w:val="22"/>
          <w:lang w:val="lt-LT"/>
        </w:rPr>
        <w:t xml:space="preserve">Registravimo data </w:t>
      </w:r>
      <w:r w:rsidR="00263D7D">
        <w:rPr>
          <w:rFonts w:eastAsia="Times New Roman" w:cs="Times New Roman"/>
          <w:sz w:val="22"/>
          <w:szCs w:val="22"/>
          <w:lang w:val="lt-LT"/>
        </w:rPr>
        <w:t>2026 m. kovo 18 d.</w:t>
      </w:r>
    </w:p>
    <w:p w14:paraId="5BF11C12"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4BCEB707"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5450753D" w14:textId="77777777" w:rsidR="00612A8E" w:rsidRPr="00997273" w:rsidRDefault="00612A8E" w:rsidP="00612A8E">
      <w:pPr>
        <w:keepNext/>
        <w:numPr>
          <w:ilvl w:val="0"/>
          <w:numId w:val="25"/>
        </w:numPr>
        <w:tabs>
          <w:tab w:val="left" w:pos="567"/>
        </w:tabs>
        <w:spacing w:line="260" w:lineRule="exact"/>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TEKSTO PERŽIŪROS DATA</w:t>
      </w:r>
    </w:p>
    <w:p w14:paraId="60FAD930" w14:textId="77777777" w:rsidR="002213D4" w:rsidRPr="00997273" w:rsidRDefault="002213D4" w:rsidP="002213D4">
      <w:pPr>
        <w:widowControl w:val="0"/>
        <w:tabs>
          <w:tab w:val="left" w:pos="567"/>
          <w:tab w:val="left" w:pos="2160"/>
        </w:tabs>
        <w:snapToGrid w:val="0"/>
        <w:rPr>
          <w:rFonts w:eastAsia="Times New Roman" w:cs="Times New Roman"/>
          <w:sz w:val="22"/>
          <w:szCs w:val="22"/>
          <w:lang w:val="lt-LT"/>
        </w:rPr>
      </w:pPr>
    </w:p>
    <w:p w14:paraId="419761DF" w14:textId="77777777" w:rsidR="002213D4" w:rsidRPr="00997273" w:rsidRDefault="00B53C83" w:rsidP="002213D4">
      <w:pPr>
        <w:widowControl w:val="0"/>
        <w:tabs>
          <w:tab w:val="left" w:pos="567"/>
          <w:tab w:val="left" w:pos="2160"/>
        </w:tabs>
        <w:snapToGrid w:val="0"/>
        <w:rPr>
          <w:rFonts w:eastAsia="Times New Roman" w:cs="Times New Roman"/>
          <w:sz w:val="22"/>
          <w:szCs w:val="22"/>
          <w:lang w:val="lt-LT"/>
        </w:rPr>
      </w:pPr>
      <w:r>
        <w:rPr>
          <w:rFonts w:eastAsia="Times New Roman" w:cs="Times New Roman"/>
          <w:sz w:val="22"/>
          <w:szCs w:val="22"/>
          <w:lang w:val="lt-LT"/>
        </w:rPr>
        <w:t xml:space="preserve">2026 m. kovo </w:t>
      </w:r>
      <w:r w:rsidR="002E77F6">
        <w:rPr>
          <w:rFonts w:eastAsia="Times New Roman" w:cs="Times New Roman"/>
          <w:sz w:val="22"/>
          <w:szCs w:val="22"/>
          <w:lang w:val="lt-LT"/>
        </w:rPr>
        <w:t>26 d.</w:t>
      </w:r>
    </w:p>
    <w:p w14:paraId="40523789" w14:textId="77777777" w:rsidR="00C26209" w:rsidRDefault="00C26209" w:rsidP="00D00DE9">
      <w:pPr>
        <w:tabs>
          <w:tab w:val="left" w:pos="5954"/>
          <w:tab w:val="left" w:pos="6237"/>
          <w:tab w:val="left" w:pos="6663"/>
          <w:tab w:val="left" w:pos="6946"/>
        </w:tabs>
        <w:rPr>
          <w:rFonts w:eastAsia="SimSun" w:cs="Times New Roman"/>
          <w:noProof/>
          <w:sz w:val="22"/>
          <w:szCs w:val="22"/>
          <w:lang w:val="lt-LT" w:eastAsia="en-US"/>
        </w:rPr>
      </w:pPr>
    </w:p>
    <w:p w14:paraId="77C156EF" w14:textId="2D34D6D7" w:rsidR="00D00DE9" w:rsidRPr="008A1EF4" w:rsidRDefault="00D00DE9" w:rsidP="00D00DE9">
      <w:pPr>
        <w:tabs>
          <w:tab w:val="left" w:pos="5954"/>
          <w:tab w:val="left" w:pos="6237"/>
          <w:tab w:val="left" w:pos="6663"/>
          <w:tab w:val="left" w:pos="6946"/>
        </w:tabs>
        <w:rPr>
          <w:rFonts w:eastAsia="SimSun" w:cs="Times New Roman"/>
          <w:sz w:val="22"/>
          <w:szCs w:val="22"/>
          <w:lang w:val="lt-LT" w:eastAsia="en-US"/>
        </w:rPr>
      </w:pPr>
      <w:r w:rsidRPr="00997273">
        <w:rPr>
          <w:rFonts w:eastAsia="SimSun" w:cs="Times New Roman"/>
          <w:noProof/>
          <w:sz w:val="22"/>
          <w:szCs w:val="22"/>
          <w:lang w:val="lt-LT" w:eastAsia="en-US"/>
        </w:rPr>
        <w:t>Išsami informacija apie šį vaistinį preparatą pateikiama Valstybinės vaistų kontrolės tarnybos prie Lietuvos Respublikos sveikatos apsaugos ministerijos tinklalapyje</w:t>
      </w:r>
      <w:r w:rsidRPr="00997273">
        <w:rPr>
          <w:rFonts w:eastAsia="SimSun" w:cs="Times New Roman"/>
          <w:i/>
          <w:noProof/>
          <w:sz w:val="22"/>
          <w:szCs w:val="22"/>
          <w:lang w:val="lt-LT" w:eastAsia="en-US"/>
        </w:rPr>
        <w:t xml:space="preserve"> </w:t>
      </w:r>
      <w:hyperlink r:id="rId8" w:history="1">
        <w:r w:rsidR="00F15FD3" w:rsidRPr="001F1642">
          <w:t>https://vvkt.lrv.lt/lt/</w:t>
        </w:r>
      </w:hyperlink>
    </w:p>
    <w:p w14:paraId="4F3113BF" w14:textId="77777777" w:rsidR="00D00DE9" w:rsidRPr="00997273" w:rsidRDefault="00D00DE9" w:rsidP="00D00DE9">
      <w:pPr>
        <w:tabs>
          <w:tab w:val="left" w:pos="5954"/>
          <w:tab w:val="left" w:pos="6237"/>
          <w:tab w:val="left" w:pos="6663"/>
          <w:tab w:val="left" w:pos="6946"/>
        </w:tabs>
        <w:jc w:val="center"/>
        <w:rPr>
          <w:rFonts w:eastAsia="SimSun" w:cs="Times New Roman"/>
          <w:sz w:val="22"/>
          <w:szCs w:val="22"/>
          <w:lang w:val="lt-LT" w:eastAsia="en-US"/>
        </w:rPr>
      </w:pPr>
    </w:p>
    <w:p w14:paraId="37FE937C" w14:textId="77777777" w:rsidR="00612A8E" w:rsidRPr="00997273" w:rsidRDefault="00612A8E" w:rsidP="00612A8E">
      <w:pPr>
        <w:numPr>
          <w:ilvl w:val="12"/>
          <w:numId w:val="0"/>
        </w:numPr>
        <w:tabs>
          <w:tab w:val="left" w:pos="567"/>
        </w:tabs>
        <w:ind w:right="-2"/>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br w:type="page"/>
      </w:r>
    </w:p>
    <w:p w14:paraId="3C6CBB83"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326264A9"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03BC7998"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709179A8"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17F52023"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31DEAD2A"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46A604EA"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6A176AFC"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1F70278E"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2CAA3C8B"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19E15EB0"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75FA56A2"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1FDA76BF"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1B0A3476"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718B59BF"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09FEEE26"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1402E1BA"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4D9A5FB5"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36567301"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2D86B572"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23EBA637"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2254509E"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17A57F90"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431B79B3" w14:textId="77777777" w:rsidR="00612A8E" w:rsidRPr="00997273" w:rsidRDefault="00612A8E" w:rsidP="00612A8E">
      <w:pPr>
        <w:tabs>
          <w:tab w:val="left" w:pos="567"/>
        </w:tabs>
        <w:jc w:val="center"/>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II PRIEDAS</w:t>
      </w:r>
    </w:p>
    <w:p w14:paraId="10189F52" w14:textId="77777777" w:rsidR="00D00DE9" w:rsidRPr="00997273" w:rsidRDefault="00D00DE9" w:rsidP="00612A8E">
      <w:pPr>
        <w:tabs>
          <w:tab w:val="left" w:pos="567"/>
        </w:tabs>
        <w:jc w:val="center"/>
        <w:rPr>
          <w:rFonts w:eastAsia="Times New Roman" w:cs="Times New Roman"/>
          <w:noProof/>
          <w:sz w:val="22"/>
          <w:szCs w:val="22"/>
          <w:lang w:val="lt-LT" w:eastAsia="lt-LT" w:bidi="lt-LT"/>
        </w:rPr>
      </w:pPr>
    </w:p>
    <w:p w14:paraId="1BA4D7B8" w14:textId="77777777" w:rsidR="00D00DE9" w:rsidRPr="00997273" w:rsidRDefault="00D00DE9" w:rsidP="00D00DE9">
      <w:pPr>
        <w:tabs>
          <w:tab w:val="left" w:pos="567"/>
        </w:tabs>
        <w:spacing w:line="260" w:lineRule="exact"/>
        <w:jc w:val="center"/>
        <w:rPr>
          <w:rFonts w:eastAsia="Times New Roman" w:cs="Times New Roman"/>
          <w:i/>
          <w:snapToGrid w:val="0"/>
          <w:sz w:val="22"/>
          <w:szCs w:val="22"/>
          <w:lang w:val="lt-LT" w:eastAsia="en-US"/>
        </w:rPr>
      </w:pPr>
      <w:r w:rsidRPr="00997273">
        <w:rPr>
          <w:rFonts w:eastAsia="Times New Roman" w:cs="Times New Roman"/>
          <w:b/>
          <w:snapToGrid w:val="0"/>
          <w:sz w:val="22"/>
          <w:szCs w:val="22"/>
          <w:lang w:val="lt-LT" w:eastAsia="en-US"/>
        </w:rPr>
        <w:t>REGISTRACIJOS SĄLYGOS</w:t>
      </w:r>
    </w:p>
    <w:p w14:paraId="1DF479E6" w14:textId="77777777" w:rsidR="00612A8E" w:rsidRPr="00997273" w:rsidRDefault="00612A8E" w:rsidP="00612A8E">
      <w:pPr>
        <w:tabs>
          <w:tab w:val="left" w:pos="567"/>
        </w:tabs>
        <w:ind w:right="1416"/>
        <w:rPr>
          <w:rFonts w:eastAsia="Times New Roman" w:cs="Times New Roman"/>
          <w:noProof/>
          <w:sz w:val="22"/>
          <w:szCs w:val="22"/>
          <w:lang w:val="lt-LT" w:eastAsia="lt-LT" w:bidi="lt-LT"/>
        </w:rPr>
      </w:pPr>
    </w:p>
    <w:p w14:paraId="46F52E0B" w14:textId="77777777" w:rsidR="00612A8E" w:rsidRPr="00997273" w:rsidRDefault="00612A8E" w:rsidP="00A45AAA">
      <w:pPr>
        <w:numPr>
          <w:ilvl w:val="0"/>
          <w:numId w:val="28"/>
        </w:numPr>
        <w:tabs>
          <w:tab w:val="left" w:pos="709"/>
          <w:tab w:val="left" w:pos="7655"/>
        </w:tabs>
        <w:spacing w:line="260" w:lineRule="exact"/>
        <w:ind w:right="849" w:hanging="567"/>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GAMINTOJAS (-AI), ATSAKINGAS (-I) UŽ SERIJŲ IŠLEIDIMĄ</w:t>
      </w:r>
    </w:p>
    <w:p w14:paraId="46F42C65" w14:textId="77777777" w:rsidR="00612A8E" w:rsidRPr="00997273" w:rsidRDefault="00612A8E" w:rsidP="00612A8E">
      <w:pPr>
        <w:tabs>
          <w:tab w:val="left" w:pos="567"/>
        </w:tabs>
        <w:ind w:left="567" w:hanging="1701"/>
        <w:rPr>
          <w:rFonts w:eastAsia="Times New Roman" w:cs="Times New Roman"/>
          <w:noProof/>
          <w:sz w:val="22"/>
          <w:szCs w:val="22"/>
          <w:lang w:val="lt-LT" w:eastAsia="lt-LT" w:bidi="lt-LT"/>
        </w:rPr>
      </w:pPr>
    </w:p>
    <w:p w14:paraId="2057F4B6" w14:textId="77777777" w:rsidR="00612A8E" w:rsidRPr="00997273" w:rsidRDefault="00612A8E" w:rsidP="00063B26">
      <w:pPr>
        <w:numPr>
          <w:ilvl w:val="0"/>
          <w:numId w:val="28"/>
        </w:numPr>
        <w:tabs>
          <w:tab w:val="left" w:pos="567"/>
          <w:tab w:val="left" w:pos="1701"/>
        </w:tabs>
        <w:spacing w:line="260" w:lineRule="exact"/>
        <w:ind w:right="1418" w:hanging="567"/>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TIEKIMO IR VARTOJIMO SĄLYGOS AR APRIBOJIMAI</w:t>
      </w:r>
    </w:p>
    <w:p w14:paraId="6953B1AC" w14:textId="77777777" w:rsidR="00612A8E" w:rsidRPr="00997273" w:rsidRDefault="00612A8E" w:rsidP="00612A8E">
      <w:pPr>
        <w:tabs>
          <w:tab w:val="left" w:pos="567"/>
        </w:tabs>
        <w:ind w:left="567" w:hanging="567"/>
        <w:rPr>
          <w:rFonts w:eastAsia="Times New Roman" w:cs="Times New Roman"/>
          <w:noProof/>
          <w:sz w:val="22"/>
          <w:szCs w:val="22"/>
          <w:lang w:val="lt-LT" w:eastAsia="lt-LT" w:bidi="lt-LT"/>
        </w:rPr>
      </w:pPr>
    </w:p>
    <w:p w14:paraId="4AD3FF3B" w14:textId="77777777" w:rsidR="00612A8E" w:rsidRPr="00997273" w:rsidRDefault="00612A8E" w:rsidP="00612A8E">
      <w:pPr>
        <w:tabs>
          <w:tab w:val="left" w:pos="567"/>
        </w:tabs>
        <w:ind w:right="1416"/>
        <w:rPr>
          <w:rFonts w:eastAsia="Times New Roman" w:cs="Times New Roman"/>
          <w:b/>
          <w:sz w:val="22"/>
          <w:szCs w:val="22"/>
          <w:lang w:val="lt-LT" w:eastAsia="lt-LT" w:bidi="lt-LT"/>
        </w:rPr>
      </w:pPr>
    </w:p>
    <w:p w14:paraId="41F35BEA" w14:textId="77777777" w:rsidR="00D00DE9" w:rsidRPr="00997273" w:rsidRDefault="00612A8E" w:rsidP="00D00DE9">
      <w:pPr>
        <w:ind w:left="567" w:hanging="567"/>
        <w:rPr>
          <w:rFonts w:eastAsia="Times New Roman" w:cs="Times New Roman"/>
          <w:b/>
          <w:snapToGrid w:val="0"/>
          <w:sz w:val="22"/>
          <w:szCs w:val="22"/>
          <w:lang w:val="lt-LT" w:eastAsia="en-US"/>
        </w:rPr>
      </w:pPr>
      <w:r w:rsidRPr="00997273">
        <w:rPr>
          <w:rFonts w:eastAsia="Times New Roman" w:cs="Times New Roman"/>
          <w:sz w:val="22"/>
          <w:szCs w:val="22"/>
          <w:lang w:val="lt-LT" w:eastAsia="lt-LT" w:bidi="lt-LT"/>
        </w:rPr>
        <w:br w:type="page"/>
      </w:r>
      <w:r w:rsidR="00D00DE9" w:rsidRPr="00997273">
        <w:rPr>
          <w:rFonts w:eastAsia="Times New Roman" w:cs="Times New Roman"/>
          <w:b/>
          <w:snapToGrid w:val="0"/>
          <w:sz w:val="22"/>
          <w:szCs w:val="22"/>
          <w:lang w:val="lt-LT" w:eastAsia="en-US"/>
        </w:rPr>
        <w:lastRenderedPageBreak/>
        <w:t>A.</w:t>
      </w:r>
      <w:r w:rsidR="00D00DE9" w:rsidRPr="00997273">
        <w:rPr>
          <w:rFonts w:eastAsia="Times New Roman" w:cs="Times New Roman"/>
          <w:b/>
          <w:snapToGrid w:val="0"/>
          <w:sz w:val="22"/>
          <w:szCs w:val="22"/>
          <w:lang w:val="lt-LT" w:eastAsia="en-US"/>
        </w:rPr>
        <w:tab/>
        <w:t>GAMINTOJAS (-AI), ATSAKINGAS (-I) UŽ SERIJŲ IŠLEIDIMĄ</w:t>
      </w:r>
    </w:p>
    <w:p w14:paraId="301A05E9" w14:textId="77777777" w:rsidR="00D00DE9" w:rsidRPr="00997273" w:rsidRDefault="00D00DE9" w:rsidP="00D00DE9">
      <w:pPr>
        <w:tabs>
          <w:tab w:val="left" w:pos="567"/>
        </w:tabs>
        <w:spacing w:line="260" w:lineRule="exact"/>
        <w:rPr>
          <w:rFonts w:eastAsia="Times New Roman" w:cs="Times New Roman"/>
          <w:snapToGrid w:val="0"/>
          <w:sz w:val="22"/>
          <w:szCs w:val="22"/>
          <w:lang w:val="lt-LT" w:eastAsia="en-US"/>
        </w:rPr>
      </w:pPr>
    </w:p>
    <w:p w14:paraId="716196AE" w14:textId="77777777" w:rsidR="001C56F9" w:rsidRPr="00997273" w:rsidRDefault="001C56F9" w:rsidP="001C56F9">
      <w:pPr>
        <w:tabs>
          <w:tab w:val="left" w:pos="567"/>
        </w:tabs>
        <w:jc w:val="both"/>
        <w:rPr>
          <w:rFonts w:eastAsia="Times New Roman" w:cs="Times New Roman"/>
          <w:snapToGrid w:val="0"/>
          <w:sz w:val="22"/>
          <w:szCs w:val="24"/>
          <w:lang w:val="lt-LT" w:eastAsia="en-US"/>
        </w:rPr>
      </w:pPr>
      <w:r w:rsidRPr="00997273">
        <w:rPr>
          <w:rFonts w:eastAsia="Times New Roman" w:cs="Times New Roman"/>
          <w:noProof/>
          <w:snapToGrid w:val="0"/>
          <w:sz w:val="22"/>
          <w:szCs w:val="24"/>
          <w:u w:val="single"/>
          <w:lang w:val="lt-LT" w:eastAsia="en-US"/>
        </w:rPr>
        <w:t>Gamintojo (-ų), atsakingo (-ų) už serijų išleidimą, pavadinimas (-ai) ir adresas (-ai)</w:t>
      </w:r>
    </w:p>
    <w:p w14:paraId="62B76060" w14:textId="77777777" w:rsidR="00D502D5" w:rsidRPr="001234CC" w:rsidRDefault="00D502D5" w:rsidP="00D502D5">
      <w:pPr>
        <w:tabs>
          <w:tab w:val="left" w:pos="567"/>
        </w:tabs>
        <w:rPr>
          <w:rFonts w:eastAsia="Times New Roman" w:cs="Times New Roman"/>
          <w:sz w:val="22"/>
          <w:szCs w:val="24"/>
          <w:lang w:val="lt-LT" w:eastAsia="en-US"/>
        </w:rPr>
      </w:pPr>
    </w:p>
    <w:p w14:paraId="3B95243E" w14:textId="77777777" w:rsidR="00B95B1C" w:rsidRPr="00B95B1C" w:rsidRDefault="00B95B1C" w:rsidP="00B95B1C">
      <w:pPr>
        <w:tabs>
          <w:tab w:val="left" w:pos="567"/>
        </w:tabs>
        <w:rPr>
          <w:rFonts w:eastAsia="Times New Roman" w:cs="Times New Roman"/>
          <w:sz w:val="22"/>
          <w:szCs w:val="24"/>
          <w:lang w:val="lt-LT" w:eastAsia="en-US"/>
        </w:rPr>
      </w:pPr>
      <w:proofErr w:type="spellStart"/>
      <w:r w:rsidRPr="00B95B1C">
        <w:rPr>
          <w:rFonts w:eastAsia="Times New Roman" w:cs="Times New Roman"/>
          <w:sz w:val="22"/>
          <w:szCs w:val="24"/>
          <w:lang w:val="lt-LT" w:eastAsia="en-US"/>
        </w:rPr>
        <w:t>Remedica</w:t>
      </w:r>
      <w:proofErr w:type="spellEnd"/>
      <w:r w:rsidRPr="00B95B1C">
        <w:rPr>
          <w:rFonts w:eastAsia="Times New Roman" w:cs="Times New Roman"/>
          <w:sz w:val="22"/>
          <w:szCs w:val="24"/>
          <w:lang w:val="lt-LT" w:eastAsia="en-US"/>
        </w:rPr>
        <w:t xml:space="preserve"> Ltd.</w:t>
      </w:r>
    </w:p>
    <w:p w14:paraId="639C2D92" w14:textId="5F22C47B" w:rsidR="00B95B1C" w:rsidRPr="00B95B1C" w:rsidRDefault="00B95B1C" w:rsidP="00B95B1C">
      <w:pPr>
        <w:tabs>
          <w:tab w:val="left" w:pos="567"/>
        </w:tabs>
        <w:rPr>
          <w:rFonts w:eastAsia="Times New Roman" w:cs="Times New Roman"/>
          <w:sz w:val="22"/>
          <w:szCs w:val="24"/>
          <w:lang w:val="lt-LT" w:eastAsia="en-US"/>
        </w:rPr>
      </w:pPr>
      <w:proofErr w:type="spellStart"/>
      <w:r w:rsidRPr="00B95B1C">
        <w:rPr>
          <w:rFonts w:eastAsia="Times New Roman" w:cs="Times New Roman"/>
          <w:sz w:val="22"/>
          <w:szCs w:val="24"/>
          <w:lang w:val="lt-LT" w:eastAsia="en-US"/>
        </w:rPr>
        <w:t>Aharnon</w:t>
      </w:r>
      <w:proofErr w:type="spellEnd"/>
      <w:r w:rsidRPr="00B95B1C">
        <w:rPr>
          <w:rFonts w:eastAsia="Times New Roman" w:cs="Times New Roman"/>
          <w:sz w:val="22"/>
          <w:szCs w:val="24"/>
          <w:lang w:val="lt-LT" w:eastAsia="en-US"/>
        </w:rPr>
        <w:t xml:space="preserve"> </w:t>
      </w:r>
      <w:proofErr w:type="spellStart"/>
      <w:r w:rsidRPr="00B95B1C">
        <w:rPr>
          <w:rFonts w:eastAsia="Times New Roman" w:cs="Times New Roman"/>
          <w:sz w:val="22"/>
          <w:szCs w:val="24"/>
          <w:lang w:val="lt-LT" w:eastAsia="en-US"/>
        </w:rPr>
        <w:t>Street</w:t>
      </w:r>
      <w:proofErr w:type="spellEnd"/>
      <w:r w:rsidRPr="00B95B1C">
        <w:rPr>
          <w:rFonts w:eastAsia="Times New Roman" w:cs="Times New Roman"/>
          <w:sz w:val="22"/>
          <w:szCs w:val="24"/>
          <w:lang w:val="lt-LT" w:eastAsia="en-US"/>
        </w:rPr>
        <w:t xml:space="preserve">, </w:t>
      </w:r>
      <w:proofErr w:type="spellStart"/>
      <w:r w:rsidRPr="00B95B1C">
        <w:rPr>
          <w:rFonts w:eastAsia="Times New Roman" w:cs="Times New Roman"/>
          <w:sz w:val="22"/>
          <w:szCs w:val="24"/>
          <w:lang w:val="lt-LT" w:eastAsia="en-US"/>
        </w:rPr>
        <w:t>Limassol</w:t>
      </w:r>
      <w:proofErr w:type="spellEnd"/>
      <w:r w:rsidRPr="00B95B1C">
        <w:rPr>
          <w:rFonts w:eastAsia="Times New Roman" w:cs="Times New Roman"/>
          <w:sz w:val="22"/>
          <w:szCs w:val="24"/>
          <w:lang w:val="lt-LT" w:eastAsia="en-US"/>
        </w:rPr>
        <w:t xml:space="preserve"> </w:t>
      </w:r>
      <w:proofErr w:type="spellStart"/>
      <w:r w:rsidRPr="00B95B1C">
        <w:rPr>
          <w:rFonts w:eastAsia="Times New Roman" w:cs="Times New Roman"/>
          <w:sz w:val="22"/>
          <w:szCs w:val="24"/>
          <w:lang w:val="lt-LT" w:eastAsia="en-US"/>
        </w:rPr>
        <w:t>Industrial</w:t>
      </w:r>
      <w:proofErr w:type="spellEnd"/>
      <w:r w:rsidRPr="00B95B1C">
        <w:rPr>
          <w:rFonts w:eastAsia="Times New Roman" w:cs="Times New Roman"/>
          <w:sz w:val="22"/>
          <w:szCs w:val="24"/>
          <w:lang w:val="lt-LT" w:eastAsia="en-US"/>
        </w:rPr>
        <w:t xml:space="preserve"> </w:t>
      </w:r>
      <w:proofErr w:type="spellStart"/>
      <w:r w:rsidRPr="00B95B1C">
        <w:rPr>
          <w:rFonts w:eastAsia="Times New Roman" w:cs="Times New Roman"/>
          <w:sz w:val="22"/>
          <w:szCs w:val="24"/>
          <w:lang w:val="lt-LT" w:eastAsia="en-US"/>
        </w:rPr>
        <w:t>Estate</w:t>
      </w:r>
      <w:proofErr w:type="spellEnd"/>
    </w:p>
    <w:p w14:paraId="798D2C14" w14:textId="77777777" w:rsidR="00B95B1C" w:rsidRPr="00B95B1C" w:rsidRDefault="00B95B1C" w:rsidP="00B95B1C">
      <w:pPr>
        <w:tabs>
          <w:tab w:val="left" w:pos="567"/>
        </w:tabs>
        <w:rPr>
          <w:rFonts w:eastAsia="Times New Roman" w:cs="Times New Roman"/>
          <w:sz w:val="22"/>
          <w:szCs w:val="24"/>
          <w:lang w:val="lt-LT" w:eastAsia="en-US"/>
        </w:rPr>
      </w:pPr>
      <w:r w:rsidRPr="00B95B1C">
        <w:rPr>
          <w:rFonts w:eastAsia="Times New Roman" w:cs="Times New Roman"/>
          <w:sz w:val="22"/>
          <w:szCs w:val="24"/>
          <w:lang w:val="lt-LT" w:eastAsia="en-US"/>
        </w:rPr>
        <w:t xml:space="preserve">3056, </w:t>
      </w:r>
      <w:proofErr w:type="spellStart"/>
      <w:r w:rsidRPr="00B95B1C">
        <w:rPr>
          <w:rFonts w:eastAsia="Times New Roman" w:cs="Times New Roman"/>
          <w:sz w:val="22"/>
          <w:szCs w:val="24"/>
          <w:lang w:val="lt-LT" w:eastAsia="en-US"/>
        </w:rPr>
        <w:t>Limassol</w:t>
      </w:r>
      <w:proofErr w:type="spellEnd"/>
    </w:p>
    <w:p w14:paraId="1295F644" w14:textId="5FA3AD16" w:rsidR="00943B08" w:rsidRDefault="00B95B1C" w:rsidP="00943B08">
      <w:pPr>
        <w:tabs>
          <w:tab w:val="left" w:pos="567"/>
        </w:tabs>
        <w:rPr>
          <w:rFonts w:eastAsia="Times New Roman" w:cs="Times New Roman"/>
          <w:sz w:val="22"/>
          <w:szCs w:val="24"/>
          <w:lang w:val="lt-LT" w:eastAsia="en-US"/>
        </w:rPr>
      </w:pPr>
      <w:r w:rsidRPr="00B95B1C">
        <w:rPr>
          <w:rFonts w:eastAsia="Times New Roman" w:cs="Times New Roman"/>
          <w:sz w:val="22"/>
          <w:szCs w:val="24"/>
          <w:lang w:val="lt-LT" w:eastAsia="en-US"/>
        </w:rPr>
        <w:t>Kipras</w:t>
      </w:r>
    </w:p>
    <w:p w14:paraId="0C9A3CFD" w14:textId="6F17538F" w:rsidR="00D21F72" w:rsidRDefault="00D21F72" w:rsidP="00D00DE9">
      <w:pPr>
        <w:tabs>
          <w:tab w:val="left" w:pos="567"/>
        </w:tabs>
        <w:spacing w:line="260" w:lineRule="exact"/>
        <w:rPr>
          <w:rFonts w:eastAsia="Times New Roman" w:cs="Times New Roman"/>
          <w:snapToGrid w:val="0"/>
          <w:sz w:val="22"/>
          <w:szCs w:val="22"/>
          <w:lang w:val="lt-LT" w:eastAsia="en-US"/>
        </w:rPr>
      </w:pPr>
    </w:p>
    <w:p w14:paraId="6CED94D9" w14:textId="77777777" w:rsidR="00D21F72" w:rsidRPr="00997273" w:rsidRDefault="00D21F72" w:rsidP="00D00DE9">
      <w:pPr>
        <w:tabs>
          <w:tab w:val="left" w:pos="567"/>
        </w:tabs>
        <w:spacing w:line="260" w:lineRule="exact"/>
        <w:rPr>
          <w:rFonts w:eastAsia="Times New Roman" w:cs="Times New Roman"/>
          <w:snapToGrid w:val="0"/>
          <w:sz w:val="22"/>
          <w:szCs w:val="22"/>
          <w:lang w:val="lt-LT" w:eastAsia="en-US"/>
        </w:rPr>
      </w:pPr>
    </w:p>
    <w:p w14:paraId="38D018B4" w14:textId="77777777" w:rsidR="00D00DE9" w:rsidRPr="00997273" w:rsidRDefault="00D00DE9" w:rsidP="00D00DE9">
      <w:pPr>
        <w:tabs>
          <w:tab w:val="left" w:pos="567"/>
        </w:tabs>
        <w:ind w:left="567" w:hanging="567"/>
        <w:rPr>
          <w:rFonts w:eastAsia="Times New Roman" w:cs="Times New Roman"/>
          <w:snapToGrid w:val="0"/>
          <w:sz w:val="22"/>
          <w:szCs w:val="22"/>
          <w:lang w:val="lt-LT" w:eastAsia="en-US"/>
        </w:rPr>
      </w:pPr>
      <w:r w:rsidRPr="00997273">
        <w:rPr>
          <w:rFonts w:eastAsia="Times New Roman" w:cs="Times New Roman"/>
          <w:b/>
          <w:noProof/>
          <w:snapToGrid w:val="0"/>
          <w:sz w:val="22"/>
          <w:szCs w:val="22"/>
          <w:lang w:val="lt-LT" w:eastAsia="en-US"/>
        </w:rPr>
        <w:t>B.</w:t>
      </w:r>
      <w:r w:rsidRPr="00997273">
        <w:rPr>
          <w:rFonts w:eastAsia="Times New Roman" w:cs="Times New Roman"/>
          <w:b/>
          <w:snapToGrid w:val="0"/>
          <w:sz w:val="22"/>
          <w:szCs w:val="22"/>
          <w:lang w:val="lt-LT" w:eastAsia="en-US"/>
        </w:rPr>
        <w:tab/>
      </w:r>
      <w:r w:rsidRPr="00997273">
        <w:rPr>
          <w:rFonts w:eastAsia="Times New Roman" w:cs="Times New Roman"/>
          <w:b/>
          <w:noProof/>
          <w:snapToGrid w:val="0"/>
          <w:sz w:val="22"/>
          <w:szCs w:val="22"/>
          <w:lang w:val="lt-LT" w:eastAsia="en-US"/>
        </w:rPr>
        <w:t>TIEKIMO IR VARTOJIMO SĄLYGOS AR APRIBOJIMAI</w:t>
      </w:r>
    </w:p>
    <w:p w14:paraId="2250792D" w14:textId="77777777" w:rsidR="00D00DE9" w:rsidRPr="00997273" w:rsidRDefault="00D00DE9" w:rsidP="00D00DE9">
      <w:pPr>
        <w:tabs>
          <w:tab w:val="left" w:pos="567"/>
        </w:tabs>
        <w:spacing w:line="260" w:lineRule="exact"/>
        <w:rPr>
          <w:rFonts w:eastAsia="Times New Roman" w:cs="Times New Roman"/>
          <w:snapToGrid w:val="0"/>
          <w:sz w:val="22"/>
          <w:szCs w:val="22"/>
          <w:lang w:val="lt-LT" w:eastAsia="en-US"/>
        </w:rPr>
      </w:pPr>
    </w:p>
    <w:p w14:paraId="04456747" w14:textId="77777777" w:rsidR="00D00DE9" w:rsidRPr="00997273" w:rsidRDefault="00D00DE9" w:rsidP="00D00DE9">
      <w:pPr>
        <w:tabs>
          <w:tab w:val="left" w:pos="567"/>
        </w:tabs>
        <w:spacing w:line="260" w:lineRule="exact"/>
        <w:rPr>
          <w:rFonts w:eastAsia="Times New Roman" w:cs="Times New Roman"/>
          <w:snapToGrid w:val="0"/>
          <w:sz w:val="22"/>
          <w:szCs w:val="22"/>
          <w:lang w:val="lt-LT" w:eastAsia="en-US"/>
        </w:rPr>
      </w:pPr>
      <w:r w:rsidRPr="00997273">
        <w:rPr>
          <w:rFonts w:eastAsia="Times New Roman" w:cs="Times New Roman"/>
          <w:snapToGrid w:val="0"/>
          <w:sz w:val="22"/>
          <w:szCs w:val="22"/>
          <w:lang w:val="lt-LT" w:eastAsia="en-US"/>
        </w:rPr>
        <w:t>Receptinis vaistinis preparatas.</w:t>
      </w:r>
    </w:p>
    <w:p w14:paraId="7597BD8C" w14:textId="77777777" w:rsidR="00612A8E" w:rsidRPr="00997273" w:rsidRDefault="00612A8E" w:rsidP="00612A8E">
      <w:pPr>
        <w:tabs>
          <w:tab w:val="left" w:pos="567"/>
        </w:tabs>
        <w:ind w:right="566"/>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br w:type="page"/>
      </w:r>
    </w:p>
    <w:p w14:paraId="594F8AE2"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5B8FF703"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3D04120B"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603515AC"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6F8D53FA" w14:textId="77777777" w:rsidR="00612A8E" w:rsidRPr="00997273" w:rsidRDefault="00612A8E" w:rsidP="00612A8E">
      <w:pPr>
        <w:tabs>
          <w:tab w:val="left" w:pos="567"/>
        </w:tabs>
        <w:rPr>
          <w:rFonts w:eastAsia="Times New Roman" w:cs="Times New Roman"/>
          <w:sz w:val="22"/>
          <w:szCs w:val="22"/>
          <w:lang w:val="lt-LT" w:eastAsia="lt-LT" w:bidi="lt-LT"/>
        </w:rPr>
      </w:pPr>
    </w:p>
    <w:p w14:paraId="1BDB9EA0" w14:textId="77777777" w:rsidR="00612A8E" w:rsidRPr="00997273" w:rsidRDefault="00612A8E" w:rsidP="00612A8E">
      <w:pPr>
        <w:tabs>
          <w:tab w:val="left" w:pos="567"/>
        </w:tabs>
        <w:rPr>
          <w:rFonts w:eastAsia="Times New Roman" w:cs="Times New Roman"/>
          <w:sz w:val="22"/>
          <w:szCs w:val="22"/>
          <w:lang w:val="lt-LT" w:eastAsia="lt-LT" w:bidi="lt-LT"/>
        </w:rPr>
      </w:pPr>
    </w:p>
    <w:p w14:paraId="53611CE4" w14:textId="77777777" w:rsidR="00612A8E" w:rsidRPr="00997273" w:rsidRDefault="00612A8E" w:rsidP="00612A8E">
      <w:pPr>
        <w:tabs>
          <w:tab w:val="left" w:pos="567"/>
        </w:tabs>
        <w:rPr>
          <w:rFonts w:eastAsia="Times New Roman" w:cs="Times New Roman"/>
          <w:sz w:val="22"/>
          <w:szCs w:val="22"/>
          <w:lang w:val="lt-LT" w:eastAsia="lt-LT" w:bidi="lt-LT"/>
        </w:rPr>
      </w:pPr>
    </w:p>
    <w:p w14:paraId="4F9E3C95" w14:textId="77777777" w:rsidR="00612A8E" w:rsidRPr="00997273" w:rsidRDefault="00612A8E" w:rsidP="00612A8E">
      <w:pPr>
        <w:tabs>
          <w:tab w:val="left" w:pos="567"/>
        </w:tabs>
        <w:rPr>
          <w:rFonts w:eastAsia="Times New Roman" w:cs="Times New Roman"/>
          <w:sz w:val="22"/>
          <w:szCs w:val="22"/>
          <w:lang w:val="lt-LT" w:eastAsia="lt-LT" w:bidi="lt-LT"/>
        </w:rPr>
      </w:pPr>
    </w:p>
    <w:p w14:paraId="0486ED3C" w14:textId="77777777" w:rsidR="00612A8E" w:rsidRPr="00997273" w:rsidRDefault="00612A8E" w:rsidP="00612A8E">
      <w:pPr>
        <w:tabs>
          <w:tab w:val="left" w:pos="567"/>
        </w:tabs>
        <w:rPr>
          <w:rFonts w:eastAsia="Times New Roman" w:cs="Times New Roman"/>
          <w:sz w:val="22"/>
          <w:szCs w:val="22"/>
          <w:lang w:val="lt-LT" w:eastAsia="lt-LT" w:bidi="lt-LT"/>
        </w:rPr>
      </w:pPr>
    </w:p>
    <w:p w14:paraId="4747C6C0"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27A0972F"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56D49AF9"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354A2570"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788B1180"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0A2B5736"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3BBD61E6"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6B617FA1"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166A43D8"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05B96ECB"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35DC1380"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56E4E05A"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257FC825"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322DF90D"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28B837BF" w14:textId="77777777" w:rsidR="00612A8E" w:rsidRPr="00997273" w:rsidRDefault="00612A8E" w:rsidP="00612A8E">
      <w:pPr>
        <w:tabs>
          <w:tab w:val="left" w:pos="567"/>
        </w:tabs>
        <w:jc w:val="center"/>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III PRIEDAS</w:t>
      </w:r>
    </w:p>
    <w:p w14:paraId="3E3F73ED" w14:textId="77777777" w:rsidR="00612A8E" w:rsidRPr="00997273" w:rsidRDefault="00612A8E" w:rsidP="00612A8E">
      <w:pPr>
        <w:tabs>
          <w:tab w:val="left" w:pos="567"/>
        </w:tabs>
        <w:jc w:val="center"/>
        <w:rPr>
          <w:rFonts w:eastAsia="Times New Roman" w:cs="Times New Roman"/>
          <w:b/>
          <w:noProof/>
          <w:sz w:val="22"/>
          <w:szCs w:val="22"/>
          <w:lang w:val="lt-LT" w:eastAsia="lt-LT" w:bidi="lt-LT"/>
        </w:rPr>
      </w:pPr>
    </w:p>
    <w:p w14:paraId="234F2743" w14:textId="77777777" w:rsidR="00612A8E" w:rsidRPr="00997273" w:rsidRDefault="00612A8E" w:rsidP="00612A8E">
      <w:pPr>
        <w:tabs>
          <w:tab w:val="left" w:pos="567"/>
        </w:tabs>
        <w:jc w:val="center"/>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ŽENKLINIMAS IR PAKUOTĖS LAPELIS</w:t>
      </w:r>
    </w:p>
    <w:p w14:paraId="2EA1F8DA" w14:textId="77777777" w:rsidR="00612A8E" w:rsidRPr="00997273" w:rsidRDefault="00612A8E" w:rsidP="00612A8E">
      <w:pPr>
        <w:tabs>
          <w:tab w:val="left" w:pos="567"/>
        </w:tabs>
        <w:rPr>
          <w:rFonts w:eastAsia="Times New Roman" w:cs="Times New Roman"/>
          <w:b/>
          <w:noProof/>
          <w:sz w:val="22"/>
          <w:szCs w:val="22"/>
          <w:lang w:val="lt-LT" w:eastAsia="lt-LT" w:bidi="lt-LT"/>
        </w:rPr>
      </w:pPr>
      <w:r w:rsidRPr="00997273">
        <w:rPr>
          <w:rFonts w:eastAsia="Times New Roman" w:cs="Times New Roman"/>
          <w:sz w:val="22"/>
          <w:szCs w:val="22"/>
          <w:lang w:val="lt-LT" w:eastAsia="lt-LT" w:bidi="lt-LT"/>
        </w:rPr>
        <w:br w:type="page"/>
      </w:r>
    </w:p>
    <w:p w14:paraId="16D48FED"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73A22A92"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2F481B13"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7C43814A"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44C3E879"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2ABA35B6"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44AB5318"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7B9FA099"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35E10877"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150E92E0"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6B256673"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14D84A22"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48A0B3AC"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5819A599"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6AF2CFCC"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001AB090"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1AF4238F"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2304F4FA"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1036DC63"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23B172F8"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699465FD"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7D198934"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57B1781D"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4E59E3D9" w14:textId="77777777" w:rsidR="00612A8E" w:rsidRPr="00997273" w:rsidRDefault="00612A8E" w:rsidP="00612A8E">
      <w:pPr>
        <w:tabs>
          <w:tab w:val="left" w:pos="567"/>
        </w:tabs>
        <w:jc w:val="center"/>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A. ŽENKLINIMAS</w:t>
      </w:r>
    </w:p>
    <w:p w14:paraId="6986EA93" w14:textId="77777777" w:rsidR="00612A8E" w:rsidRPr="00997273" w:rsidRDefault="00612A8E" w:rsidP="00612A8E">
      <w:pPr>
        <w:shd w:val="clear" w:color="auto" w:fill="FFFFFF"/>
        <w:tabs>
          <w:tab w:val="left" w:pos="567"/>
        </w:tabs>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br w:type="page"/>
      </w:r>
    </w:p>
    <w:p w14:paraId="77E1F512" w14:textId="77777777" w:rsidR="00612A8E" w:rsidRPr="00997273" w:rsidRDefault="009D0EAF" w:rsidP="00612A8E">
      <w:pPr>
        <w:pBdr>
          <w:top w:val="single" w:sz="4" w:space="1" w:color="auto"/>
          <w:left w:val="single" w:sz="4" w:space="4" w:color="auto"/>
          <w:bottom w:val="single" w:sz="4" w:space="1" w:color="auto"/>
          <w:right w:val="single" w:sz="4" w:space="4" w:color="auto"/>
        </w:pBdr>
        <w:tabs>
          <w:tab w:val="left" w:pos="567"/>
        </w:tabs>
        <w:rPr>
          <w:rFonts w:eastAsia="Times New Roman" w:cs="Times New Roman"/>
          <w:b/>
          <w:noProof/>
          <w:sz w:val="22"/>
          <w:szCs w:val="22"/>
          <w:lang w:val="lt-LT" w:eastAsia="lt-LT" w:bidi="lt-LT"/>
        </w:rPr>
      </w:pPr>
      <w:bookmarkStart w:id="2" w:name="_Hlk97560881"/>
      <w:r w:rsidRPr="00997273">
        <w:rPr>
          <w:rFonts w:eastAsia="Times New Roman" w:cs="Times New Roman"/>
          <w:b/>
          <w:noProof/>
          <w:sz w:val="22"/>
          <w:szCs w:val="22"/>
          <w:lang w:val="lt-LT" w:eastAsia="lt-LT" w:bidi="lt-LT"/>
        </w:rPr>
        <w:lastRenderedPageBreak/>
        <w:t xml:space="preserve">INFORMACIJA ANT </w:t>
      </w:r>
      <w:r w:rsidR="00612A8E" w:rsidRPr="00997273">
        <w:rPr>
          <w:rFonts w:eastAsia="Times New Roman" w:cs="Times New Roman"/>
          <w:b/>
          <w:noProof/>
          <w:sz w:val="22"/>
          <w:szCs w:val="22"/>
          <w:lang w:val="lt-LT" w:eastAsia="lt-LT" w:bidi="lt-LT"/>
        </w:rPr>
        <w:t>IŠORINĖS</w:t>
      </w:r>
      <w:r w:rsidRPr="00997273">
        <w:rPr>
          <w:rFonts w:eastAsia="Times New Roman" w:cs="Times New Roman"/>
          <w:b/>
          <w:noProof/>
          <w:sz w:val="22"/>
          <w:szCs w:val="22"/>
          <w:lang w:val="lt-LT" w:eastAsia="lt-LT" w:bidi="lt-LT"/>
        </w:rPr>
        <w:t xml:space="preserve"> </w:t>
      </w:r>
      <w:r w:rsidR="00612A8E" w:rsidRPr="00997273">
        <w:rPr>
          <w:rFonts w:eastAsia="Times New Roman" w:cs="Times New Roman"/>
          <w:b/>
          <w:noProof/>
          <w:sz w:val="22"/>
          <w:szCs w:val="22"/>
          <w:lang w:val="lt-LT" w:eastAsia="lt-LT" w:bidi="lt-LT"/>
        </w:rPr>
        <w:t>PAKUOTĖS</w:t>
      </w:r>
    </w:p>
    <w:p w14:paraId="3283B46B" w14:textId="77777777" w:rsidR="00612A8E" w:rsidRPr="00997273" w:rsidRDefault="00612A8E" w:rsidP="00612A8E">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Cs/>
          <w:noProof/>
          <w:sz w:val="22"/>
          <w:szCs w:val="22"/>
          <w:lang w:val="lt-LT" w:eastAsia="lt-LT" w:bidi="lt-LT"/>
        </w:rPr>
      </w:pPr>
    </w:p>
    <w:p w14:paraId="01AD3089" w14:textId="2C72BEFB" w:rsidR="00612A8E" w:rsidRPr="00997273" w:rsidRDefault="009D0EAF" w:rsidP="00612A8E">
      <w:pPr>
        <w:pBdr>
          <w:top w:val="single" w:sz="4" w:space="1" w:color="auto"/>
          <w:left w:val="single" w:sz="4" w:space="4" w:color="auto"/>
          <w:bottom w:val="single" w:sz="4" w:space="1" w:color="auto"/>
          <w:right w:val="single" w:sz="4" w:space="4" w:color="auto"/>
        </w:pBdr>
        <w:tabs>
          <w:tab w:val="left" w:pos="567"/>
        </w:tabs>
        <w:rPr>
          <w:rFonts w:eastAsia="Times New Roman" w:cs="Times New Roman"/>
          <w:bCs/>
          <w:noProof/>
          <w:sz w:val="22"/>
          <w:szCs w:val="22"/>
          <w:lang w:val="lt-LT" w:eastAsia="lt-LT" w:bidi="lt-LT"/>
        </w:rPr>
      </w:pPr>
      <w:r w:rsidRPr="00997273">
        <w:rPr>
          <w:rFonts w:eastAsia="Times New Roman" w:cs="Times New Roman"/>
          <w:b/>
          <w:noProof/>
          <w:sz w:val="22"/>
          <w:szCs w:val="22"/>
          <w:lang w:val="lt-LT" w:eastAsia="lt-LT" w:bidi="lt-LT"/>
        </w:rPr>
        <w:t>KARTONO DĖŽUTĖ</w:t>
      </w:r>
    </w:p>
    <w:p w14:paraId="6C2BAC11" w14:textId="77777777" w:rsidR="00612A8E" w:rsidRPr="00997273" w:rsidRDefault="00612A8E" w:rsidP="00612A8E">
      <w:pPr>
        <w:tabs>
          <w:tab w:val="left" w:pos="567"/>
        </w:tabs>
        <w:rPr>
          <w:rFonts w:eastAsia="Times New Roman" w:cs="Times New Roman"/>
          <w:sz w:val="22"/>
          <w:szCs w:val="22"/>
          <w:lang w:val="lt-LT" w:eastAsia="lt-LT" w:bidi="lt-LT"/>
        </w:rPr>
      </w:pPr>
    </w:p>
    <w:p w14:paraId="62750023" w14:textId="77777777" w:rsidR="00612A8E" w:rsidRPr="00997273" w:rsidRDefault="00612A8E" w:rsidP="00612A8E">
      <w:pPr>
        <w:tabs>
          <w:tab w:val="left" w:pos="567"/>
        </w:tabs>
        <w:rPr>
          <w:rFonts w:eastAsia="Times New Roman" w:cs="Times New Roman"/>
          <w:noProof/>
          <w:sz w:val="22"/>
          <w:szCs w:val="22"/>
          <w:lang w:val="lt-LT" w:eastAsia="lt-LT" w:bidi="lt-LT"/>
        </w:rPr>
      </w:pPr>
      <w:bookmarkStart w:id="3" w:name="_Hlk97561050"/>
    </w:p>
    <w:p w14:paraId="3D932824"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sz w:val="22"/>
          <w:szCs w:val="22"/>
          <w:lang w:val="lt-LT" w:eastAsia="lt-LT" w:bidi="lt-LT"/>
        </w:rPr>
      </w:pPr>
      <w:r w:rsidRPr="00997273">
        <w:rPr>
          <w:rFonts w:eastAsia="Times New Roman" w:cs="Times New Roman"/>
          <w:b/>
          <w:sz w:val="22"/>
          <w:szCs w:val="22"/>
          <w:lang w:val="lt-LT" w:eastAsia="lt-LT" w:bidi="lt-LT"/>
        </w:rPr>
        <w:t>VAISTINIO PREPARATO PAVADINIMAS</w:t>
      </w:r>
    </w:p>
    <w:p w14:paraId="5177B65B"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789BB39F" w14:textId="49157E39" w:rsidR="00240228" w:rsidRPr="00997273" w:rsidRDefault="00AE2AD2" w:rsidP="00240228">
      <w:pPr>
        <w:widowControl w:val="0"/>
        <w:tabs>
          <w:tab w:val="left" w:pos="567"/>
        </w:tabs>
        <w:rPr>
          <w:rFonts w:eastAsia="Times New Roman" w:cs="Times New Roman"/>
          <w:sz w:val="22"/>
          <w:szCs w:val="22"/>
          <w:lang w:val="lt-LT" w:eastAsia="lt-LT" w:bidi="lt-LT"/>
        </w:rPr>
      </w:pPr>
      <w:bookmarkStart w:id="4" w:name="_Hlk97561202"/>
      <w:proofErr w:type="spellStart"/>
      <w:r>
        <w:rPr>
          <w:rFonts w:eastAsia="Times New Roman" w:cs="Times New Roman"/>
          <w:sz w:val="22"/>
          <w:szCs w:val="22"/>
          <w:lang w:val="lt-LT" w:eastAsia="lt-LT" w:bidi="lt-LT"/>
        </w:rPr>
        <w:t>Meliglix</w:t>
      </w:r>
      <w:proofErr w:type="spellEnd"/>
      <w:r w:rsidR="00240228" w:rsidRPr="00997273">
        <w:rPr>
          <w:rFonts w:eastAsia="Times New Roman" w:cs="Times New Roman"/>
          <w:sz w:val="22"/>
          <w:szCs w:val="22"/>
          <w:lang w:val="lt-LT" w:eastAsia="lt-LT" w:bidi="lt-LT"/>
        </w:rPr>
        <w:t xml:space="preserve"> 25 mg </w:t>
      </w:r>
      <w:r w:rsidR="00240228" w:rsidRPr="00297C23">
        <w:rPr>
          <w:rFonts w:eastAsia="Times New Roman" w:cs="Times New Roman"/>
          <w:sz w:val="22"/>
          <w:szCs w:val="22"/>
          <w:lang w:val="lt-LT" w:eastAsia="lt-LT" w:bidi="lt-LT"/>
        </w:rPr>
        <w:t>plėvele dengtos</w:t>
      </w:r>
      <w:r w:rsidR="00240228" w:rsidRPr="00997273">
        <w:rPr>
          <w:rFonts w:eastAsia="Times New Roman" w:cs="Times New Roman"/>
          <w:sz w:val="22"/>
          <w:szCs w:val="22"/>
          <w:lang w:val="lt-LT" w:eastAsia="lt-LT" w:bidi="lt-LT"/>
        </w:rPr>
        <w:t xml:space="preserve"> tabletės</w:t>
      </w:r>
    </w:p>
    <w:p w14:paraId="3CAB2420" w14:textId="58981EC8" w:rsidR="009D363F" w:rsidRPr="001D58CB" w:rsidRDefault="00AE2AD2" w:rsidP="009D363F">
      <w:pPr>
        <w:widowControl w:val="0"/>
        <w:tabs>
          <w:tab w:val="left" w:pos="567"/>
        </w:tabs>
        <w:rPr>
          <w:rFonts w:eastAsia="Times New Roman" w:cs="Times New Roman"/>
          <w:sz w:val="22"/>
          <w:szCs w:val="22"/>
          <w:highlight w:val="lightGray"/>
          <w:lang w:val="lt-LT" w:eastAsia="lt-LT" w:bidi="lt-LT"/>
        </w:rPr>
      </w:pPr>
      <w:proofErr w:type="spellStart"/>
      <w:r>
        <w:rPr>
          <w:rFonts w:eastAsia="Times New Roman" w:cs="Times New Roman"/>
          <w:sz w:val="22"/>
          <w:szCs w:val="22"/>
          <w:highlight w:val="lightGray"/>
          <w:lang w:val="lt-LT" w:eastAsia="lt-LT" w:bidi="lt-LT"/>
        </w:rPr>
        <w:t>Meliglix</w:t>
      </w:r>
      <w:proofErr w:type="spellEnd"/>
      <w:r w:rsidR="009D363F" w:rsidRPr="001D58CB">
        <w:rPr>
          <w:rFonts w:eastAsia="Times New Roman" w:cs="Times New Roman"/>
          <w:sz w:val="22"/>
          <w:szCs w:val="22"/>
          <w:highlight w:val="lightGray"/>
          <w:lang w:val="lt-LT" w:eastAsia="lt-LT" w:bidi="lt-LT"/>
        </w:rPr>
        <w:t xml:space="preserve"> 50 mg plėvele dengtos tabletės</w:t>
      </w:r>
    </w:p>
    <w:p w14:paraId="0846D08D" w14:textId="5EE1C2D5" w:rsidR="00240228" w:rsidRPr="00297C23" w:rsidRDefault="00AE2AD2" w:rsidP="00240228">
      <w:pPr>
        <w:widowControl w:val="0"/>
        <w:tabs>
          <w:tab w:val="left" w:pos="567"/>
        </w:tabs>
        <w:rPr>
          <w:rFonts w:eastAsia="Times New Roman" w:cs="Times New Roman"/>
          <w:sz w:val="22"/>
          <w:szCs w:val="22"/>
          <w:lang w:val="en-US" w:eastAsia="en-US"/>
        </w:rPr>
      </w:pPr>
      <w:proofErr w:type="spellStart"/>
      <w:r w:rsidRPr="00297C23">
        <w:rPr>
          <w:rFonts w:eastAsia="Times New Roman" w:cs="Times New Roman"/>
          <w:sz w:val="22"/>
          <w:szCs w:val="22"/>
          <w:highlight w:val="darkGray"/>
          <w:lang w:val="en-US" w:eastAsia="en-US"/>
        </w:rPr>
        <w:t>Meliglix</w:t>
      </w:r>
      <w:proofErr w:type="spellEnd"/>
      <w:r w:rsidR="00240228" w:rsidRPr="00297C23">
        <w:rPr>
          <w:rFonts w:eastAsia="Times New Roman" w:cs="Times New Roman"/>
          <w:sz w:val="22"/>
          <w:szCs w:val="22"/>
          <w:highlight w:val="darkGray"/>
          <w:lang w:val="en-US" w:eastAsia="en-US"/>
        </w:rPr>
        <w:t xml:space="preserve"> 100 mg </w:t>
      </w:r>
      <w:proofErr w:type="spellStart"/>
      <w:r w:rsidR="00240228" w:rsidRPr="00297C23">
        <w:rPr>
          <w:rFonts w:eastAsia="Times New Roman" w:cs="Times New Roman"/>
          <w:sz w:val="22"/>
          <w:szCs w:val="22"/>
          <w:highlight w:val="darkGray"/>
          <w:lang w:val="en-US" w:eastAsia="en-US"/>
        </w:rPr>
        <w:t>plėvele</w:t>
      </w:r>
      <w:proofErr w:type="spellEnd"/>
      <w:r w:rsidR="00240228" w:rsidRPr="00297C23">
        <w:rPr>
          <w:rFonts w:eastAsia="Times New Roman" w:cs="Times New Roman"/>
          <w:sz w:val="22"/>
          <w:szCs w:val="22"/>
          <w:highlight w:val="darkGray"/>
          <w:lang w:val="en-US" w:eastAsia="en-US"/>
        </w:rPr>
        <w:t xml:space="preserve"> </w:t>
      </w:r>
      <w:proofErr w:type="spellStart"/>
      <w:r w:rsidR="00240228" w:rsidRPr="00297C23">
        <w:rPr>
          <w:rFonts w:eastAsia="Times New Roman" w:cs="Times New Roman"/>
          <w:sz w:val="22"/>
          <w:szCs w:val="22"/>
          <w:highlight w:val="darkGray"/>
          <w:lang w:val="en-US" w:eastAsia="en-US"/>
        </w:rPr>
        <w:t>dengtos</w:t>
      </w:r>
      <w:proofErr w:type="spellEnd"/>
      <w:r w:rsidR="00240228" w:rsidRPr="00297C23">
        <w:rPr>
          <w:rFonts w:eastAsia="Times New Roman" w:cs="Times New Roman"/>
          <w:sz w:val="22"/>
          <w:szCs w:val="22"/>
          <w:highlight w:val="darkGray"/>
          <w:lang w:val="en-US" w:eastAsia="en-US"/>
        </w:rPr>
        <w:t xml:space="preserve"> </w:t>
      </w:r>
      <w:proofErr w:type="spellStart"/>
      <w:r w:rsidR="00240228" w:rsidRPr="00297C23">
        <w:rPr>
          <w:rFonts w:eastAsia="Times New Roman" w:cs="Times New Roman"/>
          <w:sz w:val="22"/>
          <w:szCs w:val="22"/>
          <w:highlight w:val="darkGray"/>
          <w:lang w:val="en-US" w:eastAsia="en-US"/>
        </w:rPr>
        <w:t>tabletės</w:t>
      </w:r>
      <w:proofErr w:type="spellEnd"/>
    </w:p>
    <w:p w14:paraId="5C38092C" w14:textId="77777777" w:rsidR="009D363F" w:rsidRDefault="009D363F" w:rsidP="00612A8E">
      <w:pPr>
        <w:tabs>
          <w:tab w:val="left" w:pos="567"/>
        </w:tabs>
        <w:rPr>
          <w:rFonts w:cs="Times New Roman"/>
          <w:sz w:val="22"/>
          <w:szCs w:val="22"/>
          <w:lang w:val="lt-LT" w:eastAsia="en-US"/>
        </w:rPr>
      </w:pPr>
    </w:p>
    <w:p w14:paraId="1FBB7962" w14:textId="3F2A7E32" w:rsidR="00612A8E" w:rsidRPr="00997273" w:rsidRDefault="009D363F" w:rsidP="00612A8E">
      <w:pPr>
        <w:tabs>
          <w:tab w:val="left" w:pos="567"/>
        </w:tabs>
        <w:rPr>
          <w:rFonts w:eastAsia="Times New Roman" w:cs="Times New Roman"/>
          <w:noProof/>
          <w:sz w:val="22"/>
          <w:szCs w:val="22"/>
          <w:lang w:val="lt-LT" w:eastAsia="lt-LT" w:bidi="lt-LT"/>
        </w:rPr>
      </w:pPr>
      <w:proofErr w:type="spellStart"/>
      <w:r>
        <w:rPr>
          <w:rFonts w:cs="Times New Roman"/>
          <w:sz w:val="22"/>
          <w:szCs w:val="22"/>
          <w:lang w:val="lt-LT" w:eastAsia="en-US"/>
        </w:rPr>
        <w:t>s</w:t>
      </w:r>
      <w:r w:rsidR="00240228" w:rsidRPr="00997273">
        <w:rPr>
          <w:rFonts w:cs="Times New Roman"/>
          <w:sz w:val="22"/>
          <w:szCs w:val="22"/>
          <w:lang w:val="lt-LT" w:eastAsia="en-US"/>
        </w:rPr>
        <w:t>itagliptin</w:t>
      </w:r>
      <w:r w:rsidR="00097B9A" w:rsidRPr="00997273">
        <w:rPr>
          <w:rFonts w:cs="Times New Roman"/>
          <w:sz w:val="22"/>
          <w:szCs w:val="22"/>
          <w:lang w:val="lt-LT" w:eastAsia="en-US"/>
        </w:rPr>
        <w:t>um</w:t>
      </w:r>
      <w:proofErr w:type="spellEnd"/>
    </w:p>
    <w:p w14:paraId="762C5501"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1DC5EE3E" w14:textId="77777777" w:rsidR="009A7E02" w:rsidRPr="00997273" w:rsidRDefault="009A7E02" w:rsidP="00612A8E">
      <w:pPr>
        <w:tabs>
          <w:tab w:val="left" w:pos="567"/>
        </w:tabs>
        <w:rPr>
          <w:rFonts w:eastAsia="Times New Roman" w:cs="Times New Roman"/>
          <w:noProof/>
          <w:sz w:val="22"/>
          <w:szCs w:val="22"/>
          <w:lang w:val="lt-LT" w:eastAsia="lt-LT" w:bidi="lt-LT"/>
        </w:rPr>
      </w:pPr>
    </w:p>
    <w:p w14:paraId="4D518322"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VEIKLIOJI (-IOS) MEDŽIAGA (-OS) IR JOS (-Ų) KIEKIS (-IAI)</w:t>
      </w:r>
    </w:p>
    <w:p w14:paraId="4B209B8C"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72B3FC4E" w14:textId="5004A7C6" w:rsidR="009D363F" w:rsidRPr="00997273" w:rsidRDefault="009D363F" w:rsidP="009D363F">
      <w:pPr>
        <w:keepNext/>
        <w:tabs>
          <w:tab w:val="left" w:pos="567"/>
        </w:tabs>
        <w:rPr>
          <w:rFonts w:cs="Times New Roman"/>
          <w:sz w:val="22"/>
          <w:szCs w:val="22"/>
          <w:lang w:val="lt-LT" w:eastAsia="en-US"/>
        </w:rPr>
      </w:pPr>
      <w:r w:rsidRPr="00611D60">
        <w:rPr>
          <w:rFonts w:cs="Times New Roman"/>
          <w:sz w:val="22"/>
          <w:szCs w:val="22"/>
          <w:lang w:val="lt-LT" w:eastAsia="en-US"/>
        </w:rPr>
        <w:t xml:space="preserve">Kiekvienoje </w:t>
      </w:r>
      <w:r w:rsidRPr="00297C23">
        <w:rPr>
          <w:sz w:val="22"/>
          <w:lang w:val="lt-LT"/>
        </w:rPr>
        <w:t>plėvele dengtoje</w:t>
      </w:r>
      <w:r w:rsidRPr="00611D60">
        <w:rPr>
          <w:rFonts w:cs="Times New Roman"/>
          <w:sz w:val="22"/>
          <w:szCs w:val="22"/>
          <w:lang w:val="lt-LT" w:eastAsia="en-US"/>
        </w:rPr>
        <w:t xml:space="preserve"> tabletėje yra </w:t>
      </w:r>
      <w:proofErr w:type="spellStart"/>
      <w:r w:rsidRPr="00611D60">
        <w:rPr>
          <w:rFonts w:cs="Times New Roman"/>
          <w:sz w:val="22"/>
          <w:szCs w:val="22"/>
          <w:lang w:val="lt-LT" w:eastAsia="en-US"/>
        </w:rPr>
        <w:t>sitagliptino</w:t>
      </w:r>
      <w:proofErr w:type="spellEnd"/>
      <w:r w:rsidRPr="00611D60">
        <w:rPr>
          <w:rFonts w:cs="Times New Roman"/>
          <w:sz w:val="22"/>
          <w:szCs w:val="22"/>
          <w:lang w:val="lt-LT" w:eastAsia="en-US"/>
        </w:rPr>
        <w:t xml:space="preserve"> hidrochlorido, atitinkančio </w:t>
      </w:r>
      <w:r w:rsidR="006A1DA0" w:rsidRPr="00611D60">
        <w:rPr>
          <w:rFonts w:cs="Times New Roman"/>
          <w:sz w:val="22"/>
          <w:szCs w:val="22"/>
          <w:lang w:val="lt-LT" w:eastAsia="en-US"/>
        </w:rPr>
        <w:t>2</w:t>
      </w:r>
      <w:r w:rsidRPr="00611D60">
        <w:rPr>
          <w:rFonts w:cs="Times New Roman"/>
          <w:sz w:val="22"/>
          <w:szCs w:val="22"/>
          <w:lang w:val="lt-LT" w:eastAsia="en-US"/>
        </w:rPr>
        <w:t xml:space="preserve">5 mg </w:t>
      </w:r>
      <w:proofErr w:type="spellStart"/>
      <w:r w:rsidRPr="00611D60">
        <w:rPr>
          <w:rFonts w:cs="Times New Roman"/>
          <w:sz w:val="22"/>
          <w:szCs w:val="22"/>
          <w:lang w:val="lt-LT" w:eastAsia="en-US"/>
        </w:rPr>
        <w:t>sitagliptino</w:t>
      </w:r>
      <w:proofErr w:type="spellEnd"/>
      <w:r w:rsidRPr="00611D60">
        <w:rPr>
          <w:rFonts w:cs="Times New Roman"/>
          <w:sz w:val="22"/>
          <w:szCs w:val="22"/>
          <w:lang w:val="lt-LT" w:eastAsia="en-US"/>
        </w:rPr>
        <w:t>.</w:t>
      </w:r>
    </w:p>
    <w:p w14:paraId="40D2E0F4" w14:textId="5DA53F14" w:rsidR="006A1DA0" w:rsidRPr="00B54042" w:rsidRDefault="006A1DA0" w:rsidP="006A1DA0">
      <w:pPr>
        <w:keepNext/>
        <w:tabs>
          <w:tab w:val="left" w:pos="567"/>
        </w:tabs>
        <w:rPr>
          <w:rFonts w:cs="Times New Roman"/>
          <w:sz w:val="22"/>
          <w:szCs w:val="22"/>
          <w:highlight w:val="lightGray"/>
          <w:lang w:val="lt-LT" w:eastAsia="en-US"/>
        </w:rPr>
      </w:pPr>
      <w:r w:rsidRPr="00B54042">
        <w:rPr>
          <w:rFonts w:cs="Times New Roman"/>
          <w:sz w:val="22"/>
          <w:szCs w:val="22"/>
          <w:highlight w:val="lightGray"/>
          <w:lang w:val="lt-LT" w:eastAsia="en-US"/>
        </w:rPr>
        <w:t xml:space="preserve">Kiekvienoje plėvele dengtoje tabletėje yra </w:t>
      </w:r>
      <w:proofErr w:type="spellStart"/>
      <w:r w:rsidRPr="00B54042">
        <w:rPr>
          <w:rFonts w:cs="Times New Roman"/>
          <w:sz w:val="22"/>
          <w:szCs w:val="22"/>
          <w:highlight w:val="lightGray"/>
          <w:lang w:val="lt-LT" w:eastAsia="en-US"/>
        </w:rPr>
        <w:t>sitagliptino</w:t>
      </w:r>
      <w:proofErr w:type="spellEnd"/>
      <w:r w:rsidRPr="00B54042">
        <w:rPr>
          <w:rFonts w:cs="Times New Roman"/>
          <w:sz w:val="22"/>
          <w:szCs w:val="22"/>
          <w:highlight w:val="lightGray"/>
          <w:lang w:val="lt-LT" w:eastAsia="en-US"/>
        </w:rPr>
        <w:t xml:space="preserve"> hidrochlorido, atitinkančio 50 mg </w:t>
      </w:r>
      <w:proofErr w:type="spellStart"/>
      <w:r w:rsidRPr="00B54042">
        <w:rPr>
          <w:rFonts w:cs="Times New Roman"/>
          <w:sz w:val="22"/>
          <w:szCs w:val="22"/>
          <w:highlight w:val="lightGray"/>
          <w:lang w:val="lt-LT" w:eastAsia="en-US"/>
        </w:rPr>
        <w:t>sitagliptino</w:t>
      </w:r>
      <w:proofErr w:type="spellEnd"/>
      <w:r w:rsidRPr="00B54042">
        <w:rPr>
          <w:rFonts w:cs="Times New Roman"/>
          <w:sz w:val="22"/>
          <w:szCs w:val="22"/>
          <w:highlight w:val="lightGray"/>
          <w:lang w:val="lt-LT" w:eastAsia="en-US"/>
        </w:rPr>
        <w:t>.</w:t>
      </w:r>
    </w:p>
    <w:p w14:paraId="750CBE6A" w14:textId="2771CE8A" w:rsidR="006A1DA0" w:rsidRPr="00BB40BE" w:rsidRDefault="006A1DA0" w:rsidP="00297C23">
      <w:pPr>
        <w:pStyle w:val="Pagrindinistekstas"/>
        <w:widowControl w:val="0"/>
        <w:shd w:val="clear" w:color="auto" w:fill="BFBFBF" w:themeFill="background1" w:themeFillShade="BF"/>
        <w:autoSpaceDE w:val="0"/>
        <w:autoSpaceDN w:val="0"/>
        <w:ind w:right="202"/>
        <w:rPr>
          <w:szCs w:val="22"/>
          <w:lang w:eastAsia="en-US"/>
        </w:rPr>
      </w:pPr>
      <w:r w:rsidRPr="00BB40BE">
        <w:rPr>
          <w:i w:val="0"/>
          <w:color w:val="auto"/>
          <w:szCs w:val="22"/>
          <w:lang w:eastAsia="en-US" w:bidi="ar-SA"/>
        </w:rPr>
        <w:t xml:space="preserve">Kiekvienoje plėvele dengtoje tabletėje yra </w:t>
      </w:r>
      <w:proofErr w:type="spellStart"/>
      <w:r w:rsidRPr="00BB40BE">
        <w:rPr>
          <w:i w:val="0"/>
          <w:color w:val="auto"/>
          <w:szCs w:val="22"/>
          <w:lang w:eastAsia="en-US" w:bidi="ar-SA"/>
        </w:rPr>
        <w:t>sitagliptino</w:t>
      </w:r>
      <w:proofErr w:type="spellEnd"/>
      <w:r w:rsidRPr="00BB40BE">
        <w:rPr>
          <w:i w:val="0"/>
          <w:color w:val="auto"/>
          <w:szCs w:val="22"/>
          <w:lang w:eastAsia="en-US" w:bidi="ar-SA"/>
        </w:rPr>
        <w:t xml:space="preserve"> hidrochlorido, atitinkančio 100 mg </w:t>
      </w:r>
      <w:proofErr w:type="spellStart"/>
      <w:r w:rsidRPr="00BB40BE">
        <w:rPr>
          <w:i w:val="0"/>
          <w:color w:val="auto"/>
          <w:szCs w:val="22"/>
          <w:lang w:eastAsia="en-US" w:bidi="ar-SA"/>
        </w:rPr>
        <w:t>sitagliptino</w:t>
      </w:r>
      <w:proofErr w:type="spellEnd"/>
      <w:r w:rsidRPr="00BB40BE">
        <w:rPr>
          <w:i w:val="0"/>
          <w:color w:val="auto"/>
          <w:szCs w:val="22"/>
          <w:lang w:eastAsia="en-US" w:bidi="ar-SA"/>
        </w:rPr>
        <w:t>.</w:t>
      </w:r>
    </w:p>
    <w:p w14:paraId="4069F33C"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3BA5241B" w14:textId="77777777" w:rsidR="00400E07" w:rsidRPr="00997273" w:rsidRDefault="00400E07" w:rsidP="00612A8E">
      <w:pPr>
        <w:tabs>
          <w:tab w:val="left" w:pos="567"/>
        </w:tabs>
        <w:rPr>
          <w:rFonts w:eastAsia="Times New Roman" w:cs="Times New Roman"/>
          <w:noProof/>
          <w:sz w:val="22"/>
          <w:szCs w:val="22"/>
          <w:lang w:val="lt-LT" w:eastAsia="lt-LT" w:bidi="lt-LT"/>
        </w:rPr>
      </w:pPr>
    </w:p>
    <w:p w14:paraId="4966FB72"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PAGALBINIŲ MEDŽIAGŲ SĄRAŠAS</w:t>
      </w:r>
    </w:p>
    <w:p w14:paraId="02861470" w14:textId="557089F4" w:rsidR="00796AB5" w:rsidRPr="00997273" w:rsidRDefault="00796AB5" w:rsidP="00612A8E">
      <w:pPr>
        <w:tabs>
          <w:tab w:val="left" w:pos="567"/>
        </w:tabs>
        <w:rPr>
          <w:rFonts w:eastAsia="Times New Roman" w:cs="Times New Roman"/>
          <w:noProof/>
          <w:sz w:val="22"/>
          <w:szCs w:val="22"/>
          <w:lang w:val="lt-LT" w:eastAsia="lt-LT" w:bidi="lt-LT"/>
        </w:rPr>
      </w:pPr>
    </w:p>
    <w:p w14:paraId="55720B96"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133350B6"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FARMACINĖ FORMA IR KIEKIS PAKUOTĖJE</w:t>
      </w:r>
    </w:p>
    <w:p w14:paraId="32AC1A14" w14:textId="77777777" w:rsidR="00400E07" w:rsidRPr="00997273" w:rsidRDefault="00400E07" w:rsidP="00400E07">
      <w:pPr>
        <w:autoSpaceDE w:val="0"/>
        <w:autoSpaceDN w:val="0"/>
        <w:adjustRightInd w:val="0"/>
        <w:rPr>
          <w:rFonts w:cs="Times New Roman"/>
          <w:sz w:val="22"/>
          <w:szCs w:val="22"/>
          <w:lang w:val="lt-LT" w:eastAsia="en-US"/>
        </w:rPr>
      </w:pPr>
    </w:p>
    <w:p w14:paraId="2C5C3C53" w14:textId="15014184" w:rsidR="00611D60" w:rsidRPr="00611D60" w:rsidRDefault="00611D60" w:rsidP="00611D60">
      <w:pPr>
        <w:autoSpaceDE w:val="0"/>
        <w:autoSpaceDN w:val="0"/>
        <w:adjustRightInd w:val="0"/>
        <w:rPr>
          <w:rFonts w:cs="Times New Roman"/>
          <w:sz w:val="22"/>
          <w:szCs w:val="22"/>
          <w:lang w:val="lt-LT" w:eastAsia="en-US"/>
        </w:rPr>
      </w:pPr>
      <w:bookmarkStart w:id="5" w:name="_Hlk90975398"/>
      <w:r w:rsidRPr="00611D60">
        <w:rPr>
          <w:rFonts w:cs="Times New Roman"/>
          <w:sz w:val="22"/>
          <w:szCs w:val="22"/>
          <w:lang w:val="lt-LT" w:eastAsia="en-US"/>
        </w:rPr>
        <w:t>14</w:t>
      </w:r>
      <w:r>
        <w:rPr>
          <w:rFonts w:cs="Times New Roman"/>
          <w:sz w:val="22"/>
          <w:szCs w:val="22"/>
          <w:lang w:val="lt-LT" w:eastAsia="en-US"/>
        </w:rPr>
        <w:t> plėvele dengtų tablečių</w:t>
      </w:r>
    </w:p>
    <w:p w14:paraId="698310F8" w14:textId="56720395" w:rsidR="00611D60" w:rsidRPr="00297C23" w:rsidRDefault="00611D60" w:rsidP="00611D60">
      <w:pPr>
        <w:autoSpaceDE w:val="0"/>
        <w:autoSpaceDN w:val="0"/>
        <w:adjustRightInd w:val="0"/>
        <w:rPr>
          <w:rFonts w:cs="Times New Roman"/>
          <w:sz w:val="22"/>
          <w:szCs w:val="22"/>
          <w:highlight w:val="lightGray"/>
          <w:lang w:val="lt-LT" w:eastAsia="en-US"/>
        </w:rPr>
      </w:pPr>
      <w:r w:rsidRPr="00297C23">
        <w:rPr>
          <w:rFonts w:cs="Times New Roman"/>
          <w:sz w:val="22"/>
          <w:szCs w:val="22"/>
          <w:highlight w:val="lightGray"/>
          <w:lang w:val="lt-LT" w:eastAsia="en-US"/>
        </w:rPr>
        <w:t>28 plėvele dengtos tabletės</w:t>
      </w:r>
    </w:p>
    <w:p w14:paraId="642EEB9C" w14:textId="20B86573" w:rsidR="00611D60" w:rsidRPr="00297C23" w:rsidRDefault="00611D60" w:rsidP="00611D60">
      <w:pPr>
        <w:autoSpaceDE w:val="0"/>
        <w:autoSpaceDN w:val="0"/>
        <w:adjustRightInd w:val="0"/>
        <w:rPr>
          <w:rFonts w:cs="Times New Roman"/>
          <w:sz w:val="22"/>
          <w:szCs w:val="22"/>
          <w:highlight w:val="lightGray"/>
          <w:lang w:val="lt-LT" w:eastAsia="en-US"/>
        </w:rPr>
      </w:pPr>
      <w:r w:rsidRPr="00297C23">
        <w:rPr>
          <w:rFonts w:cs="Times New Roman"/>
          <w:sz w:val="22"/>
          <w:szCs w:val="22"/>
          <w:highlight w:val="lightGray"/>
          <w:lang w:val="lt-LT" w:eastAsia="en-US"/>
        </w:rPr>
        <w:t>30 plėvele dengtų tablečių</w:t>
      </w:r>
    </w:p>
    <w:p w14:paraId="7711A0A0" w14:textId="1D395740" w:rsidR="00611D60" w:rsidRPr="00297C23" w:rsidRDefault="00611D60" w:rsidP="00611D60">
      <w:pPr>
        <w:autoSpaceDE w:val="0"/>
        <w:autoSpaceDN w:val="0"/>
        <w:adjustRightInd w:val="0"/>
        <w:rPr>
          <w:rFonts w:cs="Times New Roman"/>
          <w:sz w:val="22"/>
          <w:szCs w:val="22"/>
          <w:highlight w:val="lightGray"/>
          <w:lang w:val="lt-LT" w:eastAsia="en-US"/>
        </w:rPr>
      </w:pPr>
      <w:r w:rsidRPr="00297C23">
        <w:rPr>
          <w:rFonts w:cs="Times New Roman"/>
          <w:sz w:val="22"/>
          <w:szCs w:val="22"/>
          <w:highlight w:val="lightGray"/>
          <w:lang w:val="lt-LT" w:eastAsia="en-US"/>
        </w:rPr>
        <w:t>56 plėvele dengtos tabletės</w:t>
      </w:r>
    </w:p>
    <w:p w14:paraId="7A4C1BF9" w14:textId="735A93DC" w:rsidR="00611D60" w:rsidRPr="00297C23" w:rsidRDefault="00611D60" w:rsidP="00611D60">
      <w:pPr>
        <w:autoSpaceDE w:val="0"/>
        <w:autoSpaceDN w:val="0"/>
        <w:adjustRightInd w:val="0"/>
        <w:rPr>
          <w:rFonts w:cs="Times New Roman"/>
          <w:sz w:val="22"/>
          <w:szCs w:val="22"/>
          <w:highlight w:val="lightGray"/>
          <w:lang w:val="lt-LT" w:eastAsia="en-US"/>
        </w:rPr>
      </w:pPr>
      <w:r w:rsidRPr="00297C23">
        <w:rPr>
          <w:rFonts w:cs="Times New Roman"/>
          <w:sz w:val="22"/>
          <w:szCs w:val="22"/>
          <w:highlight w:val="lightGray"/>
          <w:lang w:val="lt-LT" w:eastAsia="en-US"/>
        </w:rPr>
        <w:t>84 plėvele dengtos tabletės</w:t>
      </w:r>
    </w:p>
    <w:p w14:paraId="54DA176B" w14:textId="7D5F8755" w:rsidR="00611D60" w:rsidRPr="00297C23" w:rsidRDefault="00611D60" w:rsidP="00611D60">
      <w:pPr>
        <w:autoSpaceDE w:val="0"/>
        <w:autoSpaceDN w:val="0"/>
        <w:adjustRightInd w:val="0"/>
        <w:rPr>
          <w:rFonts w:cs="Times New Roman"/>
          <w:sz w:val="22"/>
          <w:szCs w:val="22"/>
          <w:highlight w:val="lightGray"/>
          <w:lang w:val="lt-LT" w:eastAsia="en-US"/>
        </w:rPr>
      </w:pPr>
      <w:r w:rsidRPr="00297C23">
        <w:rPr>
          <w:rFonts w:cs="Times New Roman"/>
          <w:sz w:val="22"/>
          <w:szCs w:val="22"/>
          <w:highlight w:val="lightGray"/>
          <w:lang w:val="lt-LT" w:eastAsia="en-US"/>
        </w:rPr>
        <w:t>90 plėvele dengtų tablečių</w:t>
      </w:r>
    </w:p>
    <w:p w14:paraId="1544238A" w14:textId="5D6DFCE3" w:rsidR="00733E70" w:rsidRDefault="00611D60" w:rsidP="00733E70">
      <w:pPr>
        <w:autoSpaceDE w:val="0"/>
        <w:autoSpaceDN w:val="0"/>
        <w:adjustRightInd w:val="0"/>
        <w:rPr>
          <w:rFonts w:cs="Times New Roman"/>
          <w:sz w:val="22"/>
          <w:szCs w:val="22"/>
          <w:highlight w:val="lightGray"/>
          <w:lang w:val="lt-LT" w:eastAsia="en-US"/>
        </w:rPr>
      </w:pPr>
      <w:r w:rsidRPr="00297C23">
        <w:rPr>
          <w:rFonts w:cs="Times New Roman"/>
          <w:sz w:val="22"/>
          <w:szCs w:val="22"/>
          <w:highlight w:val="lightGray"/>
          <w:lang w:val="lt-LT" w:eastAsia="en-US"/>
        </w:rPr>
        <w:t>98 plėvele dengtos tabletės</w:t>
      </w:r>
      <w:r w:rsidRPr="00297C23" w:rsidDel="00611D60">
        <w:rPr>
          <w:rFonts w:cs="Times New Roman"/>
          <w:sz w:val="22"/>
          <w:szCs w:val="22"/>
          <w:highlight w:val="lightGray"/>
          <w:lang w:val="lt-LT" w:eastAsia="en-US"/>
        </w:rPr>
        <w:t xml:space="preserve"> </w:t>
      </w:r>
      <w:bookmarkEnd w:id="5"/>
    </w:p>
    <w:p w14:paraId="18578F08" w14:textId="77777777" w:rsidR="00BB40BE" w:rsidRDefault="00BB40BE" w:rsidP="00733E70">
      <w:pPr>
        <w:autoSpaceDE w:val="0"/>
        <w:autoSpaceDN w:val="0"/>
        <w:adjustRightInd w:val="0"/>
        <w:rPr>
          <w:rFonts w:cs="Times New Roman"/>
          <w:sz w:val="22"/>
          <w:szCs w:val="22"/>
          <w:highlight w:val="lightGray"/>
          <w:lang w:val="lt-LT" w:eastAsia="en-US"/>
        </w:rPr>
      </w:pPr>
    </w:p>
    <w:p w14:paraId="06ACAD98" w14:textId="77777777" w:rsidR="00F73BC1" w:rsidRPr="00BD658A" w:rsidRDefault="00F73BC1" w:rsidP="00451275">
      <w:pPr>
        <w:autoSpaceDE w:val="0"/>
        <w:autoSpaceDN w:val="0"/>
        <w:adjustRightInd w:val="0"/>
        <w:rPr>
          <w:rFonts w:cs="Times New Roman"/>
          <w:sz w:val="22"/>
          <w:szCs w:val="22"/>
          <w:highlight w:val="lightGray"/>
          <w:lang w:val="lt-LT" w:eastAsia="en-US"/>
        </w:rPr>
      </w:pPr>
    </w:p>
    <w:p w14:paraId="239E2155"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VARTOJIMO METODAS IR BŪDAS (-AI)</w:t>
      </w:r>
    </w:p>
    <w:p w14:paraId="04716CAD"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0E62D2EC" w14:textId="77777777" w:rsidR="00612A8E" w:rsidRPr="00997273" w:rsidRDefault="00612A8E" w:rsidP="00612A8E">
      <w:pPr>
        <w:tabs>
          <w:tab w:val="left" w:pos="567"/>
        </w:tabs>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Prieš vartojimą perskaitykite pakuotės lapelį.</w:t>
      </w:r>
    </w:p>
    <w:p w14:paraId="00426E0F" w14:textId="77777777" w:rsidR="00612A8E" w:rsidRPr="00997273" w:rsidRDefault="000A79F0" w:rsidP="00612A8E">
      <w:pPr>
        <w:tabs>
          <w:tab w:val="left" w:pos="567"/>
        </w:tabs>
        <w:rPr>
          <w:rFonts w:eastAsia="Times New Roman" w:cs="Times New Roman"/>
          <w:noProof/>
          <w:sz w:val="22"/>
          <w:szCs w:val="22"/>
          <w:lang w:val="lt-LT" w:eastAsia="lt-LT" w:bidi="lt-LT"/>
        </w:rPr>
      </w:pPr>
      <w:r w:rsidRPr="00997273">
        <w:rPr>
          <w:rFonts w:cs="Times New Roman"/>
          <w:sz w:val="22"/>
          <w:szCs w:val="22"/>
          <w:lang w:val="lt-LT" w:eastAsia="en-US"/>
        </w:rPr>
        <w:t>Vartoti per burną.</w:t>
      </w:r>
    </w:p>
    <w:p w14:paraId="0F84E7C4" w14:textId="1251DFAA" w:rsidR="00612A8E" w:rsidRDefault="00612A8E" w:rsidP="00612A8E">
      <w:pPr>
        <w:tabs>
          <w:tab w:val="left" w:pos="567"/>
        </w:tabs>
        <w:rPr>
          <w:rFonts w:eastAsia="Times New Roman" w:cs="Times New Roman"/>
          <w:noProof/>
          <w:sz w:val="22"/>
          <w:szCs w:val="22"/>
          <w:lang w:val="lt-LT" w:eastAsia="lt-LT" w:bidi="lt-LT"/>
        </w:rPr>
      </w:pPr>
    </w:p>
    <w:p w14:paraId="69FE48BC" w14:textId="77777777" w:rsidR="00201573" w:rsidRPr="00997273" w:rsidRDefault="00201573" w:rsidP="00612A8E">
      <w:pPr>
        <w:tabs>
          <w:tab w:val="left" w:pos="567"/>
        </w:tabs>
        <w:rPr>
          <w:rFonts w:eastAsia="Times New Roman" w:cs="Times New Roman"/>
          <w:noProof/>
          <w:sz w:val="22"/>
          <w:szCs w:val="22"/>
          <w:lang w:val="lt-LT" w:eastAsia="lt-LT" w:bidi="lt-LT"/>
        </w:rPr>
      </w:pPr>
    </w:p>
    <w:p w14:paraId="78BC0FC6"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SPECIALUS ĮSPĖJIMAS, KAD VAISTINĮ PREPARATĄ BŪTINA LAIKYTI VAIKAMS NEPASTEBIMOJE IR NEPASIEKIAMOJE VIETOJE</w:t>
      </w:r>
    </w:p>
    <w:p w14:paraId="61B60D04"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201E4445" w14:textId="77777777" w:rsidR="00612A8E" w:rsidRPr="00997273" w:rsidRDefault="00612A8E" w:rsidP="00612A8E">
      <w:pPr>
        <w:tabs>
          <w:tab w:val="left" w:pos="567"/>
        </w:tabs>
        <w:outlineLvl w:val="0"/>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Laikyti vaikams nepastebimoje ir nepasiekiamoje vietoje.</w:t>
      </w:r>
    </w:p>
    <w:p w14:paraId="442DE189"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2F320FC6"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2E93F1F4"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KITAS (-I) SPECIALUS (-ŪS) ĮSPĖJIMAS (-AI) (JEI REIKIA)</w:t>
      </w:r>
    </w:p>
    <w:p w14:paraId="7CB5DB01"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679FAC7F" w14:textId="77777777" w:rsidR="00612A8E" w:rsidRPr="00997273" w:rsidRDefault="00612A8E" w:rsidP="00612A8E">
      <w:pPr>
        <w:tabs>
          <w:tab w:val="left" w:pos="567"/>
          <w:tab w:val="left" w:pos="749"/>
        </w:tabs>
        <w:rPr>
          <w:rFonts w:eastAsia="Times New Roman" w:cs="Times New Roman"/>
          <w:sz w:val="22"/>
          <w:szCs w:val="22"/>
          <w:lang w:val="lt-LT" w:eastAsia="lt-LT" w:bidi="lt-LT"/>
        </w:rPr>
      </w:pPr>
    </w:p>
    <w:p w14:paraId="73A97CFE"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sz w:val="22"/>
          <w:szCs w:val="22"/>
          <w:lang w:val="lt-LT" w:eastAsia="lt-LT" w:bidi="lt-LT"/>
        </w:rPr>
      </w:pPr>
      <w:r w:rsidRPr="00997273">
        <w:rPr>
          <w:rFonts w:eastAsia="Times New Roman" w:cs="Times New Roman"/>
          <w:b/>
          <w:sz w:val="22"/>
          <w:szCs w:val="22"/>
          <w:lang w:val="lt-LT" w:eastAsia="lt-LT" w:bidi="lt-LT"/>
        </w:rPr>
        <w:t>TINKAMUMO LAIKAS</w:t>
      </w:r>
    </w:p>
    <w:p w14:paraId="482D1BF3" w14:textId="77777777" w:rsidR="00612A8E" w:rsidRPr="00997273" w:rsidRDefault="00612A8E" w:rsidP="00612A8E">
      <w:pPr>
        <w:keepNext/>
        <w:tabs>
          <w:tab w:val="left" w:pos="567"/>
        </w:tabs>
        <w:rPr>
          <w:rFonts w:eastAsia="Times New Roman" w:cs="Times New Roman"/>
          <w:sz w:val="22"/>
          <w:szCs w:val="22"/>
          <w:lang w:val="lt-LT" w:eastAsia="lt-LT" w:bidi="lt-LT"/>
        </w:rPr>
      </w:pPr>
    </w:p>
    <w:p w14:paraId="059626E7" w14:textId="50B94B50" w:rsidR="00612A8E" w:rsidRPr="00997273" w:rsidRDefault="00134A43" w:rsidP="00612A8E">
      <w:pPr>
        <w:tabs>
          <w:tab w:val="left" w:pos="567"/>
        </w:tabs>
        <w:rPr>
          <w:rFonts w:cs="Times New Roman"/>
          <w:sz w:val="22"/>
          <w:szCs w:val="22"/>
          <w:lang w:val="lt-LT" w:eastAsia="en-US"/>
        </w:rPr>
      </w:pPr>
      <w:r>
        <w:rPr>
          <w:rFonts w:cs="Times New Roman"/>
          <w:sz w:val="22"/>
          <w:szCs w:val="22"/>
          <w:lang w:val="lt-LT" w:eastAsia="en-US"/>
        </w:rPr>
        <w:t>EXP</w:t>
      </w:r>
      <w:r w:rsidRPr="00997273">
        <w:rPr>
          <w:rFonts w:cs="Times New Roman"/>
          <w:sz w:val="22"/>
          <w:szCs w:val="22"/>
          <w:lang w:val="lt-LT" w:eastAsia="en-US"/>
        </w:rPr>
        <w:t xml:space="preserve"> </w:t>
      </w:r>
      <w:r w:rsidR="00201573" w:rsidRPr="00943568">
        <w:rPr>
          <w:rFonts w:cs="Times New Roman"/>
          <w:sz w:val="22"/>
          <w:szCs w:val="22"/>
          <w:lang w:val="lt-LT" w:eastAsia="en-US"/>
        </w:rPr>
        <w:t>{</w:t>
      </w:r>
      <w:r w:rsidR="00180CB7" w:rsidRPr="00943568">
        <w:rPr>
          <w:rFonts w:cs="Times New Roman"/>
          <w:sz w:val="22"/>
          <w:szCs w:val="22"/>
          <w:lang w:val="lt-LT" w:eastAsia="en-US"/>
        </w:rPr>
        <w:t>mm MMMM</w:t>
      </w:r>
      <w:r w:rsidR="00201573" w:rsidRPr="00943568">
        <w:rPr>
          <w:rFonts w:cs="Times New Roman"/>
          <w:sz w:val="22"/>
          <w:szCs w:val="22"/>
          <w:lang w:val="lt-LT" w:eastAsia="en-US"/>
        </w:rPr>
        <w:t>}</w:t>
      </w:r>
    </w:p>
    <w:p w14:paraId="6C5F156D" w14:textId="77777777" w:rsidR="000A79F0" w:rsidRPr="00997273" w:rsidRDefault="000A79F0" w:rsidP="00612A8E">
      <w:pPr>
        <w:tabs>
          <w:tab w:val="left" w:pos="567"/>
        </w:tabs>
        <w:rPr>
          <w:rFonts w:cs="Times New Roman"/>
          <w:sz w:val="22"/>
          <w:szCs w:val="22"/>
          <w:lang w:val="lt-LT" w:eastAsia="en-US"/>
        </w:rPr>
      </w:pPr>
    </w:p>
    <w:p w14:paraId="16C5E891" w14:textId="77777777" w:rsidR="000A79F0" w:rsidRPr="00997273" w:rsidRDefault="000A79F0" w:rsidP="00612A8E">
      <w:pPr>
        <w:tabs>
          <w:tab w:val="left" w:pos="567"/>
        </w:tabs>
        <w:rPr>
          <w:rFonts w:eastAsia="Times New Roman" w:cs="Times New Roman"/>
          <w:noProof/>
          <w:sz w:val="22"/>
          <w:szCs w:val="22"/>
          <w:lang w:val="lt-LT" w:eastAsia="lt-LT" w:bidi="lt-LT"/>
        </w:rPr>
      </w:pPr>
    </w:p>
    <w:p w14:paraId="4177C0CB"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SPECIALIOS LAIKYMO SĄLYGOS</w:t>
      </w:r>
    </w:p>
    <w:p w14:paraId="2A2BF57A" w14:textId="77777777" w:rsidR="00612A8E" w:rsidRPr="00997273" w:rsidRDefault="00612A8E" w:rsidP="00612A8E">
      <w:pPr>
        <w:keepNext/>
        <w:tabs>
          <w:tab w:val="left" w:pos="567"/>
        </w:tabs>
        <w:rPr>
          <w:rFonts w:eastAsia="Times New Roman" w:cs="Times New Roman"/>
          <w:noProof/>
          <w:sz w:val="22"/>
          <w:szCs w:val="22"/>
          <w:lang w:val="lt-LT" w:eastAsia="lt-LT" w:bidi="lt-LT"/>
        </w:rPr>
      </w:pPr>
    </w:p>
    <w:p w14:paraId="737518F7" w14:textId="77DF4510" w:rsidR="00612A8E" w:rsidRPr="00297C23" w:rsidRDefault="00611D60" w:rsidP="00297C23">
      <w:pPr>
        <w:tabs>
          <w:tab w:val="left" w:pos="567"/>
        </w:tabs>
        <w:rPr>
          <w:rFonts w:cs="Times New Roman"/>
          <w:sz w:val="22"/>
          <w:szCs w:val="22"/>
          <w:lang w:val="lt-LT" w:eastAsia="en-US"/>
        </w:rPr>
      </w:pPr>
      <w:r w:rsidRPr="00297C23">
        <w:rPr>
          <w:rFonts w:cs="Times New Roman"/>
          <w:sz w:val="22"/>
          <w:szCs w:val="22"/>
          <w:lang w:val="lt-LT" w:eastAsia="en-US"/>
        </w:rPr>
        <w:t>Laikyti ne aukštesnėje kaip 30</w:t>
      </w:r>
      <w:r>
        <w:rPr>
          <w:rFonts w:cs="Times New Roman"/>
          <w:sz w:val="22"/>
          <w:szCs w:val="22"/>
          <w:lang w:val="lt-LT" w:eastAsia="en-US"/>
        </w:rPr>
        <w:t> </w:t>
      </w:r>
      <w:r w:rsidRPr="00297C23">
        <w:rPr>
          <w:rFonts w:cs="Times New Roman"/>
          <w:sz w:val="22"/>
          <w:szCs w:val="22"/>
          <w:lang w:val="lt-LT" w:eastAsia="en-US"/>
        </w:rPr>
        <w:sym w:font="Symbol" w:char="F0B0"/>
      </w:r>
      <w:r w:rsidRPr="00611D60">
        <w:rPr>
          <w:rFonts w:cs="Times New Roman"/>
          <w:sz w:val="22"/>
          <w:szCs w:val="22"/>
          <w:lang w:val="lt-LT" w:eastAsia="en-US"/>
        </w:rPr>
        <w:t>C</w:t>
      </w:r>
      <w:r w:rsidRPr="00297C23">
        <w:rPr>
          <w:rFonts w:cs="Times New Roman"/>
          <w:sz w:val="22"/>
          <w:szCs w:val="22"/>
          <w:lang w:val="lt-LT" w:eastAsia="en-US"/>
        </w:rPr>
        <w:t xml:space="preserve"> temperatūroje</w:t>
      </w:r>
      <w:r>
        <w:rPr>
          <w:rFonts w:cs="Times New Roman"/>
          <w:sz w:val="22"/>
          <w:szCs w:val="22"/>
          <w:lang w:val="lt-LT" w:eastAsia="en-US"/>
        </w:rPr>
        <w:t>.</w:t>
      </w:r>
    </w:p>
    <w:p w14:paraId="54ECBED9" w14:textId="77777777" w:rsidR="00611D60" w:rsidRDefault="00611D60" w:rsidP="00612A8E">
      <w:pPr>
        <w:tabs>
          <w:tab w:val="left" w:pos="567"/>
        </w:tabs>
        <w:ind w:left="567" w:hanging="567"/>
        <w:rPr>
          <w:rFonts w:eastAsia="Times New Roman" w:cs="Times New Roman"/>
          <w:noProof/>
          <w:sz w:val="22"/>
          <w:szCs w:val="22"/>
          <w:lang w:val="lt-LT" w:eastAsia="lt-LT" w:bidi="lt-LT"/>
        </w:rPr>
      </w:pPr>
    </w:p>
    <w:p w14:paraId="196261C0" w14:textId="77777777" w:rsidR="00611D60" w:rsidRPr="00997273" w:rsidRDefault="00611D60" w:rsidP="00612A8E">
      <w:pPr>
        <w:tabs>
          <w:tab w:val="left" w:pos="567"/>
        </w:tabs>
        <w:ind w:left="567" w:hanging="567"/>
        <w:rPr>
          <w:rFonts w:eastAsia="Times New Roman" w:cs="Times New Roman"/>
          <w:noProof/>
          <w:sz w:val="22"/>
          <w:szCs w:val="22"/>
          <w:lang w:val="lt-LT" w:eastAsia="lt-LT" w:bidi="lt-LT"/>
        </w:rPr>
      </w:pPr>
    </w:p>
    <w:p w14:paraId="6E4BBF27"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SPECIALIOS ATSARGUMO PRIEMONĖS DĖL NESUVARTOTO VAISTINIO PREPARATO AR JO ATLIEKŲ TVARKYMO (JEI REIKIA)</w:t>
      </w:r>
    </w:p>
    <w:p w14:paraId="6AF12BEF"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412F57E6"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504BF7EF"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REGISTRUOTOJO PAVADINIMAS IR ADRESAS</w:t>
      </w:r>
    </w:p>
    <w:p w14:paraId="0D735C73"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2A9A0AA9" w14:textId="77777777" w:rsidR="00D23AFC" w:rsidRPr="00D23AFC" w:rsidRDefault="00D23AFC" w:rsidP="00D23AFC">
      <w:pPr>
        <w:tabs>
          <w:tab w:val="left" w:pos="425"/>
          <w:tab w:val="left" w:pos="567"/>
        </w:tabs>
        <w:suppressAutoHyphens/>
        <w:rPr>
          <w:rFonts w:eastAsia="Times New Roman" w:cs="Times New Roman"/>
          <w:color w:val="000000"/>
          <w:sz w:val="22"/>
          <w:szCs w:val="22"/>
          <w:lang w:val="lt-LT" w:eastAsia="ar-SA"/>
        </w:rPr>
      </w:pPr>
      <w:bookmarkStart w:id="6" w:name="_Hlk97564247"/>
      <w:r w:rsidRPr="00D23AFC">
        <w:rPr>
          <w:rFonts w:eastAsia="Times New Roman" w:cs="Times New Roman"/>
          <w:color w:val="000000"/>
          <w:sz w:val="22"/>
          <w:szCs w:val="22"/>
          <w:lang w:val="lt-LT" w:eastAsia="ar-SA"/>
        </w:rPr>
        <w:t>PHARMAZAC S.A.</w:t>
      </w:r>
    </w:p>
    <w:p w14:paraId="126AE7DA" w14:textId="77777777" w:rsidR="002F432F" w:rsidRPr="0032719C" w:rsidRDefault="00C151FC" w:rsidP="002F432F">
      <w:pPr>
        <w:tabs>
          <w:tab w:val="left" w:pos="425"/>
          <w:tab w:val="left" w:pos="567"/>
        </w:tabs>
        <w:suppressAutoHyphens/>
        <w:rPr>
          <w:rFonts w:eastAsia="SimSun" w:cs="Times New Roman"/>
          <w:color w:val="000000"/>
          <w:sz w:val="22"/>
          <w:szCs w:val="22"/>
          <w:lang w:val="lt-LT" w:eastAsia="ar-SA"/>
        </w:rPr>
      </w:pPr>
      <w:proofErr w:type="spellStart"/>
      <w:r w:rsidRPr="00C151FC">
        <w:rPr>
          <w:rFonts w:eastAsia="Times New Roman" w:cs="Times New Roman"/>
          <w:color w:val="000000"/>
          <w:sz w:val="22"/>
          <w:szCs w:val="22"/>
          <w:lang w:val="lt-LT" w:eastAsia="ar-SA"/>
        </w:rPr>
        <w:t>Anastasiou</w:t>
      </w:r>
      <w:proofErr w:type="spellEnd"/>
      <w:r w:rsidRPr="00C151FC">
        <w:rPr>
          <w:rFonts w:eastAsia="Times New Roman" w:cs="Times New Roman"/>
          <w:color w:val="000000"/>
          <w:sz w:val="22"/>
          <w:szCs w:val="22"/>
          <w:lang w:val="lt-LT" w:eastAsia="ar-SA"/>
        </w:rPr>
        <w:t xml:space="preserve"> </w:t>
      </w:r>
      <w:proofErr w:type="spellStart"/>
      <w:r w:rsidRPr="00C151FC">
        <w:rPr>
          <w:rFonts w:eastAsia="Times New Roman" w:cs="Times New Roman"/>
          <w:color w:val="000000"/>
          <w:sz w:val="22"/>
          <w:szCs w:val="22"/>
          <w:lang w:val="lt-LT" w:eastAsia="ar-SA"/>
        </w:rPr>
        <w:t>Zaroliagki</w:t>
      </w:r>
      <w:proofErr w:type="spellEnd"/>
      <w:r w:rsidRPr="00C151FC">
        <w:rPr>
          <w:rFonts w:eastAsia="Times New Roman" w:cs="Times New Roman"/>
          <w:color w:val="000000"/>
          <w:sz w:val="22"/>
          <w:szCs w:val="22"/>
          <w:lang w:val="lt-LT" w:eastAsia="ar-SA"/>
        </w:rPr>
        <w:t xml:space="preserve"> 1 </w:t>
      </w:r>
      <w:proofErr w:type="spellStart"/>
      <w:r w:rsidRPr="00C151FC">
        <w:rPr>
          <w:rFonts w:eastAsia="Times New Roman" w:cs="Times New Roman"/>
          <w:color w:val="000000"/>
          <w:sz w:val="22"/>
          <w:szCs w:val="22"/>
          <w:lang w:val="lt-LT" w:eastAsia="ar-SA"/>
        </w:rPr>
        <w:t>and</w:t>
      </w:r>
      <w:proofErr w:type="spellEnd"/>
      <w:r w:rsidRPr="00C151FC">
        <w:rPr>
          <w:rFonts w:eastAsia="Times New Roman" w:cs="Times New Roman"/>
          <w:color w:val="000000"/>
          <w:sz w:val="22"/>
          <w:szCs w:val="22"/>
          <w:lang w:val="lt-LT" w:eastAsia="ar-SA"/>
        </w:rPr>
        <w:t xml:space="preserve"> </w:t>
      </w:r>
      <w:proofErr w:type="spellStart"/>
      <w:r w:rsidRPr="00C151FC">
        <w:rPr>
          <w:rFonts w:eastAsia="Times New Roman" w:cs="Times New Roman"/>
          <w:color w:val="000000"/>
          <w:sz w:val="22"/>
          <w:szCs w:val="22"/>
          <w:lang w:val="lt-LT" w:eastAsia="ar-SA"/>
        </w:rPr>
        <w:t>Dimitriou</w:t>
      </w:r>
      <w:proofErr w:type="spellEnd"/>
      <w:r w:rsidRPr="00C151FC">
        <w:rPr>
          <w:rFonts w:eastAsia="Times New Roman" w:cs="Times New Roman"/>
          <w:color w:val="000000"/>
          <w:sz w:val="22"/>
          <w:szCs w:val="22"/>
          <w:lang w:val="lt-LT" w:eastAsia="ar-SA"/>
        </w:rPr>
        <w:t xml:space="preserve"> </w:t>
      </w:r>
      <w:proofErr w:type="spellStart"/>
      <w:r w:rsidRPr="00C151FC">
        <w:rPr>
          <w:rFonts w:eastAsia="Times New Roman" w:cs="Times New Roman"/>
          <w:color w:val="000000"/>
          <w:sz w:val="22"/>
          <w:szCs w:val="22"/>
          <w:lang w:val="lt-LT" w:eastAsia="ar-SA"/>
        </w:rPr>
        <w:t>Lampros</w:t>
      </w:r>
      <w:proofErr w:type="spellEnd"/>
      <w:r w:rsidRPr="00C151FC">
        <w:rPr>
          <w:rFonts w:eastAsia="Times New Roman" w:cs="Times New Roman"/>
          <w:color w:val="000000"/>
          <w:sz w:val="22"/>
          <w:szCs w:val="22"/>
          <w:lang w:val="lt-LT" w:eastAsia="ar-SA"/>
        </w:rPr>
        <w:t xml:space="preserve"> 6, </w:t>
      </w:r>
      <w:proofErr w:type="spellStart"/>
      <w:r w:rsidRPr="00C151FC">
        <w:rPr>
          <w:rFonts w:eastAsia="Times New Roman" w:cs="Times New Roman"/>
          <w:color w:val="000000"/>
          <w:sz w:val="22"/>
          <w:szCs w:val="22"/>
          <w:lang w:val="lt-LT" w:eastAsia="ar-SA"/>
        </w:rPr>
        <w:t>Kerateas</w:t>
      </w:r>
      <w:proofErr w:type="spellEnd"/>
      <w:r w:rsidRPr="00C151FC">
        <w:rPr>
          <w:rFonts w:eastAsia="Times New Roman" w:cs="Times New Roman"/>
          <w:color w:val="000000"/>
          <w:sz w:val="22"/>
          <w:szCs w:val="22"/>
          <w:lang w:val="lt-LT" w:eastAsia="ar-SA"/>
        </w:rPr>
        <w:t xml:space="preserve"> </w:t>
      </w:r>
      <w:proofErr w:type="spellStart"/>
      <w:r w:rsidRPr="00C151FC">
        <w:rPr>
          <w:rFonts w:eastAsia="Times New Roman" w:cs="Times New Roman"/>
          <w:color w:val="000000"/>
          <w:sz w:val="22"/>
          <w:szCs w:val="22"/>
          <w:lang w:val="lt-LT" w:eastAsia="ar-SA"/>
        </w:rPr>
        <w:t>Industrial</w:t>
      </w:r>
      <w:proofErr w:type="spellEnd"/>
      <w:r w:rsidRPr="00C151FC">
        <w:rPr>
          <w:rFonts w:eastAsia="Times New Roman" w:cs="Times New Roman"/>
          <w:color w:val="000000"/>
          <w:sz w:val="22"/>
          <w:szCs w:val="22"/>
          <w:lang w:val="lt-LT" w:eastAsia="ar-SA"/>
        </w:rPr>
        <w:t xml:space="preserve"> </w:t>
      </w:r>
      <w:proofErr w:type="spellStart"/>
      <w:r w:rsidRPr="00C151FC">
        <w:rPr>
          <w:rFonts w:eastAsia="Times New Roman" w:cs="Times New Roman"/>
          <w:color w:val="000000"/>
          <w:sz w:val="22"/>
          <w:szCs w:val="22"/>
          <w:lang w:val="lt-LT" w:eastAsia="ar-SA"/>
        </w:rPr>
        <w:t>Park</w:t>
      </w:r>
      <w:proofErr w:type="spellEnd"/>
      <w:r w:rsidRPr="00C151FC">
        <w:rPr>
          <w:rFonts w:eastAsia="Times New Roman" w:cs="Times New Roman"/>
          <w:color w:val="000000"/>
          <w:sz w:val="22"/>
          <w:szCs w:val="22"/>
          <w:lang w:val="lt-LT" w:eastAsia="ar-SA"/>
        </w:rPr>
        <w:t xml:space="preserve">, </w:t>
      </w:r>
      <w:proofErr w:type="spellStart"/>
      <w:r w:rsidRPr="00C151FC">
        <w:rPr>
          <w:rFonts w:eastAsia="Times New Roman" w:cs="Times New Roman"/>
          <w:color w:val="000000"/>
          <w:sz w:val="22"/>
          <w:szCs w:val="22"/>
          <w:lang w:val="lt-LT" w:eastAsia="ar-SA"/>
        </w:rPr>
        <w:t>Veniza</w:t>
      </w:r>
      <w:proofErr w:type="spellEnd"/>
      <w:r w:rsidRPr="00C151FC">
        <w:rPr>
          <w:rFonts w:eastAsia="Times New Roman" w:cs="Times New Roman"/>
          <w:color w:val="000000"/>
          <w:sz w:val="22"/>
          <w:szCs w:val="22"/>
          <w:lang w:val="lt-LT" w:eastAsia="ar-SA"/>
        </w:rPr>
        <w:t xml:space="preserve">, </w:t>
      </w:r>
      <w:proofErr w:type="spellStart"/>
      <w:r w:rsidRPr="00C151FC">
        <w:rPr>
          <w:rFonts w:eastAsia="Times New Roman" w:cs="Times New Roman"/>
          <w:color w:val="000000"/>
          <w:sz w:val="22"/>
          <w:szCs w:val="22"/>
          <w:lang w:val="lt-LT" w:eastAsia="ar-SA"/>
        </w:rPr>
        <w:t>Lavreotiki</w:t>
      </w:r>
      <w:proofErr w:type="spellEnd"/>
      <w:r w:rsidRPr="00C151FC">
        <w:rPr>
          <w:rFonts w:eastAsia="Times New Roman" w:cs="Times New Roman"/>
          <w:color w:val="000000"/>
          <w:sz w:val="22"/>
          <w:szCs w:val="22"/>
          <w:lang w:val="lt-LT" w:eastAsia="ar-SA"/>
        </w:rPr>
        <w:t xml:space="preserve">, </w:t>
      </w:r>
      <w:proofErr w:type="spellStart"/>
      <w:r w:rsidRPr="00C151FC">
        <w:rPr>
          <w:rFonts w:eastAsia="Times New Roman" w:cs="Times New Roman"/>
          <w:color w:val="000000"/>
          <w:sz w:val="22"/>
          <w:szCs w:val="22"/>
          <w:lang w:val="lt-LT" w:eastAsia="ar-SA"/>
        </w:rPr>
        <w:t>Keratea</w:t>
      </w:r>
      <w:proofErr w:type="spellEnd"/>
      <w:r w:rsidRPr="00C151FC">
        <w:rPr>
          <w:rFonts w:eastAsia="Times New Roman" w:cs="Times New Roman"/>
          <w:color w:val="000000"/>
          <w:sz w:val="22"/>
          <w:szCs w:val="22"/>
          <w:lang w:val="lt-LT" w:eastAsia="ar-SA"/>
        </w:rPr>
        <w:t xml:space="preserve">, </w:t>
      </w:r>
      <w:proofErr w:type="spellStart"/>
      <w:r w:rsidRPr="00C151FC">
        <w:rPr>
          <w:rFonts w:eastAsia="Times New Roman" w:cs="Times New Roman"/>
          <w:color w:val="000000"/>
          <w:sz w:val="22"/>
          <w:szCs w:val="22"/>
          <w:lang w:val="lt-LT" w:eastAsia="ar-SA"/>
        </w:rPr>
        <w:t>Attica</w:t>
      </w:r>
      <w:proofErr w:type="spellEnd"/>
      <w:r w:rsidRPr="00C151FC">
        <w:rPr>
          <w:rFonts w:eastAsia="Times New Roman" w:cs="Times New Roman"/>
          <w:color w:val="000000"/>
          <w:sz w:val="22"/>
          <w:szCs w:val="22"/>
          <w:lang w:val="lt-LT" w:eastAsia="ar-SA"/>
        </w:rPr>
        <w:t>, 190 01</w:t>
      </w:r>
      <w:r>
        <w:rPr>
          <w:rFonts w:eastAsia="Times New Roman" w:cs="Times New Roman"/>
          <w:color w:val="000000"/>
          <w:sz w:val="22"/>
          <w:szCs w:val="22"/>
          <w:lang w:val="lt-LT" w:eastAsia="ar-SA"/>
        </w:rPr>
        <w:t xml:space="preserve"> </w:t>
      </w:r>
      <w:r w:rsidR="00D23AFC" w:rsidRPr="00D23AFC">
        <w:rPr>
          <w:rFonts w:eastAsia="Times New Roman" w:cs="Times New Roman"/>
          <w:color w:val="000000"/>
          <w:sz w:val="22"/>
          <w:szCs w:val="22"/>
          <w:lang w:val="lt-LT" w:eastAsia="ar-SA"/>
        </w:rPr>
        <w:t>, Graikija</w:t>
      </w:r>
    </w:p>
    <w:bookmarkEnd w:id="6"/>
    <w:p w14:paraId="0A43C5E6"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650BC2D9"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0F3EE4D0"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 xml:space="preserve">REGISTRACIJOS PAŽYMĖJIMO NUMERIS (-IAI) </w:t>
      </w:r>
    </w:p>
    <w:p w14:paraId="35A7E6D8" w14:textId="77777777" w:rsidR="00612A8E" w:rsidRDefault="00612A8E" w:rsidP="00612A8E">
      <w:pPr>
        <w:tabs>
          <w:tab w:val="left" w:pos="567"/>
        </w:tabs>
        <w:rPr>
          <w:rFonts w:eastAsia="Times New Roman" w:cs="Times New Roman"/>
          <w:noProof/>
          <w:sz w:val="22"/>
          <w:szCs w:val="22"/>
          <w:lang w:val="lt-LT" w:eastAsia="lt-LT" w:bidi="lt-LT"/>
        </w:rPr>
      </w:pPr>
    </w:p>
    <w:p w14:paraId="1DADCCCA" w14:textId="271E38BF" w:rsidR="00263D7D" w:rsidRPr="00263D7D" w:rsidRDefault="00263D7D" w:rsidP="00263D7D">
      <w:pPr>
        <w:tabs>
          <w:tab w:val="left" w:pos="567"/>
        </w:tabs>
        <w:rPr>
          <w:rFonts w:eastAsia="Times New Roman" w:cs="Times New Roman"/>
          <w:noProof/>
          <w:sz w:val="22"/>
          <w:szCs w:val="22"/>
          <w:lang w:val="lt-LT" w:eastAsia="lt-LT" w:bidi="lt-LT"/>
        </w:rPr>
      </w:pPr>
      <w:r>
        <w:rPr>
          <w:rFonts w:eastAsia="Times New Roman" w:cs="Times New Roman"/>
          <w:noProof/>
          <w:sz w:val="22"/>
          <w:szCs w:val="22"/>
          <w:highlight w:val="lightGray"/>
          <w:lang w:val="lt-LT" w:eastAsia="lt-LT" w:bidi="lt-LT"/>
        </w:rPr>
        <w:t>&lt;</w:t>
      </w:r>
      <w:r w:rsidRPr="00263D7D">
        <w:rPr>
          <w:rFonts w:eastAsia="Times New Roman" w:cs="Times New Roman"/>
          <w:noProof/>
          <w:sz w:val="22"/>
          <w:szCs w:val="22"/>
          <w:highlight w:val="lightGray"/>
          <w:lang w:val="lt-LT" w:eastAsia="lt-LT" w:bidi="lt-LT"/>
        </w:rPr>
        <w:t>25 mg</w:t>
      </w:r>
      <w:r>
        <w:rPr>
          <w:rFonts w:eastAsia="Times New Roman" w:cs="Times New Roman"/>
          <w:noProof/>
          <w:sz w:val="22"/>
          <w:szCs w:val="22"/>
          <w:lang w:val="lt-LT" w:eastAsia="lt-LT" w:bidi="lt-LT"/>
        </w:rPr>
        <w:t>&gt;</w:t>
      </w:r>
    </w:p>
    <w:p w14:paraId="2F961C21" w14:textId="77777777" w:rsidR="00263D7D" w:rsidRPr="00263D7D" w:rsidRDefault="00263D7D" w:rsidP="00263D7D">
      <w:pPr>
        <w:tabs>
          <w:tab w:val="left" w:pos="567"/>
        </w:tabs>
        <w:rPr>
          <w:rFonts w:eastAsia="Times New Roman" w:cs="Times New Roman"/>
          <w:noProof/>
          <w:sz w:val="22"/>
          <w:szCs w:val="22"/>
          <w:highlight w:val="lightGray"/>
          <w:lang w:val="lt-LT" w:eastAsia="lt-LT" w:bidi="lt-LT"/>
        </w:rPr>
      </w:pPr>
      <w:r w:rsidRPr="00263D7D">
        <w:rPr>
          <w:rFonts w:eastAsia="Times New Roman" w:cs="Times New Roman"/>
          <w:noProof/>
          <w:sz w:val="22"/>
          <w:szCs w:val="22"/>
          <w:lang w:val="lt-LT" w:eastAsia="lt-LT" w:bidi="lt-LT"/>
        </w:rPr>
        <w:t xml:space="preserve">LT/1/26/5981/001 </w:t>
      </w:r>
      <w:r w:rsidRPr="00263D7D">
        <w:rPr>
          <w:rFonts w:eastAsia="Times New Roman" w:cs="Times New Roman"/>
          <w:noProof/>
          <w:sz w:val="22"/>
          <w:szCs w:val="22"/>
          <w:highlight w:val="lightGray"/>
          <w:lang w:val="lt-LT" w:eastAsia="lt-LT" w:bidi="lt-LT"/>
        </w:rPr>
        <w:t>– N14</w:t>
      </w:r>
    </w:p>
    <w:p w14:paraId="2CC1E10D" w14:textId="77777777" w:rsidR="00263D7D" w:rsidRPr="00263D7D" w:rsidRDefault="00263D7D" w:rsidP="00263D7D">
      <w:pPr>
        <w:tabs>
          <w:tab w:val="left" w:pos="567"/>
        </w:tabs>
        <w:rPr>
          <w:rFonts w:eastAsia="Times New Roman" w:cs="Times New Roman"/>
          <w:noProof/>
          <w:sz w:val="22"/>
          <w:szCs w:val="22"/>
          <w:highlight w:val="lightGray"/>
          <w:lang w:val="lt-LT" w:eastAsia="lt-LT" w:bidi="lt-LT"/>
        </w:rPr>
      </w:pPr>
      <w:r w:rsidRPr="00263D7D">
        <w:rPr>
          <w:rFonts w:eastAsia="Times New Roman" w:cs="Times New Roman"/>
          <w:noProof/>
          <w:sz w:val="22"/>
          <w:szCs w:val="22"/>
          <w:highlight w:val="lightGray"/>
          <w:lang w:val="lt-LT" w:eastAsia="lt-LT" w:bidi="lt-LT"/>
        </w:rPr>
        <w:t>LT/1/26/5981/002 – N28</w:t>
      </w:r>
    </w:p>
    <w:p w14:paraId="24E37901" w14:textId="77777777" w:rsidR="00263D7D" w:rsidRPr="00263D7D" w:rsidRDefault="00263D7D" w:rsidP="00263D7D">
      <w:pPr>
        <w:tabs>
          <w:tab w:val="left" w:pos="567"/>
        </w:tabs>
        <w:rPr>
          <w:rFonts w:eastAsia="Times New Roman" w:cs="Times New Roman"/>
          <w:noProof/>
          <w:sz w:val="22"/>
          <w:szCs w:val="22"/>
          <w:highlight w:val="lightGray"/>
          <w:lang w:val="lt-LT" w:eastAsia="lt-LT" w:bidi="lt-LT"/>
        </w:rPr>
      </w:pPr>
      <w:r w:rsidRPr="00263D7D">
        <w:rPr>
          <w:rFonts w:eastAsia="Times New Roman" w:cs="Times New Roman"/>
          <w:noProof/>
          <w:sz w:val="22"/>
          <w:szCs w:val="22"/>
          <w:highlight w:val="lightGray"/>
          <w:lang w:val="lt-LT" w:eastAsia="lt-LT" w:bidi="lt-LT"/>
        </w:rPr>
        <w:t>LT/1/26/5981/003 – N30</w:t>
      </w:r>
    </w:p>
    <w:p w14:paraId="45A5E791" w14:textId="77777777" w:rsidR="00263D7D" w:rsidRPr="00263D7D" w:rsidRDefault="00263D7D" w:rsidP="00263D7D">
      <w:pPr>
        <w:tabs>
          <w:tab w:val="left" w:pos="567"/>
        </w:tabs>
        <w:rPr>
          <w:rFonts w:eastAsia="Times New Roman" w:cs="Times New Roman"/>
          <w:noProof/>
          <w:sz w:val="22"/>
          <w:szCs w:val="22"/>
          <w:highlight w:val="lightGray"/>
          <w:lang w:val="lt-LT" w:eastAsia="lt-LT" w:bidi="lt-LT"/>
        </w:rPr>
      </w:pPr>
      <w:r w:rsidRPr="00263D7D">
        <w:rPr>
          <w:rFonts w:eastAsia="Times New Roman" w:cs="Times New Roman"/>
          <w:noProof/>
          <w:sz w:val="22"/>
          <w:szCs w:val="22"/>
          <w:highlight w:val="lightGray"/>
          <w:lang w:val="lt-LT" w:eastAsia="lt-LT" w:bidi="lt-LT"/>
        </w:rPr>
        <w:t>LT/1/26/5981/004 – N56</w:t>
      </w:r>
    </w:p>
    <w:p w14:paraId="08B1751A" w14:textId="77777777" w:rsidR="00263D7D" w:rsidRPr="00263D7D" w:rsidRDefault="00263D7D" w:rsidP="00263D7D">
      <w:pPr>
        <w:tabs>
          <w:tab w:val="left" w:pos="567"/>
        </w:tabs>
        <w:rPr>
          <w:rFonts w:eastAsia="Times New Roman" w:cs="Times New Roman"/>
          <w:noProof/>
          <w:sz w:val="22"/>
          <w:szCs w:val="22"/>
          <w:highlight w:val="lightGray"/>
          <w:lang w:val="lt-LT" w:eastAsia="lt-LT" w:bidi="lt-LT"/>
        </w:rPr>
      </w:pPr>
      <w:r w:rsidRPr="00263D7D">
        <w:rPr>
          <w:rFonts w:eastAsia="Times New Roman" w:cs="Times New Roman"/>
          <w:noProof/>
          <w:sz w:val="22"/>
          <w:szCs w:val="22"/>
          <w:highlight w:val="lightGray"/>
          <w:lang w:val="lt-LT" w:eastAsia="lt-LT" w:bidi="lt-LT"/>
        </w:rPr>
        <w:t>LT/1/26/5981/005 – N84</w:t>
      </w:r>
    </w:p>
    <w:p w14:paraId="1AE62E9B" w14:textId="77777777" w:rsidR="00263D7D" w:rsidRPr="00263D7D" w:rsidRDefault="00263D7D" w:rsidP="00263D7D">
      <w:pPr>
        <w:tabs>
          <w:tab w:val="left" w:pos="567"/>
        </w:tabs>
        <w:rPr>
          <w:rFonts w:eastAsia="Times New Roman" w:cs="Times New Roman"/>
          <w:noProof/>
          <w:sz w:val="22"/>
          <w:szCs w:val="22"/>
          <w:highlight w:val="lightGray"/>
          <w:lang w:val="lt-LT" w:eastAsia="lt-LT" w:bidi="lt-LT"/>
        </w:rPr>
      </w:pPr>
      <w:r w:rsidRPr="00263D7D">
        <w:rPr>
          <w:rFonts w:eastAsia="Times New Roman" w:cs="Times New Roman"/>
          <w:noProof/>
          <w:sz w:val="22"/>
          <w:szCs w:val="22"/>
          <w:highlight w:val="lightGray"/>
          <w:lang w:val="lt-LT" w:eastAsia="lt-LT" w:bidi="lt-LT"/>
        </w:rPr>
        <w:t>LT/1/26/5981/006 – N90</w:t>
      </w:r>
    </w:p>
    <w:p w14:paraId="59969CCD" w14:textId="77777777" w:rsidR="00263D7D" w:rsidRPr="00263D7D" w:rsidRDefault="00263D7D" w:rsidP="00263D7D">
      <w:pPr>
        <w:tabs>
          <w:tab w:val="left" w:pos="567"/>
        </w:tabs>
        <w:rPr>
          <w:rFonts w:eastAsia="Times New Roman" w:cs="Times New Roman"/>
          <w:noProof/>
          <w:sz w:val="22"/>
          <w:szCs w:val="22"/>
          <w:highlight w:val="lightGray"/>
          <w:lang w:val="lt-LT" w:eastAsia="lt-LT" w:bidi="lt-LT"/>
        </w:rPr>
      </w:pPr>
      <w:r w:rsidRPr="00263D7D">
        <w:rPr>
          <w:rFonts w:eastAsia="Times New Roman" w:cs="Times New Roman"/>
          <w:noProof/>
          <w:sz w:val="22"/>
          <w:szCs w:val="22"/>
          <w:highlight w:val="lightGray"/>
          <w:lang w:val="lt-LT" w:eastAsia="lt-LT" w:bidi="lt-LT"/>
        </w:rPr>
        <w:t>LT/1/26/5981/007 – N98</w:t>
      </w:r>
    </w:p>
    <w:p w14:paraId="5E8C6EA8" w14:textId="77777777" w:rsidR="00263D7D" w:rsidRPr="00263D7D" w:rsidRDefault="00263D7D" w:rsidP="00263D7D">
      <w:pPr>
        <w:tabs>
          <w:tab w:val="left" w:pos="567"/>
        </w:tabs>
        <w:rPr>
          <w:rFonts w:eastAsia="Times New Roman" w:cs="Times New Roman"/>
          <w:noProof/>
          <w:sz w:val="22"/>
          <w:szCs w:val="22"/>
          <w:highlight w:val="lightGray"/>
          <w:lang w:val="lt-LT" w:eastAsia="lt-LT" w:bidi="lt-LT"/>
        </w:rPr>
      </w:pPr>
    </w:p>
    <w:p w14:paraId="0B96A0B7" w14:textId="6AD0420C" w:rsidR="00263D7D" w:rsidRPr="00263D7D" w:rsidRDefault="00263D7D" w:rsidP="00263D7D">
      <w:pPr>
        <w:tabs>
          <w:tab w:val="left" w:pos="567"/>
        </w:tabs>
        <w:rPr>
          <w:rFonts w:eastAsia="Times New Roman" w:cs="Times New Roman"/>
          <w:noProof/>
          <w:sz w:val="22"/>
          <w:szCs w:val="22"/>
          <w:highlight w:val="lightGray"/>
          <w:lang w:val="lt-LT" w:eastAsia="lt-LT" w:bidi="lt-LT"/>
        </w:rPr>
      </w:pPr>
      <w:r>
        <w:rPr>
          <w:rFonts w:eastAsia="Times New Roman" w:cs="Times New Roman"/>
          <w:noProof/>
          <w:sz w:val="22"/>
          <w:szCs w:val="22"/>
          <w:highlight w:val="lightGray"/>
          <w:lang w:val="lt-LT" w:eastAsia="lt-LT" w:bidi="lt-LT"/>
        </w:rPr>
        <w:t>&lt;</w:t>
      </w:r>
      <w:r w:rsidRPr="00263D7D">
        <w:rPr>
          <w:rFonts w:eastAsia="Times New Roman" w:cs="Times New Roman"/>
          <w:noProof/>
          <w:sz w:val="22"/>
          <w:szCs w:val="22"/>
          <w:highlight w:val="lightGray"/>
          <w:lang w:val="lt-LT" w:eastAsia="lt-LT" w:bidi="lt-LT"/>
        </w:rPr>
        <w:t>50 mg</w:t>
      </w:r>
      <w:r>
        <w:rPr>
          <w:rFonts w:eastAsia="Times New Roman" w:cs="Times New Roman"/>
          <w:noProof/>
          <w:sz w:val="22"/>
          <w:szCs w:val="22"/>
          <w:highlight w:val="lightGray"/>
          <w:lang w:val="lt-LT" w:eastAsia="lt-LT" w:bidi="lt-LT"/>
        </w:rPr>
        <w:t>&gt;</w:t>
      </w:r>
    </w:p>
    <w:p w14:paraId="2CA04CFF" w14:textId="77777777" w:rsidR="00263D7D" w:rsidRPr="00263D7D" w:rsidRDefault="00263D7D" w:rsidP="00263D7D">
      <w:pPr>
        <w:tabs>
          <w:tab w:val="left" w:pos="567"/>
        </w:tabs>
        <w:rPr>
          <w:rFonts w:eastAsia="Times New Roman" w:cs="Times New Roman"/>
          <w:noProof/>
          <w:sz w:val="22"/>
          <w:szCs w:val="22"/>
          <w:highlight w:val="lightGray"/>
          <w:lang w:val="lt-LT" w:eastAsia="lt-LT" w:bidi="lt-LT"/>
        </w:rPr>
      </w:pPr>
      <w:r w:rsidRPr="00263D7D">
        <w:rPr>
          <w:rFonts w:eastAsia="Times New Roman" w:cs="Times New Roman"/>
          <w:noProof/>
          <w:sz w:val="22"/>
          <w:szCs w:val="22"/>
          <w:highlight w:val="lightGray"/>
          <w:lang w:val="lt-LT" w:eastAsia="lt-LT" w:bidi="lt-LT"/>
        </w:rPr>
        <w:t>LT/1/26/5982/001 – N14</w:t>
      </w:r>
    </w:p>
    <w:p w14:paraId="1CB6952D" w14:textId="77777777" w:rsidR="00263D7D" w:rsidRPr="00263D7D" w:rsidRDefault="00263D7D" w:rsidP="00263D7D">
      <w:pPr>
        <w:tabs>
          <w:tab w:val="left" w:pos="567"/>
        </w:tabs>
        <w:rPr>
          <w:rFonts w:eastAsia="Times New Roman" w:cs="Times New Roman"/>
          <w:noProof/>
          <w:sz w:val="22"/>
          <w:szCs w:val="22"/>
          <w:highlight w:val="lightGray"/>
          <w:lang w:val="lt-LT" w:eastAsia="lt-LT" w:bidi="lt-LT"/>
        </w:rPr>
      </w:pPr>
      <w:r w:rsidRPr="00263D7D">
        <w:rPr>
          <w:rFonts w:eastAsia="Times New Roman" w:cs="Times New Roman"/>
          <w:noProof/>
          <w:sz w:val="22"/>
          <w:szCs w:val="22"/>
          <w:highlight w:val="lightGray"/>
          <w:lang w:val="lt-LT" w:eastAsia="lt-LT" w:bidi="lt-LT"/>
        </w:rPr>
        <w:t>LT/1/26/5982/002 – N28</w:t>
      </w:r>
    </w:p>
    <w:p w14:paraId="23859E37" w14:textId="77777777" w:rsidR="00263D7D" w:rsidRPr="00263D7D" w:rsidRDefault="00263D7D" w:rsidP="00263D7D">
      <w:pPr>
        <w:tabs>
          <w:tab w:val="left" w:pos="567"/>
        </w:tabs>
        <w:rPr>
          <w:rFonts w:eastAsia="Times New Roman" w:cs="Times New Roman"/>
          <w:noProof/>
          <w:sz w:val="22"/>
          <w:szCs w:val="22"/>
          <w:highlight w:val="lightGray"/>
          <w:lang w:val="lt-LT" w:eastAsia="lt-LT" w:bidi="lt-LT"/>
        </w:rPr>
      </w:pPr>
      <w:r w:rsidRPr="00263D7D">
        <w:rPr>
          <w:rFonts w:eastAsia="Times New Roman" w:cs="Times New Roman"/>
          <w:noProof/>
          <w:sz w:val="22"/>
          <w:szCs w:val="22"/>
          <w:highlight w:val="lightGray"/>
          <w:lang w:val="lt-LT" w:eastAsia="lt-LT" w:bidi="lt-LT"/>
        </w:rPr>
        <w:t>LT/1/26/5982/003 – N30</w:t>
      </w:r>
    </w:p>
    <w:p w14:paraId="581366AA" w14:textId="77777777" w:rsidR="00263D7D" w:rsidRPr="00263D7D" w:rsidRDefault="00263D7D" w:rsidP="00263D7D">
      <w:pPr>
        <w:tabs>
          <w:tab w:val="left" w:pos="567"/>
        </w:tabs>
        <w:rPr>
          <w:rFonts w:eastAsia="Times New Roman" w:cs="Times New Roman"/>
          <w:noProof/>
          <w:sz w:val="22"/>
          <w:szCs w:val="22"/>
          <w:highlight w:val="lightGray"/>
          <w:lang w:val="lt-LT" w:eastAsia="lt-LT" w:bidi="lt-LT"/>
        </w:rPr>
      </w:pPr>
      <w:r w:rsidRPr="00263D7D">
        <w:rPr>
          <w:rFonts w:eastAsia="Times New Roman" w:cs="Times New Roman"/>
          <w:noProof/>
          <w:sz w:val="22"/>
          <w:szCs w:val="22"/>
          <w:highlight w:val="lightGray"/>
          <w:lang w:val="lt-LT" w:eastAsia="lt-LT" w:bidi="lt-LT"/>
        </w:rPr>
        <w:t>LT/1/26/5982/004 – N56</w:t>
      </w:r>
    </w:p>
    <w:p w14:paraId="7B567AEB" w14:textId="77777777" w:rsidR="00263D7D" w:rsidRPr="00263D7D" w:rsidRDefault="00263D7D" w:rsidP="00263D7D">
      <w:pPr>
        <w:tabs>
          <w:tab w:val="left" w:pos="567"/>
        </w:tabs>
        <w:rPr>
          <w:rFonts w:eastAsia="Times New Roman" w:cs="Times New Roman"/>
          <w:noProof/>
          <w:sz w:val="22"/>
          <w:szCs w:val="22"/>
          <w:highlight w:val="lightGray"/>
          <w:lang w:val="lt-LT" w:eastAsia="lt-LT" w:bidi="lt-LT"/>
        </w:rPr>
      </w:pPr>
      <w:r w:rsidRPr="00263D7D">
        <w:rPr>
          <w:rFonts w:eastAsia="Times New Roman" w:cs="Times New Roman"/>
          <w:noProof/>
          <w:sz w:val="22"/>
          <w:szCs w:val="22"/>
          <w:highlight w:val="lightGray"/>
          <w:lang w:val="lt-LT" w:eastAsia="lt-LT" w:bidi="lt-LT"/>
        </w:rPr>
        <w:t>LT/1/26/5982/005 – N84</w:t>
      </w:r>
    </w:p>
    <w:p w14:paraId="3FB6908B" w14:textId="77777777" w:rsidR="00263D7D" w:rsidRPr="00263D7D" w:rsidRDefault="00263D7D" w:rsidP="00263D7D">
      <w:pPr>
        <w:tabs>
          <w:tab w:val="left" w:pos="567"/>
        </w:tabs>
        <w:rPr>
          <w:rFonts w:eastAsia="Times New Roman" w:cs="Times New Roman"/>
          <w:noProof/>
          <w:sz w:val="22"/>
          <w:szCs w:val="22"/>
          <w:highlight w:val="lightGray"/>
          <w:lang w:val="lt-LT" w:eastAsia="lt-LT" w:bidi="lt-LT"/>
        </w:rPr>
      </w:pPr>
      <w:r w:rsidRPr="00263D7D">
        <w:rPr>
          <w:rFonts w:eastAsia="Times New Roman" w:cs="Times New Roman"/>
          <w:noProof/>
          <w:sz w:val="22"/>
          <w:szCs w:val="22"/>
          <w:highlight w:val="lightGray"/>
          <w:lang w:val="lt-LT" w:eastAsia="lt-LT" w:bidi="lt-LT"/>
        </w:rPr>
        <w:t>LT/1/26/5982/006 – N90</w:t>
      </w:r>
    </w:p>
    <w:p w14:paraId="16BD60A7" w14:textId="77777777" w:rsidR="00263D7D" w:rsidRPr="00263D7D" w:rsidRDefault="00263D7D" w:rsidP="00263D7D">
      <w:pPr>
        <w:tabs>
          <w:tab w:val="left" w:pos="567"/>
        </w:tabs>
        <w:rPr>
          <w:rFonts w:eastAsia="Times New Roman" w:cs="Times New Roman"/>
          <w:noProof/>
          <w:sz w:val="22"/>
          <w:szCs w:val="22"/>
          <w:highlight w:val="lightGray"/>
          <w:lang w:val="lt-LT" w:eastAsia="lt-LT" w:bidi="lt-LT"/>
        </w:rPr>
      </w:pPr>
      <w:r w:rsidRPr="00263D7D">
        <w:rPr>
          <w:rFonts w:eastAsia="Times New Roman" w:cs="Times New Roman"/>
          <w:noProof/>
          <w:sz w:val="22"/>
          <w:szCs w:val="22"/>
          <w:highlight w:val="lightGray"/>
          <w:lang w:val="lt-LT" w:eastAsia="lt-LT" w:bidi="lt-LT"/>
        </w:rPr>
        <w:t>LT/1/26/5982/007 – N98</w:t>
      </w:r>
    </w:p>
    <w:p w14:paraId="0092C163" w14:textId="77777777" w:rsidR="00263D7D" w:rsidRPr="00263D7D" w:rsidRDefault="00263D7D" w:rsidP="00263D7D">
      <w:pPr>
        <w:tabs>
          <w:tab w:val="left" w:pos="567"/>
        </w:tabs>
        <w:rPr>
          <w:rFonts w:eastAsia="Times New Roman" w:cs="Times New Roman"/>
          <w:noProof/>
          <w:sz w:val="22"/>
          <w:szCs w:val="22"/>
          <w:highlight w:val="lightGray"/>
          <w:lang w:val="lt-LT" w:eastAsia="lt-LT" w:bidi="lt-LT"/>
        </w:rPr>
      </w:pPr>
    </w:p>
    <w:p w14:paraId="59D3F20C" w14:textId="7CBDC2DA" w:rsidR="00263D7D" w:rsidRPr="00263D7D" w:rsidRDefault="00263D7D" w:rsidP="00263D7D">
      <w:pPr>
        <w:tabs>
          <w:tab w:val="left" w:pos="567"/>
        </w:tabs>
        <w:rPr>
          <w:rFonts w:eastAsia="Times New Roman" w:cs="Times New Roman"/>
          <w:noProof/>
          <w:sz w:val="22"/>
          <w:szCs w:val="22"/>
          <w:highlight w:val="lightGray"/>
          <w:lang w:val="lt-LT" w:eastAsia="lt-LT" w:bidi="lt-LT"/>
        </w:rPr>
      </w:pPr>
      <w:r>
        <w:rPr>
          <w:rFonts w:eastAsia="Times New Roman" w:cs="Times New Roman"/>
          <w:noProof/>
          <w:sz w:val="22"/>
          <w:szCs w:val="22"/>
          <w:highlight w:val="lightGray"/>
          <w:lang w:val="lt-LT" w:eastAsia="lt-LT" w:bidi="lt-LT"/>
        </w:rPr>
        <w:t>&lt;</w:t>
      </w:r>
      <w:r w:rsidRPr="00263D7D">
        <w:rPr>
          <w:rFonts w:eastAsia="Times New Roman" w:cs="Times New Roman"/>
          <w:noProof/>
          <w:sz w:val="22"/>
          <w:szCs w:val="22"/>
          <w:highlight w:val="lightGray"/>
          <w:lang w:val="lt-LT" w:eastAsia="lt-LT" w:bidi="lt-LT"/>
        </w:rPr>
        <w:t>100 mg</w:t>
      </w:r>
      <w:r>
        <w:rPr>
          <w:rFonts w:eastAsia="Times New Roman" w:cs="Times New Roman"/>
          <w:noProof/>
          <w:sz w:val="22"/>
          <w:szCs w:val="22"/>
          <w:highlight w:val="lightGray"/>
          <w:lang w:val="lt-LT" w:eastAsia="lt-LT" w:bidi="lt-LT"/>
        </w:rPr>
        <w:t>&gt;</w:t>
      </w:r>
    </w:p>
    <w:p w14:paraId="32F99020" w14:textId="77777777" w:rsidR="00263D7D" w:rsidRPr="00263D7D" w:rsidRDefault="00263D7D" w:rsidP="00263D7D">
      <w:pPr>
        <w:tabs>
          <w:tab w:val="left" w:pos="567"/>
        </w:tabs>
        <w:rPr>
          <w:rFonts w:eastAsia="Times New Roman" w:cs="Times New Roman"/>
          <w:noProof/>
          <w:sz w:val="22"/>
          <w:szCs w:val="22"/>
          <w:highlight w:val="lightGray"/>
          <w:lang w:val="lt-LT" w:eastAsia="lt-LT" w:bidi="lt-LT"/>
        </w:rPr>
      </w:pPr>
      <w:r w:rsidRPr="00263D7D">
        <w:rPr>
          <w:rFonts w:eastAsia="Times New Roman" w:cs="Times New Roman"/>
          <w:noProof/>
          <w:sz w:val="22"/>
          <w:szCs w:val="22"/>
          <w:highlight w:val="lightGray"/>
          <w:lang w:val="lt-LT" w:eastAsia="lt-LT" w:bidi="lt-LT"/>
        </w:rPr>
        <w:t>LT/1/26/5983/001 – N14</w:t>
      </w:r>
    </w:p>
    <w:p w14:paraId="2B1AE655" w14:textId="77777777" w:rsidR="00263D7D" w:rsidRPr="00263D7D" w:rsidRDefault="00263D7D" w:rsidP="00263D7D">
      <w:pPr>
        <w:tabs>
          <w:tab w:val="left" w:pos="567"/>
        </w:tabs>
        <w:rPr>
          <w:rFonts w:eastAsia="Times New Roman" w:cs="Times New Roman"/>
          <w:noProof/>
          <w:sz w:val="22"/>
          <w:szCs w:val="22"/>
          <w:highlight w:val="lightGray"/>
          <w:lang w:val="lt-LT" w:eastAsia="lt-LT" w:bidi="lt-LT"/>
        </w:rPr>
      </w:pPr>
      <w:r w:rsidRPr="00263D7D">
        <w:rPr>
          <w:rFonts w:eastAsia="Times New Roman" w:cs="Times New Roman"/>
          <w:noProof/>
          <w:sz w:val="22"/>
          <w:szCs w:val="22"/>
          <w:highlight w:val="lightGray"/>
          <w:lang w:val="lt-LT" w:eastAsia="lt-LT" w:bidi="lt-LT"/>
        </w:rPr>
        <w:t>LT/1/26/5983/002 – N28</w:t>
      </w:r>
    </w:p>
    <w:p w14:paraId="42030207" w14:textId="77777777" w:rsidR="00263D7D" w:rsidRPr="00263D7D" w:rsidRDefault="00263D7D" w:rsidP="00263D7D">
      <w:pPr>
        <w:tabs>
          <w:tab w:val="left" w:pos="567"/>
        </w:tabs>
        <w:rPr>
          <w:rFonts w:eastAsia="Times New Roman" w:cs="Times New Roman"/>
          <w:noProof/>
          <w:sz w:val="22"/>
          <w:szCs w:val="22"/>
          <w:highlight w:val="lightGray"/>
          <w:lang w:val="lt-LT" w:eastAsia="lt-LT" w:bidi="lt-LT"/>
        </w:rPr>
      </w:pPr>
      <w:r w:rsidRPr="00263D7D">
        <w:rPr>
          <w:rFonts w:eastAsia="Times New Roman" w:cs="Times New Roman"/>
          <w:noProof/>
          <w:sz w:val="22"/>
          <w:szCs w:val="22"/>
          <w:highlight w:val="lightGray"/>
          <w:lang w:val="lt-LT" w:eastAsia="lt-LT" w:bidi="lt-LT"/>
        </w:rPr>
        <w:t>LT/1/26/5983/003 – N30</w:t>
      </w:r>
    </w:p>
    <w:p w14:paraId="08719466" w14:textId="77777777" w:rsidR="00263D7D" w:rsidRPr="00263D7D" w:rsidRDefault="00263D7D" w:rsidP="00263D7D">
      <w:pPr>
        <w:tabs>
          <w:tab w:val="left" w:pos="567"/>
        </w:tabs>
        <w:rPr>
          <w:rFonts w:eastAsia="Times New Roman" w:cs="Times New Roman"/>
          <w:noProof/>
          <w:sz w:val="22"/>
          <w:szCs w:val="22"/>
          <w:highlight w:val="lightGray"/>
          <w:lang w:val="lt-LT" w:eastAsia="lt-LT" w:bidi="lt-LT"/>
        </w:rPr>
      </w:pPr>
      <w:r w:rsidRPr="00263D7D">
        <w:rPr>
          <w:rFonts w:eastAsia="Times New Roman" w:cs="Times New Roman"/>
          <w:noProof/>
          <w:sz w:val="22"/>
          <w:szCs w:val="22"/>
          <w:highlight w:val="lightGray"/>
          <w:lang w:val="lt-LT" w:eastAsia="lt-LT" w:bidi="lt-LT"/>
        </w:rPr>
        <w:t>LT/1/26/5983/004 – N56</w:t>
      </w:r>
    </w:p>
    <w:p w14:paraId="0856B5F8" w14:textId="77777777" w:rsidR="00263D7D" w:rsidRPr="00263D7D" w:rsidRDefault="00263D7D" w:rsidP="00263D7D">
      <w:pPr>
        <w:tabs>
          <w:tab w:val="left" w:pos="567"/>
        </w:tabs>
        <w:rPr>
          <w:rFonts w:eastAsia="Times New Roman" w:cs="Times New Roman"/>
          <w:noProof/>
          <w:sz w:val="22"/>
          <w:szCs w:val="22"/>
          <w:highlight w:val="lightGray"/>
          <w:lang w:val="lt-LT" w:eastAsia="lt-LT" w:bidi="lt-LT"/>
        </w:rPr>
      </w:pPr>
      <w:r w:rsidRPr="00263D7D">
        <w:rPr>
          <w:rFonts w:eastAsia="Times New Roman" w:cs="Times New Roman"/>
          <w:noProof/>
          <w:sz w:val="22"/>
          <w:szCs w:val="22"/>
          <w:highlight w:val="lightGray"/>
          <w:lang w:val="lt-LT" w:eastAsia="lt-LT" w:bidi="lt-LT"/>
        </w:rPr>
        <w:t>LT/1/26/5983/005 – N84</w:t>
      </w:r>
    </w:p>
    <w:p w14:paraId="018FA551" w14:textId="77777777" w:rsidR="00263D7D" w:rsidRPr="00263D7D" w:rsidRDefault="00263D7D" w:rsidP="00263D7D">
      <w:pPr>
        <w:tabs>
          <w:tab w:val="left" w:pos="567"/>
        </w:tabs>
        <w:rPr>
          <w:rFonts w:eastAsia="Times New Roman" w:cs="Times New Roman"/>
          <w:noProof/>
          <w:sz w:val="22"/>
          <w:szCs w:val="22"/>
          <w:highlight w:val="lightGray"/>
          <w:lang w:val="lt-LT" w:eastAsia="lt-LT" w:bidi="lt-LT"/>
        </w:rPr>
      </w:pPr>
      <w:r w:rsidRPr="00263D7D">
        <w:rPr>
          <w:rFonts w:eastAsia="Times New Roman" w:cs="Times New Roman"/>
          <w:noProof/>
          <w:sz w:val="22"/>
          <w:szCs w:val="22"/>
          <w:highlight w:val="lightGray"/>
          <w:lang w:val="lt-LT" w:eastAsia="lt-LT" w:bidi="lt-LT"/>
        </w:rPr>
        <w:t>LT/1/26/5983/006 – N90</w:t>
      </w:r>
    </w:p>
    <w:p w14:paraId="2B7E1AC3" w14:textId="7EC5CD11" w:rsidR="00263D7D" w:rsidRDefault="00263D7D" w:rsidP="00263D7D">
      <w:pPr>
        <w:tabs>
          <w:tab w:val="left" w:pos="567"/>
        </w:tabs>
        <w:rPr>
          <w:rFonts w:eastAsia="Times New Roman" w:cs="Times New Roman"/>
          <w:noProof/>
          <w:sz w:val="22"/>
          <w:szCs w:val="22"/>
          <w:lang w:val="lt-LT" w:eastAsia="lt-LT" w:bidi="lt-LT"/>
        </w:rPr>
      </w:pPr>
      <w:r w:rsidRPr="00263D7D">
        <w:rPr>
          <w:rFonts w:eastAsia="Times New Roman" w:cs="Times New Roman"/>
          <w:noProof/>
          <w:sz w:val="22"/>
          <w:szCs w:val="22"/>
          <w:highlight w:val="lightGray"/>
          <w:lang w:val="lt-LT" w:eastAsia="lt-LT" w:bidi="lt-LT"/>
        </w:rPr>
        <w:t>LT/1/26/5983/007 – N98</w:t>
      </w:r>
    </w:p>
    <w:p w14:paraId="7ADCBB34"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52CB07ED" w14:textId="77777777" w:rsidR="000C1F4C" w:rsidRPr="00997273" w:rsidRDefault="000C1F4C" w:rsidP="000C1F4C">
      <w:pPr>
        <w:tabs>
          <w:tab w:val="left" w:pos="567"/>
        </w:tabs>
        <w:rPr>
          <w:rFonts w:eastAsia="Times New Roman" w:cs="Times New Roman"/>
          <w:noProof/>
          <w:sz w:val="22"/>
          <w:szCs w:val="22"/>
          <w:lang w:val="lt-LT" w:eastAsia="lt-LT" w:bidi="lt-LT"/>
        </w:rPr>
      </w:pPr>
    </w:p>
    <w:p w14:paraId="518DA883"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i/>
          <w:noProof/>
          <w:sz w:val="22"/>
          <w:szCs w:val="22"/>
          <w:lang w:val="lt-LT" w:eastAsia="lt-LT" w:bidi="lt-LT"/>
        </w:rPr>
      </w:pPr>
      <w:r w:rsidRPr="00997273">
        <w:rPr>
          <w:rFonts w:eastAsia="Times New Roman" w:cs="Times New Roman"/>
          <w:b/>
          <w:noProof/>
          <w:sz w:val="22"/>
          <w:szCs w:val="22"/>
          <w:lang w:val="lt-LT" w:eastAsia="lt-LT" w:bidi="lt-LT"/>
        </w:rPr>
        <w:t xml:space="preserve">SERIJOS NUMERIS </w:t>
      </w:r>
    </w:p>
    <w:p w14:paraId="4286865A"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3DDCFF97" w14:textId="30431A57" w:rsidR="000A79F0" w:rsidRPr="00997273" w:rsidRDefault="003527DB" w:rsidP="00612A8E">
      <w:pPr>
        <w:tabs>
          <w:tab w:val="left" w:pos="567"/>
        </w:tabs>
        <w:rPr>
          <w:rFonts w:cs="Times New Roman"/>
          <w:sz w:val="22"/>
          <w:szCs w:val="22"/>
          <w:lang w:val="lt-LT" w:eastAsia="en-US"/>
        </w:rPr>
      </w:pPr>
      <w:r>
        <w:rPr>
          <w:rFonts w:cs="Times New Roman"/>
          <w:sz w:val="22"/>
          <w:szCs w:val="22"/>
          <w:lang w:val="lt-LT" w:eastAsia="en-US"/>
        </w:rPr>
        <w:t>Lot</w:t>
      </w:r>
    </w:p>
    <w:p w14:paraId="624615FA" w14:textId="77777777" w:rsidR="000A79F0" w:rsidRPr="00997273" w:rsidRDefault="000A79F0" w:rsidP="00612A8E">
      <w:pPr>
        <w:tabs>
          <w:tab w:val="left" w:pos="567"/>
        </w:tabs>
        <w:rPr>
          <w:rFonts w:cs="Times New Roman"/>
          <w:sz w:val="22"/>
          <w:szCs w:val="22"/>
          <w:lang w:val="lt-LT" w:eastAsia="en-US"/>
        </w:rPr>
      </w:pPr>
    </w:p>
    <w:p w14:paraId="35C5F4A8" w14:textId="77777777" w:rsidR="000A79F0" w:rsidRPr="00997273" w:rsidRDefault="000A79F0" w:rsidP="00612A8E">
      <w:pPr>
        <w:tabs>
          <w:tab w:val="left" w:pos="567"/>
        </w:tabs>
        <w:rPr>
          <w:rFonts w:eastAsia="Times New Roman" w:cs="Times New Roman"/>
          <w:noProof/>
          <w:sz w:val="22"/>
          <w:szCs w:val="22"/>
          <w:lang w:val="lt-LT" w:eastAsia="lt-LT" w:bidi="lt-LT"/>
        </w:rPr>
      </w:pPr>
    </w:p>
    <w:p w14:paraId="0647ACE6"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PARDAVIMO (IŠDAVIMO) TVARKA</w:t>
      </w:r>
    </w:p>
    <w:p w14:paraId="06C09B32" w14:textId="77777777" w:rsidR="00612A8E" w:rsidRPr="00997273" w:rsidRDefault="00612A8E" w:rsidP="00612A8E">
      <w:pPr>
        <w:tabs>
          <w:tab w:val="left" w:pos="567"/>
        </w:tabs>
        <w:rPr>
          <w:rFonts w:eastAsia="Times New Roman" w:cs="Times New Roman"/>
          <w:i/>
          <w:noProof/>
          <w:sz w:val="22"/>
          <w:szCs w:val="22"/>
          <w:lang w:val="lt-LT" w:eastAsia="lt-LT" w:bidi="lt-LT"/>
        </w:rPr>
      </w:pPr>
    </w:p>
    <w:p w14:paraId="260E8403" w14:textId="11639BF7" w:rsidR="000A79F0" w:rsidRPr="00997273" w:rsidRDefault="000A79F0" w:rsidP="000A79F0">
      <w:pPr>
        <w:rPr>
          <w:rFonts w:eastAsia="Times New Roman" w:cs="Times New Roman"/>
          <w:sz w:val="22"/>
          <w:szCs w:val="22"/>
          <w:lang w:val="lt-LT" w:eastAsia="en-US"/>
        </w:rPr>
      </w:pPr>
      <w:r w:rsidRPr="00997273">
        <w:rPr>
          <w:rFonts w:eastAsia="Times New Roman" w:cs="Times New Roman"/>
          <w:sz w:val="22"/>
          <w:szCs w:val="22"/>
          <w:lang w:val="lt-LT" w:eastAsia="en-US"/>
        </w:rPr>
        <w:t>Receptinis vaistas.</w:t>
      </w:r>
    </w:p>
    <w:p w14:paraId="15EB3F6F"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7CED3EB7" w14:textId="77777777" w:rsidR="000A79F0" w:rsidRPr="00997273" w:rsidRDefault="000A79F0" w:rsidP="00612A8E">
      <w:pPr>
        <w:tabs>
          <w:tab w:val="left" w:pos="567"/>
        </w:tabs>
        <w:rPr>
          <w:rFonts w:eastAsia="Times New Roman" w:cs="Times New Roman"/>
          <w:noProof/>
          <w:sz w:val="22"/>
          <w:szCs w:val="22"/>
          <w:lang w:val="lt-LT" w:eastAsia="lt-LT" w:bidi="lt-LT"/>
        </w:rPr>
      </w:pPr>
    </w:p>
    <w:p w14:paraId="348BF7EE"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VARTOJIMO INSTRUKCIJA</w:t>
      </w:r>
    </w:p>
    <w:p w14:paraId="78B32C44"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0CB61F7F"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41E3091A"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INFORMACIJA BRAILIO RAŠTU</w:t>
      </w:r>
    </w:p>
    <w:p w14:paraId="3DE10C9A"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7DAD47D5" w14:textId="338C0179" w:rsidR="000A79F0" w:rsidRPr="00997273" w:rsidRDefault="00AE2AD2" w:rsidP="00612A8E">
      <w:pPr>
        <w:tabs>
          <w:tab w:val="left" w:pos="567"/>
        </w:tabs>
        <w:rPr>
          <w:rFonts w:eastAsia="Times New Roman" w:cs="Times New Roman"/>
          <w:sz w:val="22"/>
          <w:szCs w:val="22"/>
          <w:lang w:val="lt-LT" w:eastAsia="lt-LT" w:bidi="lt-LT"/>
        </w:rPr>
      </w:pPr>
      <w:proofErr w:type="spellStart"/>
      <w:r>
        <w:rPr>
          <w:rFonts w:eastAsia="Times New Roman" w:cs="Times New Roman"/>
          <w:sz w:val="22"/>
          <w:szCs w:val="22"/>
          <w:lang w:val="lt-LT" w:eastAsia="lt-LT" w:bidi="lt-LT"/>
        </w:rPr>
        <w:t>Meliglix</w:t>
      </w:r>
      <w:proofErr w:type="spellEnd"/>
      <w:r w:rsidR="000A79F0" w:rsidRPr="00997273">
        <w:rPr>
          <w:rFonts w:eastAsia="Times New Roman" w:cs="Times New Roman"/>
          <w:sz w:val="22"/>
          <w:szCs w:val="22"/>
          <w:lang w:val="lt-LT" w:eastAsia="lt-LT" w:bidi="lt-LT"/>
        </w:rPr>
        <w:t xml:space="preserve"> 25</w:t>
      </w:r>
      <w:r w:rsidR="00372AB6" w:rsidRPr="00997273">
        <w:rPr>
          <w:rFonts w:eastAsia="Times New Roman" w:cs="Times New Roman"/>
          <w:sz w:val="22"/>
          <w:szCs w:val="22"/>
          <w:lang w:val="lt-LT" w:eastAsia="lt-LT" w:bidi="lt-LT"/>
        </w:rPr>
        <w:t> </w:t>
      </w:r>
      <w:r w:rsidR="000A79F0" w:rsidRPr="00997273">
        <w:rPr>
          <w:rFonts w:eastAsia="Times New Roman" w:cs="Times New Roman"/>
          <w:sz w:val="22"/>
          <w:szCs w:val="22"/>
          <w:lang w:val="lt-LT" w:eastAsia="lt-LT" w:bidi="lt-LT"/>
        </w:rPr>
        <w:t>mg</w:t>
      </w:r>
    </w:p>
    <w:p w14:paraId="7C6E393A" w14:textId="204D5ED5" w:rsidR="00B93BC3" w:rsidRPr="00A039D8" w:rsidRDefault="00AE2AD2" w:rsidP="00B93BC3">
      <w:pPr>
        <w:tabs>
          <w:tab w:val="left" w:pos="567"/>
        </w:tabs>
        <w:rPr>
          <w:rFonts w:eastAsia="Times New Roman" w:cs="Times New Roman"/>
          <w:sz w:val="22"/>
          <w:szCs w:val="22"/>
          <w:highlight w:val="lightGray"/>
          <w:lang w:val="lt-LT" w:eastAsia="lt-LT" w:bidi="lt-LT"/>
        </w:rPr>
      </w:pPr>
      <w:proofErr w:type="spellStart"/>
      <w:r>
        <w:rPr>
          <w:rFonts w:eastAsia="Times New Roman" w:cs="Times New Roman"/>
          <w:sz w:val="22"/>
          <w:szCs w:val="22"/>
          <w:highlight w:val="lightGray"/>
          <w:lang w:val="lt-LT" w:eastAsia="lt-LT" w:bidi="lt-LT"/>
        </w:rPr>
        <w:t>Meliglix</w:t>
      </w:r>
      <w:proofErr w:type="spellEnd"/>
      <w:r w:rsidR="00B93BC3" w:rsidRPr="00A039D8">
        <w:rPr>
          <w:rFonts w:eastAsia="Times New Roman" w:cs="Times New Roman"/>
          <w:sz w:val="22"/>
          <w:szCs w:val="22"/>
          <w:highlight w:val="lightGray"/>
          <w:lang w:val="lt-LT" w:eastAsia="lt-LT" w:bidi="lt-LT"/>
        </w:rPr>
        <w:t xml:space="preserve"> 50 mg</w:t>
      </w:r>
    </w:p>
    <w:p w14:paraId="7BA9B90D" w14:textId="378E70A3" w:rsidR="000A79F0" w:rsidRPr="00110C60" w:rsidRDefault="00AE2AD2" w:rsidP="00110C60">
      <w:pPr>
        <w:tabs>
          <w:tab w:val="left" w:pos="567"/>
        </w:tabs>
        <w:rPr>
          <w:sz w:val="22"/>
          <w:lang w:val="lt-LT"/>
        </w:rPr>
      </w:pPr>
      <w:proofErr w:type="spellStart"/>
      <w:r w:rsidRPr="00110C60">
        <w:rPr>
          <w:sz w:val="22"/>
          <w:highlight w:val="lightGray"/>
          <w:lang w:val="lt-LT"/>
        </w:rPr>
        <w:t>Meliglix</w:t>
      </w:r>
      <w:proofErr w:type="spellEnd"/>
      <w:r w:rsidR="000A79F0" w:rsidRPr="00110C60">
        <w:rPr>
          <w:sz w:val="22"/>
          <w:highlight w:val="lightGray"/>
          <w:lang w:val="lt-LT"/>
        </w:rPr>
        <w:t xml:space="preserve"> 100</w:t>
      </w:r>
      <w:r w:rsidR="00372AB6" w:rsidRPr="00110C60">
        <w:rPr>
          <w:sz w:val="22"/>
          <w:highlight w:val="lightGray"/>
          <w:lang w:val="lt-LT"/>
        </w:rPr>
        <w:t> </w:t>
      </w:r>
      <w:r w:rsidR="000A79F0" w:rsidRPr="00110C60">
        <w:rPr>
          <w:sz w:val="22"/>
          <w:highlight w:val="lightGray"/>
          <w:lang w:val="lt-LT"/>
        </w:rPr>
        <w:t>mg</w:t>
      </w:r>
    </w:p>
    <w:p w14:paraId="392D1F89" w14:textId="77777777" w:rsidR="00612A8E" w:rsidRPr="00110C60" w:rsidRDefault="00612A8E" w:rsidP="00612A8E">
      <w:pPr>
        <w:tabs>
          <w:tab w:val="left" w:pos="567"/>
        </w:tabs>
        <w:rPr>
          <w:sz w:val="22"/>
          <w:shd w:val="clear" w:color="auto" w:fill="CCCCCC"/>
          <w:lang w:val="lt-LT"/>
        </w:rPr>
      </w:pPr>
    </w:p>
    <w:p w14:paraId="131F8F55" w14:textId="77777777" w:rsidR="00612A8E" w:rsidRPr="00997273" w:rsidRDefault="00612A8E" w:rsidP="00612A8E">
      <w:pPr>
        <w:tabs>
          <w:tab w:val="left" w:pos="567"/>
        </w:tabs>
        <w:rPr>
          <w:rFonts w:eastAsia="Times New Roman" w:cs="Times New Roman"/>
          <w:noProof/>
          <w:sz w:val="22"/>
          <w:szCs w:val="22"/>
          <w:shd w:val="clear" w:color="auto" w:fill="CCCCCC"/>
          <w:lang w:val="lt-LT" w:eastAsia="lt-LT" w:bidi="lt-LT"/>
        </w:rPr>
      </w:pPr>
    </w:p>
    <w:p w14:paraId="3CCA6B13"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i/>
          <w:noProof/>
          <w:sz w:val="22"/>
          <w:szCs w:val="22"/>
          <w:lang w:val="lt-LT" w:eastAsia="lt-LT" w:bidi="lt-LT"/>
        </w:rPr>
      </w:pPr>
      <w:r w:rsidRPr="00997273">
        <w:rPr>
          <w:rFonts w:eastAsia="Times New Roman" w:cs="Times New Roman"/>
          <w:b/>
          <w:noProof/>
          <w:sz w:val="22"/>
          <w:szCs w:val="22"/>
          <w:lang w:val="lt-LT" w:eastAsia="lt-LT" w:bidi="lt-LT"/>
        </w:rPr>
        <w:t>UNIKALUS IDENTIFIKATORIUS – 2D BRŪKŠNINIS KODAS</w:t>
      </w:r>
    </w:p>
    <w:p w14:paraId="3C7A7E69" w14:textId="77777777" w:rsidR="00612A8E" w:rsidRPr="00997273" w:rsidRDefault="00612A8E" w:rsidP="00612A8E">
      <w:pPr>
        <w:rPr>
          <w:rFonts w:eastAsia="Times New Roman" w:cs="Times New Roman"/>
          <w:noProof/>
          <w:sz w:val="22"/>
          <w:szCs w:val="22"/>
          <w:lang w:val="lt-LT" w:eastAsia="lt-LT" w:bidi="lt-LT"/>
        </w:rPr>
      </w:pPr>
    </w:p>
    <w:p w14:paraId="42505910" w14:textId="77777777" w:rsidR="00612A8E" w:rsidRDefault="00612A8E" w:rsidP="00612A8E">
      <w:pPr>
        <w:tabs>
          <w:tab w:val="left" w:pos="567"/>
        </w:tabs>
        <w:rPr>
          <w:rFonts w:eastAsia="Times New Roman" w:cs="Times New Roman"/>
          <w:noProof/>
          <w:sz w:val="22"/>
          <w:szCs w:val="22"/>
          <w:lang w:val="lt-LT" w:eastAsia="lt-LT" w:bidi="lt-LT"/>
        </w:rPr>
      </w:pPr>
      <w:r w:rsidRPr="00A039D8">
        <w:rPr>
          <w:rFonts w:eastAsia="Times New Roman" w:cs="Times New Roman"/>
          <w:noProof/>
          <w:sz w:val="22"/>
          <w:szCs w:val="22"/>
          <w:highlight w:val="lightGray"/>
          <w:lang w:val="lt-LT" w:eastAsia="lt-LT" w:bidi="lt-LT"/>
        </w:rPr>
        <w:t>2D brūkšninis kodas su nurod</w:t>
      </w:r>
      <w:r w:rsidR="000A79F0" w:rsidRPr="00A039D8">
        <w:rPr>
          <w:rFonts w:eastAsia="Times New Roman" w:cs="Times New Roman"/>
          <w:noProof/>
          <w:sz w:val="22"/>
          <w:szCs w:val="22"/>
          <w:highlight w:val="lightGray"/>
          <w:lang w:val="lt-LT" w:eastAsia="lt-LT" w:bidi="lt-LT"/>
        </w:rPr>
        <w:t>ytu unikaliu identifikatoriumi.</w:t>
      </w:r>
    </w:p>
    <w:p w14:paraId="3990BBD0" w14:textId="77777777" w:rsidR="00BB40BE" w:rsidRPr="00997273" w:rsidRDefault="00BB40BE" w:rsidP="00612A8E">
      <w:pPr>
        <w:tabs>
          <w:tab w:val="left" w:pos="567"/>
        </w:tabs>
        <w:rPr>
          <w:rFonts w:eastAsia="Times New Roman" w:cs="Times New Roman"/>
          <w:noProof/>
          <w:sz w:val="22"/>
          <w:szCs w:val="22"/>
          <w:lang w:val="lt-LT" w:eastAsia="lt-LT" w:bidi="lt-LT"/>
        </w:rPr>
      </w:pPr>
    </w:p>
    <w:p w14:paraId="1F758944" w14:textId="77777777" w:rsidR="00262A3B" w:rsidRPr="00997273" w:rsidRDefault="00262A3B" w:rsidP="00612A8E">
      <w:pPr>
        <w:tabs>
          <w:tab w:val="left" w:pos="567"/>
        </w:tabs>
        <w:rPr>
          <w:rFonts w:eastAsia="Times New Roman" w:cs="Times New Roman"/>
          <w:noProof/>
          <w:sz w:val="22"/>
          <w:szCs w:val="22"/>
          <w:shd w:val="clear" w:color="auto" w:fill="CCCCCC"/>
          <w:lang w:val="lt-LT" w:eastAsia="lt-LT" w:bidi="lt-LT"/>
        </w:rPr>
      </w:pPr>
    </w:p>
    <w:p w14:paraId="7B1FAFFE" w14:textId="77777777" w:rsidR="00612A8E" w:rsidRPr="00997273" w:rsidRDefault="00612A8E" w:rsidP="00612A8E">
      <w:pPr>
        <w:rPr>
          <w:rFonts w:eastAsia="Times New Roman" w:cs="Times New Roman"/>
          <w:noProof/>
          <w:vanish/>
          <w:sz w:val="22"/>
          <w:szCs w:val="22"/>
          <w:lang w:val="lt-LT" w:eastAsia="lt-LT" w:bidi="lt-LT"/>
        </w:rPr>
      </w:pPr>
    </w:p>
    <w:p w14:paraId="09AFAF9E" w14:textId="77777777" w:rsidR="00612A8E" w:rsidRPr="0099727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i/>
          <w:noProof/>
          <w:sz w:val="22"/>
          <w:szCs w:val="22"/>
          <w:lang w:val="lt-LT" w:eastAsia="lt-LT" w:bidi="lt-LT"/>
        </w:rPr>
      </w:pPr>
      <w:r w:rsidRPr="00997273">
        <w:rPr>
          <w:rFonts w:eastAsia="Times New Roman" w:cs="Times New Roman"/>
          <w:b/>
          <w:noProof/>
          <w:sz w:val="22"/>
          <w:szCs w:val="22"/>
          <w:lang w:val="lt-LT" w:eastAsia="lt-LT" w:bidi="lt-LT"/>
        </w:rPr>
        <w:t>UNIKALUS IDENTIFIKATORIUS – ŽMONĖMS SUPRANTAMI DUOMENYS</w:t>
      </w:r>
    </w:p>
    <w:p w14:paraId="33F0FC1E" w14:textId="77777777" w:rsidR="00612A8E" w:rsidRPr="00997273" w:rsidRDefault="00612A8E" w:rsidP="00612A8E">
      <w:pPr>
        <w:rPr>
          <w:rFonts w:eastAsia="Times New Roman" w:cs="Times New Roman"/>
          <w:noProof/>
          <w:sz w:val="22"/>
          <w:szCs w:val="22"/>
          <w:lang w:val="lt-LT" w:eastAsia="lt-LT" w:bidi="lt-LT"/>
        </w:rPr>
      </w:pPr>
    </w:p>
    <w:p w14:paraId="3F04DBD2" w14:textId="77777777" w:rsidR="000A79F0" w:rsidRPr="00997273" w:rsidRDefault="000A79F0" w:rsidP="00612A8E">
      <w:pPr>
        <w:tabs>
          <w:tab w:val="left" w:pos="567"/>
        </w:tabs>
        <w:spacing w:line="260" w:lineRule="exact"/>
        <w:rPr>
          <w:rFonts w:eastAsia="Times New Roman" w:cs="Times New Roman"/>
          <w:sz w:val="22"/>
          <w:szCs w:val="22"/>
          <w:lang w:val="lt-LT" w:eastAsia="lt-LT" w:bidi="lt-LT"/>
        </w:rPr>
      </w:pPr>
      <w:r w:rsidRPr="00997273">
        <w:rPr>
          <w:rFonts w:eastAsia="Times New Roman" w:cs="Times New Roman"/>
          <w:sz w:val="22"/>
          <w:szCs w:val="22"/>
          <w:lang w:val="lt-LT" w:eastAsia="lt-LT" w:bidi="lt-LT"/>
        </w:rPr>
        <w:t>PC:</w:t>
      </w:r>
    </w:p>
    <w:p w14:paraId="3871E7B9" w14:textId="77777777" w:rsidR="000A79F0" w:rsidRPr="00997273" w:rsidRDefault="00612A8E" w:rsidP="00612A8E">
      <w:pPr>
        <w:tabs>
          <w:tab w:val="left" w:pos="567"/>
        </w:tabs>
        <w:spacing w:line="260" w:lineRule="exact"/>
        <w:rPr>
          <w:rFonts w:eastAsia="Times New Roman" w:cs="Times New Roman"/>
          <w:sz w:val="22"/>
          <w:szCs w:val="22"/>
          <w:lang w:val="lt-LT" w:eastAsia="lt-LT" w:bidi="lt-LT"/>
        </w:rPr>
      </w:pPr>
      <w:r w:rsidRPr="00997273">
        <w:rPr>
          <w:rFonts w:eastAsia="Times New Roman" w:cs="Times New Roman"/>
          <w:sz w:val="22"/>
          <w:szCs w:val="22"/>
          <w:lang w:val="lt-LT" w:eastAsia="lt-LT" w:bidi="lt-LT"/>
        </w:rPr>
        <w:t>SN:</w:t>
      </w:r>
    </w:p>
    <w:p w14:paraId="04D37549" w14:textId="77777777" w:rsidR="00612A8E" w:rsidRPr="00997273" w:rsidRDefault="00612A8E" w:rsidP="00612A8E">
      <w:pPr>
        <w:tabs>
          <w:tab w:val="left" w:pos="567"/>
        </w:tabs>
        <w:spacing w:line="260" w:lineRule="exact"/>
        <w:rPr>
          <w:rFonts w:eastAsia="Times New Roman" w:cs="Times New Roman"/>
          <w:sz w:val="22"/>
          <w:szCs w:val="22"/>
          <w:lang w:val="lt-LT" w:eastAsia="lt-LT" w:bidi="lt-LT"/>
        </w:rPr>
      </w:pPr>
      <w:r w:rsidRPr="00297C23">
        <w:rPr>
          <w:rFonts w:eastAsia="Times New Roman" w:cs="Times New Roman"/>
          <w:sz w:val="22"/>
          <w:szCs w:val="22"/>
          <w:lang w:val="lt-LT" w:eastAsia="lt-LT" w:bidi="lt-LT"/>
        </w:rPr>
        <w:t>NN:</w:t>
      </w:r>
      <w:r w:rsidRPr="00997273">
        <w:rPr>
          <w:rFonts w:eastAsia="Times New Roman" w:cs="Times New Roman"/>
          <w:sz w:val="22"/>
          <w:szCs w:val="22"/>
          <w:lang w:val="lt-LT" w:eastAsia="lt-LT" w:bidi="lt-LT"/>
        </w:rPr>
        <w:t xml:space="preserve"> </w:t>
      </w:r>
    </w:p>
    <w:bookmarkEnd w:id="2"/>
    <w:bookmarkEnd w:id="3"/>
    <w:bookmarkEnd w:id="4"/>
    <w:p w14:paraId="3F47132A" w14:textId="0B6DC32B" w:rsidR="00B93BC3" w:rsidRDefault="00B93BC3">
      <w:pPr>
        <w:spacing w:after="200" w:line="276" w:lineRule="auto"/>
        <w:rPr>
          <w:rFonts w:eastAsia="Times New Roman" w:cs="Times New Roman"/>
          <w:sz w:val="22"/>
          <w:szCs w:val="22"/>
          <w:lang w:val="lt-LT" w:eastAsia="lt-LT" w:bidi="lt-LT"/>
        </w:rPr>
      </w:pPr>
      <w:r>
        <w:rPr>
          <w:rFonts w:eastAsia="Times New Roman" w:cs="Times New Roman"/>
          <w:sz w:val="22"/>
          <w:szCs w:val="22"/>
          <w:lang w:val="lt-LT" w:eastAsia="lt-LT" w:bidi="lt-LT"/>
        </w:rPr>
        <w:br w:type="page"/>
      </w:r>
    </w:p>
    <w:p w14:paraId="1A3D25E0" w14:textId="5A707ADF" w:rsidR="006049A1" w:rsidRDefault="006049A1" w:rsidP="00B05148">
      <w:pPr>
        <w:spacing w:after="200" w:line="276" w:lineRule="auto"/>
        <w:rPr>
          <w:rFonts w:eastAsia="Times New Roman" w:cs="Times New Roman"/>
          <w:sz w:val="22"/>
          <w:szCs w:val="22"/>
          <w:lang w:val="lt-LT" w:eastAsia="lt-LT" w:bidi="lt-LT"/>
        </w:rPr>
      </w:pPr>
    </w:p>
    <w:p w14:paraId="27B340F6" w14:textId="77777777" w:rsidR="00612A8E" w:rsidRPr="00997273" w:rsidRDefault="00612A8E" w:rsidP="00612A8E">
      <w:pPr>
        <w:tabs>
          <w:tab w:val="left" w:pos="567"/>
        </w:tabs>
        <w:spacing w:line="260" w:lineRule="exact"/>
        <w:ind w:left="-198"/>
        <w:rPr>
          <w:rFonts w:eastAsia="Times New Roman" w:cs="Times New Roman"/>
          <w:sz w:val="22"/>
          <w:szCs w:val="22"/>
          <w:lang w:val="lt-LT" w:eastAsia="lt-LT" w:bidi="lt-LT"/>
        </w:rPr>
      </w:pPr>
    </w:p>
    <w:p w14:paraId="1ACB6A1D" w14:textId="77777777" w:rsidR="00612A8E" w:rsidRPr="00997273" w:rsidRDefault="00612A8E" w:rsidP="00612A8E">
      <w:pPr>
        <w:pBdr>
          <w:top w:val="single" w:sz="4" w:space="1" w:color="auto"/>
          <w:left w:val="single" w:sz="4" w:space="4" w:color="auto"/>
          <w:bottom w:val="single" w:sz="4" w:space="1" w:color="auto"/>
          <w:right w:val="single" w:sz="4" w:space="4" w:color="auto"/>
        </w:pBdr>
        <w:tabs>
          <w:tab w:val="left" w:pos="0"/>
        </w:tabs>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MINIMALI INFORMACIJA ANT LIZDINIŲ PLOKŠTELIŲ ARBA DVISLUOKSNIŲ JUOSTELIŲ</w:t>
      </w:r>
    </w:p>
    <w:p w14:paraId="08B29C53" w14:textId="77777777" w:rsidR="00612A8E" w:rsidRPr="00997273" w:rsidRDefault="00612A8E" w:rsidP="00612A8E">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
          <w:noProof/>
          <w:sz w:val="22"/>
          <w:szCs w:val="22"/>
          <w:lang w:val="lt-LT" w:eastAsia="lt-LT" w:bidi="lt-LT"/>
        </w:rPr>
      </w:pPr>
    </w:p>
    <w:p w14:paraId="4723E20F" w14:textId="7046DCD2" w:rsidR="00612A8E" w:rsidRPr="00817AB1" w:rsidRDefault="009229FC" w:rsidP="00612A8E">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
          <w:noProof/>
          <w:sz w:val="22"/>
          <w:szCs w:val="22"/>
          <w:lang w:eastAsia="lt-LT" w:bidi="lt-LT"/>
        </w:rPr>
      </w:pPr>
      <w:r>
        <w:rPr>
          <w:rFonts w:eastAsia="Times New Roman" w:cs="Times New Roman"/>
          <w:b/>
          <w:noProof/>
          <w:sz w:val="22"/>
          <w:szCs w:val="22"/>
          <w:lang w:val="lt-LT" w:eastAsia="lt-LT" w:bidi="lt-LT"/>
        </w:rPr>
        <w:t>LIZDINĖ PLOKŠTELĖ</w:t>
      </w:r>
    </w:p>
    <w:p w14:paraId="46A44559"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27053064"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0D1E23A1" w14:textId="77777777" w:rsidR="00612A8E" w:rsidRPr="00997273" w:rsidRDefault="00612A8E" w:rsidP="00612A8E">
      <w:pPr>
        <w:numPr>
          <w:ilvl w:val="1"/>
          <w:numId w:val="28"/>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VAISTINIO PREPARATO PAVADINIMAS</w:t>
      </w:r>
    </w:p>
    <w:p w14:paraId="58498CE9" w14:textId="77777777" w:rsidR="00612A8E" w:rsidRPr="00997273" w:rsidRDefault="00612A8E" w:rsidP="00612A8E">
      <w:pPr>
        <w:tabs>
          <w:tab w:val="left" w:pos="567"/>
        </w:tabs>
        <w:rPr>
          <w:rFonts w:eastAsia="Times New Roman" w:cs="Times New Roman"/>
          <w:i/>
          <w:noProof/>
          <w:sz w:val="22"/>
          <w:szCs w:val="22"/>
          <w:lang w:val="lt-LT" w:eastAsia="lt-LT" w:bidi="lt-LT"/>
        </w:rPr>
      </w:pPr>
    </w:p>
    <w:p w14:paraId="18AFB40B" w14:textId="69925833" w:rsidR="00097B9A" w:rsidRPr="00997273" w:rsidRDefault="00AE2AD2" w:rsidP="00097B9A">
      <w:pPr>
        <w:widowControl w:val="0"/>
        <w:tabs>
          <w:tab w:val="left" w:pos="567"/>
        </w:tabs>
        <w:rPr>
          <w:rFonts w:eastAsia="Times New Roman" w:cs="Times New Roman"/>
          <w:sz w:val="22"/>
          <w:szCs w:val="22"/>
          <w:lang w:val="lt-LT" w:eastAsia="lt-LT" w:bidi="lt-LT"/>
        </w:rPr>
      </w:pPr>
      <w:proofErr w:type="spellStart"/>
      <w:r>
        <w:rPr>
          <w:rFonts w:eastAsia="Times New Roman" w:cs="Times New Roman"/>
          <w:sz w:val="22"/>
          <w:szCs w:val="22"/>
          <w:lang w:val="lt-LT" w:eastAsia="lt-LT" w:bidi="lt-LT"/>
        </w:rPr>
        <w:t>Meliglix</w:t>
      </w:r>
      <w:proofErr w:type="spellEnd"/>
      <w:r w:rsidR="00097B9A" w:rsidRPr="004139E8">
        <w:rPr>
          <w:rFonts w:eastAsia="Times New Roman" w:cs="Times New Roman"/>
          <w:sz w:val="22"/>
          <w:szCs w:val="22"/>
          <w:lang w:val="lt-LT" w:eastAsia="lt-LT" w:bidi="lt-LT"/>
        </w:rPr>
        <w:t xml:space="preserve"> 25 mg </w:t>
      </w:r>
      <w:r w:rsidR="00097B9A" w:rsidRPr="00817AB1">
        <w:rPr>
          <w:sz w:val="22"/>
          <w:highlight w:val="lightGray"/>
          <w:lang w:val="lt-LT"/>
        </w:rPr>
        <w:t>plėvele dengtos</w:t>
      </w:r>
      <w:r w:rsidR="00097B9A" w:rsidRPr="004139E8">
        <w:rPr>
          <w:rFonts w:eastAsia="Times New Roman" w:cs="Times New Roman"/>
          <w:sz w:val="22"/>
          <w:szCs w:val="22"/>
          <w:lang w:val="lt-LT" w:eastAsia="lt-LT" w:bidi="lt-LT"/>
        </w:rPr>
        <w:t xml:space="preserve"> tabletės</w:t>
      </w:r>
    </w:p>
    <w:p w14:paraId="5EEBAE80" w14:textId="2E4E9CBB" w:rsidR="00B93BC3" w:rsidRPr="00A215D2" w:rsidRDefault="00AE2AD2" w:rsidP="00B93BC3">
      <w:pPr>
        <w:widowControl w:val="0"/>
        <w:tabs>
          <w:tab w:val="left" w:pos="567"/>
        </w:tabs>
        <w:rPr>
          <w:rFonts w:eastAsia="Times New Roman" w:cs="Times New Roman"/>
          <w:sz w:val="22"/>
          <w:szCs w:val="22"/>
          <w:highlight w:val="lightGray"/>
          <w:lang w:val="lt-LT" w:eastAsia="lt-LT" w:bidi="lt-LT"/>
        </w:rPr>
      </w:pPr>
      <w:proofErr w:type="spellStart"/>
      <w:r>
        <w:rPr>
          <w:rFonts w:eastAsia="Times New Roman" w:cs="Times New Roman"/>
          <w:sz w:val="22"/>
          <w:szCs w:val="22"/>
          <w:highlight w:val="lightGray"/>
          <w:lang w:val="lt-LT" w:eastAsia="lt-LT" w:bidi="lt-LT"/>
        </w:rPr>
        <w:t>Meliglix</w:t>
      </w:r>
      <w:proofErr w:type="spellEnd"/>
      <w:r w:rsidR="00B93BC3" w:rsidRPr="00A215D2">
        <w:rPr>
          <w:rFonts w:eastAsia="Times New Roman" w:cs="Times New Roman"/>
          <w:sz w:val="22"/>
          <w:szCs w:val="22"/>
          <w:highlight w:val="lightGray"/>
          <w:lang w:val="lt-LT" w:eastAsia="lt-LT" w:bidi="lt-LT"/>
        </w:rPr>
        <w:t xml:space="preserve"> 50 mg plėvele dengtos tabletės</w:t>
      </w:r>
    </w:p>
    <w:p w14:paraId="279AC4F7" w14:textId="18DF839C" w:rsidR="00097B9A" w:rsidRPr="00297C23" w:rsidRDefault="00AE2AD2" w:rsidP="00297C23">
      <w:pPr>
        <w:widowControl w:val="0"/>
        <w:shd w:val="clear" w:color="auto" w:fill="BFBFBF" w:themeFill="background1" w:themeFillShade="BF"/>
        <w:autoSpaceDE w:val="0"/>
        <w:autoSpaceDN w:val="0"/>
        <w:spacing w:before="1"/>
        <w:ind w:right="2568"/>
        <w:rPr>
          <w:rFonts w:eastAsia="Times New Roman" w:cs="Times New Roman"/>
          <w:sz w:val="22"/>
          <w:szCs w:val="22"/>
          <w:lang w:val="en-US" w:eastAsia="en-US"/>
        </w:rPr>
      </w:pPr>
      <w:proofErr w:type="spellStart"/>
      <w:r w:rsidRPr="00297C23">
        <w:rPr>
          <w:rFonts w:eastAsia="Times New Roman" w:cs="Times New Roman"/>
          <w:sz w:val="22"/>
          <w:szCs w:val="22"/>
          <w:lang w:val="en-US" w:eastAsia="en-US"/>
        </w:rPr>
        <w:t>Meliglix</w:t>
      </w:r>
      <w:proofErr w:type="spellEnd"/>
      <w:r w:rsidR="00097B9A" w:rsidRPr="00297C23">
        <w:rPr>
          <w:rFonts w:eastAsia="Times New Roman" w:cs="Times New Roman"/>
          <w:sz w:val="22"/>
          <w:szCs w:val="22"/>
          <w:lang w:val="en-US" w:eastAsia="en-US"/>
        </w:rPr>
        <w:t xml:space="preserve"> 100 mg </w:t>
      </w:r>
      <w:proofErr w:type="spellStart"/>
      <w:r w:rsidR="00097B9A" w:rsidRPr="00297C23">
        <w:rPr>
          <w:rFonts w:eastAsia="Times New Roman" w:cs="Times New Roman"/>
          <w:sz w:val="22"/>
          <w:szCs w:val="22"/>
          <w:lang w:val="en-US" w:eastAsia="en-US"/>
        </w:rPr>
        <w:t>plėvele</w:t>
      </w:r>
      <w:proofErr w:type="spellEnd"/>
      <w:r w:rsidR="00097B9A" w:rsidRPr="00297C23">
        <w:rPr>
          <w:rFonts w:eastAsia="Times New Roman" w:cs="Times New Roman"/>
          <w:sz w:val="22"/>
          <w:szCs w:val="22"/>
          <w:lang w:val="en-US" w:eastAsia="en-US"/>
        </w:rPr>
        <w:t xml:space="preserve"> </w:t>
      </w:r>
      <w:proofErr w:type="spellStart"/>
      <w:r w:rsidR="00097B9A" w:rsidRPr="00297C23">
        <w:rPr>
          <w:rFonts w:eastAsia="Times New Roman" w:cs="Times New Roman"/>
          <w:sz w:val="22"/>
          <w:szCs w:val="22"/>
          <w:lang w:val="en-US" w:eastAsia="en-US"/>
        </w:rPr>
        <w:t>dengtos</w:t>
      </w:r>
      <w:proofErr w:type="spellEnd"/>
      <w:r w:rsidR="00097B9A" w:rsidRPr="00297C23">
        <w:rPr>
          <w:rFonts w:eastAsia="Times New Roman" w:cs="Times New Roman"/>
          <w:sz w:val="22"/>
          <w:szCs w:val="22"/>
          <w:lang w:val="en-US" w:eastAsia="en-US"/>
        </w:rPr>
        <w:t xml:space="preserve"> </w:t>
      </w:r>
      <w:proofErr w:type="spellStart"/>
      <w:r w:rsidR="00097B9A" w:rsidRPr="00297C23">
        <w:rPr>
          <w:rFonts w:eastAsia="Times New Roman" w:cs="Times New Roman"/>
          <w:sz w:val="22"/>
          <w:szCs w:val="22"/>
          <w:lang w:val="en-US" w:eastAsia="en-US"/>
        </w:rPr>
        <w:t>tabletės</w:t>
      </w:r>
      <w:proofErr w:type="spellEnd"/>
    </w:p>
    <w:p w14:paraId="1B33E4ED" w14:textId="77777777" w:rsidR="00B93BC3" w:rsidRDefault="00B93BC3" w:rsidP="00097B9A">
      <w:pPr>
        <w:tabs>
          <w:tab w:val="left" w:pos="567"/>
        </w:tabs>
        <w:rPr>
          <w:rFonts w:cs="Times New Roman"/>
          <w:sz w:val="22"/>
          <w:szCs w:val="22"/>
          <w:lang w:val="lt-LT" w:eastAsia="en-US"/>
        </w:rPr>
      </w:pPr>
    </w:p>
    <w:p w14:paraId="17DB3CE5" w14:textId="77777777" w:rsidR="00B05357" w:rsidRPr="00997273" w:rsidRDefault="00B05357" w:rsidP="00B05357">
      <w:pPr>
        <w:tabs>
          <w:tab w:val="left" w:pos="567"/>
        </w:tabs>
        <w:rPr>
          <w:rFonts w:eastAsia="Times New Roman" w:cs="Times New Roman"/>
          <w:noProof/>
          <w:sz w:val="22"/>
          <w:szCs w:val="22"/>
          <w:lang w:val="lt-LT" w:eastAsia="lt-LT" w:bidi="lt-LT"/>
        </w:rPr>
      </w:pPr>
      <w:proofErr w:type="spellStart"/>
      <w:r>
        <w:rPr>
          <w:rFonts w:cs="Times New Roman"/>
          <w:sz w:val="22"/>
          <w:szCs w:val="22"/>
          <w:lang w:val="lt-LT" w:eastAsia="en-US"/>
        </w:rPr>
        <w:t>s</w:t>
      </w:r>
      <w:r w:rsidRPr="00997273">
        <w:rPr>
          <w:rFonts w:cs="Times New Roman"/>
          <w:sz w:val="22"/>
          <w:szCs w:val="22"/>
          <w:lang w:val="lt-LT" w:eastAsia="en-US"/>
        </w:rPr>
        <w:t>itagliptinum</w:t>
      </w:r>
      <w:proofErr w:type="spellEnd"/>
    </w:p>
    <w:p w14:paraId="20C3CB51" w14:textId="77777777" w:rsidR="009A7E02" w:rsidRPr="00997273" w:rsidRDefault="009A7E02" w:rsidP="00612A8E">
      <w:pPr>
        <w:tabs>
          <w:tab w:val="left" w:pos="567"/>
        </w:tabs>
        <w:rPr>
          <w:rFonts w:eastAsia="Times New Roman" w:cs="Times New Roman"/>
          <w:sz w:val="22"/>
          <w:szCs w:val="22"/>
          <w:lang w:val="lt-LT" w:eastAsia="lt-LT" w:bidi="lt-LT"/>
        </w:rPr>
      </w:pPr>
    </w:p>
    <w:p w14:paraId="125BAE55" w14:textId="77777777" w:rsidR="00612A8E" w:rsidRPr="00997273" w:rsidRDefault="00612A8E" w:rsidP="00612A8E">
      <w:pPr>
        <w:numPr>
          <w:ilvl w:val="1"/>
          <w:numId w:val="28"/>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sz w:val="22"/>
          <w:szCs w:val="22"/>
          <w:lang w:val="lt-LT" w:eastAsia="lt-LT" w:bidi="lt-LT"/>
        </w:rPr>
      </w:pPr>
      <w:r w:rsidRPr="00997273">
        <w:rPr>
          <w:rFonts w:eastAsia="Times New Roman" w:cs="Times New Roman"/>
          <w:b/>
          <w:sz w:val="22"/>
          <w:szCs w:val="22"/>
          <w:lang w:val="lt-LT" w:eastAsia="lt-LT" w:bidi="lt-LT"/>
        </w:rPr>
        <w:t>REGISTRUOTOJO PAVADINIMAS</w:t>
      </w:r>
    </w:p>
    <w:p w14:paraId="623BA66E"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256CA29A" w14:textId="7956621F" w:rsidR="00097B9A" w:rsidRPr="00997273" w:rsidRDefault="009229FC" w:rsidP="00097B9A">
      <w:pPr>
        <w:tabs>
          <w:tab w:val="left" w:pos="567"/>
        </w:tabs>
        <w:rPr>
          <w:rFonts w:eastAsia="Times New Roman" w:cs="Times New Roman"/>
          <w:sz w:val="22"/>
          <w:szCs w:val="22"/>
          <w:lang w:val="lt-LT" w:eastAsia="lt-LT" w:bidi="lt-LT"/>
        </w:rPr>
      </w:pPr>
      <w:r w:rsidRPr="00D23AFC">
        <w:rPr>
          <w:rFonts w:eastAsia="Times New Roman" w:cs="Times New Roman"/>
          <w:color w:val="000000"/>
          <w:sz w:val="22"/>
          <w:szCs w:val="22"/>
          <w:lang w:val="lt-LT" w:eastAsia="ar-SA"/>
        </w:rPr>
        <w:t>PHARMAZAC S.A.</w:t>
      </w:r>
    </w:p>
    <w:p w14:paraId="53A6C336" w14:textId="77777777" w:rsidR="00097B9A" w:rsidRPr="00997273" w:rsidRDefault="00097B9A" w:rsidP="00097B9A">
      <w:pPr>
        <w:tabs>
          <w:tab w:val="left" w:pos="567"/>
        </w:tabs>
        <w:rPr>
          <w:rFonts w:eastAsia="Times New Roman" w:cs="Times New Roman"/>
          <w:sz w:val="22"/>
          <w:szCs w:val="22"/>
          <w:lang w:val="lt-LT" w:eastAsia="lt-LT" w:bidi="lt-LT"/>
        </w:rPr>
      </w:pPr>
    </w:p>
    <w:p w14:paraId="3F9BE395" w14:textId="77777777" w:rsidR="009A7E02" w:rsidRPr="00997273" w:rsidRDefault="009A7E02" w:rsidP="00097B9A">
      <w:pPr>
        <w:tabs>
          <w:tab w:val="left" w:pos="567"/>
        </w:tabs>
        <w:rPr>
          <w:rFonts w:eastAsia="Times New Roman" w:cs="Times New Roman"/>
          <w:sz w:val="22"/>
          <w:szCs w:val="22"/>
          <w:lang w:val="lt-LT" w:eastAsia="lt-LT" w:bidi="lt-LT"/>
        </w:rPr>
      </w:pPr>
    </w:p>
    <w:p w14:paraId="5A76935C" w14:textId="77777777" w:rsidR="00612A8E" w:rsidRPr="00997273" w:rsidRDefault="00612A8E" w:rsidP="00612A8E">
      <w:pPr>
        <w:numPr>
          <w:ilvl w:val="1"/>
          <w:numId w:val="28"/>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TINKAMUMO LAIKAS</w:t>
      </w:r>
    </w:p>
    <w:p w14:paraId="12000E29"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272BF74A" w14:textId="4DAFFF07" w:rsidR="00097B9A" w:rsidRPr="009229FC" w:rsidRDefault="009A7E02" w:rsidP="00097B9A">
      <w:pPr>
        <w:pStyle w:val="Betarp"/>
        <w:rPr>
          <w:szCs w:val="22"/>
          <w:lang w:val="lt-LT"/>
        </w:rPr>
      </w:pPr>
      <w:r w:rsidRPr="00297C23">
        <w:rPr>
          <w:lang w:val="lt-LT"/>
        </w:rPr>
        <w:t>EXP</w:t>
      </w:r>
      <w:r w:rsidR="00097B9A" w:rsidRPr="009229FC">
        <w:rPr>
          <w:szCs w:val="22"/>
          <w:lang w:val="lt-LT"/>
        </w:rPr>
        <w:t>{</w:t>
      </w:r>
      <w:r w:rsidR="00097B9A" w:rsidRPr="00271E94">
        <w:rPr>
          <w:szCs w:val="22"/>
          <w:lang w:val="lt-LT"/>
        </w:rPr>
        <w:t>mm</w:t>
      </w:r>
      <w:r w:rsidR="00180CB7" w:rsidRPr="009229FC">
        <w:rPr>
          <w:szCs w:val="22"/>
          <w:lang w:val="lt-LT"/>
        </w:rPr>
        <w:t xml:space="preserve"> </w:t>
      </w:r>
      <w:r w:rsidR="00097B9A" w:rsidRPr="009229FC">
        <w:rPr>
          <w:szCs w:val="22"/>
          <w:lang w:val="lt-LT"/>
        </w:rPr>
        <w:t>MMMM}</w:t>
      </w:r>
    </w:p>
    <w:p w14:paraId="5CBA94CB" w14:textId="77777777" w:rsidR="00097B9A" w:rsidRPr="009229FC" w:rsidRDefault="00097B9A" w:rsidP="00612A8E">
      <w:pPr>
        <w:tabs>
          <w:tab w:val="left" w:pos="567"/>
        </w:tabs>
        <w:rPr>
          <w:rFonts w:eastAsia="Times New Roman" w:cs="Times New Roman"/>
          <w:noProof/>
          <w:sz w:val="22"/>
          <w:szCs w:val="22"/>
          <w:lang w:val="lt-LT" w:eastAsia="lt-LT" w:bidi="lt-LT"/>
        </w:rPr>
      </w:pPr>
    </w:p>
    <w:p w14:paraId="7CEB1173" w14:textId="77777777" w:rsidR="009A7E02" w:rsidRPr="009229FC" w:rsidRDefault="009A7E02" w:rsidP="00612A8E">
      <w:pPr>
        <w:tabs>
          <w:tab w:val="left" w:pos="567"/>
        </w:tabs>
        <w:rPr>
          <w:rFonts w:eastAsia="Times New Roman" w:cs="Times New Roman"/>
          <w:noProof/>
          <w:sz w:val="22"/>
          <w:szCs w:val="22"/>
          <w:lang w:val="lt-LT" w:eastAsia="lt-LT" w:bidi="lt-LT"/>
        </w:rPr>
      </w:pPr>
    </w:p>
    <w:p w14:paraId="61096395" w14:textId="77777777" w:rsidR="00612A8E" w:rsidRPr="009229FC" w:rsidRDefault="00612A8E" w:rsidP="00612A8E">
      <w:pPr>
        <w:numPr>
          <w:ilvl w:val="1"/>
          <w:numId w:val="28"/>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noProof/>
          <w:sz w:val="22"/>
          <w:szCs w:val="22"/>
          <w:lang w:val="lt-LT" w:eastAsia="lt-LT" w:bidi="lt-LT"/>
        </w:rPr>
      </w:pPr>
      <w:r w:rsidRPr="009229FC">
        <w:rPr>
          <w:rFonts w:eastAsia="Times New Roman" w:cs="Times New Roman"/>
          <w:b/>
          <w:noProof/>
          <w:sz w:val="22"/>
          <w:szCs w:val="22"/>
          <w:lang w:val="lt-LT" w:eastAsia="lt-LT" w:bidi="lt-LT"/>
        </w:rPr>
        <w:t xml:space="preserve">SERIJOS NUMERIS </w:t>
      </w:r>
    </w:p>
    <w:p w14:paraId="403E403E" w14:textId="77777777" w:rsidR="00612A8E" w:rsidRPr="009229FC" w:rsidRDefault="00612A8E" w:rsidP="00612A8E">
      <w:pPr>
        <w:tabs>
          <w:tab w:val="left" w:pos="567"/>
        </w:tabs>
        <w:rPr>
          <w:rFonts w:eastAsia="Times New Roman" w:cs="Times New Roman"/>
          <w:noProof/>
          <w:sz w:val="22"/>
          <w:szCs w:val="22"/>
          <w:lang w:val="lt-LT" w:eastAsia="lt-LT" w:bidi="lt-LT"/>
        </w:rPr>
      </w:pPr>
    </w:p>
    <w:p w14:paraId="2F3360B1" w14:textId="77777777" w:rsidR="00097B9A" w:rsidRPr="00997273" w:rsidRDefault="00097B9A" w:rsidP="00612A8E">
      <w:pPr>
        <w:tabs>
          <w:tab w:val="left" w:pos="567"/>
        </w:tabs>
        <w:rPr>
          <w:rFonts w:eastAsia="Times New Roman" w:cs="Times New Roman"/>
          <w:noProof/>
          <w:sz w:val="22"/>
          <w:szCs w:val="22"/>
          <w:lang w:val="lt-LT" w:eastAsia="lt-LT" w:bidi="lt-LT"/>
        </w:rPr>
      </w:pPr>
      <w:r w:rsidRPr="00297C23">
        <w:rPr>
          <w:sz w:val="22"/>
          <w:lang w:val="lt-LT"/>
        </w:rPr>
        <w:t>Lot</w:t>
      </w:r>
    </w:p>
    <w:p w14:paraId="61113BCB" w14:textId="77777777" w:rsidR="00097B9A" w:rsidRPr="00997273" w:rsidRDefault="00097B9A" w:rsidP="00612A8E">
      <w:pPr>
        <w:tabs>
          <w:tab w:val="left" w:pos="567"/>
        </w:tabs>
        <w:rPr>
          <w:rFonts w:eastAsia="Times New Roman" w:cs="Times New Roman"/>
          <w:noProof/>
          <w:sz w:val="22"/>
          <w:szCs w:val="22"/>
          <w:lang w:val="lt-LT" w:eastAsia="lt-LT" w:bidi="lt-LT"/>
        </w:rPr>
      </w:pPr>
    </w:p>
    <w:p w14:paraId="6D2FBE40" w14:textId="77777777" w:rsidR="009A7E02" w:rsidRPr="00997273" w:rsidRDefault="009A7E02" w:rsidP="00612A8E">
      <w:pPr>
        <w:tabs>
          <w:tab w:val="left" w:pos="567"/>
        </w:tabs>
        <w:rPr>
          <w:rFonts w:eastAsia="Times New Roman" w:cs="Times New Roman"/>
          <w:noProof/>
          <w:sz w:val="22"/>
          <w:szCs w:val="22"/>
          <w:lang w:val="lt-LT" w:eastAsia="lt-LT" w:bidi="lt-LT"/>
        </w:rPr>
      </w:pPr>
    </w:p>
    <w:p w14:paraId="5BA27F7B" w14:textId="77777777" w:rsidR="00612A8E" w:rsidRPr="00997273" w:rsidRDefault="00612A8E" w:rsidP="00612A8E">
      <w:pPr>
        <w:numPr>
          <w:ilvl w:val="1"/>
          <w:numId w:val="28"/>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KITA</w:t>
      </w:r>
    </w:p>
    <w:p w14:paraId="0401709F"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464A3C8F" w14:textId="77777777" w:rsidR="00612A8E" w:rsidRPr="00997273" w:rsidRDefault="00612A8E" w:rsidP="00612A8E">
      <w:pPr>
        <w:tabs>
          <w:tab w:val="left" w:pos="567"/>
        </w:tabs>
        <w:rPr>
          <w:rFonts w:eastAsia="Times New Roman" w:cs="Times New Roman"/>
          <w:noProof/>
          <w:sz w:val="22"/>
          <w:szCs w:val="22"/>
          <w:lang w:val="lt-LT" w:eastAsia="lt-LT" w:bidi="lt-LT"/>
        </w:rPr>
      </w:pPr>
    </w:p>
    <w:p w14:paraId="290207A7" w14:textId="77777777" w:rsidR="009A7E02" w:rsidRPr="00997273" w:rsidRDefault="009A7E02" w:rsidP="00612A8E">
      <w:pPr>
        <w:tabs>
          <w:tab w:val="left" w:pos="567"/>
        </w:tabs>
        <w:outlineLvl w:val="0"/>
        <w:rPr>
          <w:rFonts w:eastAsia="Times New Roman" w:cs="Times New Roman"/>
          <w:b/>
          <w:sz w:val="22"/>
          <w:szCs w:val="22"/>
          <w:lang w:val="lt-LT" w:eastAsia="lt-LT" w:bidi="lt-LT"/>
        </w:rPr>
      </w:pPr>
      <w:r w:rsidRPr="00997273">
        <w:rPr>
          <w:rFonts w:eastAsia="Times New Roman" w:cs="Times New Roman"/>
          <w:b/>
          <w:sz w:val="22"/>
          <w:szCs w:val="22"/>
          <w:lang w:val="lt-LT" w:eastAsia="lt-LT" w:bidi="lt-LT"/>
        </w:rPr>
        <w:br w:type="page"/>
      </w:r>
    </w:p>
    <w:p w14:paraId="43AB3174"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19950B28"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05D9B31C"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0BB8E7C8"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4FA09662"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5EB60651"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081D2DAB"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626D9D3C"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2235F5C5"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0B223A6C"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3B27E906"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05234FF8"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36BF86D4"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6CA45385"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772513B8"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6472642A"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137995DF"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3A775418"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0EE1EC85"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0C3B6EF4"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5F1C48CD" w14:textId="77777777" w:rsidR="00097B9A" w:rsidRPr="00997273" w:rsidRDefault="00097B9A" w:rsidP="00612A8E">
      <w:pPr>
        <w:tabs>
          <w:tab w:val="left" w:pos="567"/>
        </w:tabs>
        <w:outlineLvl w:val="0"/>
        <w:rPr>
          <w:rFonts w:eastAsia="Times New Roman" w:cs="Times New Roman"/>
          <w:b/>
          <w:noProof/>
          <w:sz w:val="22"/>
          <w:szCs w:val="22"/>
          <w:lang w:val="lt-LT" w:eastAsia="lt-LT" w:bidi="lt-LT"/>
        </w:rPr>
      </w:pPr>
    </w:p>
    <w:p w14:paraId="5B21C939" w14:textId="77777777" w:rsidR="00612A8E" w:rsidRPr="00997273" w:rsidRDefault="00612A8E" w:rsidP="00612A8E">
      <w:pPr>
        <w:tabs>
          <w:tab w:val="left" w:pos="567"/>
        </w:tabs>
        <w:outlineLvl w:val="0"/>
        <w:rPr>
          <w:rFonts w:eastAsia="Times New Roman" w:cs="Times New Roman"/>
          <w:b/>
          <w:noProof/>
          <w:sz w:val="22"/>
          <w:szCs w:val="22"/>
          <w:lang w:val="lt-LT" w:eastAsia="lt-LT" w:bidi="lt-LT"/>
        </w:rPr>
      </w:pPr>
    </w:p>
    <w:p w14:paraId="3A316700" w14:textId="77777777" w:rsidR="00612A8E" w:rsidRPr="00997273" w:rsidRDefault="00612A8E" w:rsidP="00612A8E">
      <w:pPr>
        <w:tabs>
          <w:tab w:val="left" w:pos="567"/>
        </w:tabs>
        <w:jc w:val="center"/>
        <w:outlineLvl w:val="0"/>
        <w:rPr>
          <w:rFonts w:eastAsia="Times New Roman" w:cs="Times New Roman"/>
          <w:b/>
          <w:noProof/>
          <w:sz w:val="22"/>
          <w:szCs w:val="22"/>
          <w:lang w:val="lt-LT" w:eastAsia="lt-LT" w:bidi="lt-LT"/>
        </w:rPr>
      </w:pPr>
    </w:p>
    <w:p w14:paraId="144935EE" w14:textId="77777777" w:rsidR="00612A8E" w:rsidRPr="00997273" w:rsidRDefault="00612A8E" w:rsidP="00612A8E">
      <w:pPr>
        <w:tabs>
          <w:tab w:val="left" w:pos="567"/>
        </w:tabs>
        <w:jc w:val="center"/>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B. PAKUOTĖS LAPELIS</w:t>
      </w:r>
    </w:p>
    <w:p w14:paraId="57A6B783" w14:textId="77777777" w:rsidR="00612A8E" w:rsidRPr="00997273" w:rsidRDefault="00612A8E" w:rsidP="00612A8E">
      <w:pPr>
        <w:jc w:val="center"/>
        <w:outlineLvl w:val="0"/>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br w:type="page"/>
      </w:r>
      <w:r w:rsidR="00097B9A" w:rsidRPr="00997273">
        <w:rPr>
          <w:rFonts w:eastAsia="Times New Roman" w:cs="Times New Roman"/>
          <w:b/>
          <w:noProof/>
          <w:sz w:val="22"/>
          <w:szCs w:val="22"/>
          <w:lang w:val="lt-LT" w:eastAsia="lt-LT" w:bidi="lt-LT"/>
        </w:rPr>
        <w:lastRenderedPageBreak/>
        <w:t>Pakuotės lapelis: informacija pacientui</w:t>
      </w:r>
    </w:p>
    <w:p w14:paraId="31DB0471" w14:textId="77777777" w:rsidR="00612A8E" w:rsidRPr="00997273" w:rsidRDefault="00612A8E" w:rsidP="00612A8E">
      <w:pPr>
        <w:numPr>
          <w:ilvl w:val="12"/>
          <w:numId w:val="0"/>
        </w:numPr>
        <w:shd w:val="clear" w:color="auto" w:fill="FFFFFF"/>
        <w:jc w:val="center"/>
        <w:rPr>
          <w:rFonts w:eastAsia="Times New Roman" w:cs="Times New Roman"/>
          <w:noProof/>
          <w:sz w:val="22"/>
          <w:szCs w:val="22"/>
          <w:lang w:val="lt-LT" w:eastAsia="lt-LT" w:bidi="lt-LT"/>
        </w:rPr>
      </w:pPr>
    </w:p>
    <w:p w14:paraId="3A463373" w14:textId="01FF4683" w:rsidR="00097B9A" w:rsidRPr="00997273" w:rsidRDefault="00AE2AD2" w:rsidP="00097B9A">
      <w:pPr>
        <w:widowControl w:val="0"/>
        <w:tabs>
          <w:tab w:val="left" w:pos="567"/>
        </w:tabs>
        <w:jc w:val="center"/>
        <w:rPr>
          <w:rFonts w:eastAsia="Times New Roman" w:cs="Times New Roman"/>
          <w:b/>
          <w:sz w:val="22"/>
          <w:szCs w:val="22"/>
          <w:lang w:val="lt-LT" w:eastAsia="lt-LT" w:bidi="lt-LT"/>
        </w:rPr>
      </w:pPr>
      <w:proofErr w:type="spellStart"/>
      <w:r>
        <w:rPr>
          <w:rFonts w:eastAsia="Times New Roman" w:cs="Times New Roman"/>
          <w:b/>
          <w:sz w:val="22"/>
          <w:szCs w:val="22"/>
          <w:lang w:val="lt-LT" w:eastAsia="lt-LT" w:bidi="lt-LT"/>
        </w:rPr>
        <w:t>Meliglix</w:t>
      </w:r>
      <w:proofErr w:type="spellEnd"/>
      <w:r w:rsidR="00097B9A" w:rsidRPr="00997273">
        <w:rPr>
          <w:rFonts w:eastAsia="Times New Roman" w:cs="Times New Roman"/>
          <w:b/>
          <w:sz w:val="22"/>
          <w:szCs w:val="22"/>
          <w:lang w:val="lt-LT" w:eastAsia="lt-LT" w:bidi="lt-LT"/>
        </w:rPr>
        <w:t xml:space="preserve"> 25 mg plėvele dengtos tabletės</w:t>
      </w:r>
    </w:p>
    <w:p w14:paraId="2952A5BE" w14:textId="3940BDD2" w:rsidR="007534D9" w:rsidRPr="00997273" w:rsidRDefault="00AE2AD2" w:rsidP="007534D9">
      <w:pPr>
        <w:widowControl w:val="0"/>
        <w:tabs>
          <w:tab w:val="left" w:pos="567"/>
        </w:tabs>
        <w:jc w:val="center"/>
        <w:rPr>
          <w:rFonts w:eastAsia="Times New Roman" w:cs="Times New Roman"/>
          <w:b/>
          <w:sz w:val="22"/>
          <w:szCs w:val="22"/>
          <w:lang w:val="lt-LT" w:eastAsia="lt-LT" w:bidi="lt-LT"/>
        </w:rPr>
      </w:pPr>
      <w:proofErr w:type="spellStart"/>
      <w:r>
        <w:rPr>
          <w:rFonts w:eastAsia="Times New Roman" w:cs="Times New Roman"/>
          <w:b/>
          <w:sz w:val="22"/>
          <w:szCs w:val="22"/>
          <w:lang w:val="lt-LT" w:eastAsia="lt-LT" w:bidi="lt-LT"/>
        </w:rPr>
        <w:t>Meliglix</w:t>
      </w:r>
      <w:proofErr w:type="spellEnd"/>
      <w:r w:rsidR="007534D9" w:rsidRPr="00997273">
        <w:rPr>
          <w:rFonts w:eastAsia="Times New Roman" w:cs="Times New Roman"/>
          <w:b/>
          <w:sz w:val="22"/>
          <w:szCs w:val="22"/>
          <w:lang w:val="lt-LT" w:eastAsia="lt-LT" w:bidi="lt-LT"/>
        </w:rPr>
        <w:t xml:space="preserve"> </w:t>
      </w:r>
      <w:r w:rsidR="007534D9">
        <w:rPr>
          <w:rFonts w:eastAsia="Times New Roman" w:cs="Times New Roman"/>
          <w:b/>
          <w:sz w:val="22"/>
          <w:szCs w:val="22"/>
          <w:lang w:val="lt-LT" w:eastAsia="lt-LT" w:bidi="lt-LT"/>
        </w:rPr>
        <w:t>5</w:t>
      </w:r>
      <w:r w:rsidR="007534D9" w:rsidRPr="00997273">
        <w:rPr>
          <w:rFonts w:eastAsia="Times New Roman" w:cs="Times New Roman"/>
          <w:b/>
          <w:sz w:val="22"/>
          <w:szCs w:val="22"/>
          <w:lang w:val="lt-LT" w:eastAsia="lt-LT" w:bidi="lt-LT"/>
        </w:rPr>
        <w:t>0 mg plėvele dengtos tabletės</w:t>
      </w:r>
    </w:p>
    <w:p w14:paraId="323098CC" w14:textId="03BEFDE8" w:rsidR="00097B9A" w:rsidRPr="00997273" w:rsidRDefault="00AE2AD2" w:rsidP="00097B9A">
      <w:pPr>
        <w:widowControl w:val="0"/>
        <w:tabs>
          <w:tab w:val="left" w:pos="567"/>
        </w:tabs>
        <w:jc w:val="center"/>
        <w:rPr>
          <w:rFonts w:eastAsia="Times New Roman" w:cs="Times New Roman"/>
          <w:b/>
          <w:sz w:val="22"/>
          <w:szCs w:val="22"/>
          <w:lang w:val="lt-LT" w:eastAsia="lt-LT" w:bidi="lt-LT"/>
        </w:rPr>
      </w:pPr>
      <w:proofErr w:type="spellStart"/>
      <w:r>
        <w:rPr>
          <w:rFonts w:eastAsia="Times New Roman" w:cs="Times New Roman"/>
          <w:b/>
          <w:sz w:val="22"/>
          <w:szCs w:val="22"/>
          <w:lang w:val="lt-LT" w:eastAsia="lt-LT" w:bidi="lt-LT"/>
        </w:rPr>
        <w:t>Meliglix</w:t>
      </w:r>
      <w:proofErr w:type="spellEnd"/>
      <w:r w:rsidR="00097B9A" w:rsidRPr="00997273">
        <w:rPr>
          <w:rFonts w:eastAsia="Times New Roman" w:cs="Times New Roman"/>
          <w:b/>
          <w:sz w:val="22"/>
          <w:szCs w:val="22"/>
          <w:lang w:val="lt-LT" w:eastAsia="lt-LT" w:bidi="lt-LT"/>
        </w:rPr>
        <w:t xml:space="preserve"> 100 mg plėvele dengtos tabletės</w:t>
      </w:r>
    </w:p>
    <w:p w14:paraId="0EED71FF" w14:textId="77777777" w:rsidR="007534D9" w:rsidRDefault="007534D9" w:rsidP="00612A8E">
      <w:pPr>
        <w:numPr>
          <w:ilvl w:val="12"/>
          <w:numId w:val="0"/>
        </w:numPr>
        <w:jc w:val="center"/>
        <w:rPr>
          <w:rFonts w:eastAsia="Times New Roman" w:cs="Times New Roman"/>
          <w:sz w:val="22"/>
          <w:szCs w:val="22"/>
          <w:lang w:val="lt-LT" w:eastAsia="lt-LT" w:bidi="lt-LT"/>
        </w:rPr>
      </w:pPr>
    </w:p>
    <w:p w14:paraId="0D6291AB" w14:textId="54619708" w:rsidR="00612A8E" w:rsidRPr="00997273" w:rsidRDefault="00AE1165" w:rsidP="00612A8E">
      <w:pPr>
        <w:numPr>
          <w:ilvl w:val="12"/>
          <w:numId w:val="0"/>
        </w:numPr>
        <w:jc w:val="center"/>
        <w:rPr>
          <w:rFonts w:eastAsia="Times New Roman" w:cs="Times New Roman"/>
          <w:noProof/>
          <w:sz w:val="22"/>
          <w:szCs w:val="22"/>
          <w:lang w:val="lt-LT" w:eastAsia="lt-LT" w:bidi="lt-LT"/>
        </w:rPr>
      </w:pPr>
      <w:proofErr w:type="spellStart"/>
      <w:r>
        <w:rPr>
          <w:rFonts w:eastAsia="Times New Roman" w:cs="Times New Roman"/>
          <w:sz w:val="22"/>
          <w:szCs w:val="22"/>
          <w:lang w:val="lt-LT" w:eastAsia="lt-LT" w:bidi="lt-LT"/>
        </w:rPr>
        <w:t>s</w:t>
      </w:r>
      <w:r w:rsidR="00097B9A" w:rsidRPr="00997273">
        <w:rPr>
          <w:rFonts w:eastAsia="Times New Roman" w:cs="Times New Roman"/>
          <w:sz w:val="22"/>
          <w:szCs w:val="22"/>
          <w:lang w:val="lt-LT" w:eastAsia="lt-LT" w:bidi="lt-LT"/>
        </w:rPr>
        <w:t>itagliptinas</w:t>
      </w:r>
      <w:proofErr w:type="spellEnd"/>
    </w:p>
    <w:p w14:paraId="2181C059" w14:textId="77777777" w:rsidR="00612A8E" w:rsidRPr="00997273" w:rsidRDefault="00612A8E" w:rsidP="00612A8E">
      <w:pPr>
        <w:rPr>
          <w:rFonts w:eastAsia="Times New Roman" w:cs="Times New Roman"/>
          <w:noProof/>
          <w:sz w:val="22"/>
          <w:szCs w:val="22"/>
          <w:lang w:val="lt-LT" w:eastAsia="lt-LT" w:bidi="lt-LT"/>
        </w:rPr>
      </w:pPr>
    </w:p>
    <w:p w14:paraId="09BCD5E0" w14:textId="77777777" w:rsidR="00612A8E" w:rsidRPr="00997273" w:rsidRDefault="00612A8E" w:rsidP="006F3F4F">
      <w:pPr>
        <w:suppressAutoHyphens/>
        <w:rPr>
          <w:rFonts w:eastAsia="Times New Roman" w:cs="Times New Roman"/>
          <w:noProof/>
          <w:sz w:val="22"/>
          <w:szCs w:val="22"/>
          <w:lang w:val="lt-LT" w:eastAsia="lt-LT" w:bidi="lt-LT"/>
        </w:rPr>
      </w:pPr>
      <w:r w:rsidRPr="00997273">
        <w:rPr>
          <w:rFonts w:eastAsia="Times New Roman" w:cs="Times New Roman"/>
          <w:b/>
          <w:sz w:val="22"/>
          <w:szCs w:val="22"/>
          <w:lang w:val="lt-LT" w:eastAsia="lt-LT" w:bidi="lt-LT"/>
        </w:rPr>
        <w:t>Atidžiai perskaitykite visą šį lapelį, prieš pradėdami vartoti v</w:t>
      </w:r>
      <w:r w:rsidR="00097B9A" w:rsidRPr="00997273">
        <w:rPr>
          <w:rFonts w:eastAsia="Times New Roman" w:cs="Times New Roman"/>
          <w:b/>
          <w:sz w:val="22"/>
          <w:szCs w:val="22"/>
          <w:lang w:val="lt-LT" w:eastAsia="lt-LT" w:bidi="lt-LT"/>
        </w:rPr>
        <w:t>aistą, nes jame pateikiama Jum</w:t>
      </w:r>
      <w:r w:rsidR="00262A3B" w:rsidRPr="00997273">
        <w:rPr>
          <w:rFonts w:eastAsia="Times New Roman" w:cs="Times New Roman"/>
          <w:b/>
          <w:sz w:val="22"/>
          <w:szCs w:val="22"/>
          <w:lang w:val="lt-LT" w:eastAsia="lt-LT" w:bidi="lt-LT"/>
        </w:rPr>
        <w:t>s</w:t>
      </w:r>
      <w:r w:rsidR="00097B9A" w:rsidRPr="00997273">
        <w:rPr>
          <w:rFonts w:eastAsia="Times New Roman" w:cs="Times New Roman"/>
          <w:b/>
          <w:sz w:val="22"/>
          <w:szCs w:val="22"/>
          <w:lang w:val="lt-LT" w:eastAsia="lt-LT" w:bidi="lt-LT"/>
        </w:rPr>
        <w:t xml:space="preserve"> </w:t>
      </w:r>
      <w:r w:rsidRPr="00997273">
        <w:rPr>
          <w:rFonts w:eastAsia="Times New Roman" w:cs="Times New Roman"/>
          <w:b/>
          <w:sz w:val="22"/>
          <w:szCs w:val="22"/>
          <w:lang w:val="lt-LT" w:eastAsia="lt-LT" w:bidi="lt-LT"/>
        </w:rPr>
        <w:t>svarbi informacija</w:t>
      </w:r>
      <w:r w:rsidRPr="00997273">
        <w:rPr>
          <w:rFonts w:eastAsia="Times New Roman" w:cs="Times New Roman"/>
          <w:b/>
          <w:noProof/>
          <w:sz w:val="22"/>
          <w:szCs w:val="22"/>
          <w:lang w:val="lt-LT" w:eastAsia="lt-LT" w:bidi="lt-LT"/>
        </w:rPr>
        <w:t>.</w:t>
      </w:r>
    </w:p>
    <w:p w14:paraId="2C65A70D" w14:textId="77777777" w:rsidR="00612A8E" w:rsidRPr="00997273" w:rsidRDefault="00612A8E" w:rsidP="00612A8E">
      <w:pPr>
        <w:numPr>
          <w:ilvl w:val="0"/>
          <w:numId w:val="3"/>
        </w:numPr>
        <w:tabs>
          <w:tab w:val="left" w:pos="567"/>
        </w:tabs>
        <w:spacing w:line="260" w:lineRule="exact"/>
        <w:ind w:left="567" w:right="-2" w:hanging="567"/>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 xml:space="preserve">Neišmeskite šio lapelio, nes vėl gali prireikti jį perskaityti. </w:t>
      </w:r>
    </w:p>
    <w:p w14:paraId="52C66BCC" w14:textId="511F64E1" w:rsidR="00612A8E" w:rsidRPr="00997273" w:rsidRDefault="00612A8E" w:rsidP="00612A8E">
      <w:pPr>
        <w:numPr>
          <w:ilvl w:val="0"/>
          <w:numId w:val="3"/>
        </w:numPr>
        <w:tabs>
          <w:tab w:val="left" w:pos="567"/>
        </w:tabs>
        <w:spacing w:line="260" w:lineRule="exact"/>
        <w:ind w:left="567" w:right="-2" w:hanging="567"/>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 xml:space="preserve">Jeigu kiltų </w:t>
      </w:r>
      <w:r w:rsidR="00097B9A" w:rsidRPr="00997273">
        <w:rPr>
          <w:rFonts w:eastAsia="Times New Roman" w:cs="Times New Roman"/>
          <w:sz w:val="22"/>
          <w:szCs w:val="22"/>
          <w:lang w:val="lt-LT" w:eastAsia="lt-LT" w:bidi="lt-LT"/>
        </w:rPr>
        <w:t>daugiau klausimų, kreipkitės į gydytoją</w:t>
      </w:r>
      <w:r w:rsidR="00A5618A">
        <w:rPr>
          <w:rFonts w:eastAsia="Times New Roman" w:cs="Times New Roman"/>
          <w:sz w:val="22"/>
          <w:szCs w:val="22"/>
          <w:lang w:val="lt-LT" w:eastAsia="lt-LT" w:bidi="lt-LT"/>
        </w:rPr>
        <w:t>,</w:t>
      </w:r>
      <w:r w:rsidR="00B04F17" w:rsidRPr="00997273">
        <w:rPr>
          <w:rFonts w:eastAsia="Times New Roman" w:cs="Times New Roman"/>
          <w:sz w:val="22"/>
          <w:szCs w:val="22"/>
          <w:lang w:val="lt-LT" w:eastAsia="lt-LT" w:bidi="lt-LT"/>
        </w:rPr>
        <w:t xml:space="preserve"> </w:t>
      </w:r>
      <w:r w:rsidRPr="00997273">
        <w:rPr>
          <w:rFonts w:eastAsia="Times New Roman" w:cs="Times New Roman"/>
          <w:sz w:val="22"/>
          <w:szCs w:val="22"/>
          <w:lang w:val="lt-LT" w:eastAsia="lt-LT" w:bidi="lt-LT"/>
        </w:rPr>
        <w:t>vaistininką</w:t>
      </w:r>
      <w:r w:rsidR="00A5618A">
        <w:rPr>
          <w:rFonts w:eastAsia="Times New Roman" w:cs="Times New Roman"/>
          <w:sz w:val="22"/>
          <w:szCs w:val="22"/>
          <w:lang w:val="lt-LT" w:eastAsia="lt-LT" w:bidi="lt-LT"/>
        </w:rPr>
        <w:t xml:space="preserve"> arba slaugytoją</w:t>
      </w:r>
      <w:r w:rsidRPr="00997273">
        <w:rPr>
          <w:rFonts w:eastAsia="Times New Roman" w:cs="Times New Roman"/>
          <w:sz w:val="22"/>
          <w:szCs w:val="22"/>
          <w:lang w:val="lt-LT" w:eastAsia="lt-LT" w:bidi="lt-LT"/>
        </w:rPr>
        <w:t>.</w:t>
      </w:r>
    </w:p>
    <w:p w14:paraId="2122554A" w14:textId="77777777" w:rsidR="00612A8E" w:rsidRPr="00997273" w:rsidRDefault="00612A8E" w:rsidP="00612A8E">
      <w:pPr>
        <w:tabs>
          <w:tab w:val="left" w:pos="567"/>
        </w:tabs>
        <w:ind w:left="567" w:right="-2" w:hanging="567"/>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w:t>
      </w:r>
      <w:r w:rsidRPr="00997273">
        <w:rPr>
          <w:rFonts w:eastAsia="Times New Roman" w:cs="Times New Roman"/>
          <w:sz w:val="22"/>
          <w:szCs w:val="22"/>
          <w:lang w:val="lt-LT" w:eastAsia="lt-LT" w:bidi="lt-LT"/>
        </w:rPr>
        <w:tab/>
        <w:t>Šis vaistas skirtas tik Jums, todėl kitiems žmonėms jo duoti negalima. Vaistas gali jiems pakenkti (net tiems, kurių ligos požymiai</w:t>
      </w:r>
      <w:r w:rsidR="00097B9A" w:rsidRPr="00997273">
        <w:rPr>
          <w:rFonts w:eastAsia="Times New Roman" w:cs="Times New Roman"/>
          <w:sz w:val="22"/>
          <w:szCs w:val="22"/>
          <w:lang w:val="lt-LT" w:eastAsia="lt-LT" w:bidi="lt-LT"/>
        </w:rPr>
        <w:t xml:space="preserve"> yra tokie patys kaip Jūsų).</w:t>
      </w:r>
      <w:r w:rsidRPr="00997273">
        <w:rPr>
          <w:rFonts w:eastAsia="Times New Roman" w:cs="Times New Roman"/>
          <w:noProof/>
          <w:color w:val="008000"/>
          <w:sz w:val="22"/>
          <w:szCs w:val="22"/>
          <w:lang w:val="lt-LT" w:eastAsia="lt-LT" w:bidi="lt-LT"/>
        </w:rPr>
        <w:t xml:space="preserve"> </w:t>
      </w:r>
    </w:p>
    <w:p w14:paraId="3D2ECC1A" w14:textId="3C6DDD09" w:rsidR="00612A8E" w:rsidRPr="00997273" w:rsidRDefault="00612A8E" w:rsidP="00612A8E">
      <w:pPr>
        <w:numPr>
          <w:ilvl w:val="0"/>
          <w:numId w:val="3"/>
        </w:numPr>
        <w:tabs>
          <w:tab w:val="left" w:pos="567"/>
        </w:tabs>
        <w:spacing w:line="260" w:lineRule="exact"/>
        <w:ind w:left="567" w:hanging="567"/>
        <w:rPr>
          <w:rFonts w:eastAsia="Times New Roman" w:cs="Times New Roman"/>
          <w:sz w:val="22"/>
          <w:szCs w:val="22"/>
          <w:lang w:val="lt-LT" w:eastAsia="lt-LT" w:bidi="lt-LT"/>
        </w:rPr>
      </w:pPr>
      <w:r w:rsidRPr="00997273">
        <w:rPr>
          <w:rFonts w:eastAsia="Times New Roman" w:cs="Times New Roman"/>
          <w:sz w:val="22"/>
          <w:szCs w:val="22"/>
          <w:lang w:val="lt-LT" w:eastAsia="lt-LT" w:bidi="lt-LT"/>
        </w:rPr>
        <w:t>Jeigu pasireiškė šalutinis poveikis (net jeigu jis šiame lapelyje nenurodytas),</w:t>
      </w:r>
      <w:r w:rsidRPr="00997273">
        <w:rPr>
          <w:rFonts w:eastAsia="Times New Roman" w:cs="Times New Roman"/>
          <w:color w:val="FF0000"/>
          <w:sz w:val="22"/>
          <w:szCs w:val="22"/>
          <w:lang w:val="lt-LT" w:eastAsia="lt-LT" w:bidi="lt-LT"/>
        </w:rPr>
        <w:t xml:space="preserve"> </w:t>
      </w:r>
      <w:r w:rsidR="00AD7290" w:rsidRPr="00997273">
        <w:rPr>
          <w:rFonts w:eastAsia="Times New Roman" w:cs="Times New Roman"/>
          <w:sz w:val="22"/>
          <w:szCs w:val="22"/>
          <w:lang w:val="lt-LT" w:eastAsia="lt-LT" w:bidi="lt-LT"/>
        </w:rPr>
        <w:t xml:space="preserve">kreipkitės į </w:t>
      </w:r>
      <w:r w:rsidRPr="00997273">
        <w:rPr>
          <w:rFonts w:eastAsia="Times New Roman" w:cs="Times New Roman"/>
          <w:sz w:val="22"/>
          <w:szCs w:val="22"/>
          <w:lang w:val="lt-LT" w:eastAsia="lt-LT" w:bidi="lt-LT"/>
        </w:rPr>
        <w:t>gydytoją</w:t>
      </w:r>
      <w:r w:rsidR="00A5618A">
        <w:rPr>
          <w:rFonts w:eastAsia="Times New Roman" w:cs="Times New Roman"/>
          <w:sz w:val="22"/>
          <w:szCs w:val="22"/>
          <w:lang w:val="lt-LT" w:eastAsia="lt-LT" w:bidi="lt-LT"/>
        </w:rPr>
        <w:t>,</w:t>
      </w:r>
      <w:r w:rsidR="00B04F17" w:rsidRPr="00997273">
        <w:rPr>
          <w:rFonts w:eastAsia="Times New Roman" w:cs="Times New Roman"/>
          <w:sz w:val="22"/>
          <w:szCs w:val="22"/>
          <w:lang w:val="lt-LT" w:eastAsia="lt-LT" w:bidi="lt-LT"/>
        </w:rPr>
        <w:t xml:space="preserve"> </w:t>
      </w:r>
      <w:r w:rsidR="00AD7290" w:rsidRPr="00997273">
        <w:rPr>
          <w:rFonts w:eastAsia="Times New Roman" w:cs="Times New Roman"/>
          <w:sz w:val="22"/>
          <w:szCs w:val="22"/>
          <w:lang w:val="lt-LT" w:eastAsia="lt-LT" w:bidi="lt-LT"/>
        </w:rPr>
        <w:t>vaistininką</w:t>
      </w:r>
      <w:r w:rsidR="00A5618A">
        <w:rPr>
          <w:rFonts w:eastAsia="Times New Roman" w:cs="Times New Roman"/>
          <w:sz w:val="22"/>
          <w:szCs w:val="22"/>
          <w:lang w:val="lt-LT" w:eastAsia="lt-LT" w:bidi="lt-LT"/>
        </w:rPr>
        <w:t xml:space="preserve"> arba slaugytoją</w:t>
      </w:r>
      <w:r w:rsidRPr="00997273">
        <w:rPr>
          <w:rFonts w:eastAsia="Times New Roman" w:cs="Times New Roman"/>
          <w:sz w:val="22"/>
          <w:szCs w:val="22"/>
          <w:lang w:val="lt-LT" w:eastAsia="lt-LT" w:bidi="lt-LT"/>
        </w:rPr>
        <w:t>. Žr. 4 skyrių.</w:t>
      </w:r>
    </w:p>
    <w:p w14:paraId="37D2C654" w14:textId="77777777" w:rsidR="00612A8E" w:rsidRPr="00997273" w:rsidRDefault="00612A8E" w:rsidP="00612A8E">
      <w:pPr>
        <w:ind w:right="-2"/>
        <w:rPr>
          <w:rFonts w:eastAsia="Times New Roman" w:cs="Times New Roman"/>
          <w:noProof/>
          <w:sz w:val="22"/>
          <w:szCs w:val="22"/>
          <w:lang w:val="lt-LT" w:eastAsia="lt-LT" w:bidi="lt-LT"/>
        </w:rPr>
      </w:pPr>
    </w:p>
    <w:p w14:paraId="2C0F5D02" w14:textId="77777777" w:rsidR="00612A8E" w:rsidRPr="00997273" w:rsidRDefault="00612A8E" w:rsidP="00612A8E">
      <w:pPr>
        <w:keepNext/>
        <w:numPr>
          <w:ilvl w:val="12"/>
          <w:numId w:val="0"/>
        </w:numPr>
        <w:ind w:right="-2"/>
        <w:outlineLvl w:val="0"/>
        <w:rPr>
          <w:rFonts w:eastAsia="Times New Roman" w:cs="Times New Roman"/>
          <w:noProof/>
          <w:sz w:val="22"/>
          <w:szCs w:val="22"/>
          <w:lang w:val="lt-LT" w:eastAsia="lt-LT" w:bidi="lt-LT"/>
        </w:rPr>
      </w:pPr>
      <w:r w:rsidRPr="00997273">
        <w:rPr>
          <w:rFonts w:eastAsia="Times New Roman" w:cs="Times New Roman"/>
          <w:b/>
          <w:sz w:val="22"/>
          <w:szCs w:val="22"/>
          <w:lang w:val="lt-LT" w:eastAsia="lt-LT" w:bidi="lt-LT"/>
        </w:rPr>
        <w:t>Apie ką rašoma šiame lapelyje?</w:t>
      </w:r>
    </w:p>
    <w:p w14:paraId="646FDD0E" w14:textId="77777777" w:rsidR="00612A8E" w:rsidRPr="00997273" w:rsidRDefault="00612A8E" w:rsidP="00612A8E">
      <w:pPr>
        <w:keepNext/>
        <w:numPr>
          <w:ilvl w:val="12"/>
          <w:numId w:val="0"/>
        </w:numPr>
        <w:ind w:right="-2"/>
        <w:outlineLvl w:val="0"/>
        <w:rPr>
          <w:rFonts w:eastAsia="Times New Roman" w:cs="Times New Roman"/>
          <w:noProof/>
          <w:sz w:val="22"/>
          <w:szCs w:val="22"/>
          <w:lang w:val="lt-LT" w:eastAsia="lt-LT" w:bidi="lt-LT"/>
        </w:rPr>
      </w:pPr>
    </w:p>
    <w:p w14:paraId="32805F4B" w14:textId="5DC57F2E" w:rsidR="00612A8E" w:rsidRPr="00997273" w:rsidRDefault="00612A8E" w:rsidP="00612A8E">
      <w:pPr>
        <w:numPr>
          <w:ilvl w:val="0"/>
          <w:numId w:val="3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 xml:space="preserve">Kas yra </w:t>
      </w:r>
      <w:proofErr w:type="spellStart"/>
      <w:r w:rsidR="00AE2AD2">
        <w:rPr>
          <w:rFonts w:eastAsia="Times New Roman" w:cs="Times New Roman"/>
          <w:sz w:val="22"/>
          <w:szCs w:val="22"/>
          <w:lang w:val="lt-LT" w:eastAsia="lt-LT" w:bidi="lt-LT"/>
        </w:rPr>
        <w:t>Meliglix</w:t>
      </w:r>
      <w:proofErr w:type="spellEnd"/>
      <w:r w:rsidRPr="00997273">
        <w:rPr>
          <w:rFonts w:eastAsia="Times New Roman" w:cs="Times New Roman"/>
          <w:sz w:val="22"/>
          <w:szCs w:val="22"/>
          <w:lang w:val="lt-LT" w:eastAsia="lt-LT" w:bidi="lt-LT"/>
        </w:rPr>
        <w:t xml:space="preserve"> ir kam jis vartojamas </w:t>
      </w:r>
    </w:p>
    <w:p w14:paraId="01D487BB" w14:textId="7CACEA8A" w:rsidR="00612A8E" w:rsidRPr="00997273" w:rsidRDefault="00612A8E" w:rsidP="00612A8E">
      <w:pPr>
        <w:numPr>
          <w:ilvl w:val="0"/>
          <w:numId w:val="3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 xml:space="preserve">Kas žinotina prieš vartojant </w:t>
      </w:r>
      <w:proofErr w:type="spellStart"/>
      <w:r w:rsidR="00AE2AD2">
        <w:rPr>
          <w:rFonts w:eastAsia="Times New Roman" w:cs="Times New Roman"/>
          <w:sz w:val="22"/>
          <w:szCs w:val="22"/>
          <w:lang w:val="lt-LT" w:eastAsia="lt-LT" w:bidi="lt-LT"/>
        </w:rPr>
        <w:t>Meliglix</w:t>
      </w:r>
      <w:proofErr w:type="spellEnd"/>
      <w:r w:rsidRPr="00997273">
        <w:rPr>
          <w:rFonts w:eastAsia="Times New Roman" w:cs="Times New Roman"/>
          <w:sz w:val="22"/>
          <w:szCs w:val="22"/>
          <w:lang w:val="lt-LT" w:eastAsia="lt-LT" w:bidi="lt-LT"/>
        </w:rPr>
        <w:t xml:space="preserve"> </w:t>
      </w:r>
    </w:p>
    <w:p w14:paraId="5167CF59" w14:textId="10AEA061" w:rsidR="00612A8E" w:rsidRPr="00997273" w:rsidRDefault="00612A8E" w:rsidP="00612A8E">
      <w:pPr>
        <w:numPr>
          <w:ilvl w:val="0"/>
          <w:numId w:val="3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 xml:space="preserve">Kaip vartoti </w:t>
      </w:r>
      <w:proofErr w:type="spellStart"/>
      <w:r w:rsidR="00AE2AD2">
        <w:rPr>
          <w:rFonts w:eastAsia="Times New Roman" w:cs="Times New Roman"/>
          <w:sz w:val="22"/>
          <w:szCs w:val="22"/>
          <w:lang w:val="lt-LT" w:eastAsia="lt-LT" w:bidi="lt-LT"/>
        </w:rPr>
        <w:t>Meliglix</w:t>
      </w:r>
      <w:proofErr w:type="spellEnd"/>
      <w:r w:rsidRPr="00997273">
        <w:rPr>
          <w:rFonts w:eastAsia="Times New Roman" w:cs="Times New Roman"/>
          <w:sz w:val="22"/>
          <w:szCs w:val="22"/>
          <w:lang w:val="lt-LT" w:eastAsia="lt-LT" w:bidi="lt-LT"/>
        </w:rPr>
        <w:t xml:space="preserve"> </w:t>
      </w:r>
    </w:p>
    <w:p w14:paraId="168A6EF1" w14:textId="77777777" w:rsidR="00612A8E" w:rsidRPr="00997273" w:rsidRDefault="00612A8E" w:rsidP="00612A8E">
      <w:pPr>
        <w:numPr>
          <w:ilvl w:val="0"/>
          <w:numId w:val="3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 xml:space="preserve">Galimas šalutinis poveikis </w:t>
      </w:r>
    </w:p>
    <w:p w14:paraId="57CEC35B" w14:textId="164B6077" w:rsidR="00612A8E" w:rsidRPr="00997273" w:rsidRDefault="00612A8E" w:rsidP="00612A8E">
      <w:pPr>
        <w:numPr>
          <w:ilvl w:val="0"/>
          <w:numId w:val="3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 xml:space="preserve">Kaip laikyti </w:t>
      </w:r>
      <w:proofErr w:type="spellStart"/>
      <w:r w:rsidR="00AE2AD2">
        <w:rPr>
          <w:rFonts w:eastAsia="Times New Roman" w:cs="Times New Roman"/>
          <w:sz w:val="22"/>
          <w:szCs w:val="22"/>
          <w:lang w:val="lt-LT" w:eastAsia="lt-LT" w:bidi="lt-LT"/>
        </w:rPr>
        <w:t>Meliglix</w:t>
      </w:r>
      <w:proofErr w:type="spellEnd"/>
    </w:p>
    <w:p w14:paraId="32294F8E" w14:textId="77777777" w:rsidR="00612A8E" w:rsidRPr="00997273" w:rsidRDefault="00612A8E" w:rsidP="00612A8E">
      <w:pPr>
        <w:numPr>
          <w:ilvl w:val="0"/>
          <w:numId w:val="3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Pakuotės turinys ir kita informacija</w:t>
      </w:r>
    </w:p>
    <w:p w14:paraId="75DDB7B9" w14:textId="77777777" w:rsidR="00612A8E" w:rsidRPr="00997273" w:rsidRDefault="00612A8E" w:rsidP="00612A8E">
      <w:pPr>
        <w:numPr>
          <w:ilvl w:val="12"/>
          <w:numId w:val="0"/>
        </w:numPr>
        <w:ind w:right="-2"/>
        <w:rPr>
          <w:rFonts w:eastAsia="Times New Roman" w:cs="Times New Roman"/>
          <w:noProof/>
          <w:sz w:val="22"/>
          <w:szCs w:val="22"/>
          <w:lang w:val="lt-LT" w:eastAsia="lt-LT" w:bidi="lt-LT"/>
        </w:rPr>
      </w:pPr>
    </w:p>
    <w:p w14:paraId="55DE3CCD" w14:textId="77777777" w:rsidR="00612A8E" w:rsidRPr="00997273" w:rsidRDefault="00612A8E" w:rsidP="00612A8E">
      <w:pPr>
        <w:numPr>
          <w:ilvl w:val="12"/>
          <w:numId w:val="0"/>
        </w:numPr>
        <w:rPr>
          <w:rFonts w:eastAsia="Times New Roman" w:cs="Times New Roman"/>
          <w:noProof/>
          <w:sz w:val="22"/>
          <w:szCs w:val="22"/>
          <w:lang w:val="lt-LT" w:eastAsia="lt-LT" w:bidi="lt-LT"/>
        </w:rPr>
      </w:pPr>
    </w:p>
    <w:p w14:paraId="49CF6368" w14:textId="64C063AF" w:rsidR="00612A8E" w:rsidRPr="00997273" w:rsidRDefault="00612A8E" w:rsidP="00612A8E">
      <w:pPr>
        <w:keepNext/>
        <w:numPr>
          <w:ilvl w:val="0"/>
          <w:numId w:val="34"/>
        </w:numPr>
        <w:tabs>
          <w:tab w:val="left" w:pos="567"/>
        </w:tabs>
        <w:spacing w:line="260" w:lineRule="exact"/>
        <w:ind w:left="567" w:right="-2"/>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 xml:space="preserve">Kas yra </w:t>
      </w:r>
      <w:proofErr w:type="spellStart"/>
      <w:r w:rsidR="00AE2AD2">
        <w:rPr>
          <w:rFonts w:eastAsia="Times New Roman" w:cs="Times New Roman"/>
          <w:b/>
          <w:sz w:val="22"/>
          <w:szCs w:val="22"/>
          <w:lang w:val="lt-LT" w:eastAsia="lt-LT" w:bidi="lt-LT"/>
        </w:rPr>
        <w:t>Meliglix</w:t>
      </w:r>
      <w:proofErr w:type="spellEnd"/>
      <w:r w:rsidRPr="00997273">
        <w:rPr>
          <w:rFonts w:eastAsia="Times New Roman" w:cs="Times New Roman"/>
          <w:b/>
          <w:noProof/>
          <w:sz w:val="22"/>
          <w:szCs w:val="22"/>
          <w:lang w:val="lt-LT" w:eastAsia="lt-LT" w:bidi="lt-LT"/>
        </w:rPr>
        <w:t xml:space="preserve"> ir kam jis vartojamas</w:t>
      </w:r>
    </w:p>
    <w:p w14:paraId="34256BF1" w14:textId="77777777" w:rsidR="00612A8E" w:rsidRPr="00997273" w:rsidRDefault="00612A8E" w:rsidP="00612A8E">
      <w:pPr>
        <w:numPr>
          <w:ilvl w:val="12"/>
          <w:numId w:val="0"/>
        </w:numPr>
        <w:rPr>
          <w:rFonts w:eastAsia="Times New Roman" w:cs="Times New Roman"/>
          <w:noProof/>
          <w:sz w:val="22"/>
          <w:szCs w:val="22"/>
          <w:lang w:val="lt-LT" w:eastAsia="lt-LT" w:bidi="lt-LT"/>
        </w:rPr>
      </w:pPr>
    </w:p>
    <w:p w14:paraId="1AAACA41" w14:textId="43BD2217" w:rsidR="0078211D" w:rsidRPr="00997273" w:rsidRDefault="00AE2AD2" w:rsidP="0078211D">
      <w:pPr>
        <w:autoSpaceDE w:val="0"/>
        <w:autoSpaceDN w:val="0"/>
        <w:adjustRightInd w:val="0"/>
        <w:rPr>
          <w:rFonts w:cs="Times New Roman"/>
          <w:sz w:val="22"/>
          <w:szCs w:val="22"/>
          <w:lang w:val="lt-LT" w:eastAsia="en-US"/>
        </w:rPr>
      </w:pPr>
      <w:proofErr w:type="spellStart"/>
      <w:r>
        <w:rPr>
          <w:rFonts w:eastAsia="Times New Roman" w:cs="Times New Roman"/>
          <w:sz w:val="22"/>
          <w:szCs w:val="22"/>
          <w:lang w:val="lt-LT" w:eastAsia="lt-LT" w:bidi="lt-LT"/>
        </w:rPr>
        <w:t>Meliglix</w:t>
      </w:r>
      <w:proofErr w:type="spellEnd"/>
      <w:r w:rsidR="0078211D" w:rsidRPr="00997273">
        <w:rPr>
          <w:rFonts w:cs="Times New Roman"/>
          <w:sz w:val="22"/>
          <w:szCs w:val="22"/>
          <w:lang w:val="lt-LT" w:eastAsia="en-US"/>
        </w:rPr>
        <w:t xml:space="preserve"> sudėtyje yra veikliosios medžiagos </w:t>
      </w:r>
      <w:proofErr w:type="spellStart"/>
      <w:r w:rsidR="0078211D" w:rsidRPr="00997273">
        <w:rPr>
          <w:rFonts w:cs="Times New Roman"/>
          <w:sz w:val="22"/>
          <w:szCs w:val="22"/>
          <w:lang w:val="lt-LT" w:eastAsia="en-US"/>
        </w:rPr>
        <w:t>sitagliptino</w:t>
      </w:r>
      <w:proofErr w:type="spellEnd"/>
      <w:r w:rsidR="0078211D" w:rsidRPr="00997273">
        <w:rPr>
          <w:rFonts w:cs="Times New Roman"/>
          <w:sz w:val="22"/>
          <w:szCs w:val="22"/>
          <w:lang w:val="lt-LT" w:eastAsia="en-US"/>
        </w:rPr>
        <w:t xml:space="preserve">, kuris yra vaistų klasės, vadinamos DPP-4 inhibitoriais (dipeptidilpeptidazės-4 inhibitoriais), atstovas, </w:t>
      </w:r>
      <w:r w:rsidR="00374004">
        <w:rPr>
          <w:rFonts w:cs="Times New Roman"/>
          <w:sz w:val="22"/>
          <w:szCs w:val="22"/>
          <w:lang w:val="lt-LT" w:eastAsia="en-US"/>
        </w:rPr>
        <w:t>mažinantis</w:t>
      </w:r>
      <w:r w:rsidR="0078211D" w:rsidRPr="00997273">
        <w:rPr>
          <w:rFonts w:cs="Times New Roman"/>
          <w:sz w:val="22"/>
          <w:szCs w:val="22"/>
          <w:lang w:val="lt-LT" w:eastAsia="en-US"/>
        </w:rPr>
        <w:t xml:space="preserve"> cukraus kiekį </w:t>
      </w:r>
      <w:r w:rsidR="00621EB8">
        <w:rPr>
          <w:rFonts w:cs="Times New Roman"/>
          <w:sz w:val="22"/>
          <w:szCs w:val="22"/>
          <w:lang w:val="lt-LT" w:eastAsia="en-US"/>
        </w:rPr>
        <w:t xml:space="preserve">kraujyje </w:t>
      </w:r>
      <w:r w:rsidR="00A5618A">
        <w:rPr>
          <w:rFonts w:cs="Times New Roman"/>
          <w:sz w:val="22"/>
          <w:szCs w:val="22"/>
          <w:lang w:val="lt-LT" w:eastAsia="en-US"/>
        </w:rPr>
        <w:t xml:space="preserve">suaugusiems </w:t>
      </w:r>
      <w:r w:rsidR="00621EB8">
        <w:rPr>
          <w:rFonts w:cs="Times New Roman"/>
          <w:sz w:val="22"/>
          <w:szCs w:val="22"/>
          <w:lang w:val="lt-LT" w:eastAsia="en-US"/>
        </w:rPr>
        <w:t>pacientams, kuriems yra 2</w:t>
      </w:r>
      <w:r w:rsidR="006936FE">
        <w:rPr>
          <w:rFonts w:cs="Times New Roman"/>
          <w:sz w:val="22"/>
          <w:szCs w:val="22"/>
          <w:lang w:val="lt-LT" w:eastAsia="en-US"/>
        </w:rPr>
        <w:t> </w:t>
      </w:r>
      <w:r w:rsidR="0078211D" w:rsidRPr="00997273">
        <w:rPr>
          <w:rFonts w:cs="Times New Roman"/>
          <w:sz w:val="22"/>
          <w:szCs w:val="22"/>
          <w:lang w:val="lt-LT" w:eastAsia="en-US"/>
        </w:rPr>
        <w:t>tipo cukrini</w:t>
      </w:r>
      <w:r w:rsidR="00621EB8">
        <w:rPr>
          <w:rFonts w:cs="Times New Roman"/>
          <w:sz w:val="22"/>
          <w:szCs w:val="22"/>
          <w:lang w:val="lt-LT" w:eastAsia="en-US"/>
        </w:rPr>
        <w:t>s</w:t>
      </w:r>
      <w:r w:rsidR="0078211D" w:rsidRPr="00997273">
        <w:rPr>
          <w:rFonts w:cs="Times New Roman"/>
          <w:sz w:val="22"/>
          <w:szCs w:val="22"/>
          <w:lang w:val="lt-LT" w:eastAsia="en-US"/>
        </w:rPr>
        <w:t xml:space="preserve"> diabet</w:t>
      </w:r>
      <w:r w:rsidR="00621EB8">
        <w:rPr>
          <w:rFonts w:cs="Times New Roman"/>
          <w:sz w:val="22"/>
          <w:szCs w:val="22"/>
          <w:lang w:val="lt-LT" w:eastAsia="en-US"/>
        </w:rPr>
        <w:t>as</w:t>
      </w:r>
      <w:r w:rsidR="0078211D" w:rsidRPr="00997273">
        <w:rPr>
          <w:rFonts w:cs="Times New Roman"/>
          <w:sz w:val="22"/>
          <w:szCs w:val="22"/>
          <w:lang w:val="lt-LT" w:eastAsia="en-US"/>
        </w:rPr>
        <w:t>.</w:t>
      </w:r>
    </w:p>
    <w:p w14:paraId="0A494F3D" w14:textId="77777777" w:rsidR="00A5618A" w:rsidRDefault="00A5618A" w:rsidP="0078211D">
      <w:pPr>
        <w:autoSpaceDE w:val="0"/>
        <w:autoSpaceDN w:val="0"/>
        <w:adjustRightInd w:val="0"/>
        <w:rPr>
          <w:rFonts w:cs="Times New Roman"/>
          <w:sz w:val="22"/>
          <w:szCs w:val="22"/>
          <w:lang w:val="lt-LT" w:eastAsia="en-US"/>
        </w:rPr>
      </w:pPr>
    </w:p>
    <w:p w14:paraId="064BB31B" w14:textId="77777777" w:rsidR="0078211D" w:rsidRPr="00997273" w:rsidRDefault="0078211D" w:rsidP="0078211D">
      <w:pPr>
        <w:autoSpaceDE w:val="0"/>
        <w:autoSpaceDN w:val="0"/>
        <w:adjustRightInd w:val="0"/>
        <w:rPr>
          <w:rFonts w:cs="Times New Roman"/>
          <w:sz w:val="22"/>
          <w:szCs w:val="22"/>
          <w:lang w:val="lt-LT" w:eastAsia="en-US"/>
        </w:rPr>
      </w:pPr>
      <w:r w:rsidRPr="00997273">
        <w:rPr>
          <w:rFonts w:cs="Times New Roman"/>
          <w:sz w:val="22"/>
          <w:szCs w:val="22"/>
          <w:lang w:val="lt-LT" w:eastAsia="en-US"/>
        </w:rPr>
        <w:t>Šis vaistas padeda padidinti insulino kiekį pavalgius ir sumažina paties organizmo gaminamo cukraus</w:t>
      </w:r>
      <w:r w:rsidR="002F5E23" w:rsidRPr="00997273">
        <w:rPr>
          <w:rFonts w:cs="Times New Roman"/>
          <w:sz w:val="22"/>
          <w:szCs w:val="22"/>
          <w:lang w:val="lt-LT" w:eastAsia="en-US"/>
        </w:rPr>
        <w:t xml:space="preserve"> </w:t>
      </w:r>
      <w:r w:rsidRPr="00997273">
        <w:rPr>
          <w:rFonts w:cs="Times New Roman"/>
          <w:sz w:val="22"/>
          <w:szCs w:val="22"/>
          <w:lang w:val="lt-LT" w:eastAsia="en-US"/>
        </w:rPr>
        <w:t>kiekį.</w:t>
      </w:r>
    </w:p>
    <w:p w14:paraId="2122CAB5" w14:textId="77777777" w:rsidR="0078211D" w:rsidRPr="00997273" w:rsidRDefault="0078211D" w:rsidP="0078211D">
      <w:pPr>
        <w:autoSpaceDE w:val="0"/>
        <w:autoSpaceDN w:val="0"/>
        <w:adjustRightInd w:val="0"/>
        <w:rPr>
          <w:rFonts w:cs="Times New Roman"/>
          <w:sz w:val="22"/>
          <w:szCs w:val="22"/>
          <w:lang w:val="lt-LT" w:eastAsia="en-US"/>
        </w:rPr>
      </w:pPr>
    </w:p>
    <w:p w14:paraId="4EC74890" w14:textId="10811F53" w:rsidR="0078211D" w:rsidRPr="00997273" w:rsidRDefault="0078211D" w:rsidP="0078211D">
      <w:pPr>
        <w:autoSpaceDE w:val="0"/>
        <w:autoSpaceDN w:val="0"/>
        <w:adjustRightInd w:val="0"/>
        <w:rPr>
          <w:rFonts w:cs="Times New Roman"/>
          <w:sz w:val="22"/>
          <w:szCs w:val="22"/>
          <w:lang w:val="lt-LT" w:eastAsia="en-US"/>
        </w:rPr>
      </w:pPr>
      <w:r w:rsidRPr="00997273">
        <w:rPr>
          <w:rFonts w:cs="Times New Roman"/>
          <w:sz w:val="22"/>
          <w:szCs w:val="22"/>
          <w:lang w:val="lt-LT" w:eastAsia="en-US"/>
        </w:rPr>
        <w:t>Jūsų gydytojas paskyrė šį vaistą, kad jis padėtų sumažinti cukraus kiekį kraujyje, kuris yra per didelis</w:t>
      </w:r>
      <w:r w:rsidR="00960B10">
        <w:rPr>
          <w:rFonts w:cs="Times New Roman"/>
          <w:sz w:val="22"/>
          <w:szCs w:val="22"/>
          <w:lang w:val="lt-LT" w:eastAsia="en-US"/>
        </w:rPr>
        <w:t>, nes sergate</w:t>
      </w:r>
      <w:r w:rsidRPr="00997273">
        <w:rPr>
          <w:rFonts w:cs="Times New Roman"/>
          <w:sz w:val="22"/>
          <w:szCs w:val="22"/>
          <w:lang w:val="lt-LT" w:eastAsia="en-US"/>
        </w:rPr>
        <w:t xml:space="preserve"> </w:t>
      </w:r>
      <w:r w:rsidR="00BF0878">
        <w:rPr>
          <w:rFonts w:cs="Times New Roman"/>
          <w:sz w:val="22"/>
          <w:szCs w:val="22"/>
          <w:lang w:val="lt-LT" w:eastAsia="en-US"/>
        </w:rPr>
        <w:t>2</w:t>
      </w:r>
      <w:r w:rsidR="006936FE">
        <w:rPr>
          <w:rFonts w:cs="Times New Roman"/>
          <w:sz w:val="22"/>
          <w:szCs w:val="22"/>
          <w:lang w:val="lt-LT" w:eastAsia="en-US"/>
        </w:rPr>
        <w:t> </w:t>
      </w:r>
      <w:r w:rsidRPr="00997273">
        <w:rPr>
          <w:rFonts w:cs="Times New Roman"/>
          <w:sz w:val="22"/>
          <w:szCs w:val="22"/>
          <w:lang w:val="lt-LT" w:eastAsia="en-US"/>
        </w:rPr>
        <w:t xml:space="preserve">tipo cukriniu diabetu. Šis vaistas gali būti vartojamas vienas arba kartu su kitais cukraus kiekį kraujyje mažinančiais vaistais (insulinu, </w:t>
      </w:r>
      <w:proofErr w:type="spellStart"/>
      <w:r w:rsidRPr="00997273">
        <w:rPr>
          <w:rFonts w:cs="Times New Roman"/>
          <w:sz w:val="22"/>
          <w:szCs w:val="22"/>
          <w:lang w:val="lt-LT" w:eastAsia="en-US"/>
        </w:rPr>
        <w:t>metforminu</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sulfonilurėjos</w:t>
      </w:r>
      <w:proofErr w:type="spellEnd"/>
      <w:r w:rsidRPr="00997273">
        <w:rPr>
          <w:rFonts w:cs="Times New Roman"/>
          <w:sz w:val="22"/>
          <w:szCs w:val="22"/>
          <w:lang w:val="lt-LT" w:eastAsia="en-US"/>
        </w:rPr>
        <w:t xml:space="preserve"> </w:t>
      </w:r>
      <w:r w:rsidR="006936FE">
        <w:rPr>
          <w:rFonts w:cs="Times New Roman"/>
          <w:sz w:val="22"/>
          <w:szCs w:val="22"/>
          <w:lang w:val="lt-LT" w:eastAsia="en-US"/>
        </w:rPr>
        <w:t>dariniu</w:t>
      </w:r>
      <w:r w:rsidRPr="00997273">
        <w:rPr>
          <w:rFonts w:cs="Times New Roman"/>
          <w:sz w:val="22"/>
          <w:szCs w:val="22"/>
          <w:lang w:val="lt-LT" w:eastAsia="en-US"/>
        </w:rPr>
        <w:t xml:space="preserve"> ar </w:t>
      </w:r>
      <w:proofErr w:type="spellStart"/>
      <w:r w:rsidRPr="00997273">
        <w:rPr>
          <w:rFonts w:cs="Times New Roman"/>
          <w:sz w:val="22"/>
          <w:szCs w:val="22"/>
          <w:lang w:val="lt-LT" w:eastAsia="en-US"/>
        </w:rPr>
        <w:t>glitazonais</w:t>
      </w:r>
      <w:proofErr w:type="spellEnd"/>
      <w:r w:rsidRPr="00997273">
        <w:rPr>
          <w:rFonts w:cs="Times New Roman"/>
          <w:sz w:val="22"/>
          <w:szCs w:val="22"/>
          <w:lang w:val="lt-LT" w:eastAsia="en-US"/>
        </w:rPr>
        <w:t xml:space="preserve">), kurių Jūs nuo cukrinio diabeto galbūt jau vartojate kartu </w:t>
      </w:r>
      <w:r w:rsidR="00606079">
        <w:rPr>
          <w:rFonts w:cs="Times New Roman"/>
          <w:sz w:val="22"/>
          <w:szCs w:val="22"/>
          <w:lang w:val="lt-LT" w:eastAsia="en-US"/>
        </w:rPr>
        <w:t>laikydamiesi</w:t>
      </w:r>
      <w:r w:rsidR="00606079" w:rsidRPr="00997273">
        <w:rPr>
          <w:rFonts w:cs="Times New Roman"/>
          <w:sz w:val="22"/>
          <w:szCs w:val="22"/>
          <w:lang w:val="lt-LT" w:eastAsia="en-US"/>
        </w:rPr>
        <w:t xml:space="preserve"> </w:t>
      </w:r>
      <w:r w:rsidRPr="00997273">
        <w:rPr>
          <w:rFonts w:cs="Times New Roman"/>
          <w:sz w:val="22"/>
          <w:szCs w:val="22"/>
          <w:lang w:val="lt-LT" w:eastAsia="en-US"/>
        </w:rPr>
        <w:t>mitybos ir fizini</w:t>
      </w:r>
      <w:r w:rsidR="006936FE">
        <w:rPr>
          <w:rFonts w:cs="Times New Roman"/>
          <w:sz w:val="22"/>
          <w:szCs w:val="22"/>
          <w:lang w:val="lt-LT" w:eastAsia="en-US"/>
        </w:rPr>
        <w:t xml:space="preserve">o aktyvumo </w:t>
      </w:r>
      <w:r w:rsidRPr="00997273">
        <w:rPr>
          <w:rFonts w:cs="Times New Roman"/>
          <w:sz w:val="22"/>
          <w:szCs w:val="22"/>
          <w:lang w:val="lt-LT" w:eastAsia="en-US"/>
        </w:rPr>
        <w:t>program</w:t>
      </w:r>
      <w:r w:rsidR="002A6992">
        <w:rPr>
          <w:rFonts w:cs="Times New Roman"/>
          <w:sz w:val="22"/>
          <w:szCs w:val="22"/>
          <w:lang w:val="lt-LT" w:eastAsia="en-US"/>
        </w:rPr>
        <w:t>os</w:t>
      </w:r>
      <w:r w:rsidRPr="00997273">
        <w:rPr>
          <w:rFonts w:cs="Times New Roman"/>
          <w:sz w:val="22"/>
          <w:szCs w:val="22"/>
          <w:lang w:val="lt-LT" w:eastAsia="en-US"/>
        </w:rPr>
        <w:t>.</w:t>
      </w:r>
    </w:p>
    <w:p w14:paraId="4E3788BD" w14:textId="77777777" w:rsidR="0078211D" w:rsidRPr="00997273" w:rsidRDefault="0078211D" w:rsidP="0078211D">
      <w:pPr>
        <w:autoSpaceDE w:val="0"/>
        <w:autoSpaceDN w:val="0"/>
        <w:adjustRightInd w:val="0"/>
        <w:rPr>
          <w:rFonts w:cs="Times New Roman"/>
          <w:sz w:val="22"/>
          <w:szCs w:val="22"/>
          <w:lang w:val="lt-LT" w:eastAsia="en-US"/>
        </w:rPr>
      </w:pPr>
    </w:p>
    <w:p w14:paraId="43859EFD" w14:textId="34DF4A9E" w:rsidR="0078211D" w:rsidRPr="00997273" w:rsidRDefault="0078211D" w:rsidP="0078211D">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Kas yra </w:t>
      </w:r>
      <w:r w:rsidR="006936FE">
        <w:rPr>
          <w:rFonts w:cs="Times New Roman"/>
          <w:sz w:val="22"/>
          <w:szCs w:val="22"/>
          <w:lang w:val="lt-LT" w:eastAsia="en-US"/>
        </w:rPr>
        <w:t>2 </w:t>
      </w:r>
      <w:r w:rsidRPr="00997273">
        <w:rPr>
          <w:rFonts w:cs="Times New Roman"/>
          <w:sz w:val="22"/>
          <w:szCs w:val="22"/>
          <w:lang w:val="lt-LT" w:eastAsia="en-US"/>
        </w:rPr>
        <w:t>tipo cukrinis diabetas?</w:t>
      </w:r>
    </w:p>
    <w:p w14:paraId="78313210" w14:textId="449B70E5" w:rsidR="00612A8E" w:rsidRPr="00997273" w:rsidRDefault="000718A2" w:rsidP="002F5E23">
      <w:pPr>
        <w:autoSpaceDE w:val="0"/>
        <w:autoSpaceDN w:val="0"/>
        <w:adjustRightInd w:val="0"/>
        <w:rPr>
          <w:rFonts w:eastAsia="Times New Roman" w:cs="Times New Roman"/>
          <w:noProof/>
          <w:sz w:val="22"/>
          <w:szCs w:val="22"/>
          <w:lang w:val="lt-LT" w:eastAsia="lt-LT" w:bidi="lt-LT"/>
        </w:rPr>
      </w:pPr>
      <w:r>
        <w:rPr>
          <w:rFonts w:cs="Times New Roman"/>
          <w:sz w:val="22"/>
          <w:szCs w:val="22"/>
          <w:lang w:val="lt-LT" w:eastAsia="en-US"/>
        </w:rPr>
        <w:t>2 </w:t>
      </w:r>
      <w:r w:rsidR="0078211D" w:rsidRPr="00997273">
        <w:rPr>
          <w:rFonts w:cs="Times New Roman"/>
          <w:sz w:val="22"/>
          <w:szCs w:val="22"/>
          <w:lang w:val="lt-LT" w:eastAsia="en-US"/>
        </w:rPr>
        <w:t>tipo cukrinis diabetas yra būklė, kai Jūsų organizmas gamina nepakankamai insulino, o</w:t>
      </w:r>
      <w:r w:rsidR="002F5E23" w:rsidRPr="00997273">
        <w:rPr>
          <w:rFonts w:cs="Times New Roman"/>
          <w:sz w:val="22"/>
          <w:szCs w:val="22"/>
          <w:lang w:val="lt-LT" w:eastAsia="en-US"/>
        </w:rPr>
        <w:t xml:space="preserve"> </w:t>
      </w:r>
      <w:r w:rsidR="0078211D" w:rsidRPr="00997273">
        <w:rPr>
          <w:rFonts w:cs="Times New Roman"/>
          <w:sz w:val="22"/>
          <w:szCs w:val="22"/>
          <w:lang w:val="lt-LT" w:eastAsia="en-US"/>
        </w:rPr>
        <w:t>insulinas, kurį Jūsų organizmas pagamina, neveikia taip gerai, kaip turėtų veikti. Be to, Jūsų</w:t>
      </w:r>
      <w:r w:rsidR="002F5E23" w:rsidRPr="00997273">
        <w:rPr>
          <w:rFonts w:cs="Times New Roman"/>
          <w:sz w:val="22"/>
          <w:szCs w:val="22"/>
          <w:lang w:val="lt-LT" w:eastAsia="en-US"/>
        </w:rPr>
        <w:t xml:space="preserve"> </w:t>
      </w:r>
      <w:r w:rsidR="0078211D" w:rsidRPr="00997273">
        <w:rPr>
          <w:rFonts w:cs="Times New Roman"/>
          <w:sz w:val="22"/>
          <w:szCs w:val="22"/>
          <w:lang w:val="lt-LT" w:eastAsia="en-US"/>
        </w:rPr>
        <w:t>organizm</w:t>
      </w:r>
      <w:r>
        <w:rPr>
          <w:rFonts w:cs="Times New Roman"/>
          <w:sz w:val="22"/>
          <w:szCs w:val="22"/>
          <w:lang w:val="lt-LT" w:eastAsia="en-US"/>
        </w:rPr>
        <w:t xml:space="preserve">as gali gaminti per </w:t>
      </w:r>
      <w:r w:rsidR="0078211D" w:rsidRPr="00997273">
        <w:rPr>
          <w:rFonts w:cs="Times New Roman"/>
          <w:sz w:val="22"/>
          <w:szCs w:val="22"/>
          <w:lang w:val="lt-LT" w:eastAsia="en-US"/>
        </w:rPr>
        <w:t xml:space="preserve">daug cukraus. Kai taip atsitinka, kraujyje </w:t>
      </w:r>
      <w:r w:rsidR="00315558">
        <w:rPr>
          <w:rFonts w:cs="Times New Roman"/>
          <w:sz w:val="22"/>
          <w:szCs w:val="22"/>
          <w:lang w:val="lt-LT" w:eastAsia="en-US"/>
        </w:rPr>
        <w:t xml:space="preserve">cukraus </w:t>
      </w:r>
      <w:r w:rsidR="0078211D" w:rsidRPr="00997273">
        <w:rPr>
          <w:rFonts w:cs="Times New Roman"/>
          <w:sz w:val="22"/>
          <w:szCs w:val="22"/>
          <w:lang w:val="lt-LT" w:eastAsia="en-US"/>
        </w:rPr>
        <w:t xml:space="preserve">(gliukozės) </w:t>
      </w:r>
      <w:r w:rsidR="00315558">
        <w:rPr>
          <w:rFonts w:cs="Times New Roman"/>
          <w:sz w:val="22"/>
          <w:szCs w:val="22"/>
          <w:lang w:val="lt-LT" w:eastAsia="en-US"/>
        </w:rPr>
        <w:t xml:space="preserve">kiekis </w:t>
      </w:r>
      <w:r w:rsidR="0078211D" w:rsidRPr="00997273">
        <w:rPr>
          <w:rFonts w:cs="Times New Roman"/>
          <w:sz w:val="22"/>
          <w:szCs w:val="22"/>
          <w:lang w:val="lt-LT" w:eastAsia="en-US"/>
        </w:rPr>
        <w:t>pad</w:t>
      </w:r>
      <w:r w:rsidR="00315558">
        <w:rPr>
          <w:rFonts w:cs="Times New Roman"/>
          <w:sz w:val="22"/>
          <w:szCs w:val="22"/>
          <w:lang w:val="lt-LT" w:eastAsia="en-US"/>
        </w:rPr>
        <w:t>idėja</w:t>
      </w:r>
      <w:r w:rsidR="0078211D" w:rsidRPr="00997273">
        <w:rPr>
          <w:rFonts w:cs="Times New Roman"/>
          <w:sz w:val="22"/>
          <w:szCs w:val="22"/>
          <w:lang w:val="lt-LT" w:eastAsia="en-US"/>
        </w:rPr>
        <w:t>. Tai</w:t>
      </w:r>
      <w:r w:rsidR="002F5E23" w:rsidRPr="00997273">
        <w:rPr>
          <w:rFonts w:cs="Times New Roman"/>
          <w:sz w:val="22"/>
          <w:szCs w:val="22"/>
          <w:lang w:val="lt-LT" w:eastAsia="en-US"/>
        </w:rPr>
        <w:t xml:space="preserve"> </w:t>
      </w:r>
      <w:r w:rsidR="0078211D" w:rsidRPr="00997273">
        <w:rPr>
          <w:rFonts w:cs="Times New Roman"/>
          <w:sz w:val="22"/>
          <w:szCs w:val="22"/>
          <w:lang w:val="lt-LT" w:eastAsia="en-US"/>
        </w:rPr>
        <w:t>gali sukelti sunki</w:t>
      </w:r>
      <w:r w:rsidR="00315558">
        <w:rPr>
          <w:rFonts w:cs="Times New Roman"/>
          <w:sz w:val="22"/>
          <w:szCs w:val="22"/>
          <w:lang w:val="lt-LT" w:eastAsia="en-US"/>
        </w:rPr>
        <w:t>ų</w:t>
      </w:r>
      <w:r w:rsidR="0078211D" w:rsidRPr="00997273">
        <w:rPr>
          <w:rFonts w:cs="Times New Roman"/>
          <w:sz w:val="22"/>
          <w:szCs w:val="22"/>
          <w:lang w:val="lt-LT" w:eastAsia="en-US"/>
        </w:rPr>
        <w:t xml:space="preserve"> sveikatos sutrikim</w:t>
      </w:r>
      <w:r w:rsidR="00315558">
        <w:rPr>
          <w:rFonts w:cs="Times New Roman"/>
          <w:sz w:val="22"/>
          <w:szCs w:val="22"/>
          <w:lang w:val="lt-LT" w:eastAsia="en-US"/>
        </w:rPr>
        <w:t>ų</w:t>
      </w:r>
      <w:r w:rsidR="0078211D" w:rsidRPr="00997273">
        <w:rPr>
          <w:rFonts w:cs="Times New Roman"/>
          <w:sz w:val="22"/>
          <w:szCs w:val="22"/>
          <w:lang w:val="lt-LT" w:eastAsia="en-US"/>
        </w:rPr>
        <w:t xml:space="preserve">, įskaitant širdies, inkstų ligą, aklumą </w:t>
      </w:r>
      <w:r w:rsidR="006D24AF">
        <w:rPr>
          <w:rFonts w:cs="Times New Roman"/>
          <w:sz w:val="22"/>
          <w:szCs w:val="22"/>
          <w:lang w:val="lt-LT" w:eastAsia="en-US"/>
        </w:rPr>
        <w:t>ir</w:t>
      </w:r>
      <w:r w:rsidR="002F5E23" w:rsidRPr="00997273">
        <w:rPr>
          <w:rFonts w:cs="Times New Roman"/>
          <w:sz w:val="22"/>
          <w:szCs w:val="22"/>
          <w:lang w:val="lt-LT" w:eastAsia="en-US"/>
        </w:rPr>
        <w:t xml:space="preserve"> </w:t>
      </w:r>
      <w:r w:rsidR="0078211D" w:rsidRPr="00997273">
        <w:rPr>
          <w:rFonts w:cs="Times New Roman"/>
          <w:sz w:val="22"/>
          <w:szCs w:val="22"/>
          <w:lang w:val="lt-LT" w:eastAsia="en-US"/>
        </w:rPr>
        <w:t>amputaciją.</w:t>
      </w:r>
    </w:p>
    <w:p w14:paraId="125A8E12" w14:textId="77777777" w:rsidR="00612A8E" w:rsidRPr="00997273" w:rsidRDefault="00612A8E" w:rsidP="00612A8E">
      <w:pPr>
        <w:ind w:right="-2"/>
        <w:rPr>
          <w:rFonts w:eastAsia="Times New Roman" w:cs="Times New Roman"/>
          <w:noProof/>
          <w:sz w:val="22"/>
          <w:szCs w:val="22"/>
          <w:lang w:val="lt-LT" w:eastAsia="lt-LT" w:bidi="lt-LT"/>
        </w:rPr>
      </w:pPr>
    </w:p>
    <w:p w14:paraId="079D6013" w14:textId="77777777" w:rsidR="00C66E12" w:rsidRPr="00997273" w:rsidRDefault="00C66E12" w:rsidP="00612A8E">
      <w:pPr>
        <w:ind w:right="-2"/>
        <w:rPr>
          <w:rFonts w:eastAsia="Times New Roman" w:cs="Times New Roman"/>
          <w:noProof/>
          <w:sz w:val="22"/>
          <w:szCs w:val="22"/>
          <w:lang w:val="lt-LT" w:eastAsia="lt-LT" w:bidi="lt-LT"/>
        </w:rPr>
      </w:pPr>
    </w:p>
    <w:p w14:paraId="3708FE90" w14:textId="49D1AD50" w:rsidR="00612A8E" w:rsidRPr="00997273" w:rsidRDefault="00612A8E" w:rsidP="00612A8E">
      <w:pPr>
        <w:keepNext/>
        <w:numPr>
          <w:ilvl w:val="0"/>
          <w:numId w:val="34"/>
        </w:numPr>
        <w:tabs>
          <w:tab w:val="left" w:pos="567"/>
        </w:tabs>
        <w:spacing w:line="260" w:lineRule="exact"/>
        <w:ind w:left="567" w:right="-2"/>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 xml:space="preserve">Kas žinotina prieš vartojant </w:t>
      </w:r>
      <w:proofErr w:type="spellStart"/>
      <w:r w:rsidR="00AE2AD2">
        <w:rPr>
          <w:rFonts w:eastAsia="Times New Roman" w:cs="Times New Roman"/>
          <w:b/>
          <w:sz w:val="22"/>
          <w:szCs w:val="22"/>
          <w:lang w:val="lt-LT" w:eastAsia="lt-LT" w:bidi="lt-LT"/>
        </w:rPr>
        <w:t>Meliglix</w:t>
      </w:r>
      <w:proofErr w:type="spellEnd"/>
    </w:p>
    <w:p w14:paraId="6F1AB2BA" w14:textId="77777777" w:rsidR="00612A8E" w:rsidRPr="00997273" w:rsidRDefault="00612A8E" w:rsidP="00612A8E">
      <w:pPr>
        <w:keepNext/>
        <w:numPr>
          <w:ilvl w:val="12"/>
          <w:numId w:val="0"/>
        </w:numPr>
        <w:outlineLvl w:val="0"/>
        <w:rPr>
          <w:rFonts w:eastAsia="Times New Roman" w:cs="Times New Roman"/>
          <w:i/>
          <w:noProof/>
          <w:sz w:val="22"/>
          <w:szCs w:val="22"/>
          <w:lang w:val="lt-LT" w:eastAsia="lt-LT" w:bidi="lt-LT"/>
        </w:rPr>
      </w:pPr>
    </w:p>
    <w:p w14:paraId="6E47704B" w14:textId="3B00CB76" w:rsidR="00612A8E" w:rsidRPr="00997273" w:rsidRDefault="00AE2AD2" w:rsidP="00612A8E">
      <w:pPr>
        <w:keepNext/>
        <w:numPr>
          <w:ilvl w:val="12"/>
          <w:numId w:val="0"/>
        </w:numPr>
        <w:outlineLvl w:val="0"/>
        <w:rPr>
          <w:rFonts w:eastAsia="Times New Roman" w:cs="Times New Roman"/>
          <w:noProof/>
          <w:sz w:val="22"/>
          <w:szCs w:val="22"/>
          <w:lang w:val="lt-LT" w:eastAsia="lt-LT" w:bidi="lt-LT"/>
        </w:rPr>
      </w:pPr>
      <w:proofErr w:type="spellStart"/>
      <w:r>
        <w:rPr>
          <w:rFonts w:eastAsia="Times New Roman" w:cs="Times New Roman"/>
          <w:b/>
          <w:sz w:val="22"/>
          <w:szCs w:val="22"/>
          <w:lang w:val="lt-LT" w:eastAsia="lt-LT" w:bidi="lt-LT"/>
        </w:rPr>
        <w:t>Meliglix</w:t>
      </w:r>
      <w:proofErr w:type="spellEnd"/>
      <w:r w:rsidR="0078211D" w:rsidRPr="00997273">
        <w:rPr>
          <w:rFonts w:eastAsia="Times New Roman" w:cs="Times New Roman"/>
          <w:b/>
          <w:noProof/>
          <w:sz w:val="22"/>
          <w:szCs w:val="22"/>
          <w:lang w:val="lt-LT" w:eastAsia="lt-LT" w:bidi="lt-LT"/>
        </w:rPr>
        <w:t xml:space="preserve"> vartoti </w:t>
      </w:r>
      <w:r w:rsidR="003261D1">
        <w:rPr>
          <w:rFonts w:eastAsia="Times New Roman" w:cs="Times New Roman"/>
          <w:b/>
          <w:noProof/>
          <w:sz w:val="22"/>
          <w:szCs w:val="22"/>
          <w:lang w:val="lt-LT" w:eastAsia="lt-LT" w:bidi="lt-LT"/>
        </w:rPr>
        <w:t>draudžiama</w:t>
      </w:r>
      <w:r w:rsidR="00612A8E" w:rsidRPr="00997273">
        <w:rPr>
          <w:rFonts w:eastAsia="Times New Roman" w:cs="Times New Roman"/>
          <w:b/>
          <w:noProof/>
          <w:sz w:val="22"/>
          <w:szCs w:val="22"/>
          <w:lang w:val="lt-LT" w:eastAsia="lt-LT" w:bidi="lt-LT"/>
        </w:rPr>
        <w:t>:</w:t>
      </w:r>
    </w:p>
    <w:p w14:paraId="45ABEEA6" w14:textId="77777777" w:rsidR="00612A8E" w:rsidRPr="00997273" w:rsidRDefault="00612A8E" w:rsidP="00612A8E">
      <w:pPr>
        <w:numPr>
          <w:ilvl w:val="0"/>
          <w:numId w:val="3"/>
        </w:numPr>
        <w:tabs>
          <w:tab w:val="left" w:pos="567"/>
        </w:tabs>
        <w:spacing w:line="260" w:lineRule="exact"/>
        <w:contextualSpacing/>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 xml:space="preserve">jeigu yra alergija </w:t>
      </w:r>
      <w:proofErr w:type="spellStart"/>
      <w:r w:rsidR="0078211D" w:rsidRPr="00997273">
        <w:rPr>
          <w:rFonts w:eastAsia="Times New Roman" w:cs="Times New Roman"/>
          <w:sz w:val="22"/>
          <w:szCs w:val="22"/>
          <w:lang w:val="lt-LT" w:eastAsia="lt-LT" w:bidi="lt-LT"/>
        </w:rPr>
        <w:t>sitagliptinui</w:t>
      </w:r>
      <w:proofErr w:type="spellEnd"/>
      <w:r w:rsidRPr="00997273">
        <w:rPr>
          <w:rFonts w:eastAsia="Times New Roman" w:cs="Times New Roman"/>
          <w:sz w:val="22"/>
          <w:szCs w:val="22"/>
          <w:lang w:val="lt-LT" w:eastAsia="lt-LT" w:bidi="lt-LT"/>
        </w:rPr>
        <w:t xml:space="preserve"> arba bet kuriai pagalbinei šio vaisto medžiaga</w:t>
      </w:r>
      <w:r w:rsidR="0078211D" w:rsidRPr="00997273">
        <w:rPr>
          <w:rFonts w:eastAsia="Times New Roman" w:cs="Times New Roman"/>
          <w:sz w:val="22"/>
          <w:szCs w:val="22"/>
          <w:lang w:val="lt-LT" w:eastAsia="lt-LT" w:bidi="lt-LT"/>
        </w:rPr>
        <w:t>i (jos išvardytos 6 skyriuje).</w:t>
      </w:r>
    </w:p>
    <w:p w14:paraId="6FEF2474" w14:textId="77777777" w:rsidR="00612A8E" w:rsidRPr="00997273" w:rsidRDefault="00612A8E" w:rsidP="00612A8E">
      <w:pPr>
        <w:numPr>
          <w:ilvl w:val="12"/>
          <w:numId w:val="0"/>
        </w:numPr>
        <w:rPr>
          <w:rFonts w:eastAsia="Times New Roman" w:cs="Times New Roman"/>
          <w:noProof/>
          <w:sz w:val="22"/>
          <w:szCs w:val="22"/>
          <w:lang w:val="lt-LT" w:eastAsia="lt-LT" w:bidi="lt-LT"/>
        </w:rPr>
      </w:pPr>
    </w:p>
    <w:p w14:paraId="4456614A" w14:textId="77777777" w:rsidR="00612A8E" w:rsidRPr="00997273" w:rsidRDefault="00612A8E" w:rsidP="00612A8E">
      <w:pPr>
        <w:numPr>
          <w:ilvl w:val="12"/>
          <w:numId w:val="0"/>
        </w:numPr>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 xml:space="preserve">Įspėjimai ir atsargumo priemonės </w:t>
      </w:r>
    </w:p>
    <w:p w14:paraId="40DF23FB" w14:textId="78923FBE" w:rsidR="00612A8E" w:rsidRPr="00997273" w:rsidRDefault="0078211D" w:rsidP="00612A8E">
      <w:pPr>
        <w:numPr>
          <w:ilvl w:val="12"/>
          <w:numId w:val="0"/>
        </w:numPr>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 xml:space="preserve">Pasitarkite su gydytoju arba </w:t>
      </w:r>
      <w:r w:rsidR="00612A8E" w:rsidRPr="00997273">
        <w:rPr>
          <w:rFonts w:eastAsia="Times New Roman" w:cs="Times New Roman"/>
          <w:sz w:val="22"/>
          <w:szCs w:val="22"/>
          <w:lang w:val="lt-LT" w:eastAsia="lt-LT" w:bidi="lt-LT"/>
        </w:rPr>
        <w:t xml:space="preserve">vaistininku, prieš pradėdami vartoti </w:t>
      </w:r>
      <w:proofErr w:type="spellStart"/>
      <w:r w:rsidR="00AE2AD2">
        <w:rPr>
          <w:rFonts w:eastAsia="Times New Roman" w:cs="Times New Roman"/>
          <w:sz w:val="22"/>
          <w:szCs w:val="22"/>
          <w:lang w:val="lt-LT" w:eastAsia="lt-LT" w:bidi="lt-LT"/>
        </w:rPr>
        <w:t>Meliglix</w:t>
      </w:r>
      <w:proofErr w:type="spellEnd"/>
      <w:r w:rsidR="00612A8E" w:rsidRPr="00997273">
        <w:rPr>
          <w:rFonts w:eastAsia="Times New Roman" w:cs="Times New Roman"/>
          <w:sz w:val="22"/>
          <w:szCs w:val="22"/>
          <w:lang w:val="lt-LT" w:eastAsia="lt-LT" w:bidi="lt-LT"/>
        </w:rPr>
        <w:t>.</w:t>
      </w:r>
    </w:p>
    <w:p w14:paraId="4B7434B1" w14:textId="77777777" w:rsidR="00767924" w:rsidRPr="00997273" w:rsidRDefault="00767924" w:rsidP="00612A8E">
      <w:pPr>
        <w:numPr>
          <w:ilvl w:val="12"/>
          <w:numId w:val="0"/>
        </w:numPr>
        <w:ind w:right="-2"/>
        <w:rPr>
          <w:rFonts w:cs="Times New Roman"/>
          <w:sz w:val="22"/>
          <w:szCs w:val="22"/>
          <w:lang w:val="lt-LT" w:eastAsia="en-US"/>
        </w:rPr>
      </w:pPr>
    </w:p>
    <w:p w14:paraId="44164257" w14:textId="1DA44DD8" w:rsidR="00612A8E" w:rsidRPr="00997273" w:rsidRDefault="00495B19" w:rsidP="00612A8E">
      <w:pPr>
        <w:numPr>
          <w:ilvl w:val="12"/>
          <w:numId w:val="0"/>
        </w:numPr>
        <w:ind w:right="-2"/>
        <w:rPr>
          <w:rFonts w:cs="Times New Roman"/>
          <w:sz w:val="22"/>
          <w:szCs w:val="22"/>
          <w:lang w:val="lt-LT" w:eastAsia="en-US"/>
        </w:rPr>
      </w:pPr>
      <w:r w:rsidRPr="00495B19">
        <w:rPr>
          <w:rFonts w:eastAsia="Times New Roman" w:cs="Times New Roman"/>
          <w:sz w:val="22"/>
          <w:szCs w:val="22"/>
          <w:lang w:val="lt-LT" w:eastAsia="en-US"/>
        </w:rPr>
        <w:t xml:space="preserve">Pranešta apie kasos uždegimo (pankreatito) atvejus </w:t>
      </w:r>
      <w:proofErr w:type="spellStart"/>
      <w:r w:rsidR="00AE2AD2">
        <w:rPr>
          <w:rFonts w:eastAsia="Times New Roman" w:cs="Times New Roman"/>
          <w:sz w:val="22"/>
          <w:szCs w:val="22"/>
          <w:lang w:val="lt-LT" w:eastAsia="en-US"/>
        </w:rPr>
        <w:t>Meliglix</w:t>
      </w:r>
      <w:proofErr w:type="spellEnd"/>
      <w:r w:rsidRPr="00495B19">
        <w:rPr>
          <w:rFonts w:eastAsia="Times New Roman" w:cs="Times New Roman"/>
          <w:sz w:val="22"/>
          <w:szCs w:val="22"/>
          <w:lang w:val="lt-LT" w:eastAsia="en-US"/>
        </w:rPr>
        <w:t xml:space="preserve"> vartojusiems pacientams</w:t>
      </w:r>
      <w:r w:rsidR="0078211D" w:rsidRPr="00997273">
        <w:rPr>
          <w:rFonts w:cs="Times New Roman"/>
          <w:sz w:val="22"/>
          <w:szCs w:val="22"/>
          <w:lang w:val="lt-LT" w:eastAsia="en-US"/>
        </w:rPr>
        <w:t xml:space="preserve"> (žr. 4 skyrių).</w:t>
      </w:r>
    </w:p>
    <w:p w14:paraId="4C4BD9D7" w14:textId="77777777" w:rsidR="001A3943" w:rsidRPr="00997273" w:rsidRDefault="001A3943" w:rsidP="001A3943">
      <w:pPr>
        <w:numPr>
          <w:ilvl w:val="12"/>
          <w:numId w:val="0"/>
        </w:numPr>
        <w:ind w:right="-2"/>
        <w:rPr>
          <w:rFonts w:cs="Times New Roman"/>
          <w:sz w:val="22"/>
          <w:szCs w:val="22"/>
          <w:lang w:val="lt-LT" w:eastAsia="en-US"/>
        </w:rPr>
      </w:pPr>
    </w:p>
    <w:p w14:paraId="24FBEDDB" w14:textId="434B07A6" w:rsidR="00767924" w:rsidRPr="00997273" w:rsidRDefault="001A3943" w:rsidP="001A3943">
      <w:pPr>
        <w:numPr>
          <w:ilvl w:val="12"/>
          <w:numId w:val="0"/>
        </w:numPr>
        <w:ind w:right="-2"/>
        <w:rPr>
          <w:rFonts w:cs="Times New Roman"/>
          <w:sz w:val="22"/>
          <w:szCs w:val="22"/>
          <w:lang w:val="lt-LT" w:eastAsia="en-US"/>
        </w:rPr>
      </w:pPr>
      <w:r w:rsidRPr="00997273">
        <w:rPr>
          <w:rFonts w:cs="Times New Roman"/>
          <w:sz w:val="22"/>
          <w:szCs w:val="22"/>
          <w:lang w:val="lt-LT" w:eastAsia="en-US"/>
        </w:rPr>
        <w:t>Jeigu Jums netik</w:t>
      </w:r>
      <w:r w:rsidRPr="00997273">
        <w:rPr>
          <w:rFonts w:cs="Times New Roman" w:hint="eastAsia"/>
          <w:sz w:val="22"/>
          <w:szCs w:val="22"/>
          <w:lang w:val="lt-LT" w:eastAsia="en-US"/>
        </w:rPr>
        <w:t>ė</w:t>
      </w:r>
      <w:r w:rsidRPr="00997273">
        <w:rPr>
          <w:rFonts w:cs="Times New Roman"/>
          <w:sz w:val="22"/>
          <w:szCs w:val="22"/>
          <w:lang w:val="lt-LT" w:eastAsia="en-US"/>
        </w:rPr>
        <w:t>tai ant odos susidar</w:t>
      </w:r>
      <w:r w:rsidR="00D90939">
        <w:rPr>
          <w:rFonts w:cs="Times New Roman"/>
          <w:sz w:val="22"/>
          <w:szCs w:val="22"/>
          <w:lang w:val="lt-LT" w:eastAsia="en-US"/>
        </w:rPr>
        <w:t>ė</w:t>
      </w:r>
      <w:r w:rsidRPr="00997273">
        <w:rPr>
          <w:rFonts w:cs="Times New Roman"/>
          <w:sz w:val="22"/>
          <w:szCs w:val="22"/>
          <w:lang w:val="lt-LT" w:eastAsia="en-US"/>
        </w:rPr>
        <w:t xml:space="preserve"> p</w:t>
      </w:r>
      <w:r w:rsidRPr="00997273">
        <w:rPr>
          <w:rFonts w:cs="Times New Roman" w:hint="eastAsia"/>
          <w:sz w:val="22"/>
          <w:szCs w:val="22"/>
          <w:lang w:val="lt-LT" w:eastAsia="en-US"/>
        </w:rPr>
        <w:t>ū</w:t>
      </w:r>
      <w:r w:rsidRPr="00997273">
        <w:rPr>
          <w:rFonts w:cs="Times New Roman"/>
          <w:sz w:val="22"/>
          <w:szCs w:val="22"/>
          <w:lang w:val="lt-LT" w:eastAsia="en-US"/>
        </w:rPr>
        <w:t>sli</w:t>
      </w:r>
      <w:r w:rsidRPr="00997273">
        <w:rPr>
          <w:rFonts w:cs="Times New Roman" w:hint="eastAsia"/>
          <w:sz w:val="22"/>
          <w:szCs w:val="22"/>
          <w:lang w:val="lt-LT" w:eastAsia="en-US"/>
        </w:rPr>
        <w:t>ų</w:t>
      </w:r>
      <w:r w:rsidRPr="00997273">
        <w:rPr>
          <w:rFonts w:cs="Times New Roman"/>
          <w:sz w:val="22"/>
          <w:szCs w:val="22"/>
          <w:lang w:val="lt-LT" w:eastAsia="en-US"/>
        </w:rPr>
        <w:t>, tai gali b</w:t>
      </w:r>
      <w:r w:rsidRPr="00997273">
        <w:rPr>
          <w:rFonts w:cs="Times New Roman" w:hint="eastAsia"/>
          <w:sz w:val="22"/>
          <w:szCs w:val="22"/>
          <w:lang w:val="lt-LT" w:eastAsia="en-US"/>
        </w:rPr>
        <w:t>ū</w:t>
      </w:r>
      <w:r w:rsidRPr="00997273">
        <w:rPr>
          <w:rFonts w:cs="Times New Roman"/>
          <w:sz w:val="22"/>
          <w:szCs w:val="22"/>
          <w:lang w:val="lt-LT" w:eastAsia="en-US"/>
        </w:rPr>
        <w:t xml:space="preserve">ti </w:t>
      </w:r>
      <w:proofErr w:type="spellStart"/>
      <w:r w:rsidRPr="00997273">
        <w:rPr>
          <w:rFonts w:cs="Times New Roman"/>
          <w:sz w:val="22"/>
          <w:szCs w:val="22"/>
          <w:lang w:val="lt-LT" w:eastAsia="en-US"/>
        </w:rPr>
        <w:t>p</w:t>
      </w:r>
      <w:r w:rsidRPr="00997273">
        <w:rPr>
          <w:rFonts w:cs="Times New Roman" w:hint="eastAsia"/>
          <w:sz w:val="22"/>
          <w:szCs w:val="22"/>
          <w:lang w:val="lt-LT" w:eastAsia="en-US"/>
        </w:rPr>
        <w:t>ū</w:t>
      </w:r>
      <w:r w:rsidRPr="00997273">
        <w:rPr>
          <w:rFonts w:cs="Times New Roman"/>
          <w:sz w:val="22"/>
          <w:szCs w:val="22"/>
          <w:lang w:val="lt-LT" w:eastAsia="en-US"/>
        </w:rPr>
        <w:t>sliniu</w:t>
      </w:r>
      <w:proofErr w:type="spellEnd"/>
      <w:r w:rsidRPr="00997273">
        <w:rPr>
          <w:rFonts w:cs="Times New Roman"/>
          <w:sz w:val="22"/>
          <w:szCs w:val="22"/>
          <w:lang w:val="lt-LT" w:eastAsia="en-US"/>
        </w:rPr>
        <w:t xml:space="preserve"> </w:t>
      </w:r>
      <w:proofErr w:type="spellStart"/>
      <w:r w:rsidRPr="00997273">
        <w:rPr>
          <w:rFonts w:cs="Times New Roman"/>
          <w:sz w:val="22"/>
          <w:szCs w:val="22"/>
          <w:lang w:val="lt-LT" w:eastAsia="en-US"/>
        </w:rPr>
        <w:t>pemfigoidu</w:t>
      </w:r>
      <w:proofErr w:type="spellEnd"/>
      <w:r w:rsidRPr="00997273">
        <w:rPr>
          <w:rFonts w:cs="Times New Roman"/>
          <w:sz w:val="22"/>
          <w:szCs w:val="22"/>
          <w:lang w:val="lt-LT" w:eastAsia="en-US"/>
        </w:rPr>
        <w:t xml:space="preserve"> vadinamos b</w:t>
      </w:r>
      <w:r w:rsidRPr="00997273">
        <w:rPr>
          <w:rFonts w:cs="Times New Roman" w:hint="eastAsia"/>
          <w:sz w:val="22"/>
          <w:szCs w:val="22"/>
          <w:lang w:val="lt-LT" w:eastAsia="en-US"/>
        </w:rPr>
        <w:t>ū</w:t>
      </w:r>
      <w:r w:rsidRPr="00997273">
        <w:rPr>
          <w:rFonts w:cs="Times New Roman"/>
          <w:sz w:val="22"/>
          <w:szCs w:val="22"/>
          <w:lang w:val="lt-LT" w:eastAsia="en-US"/>
        </w:rPr>
        <w:t>kl</w:t>
      </w:r>
      <w:r w:rsidRPr="00997273">
        <w:rPr>
          <w:rFonts w:cs="Times New Roman" w:hint="eastAsia"/>
          <w:sz w:val="22"/>
          <w:szCs w:val="22"/>
          <w:lang w:val="lt-LT" w:eastAsia="en-US"/>
        </w:rPr>
        <w:t>ė</w:t>
      </w:r>
      <w:r w:rsidRPr="00997273">
        <w:rPr>
          <w:rFonts w:cs="Times New Roman"/>
          <w:sz w:val="22"/>
          <w:szCs w:val="22"/>
          <w:lang w:val="lt-LT" w:eastAsia="en-US"/>
        </w:rPr>
        <w:t>s po</w:t>
      </w:r>
      <w:r w:rsidRPr="00997273">
        <w:rPr>
          <w:rFonts w:cs="Times New Roman" w:hint="eastAsia"/>
          <w:sz w:val="22"/>
          <w:szCs w:val="22"/>
          <w:lang w:val="lt-LT" w:eastAsia="en-US"/>
        </w:rPr>
        <w:t>ž</w:t>
      </w:r>
      <w:r w:rsidRPr="00997273">
        <w:rPr>
          <w:rFonts w:cs="Times New Roman"/>
          <w:sz w:val="22"/>
          <w:szCs w:val="22"/>
          <w:lang w:val="lt-LT" w:eastAsia="en-US"/>
        </w:rPr>
        <w:t xml:space="preserve">ymis. Gydytojas gali Jums nurodyti nutraukti </w:t>
      </w:r>
      <w:proofErr w:type="spellStart"/>
      <w:r w:rsidR="00AE2AD2">
        <w:rPr>
          <w:rFonts w:cs="Times New Roman"/>
          <w:sz w:val="22"/>
          <w:szCs w:val="22"/>
          <w:lang w:val="lt-LT" w:eastAsia="en-US"/>
        </w:rPr>
        <w:t>Meliglix</w:t>
      </w:r>
      <w:proofErr w:type="spellEnd"/>
      <w:r w:rsidRPr="00997273">
        <w:rPr>
          <w:rFonts w:cs="Times New Roman"/>
          <w:sz w:val="22"/>
          <w:szCs w:val="22"/>
          <w:lang w:val="lt-LT" w:eastAsia="en-US"/>
        </w:rPr>
        <w:t xml:space="preserve"> vartojim</w:t>
      </w:r>
      <w:r w:rsidRPr="00997273">
        <w:rPr>
          <w:rFonts w:cs="Times New Roman" w:hint="eastAsia"/>
          <w:sz w:val="22"/>
          <w:szCs w:val="22"/>
          <w:lang w:val="lt-LT" w:eastAsia="en-US"/>
        </w:rPr>
        <w:t>ą</w:t>
      </w:r>
      <w:r w:rsidRPr="00997273">
        <w:rPr>
          <w:rFonts w:cs="Times New Roman"/>
          <w:sz w:val="22"/>
          <w:szCs w:val="22"/>
          <w:lang w:val="lt-LT" w:eastAsia="en-US"/>
        </w:rPr>
        <w:t>.</w:t>
      </w:r>
    </w:p>
    <w:p w14:paraId="59FCA4D1" w14:textId="77777777" w:rsidR="001A3943" w:rsidRPr="00997273" w:rsidRDefault="001A3943" w:rsidP="001A3943">
      <w:pPr>
        <w:numPr>
          <w:ilvl w:val="12"/>
          <w:numId w:val="0"/>
        </w:numPr>
        <w:ind w:right="-2"/>
        <w:rPr>
          <w:rFonts w:cs="Times New Roman"/>
          <w:sz w:val="22"/>
          <w:szCs w:val="22"/>
          <w:lang w:val="lt-LT" w:eastAsia="en-US"/>
        </w:rPr>
      </w:pPr>
    </w:p>
    <w:p w14:paraId="6FE0B3C3" w14:textId="3D1BB565" w:rsidR="00767924" w:rsidRPr="00997273" w:rsidRDefault="00767924" w:rsidP="00767924">
      <w:pPr>
        <w:autoSpaceDE w:val="0"/>
        <w:autoSpaceDN w:val="0"/>
        <w:adjustRightInd w:val="0"/>
        <w:rPr>
          <w:rFonts w:cs="Times New Roman"/>
          <w:sz w:val="22"/>
          <w:szCs w:val="22"/>
          <w:lang w:val="lt-LT" w:eastAsia="en-US"/>
        </w:rPr>
      </w:pPr>
      <w:r w:rsidRPr="00997273">
        <w:rPr>
          <w:rFonts w:cs="Times New Roman"/>
          <w:sz w:val="22"/>
          <w:szCs w:val="22"/>
          <w:lang w:val="lt-LT" w:eastAsia="en-US"/>
        </w:rPr>
        <w:t>Pasakykite savo gydytojui, jeigu J</w:t>
      </w:r>
      <w:r w:rsidR="00523187">
        <w:rPr>
          <w:rFonts w:cs="Times New Roman"/>
          <w:sz w:val="22"/>
          <w:szCs w:val="22"/>
          <w:lang w:val="lt-LT" w:eastAsia="en-US"/>
        </w:rPr>
        <w:t>ums buvo ar</w:t>
      </w:r>
      <w:r w:rsidR="000255E3">
        <w:rPr>
          <w:rFonts w:cs="Times New Roman"/>
          <w:sz w:val="22"/>
          <w:szCs w:val="22"/>
          <w:lang w:val="lt-LT" w:eastAsia="en-US"/>
        </w:rPr>
        <w:t xml:space="preserve"> yra</w:t>
      </w:r>
      <w:r w:rsidRPr="00997273">
        <w:rPr>
          <w:rFonts w:cs="Times New Roman"/>
          <w:sz w:val="22"/>
          <w:szCs w:val="22"/>
          <w:lang w:val="lt-LT" w:eastAsia="en-US"/>
        </w:rPr>
        <w:t>:</w:t>
      </w:r>
    </w:p>
    <w:p w14:paraId="1A5D2B71" w14:textId="7B03EC30" w:rsidR="00767924" w:rsidRPr="00997273" w:rsidRDefault="00767924" w:rsidP="00767924">
      <w:pPr>
        <w:pStyle w:val="BT-EMEASMCA"/>
        <w:ind w:left="567" w:hanging="567"/>
        <w:rPr>
          <w:rFonts w:cs="Times New Roman"/>
          <w:sz w:val="22"/>
          <w:szCs w:val="22"/>
          <w:lang w:val="lt-LT" w:eastAsia="en-US"/>
        </w:rPr>
      </w:pPr>
      <w:r w:rsidRPr="00997273">
        <w:rPr>
          <w:rFonts w:cs="Times New Roman"/>
          <w:sz w:val="22"/>
          <w:szCs w:val="22"/>
          <w:lang w:val="lt-LT" w:eastAsia="en-US"/>
        </w:rPr>
        <w:t>kasos liga (pavyzdžiui, pankreatit</w:t>
      </w:r>
      <w:r w:rsidR="000255E3">
        <w:rPr>
          <w:rFonts w:cs="Times New Roman"/>
          <w:sz w:val="22"/>
          <w:szCs w:val="22"/>
          <w:lang w:val="lt-LT" w:eastAsia="en-US"/>
        </w:rPr>
        <w:t>as</w:t>
      </w:r>
      <w:r w:rsidRPr="00997273">
        <w:rPr>
          <w:rFonts w:cs="Times New Roman"/>
          <w:sz w:val="22"/>
          <w:szCs w:val="22"/>
          <w:lang w:val="lt-LT" w:eastAsia="en-US"/>
        </w:rPr>
        <w:t>);</w:t>
      </w:r>
    </w:p>
    <w:p w14:paraId="03583B3D" w14:textId="1B7FF591" w:rsidR="00767924" w:rsidRPr="00997273" w:rsidRDefault="00767924" w:rsidP="00767924">
      <w:pPr>
        <w:pStyle w:val="BT-EMEASMCA"/>
        <w:ind w:left="567" w:hanging="567"/>
        <w:rPr>
          <w:rFonts w:cs="Times New Roman"/>
          <w:sz w:val="22"/>
          <w:szCs w:val="22"/>
          <w:lang w:val="lt-LT" w:eastAsia="en-US"/>
        </w:rPr>
      </w:pPr>
      <w:r w:rsidRPr="00997273">
        <w:rPr>
          <w:rFonts w:cs="Times New Roman"/>
          <w:sz w:val="22"/>
          <w:szCs w:val="22"/>
          <w:lang w:val="lt-LT" w:eastAsia="en-US"/>
        </w:rPr>
        <w:t>tulžies akme</w:t>
      </w:r>
      <w:r w:rsidR="000255E3">
        <w:rPr>
          <w:rFonts w:cs="Times New Roman"/>
          <w:sz w:val="22"/>
          <w:szCs w:val="22"/>
          <w:lang w:val="lt-LT" w:eastAsia="en-US"/>
        </w:rPr>
        <w:t>nų</w:t>
      </w:r>
      <w:r w:rsidRPr="00997273">
        <w:rPr>
          <w:rFonts w:cs="Times New Roman"/>
          <w:sz w:val="22"/>
          <w:szCs w:val="22"/>
          <w:lang w:val="lt-LT" w:eastAsia="en-US"/>
        </w:rPr>
        <w:t>, priklausomyb</w:t>
      </w:r>
      <w:r w:rsidR="000255E3">
        <w:rPr>
          <w:rFonts w:cs="Times New Roman"/>
          <w:sz w:val="22"/>
          <w:szCs w:val="22"/>
          <w:lang w:val="lt-LT" w:eastAsia="en-US"/>
        </w:rPr>
        <w:t>ė</w:t>
      </w:r>
      <w:r w:rsidRPr="00997273">
        <w:rPr>
          <w:rFonts w:cs="Times New Roman"/>
          <w:sz w:val="22"/>
          <w:szCs w:val="22"/>
          <w:lang w:val="lt-LT" w:eastAsia="en-US"/>
        </w:rPr>
        <w:t xml:space="preserve"> nuo alkoholio ar labai </w:t>
      </w:r>
      <w:r w:rsidR="000255E3">
        <w:rPr>
          <w:rFonts w:cs="Times New Roman"/>
          <w:sz w:val="22"/>
          <w:szCs w:val="22"/>
          <w:lang w:val="lt-LT" w:eastAsia="en-US"/>
        </w:rPr>
        <w:t>didelis</w:t>
      </w:r>
      <w:r w:rsidRPr="00997273">
        <w:rPr>
          <w:rFonts w:cs="Times New Roman"/>
          <w:sz w:val="22"/>
          <w:szCs w:val="22"/>
          <w:lang w:val="lt-LT" w:eastAsia="en-US"/>
        </w:rPr>
        <w:t xml:space="preserve"> trigliceridų (tam tikros rūšies</w:t>
      </w:r>
      <w:r w:rsidR="002F5E23" w:rsidRPr="00997273">
        <w:rPr>
          <w:rFonts w:cs="Times New Roman"/>
          <w:sz w:val="22"/>
          <w:szCs w:val="22"/>
          <w:lang w:val="lt-LT" w:eastAsia="en-US"/>
        </w:rPr>
        <w:t xml:space="preserve"> </w:t>
      </w:r>
      <w:r w:rsidRPr="00997273">
        <w:rPr>
          <w:rFonts w:cs="Times New Roman"/>
          <w:sz w:val="22"/>
          <w:szCs w:val="22"/>
          <w:lang w:val="lt-LT" w:eastAsia="en-US"/>
        </w:rPr>
        <w:t xml:space="preserve">riebalų) </w:t>
      </w:r>
      <w:r w:rsidR="000255E3">
        <w:rPr>
          <w:rFonts w:cs="Times New Roman"/>
          <w:sz w:val="22"/>
          <w:szCs w:val="22"/>
          <w:lang w:val="lt-LT" w:eastAsia="en-US"/>
        </w:rPr>
        <w:t xml:space="preserve">kiekis </w:t>
      </w:r>
      <w:r w:rsidRPr="00997273">
        <w:rPr>
          <w:rFonts w:cs="Times New Roman"/>
          <w:sz w:val="22"/>
          <w:szCs w:val="22"/>
          <w:lang w:val="lt-LT" w:eastAsia="en-US"/>
        </w:rPr>
        <w:t>kraujyje. Ši</w:t>
      </w:r>
      <w:r w:rsidR="000255E3">
        <w:rPr>
          <w:rFonts w:cs="Times New Roman"/>
          <w:sz w:val="22"/>
          <w:szCs w:val="22"/>
          <w:lang w:val="lt-LT" w:eastAsia="en-US"/>
        </w:rPr>
        <w:t>e sutrikimai</w:t>
      </w:r>
      <w:r w:rsidRPr="00997273">
        <w:rPr>
          <w:rFonts w:cs="Times New Roman"/>
          <w:sz w:val="22"/>
          <w:szCs w:val="22"/>
          <w:lang w:val="lt-LT" w:eastAsia="en-US"/>
        </w:rPr>
        <w:t xml:space="preserve"> gali padidinti tikimybę susirgti pankreatitu (ž</w:t>
      </w:r>
      <w:r w:rsidR="00CA3FCD">
        <w:rPr>
          <w:rFonts w:cs="Times New Roman"/>
          <w:sz w:val="22"/>
          <w:szCs w:val="22"/>
          <w:lang w:val="lt-LT" w:eastAsia="en-US"/>
        </w:rPr>
        <w:t>r.</w:t>
      </w:r>
      <w:r w:rsidRPr="00997273">
        <w:rPr>
          <w:rFonts w:cs="Times New Roman"/>
          <w:sz w:val="22"/>
          <w:szCs w:val="22"/>
          <w:lang w:val="lt-LT" w:eastAsia="en-US"/>
        </w:rPr>
        <w:t xml:space="preserve"> 4 skyrių);</w:t>
      </w:r>
    </w:p>
    <w:p w14:paraId="6AE53493" w14:textId="79773B3B" w:rsidR="00767924" w:rsidRPr="00997273" w:rsidRDefault="00CA3FCD" w:rsidP="00767924">
      <w:pPr>
        <w:pStyle w:val="BT-EMEASMCA"/>
        <w:ind w:left="567" w:hanging="567"/>
        <w:rPr>
          <w:rFonts w:cs="Times New Roman"/>
          <w:sz w:val="22"/>
          <w:szCs w:val="22"/>
          <w:lang w:val="lt-LT" w:eastAsia="en-US"/>
        </w:rPr>
      </w:pPr>
      <w:r>
        <w:rPr>
          <w:rFonts w:cs="Times New Roman"/>
          <w:sz w:val="22"/>
          <w:szCs w:val="22"/>
          <w:lang w:val="lt-LT" w:eastAsia="en-US"/>
        </w:rPr>
        <w:t>1 </w:t>
      </w:r>
      <w:r w:rsidR="00767924" w:rsidRPr="00997273">
        <w:rPr>
          <w:rFonts w:cs="Times New Roman"/>
          <w:sz w:val="22"/>
          <w:szCs w:val="22"/>
          <w:lang w:val="lt-LT" w:eastAsia="en-US"/>
        </w:rPr>
        <w:t>tipo cukrini</w:t>
      </w:r>
      <w:r>
        <w:rPr>
          <w:rFonts w:cs="Times New Roman"/>
          <w:sz w:val="22"/>
          <w:szCs w:val="22"/>
          <w:lang w:val="lt-LT" w:eastAsia="en-US"/>
        </w:rPr>
        <w:t>s</w:t>
      </w:r>
      <w:r w:rsidR="00767924" w:rsidRPr="00997273">
        <w:rPr>
          <w:rFonts w:cs="Times New Roman"/>
          <w:sz w:val="22"/>
          <w:szCs w:val="22"/>
          <w:lang w:val="lt-LT" w:eastAsia="en-US"/>
        </w:rPr>
        <w:t xml:space="preserve"> diabet</w:t>
      </w:r>
      <w:r>
        <w:rPr>
          <w:rFonts w:cs="Times New Roman"/>
          <w:sz w:val="22"/>
          <w:szCs w:val="22"/>
          <w:lang w:val="lt-LT" w:eastAsia="en-US"/>
        </w:rPr>
        <w:t>as</w:t>
      </w:r>
      <w:r w:rsidR="00767924" w:rsidRPr="00997273">
        <w:rPr>
          <w:rFonts w:cs="Times New Roman"/>
          <w:sz w:val="22"/>
          <w:szCs w:val="22"/>
          <w:lang w:val="lt-LT" w:eastAsia="en-US"/>
        </w:rPr>
        <w:t>;</w:t>
      </w:r>
    </w:p>
    <w:p w14:paraId="761EEC0D" w14:textId="6ABE0BF1" w:rsidR="00767924" w:rsidRPr="00997273" w:rsidRDefault="00767924" w:rsidP="0024775B">
      <w:pPr>
        <w:pStyle w:val="BT-EMEASMCA"/>
        <w:ind w:left="567" w:hanging="567"/>
        <w:rPr>
          <w:rFonts w:cs="Times New Roman"/>
          <w:sz w:val="22"/>
          <w:szCs w:val="22"/>
          <w:lang w:val="lt-LT" w:eastAsia="en-US"/>
        </w:rPr>
      </w:pPr>
      <w:r w:rsidRPr="00997273">
        <w:rPr>
          <w:rFonts w:cs="Times New Roman"/>
          <w:sz w:val="22"/>
          <w:szCs w:val="22"/>
          <w:lang w:val="lt-LT" w:eastAsia="en-US"/>
        </w:rPr>
        <w:t>diabetin</w:t>
      </w:r>
      <w:r w:rsidR="00CA3FCD">
        <w:rPr>
          <w:rFonts w:cs="Times New Roman"/>
          <w:sz w:val="22"/>
          <w:szCs w:val="22"/>
          <w:lang w:val="lt-LT" w:eastAsia="en-US"/>
        </w:rPr>
        <w:t>ė</w:t>
      </w:r>
      <w:r w:rsidRPr="00997273">
        <w:rPr>
          <w:rFonts w:cs="Times New Roman"/>
          <w:sz w:val="22"/>
          <w:szCs w:val="22"/>
          <w:lang w:val="lt-LT" w:eastAsia="en-US"/>
        </w:rPr>
        <w:t xml:space="preserve"> </w:t>
      </w:r>
      <w:proofErr w:type="spellStart"/>
      <w:r w:rsidRPr="00997273">
        <w:rPr>
          <w:rFonts w:cs="Times New Roman"/>
          <w:sz w:val="22"/>
          <w:szCs w:val="22"/>
          <w:lang w:val="lt-LT" w:eastAsia="en-US"/>
        </w:rPr>
        <w:t>ketoacidoz</w:t>
      </w:r>
      <w:r w:rsidR="00CA3FCD">
        <w:rPr>
          <w:rFonts w:cs="Times New Roman"/>
          <w:sz w:val="22"/>
          <w:szCs w:val="22"/>
          <w:lang w:val="lt-LT" w:eastAsia="en-US"/>
        </w:rPr>
        <w:t>ė</w:t>
      </w:r>
      <w:proofErr w:type="spellEnd"/>
      <w:r w:rsidRPr="00997273">
        <w:rPr>
          <w:rFonts w:cs="Times New Roman"/>
          <w:sz w:val="22"/>
          <w:szCs w:val="22"/>
          <w:lang w:val="lt-LT" w:eastAsia="en-US"/>
        </w:rPr>
        <w:t xml:space="preserve"> (</w:t>
      </w:r>
      <w:r w:rsidR="00CA3FCD">
        <w:rPr>
          <w:rFonts w:cs="Times New Roman"/>
          <w:sz w:val="22"/>
          <w:szCs w:val="22"/>
          <w:lang w:val="lt-LT" w:eastAsia="en-US"/>
        </w:rPr>
        <w:t xml:space="preserve">cukrinio </w:t>
      </w:r>
      <w:r w:rsidRPr="00997273">
        <w:rPr>
          <w:rFonts w:cs="Times New Roman"/>
          <w:sz w:val="22"/>
          <w:szCs w:val="22"/>
          <w:lang w:val="lt-LT" w:eastAsia="en-US"/>
        </w:rPr>
        <w:t>diabeto komplikacija, kuomet labai padidėja cukraus kiekis kraujyje,</w:t>
      </w:r>
      <w:r w:rsidR="002F5E23" w:rsidRPr="00997273">
        <w:rPr>
          <w:rFonts w:cs="Times New Roman"/>
          <w:sz w:val="22"/>
          <w:szCs w:val="22"/>
          <w:lang w:val="lt-LT" w:eastAsia="en-US"/>
        </w:rPr>
        <w:t xml:space="preserve"> </w:t>
      </w:r>
      <w:r w:rsidRPr="00997273">
        <w:rPr>
          <w:rFonts w:cs="Times New Roman"/>
          <w:sz w:val="22"/>
          <w:szCs w:val="22"/>
          <w:lang w:val="lt-LT" w:eastAsia="en-US"/>
        </w:rPr>
        <w:t xml:space="preserve">greitai krenta kūno svoris, </w:t>
      </w:r>
      <w:r w:rsidR="00CA3FCD">
        <w:rPr>
          <w:rFonts w:cs="Times New Roman"/>
          <w:sz w:val="22"/>
          <w:szCs w:val="22"/>
          <w:lang w:val="lt-LT" w:eastAsia="en-US"/>
        </w:rPr>
        <w:t>pasireiškia</w:t>
      </w:r>
      <w:r w:rsidRPr="00997273">
        <w:rPr>
          <w:rFonts w:cs="Times New Roman"/>
          <w:sz w:val="22"/>
          <w:szCs w:val="22"/>
          <w:lang w:val="lt-LT" w:eastAsia="en-US"/>
        </w:rPr>
        <w:t xml:space="preserve"> pykinimas arba vėmimas);</w:t>
      </w:r>
    </w:p>
    <w:p w14:paraId="1B52AA48" w14:textId="7B886713" w:rsidR="00767924" w:rsidRPr="00997273" w:rsidRDefault="00767924" w:rsidP="00767924">
      <w:pPr>
        <w:pStyle w:val="BT-EMEASMCA"/>
        <w:ind w:left="567" w:hanging="567"/>
        <w:rPr>
          <w:rFonts w:cs="Times New Roman"/>
          <w:sz w:val="22"/>
          <w:szCs w:val="22"/>
          <w:lang w:val="lt-LT" w:eastAsia="en-US"/>
        </w:rPr>
      </w:pPr>
      <w:r w:rsidRPr="00997273">
        <w:rPr>
          <w:rFonts w:cs="Times New Roman"/>
          <w:sz w:val="22"/>
          <w:szCs w:val="22"/>
          <w:lang w:val="lt-LT" w:eastAsia="en-US"/>
        </w:rPr>
        <w:t xml:space="preserve">bet koks </w:t>
      </w:r>
      <w:r w:rsidR="00F56461">
        <w:rPr>
          <w:rFonts w:cs="Times New Roman"/>
          <w:sz w:val="22"/>
          <w:szCs w:val="22"/>
          <w:lang w:val="lt-LT" w:eastAsia="en-US"/>
        </w:rPr>
        <w:t xml:space="preserve">ankstesnis ar dabartinis </w:t>
      </w:r>
      <w:r w:rsidR="00972BA0">
        <w:rPr>
          <w:rFonts w:cs="Times New Roman"/>
          <w:sz w:val="22"/>
          <w:szCs w:val="22"/>
          <w:lang w:val="lt-LT" w:eastAsia="en-US"/>
        </w:rPr>
        <w:t xml:space="preserve">inkstų </w:t>
      </w:r>
      <w:r w:rsidR="00D90939">
        <w:rPr>
          <w:rFonts w:cs="Times New Roman"/>
          <w:sz w:val="22"/>
          <w:szCs w:val="22"/>
          <w:lang w:val="lt-LT" w:eastAsia="en-US"/>
        </w:rPr>
        <w:t xml:space="preserve">funkcijos </w:t>
      </w:r>
      <w:r w:rsidR="00972BA0">
        <w:rPr>
          <w:rFonts w:cs="Times New Roman"/>
          <w:sz w:val="22"/>
          <w:szCs w:val="22"/>
          <w:lang w:val="lt-LT" w:eastAsia="en-US"/>
        </w:rPr>
        <w:t>sutrikimas</w:t>
      </w:r>
      <w:r w:rsidRPr="00997273">
        <w:rPr>
          <w:rFonts w:cs="Times New Roman"/>
          <w:sz w:val="22"/>
          <w:szCs w:val="22"/>
          <w:lang w:val="lt-LT" w:eastAsia="en-US"/>
        </w:rPr>
        <w:t>;</w:t>
      </w:r>
    </w:p>
    <w:p w14:paraId="4D5B53DD" w14:textId="03489BB2" w:rsidR="00767924" w:rsidRPr="00997273" w:rsidRDefault="00767924" w:rsidP="00767924">
      <w:pPr>
        <w:pStyle w:val="BT-EMEASMCA"/>
        <w:ind w:left="567" w:hanging="567"/>
        <w:rPr>
          <w:rFonts w:cs="Times New Roman"/>
          <w:sz w:val="22"/>
          <w:szCs w:val="22"/>
          <w:lang w:val="lt-LT" w:eastAsia="en-US"/>
        </w:rPr>
      </w:pPr>
      <w:r w:rsidRPr="00997273">
        <w:rPr>
          <w:rFonts w:cs="Times New Roman"/>
          <w:sz w:val="22"/>
          <w:szCs w:val="22"/>
          <w:lang w:val="lt-LT" w:eastAsia="en-US"/>
        </w:rPr>
        <w:t xml:space="preserve">alerginė reakcija į </w:t>
      </w:r>
      <w:proofErr w:type="spellStart"/>
      <w:r w:rsidR="00AE2AD2">
        <w:rPr>
          <w:rFonts w:cs="Times New Roman"/>
          <w:sz w:val="22"/>
          <w:szCs w:val="22"/>
          <w:lang w:val="lt-LT" w:eastAsia="en-US"/>
        </w:rPr>
        <w:t>Meliglix</w:t>
      </w:r>
      <w:proofErr w:type="spellEnd"/>
      <w:r w:rsidRPr="00997273">
        <w:rPr>
          <w:rFonts w:cs="Times New Roman"/>
          <w:sz w:val="22"/>
          <w:szCs w:val="22"/>
          <w:lang w:val="lt-LT" w:eastAsia="en-US"/>
        </w:rPr>
        <w:t xml:space="preserve"> (žr. 4</w:t>
      </w:r>
      <w:r w:rsidR="00A5618A">
        <w:rPr>
          <w:rFonts w:cs="Times New Roman"/>
          <w:sz w:val="22"/>
          <w:szCs w:val="22"/>
          <w:lang w:val="lt-LT" w:eastAsia="en-US"/>
        </w:rPr>
        <w:t> </w:t>
      </w:r>
      <w:r w:rsidRPr="00997273">
        <w:rPr>
          <w:rFonts w:cs="Times New Roman"/>
          <w:sz w:val="22"/>
          <w:szCs w:val="22"/>
          <w:lang w:val="lt-LT" w:eastAsia="en-US"/>
        </w:rPr>
        <w:t>skyrių).</w:t>
      </w:r>
    </w:p>
    <w:p w14:paraId="43AD189B" w14:textId="77777777" w:rsidR="00767924" w:rsidRPr="00997273" w:rsidRDefault="00767924" w:rsidP="00767924">
      <w:pPr>
        <w:autoSpaceDE w:val="0"/>
        <w:autoSpaceDN w:val="0"/>
        <w:adjustRightInd w:val="0"/>
        <w:rPr>
          <w:rFonts w:cs="Times New Roman"/>
          <w:sz w:val="22"/>
          <w:szCs w:val="22"/>
          <w:lang w:val="lt-LT" w:eastAsia="en-US"/>
        </w:rPr>
      </w:pPr>
    </w:p>
    <w:p w14:paraId="6295CB8C" w14:textId="558CFBB5" w:rsidR="00767924" w:rsidRPr="00997273" w:rsidRDefault="00767924" w:rsidP="00767924">
      <w:pPr>
        <w:autoSpaceDE w:val="0"/>
        <w:autoSpaceDN w:val="0"/>
        <w:adjustRightInd w:val="0"/>
        <w:rPr>
          <w:rFonts w:eastAsia="Times New Roman" w:cs="Times New Roman"/>
          <w:noProof/>
          <w:sz w:val="22"/>
          <w:szCs w:val="22"/>
          <w:lang w:val="lt-LT" w:eastAsia="lt-LT" w:bidi="lt-LT"/>
        </w:rPr>
      </w:pPr>
      <w:r w:rsidRPr="00997273">
        <w:rPr>
          <w:rFonts w:cs="Times New Roman"/>
          <w:sz w:val="22"/>
          <w:szCs w:val="22"/>
          <w:lang w:val="lt-LT" w:eastAsia="en-US"/>
        </w:rPr>
        <w:t xml:space="preserve">Nėra tikėtina, kad šis vaistas pernelyg sumažintų cukraus kiekį kraujyje, nes jis neveikia, </w:t>
      </w:r>
      <w:r w:rsidR="00EA12BD">
        <w:rPr>
          <w:rFonts w:cs="Times New Roman"/>
          <w:sz w:val="22"/>
          <w:szCs w:val="22"/>
          <w:lang w:val="lt-LT" w:eastAsia="en-US"/>
        </w:rPr>
        <w:t>jeigu</w:t>
      </w:r>
      <w:r w:rsidR="002F5E23" w:rsidRPr="00997273">
        <w:rPr>
          <w:rFonts w:cs="Times New Roman"/>
          <w:sz w:val="22"/>
          <w:szCs w:val="22"/>
          <w:lang w:val="lt-LT" w:eastAsia="en-US"/>
        </w:rPr>
        <w:t xml:space="preserve"> </w:t>
      </w:r>
      <w:r w:rsidRPr="00997273">
        <w:rPr>
          <w:rFonts w:cs="Times New Roman"/>
          <w:sz w:val="22"/>
          <w:szCs w:val="22"/>
          <w:lang w:val="lt-LT" w:eastAsia="en-US"/>
        </w:rPr>
        <w:t>cukraus kraujyje yra mažai. Vis dėlto, jeigu š</w:t>
      </w:r>
      <w:r w:rsidR="00EA12BD">
        <w:rPr>
          <w:rFonts w:cs="Times New Roman"/>
          <w:sz w:val="22"/>
          <w:szCs w:val="22"/>
          <w:lang w:val="lt-LT" w:eastAsia="en-US"/>
        </w:rPr>
        <w:t>io</w:t>
      </w:r>
      <w:r w:rsidRPr="00997273">
        <w:rPr>
          <w:rFonts w:cs="Times New Roman"/>
          <w:sz w:val="22"/>
          <w:szCs w:val="22"/>
          <w:lang w:val="lt-LT" w:eastAsia="en-US"/>
        </w:rPr>
        <w:t xml:space="preserve"> vaist</w:t>
      </w:r>
      <w:r w:rsidR="00EA12BD">
        <w:rPr>
          <w:rFonts w:cs="Times New Roman"/>
          <w:sz w:val="22"/>
          <w:szCs w:val="22"/>
          <w:lang w:val="lt-LT" w:eastAsia="en-US"/>
        </w:rPr>
        <w:t>o</w:t>
      </w:r>
      <w:r w:rsidRPr="00997273">
        <w:rPr>
          <w:rFonts w:cs="Times New Roman"/>
          <w:sz w:val="22"/>
          <w:szCs w:val="22"/>
          <w:lang w:val="lt-LT" w:eastAsia="en-US"/>
        </w:rPr>
        <w:t xml:space="preserve"> vartojate kartu su </w:t>
      </w:r>
      <w:proofErr w:type="spellStart"/>
      <w:r w:rsidRPr="00997273">
        <w:rPr>
          <w:rFonts w:cs="Times New Roman"/>
          <w:sz w:val="22"/>
          <w:szCs w:val="22"/>
          <w:lang w:val="lt-LT" w:eastAsia="en-US"/>
        </w:rPr>
        <w:t>sulfonilurėjos</w:t>
      </w:r>
      <w:proofErr w:type="spellEnd"/>
      <w:r w:rsidRPr="00997273">
        <w:rPr>
          <w:rFonts w:cs="Times New Roman"/>
          <w:sz w:val="22"/>
          <w:szCs w:val="22"/>
          <w:lang w:val="lt-LT" w:eastAsia="en-US"/>
        </w:rPr>
        <w:t xml:space="preserve"> dariniu arba</w:t>
      </w:r>
      <w:r w:rsidR="002F5E23" w:rsidRPr="00997273">
        <w:rPr>
          <w:rFonts w:cs="Times New Roman"/>
          <w:sz w:val="22"/>
          <w:szCs w:val="22"/>
          <w:lang w:val="lt-LT" w:eastAsia="en-US"/>
        </w:rPr>
        <w:t xml:space="preserve"> </w:t>
      </w:r>
      <w:r w:rsidRPr="00997273">
        <w:rPr>
          <w:rFonts w:cs="Times New Roman"/>
          <w:sz w:val="22"/>
          <w:szCs w:val="22"/>
          <w:lang w:val="lt-LT" w:eastAsia="en-US"/>
        </w:rPr>
        <w:t xml:space="preserve">insulinu, gali per daug sumažėti cukraus kiekis kraujyje (pasireikšti hipoglikemija). Jūsų gydytojas gali sumažinti vartojamo </w:t>
      </w:r>
      <w:proofErr w:type="spellStart"/>
      <w:r w:rsidRPr="00997273">
        <w:rPr>
          <w:rFonts w:cs="Times New Roman"/>
          <w:sz w:val="22"/>
          <w:szCs w:val="22"/>
          <w:lang w:val="lt-LT" w:eastAsia="en-US"/>
        </w:rPr>
        <w:t>sulfonilurėjos</w:t>
      </w:r>
      <w:proofErr w:type="spellEnd"/>
      <w:r w:rsidRPr="00997273">
        <w:rPr>
          <w:rFonts w:cs="Times New Roman"/>
          <w:sz w:val="22"/>
          <w:szCs w:val="22"/>
          <w:lang w:val="lt-LT" w:eastAsia="en-US"/>
        </w:rPr>
        <w:t xml:space="preserve"> darinio arba insulino dozę.</w:t>
      </w:r>
    </w:p>
    <w:p w14:paraId="27AEA083" w14:textId="77777777" w:rsidR="00767924" w:rsidRPr="00997273" w:rsidRDefault="00767924" w:rsidP="00612A8E">
      <w:pPr>
        <w:keepNext/>
        <w:numPr>
          <w:ilvl w:val="12"/>
          <w:numId w:val="0"/>
        </w:numPr>
        <w:rPr>
          <w:rFonts w:eastAsia="Times New Roman" w:cs="Times New Roman"/>
          <w:b/>
          <w:noProof/>
          <w:sz w:val="22"/>
          <w:szCs w:val="22"/>
          <w:lang w:val="lt-LT" w:eastAsia="lt-LT" w:bidi="lt-LT"/>
        </w:rPr>
      </w:pPr>
    </w:p>
    <w:p w14:paraId="71509595" w14:textId="77777777" w:rsidR="00612A8E" w:rsidRPr="00997273" w:rsidRDefault="00612A8E" w:rsidP="00612A8E">
      <w:pPr>
        <w:keepNext/>
        <w:numPr>
          <w:ilvl w:val="12"/>
          <w:numId w:val="0"/>
        </w:numPr>
        <w:rPr>
          <w:rFonts w:eastAsia="Times New Roman" w:cs="Times New Roman"/>
          <w:b/>
          <w:bCs/>
          <w:noProof/>
          <w:sz w:val="22"/>
          <w:szCs w:val="22"/>
          <w:lang w:val="lt-LT" w:eastAsia="lt-LT" w:bidi="lt-LT"/>
        </w:rPr>
      </w:pPr>
      <w:r w:rsidRPr="00997273">
        <w:rPr>
          <w:rFonts w:eastAsia="Times New Roman" w:cs="Times New Roman"/>
          <w:b/>
          <w:noProof/>
          <w:sz w:val="22"/>
          <w:szCs w:val="22"/>
          <w:lang w:val="lt-LT" w:eastAsia="lt-LT" w:bidi="lt-LT"/>
        </w:rPr>
        <w:t>Vaikam</w:t>
      </w:r>
      <w:r w:rsidR="00767924" w:rsidRPr="00997273">
        <w:rPr>
          <w:rFonts w:eastAsia="Times New Roman" w:cs="Times New Roman"/>
          <w:b/>
          <w:noProof/>
          <w:sz w:val="22"/>
          <w:szCs w:val="22"/>
          <w:lang w:val="lt-LT" w:eastAsia="lt-LT" w:bidi="lt-LT"/>
        </w:rPr>
        <w:t>s ir paaugliams</w:t>
      </w:r>
    </w:p>
    <w:p w14:paraId="3B8766B9" w14:textId="1AA72B62" w:rsidR="002F5E23" w:rsidRPr="00997273" w:rsidRDefault="00AF5115" w:rsidP="001A3943">
      <w:pPr>
        <w:autoSpaceDE w:val="0"/>
        <w:autoSpaceDN w:val="0"/>
        <w:adjustRightInd w:val="0"/>
        <w:rPr>
          <w:rFonts w:eastAsia="Times New Roman" w:cs="Times New Roman"/>
          <w:b/>
          <w:sz w:val="22"/>
          <w:szCs w:val="22"/>
          <w:lang w:val="lt-LT" w:eastAsia="lt-LT" w:bidi="lt-LT"/>
        </w:rPr>
      </w:pPr>
      <w:r>
        <w:rPr>
          <w:rFonts w:cs="Times New Roman"/>
          <w:sz w:val="22"/>
          <w:szCs w:val="22"/>
          <w:lang w:val="lt-LT" w:eastAsia="en-US"/>
        </w:rPr>
        <w:t>Vaikai ir j</w:t>
      </w:r>
      <w:r w:rsidR="002F5E23" w:rsidRPr="00997273">
        <w:rPr>
          <w:rFonts w:cs="Times New Roman"/>
          <w:sz w:val="22"/>
          <w:szCs w:val="22"/>
          <w:lang w:val="lt-LT" w:eastAsia="en-US"/>
        </w:rPr>
        <w:t>aunesni kaip 18</w:t>
      </w:r>
      <w:r w:rsidR="00A5618A">
        <w:rPr>
          <w:rFonts w:cs="Times New Roman"/>
          <w:sz w:val="22"/>
          <w:szCs w:val="22"/>
          <w:lang w:val="lt-LT" w:eastAsia="en-US"/>
        </w:rPr>
        <w:t> </w:t>
      </w:r>
      <w:r w:rsidR="002F5E23" w:rsidRPr="00997273">
        <w:rPr>
          <w:rFonts w:cs="Times New Roman"/>
          <w:sz w:val="22"/>
          <w:szCs w:val="22"/>
          <w:lang w:val="lt-LT" w:eastAsia="en-US"/>
        </w:rPr>
        <w:t>metų paauglia</w:t>
      </w:r>
      <w:r>
        <w:rPr>
          <w:rFonts w:cs="Times New Roman"/>
          <w:sz w:val="22"/>
          <w:szCs w:val="22"/>
          <w:lang w:val="lt-LT" w:eastAsia="en-US"/>
        </w:rPr>
        <w:t>i</w:t>
      </w:r>
      <w:r w:rsidR="002F5E23" w:rsidRPr="00997273">
        <w:rPr>
          <w:rFonts w:cs="Times New Roman"/>
          <w:sz w:val="22"/>
          <w:szCs w:val="22"/>
          <w:lang w:val="lt-LT" w:eastAsia="en-US"/>
        </w:rPr>
        <w:t xml:space="preserve"> šio vaisto </w:t>
      </w:r>
      <w:r>
        <w:rPr>
          <w:rFonts w:cs="Times New Roman"/>
          <w:sz w:val="22"/>
          <w:szCs w:val="22"/>
          <w:lang w:val="lt-LT" w:eastAsia="en-US"/>
        </w:rPr>
        <w:t>turi nevartoti</w:t>
      </w:r>
      <w:r w:rsidR="002F5E23" w:rsidRPr="00997273">
        <w:rPr>
          <w:rFonts w:cs="Times New Roman"/>
          <w:sz w:val="22"/>
          <w:szCs w:val="22"/>
          <w:lang w:val="lt-LT" w:eastAsia="en-US"/>
        </w:rPr>
        <w:t xml:space="preserve">. </w:t>
      </w:r>
      <w:r>
        <w:rPr>
          <w:rFonts w:cs="Times New Roman"/>
          <w:sz w:val="22"/>
          <w:szCs w:val="22"/>
          <w:lang w:val="lt-LT" w:eastAsia="en-US"/>
        </w:rPr>
        <w:t>Jis nėra</w:t>
      </w:r>
      <w:r w:rsidR="001A3943" w:rsidRPr="00997273">
        <w:rPr>
          <w:rFonts w:cs="Times New Roman"/>
          <w:sz w:val="22"/>
          <w:szCs w:val="22"/>
          <w:lang w:val="lt-LT" w:eastAsia="en-US"/>
        </w:rPr>
        <w:t xml:space="preserve"> veiksmingas vaik</w:t>
      </w:r>
      <w:r>
        <w:rPr>
          <w:rFonts w:cs="Times New Roman"/>
          <w:sz w:val="22"/>
          <w:szCs w:val="22"/>
          <w:lang w:val="lt-LT" w:eastAsia="en-US"/>
        </w:rPr>
        <w:t>ams</w:t>
      </w:r>
      <w:r w:rsidR="001A3943" w:rsidRPr="00997273">
        <w:rPr>
          <w:rFonts w:cs="Times New Roman"/>
          <w:sz w:val="22"/>
          <w:szCs w:val="22"/>
          <w:lang w:val="lt-LT" w:eastAsia="en-US"/>
        </w:rPr>
        <w:t xml:space="preserve"> ir nuo 10</w:t>
      </w:r>
      <w:r w:rsidR="00A5618A">
        <w:rPr>
          <w:rFonts w:cs="Times New Roman"/>
          <w:sz w:val="22"/>
          <w:szCs w:val="22"/>
          <w:lang w:val="lt-LT" w:eastAsia="en-US"/>
        </w:rPr>
        <w:t> </w:t>
      </w:r>
      <w:r w:rsidR="001A3943" w:rsidRPr="00997273">
        <w:rPr>
          <w:rFonts w:cs="Times New Roman"/>
          <w:sz w:val="22"/>
          <w:szCs w:val="22"/>
          <w:lang w:val="lt-LT" w:eastAsia="en-US"/>
        </w:rPr>
        <w:t>iki 17</w:t>
      </w:r>
      <w:r w:rsidR="00A5618A">
        <w:rPr>
          <w:rFonts w:cs="Times New Roman"/>
          <w:sz w:val="22"/>
          <w:szCs w:val="22"/>
          <w:lang w:val="lt-LT" w:eastAsia="en-US"/>
        </w:rPr>
        <w:t> </w:t>
      </w:r>
      <w:r w:rsidR="001A3943" w:rsidRPr="00997273">
        <w:rPr>
          <w:rFonts w:cs="Times New Roman"/>
          <w:sz w:val="22"/>
          <w:szCs w:val="22"/>
          <w:lang w:val="lt-LT" w:eastAsia="en-US"/>
        </w:rPr>
        <w:t>met</w:t>
      </w:r>
      <w:r w:rsidR="001A3943" w:rsidRPr="00997273">
        <w:rPr>
          <w:rFonts w:cs="Times New Roman" w:hint="eastAsia"/>
          <w:sz w:val="22"/>
          <w:szCs w:val="22"/>
          <w:lang w:val="lt-LT" w:eastAsia="en-US"/>
        </w:rPr>
        <w:t>ų</w:t>
      </w:r>
      <w:r w:rsidRPr="00AF5115">
        <w:rPr>
          <w:rFonts w:cs="Times New Roman"/>
          <w:sz w:val="22"/>
          <w:szCs w:val="22"/>
          <w:lang w:val="lt-LT" w:eastAsia="en-US"/>
        </w:rPr>
        <w:t xml:space="preserve"> </w:t>
      </w:r>
      <w:r w:rsidRPr="00997273">
        <w:rPr>
          <w:rFonts w:cs="Times New Roman"/>
          <w:sz w:val="22"/>
          <w:szCs w:val="22"/>
          <w:lang w:val="lt-LT" w:eastAsia="en-US"/>
        </w:rPr>
        <w:t>paaugli</w:t>
      </w:r>
      <w:r>
        <w:rPr>
          <w:rFonts w:cs="Times New Roman"/>
          <w:sz w:val="22"/>
          <w:szCs w:val="22"/>
          <w:lang w:val="lt-LT" w:eastAsia="en-US"/>
        </w:rPr>
        <w:t>ams</w:t>
      </w:r>
      <w:r w:rsidR="001A3943" w:rsidRPr="00997273">
        <w:rPr>
          <w:rFonts w:cs="Times New Roman"/>
          <w:sz w:val="22"/>
          <w:szCs w:val="22"/>
          <w:lang w:val="lt-LT" w:eastAsia="en-US"/>
        </w:rPr>
        <w:t xml:space="preserve">. </w:t>
      </w:r>
      <w:r>
        <w:rPr>
          <w:rFonts w:cs="Times New Roman"/>
          <w:sz w:val="22"/>
          <w:szCs w:val="22"/>
          <w:lang w:val="lt-LT" w:eastAsia="en-US"/>
        </w:rPr>
        <w:t>Nežinoma, a</w:t>
      </w:r>
      <w:r w:rsidR="001A3943" w:rsidRPr="00997273">
        <w:rPr>
          <w:rFonts w:cs="Times New Roman"/>
          <w:sz w:val="22"/>
          <w:szCs w:val="22"/>
          <w:lang w:val="lt-LT" w:eastAsia="en-US"/>
        </w:rPr>
        <w:t xml:space="preserve">r </w:t>
      </w:r>
      <w:r w:rsidR="001A3943" w:rsidRPr="00997273">
        <w:rPr>
          <w:rFonts w:cs="Times New Roman" w:hint="eastAsia"/>
          <w:sz w:val="22"/>
          <w:szCs w:val="22"/>
          <w:lang w:val="lt-LT" w:eastAsia="en-US"/>
        </w:rPr>
        <w:t>š</w:t>
      </w:r>
      <w:r w:rsidR="001A3943" w:rsidRPr="00997273">
        <w:rPr>
          <w:rFonts w:cs="Times New Roman"/>
          <w:sz w:val="22"/>
          <w:szCs w:val="22"/>
          <w:lang w:val="lt-LT" w:eastAsia="en-US"/>
        </w:rPr>
        <w:t>is vaistas yra saugus ir veiksmingas jaunesniems kaip 10</w:t>
      </w:r>
      <w:r w:rsidR="00A5618A">
        <w:rPr>
          <w:rFonts w:cs="Times New Roman"/>
          <w:sz w:val="22"/>
          <w:szCs w:val="22"/>
          <w:lang w:val="lt-LT" w:eastAsia="en-US"/>
        </w:rPr>
        <w:t> </w:t>
      </w:r>
      <w:r w:rsidR="001A3943" w:rsidRPr="00997273">
        <w:rPr>
          <w:rFonts w:cs="Times New Roman"/>
          <w:sz w:val="22"/>
          <w:szCs w:val="22"/>
          <w:lang w:val="lt-LT" w:eastAsia="en-US"/>
        </w:rPr>
        <w:t>met</w:t>
      </w:r>
      <w:r w:rsidR="001A3943" w:rsidRPr="00997273">
        <w:rPr>
          <w:rFonts w:cs="Times New Roman" w:hint="eastAsia"/>
          <w:sz w:val="22"/>
          <w:szCs w:val="22"/>
          <w:lang w:val="lt-LT" w:eastAsia="en-US"/>
        </w:rPr>
        <w:t>ų</w:t>
      </w:r>
      <w:r w:rsidR="001A3943" w:rsidRPr="00997273">
        <w:rPr>
          <w:rFonts w:cs="Times New Roman"/>
          <w:sz w:val="22"/>
          <w:szCs w:val="22"/>
          <w:lang w:val="lt-LT" w:eastAsia="en-US"/>
        </w:rPr>
        <w:t xml:space="preserve"> vaikams.</w:t>
      </w:r>
    </w:p>
    <w:p w14:paraId="547C88C5" w14:textId="77777777" w:rsidR="002F5E23" w:rsidRPr="00997273" w:rsidRDefault="002F5E23" w:rsidP="00612A8E">
      <w:pPr>
        <w:keepNext/>
        <w:numPr>
          <w:ilvl w:val="12"/>
          <w:numId w:val="0"/>
        </w:numPr>
        <w:ind w:right="-2"/>
        <w:rPr>
          <w:rFonts w:eastAsia="Times New Roman" w:cs="Times New Roman"/>
          <w:b/>
          <w:sz w:val="22"/>
          <w:szCs w:val="22"/>
          <w:lang w:val="lt-LT" w:eastAsia="lt-LT" w:bidi="lt-LT"/>
        </w:rPr>
      </w:pPr>
    </w:p>
    <w:p w14:paraId="4897C4EF" w14:textId="1A380514" w:rsidR="00612A8E" w:rsidRPr="00997273" w:rsidRDefault="00612A8E" w:rsidP="00612A8E">
      <w:pPr>
        <w:keepNext/>
        <w:numPr>
          <w:ilvl w:val="12"/>
          <w:numId w:val="0"/>
        </w:numPr>
        <w:ind w:right="-2"/>
        <w:rPr>
          <w:rFonts w:eastAsia="Times New Roman" w:cs="Times New Roman"/>
          <w:sz w:val="22"/>
          <w:szCs w:val="22"/>
          <w:lang w:val="lt-LT" w:eastAsia="lt-LT" w:bidi="lt-LT"/>
        </w:rPr>
      </w:pPr>
      <w:r w:rsidRPr="00997273">
        <w:rPr>
          <w:rFonts w:eastAsia="Times New Roman" w:cs="Times New Roman"/>
          <w:b/>
          <w:sz w:val="22"/>
          <w:szCs w:val="22"/>
          <w:lang w:val="lt-LT" w:eastAsia="lt-LT" w:bidi="lt-LT"/>
        </w:rPr>
        <w:t xml:space="preserve">Kiti vaistai ir </w:t>
      </w:r>
      <w:proofErr w:type="spellStart"/>
      <w:r w:rsidR="00AE2AD2">
        <w:rPr>
          <w:rFonts w:eastAsia="Times New Roman" w:cs="Times New Roman"/>
          <w:b/>
          <w:sz w:val="22"/>
          <w:szCs w:val="22"/>
          <w:lang w:val="lt-LT" w:eastAsia="lt-LT" w:bidi="lt-LT"/>
        </w:rPr>
        <w:t>Meliglix</w:t>
      </w:r>
      <w:proofErr w:type="spellEnd"/>
    </w:p>
    <w:p w14:paraId="016AD6BA" w14:textId="77777777" w:rsidR="00612A8E" w:rsidRDefault="00612A8E" w:rsidP="00612A8E">
      <w:pPr>
        <w:numPr>
          <w:ilvl w:val="12"/>
          <w:numId w:val="0"/>
        </w:numPr>
        <w:ind w:right="-2"/>
        <w:rPr>
          <w:rFonts w:eastAsia="Times New Roman" w:cs="Times New Roman"/>
          <w:sz w:val="22"/>
          <w:szCs w:val="22"/>
          <w:lang w:val="lt-LT" w:eastAsia="lt-LT" w:bidi="lt-LT"/>
        </w:rPr>
      </w:pPr>
      <w:r w:rsidRPr="00997273">
        <w:rPr>
          <w:rFonts w:eastAsia="Times New Roman" w:cs="Times New Roman"/>
          <w:sz w:val="22"/>
          <w:szCs w:val="22"/>
          <w:lang w:val="lt-LT" w:eastAsia="lt-LT" w:bidi="lt-LT"/>
        </w:rPr>
        <w:t>Jeigu vartojate ar neseniai vartojote kitų vaistų arba dėl to nes</w:t>
      </w:r>
      <w:r w:rsidR="002F5E23" w:rsidRPr="00997273">
        <w:rPr>
          <w:rFonts w:eastAsia="Times New Roman" w:cs="Times New Roman"/>
          <w:sz w:val="22"/>
          <w:szCs w:val="22"/>
          <w:lang w:val="lt-LT" w:eastAsia="lt-LT" w:bidi="lt-LT"/>
        </w:rPr>
        <w:t xml:space="preserve">ate tikri, apie tai pasakykite </w:t>
      </w:r>
      <w:r w:rsidRPr="00997273">
        <w:rPr>
          <w:rFonts w:eastAsia="Times New Roman" w:cs="Times New Roman"/>
          <w:sz w:val="22"/>
          <w:szCs w:val="22"/>
          <w:lang w:val="lt-LT" w:eastAsia="lt-LT" w:bidi="lt-LT"/>
        </w:rPr>
        <w:t>gydytojui</w:t>
      </w:r>
      <w:r w:rsidR="002F5E23" w:rsidRPr="00997273">
        <w:rPr>
          <w:rFonts w:eastAsia="Times New Roman" w:cs="Times New Roman"/>
          <w:sz w:val="22"/>
          <w:szCs w:val="22"/>
          <w:lang w:val="lt-LT" w:eastAsia="lt-LT" w:bidi="lt-LT"/>
        </w:rPr>
        <w:t xml:space="preserve"> </w:t>
      </w:r>
      <w:r w:rsidRPr="00997273">
        <w:rPr>
          <w:rFonts w:eastAsia="Times New Roman" w:cs="Times New Roman"/>
          <w:sz w:val="22"/>
          <w:szCs w:val="22"/>
          <w:lang w:val="lt-LT" w:eastAsia="lt-LT" w:bidi="lt-LT"/>
        </w:rPr>
        <w:t>arba</w:t>
      </w:r>
      <w:r w:rsidR="002F5E23" w:rsidRPr="00997273">
        <w:rPr>
          <w:rFonts w:eastAsia="Times New Roman" w:cs="Times New Roman"/>
          <w:sz w:val="22"/>
          <w:szCs w:val="22"/>
          <w:lang w:val="lt-LT" w:eastAsia="lt-LT" w:bidi="lt-LT"/>
        </w:rPr>
        <w:t xml:space="preserve"> </w:t>
      </w:r>
      <w:r w:rsidRPr="00997273">
        <w:rPr>
          <w:rFonts w:eastAsia="Times New Roman" w:cs="Times New Roman"/>
          <w:sz w:val="22"/>
          <w:szCs w:val="22"/>
          <w:lang w:val="lt-LT" w:eastAsia="lt-LT" w:bidi="lt-LT"/>
        </w:rPr>
        <w:t>vaistininkui.</w:t>
      </w:r>
    </w:p>
    <w:p w14:paraId="6B2FCC28" w14:textId="77777777" w:rsidR="00A5618A" w:rsidRPr="00997273" w:rsidRDefault="00A5618A" w:rsidP="00612A8E">
      <w:pPr>
        <w:numPr>
          <w:ilvl w:val="12"/>
          <w:numId w:val="0"/>
        </w:numPr>
        <w:ind w:right="-2"/>
        <w:rPr>
          <w:rFonts w:eastAsia="Times New Roman" w:cs="Times New Roman"/>
          <w:noProof/>
          <w:sz w:val="22"/>
          <w:szCs w:val="22"/>
          <w:lang w:val="lt-LT" w:eastAsia="lt-LT" w:bidi="lt-LT"/>
        </w:rPr>
      </w:pPr>
    </w:p>
    <w:p w14:paraId="796ED627" w14:textId="722785C3" w:rsidR="00056940" w:rsidRPr="00056940" w:rsidRDefault="00A10C83" w:rsidP="00056940">
      <w:pPr>
        <w:widowControl w:val="0"/>
        <w:autoSpaceDE w:val="0"/>
        <w:autoSpaceDN w:val="0"/>
        <w:adjustRightInd w:val="0"/>
        <w:rPr>
          <w:rFonts w:eastAsia="Times New Roman" w:cs="Times New Roman"/>
          <w:sz w:val="22"/>
          <w:szCs w:val="22"/>
          <w:lang w:val="lt-LT" w:eastAsia="en-US"/>
        </w:rPr>
      </w:pPr>
      <w:r>
        <w:rPr>
          <w:rFonts w:eastAsia="Times New Roman" w:cs="Times New Roman"/>
          <w:sz w:val="22"/>
          <w:szCs w:val="22"/>
          <w:lang w:val="lt-LT" w:eastAsia="en-US"/>
        </w:rPr>
        <w:t>Būtinai</w:t>
      </w:r>
      <w:r w:rsidRPr="00056940">
        <w:rPr>
          <w:rFonts w:eastAsia="Times New Roman" w:cs="Times New Roman"/>
          <w:sz w:val="22"/>
          <w:szCs w:val="22"/>
          <w:lang w:val="lt-LT" w:eastAsia="en-US"/>
        </w:rPr>
        <w:t xml:space="preserve"> </w:t>
      </w:r>
      <w:r w:rsidR="00056940" w:rsidRPr="00056940">
        <w:rPr>
          <w:rFonts w:eastAsia="Times New Roman" w:cs="Times New Roman"/>
          <w:sz w:val="22"/>
          <w:szCs w:val="22"/>
          <w:lang w:val="lt-LT" w:eastAsia="en-US"/>
        </w:rPr>
        <w:t xml:space="preserve">pasakykite </w:t>
      </w:r>
      <w:r w:rsidR="00056940">
        <w:rPr>
          <w:rFonts w:eastAsia="Times New Roman" w:cs="Times New Roman"/>
          <w:sz w:val="22"/>
          <w:szCs w:val="22"/>
          <w:lang w:val="lt-LT" w:eastAsia="en-US"/>
        </w:rPr>
        <w:t xml:space="preserve">savo </w:t>
      </w:r>
      <w:r w:rsidR="00056940" w:rsidRPr="00056940">
        <w:rPr>
          <w:rFonts w:eastAsia="Times New Roman" w:cs="Times New Roman"/>
          <w:sz w:val="22"/>
          <w:szCs w:val="22"/>
          <w:lang w:val="lt-LT" w:eastAsia="en-US"/>
        </w:rPr>
        <w:t>gydytojui, jei</w:t>
      </w:r>
      <w:r w:rsidR="00056940">
        <w:rPr>
          <w:rFonts w:eastAsia="Times New Roman" w:cs="Times New Roman"/>
          <w:sz w:val="22"/>
          <w:szCs w:val="22"/>
          <w:lang w:val="lt-LT" w:eastAsia="en-US"/>
        </w:rPr>
        <w:t>gu</w:t>
      </w:r>
      <w:r w:rsidR="00056940" w:rsidRPr="00056940">
        <w:rPr>
          <w:rFonts w:eastAsia="Times New Roman" w:cs="Times New Roman"/>
          <w:sz w:val="22"/>
          <w:szCs w:val="22"/>
          <w:lang w:val="lt-LT" w:eastAsia="en-US"/>
        </w:rPr>
        <w:t xml:space="preserve"> vartojate </w:t>
      </w:r>
      <w:proofErr w:type="spellStart"/>
      <w:r w:rsidR="00056940" w:rsidRPr="00056940">
        <w:rPr>
          <w:rFonts w:eastAsia="Times New Roman" w:cs="Times New Roman"/>
          <w:sz w:val="22"/>
          <w:szCs w:val="22"/>
          <w:lang w:val="lt-LT" w:eastAsia="en-US"/>
        </w:rPr>
        <w:t>digoksin</w:t>
      </w:r>
      <w:r w:rsidR="00056940">
        <w:rPr>
          <w:rFonts w:eastAsia="Times New Roman" w:cs="Times New Roman"/>
          <w:sz w:val="22"/>
          <w:szCs w:val="22"/>
          <w:lang w:val="lt-LT" w:eastAsia="en-US"/>
        </w:rPr>
        <w:t>o</w:t>
      </w:r>
      <w:proofErr w:type="spellEnd"/>
      <w:r w:rsidR="00056940" w:rsidRPr="00056940">
        <w:rPr>
          <w:rFonts w:eastAsia="Times New Roman" w:cs="Times New Roman"/>
          <w:sz w:val="22"/>
          <w:szCs w:val="22"/>
          <w:lang w:val="lt-LT" w:eastAsia="en-US"/>
        </w:rPr>
        <w:t xml:space="preserve"> (vaist</w:t>
      </w:r>
      <w:r w:rsidR="00056940">
        <w:rPr>
          <w:rFonts w:eastAsia="Times New Roman" w:cs="Times New Roman"/>
          <w:sz w:val="22"/>
          <w:szCs w:val="22"/>
          <w:lang w:val="lt-LT" w:eastAsia="en-US"/>
        </w:rPr>
        <w:t>o</w:t>
      </w:r>
      <w:r w:rsidR="003271C1">
        <w:rPr>
          <w:rFonts w:eastAsia="Times New Roman" w:cs="Times New Roman"/>
          <w:sz w:val="22"/>
          <w:szCs w:val="22"/>
          <w:lang w:val="lt-LT" w:eastAsia="en-US"/>
        </w:rPr>
        <w:t xml:space="preserve"> nuo</w:t>
      </w:r>
      <w:r w:rsidR="00056940" w:rsidRPr="00056940">
        <w:rPr>
          <w:rFonts w:eastAsia="Times New Roman" w:cs="Times New Roman"/>
          <w:sz w:val="22"/>
          <w:szCs w:val="22"/>
          <w:lang w:val="lt-LT" w:eastAsia="en-US"/>
        </w:rPr>
        <w:t xml:space="preserve"> nereguliaraus širdies plakimo ir kit</w:t>
      </w:r>
      <w:r w:rsidR="003271C1">
        <w:rPr>
          <w:rFonts w:eastAsia="Times New Roman" w:cs="Times New Roman"/>
          <w:sz w:val="22"/>
          <w:szCs w:val="22"/>
          <w:lang w:val="lt-LT" w:eastAsia="en-US"/>
        </w:rPr>
        <w:t>ų</w:t>
      </w:r>
      <w:r w:rsidR="00056940" w:rsidRPr="00056940">
        <w:rPr>
          <w:rFonts w:eastAsia="Times New Roman" w:cs="Times New Roman"/>
          <w:sz w:val="22"/>
          <w:szCs w:val="22"/>
          <w:lang w:val="lt-LT" w:eastAsia="en-US"/>
        </w:rPr>
        <w:t xml:space="preserve"> širdies problem</w:t>
      </w:r>
      <w:r w:rsidR="003271C1">
        <w:rPr>
          <w:rFonts w:eastAsia="Times New Roman" w:cs="Times New Roman"/>
          <w:sz w:val="22"/>
          <w:szCs w:val="22"/>
          <w:lang w:val="lt-LT" w:eastAsia="en-US"/>
        </w:rPr>
        <w:t>ų</w:t>
      </w:r>
      <w:r w:rsidR="00056940" w:rsidRPr="00056940">
        <w:rPr>
          <w:rFonts w:eastAsia="Times New Roman" w:cs="Times New Roman"/>
          <w:sz w:val="22"/>
          <w:szCs w:val="22"/>
          <w:lang w:val="lt-LT" w:eastAsia="en-US"/>
        </w:rPr>
        <w:t xml:space="preserve">). Gali reikėti patikrinti </w:t>
      </w:r>
      <w:proofErr w:type="spellStart"/>
      <w:r w:rsidR="00056940" w:rsidRPr="00056940">
        <w:rPr>
          <w:rFonts w:eastAsia="Times New Roman" w:cs="Times New Roman"/>
          <w:sz w:val="22"/>
          <w:szCs w:val="22"/>
          <w:lang w:val="lt-LT" w:eastAsia="en-US"/>
        </w:rPr>
        <w:t>digoksino</w:t>
      </w:r>
      <w:proofErr w:type="spellEnd"/>
      <w:r w:rsidR="00056940" w:rsidRPr="00056940">
        <w:rPr>
          <w:rFonts w:eastAsia="Times New Roman" w:cs="Times New Roman"/>
          <w:sz w:val="22"/>
          <w:szCs w:val="22"/>
          <w:lang w:val="lt-LT" w:eastAsia="en-US"/>
        </w:rPr>
        <w:t xml:space="preserve"> </w:t>
      </w:r>
      <w:r>
        <w:rPr>
          <w:rFonts w:eastAsia="Times New Roman" w:cs="Times New Roman"/>
          <w:sz w:val="22"/>
          <w:szCs w:val="22"/>
          <w:lang w:val="lt-LT" w:eastAsia="en-US"/>
        </w:rPr>
        <w:t>koncentraciją</w:t>
      </w:r>
      <w:r w:rsidRPr="00056940">
        <w:rPr>
          <w:rFonts w:eastAsia="Times New Roman" w:cs="Times New Roman"/>
          <w:sz w:val="22"/>
          <w:szCs w:val="22"/>
          <w:lang w:val="lt-LT" w:eastAsia="en-US"/>
        </w:rPr>
        <w:t xml:space="preserve"> </w:t>
      </w:r>
      <w:r w:rsidR="003271C1">
        <w:rPr>
          <w:rFonts w:eastAsia="Times New Roman" w:cs="Times New Roman"/>
          <w:sz w:val="22"/>
          <w:szCs w:val="22"/>
          <w:lang w:val="lt-LT" w:eastAsia="en-US"/>
        </w:rPr>
        <w:t>J</w:t>
      </w:r>
      <w:r w:rsidR="00056940" w:rsidRPr="00056940">
        <w:rPr>
          <w:rFonts w:eastAsia="Times New Roman" w:cs="Times New Roman"/>
          <w:sz w:val="22"/>
          <w:szCs w:val="22"/>
          <w:lang w:val="lt-LT" w:eastAsia="en-US"/>
        </w:rPr>
        <w:t>ūsų kraujyje, jei</w:t>
      </w:r>
      <w:r w:rsidR="003271C1">
        <w:rPr>
          <w:rFonts w:eastAsia="Times New Roman" w:cs="Times New Roman"/>
          <w:sz w:val="22"/>
          <w:szCs w:val="22"/>
          <w:lang w:val="lt-LT" w:eastAsia="en-US"/>
        </w:rPr>
        <w:t>g</w:t>
      </w:r>
      <w:r w:rsidR="00F1562F">
        <w:rPr>
          <w:rFonts w:eastAsia="Times New Roman" w:cs="Times New Roman"/>
          <w:sz w:val="22"/>
          <w:szCs w:val="22"/>
          <w:lang w:val="lt-LT" w:eastAsia="en-US"/>
        </w:rPr>
        <w:t>u</w:t>
      </w:r>
      <w:r w:rsidR="00056940" w:rsidRPr="00056940">
        <w:rPr>
          <w:rFonts w:eastAsia="Times New Roman" w:cs="Times New Roman"/>
          <w:sz w:val="22"/>
          <w:szCs w:val="22"/>
          <w:lang w:val="lt-LT" w:eastAsia="en-US"/>
        </w:rPr>
        <w:t xml:space="preserve"> kartu vartojate</w:t>
      </w:r>
      <w:r w:rsidR="00F1562F">
        <w:rPr>
          <w:rFonts w:eastAsia="Times New Roman" w:cs="Times New Roman"/>
          <w:sz w:val="22"/>
          <w:szCs w:val="22"/>
          <w:lang w:val="lt-LT" w:eastAsia="en-US"/>
        </w:rPr>
        <w:t xml:space="preserve"> </w:t>
      </w:r>
      <w:proofErr w:type="spellStart"/>
      <w:r w:rsidR="00AE2AD2">
        <w:rPr>
          <w:rFonts w:eastAsia="Times New Roman" w:cs="Times New Roman"/>
          <w:sz w:val="22"/>
          <w:szCs w:val="22"/>
          <w:lang w:val="lt-LT" w:eastAsia="en-US"/>
        </w:rPr>
        <w:t>Meliglix</w:t>
      </w:r>
      <w:proofErr w:type="spellEnd"/>
      <w:r w:rsidR="003271C1">
        <w:rPr>
          <w:rFonts w:eastAsia="Times New Roman" w:cs="Times New Roman"/>
          <w:sz w:val="22"/>
          <w:szCs w:val="22"/>
          <w:lang w:val="lt-LT" w:eastAsia="en-US"/>
        </w:rPr>
        <w:t>.</w:t>
      </w:r>
    </w:p>
    <w:p w14:paraId="4D9254B3" w14:textId="77777777" w:rsidR="00056940" w:rsidRPr="00997273" w:rsidRDefault="00056940" w:rsidP="00612A8E">
      <w:pPr>
        <w:numPr>
          <w:ilvl w:val="12"/>
          <w:numId w:val="0"/>
        </w:numPr>
        <w:ind w:right="-2"/>
        <w:rPr>
          <w:rFonts w:eastAsia="Times New Roman" w:cs="Times New Roman"/>
          <w:noProof/>
          <w:sz w:val="22"/>
          <w:szCs w:val="22"/>
          <w:lang w:val="lt-LT" w:eastAsia="lt-LT" w:bidi="lt-LT"/>
        </w:rPr>
      </w:pPr>
    </w:p>
    <w:p w14:paraId="22CF09F2" w14:textId="77777777" w:rsidR="00612A8E" w:rsidRPr="00997273" w:rsidRDefault="00612A8E" w:rsidP="00612A8E">
      <w:pPr>
        <w:numPr>
          <w:ilvl w:val="12"/>
          <w:numId w:val="0"/>
        </w:numPr>
        <w:ind w:right="-2"/>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Nėštumas ir</w:t>
      </w:r>
      <w:r w:rsidR="002F5E23" w:rsidRPr="00997273">
        <w:rPr>
          <w:rFonts w:eastAsia="Times New Roman" w:cs="Times New Roman"/>
          <w:b/>
          <w:noProof/>
          <w:sz w:val="22"/>
          <w:szCs w:val="22"/>
          <w:lang w:val="lt-LT" w:eastAsia="lt-LT" w:bidi="lt-LT"/>
        </w:rPr>
        <w:t xml:space="preserve"> žindymo laikotarpis</w:t>
      </w:r>
    </w:p>
    <w:p w14:paraId="3AD2B97E" w14:textId="77777777" w:rsidR="00365017" w:rsidRDefault="00612A8E" w:rsidP="005441F5">
      <w:pPr>
        <w:numPr>
          <w:ilvl w:val="12"/>
          <w:numId w:val="0"/>
        </w:numPr>
        <w:rPr>
          <w:rFonts w:eastAsia="Times New Roman" w:cs="Times New Roman"/>
          <w:sz w:val="22"/>
          <w:szCs w:val="22"/>
          <w:lang w:val="lt-LT" w:eastAsia="lt-LT" w:bidi="lt-LT"/>
        </w:rPr>
      </w:pPr>
      <w:r w:rsidRPr="00997273">
        <w:rPr>
          <w:rFonts w:eastAsia="Times New Roman" w:cs="Times New Roman"/>
          <w:sz w:val="22"/>
          <w:szCs w:val="22"/>
          <w:lang w:val="lt-LT" w:eastAsia="lt-LT" w:bidi="lt-LT"/>
        </w:rPr>
        <w:t>Jeigu esate nėščia, žindote kūdikį, manote, kad galbūt esate nėščia arba planuojate pastoti, tai prieš vart</w:t>
      </w:r>
      <w:r w:rsidR="002F5E23" w:rsidRPr="00997273">
        <w:rPr>
          <w:rFonts w:eastAsia="Times New Roman" w:cs="Times New Roman"/>
          <w:sz w:val="22"/>
          <w:szCs w:val="22"/>
          <w:lang w:val="lt-LT" w:eastAsia="lt-LT" w:bidi="lt-LT"/>
        </w:rPr>
        <w:t xml:space="preserve">odama šį vaistą pasitarkite su </w:t>
      </w:r>
      <w:r w:rsidRPr="00997273">
        <w:rPr>
          <w:rFonts w:eastAsia="Times New Roman" w:cs="Times New Roman"/>
          <w:sz w:val="22"/>
          <w:szCs w:val="22"/>
          <w:lang w:val="lt-LT" w:eastAsia="lt-LT" w:bidi="lt-LT"/>
        </w:rPr>
        <w:t>gydytoju</w:t>
      </w:r>
      <w:r w:rsidR="002F5E23" w:rsidRPr="00997273">
        <w:rPr>
          <w:rFonts w:eastAsia="Times New Roman" w:cs="Times New Roman"/>
          <w:sz w:val="22"/>
          <w:szCs w:val="22"/>
          <w:lang w:val="lt-LT" w:eastAsia="lt-LT" w:bidi="lt-LT"/>
        </w:rPr>
        <w:t xml:space="preserve"> </w:t>
      </w:r>
      <w:r w:rsidRPr="00997273">
        <w:rPr>
          <w:rFonts w:eastAsia="Times New Roman" w:cs="Times New Roman"/>
          <w:sz w:val="22"/>
          <w:szCs w:val="22"/>
          <w:lang w:val="lt-LT" w:eastAsia="lt-LT" w:bidi="lt-LT"/>
        </w:rPr>
        <w:t>arba</w:t>
      </w:r>
      <w:r w:rsidR="002F5E23" w:rsidRPr="00997273">
        <w:rPr>
          <w:rFonts w:eastAsia="Times New Roman" w:cs="Times New Roman"/>
          <w:sz w:val="22"/>
          <w:szCs w:val="22"/>
          <w:lang w:val="lt-LT" w:eastAsia="lt-LT" w:bidi="lt-LT"/>
        </w:rPr>
        <w:t xml:space="preserve"> </w:t>
      </w:r>
      <w:r w:rsidRPr="00997273">
        <w:rPr>
          <w:rFonts w:eastAsia="Times New Roman" w:cs="Times New Roman"/>
          <w:sz w:val="22"/>
          <w:szCs w:val="22"/>
          <w:lang w:val="lt-LT" w:eastAsia="lt-LT" w:bidi="lt-LT"/>
        </w:rPr>
        <w:t>vaistininku</w:t>
      </w:r>
      <w:r w:rsidR="002F5E23" w:rsidRPr="00997273">
        <w:rPr>
          <w:rFonts w:eastAsia="Times New Roman" w:cs="Times New Roman"/>
          <w:sz w:val="22"/>
          <w:szCs w:val="22"/>
          <w:lang w:val="lt-LT" w:eastAsia="lt-LT" w:bidi="lt-LT"/>
        </w:rPr>
        <w:t>.</w:t>
      </w:r>
      <w:r w:rsidR="00B05369">
        <w:rPr>
          <w:rFonts w:eastAsia="Times New Roman" w:cs="Times New Roman"/>
          <w:sz w:val="22"/>
          <w:szCs w:val="22"/>
          <w:lang w:val="lt-LT" w:eastAsia="lt-LT" w:bidi="lt-LT"/>
        </w:rPr>
        <w:t xml:space="preserve"> </w:t>
      </w:r>
    </w:p>
    <w:p w14:paraId="25891C97" w14:textId="4122DD48" w:rsidR="002F5E23" w:rsidRPr="00997273" w:rsidRDefault="00B05369" w:rsidP="005441F5">
      <w:pPr>
        <w:numPr>
          <w:ilvl w:val="12"/>
          <w:numId w:val="0"/>
        </w:numPr>
        <w:rPr>
          <w:rFonts w:cs="Times New Roman"/>
          <w:sz w:val="22"/>
          <w:szCs w:val="22"/>
          <w:lang w:val="lt-LT" w:eastAsia="en-US"/>
        </w:rPr>
      </w:pPr>
      <w:r>
        <w:rPr>
          <w:rFonts w:eastAsia="Times New Roman" w:cs="Times New Roman"/>
          <w:sz w:val="22"/>
          <w:szCs w:val="22"/>
          <w:lang w:val="lt-LT" w:eastAsia="lt-LT" w:bidi="lt-LT"/>
        </w:rPr>
        <w:t>Nėštumo</w:t>
      </w:r>
      <w:r w:rsidR="005441F5">
        <w:rPr>
          <w:rFonts w:eastAsia="Times New Roman" w:cs="Times New Roman"/>
          <w:sz w:val="22"/>
          <w:szCs w:val="22"/>
          <w:lang w:val="lt-LT" w:eastAsia="lt-LT" w:bidi="lt-LT"/>
        </w:rPr>
        <w:t xml:space="preserve"> </w:t>
      </w:r>
      <w:r w:rsidR="002F5E23" w:rsidRPr="00997273">
        <w:rPr>
          <w:rFonts w:cs="Times New Roman"/>
          <w:sz w:val="22"/>
          <w:szCs w:val="22"/>
          <w:lang w:val="lt-LT" w:eastAsia="en-US"/>
        </w:rPr>
        <w:t>metu</w:t>
      </w:r>
      <w:r>
        <w:rPr>
          <w:rFonts w:cs="Times New Roman"/>
          <w:sz w:val="22"/>
          <w:szCs w:val="22"/>
          <w:lang w:val="lt-LT" w:eastAsia="en-US"/>
        </w:rPr>
        <w:t xml:space="preserve"> šio vaisto vartoti negalima</w:t>
      </w:r>
      <w:r w:rsidR="002F5E23" w:rsidRPr="00997273">
        <w:rPr>
          <w:rFonts w:cs="Times New Roman"/>
          <w:sz w:val="22"/>
          <w:szCs w:val="22"/>
          <w:lang w:val="lt-LT" w:eastAsia="en-US"/>
        </w:rPr>
        <w:t>.</w:t>
      </w:r>
    </w:p>
    <w:p w14:paraId="23B80070" w14:textId="77777777" w:rsidR="00A5618A" w:rsidRDefault="00A5618A" w:rsidP="002F5E23">
      <w:pPr>
        <w:autoSpaceDE w:val="0"/>
        <w:autoSpaceDN w:val="0"/>
        <w:adjustRightInd w:val="0"/>
        <w:rPr>
          <w:rFonts w:cs="Times New Roman"/>
          <w:sz w:val="22"/>
          <w:szCs w:val="22"/>
          <w:lang w:val="lt-LT" w:eastAsia="en-US"/>
        </w:rPr>
      </w:pPr>
    </w:p>
    <w:p w14:paraId="4C83457F" w14:textId="468893BB" w:rsidR="00612A8E" w:rsidRPr="00997273" w:rsidRDefault="002F5E23" w:rsidP="002F5E23">
      <w:pPr>
        <w:autoSpaceDE w:val="0"/>
        <w:autoSpaceDN w:val="0"/>
        <w:adjustRightInd w:val="0"/>
        <w:rPr>
          <w:rFonts w:eastAsia="Times New Roman" w:cs="Times New Roman"/>
          <w:noProof/>
          <w:sz w:val="22"/>
          <w:szCs w:val="22"/>
          <w:lang w:val="lt-LT" w:eastAsia="lt-LT" w:bidi="lt-LT"/>
        </w:rPr>
      </w:pPr>
      <w:r w:rsidRPr="00997273">
        <w:rPr>
          <w:rFonts w:cs="Times New Roman"/>
          <w:sz w:val="22"/>
          <w:szCs w:val="22"/>
          <w:lang w:val="lt-LT" w:eastAsia="en-US"/>
        </w:rPr>
        <w:t>Ar ši</w:t>
      </w:r>
      <w:r w:rsidR="005441F5">
        <w:rPr>
          <w:rFonts w:cs="Times New Roman"/>
          <w:sz w:val="22"/>
          <w:szCs w:val="22"/>
          <w:lang w:val="lt-LT" w:eastAsia="en-US"/>
        </w:rPr>
        <w:t>o</w:t>
      </w:r>
      <w:r w:rsidRPr="00997273">
        <w:rPr>
          <w:rFonts w:cs="Times New Roman"/>
          <w:sz w:val="22"/>
          <w:szCs w:val="22"/>
          <w:lang w:val="lt-LT" w:eastAsia="en-US"/>
        </w:rPr>
        <w:t xml:space="preserve"> vaist</w:t>
      </w:r>
      <w:r w:rsidR="005441F5">
        <w:rPr>
          <w:rFonts w:cs="Times New Roman"/>
          <w:sz w:val="22"/>
          <w:szCs w:val="22"/>
          <w:lang w:val="lt-LT" w:eastAsia="en-US"/>
        </w:rPr>
        <w:t>o</w:t>
      </w:r>
      <w:r w:rsidRPr="00997273">
        <w:rPr>
          <w:rFonts w:cs="Times New Roman"/>
          <w:sz w:val="22"/>
          <w:szCs w:val="22"/>
          <w:lang w:val="lt-LT" w:eastAsia="en-US"/>
        </w:rPr>
        <w:t xml:space="preserve"> patenka į žindyvės pieną, nežinoma. </w:t>
      </w:r>
      <w:r w:rsidR="00A5618A">
        <w:rPr>
          <w:rFonts w:cs="Times New Roman"/>
          <w:sz w:val="22"/>
          <w:szCs w:val="22"/>
          <w:lang w:val="lt-LT" w:eastAsia="en-US"/>
        </w:rPr>
        <w:t>J</w:t>
      </w:r>
      <w:r w:rsidR="00134B8C">
        <w:rPr>
          <w:rFonts w:cs="Times New Roman"/>
          <w:sz w:val="22"/>
          <w:szCs w:val="22"/>
          <w:lang w:val="lt-LT" w:eastAsia="en-US"/>
        </w:rPr>
        <w:t xml:space="preserve">eigu </w:t>
      </w:r>
      <w:r w:rsidRPr="00997273">
        <w:rPr>
          <w:rFonts w:cs="Times New Roman"/>
          <w:sz w:val="22"/>
          <w:szCs w:val="22"/>
          <w:lang w:val="lt-LT" w:eastAsia="en-US"/>
        </w:rPr>
        <w:t>žindote kūdikį ar planuojate tai daryti</w:t>
      </w:r>
      <w:r w:rsidR="00A5618A">
        <w:rPr>
          <w:rFonts w:cs="Times New Roman"/>
          <w:sz w:val="22"/>
          <w:szCs w:val="22"/>
          <w:lang w:val="lt-LT" w:eastAsia="en-US"/>
        </w:rPr>
        <w:t>, šio vaisto vartoti negalima</w:t>
      </w:r>
      <w:r w:rsidRPr="00997273">
        <w:rPr>
          <w:rFonts w:cs="Times New Roman"/>
          <w:sz w:val="22"/>
          <w:szCs w:val="22"/>
          <w:lang w:val="lt-LT" w:eastAsia="en-US"/>
        </w:rPr>
        <w:t>.</w:t>
      </w:r>
    </w:p>
    <w:p w14:paraId="630E04F5" w14:textId="77777777" w:rsidR="002F5E23" w:rsidRPr="00997273" w:rsidRDefault="002F5E23" w:rsidP="00612A8E">
      <w:pPr>
        <w:numPr>
          <w:ilvl w:val="12"/>
          <w:numId w:val="0"/>
        </w:numPr>
        <w:ind w:right="-2"/>
        <w:outlineLvl w:val="0"/>
        <w:rPr>
          <w:rFonts w:eastAsia="Times New Roman" w:cs="Times New Roman"/>
          <w:b/>
          <w:noProof/>
          <w:sz w:val="22"/>
          <w:szCs w:val="22"/>
          <w:lang w:val="lt-LT" w:eastAsia="lt-LT" w:bidi="lt-LT"/>
        </w:rPr>
      </w:pPr>
    </w:p>
    <w:p w14:paraId="2BE11375" w14:textId="77777777" w:rsidR="00612A8E" w:rsidRPr="00997273" w:rsidRDefault="00612A8E" w:rsidP="00612A8E">
      <w:pPr>
        <w:numPr>
          <w:ilvl w:val="12"/>
          <w:numId w:val="0"/>
        </w:numPr>
        <w:ind w:right="-2"/>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Vairavimas ir mechanizmų valdymas</w:t>
      </w:r>
    </w:p>
    <w:p w14:paraId="74B42AEB" w14:textId="296AA94E" w:rsidR="002F5E23" w:rsidRDefault="002F5E23" w:rsidP="002F5E23">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Šis vaistas gebėjimo vairuoti ir valdyti mechanizmus neveikia arba veikia nereikšmingai. Tačiau </w:t>
      </w:r>
      <w:r w:rsidR="00372AB6" w:rsidRPr="00997273">
        <w:rPr>
          <w:rFonts w:cs="Times New Roman"/>
          <w:sz w:val="22"/>
          <w:szCs w:val="22"/>
          <w:lang w:val="lt-LT" w:eastAsia="en-US"/>
        </w:rPr>
        <w:t xml:space="preserve">gauta pranešimų apie </w:t>
      </w:r>
      <w:r w:rsidR="00500D5E">
        <w:rPr>
          <w:rFonts w:cs="Times New Roman"/>
          <w:sz w:val="22"/>
          <w:szCs w:val="22"/>
          <w:lang w:val="lt-LT" w:eastAsia="en-US"/>
        </w:rPr>
        <w:t>svaigulį</w:t>
      </w:r>
      <w:r w:rsidRPr="00997273">
        <w:rPr>
          <w:rFonts w:cs="Times New Roman"/>
          <w:sz w:val="22"/>
          <w:szCs w:val="22"/>
          <w:lang w:val="lt-LT" w:eastAsia="en-US"/>
        </w:rPr>
        <w:t xml:space="preserve"> ir mieguistum</w:t>
      </w:r>
      <w:r w:rsidR="00372AB6" w:rsidRPr="00997273">
        <w:rPr>
          <w:rFonts w:cs="Times New Roman"/>
          <w:sz w:val="22"/>
          <w:szCs w:val="22"/>
          <w:lang w:val="lt-LT" w:eastAsia="en-US"/>
        </w:rPr>
        <w:t>ą</w:t>
      </w:r>
      <w:r w:rsidRPr="00997273">
        <w:rPr>
          <w:rFonts w:cs="Times New Roman"/>
          <w:sz w:val="22"/>
          <w:szCs w:val="22"/>
          <w:lang w:val="lt-LT" w:eastAsia="en-US"/>
        </w:rPr>
        <w:t xml:space="preserve">, </w:t>
      </w:r>
      <w:r w:rsidR="00372AB6" w:rsidRPr="00997273">
        <w:rPr>
          <w:rFonts w:cs="Times New Roman"/>
          <w:sz w:val="22"/>
          <w:szCs w:val="22"/>
          <w:lang w:val="lt-LT" w:eastAsia="en-US"/>
        </w:rPr>
        <w:t xml:space="preserve">kurie </w:t>
      </w:r>
      <w:r w:rsidRPr="00997273">
        <w:rPr>
          <w:rFonts w:cs="Times New Roman"/>
          <w:sz w:val="22"/>
          <w:szCs w:val="22"/>
          <w:lang w:val="lt-LT" w:eastAsia="en-US"/>
        </w:rPr>
        <w:t>gali paveikti Jūsų</w:t>
      </w:r>
      <w:r w:rsidR="00372AB6" w:rsidRPr="00997273">
        <w:rPr>
          <w:rFonts w:cs="Times New Roman"/>
          <w:sz w:val="22"/>
          <w:szCs w:val="22"/>
          <w:lang w:val="lt-LT" w:eastAsia="en-US"/>
        </w:rPr>
        <w:t xml:space="preserve"> </w:t>
      </w:r>
      <w:r w:rsidRPr="00997273">
        <w:rPr>
          <w:rFonts w:cs="Times New Roman"/>
          <w:sz w:val="22"/>
          <w:szCs w:val="22"/>
          <w:lang w:val="lt-LT" w:eastAsia="en-US"/>
        </w:rPr>
        <w:t>gebėjimą vairuoti ar valdyti mechanizmus.</w:t>
      </w:r>
    </w:p>
    <w:p w14:paraId="27CC4AD2" w14:textId="77777777" w:rsidR="00A5618A" w:rsidRPr="00997273" w:rsidRDefault="00A5618A" w:rsidP="002F5E23">
      <w:pPr>
        <w:autoSpaceDE w:val="0"/>
        <w:autoSpaceDN w:val="0"/>
        <w:adjustRightInd w:val="0"/>
        <w:rPr>
          <w:rFonts w:cs="Times New Roman"/>
          <w:sz w:val="22"/>
          <w:szCs w:val="22"/>
          <w:lang w:val="lt-LT" w:eastAsia="en-US"/>
        </w:rPr>
      </w:pPr>
    </w:p>
    <w:p w14:paraId="1E842B5C" w14:textId="035D148C" w:rsidR="00612A8E" w:rsidRPr="00997273" w:rsidRDefault="002F5E23" w:rsidP="00372AB6">
      <w:pPr>
        <w:autoSpaceDE w:val="0"/>
        <w:autoSpaceDN w:val="0"/>
        <w:adjustRightInd w:val="0"/>
        <w:rPr>
          <w:rFonts w:eastAsia="Times New Roman" w:cs="Times New Roman"/>
          <w:noProof/>
          <w:sz w:val="22"/>
          <w:szCs w:val="22"/>
          <w:lang w:val="lt-LT" w:eastAsia="lt-LT" w:bidi="lt-LT"/>
        </w:rPr>
      </w:pPr>
      <w:r w:rsidRPr="00997273">
        <w:rPr>
          <w:rFonts w:cs="Times New Roman"/>
          <w:sz w:val="22"/>
          <w:szCs w:val="22"/>
          <w:lang w:val="lt-LT" w:eastAsia="en-US"/>
        </w:rPr>
        <w:t>Š</w:t>
      </w:r>
      <w:r w:rsidR="003453B4">
        <w:rPr>
          <w:rFonts w:cs="Times New Roman"/>
          <w:sz w:val="22"/>
          <w:szCs w:val="22"/>
          <w:lang w:val="lt-LT" w:eastAsia="en-US"/>
        </w:rPr>
        <w:t>io</w:t>
      </w:r>
      <w:r w:rsidRPr="00997273">
        <w:rPr>
          <w:rFonts w:cs="Times New Roman"/>
          <w:sz w:val="22"/>
          <w:szCs w:val="22"/>
          <w:lang w:val="lt-LT" w:eastAsia="en-US"/>
        </w:rPr>
        <w:t xml:space="preserve"> vaist</w:t>
      </w:r>
      <w:r w:rsidR="003453B4">
        <w:rPr>
          <w:rFonts w:cs="Times New Roman"/>
          <w:sz w:val="22"/>
          <w:szCs w:val="22"/>
          <w:lang w:val="lt-LT" w:eastAsia="en-US"/>
        </w:rPr>
        <w:t>o</w:t>
      </w:r>
      <w:r w:rsidRPr="00997273">
        <w:rPr>
          <w:rFonts w:cs="Times New Roman"/>
          <w:sz w:val="22"/>
          <w:szCs w:val="22"/>
          <w:lang w:val="lt-LT" w:eastAsia="en-US"/>
        </w:rPr>
        <w:t xml:space="preserve"> vartoj</w:t>
      </w:r>
      <w:r w:rsidR="006F6540">
        <w:rPr>
          <w:rFonts w:cs="Times New Roman"/>
          <w:sz w:val="22"/>
          <w:szCs w:val="22"/>
          <w:lang w:val="lt-LT" w:eastAsia="en-US"/>
        </w:rPr>
        <w:t>imas</w:t>
      </w:r>
      <w:r w:rsidRPr="00997273">
        <w:rPr>
          <w:rFonts w:cs="Times New Roman"/>
          <w:sz w:val="22"/>
          <w:szCs w:val="22"/>
          <w:lang w:val="lt-LT" w:eastAsia="en-US"/>
        </w:rPr>
        <w:t xml:space="preserve"> kartu su vaistais, vadinamais </w:t>
      </w:r>
      <w:proofErr w:type="spellStart"/>
      <w:r w:rsidRPr="00997273">
        <w:rPr>
          <w:rFonts w:cs="Times New Roman"/>
          <w:sz w:val="22"/>
          <w:szCs w:val="22"/>
          <w:lang w:val="lt-LT" w:eastAsia="en-US"/>
        </w:rPr>
        <w:t>sulfonilurėjos</w:t>
      </w:r>
      <w:proofErr w:type="spellEnd"/>
      <w:r w:rsidRPr="00997273">
        <w:rPr>
          <w:rFonts w:cs="Times New Roman"/>
          <w:sz w:val="22"/>
          <w:szCs w:val="22"/>
          <w:lang w:val="lt-LT" w:eastAsia="en-US"/>
        </w:rPr>
        <w:t xml:space="preserve"> dariniais, arba su insulinu gali</w:t>
      </w:r>
      <w:r w:rsidR="00372AB6" w:rsidRPr="00997273">
        <w:rPr>
          <w:rFonts w:cs="Times New Roman"/>
          <w:sz w:val="22"/>
          <w:szCs w:val="22"/>
          <w:lang w:val="lt-LT" w:eastAsia="en-US"/>
        </w:rPr>
        <w:t xml:space="preserve"> </w:t>
      </w:r>
      <w:r w:rsidR="006F6540">
        <w:rPr>
          <w:rFonts w:cs="Times New Roman"/>
          <w:sz w:val="22"/>
          <w:szCs w:val="22"/>
          <w:lang w:val="lt-LT" w:eastAsia="en-US"/>
        </w:rPr>
        <w:t>sukelti cukraus kiekio kraujyje sumažėjimą</w:t>
      </w:r>
      <w:r w:rsidR="00BE775C">
        <w:rPr>
          <w:rFonts w:cs="Times New Roman"/>
          <w:sz w:val="22"/>
          <w:szCs w:val="22"/>
          <w:lang w:val="lt-LT" w:eastAsia="en-US"/>
        </w:rPr>
        <w:t xml:space="preserve"> (</w:t>
      </w:r>
      <w:r w:rsidRPr="00997273">
        <w:rPr>
          <w:rFonts w:cs="Times New Roman"/>
          <w:sz w:val="22"/>
          <w:szCs w:val="22"/>
          <w:lang w:val="lt-LT" w:eastAsia="en-US"/>
        </w:rPr>
        <w:t>hipoglikemij</w:t>
      </w:r>
      <w:r w:rsidR="00BE775C">
        <w:rPr>
          <w:rFonts w:cs="Times New Roman"/>
          <w:sz w:val="22"/>
          <w:szCs w:val="22"/>
          <w:lang w:val="lt-LT" w:eastAsia="en-US"/>
        </w:rPr>
        <w:t>ą)</w:t>
      </w:r>
      <w:r w:rsidRPr="00997273">
        <w:rPr>
          <w:rFonts w:cs="Times New Roman"/>
          <w:sz w:val="22"/>
          <w:szCs w:val="22"/>
          <w:lang w:val="lt-LT" w:eastAsia="en-US"/>
        </w:rPr>
        <w:t xml:space="preserve">, kuri gali pakenkti </w:t>
      </w:r>
      <w:r w:rsidR="00BE775C">
        <w:rPr>
          <w:rFonts w:cs="Times New Roman"/>
          <w:sz w:val="22"/>
          <w:szCs w:val="22"/>
          <w:lang w:val="lt-LT" w:eastAsia="en-US"/>
        </w:rPr>
        <w:t xml:space="preserve">Jūsų </w:t>
      </w:r>
      <w:r w:rsidRPr="00997273">
        <w:rPr>
          <w:rFonts w:cs="Times New Roman"/>
          <w:sz w:val="22"/>
          <w:szCs w:val="22"/>
          <w:lang w:val="lt-LT" w:eastAsia="en-US"/>
        </w:rPr>
        <w:t>gebėjim</w:t>
      </w:r>
      <w:r w:rsidR="00F0614C">
        <w:rPr>
          <w:rFonts w:cs="Times New Roman"/>
          <w:sz w:val="22"/>
          <w:szCs w:val="22"/>
          <w:lang w:val="lt-LT" w:eastAsia="en-US"/>
        </w:rPr>
        <w:t>ui</w:t>
      </w:r>
      <w:r w:rsidRPr="00997273">
        <w:rPr>
          <w:rFonts w:cs="Times New Roman"/>
          <w:sz w:val="22"/>
          <w:szCs w:val="22"/>
          <w:lang w:val="lt-LT" w:eastAsia="en-US"/>
        </w:rPr>
        <w:t xml:space="preserve"> vairuoti, valdyti mechanizmus arba dirbti</w:t>
      </w:r>
      <w:r w:rsidR="00372AB6" w:rsidRPr="00997273">
        <w:rPr>
          <w:rFonts w:cs="Times New Roman"/>
          <w:sz w:val="22"/>
          <w:szCs w:val="22"/>
          <w:lang w:val="lt-LT" w:eastAsia="en-US"/>
        </w:rPr>
        <w:t xml:space="preserve"> nesant</w:t>
      </w:r>
      <w:r w:rsidRPr="00997273">
        <w:rPr>
          <w:rFonts w:cs="Times New Roman"/>
          <w:sz w:val="22"/>
          <w:szCs w:val="22"/>
          <w:lang w:val="lt-LT" w:eastAsia="en-US"/>
        </w:rPr>
        <w:t xml:space="preserve"> saugios atramos kojoms.</w:t>
      </w:r>
    </w:p>
    <w:p w14:paraId="3F47704D" w14:textId="77777777" w:rsidR="00F0614C" w:rsidRDefault="00F0614C" w:rsidP="00494463">
      <w:pPr>
        <w:rPr>
          <w:rFonts w:eastAsia="Times New Roman" w:cs="Times New Roman"/>
          <w:b/>
          <w:sz w:val="22"/>
          <w:szCs w:val="22"/>
          <w:lang w:val="lt-LT" w:eastAsia="lt-LT" w:bidi="lt-LT"/>
        </w:rPr>
      </w:pPr>
    </w:p>
    <w:p w14:paraId="407096EC" w14:textId="00984F8B" w:rsidR="00494463" w:rsidRPr="00997273" w:rsidRDefault="00AE2AD2" w:rsidP="00494463">
      <w:pPr>
        <w:rPr>
          <w:rFonts w:eastAsia="Arial Unicode MS" w:cs="Times New Roman"/>
          <w:b/>
          <w:noProof/>
          <w:sz w:val="22"/>
          <w:szCs w:val="22"/>
          <w:lang w:val="lt-LT" w:eastAsia="lt-LT"/>
        </w:rPr>
      </w:pPr>
      <w:proofErr w:type="spellStart"/>
      <w:r>
        <w:rPr>
          <w:rFonts w:eastAsia="Times New Roman" w:cs="Times New Roman"/>
          <w:b/>
          <w:sz w:val="22"/>
          <w:szCs w:val="22"/>
          <w:lang w:val="lt-LT" w:eastAsia="lt-LT" w:bidi="lt-LT"/>
        </w:rPr>
        <w:t>Meliglix</w:t>
      </w:r>
      <w:proofErr w:type="spellEnd"/>
      <w:r w:rsidR="00494463" w:rsidRPr="004629F4">
        <w:rPr>
          <w:rFonts w:eastAsia="Arial Unicode MS" w:cs="Times New Roman"/>
          <w:b/>
          <w:noProof/>
          <w:sz w:val="22"/>
          <w:szCs w:val="22"/>
          <w:lang w:val="lt-LT" w:eastAsia="lt-LT"/>
        </w:rPr>
        <w:t xml:space="preserve"> sudėtyje yra natrio</w:t>
      </w:r>
    </w:p>
    <w:p w14:paraId="3A5AA816" w14:textId="45BAD942" w:rsidR="00494463" w:rsidRPr="00997273" w:rsidRDefault="00494463" w:rsidP="00494463">
      <w:pPr>
        <w:autoSpaceDE w:val="0"/>
        <w:autoSpaceDN w:val="0"/>
        <w:adjustRightInd w:val="0"/>
        <w:rPr>
          <w:rFonts w:eastAsia="Times New Roman" w:cs="Times New Roman"/>
          <w:sz w:val="22"/>
          <w:szCs w:val="22"/>
          <w:lang w:val="lt-LT" w:eastAsia="en-US"/>
        </w:rPr>
      </w:pPr>
      <w:r w:rsidRPr="00997273">
        <w:rPr>
          <w:rFonts w:eastAsia="Times New Roman" w:cs="Times New Roman"/>
          <w:sz w:val="22"/>
          <w:szCs w:val="22"/>
          <w:lang w:val="lt-LT" w:eastAsia="en-US"/>
        </w:rPr>
        <w:t xml:space="preserve">Šio vaisto </w:t>
      </w:r>
      <w:r w:rsidR="00063B26">
        <w:rPr>
          <w:rFonts w:eastAsia="Times New Roman" w:cs="Times New Roman"/>
          <w:sz w:val="22"/>
          <w:szCs w:val="22"/>
          <w:lang w:val="lt-LT" w:eastAsia="en-US"/>
        </w:rPr>
        <w:t xml:space="preserve">kiekvienoje </w:t>
      </w:r>
      <w:r w:rsidRPr="00997273">
        <w:rPr>
          <w:rFonts w:eastAsia="Times New Roman" w:cs="Times New Roman"/>
          <w:sz w:val="22"/>
          <w:szCs w:val="22"/>
          <w:lang w:val="lt-LT" w:eastAsia="en-US"/>
        </w:rPr>
        <w:t>tabletėje yra mažiau kaip 1</w:t>
      </w:r>
      <w:r w:rsidR="00F0614C">
        <w:rPr>
          <w:rFonts w:eastAsia="Times New Roman" w:cs="Times New Roman"/>
          <w:sz w:val="22"/>
          <w:szCs w:val="22"/>
          <w:lang w:val="lt-LT" w:eastAsia="en-US"/>
        </w:rPr>
        <w:t> </w:t>
      </w:r>
      <w:proofErr w:type="spellStart"/>
      <w:r w:rsidRPr="00997273">
        <w:rPr>
          <w:rFonts w:eastAsia="Times New Roman" w:cs="Times New Roman"/>
          <w:sz w:val="22"/>
          <w:szCs w:val="22"/>
          <w:lang w:val="lt-LT" w:eastAsia="en-US"/>
        </w:rPr>
        <w:t>mmol</w:t>
      </w:r>
      <w:proofErr w:type="spellEnd"/>
      <w:r w:rsidRPr="00997273">
        <w:rPr>
          <w:rFonts w:eastAsia="Times New Roman" w:cs="Times New Roman"/>
          <w:sz w:val="22"/>
          <w:szCs w:val="22"/>
          <w:lang w:val="lt-LT" w:eastAsia="en-US"/>
        </w:rPr>
        <w:t xml:space="preserve"> (23</w:t>
      </w:r>
      <w:r w:rsidR="00F0614C">
        <w:rPr>
          <w:rFonts w:eastAsia="Times New Roman" w:cs="Times New Roman"/>
          <w:sz w:val="22"/>
          <w:szCs w:val="22"/>
          <w:lang w:val="lt-LT" w:eastAsia="en-US"/>
        </w:rPr>
        <w:t> </w:t>
      </w:r>
      <w:r w:rsidRPr="00997273">
        <w:rPr>
          <w:rFonts w:eastAsia="Times New Roman" w:cs="Times New Roman"/>
          <w:sz w:val="22"/>
          <w:szCs w:val="22"/>
          <w:lang w:val="lt-LT" w:eastAsia="en-US"/>
        </w:rPr>
        <w:t>mg) natrio, t.</w:t>
      </w:r>
      <w:r w:rsidR="000C4192">
        <w:rPr>
          <w:rFonts w:eastAsia="Times New Roman" w:cs="Times New Roman"/>
          <w:sz w:val="22"/>
          <w:szCs w:val="22"/>
          <w:lang w:val="lt-LT" w:eastAsia="en-US"/>
        </w:rPr>
        <w:t> </w:t>
      </w:r>
      <w:r w:rsidRPr="00997273">
        <w:rPr>
          <w:rFonts w:eastAsia="Times New Roman" w:cs="Times New Roman"/>
          <w:sz w:val="22"/>
          <w:szCs w:val="22"/>
          <w:lang w:val="lt-LT" w:eastAsia="en-US"/>
        </w:rPr>
        <w:t>y. jis beveik neturi reikšmės.</w:t>
      </w:r>
    </w:p>
    <w:p w14:paraId="48716434" w14:textId="77777777" w:rsidR="00494463" w:rsidRPr="00997273" w:rsidRDefault="00494463" w:rsidP="001A3943">
      <w:pPr>
        <w:numPr>
          <w:ilvl w:val="12"/>
          <w:numId w:val="0"/>
        </w:numPr>
        <w:rPr>
          <w:rFonts w:eastAsia="Times New Roman" w:cs="Times New Roman"/>
          <w:b/>
          <w:noProof/>
          <w:sz w:val="22"/>
          <w:lang w:val="lt-LT" w:eastAsia="en-US"/>
        </w:rPr>
      </w:pPr>
    </w:p>
    <w:p w14:paraId="04F107BC" w14:textId="77777777" w:rsidR="00612A8E" w:rsidRPr="00997273" w:rsidRDefault="00612A8E" w:rsidP="00612A8E">
      <w:pPr>
        <w:numPr>
          <w:ilvl w:val="12"/>
          <w:numId w:val="0"/>
        </w:numPr>
        <w:ind w:right="-2"/>
        <w:rPr>
          <w:rFonts w:eastAsia="Times New Roman" w:cs="Times New Roman"/>
          <w:noProof/>
          <w:sz w:val="22"/>
          <w:szCs w:val="22"/>
          <w:lang w:val="lt-LT" w:eastAsia="lt-LT" w:bidi="lt-LT"/>
        </w:rPr>
      </w:pPr>
    </w:p>
    <w:p w14:paraId="2DC25F76" w14:textId="6E303C78" w:rsidR="00612A8E" w:rsidRPr="00997273" w:rsidRDefault="00612A8E" w:rsidP="00612A8E">
      <w:pPr>
        <w:keepNext/>
        <w:numPr>
          <w:ilvl w:val="0"/>
          <w:numId w:val="34"/>
        </w:numPr>
        <w:tabs>
          <w:tab w:val="left" w:pos="567"/>
        </w:tabs>
        <w:spacing w:line="260" w:lineRule="exact"/>
        <w:ind w:left="567" w:right="-2"/>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lastRenderedPageBreak/>
        <w:t xml:space="preserve">Kaip vartoti </w:t>
      </w:r>
      <w:proofErr w:type="spellStart"/>
      <w:r w:rsidR="00AE2AD2">
        <w:rPr>
          <w:rFonts w:eastAsia="Times New Roman" w:cs="Times New Roman"/>
          <w:b/>
          <w:sz w:val="22"/>
          <w:szCs w:val="22"/>
          <w:lang w:val="lt-LT" w:eastAsia="lt-LT" w:bidi="lt-LT"/>
        </w:rPr>
        <w:t>Meliglix</w:t>
      </w:r>
      <w:proofErr w:type="spellEnd"/>
    </w:p>
    <w:p w14:paraId="14D4F322" w14:textId="77777777" w:rsidR="00612A8E" w:rsidRPr="00997273" w:rsidRDefault="00612A8E" w:rsidP="00612A8E">
      <w:pPr>
        <w:keepNext/>
        <w:numPr>
          <w:ilvl w:val="12"/>
          <w:numId w:val="0"/>
        </w:numPr>
        <w:ind w:right="-2"/>
        <w:rPr>
          <w:rFonts w:eastAsia="Times New Roman" w:cs="Times New Roman"/>
          <w:noProof/>
          <w:sz w:val="22"/>
          <w:szCs w:val="22"/>
          <w:lang w:val="lt-LT" w:eastAsia="lt-LT" w:bidi="lt-LT"/>
        </w:rPr>
      </w:pPr>
    </w:p>
    <w:p w14:paraId="48801AD8" w14:textId="77777777" w:rsidR="00612A8E" w:rsidRPr="00997273" w:rsidRDefault="00612A8E" w:rsidP="00612A8E">
      <w:pPr>
        <w:numPr>
          <w:ilvl w:val="12"/>
          <w:numId w:val="0"/>
        </w:numPr>
        <w:ind w:right="-2"/>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 xml:space="preserve">Visada vartokite šį vaistą </w:t>
      </w:r>
      <w:r w:rsidR="00372AB6" w:rsidRPr="00997273">
        <w:rPr>
          <w:rFonts w:eastAsia="Times New Roman" w:cs="Times New Roman"/>
          <w:sz w:val="22"/>
          <w:szCs w:val="22"/>
          <w:lang w:val="lt-LT" w:eastAsia="lt-LT" w:bidi="lt-LT"/>
        </w:rPr>
        <w:t>tiksliai kaip nurodė gydytojas</w:t>
      </w:r>
      <w:r w:rsidRPr="00997273">
        <w:rPr>
          <w:rFonts w:eastAsia="Times New Roman" w:cs="Times New Roman"/>
          <w:sz w:val="22"/>
          <w:szCs w:val="22"/>
          <w:lang w:val="lt-LT" w:eastAsia="lt-LT" w:bidi="lt-LT"/>
        </w:rPr>
        <w:t>.</w:t>
      </w:r>
      <w:r w:rsidR="00372AB6" w:rsidRPr="00997273">
        <w:rPr>
          <w:rFonts w:eastAsia="Times New Roman" w:cs="Times New Roman"/>
          <w:sz w:val="22"/>
          <w:szCs w:val="22"/>
          <w:lang w:val="lt-LT" w:eastAsia="lt-LT" w:bidi="lt-LT"/>
        </w:rPr>
        <w:t xml:space="preserve"> Jeigu abejojate, kreipkitės į gydytoją arba vaistininką.</w:t>
      </w:r>
    </w:p>
    <w:p w14:paraId="7592B2D9" w14:textId="77777777" w:rsidR="00612A8E" w:rsidRPr="00997273" w:rsidRDefault="00612A8E" w:rsidP="00612A8E">
      <w:pPr>
        <w:numPr>
          <w:ilvl w:val="12"/>
          <w:numId w:val="0"/>
        </w:numPr>
        <w:ind w:right="-2"/>
        <w:rPr>
          <w:rFonts w:eastAsia="Times New Roman" w:cs="Times New Roman"/>
          <w:noProof/>
          <w:sz w:val="22"/>
          <w:szCs w:val="22"/>
          <w:lang w:val="lt-LT" w:eastAsia="lt-LT" w:bidi="lt-LT"/>
        </w:rPr>
      </w:pPr>
    </w:p>
    <w:p w14:paraId="17E41BA1" w14:textId="77777777" w:rsidR="00612A8E" w:rsidRPr="00997273" w:rsidRDefault="00372AB6" w:rsidP="00612A8E">
      <w:pPr>
        <w:numPr>
          <w:ilvl w:val="12"/>
          <w:numId w:val="0"/>
        </w:numPr>
        <w:ind w:right="-2"/>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Rekomenduojama dozė yra:</w:t>
      </w:r>
    </w:p>
    <w:p w14:paraId="2504BF70" w14:textId="77777777" w:rsidR="00372AB6" w:rsidRPr="00997273" w:rsidRDefault="00372AB6" w:rsidP="00372AB6">
      <w:pPr>
        <w:pStyle w:val="BT-EMEASMCA"/>
        <w:ind w:left="567" w:hanging="567"/>
        <w:rPr>
          <w:rFonts w:cs="Times New Roman"/>
          <w:sz w:val="22"/>
          <w:szCs w:val="22"/>
          <w:lang w:val="lt-LT" w:eastAsia="en-US"/>
        </w:rPr>
      </w:pPr>
      <w:r w:rsidRPr="00997273">
        <w:rPr>
          <w:rFonts w:cs="Times New Roman"/>
          <w:sz w:val="22"/>
          <w:szCs w:val="22"/>
          <w:lang w:val="lt-LT" w:eastAsia="en-US"/>
        </w:rPr>
        <w:t>viena 100 mg plėvele dengta tabletė</w:t>
      </w:r>
    </w:p>
    <w:p w14:paraId="4230FE42" w14:textId="77777777" w:rsidR="00372AB6" w:rsidRPr="00997273" w:rsidRDefault="00372AB6" w:rsidP="00372AB6">
      <w:pPr>
        <w:pStyle w:val="BT-EMEASMCA"/>
        <w:ind w:left="567" w:hanging="567"/>
        <w:rPr>
          <w:rFonts w:cs="Times New Roman"/>
          <w:sz w:val="22"/>
          <w:szCs w:val="22"/>
          <w:lang w:val="lt-LT" w:eastAsia="en-US"/>
        </w:rPr>
      </w:pPr>
      <w:r w:rsidRPr="00997273">
        <w:rPr>
          <w:rFonts w:cs="Times New Roman"/>
          <w:sz w:val="22"/>
          <w:szCs w:val="22"/>
          <w:lang w:val="lt-LT" w:eastAsia="en-US"/>
        </w:rPr>
        <w:t>vieną kartą per parą</w:t>
      </w:r>
    </w:p>
    <w:p w14:paraId="6C970A42" w14:textId="77777777" w:rsidR="00372AB6" w:rsidRPr="00997273" w:rsidRDefault="00372AB6" w:rsidP="00372AB6">
      <w:pPr>
        <w:pStyle w:val="BT-EMEASMCA"/>
        <w:ind w:left="567" w:hanging="567"/>
        <w:rPr>
          <w:rFonts w:cs="Times New Roman"/>
          <w:sz w:val="22"/>
          <w:szCs w:val="22"/>
          <w:lang w:val="lt-LT" w:eastAsia="en-US"/>
        </w:rPr>
      </w:pPr>
      <w:r w:rsidRPr="00997273">
        <w:rPr>
          <w:rFonts w:cs="Times New Roman"/>
          <w:sz w:val="22"/>
          <w:szCs w:val="22"/>
          <w:lang w:val="lt-LT" w:eastAsia="en-US"/>
        </w:rPr>
        <w:t>vartoti per burną.</w:t>
      </w:r>
    </w:p>
    <w:p w14:paraId="79716F79" w14:textId="77777777" w:rsidR="00372AB6" w:rsidRPr="00997273" w:rsidRDefault="00372AB6" w:rsidP="00372AB6">
      <w:pPr>
        <w:pStyle w:val="BT-EMEASMCA"/>
        <w:numPr>
          <w:ilvl w:val="0"/>
          <w:numId w:val="0"/>
        </w:numPr>
        <w:rPr>
          <w:rFonts w:cs="Times New Roman"/>
          <w:sz w:val="22"/>
          <w:szCs w:val="22"/>
          <w:lang w:val="lt-LT" w:eastAsia="en-US"/>
        </w:rPr>
      </w:pPr>
    </w:p>
    <w:p w14:paraId="0FCE6B92" w14:textId="03475066" w:rsidR="00612A8E" w:rsidRDefault="00372AB6" w:rsidP="00372AB6">
      <w:pPr>
        <w:pStyle w:val="BT-EMEASMCA"/>
        <w:numPr>
          <w:ilvl w:val="0"/>
          <w:numId w:val="0"/>
        </w:numPr>
        <w:rPr>
          <w:rFonts w:cs="Times New Roman"/>
          <w:sz w:val="22"/>
          <w:szCs w:val="22"/>
          <w:lang w:val="lt-LT" w:eastAsia="en-US"/>
        </w:rPr>
      </w:pPr>
      <w:r w:rsidRPr="00997273">
        <w:rPr>
          <w:rFonts w:cs="Times New Roman"/>
          <w:sz w:val="22"/>
          <w:szCs w:val="22"/>
          <w:lang w:val="lt-LT" w:eastAsia="en-US"/>
        </w:rPr>
        <w:t xml:space="preserve">Jeigu </w:t>
      </w:r>
      <w:r w:rsidR="00037C90">
        <w:rPr>
          <w:rFonts w:cs="Times New Roman"/>
          <w:sz w:val="22"/>
          <w:szCs w:val="22"/>
          <w:lang w:val="lt-LT" w:eastAsia="en-US"/>
        </w:rPr>
        <w:t xml:space="preserve">Jums </w:t>
      </w:r>
      <w:r w:rsidR="00F505DB">
        <w:rPr>
          <w:rFonts w:cs="Times New Roman"/>
          <w:sz w:val="22"/>
          <w:szCs w:val="22"/>
          <w:lang w:val="lt-LT" w:eastAsia="en-US"/>
        </w:rPr>
        <w:t xml:space="preserve">yra </w:t>
      </w:r>
      <w:r w:rsidRPr="00997273">
        <w:rPr>
          <w:rFonts w:cs="Times New Roman"/>
          <w:sz w:val="22"/>
          <w:szCs w:val="22"/>
          <w:lang w:val="lt-LT" w:eastAsia="en-US"/>
        </w:rPr>
        <w:t>inkstų</w:t>
      </w:r>
      <w:r w:rsidR="00401055">
        <w:rPr>
          <w:rFonts w:cs="Times New Roman"/>
          <w:sz w:val="22"/>
          <w:szCs w:val="22"/>
          <w:lang w:val="lt-LT" w:eastAsia="en-US"/>
        </w:rPr>
        <w:t xml:space="preserve"> veiklos</w:t>
      </w:r>
      <w:r w:rsidRPr="00997273">
        <w:rPr>
          <w:rFonts w:cs="Times New Roman"/>
          <w:sz w:val="22"/>
          <w:szCs w:val="22"/>
          <w:lang w:val="lt-LT" w:eastAsia="en-US"/>
        </w:rPr>
        <w:t xml:space="preserve"> </w:t>
      </w:r>
      <w:r w:rsidR="00401055">
        <w:rPr>
          <w:rFonts w:cs="Times New Roman"/>
          <w:sz w:val="22"/>
          <w:szCs w:val="22"/>
          <w:lang w:val="lt-LT" w:eastAsia="en-US"/>
        </w:rPr>
        <w:t>(</w:t>
      </w:r>
      <w:r w:rsidR="00037C90">
        <w:rPr>
          <w:rFonts w:cs="Times New Roman"/>
          <w:sz w:val="22"/>
          <w:szCs w:val="22"/>
          <w:lang w:val="lt-LT" w:eastAsia="en-US"/>
        </w:rPr>
        <w:t>funkcijos</w:t>
      </w:r>
      <w:r w:rsidR="00401055">
        <w:rPr>
          <w:rFonts w:cs="Times New Roman"/>
          <w:sz w:val="22"/>
          <w:szCs w:val="22"/>
          <w:lang w:val="lt-LT" w:eastAsia="en-US"/>
        </w:rPr>
        <w:t>)</w:t>
      </w:r>
      <w:r w:rsidR="00037C90">
        <w:rPr>
          <w:rFonts w:cs="Times New Roman"/>
          <w:sz w:val="22"/>
          <w:szCs w:val="22"/>
          <w:lang w:val="lt-LT" w:eastAsia="en-US"/>
        </w:rPr>
        <w:t xml:space="preserve"> </w:t>
      </w:r>
      <w:r w:rsidR="00F505DB">
        <w:rPr>
          <w:rFonts w:cs="Times New Roman"/>
          <w:sz w:val="22"/>
          <w:szCs w:val="22"/>
          <w:lang w:val="lt-LT" w:eastAsia="en-US"/>
        </w:rPr>
        <w:t>sutrikim</w:t>
      </w:r>
      <w:r w:rsidR="00037C90">
        <w:rPr>
          <w:rFonts w:cs="Times New Roman"/>
          <w:sz w:val="22"/>
          <w:szCs w:val="22"/>
          <w:lang w:val="lt-LT" w:eastAsia="en-US"/>
        </w:rPr>
        <w:t>as</w:t>
      </w:r>
      <w:r w:rsidRPr="00997273">
        <w:rPr>
          <w:rFonts w:cs="Times New Roman"/>
          <w:sz w:val="22"/>
          <w:szCs w:val="22"/>
          <w:lang w:val="lt-LT" w:eastAsia="en-US"/>
        </w:rPr>
        <w:t xml:space="preserve">, </w:t>
      </w:r>
      <w:r w:rsidR="00F505DB">
        <w:rPr>
          <w:rFonts w:cs="Times New Roman"/>
          <w:sz w:val="22"/>
          <w:szCs w:val="22"/>
          <w:lang w:val="lt-LT" w:eastAsia="en-US"/>
        </w:rPr>
        <w:t xml:space="preserve">Jūsų </w:t>
      </w:r>
      <w:r w:rsidRPr="00997273">
        <w:rPr>
          <w:rFonts w:cs="Times New Roman"/>
          <w:sz w:val="22"/>
          <w:szCs w:val="22"/>
          <w:lang w:val="lt-LT" w:eastAsia="en-US"/>
        </w:rPr>
        <w:t>gydytojas gali paskirti mažesnę dozę (pvz., 25 mg ar 50 mg).</w:t>
      </w:r>
    </w:p>
    <w:p w14:paraId="24ED9940" w14:textId="77777777" w:rsidR="000C3E42" w:rsidRPr="00997273" w:rsidRDefault="000C3E42" w:rsidP="00372AB6">
      <w:pPr>
        <w:pStyle w:val="BT-EMEASMCA"/>
        <w:numPr>
          <w:ilvl w:val="0"/>
          <w:numId w:val="0"/>
        </w:numPr>
        <w:rPr>
          <w:rFonts w:eastAsia="Times New Roman" w:cs="Times New Roman"/>
          <w:noProof/>
          <w:sz w:val="22"/>
          <w:szCs w:val="22"/>
          <w:lang w:val="lt-LT" w:eastAsia="lt-LT" w:bidi="lt-LT"/>
        </w:rPr>
      </w:pPr>
    </w:p>
    <w:p w14:paraId="35A6DD57" w14:textId="4D3466C3" w:rsidR="00372AB6" w:rsidRPr="00997273" w:rsidRDefault="00372AB6" w:rsidP="00372AB6">
      <w:pPr>
        <w:autoSpaceDE w:val="0"/>
        <w:autoSpaceDN w:val="0"/>
        <w:adjustRightInd w:val="0"/>
        <w:rPr>
          <w:rFonts w:cs="Times New Roman"/>
          <w:sz w:val="22"/>
          <w:szCs w:val="22"/>
          <w:lang w:val="lt-LT" w:eastAsia="en-US"/>
        </w:rPr>
      </w:pPr>
      <w:r w:rsidRPr="00997273">
        <w:rPr>
          <w:rFonts w:cs="Times New Roman"/>
          <w:sz w:val="22"/>
          <w:szCs w:val="22"/>
          <w:lang w:val="lt-LT" w:eastAsia="en-US"/>
        </w:rPr>
        <w:t>Jūs galite š</w:t>
      </w:r>
      <w:r w:rsidR="00E3356A">
        <w:rPr>
          <w:rFonts w:cs="Times New Roman"/>
          <w:sz w:val="22"/>
          <w:szCs w:val="22"/>
          <w:lang w:val="lt-LT" w:eastAsia="en-US"/>
        </w:rPr>
        <w:t>io</w:t>
      </w:r>
      <w:r w:rsidRPr="00997273">
        <w:rPr>
          <w:rFonts w:cs="Times New Roman"/>
          <w:sz w:val="22"/>
          <w:szCs w:val="22"/>
          <w:lang w:val="lt-LT" w:eastAsia="en-US"/>
        </w:rPr>
        <w:t xml:space="preserve"> vaist</w:t>
      </w:r>
      <w:r w:rsidR="00E3356A">
        <w:rPr>
          <w:rFonts w:cs="Times New Roman"/>
          <w:sz w:val="22"/>
          <w:szCs w:val="22"/>
          <w:lang w:val="lt-LT" w:eastAsia="en-US"/>
        </w:rPr>
        <w:t>o</w:t>
      </w:r>
      <w:r w:rsidRPr="00997273">
        <w:rPr>
          <w:rFonts w:cs="Times New Roman"/>
          <w:sz w:val="22"/>
          <w:szCs w:val="22"/>
          <w:lang w:val="lt-LT" w:eastAsia="en-US"/>
        </w:rPr>
        <w:t xml:space="preserve"> vartoti nepriklausomai nuo valgymo ir gėrimo.</w:t>
      </w:r>
    </w:p>
    <w:p w14:paraId="5D861524" w14:textId="77777777" w:rsidR="00372AB6" w:rsidRPr="00997273" w:rsidRDefault="00372AB6" w:rsidP="00372AB6">
      <w:pPr>
        <w:autoSpaceDE w:val="0"/>
        <w:autoSpaceDN w:val="0"/>
        <w:adjustRightInd w:val="0"/>
        <w:rPr>
          <w:rFonts w:cs="Times New Roman"/>
          <w:sz w:val="22"/>
          <w:szCs w:val="22"/>
          <w:lang w:val="lt-LT" w:eastAsia="en-US"/>
        </w:rPr>
      </w:pPr>
    </w:p>
    <w:p w14:paraId="7BE5EB4E" w14:textId="08125BDE" w:rsidR="00372AB6" w:rsidRPr="00997273" w:rsidRDefault="00372AB6" w:rsidP="00372AB6">
      <w:pPr>
        <w:autoSpaceDE w:val="0"/>
        <w:autoSpaceDN w:val="0"/>
        <w:adjustRightInd w:val="0"/>
        <w:rPr>
          <w:rFonts w:cs="Times New Roman"/>
          <w:sz w:val="22"/>
          <w:szCs w:val="22"/>
          <w:lang w:val="lt-LT" w:eastAsia="en-US"/>
        </w:rPr>
      </w:pPr>
      <w:r w:rsidRPr="00997273">
        <w:rPr>
          <w:rFonts w:cs="Times New Roman"/>
          <w:sz w:val="22"/>
          <w:szCs w:val="22"/>
          <w:lang w:val="lt-LT" w:eastAsia="en-US"/>
        </w:rPr>
        <w:t>Jūsų gydytojas Jums gali paskirti š</w:t>
      </w:r>
      <w:r w:rsidR="007714CD">
        <w:rPr>
          <w:rFonts w:cs="Times New Roman"/>
          <w:sz w:val="22"/>
          <w:szCs w:val="22"/>
          <w:lang w:val="lt-LT" w:eastAsia="en-US"/>
        </w:rPr>
        <w:t>io</w:t>
      </w:r>
      <w:r w:rsidRPr="00997273">
        <w:rPr>
          <w:rFonts w:cs="Times New Roman"/>
          <w:sz w:val="22"/>
          <w:szCs w:val="22"/>
          <w:lang w:val="lt-LT" w:eastAsia="en-US"/>
        </w:rPr>
        <w:t xml:space="preserve"> vaist</w:t>
      </w:r>
      <w:r w:rsidR="007714CD">
        <w:rPr>
          <w:rFonts w:cs="Times New Roman"/>
          <w:sz w:val="22"/>
          <w:szCs w:val="22"/>
          <w:lang w:val="lt-LT" w:eastAsia="en-US"/>
        </w:rPr>
        <w:t>o</w:t>
      </w:r>
      <w:r w:rsidRPr="00997273">
        <w:rPr>
          <w:rFonts w:cs="Times New Roman"/>
          <w:sz w:val="22"/>
          <w:szCs w:val="22"/>
          <w:lang w:val="lt-LT" w:eastAsia="en-US"/>
        </w:rPr>
        <w:t xml:space="preserve"> vartoti vien</w:t>
      </w:r>
      <w:r w:rsidR="007714CD">
        <w:rPr>
          <w:rFonts w:cs="Times New Roman"/>
          <w:sz w:val="22"/>
          <w:szCs w:val="22"/>
          <w:lang w:val="lt-LT" w:eastAsia="en-US"/>
        </w:rPr>
        <w:t>o</w:t>
      </w:r>
      <w:r w:rsidRPr="00997273">
        <w:rPr>
          <w:rFonts w:cs="Times New Roman"/>
          <w:sz w:val="22"/>
          <w:szCs w:val="22"/>
          <w:lang w:val="lt-LT" w:eastAsia="en-US"/>
        </w:rPr>
        <w:t xml:space="preserve"> arba kartu su kitais cukraus kiekį kraujyje mažinančiais vaistais.</w:t>
      </w:r>
    </w:p>
    <w:p w14:paraId="4A1CFA1A" w14:textId="77777777" w:rsidR="000C3E42" w:rsidRDefault="000C3E42" w:rsidP="00D10348">
      <w:pPr>
        <w:autoSpaceDE w:val="0"/>
        <w:autoSpaceDN w:val="0"/>
        <w:adjustRightInd w:val="0"/>
        <w:rPr>
          <w:rFonts w:cs="Times New Roman"/>
          <w:sz w:val="22"/>
          <w:szCs w:val="22"/>
          <w:lang w:val="lt-LT" w:eastAsia="en-US"/>
        </w:rPr>
      </w:pPr>
    </w:p>
    <w:p w14:paraId="74C5BAC3" w14:textId="4B8CB18B" w:rsidR="00612A8E" w:rsidRPr="00997273" w:rsidRDefault="00372AB6" w:rsidP="00D10348">
      <w:pPr>
        <w:autoSpaceDE w:val="0"/>
        <w:autoSpaceDN w:val="0"/>
        <w:adjustRightInd w:val="0"/>
        <w:rPr>
          <w:rFonts w:eastAsia="Times New Roman" w:cs="Times New Roman"/>
          <w:sz w:val="22"/>
          <w:szCs w:val="22"/>
          <w:lang w:val="lt-LT" w:eastAsia="lt-LT" w:bidi="lt-LT"/>
        </w:rPr>
      </w:pPr>
      <w:r w:rsidRPr="00997273">
        <w:rPr>
          <w:rFonts w:cs="Times New Roman"/>
          <w:sz w:val="22"/>
          <w:szCs w:val="22"/>
          <w:lang w:val="lt-LT" w:eastAsia="en-US"/>
        </w:rPr>
        <w:t>Tinkama mityba ir fizini</w:t>
      </w:r>
      <w:r w:rsidR="00B70164">
        <w:rPr>
          <w:rFonts w:cs="Times New Roman"/>
          <w:sz w:val="22"/>
          <w:szCs w:val="22"/>
          <w:lang w:val="lt-LT" w:eastAsia="en-US"/>
        </w:rPr>
        <w:t>s aktyvumas</w:t>
      </w:r>
      <w:r w:rsidRPr="00997273">
        <w:rPr>
          <w:rFonts w:cs="Times New Roman"/>
          <w:sz w:val="22"/>
          <w:szCs w:val="22"/>
          <w:lang w:val="lt-LT" w:eastAsia="en-US"/>
        </w:rPr>
        <w:t xml:space="preserve"> gali padėti Jūsų organizmui geriau panaudoti kraujyje esantį cukrų. Vartojant </w:t>
      </w:r>
      <w:proofErr w:type="spellStart"/>
      <w:r w:rsidR="00AE2AD2">
        <w:rPr>
          <w:rFonts w:eastAsia="Times New Roman" w:cs="Times New Roman"/>
          <w:sz w:val="22"/>
          <w:szCs w:val="22"/>
          <w:lang w:val="lt-LT" w:eastAsia="lt-LT" w:bidi="lt-LT"/>
        </w:rPr>
        <w:t>Meliglix</w:t>
      </w:r>
      <w:proofErr w:type="spellEnd"/>
      <w:r w:rsidRPr="00997273">
        <w:rPr>
          <w:rFonts w:cs="Times New Roman"/>
          <w:sz w:val="22"/>
          <w:szCs w:val="22"/>
          <w:lang w:val="lt-LT" w:eastAsia="en-US"/>
        </w:rPr>
        <w:t xml:space="preserve"> labai svarbu </w:t>
      </w:r>
      <w:r w:rsidR="00AC24B8">
        <w:rPr>
          <w:rFonts w:cs="Times New Roman"/>
          <w:sz w:val="22"/>
          <w:szCs w:val="22"/>
          <w:lang w:val="lt-LT" w:eastAsia="en-US"/>
        </w:rPr>
        <w:t>laikytis</w:t>
      </w:r>
      <w:r w:rsidR="006B738E">
        <w:rPr>
          <w:rFonts w:cs="Times New Roman"/>
          <w:sz w:val="22"/>
          <w:szCs w:val="22"/>
          <w:lang w:val="lt-LT" w:eastAsia="en-US"/>
        </w:rPr>
        <w:t xml:space="preserve"> dietos ir </w:t>
      </w:r>
      <w:r w:rsidR="0038764D">
        <w:rPr>
          <w:rFonts w:cs="Times New Roman"/>
          <w:sz w:val="22"/>
          <w:szCs w:val="22"/>
          <w:lang w:val="lt-LT" w:eastAsia="en-US"/>
        </w:rPr>
        <w:t xml:space="preserve">palaikyti </w:t>
      </w:r>
      <w:r w:rsidR="00B13DFC">
        <w:rPr>
          <w:rFonts w:cs="Times New Roman"/>
          <w:sz w:val="22"/>
          <w:szCs w:val="22"/>
          <w:lang w:val="lt-LT" w:eastAsia="en-US"/>
        </w:rPr>
        <w:t>fizin</w:t>
      </w:r>
      <w:r w:rsidR="0038764D">
        <w:rPr>
          <w:rFonts w:cs="Times New Roman"/>
          <w:sz w:val="22"/>
          <w:szCs w:val="22"/>
          <w:lang w:val="lt-LT" w:eastAsia="en-US"/>
        </w:rPr>
        <w:t>į</w:t>
      </w:r>
      <w:r w:rsidR="00B13DFC">
        <w:rPr>
          <w:rFonts w:cs="Times New Roman"/>
          <w:sz w:val="22"/>
          <w:szCs w:val="22"/>
          <w:lang w:val="lt-LT" w:eastAsia="en-US"/>
        </w:rPr>
        <w:t xml:space="preserve"> aktyvum</w:t>
      </w:r>
      <w:r w:rsidR="0038764D">
        <w:rPr>
          <w:rFonts w:cs="Times New Roman"/>
          <w:sz w:val="22"/>
          <w:szCs w:val="22"/>
          <w:lang w:val="lt-LT" w:eastAsia="en-US"/>
        </w:rPr>
        <w:t>ą</w:t>
      </w:r>
      <w:r w:rsidRPr="00997273">
        <w:rPr>
          <w:rFonts w:cs="Times New Roman"/>
          <w:sz w:val="22"/>
          <w:szCs w:val="22"/>
          <w:lang w:val="lt-LT" w:eastAsia="en-US"/>
        </w:rPr>
        <w:t>, kaip rekomendavo Jūsų</w:t>
      </w:r>
      <w:r w:rsidR="00D10348" w:rsidRPr="00997273">
        <w:rPr>
          <w:rFonts w:cs="Times New Roman"/>
          <w:sz w:val="22"/>
          <w:szCs w:val="22"/>
          <w:lang w:val="lt-LT" w:eastAsia="en-US"/>
        </w:rPr>
        <w:t xml:space="preserve"> </w:t>
      </w:r>
      <w:r w:rsidR="00E06B0E" w:rsidRPr="00997273">
        <w:rPr>
          <w:rFonts w:cs="Times New Roman"/>
          <w:sz w:val="22"/>
          <w:szCs w:val="22"/>
          <w:lang w:val="lt-LT" w:eastAsia="en-US"/>
        </w:rPr>
        <w:t>gydytojas.</w:t>
      </w:r>
    </w:p>
    <w:p w14:paraId="609AD202" w14:textId="77777777" w:rsidR="00612A8E" w:rsidRPr="00997273" w:rsidRDefault="00612A8E" w:rsidP="00612A8E">
      <w:pPr>
        <w:numPr>
          <w:ilvl w:val="12"/>
          <w:numId w:val="0"/>
        </w:numPr>
        <w:ind w:right="-2"/>
        <w:rPr>
          <w:rFonts w:eastAsia="Times New Roman" w:cs="Times New Roman"/>
          <w:noProof/>
          <w:sz w:val="22"/>
          <w:szCs w:val="22"/>
          <w:lang w:val="lt-LT" w:eastAsia="lt-LT" w:bidi="lt-LT"/>
        </w:rPr>
      </w:pPr>
    </w:p>
    <w:p w14:paraId="2E778AA4" w14:textId="361CDA9A" w:rsidR="00612A8E" w:rsidRPr="00997273" w:rsidRDefault="00612A8E" w:rsidP="00612A8E">
      <w:pPr>
        <w:numPr>
          <w:ilvl w:val="12"/>
          <w:numId w:val="0"/>
        </w:numPr>
        <w:ind w:right="-2"/>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 xml:space="preserve">Ką daryti pavartojus per didelę </w:t>
      </w:r>
      <w:proofErr w:type="spellStart"/>
      <w:r w:rsidR="00AE2AD2">
        <w:rPr>
          <w:rFonts w:eastAsia="Times New Roman" w:cs="Times New Roman"/>
          <w:b/>
          <w:sz w:val="22"/>
          <w:szCs w:val="22"/>
          <w:lang w:val="lt-LT" w:eastAsia="lt-LT" w:bidi="lt-LT"/>
        </w:rPr>
        <w:t>Meliglix</w:t>
      </w:r>
      <w:proofErr w:type="spellEnd"/>
      <w:r w:rsidR="00D10348" w:rsidRPr="00997273">
        <w:rPr>
          <w:rFonts w:eastAsia="Times New Roman" w:cs="Times New Roman"/>
          <w:b/>
          <w:noProof/>
          <w:sz w:val="22"/>
          <w:szCs w:val="22"/>
          <w:lang w:val="lt-LT" w:eastAsia="lt-LT" w:bidi="lt-LT"/>
        </w:rPr>
        <w:t xml:space="preserve"> dozę</w:t>
      </w:r>
    </w:p>
    <w:p w14:paraId="3B0E8F58" w14:textId="77777777" w:rsidR="00612A8E" w:rsidRPr="00997273" w:rsidRDefault="00D10348" w:rsidP="00612A8E">
      <w:pPr>
        <w:numPr>
          <w:ilvl w:val="12"/>
          <w:numId w:val="0"/>
        </w:numPr>
        <w:ind w:right="-2"/>
        <w:outlineLvl w:val="0"/>
        <w:rPr>
          <w:rFonts w:eastAsia="Times New Roman" w:cs="Times New Roman"/>
          <w:i/>
          <w:noProof/>
          <w:sz w:val="22"/>
          <w:szCs w:val="22"/>
          <w:lang w:val="lt-LT" w:eastAsia="lt-LT" w:bidi="lt-LT"/>
        </w:rPr>
      </w:pPr>
      <w:r w:rsidRPr="00997273">
        <w:rPr>
          <w:rFonts w:cs="Times New Roman"/>
          <w:sz w:val="22"/>
          <w:szCs w:val="22"/>
          <w:lang w:val="lt-LT" w:eastAsia="en-US"/>
        </w:rPr>
        <w:t xml:space="preserve">Jei išgėrėte didesnę šio vaisto dozę, nei gydytojo skirta, </w:t>
      </w:r>
      <w:r w:rsidRPr="004321F3">
        <w:rPr>
          <w:rFonts w:cs="Times New Roman"/>
          <w:bCs/>
          <w:sz w:val="22"/>
          <w:szCs w:val="22"/>
          <w:lang w:val="lt-LT" w:eastAsia="en-US"/>
        </w:rPr>
        <w:t>nedelsdami</w:t>
      </w:r>
      <w:r w:rsidRPr="00997273">
        <w:rPr>
          <w:rFonts w:cs="Times New Roman"/>
          <w:sz w:val="22"/>
          <w:szCs w:val="22"/>
          <w:lang w:val="lt-LT" w:eastAsia="en-US"/>
        </w:rPr>
        <w:t xml:space="preserve"> susisiekite su savo gydytoju.</w:t>
      </w:r>
    </w:p>
    <w:p w14:paraId="389DEDAC" w14:textId="77777777" w:rsidR="00D10348" w:rsidRPr="00997273" w:rsidRDefault="00D10348" w:rsidP="00612A8E">
      <w:pPr>
        <w:numPr>
          <w:ilvl w:val="12"/>
          <w:numId w:val="0"/>
        </w:numPr>
        <w:ind w:right="-2"/>
        <w:outlineLvl w:val="0"/>
        <w:rPr>
          <w:rFonts w:eastAsia="Times New Roman" w:cs="Times New Roman"/>
          <w:b/>
          <w:noProof/>
          <w:sz w:val="22"/>
          <w:szCs w:val="22"/>
          <w:lang w:val="lt-LT" w:eastAsia="lt-LT" w:bidi="lt-LT"/>
        </w:rPr>
      </w:pPr>
    </w:p>
    <w:p w14:paraId="1DB3BCFF" w14:textId="0BFB2987" w:rsidR="00612A8E" w:rsidRPr="00997273" w:rsidRDefault="00612A8E" w:rsidP="00612A8E">
      <w:pPr>
        <w:numPr>
          <w:ilvl w:val="12"/>
          <w:numId w:val="0"/>
        </w:numPr>
        <w:ind w:right="-2"/>
        <w:outlineLvl w:val="0"/>
        <w:rPr>
          <w:rFonts w:eastAsia="Times New Roman" w:cs="Times New Roman"/>
          <w:noProof/>
          <w:sz w:val="22"/>
          <w:szCs w:val="22"/>
          <w:lang w:val="lt-LT" w:eastAsia="lt-LT" w:bidi="lt-LT"/>
        </w:rPr>
      </w:pPr>
      <w:r w:rsidRPr="00997273">
        <w:rPr>
          <w:rFonts w:eastAsia="Times New Roman" w:cs="Times New Roman"/>
          <w:b/>
          <w:noProof/>
          <w:sz w:val="22"/>
          <w:szCs w:val="22"/>
          <w:lang w:val="lt-LT" w:eastAsia="lt-LT" w:bidi="lt-LT"/>
        </w:rPr>
        <w:t xml:space="preserve">Pamiršus pavartoti </w:t>
      </w:r>
      <w:proofErr w:type="spellStart"/>
      <w:r w:rsidR="00AE2AD2">
        <w:rPr>
          <w:rFonts w:eastAsia="Times New Roman" w:cs="Times New Roman"/>
          <w:b/>
          <w:sz w:val="22"/>
          <w:szCs w:val="22"/>
          <w:lang w:val="lt-LT" w:eastAsia="lt-LT" w:bidi="lt-LT"/>
        </w:rPr>
        <w:t>Meliglix</w:t>
      </w:r>
      <w:proofErr w:type="spellEnd"/>
      <w:r w:rsidR="00AD7290" w:rsidRPr="00997273">
        <w:rPr>
          <w:rFonts w:eastAsia="Times New Roman" w:cs="Times New Roman"/>
          <w:b/>
          <w:noProof/>
          <w:sz w:val="22"/>
          <w:szCs w:val="22"/>
          <w:lang w:val="lt-LT" w:eastAsia="lt-LT" w:bidi="lt-LT"/>
        </w:rPr>
        <w:t xml:space="preserve"> </w:t>
      </w:r>
    </w:p>
    <w:p w14:paraId="1366507E" w14:textId="40547ADD" w:rsidR="00612A8E" w:rsidRPr="00997273" w:rsidRDefault="00D10348" w:rsidP="00D10348">
      <w:pPr>
        <w:autoSpaceDE w:val="0"/>
        <w:autoSpaceDN w:val="0"/>
        <w:adjustRightInd w:val="0"/>
        <w:rPr>
          <w:rFonts w:eastAsia="Times New Roman" w:cs="Times New Roman"/>
          <w:noProof/>
          <w:sz w:val="22"/>
          <w:szCs w:val="22"/>
          <w:lang w:val="lt-LT" w:eastAsia="lt-LT" w:bidi="lt-LT"/>
        </w:rPr>
      </w:pPr>
      <w:r w:rsidRPr="00997273">
        <w:rPr>
          <w:rFonts w:cs="Times New Roman"/>
          <w:sz w:val="22"/>
          <w:szCs w:val="22"/>
          <w:lang w:val="lt-LT" w:eastAsia="en-US"/>
        </w:rPr>
        <w:t xml:space="preserve">Jei pamiršote išgerti vaisto dozę, išgerkite ją tuoj pat, kai tik prisiminsite. Jei neprisiminėte iki kol bus atėjęs kitos dozės vartojimo laikas, pamirštąją dozę praleiskite ir kitas dozes </w:t>
      </w:r>
      <w:r w:rsidR="00B644B9">
        <w:rPr>
          <w:rFonts w:cs="Times New Roman"/>
          <w:sz w:val="22"/>
          <w:szCs w:val="22"/>
          <w:lang w:val="lt-LT" w:eastAsia="en-US"/>
        </w:rPr>
        <w:t>vartokite</w:t>
      </w:r>
      <w:r w:rsidRPr="00997273">
        <w:rPr>
          <w:rFonts w:cs="Times New Roman"/>
          <w:sz w:val="22"/>
          <w:szCs w:val="22"/>
          <w:lang w:val="lt-LT" w:eastAsia="en-US"/>
        </w:rPr>
        <w:t xml:space="preserve"> įprastu metu. </w:t>
      </w:r>
      <w:r w:rsidR="00EC783E" w:rsidRPr="00EC783E">
        <w:rPr>
          <w:rFonts w:eastAsia="TimesNewRoman,Bold" w:cs="Times New Roman"/>
          <w:sz w:val="22"/>
          <w:szCs w:val="22"/>
          <w:lang w:val="lt-LT" w:eastAsia="en-US"/>
        </w:rPr>
        <w:t>Negalima vartoti dvigubos dozės norint kompensuoti praleistą dozę</w:t>
      </w:r>
      <w:r w:rsidRPr="00997273">
        <w:rPr>
          <w:rFonts w:cs="Times New Roman"/>
          <w:sz w:val="22"/>
          <w:szCs w:val="22"/>
          <w:lang w:val="lt-LT" w:eastAsia="en-US"/>
        </w:rPr>
        <w:t>.</w:t>
      </w:r>
    </w:p>
    <w:p w14:paraId="572A9AAF" w14:textId="77777777" w:rsidR="00D10348" w:rsidRPr="00997273" w:rsidRDefault="00D10348" w:rsidP="00612A8E">
      <w:pPr>
        <w:numPr>
          <w:ilvl w:val="12"/>
          <w:numId w:val="0"/>
        </w:numPr>
        <w:ind w:right="-2"/>
        <w:outlineLvl w:val="0"/>
        <w:rPr>
          <w:rFonts w:eastAsia="Times New Roman" w:cs="Times New Roman"/>
          <w:b/>
          <w:noProof/>
          <w:sz w:val="22"/>
          <w:szCs w:val="22"/>
          <w:lang w:val="lt-LT" w:eastAsia="lt-LT" w:bidi="lt-LT"/>
        </w:rPr>
      </w:pPr>
    </w:p>
    <w:p w14:paraId="187D0C29" w14:textId="3D74E2E1" w:rsidR="00612A8E" w:rsidRPr="00997273" w:rsidRDefault="00612A8E" w:rsidP="00612A8E">
      <w:pPr>
        <w:numPr>
          <w:ilvl w:val="12"/>
          <w:numId w:val="0"/>
        </w:numPr>
        <w:ind w:right="-2"/>
        <w:outlineLvl w:val="0"/>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 xml:space="preserve">Nustojus vartoti </w:t>
      </w:r>
      <w:proofErr w:type="spellStart"/>
      <w:r w:rsidR="00AE2AD2">
        <w:rPr>
          <w:rFonts w:eastAsia="Times New Roman" w:cs="Times New Roman"/>
          <w:b/>
          <w:sz w:val="22"/>
          <w:szCs w:val="22"/>
          <w:lang w:val="lt-LT" w:eastAsia="lt-LT" w:bidi="lt-LT"/>
        </w:rPr>
        <w:t>Meliglix</w:t>
      </w:r>
      <w:proofErr w:type="spellEnd"/>
      <w:r w:rsidR="00AD7290" w:rsidRPr="00997273">
        <w:rPr>
          <w:rFonts w:eastAsia="Times New Roman" w:cs="Times New Roman"/>
          <w:b/>
          <w:noProof/>
          <w:sz w:val="22"/>
          <w:szCs w:val="22"/>
          <w:lang w:val="lt-LT" w:eastAsia="lt-LT" w:bidi="lt-LT"/>
        </w:rPr>
        <w:t xml:space="preserve"> </w:t>
      </w:r>
    </w:p>
    <w:p w14:paraId="64C44732" w14:textId="6DF70176" w:rsidR="00AF00DE" w:rsidRPr="00AF00DE" w:rsidRDefault="00AF00DE" w:rsidP="00AF00DE">
      <w:pPr>
        <w:widowControl w:val="0"/>
        <w:autoSpaceDE w:val="0"/>
        <w:autoSpaceDN w:val="0"/>
        <w:adjustRightInd w:val="0"/>
        <w:rPr>
          <w:rFonts w:eastAsia="TimesNewRoman,Bold" w:cs="Times New Roman"/>
          <w:sz w:val="22"/>
          <w:szCs w:val="22"/>
          <w:lang w:val="lt-LT" w:eastAsia="en-US"/>
        </w:rPr>
      </w:pPr>
      <w:r w:rsidRPr="00AF00DE">
        <w:rPr>
          <w:rFonts w:eastAsia="TimesNewRoman,Bold" w:cs="Times New Roman"/>
          <w:sz w:val="22"/>
          <w:szCs w:val="22"/>
          <w:lang w:val="lt-LT" w:eastAsia="en-US"/>
        </w:rPr>
        <w:t xml:space="preserve">Vartokite šio vaisto tiek laiko, kiek skyrė Jūsų gydytojas, kad galėtumėte </w:t>
      </w:r>
      <w:r w:rsidR="00037C90">
        <w:rPr>
          <w:rFonts w:eastAsia="TimesNewRoman,Bold" w:cs="Times New Roman"/>
          <w:sz w:val="22"/>
          <w:szCs w:val="22"/>
          <w:lang w:val="lt-LT" w:eastAsia="en-US"/>
        </w:rPr>
        <w:t>reguliuoti</w:t>
      </w:r>
      <w:r w:rsidR="00037C90" w:rsidRPr="00AF00DE">
        <w:rPr>
          <w:rFonts w:eastAsia="TimesNewRoman,Bold" w:cs="Times New Roman"/>
          <w:sz w:val="22"/>
          <w:szCs w:val="22"/>
          <w:lang w:val="lt-LT" w:eastAsia="en-US"/>
        </w:rPr>
        <w:t xml:space="preserve"> </w:t>
      </w:r>
      <w:r w:rsidRPr="00AF00DE">
        <w:rPr>
          <w:rFonts w:eastAsia="TimesNewRoman,Bold" w:cs="Times New Roman"/>
          <w:sz w:val="22"/>
          <w:szCs w:val="22"/>
          <w:lang w:val="lt-LT" w:eastAsia="en-US"/>
        </w:rPr>
        <w:t>cukraus kiekį kraujyje. Nenustokite vartoti šio vaisto, prieš tai nepasitarę su savo gydytoju.</w:t>
      </w:r>
    </w:p>
    <w:p w14:paraId="3DD44943" w14:textId="77777777" w:rsidR="00D10348" w:rsidRPr="00997273" w:rsidRDefault="00D10348" w:rsidP="00D10348">
      <w:pPr>
        <w:numPr>
          <w:ilvl w:val="12"/>
          <w:numId w:val="0"/>
        </w:numPr>
        <w:ind w:right="-29"/>
        <w:rPr>
          <w:rFonts w:cs="Times New Roman"/>
          <w:sz w:val="22"/>
          <w:szCs w:val="22"/>
          <w:lang w:val="lt-LT" w:eastAsia="en-US"/>
        </w:rPr>
      </w:pPr>
    </w:p>
    <w:p w14:paraId="140B58EC" w14:textId="77777777" w:rsidR="00612A8E" w:rsidRPr="00997273" w:rsidRDefault="00D10348" w:rsidP="00D10348">
      <w:pPr>
        <w:numPr>
          <w:ilvl w:val="12"/>
          <w:numId w:val="0"/>
        </w:numPr>
        <w:ind w:right="-29"/>
        <w:rPr>
          <w:rFonts w:eastAsia="Times New Roman" w:cs="Times New Roman"/>
          <w:sz w:val="22"/>
          <w:szCs w:val="22"/>
          <w:lang w:val="lt-LT" w:eastAsia="lt-LT" w:bidi="lt-LT"/>
        </w:rPr>
      </w:pPr>
      <w:r w:rsidRPr="00997273">
        <w:rPr>
          <w:rFonts w:cs="Times New Roman"/>
          <w:sz w:val="22"/>
          <w:szCs w:val="22"/>
          <w:lang w:val="lt-LT" w:eastAsia="en-US"/>
        </w:rPr>
        <w:t>Jeigu kiltų daugiau klausimų dėl šio vaisto vartojimo, kreipkitės į gydytoją arba vaistininką.</w:t>
      </w:r>
      <w:r w:rsidRPr="00997273">
        <w:rPr>
          <w:rFonts w:eastAsia="Times New Roman" w:cs="Times New Roman"/>
          <w:sz w:val="22"/>
          <w:szCs w:val="22"/>
          <w:lang w:val="lt-LT" w:eastAsia="lt-LT" w:bidi="lt-LT"/>
        </w:rPr>
        <w:t xml:space="preserve"> </w:t>
      </w:r>
    </w:p>
    <w:p w14:paraId="125F1773" w14:textId="77777777" w:rsidR="00612A8E" w:rsidRPr="00997273" w:rsidRDefault="00612A8E" w:rsidP="00612A8E">
      <w:pPr>
        <w:numPr>
          <w:ilvl w:val="12"/>
          <w:numId w:val="0"/>
        </w:numPr>
        <w:rPr>
          <w:rFonts w:eastAsia="Times New Roman" w:cs="Times New Roman"/>
          <w:sz w:val="22"/>
          <w:szCs w:val="22"/>
          <w:lang w:val="lt-LT" w:eastAsia="lt-LT" w:bidi="lt-LT"/>
        </w:rPr>
      </w:pPr>
    </w:p>
    <w:p w14:paraId="651355B7" w14:textId="77777777" w:rsidR="00612A8E" w:rsidRPr="00997273" w:rsidRDefault="00612A8E" w:rsidP="00612A8E">
      <w:pPr>
        <w:numPr>
          <w:ilvl w:val="12"/>
          <w:numId w:val="0"/>
        </w:numPr>
        <w:rPr>
          <w:rFonts w:eastAsia="Times New Roman" w:cs="Times New Roman"/>
          <w:sz w:val="22"/>
          <w:szCs w:val="22"/>
          <w:lang w:val="lt-LT" w:eastAsia="lt-LT" w:bidi="lt-LT"/>
        </w:rPr>
      </w:pPr>
    </w:p>
    <w:p w14:paraId="31CC3D80" w14:textId="77777777" w:rsidR="00612A8E" w:rsidRPr="00997273" w:rsidRDefault="00612A8E" w:rsidP="00612A8E">
      <w:pPr>
        <w:keepNext/>
        <w:numPr>
          <w:ilvl w:val="0"/>
          <w:numId w:val="34"/>
        </w:numPr>
        <w:tabs>
          <w:tab w:val="left" w:pos="567"/>
        </w:tabs>
        <w:spacing w:line="260" w:lineRule="exact"/>
        <w:ind w:left="567" w:right="-2"/>
        <w:rPr>
          <w:rFonts w:eastAsia="Times New Roman" w:cs="Times New Roman"/>
          <w:sz w:val="22"/>
          <w:szCs w:val="22"/>
          <w:lang w:val="lt-LT" w:eastAsia="lt-LT" w:bidi="lt-LT"/>
        </w:rPr>
      </w:pPr>
      <w:r w:rsidRPr="00997273">
        <w:rPr>
          <w:rFonts w:eastAsia="Times New Roman" w:cs="Times New Roman"/>
          <w:b/>
          <w:sz w:val="22"/>
          <w:szCs w:val="22"/>
          <w:lang w:val="lt-LT" w:eastAsia="lt-LT" w:bidi="lt-LT"/>
        </w:rPr>
        <w:t>Galimas šalutinis poveikis</w:t>
      </w:r>
    </w:p>
    <w:p w14:paraId="0360202F" w14:textId="77777777" w:rsidR="00612A8E" w:rsidRPr="00997273" w:rsidRDefault="00612A8E" w:rsidP="00612A8E">
      <w:pPr>
        <w:keepNext/>
        <w:numPr>
          <w:ilvl w:val="12"/>
          <w:numId w:val="0"/>
        </w:numPr>
        <w:rPr>
          <w:rFonts w:eastAsia="Times New Roman" w:cs="Times New Roman"/>
          <w:sz w:val="22"/>
          <w:szCs w:val="22"/>
          <w:lang w:val="lt-LT" w:eastAsia="lt-LT" w:bidi="lt-LT"/>
        </w:rPr>
      </w:pPr>
    </w:p>
    <w:p w14:paraId="19BF65E5" w14:textId="77777777" w:rsidR="00612A8E" w:rsidRPr="00997273" w:rsidRDefault="00612A8E" w:rsidP="00612A8E">
      <w:pPr>
        <w:numPr>
          <w:ilvl w:val="12"/>
          <w:numId w:val="0"/>
        </w:numPr>
        <w:ind w:right="-29"/>
        <w:rPr>
          <w:rFonts w:eastAsia="Times New Roman" w:cs="Times New Roman"/>
          <w:noProof/>
          <w:sz w:val="22"/>
          <w:szCs w:val="22"/>
          <w:lang w:val="lt-LT" w:eastAsia="lt-LT" w:bidi="lt-LT"/>
        </w:rPr>
      </w:pPr>
      <w:r w:rsidRPr="00997273">
        <w:rPr>
          <w:rFonts w:eastAsia="Times New Roman" w:cs="Times New Roman"/>
          <w:sz w:val="22"/>
          <w:szCs w:val="22"/>
          <w:lang w:val="lt-LT" w:eastAsia="lt-LT" w:bidi="lt-LT"/>
        </w:rPr>
        <w:t>Šis vaistas, kaip ir visi kiti, gali sukelti šalutinį poveikį, nors jis pasireiškia ne visiems žmonėms.</w:t>
      </w:r>
    </w:p>
    <w:p w14:paraId="5EB4CC38" w14:textId="77777777" w:rsidR="00D10348" w:rsidRPr="00997273" w:rsidRDefault="00D10348" w:rsidP="00D10348">
      <w:pPr>
        <w:autoSpaceDE w:val="0"/>
        <w:autoSpaceDN w:val="0"/>
        <w:adjustRightInd w:val="0"/>
        <w:rPr>
          <w:rFonts w:cs="Times New Roman"/>
          <w:sz w:val="22"/>
          <w:szCs w:val="22"/>
          <w:lang w:val="lt-LT" w:eastAsia="en-US"/>
        </w:rPr>
      </w:pPr>
    </w:p>
    <w:p w14:paraId="590B6BDD" w14:textId="4830AC7A" w:rsidR="00D10348" w:rsidRPr="007A3969" w:rsidRDefault="00D10348" w:rsidP="00D10348">
      <w:pPr>
        <w:autoSpaceDE w:val="0"/>
        <w:autoSpaceDN w:val="0"/>
        <w:adjustRightInd w:val="0"/>
        <w:rPr>
          <w:rFonts w:cs="Times New Roman"/>
          <w:sz w:val="22"/>
          <w:szCs w:val="22"/>
          <w:lang w:val="lt-LT" w:eastAsia="en-US"/>
        </w:rPr>
      </w:pPr>
      <w:r w:rsidRPr="007A3969">
        <w:rPr>
          <w:rFonts w:cs="Times New Roman"/>
          <w:sz w:val="22"/>
          <w:szCs w:val="22"/>
          <w:lang w:val="lt-LT" w:eastAsia="en-US"/>
        </w:rPr>
        <w:t xml:space="preserve">Pastebėję bet kurį iš </w:t>
      </w:r>
      <w:r w:rsidR="007A3969" w:rsidRPr="007A3969">
        <w:rPr>
          <w:rFonts w:cs="Times New Roman"/>
          <w:sz w:val="22"/>
          <w:szCs w:val="22"/>
          <w:lang w:val="lt-LT" w:eastAsia="en-US"/>
        </w:rPr>
        <w:t>toliau</w:t>
      </w:r>
      <w:r w:rsidRPr="007A3969">
        <w:rPr>
          <w:rFonts w:cs="Times New Roman"/>
          <w:sz w:val="22"/>
          <w:szCs w:val="22"/>
          <w:lang w:val="lt-LT" w:eastAsia="en-US"/>
        </w:rPr>
        <w:t xml:space="preserve"> išvardintų sunkių šalutinių poveikių, </w:t>
      </w:r>
      <w:r w:rsidR="000C3E42" w:rsidRPr="007A3969">
        <w:rPr>
          <w:rFonts w:cs="Times New Roman"/>
          <w:sz w:val="22"/>
          <w:szCs w:val="22"/>
          <w:lang w:val="lt-LT" w:eastAsia="en-US"/>
        </w:rPr>
        <w:t xml:space="preserve">NUSTOKITE </w:t>
      </w:r>
      <w:r w:rsidRPr="007A3969">
        <w:rPr>
          <w:rFonts w:cs="Times New Roman"/>
          <w:sz w:val="22"/>
          <w:szCs w:val="22"/>
          <w:lang w:val="lt-LT" w:eastAsia="en-US"/>
        </w:rPr>
        <w:t xml:space="preserve">vartoti </w:t>
      </w:r>
      <w:proofErr w:type="spellStart"/>
      <w:r w:rsidR="00AE2AD2">
        <w:rPr>
          <w:rFonts w:eastAsia="Times New Roman" w:cs="Times New Roman"/>
          <w:sz w:val="22"/>
          <w:szCs w:val="22"/>
          <w:lang w:val="lt-LT" w:eastAsia="lt-LT" w:bidi="lt-LT"/>
        </w:rPr>
        <w:t>Meliglix</w:t>
      </w:r>
      <w:proofErr w:type="spellEnd"/>
      <w:r w:rsidRPr="007A3969">
        <w:rPr>
          <w:rFonts w:cs="Times New Roman"/>
          <w:sz w:val="22"/>
          <w:szCs w:val="22"/>
          <w:lang w:val="lt-LT" w:eastAsia="en-US"/>
        </w:rPr>
        <w:t xml:space="preserve"> ir nedelsdami kreipkitės į savo gydytoją, jeigu:</w:t>
      </w:r>
    </w:p>
    <w:p w14:paraId="2635F03A" w14:textId="5B0478F2" w:rsidR="00D10348" w:rsidRPr="00997273" w:rsidRDefault="002547CC" w:rsidP="00297C23">
      <w:pPr>
        <w:pStyle w:val="BT-EMEASMCA"/>
        <w:numPr>
          <w:ilvl w:val="0"/>
          <w:numId w:val="64"/>
        </w:numPr>
        <w:ind w:left="540" w:hanging="540"/>
        <w:rPr>
          <w:rFonts w:cs="Times New Roman"/>
          <w:sz w:val="22"/>
          <w:szCs w:val="22"/>
          <w:lang w:val="lt-LT" w:eastAsia="en-US"/>
        </w:rPr>
      </w:pPr>
      <w:r w:rsidRPr="00997273">
        <w:rPr>
          <w:rFonts w:cs="Times New Roman"/>
          <w:sz w:val="22"/>
          <w:szCs w:val="22"/>
          <w:lang w:val="lt-LT" w:eastAsia="en-US"/>
        </w:rPr>
        <w:t xml:space="preserve">pasireiškė </w:t>
      </w:r>
      <w:r w:rsidR="00D10348" w:rsidRPr="00997273">
        <w:rPr>
          <w:rFonts w:cs="Times New Roman"/>
          <w:sz w:val="22"/>
          <w:szCs w:val="22"/>
          <w:lang w:val="lt-LT" w:eastAsia="en-US"/>
        </w:rPr>
        <w:t xml:space="preserve">stiprus nepraeinantis pilvo skausmas (skrandžio srityje), kuris gali plisti į nugarą, </w:t>
      </w:r>
      <w:r w:rsidR="00F371C9" w:rsidRPr="00F371C9">
        <w:rPr>
          <w:rFonts w:eastAsia="Times New Roman" w:cs="Times New Roman"/>
          <w:sz w:val="22"/>
          <w:szCs w:val="22"/>
          <w:lang w:val="lt-LT" w:eastAsia="en-US"/>
        </w:rPr>
        <w:t>(kartu gali pasireikšti ar nepasireikšti pykinimas ar vėmimas), nes tai gali būti kasos uždegimo (pankreatito) požymiai</w:t>
      </w:r>
      <w:r w:rsidR="00D10348" w:rsidRPr="00997273">
        <w:rPr>
          <w:rFonts w:cs="Times New Roman"/>
          <w:sz w:val="22"/>
          <w:szCs w:val="22"/>
          <w:lang w:val="lt-LT" w:eastAsia="en-US"/>
        </w:rPr>
        <w:t>.</w:t>
      </w:r>
    </w:p>
    <w:p w14:paraId="7E4DACF8" w14:textId="77777777" w:rsidR="002547CC" w:rsidRPr="00997273" w:rsidRDefault="002547CC" w:rsidP="002547CC">
      <w:pPr>
        <w:pStyle w:val="BT-EMEASMCA"/>
        <w:numPr>
          <w:ilvl w:val="0"/>
          <w:numId w:val="0"/>
        </w:numPr>
        <w:ind w:left="567"/>
        <w:rPr>
          <w:rFonts w:cs="Times New Roman"/>
          <w:sz w:val="22"/>
          <w:szCs w:val="22"/>
          <w:lang w:val="lt-LT" w:eastAsia="en-US"/>
        </w:rPr>
      </w:pPr>
    </w:p>
    <w:p w14:paraId="04F1A660" w14:textId="1AB1DAF4" w:rsidR="00D10348" w:rsidRPr="00997273" w:rsidRDefault="00D10348" w:rsidP="00D10348">
      <w:pPr>
        <w:autoSpaceDE w:val="0"/>
        <w:autoSpaceDN w:val="0"/>
        <w:adjustRightInd w:val="0"/>
        <w:rPr>
          <w:rFonts w:cs="Times New Roman"/>
          <w:sz w:val="22"/>
          <w:szCs w:val="22"/>
          <w:lang w:val="lt-LT" w:eastAsia="en-US"/>
        </w:rPr>
      </w:pPr>
      <w:r w:rsidRPr="00997273">
        <w:rPr>
          <w:rFonts w:cs="Times New Roman"/>
          <w:sz w:val="22"/>
          <w:szCs w:val="22"/>
          <w:lang w:val="lt-LT" w:eastAsia="en-US"/>
        </w:rPr>
        <w:t>Jeigu Jums pasireiškė sunki alerginė reakcija (dažnis nežinomas), įskaitant išbėrimą, dilgėlinę,</w:t>
      </w:r>
      <w:r w:rsidR="002547CC" w:rsidRPr="00997273">
        <w:rPr>
          <w:rFonts w:cs="Times New Roman"/>
          <w:sz w:val="22"/>
          <w:szCs w:val="22"/>
          <w:lang w:val="lt-LT" w:eastAsia="en-US"/>
        </w:rPr>
        <w:t xml:space="preserve"> </w:t>
      </w:r>
      <w:r w:rsidRPr="00997273">
        <w:rPr>
          <w:rFonts w:cs="Times New Roman"/>
          <w:sz w:val="22"/>
          <w:szCs w:val="22"/>
          <w:lang w:val="lt-LT" w:eastAsia="en-US"/>
        </w:rPr>
        <w:t>pūslel</w:t>
      </w:r>
      <w:r w:rsidR="002547CC" w:rsidRPr="00997273">
        <w:rPr>
          <w:rFonts w:cs="Times New Roman"/>
          <w:sz w:val="22"/>
          <w:szCs w:val="22"/>
          <w:lang w:val="lt-LT" w:eastAsia="en-US"/>
        </w:rPr>
        <w:t>inę odoje</w:t>
      </w:r>
      <w:r w:rsidRPr="00997273">
        <w:rPr>
          <w:rFonts w:cs="Times New Roman"/>
          <w:sz w:val="22"/>
          <w:szCs w:val="22"/>
          <w:lang w:val="lt-LT" w:eastAsia="en-US"/>
        </w:rPr>
        <w:t xml:space="preserve"> ar odos lupimąsi bei veido, lūpų, liežuvio ir gerklės patinimą, kuris gali pasunkinti</w:t>
      </w:r>
      <w:r w:rsidR="002547CC" w:rsidRPr="00997273">
        <w:rPr>
          <w:rFonts w:cs="Times New Roman"/>
          <w:sz w:val="22"/>
          <w:szCs w:val="22"/>
          <w:lang w:val="lt-LT" w:eastAsia="en-US"/>
        </w:rPr>
        <w:t xml:space="preserve"> </w:t>
      </w:r>
      <w:r w:rsidRPr="00997273">
        <w:rPr>
          <w:rFonts w:cs="Times New Roman"/>
          <w:sz w:val="22"/>
          <w:szCs w:val="22"/>
          <w:lang w:val="lt-LT" w:eastAsia="en-US"/>
        </w:rPr>
        <w:t xml:space="preserve">kvėpavimą arba rijimą, šio vaisto nebevartokite </w:t>
      </w:r>
      <w:r w:rsidRPr="00F371C9">
        <w:rPr>
          <w:rFonts w:cs="Times New Roman"/>
          <w:sz w:val="22"/>
          <w:szCs w:val="22"/>
          <w:lang w:val="lt-LT" w:eastAsia="en-US"/>
        </w:rPr>
        <w:t>ir nedelsdami</w:t>
      </w:r>
      <w:r w:rsidRPr="00997273">
        <w:rPr>
          <w:rFonts w:cs="Times New Roman"/>
          <w:sz w:val="22"/>
          <w:szCs w:val="22"/>
          <w:lang w:val="lt-LT" w:eastAsia="en-US"/>
        </w:rPr>
        <w:t xml:space="preserve"> kreipkitės į gydytoją. Gydytojas gali</w:t>
      </w:r>
      <w:r w:rsidR="002547CC" w:rsidRPr="00997273">
        <w:rPr>
          <w:rFonts w:cs="Times New Roman"/>
          <w:sz w:val="22"/>
          <w:szCs w:val="22"/>
          <w:lang w:val="lt-LT" w:eastAsia="en-US"/>
        </w:rPr>
        <w:t xml:space="preserve"> </w:t>
      </w:r>
      <w:r w:rsidRPr="00997273">
        <w:rPr>
          <w:rFonts w:cs="Times New Roman"/>
          <w:sz w:val="22"/>
          <w:szCs w:val="22"/>
          <w:lang w:val="lt-LT" w:eastAsia="en-US"/>
        </w:rPr>
        <w:t xml:space="preserve">Jums paskirti vaistų </w:t>
      </w:r>
      <w:r w:rsidR="004054D3">
        <w:rPr>
          <w:rFonts w:cs="Times New Roman"/>
          <w:sz w:val="22"/>
          <w:szCs w:val="22"/>
          <w:lang w:val="lt-LT" w:eastAsia="en-US"/>
        </w:rPr>
        <w:t xml:space="preserve">nuo </w:t>
      </w:r>
      <w:r w:rsidRPr="00997273">
        <w:rPr>
          <w:rFonts w:cs="Times New Roman"/>
          <w:sz w:val="22"/>
          <w:szCs w:val="22"/>
          <w:lang w:val="lt-LT" w:eastAsia="en-US"/>
        </w:rPr>
        <w:t>alergin</w:t>
      </w:r>
      <w:r w:rsidR="004054D3">
        <w:rPr>
          <w:rFonts w:cs="Times New Roman"/>
          <w:sz w:val="22"/>
          <w:szCs w:val="22"/>
          <w:lang w:val="lt-LT" w:eastAsia="en-US"/>
        </w:rPr>
        <w:t>ės</w:t>
      </w:r>
      <w:r w:rsidRPr="00997273">
        <w:rPr>
          <w:rFonts w:cs="Times New Roman"/>
          <w:sz w:val="22"/>
          <w:szCs w:val="22"/>
          <w:lang w:val="lt-LT" w:eastAsia="en-US"/>
        </w:rPr>
        <w:t xml:space="preserve"> reakcij</w:t>
      </w:r>
      <w:r w:rsidR="004054D3">
        <w:rPr>
          <w:rFonts w:cs="Times New Roman"/>
          <w:sz w:val="22"/>
          <w:szCs w:val="22"/>
          <w:lang w:val="lt-LT" w:eastAsia="en-US"/>
        </w:rPr>
        <w:t>os</w:t>
      </w:r>
      <w:r w:rsidRPr="00997273">
        <w:rPr>
          <w:rFonts w:cs="Times New Roman"/>
          <w:sz w:val="22"/>
          <w:szCs w:val="22"/>
          <w:lang w:val="lt-LT" w:eastAsia="en-US"/>
        </w:rPr>
        <w:t xml:space="preserve"> ir kitų vaistų nuo cukrinio diabeto.</w:t>
      </w:r>
    </w:p>
    <w:p w14:paraId="45886327" w14:textId="77777777" w:rsidR="002547CC" w:rsidRPr="00997273" w:rsidRDefault="002547CC" w:rsidP="00D10348">
      <w:pPr>
        <w:autoSpaceDE w:val="0"/>
        <w:autoSpaceDN w:val="0"/>
        <w:adjustRightInd w:val="0"/>
        <w:rPr>
          <w:rFonts w:cs="Times New Roman"/>
          <w:sz w:val="22"/>
          <w:szCs w:val="22"/>
          <w:lang w:val="lt-LT" w:eastAsia="en-US"/>
        </w:rPr>
      </w:pPr>
    </w:p>
    <w:p w14:paraId="1C50A470" w14:textId="63815141" w:rsidR="00D10348" w:rsidRPr="00CE77A0" w:rsidRDefault="00D10348" w:rsidP="00D10348">
      <w:pPr>
        <w:autoSpaceDE w:val="0"/>
        <w:autoSpaceDN w:val="0"/>
        <w:adjustRightInd w:val="0"/>
        <w:rPr>
          <w:rFonts w:cs="Times New Roman"/>
          <w:bCs/>
          <w:sz w:val="22"/>
          <w:szCs w:val="22"/>
          <w:lang w:val="lt-LT" w:eastAsia="en-US"/>
        </w:rPr>
      </w:pPr>
      <w:r w:rsidRPr="00CE77A0">
        <w:rPr>
          <w:rFonts w:cs="Times New Roman"/>
          <w:bCs/>
          <w:sz w:val="22"/>
          <w:szCs w:val="22"/>
          <w:lang w:val="lt-LT" w:eastAsia="en-US"/>
        </w:rPr>
        <w:t xml:space="preserve">Šalutinis poveikis, pasireiškęs kai kuriems </w:t>
      </w:r>
      <w:r w:rsidR="002547CC" w:rsidRPr="00CE77A0">
        <w:rPr>
          <w:rFonts w:cs="Times New Roman"/>
          <w:bCs/>
          <w:sz w:val="22"/>
          <w:szCs w:val="22"/>
          <w:lang w:val="lt-LT" w:eastAsia="en-US"/>
        </w:rPr>
        <w:t>pacientams</w:t>
      </w:r>
      <w:r w:rsidRPr="00CE77A0">
        <w:rPr>
          <w:rFonts w:cs="Times New Roman"/>
          <w:bCs/>
          <w:sz w:val="22"/>
          <w:szCs w:val="22"/>
          <w:lang w:val="lt-LT" w:eastAsia="en-US"/>
        </w:rPr>
        <w:t xml:space="preserve">, kuriems gydymas </w:t>
      </w:r>
      <w:proofErr w:type="spellStart"/>
      <w:r w:rsidRPr="00CE77A0">
        <w:rPr>
          <w:rFonts w:cs="Times New Roman"/>
          <w:bCs/>
          <w:sz w:val="22"/>
          <w:szCs w:val="22"/>
          <w:lang w:val="lt-LT" w:eastAsia="en-US"/>
        </w:rPr>
        <w:t>metforminu</w:t>
      </w:r>
      <w:proofErr w:type="spellEnd"/>
      <w:r w:rsidRPr="00CE77A0">
        <w:rPr>
          <w:rFonts w:cs="Times New Roman"/>
          <w:bCs/>
          <w:sz w:val="22"/>
          <w:szCs w:val="22"/>
          <w:lang w:val="lt-LT" w:eastAsia="en-US"/>
        </w:rPr>
        <w:t xml:space="preserve"> buvo papildytas</w:t>
      </w:r>
      <w:r w:rsidR="002547CC" w:rsidRPr="00CE77A0">
        <w:rPr>
          <w:rFonts w:cs="Times New Roman"/>
          <w:bCs/>
          <w:sz w:val="22"/>
          <w:szCs w:val="22"/>
          <w:lang w:val="lt-LT" w:eastAsia="en-US"/>
        </w:rPr>
        <w:t xml:space="preserve"> </w:t>
      </w:r>
      <w:proofErr w:type="spellStart"/>
      <w:r w:rsidRPr="00CE77A0">
        <w:rPr>
          <w:rFonts w:cs="Times New Roman"/>
          <w:bCs/>
          <w:sz w:val="22"/>
          <w:szCs w:val="22"/>
          <w:lang w:val="lt-LT" w:eastAsia="en-US"/>
        </w:rPr>
        <w:t>sitagliptinu</w:t>
      </w:r>
      <w:proofErr w:type="spellEnd"/>
      <w:r w:rsidRPr="00CE77A0">
        <w:rPr>
          <w:rFonts w:cs="Times New Roman"/>
          <w:bCs/>
          <w:sz w:val="22"/>
          <w:szCs w:val="22"/>
          <w:lang w:val="lt-LT" w:eastAsia="en-US"/>
        </w:rPr>
        <w:t>:</w:t>
      </w:r>
    </w:p>
    <w:p w14:paraId="5CC12B49" w14:textId="209AC7BE" w:rsidR="00D10348" w:rsidRPr="00A114D2" w:rsidRDefault="00D10348" w:rsidP="00E70362">
      <w:pPr>
        <w:autoSpaceDE w:val="0"/>
        <w:autoSpaceDN w:val="0"/>
        <w:adjustRightInd w:val="0"/>
        <w:rPr>
          <w:rFonts w:cs="Times New Roman"/>
          <w:bCs/>
          <w:sz w:val="22"/>
          <w:szCs w:val="22"/>
          <w:lang w:val="lt-LT" w:eastAsia="en-US"/>
        </w:rPr>
      </w:pPr>
      <w:r w:rsidRPr="00A114D2">
        <w:rPr>
          <w:rFonts w:cs="Times New Roman"/>
          <w:bCs/>
          <w:sz w:val="22"/>
          <w:szCs w:val="22"/>
          <w:lang w:val="lt-LT" w:eastAsia="en-US"/>
        </w:rPr>
        <w:t>Dažn</w:t>
      </w:r>
      <w:r w:rsidR="00DC4337">
        <w:rPr>
          <w:rFonts w:cs="Times New Roman"/>
          <w:bCs/>
          <w:sz w:val="22"/>
          <w:szCs w:val="22"/>
          <w:lang w:val="lt-LT" w:eastAsia="en-US"/>
        </w:rPr>
        <w:t xml:space="preserve">i </w:t>
      </w:r>
      <w:r w:rsidR="00A31128">
        <w:rPr>
          <w:rFonts w:cs="Times New Roman"/>
          <w:bCs/>
          <w:sz w:val="22"/>
          <w:szCs w:val="22"/>
          <w:lang w:val="lt-LT" w:eastAsia="en-US"/>
        </w:rPr>
        <w:t>šalutinio poveikio reiškiniai</w:t>
      </w:r>
      <w:r w:rsidRPr="00A114D2">
        <w:rPr>
          <w:rFonts w:cs="Times New Roman"/>
          <w:bCs/>
          <w:sz w:val="22"/>
          <w:szCs w:val="22"/>
          <w:lang w:val="lt-LT" w:eastAsia="en-US"/>
        </w:rPr>
        <w:t xml:space="preserve"> (gali pasireikšti </w:t>
      </w:r>
      <w:r w:rsidR="00A114D2" w:rsidRPr="00A114D2">
        <w:rPr>
          <w:rFonts w:cs="Times New Roman"/>
          <w:bCs/>
          <w:sz w:val="22"/>
          <w:szCs w:val="22"/>
          <w:lang w:val="lt-LT" w:eastAsia="en-US"/>
        </w:rPr>
        <w:t>rečiau</w:t>
      </w:r>
      <w:r w:rsidRPr="00A114D2">
        <w:rPr>
          <w:rFonts w:cs="Times New Roman"/>
          <w:bCs/>
          <w:sz w:val="22"/>
          <w:szCs w:val="22"/>
          <w:lang w:val="lt-LT" w:eastAsia="en-US"/>
        </w:rPr>
        <w:t xml:space="preserve"> </w:t>
      </w:r>
      <w:r w:rsidR="00037C90">
        <w:rPr>
          <w:rFonts w:cs="Times New Roman"/>
          <w:bCs/>
          <w:sz w:val="22"/>
          <w:szCs w:val="22"/>
          <w:lang w:val="lt-LT" w:eastAsia="en-US"/>
        </w:rPr>
        <w:t>kaip</w:t>
      </w:r>
      <w:r w:rsidR="00037C90" w:rsidRPr="00A114D2">
        <w:rPr>
          <w:rFonts w:cs="Times New Roman"/>
          <w:bCs/>
          <w:sz w:val="22"/>
          <w:szCs w:val="22"/>
          <w:lang w:val="lt-LT" w:eastAsia="en-US"/>
        </w:rPr>
        <w:t xml:space="preserve"> </w:t>
      </w:r>
      <w:r w:rsidRPr="00A114D2">
        <w:rPr>
          <w:rFonts w:cs="Times New Roman"/>
          <w:bCs/>
          <w:sz w:val="22"/>
          <w:szCs w:val="22"/>
          <w:lang w:val="lt-LT" w:eastAsia="en-US"/>
        </w:rPr>
        <w:t>1 iš 10</w:t>
      </w:r>
      <w:r w:rsidR="0047600A">
        <w:rPr>
          <w:rFonts w:cs="Times New Roman"/>
          <w:bCs/>
          <w:sz w:val="22"/>
          <w:szCs w:val="22"/>
          <w:lang w:val="lt-LT" w:eastAsia="en-US"/>
        </w:rPr>
        <w:t>asmenų</w:t>
      </w:r>
      <w:r w:rsidRPr="00A114D2">
        <w:rPr>
          <w:rFonts w:cs="Times New Roman"/>
          <w:bCs/>
          <w:sz w:val="22"/>
          <w:szCs w:val="22"/>
          <w:lang w:val="lt-LT" w:eastAsia="en-US"/>
        </w:rPr>
        <w:t>): mažas cukraus kiekis kraujyje, pykinimas,</w:t>
      </w:r>
      <w:r w:rsidR="002547CC" w:rsidRPr="00A114D2">
        <w:rPr>
          <w:rFonts w:cs="Times New Roman"/>
          <w:bCs/>
          <w:sz w:val="22"/>
          <w:szCs w:val="22"/>
          <w:lang w:val="lt-LT" w:eastAsia="en-US"/>
        </w:rPr>
        <w:t xml:space="preserve"> </w:t>
      </w:r>
      <w:r w:rsidRPr="00A114D2">
        <w:rPr>
          <w:rFonts w:cs="Times New Roman"/>
          <w:bCs/>
          <w:sz w:val="22"/>
          <w:szCs w:val="22"/>
          <w:lang w:val="lt-LT" w:eastAsia="en-US"/>
        </w:rPr>
        <w:t>pilvo pūtimas, vėmimas.</w:t>
      </w:r>
    </w:p>
    <w:p w14:paraId="79A67E1C" w14:textId="2A75AF79" w:rsidR="00D10348" w:rsidRPr="00997273" w:rsidRDefault="00D10348" w:rsidP="00E70362">
      <w:pPr>
        <w:autoSpaceDE w:val="0"/>
        <w:autoSpaceDN w:val="0"/>
        <w:adjustRightInd w:val="0"/>
        <w:rPr>
          <w:rFonts w:cs="Times New Roman"/>
          <w:sz w:val="22"/>
          <w:szCs w:val="22"/>
          <w:lang w:val="lt-LT" w:eastAsia="en-US"/>
        </w:rPr>
      </w:pPr>
      <w:r w:rsidRPr="00A114D2">
        <w:rPr>
          <w:rFonts w:cs="Times New Roman"/>
          <w:bCs/>
          <w:sz w:val="22"/>
          <w:szCs w:val="22"/>
          <w:lang w:val="lt-LT" w:eastAsia="en-US"/>
        </w:rPr>
        <w:lastRenderedPageBreak/>
        <w:t>Nedažn</w:t>
      </w:r>
      <w:r w:rsidR="00E93B62">
        <w:rPr>
          <w:rFonts w:cs="Times New Roman"/>
          <w:bCs/>
          <w:sz w:val="22"/>
          <w:szCs w:val="22"/>
          <w:lang w:val="lt-LT" w:eastAsia="en-US"/>
        </w:rPr>
        <w:t>i šalutinio poveikio reiškiniai</w:t>
      </w:r>
      <w:r w:rsidRPr="00997273">
        <w:rPr>
          <w:rFonts w:cs="Times New Roman"/>
          <w:sz w:val="22"/>
          <w:szCs w:val="22"/>
          <w:lang w:val="lt-LT" w:eastAsia="en-US"/>
        </w:rPr>
        <w:t xml:space="preserve"> (gali pasireikšti </w:t>
      </w:r>
      <w:r w:rsidR="004901C9">
        <w:rPr>
          <w:rFonts w:cs="Times New Roman"/>
          <w:sz w:val="22"/>
          <w:szCs w:val="22"/>
          <w:lang w:val="lt-LT" w:eastAsia="en-US"/>
        </w:rPr>
        <w:t>rečiau</w:t>
      </w:r>
      <w:r w:rsidRPr="00997273">
        <w:rPr>
          <w:rFonts w:cs="Times New Roman"/>
          <w:sz w:val="22"/>
          <w:szCs w:val="22"/>
          <w:lang w:val="lt-LT" w:eastAsia="en-US"/>
        </w:rPr>
        <w:t xml:space="preserve"> </w:t>
      </w:r>
      <w:r w:rsidR="00037C90">
        <w:rPr>
          <w:rFonts w:cs="Times New Roman"/>
          <w:sz w:val="22"/>
          <w:szCs w:val="22"/>
          <w:lang w:val="lt-LT" w:eastAsia="en-US"/>
        </w:rPr>
        <w:t>kaip</w:t>
      </w:r>
      <w:r w:rsidR="00037C90" w:rsidRPr="00997273">
        <w:rPr>
          <w:rFonts w:cs="Times New Roman"/>
          <w:sz w:val="22"/>
          <w:szCs w:val="22"/>
          <w:lang w:val="lt-LT" w:eastAsia="en-US"/>
        </w:rPr>
        <w:t xml:space="preserve"> </w:t>
      </w:r>
      <w:r w:rsidRPr="00997273">
        <w:rPr>
          <w:rFonts w:cs="Times New Roman"/>
          <w:sz w:val="22"/>
          <w:szCs w:val="22"/>
          <w:lang w:val="lt-LT" w:eastAsia="en-US"/>
        </w:rPr>
        <w:t xml:space="preserve">1 iš 100 </w:t>
      </w:r>
      <w:r w:rsidR="007E375B">
        <w:rPr>
          <w:rFonts w:cs="Times New Roman"/>
          <w:sz w:val="22"/>
          <w:szCs w:val="22"/>
          <w:lang w:val="lt-LT" w:eastAsia="en-US"/>
        </w:rPr>
        <w:t>asmenų</w:t>
      </w:r>
      <w:r w:rsidRPr="00997273">
        <w:rPr>
          <w:rFonts w:cs="Times New Roman"/>
          <w:sz w:val="22"/>
          <w:szCs w:val="22"/>
          <w:lang w:val="lt-LT" w:eastAsia="en-US"/>
        </w:rPr>
        <w:t>): skrandžio skausmas, viduriavimas, vidurių</w:t>
      </w:r>
      <w:r w:rsidR="002547CC" w:rsidRPr="00997273">
        <w:rPr>
          <w:rFonts w:cs="Times New Roman"/>
          <w:sz w:val="22"/>
          <w:szCs w:val="22"/>
          <w:lang w:val="lt-LT" w:eastAsia="en-US"/>
        </w:rPr>
        <w:t xml:space="preserve"> </w:t>
      </w:r>
      <w:r w:rsidRPr="00997273">
        <w:rPr>
          <w:rFonts w:cs="Times New Roman"/>
          <w:sz w:val="22"/>
          <w:szCs w:val="22"/>
          <w:lang w:val="lt-LT" w:eastAsia="en-US"/>
        </w:rPr>
        <w:t>užkietėjimas, mieguistumas.</w:t>
      </w:r>
    </w:p>
    <w:p w14:paraId="0340FC46" w14:textId="77777777" w:rsidR="002547CC" w:rsidRPr="00997273" w:rsidRDefault="002547CC" w:rsidP="00D10348">
      <w:pPr>
        <w:numPr>
          <w:ilvl w:val="12"/>
          <w:numId w:val="0"/>
        </w:numPr>
        <w:ind w:right="-29"/>
        <w:rPr>
          <w:rFonts w:cs="Times New Roman"/>
          <w:sz w:val="22"/>
          <w:szCs w:val="22"/>
          <w:lang w:val="lt-LT" w:eastAsia="en-US"/>
        </w:rPr>
      </w:pPr>
    </w:p>
    <w:p w14:paraId="6F1AC5E5" w14:textId="0E559CE4" w:rsidR="002547CC" w:rsidRPr="00997273" w:rsidRDefault="00D10348" w:rsidP="002547CC">
      <w:pPr>
        <w:numPr>
          <w:ilvl w:val="12"/>
          <w:numId w:val="0"/>
        </w:numPr>
        <w:ind w:right="-29"/>
        <w:rPr>
          <w:rFonts w:cs="Times New Roman"/>
          <w:sz w:val="22"/>
          <w:szCs w:val="22"/>
          <w:lang w:val="lt-LT" w:eastAsia="en-US"/>
        </w:rPr>
      </w:pPr>
      <w:r w:rsidRPr="00997273">
        <w:rPr>
          <w:rFonts w:cs="Times New Roman"/>
          <w:sz w:val="22"/>
          <w:szCs w:val="22"/>
          <w:lang w:val="lt-LT" w:eastAsia="en-US"/>
        </w:rPr>
        <w:t xml:space="preserve">Kai kuriems </w:t>
      </w:r>
      <w:proofErr w:type="spellStart"/>
      <w:r w:rsidRPr="00997273">
        <w:rPr>
          <w:rFonts w:cs="Times New Roman"/>
          <w:sz w:val="22"/>
          <w:szCs w:val="22"/>
          <w:lang w:val="lt-LT" w:eastAsia="en-US"/>
        </w:rPr>
        <w:t>sitagliptino</w:t>
      </w:r>
      <w:proofErr w:type="spellEnd"/>
      <w:r w:rsidRPr="00997273">
        <w:rPr>
          <w:rFonts w:cs="Times New Roman"/>
          <w:sz w:val="22"/>
          <w:szCs w:val="22"/>
          <w:lang w:val="lt-LT" w:eastAsia="en-US"/>
        </w:rPr>
        <w:t xml:space="preserve"> ir </w:t>
      </w:r>
      <w:proofErr w:type="spellStart"/>
      <w:r w:rsidRPr="00997273">
        <w:rPr>
          <w:rFonts w:cs="Times New Roman"/>
          <w:sz w:val="22"/>
          <w:szCs w:val="22"/>
          <w:lang w:val="lt-LT" w:eastAsia="en-US"/>
        </w:rPr>
        <w:t>metformino</w:t>
      </w:r>
      <w:proofErr w:type="spellEnd"/>
      <w:r w:rsidRPr="00997273">
        <w:rPr>
          <w:rFonts w:cs="Times New Roman"/>
          <w:sz w:val="22"/>
          <w:szCs w:val="22"/>
          <w:lang w:val="lt-LT" w:eastAsia="en-US"/>
        </w:rPr>
        <w:t xml:space="preserve"> derin</w:t>
      </w:r>
      <w:r w:rsidR="004901C9">
        <w:rPr>
          <w:rFonts w:cs="Times New Roman"/>
          <w:sz w:val="22"/>
          <w:szCs w:val="22"/>
          <w:lang w:val="lt-LT" w:eastAsia="en-US"/>
        </w:rPr>
        <w:t>io</w:t>
      </w:r>
      <w:r w:rsidRPr="00997273">
        <w:rPr>
          <w:rFonts w:cs="Times New Roman"/>
          <w:sz w:val="22"/>
          <w:szCs w:val="22"/>
          <w:lang w:val="lt-LT" w:eastAsia="en-US"/>
        </w:rPr>
        <w:t xml:space="preserve"> pradėj</w:t>
      </w:r>
      <w:r w:rsidR="002547CC" w:rsidRPr="00997273">
        <w:rPr>
          <w:rFonts w:cs="Times New Roman"/>
          <w:sz w:val="22"/>
          <w:szCs w:val="22"/>
          <w:lang w:val="lt-LT" w:eastAsia="en-US"/>
        </w:rPr>
        <w:t>usiems vartoti pacientams</w:t>
      </w:r>
      <w:r w:rsidRPr="00997273">
        <w:rPr>
          <w:rFonts w:cs="Times New Roman"/>
          <w:sz w:val="22"/>
          <w:szCs w:val="22"/>
          <w:lang w:val="lt-LT" w:eastAsia="en-US"/>
        </w:rPr>
        <w:t xml:space="preserve"> </w:t>
      </w:r>
      <w:r w:rsidR="005D5F48">
        <w:rPr>
          <w:rFonts w:cs="Times New Roman"/>
          <w:sz w:val="22"/>
          <w:szCs w:val="22"/>
          <w:lang w:val="lt-LT" w:eastAsia="en-US"/>
        </w:rPr>
        <w:t>pasireiškė</w:t>
      </w:r>
      <w:r w:rsidRPr="00997273">
        <w:rPr>
          <w:rFonts w:cs="Times New Roman"/>
          <w:sz w:val="22"/>
          <w:szCs w:val="22"/>
          <w:lang w:val="lt-LT" w:eastAsia="en-US"/>
        </w:rPr>
        <w:t xml:space="preserve"> įvairaus</w:t>
      </w:r>
      <w:r w:rsidR="002547CC" w:rsidRPr="00997273">
        <w:rPr>
          <w:rFonts w:cs="Times New Roman"/>
          <w:sz w:val="22"/>
          <w:szCs w:val="22"/>
          <w:lang w:val="lt-LT" w:eastAsia="en-US"/>
        </w:rPr>
        <w:t xml:space="preserve"> pobūdžio nemalon</w:t>
      </w:r>
      <w:r w:rsidR="00D92275">
        <w:rPr>
          <w:rFonts w:cs="Times New Roman"/>
          <w:sz w:val="22"/>
          <w:szCs w:val="22"/>
          <w:lang w:val="lt-LT" w:eastAsia="en-US"/>
        </w:rPr>
        <w:t>ių</w:t>
      </w:r>
      <w:r w:rsidR="002547CC" w:rsidRPr="00997273">
        <w:rPr>
          <w:rFonts w:cs="Times New Roman"/>
          <w:sz w:val="22"/>
          <w:szCs w:val="22"/>
          <w:lang w:val="lt-LT" w:eastAsia="en-US"/>
        </w:rPr>
        <w:t xml:space="preserve"> pojūči</w:t>
      </w:r>
      <w:r w:rsidR="00D92275">
        <w:rPr>
          <w:rFonts w:cs="Times New Roman"/>
          <w:sz w:val="22"/>
          <w:szCs w:val="22"/>
          <w:lang w:val="lt-LT" w:eastAsia="en-US"/>
        </w:rPr>
        <w:t>ų</w:t>
      </w:r>
      <w:r w:rsidR="002547CC" w:rsidRPr="00997273">
        <w:rPr>
          <w:rFonts w:cs="Times New Roman"/>
          <w:sz w:val="22"/>
          <w:szCs w:val="22"/>
          <w:lang w:val="lt-LT" w:eastAsia="en-US"/>
        </w:rPr>
        <w:t xml:space="preserve"> skrandyje (</w:t>
      </w:r>
      <w:r w:rsidR="00D92275">
        <w:rPr>
          <w:rFonts w:cs="Times New Roman"/>
          <w:sz w:val="22"/>
          <w:szCs w:val="22"/>
          <w:lang w:val="lt-LT" w:eastAsia="en-US"/>
        </w:rPr>
        <w:t>tokie sutri</w:t>
      </w:r>
      <w:r w:rsidR="00E70362">
        <w:rPr>
          <w:rFonts w:cs="Times New Roman"/>
          <w:sz w:val="22"/>
          <w:szCs w:val="22"/>
          <w:lang w:val="lt-LT" w:eastAsia="en-US"/>
        </w:rPr>
        <w:t>k</w:t>
      </w:r>
      <w:r w:rsidR="00D92275">
        <w:rPr>
          <w:rFonts w:cs="Times New Roman"/>
          <w:sz w:val="22"/>
          <w:szCs w:val="22"/>
          <w:lang w:val="lt-LT" w:eastAsia="en-US"/>
        </w:rPr>
        <w:t xml:space="preserve">imai buvo </w:t>
      </w:r>
      <w:r w:rsidR="002547CC" w:rsidRPr="00997273">
        <w:rPr>
          <w:rFonts w:cs="Times New Roman"/>
          <w:sz w:val="22"/>
          <w:szCs w:val="22"/>
          <w:lang w:val="lt-LT" w:eastAsia="en-US"/>
        </w:rPr>
        <w:t>dažni).</w:t>
      </w:r>
    </w:p>
    <w:p w14:paraId="7126D26F" w14:textId="77777777" w:rsidR="002547CC" w:rsidRPr="00997273" w:rsidRDefault="002547CC" w:rsidP="002547CC">
      <w:pPr>
        <w:autoSpaceDE w:val="0"/>
        <w:autoSpaceDN w:val="0"/>
        <w:adjustRightInd w:val="0"/>
        <w:rPr>
          <w:rFonts w:cs="Times New Roman"/>
          <w:sz w:val="22"/>
          <w:szCs w:val="22"/>
          <w:lang w:val="lt-LT" w:eastAsia="en-US"/>
        </w:rPr>
      </w:pPr>
    </w:p>
    <w:p w14:paraId="7963E0D6" w14:textId="7654DC33" w:rsidR="002547CC" w:rsidRPr="0066338F" w:rsidRDefault="002547CC" w:rsidP="002547CC">
      <w:pPr>
        <w:autoSpaceDE w:val="0"/>
        <w:autoSpaceDN w:val="0"/>
        <w:adjustRightInd w:val="0"/>
        <w:rPr>
          <w:rFonts w:cs="Times New Roman"/>
          <w:bCs/>
          <w:sz w:val="22"/>
          <w:szCs w:val="22"/>
          <w:lang w:val="lt-LT" w:eastAsia="en-US"/>
        </w:rPr>
      </w:pPr>
      <w:r w:rsidRPr="0066338F">
        <w:rPr>
          <w:rFonts w:cs="Times New Roman"/>
          <w:bCs/>
          <w:sz w:val="22"/>
          <w:szCs w:val="22"/>
          <w:lang w:val="lt-LT" w:eastAsia="en-US"/>
        </w:rPr>
        <w:t>Kai kuriems</w:t>
      </w:r>
      <w:r w:rsidR="00850AC7" w:rsidRPr="00850AC7">
        <w:rPr>
          <w:rFonts w:cs="Times New Roman"/>
          <w:bCs/>
          <w:sz w:val="22"/>
          <w:szCs w:val="22"/>
          <w:lang w:val="lt-LT" w:eastAsia="en-US"/>
        </w:rPr>
        <w:t xml:space="preserve"> </w:t>
      </w:r>
      <w:r w:rsidR="00850AC7" w:rsidRPr="0066338F">
        <w:rPr>
          <w:rFonts w:cs="Times New Roman"/>
          <w:bCs/>
          <w:sz w:val="22"/>
          <w:szCs w:val="22"/>
          <w:lang w:val="lt-LT" w:eastAsia="en-US"/>
        </w:rPr>
        <w:t>pacientams</w:t>
      </w:r>
      <w:r w:rsidRPr="0066338F">
        <w:rPr>
          <w:rFonts w:cs="Times New Roman"/>
          <w:bCs/>
          <w:sz w:val="22"/>
          <w:szCs w:val="22"/>
          <w:lang w:val="lt-LT" w:eastAsia="en-US"/>
        </w:rPr>
        <w:t xml:space="preserve"> </w:t>
      </w:r>
      <w:r w:rsidR="00850AC7" w:rsidRPr="0066338F">
        <w:rPr>
          <w:rFonts w:cs="Times New Roman"/>
          <w:bCs/>
          <w:sz w:val="22"/>
          <w:szCs w:val="22"/>
          <w:lang w:val="lt-LT" w:eastAsia="en-US"/>
        </w:rPr>
        <w:t xml:space="preserve">vartojusiems </w:t>
      </w:r>
      <w:proofErr w:type="spellStart"/>
      <w:r w:rsidRPr="0066338F">
        <w:rPr>
          <w:rFonts w:cs="Times New Roman"/>
          <w:bCs/>
          <w:sz w:val="22"/>
          <w:szCs w:val="22"/>
          <w:lang w:val="lt-LT" w:eastAsia="en-US"/>
        </w:rPr>
        <w:t>sitagliptino</w:t>
      </w:r>
      <w:proofErr w:type="spellEnd"/>
      <w:r w:rsidRPr="0066338F">
        <w:rPr>
          <w:rFonts w:cs="Times New Roman"/>
          <w:bCs/>
          <w:sz w:val="22"/>
          <w:szCs w:val="22"/>
          <w:lang w:val="lt-LT" w:eastAsia="en-US"/>
        </w:rPr>
        <w:t xml:space="preserve"> </w:t>
      </w:r>
      <w:r w:rsidR="00CB1A57">
        <w:rPr>
          <w:rFonts w:cs="Times New Roman"/>
          <w:bCs/>
          <w:sz w:val="22"/>
          <w:szCs w:val="22"/>
          <w:lang w:val="lt-LT" w:eastAsia="en-US"/>
        </w:rPr>
        <w:t>derinį</w:t>
      </w:r>
      <w:r w:rsidRPr="0066338F">
        <w:rPr>
          <w:rFonts w:cs="Times New Roman"/>
          <w:bCs/>
          <w:sz w:val="22"/>
          <w:szCs w:val="22"/>
          <w:lang w:val="lt-LT" w:eastAsia="en-US"/>
        </w:rPr>
        <w:t xml:space="preserve"> su </w:t>
      </w:r>
      <w:proofErr w:type="spellStart"/>
      <w:r w:rsidRPr="0066338F">
        <w:rPr>
          <w:rFonts w:cs="Times New Roman"/>
          <w:bCs/>
          <w:sz w:val="22"/>
          <w:szCs w:val="22"/>
          <w:lang w:val="lt-LT" w:eastAsia="en-US"/>
        </w:rPr>
        <w:t>sulfonilurėjos</w:t>
      </w:r>
      <w:proofErr w:type="spellEnd"/>
      <w:r w:rsidRPr="0066338F">
        <w:rPr>
          <w:rFonts w:cs="Times New Roman"/>
          <w:bCs/>
          <w:sz w:val="22"/>
          <w:szCs w:val="22"/>
          <w:lang w:val="lt-LT" w:eastAsia="en-US"/>
        </w:rPr>
        <w:t xml:space="preserve"> dariniu ir </w:t>
      </w:r>
      <w:proofErr w:type="spellStart"/>
      <w:r w:rsidRPr="0066338F">
        <w:rPr>
          <w:rFonts w:cs="Times New Roman"/>
          <w:bCs/>
          <w:sz w:val="22"/>
          <w:szCs w:val="22"/>
          <w:lang w:val="lt-LT" w:eastAsia="en-US"/>
        </w:rPr>
        <w:t>metforminu</w:t>
      </w:r>
      <w:proofErr w:type="spellEnd"/>
      <w:r w:rsidRPr="0066338F">
        <w:rPr>
          <w:rFonts w:cs="Times New Roman"/>
          <w:bCs/>
          <w:sz w:val="22"/>
          <w:szCs w:val="22"/>
          <w:lang w:val="lt-LT" w:eastAsia="en-US"/>
        </w:rPr>
        <w:t xml:space="preserve"> pasireiškęs šalutinis poveikis</w:t>
      </w:r>
      <w:r w:rsidR="0066338F">
        <w:rPr>
          <w:rFonts w:cs="Times New Roman"/>
          <w:bCs/>
          <w:sz w:val="22"/>
          <w:szCs w:val="22"/>
          <w:lang w:val="lt-LT" w:eastAsia="en-US"/>
        </w:rPr>
        <w:t>:</w:t>
      </w:r>
    </w:p>
    <w:p w14:paraId="07B55CF8" w14:textId="576D839C" w:rsidR="002547CC" w:rsidRPr="0066338F" w:rsidRDefault="002547CC" w:rsidP="002547CC">
      <w:pPr>
        <w:autoSpaceDE w:val="0"/>
        <w:autoSpaceDN w:val="0"/>
        <w:adjustRightInd w:val="0"/>
        <w:rPr>
          <w:rFonts w:cs="Times New Roman"/>
          <w:bCs/>
          <w:sz w:val="22"/>
          <w:szCs w:val="22"/>
          <w:lang w:val="lt-LT" w:eastAsia="en-US"/>
        </w:rPr>
      </w:pPr>
      <w:r w:rsidRPr="0066338F">
        <w:rPr>
          <w:rFonts w:cs="Times New Roman"/>
          <w:bCs/>
          <w:sz w:val="22"/>
          <w:szCs w:val="22"/>
          <w:lang w:val="lt-LT" w:eastAsia="en-US"/>
        </w:rPr>
        <w:t>Labai dažn</w:t>
      </w:r>
      <w:r w:rsidR="00F94C41">
        <w:rPr>
          <w:rFonts w:cs="Times New Roman"/>
          <w:bCs/>
          <w:sz w:val="22"/>
          <w:szCs w:val="22"/>
          <w:lang w:val="lt-LT" w:eastAsia="en-US"/>
        </w:rPr>
        <w:t>i šalutinio poveikio reiškiniai</w:t>
      </w:r>
      <w:r w:rsidRPr="0066338F">
        <w:rPr>
          <w:rFonts w:cs="Times New Roman"/>
          <w:bCs/>
          <w:sz w:val="22"/>
          <w:szCs w:val="22"/>
          <w:lang w:val="lt-LT" w:eastAsia="en-US"/>
        </w:rPr>
        <w:t xml:space="preserve"> (gali pasireikšti </w:t>
      </w:r>
      <w:r w:rsidR="006A4933">
        <w:rPr>
          <w:rFonts w:cs="Times New Roman"/>
          <w:bCs/>
          <w:sz w:val="22"/>
          <w:szCs w:val="22"/>
          <w:lang w:val="lt-LT" w:eastAsia="en-US"/>
        </w:rPr>
        <w:t>dažniau</w:t>
      </w:r>
      <w:r w:rsidR="0066338F">
        <w:rPr>
          <w:rFonts w:cs="Times New Roman"/>
          <w:bCs/>
          <w:sz w:val="22"/>
          <w:szCs w:val="22"/>
          <w:lang w:val="lt-LT" w:eastAsia="en-US"/>
        </w:rPr>
        <w:t xml:space="preserve"> </w:t>
      </w:r>
      <w:r w:rsidR="00850AC7">
        <w:rPr>
          <w:rFonts w:cs="Times New Roman"/>
          <w:bCs/>
          <w:sz w:val="22"/>
          <w:szCs w:val="22"/>
          <w:lang w:val="lt-LT" w:eastAsia="en-US"/>
        </w:rPr>
        <w:t>kaip</w:t>
      </w:r>
      <w:r w:rsidR="00850AC7" w:rsidRPr="0066338F">
        <w:rPr>
          <w:rFonts w:cs="Times New Roman"/>
          <w:bCs/>
          <w:sz w:val="22"/>
          <w:szCs w:val="22"/>
          <w:lang w:val="lt-LT" w:eastAsia="en-US"/>
        </w:rPr>
        <w:t xml:space="preserve"> </w:t>
      </w:r>
      <w:r w:rsidRPr="0066338F">
        <w:rPr>
          <w:rFonts w:cs="Times New Roman"/>
          <w:bCs/>
          <w:sz w:val="22"/>
          <w:szCs w:val="22"/>
          <w:lang w:val="lt-LT" w:eastAsia="en-US"/>
        </w:rPr>
        <w:t xml:space="preserve">1 iš 10 </w:t>
      </w:r>
      <w:r w:rsidR="00FE15BA">
        <w:rPr>
          <w:rFonts w:cs="Times New Roman"/>
          <w:bCs/>
          <w:sz w:val="22"/>
          <w:szCs w:val="22"/>
          <w:lang w:val="lt-LT" w:eastAsia="en-US"/>
        </w:rPr>
        <w:t>asmenų</w:t>
      </w:r>
      <w:r w:rsidRPr="0066338F">
        <w:rPr>
          <w:rFonts w:cs="Times New Roman"/>
          <w:bCs/>
          <w:sz w:val="22"/>
          <w:szCs w:val="22"/>
          <w:lang w:val="lt-LT" w:eastAsia="en-US"/>
        </w:rPr>
        <w:t>): mažas cukraus kiekis kraujyje.</w:t>
      </w:r>
    </w:p>
    <w:p w14:paraId="53BC46DF" w14:textId="1F5ED782" w:rsidR="002547CC" w:rsidRPr="00997273" w:rsidRDefault="002547CC" w:rsidP="002547CC">
      <w:pPr>
        <w:autoSpaceDE w:val="0"/>
        <w:autoSpaceDN w:val="0"/>
        <w:adjustRightInd w:val="0"/>
        <w:rPr>
          <w:rFonts w:cs="Times New Roman"/>
          <w:sz w:val="22"/>
          <w:szCs w:val="22"/>
          <w:lang w:val="lt-LT" w:eastAsia="en-US"/>
        </w:rPr>
      </w:pPr>
      <w:r w:rsidRPr="0066338F">
        <w:rPr>
          <w:rFonts w:cs="Times New Roman"/>
          <w:bCs/>
          <w:sz w:val="22"/>
          <w:szCs w:val="22"/>
          <w:lang w:val="lt-LT" w:eastAsia="en-US"/>
        </w:rPr>
        <w:t>Dažn</w:t>
      </w:r>
      <w:r w:rsidR="00167BFE">
        <w:rPr>
          <w:rFonts w:cs="Times New Roman"/>
          <w:bCs/>
          <w:sz w:val="22"/>
          <w:szCs w:val="22"/>
          <w:lang w:val="lt-LT" w:eastAsia="en-US"/>
        </w:rPr>
        <w:t>i šalutinio poveikio reiškiniai</w:t>
      </w:r>
      <w:r w:rsidR="00167BFE" w:rsidRPr="00A114D2">
        <w:rPr>
          <w:rFonts w:cs="Times New Roman"/>
          <w:bCs/>
          <w:sz w:val="22"/>
          <w:szCs w:val="22"/>
          <w:lang w:val="lt-LT" w:eastAsia="en-US"/>
        </w:rPr>
        <w:t xml:space="preserve"> (gali pasireikšti rečiau </w:t>
      </w:r>
      <w:r w:rsidR="00167BFE">
        <w:rPr>
          <w:rFonts w:cs="Times New Roman"/>
          <w:bCs/>
          <w:sz w:val="22"/>
          <w:szCs w:val="22"/>
          <w:lang w:val="lt-LT" w:eastAsia="en-US"/>
        </w:rPr>
        <w:t>kaip</w:t>
      </w:r>
      <w:r w:rsidR="00167BFE" w:rsidRPr="00A114D2">
        <w:rPr>
          <w:rFonts w:cs="Times New Roman"/>
          <w:bCs/>
          <w:sz w:val="22"/>
          <w:szCs w:val="22"/>
          <w:lang w:val="lt-LT" w:eastAsia="en-US"/>
        </w:rPr>
        <w:t xml:space="preserve"> 1 iš 10 </w:t>
      </w:r>
      <w:r w:rsidR="00360257">
        <w:rPr>
          <w:rFonts w:cs="Times New Roman"/>
          <w:bCs/>
          <w:sz w:val="22"/>
          <w:szCs w:val="22"/>
          <w:lang w:val="lt-LT" w:eastAsia="en-US"/>
        </w:rPr>
        <w:t>asmenų</w:t>
      </w:r>
      <w:r w:rsidR="00167BFE" w:rsidRPr="00A114D2">
        <w:rPr>
          <w:rFonts w:cs="Times New Roman"/>
          <w:bCs/>
          <w:sz w:val="22"/>
          <w:szCs w:val="22"/>
          <w:lang w:val="lt-LT" w:eastAsia="en-US"/>
        </w:rPr>
        <w:t>)</w:t>
      </w:r>
      <w:r w:rsidRPr="0066338F">
        <w:rPr>
          <w:rFonts w:cs="Times New Roman"/>
          <w:bCs/>
          <w:sz w:val="22"/>
          <w:szCs w:val="22"/>
          <w:lang w:val="lt-LT" w:eastAsia="en-US"/>
        </w:rPr>
        <w:t>: vidurių užkietėjimas</w:t>
      </w:r>
      <w:r w:rsidRPr="00997273">
        <w:rPr>
          <w:rFonts w:cs="Times New Roman"/>
          <w:sz w:val="22"/>
          <w:szCs w:val="22"/>
          <w:lang w:val="lt-LT" w:eastAsia="en-US"/>
        </w:rPr>
        <w:t>.</w:t>
      </w:r>
    </w:p>
    <w:p w14:paraId="78F7BC5D" w14:textId="77777777" w:rsidR="002547CC" w:rsidRPr="00997273" w:rsidRDefault="002547CC" w:rsidP="002547CC">
      <w:pPr>
        <w:autoSpaceDE w:val="0"/>
        <w:autoSpaceDN w:val="0"/>
        <w:adjustRightInd w:val="0"/>
        <w:rPr>
          <w:rFonts w:cs="Times New Roman"/>
          <w:sz w:val="22"/>
          <w:szCs w:val="22"/>
          <w:lang w:val="lt-LT" w:eastAsia="en-US"/>
        </w:rPr>
      </w:pPr>
    </w:p>
    <w:p w14:paraId="53023671" w14:textId="0460A633" w:rsidR="002547CC" w:rsidRPr="00C96AAB" w:rsidRDefault="002547CC" w:rsidP="002547CC">
      <w:pPr>
        <w:autoSpaceDE w:val="0"/>
        <w:autoSpaceDN w:val="0"/>
        <w:adjustRightInd w:val="0"/>
        <w:rPr>
          <w:rFonts w:cs="Times New Roman"/>
          <w:bCs/>
          <w:sz w:val="22"/>
          <w:szCs w:val="22"/>
          <w:lang w:val="lt-LT" w:eastAsia="en-US"/>
        </w:rPr>
      </w:pPr>
      <w:r w:rsidRPr="00C96AAB">
        <w:rPr>
          <w:rFonts w:cs="Times New Roman"/>
          <w:bCs/>
          <w:sz w:val="22"/>
          <w:szCs w:val="22"/>
          <w:lang w:val="lt-LT" w:eastAsia="en-US"/>
        </w:rPr>
        <w:t xml:space="preserve">Kai kuriems </w:t>
      </w:r>
      <w:proofErr w:type="spellStart"/>
      <w:r w:rsidRPr="00C96AAB">
        <w:rPr>
          <w:rFonts w:cs="Times New Roman"/>
          <w:bCs/>
          <w:sz w:val="22"/>
          <w:szCs w:val="22"/>
          <w:lang w:val="lt-LT" w:eastAsia="en-US"/>
        </w:rPr>
        <w:t>sitagliptino</w:t>
      </w:r>
      <w:proofErr w:type="spellEnd"/>
      <w:r w:rsidRPr="00C96AAB">
        <w:rPr>
          <w:rFonts w:cs="Times New Roman"/>
          <w:bCs/>
          <w:sz w:val="22"/>
          <w:szCs w:val="22"/>
          <w:lang w:val="lt-LT" w:eastAsia="en-US"/>
        </w:rPr>
        <w:t xml:space="preserve"> </w:t>
      </w:r>
      <w:r w:rsidR="00850AC7">
        <w:rPr>
          <w:rFonts w:cs="Times New Roman"/>
          <w:bCs/>
          <w:sz w:val="22"/>
          <w:szCs w:val="22"/>
          <w:lang w:val="lt-LT" w:eastAsia="en-US"/>
        </w:rPr>
        <w:t>derin</w:t>
      </w:r>
      <w:r w:rsidR="00A11B9C">
        <w:rPr>
          <w:rFonts w:cs="Times New Roman"/>
          <w:bCs/>
          <w:sz w:val="22"/>
          <w:szCs w:val="22"/>
          <w:lang w:val="lt-LT" w:eastAsia="en-US"/>
        </w:rPr>
        <w:t>į</w:t>
      </w:r>
      <w:r w:rsidR="00850AC7" w:rsidRPr="00C96AAB">
        <w:rPr>
          <w:rFonts w:cs="Times New Roman"/>
          <w:bCs/>
          <w:sz w:val="22"/>
          <w:szCs w:val="22"/>
          <w:lang w:val="lt-LT" w:eastAsia="en-US"/>
        </w:rPr>
        <w:t xml:space="preserve"> </w:t>
      </w:r>
      <w:r w:rsidRPr="00C96AAB">
        <w:rPr>
          <w:rFonts w:cs="Times New Roman"/>
          <w:bCs/>
          <w:sz w:val="22"/>
          <w:szCs w:val="22"/>
          <w:lang w:val="lt-LT" w:eastAsia="en-US"/>
        </w:rPr>
        <w:t xml:space="preserve">su </w:t>
      </w:r>
      <w:proofErr w:type="spellStart"/>
      <w:r w:rsidRPr="00C96AAB">
        <w:rPr>
          <w:rFonts w:cs="Times New Roman"/>
          <w:bCs/>
          <w:sz w:val="22"/>
          <w:szCs w:val="22"/>
          <w:lang w:val="lt-LT" w:eastAsia="en-US"/>
        </w:rPr>
        <w:t>pioglitazonu</w:t>
      </w:r>
      <w:proofErr w:type="spellEnd"/>
      <w:r w:rsidRPr="00C96AAB">
        <w:rPr>
          <w:rFonts w:cs="Times New Roman"/>
          <w:bCs/>
          <w:sz w:val="22"/>
          <w:szCs w:val="22"/>
          <w:lang w:val="lt-LT" w:eastAsia="en-US"/>
        </w:rPr>
        <w:t xml:space="preserve"> vartojusiems pacientams pasireiškęs šalutinis poveikis</w:t>
      </w:r>
      <w:r w:rsidR="00C96AAB">
        <w:rPr>
          <w:rFonts w:cs="Times New Roman"/>
          <w:bCs/>
          <w:sz w:val="22"/>
          <w:szCs w:val="22"/>
          <w:lang w:val="lt-LT" w:eastAsia="en-US"/>
        </w:rPr>
        <w:t>:</w:t>
      </w:r>
      <w:r w:rsidRPr="00C96AAB">
        <w:rPr>
          <w:rFonts w:cs="Times New Roman"/>
          <w:bCs/>
          <w:sz w:val="22"/>
          <w:szCs w:val="22"/>
          <w:lang w:val="lt-LT" w:eastAsia="en-US"/>
        </w:rPr>
        <w:t xml:space="preserve"> </w:t>
      </w:r>
    </w:p>
    <w:p w14:paraId="16EF743B" w14:textId="147E55EB" w:rsidR="00D10348" w:rsidRPr="00C96AAB" w:rsidRDefault="002547CC" w:rsidP="002547CC">
      <w:pPr>
        <w:autoSpaceDE w:val="0"/>
        <w:autoSpaceDN w:val="0"/>
        <w:adjustRightInd w:val="0"/>
        <w:rPr>
          <w:rFonts w:eastAsia="Times New Roman" w:cs="Times New Roman"/>
          <w:bCs/>
          <w:noProof/>
          <w:sz w:val="22"/>
          <w:szCs w:val="22"/>
          <w:lang w:val="lt-LT" w:eastAsia="lt-LT" w:bidi="lt-LT"/>
        </w:rPr>
      </w:pPr>
      <w:r w:rsidRPr="00C96AAB">
        <w:rPr>
          <w:rFonts w:cs="Times New Roman"/>
          <w:bCs/>
          <w:sz w:val="22"/>
          <w:szCs w:val="22"/>
          <w:lang w:val="lt-LT" w:eastAsia="en-US"/>
        </w:rPr>
        <w:t>Dažna</w:t>
      </w:r>
      <w:r w:rsidR="00183C49">
        <w:rPr>
          <w:rFonts w:cs="Times New Roman"/>
          <w:bCs/>
          <w:sz w:val="22"/>
          <w:szCs w:val="22"/>
          <w:lang w:val="lt-LT" w:eastAsia="en-US"/>
        </w:rPr>
        <w:t>i šalutinio poveikio reiškiniai</w:t>
      </w:r>
      <w:r w:rsidR="00183C49" w:rsidRPr="00A114D2">
        <w:rPr>
          <w:rFonts w:cs="Times New Roman"/>
          <w:bCs/>
          <w:sz w:val="22"/>
          <w:szCs w:val="22"/>
          <w:lang w:val="lt-LT" w:eastAsia="en-US"/>
        </w:rPr>
        <w:t xml:space="preserve"> (gali pasireikšti rečiau </w:t>
      </w:r>
      <w:r w:rsidR="00183C49">
        <w:rPr>
          <w:rFonts w:cs="Times New Roman"/>
          <w:bCs/>
          <w:sz w:val="22"/>
          <w:szCs w:val="22"/>
          <w:lang w:val="lt-LT" w:eastAsia="en-US"/>
        </w:rPr>
        <w:t>kaip</w:t>
      </w:r>
      <w:r w:rsidR="00183C49" w:rsidRPr="00A114D2">
        <w:rPr>
          <w:rFonts w:cs="Times New Roman"/>
          <w:bCs/>
          <w:sz w:val="22"/>
          <w:szCs w:val="22"/>
          <w:lang w:val="lt-LT" w:eastAsia="en-US"/>
        </w:rPr>
        <w:t xml:space="preserve"> 1 iš 10 </w:t>
      </w:r>
      <w:r w:rsidR="00396B5C">
        <w:rPr>
          <w:rFonts w:cs="Times New Roman"/>
          <w:bCs/>
          <w:sz w:val="22"/>
          <w:szCs w:val="22"/>
          <w:lang w:val="lt-LT" w:eastAsia="en-US"/>
        </w:rPr>
        <w:t>asmenų</w:t>
      </w:r>
      <w:r w:rsidR="00183C49" w:rsidRPr="00A114D2">
        <w:rPr>
          <w:rFonts w:cs="Times New Roman"/>
          <w:bCs/>
          <w:sz w:val="22"/>
          <w:szCs w:val="22"/>
          <w:lang w:val="lt-LT" w:eastAsia="en-US"/>
        </w:rPr>
        <w:t>)</w:t>
      </w:r>
      <w:r w:rsidRPr="00C96AAB">
        <w:rPr>
          <w:rFonts w:cs="Times New Roman"/>
          <w:bCs/>
          <w:sz w:val="22"/>
          <w:szCs w:val="22"/>
          <w:lang w:val="lt-LT" w:eastAsia="en-US"/>
        </w:rPr>
        <w:t xml:space="preserve">: </w:t>
      </w:r>
      <w:r w:rsidR="00747651">
        <w:rPr>
          <w:rFonts w:cs="Times New Roman"/>
          <w:bCs/>
          <w:sz w:val="22"/>
          <w:szCs w:val="22"/>
          <w:lang w:val="lt-LT" w:eastAsia="en-US"/>
        </w:rPr>
        <w:t>pilvo</w:t>
      </w:r>
      <w:r w:rsidRPr="00C96AAB">
        <w:rPr>
          <w:rFonts w:cs="Times New Roman"/>
          <w:bCs/>
          <w:sz w:val="22"/>
          <w:szCs w:val="22"/>
          <w:lang w:val="lt-LT" w:eastAsia="en-US"/>
        </w:rPr>
        <w:t xml:space="preserve"> pūtimas, rankų arba pėdų patinimas.</w:t>
      </w:r>
    </w:p>
    <w:p w14:paraId="21D754E3" w14:textId="77777777" w:rsidR="00C96AAB" w:rsidRDefault="00C96AAB" w:rsidP="002547CC">
      <w:pPr>
        <w:autoSpaceDE w:val="0"/>
        <w:autoSpaceDN w:val="0"/>
        <w:adjustRightInd w:val="0"/>
        <w:rPr>
          <w:rFonts w:cs="Times New Roman"/>
          <w:bCs/>
          <w:sz w:val="22"/>
          <w:szCs w:val="22"/>
          <w:lang w:val="lt-LT" w:eastAsia="en-US"/>
        </w:rPr>
      </w:pPr>
    </w:p>
    <w:p w14:paraId="7B4AB37A" w14:textId="18A4008D" w:rsidR="002547CC" w:rsidRPr="00C96AAB" w:rsidRDefault="002547CC" w:rsidP="002547CC">
      <w:pPr>
        <w:autoSpaceDE w:val="0"/>
        <w:autoSpaceDN w:val="0"/>
        <w:adjustRightInd w:val="0"/>
        <w:rPr>
          <w:rFonts w:cs="Times New Roman"/>
          <w:bCs/>
          <w:sz w:val="22"/>
          <w:szCs w:val="22"/>
          <w:lang w:val="lt-LT" w:eastAsia="en-US"/>
        </w:rPr>
      </w:pPr>
      <w:r w:rsidRPr="00C96AAB">
        <w:rPr>
          <w:rFonts w:cs="Times New Roman"/>
          <w:bCs/>
          <w:sz w:val="22"/>
          <w:szCs w:val="22"/>
          <w:lang w:val="lt-LT" w:eastAsia="en-US"/>
        </w:rPr>
        <w:t xml:space="preserve">Kai kuriems </w:t>
      </w:r>
      <w:proofErr w:type="spellStart"/>
      <w:r w:rsidRPr="00C96AAB">
        <w:rPr>
          <w:rFonts w:cs="Times New Roman"/>
          <w:bCs/>
          <w:sz w:val="22"/>
          <w:szCs w:val="22"/>
          <w:lang w:val="lt-LT" w:eastAsia="en-US"/>
        </w:rPr>
        <w:t>sitagliptino</w:t>
      </w:r>
      <w:proofErr w:type="spellEnd"/>
      <w:r w:rsidRPr="00C96AAB">
        <w:rPr>
          <w:rFonts w:cs="Times New Roman"/>
          <w:bCs/>
          <w:sz w:val="22"/>
          <w:szCs w:val="22"/>
          <w:lang w:val="lt-LT" w:eastAsia="en-US"/>
        </w:rPr>
        <w:t xml:space="preserve"> </w:t>
      </w:r>
      <w:r w:rsidR="00850AC7">
        <w:rPr>
          <w:rFonts w:cs="Times New Roman"/>
          <w:bCs/>
          <w:sz w:val="22"/>
          <w:szCs w:val="22"/>
          <w:lang w:val="lt-LT" w:eastAsia="en-US"/>
        </w:rPr>
        <w:t>derin</w:t>
      </w:r>
      <w:r w:rsidR="00A11B9C">
        <w:rPr>
          <w:rFonts w:cs="Times New Roman"/>
          <w:bCs/>
          <w:sz w:val="22"/>
          <w:szCs w:val="22"/>
          <w:lang w:val="lt-LT" w:eastAsia="en-US"/>
        </w:rPr>
        <w:t>į</w:t>
      </w:r>
      <w:r w:rsidR="00850AC7" w:rsidRPr="00C96AAB">
        <w:rPr>
          <w:rFonts w:cs="Times New Roman"/>
          <w:bCs/>
          <w:sz w:val="22"/>
          <w:szCs w:val="22"/>
          <w:lang w:val="lt-LT" w:eastAsia="en-US"/>
        </w:rPr>
        <w:t xml:space="preserve"> </w:t>
      </w:r>
      <w:r w:rsidRPr="00C96AAB">
        <w:rPr>
          <w:rFonts w:cs="Times New Roman"/>
          <w:bCs/>
          <w:sz w:val="22"/>
          <w:szCs w:val="22"/>
          <w:lang w:val="lt-LT" w:eastAsia="en-US"/>
        </w:rPr>
        <w:t xml:space="preserve">su </w:t>
      </w:r>
      <w:proofErr w:type="spellStart"/>
      <w:r w:rsidRPr="00C96AAB">
        <w:rPr>
          <w:rFonts w:cs="Times New Roman"/>
          <w:bCs/>
          <w:sz w:val="22"/>
          <w:szCs w:val="22"/>
          <w:lang w:val="lt-LT" w:eastAsia="en-US"/>
        </w:rPr>
        <w:t>pioglitazonu</w:t>
      </w:r>
      <w:proofErr w:type="spellEnd"/>
      <w:r w:rsidRPr="00C96AAB">
        <w:rPr>
          <w:rFonts w:cs="Times New Roman"/>
          <w:bCs/>
          <w:sz w:val="22"/>
          <w:szCs w:val="22"/>
          <w:lang w:val="lt-LT" w:eastAsia="en-US"/>
        </w:rPr>
        <w:t xml:space="preserve"> ir </w:t>
      </w:r>
      <w:proofErr w:type="spellStart"/>
      <w:r w:rsidRPr="00C96AAB">
        <w:rPr>
          <w:rFonts w:cs="Times New Roman"/>
          <w:bCs/>
          <w:sz w:val="22"/>
          <w:szCs w:val="22"/>
          <w:lang w:val="lt-LT" w:eastAsia="en-US"/>
        </w:rPr>
        <w:t>metforminu</w:t>
      </w:r>
      <w:proofErr w:type="spellEnd"/>
      <w:r w:rsidRPr="00C96AAB">
        <w:rPr>
          <w:rFonts w:cs="Times New Roman"/>
          <w:bCs/>
          <w:sz w:val="22"/>
          <w:szCs w:val="22"/>
          <w:lang w:val="lt-LT" w:eastAsia="en-US"/>
        </w:rPr>
        <w:t xml:space="preserve"> vartojusiems </w:t>
      </w:r>
      <w:r w:rsidR="00E41C0C" w:rsidRPr="00C96AAB">
        <w:rPr>
          <w:rFonts w:cs="Times New Roman"/>
          <w:bCs/>
          <w:sz w:val="22"/>
          <w:szCs w:val="22"/>
          <w:lang w:val="lt-LT" w:eastAsia="en-US"/>
        </w:rPr>
        <w:t>pacient</w:t>
      </w:r>
      <w:r w:rsidRPr="00C96AAB">
        <w:rPr>
          <w:rFonts w:cs="Times New Roman"/>
          <w:bCs/>
          <w:sz w:val="22"/>
          <w:szCs w:val="22"/>
          <w:lang w:val="lt-LT" w:eastAsia="en-US"/>
        </w:rPr>
        <w:t>ams pasireiškęs</w:t>
      </w:r>
      <w:r w:rsidR="00E41C0C" w:rsidRPr="00C96AAB">
        <w:rPr>
          <w:rFonts w:cs="Times New Roman"/>
          <w:bCs/>
          <w:sz w:val="22"/>
          <w:szCs w:val="22"/>
          <w:lang w:val="lt-LT" w:eastAsia="en-US"/>
        </w:rPr>
        <w:t xml:space="preserve"> </w:t>
      </w:r>
      <w:r w:rsidRPr="00C96AAB">
        <w:rPr>
          <w:rFonts w:cs="Times New Roman"/>
          <w:bCs/>
          <w:sz w:val="22"/>
          <w:szCs w:val="22"/>
          <w:lang w:val="lt-LT" w:eastAsia="en-US"/>
        </w:rPr>
        <w:t>šalutinis poveikis</w:t>
      </w:r>
      <w:r w:rsidR="00C96AAB">
        <w:rPr>
          <w:rFonts w:cs="Times New Roman"/>
          <w:bCs/>
          <w:sz w:val="22"/>
          <w:szCs w:val="22"/>
          <w:lang w:val="lt-LT" w:eastAsia="en-US"/>
        </w:rPr>
        <w:t>:</w:t>
      </w:r>
    </w:p>
    <w:p w14:paraId="7BD44A6D" w14:textId="4DB2DAFB" w:rsidR="002547CC" w:rsidRPr="00C96AAB" w:rsidRDefault="002547CC" w:rsidP="002547CC">
      <w:pPr>
        <w:autoSpaceDE w:val="0"/>
        <w:autoSpaceDN w:val="0"/>
        <w:adjustRightInd w:val="0"/>
        <w:rPr>
          <w:rFonts w:cs="Times New Roman"/>
          <w:bCs/>
          <w:sz w:val="22"/>
          <w:szCs w:val="22"/>
          <w:lang w:val="lt-LT" w:eastAsia="en-US"/>
        </w:rPr>
      </w:pPr>
      <w:r w:rsidRPr="00C96AAB">
        <w:rPr>
          <w:rFonts w:cs="Times New Roman"/>
          <w:bCs/>
          <w:sz w:val="22"/>
          <w:szCs w:val="22"/>
          <w:lang w:val="lt-LT" w:eastAsia="en-US"/>
        </w:rPr>
        <w:t>Dažn</w:t>
      </w:r>
      <w:r w:rsidR="00183C49">
        <w:rPr>
          <w:rFonts w:cs="Times New Roman"/>
          <w:bCs/>
          <w:sz w:val="22"/>
          <w:szCs w:val="22"/>
          <w:lang w:val="lt-LT" w:eastAsia="en-US"/>
        </w:rPr>
        <w:t>i šalutinio poveikio reiškiniai</w:t>
      </w:r>
      <w:r w:rsidR="00183C49" w:rsidRPr="00A114D2">
        <w:rPr>
          <w:rFonts w:cs="Times New Roman"/>
          <w:bCs/>
          <w:sz w:val="22"/>
          <w:szCs w:val="22"/>
          <w:lang w:val="lt-LT" w:eastAsia="en-US"/>
        </w:rPr>
        <w:t xml:space="preserve"> (gali pasireikšti rečiau </w:t>
      </w:r>
      <w:r w:rsidR="00183C49">
        <w:rPr>
          <w:rFonts w:cs="Times New Roman"/>
          <w:bCs/>
          <w:sz w:val="22"/>
          <w:szCs w:val="22"/>
          <w:lang w:val="lt-LT" w:eastAsia="en-US"/>
        </w:rPr>
        <w:t>kaip</w:t>
      </w:r>
      <w:r w:rsidR="00183C49" w:rsidRPr="00A114D2">
        <w:rPr>
          <w:rFonts w:cs="Times New Roman"/>
          <w:bCs/>
          <w:sz w:val="22"/>
          <w:szCs w:val="22"/>
          <w:lang w:val="lt-LT" w:eastAsia="en-US"/>
        </w:rPr>
        <w:t xml:space="preserve"> 1 iš 10 </w:t>
      </w:r>
      <w:r w:rsidR="007B666C">
        <w:rPr>
          <w:rFonts w:cs="Times New Roman"/>
          <w:bCs/>
          <w:sz w:val="22"/>
          <w:szCs w:val="22"/>
          <w:lang w:val="lt-LT" w:eastAsia="en-US"/>
        </w:rPr>
        <w:t>asmenų</w:t>
      </w:r>
      <w:r w:rsidR="00183C49" w:rsidRPr="00A114D2">
        <w:rPr>
          <w:rFonts w:cs="Times New Roman"/>
          <w:bCs/>
          <w:sz w:val="22"/>
          <w:szCs w:val="22"/>
          <w:lang w:val="lt-LT" w:eastAsia="en-US"/>
        </w:rPr>
        <w:t>)</w:t>
      </w:r>
      <w:r w:rsidRPr="00C96AAB">
        <w:rPr>
          <w:rFonts w:cs="Times New Roman"/>
          <w:bCs/>
          <w:sz w:val="22"/>
          <w:szCs w:val="22"/>
          <w:lang w:val="lt-LT" w:eastAsia="en-US"/>
        </w:rPr>
        <w:t>: rankų arba kojų patinimas.</w:t>
      </w:r>
    </w:p>
    <w:p w14:paraId="1A382239" w14:textId="77777777" w:rsidR="00E41C0C" w:rsidRPr="00997273" w:rsidRDefault="00E41C0C" w:rsidP="002547CC">
      <w:pPr>
        <w:autoSpaceDE w:val="0"/>
        <w:autoSpaceDN w:val="0"/>
        <w:adjustRightInd w:val="0"/>
        <w:rPr>
          <w:rFonts w:cs="Times New Roman"/>
          <w:sz w:val="22"/>
          <w:szCs w:val="22"/>
          <w:lang w:val="lt-LT" w:eastAsia="en-US"/>
        </w:rPr>
      </w:pPr>
    </w:p>
    <w:p w14:paraId="7685AA76" w14:textId="68BC080D" w:rsidR="002547CC" w:rsidRPr="00C96AAB" w:rsidRDefault="002547CC" w:rsidP="002547CC">
      <w:pPr>
        <w:autoSpaceDE w:val="0"/>
        <w:autoSpaceDN w:val="0"/>
        <w:adjustRightInd w:val="0"/>
        <w:rPr>
          <w:rFonts w:cs="Times New Roman"/>
          <w:bCs/>
          <w:sz w:val="22"/>
          <w:szCs w:val="22"/>
          <w:lang w:val="lt-LT" w:eastAsia="en-US"/>
        </w:rPr>
      </w:pPr>
      <w:r w:rsidRPr="00C96AAB">
        <w:rPr>
          <w:rFonts w:cs="Times New Roman"/>
          <w:bCs/>
          <w:sz w:val="22"/>
          <w:szCs w:val="22"/>
          <w:lang w:val="lt-LT" w:eastAsia="en-US"/>
        </w:rPr>
        <w:t xml:space="preserve">Kai kuriems </w:t>
      </w:r>
      <w:proofErr w:type="spellStart"/>
      <w:r w:rsidRPr="00C96AAB">
        <w:rPr>
          <w:rFonts w:cs="Times New Roman"/>
          <w:bCs/>
          <w:sz w:val="22"/>
          <w:szCs w:val="22"/>
          <w:lang w:val="lt-LT" w:eastAsia="en-US"/>
        </w:rPr>
        <w:t>sitagliptino</w:t>
      </w:r>
      <w:proofErr w:type="spellEnd"/>
      <w:r w:rsidRPr="00C96AAB">
        <w:rPr>
          <w:rFonts w:cs="Times New Roman"/>
          <w:bCs/>
          <w:sz w:val="22"/>
          <w:szCs w:val="22"/>
          <w:lang w:val="lt-LT" w:eastAsia="en-US"/>
        </w:rPr>
        <w:t xml:space="preserve"> </w:t>
      </w:r>
      <w:r w:rsidR="00850AC7">
        <w:rPr>
          <w:rFonts w:cs="Times New Roman"/>
          <w:bCs/>
          <w:sz w:val="22"/>
          <w:szCs w:val="22"/>
          <w:lang w:val="lt-LT" w:eastAsia="en-US"/>
        </w:rPr>
        <w:t>derin</w:t>
      </w:r>
      <w:r w:rsidR="00A11B9C">
        <w:rPr>
          <w:rFonts w:cs="Times New Roman"/>
          <w:bCs/>
          <w:sz w:val="22"/>
          <w:szCs w:val="22"/>
          <w:lang w:val="lt-LT" w:eastAsia="en-US"/>
        </w:rPr>
        <w:t>į</w:t>
      </w:r>
      <w:r w:rsidR="00850AC7" w:rsidRPr="00C96AAB">
        <w:rPr>
          <w:rFonts w:cs="Times New Roman"/>
          <w:bCs/>
          <w:sz w:val="22"/>
          <w:szCs w:val="22"/>
          <w:lang w:val="lt-LT" w:eastAsia="en-US"/>
        </w:rPr>
        <w:t xml:space="preserve"> </w:t>
      </w:r>
      <w:r w:rsidRPr="00C96AAB">
        <w:rPr>
          <w:rFonts w:cs="Times New Roman"/>
          <w:bCs/>
          <w:sz w:val="22"/>
          <w:szCs w:val="22"/>
          <w:lang w:val="lt-LT" w:eastAsia="en-US"/>
        </w:rPr>
        <w:t xml:space="preserve">su insulinu (kartu su </w:t>
      </w:r>
      <w:proofErr w:type="spellStart"/>
      <w:r w:rsidRPr="00C96AAB">
        <w:rPr>
          <w:rFonts w:cs="Times New Roman"/>
          <w:bCs/>
          <w:sz w:val="22"/>
          <w:szCs w:val="22"/>
          <w:lang w:val="lt-LT" w:eastAsia="en-US"/>
        </w:rPr>
        <w:t>metforminu</w:t>
      </w:r>
      <w:proofErr w:type="spellEnd"/>
      <w:r w:rsidRPr="00C96AAB">
        <w:rPr>
          <w:rFonts w:cs="Times New Roman"/>
          <w:bCs/>
          <w:sz w:val="22"/>
          <w:szCs w:val="22"/>
          <w:lang w:val="lt-LT" w:eastAsia="en-US"/>
        </w:rPr>
        <w:t xml:space="preserve"> ar</w:t>
      </w:r>
      <w:r w:rsidR="00E41C0C" w:rsidRPr="00C96AAB">
        <w:rPr>
          <w:rFonts w:cs="Times New Roman"/>
          <w:bCs/>
          <w:sz w:val="22"/>
          <w:szCs w:val="22"/>
          <w:lang w:val="lt-LT" w:eastAsia="en-US"/>
        </w:rPr>
        <w:t xml:space="preserve">ba be jo) vartojusiems pacientams </w:t>
      </w:r>
      <w:r w:rsidRPr="00C96AAB">
        <w:rPr>
          <w:rFonts w:cs="Times New Roman"/>
          <w:bCs/>
          <w:sz w:val="22"/>
          <w:szCs w:val="22"/>
          <w:lang w:val="lt-LT" w:eastAsia="en-US"/>
        </w:rPr>
        <w:t>pasireiškęs šalutinis poveikis</w:t>
      </w:r>
      <w:r w:rsidR="00EA423E">
        <w:rPr>
          <w:rFonts w:cs="Times New Roman"/>
          <w:bCs/>
          <w:sz w:val="22"/>
          <w:szCs w:val="22"/>
          <w:lang w:val="lt-LT" w:eastAsia="en-US"/>
        </w:rPr>
        <w:t>:</w:t>
      </w:r>
    </w:p>
    <w:p w14:paraId="00E97532" w14:textId="2F2C5D2B" w:rsidR="002547CC" w:rsidRPr="00C96AAB" w:rsidRDefault="002547CC" w:rsidP="002547CC">
      <w:pPr>
        <w:autoSpaceDE w:val="0"/>
        <w:autoSpaceDN w:val="0"/>
        <w:adjustRightInd w:val="0"/>
        <w:rPr>
          <w:rFonts w:cs="Times New Roman"/>
          <w:bCs/>
          <w:sz w:val="22"/>
          <w:szCs w:val="22"/>
          <w:lang w:val="lt-LT" w:eastAsia="en-US"/>
        </w:rPr>
      </w:pPr>
      <w:r w:rsidRPr="00C96AAB">
        <w:rPr>
          <w:rFonts w:cs="Times New Roman"/>
          <w:bCs/>
          <w:sz w:val="22"/>
          <w:szCs w:val="22"/>
          <w:lang w:val="lt-LT" w:eastAsia="en-US"/>
        </w:rPr>
        <w:t>Dažn</w:t>
      </w:r>
      <w:r w:rsidR="001606DF">
        <w:rPr>
          <w:rFonts w:cs="Times New Roman"/>
          <w:bCs/>
          <w:sz w:val="22"/>
          <w:szCs w:val="22"/>
          <w:lang w:val="lt-LT" w:eastAsia="en-US"/>
        </w:rPr>
        <w:t>i šalutinio poveikio reiškiniai</w:t>
      </w:r>
      <w:r w:rsidR="001606DF" w:rsidRPr="00A114D2">
        <w:rPr>
          <w:rFonts w:cs="Times New Roman"/>
          <w:bCs/>
          <w:sz w:val="22"/>
          <w:szCs w:val="22"/>
          <w:lang w:val="lt-LT" w:eastAsia="en-US"/>
        </w:rPr>
        <w:t xml:space="preserve"> (gali pasireikšti rečiau </w:t>
      </w:r>
      <w:r w:rsidR="001606DF">
        <w:rPr>
          <w:rFonts w:cs="Times New Roman"/>
          <w:bCs/>
          <w:sz w:val="22"/>
          <w:szCs w:val="22"/>
          <w:lang w:val="lt-LT" w:eastAsia="en-US"/>
        </w:rPr>
        <w:t>kaip</w:t>
      </w:r>
      <w:r w:rsidR="001606DF" w:rsidRPr="00A114D2">
        <w:rPr>
          <w:rFonts w:cs="Times New Roman"/>
          <w:bCs/>
          <w:sz w:val="22"/>
          <w:szCs w:val="22"/>
          <w:lang w:val="lt-LT" w:eastAsia="en-US"/>
        </w:rPr>
        <w:t xml:space="preserve"> 1 iš 10 </w:t>
      </w:r>
      <w:r w:rsidR="003A4C43">
        <w:rPr>
          <w:rFonts w:cs="Times New Roman"/>
          <w:bCs/>
          <w:sz w:val="22"/>
          <w:szCs w:val="22"/>
          <w:lang w:val="lt-LT" w:eastAsia="en-US"/>
        </w:rPr>
        <w:t>asmenų</w:t>
      </w:r>
      <w:r w:rsidR="001606DF" w:rsidRPr="00A114D2">
        <w:rPr>
          <w:rFonts w:cs="Times New Roman"/>
          <w:bCs/>
          <w:sz w:val="22"/>
          <w:szCs w:val="22"/>
          <w:lang w:val="lt-LT" w:eastAsia="en-US"/>
        </w:rPr>
        <w:t>)</w:t>
      </w:r>
      <w:r w:rsidRPr="00C96AAB">
        <w:rPr>
          <w:rFonts w:cs="Times New Roman"/>
          <w:bCs/>
          <w:sz w:val="22"/>
          <w:szCs w:val="22"/>
          <w:lang w:val="lt-LT" w:eastAsia="en-US"/>
        </w:rPr>
        <w:t>: gripas.</w:t>
      </w:r>
    </w:p>
    <w:p w14:paraId="1741AA1A" w14:textId="243C0913" w:rsidR="002547CC" w:rsidRPr="00C96AAB" w:rsidRDefault="002547CC" w:rsidP="002547CC">
      <w:pPr>
        <w:autoSpaceDE w:val="0"/>
        <w:autoSpaceDN w:val="0"/>
        <w:adjustRightInd w:val="0"/>
        <w:rPr>
          <w:rFonts w:cs="Times New Roman"/>
          <w:bCs/>
          <w:sz w:val="22"/>
          <w:szCs w:val="22"/>
          <w:lang w:val="lt-LT" w:eastAsia="en-US"/>
        </w:rPr>
      </w:pPr>
      <w:r w:rsidRPr="00C96AAB">
        <w:rPr>
          <w:rFonts w:cs="Times New Roman"/>
          <w:bCs/>
          <w:sz w:val="22"/>
          <w:szCs w:val="22"/>
          <w:lang w:val="lt-LT" w:eastAsia="en-US"/>
        </w:rPr>
        <w:t>Nedažn</w:t>
      </w:r>
      <w:r w:rsidR="00AF7EDC">
        <w:rPr>
          <w:rFonts w:cs="Times New Roman"/>
          <w:bCs/>
          <w:sz w:val="22"/>
          <w:szCs w:val="22"/>
          <w:lang w:val="lt-LT" w:eastAsia="en-US"/>
        </w:rPr>
        <w:t>i šalutinio poveikio reiškiniai</w:t>
      </w:r>
      <w:r w:rsidR="00AF7EDC" w:rsidRPr="00997273">
        <w:rPr>
          <w:rFonts w:cs="Times New Roman"/>
          <w:sz w:val="22"/>
          <w:szCs w:val="22"/>
          <w:lang w:val="lt-LT" w:eastAsia="en-US"/>
        </w:rPr>
        <w:t xml:space="preserve"> (gali pasireikšti </w:t>
      </w:r>
      <w:r w:rsidR="00AF7EDC">
        <w:rPr>
          <w:rFonts w:cs="Times New Roman"/>
          <w:sz w:val="22"/>
          <w:szCs w:val="22"/>
          <w:lang w:val="lt-LT" w:eastAsia="en-US"/>
        </w:rPr>
        <w:t>rečiau</w:t>
      </w:r>
      <w:r w:rsidR="00AF7EDC" w:rsidRPr="00997273">
        <w:rPr>
          <w:rFonts w:cs="Times New Roman"/>
          <w:sz w:val="22"/>
          <w:szCs w:val="22"/>
          <w:lang w:val="lt-LT" w:eastAsia="en-US"/>
        </w:rPr>
        <w:t xml:space="preserve"> </w:t>
      </w:r>
      <w:r w:rsidR="00AF7EDC">
        <w:rPr>
          <w:rFonts w:cs="Times New Roman"/>
          <w:sz w:val="22"/>
          <w:szCs w:val="22"/>
          <w:lang w:val="lt-LT" w:eastAsia="en-US"/>
        </w:rPr>
        <w:t>kaip</w:t>
      </w:r>
      <w:r w:rsidR="00AF7EDC" w:rsidRPr="00997273">
        <w:rPr>
          <w:rFonts w:cs="Times New Roman"/>
          <w:sz w:val="22"/>
          <w:szCs w:val="22"/>
          <w:lang w:val="lt-LT" w:eastAsia="en-US"/>
        </w:rPr>
        <w:t xml:space="preserve"> 1 iš 100 </w:t>
      </w:r>
      <w:r w:rsidR="00C92693">
        <w:rPr>
          <w:rFonts w:cs="Times New Roman"/>
          <w:sz w:val="22"/>
          <w:szCs w:val="22"/>
          <w:lang w:val="lt-LT" w:eastAsia="en-US"/>
        </w:rPr>
        <w:t>asmenų</w:t>
      </w:r>
      <w:r w:rsidR="00AF7EDC" w:rsidRPr="00997273">
        <w:rPr>
          <w:rFonts w:cs="Times New Roman"/>
          <w:sz w:val="22"/>
          <w:szCs w:val="22"/>
          <w:lang w:val="lt-LT" w:eastAsia="en-US"/>
        </w:rPr>
        <w:t>)</w:t>
      </w:r>
      <w:r w:rsidRPr="00C96AAB">
        <w:rPr>
          <w:rFonts w:cs="Times New Roman"/>
          <w:bCs/>
          <w:sz w:val="22"/>
          <w:szCs w:val="22"/>
          <w:lang w:val="lt-LT" w:eastAsia="en-US"/>
        </w:rPr>
        <w:t>: burnos džiūvimas.</w:t>
      </w:r>
    </w:p>
    <w:p w14:paraId="4D275DFE" w14:textId="77777777" w:rsidR="00E41C0C" w:rsidRPr="00C96AAB" w:rsidRDefault="00E41C0C" w:rsidP="002547CC">
      <w:pPr>
        <w:autoSpaceDE w:val="0"/>
        <w:autoSpaceDN w:val="0"/>
        <w:adjustRightInd w:val="0"/>
        <w:rPr>
          <w:rFonts w:cs="Times New Roman"/>
          <w:bCs/>
          <w:sz w:val="22"/>
          <w:szCs w:val="22"/>
          <w:lang w:val="lt-LT" w:eastAsia="en-US"/>
        </w:rPr>
      </w:pPr>
    </w:p>
    <w:p w14:paraId="7A4DC79A" w14:textId="05707EC5" w:rsidR="002547CC" w:rsidRPr="00C96AAB" w:rsidRDefault="002547CC" w:rsidP="002547CC">
      <w:pPr>
        <w:autoSpaceDE w:val="0"/>
        <w:autoSpaceDN w:val="0"/>
        <w:adjustRightInd w:val="0"/>
        <w:rPr>
          <w:rFonts w:cs="Times New Roman"/>
          <w:bCs/>
          <w:sz w:val="22"/>
          <w:szCs w:val="22"/>
          <w:lang w:val="lt-LT" w:eastAsia="en-US"/>
        </w:rPr>
      </w:pPr>
      <w:r w:rsidRPr="00C96AAB">
        <w:rPr>
          <w:rFonts w:cs="Times New Roman"/>
          <w:bCs/>
          <w:sz w:val="22"/>
          <w:szCs w:val="22"/>
          <w:lang w:val="lt-LT" w:eastAsia="en-US"/>
        </w:rPr>
        <w:t xml:space="preserve">Šalutinis poveikis, pasireiškęs kai kuriems </w:t>
      </w:r>
      <w:r w:rsidR="00E70362">
        <w:rPr>
          <w:rFonts w:cs="Times New Roman"/>
          <w:bCs/>
          <w:sz w:val="22"/>
          <w:szCs w:val="22"/>
          <w:lang w:val="lt-LT" w:eastAsia="en-US"/>
        </w:rPr>
        <w:t>pacientams</w:t>
      </w:r>
      <w:r w:rsidRPr="00C96AAB">
        <w:rPr>
          <w:rFonts w:cs="Times New Roman"/>
          <w:bCs/>
          <w:sz w:val="22"/>
          <w:szCs w:val="22"/>
          <w:lang w:val="lt-LT" w:eastAsia="en-US"/>
        </w:rPr>
        <w:t>, klinikinių tyrimų metu arba po vaisto</w:t>
      </w:r>
      <w:r w:rsidR="00E41C0C" w:rsidRPr="00C96AAB">
        <w:rPr>
          <w:rFonts w:cs="Times New Roman"/>
          <w:bCs/>
          <w:sz w:val="22"/>
          <w:szCs w:val="22"/>
          <w:lang w:val="lt-LT" w:eastAsia="en-US"/>
        </w:rPr>
        <w:t xml:space="preserve"> </w:t>
      </w:r>
      <w:r w:rsidRPr="00C96AAB">
        <w:rPr>
          <w:rFonts w:cs="Times New Roman"/>
          <w:bCs/>
          <w:sz w:val="22"/>
          <w:szCs w:val="22"/>
          <w:lang w:val="lt-LT" w:eastAsia="en-US"/>
        </w:rPr>
        <w:t xml:space="preserve">registracijos vartojusiems </w:t>
      </w:r>
      <w:r w:rsidR="00CB1A57">
        <w:rPr>
          <w:rFonts w:cs="Times New Roman"/>
          <w:bCs/>
          <w:sz w:val="22"/>
          <w:szCs w:val="22"/>
          <w:lang w:val="lt-LT" w:eastAsia="en-US"/>
        </w:rPr>
        <w:t xml:space="preserve">vien </w:t>
      </w:r>
      <w:proofErr w:type="spellStart"/>
      <w:r w:rsidRPr="00C96AAB">
        <w:rPr>
          <w:rFonts w:cs="Times New Roman"/>
          <w:bCs/>
          <w:sz w:val="22"/>
          <w:szCs w:val="22"/>
          <w:lang w:val="lt-LT" w:eastAsia="en-US"/>
        </w:rPr>
        <w:t>sitagliptino</w:t>
      </w:r>
      <w:proofErr w:type="spellEnd"/>
      <w:r w:rsidRPr="00C96AAB">
        <w:rPr>
          <w:rFonts w:cs="Times New Roman"/>
          <w:bCs/>
          <w:sz w:val="22"/>
          <w:szCs w:val="22"/>
          <w:lang w:val="lt-LT" w:eastAsia="en-US"/>
        </w:rPr>
        <w:t xml:space="preserve"> ir (arba) </w:t>
      </w:r>
      <w:r w:rsidR="00CB1A57">
        <w:rPr>
          <w:rFonts w:cs="Times New Roman"/>
          <w:bCs/>
          <w:sz w:val="22"/>
          <w:szCs w:val="22"/>
          <w:lang w:val="lt-LT" w:eastAsia="en-US"/>
        </w:rPr>
        <w:t>jo derinį</w:t>
      </w:r>
      <w:r w:rsidR="00850AC7" w:rsidRPr="00C96AAB">
        <w:rPr>
          <w:rFonts w:cs="Times New Roman"/>
          <w:bCs/>
          <w:sz w:val="22"/>
          <w:szCs w:val="22"/>
          <w:lang w:val="lt-LT" w:eastAsia="en-US"/>
        </w:rPr>
        <w:t xml:space="preserve"> </w:t>
      </w:r>
      <w:r w:rsidRPr="00C96AAB">
        <w:rPr>
          <w:rFonts w:cs="Times New Roman"/>
          <w:bCs/>
          <w:sz w:val="22"/>
          <w:szCs w:val="22"/>
          <w:lang w:val="lt-LT" w:eastAsia="en-US"/>
        </w:rPr>
        <w:t xml:space="preserve">su kitais vaistais nuo </w:t>
      </w:r>
      <w:r w:rsidR="00E41C0C" w:rsidRPr="00C96AAB">
        <w:rPr>
          <w:rFonts w:cs="Times New Roman"/>
          <w:bCs/>
          <w:sz w:val="22"/>
          <w:szCs w:val="22"/>
          <w:lang w:val="lt-LT" w:eastAsia="en-US"/>
        </w:rPr>
        <w:t xml:space="preserve">cukrinio </w:t>
      </w:r>
      <w:r w:rsidRPr="00C96AAB">
        <w:rPr>
          <w:rFonts w:cs="Times New Roman"/>
          <w:bCs/>
          <w:sz w:val="22"/>
          <w:szCs w:val="22"/>
          <w:lang w:val="lt-LT" w:eastAsia="en-US"/>
        </w:rPr>
        <w:t>diabeto:</w:t>
      </w:r>
    </w:p>
    <w:p w14:paraId="14EF5DE0" w14:textId="53FF07CC" w:rsidR="002547CC" w:rsidRPr="00C96AAB" w:rsidRDefault="002547CC" w:rsidP="00E70362">
      <w:pPr>
        <w:autoSpaceDE w:val="0"/>
        <w:autoSpaceDN w:val="0"/>
        <w:adjustRightInd w:val="0"/>
        <w:rPr>
          <w:rFonts w:cs="Times New Roman"/>
          <w:bCs/>
          <w:sz w:val="22"/>
          <w:szCs w:val="22"/>
          <w:lang w:val="lt-LT" w:eastAsia="en-US"/>
        </w:rPr>
      </w:pPr>
      <w:r w:rsidRPr="00C96AAB">
        <w:rPr>
          <w:rFonts w:cs="Times New Roman"/>
          <w:bCs/>
          <w:sz w:val="22"/>
          <w:szCs w:val="22"/>
          <w:lang w:val="lt-LT" w:eastAsia="en-US"/>
        </w:rPr>
        <w:t>Dažn</w:t>
      </w:r>
      <w:r w:rsidR="00450863">
        <w:rPr>
          <w:rFonts w:cs="Times New Roman"/>
          <w:bCs/>
          <w:sz w:val="22"/>
          <w:szCs w:val="22"/>
          <w:lang w:val="lt-LT" w:eastAsia="en-US"/>
        </w:rPr>
        <w:t>i šalutinio poveikio reiškiniai</w:t>
      </w:r>
      <w:r w:rsidR="00450863" w:rsidRPr="00A114D2">
        <w:rPr>
          <w:rFonts w:cs="Times New Roman"/>
          <w:bCs/>
          <w:sz w:val="22"/>
          <w:szCs w:val="22"/>
          <w:lang w:val="lt-LT" w:eastAsia="en-US"/>
        </w:rPr>
        <w:t xml:space="preserve"> (gali pasireikšti rečiau </w:t>
      </w:r>
      <w:r w:rsidR="00450863">
        <w:rPr>
          <w:rFonts w:cs="Times New Roman"/>
          <w:bCs/>
          <w:sz w:val="22"/>
          <w:szCs w:val="22"/>
          <w:lang w:val="lt-LT" w:eastAsia="en-US"/>
        </w:rPr>
        <w:t>kaip</w:t>
      </w:r>
      <w:r w:rsidR="00450863" w:rsidRPr="00A114D2">
        <w:rPr>
          <w:rFonts w:cs="Times New Roman"/>
          <w:bCs/>
          <w:sz w:val="22"/>
          <w:szCs w:val="22"/>
          <w:lang w:val="lt-LT" w:eastAsia="en-US"/>
        </w:rPr>
        <w:t xml:space="preserve"> 1 iš 10 </w:t>
      </w:r>
      <w:r w:rsidR="0066223A">
        <w:rPr>
          <w:rFonts w:cs="Times New Roman"/>
          <w:bCs/>
          <w:sz w:val="22"/>
          <w:szCs w:val="22"/>
          <w:lang w:val="lt-LT" w:eastAsia="en-US"/>
        </w:rPr>
        <w:t>asmenų</w:t>
      </w:r>
      <w:r w:rsidR="00450863" w:rsidRPr="00A114D2">
        <w:rPr>
          <w:rFonts w:cs="Times New Roman"/>
          <w:bCs/>
          <w:sz w:val="22"/>
          <w:szCs w:val="22"/>
          <w:lang w:val="lt-LT" w:eastAsia="en-US"/>
        </w:rPr>
        <w:t>)</w:t>
      </w:r>
      <w:r w:rsidRPr="00C96AAB">
        <w:rPr>
          <w:rFonts w:cs="Times New Roman"/>
          <w:bCs/>
          <w:sz w:val="22"/>
          <w:szCs w:val="22"/>
          <w:lang w:val="lt-LT" w:eastAsia="en-US"/>
        </w:rPr>
        <w:t>: mažas cukraus kiekis kraujyje, galvos skausmas, viršutinių kvėpavimo takų infekcinė liga,</w:t>
      </w:r>
      <w:r w:rsidR="00E41C0C" w:rsidRPr="00C96AAB">
        <w:rPr>
          <w:rFonts w:cs="Times New Roman"/>
          <w:bCs/>
          <w:sz w:val="22"/>
          <w:szCs w:val="22"/>
          <w:lang w:val="lt-LT" w:eastAsia="en-US"/>
        </w:rPr>
        <w:t xml:space="preserve"> </w:t>
      </w:r>
      <w:r w:rsidRPr="00C96AAB">
        <w:rPr>
          <w:rFonts w:cs="Times New Roman"/>
          <w:bCs/>
          <w:sz w:val="22"/>
          <w:szCs w:val="22"/>
          <w:lang w:val="lt-LT" w:eastAsia="en-US"/>
        </w:rPr>
        <w:t xml:space="preserve">užsikimšusi arba varvanti nosis ir kartu gerklės skausmas, </w:t>
      </w:r>
      <w:proofErr w:type="spellStart"/>
      <w:r w:rsidRPr="00C96AAB">
        <w:rPr>
          <w:rFonts w:cs="Times New Roman"/>
          <w:bCs/>
          <w:sz w:val="22"/>
          <w:szCs w:val="22"/>
          <w:lang w:val="lt-LT" w:eastAsia="en-US"/>
        </w:rPr>
        <w:t>osteoartritas</w:t>
      </w:r>
      <w:proofErr w:type="spellEnd"/>
      <w:r w:rsidRPr="00C96AAB">
        <w:rPr>
          <w:rFonts w:cs="Times New Roman"/>
          <w:bCs/>
          <w:sz w:val="22"/>
          <w:szCs w:val="22"/>
          <w:lang w:val="lt-LT" w:eastAsia="en-US"/>
        </w:rPr>
        <w:t>, rankos ar kojos skausmas.</w:t>
      </w:r>
    </w:p>
    <w:p w14:paraId="3DF128AD" w14:textId="79DAFA64" w:rsidR="002547CC" w:rsidRPr="00C96AAB" w:rsidRDefault="002547CC" w:rsidP="00E70362">
      <w:pPr>
        <w:autoSpaceDE w:val="0"/>
        <w:autoSpaceDN w:val="0"/>
        <w:adjustRightInd w:val="0"/>
        <w:rPr>
          <w:rFonts w:cs="Times New Roman"/>
          <w:bCs/>
          <w:sz w:val="22"/>
          <w:szCs w:val="22"/>
          <w:lang w:val="lt-LT" w:eastAsia="en-US"/>
        </w:rPr>
      </w:pPr>
      <w:r w:rsidRPr="00C96AAB">
        <w:rPr>
          <w:rFonts w:cs="Times New Roman"/>
          <w:bCs/>
          <w:sz w:val="22"/>
          <w:szCs w:val="22"/>
          <w:lang w:val="lt-LT" w:eastAsia="en-US"/>
        </w:rPr>
        <w:t>Nedažn</w:t>
      </w:r>
      <w:r w:rsidR="00450863">
        <w:rPr>
          <w:rFonts w:cs="Times New Roman"/>
          <w:bCs/>
          <w:sz w:val="22"/>
          <w:szCs w:val="22"/>
          <w:lang w:val="lt-LT" w:eastAsia="en-US"/>
        </w:rPr>
        <w:t>i šalutinio poveikio reiškiniai</w:t>
      </w:r>
      <w:r w:rsidR="00450863" w:rsidRPr="00997273">
        <w:rPr>
          <w:rFonts w:cs="Times New Roman"/>
          <w:sz w:val="22"/>
          <w:szCs w:val="22"/>
          <w:lang w:val="lt-LT" w:eastAsia="en-US"/>
        </w:rPr>
        <w:t xml:space="preserve"> (gali pasireikšti </w:t>
      </w:r>
      <w:r w:rsidR="00450863">
        <w:rPr>
          <w:rFonts w:cs="Times New Roman"/>
          <w:sz w:val="22"/>
          <w:szCs w:val="22"/>
          <w:lang w:val="lt-LT" w:eastAsia="en-US"/>
        </w:rPr>
        <w:t>rečiau</w:t>
      </w:r>
      <w:r w:rsidR="00450863" w:rsidRPr="00997273">
        <w:rPr>
          <w:rFonts w:cs="Times New Roman"/>
          <w:sz w:val="22"/>
          <w:szCs w:val="22"/>
          <w:lang w:val="lt-LT" w:eastAsia="en-US"/>
        </w:rPr>
        <w:t xml:space="preserve"> </w:t>
      </w:r>
      <w:r w:rsidR="00450863">
        <w:rPr>
          <w:rFonts w:cs="Times New Roman"/>
          <w:sz w:val="22"/>
          <w:szCs w:val="22"/>
          <w:lang w:val="lt-LT" w:eastAsia="en-US"/>
        </w:rPr>
        <w:t>kaip</w:t>
      </w:r>
      <w:r w:rsidR="00450863" w:rsidRPr="00997273">
        <w:rPr>
          <w:rFonts w:cs="Times New Roman"/>
          <w:sz w:val="22"/>
          <w:szCs w:val="22"/>
          <w:lang w:val="lt-LT" w:eastAsia="en-US"/>
        </w:rPr>
        <w:t xml:space="preserve"> 1 iš 100 </w:t>
      </w:r>
      <w:r w:rsidR="0066223A">
        <w:rPr>
          <w:rFonts w:cs="Times New Roman"/>
          <w:sz w:val="22"/>
          <w:szCs w:val="22"/>
          <w:lang w:val="lt-LT" w:eastAsia="en-US"/>
        </w:rPr>
        <w:t>asmenų</w:t>
      </w:r>
      <w:r w:rsidR="00450863" w:rsidRPr="00997273">
        <w:rPr>
          <w:rFonts w:cs="Times New Roman"/>
          <w:sz w:val="22"/>
          <w:szCs w:val="22"/>
          <w:lang w:val="lt-LT" w:eastAsia="en-US"/>
        </w:rPr>
        <w:t>)</w:t>
      </w:r>
      <w:r w:rsidRPr="00C96AAB">
        <w:rPr>
          <w:rFonts w:cs="Times New Roman"/>
          <w:bCs/>
          <w:sz w:val="22"/>
          <w:szCs w:val="22"/>
          <w:lang w:val="lt-LT" w:eastAsia="en-US"/>
        </w:rPr>
        <w:t xml:space="preserve">: </w:t>
      </w:r>
      <w:r w:rsidR="00E93C20" w:rsidRPr="00C96AAB">
        <w:rPr>
          <w:rFonts w:cs="Times New Roman"/>
          <w:bCs/>
          <w:sz w:val="22"/>
          <w:szCs w:val="22"/>
          <w:lang w:val="lt-LT" w:eastAsia="en-US"/>
        </w:rPr>
        <w:t>svaigulys</w:t>
      </w:r>
      <w:r w:rsidRPr="00C96AAB">
        <w:rPr>
          <w:rFonts w:cs="Times New Roman"/>
          <w:bCs/>
          <w:sz w:val="22"/>
          <w:szCs w:val="22"/>
          <w:lang w:val="lt-LT" w:eastAsia="en-US"/>
        </w:rPr>
        <w:t>, vidurių užkietėjimas, niežulys.</w:t>
      </w:r>
    </w:p>
    <w:p w14:paraId="1BFDC667" w14:textId="60C4D400" w:rsidR="001A3943" w:rsidRPr="00C96AAB" w:rsidRDefault="001A3943" w:rsidP="00E70362">
      <w:pPr>
        <w:autoSpaceDE w:val="0"/>
        <w:autoSpaceDN w:val="0"/>
        <w:adjustRightInd w:val="0"/>
        <w:rPr>
          <w:rFonts w:cs="Times New Roman"/>
          <w:bCs/>
          <w:sz w:val="22"/>
          <w:szCs w:val="22"/>
          <w:lang w:val="lt-LT" w:eastAsia="en-US"/>
        </w:rPr>
      </w:pPr>
      <w:r w:rsidRPr="00C02A37">
        <w:rPr>
          <w:rFonts w:cs="Times New Roman"/>
          <w:bCs/>
          <w:sz w:val="22"/>
          <w:szCs w:val="22"/>
          <w:lang w:val="lt-LT" w:eastAsia="en-US"/>
        </w:rPr>
        <w:t>Ret</w:t>
      </w:r>
      <w:r w:rsidR="00C02A37" w:rsidRPr="00C02A37">
        <w:rPr>
          <w:rFonts w:cs="Times New Roman"/>
          <w:bCs/>
          <w:sz w:val="22"/>
          <w:szCs w:val="22"/>
          <w:lang w:val="lt-LT" w:eastAsia="en-US"/>
        </w:rPr>
        <w:t xml:space="preserve">i </w:t>
      </w:r>
      <w:r w:rsidR="00C02A37" w:rsidRPr="00110C60">
        <w:rPr>
          <w:bCs/>
          <w:sz w:val="22"/>
          <w:szCs w:val="22"/>
          <w:lang w:eastAsia="lt-LT"/>
        </w:rPr>
        <w:t>šalutinio poveikio reiškiniai (gali pasireikšti rečiau kaip 1 iš 1 000 asmenų)</w:t>
      </w:r>
      <w:r w:rsidRPr="00C02A37">
        <w:rPr>
          <w:rFonts w:cs="Times New Roman"/>
          <w:bCs/>
          <w:sz w:val="22"/>
          <w:szCs w:val="22"/>
          <w:lang w:val="lt-LT" w:eastAsia="en-US"/>
        </w:rPr>
        <w:t>: sumažėjęs</w:t>
      </w:r>
      <w:r w:rsidRPr="00C96AAB">
        <w:rPr>
          <w:rFonts w:cs="Times New Roman"/>
          <w:bCs/>
          <w:sz w:val="22"/>
          <w:szCs w:val="22"/>
          <w:lang w:val="lt-LT" w:eastAsia="en-US"/>
        </w:rPr>
        <w:t xml:space="preserve"> trombocitų</w:t>
      </w:r>
      <w:r w:rsidR="0060664D">
        <w:rPr>
          <w:rFonts w:cs="Times New Roman"/>
          <w:bCs/>
          <w:sz w:val="22"/>
          <w:szCs w:val="22"/>
          <w:lang w:val="lt-LT" w:eastAsia="en-US"/>
        </w:rPr>
        <w:t xml:space="preserve"> (kraujo plokštelių)</w:t>
      </w:r>
      <w:r w:rsidRPr="00C96AAB">
        <w:rPr>
          <w:rFonts w:cs="Times New Roman"/>
          <w:bCs/>
          <w:sz w:val="22"/>
          <w:szCs w:val="22"/>
          <w:lang w:val="lt-LT" w:eastAsia="en-US"/>
        </w:rPr>
        <w:t xml:space="preserve"> </w:t>
      </w:r>
      <w:r w:rsidR="006641D7" w:rsidRPr="00C96AAB">
        <w:rPr>
          <w:rFonts w:cs="Times New Roman"/>
          <w:bCs/>
          <w:sz w:val="22"/>
          <w:szCs w:val="22"/>
          <w:lang w:val="lt-LT" w:eastAsia="en-US"/>
        </w:rPr>
        <w:t>skaičius</w:t>
      </w:r>
      <w:r w:rsidRPr="00C96AAB">
        <w:rPr>
          <w:rFonts w:cs="Times New Roman"/>
          <w:bCs/>
          <w:sz w:val="22"/>
          <w:szCs w:val="22"/>
          <w:lang w:val="lt-LT" w:eastAsia="en-US"/>
        </w:rPr>
        <w:t>.</w:t>
      </w:r>
    </w:p>
    <w:p w14:paraId="67B24791" w14:textId="4E614FAC" w:rsidR="002547CC" w:rsidRPr="00C96AAB" w:rsidRDefault="0071489F" w:rsidP="00E70362">
      <w:pPr>
        <w:autoSpaceDE w:val="0"/>
        <w:autoSpaceDN w:val="0"/>
        <w:adjustRightInd w:val="0"/>
        <w:rPr>
          <w:rFonts w:eastAsia="Times New Roman" w:cs="Times New Roman"/>
          <w:bCs/>
          <w:noProof/>
          <w:sz w:val="22"/>
          <w:szCs w:val="22"/>
          <w:lang w:val="lt-LT" w:eastAsia="lt-LT" w:bidi="lt-LT"/>
        </w:rPr>
      </w:pPr>
      <w:r w:rsidRPr="00110C60">
        <w:rPr>
          <w:bCs/>
          <w:sz w:val="22"/>
          <w:szCs w:val="22"/>
          <w:lang w:eastAsia="lt-LT"/>
        </w:rPr>
        <w:t xml:space="preserve"> Šalutinio poveikio reiškiniai, kurių</w:t>
      </w:r>
      <w:r>
        <w:rPr>
          <w:bCs/>
          <w:sz w:val="22"/>
          <w:szCs w:val="22"/>
          <w:lang w:eastAsia="lt-LT"/>
        </w:rPr>
        <w:t xml:space="preserve"> </w:t>
      </w:r>
      <w:r w:rsidRPr="00110C60">
        <w:rPr>
          <w:bCs/>
          <w:sz w:val="22"/>
          <w:szCs w:val="22"/>
          <w:lang w:eastAsia="lt-LT"/>
        </w:rPr>
        <w:t>dažnis</w:t>
      </w:r>
      <w:r w:rsidRPr="0074180D">
        <w:rPr>
          <w:sz w:val="22"/>
        </w:rPr>
        <w:t xml:space="preserve"> nežinomas</w:t>
      </w:r>
      <w:r w:rsidRPr="00110C60">
        <w:rPr>
          <w:bCs/>
          <w:sz w:val="22"/>
          <w:szCs w:val="22"/>
          <w:lang w:eastAsia="lt-LT"/>
        </w:rPr>
        <w:t xml:space="preserve"> (negali būti apskaičiuotas pagal turimus duomenis)</w:t>
      </w:r>
      <w:r w:rsidR="002547CC" w:rsidRPr="0071489F">
        <w:rPr>
          <w:rFonts w:cs="Times New Roman"/>
          <w:bCs/>
          <w:sz w:val="22"/>
          <w:szCs w:val="22"/>
          <w:lang w:val="lt-LT" w:eastAsia="en-US"/>
        </w:rPr>
        <w:t>:</w:t>
      </w:r>
      <w:r w:rsidR="002547CC" w:rsidRPr="00C96AAB">
        <w:rPr>
          <w:rFonts w:cs="Times New Roman"/>
          <w:bCs/>
          <w:sz w:val="22"/>
          <w:szCs w:val="22"/>
          <w:lang w:val="lt-LT" w:eastAsia="en-US"/>
        </w:rPr>
        <w:t xml:space="preserve"> inkstų </w:t>
      </w:r>
      <w:r w:rsidR="0060664D">
        <w:rPr>
          <w:rFonts w:cs="Times New Roman"/>
          <w:bCs/>
          <w:sz w:val="22"/>
          <w:szCs w:val="22"/>
          <w:lang w:val="lt-LT" w:eastAsia="en-US"/>
        </w:rPr>
        <w:t>veiklos (</w:t>
      </w:r>
      <w:r w:rsidR="00E93C20" w:rsidRPr="00C96AAB">
        <w:rPr>
          <w:rFonts w:cs="Times New Roman"/>
          <w:bCs/>
          <w:sz w:val="22"/>
          <w:szCs w:val="22"/>
          <w:lang w:val="lt-LT" w:eastAsia="en-US"/>
        </w:rPr>
        <w:t>funkcijos</w:t>
      </w:r>
      <w:r w:rsidR="0060664D">
        <w:rPr>
          <w:rFonts w:cs="Times New Roman"/>
          <w:bCs/>
          <w:sz w:val="22"/>
          <w:szCs w:val="22"/>
          <w:lang w:val="lt-LT" w:eastAsia="en-US"/>
        </w:rPr>
        <w:t>)</w:t>
      </w:r>
      <w:r w:rsidR="00E93C20" w:rsidRPr="00C96AAB">
        <w:rPr>
          <w:rFonts w:cs="Times New Roman"/>
          <w:bCs/>
          <w:sz w:val="22"/>
          <w:szCs w:val="22"/>
          <w:lang w:val="lt-LT" w:eastAsia="en-US"/>
        </w:rPr>
        <w:t xml:space="preserve"> </w:t>
      </w:r>
      <w:r w:rsidR="002547CC" w:rsidRPr="00C96AAB">
        <w:rPr>
          <w:rFonts w:cs="Times New Roman"/>
          <w:bCs/>
          <w:sz w:val="22"/>
          <w:szCs w:val="22"/>
          <w:lang w:val="lt-LT" w:eastAsia="en-US"/>
        </w:rPr>
        <w:t xml:space="preserve">sutrikimai (kartais </w:t>
      </w:r>
      <w:r w:rsidR="00675B02">
        <w:rPr>
          <w:rFonts w:cs="Times New Roman"/>
          <w:bCs/>
          <w:sz w:val="22"/>
          <w:szCs w:val="22"/>
          <w:lang w:val="lt-LT" w:eastAsia="en-US"/>
        </w:rPr>
        <w:t>reikalaujantys</w:t>
      </w:r>
      <w:r w:rsidR="002547CC" w:rsidRPr="00C96AAB">
        <w:rPr>
          <w:rFonts w:cs="Times New Roman"/>
          <w:bCs/>
          <w:sz w:val="22"/>
          <w:szCs w:val="22"/>
          <w:lang w:val="lt-LT" w:eastAsia="en-US"/>
        </w:rPr>
        <w:t xml:space="preserve"> dializės), vėmimas, sąnarių skausmas,</w:t>
      </w:r>
      <w:r w:rsidR="00E41C0C" w:rsidRPr="00C96AAB">
        <w:rPr>
          <w:rFonts w:cs="Times New Roman"/>
          <w:bCs/>
          <w:sz w:val="22"/>
          <w:szCs w:val="22"/>
          <w:lang w:val="lt-LT" w:eastAsia="en-US"/>
        </w:rPr>
        <w:t xml:space="preserve"> </w:t>
      </w:r>
      <w:r w:rsidR="002547CC" w:rsidRPr="00C96AAB">
        <w:rPr>
          <w:rFonts w:cs="Times New Roman"/>
          <w:bCs/>
          <w:sz w:val="22"/>
          <w:szCs w:val="22"/>
          <w:lang w:val="lt-LT" w:eastAsia="en-US"/>
        </w:rPr>
        <w:t xml:space="preserve">raumenų skausmas, nugaros skausmas, </w:t>
      </w:r>
      <w:r w:rsidR="00455DFF">
        <w:rPr>
          <w:rFonts w:cs="Times New Roman"/>
          <w:bCs/>
          <w:sz w:val="22"/>
          <w:szCs w:val="22"/>
          <w:lang w:val="lt-LT" w:eastAsia="en-US"/>
        </w:rPr>
        <w:t>plaučių uždegimas (</w:t>
      </w:r>
      <w:proofErr w:type="spellStart"/>
      <w:r w:rsidR="002547CC" w:rsidRPr="00C96AAB">
        <w:rPr>
          <w:rFonts w:cs="Times New Roman"/>
          <w:bCs/>
          <w:sz w:val="22"/>
          <w:szCs w:val="22"/>
          <w:lang w:val="lt-LT" w:eastAsia="en-US"/>
        </w:rPr>
        <w:t>intersticinė</w:t>
      </w:r>
      <w:proofErr w:type="spellEnd"/>
      <w:r w:rsidR="002547CC" w:rsidRPr="00C96AAB">
        <w:rPr>
          <w:rFonts w:cs="Times New Roman"/>
          <w:bCs/>
          <w:sz w:val="22"/>
          <w:szCs w:val="22"/>
          <w:lang w:val="lt-LT" w:eastAsia="en-US"/>
        </w:rPr>
        <w:t xml:space="preserve"> plaučių liga</w:t>
      </w:r>
      <w:r w:rsidR="00455DFF">
        <w:rPr>
          <w:rFonts w:cs="Times New Roman"/>
          <w:bCs/>
          <w:sz w:val="22"/>
          <w:szCs w:val="22"/>
          <w:lang w:val="lt-LT" w:eastAsia="en-US"/>
        </w:rPr>
        <w:t>)</w:t>
      </w:r>
      <w:r w:rsidR="00455DFF" w:rsidRPr="00455DFF">
        <w:rPr>
          <w:rFonts w:eastAsia="Times New Roman" w:cs="Times New Roman"/>
          <w:sz w:val="22"/>
          <w:szCs w:val="22"/>
          <w:lang w:val="lt-LT" w:eastAsia="en-US"/>
        </w:rPr>
        <w:t xml:space="preserve">, </w:t>
      </w:r>
      <w:proofErr w:type="spellStart"/>
      <w:r w:rsidR="00455DFF" w:rsidRPr="00455DFF">
        <w:rPr>
          <w:rFonts w:eastAsia="Times New Roman" w:cs="Times New Roman"/>
          <w:sz w:val="22"/>
          <w:szCs w:val="22"/>
          <w:lang w:val="lt-LT" w:eastAsia="en-US"/>
        </w:rPr>
        <w:t>pūslinis</w:t>
      </w:r>
      <w:proofErr w:type="spellEnd"/>
      <w:r w:rsidR="00455DFF" w:rsidRPr="00455DFF">
        <w:rPr>
          <w:rFonts w:eastAsia="Times New Roman" w:cs="Times New Roman"/>
          <w:sz w:val="22"/>
          <w:szCs w:val="22"/>
          <w:lang w:val="lt-LT" w:eastAsia="en-US"/>
        </w:rPr>
        <w:t xml:space="preserve"> </w:t>
      </w:r>
      <w:proofErr w:type="spellStart"/>
      <w:r w:rsidR="00455DFF" w:rsidRPr="00455DFF">
        <w:rPr>
          <w:rFonts w:eastAsia="Times New Roman" w:cs="Times New Roman"/>
          <w:sz w:val="22"/>
          <w:szCs w:val="22"/>
          <w:lang w:val="lt-LT" w:eastAsia="en-US"/>
        </w:rPr>
        <w:t>pemfigoidas</w:t>
      </w:r>
      <w:proofErr w:type="spellEnd"/>
      <w:r w:rsidR="00455DFF" w:rsidRPr="00455DFF">
        <w:rPr>
          <w:rFonts w:eastAsia="Times New Roman" w:cs="Times New Roman"/>
          <w:sz w:val="22"/>
          <w:szCs w:val="22"/>
          <w:lang w:val="lt-LT" w:eastAsia="en-US"/>
        </w:rPr>
        <w:t xml:space="preserve"> (tam tikro tipo </w:t>
      </w:r>
      <w:r w:rsidR="003A2A59">
        <w:rPr>
          <w:rFonts w:eastAsia="Times New Roman" w:cs="Times New Roman"/>
          <w:sz w:val="22"/>
          <w:szCs w:val="22"/>
          <w:lang w:val="lt-LT" w:eastAsia="en-US"/>
        </w:rPr>
        <w:t>odos pūslės</w:t>
      </w:r>
      <w:r w:rsidR="00455DFF" w:rsidRPr="00455DFF">
        <w:rPr>
          <w:rFonts w:eastAsia="Times New Roman" w:cs="Times New Roman"/>
          <w:sz w:val="22"/>
          <w:szCs w:val="22"/>
          <w:lang w:val="lt-LT" w:eastAsia="en-US"/>
        </w:rPr>
        <w:t>)</w:t>
      </w:r>
      <w:r w:rsidR="002547CC" w:rsidRPr="00C96AAB">
        <w:rPr>
          <w:rFonts w:cs="Times New Roman"/>
          <w:bCs/>
          <w:sz w:val="22"/>
          <w:szCs w:val="22"/>
          <w:lang w:val="lt-LT" w:eastAsia="en-US"/>
        </w:rPr>
        <w:t>.</w:t>
      </w:r>
    </w:p>
    <w:p w14:paraId="3D7073E5" w14:textId="77777777" w:rsidR="002547CC" w:rsidRPr="00C96AAB" w:rsidRDefault="002547CC" w:rsidP="00612A8E">
      <w:pPr>
        <w:numPr>
          <w:ilvl w:val="12"/>
          <w:numId w:val="0"/>
        </w:numPr>
        <w:outlineLvl w:val="0"/>
        <w:rPr>
          <w:rFonts w:eastAsia="Times New Roman" w:cs="Times New Roman"/>
          <w:bCs/>
          <w:noProof/>
          <w:sz w:val="22"/>
          <w:szCs w:val="22"/>
          <w:lang w:val="lt-LT" w:eastAsia="lt-LT" w:bidi="lt-LT"/>
        </w:rPr>
      </w:pPr>
    </w:p>
    <w:p w14:paraId="1E1AF973" w14:textId="77777777" w:rsidR="00E41C0C" w:rsidRPr="00997273" w:rsidRDefault="00E41C0C" w:rsidP="00E41C0C">
      <w:pPr>
        <w:tabs>
          <w:tab w:val="left" w:pos="567"/>
        </w:tabs>
        <w:rPr>
          <w:rFonts w:eastAsia="Times New Roman" w:cs="Times New Roman"/>
          <w:b/>
          <w:snapToGrid w:val="0"/>
          <w:sz w:val="22"/>
          <w:szCs w:val="22"/>
          <w:lang w:val="lt-LT" w:eastAsia="en-US"/>
        </w:rPr>
      </w:pPr>
      <w:r w:rsidRPr="00997273">
        <w:rPr>
          <w:rFonts w:eastAsia="Times New Roman" w:cs="Times New Roman"/>
          <w:b/>
          <w:noProof/>
          <w:snapToGrid w:val="0"/>
          <w:sz w:val="22"/>
          <w:szCs w:val="22"/>
          <w:lang w:val="lt-LT" w:eastAsia="en-US"/>
        </w:rPr>
        <w:t>Pranešimas apie šalutinį poveikį</w:t>
      </w:r>
    </w:p>
    <w:p w14:paraId="0BE081C7" w14:textId="063A6336" w:rsidR="00E41C0C" w:rsidRPr="00997273" w:rsidRDefault="00E00D65" w:rsidP="00E41C0C">
      <w:pPr>
        <w:tabs>
          <w:tab w:val="left" w:pos="567"/>
        </w:tabs>
        <w:spacing w:line="260" w:lineRule="exact"/>
        <w:ind w:right="-449"/>
        <w:rPr>
          <w:rFonts w:eastAsia="Times New Roman" w:cs="Times New Roman"/>
          <w:noProof/>
          <w:snapToGrid w:val="0"/>
          <w:sz w:val="22"/>
          <w:szCs w:val="22"/>
          <w:lang w:val="lt-LT" w:eastAsia="en-US"/>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w:t>
      </w:r>
      <w:r w:rsidR="00D067E1">
        <w:rPr>
          <w:sz w:val="22"/>
          <w:szCs w:val="22"/>
          <w:lang w:eastAsia="lt-LT"/>
        </w:rPr>
        <w:t xml:space="preserve"> +370</w:t>
      </w:r>
      <w:r>
        <w:rPr>
          <w:sz w:val="22"/>
          <w:szCs w:val="22"/>
          <w:lang w:eastAsia="lt-LT"/>
        </w:rPr>
        <w:t xml:space="preserve"> 800 73 568. Pranešdami apie šalutinį poveikį galite mums padėti gauti daugiau informacijos apie šio vaisto saugumą.</w:t>
      </w:r>
      <w:r w:rsidR="00E41C0C" w:rsidRPr="00997273">
        <w:rPr>
          <w:rFonts w:eastAsia="Times New Roman" w:cs="Times New Roman"/>
          <w:noProof/>
          <w:snapToGrid w:val="0"/>
          <w:sz w:val="22"/>
          <w:szCs w:val="22"/>
          <w:lang w:val="lt-LT" w:eastAsia="en-US"/>
        </w:rPr>
        <w:t>.</w:t>
      </w:r>
    </w:p>
    <w:p w14:paraId="3EDF7055" w14:textId="77777777" w:rsidR="00612A8E" w:rsidRPr="00997273" w:rsidRDefault="00612A8E" w:rsidP="00612A8E">
      <w:pPr>
        <w:tabs>
          <w:tab w:val="left" w:pos="567"/>
        </w:tabs>
        <w:autoSpaceDE w:val="0"/>
        <w:autoSpaceDN w:val="0"/>
        <w:adjustRightInd w:val="0"/>
        <w:rPr>
          <w:rFonts w:eastAsia="Times New Roman" w:cs="Times New Roman"/>
          <w:sz w:val="22"/>
          <w:szCs w:val="22"/>
          <w:lang w:val="lt-LT" w:eastAsia="lt-LT" w:bidi="lt-LT"/>
        </w:rPr>
      </w:pPr>
    </w:p>
    <w:p w14:paraId="1CE539D5" w14:textId="77777777" w:rsidR="00612A8E" w:rsidRPr="00997273" w:rsidRDefault="00612A8E" w:rsidP="00612A8E">
      <w:pPr>
        <w:tabs>
          <w:tab w:val="left" w:pos="567"/>
        </w:tabs>
        <w:autoSpaceDE w:val="0"/>
        <w:autoSpaceDN w:val="0"/>
        <w:adjustRightInd w:val="0"/>
        <w:rPr>
          <w:rFonts w:eastAsia="Times New Roman" w:cs="Times New Roman"/>
          <w:sz w:val="22"/>
          <w:szCs w:val="22"/>
          <w:lang w:val="lt-LT" w:eastAsia="lt-LT" w:bidi="lt-LT"/>
        </w:rPr>
      </w:pPr>
    </w:p>
    <w:p w14:paraId="20E868C3" w14:textId="47BBF7EC" w:rsidR="00612A8E" w:rsidRPr="00997273" w:rsidRDefault="00612A8E" w:rsidP="00612A8E">
      <w:pPr>
        <w:keepNext/>
        <w:numPr>
          <w:ilvl w:val="0"/>
          <w:numId w:val="34"/>
        </w:numPr>
        <w:tabs>
          <w:tab w:val="left" w:pos="567"/>
        </w:tabs>
        <w:spacing w:line="260" w:lineRule="exact"/>
        <w:ind w:left="567" w:right="-2"/>
        <w:rPr>
          <w:rFonts w:eastAsia="Times New Roman" w:cs="Times New Roman"/>
          <w:b/>
          <w:noProof/>
          <w:sz w:val="22"/>
          <w:szCs w:val="22"/>
          <w:lang w:val="lt-LT" w:eastAsia="lt-LT" w:bidi="lt-LT"/>
        </w:rPr>
      </w:pPr>
      <w:r w:rsidRPr="00997273">
        <w:rPr>
          <w:rFonts w:eastAsia="Times New Roman" w:cs="Times New Roman"/>
          <w:b/>
          <w:noProof/>
          <w:sz w:val="22"/>
          <w:szCs w:val="22"/>
          <w:lang w:val="lt-LT" w:eastAsia="lt-LT" w:bidi="lt-LT"/>
        </w:rPr>
        <w:t xml:space="preserve">Kaip laikyti </w:t>
      </w:r>
      <w:proofErr w:type="spellStart"/>
      <w:r w:rsidR="00AE2AD2">
        <w:rPr>
          <w:rFonts w:eastAsia="Times New Roman" w:cs="Times New Roman"/>
          <w:b/>
          <w:sz w:val="22"/>
          <w:szCs w:val="22"/>
          <w:lang w:val="lt-LT" w:eastAsia="lt-LT" w:bidi="lt-LT"/>
        </w:rPr>
        <w:t>Meliglix</w:t>
      </w:r>
      <w:proofErr w:type="spellEnd"/>
    </w:p>
    <w:p w14:paraId="0F07C627" w14:textId="77777777" w:rsidR="00612A8E" w:rsidRPr="00997273" w:rsidRDefault="00612A8E" w:rsidP="00612A8E">
      <w:pPr>
        <w:keepNext/>
        <w:numPr>
          <w:ilvl w:val="12"/>
          <w:numId w:val="0"/>
        </w:numPr>
        <w:ind w:right="-2"/>
        <w:rPr>
          <w:rFonts w:eastAsia="Times New Roman" w:cs="Times New Roman"/>
          <w:noProof/>
          <w:sz w:val="22"/>
          <w:szCs w:val="22"/>
          <w:lang w:val="lt-LT" w:eastAsia="lt-LT" w:bidi="lt-LT"/>
        </w:rPr>
      </w:pPr>
    </w:p>
    <w:p w14:paraId="38497A52" w14:textId="77777777" w:rsidR="00612A8E" w:rsidRPr="00A45AAA" w:rsidRDefault="00612A8E" w:rsidP="00612A8E">
      <w:pPr>
        <w:numPr>
          <w:ilvl w:val="12"/>
          <w:numId w:val="0"/>
        </w:numPr>
        <w:ind w:right="-2"/>
        <w:rPr>
          <w:rFonts w:eastAsia="Times New Roman" w:cs="Times New Roman"/>
          <w:bCs/>
          <w:noProof/>
          <w:sz w:val="22"/>
          <w:szCs w:val="22"/>
          <w:lang w:val="lt-LT" w:eastAsia="lt-LT" w:bidi="lt-LT"/>
        </w:rPr>
      </w:pPr>
      <w:r w:rsidRPr="00A45AAA">
        <w:rPr>
          <w:rFonts w:eastAsia="Times New Roman" w:cs="Times New Roman"/>
          <w:bCs/>
          <w:sz w:val="22"/>
          <w:szCs w:val="22"/>
          <w:lang w:val="lt-LT" w:eastAsia="lt-LT" w:bidi="lt-LT"/>
        </w:rPr>
        <w:t>Šį vaistą laikykite vaikams nepastebimoje ir nepasiekiamoje vietoje.</w:t>
      </w:r>
    </w:p>
    <w:p w14:paraId="75E65F72" w14:textId="77777777" w:rsidR="00612A8E" w:rsidRPr="00997273" w:rsidRDefault="00612A8E" w:rsidP="00612A8E">
      <w:pPr>
        <w:numPr>
          <w:ilvl w:val="12"/>
          <w:numId w:val="0"/>
        </w:numPr>
        <w:ind w:right="-2"/>
        <w:rPr>
          <w:rFonts w:eastAsia="Times New Roman" w:cs="Times New Roman"/>
          <w:noProof/>
          <w:sz w:val="22"/>
          <w:szCs w:val="22"/>
          <w:lang w:val="lt-LT" w:eastAsia="lt-LT" w:bidi="lt-LT"/>
        </w:rPr>
      </w:pPr>
    </w:p>
    <w:p w14:paraId="21E89971" w14:textId="3B975E0F" w:rsidR="00E41C0C" w:rsidRPr="00997273" w:rsidRDefault="00E41C0C" w:rsidP="00E41C0C">
      <w:pPr>
        <w:autoSpaceDE w:val="0"/>
        <w:autoSpaceDN w:val="0"/>
        <w:adjustRightInd w:val="0"/>
        <w:rPr>
          <w:rFonts w:cs="Times New Roman"/>
          <w:sz w:val="22"/>
          <w:szCs w:val="22"/>
          <w:lang w:val="lt-LT" w:eastAsia="en-US"/>
        </w:rPr>
      </w:pPr>
      <w:r w:rsidRPr="00997273">
        <w:rPr>
          <w:rFonts w:cs="Times New Roman"/>
          <w:sz w:val="22"/>
          <w:szCs w:val="22"/>
          <w:lang w:val="lt-LT" w:eastAsia="en-US"/>
        </w:rPr>
        <w:t xml:space="preserve">Ant lizdinės plokštelės ir dėžutės po </w:t>
      </w:r>
      <w:r w:rsidR="0044649D" w:rsidRPr="00997273">
        <w:rPr>
          <w:rFonts w:cs="Times New Roman"/>
          <w:sz w:val="22"/>
          <w:szCs w:val="22"/>
          <w:lang w:val="lt-LT" w:eastAsia="en-US"/>
        </w:rPr>
        <w:t>„</w:t>
      </w:r>
      <w:r w:rsidRPr="00997273">
        <w:rPr>
          <w:rFonts w:cs="Times New Roman"/>
          <w:sz w:val="22"/>
          <w:szCs w:val="22"/>
          <w:lang w:val="lt-LT" w:eastAsia="en-US"/>
        </w:rPr>
        <w:t>EXP</w:t>
      </w:r>
      <w:r w:rsidR="0044649D" w:rsidRPr="00997273">
        <w:rPr>
          <w:rFonts w:cs="Times New Roman"/>
          <w:sz w:val="22"/>
          <w:szCs w:val="22"/>
          <w:lang w:val="lt-LT" w:eastAsia="en-US"/>
        </w:rPr>
        <w:t xml:space="preserve">“ </w:t>
      </w:r>
      <w:r w:rsidRPr="00997273">
        <w:rPr>
          <w:rFonts w:cs="Times New Roman"/>
          <w:sz w:val="22"/>
          <w:szCs w:val="22"/>
          <w:lang w:val="lt-LT" w:eastAsia="en-US"/>
        </w:rPr>
        <w:t>nurodytam tinkamumo laikui pasibaigus, šio</w:t>
      </w:r>
      <w:r w:rsidR="0044649D" w:rsidRPr="00997273">
        <w:rPr>
          <w:rFonts w:cs="Times New Roman"/>
          <w:sz w:val="22"/>
          <w:szCs w:val="22"/>
          <w:lang w:val="lt-LT" w:eastAsia="en-US"/>
        </w:rPr>
        <w:t xml:space="preserve"> </w:t>
      </w:r>
      <w:r w:rsidRPr="00997273">
        <w:rPr>
          <w:rFonts w:cs="Times New Roman"/>
          <w:sz w:val="22"/>
          <w:szCs w:val="22"/>
          <w:lang w:val="lt-LT" w:eastAsia="en-US"/>
        </w:rPr>
        <w:t>vaisto vartoti negalima. Vaistas tinkamas vartoti iki paskutinės nurodyto mėnesio dienos.</w:t>
      </w:r>
    </w:p>
    <w:p w14:paraId="735355A5" w14:textId="77777777" w:rsidR="00E41C0C" w:rsidRPr="00997273" w:rsidRDefault="00E41C0C" w:rsidP="00E41C0C">
      <w:pPr>
        <w:autoSpaceDE w:val="0"/>
        <w:autoSpaceDN w:val="0"/>
        <w:adjustRightInd w:val="0"/>
        <w:rPr>
          <w:rFonts w:cs="Times New Roman"/>
          <w:sz w:val="22"/>
          <w:szCs w:val="22"/>
          <w:lang w:val="lt-LT" w:eastAsia="en-US"/>
        </w:rPr>
      </w:pPr>
    </w:p>
    <w:p w14:paraId="5F0993B9" w14:textId="367ABF8D" w:rsidR="00E41C0C" w:rsidRPr="00997273" w:rsidRDefault="00E70362" w:rsidP="00E41C0C">
      <w:pPr>
        <w:autoSpaceDE w:val="0"/>
        <w:autoSpaceDN w:val="0"/>
        <w:adjustRightInd w:val="0"/>
        <w:rPr>
          <w:rFonts w:cs="Times New Roman"/>
          <w:sz w:val="22"/>
          <w:szCs w:val="22"/>
          <w:lang w:val="lt-LT" w:eastAsia="en-US"/>
        </w:rPr>
      </w:pPr>
      <w:r w:rsidRPr="00297C23">
        <w:rPr>
          <w:rFonts w:cs="Times New Roman"/>
          <w:sz w:val="22"/>
          <w:szCs w:val="22"/>
          <w:lang w:val="lt-LT" w:eastAsia="en-US"/>
        </w:rPr>
        <w:t xml:space="preserve">Laikyti ne aukštesnėje kaip </w:t>
      </w:r>
      <w:r w:rsidRPr="00E70362">
        <w:rPr>
          <w:rFonts w:cs="Times New Roman"/>
          <w:sz w:val="22"/>
          <w:szCs w:val="22"/>
          <w:lang w:val="lt-LT" w:eastAsia="en-US"/>
        </w:rPr>
        <w:t>30</w:t>
      </w:r>
      <w:r>
        <w:rPr>
          <w:rFonts w:cs="Times New Roman"/>
          <w:sz w:val="22"/>
          <w:szCs w:val="22"/>
          <w:lang w:val="lt-LT" w:eastAsia="en-US"/>
        </w:rPr>
        <w:t> </w:t>
      </w:r>
      <w:r w:rsidRPr="00297C23">
        <w:rPr>
          <w:rFonts w:cs="Times New Roman"/>
          <w:sz w:val="22"/>
          <w:szCs w:val="22"/>
          <w:lang w:val="lt-LT" w:eastAsia="en-US"/>
        </w:rPr>
        <w:sym w:font="Symbol" w:char="F0B0"/>
      </w:r>
      <w:r w:rsidRPr="00297C23">
        <w:rPr>
          <w:rFonts w:cs="Times New Roman"/>
          <w:sz w:val="22"/>
          <w:szCs w:val="22"/>
          <w:lang w:val="lt-LT" w:eastAsia="en-US"/>
        </w:rPr>
        <w:t>C temperatūroje</w:t>
      </w:r>
      <w:r>
        <w:rPr>
          <w:rFonts w:cs="Times New Roman"/>
          <w:sz w:val="22"/>
          <w:szCs w:val="22"/>
          <w:lang w:val="lt-LT" w:eastAsia="en-US"/>
        </w:rPr>
        <w:t>.</w:t>
      </w:r>
    </w:p>
    <w:p w14:paraId="0332655B" w14:textId="6F25ED25" w:rsidR="005122A2" w:rsidRPr="00FC7D7A" w:rsidRDefault="005122A2" w:rsidP="00E41C0C">
      <w:pPr>
        <w:autoSpaceDE w:val="0"/>
        <w:autoSpaceDN w:val="0"/>
        <w:adjustRightInd w:val="0"/>
        <w:rPr>
          <w:rFonts w:cs="Times New Roman"/>
          <w:sz w:val="22"/>
          <w:szCs w:val="22"/>
          <w:lang w:val="lt-LT" w:eastAsia="en-US"/>
        </w:rPr>
      </w:pPr>
    </w:p>
    <w:p w14:paraId="6049BABF" w14:textId="77777777" w:rsidR="00612A8E" w:rsidRPr="00997273" w:rsidRDefault="00612A8E" w:rsidP="00612A8E">
      <w:pPr>
        <w:numPr>
          <w:ilvl w:val="12"/>
          <w:numId w:val="0"/>
        </w:numPr>
        <w:ind w:right="-2"/>
        <w:rPr>
          <w:rFonts w:eastAsia="Times New Roman" w:cs="Times New Roman"/>
          <w:i/>
          <w:iCs/>
          <w:noProof/>
          <w:sz w:val="22"/>
          <w:szCs w:val="22"/>
          <w:lang w:val="lt-LT" w:eastAsia="lt-LT" w:bidi="lt-LT"/>
        </w:rPr>
      </w:pPr>
      <w:r w:rsidRPr="00997273">
        <w:rPr>
          <w:rFonts w:eastAsia="Times New Roman" w:cs="Times New Roman"/>
          <w:sz w:val="22"/>
          <w:szCs w:val="22"/>
          <w:lang w:val="lt-LT" w:eastAsia="lt-LT" w:bidi="lt-LT"/>
        </w:rPr>
        <w:lastRenderedPageBreak/>
        <w:t>Vaistų neg</w:t>
      </w:r>
      <w:r w:rsidR="00E41C0C" w:rsidRPr="00997273">
        <w:rPr>
          <w:rFonts w:eastAsia="Times New Roman" w:cs="Times New Roman"/>
          <w:sz w:val="22"/>
          <w:szCs w:val="22"/>
          <w:lang w:val="lt-LT" w:eastAsia="lt-LT" w:bidi="lt-LT"/>
        </w:rPr>
        <w:t>alima išmesti į kanalizaciją arba su buitinėmis atliekomis</w:t>
      </w:r>
      <w:r w:rsidRPr="00997273">
        <w:rPr>
          <w:rFonts w:eastAsia="Times New Roman" w:cs="Times New Roman"/>
          <w:sz w:val="22"/>
          <w:szCs w:val="22"/>
          <w:lang w:val="lt-LT" w:eastAsia="lt-LT" w:bidi="lt-LT"/>
        </w:rPr>
        <w:t>. Kaip išmesti nereikalingus vaistus, klauskite vaistininko. Šios pri</w:t>
      </w:r>
      <w:r w:rsidR="00E41C0C" w:rsidRPr="00997273">
        <w:rPr>
          <w:rFonts w:eastAsia="Times New Roman" w:cs="Times New Roman"/>
          <w:sz w:val="22"/>
          <w:szCs w:val="22"/>
          <w:lang w:val="lt-LT" w:eastAsia="lt-LT" w:bidi="lt-LT"/>
        </w:rPr>
        <w:t>emonės padės apsaugoti aplinką.</w:t>
      </w:r>
    </w:p>
    <w:p w14:paraId="078E2741" w14:textId="77777777" w:rsidR="00612A8E" w:rsidRPr="00997273" w:rsidRDefault="00612A8E" w:rsidP="00612A8E">
      <w:pPr>
        <w:numPr>
          <w:ilvl w:val="12"/>
          <w:numId w:val="0"/>
        </w:numPr>
        <w:ind w:right="-2"/>
        <w:rPr>
          <w:rFonts w:eastAsia="Times New Roman" w:cs="Times New Roman"/>
          <w:noProof/>
          <w:sz w:val="22"/>
          <w:szCs w:val="22"/>
          <w:lang w:val="lt-LT" w:eastAsia="lt-LT" w:bidi="lt-LT"/>
        </w:rPr>
      </w:pPr>
    </w:p>
    <w:p w14:paraId="7384915F" w14:textId="77777777" w:rsidR="00612A8E" w:rsidRPr="00997273" w:rsidRDefault="00612A8E" w:rsidP="00612A8E">
      <w:pPr>
        <w:numPr>
          <w:ilvl w:val="12"/>
          <w:numId w:val="0"/>
        </w:numPr>
        <w:ind w:right="-2"/>
        <w:rPr>
          <w:rFonts w:eastAsia="Times New Roman" w:cs="Times New Roman"/>
          <w:noProof/>
          <w:sz w:val="22"/>
          <w:szCs w:val="22"/>
          <w:lang w:val="lt-LT" w:eastAsia="lt-LT" w:bidi="lt-LT"/>
        </w:rPr>
      </w:pPr>
    </w:p>
    <w:p w14:paraId="3FC9E285" w14:textId="77777777" w:rsidR="00612A8E" w:rsidRPr="00997273" w:rsidRDefault="00612A8E" w:rsidP="00612A8E">
      <w:pPr>
        <w:keepNext/>
        <w:numPr>
          <w:ilvl w:val="0"/>
          <w:numId w:val="34"/>
        </w:numPr>
        <w:tabs>
          <w:tab w:val="left" w:pos="567"/>
        </w:tabs>
        <w:spacing w:line="260" w:lineRule="exact"/>
        <w:ind w:left="567" w:right="-2"/>
        <w:rPr>
          <w:rFonts w:eastAsia="Times New Roman" w:cs="Times New Roman"/>
          <w:b/>
          <w:sz w:val="22"/>
          <w:szCs w:val="22"/>
          <w:lang w:val="lt-LT" w:eastAsia="lt-LT" w:bidi="lt-LT"/>
        </w:rPr>
      </w:pPr>
      <w:r w:rsidRPr="00997273">
        <w:rPr>
          <w:rFonts w:eastAsia="Times New Roman" w:cs="Times New Roman"/>
          <w:b/>
          <w:sz w:val="22"/>
          <w:szCs w:val="22"/>
          <w:lang w:val="lt-LT" w:eastAsia="lt-LT" w:bidi="lt-LT"/>
        </w:rPr>
        <w:t>Pakuotės turinys ir kita informacija</w:t>
      </w:r>
    </w:p>
    <w:p w14:paraId="3F03EFA5" w14:textId="77777777" w:rsidR="00612A8E" w:rsidRPr="00997273" w:rsidRDefault="00612A8E" w:rsidP="00612A8E">
      <w:pPr>
        <w:keepNext/>
        <w:numPr>
          <w:ilvl w:val="12"/>
          <w:numId w:val="0"/>
        </w:numPr>
        <w:rPr>
          <w:rFonts w:eastAsia="Times New Roman" w:cs="Times New Roman"/>
          <w:sz w:val="22"/>
          <w:szCs w:val="22"/>
          <w:lang w:val="lt-LT" w:eastAsia="lt-LT" w:bidi="lt-LT"/>
        </w:rPr>
      </w:pPr>
    </w:p>
    <w:p w14:paraId="150D52ED" w14:textId="792D365D" w:rsidR="00612A8E" w:rsidRPr="00997273" w:rsidRDefault="00AE2AD2" w:rsidP="00612A8E">
      <w:pPr>
        <w:numPr>
          <w:ilvl w:val="12"/>
          <w:numId w:val="0"/>
        </w:numPr>
        <w:ind w:right="-2"/>
        <w:rPr>
          <w:rFonts w:eastAsia="Times New Roman" w:cs="Times New Roman"/>
          <w:b/>
          <w:sz w:val="22"/>
          <w:szCs w:val="22"/>
          <w:lang w:val="lt-LT" w:eastAsia="lt-LT" w:bidi="lt-LT"/>
        </w:rPr>
      </w:pPr>
      <w:proofErr w:type="spellStart"/>
      <w:r>
        <w:rPr>
          <w:rFonts w:eastAsia="Times New Roman" w:cs="Times New Roman"/>
          <w:b/>
          <w:sz w:val="22"/>
          <w:szCs w:val="22"/>
          <w:lang w:val="lt-LT" w:eastAsia="lt-LT" w:bidi="lt-LT"/>
        </w:rPr>
        <w:t>Meliglix</w:t>
      </w:r>
      <w:proofErr w:type="spellEnd"/>
      <w:r w:rsidR="00612A8E" w:rsidRPr="00997273">
        <w:rPr>
          <w:rFonts w:eastAsia="Times New Roman" w:cs="Times New Roman"/>
          <w:b/>
          <w:sz w:val="22"/>
          <w:szCs w:val="22"/>
          <w:lang w:val="lt-LT" w:eastAsia="lt-LT" w:bidi="lt-LT"/>
        </w:rPr>
        <w:t xml:space="preserve"> sudėtis </w:t>
      </w:r>
    </w:p>
    <w:p w14:paraId="3B331A9A" w14:textId="77777777" w:rsidR="00612A8E" w:rsidRPr="002677C7" w:rsidRDefault="00612A8E" w:rsidP="00297C23">
      <w:pPr>
        <w:pStyle w:val="Sraopastraipa"/>
        <w:numPr>
          <w:ilvl w:val="0"/>
          <w:numId w:val="57"/>
        </w:numPr>
        <w:ind w:left="540" w:hanging="540"/>
        <w:rPr>
          <w:i/>
          <w:iCs/>
          <w:noProof/>
          <w:sz w:val="22"/>
          <w:szCs w:val="22"/>
          <w:lang w:val="lt-LT" w:eastAsia="lt-LT" w:bidi="lt-LT"/>
        </w:rPr>
      </w:pPr>
      <w:r w:rsidRPr="002677C7">
        <w:rPr>
          <w:sz w:val="22"/>
          <w:szCs w:val="22"/>
          <w:lang w:val="lt-LT" w:eastAsia="lt-LT" w:bidi="lt-LT"/>
        </w:rPr>
        <w:t xml:space="preserve">Veiklioji medžiaga </w:t>
      </w:r>
      <w:r w:rsidR="00E41C0C" w:rsidRPr="002677C7">
        <w:rPr>
          <w:sz w:val="22"/>
          <w:szCs w:val="22"/>
          <w:lang w:val="lt-LT" w:eastAsia="lt-LT" w:bidi="lt-LT"/>
        </w:rPr>
        <w:t xml:space="preserve">yra </w:t>
      </w:r>
      <w:proofErr w:type="spellStart"/>
      <w:r w:rsidR="00E41C0C" w:rsidRPr="002677C7">
        <w:rPr>
          <w:sz w:val="22"/>
          <w:szCs w:val="22"/>
          <w:lang w:val="lt-LT" w:eastAsia="lt-LT" w:bidi="lt-LT"/>
        </w:rPr>
        <w:t>sitagliptinas</w:t>
      </w:r>
      <w:proofErr w:type="spellEnd"/>
      <w:r w:rsidR="00E41C0C" w:rsidRPr="002677C7">
        <w:rPr>
          <w:sz w:val="22"/>
          <w:szCs w:val="22"/>
          <w:lang w:val="lt-LT" w:eastAsia="lt-LT" w:bidi="lt-LT"/>
        </w:rPr>
        <w:t>.</w:t>
      </w:r>
    </w:p>
    <w:p w14:paraId="22FA2C93" w14:textId="694FB21F" w:rsidR="00E90BFB" w:rsidRPr="00E70362" w:rsidRDefault="00AE2AD2" w:rsidP="00297C23">
      <w:pPr>
        <w:ind w:left="540"/>
        <w:rPr>
          <w:sz w:val="22"/>
          <w:szCs w:val="22"/>
          <w:lang w:val="lt-LT" w:eastAsia="en-US"/>
        </w:rPr>
      </w:pPr>
      <w:proofErr w:type="spellStart"/>
      <w:r w:rsidRPr="00297C23">
        <w:rPr>
          <w:rFonts w:eastAsia="Times New Roman" w:cs="Times New Roman"/>
          <w:bCs/>
          <w:sz w:val="22"/>
          <w:szCs w:val="22"/>
          <w:lang w:val="lt-LT" w:eastAsia="lt-LT" w:bidi="lt-LT"/>
        </w:rPr>
        <w:t>Meliglix</w:t>
      </w:r>
      <w:proofErr w:type="spellEnd"/>
      <w:r w:rsidR="00E90BFB" w:rsidRPr="00297C23">
        <w:rPr>
          <w:rFonts w:eastAsia="Times New Roman" w:cs="Times New Roman"/>
          <w:bCs/>
          <w:sz w:val="22"/>
          <w:szCs w:val="22"/>
          <w:lang w:val="lt-LT" w:eastAsia="lt-LT" w:bidi="lt-LT"/>
        </w:rPr>
        <w:t xml:space="preserve"> 25 mg</w:t>
      </w:r>
      <w:r w:rsidR="00E70362">
        <w:rPr>
          <w:rFonts w:eastAsia="Times New Roman" w:cs="Times New Roman"/>
          <w:bCs/>
          <w:sz w:val="22"/>
          <w:szCs w:val="22"/>
          <w:lang w:val="lt-LT" w:eastAsia="lt-LT" w:bidi="lt-LT"/>
        </w:rPr>
        <w:t>.</w:t>
      </w:r>
      <w:r w:rsidR="00E70362" w:rsidRPr="00297C23">
        <w:rPr>
          <w:rFonts w:eastAsia="Times New Roman" w:cs="Times New Roman"/>
          <w:bCs/>
          <w:sz w:val="22"/>
          <w:szCs w:val="22"/>
          <w:lang w:val="lt-LT" w:eastAsia="lt-LT" w:bidi="lt-LT"/>
        </w:rPr>
        <w:t xml:space="preserve"> </w:t>
      </w:r>
      <w:r w:rsidR="00E90BFB" w:rsidRPr="00E70362">
        <w:rPr>
          <w:sz w:val="22"/>
          <w:szCs w:val="22"/>
          <w:lang w:val="lt-LT" w:eastAsia="en-US"/>
        </w:rPr>
        <w:t xml:space="preserve">Kiekvienoje plėvele dengtoje tabletėje yra </w:t>
      </w:r>
      <w:proofErr w:type="spellStart"/>
      <w:r w:rsidR="00E90BFB" w:rsidRPr="00E70362">
        <w:rPr>
          <w:sz w:val="22"/>
          <w:szCs w:val="22"/>
          <w:lang w:val="lt-LT" w:eastAsia="en-US"/>
        </w:rPr>
        <w:t>sitagliptino</w:t>
      </w:r>
      <w:proofErr w:type="spellEnd"/>
      <w:r w:rsidR="00E90BFB" w:rsidRPr="00E70362">
        <w:rPr>
          <w:sz w:val="22"/>
          <w:szCs w:val="22"/>
          <w:lang w:val="lt-LT" w:eastAsia="en-US"/>
        </w:rPr>
        <w:t xml:space="preserve"> hidrochlorido </w:t>
      </w:r>
      <w:proofErr w:type="spellStart"/>
      <w:r w:rsidR="00E90BFB" w:rsidRPr="00E70362">
        <w:rPr>
          <w:sz w:val="22"/>
          <w:szCs w:val="22"/>
          <w:lang w:val="lt-LT" w:eastAsia="en-US"/>
        </w:rPr>
        <w:t>monohidrato</w:t>
      </w:r>
      <w:proofErr w:type="spellEnd"/>
      <w:r w:rsidR="00E90BFB" w:rsidRPr="00E70362">
        <w:rPr>
          <w:sz w:val="22"/>
          <w:szCs w:val="22"/>
          <w:lang w:val="lt-LT" w:eastAsia="en-US"/>
        </w:rPr>
        <w:t xml:space="preserve">, atitinkančio 25 mg </w:t>
      </w:r>
      <w:proofErr w:type="spellStart"/>
      <w:r w:rsidR="00E90BFB" w:rsidRPr="00E70362">
        <w:rPr>
          <w:sz w:val="22"/>
          <w:szCs w:val="22"/>
          <w:lang w:val="lt-LT" w:eastAsia="en-US"/>
        </w:rPr>
        <w:t>sitagliptino</w:t>
      </w:r>
      <w:proofErr w:type="spellEnd"/>
      <w:r w:rsidR="00E90BFB" w:rsidRPr="00E70362">
        <w:rPr>
          <w:sz w:val="22"/>
          <w:szCs w:val="22"/>
          <w:lang w:val="lt-LT" w:eastAsia="en-US"/>
        </w:rPr>
        <w:t>.</w:t>
      </w:r>
    </w:p>
    <w:p w14:paraId="060709E9" w14:textId="490ADA4D" w:rsidR="00E90BFB" w:rsidRPr="00E70362" w:rsidRDefault="00AE2AD2" w:rsidP="00297C23">
      <w:pPr>
        <w:ind w:left="540"/>
        <w:rPr>
          <w:sz w:val="22"/>
          <w:szCs w:val="22"/>
          <w:lang w:val="lt-LT" w:eastAsia="en-US"/>
        </w:rPr>
      </w:pPr>
      <w:proofErr w:type="spellStart"/>
      <w:r w:rsidRPr="00297C23">
        <w:rPr>
          <w:rFonts w:eastAsia="Times New Roman" w:cs="Times New Roman"/>
          <w:bCs/>
          <w:sz w:val="22"/>
          <w:szCs w:val="22"/>
          <w:lang w:val="lt-LT" w:eastAsia="lt-LT" w:bidi="lt-LT"/>
        </w:rPr>
        <w:t>Meliglix</w:t>
      </w:r>
      <w:proofErr w:type="spellEnd"/>
      <w:r w:rsidR="00E90BFB" w:rsidRPr="00297C23">
        <w:rPr>
          <w:rFonts w:eastAsia="Times New Roman" w:cs="Times New Roman"/>
          <w:bCs/>
          <w:sz w:val="22"/>
          <w:szCs w:val="22"/>
          <w:lang w:val="lt-LT" w:eastAsia="lt-LT" w:bidi="lt-LT"/>
        </w:rPr>
        <w:t xml:space="preserve"> 50 mg</w:t>
      </w:r>
      <w:r w:rsidR="00E70362">
        <w:rPr>
          <w:rFonts w:eastAsia="Times New Roman" w:cs="Times New Roman"/>
          <w:bCs/>
          <w:sz w:val="22"/>
          <w:szCs w:val="22"/>
          <w:lang w:val="lt-LT" w:eastAsia="lt-LT" w:bidi="lt-LT"/>
        </w:rPr>
        <w:t xml:space="preserve">. </w:t>
      </w:r>
      <w:r w:rsidR="00E90BFB" w:rsidRPr="00E70362">
        <w:rPr>
          <w:sz w:val="22"/>
          <w:szCs w:val="22"/>
          <w:lang w:val="lt-LT" w:eastAsia="en-US"/>
        </w:rPr>
        <w:t xml:space="preserve">Kiekvienoje plėvele dengtoje tabletėje yra </w:t>
      </w:r>
      <w:proofErr w:type="spellStart"/>
      <w:r w:rsidR="00E90BFB" w:rsidRPr="00E70362">
        <w:rPr>
          <w:sz w:val="22"/>
          <w:szCs w:val="22"/>
          <w:lang w:val="lt-LT" w:eastAsia="en-US"/>
        </w:rPr>
        <w:t>sitagliptino</w:t>
      </w:r>
      <w:proofErr w:type="spellEnd"/>
      <w:r w:rsidR="00E90BFB" w:rsidRPr="00E70362">
        <w:rPr>
          <w:sz w:val="22"/>
          <w:szCs w:val="22"/>
          <w:lang w:val="lt-LT" w:eastAsia="en-US"/>
        </w:rPr>
        <w:t xml:space="preserve"> hidrochlorido </w:t>
      </w:r>
      <w:proofErr w:type="spellStart"/>
      <w:r w:rsidR="00E90BFB" w:rsidRPr="00E70362">
        <w:rPr>
          <w:sz w:val="22"/>
          <w:szCs w:val="22"/>
          <w:lang w:val="lt-LT" w:eastAsia="en-US"/>
        </w:rPr>
        <w:t>monohidrato</w:t>
      </w:r>
      <w:proofErr w:type="spellEnd"/>
      <w:r w:rsidR="00E90BFB" w:rsidRPr="00E70362">
        <w:rPr>
          <w:sz w:val="22"/>
          <w:szCs w:val="22"/>
          <w:lang w:val="lt-LT" w:eastAsia="en-US"/>
        </w:rPr>
        <w:t xml:space="preserve">, atitinkančio 50 mg </w:t>
      </w:r>
      <w:proofErr w:type="spellStart"/>
      <w:r w:rsidR="00E90BFB" w:rsidRPr="00E70362">
        <w:rPr>
          <w:sz w:val="22"/>
          <w:szCs w:val="22"/>
          <w:lang w:val="lt-LT" w:eastAsia="en-US"/>
        </w:rPr>
        <w:t>sitagliptino</w:t>
      </w:r>
      <w:proofErr w:type="spellEnd"/>
      <w:r w:rsidR="00E90BFB" w:rsidRPr="00E70362">
        <w:rPr>
          <w:sz w:val="22"/>
          <w:szCs w:val="22"/>
          <w:lang w:val="lt-LT" w:eastAsia="en-US"/>
        </w:rPr>
        <w:t>.</w:t>
      </w:r>
    </w:p>
    <w:p w14:paraId="5A560C7C" w14:textId="605E7626" w:rsidR="00E90BFB" w:rsidRPr="00E70362" w:rsidRDefault="00AE2AD2" w:rsidP="00297C23">
      <w:pPr>
        <w:ind w:left="540"/>
        <w:rPr>
          <w:sz w:val="22"/>
          <w:szCs w:val="22"/>
          <w:lang w:val="lt-LT" w:eastAsia="en-US"/>
        </w:rPr>
      </w:pPr>
      <w:proofErr w:type="spellStart"/>
      <w:r w:rsidRPr="00297C23">
        <w:rPr>
          <w:rFonts w:eastAsia="Times New Roman" w:cs="Times New Roman"/>
          <w:bCs/>
          <w:sz w:val="22"/>
          <w:szCs w:val="22"/>
          <w:lang w:val="lt-LT" w:eastAsia="lt-LT" w:bidi="lt-LT"/>
        </w:rPr>
        <w:t>Meliglix</w:t>
      </w:r>
      <w:proofErr w:type="spellEnd"/>
      <w:r w:rsidR="00E90BFB" w:rsidRPr="00297C23">
        <w:rPr>
          <w:rFonts w:eastAsia="Times New Roman" w:cs="Times New Roman"/>
          <w:bCs/>
          <w:sz w:val="22"/>
          <w:szCs w:val="22"/>
          <w:lang w:val="lt-LT" w:eastAsia="lt-LT" w:bidi="lt-LT"/>
        </w:rPr>
        <w:t xml:space="preserve"> 100 mg</w:t>
      </w:r>
      <w:r w:rsidR="00E70362">
        <w:rPr>
          <w:rFonts w:eastAsia="Times New Roman" w:cs="Times New Roman"/>
          <w:bCs/>
          <w:sz w:val="22"/>
          <w:szCs w:val="22"/>
          <w:lang w:val="lt-LT" w:eastAsia="lt-LT" w:bidi="lt-LT"/>
        </w:rPr>
        <w:t xml:space="preserve"> </w:t>
      </w:r>
      <w:r w:rsidR="00E90BFB" w:rsidRPr="00E70362">
        <w:rPr>
          <w:sz w:val="22"/>
          <w:szCs w:val="22"/>
          <w:lang w:val="lt-LT" w:eastAsia="en-US"/>
        </w:rPr>
        <w:t xml:space="preserve">Kiekvienoje plėvele dengtoje tabletėje yra </w:t>
      </w:r>
      <w:proofErr w:type="spellStart"/>
      <w:r w:rsidR="00E90BFB" w:rsidRPr="00E70362">
        <w:rPr>
          <w:sz w:val="22"/>
          <w:szCs w:val="22"/>
          <w:lang w:val="lt-LT" w:eastAsia="en-US"/>
        </w:rPr>
        <w:t>sitagliptino</w:t>
      </w:r>
      <w:proofErr w:type="spellEnd"/>
      <w:r w:rsidR="00E90BFB" w:rsidRPr="00E70362">
        <w:rPr>
          <w:sz w:val="22"/>
          <w:szCs w:val="22"/>
          <w:lang w:val="lt-LT" w:eastAsia="en-US"/>
        </w:rPr>
        <w:t xml:space="preserve"> hidrochlorido </w:t>
      </w:r>
      <w:proofErr w:type="spellStart"/>
      <w:r w:rsidR="00E90BFB" w:rsidRPr="00E70362">
        <w:rPr>
          <w:sz w:val="22"/>
          <w:szCs w:val="22"/>
          <w:lang w:val="lt-LT" w:eastAsia="en-US"/>
        </w:rPr>
        <w:t>monohidrato</w:t>
      </w:r>
      <w:proofErr w:type="spellEnd"/>
      <w:r w:rsidR="00E90BFB" w:rsidRPr="00E70362">
        <w:rPr>
          <w:sz w:val="22"/>
          <w:szCs w:val="22"/>
          <w:lang w:val="lt-LT" w:eastAsia="en-US"/>
        </w:rPr>
        <w:t xml:space="preserve">, atitinkančio 100 mg </w:t>
      </w:r>
      <w:proofErr w:type="spellStart"/>
      <w:r w:rsidR="00E90BFB" w:rsidRPr="00E70362">
        <w:rPr>
          <w:sz w:val="22"/>
          <w:szCs w:val="22"/>
          <w:lang w:val="lt-LT" w:eastAsia="en-US"/>
        </w:rPr>
        <w:t>sitagliptino</w:t>
      </w:r>
      <w:proofErr w:type="spellEnd"/>
      <w:r w:rsidR="00E90BFB" w:rsidRPr="00E70362">
        <w:rPr>
          <w:sz w:val="22"/>
          <w:szCs w:val="22"/>
          <w:lang w:val="lt-LT" w:eastAsia="en-US"/>
        </w:rPr>
        <w:t>.</w:t>
      </w:r>
    </w:p>
    <w:p w14:paraId="7943E489" w14:textId="77777777" w:rsidR="00812276" w:rsidRDefault="00812276" w:rsidP="00E90BFB">
      <w:pPr>
        <w:rPr>
          <w:sz w:val="22"/>
          <w:szCs w:val="22"/>
          <w:lang w:val="lt-LT" w:eastAsia="lt-LT" w:bidi="lt-LT"/>
        </w:rPr>
      </w:pPr>
    </w:p>
    <w:p w14:paraId="6F875330" w14:textId="08FCCD69" w:rsidR="00E41C0C" w:rsidRPr="00E90BFB" w:rsidRDefault="00612A8E" w:rsidP="00E90BFB">
      <w:pPr>
        <w:rPr>
          <w:noProof/>
          <w:sz w:val="22"/>
          <w:szCs w:val="22"/>
          <w:lang w:val="lt-LT" w:eastAsia="lt-LT" w:bidi="lt-LT"/>
        </w:rPr>
      </w:pPr>
      <w:r w:rsidRPr="00E90BFB">
        <w:rPr>
          <w:sz w:val="22"/>
          <w:szCs w:val="22"/>
          <w:lang w:val="lt-LT" w:eastAsia="lt-LT" w:bidi="lt-LT"/>
        </w:rPr>
        <w:t>Pagalbinės</w:t>
      </w:r>
      <w:r w:rsidR="00E41C0C" w:rsidRPr="00E90BFB">
        <w:rPr>
          <w:sz w:val="22"/>
          <w:szCs w:val="22"/>
          <w:lang w:val="lt-LT" w:eastAsia="lt-LT" w:bidi="lt-LT"/>
        </w:rPr>
        <w:t xml:space="preserve"> medžiag</w:t>
      </w:r>
      <w:r w:rsidRPr="00E90BFB">
        <w:rPr>
          <w:sz w:val="22"/>
          <w:szCs w:val="22"/>
          <w:lang w:val="lt-LT" w:eastAsia="lt-LT" w:bidi="lt-LT"/>
        </w:rPr>
        <w:t>os</w:t>
      </w:r>
      <w:r w:rsidR="00232B1E" w:rsidRPr="00E90BFB">
        <w:rPr>
          <w:sz w:val="22"/>
          <w:szCs w:val="22"/>
          <w:lang w:val="lt-LT" w:eastAsia="lt-LT" w:bidi="lt-LT"/>
        </w:rPr>
        <w:t xml:space="preserve"> yra</w:t>
      </w:r>
      <w:r w:rsidR="006A464D">
        <w:rPr>
          <w:sz w:val="22"/>
          <w:szCs w:val="22"/>
          <w:lang w:val="lt-LT" w:eastAsia="lt-LT" w:bidi="lt-LT"/>
        </w:rPr>
        <w:t>:</w:t>
      </w:r>
      <w:r w:rsidR="00232B1E" w:rsidRPr="00E90BFB">
        <w:rPr>
          <w:sz w:val="22"/>
          <w:szCs w:val="22"/>
          <w:lang w:val="lt-LT" w:eastAsia="lt-LT" w:bidi="lt-LT"/>
        </w:rPr>
        <w:t xml:space="preserve"> </w:t>
      </w:r>
      <w:r w:rsidR="006A464D">
        <w:rPr>
          <w:noProof/>
          <w:sz w:val="22"/>
          <w:szCs w:val="22"/>
          <w:lang w:val="lt-LT" w:eastAsia="lt-LT" w:bidi="lt-LT"/>
        </w:rPr>
        <w:t>t</w:t>
      </w:r>
      <w:r w:rsidR="006A464D" w:rsidRPr="006A464D">
        <w:rPr>
          <w:noProof/>
          <w:sz w:val="22"/>
          <w:szCs w:val="22"/>
          <w:lang w:val="lt-LT" w:eastAsia="lt-LT" w:bidi="lt-LT"/>
        </w:rPr>
        <w:t>abletės šerdis: mikrokristalinė celiuliozė (PH101, PH102), kalcio-vandenilio fosfatas, krospovidonas B tipo magnio stearatas augalinės kilmės, natrio stearilfumaratas. Tabletės plėvelė</w:t>
      </w:r>
      <w:r w:rsidR="006A464D">
        <w:rPr>
          <w:noProof/>
          <w:sz w:val="22"/>
          <w:szCs w:val="22"/>
          <w:lang w:val="lt-LT" w:eastAsia="lt-LT" w:bidi="lt-LT"/>
        </w:rPr>
        <w:t>s sudėtyje yra</w:t>
      </w:r>
      <w:r w:rsidR="006A464D" w:rsidRPr="006A464D">
        <w:rPr>
          <w:noProof/>
          <w:sz w:val="22"/>
          <w:szCs w:val="22"/>
          <w:lang w:val="lt-LT" w:eastAsia="lt-LT" w:bidi="lt-LT"/>
        </w:rPr>
        <w:t>: polivinilo alkoholis (E1203), makrogolis (E1521), talkas (E553b), titano dioksidas (E171), raudonasis geležies oksidas (E172), geltonasis geležies oksidas (E172)</w:t>
      </w:r>
      <w:r w:rsidR="006A464D">
        <w:rPr>
          <w:noProof/>
          <w:sz w:val="22"/>
          <w:szCs w:val="22"/>
          <w:lang w:val="lt-LT" w:eastAsia="lt-LT" w:bidi="lt-LT"/>
        </w:rPr>
        <w:t>.</w:t>
      </w:r>
    </w:p>
    <w:p w14:paraId="54C47A4B" w14:textId="77777777" w:rsidR="0033745A" w:rsidRPr="00703A45" w:rsidRDefault="0033745A" w:rsidP="00703A45">
      <w:pPr>
        <w:rPr>
          <w:noProof/>
          <w:sz w:val="22"/>
          <w:szCs w:val="22"/>
          <w:lang w:val="lt-LT" w:eastAsia="lt-LT" w:bidi="lt-LT"/>
        </w:rPr>
      </w:pPr>
    </w:p>
    <w:p w14:paraId="10947201" w14:textId="7A0FB189" w:rsidR="00612A8E" w:rsidRDefault="00AE2AD2" w:rsidP="00612A8E">
      <w:pPr>
        <w:numPr>
          <w:ilvl w:val="12"/>
          <w:numId w:val="0"/>
        </w:numPr>
        <w:ind w:right="-2"/>
        <w:rPr>
          <w:rFonts w:eastAsia="Times New Roman" w:cs="Times New Roman"/>
          <w:b/>
          <w:sz w:val="22"/>
          <w:szCs w:val="22"/>
          <w:lang w:val="lt-LT" w:eastAsia="lt-LT" w:bidi="lt-LT"/>
        </w:rPr>
      </w:pPr>
      <w:proofErr w:type="spellStart"/>
      <w:r>
        <w:rPr>
          <w:rFonts w:eastAsia="Times New Roman" w:cs="Times New Roman"/>
          <w:b/>
          <w:sz w:val="22"/>
          <w:szCs w:val="22"/>
          <w:lang w:val="lt-LT" w:eastAsia="lt-LT" w:bidi="lt-LT"/>
        </w:rPr>
        <w:t>Meliglix</w:t>
      </w:r>
      <w:proofErr w:type="spellEnd"/>
      <w:r w:rsidR="00612A8E" w:rsidRPr="00997273">
        <w:rPr>
          <w:rFonts w:eastAsia="Times New Roman" w:cs="Times New Roman"/>
          <w:b/>
          <w:sz w:val="22"/>
          <w:szCs w:val="22"/>
          <w:lang w:val="lt-LT" w:eastAsia="lt-LT" w:bidi="lt-LT"/>
        </w:rPr>
        <w:t xml:space="preserve"> išvaizda ir kiekis pakuotėje</w:t>
      </w:r>
    </w:p>
    <w:p w14:paraId="5B1BFC03" w14:textId="77777777" w:rsidR="006A464D" w:rsidRPr="00997273" w:rsidRDefault="006A464D" w:rsidP="00612A8E">
      <w:pPr>
        <w:numPr>
          <w:ilvl w:val="12"/>
          <w:numId w:val="0"/>
        </w:numPr>
        <w:ind w:right="-2"/>
        <w:rPr>
          <w:rFonts w:eastAsia="Times New Roman" w:cs="Times New Roman"/>
          <w:b/>
          <w:sz w:val="22"/>
          <w:szCs w:val="22"/>
          <w:lang w:val="lt-LT" w:eastAsia="lt-LT" w:bidi="lt-LT"/>
        </w:rPr>
      </w:pPr>
    </w:p>
    <w:p w14:paraId="398116E4" w14:textId="77777777" w:rsidR="006A464D" w:rsidRPr="00AE2AD2" w:rsidRDefault="006A464D" w:rsidP="006A464D">
      <w:pPr>
        <w:widowControl w:val="0"/>
        <w:tabs>
          <w:tab w:val="left" w:pos="567"/>
        </w:tabs>
        <w:rPr>
          <w:rFonts w:cs="Times New Roman"/>
          <w:sz w:val="22"/>
          <w:szCs w:val="22"/>
          <w:lang w:val="lt-LT" w:eastAsia="en-US"/>
        </w:rPr>
      </w:pPr>
      <w:proofErr w:type="spellStart"/>
      <w:r w:rsidRPr="00AE2AD2">
        <w:rPr>
          <w:rFonts w:eastAsia="Times New Roman" w:cs="Times New Roman"/>
          <w:bCs/>
          <w:sz w:val="22"/>
          <w:szCs w:val="22"/>
          <w:lang w:val="lt-LT" w:eastAsia="lt-LT" w:bidi="lt-LT"/>
        </w:rPr>
        <w:t>Meliglix</w:t>
      </w:r>
      <w:proofErr w:type="spellEnd"/>
      <w:r w:rsidRPr="00AE2AD2">
        <w:rPr>
          <w:rFonts w:eastAsia="Times New Roman" w:cs="Times New Roman"/>
          <w:bCs/>
          <w:sz w:val="22"/>
          <w:szCs w:val="22"/>
          <w:lang w:val="lt-LT" w:eastAsia="lt-LT" w:bidi="lt-LT"/>
        </w:rPr>
        <w:t xml:space="preserve"> 25 mg</w:t>
      </w:r>
      <w:r>
        <w:rPr>
          <w:rFonts w:eastAsia="Times New Roman" w:cs="Times New Roman"/>
          <w:bCs/>
          <w:sz w:val="22"/>
          <w:szCs w:val="22"/>
          <w:lang w:val="lt-LT" w:eastAsia="lt-LT" w:bidi="lt-LT"/>
        </w:rPr>
        <w:t>:</w:t>
      </w:r>
      <w:r>
        <w:rPr>
          <w:rFonts w:cs="Times New Roman"/>
          <w:sz w:val="22"/>
          <w:szCs w:val="22"/>
          <w:lang w:val="lt-LT" w:eastAsia="en-US"/>
        </w:rPr>
        <w:t xml:space="preserve"> r</w:t>
      </w:r>
      <w:r w:rsidRPr="00AE2AD2">
        <w:rPr>
          <w:rFonts w:cs="Times New Roman"/>
          <w:sz w:val="22"/>
          <w:szCs w:val="22"/>
          <w:lang w:val="lt-LT" w:eastAsia="en-US"/>
        </w:rPr>
        <w:t>ausva, apvali 6,</w:t>
      </w:r>
      <w:r>
        <w:rPr>
          <w:rFonts w:cs="Times New Roman"/>
          <w:sz w:val="22"/>
          <w:szCs w:val="22"/>
          <w:lang w:val="lt-LT" w:eastAsia="en-US"/>
        </w:rPr>
        <w:t>1</w:t>
      </w:r>
      <w:r w:rsidRPr="00AE2AD2">
        <w:rPr>
          <w:rFonts w:cs="Times New Roman"/>
          <w:sz w:val="22"/>
          <w:szCs w:val="22"/>
          <w:lang w:val="lt-LT" w:eastAsia="en-US"/>
        </w:rPr>
        <w:t> mm skersmens plėvele dengta tabletė, kurios vienoje pusėje yra įspaudas „25“</w:t>
      </w:r>
      <w:r>
        <w:rPr>
          <w:rFonts w:cs="Times New Roman"/>
          <w:sz w:val="22"/>
          <w:szCs w:val="22"/>
          <w:lang w:val="lt-LT" w:eastAsia="en-US"/>
        </w:rPr>
        <w:t>, o kita pusė lygi</w:t>
      </w:r>
      <w:r w:rsidRPr="00AE2AD2">
        <w:rPr>
          <w:rFonts w:cs="Times New Roman"/>
          <w:sz w:val="22"/>
          <w:szCs w:val="22"/>
          <w:lang w:val="lt-LT" w:eastAsia="en-US"/>
        </w:rPr>
        <w:t>.</w:t>
      </w:r>
    </w:p>
    <w:p w14:paraId="2857F628" w14:textId="77777777" w:rsidR="006A464D" w:rsidRPr="00036BBD" w:rsidRDefault="006A464D" w:rsidP="006A464D">
      <w:pPr>
        <w:tabs>
          <w:tab w:val="left" w:pos="567"/>
        </w:tabs>
        <w:rPr>
          <w:rFonts w:cs="Times New Roman"/>
          <w:sz w:val="22"/>
          <w:szCs w:val="22"/>
          <w:lang w:val="lt-LT" w:eastAsia="en-US"/>
        </w:rPr>
      </w:pPr>
    </w:p>
    <w:p w14:paraId="518B2164" w14:textId="77777777" w:rsidR="006A464D" w:rsidRPr="00AE2AD2" w:rsidRDefault="006A464D" w:rsidP="006A464D">
      <w:pPr>
        <w:widowControl w:val="0"/>
        <w:tabs>
          <w:tab w:val="left" w:pos="567"/>
        </w:tabs>
        <w:rPr>
          <w:rFonts w:cs="Times New Roman"/>
          <w:sz w:val="22"/>
          <w:szCs w:val="22"/>
          <w:lang w:val="lt-LT" w:eastAsia="en-US"/>
        </w:rPr>
      </w:pPr>
      <w:proofErr w:type="spellStart"/>
      <w:r w:rsidRPr="00AE2AD2">
        <w:rPr>
          <w:rFonts w:eastAsia="Times New Roman" w:cs="Times New Roman"/>
          <w:bCs/>
          <w:sz w:val="22"/>
          <w:szCs w:val="22"/>
          <w:lang w:val="lt-LT" w:eastAsia="lt-LT" w:bidi="lt-LT"/>
        </w:rPr>
        <w:t>Meliglix</w:t>
      </w:r>
      <w:proofErr w:type="spellEnd"/>
      <w:r w:rsidRPr="00AE2AD2">
        <w:rPr>
          <w:rFonts w:eastAsia="Times New Roman" w:cs="Times New Roman"/>
          <w:bCs/>
          <w:sz w:val="22"/>
          <w:szCs w:val="22"/>
          <w:lang w:val="lt-LT" w:eastAsia="lt-LT" w:bidi="lt-LT"/>
        </w:rPr>
        <w:t xml:space="preserve"> 50 mg</w:t>
      </w:r>
      <w:r>
        <w:rPr>
          <w:rFonts w:eastAsia="Times New Roman" w:cs="Times New Roman"/>
          <w:bCs/>
          <w:sz w:val="22"/>
          <w:szCs w:val="22"/>
          <w:lang w:val="lt-LT" w:eastAsia="lt-LT" w:bidi="lt-LT"/>
        </w:rPr>
        <w:t>:</w:t>
      </w:r>
      <w:r>
        <w:rPr>
          <w:rFonts w:cs="Times New Roman"/>
          <w:sz w:val="22"/>
          <w:szCs w:val="22"/>
          <w:lang w:val="lt-LT" w:eastAsia="en-US"/>
        </w:rPr>
        <w:t xml:space="preserve"> š</w:t>
      </w:r>
      <w:r w:rsidRPr="00AE2AD2">
        <w:rPr>
          <w:rFonts w:cs="Times New Roman"/>
          <w:sz w:val="22"/>
          <w:szCs w:val="22"/>
          <w:lang w:val="lt-LT" w:eastAsia="en-US"/>
        </w:rPr>
        <w:t>viesiai rausva, apvali 8,</w:t>
      </w:r>
      <w:r>
        <w:rPr>
          <w:rFonts w:cs="Times New Roman"/>
          <w:sz w:val="22"/>
          <w:szCs w:val="22"/>
          <w:lang w:val="lt-LT" w:eastAsia="en-US"/>
        </w:rPr>
        <w:t>1</w:t>
      </w:r>
      <w:r w:rsidRPr="00AE2AD2">
        <w:rPr>
          <w:rFonts w:cs="Times New Roman"/>
          <w:sz w:val="22"/>
          <w:szCs w:val="22"/>
          <w:lang w:val="lt-LT" w:eastAsia="en-US"/>
        </w:rPr>
        <w:t> mm skersmens plėvele dengta tabletė, kurios vienoje pusėje yra įspaudas „50“</w:t>
      </w:r>
      <w:r>
        <w:rPr>
          <w:rFonts w:cs="Times New Roman"/>
          <w:sz w:val="22"/>
          <w:szCs w:val="22"/>
          <w:lang w:val="lt-LT" w:eastAsia="en-US"/>
        </w:rPr>
        <w:t>, o kita pusė lygi</w:t>
      </w:r>
      <w:r w:rsidRPr="00AE2AD2">
        <w:rPr>
          <w:rFonts w:cs="Times New Roman"/>
          <w:sz w:val="22"/>
          <w:szCs w:val="22"/>
          <w:lang w:val="lt-LT" w:eastAsia="en-US"/>
        </w:rPr>
        <w:t>.</w:t>
      </w:r>
    </w:p>
    <w:p w14:paraId="618CD065" w14:textId="77777777" w:rsidR="006A464D" w:rsidRPr="00036BBD" w:rsidRDefault="006A464D" w:rsidP="006A464D">
      <w:pPr>
        <w:tabs>
          <w:tab w:val="left" w:pos="567"/>
        </w:tabs>
        <w:rPr>
          <w:rFonts w:cs="Times New Roman"/>
          <w:sz w:val="22"/>
          <w:szCs w:val="22"/>
          <w:lang w:val="lt-LT" w:eastAsia="en-US"/>
        </w:rPr>
      </w:pPr>
    </w:p>
    <w:p w14:paraId="72238F13" w14:textId="77777777" w:rsidR="006A464D" w:rsidRPr="00AE2AD2" w:rsidRDefault="006A464D" w:rsidP="006A464D">
      <w:pPr>
        <w:widowControl w:val="0"/>
        <w:tabs>
          <w:tab w:val="left" w:pos="567"/>
        </w:tabs>
        <w:rPr>
          <w:rFonts w:cs="Times New Roman"/>
          <w:sz w:val="22"/>
          <w:szCs w:val="22"/>
          <w:lang w:val="lt-LT" w:eastAsia="en-US"/>
        </w:rPr>
      </w:pPr>
      <w:proofErr w:type="spellStart"/>
      <w:r w:rsidRPr="00AE2AD2">
        <w:rPr>
          <w:rFonts w:eastAsia="Times New Roman" w:cs="Times New Roman"/>
          <w:bCs/>
          <w:sz w:val="22"/>
          <w:szCs w:val="22"/>
          <w:lang w:val="lt-LT" w:eastAsia="lt-LT" w:bidi="lt-LT"/>
        </w:rPr>
        <w:t>Meliglix</w:t>
      </w:r>
      <w:proofErr w:type="spellEnd"/>
      <w:r w:rsidRPr="00AE2AD2">
        <w:rPr>
          <w:rFonts w:eastAsia="Times New Roman" w:cs="Times New Roman"/>
          <w:bCs/>
          <w:sz w:val="22"/>
          <w:szCs w:val="22"/>
          <w:lang w:val="lt-LT" w:eastAsia="lt-LT" w:bidi="lt-LT"/>
        </w:rPr>
        <w:t xml:space="preserve"> 100 mg</w:t>
      </w:r>
      <w:r>
        <w:rPr>
          <w:rFonts w:eastAsia="Times New Roman" w:cs="Times New Roman"/>
          <w:bCs/>
          <w:sz w:val="22"/>
          <w:szCs w:val="22"/>
          <w:lang w:val="lt-LT" w:eastAsia="lt-LT" w:bidi="lt-LT"/>
        </w:rPr>
        <w:t>:</w:t>
      </w:r>
      <w:r>
        <w:rPr>
          <w:rFonts w:cs="Times New Roman"/>
          <w:sz w:val="22"/>
          <w:szCs w:val="22"/>
          <w:lang w:val="lt-LT" w:eastAsia="en-US"/>
        </w:rPr>
        <w:t xml:space="preserve"> š</w:t>
      </w:r>
      <w:r w:rsidRPr="00AE2AD2">
        <w:rPr>
          <w:rFonts w:cs="Times New Roman"/>
          <w:sz w:val="22"/>
          <w:szCs w:val="22"/>
          <w:lang w:val="lt-LT" w:eastAsia="en-US"/>
        </w:rPr>
        <w:t>viesiai ruda, apvali 10,</w:t>
      </w:r>
      <w:r>
        <w:rPr>
          <w:rFonts w:cs="Times New Roman"/>
          <w:sz w:val="22"/>
          <w:szCs w:val="22"/>
          <w:lang w:val="lt-LT" w:eastAsia="en-US"/>
        </w:rPr>
        <w:t>1</w:t>
      </w:r>
      <w:r w:rsidRPr="00AE2AD2">
        <w:rPr>
          <w:rFonts w:cs="Times New Roman"/>
          <w:sz w:val="22"/>
          <w:szCs w:val="22"/>
          <w:lang w:val="lt-LT" w:eastAsia="en-US"/>
        </w:rPr>
        <w:t> mm skersmens plėvele dengta tabletė, kurios vienoje pusėje yra įspaudas „100“</w:t>
      </w:r>
      <w:r>
        <w:rPr>
          <w:rFonts w:cs="Times New Roman"/>
          <w:sz w:val="22"/>
          <w:szCs w:val="22"/>
          <w:lang w:val="lt-LT" w:eastAsia="en-US"/>
        </w:rPr>
        <w:t>, o kita pusė lygi</w:t>
      </w:r>
      <w:r w:rsidRPr="00AE2AD2">
        <w:rPr>
          <w:rFonts w:cs="Times New Roman"/>
          <w:sz w:val="22"/>
          <w:szCs w:val="22"/>
          <w:lang w:val="lt-LT" w:eastAsia="en-US"/>
        </w:rPr>
        <w:t>.</w:t>
      </w:r>
    </w:p>
    <w:p w14:paraId="14DCD29C" w14:textId="77777777" w:rsidR="007940D9" w:rsidRPr="00997273" w:rsidRDefault="007940D9" w:rsidP="007940D9">
      <w:pPr>
        <w:tabs>
          <w:tab w:val="left" w:pos="567"/>
        </w:tabs>
        <w:rPr>
          <w:rFonts w:eastAsia="Times New Roman" w:cs="Times New Roman"/>
          <w:noProof/>
          <w:sz w:val="22"/>
          <w:szCs w:val="22"/>
          <w:lang w:val="lt-LT" w:eastAsia="lt-LT" w:bidi="lt-LT"/>
        </w:rPr>
      </w:pPr>
    </w:p>
    <w:p w14:paraId="7D455BF7" w14:textId="0F3215C9" w:rsidR="00F73BC1" w:rsidRPr="00A039D8" w:rsidRDefault="006A464D" w:rsidP="00F73BC1">
      <w:pPr>
        <w:tabs>
          <w:tab w:val="left" w:pos="567"/>
        </w:tabs>
        <w:spacing w:line="260" w:lineRule="exact"/>
        <w:rPr>
          <w:rFonts w:eastAsia="Times New Roman" w:cs="Times New Roman"/>
          <w:sz w:val="22"/>
          <w:szCs w:val="22"/>
          <w:lang w:val="lt-LT" w:eastAsia="en-US"/>
        </w:rPr>
      </w:pPr>
      <w:r>
        <w:rPr>
          <w:rFonts w:cs="Times New Roman"/>
          <w:sz w:val="22"/>
          <w:szCs w:val="22"/>
          <w:lang w:val="lt-LT" w:eastAsia="en-US"/>
        </w:rPr>
        <w:t>Aliuminio-</w:t>
      </w:r>
      <w:r w:rsidR="00114D40" w:rsidRPr="00A039D8">
        <w:rPr>
          <w:rFonts w:cs="Times New Roman"/>
          <w:sz w:val="22"/>
          <w:szCs w:val="22"/>
          <w:lang w:val="lt-LT" w:eastAsia="en-US"/>
        </w:rPr>
        <w:t>PVC/PE</w:t>
      </w:r>
      <w:r w:rsidR="00997A96" w:rsidRPr="00A039D8">
        <w:rPr>
          <w:rFonts w:cs="Times New Roman"/>
          <w:sz w:val="22"/>
          <w:szCs w:val="22"/>
          <w:lang w:val="lt-LT" w:eastAsia="en-US"/>
        </w:rPr>
        <w:t xml:space="preserve">/PVDC </w:t>
      </w:r>
      <w:r w:rsidR="0044649D" w:rsidRPr="00A039D8">
        <w:rPr>
          <w:rFonts w:cs="Times New Roman"/>
          <w:sz w:val="22"/>
          <w:szCs w:val="22"/>
          <w:lang w:val="lt-LT" w:eastAsia="en-US"/>
        </w:rPr>
        <w:t>l</w:t>
      </w:r>
      <w:r w:rsidR="002F4CE5" w:rsidRPr="00A039D8">
        <w:rPr>
          <w:rFonts w:cs="Times New Roman"/>
          <w:sz w:val="22"/>
          <w:szCs w:val="22"/>
          <w:lang w:val="lt-LT" w:eastAsia="en-US"/>
        </w:rPr>
        <w:t>izdin</w:t>
      </w:r>
      <w:r>
        <w:rPr>
          <w:rFonts w:cs="Times New Roman"/>
          <w:sz w:val="22"/>
          <w:szCs w:val="22"/>
          <w:lang w:val="lt-LT" w:eastAsia="en-US"/>
        </w:rPr>
        <w:t>ės</w:t>
      </w:r>
      <w:r w:rsidR="002F4CE5" w:rsidRPr="00A039D8">
        <w:rPr>
          <w:rFonts w:cs="Times New Roman"/>
          <w:sz w:val="22"/>
          <w:szCs w:val="22"/>
          <w:lang w:val="lt-LT" w:eastAsia="en-US"/>
        </w:rPr>
        <w:t xml:space="preserve"> plokštel</w:t>
      </w:r>
      <w:r>
        <w:rPr>
          <w:rFonts w:cs="Times New Roman"/>
          <w:sz w:val="22"/>
          <w:szCs w:val="22"/>
          <w:lang w:val="lt-LT" w:eastAsia="en-US"/>
        </w:rPr>
        <w:t>ės</w:t>
      </w:r>
      <w:r w:rsidR="00F73BC1" w:rsidRPr="00A039D8">
        <w:rPr>
          <w:rFonts w:eastAsia="Times New Roman" w:cs="Times New Roman"/>
          <w:sz w:val="22"/>
          <w:szCs w:val="22"/>
          <w:lang w:val="lt-LT" w:eastAsia="en-US"/>
        </w:rPr>
        <w:t>.</w:t>
      </w:r>
      <w:r w:rsidRPr="006A464D">
        <w:rPr>
          <w:rFonts w:eastAsia="TimesNewRoman" w:cs="Times New Roman"/>
          <w:sz w:val="22"/>
          <w:szCs w:val="22"/>
          <w:lang w:val="lt-LT" w:eastAsia="en-US"/>
        </w:rPr>
        <w:t xml:space="preserve"> </w:t>
      </w:r>
      <w:r>
        <w:rPr>
          <w:rFonts w:eastAsia="TimesNewRoman" w:cs="Times New Roman"/>
          <w:sz w:val="22"/>
          <w:szCs w:val="22"/>
          <w:lang w:val="lt-LT" w:eastAsia="en-US"/>
        </w:rPr>
        <w:t xml:space="preserve">Pakuotėse yra po 14, 28, 30, 56, 84, 90 </w:t>
      </w:r>
      <w:r w:rsidR="00BB40BE">
        <w:rPr>
          <w:rFonts w:eastAsia="TimesNewRoman" w:cs="Times New Roman"/>
          <w:sz w:val="22"/>
          <w:szCs w:val="22"/>
          <w:lang w:val="lt-LT" w:eastAsia="en-US"/>
        </w:rPr>
        <w:t>arba</w:t>
      </w:r>
      <w:r>
        <w:rPr>
          <w:rFonts w:eastAsia="TimesNewRoman" w:cs="Times New Roman"/>
          <w:sz w:val="22"/>
          <w:szCs w:val="22"/>
          <w:lang w:val="lt-LT" w:eastAsia="en-US"/>
        </w:rPr>
        <w:t xml:space="preserve"> 98 plėvele dengtas tabletes</w:t>
      </w:r>
    </w:p>
    <w:p w14:paraId="1E0D8B64" w14:textId="77777777" w:rsidR="0083001B" w:rsidRPr="00997273" w:rsidRDefault="0083001B" w:rsidP="00F73BC1">
      <w:pPr>
        <w:tabs>
          <w:tab w:val="left" w:pos="567"/>
        </w:tabs>
        <w:spacing w:line="260" w:lineRule="exact"/>
        <w:rPr>
          <w:rFonts w:eastAsia="Times New Roman" w:cs="Times New Roman"/>
          <w:sz w:val="22"/>
          <w:szCs w:val="22"/>
          <w:lang w:val="lt-LT" w:eastAsia="en-US"/>
        </w:rPr>
      </w:pPr>
    </w:p>
    <w:p w14:paraId="36C67DC6" w14:textId="77777777" w:rsidR="002F4CE5" w:rsidRPr="00997273" w:rsidRDefault="000806D6" w:rsidP="002F4CE5">
      <w:pPr>
        <w:tabs>
          <w:tab w:val="left" w:pos="567"/>
        </w:tabs>
        <w:spacing w:line="260" w:lineRule="exact"/>
        <w:rPr>
          <w:rFonts w:eastAsia="Times New Roman" w:cs="Times New Roman"/>
          <w:sz w:val="22"/>
          <w:szCs w:val="22"/>
          <w:lang w:val="lt-LT" w:eastAsia="en-US"/>
        </w:rPr>
      </w:pPr>
      <w:r w:rsidRPr="00997273">
        <w:rPr>
          <w:rFonts w:eastAsia="Times New Roman" w:cs="Times New Roman"/>
          <w:sz w:val="22"/>
          <w:szCs w:val="22"/>
          <w:lang w:val="lt-LT" w:eastAsia="en-US"/>
        </w:rPr>
        <w:t>Gali būti tiekiamos ne visų dydžių pakuotės.</w:t>
      </w:r>
    </w:p>
    <w:p w14:paraId="77D3F80F" w14:textId="77777777" w:rsidR="002F4CE5" w:rsidRPr="00997273" w:rsidRDefault="002F4CE5" w:rsidP="00612A8E">
      <w:pPr>
        <w:keepNext/>
        <w:numPr>
          <w:ilvl w:val="12"/>
          <w:numId w:val="0"/>
        </w:numPr>
        <w:ind w:right="-2"/>
        <w:rPr>
          <w:rFonts w:eastAsia="Times New Roman" w:cs="Times New Roman"/>
          <w:b/>
          <w:sz w:val="22"/>
          <w:szCs w:val="22"/>
          <w:lang w:val="lt-LT" w:eastAsia="lt-LT" w:bidi="lt-LT"/>
        </w:rPr>
      </w:pPr>
    </w:p>
    <w:p w14:paraId="19E03D34" w14:textId="7548C172" w:rsidR="00612A8E" w:rsidRPr="00997273" w:rsidRDefault="00612A8E" w:rsidP="00612A8E">
      <w:pPr>
        <w:keepNext/>
        <w:numPr>
          <w:ilvl w:val="12"/>
          <w:numId w:val="0"/>
        </w:numPr>
        <w:ind w:right="-2"/>
        <w:rPr>
          <w:rFonts w:eastAsia="Times New Roman" w:cs="Times New Roman"/>
          <w:b/>
          <w:sz w:val="22"/>
          <w:szCs w:val="22"/>
          <w:lang w:val="lt-LT" w:eastAsia="lt-LT" w:bidi="lt-LT"/>
        </w:rPr>
      </w:pPr>
      <w:r w:rsidRPr="00997273">
        <w:rPr>
          <w:rFonts w:eastAsia="Times New Roman" w:cs="Times New Roman"/>
          <w:b/>
          <w:sz w:val="22"/>
          <w:szCs w:val="22"/>
          <w:lang w:val="lt-LT" w:eastAsia="lt-LT" w:bidi="lt-LT"/>
        </w:rPr>
        <w:t>Registruotojas</w:t>
      </w:r>
    </w:p>
    <w:p w14:paraId="653F3F8F" w14:textId="77777777" w:rsidR="006A464D" w:rsidRPr="009E3930" w:rsidRDefault="006A464D" w:rsidP="006A464D">
      <w:pPr>
        <w:tabs>
          <w:tab w:val="left" w:pos="567"/>
        </w:tabs>
        <w:rPr>
          <w:rFonts w:eastAsia="Times New Roman" w:cs="Times New Roman"/>
          <w:noProof/>
          <w:sz w:val="22"/>
          <w:szCs w:val="22"/>
          <w:lang w:val="lt-LT" w:eastAsia="lt-LT" w:bidi="lt-LT"/>
        </w:rPr>
      </w:pPr>
      <w:r w:rsidRPr="009E3930">
        <w:rPr>
          <w:rFonts w:eastAsia="Times New Roman" w:cs="Times New Roman"/>
          <w:noProof/>
          <w:sz w:val="22"/>
          <w:szCs w:val="22"/>
          <w:lang w:val="lt-LT" w:eastAsia="lt-LT" w:bidi="lt-LT"/>
        </w:rPr>
        <w:t>PHARMAZAC S.A.</w:t>
      </w:r>
    </w:p>
    <w:p w14:paraId="70864EDF" w14:textId="77777777" w:rsidR="008B151F" w:rsidRDefault="00C151FC" w:rsidP="008B151F">
      <w:pPr>
        <w:tabs>
          <w:tab w:val="left" w:pos="567"/>
        </w:tabs>
        <w:rPr>
          <w:rFonts w:eastAsia="Times New Roman" w:cs="Times New Roman"/>
          <w:noProof/>
          <w:sz w:val="22"/>
          <w:szCs w:val="22"/>
          <w:lang w:val="lt-LT" w:eastAsia="lt-LT" w:bidi="lt-LT"/>
        </w:rPr>
      </w:pPr>
      <w:r w:rsidRPr="00C151FC">
        <w:rPr>
          <w:rFonts w:eastAsia="Times New Roman" w:cs="Times New Roman"/>
          <w:noProof/>
          <w:sz w:val="22"/>
          <w:szCs w:val="22"/>
          <w:lang w:val="lt-LT" w:eastAsia="lt-LT" w:bidi="lt-LT"/>
        </w:rPr>
        <w:t>Anastasiou Zaroliagki 1 and Dimitriou Lampros 6, Kerateas Industrial Park, Veniza, Lavreotiki, Keratea, Attica, 190 01</w:t>
      </w:r>
      <w:r>
        <w:rPr>
          <w:rFonts w:eastAsia="Times New Roman" w:cs="Times New Roman"/>
          <w:noProof/>
          <w:sz w:val="22"/>
          <w:szCs w:val="22"/>
          <w:lang w:val="lt-LT" w:eastAsia="lt-LT" w:bidi="lt-LT"/>
        </w:rPr>
        <w:t xml:space="preserve"> </w:t>
      </w:r>
      <w:r w:rsidR="006A464D" w:rsidRPr="00611D60">
        <w:rPr>
          <w:rFonts w:eastAsia="Times New Roman" w:cs="Times New Roman"/>
          <w:noProof/>
          <w:sz w:val="22"/>
          <w:szCs w:val="22"/>
          <w:lang w:val="lt-LT" w:eastAsia="lt-LT" w:bidi="lt-LT"/>
        </w:rPr>
        <w:t xml:space="preserve">, </w:t>
      </w:r>
      <w:r w:rsidR="00BB1CB8" w:rsidRPr="00D23AFC">
        <w:rPr>
          <w:rFonts w:eastAsia="Times New Roman" w:cs="Times New Roman"/>
          <w:noProof/>
          <w:sz w:val="22"/>
          <w:szCs w:val="22"/>
          <w:lang w:val="lt-LT" w:eastAsia="lt-LT" w:bidi="lt-LT"/>
        </w:rPr>
        <w:t>G</w:t>
      </w:r>
      <w:r w:rsidR="00BB1CB8" w:rsidRPr="009229FC">
        <w:rPr>
          <w:rFonts w:eastAsia="Times New Roman" w:cs="Times New Roman"/>
          <w:noProof/>
          <w:sz w:val="22"/>
          <w:szCs w:val="22"/>
          <w:lang w:val="lt-LT" w:eastAsia="lt-LT" w:bidi="lt-LT"/>
        </w:rPr>
        <w:t>raikija</w:t>
      </w:r>
    </w:p>
    <w:p w14:paraId="47E2E9AA" w14:textId="77777777" w:rsidR="008B151F" w:rsidRPr="00997273" w:rsidRDefault="008B151F" w:rsidP="008B151F">
      <w:pPr>
        <w:tabs>
          <w:tab w:val="left" w:pos="567"/>
        </w:tabs>
        <w:rPr>
          <w:rFonts w:eastAsia="Times New Roman" w:cs="Times New Roman"/>
          <w:noProof/>
          <w:sz w:val="22"/>
          <w:szCs w:val="22"/>
          <w:lang w:val="lt-LT" w:eastAsia="lt-LT" w:bidi="lt-LT"/>
        </w:rPr>
      </w:pPr>
    </w:p>
    <w:p w14:paraId="180CEDD2" w14:textId="53094AE2" w:rsidR="0033745A" w:rsidRPr="00297C23" w:rsidRDefault="0033745A" w:rsidP="0033745A">
      <w:pPr>
        <w:rPr>
          <w:rFonts w:eastAsia="Times New Roman" w:cs="Times New Roman"/>
          <w:b/>
          <w:bCs/>
          <w:sz w:val="22"/>
          <w:szCs w:val="22"/>
          <w:lang w:val="lt-LT" w:eastAsia="en-US"/>
        </w:rPr>
      </w:pPr>
      <w:r w:rsidRPr="00297C23">
        <w:rPr>
          <w:rFonts w:eastAsia="Times New Roman" w:cs="Times New Roman"/>
          <w:b/>
          <w:bCs/>
          <w:sz w:val="22"/>
          <w:szCs w:val="22"/>
          <w:lang w:val="lt-LT" w:eastAsia="en-US"/>
        </w:rPr>
        <w:t>Gamintoja</w:t>
      </w:r>
      <w:r w:rsidR="00A039D8" w:rsidRPr="00297C23">
        <w:rPr>
          <w:rFonts w:eastAsia="Times New Roman" w:cs="Times New Roman"/>
          <w:b/>
          <w:bCs/>
          <w:sz w:val="22"/>
          <w:szCs w:val="22"/>
          <w:lang w:val="lt-LT" w:eastAsia="en-US"/>
        </w:rPr>
        <w:t>s</w:t>
      </w:r>
    </w:p>
    <w:p w14:paraId="44F49D8C" w14:textId="77777777" w:rsidR="00BB1CB8" w:rsidRPr="00BB1CB8" w:rsidRDefault="00BB1CB8" w:rsidP="00BB1CB8">
      <w:pPr>
        <w:tabs>
          <w:tab w:val="left" w:pos="567"/>
        </w:tabs>
        <w:rPr>
          <w:rFonts w:eastAsia="Times New Roman" w:cs="Times New Roman"/>
          <w:sz w:val="22"/>
          <w:szCs w:val="24"/>
          <w:lang w:val="lt-LT" w:eastAsia="en-US"/>
        </w:rPr>
      </w:pPr>
      <w:proofErr w:type="spellStart"/>
      <w:r w:rsidRPr="00BB1CB8">
        <w:rPr>
          <w:rFonts w:eastAsia="Times New Roman" w:cs="Times New Roman"/>
          <w:sz w:val="22"/>
          <w:szCs w:val="24"/>
          <w:lang w:val="lt-LT" w:eastAsia="en-US"/>
        </w:rPr>
        <w:t>Remedica</w:t>
      </w:r>
      <w:proofErr w:type="spellEnd"/>
      <w:r w:rsidRPr="00BB1CB8">
        <w:rPr>
          <w:rFonts w:eastAsia="Times New Roman" w:cs="Times New Roman"/>
          <w:sz w:val="22"/>
          <w:szCs w:val="24"/>
          <w:lang w:val="lt-LT" w:eastAsia="en-US"/>
        </w:rPr>
        <w:t xml:space="preserve"> Ltd.</w:t>
      </w:r>
    </w:p>
    <w:p w14:paraId="774CE663" w14:textId="0F7A78BE" w:rsidR="00BB1CB8" w:rsidRPr="00BB1CB8" w:rsidRDefault="00BB1CB8" w:rsidP="00BB1CB8">
      <w:pPr>
        <w:tabs>
          <w:tab w:val="left" w:pos="567"/>
        </w:tabs>
        <w:rPr>
          <w:rFonts w:eastAsia="Times New Roman" w:cs="Times New Roman"/>
          <w:sz w:val="22"/>
          <w:szCs w:val="24"/>
          <w:lang w:val="lt-LT" w:eastAsia="en-US"/>
        </w:rPr>
      </w:pPr>
      <w:proofErr w:type="spellStart"/>
      <w:r w:rsidRPr="00BB1CB8">
        <w:rPr>
          <w:rFonts w:eastAsia="Times New Roman" w:cs="Times New Roman"/>
          <w:sz w:val="22"/>
          <w:szCs w:val="24"/>
          <w:lang w:val="lt-LT" w:eastAsia="en-US"/>
        </w:rPr>
        <w:t>Aharnon</w:t>
      </w:r>
      <w:proofErr w:type="spellEnd"/>
      <w:r w:rsidRPr="00BB1CB8">
        <w:rPr>
          <w:rFonts w:eastAsia="Times New Roman" w:cs="Times New Roman"/>
          <w:sz w:val="22"/>
          <w:szCs w:val="24"/>
          <w:lang w:val="lt-LT" w:eastAsia="en-US"/>
        </w:rPr>
        <w:t xml:space="preserve"> </w:t>
      </w:r>
      <w:proofErr w:type="spellStart"/>
      <w:r w:rsidRPr="00BB1CB8">
        <w:rPr>
          <w:rFonts w:eastAsia="Times New Roman" w:cs="Times New Roman"/>
          <w:sz w:val="22"/>
          <w:szCs w:val="24"/>
          <w:lang w:val="lt-LT" w:eastAsia="en-US"/>
        </w:rPr>
        <w:t>Street</w:t>
      </w:r>
      <w:proofErr w:type="spellEnd"/>
      <w:r w:rsidRPr="00BB1CB8">
        <w:rPr>
          <w:rFonts w:eastAsia="Times New Roman" w:cs="Times New Roman"/>
          <w:sz w:val="22"/>
          <w:szCs w:val="24"/>
          <w:lang w:val="lt-LT" w:eastAsia="en-US"/>
        </w:rPr>
        <w:t xml:space="preserve">, </w:t>
      </w:r>
      <w:proofErr w:type="spellStart"/>
      <w:r w:rsidRPr="00BB1CB8">
        <w:rPr>
          <w:rFonts w:eastAsia="Times New Roman" w:cs="Times New Roman"/>
          <w:sz w:val="22"/>
          <w:szCs w:val="24"/>
          <w:lang w:val="lt-LT" w:eastAsia="en-US"/>
        </w:rPr>
        <w:t>Limassol</w:t>
      </w:r>
      <w:proofErr w:type="spellEnd"/>
      <w:r w:rsidRPr="00BB1CB8">
        <w:rPr>
          <w:rFonts w:eastAsia="Times New Roman" w:cs="Times New Roman"/>
          <w:sz w:val="22"/>
          <w:szCs w:val="24"/>
          <w:lang w:val="lt-LT" w:eastAsia="en-US"/>
        </w:rPr>
        <w:t xml:space="preserve"> </w:t>
      </w:r>
      <w:proofErr w:type="spellStart"/>
      <w:r w:rsidRPr="00BB1CB8">
        <w:rPr>
          <w:rFonts w:eastAsia="Times New Roman" w:cs="Times New Roman"/>
          <w:sz w:val="22"/>
          <w:szCs w:val="24"/>
          <w:lang w:val="lt-LT" w:eastAsia="en-US"/>
        </w:rPr>
        <w:t>Industrial</w:t>
      </w:r>
      <w:proofErr w:type="spellEnd"/>
      <w:r w:rsidRPr="00BB1CB8">
        <w:rPr>
          <w:rFonts w:eastAsia="Times New Roman" w:cs="Times New Roman"/>
          <w:sz w:val="22"/>
          <w:szCs w:val="24"/>
          <w:lang w:val="lt-LT" w:eastAsia="en-US"/>
        </w:rPr>
        <w:t xml:space="preserve"> </w:t>
      </w:r>
      <w:proofErr w:type="spellStart"/>
      <w:r w:rsidRPr="00BB1CB8">
        <w:rPr>
          <w:rFonts w:eastAsia="Times New Roman" w:cs="Times New Roman"/>
          <w:sz w:val="22"/>
          <w:szCs w:val="24"/>
          <w:lang w:val="lt-LT" w:eastAsia="en-US"/>
        </w:rPr>
        <w:t>Estate</w:t>
      </w:r>
      <w:proofErr w:type="spellEnd"/>
    </w:p>
    <w:p w14:paraId="5C2F5EB2" w14:textId="77777777" w:rsidR="00BB1CB8" w:rsidRPr="00BB1CB8" w:rsidRDefault="00BB1CB8" w:rsidP="00BB1CB8">
      <w:pPr>
        <w:tabs>
          <w:tab w:val="left" w:pos="567"/>
        </w:tabs>
        <w:rPr>
          <w:rFonts w:eastAsia="Times New Roman" w:cs="Times New Roman"/>
          <w:sz w:val="22"/>
          <w:szCs w:val="24"/>
          <w:lang w:val="lt-LT" w:eastAsia="en-US"/>
        </w:rPr>
      </w:pPr>
      <w:r w:rsidRPr="00BB1CB8">
        <w:rPr>
          <w:rFonts w:eastAsia="Times New Roman" w:cs="Times New Roman"/>
          <w:sz w:val="22"/>
          <w:szCs w:val="24"/>
          <w:lang w:val="lt-LT" w:eastAsia="en-US"/>
        </w:rPr>
        <w:t xml:space="preserve">3056, </w:t>
      </w:r>
      <w:proofErr w:type="spellStart"/>
      <w:r w:rsidRPr="00BB1CB8">
        <w:rPr>
          <w:rFonts w:eastAsia="Times New Roman" w:cs="Times New Roman"/>
          <w:sz w:val="22"/>
          <w:szCs w:val="24"/>
          <w:lang w:val="lt-LT" w:eastAsia="en-US"/>
        </w:rPr>
        <w:t>Limassol</w:t>
      </w:r>
      <w:proofErr w:type="spellEnd"/>
    </w:p>
    <w:p w14:paraId="08C753A5" w14:textId="5AB29D75" w:rsidR="00943B08" w:rsidRPr="001234CC" w:rsidRDefault="00BB1CB8" w:rsidP="00943B08">
      <w:pPr>
        <w:tabs>
          <w:tab w:val="left" w:pos="567"/>
        </w:tabs>
        <w:rPr>
          <w:rFonts w:eastAsia="Times New Roman" w:cs="Times New Roman"/>
          <w:sz w:val="22"/>
          <w:szCs w:val="24"/>
          <w:lang w:val="lt-LT" w:eastAsia="en-US"/>
        </w:rPr>
      </w:pPr>
      <w:r>
        <w:rPr>
          <w:rFonts w:eastAsia="Times New Roman" w:cs="Times New Roman"/>
          <w:sz w:val="22"/>
          <w:szCs w:val="24"/>
          <w:lang w:val="lt-LT" w:eastAsia="en-US"/>
        </w:rPr>
        <w:t>Kipras</w:t>
      </w:r>
    </w:p>
    <w:p w14:paraId="62ED4D67" w14:textId="3EDF4C99" w:rsidR="000D48D9" w:rsidRDefault="000D48D9" w:rsidP="000D48D9">
      <w:pPr>
        <w:tabs>
          <w:tab w:val="left" w:pos="567"/>
        </w:tabs>
        <w:autoSpaceDE w:val="0"/>
        <w:autoSpaceDN w:val="0"/>
        <w:adjustRightInd w:val="0"/>
        <w:spacing w:line="260" w:lineRule="exact"/>
        <w:rPr>
          <w:rFonts w:eastAsia="Times New Roman" w:cs="Times New Roman"/>
          <w:bCs/>
          <w:snapToGrid w:val="0"/>
          <w:sz w:val="22"/>
          <w:szCs w:val="22"/>
          <w:lang w:val="lt-LT" w:eastAsia="en-US"/>
        </w:rPr>
      </w:pPr>
    </w:p>
    <w:p w14:paraId="3B831B4C" w14:textId="542BD588" w:rsidR="000D48D9" w:rsidRDefault="000D48D9" w:rsidP="00A45AAA">
      <w:pPr>
        <w:keepNext/>
        <w:tabs>
          <w:tab w:val="left" w:pos="567"/>
        </w:tabs>
        <w:suppressAutoHyphens/>
        <w:spacing w:after="120"/>
        <w:rPr>
          <w:rFonts w:eastAsia="SimSun" w:cs="Times New Roman"/>
          <w:color w:val="000000"/>
          <w:sz w:val="22"/>
          <w:szCs w:val="22"/>
          <w:lang w:val="lt-LT" w:eastAsia="ar-SA"/>
        </w:rPr>
      </w:pPr>
      <w:r w:rsidRPr="0032719C">
        <w:rPr>
          <w:rFonts w:eastAsia="SimSun" w:cs="Times New Roman"/>
          <w:b/>
          <w:color w:val="000000"/>
          <w:sz w:val="22"/>
          <w:szCs w:val="22"/>
          <w:lang w:val="lt-LT" w:eastAsia="ar-SA"/>
        </w:rPr>
        <w:t>Šis vaistas E</w:t>
      </w:r>
      <w:r w:rsidR="00425901">
        <w:rPr>
          <w:rFonts w:eastAsia="SimSun" w:cs="Times New Roman"/>
          <w:b/>
          <w:color w:val="000000"/>
          <w:sz w:val="22"/>
          <w:szCs w:val="22"/>
          <w:lang w:val="lt-LT" w:eastAsia="ar-SA"/>
        </w:rPr>
        <w:t>uropos ekonominės erdvės</w:t>
      </w:r>
      <w:r w:rsidRPr="0032719C">
        <w:rPr>
          <w:rFonts w:eastAsia="SimSun" w:cs="Times New Roman"/>
          <w:b/>
          <w:color w:val="000000"/>
          <w:sz w:val="22"/>
          <w:szCs w:val="22"/>
          <w:lang w:val="lt-LT" w:eastAsia="ar-SA"/>
        </w:rPr>
        <w:t xml:space="preserve"> valstybėse narėse registruotas tokiais pavadinimais</w:t>
      </w:r>
      <w:r w:rsidRPr="0032719C">
        <w:rPr>
          <w:rFonts w:eastAsia="SimSun" w:cs="Times New Roman"/>
          <w:color w:val="000000"/>
          <w:sz w:val="22"/>
          <w:szCs w:val="22"/>
          <w:lang w:val="lt-LT" w:eastAsia="ar-SA"/>
        </w:rPr>
        <w:t>:</w:t>
      </w:r>
    </w:p>
    <w:p w14:paraId="71E0F895" w14:textId="77777777" w:rsidR="00772B51" w:rsidRDefault="00772B51" w:rsidP="00A45AAA">
      <w:pPr>
        <w:keepNext/>
        <w:tabs>
          <w:tab w:val="left" w:pos="567"/>
        </w:tabs>
        <w:suppressAutoHyphens/>
        <w:spacing w:after="120"/>
        <w:rPr>
          <w:rFonts w:eastAsia="SimSun" w:cs="Times New Roman"/>
          <w:color w:val="000000"/>
          <w:sz w:val="22"/>
          <w:szCs w:val="22"/>
          <w:lang w:val="lt-LT" w:eastAsia="ar-SA"/>
        </w:rPr>
      </w:pPr>
    </w:p>
    <w:tbl>
      <w:tblPr>
        <w:tblStyle w:val="Lentelstinklelis1"/>
        <w:tblW w:w="8222" w:type="dxa"/>
        <w:tblInd w:w="108" w:type="dxa"/>
        <w:tblLayout w:type="fixed"/>
        <w:tblLook w:val="04A0" w:firstRow="1" w:lastRow="0" w:firstColumn="1" w:lastColumn="0" w:noHBand="0" w:noVBand="1"/>
      </w:tblPr>
      <w:tblGrid>
        <w:gridCol w:w="2977"/>
        <w:gridCol w:w="5245"/>
      </w:tblGrid>
      <w:tr w:rsidR="00772B51" w:rsidRPr="00D81FC3" w14:paraId="08F22389" w14:textId="77777777" w:rsidTr="00772B51">
        <w:trPr>
          <w:trHeight w:hRule="exact" w:val="611"/>
        </w:trPr>
        <w:tc>
          <w:tcPr>
            <w:tcW w:w="2977" w:type="dxa"/>
          </w:tcPr>
          <w:p w14:paraId="51A72846" w14:textId="6F09B0BC" w:rsidR="00772B51" w:rsidRPr="00110C60" w:rsidRDefault="00772B51" w:rsidP="0029028D">
            <w:pPr>
              <w:spacing w:line="267" w:lineRule="exact"/>
              <w:ind w:left="102"/>
              <w:jc w:val="center"/>
              <w:rPr>
                <w:sz w:val="22"/>
                <w:szCs w:val="22"/>
              </w:rPr>
            </w:pPr>
            <w:r w:rsidRPr="00110C60">
              <w:rPr>
                <w:snapToGrid w:val="0"/>
                <w:sz w:val="22"/>
                <w:szCs w:val="22"/>
                <w:lang w:val="lt-LT" w:eastAsia="en-US"/>
              </w:rPr>
              <w:t>Danija</w:t>
            </w:r>
          </w:p>
        </w:tc>
        <w:tc>
          <w:tcPr>
            <w:tcW w:w="5245" w:type="dxa"/>
          </w:tcPr>
          <w:p w14:paraId="14C0D6E1" w14:textId="77777777" w:rsidR="00772B51" w:rsidRPr="00110C60" w:rsidRDefault="00772B51" w:rsidP="0029028D">
            <w:pPr>
              <w:rPr>
                <w:sz w:val="22"/>
                <w:szCs w:val="22"/>
              </w:rPr>
            </w:pPr>
            <w:r w:rsidRPr="00110C60">
              <w:rPr>
                <w:sz w:val="22"/>
                <w:szCs w:val="22"/>
              </w:rPr>
              <w:t>Meliglix</w:t>
            </w:r>
          </w:p>
        </w:tc>
      </w:tr>
      <w:tr w:rsidR="00772B51" w:rsidRPr="00D81FC3" w14:paraId="731802F2" w14:textId="77777777" w:rsidTr="00772B51">
        <w:trPr>
          <w:trHeight w:hRule="exact" w:val="1132"/>
        </w:trPr>
        <w:tc>
          <w:tcPr>
            <w:tcW w:w="2977" w:type="dxa"/>
          </w:tcPr>
          <w:p w14:paraId="34C6774C" w14:textId="78E82E2B" w:rsidR="00772B51" w:rsidRPr="00110C60" w:rsidRDefault="00772B51" w:rsidP="0029028D">
            <w:pPr>
              <w:spacing w:line="267" w:lineRule="exact"/>
              <w:ind w:left="102"/>
              <w:jc w:val="center"/>
              <w:rPr>
                <w:sz w:val="22"/>
                <w:szCs w:val="22"/>
              </w:rPr>
            </w:pPr>
            <w:r w:rsidRPr="00110C60">
              <w:rPr>
                <w:sz w:val="22"/>
                <w:szCs w:val="22"/>
              </w:rPr>
              <w:t xml:space="preserve"> </w:t>
            </w:r>
            <w:r w:rsidRPr="00110C60">
              <w:rPr>
                <w:snapToGrid w:val="0"/>
                <w:sz w:val="22"/>
                <w:szCs w:val="22"/>
                <w:lang w:val="lt-LT" w:eastAsia="en-US"/>
              </w:rPr>
              <w:t>Vokietija</w:t>
            </w:r>
            <w:r w:rsidRPr="00110C60">
              <w:rPr>
                <w:sz w:val="22"/>
                <w:szCs w:val="22"/>
              </w:rPr>
              <w:t xml:space="preserve"> </w:t>
            </w:r>
          </w:p>
        </w:tc>
        <w:tc>
          <w:tcPr>
            <w:tcW w:w="5245" w:type="dxa"/>
          </w:tcPr>
          <w:p w14:paraId="3CDB693D" w14:textId="77777777" w:rsidR="00772B51" w:rsidRPr="00110C60" w:rsidRDefault="00772B51" w:rsidP="0029028D">
            <w:pPr>
              <w:rPr>
                <w:sz w:val="22"/>
                <w:szCs w:val="22"/>
              </w:rPr>
            </w:pPr>
            <w:r w:rsidRPr="00110C60">
              <w:rPr>
                <w:sz w:val="22"/>
                <w:szCs w:val="22"/>
              </w:rPr>
              <w:t xml:space="preserve">Meliglix Filmtabletten 25 mg </w:t>
            </w:r>
          </w:p>
          <w:p w14:paraId="48611FB4" w14:textId="77777777" w:rsidR="00772B51" w:rsidRPr="00110C60" w:rsidRDefault="00772B51" w:rsidP="0029028D">
            <w:pPr>
              <w:rPr>
                <w:sz w:val="22"/>
                <w:szCs w:val="22"/>
              </w:rPr>
            </w:pPr>
            <w:r w:rsidRPr="00110C60">
              <w:rPr>
                <w:sz w:val="22"/>
                <w:szCs w:val="22"/>
              </w:rPr>
              <w:t xml:space="preserve">Meliglix Filmtabletten 50 mg </w:t>
            </w:r>
          </w:p>
          <w:p w14:paraId="510A0E5D" w14:textId="77777777" w:rsidR="00772B51" w:rsidRPr="00110C60" w:rsidRDefault="00772B51" w:rsidP="0029028D">
            <w:pPr>
              <w:rPr>
                <w:sz w:val="22"/>
                <w:szCs w:val="22"/>
              </w:rPr>
            </w:pPr>
            <w:r w:rsidRPr="00110C60">
              <w:rPr>
                <w:sz w:val="22"/>
                <w:szCs w:val="22"/>
              </w:rPr>
              <w:t xml:space="preserve">Meliglix Filmtabletten 100 mg </w:t>
            </w:r>
          </w:p>
        </w:tc>
      </w:tr>
      <w:tr w:rsidR="00772B51" w:rsidRPr="0029028D" w14:paraId="34670845" w14:textId="77777777" w:rsidTr="00A36FA4">
        <w:trPr>
          <w:trHeight w:hRule="exact" w:val="977"/>
        </w:trPr>
        <w:tc>
          <w:tcPr>
            <w:tcW w:w="2977" w:type="dxa"/>
          </w:tcPr>
          <w:p w14:paraId="6B4D21AD" w14:textId="1ACEFF70" w:rsidR="00772B51" w:rsidRPr="00110C60" w:rsidRDefault="00772B51" w:rsidP="0029028D">
            <w:pPr>
              <w:spacing w:line="267" w:lineRule="exact"/>
              <w:ind w:left="102"/>
              <w:jc w:val="center"/>
              <w:rPr>
                <w:sz w:val="22"/>
                <w:szCs w:val="22"/>
              </w:rPr>
            </w:pPr>
            <w:r w:rsidRPr="00110C60">
              <w:rPr>
                <w:snapToGrid w:val="0"/>
                <w:sz w:val="22"/>
                <w:szCs w:val="22"/>
                <w:lang w:val="lt-LT" w:eastAsia="en-US"/>
              </w:rPr>
              <w:lastRenderedPageBreak/>
              <w:t>Graikija</w:t>
            </w:r>
            <w:r w:rsidRPr="00110C60">
              <w:rPr>
                <w:sz w:val="22"/>
                <w:szCs w:val="22"/>
              </w:rPr>
              <w:t xml:space="preserve"> </w:t>
            </w:r>
          </w:p>
        </w:tc>
        <w:tc>
          <w:tcPr>
            <w:tcW w:w="5245" w:type="dxa"/>
          </w:tcPr>
          <w:p w14:paraId="0911DD77" w14:textId="77777777" w:rsidR="00772B51" w:rsidRPr="00110C60" w:rsidRDefault="00772B51" w:rsidP="0029028D">
            <w:pPr>
              <w:rPr>
                <w:sz w:val="22"/>
                <w:szCs w:val="22"/>
                <w:lang w:val="el-GR"/>
              </w:rPr>
            </w:pPr>
            <w:r w:rsidRPr="00110C60">
              <w:rPr>
                <w:sz w:val="22"/>
                <w:szCs w:val="22"/>
              </w:rPr>
              <w:t>Meliglix</w:t>
            </w:r>
            <w:r w:rsidRPr="00110C60">
              <w:rPr>
                <w:sz w:val="22"/>
                <w:szCs w:val="22"/>
                <w:lang w:val="el-GR"/>
              </w:rPr>
              <w:t xml:space="preserve"> επικαλυμμένα με λεπτό υμένιο δισκία 25 </w:t>
            </w:r>
            <w:r w:rsidRPr="00110C60">
              <w:rPr>
                <w:sz w:val="22"/>
                <w:szCs w:val="22"/>
              </w:rPr>
              <w:t>mg</w:t>
            </w:r>
          </w:p>
          <w:p w14:paraId="0D69DC33" w14:textId="77777777" w:rsidR="00772B51" w:rsidRPr="00110C60" w:rsidRDefault="00772B51" w:rsidP="0029028D">
            <w:pPr>
              <w:rPr>
                <w:sz w:val="22"/>
                <w:szCs w:val="22"/>
                <w:lang w:val="el-GR"/>
              </w:rPr>
            </w:pPr>
            <w:r w:rsidRPr="00110C60">
              <w:rPr>
                <w:sz w:val="22"/>
                <w:szCs w:val="22"/>
              </w:rPr>
              <w:t>Meliglix</w:t>
            </w:r>
            <w:r w:rsidRPr="00110C60">
              <w:rPr>
                <w:sz w:val="22"/>
                <w:szCs w:val="22"/>
                <w:lang w:val="el-GR"/>
              </w:rPr>
              <w:t xml:space="preserve"> επικαλυμμένα με λεπτό υμένιο δισκία 50 </w:t>
            </w:r>
            <w:r w:rsidRPr="00110C60">
              <w:rPr>
                <w:sz w:val="22"/>
                <w:szCs w:val="22"/>
              </w:rPr>
              <w:t>mg</w:t>
            </w:r>
          </w:p>
          <w:p w14:paraId="31314C52" w14:textId="77777777" w:rsidR="00772B51" w:rsidRPr="00110C60" w:rsidRDefault="00772B51" w:rsidP="0029028D">
            <w:pPr>
              <w:rPr>
                <w:sz w:val="22"/>
                <w:szCs w:val="22"/>
                <w:lang w:val="el-GR"/>
              </w:rPr>
            </w:pPr>
            <w:r w:rsidRPr="00110C60">
              <w:rPr>
                <w:sz w:val="22"/>
                <w:szCs w:val="22"/>
              </w:rPr>
              <w:t>Meliglix</w:t>
            </w:r>
            <w:r w:rsidRPr="00110C60">
              <w:rPr>
                <w:sz w:val="22"/>
                <w:szCs w:val="22"/>
                <w:lang w:val="el-GR"/>
              </w:rPr>
              <w:t xml:space="preserve"> επικαλυμμένα με λεπτό υμένιο δισκία 100 </w:t>
            </w:r>
            <w:r w:rsidRPr="00110C60">
              <w:rPr>
                <w:sz w:val="22"/>
                <w:szCs w:val="22"/>
              </w:rPr>
              <w:t>mg</w:t>
            </w:r>
          </w:p>
        </w:tc>
      </w:tr>
      <w:tr w:rsidR="00772B51" w:rsidRPr="00D81FC3" w14:paraId="5578373B" w14:textId="77777777" w:rsidTr="00772B51">
        <w:trPr>
          <w:trHeight w:hRule="exact" w:val="683"/>
        </w:trPr>
        <w:tc>
          <w:tcPr>
            <w:tcW w:w="2977" w:type="dxa"/>
          </w:tcPr>
          <w:p w14:paraId="66FE9885" w14:textId="0EB7820D" w:rsidR="00772B51" w:rsidRPr="00110C60" w:rsidRDefault="00772B51" w:rsidP="0029028D">
            <w:pPr>
              <w:spacing w:line="267" w:lineRule="exact"/>
              <w:ind w:left="102"/>
              <w:jc w:val="center"/>
              <w:rPr>
                <w:spacing w:val="-2"/>
                <w:sz w:val="22"/>
                <w:szCs w:val="22"/>
              </w:rPr>
            </w:pPr>
            <w:r w:rsidRPr="00110C60">
              <w:rPr>
                <w:snapToGrid w:val="0"/>
                <w:sz w:val="22"/>
                <w:szCs w:val="22"/>
                <w:lang w:val="lt-LT" w:eastAsia="en-US"/>
              </w:rPr>
              <w:t>Portugalija</w:t>
            </w:r>
          </w:p>
        </w:tc>
        <w:tc>
          <w:tcPr>
            <w:tcW w:w="5245" w:type="dxa"/>
          </w:tcPr>
          <w:p w14:paraId="502E1E20" w14:textId="77777777" w:rsidR="00772B51" w:rsidRPr="00110C60" w:rsidRDefault="00772B51" w:rsidP="0029028D">
            <w:pPr>
              <w:rPr>
                <w:rFonts w:eastAsiaTheme="minorHAnsi"/>
                <w:sz w:val="22"/>
                <w:szCs w:val="22"/>
              </w:rPr>
            </w:pPr>
            <w:r w:rsidRPr="00110C60">
              <w:rPr>
                <w:sz w:val="22"/>
                <w:szCs w:val="22"/>
              </w:rPr>
              <w:t>Meliglix</w:t>
            </w:r>
          </w:p>
        </w:tc>
      </w:tr>
      <w:tr w:rsidR="00772B51" w:rsidRPr="00D81FC3" w14:paraId="2B472B3C" w14:textId="77777777" w:rsidTr="00A36FA4">
        <w:trPr>
          <w:trHeight w:hRule="exact" w:val="1157"/>
        </w:trPr>
        <w:tc>
          <w:tcPr>
            <w:tcW w:w="2977" w:type="dxa"/>
          </w:tcPr>
          <w:p w14:paraId="73EDA88B" w14:textId="4091C230" w:rsidR="00772B51" w:rsidRPr="00110C60" w:rsidRDefault="00772B51" w:rsidP="0029028D">
            <w:pPr>
              <w:spacing w:line="267" w:lineRule="exact"/>
              <w:ind w:left="102"/>
              <w:jc w:val="center"/>
              <w:rPr>
                <w:sz w:val="22"/>
                <w:szCs w:val="22"/>
              </w:rPr>
            </w:pPr>
            <w:r w:rsidRPr="00110C60">
              <w:rPr>
                <w:snapToGrid w:val="0"/>
                <w:sz w:val="22"/>
                <w:szCs w:val="22"/>
                <w:lang w:val="lt-LT" w:eastAsia="en-US"/>
              </w:rPr>
              <w:t>Rumunija</w:t>
            </w:r>
            <w:r w:rsidRPr="00110C60">
              <w:rPr>
                <w:spacing w:val="-2"/>
                <w:sz w:val="22"/>
                <w:szCs w:val="22"/>
              </w:rPr>
              <w:t xml:space="preserve"> </w:t>
            </w:r>
          </w:p>
        </w:tc>
        <w:tc>
          <w:tcPr>
            <w:tcW w:w="5245" w:type="dxa"/>
          </w:tcPr>
          <w:p w14:paraId="7F67CD7C" w14:textId="77777777" w:rsidR="00772B51" w:rsidRPr="00110C60" w:rsidRDefault="00772B51" w:rsidP="0029028D">
            <w:pPr>
              <w:rPr>
                <w:sz w:val="22"/>
                <w:szCs w:val="22"/>
              </w:rPr>
            </w:pPr>
            <w:r w:rsidRPr="00110C60">
              <w:rPr>
                <w:sz w:val="22"/>
                <w:szCs w:val="22"/>
              </w:rPr>
              <w:t>Meliglix 25 mg comprimate filmate</w:t>
            </w:r>
          </w:p>
          <w:p w14:paraId="4C430AF4" w14:textId="77777777" w:rsidR="00772B51" w:rsidRPr="00110C60" w:rsidRDefault="00772B51" w:rsidP="0029028D">
            <w:pPr>
              <w:rPr>
                <w:sz w:val="22"/>
                <w:szCs w:val="22"/>
                <w:lang w:val="en-US"/>
              </w:rPr>
            </w:pPr>
            <w:r w:rsidRPr="00110C60">
              <w:rPr>
                <w:sz w:val="22"/>
                <w:szCs w:val="22"/>
              </w:rPr>
              <w:t>Meliglix 50 mg comprimate filmate</w:t>
            </w:r>
          </w:p>
          <w:p w14:paraId="430804B0" w14:textId="77777777" w:rsidR="00772B51" w:rsidRPr="00110C60" w:rsidRDefault="00772B51" w:rsidP="0029028D">
            <w:pPr>
              <w:rPr>
                <w:rFonts w:eastAsiaTheme="minorHAnsi"/>
                <w:sz w:val="22"/>
                <w:szCs w:val="22"/>
              </w:rPr>
            </w:pPr>
            <w:r w:rsidRPr="00110C60">
              <w:rPr>
                <w:sz w:val="22"/>
                <w:szCs w:val="22"/>
              </w:rPr>
              <w:t>Meliglix 100 mg comprimate filmate</w:t>
            </w:r>
          </w:p>
        </w:tc>
      </w:tr>
      <w:tr w:rsidR="00772B51" w:rsidRPr="00D81FC3" w14:paraId="3FB22B38" w14:textId="77777777" w:rsidTr="00A36FA4">
        <w:trPr>
          <w:trHeight w:hRule="exact" w:val="1021"/>
        </w:trPr>
        <w:tc>
          <w:tcPr>
            <w:tcW w:w="2977" w:type="dxa"/>
          </w:tcPr>
          <w:p w14:paraId="528723D1" w14:textId="39EBE528" w:rsidR="00772B51" w:rsidRPr="00110C60" w:rsidRDefault="00772B51" w:rsidP="0029028D">
            <w:pPr>
              <w:spacing w:line="267" w:lineRule="exact"/>
              <w:jc w:val="center"/>
              <w:rPr>
                <w:spacing w:val="-2"/>
                <w:sz w:val="22"/>
                <w:szCs w:val="22"/>
              </w:rPr>
            </w:pPr>
            <w:r w:rsidRPr="00110C60">
              <w:rPr>
                <w:snapToGrid w:val="0"/>
                <w:sz w:val="22"/>
                <w:szCs w:val="22"/>
                <w:lang w:val="lt-LT" w:eastAsia="en-US"/>
              </w:rPr>
              <w:t>Slovėnija</w:t>
            </w:r>
            <w:r w:rsidRPr="00110C60">
              <w:rPr>
                <w:sz w:val="22"/>
                <w:szCs w:val="22"/>
              </w:rPr>
              <w:t xml:space="preserve"> </w:t>
            </w:r>
          </w:p>
        </w:tc>
        <w:tc>
          <w:tcPr>
            <w:tcW w:w="5245" w:type="dxa"/>
          </w:tcPr>
          <w:p w14:paraId="2575FCEB" w14:textId="30AB91FB" w:rsidR="00772B51" w:rsidRPr="00110C60" w:rsidRDefault="00772B51" w:rsidP="0029028D">
            <w:pPr>
              <w:rPr>
                <w:sz w:val="22"/>
                <w:szCs w:val="22"/>
              </w:rPr>
            </w:pPr>
            <w:r w:rsidRPr="00110C60">
              <w:rPr>
                <w:sz w:val="22"/>
                <w:szCs w:val="22"/>
              </w:rPr>
              <w:t>Meliglix</w:t>
            </w:r>
            <w:r w:rsidRPr="00110C60">
              <w:rPr>
                <w:sz w:val="22"/>
                <w:szCs w:val="22"/>
                <w:lang w:val="cs-CZ"/>
              </w:rPr>
              <w:t xml:space="preserve"> </w:t>
            </w:r>
            <w:r w:rsidR="00776C73" w:rsidRPr="00110C60">
              <w:rPr>
                <w:b/>
                <w:sz w:val="22"/>
                <w:szCs w:val="22"/>
                <w:u w:val="single"/>
                <w:lang w:val="cs-CZ"/>
              </w:rPr>
              <w:t>25 mg</w:t>
            </w:r>
            <w:r w:rsidR="00776C73" w:rsidRPr="00110C60">
              <w:rPr>
                <w:sz w:val="22"/>
                <w:szCs w:val="22"/>
                <w:lang w:val="cs-CZ"/>
              </w:rPr>
              <w:t xml:space="preserve"> </w:t>
            </w:r>
            <w:r w:rsidRPr="00110C60">
              <w:rPr>
                <w:sz w:val="22"/>
                <w:szCs w:val="22"/>
                <w:lang w:val="cs-CZ"/>
              </w:rPr>
              <w:t>filmsko obložene tablete</w:t>
            </w:r>
            <w:r w:rsidRPr="00110C60">
              <w:rPr>
                <w:sz w:val="22"/>
                <w:szCs w:val="22"/>
              </w:rPr>
              <w:t xml:space="preserve"> </w:t>
            </w:r>
          </w:p>
          <w:p w14:paraId="3A747DBE" w14:textId="410C2047" w:rsidR="00772B51" w:rsidRPr="00110C60" w:rsidRDefault="00772B51" w:rsidP="0029028D">
            <w:pPr>
              <w:rPr>
                <w:sz w:val="22"/>
                <w:szCs w:val="22"/>
              </w:rPr>
            </w:pPr>
            <w:r w:rsidRPr="00110C60">
              <w:rPr>
                <w:sz w:val="22"/>
                <w:szCs w:val="22"/>
              </w:rPr>
              <w:t xml:space="preserve">Meliglix </w:t>
            </w:r>
            <w:r w:rsidR="00776C73" w:rsidRPr="00110C60">
              <w:rPr>
                <w:b/>
                <w:sz w:val="22"/>
                <w:szCs w:val="22"/>
                <w:u w:val="single"/>
              </w:rPr>
              <w:t xml:space="preserve">50mg </w:t>
            </w:r>
            <w:r w:rsidRPr="00110C60">
              <w:rPr>
                <w:sz w:val="22"/>
                <w:szCs w:val="22"/>
                <w:lang w:val="cs-CZ"/>
              </w:rPr>
              <w:t>filmsko obložene tablete</w:t>
            </w:r>
            <w:r w:rsidRPr="00110C60">
              <w:rPr>
                <w:sz w:val="22"/>
                <w:szCs w:val="22"/>
              </w:rPr>
              <w:t xml:space="preserve"> </w:t>
            </w:r>
          </w:p>
          <w:p w14:paraId="2208A89C" w14:textId="093F1252" w:rsidR="00772B51" w:rsidRPr="00110C60" w:rsidRDefault="00772B51" w:rsidP="0029028D">
            <w:pPr>
              <w:rPr>
                <w:sz w:val="22"/>
                <w:szCs w:val="22"/>
                <w:lang w:val="cs-CZ"/>
              </w:rPr>
            </w:pPr>
            <w:r w:rsidRPr="00110C60">
              <w:rPr>
                <w:sz w:val="22"/>
                <w:szCs w:val="22"/>
              </w:rPr>
              <w:t xml:space="preserve">Meliglix </w:t>
            </w:r>
            <w:r w:rsidR="00776C73" w:rsidRPr="00110C60">
              <w:rPr>
                <w:b/>
                <w:sz w:val="22"/>
                <w:szCs w:val="22"/>
                <w:u w:val="single"/>
              </w:rPr>
              <w:t>100mg</w:t>
            </w:r>
            <w:r w:rsidR="00776C73" w:rsidRPr="00110C60">
              <w:rPr>
                <w:sz w:val="22"/>
                <w:szCs w:val="22"/>
                <w:lang w:val="cs-CZ"/>
              </w:rPr>
              <w:t xml:space="preserve"> </w:t>
            </w:r>
            <w:r w:rsidRPr="00110C60">
              <w:rPr>
                <w:sz w:val="22"/>
                <w:szCs w:val="22"/>
                <w:lang w:val="cs-CZ"/>
              </w:rPr>
              <w:t>filmsko obložene tablete</w:t>
            </w:r>
            <w:r w:rsidRPr="00110C60">
              <w:rPr>
                <w:sz w:val="22"/>
                <w:szCs w:val="22"/>
              </w:rPr>
              <w:t xml:space="preserve"> </w:t>
            </w:r>
          </w:p>
        </w:tc>
      </w:tr>
      <w:tr w:rsidR="00772B51" w:rsidRPr="00D81FC3" w14:paraId="2386179B" w14:textId="77777777" w:rsidTr="00A36FA4">
        <w:trPr>
          <w:trHeight w:hRule="exact" w:val="1679"/>
        </w:trPr>
        <w:tc>
          <w:tcPr>
            <w:tcW w:w="2977" w:type="dxa"/>
          </w:tcPr>
          <w:p w14:paraId="4794E87E" w14:textId="4D1A4507" w:rsidR="00772B51" w:rsidRPr="00110C60" w:rsidRDefault="00772B51" w:rsidP="0029028D">
            <w:pPr>
              <w:spacing w:line="267" w:lineRule="exact"/>
              <w:ind w:left="102"/>
              <w:jc w:val="center"/>
              <w:rPr>
                <w:sz w:val="22"/>
                <w:szCs w:val="22"/>
              </w:rPr>
            </w:pPr>
            <w:r w:rsidRPr="00110C60">
              <w:rPr>
                <w:snapToGrid w:val="0"/>
                <w:sz w:val="22"/>
                <w:szCs w:val="22"/>
                <w:lang w:val="lt-LT" w:eastAsia="en-US"/>
              </w:rPr>
              <w:t>Ispanija</w:t>
            </w:r>
            <w:r w:rsidRPr="00110C60">
              <w:rPr>
                <w:sz w:val="22"/>
                <w:szCs w:val="22"/>
              </w:rPr>
              <w:t xml:space="preserve"> </w:t>
            </w:r>
          </w:p>
        </w:tc>
        <w:tc>
          <w:tcPr>
            <w:tcW w:w="5245" w:type="dxa"/>
          </w:tcPr>
          <w:p w14:paraId="36A80ACE" w14:textId="77777777" w:rsidR="00772B51" w:rsidRPr="00110C60" w:rsidRDefault="00772B51" w:rsidP="0029028D">
            <w:pPr>
              <w:rPr>
                <w:sz w:val="22"/>
                <w:szCs w:val="22"/>
                <w:lang w:val="pt-PT"/>
              </w:rPr>
            </w:pPr>
            <w:r w:rsidRPr="00110C60">
              <w:rPr>
                <w:sz w:val="22"/>
                <w:szCs w:val="22"/>
              </w:rPr>
              <w:t xml:space="preserve">Meliglix 25 mg comprimidos recubiertos con película </w:t>
            </w:r>
          </w:p>
          <w:p w14:paraId="67B3634A" w14:textId="77777777" w:rsidR="00772B51" w:rsidRPr="00110C60" w:rsidRDefault="00772B51" w:rsidP="0029028D">
            <w:pPr>
              <w:rPr>
                <w:sz w:val="22"/>
                <w:szCs w:val="22"/>
              </w:rPr>
            </w:pPr>
            <w:r w:rsidRPr="00110C60">
              <w:rPr>
                <w:sz w:val="22"/>
                <w:szCs w:val="22"/>
              </w:rPr>
              <w:t xml:space="preserve">Meliglix 50 mg comprimidos recubiertos con película </w:t>
            </w:r>
          </w:p>
          <w:p w14:paraId="67F501A5" w14:textId="77777777" w:rsidR="00772B51" w:rsidRPr="00110C60" w:rsidRDefault="00772B51" w:rsidP="0029028D">
            <w:pPr>
              <w:rPr>
                <w:rFonts w:eastAsiaTheme="minorHAnsi"/>
                <w:sz w:val="22"/>
                <w:szCs w:val="22"/>
                <w:lang w:val="cs-CZ"/>
              </w:rPr>
            </w:pPr>
            <w:r w:rsidRPr="00110C60">
              <w:rPr>
                <w:sz w:val="22"/>
                <w:szCs w:val="22"/>
              </w:rPr>
              <w:t xml:space="preserve">Meliglix 100 mg comprimidos recubiertos con película </w:t>
            </w:r>
          </w:p>
        </w:tc>
      </w:tr>
      <w:tr w:rsidR="00772B51" w:rsidRPr="00D81FC3" w14:paraId="79E5DADA" w14:textId="77777777" w:rsidTr="00110C60">
        <w:trPr>
          <w:trHeight w:hRule="exact" w:val="1973"/>
        </w:trPr>
        <w:tc>
          <w:tcPr>
            <w:tcW w:w="2977" w:type="dxa"/>
          </w:tcPr>
          <w:p w14:paraId="4F64304C" w14:textId="5A5F3513" w:rsidR="00772B51" w:rsidRPr="00110C60" w:rsidRDefault="00772B51" w:rsidP="0029028D">
            <w:pPr>
              <w:spacing w:line="267" w:lineRule="exact"/>
              <w:ind w:left="102"/>
              <w:jc w:val="center"/>
              <w:rPr>
                <w:sz w:val="22"/>
                <w:szCs w:val="22"/>
              </w:rPr>
            </w:pPr>
            <w:r w:rsidRPr="00110C60">
              <w:rPr>
                <w:snapToGrid w:val="0"/>
                <w:sz w:val="22"/>
                <w:szCs w:val="22"/>
                <w:lang w:val="lt-LT" w:eastAsia="en-US"/>
              </w:rPr>
              <w:t>Italija</w:t>
            </w:r>
            <w:r w:rsidRPr="00110C60">
              <w:rPr>
                <w:spacing w:val="-2"/>
                <w:sz w:val="22"/>
                <w:szCs w:val="22"/>
              </w:rPr>
              <w:t xml:space="preserve"> </w:t>
            </w:r>
          </w:p>
        </w:tc>
        <w:tc>
          <w:tcPr>
            <w:tcW w:w="5245" w:type="dxa"/>
          </w:tcPr>
          <w:p w14:paraId="519DB05F" w14:textId="53AE950D" w:rsidR="00772B51" w:rsidRPr="00110C60" w:rsidRDefault="00772B51" w:rsidP="0029028D">
            <w:pPr>
              <w:rPr>
                <w:sz w:val="22"/>
                <w:szCs w:val="22"/>
              </w:rPr>
            </w:pPr>
            <w:r w:rsidRPr="00110C60">
              <w:rPr>
                <w:sz w:val="22"/>
                <w:szCs w:val="22"/>
              </w:rPr>
              <w:t>Meliglix 25 mg</w:t>
            </w:r>
            <w:r w:rsidR="00776C73" w:rsidRPr="00110C60">
              <w:rPr>
                <w:sz w:val="22"/>
                <w:szCs w:val="22"/>
                <w:lang w:val="it-IT"/>
              </w:rPr>
              <w:t xml:space="preserve"> compresse rivestite con film</w:t>
            </w:r>
          </w:p>
          <w:p w14:paraId="29840168" w14:textId="6B98F594" w:rsidR="00772B51" w:rsidRPr="00110C60" w:rsidRDefault="00772B51" w:rsidP="0029028D">
            <w:pPr>
              <w:rPr>
                <w:sz w:val="22"/>
                <w:szCs w:val="22"/>
              </w:rPr>
            </w:pPr>
            <w:r w:rsidRPr="00110C60">
              <w:rPr>
                <w:sz w:val="22"/>
                <w:szCs w:val="22"/>
              </w:rPr>
              <w:t>Meliglix 50 mg</w:t>
            </w:r>
            <w:r w:rsidR="00776C73" w:rsidRPr="00110C60">
              <w:rPr>
                <w:sz w:val="22"/>
                <w:szCs w:val="22"/>
                <w:lang w:val="it-IT"/>
              </w:rPr>
              <w:t xml:space="preserve"> compresse rivestite con film</w:t>
            </w:r>
          </w:p>
          <w:p w14:paraId="4836C4E7" w14:textId="66121125" w:rsidR="00772B51" w:rsidRPr="00110C60" w:rsidRDefault="00772B51" w:rsidP="0029028D">
            <w:pPr>
              <w:rPr>
                <w:rFonts w:eastAsiaTheme="minorHAnsi"/>
                <w:sz w:val="22"/>
                <w:szCs w:val="22"/>
              </w:rPr>
            </w:pPr>
            <w:r w:rsidRPr="00110C60">
              <w:rPr>
                <w:sz w:val="22"/>
                <w:szCs w:val="22"/>
              </w:rPr>
              <w:t>Meliglix 100 mg</w:t>
            </w:r>
            <w:r w:rsidR="00776C73" w:rsidRPr="00110C60">
              <w:rPr>
                <w:sz w:val="22"/>
                <w:szCs w:val="22"/>
                <w:lang w:val="it-IT"/>
              </w:rPr>
              <w:t xml:space="preserve"> compresse rivestite con film</w:t>
            </w:r>
          </w:p>
        </w:tc>
      </w:tr>
      <w:tr w:rsidR="00772B51" w:rsidRPr="00D81FC3" w14:paraId="2640C8B4" w14:textId="77777777" w:rsidTr="00A36FA4">
        <w:trPr>
          <w:trHeight w:hRule="exact" w:val="1137"/>
        </w:trPr>
        <w:tc>
          <w:tcPr>
            <w:tcW w:w="2977" w:type="dxa"/>
          </w:tcPr>
          <w:p w14:paraId="6538FDF9" w14:textId="26FA21B9" w:rsidR="00772B51" w:rsidRPr="00110C60" w:rsidRDefault="00772B51" w:rsidP="0029028D">
            <w:pPr>
              <w:spacing w:line="267" w:lineRule="exact"/>
              <w:ind w:left="102"/>
              <w:jc w:val="center"/>
              <w:rPr>
                <w:sz w:val="22"/>
                <w:szCs w:val="22"/>
              </w:rPr>
            </w:pPr>
            <w:r w:rsidRPr="00110C60">
              <w:rPr>
                <w:snapToGrid w:val="0"/>
                <w:sz w:val="22"/>
                <w:szCs w:val="22"/>
                <w:lang w:val="lt-LT" w:eastAsia="en-US"/>
              </w:rPr>
              <w:t>Latvija</w:t>
            </w:r>
          </w:p>
        </w:tc>
        <w:tc>
          <w:tcPr>
            <w:tcW w:w="5245" w:type="dxa"/>
          </w:tcPr>
          <w:p w14:paraId="56742DF8" w14:textId="77777777" w:rsidR="00772B51" w:rsidRPr="00110C60" w:rsidRDefault="00772B51" w:rsidP="0029028D">
            <w:pPr>
              <w:rPr>
                <w:sz w:val="22"/>
                <w:szCs w:val="22"/>
              </w:rPr>
            </w:pPr>
            <w:r w:rsidRPr="00110C60">
              <w:rPr>
                <w:sz w:val="22"/>
                <w:szCs w:val="22"/>
              </w:rPr>
              <w:t>Meliglix 25 mg apvalkotās tabletes</w:t>
            </w:r>
          </w:p>
          <w:p w14:paraId="42146E3E" w14:textId="77777777" w:rsidR="00772B51" w:rsidRPr="00110C60" w:rsidRDefault="00772B51" w:rsidP="0029028D">
            <w:pPr>
              <w:rPr>
                <w:sz w:val="22"/>
                <w:szCs w:val="22"/>
              </w:rPr>
            </w:pPr>
            <w:r w:rsidRPr="00110C60">
              <w:rPr>
                <w:sz w:val="22"/>
                <w:szCs w:val="22"/>
              </w:rPr>
              <w:t>Meliglix 50 mg apvalkotās tabletes</w:t>
            </w:r>
          </w:p>
          <w:p w14:paraId="24D610A0" w14:textId="77777777" w:rsidR="00772B51" w:rsidRPr="00110C60" w:rsidRDefault="00772B51" w:rsidP="0029028D">
            <w:pPr>
              <w:rPr>
                <w:rFonts w:eastAsiaTheme="minorHAnsi"/>
                <w:sz w:val="22"/>
                <w:szCs w:val="22"/>
              </w:rPr>
            </w:pPr>
            <w:r w:rsidRPr="00110C60">
              <w:rPr>
                <w:sz w:val="22"/>
                <w:szCs w:val="22"/>
              </w:rPr>
              <w:t>Meliglix 100 mg apvalkotās tabletes</w:t>
            </w:r>
          </w:p>
        </w:tc>
      </w:tr>
      <w:tr w:rsidR="00772B51" w:rsidRPr="00D81FC3" w14:paraId="2E2299D3" w14:textId="77777777" w:rsidTr="00A36FA4">
        <w:trPr>
          <w:trHeight w:hRule="exact" w:val="974"/>
        </w:trPr>
        <w:tc>
          <w:tcPr>
            <w:tcW w:w="2977" w:type="dxa"/>
          </w:tcPr>
          <w:p w14:paraId="5007231B" w14:textId="2515D4F5" w:rsidR="00772B51" w:rsidRPr="00110C60" w:rsidRDefault="00772B51" w:rsidP="0029028D">
            <w:pPr>
              <w:spacing w:line="267" w:lineRule="exact"/>
              <w:ind w:left="102"/>
              <w:jc w:val="center"/>
              <w:rPr>
                <w:sz w:val="22"/>
                <w:szCs w:val="22"/>
              </w:rPr>
            </w:pPr>
            <w:r w:rsidRPr="00110C60">
              <w:rPr>
                <w:snapToGrid w:val="0"/>
                <w:sz w:val="22"/>
                <w:szCs w:val="22"/>
                <w:lang w:val="lt-LT" w:eastAsia="en-US"/>
              </w:rPr>
              <w:t>Lietuva</w:t>
            </w:r>
          </w:p>
        </w:tc>
        <w:tc>
          <w:tcPr>
            <w:tcW w:w="5245" w:type="dxa"/>
          </w:tcPr>
          <w:p w14:paraId="3CDAAD0F" w14:textId="77777777" w:rsidR="00772B51" w:rsidRPr="00110C60" w:rsidRDefault="00772B51" w:rsidP="0029028D">
            <w:pPr>
              <w:rPr>
                <w:sz w:val="22"/>
                <w:szCs w:val="22"/>
                <w:lang w:val="lt-LT"/>
              </w:rPr>
            </w:pPr>
            <w:r w:rsidRPr="00110C60">
              <w:rPr>
                <w:sz w:val="22"/>
                <w:szCs w:val="22"/>
              </w:rPr>
              <w:t>Meliglix 25 mg</w:t>
            </w:r>
            <w:r w:rsidRPr="00110C60">
              <w:rPr>
                <w:color w:val="00B050"/>
                <w:sz w:val="22"/>
                <w:szCs w:val="22"/>
                <w:lang w:val="lt-LT"/>
              </w:rPr>
              <w:t xml:space="preserve"> </w:t>
            </w:r>
            <w:r w:rsidRPr="00110C60">
              <w:rPr>
                <w:sz w:val="22"/>
                <w:szCs w:val="22"/>
                <w:lang w:val="lt-LT"/>
              </w:rPr>
              <w:t>plėvele dengtos tabletės</w:t>
            </w:r>
          </w:p>
          <w:p w14:paraId="2C2DE1A8" w14:textId="77777777" w:rsidR="00772B51" w:rsidRPr="00110C60" w:rsidRDefault="00772B51" w:rsidP="0029028D">
            <w:pPr>
              <w:rPr>
                <w:sz w:val="22"/>
                <w:szCs w:val="22"/>
                <w:lang w:val="lt-LT"/>
              </w:rPr>
            </w:pPr>
            <w:r w:rsidRPr="00110C60">
              <w:rPr>
                <w:sz w:val="22"/>
                <w:szCs w:val="22"/>
              </w:rPr>
              <w:t>Meliglix 50 mg</w:t>
            </w:r>
            <w:r w:rsidRPr="00110C60">
              <w:rPr>
                <w:color w:val="00B050"/>
                <w:sz w:val="22"/>
                <w:szCs w:val="22"/>
                <w:lang w:val="lt-LT"/>
              </w:rPr>
              <w:t xml:space="preserve"> </w:t>
            </w:r>
            <w:r w:rsidRPr="00110C60">
              <w:rPr>
                <w:sz w:val="22"/>
                <w:szCs w:val="22"/>
                <w:lang w:val="lt-LT"/>
              </w:rPr>
              <w:t>plėvele dengtos tabletės</w:t>
            </w:r>
          </w:p>
          <w:p w14:paraId="7736AF43" w14:textId="77777777" w:rsidR="00772B51" w:rsidRPr="00110C60" w:rsidRDefault="00772B51" w:rsidP="0029028D">
            <w:pPr>
              <w:rPr>
                <w:rFonts w:eastAsiaTheme="minorHAnsi"/>
                <w:sz w:val="22"/>
                <w:szCs w:val="22"/>
              </w:rPr>
            </w:pPr>
            <w:r w:rsidRPr="00110C60">
              <w:rPr>
                <w:sz w:val="22"/>
                <w:szCs w:val="22"/>
              </w:rPr>
              <w:t>Meliglix 100 mg</w:t>
            </w:r>
            <w:r w:rsidRPr="00110C60">
              <w:rPr>
                <w:color w:val="00B050"/>
                <w:sz w:val="22"/>
                <w:szCs w:val="22"/>
                <w:lang w:val="lt-LT"/>
              </w:rPr>
              <w:t xml:space="preserve"> </w:t>
            </w:r>
            <w:r w:rsidRPr="00110C60">
              <w:rPr>
                <w:sz w:val="22"/>
                <w:szCs w:val="22"/>
                <w:lang w:val="lt-LT"/>
              </w:rPr>
              <w:t>plėvele dengtos tabletės</w:t>
            </w:r>
          </w:p>
        </w:tc>
      </w:tr>
      <w:tr w:rsidR="00772B51" w:rsidRPr="00D81FC3" w14:paraId="4B5F66D5" w14:textId="77777777" w:rsidTr="00A36FA4">
        <w:trPr>
          <w:trHeight w:hRule="exact" w:val="733"/>
        </w:trPr>
        <w:tc>
          <w:tcPr>
            <w:tcW w:w="2977" w:type="dxa"/>
          </w:tcPr>
          <w:p w14:paraId="672D3A1B" w14:textId="26EDA6C9" w:rsidR="00772B51" w:rsidRPr="00110C60" w:rsidRDefault="00772B51" w:rsidP="0029028D">
            <w:pPr>
              <w:spacing w:line="267" w:lineRule="exact"/>
              <w:ind w:left="102"/>
              <w:jc w:val="center"/>
              <w:rPr>
                <w:sz w:val="22"/>
                <w:szCs w:val="22"/>
              </w:rPr>
            </w:pPr>
            <w:r w:rsidRPr="00110C60">
              <w:rPr>
                <w:snapToGrid w:val="0"/>
                <w:sz w:val="22"/>
                <w:szCs w:val="22"/>
                <w:lang w:val="lt-LT" w:eastAsia="en-US"/>
              </w:rPr>
              <w:t>Estija</w:t>
            </w:r>
          </w:p>
        </w:tc>
        <w:tc>
          <w:tcPr>
            <w:tcW w:w="5245" w:type="dxa"/>
          </w:tcPr>
          <w:p w14:paraId="4D1AFF11" w14:textId="77777777" w:rsidR="00772B51" w:rsidRPr="00110C60" w:rsidRDefault="00772B51" w:rsidP="0029028D">
            <w:pPr>
              <w:rPr>
                <w:rFonts w:eastAsiaTheme="minorHAnsi"/>
                <w:sz w:val="22"/>
                <w:szCs w:val="22"/>
              </w:rPr>
            </w:pPr>
            <w:r w:rsidRPr="00110C60">
              <w:rPr>
                <w:sz w:val="22"/>
                <w:szCs w:val="22"/>
              </w:rPr>
              <w:t>Meliglix</w:t>
            </w:r>
          </w:p>
        </w:tc>
      </w:tr>
      <w:tr w:rsidR="00772B51" w:rsidRPr="00D81FC3" w14:paraId="19586C62" w14:textId="77777777" w:rsidTr="00A36FA4">
        <w:trPr>
          <w:trHeight w:hRule="exact" w:val="1159"/>
        </w:trPr>
        <w:tc>
          <w:tcPr>
            <w:tcW w:w="2977" w:type="dxa"/>
          </w:tcPr>
          <w:p w14:paraId="70EB7F62" w14:textId="0C33B8ED" w:rsidR="00772B51" w:rsidRPr="00110C60" w:rsidRDefault="00772B51" w:rsidP="0029028D">
            <w:pPr>
              <w:spacing w:line="267" w:lineRule="exact"/>
              <w:ind w:left="102"/>
              <w:jc w:val="center"/>
              <w:rPr>
                <w:sz w:val="22"/>
                <w:szCs w:val="22"/>
              </w:rPr>
            </w:pPr>
            <w:r w:rsidRPr="00110C60">
              <w:rPr>
                <w:snapToGrid w:val="0"/>
                <w:sz w:val="22"/>
                <w:szCs w:val="22"/>
                <w:lang w:val="lt-LT" w:eastAsia="en-US"/>
              </w:rPr>
              <w:t>Kipras</w:t>
            </w:r>
          </w:p>
        </w:tc>
        <w:tc>
          <w:tcPr>
            <w:tcW w:w="5245" w:type="dxa"/>
          </w:tcPr>
          <w:p w14:paraId="1582C5EB" w14:textId="77777777" w:rsidR="00772B51" w:rsidRPr="00110C60" w:rsidRDefault="00772B51" w:rsidP="0029028D">
            <w:pPr>
              <w:rPr>
                <w:sz w:val="22"/>
                <w:szCs w:val="22"/>
              </w:rPr>
            </w:pPr>
            <w:bookmarkStart w:id="7" w:name="_Hlk108189593"/>
            <w:r w:rsidRPr="00110C60">
              <w:rPr>
                <w:sz w:val="22"/>
                <w:szCs w:val="22"/>
              </w:rPr>
              <w:t>Meliglix film coated tablets 25 mg</w:t>
            </w:r>
          </w:p>
          <w:p w14:paraId="54EF90D3" w14:textId="77777777" w:rsidR="00772B51" w:rsidRPr="00110C60" w:rsidRDefault="00772B51" w:rsidP="0029028D">
            <w:pPr>
              <w:rPr>
                <w:sz w:val="22"/>
                <w:szCs w:val="22"/>
              </w:rPr>
            </w:pPr>
            <w:r w:rsidRPr="00110C60">
              <w:rPr>
                <w:sz w:val="22"/>
                <w:szCs w:val="22"/>
              </w:rPr>
              <w:t>Meliglix film coated tablets 50 mg</w:t>
            </w:r>
          </w:p>
          <w:p w14:paraId="0593E14C" w14:textId="77777777" w:rsidR="00772B51" w:rsidRPr="00110C60" w:rsidRDefault="00772B51" w:rsidP="0029028D">
            <w:pPr>
              <w:rPr>
                <w:rFonts w:eastAsiaTheme="minorHAnsi"/>
                <w:sz w:val="22"/>
                <w:szCs w:val="22"/>
              </w:rPr>
            </w:pPr>
            <w:r w:rsidRPr="00110C60">
              <w:rPr>
                <w:sz w:val="22"/>
                <w:szCs w:val="22"/>
              </w:rPr>
              <w:t>Meliglix film coated tablets 100 mg</w:t>
            </w:r>
            <w:bookmarkEnd w:id="7"/>
          </w:p>
        </w:tc>
      </w:tr>
    </w:tbl>
    <w:p w14:paraId="0A08D29F" w14:textId="77777777" w:rsidR="00B73763" w:rsidRPr="001F7861" w:rsidRDefault="00B73763" w:rsidP="00B73763">
      <w:pPr>
        <w:rPr>
          <w:noProof/>
          <w:sz w:val="22"/>
          <w:szCs w:val="22"/>
          <w:lang w:val="lt-LT" w:eastAsia="lt-LT" w:bidi="lt-LT"/>
        </w:rPr>
      </w:pPr>
    </w:p>
    <w:p w14:paraId="6E5D18E3" w14:textId="2092C448" w:rsidR="000C1F4C" w:rsidRPr="00DE6DA8" w:rsidRDefault="00B73763" w:rsidP="00B73763">
      <w:pPr>
        <w:rPr>
          <w:b/>
          <w:bCs/>
          <w:noProof/>
          <w:sz w:val="22"/>
          <w:szCs w:val="22"/>
          <w:lang w:val="lt-LT" w:eastAsia="lt-LT" w:bidi="lt-LT"/>
        </w:rPr>
      </w:pPr>
      <w:r w:rsidRPr="00DE6DA8">
        <w:rPr>
          <w:b/>
          <w:bCs/>
          <w:noProof/>
          <w:sz w:val="22"/>
          <w:szCs w:val="22"/>
          <w:lang w:val="lt-LT" w:eastAsia="lt-LT" w:bidi="lt-LT"/>
        </w:rPr>
        <w:t>Šis pakuotės lapelis paskutinį kartą peržiūrėtas</w:t>
      </w:r>
      <w:r w:rsidR="00425901">
        <w:rPr>
          <w:b/>
          <w:bCs/>
          <w:noProof/>
          <w:sz w:val="22"/>
          <w:szCs w:val="22"/>
          <w:lang w:val="lt-LT" w:eastAsia="lt-LT" w:bidi="lt-LT"/>
        </w:rPr>
        <w:t xml:space="preserve"> 2026-03-</w:t>
      </w:r>
      <w:r w:rsidR="002E77F6">
        <w:rPr>
          <w:b/>
          <w:bCs/>
          <w:noProof/>
          <w:sz w:val="22"/>
          <w:szCs w:val="22"/>
          <w:lang w:val="lt-LT" w:eastAsia="lt-LT" w:bidi="lt-LT"/>
        </w:rPr>
        <w:t>26</w:t>
      </w:r>
      <w:r w:rsidR="00425901">
        <w:rPr>
          <w:b/>
          <w:bCs/>
          <w:noProof/>
          <w:sz w:val="22"/>
          <w:szCs w:val="22"/>
          <w:lang w:val="lt-LT" w:eastAsia="lt-LT" w:bidi="lt-LT"/>
        </w:rPr>
        <w:t>.</w:t>
      </w:r>
    </w:p>
    <w:p w14:paraId="77DFC5DC" w14:textId="77777777" w:rsidR="00B73763" w:rsidRPr="001F7861" w:rsidRDefault="00B73763" w:rsidP="00B73763">
      <w:pPr>
        <w:rPr>
          <w:noProof/>
          <w:sz w:val="22"/>
          <w:szCs w:val="22"/>
          <w:lang w:val="lt-LT" w:eastAsia="lt-LT" w:bidi="lt-LT"/>
        </w:rPr>
      </w:pPr>
    </w:p>
    <w:p w14:paraId="5EB68646" w14:textId="5E28A550" w:rsidR="00B73763" w:rsidRDefault="00B73763" w:rsidP="00B73763">
      <w:pPr>
        <w:numPr>
          <w:ilvl w:val="12"/>
          <w:numId w:val="0"/>
        </w:numPr>
        <w:tabs>
          <w:tab w:val="left" w:pos="567"/>
        </w:tabs>
        <w:ind w:right="-2"/>
        <w:rPr>
          <w:rFonts w:eastAsia="Times New Roman" w:cs="Times New Roman"/>
          <w:snapToGrid w:val="0"/>
          <w:sz w:val="22"/>
          <w:szCs w:val="22"/>
          <w:lang w:val="lt-LT" w:eastAsia="en-US"/>
        </w:rPr>
      </w:pPr>
      <w:r w:rsidRPr="0033745A">
        <w:rPr>
          <w:rFonts w:eastAsia="Times New Roman" w:cs="Times New Roman"/>
          <w:snapToGrid w:val="0"/>
          <w:sz w:val="22"/>
          <w:szCs w:val="22"/>
          <w:lang w:val="lt-LT" w:eastAsia="en-US"/>
        </w:rPr>
        <w:t>Išsami informacija apie šį vaistą pateikiama Valstybinės vaistų kontrolės tarnybos prie Lietuvos Respublikos sveikatos apsaugos ministerijos tinklalapyje</w:t>
      </w:r>
      <w:r w:rsidRPr="0033745A">
        <w:rPr>
          <w:rFonts w:eastAsia="Times New Roman" w:cs="Times New Roman"/>
          <w:i/>
          <w:snapToGrid w:val="0"/>
          <w:sz w:val="22"/>
          <w:szCs w:val="22"/>
          <w:lang w:val="lt-LT" w:eastAsia="en-US"/>
        </w:rPr>
        <w:t xml:space="preserve"> </w:t>
      </w:r>
      <w:r w:rsidR="009E2145">
        <w:rPr>
          <w:color w:val="0000EE"/>
          <w:sz w:val="22"/>
          <w:szCs w:val="22"/>
          <w:u w:val="single"/>
          <w:lang w:eastAsia="lt-LT"/>
        </w:rPr>
        <w:t>https://vvkt.lrv.lt/lt/</w:t>
      </w:r>
      <w:r w:rsidR="009E2145">
        <w:rPr>
          <w:sz w:val="22"/>
          <w:szCs w:val="22"/>
          <w:lang w:eastAsia="lt-LT"/>
        </w:rPr>
        <w:t>.</w:t>
      </w:r>
    </w:p>
    <w:p w14:paraId="2A87A7C0" w14:textId="77777777" w:rsidR="00E16216" w:rsidRPr="000D48D9" w:rsidRDefault="00E16216" w:rsidP="000D48D9">
      <w:pPr>
        <w:rPr>
          <w:noProof/>
          <w:sz w:val="22"/>
          <w:szCs w:val="22"/>
          <w:lang w:val="lt-LT" w:eastAsia="lt-LT" w:bidi="lt-LT"/>
        </w:rPr>
      </w:pPr>
    </w:p>
    <w:sectPr w:rsidR="00E16216" w:rsidRPr="000D48D9" w:rsidSect="00612A8E">
      <w:headerReference w:type="default" r:id="rId9"/>
      <w:footerReference w:type="default" r:id="rId10"/>
      <w:headerReference w:type="firs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F9A38" w14:textId="77777777" w:rsidR="00D16A50" w:rsidRDefault="00D16A50">
      <w:r>
        <w:separator/>
      </w:r>
    </w:p>
  </w:endnote>
  <w:endnote w:type="continuationSeparator" w:id="0">
    <w:p w14:paraId="2840EF94" w14:textId="77777777" w:rsidR="00D16A50" w:rsidRDefault="00D16A50">
      <w:r>
        <w:continuationSeparator/>
      </w:r>
    </w:p>
  </w:endnote>
  <w:endnote w:type="continuationNotice" w:id="1">
    <w:p w14:paraId="019C146E" w14:textId="77777777" w:rsidR="00D16A50" w:rsidRDefault="00D16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imesNewRoman,Italic">
    <w:altName w:val="Yu Gothic UI"/>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MathExt">
    <w:altName w:val="Malgun Gothic Semilight"/>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7722" w14:textId="7A5E17A4" w:rsidR="00365017" w:rsidRPr="003D7CAB" w:rsidRDefault="00365017">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3D7CAB">
      <w:rPr>
        <w:rStyle w:val="Puslapionumeris"/>
        <w:rFonts w:ascii="Times New Roman" w:hAnsi="Times New Roman"/>
        <w:sz w:val="22"/>
        <w:szCs w:val="22"/>
      </w:rPr>
      <w:fldChar w:fldCharType="begin"/>
    </w:r>
    <w:r w:rsidRPr="003D7CAB">
      <w:rPr>
        <w:rStyle w:val="Puslapionumeris"/>
        <w:rFonts w:ascii="Times New Roman" w:hAnsi="Times New Roman"/>
        <w:sz w:val="22"/>
        <w:szCs w:val="22"/>
      </w:rPr>
      <w:instrText xml:space="preserve">PAGE  </w:instrText>
    </w:r>
    <w:r w:rsidRPr="003D7CAB">
      <w:rPr>
        <w:rStyle w:val="Puslapionumeris"/>
        <w:rFonts w:ascii="Times New Roman" w:hAnsi="Times New Roman"/>
        <w:sz w:val="22"/>
        <w:szCs w:val="22"/>
      </w:rPr>
      <w:fldChar w:fldCharType="separate"/>
    </w:r>
    <w:r w:rsidR="008A1EF4">
      <w:rPr>
        <w:rStyle w:val="Puslapionumeris"/>
        <w:rFonts w:ascii="Times New Roman" w:hAnsi="Times New Roman"/>
        <w:sz w:val="22"/>
        <w:szCs w:val="22"/>
      </w:rPr>
      <w:t>2</w:t>
    </w:r>
    <w:r w:rsidR="008A1EF4">
      <w:rPr>
        <w:rStyle w:val="Puslapionumeris"/>
        <w:rFonts w:ascii="Times New Roman" w:hAnsi="Times New Roman"/>
        <w:sz w:val="22"/>
        <w:szCs w:val="22"/>
      </w:rPr>
      <w:t>9</w:t>
    </w:r>
    <w:r w:rsidRPr="003D7CAB">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1275" w14:textId="4A89A323" w:rsidR="00365017" w:rsidRPr="003D7CAB" w:rsidRDefault="00365017">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3D7CAB">
      <w:rPr>
        <w:rStyle w:val="Puslapionumeris"/>
        <w:rFonts w:ascii="Times New Roman" w:hAnsi="Times New Roman"/>
        <w:sz w:val="22"/>
        <w:szCs w:val="22"/>
      </w:rPr>
      <w:fldChar w:fldCharType="begin"/>
    </w:r>
    <w:r w:rsidRPr="003D7CAB">
      <w:rPr>
        <w:rStyle w:val="Puslapionumeris"/>
        <w:rFonts w:ascii="Times New Roman" w:hAnsi="Times New Roman"/>
        <w:sz w:val="22"/>
        <w:szCs w:val="22"/>
      </w:rPr>
      <w:instrText xml:space="preserve">PAGE  </w:instrText>
    </w:r>
    <w:r w:rsidRPr="003D7CAB">
      <w:rPr>
        <w:rStyle w:val="Puslapionumeris"/>
        <w:rFonts w:ascii="Times New Roman" w:hAnsi="Times New Roman"/>
        <w:sz w:val="22"/>
        <w:szCs w:val="22"/>
      </w:rPr>
      <w:fldChar w:fldCharType="separate"/>
    </w:r>
    <w:r w:rsidR="008A1EF4">
      <w:rPr>
        <w:rStyle w:val="Puslapionumeris"/>
        <w:rFonts w:ascii="Times New Roman" w:hAnsi="Times New Roman"/>
        <w:sz w:val="22"/>
        <w:szCs w:val="22"/>
      </w:rPr>
      <w:t>1</w:t>
    </w:r>
    <w:r w:rsidRPr="003D7CAB">
      <w:rPr>
        <w:rStyle w:val="Puslapionumeris"/>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661CC" w14:textId="77777777" w:rsidR="00D16A50" w:rsidRDefault="00D16A50">
      <w:r>
        <w:separator/>
      </w:r>
    </w:p>
  </w:footnote>
  <w:footnote w:type="continuationSeparator" w:id="0">
    <w:p w14:paraId="6A9ACCCC" w14:textId="77777777" w:rsidR="00D16A50" w:rsidRDefault="00D16A50">
      <w:r>
        <w:continuationSeparator/>
      </w:r>
    </w:p>
  </w:footnote>
  <w:footnote w:type="continuationNotice" w:id="1">
    <w:p w14:paraId="205D74A5" w14:textId="77777777" w:rsidR="00D16A50" w:rsidRDefault="00D16A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B202F" w14:textId="77777777" w:rsidR="00110C60" w:rsidRDefault="00110C6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2DA2" w14:textId="33F78528" w:rsidR="00365017" w:rsidRPr="00B61A33" w:rsidRDefault="00365017" w:rsidP="00B61A33">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D90A80"/>
    <w:multiLevelType w:val="hybridMultilevel"/>
    <w:tmpl w:val="E23E06CA"/>
    <w:lvl w:ilvl="0" w:tplc="22102FFA">
      <w:numFmt w:val="bullet"/>
      <w:lvlText w:val=""/>
      <w:lvlJc w:val="left"/>
      <w:pPr>
        <w:ind w:left="1287" w:hanging="360"/>
      </w:pPr>
      <w:rPr>
        <w:rFonts w:ascii="Symbol" w:eastAsia="Symbol" w:hAnsi="Symbol" w:cs="Symbol" w:hint="default"/>
        <w:b w:val="0"/>
        <w:bCs w:val="0"/>
        <w:i w:val="0"/>
        <w:iCs w:val="0"/>
        <w:spacing w:val="0"/>
        <w:w w:val="101"/>
        <w:sz w:val="22"/>
        <w:szCs w:val="22"/>
        <w:lang w:val="et-EE" w:eastAsia="en-US" w:bidi="ar-SA"/>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78E781B"/>
    <w:multiLevelType w:val="hybridMultilevel"/>
    <w:tmpl w:val="EAB0EDE2"/>
    <w:lvl w:ilvl="0" w:tplc="3192171C">
      <w:start w:val="1"/>
      <w:numFmt w:val="decimal"/>
      <w:lvlText w:val="%1."/>
      <w:lvlJc w:val="left"/>
      <w:pPr>
        <w:ind w:left="2283"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CE7BF9"/>
    <w:multiLevelType w:val="hybridMultilevel"/>
    <w:tmpl w:val="FBE8BBA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617CBE"/>
    <w:multiLevelType w:val="hybridMultilevel"/>
    <w:tmpl w:val="B7524F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C77C00"/>
    <w:multiLevelType w:val="hybridMultilevel"/>
    <w:tmpl w:val="002CFC88"/>
    <w:lvl w:ilvl="0" w:tplc="E6E232E0">
      <w:start w:val="2"/>
      <w:numFmt w:val="bullet"/>
      <w:lvlText w:val="-"/>
      <w:lvlJc w:val="left"/>
      <w:pPr>
        <w:ind w:left="720" w:hanging="360"/>
      </w:pPr>
      <w:rPr>
        <w:rFonts w:ascii="Times New Roman" w:eastAsia="Times New Roman" w:hAnsi="Times New Roman" w:cs="Times New Roman" w:hint="default"/>
      </w:rPr>
    </w:lvl>
    <w:lvl w:ilvl="1" w:tplc="98F6BD56">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76B6E"/>
    <w:multiLevelType w:val="hybridMultilevel"/>
    <w:tmpl w:val="FDF06B9A"/>
    <w:lvl w:ilvl="0" w:tplc="FF702FF4">
      <w:start w:val="2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A02E2A"/>
    <w:multiLevelType w:val="hybridMultilevel"/>
    <w:tmpl w:val="6CFA2E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6F73FB6"/>
    <w:multiLevelType w:val="hybridMultilevel"/>
    <w:tmpl w:val="BBA08778"/>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19337AD4"/>
    <w:multiLevelType w:val="hybridMultilevel"/>
    <w:tmpl w:val="B56C66A0"/>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1BB22BDA"/>
    <w:multiLevelType w:val="hybridMultilevel"/>
    <w:tmpl w:val="BD4A5F0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80E5628"/>
    <w:multiLevelType w:val="hybridMultilevel"/>
    <w:tmpl w:val="B840F478"/>
    <w:lvl w:ilvl="0" w:tplc="E6E232E0">
      <w:start w:val="2"/>
      <w:numFmt w:val="bullet"/>
      <w:lvlText w:val="-"/>
      <w:lvlJc w:val="left"/>
      <w:pPr>
        <w:ind w:left="502"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93467A"/>
    <w:multiLevelType w:val="hybridMultilevel"/>
    <w:tmpl w:val="BC64E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D81CE7"/>
    <w:multiLevelType w:val="hybridMultilevel"/>
    <w:tmpl w:val="EAB0EDE2"/>
    <w:lvl w:ilvl="0" w:tplc="3192171C">
      <w:start w:val="1"/>
      <w:numFmt w:val="decimal"/>
      <w:lvlText w:val="%1."/>
      <w:lvlJc w:val="left"/>
      <w:pPr>
        <w:ind w:left="2283"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3F14CF"/>
    <w:multiLevelType w:val="hybridMultilevel"/>
    <w:tmpl w:val="9950349E"/>
    <w:lvl w:ilvl="0" w:tplc="F1307282">
      <w:start w:val="1"/>
      <w:numFmt w:val="decimal"/>
      <w:lvlText w:val="%1."/>
      <w:lvlJc w:val="left"/>
      <w:pPr>
        <w:ind w:left="780" w:hanging="420"/>
      </w:pPr>
      <w:rPr>
        <w:rFonts w:hint="default"/>
      </w:rPr>
    </w:lvl>
    <w:lvl w:ilvl="1" w:tplc="FECA4F90">
      <w:numFmt w:val="bullet"/>
      <w:lvlText w:val=""/>
      <w:lvlJc w:val="left"/>
      <w:pPr>
        <w:ind w:left="1440" w:hanging="360"/>
      </w:pPr>
      <w:rPr>
        <w:rFonts w:ascii="Times New Roman" w:eastAsiaTheme="minorHAnsi" w:hAnsi="Times New Roman" w:cs="Times New Roman"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512698"/>
    <w:multiLevelType w:val="hybridMultilevel"/>
    <w:tmpl w:val="0BB6A762"/>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7782399"/>
    <w:multiLevelType w:val="hybridMultilevel"/>
    <w:tmpl w:val="563CA64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455B8F"/>
    <w:multiLevelType w:val="hybridMultilevel"/>
    <w:tmpl w:val="E110D90E"/>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CA42510"/>
    <w:multiLevelType w:val="hybridMultilevel"/>
    <w:tmpl w:val="2A709030"/>
    <w:lvl w:ilvl="0" w:tplc="E6E232E0">
      <w:start w:val="2"/>
      <w:numFmt w:val="bullet"/>
      <w:pStyle w:val="BT-EMEASMCA"/>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4017695B"/>
    <w:multiLevelType w:val="hybridMultilevel"/>
    <w:tmpl w:val="41884EC6"/>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44704433"/>
    <w:multiLevelType w:val="hybridMultilevel"/>
    <w:tmpl w:val="92D4366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595B09"/>
    <w:multiLevelType w:val="hybridMultilevel"/>
    <w:tmpl w:val="751E6EF2"/>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2" w15:restartNumberingAfterBreak="0">
    <w:nsid w:val="492554ED"/>
    <w:multiLevelType w:val="hybridMultilevel"/>
    <w:tmpl w:val="93E066E2"/>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9627DB5"/>
    <w:multiLevelType w:val="hybridMultilevel"/>
    <w:tmpl w:val="117E67B0"/>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743E75"/>
    <w:multiLevelType w:val="hybridMultilevel"/>
    <w:tmpl w:val="60AAE2AC"/>
    <w:lvl w:ilvl="0" w:tplc="8F449A64">
      <w:start w:val="1"/>
      <w:numFmt w:val="decimal"/>
      <w:lvlText w:val="%1."/>
      <w:lvlJc w:val="left"/>
      <w:pPr>
        <w:ind w:left="1440" w:hanging="360"/>
      </w:pPr>
      <w:rPr>
        <w:rFonts w:hint="default"/>
        <w:b/>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6" w15:restartNumberingAfterBreak="0">
    <w:nsid w:val="4C790CD4"/>
    <w:multiLevelType w:val="hybridMultilevel"/>
    <w:tmpl w:val="01CEB71C"/>
    <w:lvl w:ilvl="0" w:tplc="E6E232E0">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DC49CA"/>
    <w:multiLevelType w:val="hybridMultilevel"/>
    <w:tmpl w:val="0A50E6A2"/>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8" w15:restartNumberingAfterBreak="0">
    <w:nsid w:val="4D142EAB"/>
    <w:multiLevelType w:val="hybridMultilevel"/>
    <w:tmpl w:val="B4A49E3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0"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4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5E367D9B"/>
    <w:multiLevelType w:val="hybridMultilevel"/>
    <w:tmpl w:val="B0D8E326"/>
    <w:lvl w:ilvl="0" w:tplc="CFB4BDC4">
      <w:start w:val="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2DA0F09"/>
    <w:multiLevelType w:val="hybridMultilevel"/>
    <w:tmpl w:val="94EA7C42"/>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307DEB"/>
    <w:multiLevelType w:val="hybridMultilevel"/>
    <w:tmpl w:val="FBE88D9C"/>
    <w:lvl w:ilvl="0" w:tplc="E8DE33C0">
      <w:start w:val="1"/>
      <w:numFmt w:val="upperLetter"/>
      <w:lvlText w:val="%1."/>
      <w:lvlJc w:val="left"/>
      <w:pPr>
        <w:ind w:left="1701" w:hanging="708"/>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8"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0"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A8E1760"/>
    <w:multiLevelType w:val="hybridMultilevel"/>
    <w:tmpl w:val="A2089D20"/>
    <w:lvl w:ilvl="0" w:tplc="083E79F8">
      <w:start w:val="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1B7521C"/>
    <w:multiLevelType w:val="hybridMultilevel"/>
    <w:tmpl w:val="902A2D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6"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7A100D28"/>
    <w:multiLevelType w:val="hybridMultilevel"/>
    <w:tmpl w:val="78D02250"/>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9" w15:restartNumberingAfterBreak="0">
    <w:nsid w:val="7E850A02"/>
    <w:multiLevelType w:val="hybridMultilevel"/>
    <w:tmpl w:val="385CA5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807628023">
    <w:abstractNumId w:val="2"/>
  </w:num>
  <w:num w:numId="2" w16cid:durableId="2141416486">
    <w:abstractNumId w:val="47"/>
  </w:num>
  <w:num w:numId="3" w16cid:durableId="159734855">
    <w:abstractNumId w:val="0"/>
    <w:lvlOverride w:ilvl="0">
      <w:lvl w:ilvl="0">
        <w:start w:val="1"/>
        <w:numFmt w:val="bullet"/>
        <w:lvlText w:val="-"/>
        <w:legacy w:legacy="1" w:legacySpace="0" w:legacyIndent="360"/>
        <w:lvlJc w:val="left"/>
        <w:pPr>
          <w:ind w:left="360" w:hanging="360"/>
        </w:pPr>
      </w:lvl>
    </w:lvlOverride>
  </w:num>
  <w:num w:numId="4" w16cid:durableId="29965546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399328865">
    <w:abstractNumId w:val="49"/>
  </w:num>
  <w:num w:numId="6" w16cid:durableId="345789034">
    <w:abstractNumId w:val="41"/>
  </w:num>
  <w:num w:numId="7" w16cid:durableId="1591809493">
    <w:abstractNumId w:val="22"/>
  </w:num>
  <w:num w:numId="8" w16cid:durableId="903292001">
    <w:abstractNumId w:val="28"/>
  </w:num>
  <w:num w:numId="9" w16cid:durableId="500244663">
    <w:abstractNumId w:val="56"/>
  </w:num>
  <w:num w:numId="10" w16cid:durableId="576134995">
    <w:abstractNumId w:val="1"/>
  </w:num>
  <w:num w:numId="11" w16cid:durableId="1669675777">
    <w:abstractNumId w:val="52"/>
  </w:num>
  <w:num w:numId="12" w16cid:durableId="949974073">
    <w:abstractNumId w:val="24"/>
  </w:num>
  <w:num w:numId="13" w16cid:durableId="12001044">
    <w:abstractNumId w:val="15"/>
  </w:num>
  <w:num w:numId="14" w16cid:durableId="2108233061">
    <w:abstractNumId w:val="7"/>
  </w:num>
  <w:num w:numId="15" w16cid:durableId="188684235">
    <w:abstractNumId w:val="0"/>
    <w:lvlOverride w:ilvl="0">
      <w:lvl w:ilvl="0">
        <w:start w:val="1"/>
        <w:numFmt w:val="bullet"/>
        <w:lvlText w:val="-"/>
        <w:legacy w:legacy="1" w:legacySpace="0" w:legacyIndent="360"/>
        <w:lvlJc w:val="left"/>
        <w:pPr>
          <w:ind w:left="360" w:hanging="360"/>
        </w:pPr>
      </w:lvl>
    </w:lvlOverride>
  </w:num>
  <w:num w:numId="16" w16cid:durableId="666640978">
    <w:abstractNumId w:val="53"/>
  </w:num>
  <w:num w:numId="17" w16cid:durableId="593321833">
    <w:abstractNumId w:val="35"/>
  </w:num>
  <w:num w:numId="18" w16cid:durableId="1988699242">
    <w:abstractNumId w:val="39"/>
  </w:num>
  <w:num w:numId="19" w16cid:durableId="1684360810">
    <w:abstractNumId w:val="57"/>
  </w:num>
  <w:num w:numId="20" w16cid:durableId="436173963">
    <w:abstractNumId w:val="45"/>
  </w:num>
  <w:num w:numId="21" w16cid:durableId="1802502408">
    <w:abstractNumId w:val="54"/>
  </w:num>
  <w:num w:numId="22" w16cid:durableId="1364281908">
    <w:abstractNumId w:val="50"/>
  </w:num>
  <w:num w:numId="23" w16cid:durableId="453905567">
    <w:abstractNumId w:val="20"/>
  </w:num>
  <w:num w:numId="24" w16cid:durableId="696352241">
    <w:abstractNumId w:val="31"/>
  </w:num>
  <w:num w:numId="25" w16cid:durableId="1902909471">
    <w:abstractNumId w:val="46"/>
  </w:num>
  <w:num w:numId="26" w16cid:durableId="1846478997">
    <w:abstractNumId w:val="48"/>
  </w:num>
  <w:num w:numId="27" w16cid:durableId="889538609">
    <w:abstractNumId w:val="11"/>
  </w:num>
  <w:num w:numId="28" w16cid:durableId="1047795759">
    <w:abstractNumId w:val="40"/>
  </w:num>
  <w:num w:numId="29" w16cid:durableId="2130466193">
    <w:abstractNumId w:val="58"/>
  </w:num>
  <w:num w:numId="30" w16cid:durableId="772634331">
    <w:abstractNumId w:val="12"/>
  </w:num>
  <w:num w:numId="31" w16cid:durableId="947396874">
    <w:abstractNumId w:val="44"/>
  </w:num>
  <w:num w:numId="32" w16cid:durableId="325404181">
    <w:abstractNumId w:val="14"/>
  </w:num>
  <w:num w:numId="33" w16cid:durableId="891423556">
    <w:abstractNumId w:val="29"/>
  </w:num>
  <w:num w:numId="34" w16cid:durableId="1199271656">
    <w:abstractNumId w:val="23"/>
  </w:num>
  <w:num w:numId="35" w16cid:durableId="1624073981">
    <w:abstractNumId w:val="37"/>
  </w:num>
  <w:num w:numId="36" w16cid:durableId="2045516635">
    <w:abstractNumId w:val="19"/>
  </w:num>
  <w:num w:numId="37" w16cid:durableId="528953507">
    <w:abstractNumId w:val="25"/>
  </w:num>
  <w:num w:numId="38" w16cid:durableId="1540122314">
    <w:abstractNumId w:val="33"/>
  </w:num>
  <w:num w:numId="39" w16cid:durableId="823088467">
    <w:abstractNumId w:val="13"/>
  </w:num>
  <w:num w:numId="40" w16cid:durableId="293874732">
    <w:abstractNumId w:val="43"/>
  </w:num>
  <w:num w:numId="41" w16cid:durableId="1349259052">
    <w:abstractNumId w:val="16"/>
  </w:num>
  <w:num w:numId="42" w16cid:durableId="1681542870">
    <w:abstractNumId w:val="8"/>
  </w:num>
  <w:num w:numId="43" w16cid:durableId="1607232641">
    <w:abstractNumId w:val="30"/>
  </w:num>
  <w:num w:numId="44" w16cid:durableId="1561789788">
    <w:abstractNumId w:val="21"/>
  </w:num>
  <w:num w:numId="45" w16cid:durableId="88279995">
    <w:abstractNumId w:val="0"/>
    <w:lvlOverride w:ilvl="0">
      <w:lvl w:ilvl="0">
        <w:start w:val="1"/>
        <w:numFmt w:val="bullet"/>
        <w:lvlText w:val=""/>
        <w:lvlJc w:val="left"/>
        <w:pPr>
          <w:ind w:left="360" w:hanging="360"/>
        </w:pPr>
        <w:rPr>
          <w:rFonts w:ascii="Symbol" w:hAnsi="Symbol" w:hint="default"/>
        </w:rPr>
      </w:lvl>
    </w:lvlOverride>
  </w:num>
  <w:num w:numId="46" w16cid:durableId="1311905659">
    <w:abstractNumId w:val="38"/>
  </w:num>
  <w:num w:numId="47" w16cid:durableId="1826167162">
    <w:abstractNumId w:val="5"/>
  </w:num>
  <w:num w:numId="48" w16cid:durableId="283855044">
    <w:abstractNumId w:val="36"/>
  </w:num>
  <w:num w:numId="49" w16cid:durableId="1990865485">
    <w:abstractNumId w:val="27"/>
  </w:num>
  <w:num w:numId="50" w16cid:durableId="10687147">
    <w:abstractNumId w:val="55"/>
  </w:num>
  <w:num w:numId="51" w16cid:durableId="439956478">
    <w:abstractNumId w:val="10"/>
  </w:num>
  <w:num w:numId="52" w16cid:durableId="1564178943">
    <w:abstractNumId w:val="59"/>
  </w:num>
  <w:num w:numId="53" w16cid:durableId="337656812">
    <w:abstractNumId w:val="27"/>
  </w:num>
  <w:num w:numId="54" w16cid:durableId="1936666564">
    <w:abstractNumId w:val="4"/>
  </w:num>
  <w:num w:numId="55" w16cid:durableId="686106241">
    <w:abstractNumId w:val="18"/>
  </w:num>
  <w:num w:numId="56" w16cid:durableId="764763662">
    <w:abstractNumId w:val="32"/>
  </w:num>
  <w:num w:numId="57" w16cid:durableId="968318771">
    <w:abstractNumId w:val="26"/>
  </w:num>
  <w:num w:numId="58" w16cid:durableId="351106331">
    <w:abstractNumId w:val="34"/>
  </w:num>
  <w:num w:numId="59" w16cid:durableId="1252662534">
    <w:abstractNumId w:val="17"/>
  </w:num>
  <w:num w:numId="60" w16cid:durableId="1544977833">
    <w:abstractNumId w:val="42"/>
  </w:num>
  <w:num w:numId="61" w16cid:durableId="377096272">
    <w:abstractNumId w:val="9"/>
  </w:num>
  <w:num w:numId="62" w16cid:durableId="375474001">
    <w:abstractNumId w:val="51"/>
  </w:num>
  <w:num w:numId="63" w16cid:durableId="1934317120">
    <w:abstractNumId w:val="6"/>
  </w:num>
  <w:num w:numId="64" w16cid:durableId="1119959267">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8E"/>
    <w:rsid w:val="00001CAA"/>
    <w:rsid w:val="0000303B"/>
    <w:rsid w:val="0000506F"/>
    <w:rsid w:val="0000550B"/>
    <w:rsid w:val="00007CC5"/>
    <w:rsid w:val="000130DE"/>
    <w:rsid w:val="000163AF"/>
    <w:rsid w:val="00024064"/>
    <w:rsid w:val="000251DF"/>
    <w:rsid w:val="000255E3"/>
    <w:rsid w:val="0002583F"/>
    <w:rsid w:val="00026474"/>
    <w:rsid w:val="00026916"/>
    <w:rsid w:val="00036BBD"/>
    <w:rsid w:val="00037C90"/>
    <w:rsid w:val="00041897"/>
    <w:rsid w:val="00044FA2"/>
    <w:rsid w:val="00051DE5"/>
    <w:rsid w:val="00056940"/>
    <w:rsid w:val="0006339D"/>
    <w:rsid w:val="00063B26"/>
    <w:rsid w:val="000650B8"/>
    <w:rsid w:val="00066243"/>
    <w:rsid w:val="000718A2"/>
    <w:rsid w:val="000721C2"/>
    <w:rsid w:val="00073746"/>
    <w:rsid w:val="000806D6"/>
    <w:rsid w:val="00081E02"/>
    <w:rsid w:val="00082D36"/>
    <w:rsid w:val="0008327D"/>
    <w:rsid w:val="000901B3"/>
    <w:rsid w:val="00090B48"/>
    <w:rsid w:val="0009386E"/>
    <w:rsid w:val="000966AF"/>
    <w:rsid w:val="00097B9A"/>
    <w:rsid w:val="000A028D"/>
    <w:rsid w:val="000A0334"/>
    <w:rsid w:val="000A136A"/>
    <w:rsid w:val="000A3527"/>
    <w:rsid w:val="000A3C70"/>
    <w:rsid w:val="000A4017"/>
    <w:rsid w:val="000A79F0"/>
    <w:rsid w:val="000B1A3E"/>
    <w:rsid w:val="000C1F4C"/>
    <w:rsid w:val="000C297A"/>
    <w:rsid w:val="000C376F"/>
    <w:rsid w:val="000C3E42"/>
    <w:rsid w:val="000C4192"/>
    <w:rsid w:val="000C7A30"/>
    <w:rsid w:val="000D44A1"/>
    <w:rsid w:val="000D48D9"/>
    <w:rsid w:val="000E229B"/>
    <w:rsid w:val="000E4D94"/>
    <w:rsid w:val="000F14B1"/>
    <w:rsid w:val="000F4C62"/>
    <w:rsid w:val="000F6B50"/>
    <w:rsid w:val="0010010A"/>
    <w:rsid w:val="00100348"/>
    <w:rsid w:val="0010148D"/>
    <w:rsid w:val="00104200"/>
    <w:rsid w:val="00104965"/>
    <w:rsid w:val="00105707"/>
    <w:rsid w:val="001063F3"/>
    <w:rsid w:val="00110972"/>
    <w:rsid w:val="00110C60"/>
    <w:rsid w:val="0011350B"/>
    <w:rsid w:val="00113D81"/>
    <w:rsid w:val="001147AA"/>
    <w:rsid w:val="00114D40"/>
    <w:rsid w:val="0012222E"/>
    <w:rsid w:val="00122407"/>
    <w:rsid w:val="001235E5"/>
    <w:rsid w:val="00125F1A"/>
    <w:rsid w:val="00134A43"/>
    <w:rsid w:val="00134B8C"/>
    <w:rsid w:val="001354A1"/>
    <w:rsid w:val="00137130"/>
    <w:rsid w:val="001411CD"/>
    <w:rsid w:val="001424A5"/>
    <w:rsid w:val="00143158"/>
    <w:rsid w:val="00150E63"/>
    <w:rsid w:val="001552E3"/>
    <w:rsid w:val="00155A24"/>
    <w:rsid w:val="001606DF"/>
    <w:rsid w:val="00165339"/>
    <w:rsid w:val="00167BFE"/>
    <w:rsid w:val="001734AC"/>
    <w:rsid w:val="0017453D"/>
    <w:rsid w:val="001752EF"/>
    <w:rsid w:val="0017714D"/>
    <w:rsid w:val="00177DFE"/>
    <w:rsid w:val="00180CB7"/>
    <w:rsid w:val="00183C49"/>
    <w:rsid w:val="001851D0"/>
    <w:rsid w:val="00185725"/>
    <w:rsid w:val="001908D1"/>
    <w:rsid w:val="00194E1E"/>
    <w:rsid w:val="00195A1E"/>
    <w:rsid w:val="00195ACB"/>
    <w:rsid w:val="001A178B"/>
    <w:rsid w:val="001A2CAE"/>
    <w:rsid w:val="001A3943"/>
    <w:rsid w:val="001A47F9"/>
    <w:rsid w:val="001A7268"/>
    <w:rsid w:val="001B2C1B"/>
    <w:rsid w:val="001B3FC3"/>
    <w:rsid w:val="001B416D"/>
    <w:rsid w:val="001B7646"/>
    <w:rsid w:val="001C521D"/>
    <w:rsid w:val="001C56F9"/>
    <w:rsid w:val="001D1C45"/>
    <w:rsid w:val="001D281C"/>
    <w:rsid w:val="001D5717"/>
    <w:rsid w:val="001D58CB"/>
    <w:rsid w:val="001D5D6C"/>
    <w:rsid w:val="001D64D0"/>
    <w:rsid w:val="001D6601"/>
    <w:rsid w:val="001E4CB6"/>
    <w:rsid w:val="001E6C2E"/>
    <w:rsid w:val="001F1642"/>
    <w:rsid w:val="001F18CB"/>
    <w:rsid w:val="001F3557"/>
    <w:rsid w:val="00200330"/>
    <w:rsid w:val="00201573"/>
    <w:rsid w:val="002024B4"/>
    <w:rsid w:val="00214519"/>
    <w:rsid w:val="002213D4"/>
    <w:rsid w:val="00222CB7"/>
    <w:rsid w:val="002233C0"/>
    <w:rsid w:val="002238EF"/>
    <w:rsid w:val="00223949"/>
    <w:rsid w:val="002239F5"/>
    <w:rsid w:val="00224758"/>
    <w:rsid w:val="002300D6"/>
    <w:rsid w:val="0023073D"/>
    <w:rsid w:val="00230C86"/>
    <w:rsid w:val="00231CC8"/>
    <w:rsid w:val="00232B1E"/>
    <w:rsid w:val="00233105"/>
    <w:rsid w:val="00234EE3"/>
    <w:rsid w:val="002355D4"/>
    <w:rsid w:val="00235B3D"/>
    <w:rsid w:val="00236C91"/>
    <w:rsid w:val="00240228"/>
    <w:rsid w:val="00240F05"/>
    <w:rsid w:val="00242C7A"/>
    <w:rsid w:val="002434A5"/>
    <w:rsid w:val="00243EF0"/>
    <w:rsid w:val="002445B7"/>
    <w:rsid w:val="00244B32"/>
    <w:rsid w:val="00244E62"/>
    <w:rsid w:val="0024775B"/>
    <w:rsid w:val="00252927"/>
    <w:rsid w:val="002531B6"/>
    <w:rsid w:val="00253D01"/>
    <w:rsid w:val="002547CC"/>
    <w:rsid w:val="002557D3"/>
    <w:rsid w:val="00255854"/>
    <w:rsid w:val="002604DB"/>
    <w:rsid w:val="00262A3B"/>
    <w:rsid w:val="00263CD5"/>
    <w:rsid w:val="00263D7D"/>
    <w:rsid w:val="0026433E"/>
    <w:rsid w:val="002666DA"/>
    <w:rsid w:val="002677C7"/>
    <w:rsid w:val="00271E94"/>
    <w:rsid w:val="00272DDF"/>
    <w:rsid w:val="002764F3"/>
    <w:rsid w:val="00277A18"/>
    <w:rsid w:val="0028034B"/>
    <w:rsid w:val="00281E39"/>
    <w:rsid w:val="00282126"/>
    <w:rsid w:val="002843AE"/>
    <w:rsid w:val="00284DB8"/>
    <w:rsid w:val="002906F9"/>
    <w:rsid w:val="0029442A"/>
    <w:rsid w:val="00296317"/>
    <w:rsid w:val="00297C23"/>
    <w:rsid w:val="002A0F3E"/>
    <w:rsid w:val="002A4589"/>
    <w:rsid w:val="002A5793"/>
    <w:rsid w:val="002A5C17"/>
    <w:rsid w:val="002A6992"/>
    <w:rsid w:val="002B4F87"/>
    <w:rsid w:val="002C3ABA"/>
    <w:rsid w:val="002C4FFC"/>
    <w:rsid w:val="002C6D3F"/>
    <w:rsid w:val="002E6FA6"/>
    <w:rsid w:val="002E77F6"/>
    <w:rsid w:val="002F0F08"/>
    <w:rsid w:val="002F14E6"/>
    <w:rsid w:val="002F1DC4"/>
    <w:rsid w:val="002F432F"/>
    <w:rsid w:val="002F4CE5"/>
    <w:rsid w:val="002F5E23"/>
    <w:rsid w:val="0030186A"/>
    <w:rsid w:val="0030278D"/>
    <w:rsid w:val="003039B5"/>
    <w:rsid w:val="00306335"/>
    <w:rsid w:val="00311D0A"/>
    <w:rsid w:val="003121B2"/>
    <w:rsid w:val="00315558"/>
    <w:rsid w:val="00317B55"/>
    <w:rsid w:val="003259E6"/>
    <w:rsid w:val="003261D1"/>
    <w:rsid w:val="003271C1"/>
    <w:rsid w:val="0032796E"/>
    <w:rsid w:val="003326F1"/>
    <w:rsid w:val="00332768"/>
    <w:rsid w:val="00336F5E"/>
    <w:rsid w:val="0033745A"/>
    <w:rsid w:val="0033797B"/>
    <w:rsid w:val="0034056C"/>
    <w:rsid w:val="0034154B"/>
    <w:rsid w:val="00342937"/>
    <w:rsid w:val="003453B4"/>
    <w:rsid w:val="00346D2D"/>
    <w:rsid w:val="003527DB"/>
    <w:rsid w:val="003558DA"/>
    <w:rsid w:val="00355994"/>
    <w:rsid w:val="00357BB4"/>
    <w:rsid w:val="00360257"/>
    <w:rsid w:val="00361701"/>
    <w:rsid w:val="00362161"/>
    <w:rsid w:val="003640F1"/>
    <w:rsid w:val="00364EB9"/>
    <w:rsid w:val="00365017"/>
    <w:rsid w:val="00366EB0"/>
    <w:rsid w:val="003703F2"/>
    <w:rsid w:val="00372095"/>
    <w:rsid w:val="0037214C"/>
    <w:rsid w:val="00372AB6"/>
    <w:rsid w:val="00374004"/>
    <w:rsid w:val="00376026"/>
    <w:rsid w:val="003802C8"/>
    <w:rsid w:val="00380F6B"/>
    <w:rsid w:val="00386434"/>
    <w:rsid w:val="0038764D"/>
    <w:rsid w:val="0039168F"/>
    <w:rsid w:val="003944B7"/>
    <w:rsid w:val="00396B5C"/>
    <w:rsid w:val="00397EBB"/>
    <w:rsid w:val="003A0679"/>
    <w:rsid w:val="003A2A59"/>
    <w:rsid w:val="003A4C43"/>
    <w:rsid w:val="003B27F2"/>
    <w:rsid w:val="003B5E58"/>
    <w:rsid w:val="003B6AEB"/>
    <w:rsid w:val="003C60DB"/>
    <w:rsid w:val="003C793D"/>
    <w:rsid w:val="003D178F"/>
    <w:rsid w:val="003D27D4"/>
    <w:rsid w:val="003D349F"/>
    <w:rsid w:val="003D3AC4"/>
    <w:rsid w:val="003D7CAB"/>
    <w:rsid w:val="003E1055"/>
    <w:rsid w:val="003E4B36"/>
    <w:rsid w:val="003F103F"/>
    <w:rsid w:val="003F367E"/>
    <w:rsid w:val="003F3733"/>
    <w:rsid w:val="003F47DE"/>
    <w:rsid w:val="00400E07"/>
    <w:rsid w:val="00401055"/>
    <w:rsid w:val="00402785"/>
    <w:rsid w:val="00405232"/>
    <w:rsid w:val="004054D3"/>
    <w:rsid w:val="00412789"/>
    <w:rsid w:val="004139E8"/>
    <w:rsid w:val="00415DDC"/>
    <w:rsid w:val="004167D0"/>
    <w:rsid w:val="00425901"/>
    <w:rsid w:val="00426E00"/>
    <w:rsid w:val="00427CDB"/>
    <w:rsid w:val="00427EC6"/>
    <w:rsid w:val="004321F3"/>
    <w:rsid w:val="004325AB"/>
    <w:rsid w:val="0043290A"/>
    <w:rsid w:val="004334FD"/>
    <w:rsid w:val="00433B6B"/>
    <w:rsid w:val="00437ECC"/>
    <w:rsid w:val="004410E6"/>
    <w:rsid w:val="004457DD"/>
    <w:rsid w:val="0044649D"/>
    <w:rsid w:val="00450863"/>
    <w:rsid w:val="00451275"/>
    <w:rsid w:val="004524A5"/>
    <w:rsid w:val="0045465E"/>
    <w:rsid w:val="004548E7"/>
    <w:rsid w:val="00455DFF"/>
    <w:rsid w:val="0045774B"/>
    <w:rsid w:val="004629F4"/>
    <w:rsid w:val="004635FB"/>
    <w:rsid w:val="00466214"/>
    <w:rsid w:val="00471311"/>
    <w:rsid w:val="00473073"/>
    <w:rsid w:val="0047329A"/>
    <w:rsid w:val="00475897"/>
    <w:rsid w:val="0047600A"/>
    <w:rsid w:val="00477B5A"/>
    <w:rsid w:val="00480DC5"/>
    <w:rsid w:val="00482287"/>
    <w:rsid w:val="00482831"/>
    <w:rsid w:val="00483181"/>
    <w:rsid w:val="00486690"/>
    <w:rsid w:val="004901C9"/>
    <w:rsid w:val="004911C0"/>
    <w:rsid w:val="0049182D"/>
    <w:rsid w:val="00492021"/>
    <w:rsid w:val="00492F46"/>
    <w:rsid w:val="004943D2"/>
    <w:rsid w:val="00494463"/>
    <w:rsid w:val="00495B19"/>
    <w:rsid w:val="00495D75"/>
    <w:rsid w:val="00495F13"/>
    <w:rsid w:val="004A1B37"/>
    <w:rsid w:val="004A66B2"/>
    <w:rsid w:val="004B1111"/>
    <w:rsid w:val="004B215D"/>
    <w:rsid w:val="004B412C"/>
    <w:rsid w:val="004B4620"/>
    <w:rsid w:val="004B789E"/>
    <w:rsid w:val="004C0789"/>
    <w:rsid w:val="004C0F81"/>
    <w:rsid w:val="004C44E5"/>
    <w:rsid w:val="004C68F5"/>
    <w:rsid w:val="004D13AD"/>
    <w:rsid w:val="004D3290"/>
    <w:rsid w:val="004D3709"/>
    <w:rsid w:val="004D3C7E"/>
    <w:rsid w:val="004D53E7"/>
    <w:rsid w:val="004D56DB"/>
    <w:rsid w:val="004D7891"/>
    <w:rsid w:val="004E5294"/>
    <w:rsid w:val="004F28A1"/>
    <w:rsid w:val="004F39D4"/>
    <w:rsid w:val="004F3D5F"/>
    <w:rsid w:val="004F75CB"/>
    <w:rsid w:val="0050017C"/>
    <w:rsid w:val="00500D5E"/>
    <w:rsid w:val="00503D8C"/>
    <w:rsid w:val="005047D0"/>
    <w:rsid w:val="00506E37"/>
    <w:rsid w:val="005072C2"/>
    <w:rsid w:val="00510A62"/>
    <w:rsid w:val="005122A2"/>
    <w:rsid w:val="005127E1"/>
    <w:rsid w:val="00512B94"/>
    <w:rsid w:val="00514429"/>
    <w:rsid w:val="00523187"/>
    <w:rsid w:val="00527B02"/>
    <w:rsid w:val="0053067F"/>
    <w:rsid w:val="005317F7"/>
    <w:rsid w:val="005330F8"/>
    <w:rsid w:val="00533943"/>
    <w:rsid w:val="005355D1"/>
    <w:rsid w:val="00541139"/>
    <w:rsid w:val="005441F5"/>
    <w:rsid w:val="00546DEA"/>
    <w:rsid w:val="005506F9"/>
    <w:rsid w:val="00551C85"/>
    <w:rsid w:val="00555590"/>
    <w:rsid w:val="00562065"/>
    <w:rsid w:val="0056255C"/>
    <w:rsid w:val="00563FD9"/>
    <w:rsid w:val="00565F8C"/>
    <w:rsid w:val="00570186"/>
    <w:rsid w:val="005710D6"/>
    <w:rsid w:val="0057201E"/>
    <w:rsid w:val="00581701"/>
    <w:rsid w:val="00583991"/>
    <w:rsid w:val="00584284"/>
    <w:rsid w:val="00587060"/>
    <w:rsid w:val="0059093B"/>
    <w:rsid w:val="00592432"/>
    <w:rsid w:val="005A1E01"/>
    <w:rsid w:val="005A34FA"/>
    <w:rsid w:val="005A4ED9"/>
    <w:rsid w:val="005B03C8"/>
    <w:rsid w:val="005B3077"/>
    <w:rsid w:val="005C1574"/>
    <w:rsid w:val="005C22B1"/>
    <w:rsid w:val="005C40AF"/>
    <w:rsid w:val="005C57C8"/>
    <w:rsid w:val="005C5D92"/>
    <w:rsid w:val="005C6ECB"/>
    <w:rsid w:val="005C7200"/>
    <w:rsid w:val="005C769D"/>
    <w:rsid w:val="005D1524"/>
    <w:rsid w:val="005D26CC"/>
    <w:rsid w:val="005D5F48"/>
    <w:rsid w:val="005E2118"/>
    <w:rsid w:val="005E4C26"/>
    <w:rsid w:val="005F0A98"/>
    <w:rsid w:val="005F1CC5"/>
    <w:rsid w:val="005F274F"/>
    <w:rsid w:val="005F388C"/>
    <w:rsid w:val="005F4927"/>
    <w:rsid w:val="005F69D7"/>
    <w:rsid w:val="00602B7F"/>
    <w:rsid w:val="006049A1"/>
    <w:rsid w:val="00605373"/>
    <w:rsid w:val="00606079"/>
    <w:rsid w:val="0060664D"/>
    <w:rsid w:val="00610132"/>
    <w:rsid w:val="00611D60"/>
    <w:rsid w:val="006126D0"/>
    <w:rsid w:val="00612A8E"/>
    <w:rsid w:val="00620A50"/>
    <w:rsid w:val="00621EB8"/>
    <w:rsid w:val="00624408"/>
    <w:rsid w:val="00634075"/>
    <w:rsid w:val="00634638"/>
    <w:rsid w:val="00635E46"/>
    <w:rsid w:val="00636993"/>
    <w:rsid w:val="00637B67"/>
    <w:rsid w:val="0064111B"/>
    <w:rsid w:val="00654B53"/>
    <w:rsid w:val="0065661C"/>
    <w:rsid w:val="006603AD"/>
    <w:rsid w:val="0066223A"/>
    <w:rsid w:val="0066338F"/>
    <w:rsid w:val="006641D7"/>
    <w:rsid w:val="00671CBF"/>
    <w:rsid w:val="00675B02"/>
    <w:rsid w:val="00680587"/>
    <w:rsid w:val="0068692E"/>
    <w:rsid w:val="00686990"/>
    <w:rsid w:val="006872BD"/>
    <w:rsid w:val="00692909"/>
    <w:rsid w:val="006936FE"/>
    <w:rsid w:val="00693A3B"/>
    <w:rsid w:val="00693F0E"/>
    <w:rsid w:val="006952C7"/>
    <w:rsid w:val="006975C3"/>
    <w:rsid w:val="006A1DA0"/>
    <w:rsid w:val="006A2EC7"/>
    <w:rsid w:val="006A464D"/>
    <w:rsid w:val="006A4933"/>
    <w:rsid w:val="006A7EF0"/>
    <w:rsid w:val="006B3544"/>
    <w:rsid w:val="006B3792"/>
    <w:rsid w:val="006B6C1D"/>
    <w:rsid w:val="006B7327"/>
    <w:rsid w:val="006B738E"/>
    <w:rsid w:val="006C3FA9"/>
    <w:rsid w:val="006C489E"/>
    <w:rsid w:val="006C748E"/>
    <w:rsid w:val="006C7FB8"/>
    <w:rsid w:val="006D24AF"/>
    <w:rsid w:val="006D5943"/>
    <w:rsid w:val="006D63C1"/>
    <w:rsid w:val="006D7ABF"/>
    <w:rsid w:val="006E0C82"/>
    <w:rsid w:val="006F0E20"/>
    <w:rsid w:val="006F2303"/>
    <w:rsid w:val="006F3F4F"/>
    <w:rsid w:val="006F6540"/>
    <w:rsid w:val="00703A45"/>
    <w:rsid w:val="00705386"/>
    <w:rsid w:val="0070707D"/>
    <w:rsid w:val="0071025B"/>
    <w:rsid w:val="00710803"/>
    <w:rsid w:val="00712ABF"/>
    <w:rsid w:val="00713F05"/>
    <w:rsid w:val="0071489F"/>
    <w:rsid w:val="00716009"/>
    <w:rsid w:val="00726503"/>
    <w:rsid w:val="007327E4"/>
    <w:rsid w:val="00733E70"/>
    <w:rsid w:val="00735E31"/>
    <w:rsid w:val="007362C9"/>
    <w:rsid w:val="0074180D"/>
    <w:rsid w:val="00746B5C"/>
    <w:rsid w:val="00747651"/>
    <w:rsid w:val="00751CEC"/>
    <w:rsid w:val="007534D9"/>
    <w:rsid w:val="007536F2"/>
    <w:rsid w:val="00753FCE"/>
    <w:rsid w:val="00754297"/>
    <w:rsid w:val="00754D14"/>
    <w:rsid w:val="00755DA3"/>
    <w:rsid w:val="007572B5"/>
    <w:rsid w:val="007578D0"/>
    <w:rsid w:val="00760CDC"/>
    <w:rsid w:val="00763D32"/>
    <w:rsid w:val="00767924"/>
    <w:rsid w:val="00770CC5"/>
    <w:rsid w:val="007714CD"/>
    <w:rsid w:val="00772053"/>
    <w:rsid w:val="00772B51"/>
    <w:rsid w:val="00776C73"/>
    <w:rsid w:val="007803BE"/>
    <w:rsid w:val="00781E8C"/>
    <w:rsid w:val="0078211D"/>
    <w:rsid w:val="00783193"/>
    <w:rsid w:val="00785D29"/>
    <w:rsid w:val="0079395F"/>
    <w:rsid w:val="007940D9"/>
    <w:rsid w:val="00796AB5"/>
    <w:rsid w:val="00797F21"/>
    <w:rsid w:val="007A3969"/>
    <w:rsid w:val="007A3DC7"/>
    <w:rsid w:val="007B0083"/>
    <w:rsid w:val="007B0BEE"/>
    <w:rsid w:val="007B0F3C"/>
    <w:rsid w:val="007B4B87"/>
    <w:rsid w:val="007B666C"/>
    <w:rsid w:val="007C0E9B"/>
    <w:rsid w:val="007C3DA0"/>
    <w:rsid w:val="007C7569"/>
    <w:rsid w:val="007D3462"/>
    <w:rsid w:val="007D5024"/>
    <w:rsid w:val="007D7DC0"/>
    <w:rsid w:val="007E09A8"/>
    <w:rsid w:val="007E375B"/>
    <w:rsid w:val="007E6315"/>
    <w:rsid w:val="007F0054"/>
    <w:rsid w:val="007F391F"/>
    <w:rsid w:val="007F5EF2"/>
    <w:rsid w:val="007F6A50"/>
    <w:rsid w:val="007F6A65"/>
    <w:rsid w:val="00800986"/>
    <w:rsid w:val="00806ECB"/>
    <w:rsid w:val="00811659"/>
    <w:rsid w:val="00811E34"/>
    <w:rsid w:val="00812276"/>
    <w:rsid w:val="008165FB"/>
    <w:rsid w:val="0081694B"/>
    <w:rsid w:val="00817AB1"/>
    <w:rsid w:val="0082003F"/>
    <w:rsid w:val="00824249"/>
    <w:rsid w:val="0083001B"/>
    <w:rsid w:val="00833C55"/>
    <w:rsid w:val="008413D9"/>
    <w:rsid w:val="00845D86"/>
    <w:rsid w:val="00850AC7"/>
    <w:rsid w:val="00853F14"/>
    <w:rsid w:val="00854D3A"/>
    <w:rsid w:val="00862524"/>
    <w:rsid w:val="00863238"/>
    <w:rsid w:val="00870E17"/>
    <w:rsid w:val="008743F1"/>
    <w:rsid w:val="008759CD"/>
    <w:rsid w:val="00877E30"/>
    <w:rsid w:val="008909B5"/>
    <w:rsid w:val="008927CF"/>
    <w:rsid w:val="00892F00"/>
    <w:rsid w:val="00893CCE"/>
    <w:rsid w:val="00896029"/>
    <w:rsid w:val="00896C69"/>
    <w:rsid w:val="00897F6A"/>
    <w:rsid w:val="008A1A53"/>
    <w:rsid w:val="008A1EF4"/>
    <w:rsid w:val="008A72C1"/>
    <w:rsid w:val="008B020C"/>
    <w:rsid w:val="008B151F"/>
    <w:rsid w:val="008B3DEF"/>
    <w:rsid w:val="008B535A"/>
    <w:rsid w:val="008B5465"/>
    <w:rsid w:val="008B6229"/>
    <w:rsid w:val="008B66AF"/>
    <w:rsid w:val="008B7DA3"/>
    <w:rsid w:val="008C0352"/>
    <w:rsid w:val="008C088D"/>
    <w:rsid w:val="008C1B8D"/>
    <w:rsid w:val="008C1CF8"/>
    <w:rsid w:val="008C2A19"/>
    <w:rsid w:val="008C3E63"/>
    <w:rsid w:val="008C73B3"/>
    <w:rsid w:val="008D4F71"/>
    <w:rsid w:val="008E2E7A"/>
    <w:rsid w:val="008E74C7"/>
    <w:rsid w:val="008F1173"/>
    <w:rsid w:val="008F244A"/>
    <w:rsid w:val="008F59BD"/>
    <w:rsid w:val="00901EDF"/>
    <w:rsid w:val="0090513B"/>
    <w:rsid w:val="0090624E"/>
    <w:rsid w:val="00907556"/>
    <w:rsid w:val="0090789D"/>
    <w:rsid w:val="009120A5"/>
    <w:rsid w:val="00914CFA"/>
    <w:rsid w:val="0091513B"/>
    <w:rsid w:val="00920E22"/>
    <w:rsid w:val="00920EE0"/>
    <w:rsid w:val="009229B8"/>
    <w:rsid w:val="009229FC"/>
    <w:rsid w:val="0093461E"/>
    <w:rsid w:val="009359CD"/>
    <w:rsid w:val="009366B0"/>
    <w:rsid w:val="00936AC1"/>
    <w:rsid w:val="00937839"/>
    <w:rsid w:val="00937A23"/>
    <w:rsid w:val="009416C5"/>
    <w:rsid w:val="00942925"/>
    <w:rsid w:val="00943568"/>
    <w:rsid w:val="00943B08"/>
    <w:rsid w:val="00945C37"/>
    <w:rsid w:val="00950185"/>
    <w:rsid w:val="00950D38"/>
    <w:rsid w:val="00952F80"/>
    <w:rsid w:val="00955BA3"/>
    <w:rsid w:val="00960B10"/>
    <w:rsid w:val="0096241B"/>
    <w:rsid w:val="009651FD"/>
    <w:rsid w:val="009664F6"/>
    <w:rsid w:val="00967713"/>
    <w:rsid w:val="009718FC"/>
    <w:rsid w:val="00972BA0"/>
    <w:rsid w:val="0097654D"/>
    <w:rsid w:val="00977176"/>
    <w:rsid w:val="0097717A"/>
    <w:rsid w:val="00981AF1"/>
    <w:rsid w:val="009824A1"/>
    <w:rsid w:val="00985C35"/>
    <w:rsid w:val="00985FED"/>
    <w:rsid w:val="00991ABB"/>
    <w:rsid w:val="00991DC8"/>
    <w:rsid w:val="00995686"/>
    <w:rsid w:val="00997273"/>
    <w:rsid w:val="00997A96"/>
    <w:rsid w:val="009A1CAD"/>
    <w:rsid w:val="009A2527"/>
    <w:rsid w:val="009A3A2D"/>
    <w:rsid w:val="009A636E"/>
    <w:rsid w:val="009A7E02"/>
    <w:rsid w:val="009B2430"/>
    <w:rsid w:val="009B48C4"/>
    <w:rsid w:val="009B4DDA"/>
    <w:rsid w:val="009C0CB6"/>
    <w:rsid w:val="009C29BD"/>
    <w:rsid w:val="009C2C34"/>
    <w:rsid w:val="009C46B4"/>
    <w:rsid w:val="009C4D62"/>
    <w:rsid w:val="009C703B"/>
    <w:rsid w:val="009D0677"/>
    <w:rsid w:val="009D0EAF"/>
    <w:rsid w:val="009D16CA"/>
    <w:rsid w:val="009D31FF"/>
    <w:rsid w:val="009D363F"/>
    <w:rsid w:val="009D519E"/>
    <w:rsid w:val="009D69D2"/>
    <w:rsid w:val="009D7996"/>
    <w:rsid w:val="009D7A6C"/>
    <w:rsid w:val="009E20A5"/>
    <w:rsid w:val="009E2145"/>
    <w:rsid w:val="009E3930"/>
    <w:rsid w:val="009E5644"/>
    <w:rsid w:val="009E5759"/>
    <w:rsid w:val="009E58C4"/>
    <w:rsid w:val="009E6448"/>
    <w:rsid w:val="009F176D"/>
    <w:rsid w:val="009F21E7"/>
    <w:rsid w:val="009F33B7"/>
    <w:rsid w:val="009F39B0"/>
    <w:rsid w:val="009F41AD"/>
    <w:rsid w:val="00A01E7A"/>
    <w:rsid w:val="00A0249E"/>
    <w:rsid w:val="00A035C3"/>
    <w:rsid w:val="00A039D8"/>
    <w:rsid w:val="00A10C83"/>
    <w:rsid w:val="00A114D2"/>
    <w:rsid w:val="00A11B9C"/>
    <w:rsid w:val="00A16ADD"/>
    <w:rsid w:val="00A17DF8"/>
    <w:rsid w:val="00A20D51"/>
    <w:rsid w:val="00A215D2"/>
    <w:rsid w:val="00A22C9C"/>
    <w:rsid w:val="00A25B52"/>
    <w:rsid w:val="00A25F07"/>
    <w:rsid w:val="00A31128"/>
    <w:rsid w:val="00A337DA"/>
    <w:rsid w:val="00A33A0A"/>
    <w:rsid w:val="00A340A3"/>
    <w:rsid w:val="00A35DF3"/>
    <w:rsid w:val="00A36FA4"/>
    <w:rsid w:val="00A45AAA"/>
    <w:rsid w:val="00A517FC"/>
    <w:rsid w:val="00A51C2C"/>
    <w:rsid w:val="00A52433"/>
    <w:rsid w:val="00A54C45"/>
    <w:rsid w:val="00A5618A"/>
    <w:rsid w:val="00A57290"/>
    <w:rsid w:val="00A64306"/>
    <w:rsid w:val="00A70C2D"/>
    <w:rsid w:val="00A72364"/>
    <w:rsid w:val="00A740A0"/>
    <w:rsid w:val="00A824B5"/>
    <w:rsid w:val="00A83542"/>
    <w:rsid w:val="00A8694A"/>
    <w:rsid w:val="00A87E3C"/>
    <w:rsid w:val="00A90F50"/>
    <w:rsid w:val="00A924B0"/>
    <w:rsid w:val="00A92E01"/>
    <w:rsid w:val="00A948E5"/>
    <w:rsid w:val="00A95980"/>
    <w:rsid w:val="00A95B2C"/>
    <w:rsid w:val="00A96011"/>
    <w:rsid w:val="00AA0902"/>
    <w:rsid w:val="00AA11DD"/>
    <w:rsid w:val="00AA2EAD"/>
    <w:rsid w:val="00AA7022"/>
    <w:rsid w:val="00AB245F"/>
    <w:rsid w:val="00AB2633"/>
    <w:rsid w:val="00AB4F23"/>
    <w:rsid w:val="00AB6775"/>
    <w:rsid w:val="00AC24B8"/>
    <w:rsid w:val="00AC3DD9"/>
    <w:rsid w:val="00AC5A91"/>
    <w:rsid w:val="00AC7CF7"/>
    <w:rsid w:val="00AD18A5"/>
    <w:rsid w:val="00AD60E6"/>
    <w:rsid w:val="00AD7290"/>
    <w:rsid w:val="00AD7D48"/>
    <w:rsid w:val="00AE1165"/>
    <w:rsid w:val="00AE271E"/>
    <w:rsid w:val="00AE2AD2"/>
    <w:rsid w:val="00AE50A4"/>
    <w:rsid w:val="00AE7C1D"/>
    <w:rsid w:val="00AF00DE"/>
    <w:rsid w:val="00AF0519"/>
    <w:rsid w:val="00AF4E4C"/>
    <w:rsid w:val="00AF5115"/>
    <w:rsid w:val="00AF76CB"/>
    <w:rsid w:val="00AF7EDC"/>
    <w:rsid w:val="00B04957"/>
    <w:rsid w:val="00B04F17"/>
    <w:rsid w:val="00B05148"/>
    <w:rsid w:val="00B05357"/>
    <w:rsid w:val="00B05369"/>
    <w:rsid w:val="00B07C1A"/>
    <w:rsid w:val="00B13DFC"/>
    <w:rsid w:val="00B2054E"/>
    <w:rsid w:val="00B276FD"/>
    <w:rsid w:val="00B278D2"/>
    <w:rsid w:val="00B3254D"/>
    <w:rsid w:val="00B3346A"/>
    <w:rsid w:val="00B338AF"/>
    <w:rsid w:val="00B3486D"/>
    <w:rsid w:val="00B3689D"/>
    <w:rsid w:val="00B42446"/>
    <w:rsid w:val="00B4779A"/>
    <w:rsid w:val="00B53C83"/>
    <w:rsid w:val="00B53EB5"/>
    <w:rsid w:val="00B54042"/>
    <w:rsid w:val="00B6000D"/>
    <w:rsid w:val="00B61A33"/>
    <w:rsid w:val="00B624EC"/>
    <w:rsid w:val="00B62BD6"/>
    <w:rsid w:val="00B62F9B"/>
    <w:rsid w:val="00B644B9"/>
    <w:rsid w:val="00B65BE2"/>
    <w:rsid w:val="00B667F6"/>
    <w:rsid w:val="00B70164"/>
    <w:rsid w:val="00B73763"/>
    <w:rsid w:val="00B73AA4"/>
    <w:rsid w:val="00B74A32"/>
    <w:rsid w:val="00B75498"/>
    <w:rsid w:val="00B82329"/>
    <w:rsid w:val="00B84C44"/>
    <w:rsid w:val="00B85FD3"/>
    <w:rsid w:val="00B867DA"/>
    <w:rsid w:val="00B86B75"/>
    <w:rsid w:val="00B87417"/>
    <w:rsid w:val="00B92AF6"/>
    <w:rsid w:val="00B93BC3"/>
    <w:rsid w:val="00B95435"/>
    <w:rsid w:val="00B95B1C"/>
    <w:rsid w:val="00B96EE0"/>
    <w:rsid w:val="00BA0736"/>
    <w:rsid w:val="00BA0D75"/>
    <w:rsid w:val="00BB0A6F"/>
    <w:rsid w:val="00BB14F2"/>
    <w:rsid w:val="00BB1CB8"/>
    <w:rsid w:val="00BB40BE"/>
    <w:rsid w:val="00BB46D4"/>
    <w:rsid w:val="00BB4C41"/>
    <w:rsid w:val="00BB5BC4"/>
    <w:rsid w:val="00BB7C3C"/>
    <w:rsid w:val="00BC05CD"/>
    <w:rsid w:val="00BC1171"/>
    <w:rsid w:val="00BC3609"/>
    <w:rsid w:val="00BC4EF9"/>
    <w:rsid w:val="00BC4FB7"/>
    <w:rsid w:val="00BC55E4"/>
    <w:rsid w:val="00BC6650"/>
    <w:rsid w:val="00BD18C5"/>
    <w:rsid w:val="00BD1CE0"/>
    <w:rsid w:val="00BD1D1A"/>
    <w:rsid w:val="00BD5F77"/>
    <w:rsid w:val="00BD658A"/>
    <w:rsid w:val="00BD7C6D"/>
    <w:rsid w:val="00BE37C2"/>
    <w:rsid w:val="00BE42C8"/>
    <w:rsid w:val="00BE775C"/>
    <w:rsid w:val="00BF0714"/>
    <w:rsid w:val="00BF0878"/>
    <w:rsid w:val="00BF0BC5"/>
    <w:rsid w:val="00BF6E60"/>
    <w:rsid w:val="00BF7AD1"/>
    <w:rsid w:val="00C00C1E"/>
    <w:rsid w:val="00C02A37"/>
    <w:rsid w:val="00C03CD0"/>
    <w:rsid w:val="00C03E03"/>
    <w:rsid w:val="00C13C6A"/>
    <w:rsid w:val="00C151FC"/>
    <w:rsid w:val="00C16BDD"/>
    <w:rsid w:val="00C17CFE"/>
    <w:rsid w:val="00C26209"/>
    <w:rsid w:val="00C3403E"/>
    <w:rsid w:val="00C34767"/>
    <w:rsid w:val="00C41801"/>
    <w:rsid w:val="00C43C5C"/>
    <w:rsid w:val="00C45B4D"/>
    <w:rsid w:val="00C4716A"/>
    <w:rsid w:val="00C47C87"/>
    <w:rsid w:val="00C50A9C"/>
    <w:rsid w:val="00C51D6C"/>
    <w:rsid w:val="00C52915"/>
    <w:rsid w:val="00C56D63"/>
    <w:rsid w:val="00C63A21"/>
    <w:rsid w:val="00C64AF4"/>
    <w:rsid w:val="00C64CD0"/>
    <w:rsid w:val="00C64CF0"/>
    <w:rsid w:val="00C65653"/>
    <w:rsid w:val="00C66E12"/>
    <w:rsid w:val="00C71B61"/>
    <w:rsid w:val="00C730A6"/>
    <w:rsid w:val="00C76476"/>
    <w:rsid w:val="00C7780B"/>
    <w:rsid w:val="00C824E9"/>
    <w:rsid w:val="00C825B0"/>
    <w:rsid w:val="00C826CA"/>
    <w:rsid w:val="00C85029"/>
    <w:rsid w:val="00C85232"/>
    <w:rsid w:val="00C92693"/>
    <w:rsid w:val="00C94CDD"/>
    <w:rsid w:val="00C9512A"/>
    <w:rsid w:val="00C968DE"/>
    <w:rsid w:val="00C96AAB"/>
    <w:rsid w:val="00CA3FCD"/>
    <w:rsid w:val="00CA49D4"/>
    <w:rsid w:val="00CB1A57"/>
    <w:rsid w:val="00CB3014"/>
    <w:rsid w:val="00CB6784"/>
    <w:rsid w:val="00CC4C59"/>
    <w:rsid w:val="00CC5F47"/>
    <w:rsid w:val="00CD51E3"/>
    <w:rsid w:val="00CD5BB1"/>
    <w:rsid w:val="00CE20B4"/>
    <w:rsid w:val="00CE266F"/>
    <w:rsid w:val="00CE358D"/>
    <w:rsid w:val="00CE3FD1"/>
    <w:rsid w:val="00CE6508"/>
    <w:rsid w:val="00CE77A0"/>
    <w:rsid w:val="00CF32D5"/>
    <w:rsid w:val="00CF45D9"/>
    <w:rsid w:val="00CF5356"/>
    <w:rsid w:val="00CF6B46"/>
    <w:rsid w:val="00D00DE9"/>
    <w:rsid w:val="00D04D71"/>
    <w:rsid w:val="00D057A9"/>
    <w:rsid w:val="00D05965"/>
    <w:rsid w:val="00D067E1"/>
    <w:rsid w:val="00D07264"/>
    <w:rsid w:val="00D10348"/>
    <w:rsid w:val="00D11F45"/>
    <w:rsid w:val="00D12FF3"/>
    <w:rsid w:val="00D16A50"/>
    <w:rsid w:val="00D172A1"/>
    <w:rsid w:val="00D1777E"/>
    <w:rsid w:val="00D208F1"/>
    <w:rsid w:val="00D21D72"/>
    <w:rsid w:val="00D21F72"/>
    <w:rsid w:val="00D22C73"/>
    <w:rsid w:val="00D2387E"/>
    <w:rsid w:val="00D23AFC"/>
    <w:rsid w:val="00D268BB"/>
    <w:rsid w:val="00D311AD"/>
    <w:rsid w:val="00D314B8"/>
    <w:rsid w:val="00D3198F"/>
    <w:rsid w:val="00D31FD0"/>
    <w:rsid w:val="00D33F98"/>
    <w:rsid w:val="00D3505D"/>
    <w:rsid w:val="00D42180"/>
    <w:rsid w:val="00D42C9D"/>
    <w:rsid w:val="00D43BBA"/>
    <w:rsid w:val="00D46D75"/>
    <w:rsid w:val="00D500FB"/>
    <w:rsid w:val="00D502D5"/>
    <w:rsid w:val="00D5060A"/>
    <w:rsid w:val="00D555DA"/>
    <w:rsid w:val="00D55A5A"/>
    <w:rsid w:val="00D624BB"/>
    <w:rsid w:val="00D628A7"/>
    <w:rsid w:val="00D62DCE"/>
    <w:rsid w:val="00D63CD5"/>
    <w:rsid w:val="00D64B4D"/>
    <w:rsid w:val="00D73B1C"/>
    <w:rsid w:val="00D7448E"/>
    <w:rsid w:val="00D7627E"/>
    <w:rsid w:val="00D82C4F"/>
    <w:rsid w:val="00D84695"/>
    <w:rsid w:val="00D876DA"/>
    <w:rsid w:val="00D90939"/>
    <w:rsid w:val="00D92275"/>
    <w:rsid w:val="00D95B67"/>
    <w:rsid w:val="00D97119"/>
    <w:rsid w:val="00DA39F0"/>
    <w:rsid w:val="00DA5226"/>
    <w:rsid w:val="00DA5454"/>
    <w:rsid w:val="00DB0E0A"/>
    <w:rsid w:val="00DB541C"/>
    <w:rsid w:val="00DB60A0"/>
    <w:rsid w:val="00DC107F"/>
    <w:rsid w:val="00DC4337"/>
    <w:rsid w:val="00DC51B6"/>
    <w:rsid w:val="00DD1DDB"/>
    <w:rsid w:val="00DD294F"/>
    <w:rsid w:val="00DD31E8"/>
    <w:rsid w:val="00DD35B5"/>
    <w:rsid w:val="00DD39AB"/>
    <w:rsid w:val="00DD3B9B"/>
    <w:rsid w:val="00DD4FCA"/>
    <w:rsid w:val="00DE0443"/>
    <w:rsid w:val="00DE130E"/>
    <w:rsid w:val="00DE21D4"/>
    <w:rsid w:val="00DE436E"/>
    <w:rsid w:val="00DE54A6"/>
    <w:rsid w:val="00DE7F16"/>
    <w:rsid w:val="00DF2E01"/>
    <w:rsid w:val="00DF494B"/>
    <w:rsid w:val="00DF54A0"/>
    <w:rsid w:val="00DF6A2C"/>
    <w:rsid w:val="00DF7E6B"/>
    <w:rsid w:val="00E00D65"/>
    <w:rsid w:val="00E01377"/>
    <w:rsid w:val="00E03164"/>
    <w:rsid w:val="00E049F6"/>
    <w:rsid w:val="00E06B0E"/>
    <w:rsid w:val="00E131A6"/>
    <w:rsid w:val="00E13293"/>
    <w:rsid w:val="00E16216"/>
    <w:rsid w:val="00E17498"/>
    <w:rsid w:val="00E23687"/>
    <w:rsid w:val="00E255E7"/>
    <w:rsid w:val="00E273EA"/>
    <w:rsid w:val="00E305A3"/>
    <w:rsid w:val="00E3356A"/>
    <w:rsid w:val="00E36CB5"/>
    <w:rsid w:val="00E41C0C"/>
    <w:rsid w:val="00E44D03"/>
    <w:rsid w:val="00E45195"/>
    <w:rsid w:val="00E4554B"/>
    <w:rsid w:val="00E469CC"/>
    <w:rsid w:val="00E46AA4"/>
    <w:rsid w:val="00E513B2"/>
    <w:rsid w:val="00E5224B"/>
    <w:rsid w:val="00E5410A"/>
    <w:rsid w:val="00E66C29"/>
    <w:rsid w:val="00E678CA"/>
    <w:rsid w:val="00E70362"/>
    <w:rsid w:val="00E70552"/>
    <w:rsid w:val="00E8671E"/>
    <w:rsid w:val="00E90BFB"/>
    <w:rsid w:val="00E9122A"/>
    <w:rsid w:val="00E935DC"/>
    <w:rsid w:val="00E93B62"/>
    <w:rsid w:val="00E93C20"/>
    <w:rsid w:val="00E94490"/>
    <w:rsid w:val="00E95CE3"/>
    <w:rsid w:val="00E96718"/>
    <w:rsid w:val="00E97223"/>
    <w:rsid w:val="00E97550"/>
    <w:rsid w:val="00EA0D43"/>
    <w:rsid w:val="00EA12BD"/>
    <w:rsid w:val="00EA295F"/>
    <w:rsid w:val="00EA3452"/>
    <w:rsid w:val="00EA423E"/>
    <w:rsid w:val="00EA6B58"/>
    <w:rsid w:val="00EA7938"/>
    <w:rsid w:val="00EB02AC"/>
    <w:rsid w:val="00EB0FEB"/>
    <w:rsid w:val="00EB13A3"/>
    <w:rsid w:val="00EB1417"/>
    <w:rsid w:val="00EB15DE"/>
    <w:rsid w:val="00EB1B3D"/>
    <w:rsid w:val="00EB2DAA"/>
    <w:rsid w:val="00EC0FB3"/>
    <w:rsid w:val="00EC164F"/>
    <w:rsid w:val="00EC494A"/>
    <w:rsid w:val="00EC4BD4"/>
    <w:rsid w:val="00EC503F"/>
    <w:rsid w:val="00EC52F7"/>
    <w:rsid w:val="00EC783E"/>
    <w:rsid w:val="00ED08ED"/>
    <w:rsid w:val="00ED5669"/>
    <w:rsid w:val="00ED5D55"/>
    <w:rsid w:val="00ED6ADA"/>
    <w:rsid w:val="00ED7FB5"/>
    <w:rsid w:val="00EE0B98"/>
    <w:rsid w:val="00EE4AF7"/>
    <w:rsid w:val="00EE5D5F"/>
    <w:rsid w:val="00EE61FC"/>
    <w:rsid w:val="00EF2BC4"/>
    <w:rsid w:val="00EF317C"/>
    <w:rsid w:val="00EF3CD1"/>
    <w:rsid w:val="00F00792"/>
    <w:rsid w:val="00F010BB"/>
    <w:rsid w:val="00F040EA"/>
    <w:rsid w:val="00F04D9C"/>
    <w:rsid w:val="00F0614C"/>
    <w:rsid w:val="00F07ACA"/>
    <w:rsid w:val="00F1562F"/>
    <w:rsid w:val="00F15FD3"/>
    <w:rsid w:val="00F1682D"/>
    <w:rsid w:val="00F17522"/>
    <w:rsid w:val="00F176DC"/>
    <w:rsid w:val="00F17F64"/>
    <w:rsid w:val="00F20B32"/>
    <w:rsid w:val="00F237A6"/>
    <w:rsid w:val="00F24588"/>
    <w:rsid w:val="00F2599D"/>
    <w:rsid w:val="00F25B9F"/>
    <w:rsid w:val="00F269DF"/>
    <w:rsid w:val="00F272B8"/>
    <w:rsid w:val="00F30808"/>
    <w:rsid w:val="00F3095C"/>
    <w:rsid w:val="00F31650"/>
    <w:rsid w:val="00F31A98"/>
    <w:rsid w:val="00F33132"/>
    <w:rsid w:val="00F35F7F"/>
    <w:rsid w:val="00F3620A"/>
    <w:rsid w:val="00F371C9"/>
    <w:rsid w:val="00F3732F"/>
    <w:rsid w:val="00F37D96"/>
    <w:rsid w:val="00F40C44"/>
    <w:rsid w:val="00F41BA7"/>
    <w:rsid w:val="00F44460"/>
    <w:rsid w:val="00F446CD"/>
    <w:rsid w:val="00F46014"/>
    <w:rsid w:val="00F460F3"/>
    <w:rsid w:val="00F47415"/>
    <w:rsid w:val="00F47455"/>
    <w:rsid w:val="00F505DB"/>
    <w:rsid w:val="00F52F0A"/>
    <w:rsid w:val="00F53376"/>
    <w:rsid w:val="00F55182"/>
    <w:rsid w:val="00F553DB"/>
    <w:rsid w:val="00F56461"/>
    <w:rsid w:val="00F6069B"/>
    <w:rsid w:val="00F60957"/>
    <w:rsid w:val="00F60EF8"/>
    <w:rsid w:val="00F617AD"/>
    <w:rsid w:val="00F6475B"/>
    <w:rsid w:val="00F7053A"/>
    <w:rsid w:val="00F70F47"/>
    <w:rsid w:val="00F73245"/>
    <w:rsid w:val="00F73BC1"/>
    <w:rsid w:val="00F75905"/>
    <w:rsid w:val="00F762B6"/>
    <w:rsid w:val="00F76314"/>
    <w:rsid w:val="00F77607"/>
    <w:rsid w:val="00F84079"/>
    <w:rsid w:val="00F85A07"/>
    <w:rsid w:val="00F87147"/>
    <w:rsid w:val="00F91CA1"/>
    <w:rsid w:val="00F94C41"/>
    <w:rsid w:val="00F95C9C"/>
    <w:rsid w:val="00F963F7"/>
    <w:rsid w:val="00F963FC"/>
    <w:rsid w:val="00F9711C"/>
    <w:rsid w:val="00F97190"/>
    <w:rsid w:val="00FA052A"/>
    <w:rsid w:val="00FA1D3D"/>
    <w:rsid w:val="00FA3B25"/>
    <w:rsid w:val="00FA4290"/>
    <w:rsid w:val="00FA5679"/>
    <w:rsid w:val="00FA6838"/>
    <w:rsid w:val="00FA77A6"/>
    <w:rsid w:val="00FB4CAA"/>
    <w:rsid w:val="00FB7E6F"/>
    <w:rsid w:val="00FC1008"/>
    <w:rsid w:val="00FC29F7"/>
    <w:rsid w:val="00FC62F8"/>
    <w:rsid w:val="00FC7309"/>
    <w:rsid w:val="00FC7D7A"/>
    <w:rsid w:val="00FD1FFD"/>
    <w:rsid w:val="00FD300E"/>
    <w:rsid w:val="00FD4B5C"/>
    <w:rsid w:val="00FE15BA"/>
    <w:rsid w:val="00FE323D"/>
    <w:rsid w:val="00FE4C92"/>
    <w:rsid w:val="00FE77FA"/>
    <w:rsid w:val="00FF0E04"/>
    <w:rsid w:val="00FF7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885A1"/>
  <w15:docId w15:val="{212A56A3-DE48-4ECF-917E-883FF7D6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5B67"/>
    <w:pPr>
      <w:spacing w:after="0" w:line="240" w:lineRule="auto"/>
    </w:pPr>
    <w:rPr>
      <w:rFonts w:ascii="Times New Roman" w:hAnsi="Times New Roman"/>
      <w:sz w:val="24"/>
      <w:szCs w:val="20"/>
      <w:lang w:val="sl-SI" w:eastAsia="sl-SI"/>
    </w:rPr>
  </w:style>
  <w:style w:type="paragraph" w:styleId="Antrat1">
    <w:name w:val="heading 1"/>
    <w:basedOn w:val="prastasis"/>
    <w:next w:val="prastasis"/>
    <w:link w:val="Antrat1Diagrama"/>
    <w:uiPriority w:val="99"/>
    <w:qFormat/>
    <w:rsid w:val="00EB15DE"/>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EB15DE"/>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Antrat3">
    <w:name w:val="heading 3"/>
    <w:basedOn w:val="prastasis"/>
    <w:next w:val="prastasis"/>
    <w:link w:val="Antrat3Diagrama"/>
    <w:uiPriority w:val="99"/>
    <w:qFormat/>
    <w:rsid w:val="00EB15DE"/>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uiPriority w:val="99"/>
    <w:qFormat/>
    <w:rsid w:val="00EB15DE"/>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9"/>
    <w:qFormat/>
    <w:rsid w:val="00EB15DE"/>
    <w:pPr>
      <w:keepNext/>
      <w:tabs>
        <w:tab w:val="left" w:pos="567"/>
      </w:tabs>
      <w:spacing w:line="260" w:lineRule="exact"/>
      <w:jc w:val="both"/>
      <w:outlineLvl w:val="4"/>
    </w:pPr>
    <w:rPr>
      <w:rFonts w:eastAsia="SimSun" w:cs="Times New Roman"/>
      <w:noProof/>
      <w:sz w:val="22"/>
      <w:lang w:val="en-GB" w:eastAsia="en-US"/>
    </w:rPr>
  </w:style>
  <w:style w:type="paragraph" w:styleId="Antrat6">
    <w:name w:val="heading 6"/>
    <w:basedOn w:val="prastasis"/>
    <w:next w:val="prastasis"/>
    <w:link w:val="Antrat6Diagrama"/>
    <w:uiPriority w:val="99"/>
    <w:qFormat/>
    <w:rsid w:val="00EB15DE"/>
    <w:pPr>
      <w:keepNext/>
      <w:keepLines/>
      <w:tabs>
        <w:tab w:val="right" w:pos="4536"/>
        <w:tab w:val="left" w:pos="5180"/>
        <w:tab w:val="left" w:pos="5380"/>
        <w:tab w:val="left" w:pos="8222"/>
      </w:tabs>
      <w:outlineLvl w:val="5"/>
    </w:pPr>
    <w:rPr>
      <w:rFonts w:eastAsia="Times New Roman" w:cs="Times New Roman"/>
      <w:b/>
      <w:lang w:val="en-US"/>
    </w:rPr>
  </w:style>
  <w:style w:type="paragraph" w:styleId="Antrat7">
    <w:name w:val="heading 7"/>
    <w:basedOn w:val="prastasis"/>
    <w:next w:val="prastasis"/>
    <w:link w:val="Antrat7Diagrama"/>
    <w:uiPriority w:val="99"/>
    <w:qFormat/>
    <w:rsid w:val="00EB15DE"/>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Antrat8">
    <w:name w:val="heading 8"/>
    <w:basedOn w:val="prastasis"/>
    <w:next w:val="prastasis"/>
    <w:link w:val="Antrat8Diagrama"/>
    <w:uiPriority w:val="99"/>
    <w:qFormat/>
    <w:rsid w:val="00EB15DE"/>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Antrat9">
    <w:name w:val="heading 9"/>
    <w:basedOn w:val="prastasis"/>
    <w:next w:val="prastasis"/>
    <w:link w:val="Antrat9Diagrama"/>
    <w:uiPriority w:val="99"/>
    <w:qFormat/>
    <w:rsid w:val="00EB15DE"/>
    <w:pPr>
      <w:keepNext/>
      <w:tabs>
        <w:tab w:val="left" w:pos="567"/>
      </w:tabs>
      <w:spacing w:line="260" w:lineRule="exact"/>
      <w:jc w:val="both"/>
      <w:outlineLvl w:val="8"/>
    </w:pPr>
    <w:rPr>
      <w:rFonts w:eastAsia="SimSun" w:cs="Times New Roma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B15DE"/>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EB15DE"/>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EB15DE"/>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EB15DE"/>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EB15DE"/>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EB15DE"/>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EB15DE"/>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EB15DE"/>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EB15DE"/>
    <w:rPr>
      <w:rFonts w:ascii="Times New Roman" w:eastAsia="SimSun" w:hAnsi="Times New Roman" w:cs="Times New Roman"/>
      <w:b/>
      <w:i/>
      <w:szCs w:val="20"/>
      <w:lang w:val="en-GB"/>
    </w:rPr>
  </w:style>
  <w:style w:type="paragraph" w:styleId="Antrat">
    <w:name w:val="caption"/>
    <w:basedOn w:val="prastasis"/>
    <w:next w:val="prastasis"/>
    <w:qFormat/>
    <w:rsid w:val="00EB15DE"/>
    <w:pPr>
      <w:jc w:val="both"/>
    </w:pPr>
    <w:rPr>
      <w:rFonts w:eastAsia="Times New Roman" w:cs="Times New Roman"/>
      <w:lang w:val="en-GB"/>
    </w:rPr>
  </w:style>
  <w:style w:type="paragraph" w:styleId="Pavadinimas">
    <w:name w:val="Title"/>
    <w:basedOn w:val="prastasis"/>
    <w:link w:val="PavadinimasDiagrama"/>
    <w:uiPriority w:val="99"/>
    <w:qFormat/>
    <w:rsid w:val="00EB15DE"/>
    <w:pPr>
      <w:jc w:val="center"/>
    </w:pPr>
    <w:rPr>
      <w:rFonts w:eastAsia="SimSun" w:cs="Times New Roman"/>
      <w:b/>
      <w:sz w:val="22"/>
      <w:lang w:val="en-GB" w:eastAsia="en-US"/>
    </w:rPr>
  </w:style>
  <w:style w:type="character" w:customStyle="1" w:styleId="PavadinimasDiagrama">
    <w:name w:val="Pavadinimas Diagrama"/>
    <w:basedOn w:val="Numatytasispastraiposriftas"/>
    <w:link w:val="Pavadinimas"/>
    <w:uiPriority w:val="99"/>
    <w:rsid w:val="00EB15DE"/>
    <w:rPr>
      <w:rFonts w:ascii="Times New Roman" w:eastAsia="SimSun" w:hAnsi="Times New Roman" w:cs="Times New Roman"/>
      <w:b/>
      <w:szCs w:val="20"/>
      <w:lang w:val="en-GB"/>
    </w:rPr>
  </w:style>
  <w:style w:type="character" w:styleId="Grietas">
    <w:name w:val="Strong"/>
    <w:uiPriority w:val="99"/>
    <w:qFormat/>
    <w:rsid w:val="00EB15DE"/>
    <w:rPr>
      <w:rFonts w:cs="Times New Roman"/>
      <w:b/>
      <w:bCs/>
    </w:rPr>
  </w:style>
  <w:style w:type="paragraph" w:styleId="Betarp">
    <w:name w:val="No Spacing"/>
    <w:uiPriority w:val="1"/>
    <w:qFormat/>
    <w:rsid w:val="00EB15DE"/>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EB15DE"/>
    <w:pPr>
      <w:ind w:left="720"/>
      <w:contextualSpacing/>
    </w:pPr>
    <w:rPr>
      <w:rFonts w:eastAsia="Times New Roman" w:cs="Times New Roman"/>
    </w:rPr>
  </w:style>
  <w:style w:type="numbering" w:customStyle="1" w:styleId="NoList1">
    <w:name w:val="No List1"/>
    <w:next w:val="Sraonra"/>
    <w:uiPriority w:val="99"/>
    <w:semiHidden/>
    <w:unhideWhenUsed/>
    <w:rsid w:val="00612A8E"/>
  </w:style>
  <w:style w:type="paragraph" w:styleId="Porat">
    <w:name w:val="footer"/>
    <w:basedOn w:val="prastasis"/>
    <w:link w:val="PoratDiagrama"/>
    <w:rsid w:val="00612A8E"/>
    <w:pPr>
      <w:tabs>
        <w:tab w:val="left" w:pos="567"/>
        <w:tab w:val="center" w:pos="4536"/>
        <w:tab w:val="right" w:pos="8306"/>
      </w:tabs>
      <w:spacing w:line="260" w:lineRule="exact"/>
    </w:pPr>
    <w:rPr>
      <w:rFonts w:ascii="Arial" w:eastAsia="Times New Roman" w:hAnsi="Arial" w:cs="Times New Roman"/>
      <w:noProof/>
      <w:sz w:val="16"/>
      <w:lang w:val="lt-LT" w:eastAsia="lt-LT" w:bidi="lt-LT"/>
    </w:rPr>
  </w:style>
  <w:style w:type="character" w:customStyle="1" w:styleId="PoratDiagrama">
    <w:name w:val="Poraštė Diagrama"/>
    <w:basedOn w:val="Numatytasispastraiposriftas"/>
    <w:link w:val="Porat"/>
    <w:rsid w:val="00612A8E"/>
    <w:rPr>
      <w:rFonts w:ascii="Arial" w:eastAsia="Times New Roman" w:hAnsi="Arial" w:cs="Times New Roman"/>
      <w:noProof/>
      <w:sz w:val="16"/>
      <w:szCs w:val="20"/>
      <w:lang w:eastAsia="lt-LT" w:bidi="lt-LT"/>
    </w:rPr>
  </w:style>
  <w:style w:type="paragraph" w:styleId="Antrats">
    <w:name w:val="header"/>
    <w:basedOn w:val="prastasis"/>
    <w:link w:val="AntratsDiagrama"/>
    <w:rsid w:val="00612A8E"/>
    <w:pPr>
      <w:tabs>
        <w:tab w:val="left" w:pos="567"/>
        <w:tab w:val="center" w:pos="4153"/>
        <w:tab w:val="right" w:pos="8306"/>
      </w:tabs>
      <w:spacing w:line="260" w:lineRule="exact"/>
    </w:pPr>
    <w:rPr>
      <w:rFonts w:ascii="Arial" w:eastAsia="Times New Roman" w:hAnsi="Arial" w:cs="Times New Roman"/>
      <w:sz w:val="20"/>
      <w:lang w:val="lt-LT" w:eastAsia="lt-LT" w:bidi="lt-LT"/>
    </w:rPr>
  </w:style>
  <w:style w:type="character" w:customStyle="1" w:styleId="AntratsDiagrama">
    <w:name w:val="Antraštės Diagrama"/>
    <w:basedOn w:val="Numatytasispastraiposriftas"/>
    <w:link w:val="Antrats"/>
    <w:rsid w:val="00612A8E"/>
    <w:rPr>
      <w:rFonts w:ascii="Arial" w:eastAsia="Times New Roman" w:hAnsi="Arial" w:cs="Times New Roman"/>
      <w:sz w:val="20"/>
      <w:szCs w:val="20"/>
      <w:lang w:eastAsia="lt-LT" w:bidi="lt-LT"/>
    </w:rPr>
  </w:style>
  <w:style w:type="paragraph" w:customStyle="1" w:styleId="MemoHeaderStyle">
    <w:name w:val="MemoHeaderStyle"/>
    <w:basedOn w:val="prastasis"/>
    <w:next w:val="prastasis"/>
    <w:rsid w:val="00612A8E"/>
    <w:pPr>
      <w:tabs>
        <w:tab w:val="left" w:pos="567"/>
      </w:tabs>
      <w:spacing w:line="120" w:lineRule="atLeast"/>
      <w:ind w:left="1418"/>
      <w:jc w:val="both"/>
    </w:pPr>
    <w:rPr>
      <w:rFonts w:ascii="Arial" w:eastAsia="Times New Roman" w:hAnsi="Arial" w:cs="Times New Roman"/>
      <w:b/>
      <w:smallCaps/>
      <w:sz w:val="22"/>
      <w:lang w:val="lt-LT" w:eastAsia="lt-LT" w:bidi="lt-LT"/>
    </w:rPr>
  </w:style>
  <w:style w:type="character" w:styleId="Puslapionumeris">
    <w:name w:val="page number"/>
    <w:basedOn w:val="Numatytasispastraiposriftas"/>
    <w:rsid w:val="00612A8E"/>
  </w:style>
  <w:style w:type="paragraph" w:styleId="Pagrindinistekstas">
    <w:name w:val="Body Text"/>
    <w:basedOn w:val="prastasis"/>
    <w:link w:val="PagrindinistekstasDiagrama"/>
    <w:uiPriority w:val="1"/>
    <w:qFormat/>
    <w:rsid w:val="00612A8E"/>
    <w:rPr>
      <w:rFonts w:eastAsia="Times New Roman" w:cs="Times New Roman"/>
      <w:i/>
      <w:color w:val="008000"/>
      <w:sz w:val="22"/>
      <w:lang w:val="lt-LT" w:eastAsia="lt-LT" w:bidi="lt-LT"/>
    </w:rPr>
  </w:style>
  <w:style w:type="character" w:customStyle="1" w:styleId="PagrindinistekstasDiagrama">
    <w:name w:val="Pagrindinis tekstas Diagrama"/>
    <w:basedOn w:val="Numatytasispastraiposriftas"/>
    <w:link w:val="Pagrindinistekstas"/>
    <w:rsid w:val="00612A8E"/>
    <w:rPr>
      <w:rFonts w:ascii="Times New Roman" w:eastAsia="Times New Roman" w:hAnsi="Times New Roman" w:cs="Times New Roman"/>
      <w:i/>
      <w:color w:val="008000"/>
      <w:szCs w:val="20"/>
      <w:lang w:eastAsia="lt-LT" w:bidi="lt-LT"/>
    </w:rPr>
  </w:style>
  <w:style w:type="paragraph" w:styleId="Komentarotekstas">
    <w:name w:val="annotation text"/>
    <w:basedOn w:val="prastasis"/>
    <w:link w:val="KomentarotekstasDiagrama"/>
    <w:uiPriority w:val="99"/>
    <w:unhideWhenUsed/>
    <w:rsid w:val="00612A8E"/>
    <w:pPr>
      <w:tabs>
        <w:tab w:val="left" w:pos="567"/>
      </w:tabs>
    </w:pPr>
    <w:rPr>
      <w:rFonts w:eastAsia="Times New Roman" w:cs="Times New Roman"/>
      <w:sz w:val="20"/>
      <w:lang w:val="lt-LT" w:eastAsia="lt-LT" w:bidi="lt-LT"/>
    </w:rPr>
  </w:style>
  <w:style w:type="character" w:customStyle="1" w:styleId="KomentarotekstasDiagrama">
    <w:name w:val="Komentaro tekstas Diagrama"/>
    <w:basedOn w:val="Numatytasispastraiposriftas"/>
    <w:link w:val="Komentarotekstas"/>
    <w:uiPriority w:val="99"/>
    <w:rsid w:val="00612A8E"/>
    <w:rPr>
      <w:rFonts w:ascii="Times New Roman" w:eastAsia="Times New Roman" w:hAnsi="Times New Roman" w:cs="Times New Roman"/>
      <w:sz w:val="20"/>
      <w:szCs w:val="20"/>
      <w:lang w:eastAsia="lt-LT" w:bidi="lt-LT"/>
    </w:rPr>
  </w:style>
  <w:style w:type="character" w:styleId="Hipersaitas">
    <w:name w:val="Hyperlink"/>
    <w:uiPriority w:val="99"/>
    <w:rsid w:val="00612A8E"/>
    <w:rPr>
      <w:color w:val="0000FF"/>
      <w:u w:val="single"/>
    </w:rPr>
  </w:style>
  <w:style w:type="paragraph" w:customStyle="1" w:styleId="EMEAEnBodyText">
    <w:name w:val="EMEA En Body Text"/>
    <w:basedOn w:val="prastasis"/>
    <w:rsid w:val="00612A8E"/>
    <w:pPr>
      <w:spacing w:before="120" w:after="120"/>
      <w:jc w:val="both"/>
    </w:pPr>
    <w:rPr>
      <w:rFonts w:eastAsia="Times New Roman" w:cs="Times New Roman"/>
      <w:sz w:val="22"/>
      <w:lang w:val="lt-LT" w:eastAsia="lt-LT" w:bidi="lt-LT"/>
    </w:rPr>
  </w:style>
  <w:style w:type="paragraph" w:styleId="Debesliotekstas">
    <w:name w:val="Balloon Text"/>
    <w:basedOn w:val="prastasis"/>
    <w:link w:val="DebesliotekstasDiagrama"/>
    <w:semiHidden/>
    <w:rsid w:val="00612A8E"/>
    <w:pPr>
      <w:tabs>
        <w:tab w:val="left" w:pos="567"/>
      </w:tabs>
      <w:spacing w:line="260" w:lineRule="exact"/>
    </w:pPr>
    <w:rPr>
      <w:rFonts w:ascii="Tahoma" w:eastAsia="Times New Roman" w:hAnsi="Tahoma" w:cs="Tahoma"/>
      <w:sz w:val="16"/>
      <w:szCs w:val="16"/>
      <w:lang w:val="lt-LT" w:eastAsia="lt-LT" w:bidi="lt-LT"/>
    </w:rPr>
  </w:style>
  <w:style w:type="character" w:customStyle="1" w:styleId="DebesliotekstasDiagrama">
    <w:name w:val="Debesėlio tekstas Diagrama"/>
    <w:basedOn w:val="Numatytasispastraiposriftas"/>
    <w:link w:val="Debesliotekstas"/>
    <w:semiHidden/>
    <w:rsid w:val="00612A8E"/>
    <w:rPr>
      <w:rFonts w:ascii="Tahoma" w:eastAsia="Times New Roman" w:hAnsi="Tahoma" w:cs="Tahoma"/>
      <w:sz w:val="16"/>
      <w:szCs w:val="16"/>
      <w:lang w:eastAsia="lt-LT" w:bidi="lt-LT"/>
    </w:rPr>
  </w:style>
  <w:style w:type="paragraph" w:customStyle="1" w:styleId="BodytextAgency">
    <w:name w:val="Body text (Agency)"/>
    <w:basedOn w:val="prastasis"/>
    <w:link w:val="BodytextAgencyChar"/>
    <w:rsid w:val="00612A8E"/>
    <w:pPr>
      <w:spacing w:after="140" w:line="280" w:lineRule="atLeast"/>
    </w:pPr>
    <w:rPr>
      <w:rFonts w:ascii="Verdana" w:eastAsia="Verdana" w:hAnsi="Verdana" w:cs="Verdana"/>
      <w:sz w:val="18"/>
      <w:szCs w:val="18"/>
      <w:lang w:val="lt-LT" w:eastAsia="lt-LT" w:bidi="lt-LT"/>
    </w:rPr>
  </w:style>
  <w:style w:type="character" w:customStyle="1" w:styleId="BodytextAgencyChar">
    <w:name w:val="Body text (Agency) Char"/>
    <w:link w:val="BodytextAgency"/>
    <w:rsid w:val="00612A8E"/>
    <w:rPr>
      <w:rFonts w:ascii="Verdana" w:eastAsia="Verdana" w:hAnsi="Verdana" w:cs="Verdana"/>
      <w:sz w:val="18"/>
      <w:szCs w:val="18"/>
      <w:lang w:eastAsia="lt-LT" w:bidi="lt-LT"/>
    </w:rPr>
  </w:style>
  <w:style w:type="paragraph" w:customStyle="1" w:styleId="DraftingNotesAgency">
    <w:name w:val="Drafting Notes (Agency)"/>
    <w:basedOn w:val="prastasis"/>
    <w:next w:val="BodytextAgency"/>
    <w:link w:val="DraftingNotesAgencyChar"/>
    <w:rsid w:val="00612A8E"/>
    <w:pPr>
      <w:spacing w:after="140" w:line="280" w:lineRule="atLeast"/>
    </w:pPr>
    <w:rPr>
      <w:rFonts w:ascii="Courier New" w:eastAsia="Verdana" w:hAnsi="Courier New" w:cs="Times New Roman"/>
      <w:i/>
      <w:color w:val="339966"/>
      <w:sz w:val="22"/>
      <w:szCs w:val="18"/>
      <w:lang w:val="lt-LT" w:eastAsia="lt-LT" w:bidi="lt-LT"/>
    </w:rPr>
  </w:style>
  <w:style w:type="character" w:customStyle="1" w:styleId="DraftingNotesAgencyChar">
    <w:name w:val="Drafting Notes (Agency) Char"/>
    <w:link w:val="DraftingNotesAgency"/>
    <w:rsid w:val="00612A8E"/>
    <w:rPr>
      <w:rFonts w:ascii="Courier New" w:eastAsia="Verdana" w:hAnsi="Courier New" w:cs="Times New Roman"/>
      <w:i/>
      <w:color w:val="339966"/>
      <w:szCs w:val="18"/>
      <w:lang w:eastAsia="lt-LT" w:bidi="lt-LT"/>
    </w:rPr>
  </w:style>
  <w:style w:type="paragraph" w:customStyle="1" w:styleId="NormalAgency">
    <w:name w:val="Normal (Agency)"/>
    <w:link w:val="NormalAgencyChar"/>
    <w:rsid w:val="00612A8E"/>
    <w:pPr>
      <w:spacing w:after="0" w:line="240" w:lineRule="auto"/>
    </w:pPr>
    <w:rPr>
      <w:rFonts w:ascii="Verdana" w:eastAsia="Verdana" w:hAnsi="Verdana" w:cs="Verdana"/>
      <w:sz w:val="18"/>
      <w:szCs w:val="18"/>
      <w:lang w:eastAsia="lt-LT" w:bidi="lt-LT"/>
    </w:rPr>
  </w:style>
  <w:style w:type="table" w:customStyle="1" w:styleId="TablegridAgencyblack">
    <w:name w:val="Table grid (Agency) black"/>
    <w:basedOn w:val="prastojilentel"/>
    <w:semiHidden/>
    <w:rsid w:val="00612A8E"/>
    <w:pPr>
      <w:spacing w:after="0" w:line="240" w:lineRule="auto"/>
    </w:pPr>
    <w:rPr>
      <w:rFonts w:ascii="Verdana" w:eastAsia="SimSun" w:hAnsi="Verdana" w:cs="Times New Roman"/>
      <w:sz w:val="18"/>
      <w:szCs w:val="20"/>
      <w:lang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612A8E"/>
    <w:pPr>
      <w:keepNext/>
    </w:pPr>
    <w:rPr>
      <w:rFonts w:eastAsia="Times New Roman"/>
      <w:b/>
    </w:rPr>
  </w:style>
  <w:style w:type="paragraph" w:customStyle="1" w:styleId="TabletextrowsAgency">
    <w:name w:val="Table text rows (Agency)"/>
    <w:basedOn w:val="prastasis"/>
    <w:rsid w:val="00612A8E"/>
    <w:pPr>
      <w:spacing w:line="280" w:lineRule="exact"/>
    </w:pPr>
    <w:rPr>
      <w:rFonts w:ascii="Verdana" w:eastAsia="Times New Roman" w:hAnsi="Verdana" w:cs="Verdana"/>
      <w:sz w:val="18"/>
      <w:szCs w:val="18"/>
      <w:lang w:val="lt-LT" w:eastAsia="lt-LT" w:bidi="lt-LT"/>
    </w:rPr>
  </w:style>
  <w:style w:type="character" w:customStyle="1" w:styleId="NormalAgencyChar">
    <w:name w:val="Normal (Agency) Char"/>
    <w:link w:val="NormalAgency"/>
    <w:rsid w:val="00612A8E"/>
    <w:rPr>
      <w:rFonts w:ascii="Verdana" w:eastAsia="Verdana" w:hAnsi="Verdana" w:cs="Verdana"/>
      <w:sz w:val="18"/>
      <w:szCs w:val="18"/>
      <w:lang w:eastAsia="lt-LT" w:bidi="lt-LT"/>
    </w:rPr>
  </w:style>
  <w:style w:type="character" w:styleId="Komentaronuoroda">
    <w:name w:val="annotation reference"/>
    <w:basedOn w:val="Numatytasispastraiposriftas"/>
    <w:uiPriority w:val="99"/>
    <w:semiHidden/>
    <w:unhideWhenUsed/>
    <w:rsid w:val="00612A8E"/>
    <w:rPr>
      <w:sz w:val="16"/>
      <w:szCs w:val="16"/>
    </w:rPr>
  </w:style>
  <w:style w:type="paragraph" w:styleId="Komentarotema">
    <w:name w:val="annotation subject"/>
    <w:basedOn w:val="Komentarotekstas"/>
    <w:next w:val="Komentarotekstas"/>
    <w:link w:val="KomentarotemaDiagrama"/>
    <w:rsid w:val="00612A8E"/>
    <w:rPr>
      <w:b/>
      <w:bCs/>
    </w:rPr>
  </w:style>
  <w:style w:type="character" w:customStyle="1" w:styleId="KomentarotemaDiagrama">
    <w:name w:val="Komentaro tema Diagrama"/>
    <w:basedOn w:val="KomentarotekstasDiagrama"/>
    <w:link w:val="Komentarotema"/>
    <w:rsid w:val="00612A8E"/>
    <w:rPr>
      <w:rFonts w:ascii="Times New Roman" w:eastAsia="Times New Roman" w:hAnsi="Times New Roman" w:cs="Times New Roman"/>
      <w:b/>
      <w:bCs/>
      <w:sz w:val="20"/>
      <w:szCs w:val="20"/>
      <w:lang w:eastAsia="lt-LT" w:bidi="lt-LT"/>
    </w:rPr>
  </w:style>
  <w:style w:type="character" w:customStyle="1" w:styleId="DoNotTranslateExternal1">
    <w:name w:val="DoNotTranslateExternal1"/>
    <w:qFormat/>
    <w:rsid w:val="00612A8E"/>
    <w:rPr>
      <w:b/>
      <w:noProof/>
      <w:szCs w:val="22"/>
    </w:rPr>
  </w:style>
  <w:style w:type="paragraph" w:customStyle="1" w:styleId="BT-EMEASMCA">
    <w:name w:val="BT- EMEA_SMCA"/>
    <w:basedOn w:val="prastasis"/>
    <w:rsid w:val="005C5D92"/>
    <w:pPr>
      <w:numPr>
        <w:numId w:val="49"/>
      </w:numPr>
    </w:pPr>
  </w:style>
  <w:style w:type="table" w:styleId="Lentelstinklelis">
    <w:name w:val="Table Grid"/>
    <w:basedOn w:val="prastojilentel"/>
    <w:uiPriority w:val="59"/>
    <w:rsid w:val="00562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B7376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B1B3D"/>
    <w:rPr>
      <w:color w:val="605E5C"/>
      <w:shd w:val="clear" w:color="auto" w:fill="E1DFDD"/>
    </w:rPr>
  </w:style>
  <w:style w:type="character" w:customStyle="1" w:styleId="acopre">
    <w:name w:val="acopre"/>
    <w:basedOn w:val="Numatytasispastraiposriftas"/>
    <w:rsid w:val="00A0249E"/>
  </w:style>
  <w:style w:type="character" w:styleId="Emfaz">
    <w:name w:val="Emphasis"/>
    <w:basedOn w:val="Numatytasispastraiposriftas"/>
    <w:uiPriority w:val="20"/>
    <w:qFormat/>
    <w:rsid w:val="00A0249E"/>
    <w:rPr>
      <w:i/>
      <w:iCs/>
    </w:rPr>
  </w:style>
  <w:style w:type="paragraph" w:customStyle="1" w:styleId="Default">
    <w:name w:val="Default"/>
    <w:rsid w:val="009651F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Numatytasispastraiposriftas"/>
    <w:uiPriority w:val="99"/>
    <w:semiHidden/>
    <w:unhideWhenUsed/>
    <w:rsid w:val="00B05148"/>
    <w:rPr>
      <w:color w:val="605E5C"/>
      <w:shd w:val="clear" w:color="auto" w:fill="E1DFDD"/>
    </w:rPr>
  </w:style>
  <w:style w:type="paragraph" w:styleId="Pataisymai">
    <w:name w:val="Revision"/>
    <w:hidden/>
    <w:uiPriority w:val="99"/>
    <w:semiHidden/>
    <w:rsid w:val="00B05148"/>
    <w:pPr>
      <w:spacing w:after="0" w:line="240" w:lineRule="auto"/>
    </w:pPr>
    <w:rPr>
      <w:rFonts w:ascii="Times New Roman" w:hAnsi="Times New Roman"/>
      <w:sz w:val="24"/>
      <w:szCs w:val="20"/>
      <w:lang w:val="sl-SI" w:eastAsia="sl-SI"/>
    </w:rPr>
  </w:style>
  <w:style w:type="character" w:customStyle="1" w:styleId="1">
    <w:name w:val="Ανεπίλυτη αναφορά1"/>
    <w:basedOn w:val="Numatytasispastraiposriftas"/>
    <w:uiPriority w:val="99"/>
    <w:semiHidden/>
    <w:unhideWhenUsed/>
    <w:rsid w:val="004D3709"/>
    <w:rPr>
      <w:color w:val="605E5C"/>
      <w:shd w:val="clear" w:color="auto" w:fill="E1DFDD"/>
    </w:rPr>
  </w:style>
  <w:style w:type="table" w:customStyle="1" w:styleId="TableNormal11">
    <w:name w:val="Table Normal11"/>
    <w:uiPriority w:val="2"/>
    <w:semiHidden/>
    <w:unhideWhenUsed/>
    <w:qFormat/>
    <w:rsid w:val="00772B51"/>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Neapdorotaspaminjimas1">
    <w:name w:val="Neapdorotas paminėjimas1"/>
    <w:basedOn w:val="Numatytasispastraiposriftas"/>
    <w:uiPriority w:val="99"/>
    <w:semiHidden/>
    <w:unhideWhenUsed/>
    <w:rsid w:val="00110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6789">
      <w:bodyDiv w:val="1"/>
      <w:marLeft w:val="0"/>
      <w:marRight w:val="0"/>
      <w:marTop w:val="0"/>
      <w:marBottom w:val="0"/>
      <w:divBdr>
        <w:top w:val="none" w:sz="0" w:space="0" w:color="auto"/>
        <w:left w:val="none" w:sz="0" w:space="0" w:color="auto"/>
        <w:bottom w:val="none" w:sz="0" w:space="0" w:color="auto"/>
        <w:right w:val="none" w:sz="0" w:space="0" w:color="auto"/>
      </w:divBdr>
    </w:div>
    <w:div w:id="564029583">
      <w:bodyDiv w:val="1"/>
      <w:marLeft w:val="0"/>
      <w:marRight w:val="0"/>
      <w:marTop w:val="0"/>
      <w:marBottom w:val="0"/>
      <w:divBdr>
        <w:top w:val="none" w:sz="0" w:space="0" w:color="auto"/>
        <w:left w:val="none" w:sz="0" w:space="0" w:color="auto"/>
        <w:bottom w:val="none" w:sz="0" w:space="0" w:color="auto"/>
        <w:right w:val="none" w:sz="0" w:space="0" w:color="auto"/>
      </w:divBdr>
    </w:div>
    <w:div w:id="751119698">
      <w:bodyDiv w:val="1"/>
      <w:marLeft w:val="0"/>
      <w:marRight w:val="0"/>
      <w:marTop w:val="0"/>
      <w:marBottom w:val="0"/>
      <w:divBdr>
        <w:top w:val="none" w:sz="0" w:space="0" w:color="auto"/>
        <w:left w:val="none" w:sz="0" w:space="0" w:color="auto"/>
        <w:bottom w:val="none" w:sz="0" w:space="0" w:color="auto"/>
        <w:right w:val="none" w:sz="0" w:space="0" w:color="auto"/>
      </w:divBdr>
    </w:div>
    <w:div w:id="778835798">
      <w:bodyDiv w:val="1"/>
      <w:marLeft w:val="0"/>
      <w:marRight w:val="0"/>
      <w:marTop w:val="0"/>
      <w:marBottom w:val="0"/>
      <w:divBdr>
        <w:top w:val="none" w:sz="0" w:space="0" w:color="auto"/>
        <w:left w:val="none" w:sz="0" w:space="0" w:color="auto"/>
        <w:bottom w:val="none" w:sz="0" w:space="0" w:color="auto"/>
        <w:right w:val="none" w:sz="0" w:space="0" w:color="auto"/>
      </w:divBdr>
    </w:div>
    <w:div w:id="847404243">
      <w:bodyDiv w:val="1"/>
      <w:marLeft w:val="0"/>
      <w:marRight w:val="0"/>
      <w:marTop w:val="0"/>
      <w:marBottom w:val="0"/>
      <w:divBdr>
        <w:top w:val="none" w:sz="0" w:space="0" w:color="auto"/>
        <w:left w:val="none" w:sz="0" w:space="0" w:color="auto"/>
        <w:bottom w:val="none" w:sz="0" w:space="0" w:color="auto"/>
        <w:right w:val="none" w:sz="0" w:space="0" w:color="auto"/>
      </w:divBdr>
    </w:div>
    <w:div w:id="877084590">
      <w:bodyDiv w:val="1"/>
      <w:marLeft w:val="0"/>
      <w:marRight w:val="0"/>
      <w:marTop w:val="0"/>
      <w:marBottom w:val="0"/>
      <w:divBdr>
        <w:top w:val="none" w:sz="0" w:space="0" w:color="auto"/>
        <w:left w:val="none" w:sz="0" w:space="0" w:color="auto"/>
        <w:bottom w:val="none" w:sz="0" w:space="0" w:color="auto"/>
        <w:right w:val="none" w:sz="0" w:space="0" w:color="auto"/>
      </w:divBdr>
    </w:div>
    <w:div w:id="978072307">
      <w:bodyDiv w:val="1"/>
      <w:marLeft w:val="0"/>
      <w:marRight w:val="0"/>
      <w:marTop w:val="0"/>
      <w:marBottom w:val="0"/>
      <w:divBdr>
        <w:top w:val="none" w:sz="0" w:space="0" w:color="auto"/>
        <w:left w:val="none" w:sz="0" w:space="0" w:color="auto"/>
        <w:bottom w:val="none" w:sz="0" w:space="0" w:color="auto"/>
        <w:right w:val="none" w:sz="0" w:space="0" w:color="auto"/>
      </w:divBdr>
    </w:div>
    <w:div w:id="1661612784">
      <w:bodyDiv w:val="1"/>
      <w:marLeft w:val="0"/>
      <w:marRight w:val="0"/>
      <w:marTop w:val="0"/>
      <w:marBottom w:val="0"/>
      <w:divBdr>
        <w:top w:val="none" w:sz="0" w:space="0" w:color="auto"/>
        <w:left w:val="none" w:sz="0" w:space="0" w:color="auto"/>
        <w:bottom w:val="none" w:sz="0" w:space="0" w:color="auto"/>
        <w:right w:val="none" w:sz="0" w:space="0" w:color="auto"/>
      </w:divBdr>
    </w:div>
    <w:div w:id="1736514900">
      <w:bodyDiv w:val="1"/>
      <w:marLeft w:val="0"/>
      <w:marRight w:val="0"/>
      <w:marTop w:val="0"/>
      <w:marBottom w:val="0"/>
      <w:divBdr>
        <w:top w:val="none" w:sz="0" w:space="0" w:color="auto"/>
        <w:left w:val="none" w:sz="0" w:space="0" w:color="auto"/>
        <w:bottom w:val="none" w:sz="0" w:space="0" w:color="auto"/>
        <w:right w:val="none" w:sz="0" w:space="0" w:color="auto"/>
      </w:divBdr>
    </w:div>
    <w:div w:id="180219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BD62F-9132-46BB-9065-51BC52C1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45110</Words>
  <Characters>25714</Characters>
  <Application>Microsoft Office Word</Application>
  <DocSecurity>4</DocSecurity>
  <Lines>214</Lines>
  <Paragraphs>141</Paragraphs>
  <ScaleCrop>false</ScaleCrop>
  <HeadingPairs>
    <vt:vector size="6" baseType="variant">
      <vt:variant>
        <vt:lpstr>Τίτλος</vt:lpstr>
      </vt:variant>
      <vt:variant>
        <vt:i4>1</vt:i4>
      </vt:variant>
      <vt:variant>
        <vt:lpstr>Title</vt:lpstr>
      </vt:variant>
      <vt:variant>
        <vt:i4>1</vt:i4>
      </vt:variant>
      <vt:variant>
        <vt:lpstr>Pavadinimas</vt:lpstr>
      </vt:variant>
      <vt:variant>
        <vt:i4>1</vt:i4>
      </vt:variant>
    </vt:vector>
  </HeadingPairs>
  <TitlesOfParts>
    <vt:vector size="3" baseType="lpstr">
      <vt:lpstr/>
      <vt:lpstr/>
      <vt:lpstr/>
    </vt:vector>
  </TitlesOfParts>
  <Company>Teva</Company>
  <LinksUpToDate>false</LinksUpToDate>
  <CharactersWithSpaces>70683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dc:creator>
  <cp:lastModifiedBy>Albina Burkauskaitė</cp:lastModifiedBy>
  <cp:revision>2</cp:revision>
  <dcterms:created xsi:type="dcterms:W3CDTF">2026-04-20T13:12:00Z</dcterms:created>
  <dcterms:modified xsi:type="dcterms:W3CDTF">2026-04-20T13:12:00Z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2021-02-07T11:50:26Z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1d15a92f-966c-42a9-9f5b-74eba74c415a</vt:lpwstr>
  </property>
  <property fmtid="{D5CDD505-2E9C-101B-9397-08002B2CF9AE}" pid="8" name="MSIP_Label_4929bff8-5b33-42aa-95d2-28f72e792cb0_ContentBits">
    <vt:lpwstr>0</vt:lpwstr>
  </property>
</Properties>
</file>