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42D5" w14:textId="77777777" w:rsidR="00DF2186" w:rsidRPr="00A14E24" w:rsidRDefault="00DF2186" w:rsidP="00234E30"/>
    <w:p w14:paraId="2ED2C404" w14:textId="77777777" w:rsidR="00DF2186" w:rsidRPr="00A14E24" w:rsidRDefault="00DF2186" w:rsidP="00234E30"/>
    <w:p w14:paraId="66B690BD" w14:textId="77777777" w:rsidR="00DF2186" w:rsidRPr="00A14E24" w:rsidRDefault="00DF2186" w:rsidP="00234E30"/>
    <w:p w14:paraId="04DB80D9" w14:textId="77777777" w:rsidR="00DF2186" w:rsidRPr="00A14E24" w:rsidRDefault="00DF2186" w:rsidP="00234E30"/>
    <w:p w14:paraId="73EAC4AB" w14:textId="77777777" w:rsidR="00DF2186" w:rsidRPr="00A14E24" w:rsidRDefault="00DF2186" w:rsidP="00234E30"/>
    <w:p w14:paraId="1087CB09" w14:textId="77777777" w:rsidR="00DF2186" w:rsidRPr="00A14E24" w:rsidRDefault="00DF2186" w:rsidP="00234E30"/>
    <w:p w14:paraId="4484D5F0" w14:textId="77777777" w:rsidR="00DF2186" w:rsidRPr="00A14E24" w:rsidRDefault="00DF2186" w:rsidP="00234E30"/>
    <w:p w14:paraId="37101E79" w14:textId="77777777" w:rsidR="00DF2186" w:rsidRPr="00A14E24" w:rsidRDefault="00DF2186" w:rsidP="00234E30"/>
    <w:p w14:paraId="006DC9F9" w14:textId="77777777" w:rsidR="00DF2186" w:rsidRPr="00A14E24" w:rsidRDefault="00DF2186" w:rsidP="00234E30"/>
    <w:p w14:paraId="0EEA09E9" w14:textId="77777777" w:rsidR="00DF2186" w:rsidRPr="00A14E24" w:rsidRDefault="00DF2186" w:rsidP="00234E30"/>
    <w:p w14:paraId="438AE8D1" w14:textId="77777777" w:rsidR="00DF2186" w:rsidRPr="00A14E24" w:rsidRDefault="00DF2186" w:rsidP="00234E30">
      <w:pPr>
        <w:tabs>
          <w:tab w:val="left" w:pos="426"/>
        </w:tabs>
      </w:pPr>
    </w:p>
    <w:p w14:paraId="43126F9B" w14:textId="77777777" w:rsidR="00DF2186" w:rsidRPr="00A14E24" w:rsidRDefault="00DF2186" w:rsidP="00234E30">
      <w:pPr>
        <w:tabs>
          <w:tab w:val="left" w:pos="426"/>
        </w:tabs>
      </w:pPr>
    </w:p>
    <w:p w14:paraId="35506F04" w14:textId="77777777" w:rsidR="00DF2186" w:rsidRPr="00A14E24" w:rsidRDefault="00DF2186" w:rsidP="00234E30">
      <w:pPr>
        <w:tabs>
          <w:tab w:val="left" w:pos="426"/>
        </w:tabs>
      </w:pPr>
    </w:p>
    <w:p w14:paraId="69BFC0E5" w14:textId="77777777" w:rsidR="00DF2186" w:rsidRPr="00A14E24" w:rsidRDefault="00DF2186" w:rsidP="00234E30">
      <w:pPr>
        <w:tabs>
          <w:tab w:val="left" w:pos="426"/>
        </w:tabs>
      </w:pPr>
    </w:p>
    <w:p w14:paraId="7C58063A" w14:textId="77777777" w:rsidR="00DF2186" w:rsidRPr="00A14E24" w:rsidRDefault="00DF2186" w:rsidP="00234E30">
      <w:pPr>
        <w:tabs>
          <w:tab w:val="left" w:pos="426"/>
        </w:tabs>
      </w:pPr>
    </w:p>
    <w:p w14:paraId="57F3D4A2" w14:textId="77777777" w:rsidR="00DF2186" w:rsidRPr="00A14E24" w:rsidRDefault="00DF2186" w:rsidP="00234E30">
      <w:pPr>
        <w:tabs>
          <w:tab w:val="left" w:pos="426"/>
        </w:tabs>
      </w:pPr>
    </w:p>
    <w:p w14:paraId="4031248B" w14:textId="77777777" w:rsidR="00DF2186" w:rsidRPr="00A14E24" w:rsidRDefault="00DF2186" w:rsidP="00234E30">
      <w:pPr>
        <w:tabs>
          <w:tab w:val="left" w:pos="426"/>
        </w:tabs>
      </w:pPr>
    </w:p>
    <w:p w14:paraId="3853AC3B" w14:textId="77777777" w:rsidR="00DF2186" w:rsidRPr="00A14E24" w:rsidRDefault="00DF2186" w:rsidP="00234E30">
      <w:pPr>
        <w:tabs>
          <w:tab w:val="left" w:pos="426"/>
        </w:tabs>
      </w:pPr>
    </w:p>
    <w:p w14:paraId="7D033510" w14:textId="77777777" w:rsidR="00DF2186" w:rsidRPr="00A14E24" w:rsidRDefault="00DF2186" w:rsidP="00234E30">
      <w:pPr>
        <w:tabs>
          <w:tab w:val="left" w:pos="426"/>
        </w:tabs>
      </w:pPr>
    </w:p>
    <w:p w14:paraId="7F179AA6" w14:textId="77777777" w:rsidR="00DF2186" w:rsidRPr="00A14E24" w:rsidRDefault="00DF2186" w:rsidP="00234E30">
      <w:pPr>
        <w:tabs>
          <w:tab w:val="left" w:pos="426"/>
        </w:tabs>
      </w:pPr>
    </w:p>
    <w:p w14:paraId="4794CB9D" w14:textId="77777777" w:rsidR="00DF2186" w:rsidRPr="00A14E24" w:rsidRDefault="00DF2186" w:rsidP="00234E30">
      <w:pPr>
        <w:tabs>
          <w:tab w:val="left" w:pos="426"/>
        </w:tabs>
      </w:pPr>
    </w:p>
    <w:p w14:paraId="325422DF" w14:textId="77777777" w:rsidR="00DF2186" w:rsidRPr="00A14E24" w:rsidRDefault="00DF2186" w:rsidP="00234E30">
      <w:pPr>
        <w:tabs>
          <w:tab w:val="left" w:pos="426"/>
        </w:tabs>
      </w:pPr>
    </w:p>
    <w:p w14:paraId="60CAA0DF" w14:textId="77777777" w:rsidR="00DF2186" w:rsidRPr="00A14E24" w:rsidRDefault="00DF2186" w:rsidP="00234E30">
      <w:pPr>
        <w:tabs>
          <w:tab w:val="left" w:pos="426"/>
        </w:tabs>
      </w:pPr>
    </w:p>
    <w:p w14:paraId="588A7F60" w14:textId="77777777" w:rsidR="00DF2186" w:rsidRPr="00A14E24" w:rsidRDefault="00DF2186" w:rsidP="00DC229F">
      <w:pPr>
        <w:keepNext/>
        <w:tabs>
          <w:tab w:val="left" w:pos="567"/>
        </w:tabs>
        <w:ind w:left="567" w:hanging="567"/>
        <w:jc w:val="center"/>
        <w:outlineLvl w:val="0"/>
        <w:rPr>
          <w:b/>
        </w:rPr>
      </w:pPr>
      <w:bookmarkStart w:id="0" w:name="_Toc129243096"/>
      <w:bookmarkStart w:id="1" w:name="_Toc129243221"/>
      <w:r w:rsidRPr="00A14E24">
        <w:rPr>
          <w:b/>
        </w:rPr>
        <w:t>I</w:t>
      </w:r>
      <w:r w:rsidR="00D83A78" w:rsidRPr="00A14E24">
        <w:rPr>
          <w:b/>
        </w:rPr>
        <w:t> </w:t>
      </w:r>
      <w:r w:rsidRPr="00A14E24">
        <w:rPr>
          <w:b/>
        </w:rPr>
        <w:t>PRIEDAS</w:t>
      </w:r>
      <w:bookmarkEnd w:id="0"/>
      <w:bookmarkEnd w:id="1"/>
    </w:p>
    <w:p w14:paraId="54456316" w14:textId="77777777" w:rsidR="00DF2186" w:rsidRPr="00A14E24" w:rsidRDefault="00DF2186" w:rsidP="00DC229F">
      <w:pPr>
        <w:keepNext/>
        <w:tabs>
          <w:tab w:val="left" w:pos="426"/>
        </w:tabs>
      </w:pPr>
    </w:p>
    <w:p w14:paraId="04F71B56" w14:textId="77777777" w:rsidR="00DF2186" w:rsidRPr="00A14E24" w:rsidRDefault="00DF2186" w:rsidP="00234E30">
      <w:pPr>
        <w:tabs>
          <w:tab w:val="left" w:pos="567"/>
        </w:tabs>
        <w:ind w:left="567" w:hanging="567"/>
        <w:jc w:val="center"/>
        <w:outlineLvl w:val="0"/>
        <w:rPr>
          <w:b/>
        </w:rPr>
      </w:pPr>
      <w:bookmarkStart w:id="2" w:name="_Toc129243097"/>
      <w:bookmarkStart w:id="3" w:name="_Toc129243222"/>
      <w:r w:rsidRPr="00A14E24">
        <w:rPr>
          <w:b/>
        </w:rPr>
        <w:t>PREPARATO CHARAKTERISTIKŲ SANTRAUKA</w:t>
      </w:r>
      <w:bookmarkEnd w:id="2"/>
      <w:bookmarkEnd w:id="3"/>
    </w:p>
    <w:p w14:paraId="16E06BA4" w14:textId="77777777" w:rsidR="00DF2186" w:rsidRPr="00A14E24" w:rsidRDefault="00DF2186" w:rsidP="00982930">
      <w:pPr>
        <w:keepNext/>
        <w:tabs>
          <w:tab w:val="left" w:pos="567"/>
        </w:tabs>
        <w:ind w:left="567" w:hanging="567"/>
        <w:rPr>
          <w:b/>
        </w:rPr>
      </w:pPr>
      <w:r w:rsidRPr="00A14E24">
        <w:rPr>
          <w:b/>
          <w:bCs/>
          <w:iCs/>
        </w:rPr>
        <w:br w:type="page"/>
      </w:r>
      <w:r w:rsidRPr="00A14E24">
        <w:rPr>
          <w:b/>
        </w:rPr>
        <w:lastRenderedPageBreak/>
        <w:t>1.</w:t>
      </w:r>
      <w:r w:rsidRPr="00A14E24">
        <w:rPr>
          <w:b/>
        </w:rPr>
        <w:tab/>
        <w:t>VAISTINIO PREPARATO PAVADINIMAS</w:t>
      </w:r>
    </w:p>
    <w:p w14:paraId="3A8E2B4D" w14:textId="77777777" w:rsidR="00DF2186" w:rsidRPr="00A14E24" w:rsidRDefault="00DF2186" w:rsidP="00DC229F">
      <w:pPr>
        <w:keepNext/>
        <w:tabs>
          <w:tab w:val="left" w:pos="426"/>
        </w:tabs>
      </w:pPr>
    </w:p>
    <w:p w14:paraId="392EAA8C" w14:textId="04440357" w:rsidR="00297FCE" w:rsidRPr="00A14E24" w:rsidRDefault="00297FCE" w:rsidP="007D28C5">
      <w:pPr>
        <w:jc w:val="both"/>
      </w:pPr>
      <w:proofErr w:type="spellStart"/>
      <w:r w:rsidRPr="00A14E24">
        <w:t>Ibuprofen</w:t>
      </w:r>
      <w:proofErr w:type="spellEnd"/>
      <w:r w:rsidRPr="00A14E24">
        <w:t xml:space="preserve"> </w:t>
      </w:r>
      <w:r w:rsidR="00FF3EB5" w:rsidRPr="00A14E24">
        <w:t>STADA</w:t>
      </w:r>
      <w:r w:rsidR="00C46241" w:rsidRPr="00A14E24">
        <w:t xml:space="preserve"> </w:t>
      </w:r>
      <w:proofErr w:type="spellStart"/>
      <w:r w:rsidR="00C46241" w:rsidRPr="00A14E24">
        <w:t>Arzneimittel</w:t>
      </w:r>
      <w:proofErr w:type="spellEnd"/>
      <w:r w:rsidRPr="00A14E24">
        <w:t xml:space="preserve"> 600 mg plėvele dengtos tabletės</w:t>
      </w:r>
    </w:p>
    <w:p w14:paraId="133BB837" w14:textId="77777777" w:rsidR="00DF2186" w:rsidRPr="00A14E24" w:rsidRDefault="00DF2186" w:rsidP="00234E30">
      <w:pPr>
        <w:tabs>
          <w:tab w:val="left" w:pos="426"/>
        </w:tabs>
      </w:pPr>
    </w:p>
    <w:p w14:paraId="7516D824" w14:textId="77777777" w:rsidR="00DF2186" w:rsidRPr="00A14E24" w:rsidRDefault="00DF2186" w:rsidP="00234E30">
      <w:pPr>
        <w:tabs>
          <w:tab w:val="left" w:pos="426"/>
        </w:tabs>
      </w:pPr>
    </w:p>
    <w:p w14:paraId="086EC5D5" w14:textId="77777777" w:rsidR="00DF2186" w:rsidRPr="00A14E24" w:rsidRDefault="00DF2186" w:rsidP="00234E30">
      <w:pPr>
        <w:keepNext/>
        <w:tabs>
          <w:tab w:val="left" w:pos="567"/>
        </w:tabs>
        <w:ind w:left="567" w:hanging="567"/>
        <w:outlineLvl w:val="1"/>
        <w:rPr>
          <w:b/>
        </w:rPr>
      </w:pPr>
      <w:bookmarkStart w:id="4" w:name="_Toc129243099"/>
      <w:bookmarkStart w:id="5" w:name="_Toc129243224"/>
      <w:r w:rsidRPr="00A14E24">
        <w:rPr>
          <w:b/>
        </w:rPr>
        <w:t>2.</w:t>
      </w:r>
      <w:r w:rsidRPr="00A14E24">
        <w:rPr>
          <w:b/>
        </w:rPr>
        <w:tab/>
        <w:t>KOKYBINĖ IR KIEKYBINĖ SUDĖTIS</w:t>
      </w:r>
      <w:bookmarkEnd w:id="4"/>
      <w:bookmarkEnd w:id="5"/>
    </w:p>
    <w:p w14:paraId="1CA82D76" w14:textId="77777777" w:rsidR="00DF2186" w:rsidRPr="00A14E24" w:rsidRDefault="00DF2186" w:rsidP="00DC229F">
      <w:pPr>
        <w:keepNext/>
        <w:tabs>
          <w:tab w:val="left" w:pos="426"/>
        </w:tabs>
      </w:pPr>
    </w:p>
    <w:p w14:paraId="64346657" w14:textId="3E764628" w:rsidR="00297FCE" w:rsidRPr="00A14E24" w:rsidRDefault="00297FCE" w:rsidP="007D28C5">
      <w:pPr>
        <w:jc w:val="both"/>
      </w:pPr>
      <w:r w:rsidRPr="00A14E24">
        <w:t xml:space="preserve">Kiekvienoje plėvele dengtoje tabletėje yra 600 mg </w:t>
      </w:r>
      <w:proofErr w:type="spellStart"/>
      <w:r w:rsidRPr="00A14E24">
        <w:t>ibuprofeno</w:t>
      </w:r>
      <w:proofErr w:type="spellEnd"/>
      <w:r w:rsidRPr="00A14E24">
        <w:t>.</w:t>
      </w:r>
    </w:p>
    <w:p w14:paraId="4946F770" w14:textId="77777777" w:rsidR="00297FCE" w:rsidRPr="00A14E24" w:rsidRDefault="00297FCE" w:rsidP="00297FCE">
      <w:pPr>
        <w:jc w:val="both"/>
      </w:pPr>
    </w:p>
    <w:p w14:paraId="16D03C77" w14:textId="77777777" w:rsidR="00DF2186" w:rsidRPr="00A14E24" w:rsidRDefault="00DF2186" w:rsidP="00234E30">
      <w:pPr>
        <w:tabs>
          <w:tab w:val="left" w:pos="426"/>
        </w:tabs>
      </w:pPr>
      <w:r w:rsidRPr="00A14E24">
        <w:t>Visos pagalbinės medžiagos išvardytos 6.1 skyriuje.</w:t>
      </w:r>
    </w:p>
    <w:p w14:paraId="4DAC718E" w14:textId="77777777" w:rsidR="00DF2186" w:rsidRPr="00A14E24" w:rsidRDefault="00DF2186" w:rsidP="00234E30">
      <w:pPr>
        <w:tabs>
          <w:tab w:val="left" w:pos="426"/>
        </w:tabs>
      </w:pPr>
    </w:p>
    <w:p w14:paraId="6B8D23A2" w14:textId="77777777" w:rsidR="00DF2186" w:rsidRPr="00A14E24" w:rsidRDefault="00DF2186" w:rsidP="00234E30">
      <w:pPr>
        <w:tabs>
          <w:tab w:val="left" w:pos="426"/>
        </w:tabs>
      </w:pPr>
    </w:p>
    <w:p w14:paraId="209CEFE5" w14:textId="77777777" w:rsidR="00DF2186" w:rsidRPr="00A14E24" w:rsidRDefault="00DF2186" w:rsidP="00234E30">
      <w:pPr>
        <w:keepNext/>
        <w:tabs>
          <w:tab w:val="left" w:pos="567"/>
        </w:tabs>
        <w:ind w:left="567" w:hanging="567"/>
        <w:outlineLvl w:val="1"/>
        <w:rPr>
          <w:b/>
        </w:rPr>
      </w:pPr>
      <w:bookmarkStart w:id="6" w:name="_Toc129243100"/>
      <w:bookmarkStart w:id="7" w:name="_Toc129243225"/>
      <w:r w:rsidRPr="00A14E24">
        <w:rPr>
          <w:b/>
        </w:rPr>
        <w:t>3.</w:t>
      </w:r>
      <w:r w:rsidRPr="00A14E24">
        <w:rPr>
          <w:b/>
        </w:rPr>
        <w:tab/>
        <w:t>FARMACINĖ FORMA</w:t>
      </w:r>
      <w:bookmarkEnd w:id="6"/>
      <w:bookmarkEnd w:id="7"/>
    </w:p>
    <w:p w14:paraId="3FABE95A" w14:textId="77777777" w:rsidR="00DF2186" w:rsidRPr="00A14E24" w:rsidRDefault="00DF2186" w:rsidP="00DC229F">
      <w:pPr>
        <w:keepNext/>
        <w:tabs>
          <w:tab w:val="left" w:pos="426"/>
        </w:tabs>
      </w:pPr>
    </w:p>
    <w:p w14:paraId="4123EE46" w14:textId="082CABD5" w:rsidR="00DF2186" w:rsidRPr="00A14E24" w:rsidRDefault="00F03964" w:rsidP="00234E30">
      <w:pPr>
        <w:tabs>
          <w:tab w:val="left" w:pos="426"/>
        </w:tabs>
        <w:rPr>
          <w:rStyle w:val="MSGENFONTSTYLENAMETEMPLATEROLEMSGENFONTSTYLENAMEBYROLETEXT"/>
          <w:color w:val="000000"/>
          <w:sz w:val="22"/>
        </w:rPr>
      </w:pPr>
      <w:r w:rsidRPr="00A14E24">
        <w:t>Plėvele dengta tabletė</w:t>
      </w:r>
      <w:r w:rsidR="00DF2186" w:rsidRPr="00A14E24">
        <w:t>.</w:t>
      </w:r>
    </w:p>
    <w:p w14:paraId="5C654B33" w14:textId="5FF16E54" w:rsidR="00982930" w:rsidRPr="00A14E24" w:rsidRDefault="00982930" w:rsidP="00982930">
      <w:pPr>
        <w:tabs>
          <w:tab w:val="left" w:pos="426"/>
        </w:tabs>
        <w:rPr>
          <w:u w:val="single"/>
        </w:rPr>
      </w:pPr>
    </w:p>
    <w:p w14:paraId="4C922758" w14:textId="7F967D50" w:rsidR="00297FCE" w:rsidRPr="00A14E24" w:rsidRDefault="007D28C5" w:rsidP="007D28C5">
      <w:pPr>
        <w:autoSpaceDE w:val="0"/>
        <w:autoSpaceDN w:val="0"/>
        <w:adjustRightInd w:val="0"/>
      </w:pPr>
      <w:r w:rsidRPr="00A14E24">
        <w:t>K</w:t>
      </w:r>
      <w:r w:rsidR="00297FCE" w:rsidRPr="00A14E24">
        <w:t>apsulės formos (17 mm x 9 mm) balta arba beveik balta plėvele dengta tabletė, kurios vienoje pusėje įspausta „I 7“.</w:t>
      </w:r>
    </w:p>
    <w:p w14:paraId="2E8BB963" w14:textId="77777777" w:rsidR="00DF2186" w:rsidRPr="00A14E24" w:rsidRDefault="00DF2186" w:rsidP="00C46241">
      <w:pPr>
        <w:tabs>
          <w:tab w:val="left" w:pos="426"/>
        </w:tabs>
      </w:pPr>
    </w:p>
    <w:p w14:paraId="68893953" w14:textId="77777777" w:rsidR="004B7F9B" w:rsidRPr="00A14E24" w:rsidRDefault="004B7F9B" w:rsidP="00C46241">
      <w:pPr>
        <w:tabs>
          <w:tab w:val="left" w:pos="426"/>
        </w:tabs>
      </w:pPr>
    </w:p>
    <w:p w14:paraId="4153E03C" w14:textId="77777777" w:rsidR="00DF2186" w:rsidRPr="00A14E24" w:rsidRDefault="00DF2186" w:rsidP="00C46241">
      <w:pPr>
        <w:keepNext/>
        <w:tabs>
          <w:tab w:val="left" w:pos="567"/>
        </w:tabs>
        <w:ind w:left="567" w:hanging="567"/>
        <w:outlineLvl w:val="1"/>
        <w:rPr>
          <w:b/>
        </w:rPr>
      </w:pPr>
      <w:bookmarkStart w:id="8" w:name="_Toc129243101"/>
      <w:bookmarkStart w:id="9" w:name="_Toc129243226"/>
      <w:r w:rsidRPr="00A14E24">
        <w:rPr>
          <w:b/>
        </w:rPr>
        <w:t>4.</w:t>
      </w:r>
      <w:r w:rsidRPr="00A14E24">
        <w:rPr>
          <w:b/>
        </w:rPr>
        <w:tab/>
        <w:t>KLINIKINĖ INFORMACIJA</w:t>
      </w:r>
      <w:bookmarkEnd w:id="8"/>
      <w:bookmarkEnd w:id="9"/>
    </w:p>
    <w:p w14:paraId="49CE2C65" w14:textId="77777777" w:rsidR="00DF2186" w:rsidRPr="00A14E24" w:rsidRDefault="00DF2186" w:rsidP="00C46241">
      <w:pPr>
        <w:keepNext/>
        <w:tabs>
          <w:tab w:val="left" w:pos="426"/>
        </w:tabs>
      </w:pPr>
    </w:p>
    <w:p w14:paraId="058A0D4A" w14:textId="77777777" w:rsidR="00DF2186" w:rsidRPr="00A14E24" w:rsidRDefault="00DF2186" w:rsidP="00C46241">
      <w:pPr>
        <w:keepNext/>
        <w:keepLines/>
        <w:tabs>
          <w:tab w:val="left" w:pos="567"/>
        </w:tabs>
        <w:ind w:left="567" w:hanging="567"/>
        <w:outlineLvl w:val="2"/>
        <w:rPr>
          <w:b/>
          <w:kern w:val="28"/>
        </w:rPr>
      </w:pPr>
      <w:bookmarkStart w:id="10" w:name="_Toc129243102"/>
      <w:bookmarkStart w:id="11" w:name="_Toc129243227"/>
      <w:r w:rsidRPr="00A14E24">
        <w:rPr>
          <w:b/>
          <w:kern w:val="28"/>
        </w:rPr>
        <w:t>4.1</w:t>
      </w:r>
      <w:r w:rsidRPr="00A14E24">
        <w:rPr>
          <w:b/>
          <w:kern w:val="28"/>
        </w:rPr>
        <w:tab/>
        <w:t>Terapinės indikacijos</w:t>
      </w:r>
      <w:bookmarkEnd w:id="10"/>
      <w:bookmarkEnd w:id="11"/>
    </w:p>
    <w:p w14:paraId="1C2C8742" w14:textId="77777777" w:rsidR="00CC424D" w:rsidRPr="00A14E24" w:rsidRDefault="00CC424D" w:rsidP="00C46241">
      <w:pPr>
        <w:tabs>
          <w:tab w:val="left" w:pos="567"/>
        </w:tabs>
        <w:rPr>
          <w:rFonts w:eastAsia="Times New Roman"/>
        </w:rPr>
      </w:pPr>
      <w:bookmarkStart w:id="12" w:name="_Toc129243103"/>
      <w:bookmarkStart w:id="13" w:name="_Toc129243228"/>
    </w:p>
    <w:p w14:paraId="326914CA" w14:textId="700C3E74" w:rsidR="00982930" w:rsidRPr="00A14E24" w:rsidRDefault="00754632" w:rsidP="0024603C">
      <w:pPr>
        <w:tabs>
          <w:tab w:val="left" w:pos="567"/>
        </w:tabs>
        <w:rPr>
          <w:rFonts w:eastAsia="Times New Roman"/>
        </w:rPr>
      </w:pPr>
      <w:proofErr w:type="spellStart"/>
      <w:r w:rsidRPr="00A14E24">
        <w:t>Ibuprofen</w:t>
      </w:r>
      <w:proofErr w:type="spellEnd"/>
      <w:r w:rsidRPr="00A14E24">
        <w:t xml:space="preserve"> </w:t>
      </w:r>
      <w:r w:rsidR="00FF3EB5" w:rsidRPr="00A14E24">
        <w:t>STADA</w:t>
      </w:r>
      <w:r w:rsidR="00C46241" w:rsidRPr="00A14E24">
        <w:t xml:space="preserve"> </w:t>
      </w:r>
      <w:proofErr w:type="spellStart"/>
      <w:r w:rsidR="00C46241" w:rsidRPr="00A14E24">
        <w:t>Arzneimittel</w:t>
      </w:r>
      <w:proofErr w:type="spellEnd"/>
      <w:r w:rsidRPr="00A14E24">
        <w:rPr>
          <w:rFonts w:eastAsia="Times New Roman"/>
        </w:rPr>
        <w:t xml:space="preserve">  skirtas s</w:t>
      </w:r>
      <w:r w:rsidR="00982930" w:rsidRPr="00A14E24">
        <w:rPr>
          <w:rFonts w:eastAsia="Times New Roman"/>
        </w:rPr>
        <w:t>imptomini</w:t>
      </w:r>
      <w:r w:rsidRPr="00A14E24">
        <w:rPr>
          <w:rFonts w:eastAsia="Times New Roman"/>
        </w:rPr>
        <w:t>am</w:t>
      </w:r>
      <w:r w:rsidR="00982930" w:rsidRPr="00A14E24">
        <w:rPr>
          <w:rFonts w:eastAsia="Times New Roman"/>
        </w:rPr>
        <w:t xml:space="preserve"> skausmo </w:t>
      </w:r>
      <w:r w:rsidR="00C67988" w:rsidRPr="00A14E24">
        <w:rPr>
          <w:rFonts w:eastAsia="Times New Roman"/>
        </w:rPr>
        <w:t>malšinim</w:t>
      </w:r>
      <w:r w:rsidRPr="00A14E24">
        <w:rPr>
          <w:rFonts w:eastAsia="Times New Roman"/>
        </w:rPr>
        <w:t>ui</w:t>
      </w:r>
      <w:r w:rsidR="00C67988" w:rsidRPr="00A14E24">
        <w:rPr>
          <w:rFonts w:eastAsia="Times New Roman"/>
        </w:rPr>
        <w:t xml:space="preserve"> </w:t>
      </w:r>
      <w:r w:rsidR="00982930" w:rsidRPr="00A14E24">
        <w:rPr>
          <w:rFonts w:eastAsia="Times New Roman"/>
        </w:rPr>
        <w:t xml:space="preserve">ir uždegimo </w:t>
      </w:r>
      <w:r w:rsidR="00C67988" w:rsidRPr="00A14E24">
        <w:rPr>
          <w:rFonts w:eastAsia="Times New Roman"/>
        </w:rPr>
        <w:t>slopinim</w:t>
      </w:r>
      <w:r w:rsidRPr="00A14E24">
        <w:rPr>
          <w:rFonts w:eastAsia="Times New Roman"/>
        </w:rPr>
        <w:t>ui</w:t>
      </w:r>
      <w:r w:rsidR="00C67988" w:rsidRPr="00A14E24">
        <w:rPr>
          <w:rFonts w:eastAsia="Times New Roman"/>
        </w:rPr>
        <w:t xml:space="preserve"> </w:t>
      </w:r>
      <w:r w:rsidR="00982930" w:rsidRPr="00A14E24">
        <w:rPr>
          <w:rFonts w:eastAsia="Times New Roman"/>
        </w:rPr>
        <w:t xml:space="preserve">sergant </w:t>
      </w:r>
      <w:r w:rsidRPr="00A14E24">
        <w:rPr>
          <w:rFonts w:eastAsia="Times New Roman"/>
        </w:rPr>
        <w:t>artritu pasireiškiančiomis</w:t>
      </w:r>
      <w:r w:rsidR="00982930" w:rsidRPr="00A14E24">
        <w:rPr>
          <w:rFonts w:eastAsia="Times New Roman"/>
        </w:rPr>
        <w:t xml:space="preserve"> ligomis</w:t>
      </w:r>
      <w:r w:rsidRPr="00A14E24">
        <w:rPr>
          <w:rFonts w:eastAsia="Times New Roman"/>
        </w:rPr>
        <w:t xml:space="preserve"> (pvz., reumatoidiniu artritu), degeneracinėmis sąnarių ligomis (pvz.,</w:t>
      </w:r>
      <w:r w:rsidR="00982930" w:rsidRPr="00A14E24">
        <w:rPr>
          <w:rFonts w:eastAsia="Times New Roman"/>
        </w:rPr>
        <w:t xml:space="preserve"> </w:t>
      </w:r>
      <w:proofErr w:type="spellStart"/>
      <w:r w:rsidR="00982930" w:rsidRPr="00A14E24">
        <w:rPr>
          <w:rFonts w:eastAsia="Times New Roman"/>
        </w:rPr>
        <w:t>osteoartrit</w:t>
      </w:r>
      <w:r w:rsidRPr="00A14E24">
        <w:rPr>
          <w:rFonts w:eastAsia="Times New Roman"/>
        </w:rPr>
        <w:t>u</w:t>
      </w:r>
      <w:proofErr w:type="spellEnd"/>
      <w:r w:rsidRPr="00A14E24">
        <w:rPr>
          <w:rFonts w:eastAsia="Times New Roman"/>
        </w:rPr>
        <w:t>) bei pasireiškus skausmingam patinimui ir uždegimui po</w:t>
      </w:r>
      <w:r w:rsidR="00982930" w:rsidRPr="00A14E24">
        <w:rPr>
          <w:rFonts w:eastAsia="Times New Roman"/>
        </w:rPr>
        <w:t xml:space="preserve"> minkštųjų audinių pažaid</w:t>
      </w:r>
      <w:r w:rsidRPr="00A14E24">
        <w:rPr>
          <w:rFonts w:eastAsia="Times New Roman"/>
        </w:rPr>
        <w:t>os suaugusiesiems ir vyresniems kaip 1</w:t>
      </w:r>
      <w:r w:rsidR="0012284F">
        <w:rPr>
          <w:rFonts w:eastAsia="Times New Roman"/>
        </w:rPr>
        <w:t>5</w:t>
      </w:r>
      <w:r w:rsidRPr="00A14E24">
        <w:rPr>
          <w:rFonts w:eastAsia="Times New Roman"/>
        </w:rPr>
        <w:t> metų paaugliams (sveriantiems ≥ </w:t>
      </w:r>
      <w:r w:rsidR="0012284F">
        <w:rPr>
          <w:rFonts w:eastAsia="Times New Roman"/>
        </w:rPr>
        <w:t>5</w:t>
      </w:r>
      <w:r w:rsidRPr="00A14E24">
        <w:rPr>
          <w:rFonts w:eastAsia="Times New Roman"/>
        </w:rPr>
        <w:t>0 kg).</w:t>
      </w:r>
    </w:p>
    <w:p w14:paraId="01D0AB43" w14:textId="77777777" w:rsidR="00825532" w:rsidRDefault="00825532" w:rsidP="00825532">
      <w:pPr>
        <w:ind w:right="-1"/>
      </w:pPr>
    </w:p>
    <w:p w14:paraId="13AD0300" w14:textId="20C4D563" w:rsidR="00825532" w:rsidRPr="00B01F18" w:rsidRDefault="00825532" w:rsidP="00825532">
      <w:pPr>
        <w:ind w:right="-1"/>
      </w:pPr>
      <w:proofErr w:type="spellStart"/>
      <w:r>
        <w:t>Ibuprofen</w:t>
      </w:r>
      <w:proofErr w:type="spellEnd"/>
      <w:r>
        <w:t xml:space="preserve"> STADA </w:t>
      </w:r>
      <w:proofErr w:type="spellStart"/>
      <w:r>
        <w:t>Arzneimittel</w:t>
      </w:r>
      <w:proofErr w:type="spellEnd"/>
      <w:r>
        <w:t xml:space="preserve"> </w:t>
      </w:r>
      <w:r w:rsidR="00350C35">
        <w:t>600 mg</w:t>
      </w:r>
      <w:r w:rsidRPr="00B01F18">
        <w:t xml:space="preserve">  skirt</w:t>
      </w:r>
      <w:r>
        <w:t>a</w:t>
      </w:r>
      <w:r w:rsidRPr="00B01F18">
        <w:t xml:space="preserve">s </w:t>
      </w:r>
      <w:r w:rsidRPr="00BC0820">
        <w:t xml:space="preserve">suaugusiesiems ir </w:t>
      </w:r>
      <w:r w:rsidR="005511B0" w:rsidRPr="00BC0820">
        <w:rPr>
          <w:rFonts w:eastAsia="Times New Roman"/>
        </w:rPr>
        <w:t>≥ </w:t>
      </w:r>
      <w:r w:rsidR="005511B0" w:rsidRPr="00BC0820">
        <w:t>5</w:t>
      </w:r>
      <w:r w:rsidRPr="00BC0820">
        <w:t>0 kg sveriantiems</w:t>
      </w:r>
      <w:r w:rsidRPr="00B01F18">
        <w:t xml:space="preserve"> paaugliams (1</w:t>
      </w:r>
      <w:r w:rsidR="005511B0">
        <w:t>5</w:t>
      </w:r>
      <w:r w:rsidRPr="00B01F18">
        <w:t> metų ir vyresniems).</w:t>
      </w:r>
    </w:p>
    <w:p w14:paraId="3F1FF1AD" w14:textId="77777777" w:rsidR="00CC424D" w:rsidRPr="00A14E24" w:rsidRDefault="00CC424D" w:rsidP="0024603C">
      <w:pPr>
        <w:rPr>
          <w:rFonts w:eastAsia="Times New Roman"/>
        </w:rPr>
      </w:pPr>
    </w:p>
    <w:p w14:paraId="47876179" w14:textId="77777777" w:rsidR="00DF2186" w:rsidRPr="00A14E24" w:rsidRDefault="00DF2186" w:rsidP="0024603C">
      <w:pPr>
        <w:keepNext/>
        <w:keepLines/>
        <w:tabs>
          <w:tab w:val="left" w:pos="567"/>
        </w:tabs>
        <w:ind w:left="567" w:hanging="567"/>
        <w:outlineLvl w:val="2"/>
        <w:rPr>
          <w:u w:val="single"/>
        </w:rPr>
      </w:pPr>
      <w:r w:rsidRPr="00A14E24">
        <w:rPr>
          <w:b/>
          <w:kern w:val="28"/>
        </w:rPr>
        <w:t>4.2</w:t>
      </w:r>
      <w:r w:rsidRPr="00A14E24">
        <w:rPr>
          <w:b/>
          <w:kern w:val="28"/>
        </w:rPr>
        <w:tab/>
        <w:t>Dozavimas ir vartojimo metodas</w:t>
      </w:r>
      <w:bookmarkEnd w:id="12"/>
      <w:bookmarkEnd w:id="13"/>
    </w:p>
    <w:p w14:paraId="2FB340D1" w14:textId="77777777" w:rsidR="00CC424D" w:rsidRPr="00A14E24" w:rsidRDefault="00CC424D" w:rsidP="0024603C">
      <w:pPr>
        <w:rPr>
          <w:rFonts w:eastAsia="Times New Roman"/>
        </w:rPr>
      </w:pPr>
      <w:bookmarkStart w:id="14" w:name="_Toc129243104"/>
      <w:bookmarkStart w:id="15" w:name="_Toc129243229"/>
    </w:p>
    <w:p w14:paraId="34AE29E0" w14:textId="4FC6F8E0" w:rsidR="00FD76A8" w:rsidRPr="00A14E24" w:rsidRDefault="0024603C" w:rsidP="0024603C">
      <w:pPr>
        <w:rPr>
          <w:u w:val="single"/>
        </w:rPr>
      </w:pPr>
      <w:r w:rsidRPr="00A14E24">
        <w:rPr>
          <w:u w:val="single"/>
        </w:rPr>
        <w:t>Dozavimas</w:t>
      </w:r>
    </w:p>
    <w:p w14:paraId="188933F8" w14:textId="501BC092" w:rsidR="00FD76A8" w:rsidRPr="00A14E24" w:rsidRDefault="004676B6" w:rsidP="0024603C">
      <w:r w:rsidRPr="00A14E24">
        <w:t>Gydymą reikia pradėti mažiausia numatoma veiksminga doze, kurią vėliau galima koreguoti, priklausomai nuo terapinio atsako ir bet kokio nepageidaujamo poveikio. Ilgalaikio gydymo metu reikia siekti vartoti mažą palaikomąją dozę.</w:t>
      </w:r>
    </w:p>
    <w:p w14:paraId="629B7068" w14:textId="77777777" w:rsidR="00FD76A8" w:rsidRPr="00A14E24" w:rsidRDefault="00FD76A8" w:rsidP="0024603C"/>
    <w:p w14:paraId="00343248" w14:textId="7B71B94E" w:rsidR="00FD76A8" w:rsidRPr="00A14E24" w:rsidRDefault="0024603C" w:rsidP="0024603C">
      <w:r w:rsidRPr="00A14E24">
        <w:t>Nepageidaujam</w:t>
      </w:r>
      <w:r w:rsidR="00554057" w:rsidRPr="00A14E24">
        <w:t>ą</w:t>
      </w:r>
      <w:r w:rsidRPr="00A14E24">
        <w:t xml:space="preserve"> poveik</w:t>
      </w:r>
      <w:r w:rsidR="00554057" w:rsidRPr="00A14E24">
        <w:t>į</w:t>
      </w:r>
      <w:r w:rsidRPr="00A14E24">
        <w:t xml:space="preserve"> gali</w:t>
      </w:r>
      <w:r w:rsidR="00257970" w:rsidRPr="00A14E24">
        <w:t>ma</w:t>
      </w:r>
      <w:r w:rsidRPr="00A14E24">
        <w:t xml:space="preserve"> sumaž</w:t>
      </w:r>
      <w:r w:rsidR="00257970" w:rsidRPr="00A14E24">
        <w:t>inti</w:t>
      </w:r>
      <w:r w:rsidRPr="00A14E24">
        <w:t xml:space="preserve"> vartojant mažiausią veiksmingą vaistinio preparato dozę trumpiausią laiką, būtiną simptomų kontrolei </w:t>
      </w:r>
      <w:r w:rsidR="00FD76A8" w:rsidRPr="00A14E24">
        <w:t>(</w:t>
      </w:r>
      <w:r w:rsidRPr="00A14E24">
        <w:t>žr.</w:t>
      </w:r>
      <w:r w:rsidR="00FD76A8" w:rsidRPr="00A14E24">
        <w:t xml:space="preserve"> 4.4</w:t>
      </w:r>
      <w:r w:rsidRPr="00A14E24">
        <w:t> skyrių</w:t>
      </w:r>
      <w:r w:rsidR="00FD76A8" w:rsidRPr="00A14E24">
        <w:t>).</w:t>
      </w:r>
    </w:p>
    <w:p w14:paraId="6D79A83B" w14:textId="77777777" w:rsidR="00FD76A8" w:rsidRPr="00A14E24" w:rsidRDefault="00FD76A8" w:rsidP="0024603C"/>
    <w:p w14:paraId="6F37C27D" w14:textId="43CB1E7F" w:rsidR="00FD76A8" w:rsidRDefault="0024603C" w:rsidP="0024603C">
      <w:pPr>
        <w:rPr>
          <w:i/>
          <w:iCs/>
          <w:u w:val="single"/>
        </w:rPr>
      </w:pPr>
      <w:r w:rsidRPr="00A14E24">
        <w:rPr>
          <w:i/>
          <w:iCs/>
          <w:u w:val="single"/>
        </w:rPr>
        <w:t>Suaugusiesiems ir vyresniems kaip 1</w:t>
      </w:r>
      <w:r w:rsidR="00EC2B1E">
        <w:rPr>
          <w:i/>
          <w:iCs/>
          <w:u w:val="single"/>
        </w:rPr>
        <w:t>5</w:t>
      </w:r>
      <w:r w:rsidRPr="00A14E24">
        <w:rPr>
          <w:i/>
          <w:iCs/>
          <w:u w:val="single"/>
        </w:rPr>
        <w:t> metų paaugliams (</w:t>
      </w:r>
      <w:r w:rsidRPr="00E0368F">
        <w:rPr>
          <w:i/>
          <w:iCs/>
          <w:u w:val="single"/>
        </w:rPr>
        <w:t>sveriantiems ≥ </w:t>
      </w:r>
      <w:r w:rsidR="00EC2B1E">
        <w:rPr>
          <w:i/>
          <w:iCs/>
          <w:u w:val="single"/>
        </w:rPr>
        <w:t>5</w:t>
      </w:r>
      <w:r w:rsidRPr="00E0368F">
        <w:rPr>
          <w:i/>
          <w:iCs/>
          <w:u w:val="single"/>
        </w:rPr>
        <w:t>0 kg)</w:t>
      </w:r>
    </w:p>
    <w:p w14:paraId="1D71716A" w14:textId="77777777" w:rsidR="0052452B" w:rsidRPr="00A14E24" w:rsidRDefault="0052452B" w:rsidP="0024603C">
      <w:pPr>
        <w:rPr>
          <w:i/>
          <w:iCs/>
          <w:u w:val="single"/>
        </w:rPr>
      </w:pPr>
    </w:p>
    <w:p w14:paraId="492D2295" w14:textId="0AFF350C" w:rsidR="00FD76A8" w:rsidRPr="00401DCB" w:rsidRDefault="003E7E0F" w:rsidP="0024603C">
      <w:pPr>
        <w:rPr>
          <w:i/>
          <w:iCs/>
        </w:rPr>
      </w:pPr>
      <w:r w:rsidRPr="00401DCB">
        <w:rPr>
          <w:i/>
          <w:iCs/>
        </w:rPr>
        <w:t>Reumatinės ligos</w:t>
      </w:r>
      <w:r w:rsidR="0079370E" w:rsidRPr="00E0368F">
        <w:rPr>
          <w:i/>
          <w:iCs/>
        </w:rPr>
        <w:t xml:space="preserve"> </w:t>
      </w:r>
      <w:r w:rsidR="00401DCB" w:rsidRPr="00E0368F">
        <w:rPr>
          <w:i/>
          <w:iCs/>
        </w:rPr>
        <w:t xml:space="preserve">ir skausmingas patinimas </w:t>
      </w:r>
      <w:r w:rsidR="00967284">
        <w:rPr>
          <w:i/>
          <w:iCs/>
        </w:rPr>
        <w:t>bei</w:t>
      </w:r>
      <w:r w:rsidR="00401DCB" w:rsidRPr="00E0368F">
        <w:rPr>
          <w:i/>
          <w:iCs/>
        </w:rPr>
        <w:t xml:space="preserve"> uždegimas po </w:t>
      </w:r>
      <w:r w:rsidR="0079370E" w:rsidRPr="00401DCB">
        <w:rPr>
          <w:i/>
          <w:iCs/>
        </w:rPr>
        <w:t>minkštųjų audinių</w:t>
      </w:r>
      <w:r w:rsidR="00401DCB" w:rsidRPr="00401DCB">
        <w:rPr>
          <w:i/>
          <w:iCs/>
        </w:rPr>
        <w:t xml:space="preserve"> </w:t>
      </w:r>
      <w:r w:rsidR="00A534EC">
        <w:rPr>
          <w:i/>
          <w:iCs/>
        </w:rPr>
        <w:t>pažaidos</w:t>
      </w:r>
    </w:p>
    <w:p w14:paraId="63947AA1" w14:textId="0D84F405" w:rsidR="00FD76A8" w:rsidRPr="00A14E24" w:rsidRDefault="00255C1C" w:rsidP="0024603C">
      <w:r>
        <w:t>600</w:t>
      </w:r>
      <w:r w:rsidR="00FD76A8" w:rsidRPr="00A14E24">
        <w:t xml:space="preserve"> mg </w:t>
      </w:r>
      <w:r w:rsidR="00E35E60" w:rsidRPr="00A14E24">
        <w:t>tris kartus per parą</w:t>
      </w:r>
      <w:r w:rsidR="00FD76A8" w:rsidRPr="00A14E24">
        <w:t xml:space="preserve">. </w:t>
      </w:r>
      <w:r w:rsidR="00366AC2" w:rsidRPr="00A14E24">
        <w:t>Tarp dozių vartojimo turi praeiti ne mažiau kaip 6 valandos</w:t>
      </w:r>
      <w:r w:rsidR="00FD76A8" w:rsidRPr="00A14E24">
        <w:t xml:space="preserve">. </w:t>
      </w:r>
      <w:r w:rsidR="00366AC2" w:rsidRPr="00A14E24">
        <w:t>Siekiant greičiau palengvinti rytinį stingulį, pirmąją dozę galima išgerti nevalgius. Jei yra inkstų nepakankamumas, dozę reikia sumažinti</w:t>
      </w:r>
      <w:r w:rsidR="00FD76A8" w:rsidRPr="00A14E24">
        <w:t>.</w:t>
      </w:r>
    </w:p>
    <w:p w14:paraId="38F003AF" w14:textId="4B7997E0" w:rsidR="001E54EB" w:rsidRPr="00A14E24" w:rsidRDefault="001E54EB" w:rsidP="001E54EB">
      <w:r w:rsidRPr="00A14E24">
        <w:t>Didžiausia dozė 24 valandų laikotarpiu yra 2 400 mg.</w:t>
      </w:r>
    </w:p>
    <w:p w14:paraId="4AE7C60E" w14:textId="77777777" w:rsidR="00FD76A8" w:rsidRPr="00A14E24" w:rsidRDefault="00FD76A8" w:rsidP="0024603C"/>
    <w:p w14:paraId="38A5DF5A" w14:textId="56EC8993" w:rsidR="00FD76A8" w:rsidRPr="00EC2B1E" w:rsidRDefault="003E7E0F" w:rsidP="00B5342A">
      <w:pPr>
        <w:keepNext/>
        <w:rPr>
          <w:i/>
          <w:iCs/>
          <w:highlight w:val="lightGray"/>
        </w:rPr>
      </w:pPr>
      <w:r w:rsidRPr="00EC2B1E">
        <w:rPr>
          <w:i/>
          <w:iCs/>
          <w:highlight w:val="lightGray"/>
        </w:rPr>
        <w:t>Lengvas ar vidutinio stiprumo skausmas</w:t>
      </w:r>
    </w:p>
    <w:p w14:paraId="4E76587C" w14:textId="3A3B0A83" w:rsidR="00FD76A8" w:rsidRPr="00EC2B1E" w:rsidRDefault="00FD76A8" w:rsidP="00B5342A">
      <w:pPr>
        <w:keepNext/>
        <w:rPr>
          <w:highlight w:val="lightGray"/>
        </w:rPr>
      </w:pPr>
      <w:r w:rsidRPr="00EC2B1E">
        <w:rPr>
          <w:highlight w:val="lightGray"/>
        </w:rPr>
        <w:t>200</w:t>
      </w:r>
      <w:r w:rsidR="00991763" w:rsidRPr="00EC2B1E">
        <w:rPr>
          <w:highlight w:val="lightGray"/>
        </w:rPr>
        <w:t>–</w:t>
      </w:r>
      <w:r w:rsidRPr="00EC2B1E">
        <w:rPr>
          <w:highlight w:val="lightGray"/>
        </w:rPr>
        <w:t xml:space="preserve">400 mg </w:t>
      </w:r>
      <w:r w:rsidR="003E7E0F" w:rsidRPr="00EC2B1E">
        <w:rPr>
          <w:highlight w:val="lightGray"/>
        </w:rPr>
        <w:t>dozė vartojama kaip vienkartinė dozė arba ji geriama tris ar keturis kartus per parą</w:t>
      </w:r>
      <w:r w:rsidRPr="00EC2B1E">
        <w:rPr>
          <w:highlight w:val="lightGray"/>
        </w:rPr>
        <w:t xml:space="preserve">. </w:t>
      </w:r>
      <w:r w:rsidR="00366AC2" w:rsidRPr="00EC2B1E">
        <w:rPr>
          <w:highlight w:val="lightGray"/>
        </w:rPr>
        <w:t xml:space="preserve">Tarp dozių vartojimo turi praeiti ne mažiau kaip 6 valandos. Nenustatyta, kad didesnė nei </w:t>
      </w:r>
      <w:r w:rsidRPr="00EC2B1E">
        <w:rPr>
          <w:highlight w:val="lightGray"/>
        </w:rPr>
        <w:t xml:space="preserve">400 mg </w:t>
      </w:r>
      <w:r w:rsidR="00366AC2" w:rsidRPr="00EC2B1E">
        <w:rPr>
          <w:highlight w:val="lightGray"/>
        </w:rPr>
        <w:t xml:space="preserve">vienkartinė dozė sukeltų bet kokį papildomą </w:t>
      </w:r>
      <w:proofErr w:type="spellStart"/>
      <w:r w:rsidR="006D5099">
        <w:rPr>
          <w:highlight w:val="lightGray"/>
        </w:rPr>
        <w:t>analgetinį</w:t>
      </w:r>
      <w:proofErr w:type="spellEnd"/>
      <w:r w:rsidR="00366AC2" w:rsidRPr="00EC2B1E">
        <w:rPr>
          <w:highlight w:val="lightGray"/>
        </w:rPr>
        <w:t xml:space="preserve"> poveikį</w:t>
      </w:r>
      <w:r w:rsidRPr="00EC2B1E">
        <w:rPr>
          <w:highlight w:val="lightGray"/>
        </w:rPr>
        <w:t>.</w:t>
      </w:r>
    </w:p>
    <w:p w14:paraId="2D2D7041" w14:textId="227B4B4D" w:rsidR="00FD76A8" w:rsidRPr="00A14E24" w:rsidRDefault="003E7E0F" w:rsidP="0024603C">
      <w:r w:rsidRPr="00EC2B1E">
        <w:rPr>
          <w:highlight w:val="lightGray"/>
        </w:rPr>
        <w:t>Didžiausia dozė</w:t>
      </w:r>
      <w:r w:rsidR="00FD76A8" w:rsidRPr="00EC2B1E">
        <w:rPr>
          <w:highlight w:val="lightGray"/>
        </w:rPr>
        <w:t xml:space="preserve"> 24</w:t>
      </w:r>
      <w:r w:rsidRPr="00EC2B1E">
        <w:rPr>
          <w:highlight w:val="lightGray"/>
        </w:rPr>
        <w:t xml:space="preserve"> valandų laikotarpiu yra </w:t>
      </w:r>
      <w:r w:rsidR="00FD76A8" w:rsidRPr="00EC2B1E">
        <w:rPr>
          <w:highlight w:val="lightGray"/>
        </w:rPr>
        <w:t>1 </w:t>
      </w:r>
      <w:r w:rsidR="001A1242" w:rsidRPr="00EC2B1E">
        <w:rPr>
          <w:highlight w:val="lightGray"/>
        </w:rPr>
        <w:t>2</w:t>
      </w:r>
      <w:r w:rsidR="00FD76A8" w:rsidRPr="00EC2B1E">
        <w:rPr>
          <w:highlight w:val="lightGray"/>
        </w:rPr>
        <w:t>00 mg.</w:t>
      </w:r>
    </w:p>
    <w:p w14:paraId="433833F9" w14:textId="77777777" w:rsidR="00FD76A8" w:rsidRPr="00A14E24" w:rsidRDefault="00FD76A8" w:rsidP="0024603C"/>
    <w:p w14:paraId="5E2EA070" w14:textId="11213B5D" w:rsidR="00FD76A8" w:rsidRPr="002369A7" w:rsidRDefault="003E7E0F" w:rsidP="002369A7">
      <w:pPr>
        <w:keepNext/>
        <w:rPr>
          <w:i/>
          <w:iCs/>
          <w:highlight w:val="lightGray"/>
        </w:rPr>
      </w:pPr>
      <w:r w:rsidRPr="002369A7">
        <w:rPr>
          <w:i/>
          <w:iCs/>
          <w:highlight w:val="lightGray"/>
        </w:rPr>
        <w:lastRenderedPageBreak/>
        <w:t>Karščiavimas</w:t>
      </w:r>
    </w:p>
    <w:p w14:paraId="3DCDBF61" w14:textId="29111945" w:rsidR="00FD76A8" w:rsidRPr="002369A7" w:rsidRDefault="00FD76A8" w:rsidP="002369A7">
      <w:pPr>
        <w:keepNext/>
        <w:rPr>
          <w:highlight w:val="lightGray"/>
        </w:rPr>
      </w:pPr>
      <w:r w:rsidRPr="002369A7">
        <w:rPr>
          <w:highlight w:val="lightGray"/>
        </w:rPr>
        <w:t>200</w:t>
      </w:r>
      <w:r w:rsidR="00452834" w:rsidRPr="002369A7">
        <w:rPr>
          <w:highlight w:val="lightGray"/>
        </w:rPr>
        <w:t>–</w:t>
      </w:r>
      <w:r w:rsidRPr="002369A7">
        <w:rPr>
          <w:highlight w:val="lightGray"/>
        </w:rPr>
        <w:t xml:space="preserve">400 mg </w:t>
      </w:r>
      <w:r w:rsidR="00366AC2" w:rsidRPr="002369A7">
        <w:rPr>
          <w:highlight w:val="lightGray"/>
        </w:rPr>
        <w:t>nuo vieno iki trijų kartų per parą</w:t>
      </w:r>
      <w:r w:rsidR="00FC594A" w:rsidRPr="002369A7">
        <w:rPr>
          <w:highlight w:val="lightGray"/>
        </w:rPr>
        <w:t xml:space="preserve"> pagal poreikį</w:t>
      </w:r>
      <w:r w:rsidRPr="002369A7">
        <w:rPr>
          <w:highlight w:val="lightGray"/>
        </w:rPr>
        <w:t xml:space="preserve">. </w:t>
      </w:r>
      <w:r w:rsidR="00366AC2" w:rsidRPr="002369A7">
        <w:rPr>
          <w:highlight w:val="lightGray"/>
        </w:rPr>
        <w:t>Tarp dozių vartojimo turi praeiti ne mažiau kaip 6 valandos.</w:t>
      </w:r>
    </w:p>
    <w:p w14:paraId="12C449F7" w14:textId="7B9B200D" w:rsidR="001E54EB" w:rsidRPr="00A14E24" w:rsidRDefault="001E54EB" w:rsidP="001E54EB">
      <w:r w:rsidRPr="002369A7">
        <w:rPr>
          <w:highlight w:val="lightGray"/>
        </w:rPr>
        <w:t>Didžiausia dozė 24 valandų laikotarpiu yra 1 200 mg.</w:t>
      </w:r>
    </w:p>
    <w:p w14:paraId="732B9476" w14:textId="77777777" w:rsidR="00FD76A8" w:rsidRPr="00A14E24" w:rsidRDefault="00FD76A8" w:rsidP="0024603C"/>
    <w:p w14:paraId="69EB57B8" w14:textId="0D587DD3" w:rsidR="00FD76A8" w:rsidRDefault="001E54EB" w:rsidP="0024603C">
      <w:pPr>
        <w:rPr>
          <w:i/>
          <w:u w:val="single"/>
        </w:rPr>
      </w:pPr>
      <w:r w:rsidRPr="00A14E24">
        <w:rPr>
          <w:i/>
          <w:u w:val="single"/>
        </w:rPr>
        <w:t>Vaikų populiacija</w:t>
      </w:r>
    </w:p>
    <w:p w14:paraId="12DD180D" w14:textId="77777777" w:rsidR="009A185B" w:rsidRPr="00A14E24" w:rsidRDefault="009A185B" w:rsidP="0024603C">
      <w:pPr>
        <w:rPr>
          <w:i/>
          <w:u w:val="single"/>
        </w:rPr>
      </w:pPr>
    </w:p>
    <w:p w14:paraId="7B60484B" w14:textId="35DF1A0E" w:rsidR="00BF02BC" w:rsidRPr="00A14E24" w:rsidRDefault="00BF02BC" w:rsidP="00BF02BC">
      <w:r w:rsidRPr="00A14E24">
        <w:t xml:space="preserve">Tablečių nerekomenduojama vartoti jaunesniems nei </w:t>
      </w:r>
      <w:r w:rsidR="00C07C98">
        <w:t>15</w:t>
      </w:r>
      <w:r w:rsidRPr="00A14E24">
        <w:t> metų vaikams.</w:t>
      </w:r>
    </w:p>
    <w:p w14:paraId="5F32CFEF" w14:textId="77777777" w:rsidR="00257970" w:rsidRPr="00A14E24" w:rsidRDefault="00257970" w:rsidP="0024603C"/>
    <w:p w14:paraId="6739E555" w14:textId="6361B371" w:rsidR="00FD76A8" w:rsidRPr="00A14E24" w:rsidRDefault="00BF02BC" w:rsidP="0024603C">
      <w:pPr>
        <w:rPr>
          <w:i/>
          <w:iCs/>
        </w:rPr>
      </w:pPr>
      <w:r w:rsidRPr="00A14E24">
        <w:rPr>
          <w:i/>
          <w:iCs/>
        </w:rPr>
        <w:t>Senyviems pacientams</w:t>
      </w:r>
    </w:p>
    <w:p w14:paraId="05561214" w14:textId="2BD9179D" w:rsidR="00F611BF" w:rsidRPr="00A14E24" w:rsidRDefault="00F611BF" w:rsidP="00F611BF">
      <w:r w:rsidRPr="00A14E24">
        <w:t>Senyviems žmonėms yra didesnė sunkių nepageidaujamų reakcijų pasekmių pasireiškimo rizika. Jei manoma, kad nesteroidinių vaistinių preparatų nuo uždegimo (NV</w:t>
      </w:r>
      <w:r w:rsidR="00C56A5C">
        <w:t>P</w:t>
      </w:r>
      <w:r w:rsidRPr="00A14E24">
        <w:t>NU) vartojimas yra būtinas, reikia vartoti mažiausią veiksmingą dozę ir kuo trumpesnį laiką. NV</w:t>
      </w:r>
      <w:r w:rsidR="00F630BB">
        <w:t>P</w:t>
      </w:r>
      <w:r w:rsidRPr="00A14E24">
        <w:t>NU gydymo metu pacientą reikia reguliariai stebėti dėl kraujavimo iš virškinimo trakto (VT). Jeigu yra sutrikusi inkstų ar kepenų funkcija, dozę reikia nustatyti individualiai.</w:t>
      </w:r>
    </w:p>
    <w:p w14:paraId="681D8E68" w14:textId="77777777" w:rsidR="00FD76A8" w:rsidRPr="00A14E24" w:rsidRDefault="00FD76A8" w:rsidP="0024603C"/>
    <w:p w14:paraId="3B477966" w14:textId="77777777" w:rsidR="00F611BF" w:rsidRPr="00A14E24" w:rsidRDefault="00F611BF" w:rsidP="00F611BF">
      <w:pPr>
        <w:keepNext/>
        <w:tabs>
          <w:tab w:val="left" w:pos="567"/>
        </w:tabs>
        <w:rPr>
          <w:rFonts w:eastAsia="Times New Roman"/>
          <w:i/>
        </w:rPr>
      </w:pPr>
      <w:r w:rsidRPr="00A14E24">
        <w:rPr>
          <w:rFonts w:eastAsia="Times New Roman"/>
          <w:i/>
        </w:rPr>
        <w:t>Pacientams, kurių inkstų funkcija sutrikusi</w:t>
      </w:r>
    </w:p>
    <w:p w14:paraId="400902EA" w14:textId="77777777" w:rsidR="00F611BF" w:rsidRPr="00A14E24" w:rsidRDefault="00F611BF" w:rsidP="00F611BF">
      <w:pPr>
        <w:keepNext/>
        <w:tabs>
          <w:tab w:val="left" w:pos="567"/>
        </w:tabs>
        <w:rPr>
          <w:rFonts w:eastAsia="Times New Roman"/>
        </w:rPr>
      </w:pPr>
      <w:r w:rsidRPr="00A14E24">
        <w:rPr>
          <w:rFonts w:eastAsia="Times New Roman"/>
        </w:rPr>
        <w:t xml:space="preserve">Pacientams, kurių inkstų funkcija sutrikusi, </w:t>
      </w:r>
      <w:proofErr w:type="spellStart"/>
      <w:r w:rsidRPr="00A14E24">
        <w:rPr>
          <w:rFonts w:eastAsia="Times New Roman"/>
        </w:rPr>
        <w:t>ibuprofeną</w:t>
      </w:r>
      <w:proofErr w:type="spellEnd"/>
      <w:r w:rsidRPr="00A14E24">
        <w:rPr>
          <w:rFonts w:eastAsia="Times New Roman"/>
        </w:rPr>
        <w:t xml:space="preserve"> reikia dozuoti atsargiai. Dozė turi būti parenkama individualiai. Būtina vartoti kiek įmanoma mažesnę dozę ir stebėti inkstų funkciją (žr. 4.3, 4.4 ir 5.2 skyrius).</w:t>
      </w:r>
    </w:p>
    <w:p w14:paraId="34C1A213" w14:textId="77777777" w:rsidR="00F611BF" w:rsidRPr="00A14E24" w:rsidRDefault="00F611BF" w:rsidP="00F611BF">
      <w:pPr>
        <w:tabs>
          <w:tab w:val="left" w:pos="567"/>
        </w:tabs>
        <w:rPr>
          <w:rFonts w:eastAsia="Times New Roman"/>
        </w:rPr>
      </w:pPr>
    </w:p>
    <w:p w14:paraId="03738F4B" w14:textId="77777777" w:rsidR="00F611BF" w:rsidRPr="00A14E24" w:rsidRDefault="00F611BF" w:rsidP="00F611BF">
      <w:pPr>
        <w:tabs>
          <w:tab w:val="left" w:pos="567"/>
        </w:tabs>
        <w:rPr>
          <w:rFonts w:eastAsia="Times New Roman"/>
          <w:i/>
        </w:rPr>
      </w:pPr>
      <w:r w:rsidRPr="00A14E24">
        <w:rPr>
          <w:rFonts w:eastAsia="Times New Roman"/>
          <w:i/>
        </w:rPr>
        <w:t>Pacientams, kurių kepenų funkcija sutrikusi</w:t>
      </w:r>
    </w:p>
    <w:p w14:paraId="034CE24D" w14:textId="77777777" w:rsidR="00F611BF" w:rsidRPr="00A14E24" w:rsidRDefault="00F611BF" w:rsidP="00F611BF">
      <w:pPr>
        <w:keepNext/>
        <w:tabs>
          <w:tab w:val="left" w:pos="567"/>
        </w:tabs>
        <w:rPr>
          <w:rFonts w:eastAsia="Times New Roman"/>
        </w:rPr>
      </w:pPr>
      <w:r w:rsidRPr="00A14E24">
        <w:rPr>
          <w:rFonts w:eastAsia="Times New Roman"/>
        </w:rPr>
        <w:t xml:space="preserve">Pacientams, kurių kepenų funkcija sutrikusi, </w:t>
      </w:r>
      <w:proofErr w:type="spellStart"/>
      <w:r w:rsidRPr="00A14E24">
        <w:rPr>
          <w:rFonts w:eastAsia="Times New Roman"/>
        </w:rPr>
        <w:t>ibuprofeną</w:t>
      </w:r>
      <w:proofErr w:type="spellEnd"/>
      <w:r w:rsidRPr="00A14E24">
        <w:rPr>
          <w:rFonts w:eastAsia="Times New Roman"/>
        </w:rPr>
        <w:t xml:space="preserve"> reikia dozuoti atsargiai. Dozė turi būti parenkama individualiai ir būtina vartoti kiek įmanoma mažesnę dozę (žr. 4.3, 4.4 ir 5.2 skyrius).</w:t>
      </w:r>
    </w:p>
    <w:p w14:paraId="3DDA43D1" w14:textId="77777777" w:rsidR="00FD76A8" w:rsidRPr="00A14E24" w:rsidRDefault="00FD76A8" w:rsidP="0024603C"/>
    <w:p w14:paraId="79686B62" w14:textId="161B9A47" w:rsidR="00FD76A8" w:rsidRPr="00A14E24" w:rsidRDefault="00366AC2" w:rsidP="0024603C">
      <w:pPr>
        <w:rPr>
          <w:u w:val="single"/>
        </w:rPr>
      </w:pPr>
      <w:r w:rsidRPr="00A14E24">
        <w:rPr>
          <w:u w:val="single"/>
        </w:rPr>
        <w:t>Vartojimo metodas</w:t>
      </w:r>
    </w:p>
    <w:p w14:paraId="35EC933A" w14:textId="06AE5F2C" w:rsidR="00FD76A8" w:rsidRPr="00A14E24" w:rsidRDefault="00DE170C" w:rsidP="00785BA0">
      <w:pPr>
        <w:ind w:right="364"/>
      </w:pPr>
      <w:r w:rsidRPr="00A14E24">
        <w:t xml:space="preserve">Tabletes reikia vartoti užgeriant stikline vandens. Tabletes reikia nuryti sveikas, jų negalima kramtyti, laužyti, smulkinti ar čiulpti, kad būtų išvengta burnos diskomforto ir gerklės dirginimo. Pacientams, kurių skrandis yra jautrus, </w:t>
      </w:r>
      <w:proofErr w:type="spellStart"/>
      <w:r w:rsidRPr="00A14E24">
        <w:t>ibuprofen</w:t>
      </w:r>
      <w:r w:rsidR="008B462D">
        <w:t>o</w:t>
      </w:r>
      <w:proofErr w:type="spellEnd"/>
      <w:r w:rsidRPr="00A14E24">
        <w:t xml:space="preserve"> rekomenduojama vartoti valgant. Jei </w:t>
      </w:r>
      <w:proofErr w:type="spellStart"/>
      <w:r w:rsidRPr="00A14E24">
        <w:t>ibuprofenas</w:t>
      </w:r>
      <w:proofErr w:type="spellEnd"/>
      <w:r w:rsidRPr="00A14E24">
        <w:t xml:space="preserve"> vartojamas netrukus po valgio, jo veikimas gali prasidėti vėliau</w:t>
      </w:r>
      <w:r w:rsidR="00FD76A8" w:rsidRPr="00A14E24">
        <w:t>.</w:t>
      </w:r>
    </w:p>
    <w:p w14:paraId="5317BF6F" w14:textId="77777777" w:rsidR="00CC424D" w:rsidRPr="00A14E24" w:rsidRDefault="00CC424D" w:rsidP="00785BA0">
      <w:pPr>
        <w:tabs>
          <w:tab w:val="left" w:pos="567"/>
        </w:tabs>
        <w:rPr>
          <w:rFonts w:eastAsia="Times New Roman"/>
        </w:rPr>
      </w:pPr>
    </w:p>
    <w:p w14:paraId="5117D44C" w14:textId="77777777" w:rsidR="00DF2186" w:rsidRPr="00A14E24" w:rsidRDefault="00DF2186" w:rsidP="00785BA0">
      <w:pPr>
        <w:keepNext/>
        <w:keepLines/>
        <w:tabs>
          <w:tab w:val="left" w:pos="567"/>
        </w:tabs>
        <w:ind w:left="567" w:hanging="567"/>
        <w:outlineLvl w:val="2"/>
        <w:rPr>
          <w:b/>
          <w:kern w:val="28"/>
        </w:rPr>
      </w:pPr>
      <w:r w:rsidRPr="00A14E24">
        <w:rPr>
          <w:b/>
          <w:kern w:val="28"/>
        </w:rPr>
        <w:t>4.3</w:t>
      </w:r>
      <w:r w:rsidRPr="00A14E24">
        <w:rPr>
          <w:b/>
          <w:kern w:val="28"/>
        </w:rPr>
        <w:tab/>
        <w:t>Kontraindikacijos</w:t>
      </w:r>
      <w:bookmarkEnd w:id="14"/>
      <w:bookmarkEnd w:id="15"/>
    </w:p>
    <w:p w14:paraId="1A3852AF" w14:textId="77777777" w:rsidR="00CC424D" w:rsidRPr="00A14E24" w:rsidRDefault="00CC424D" w:rsidP="00785BA0">
      <w:pPr>
        <w:rPr>
          <w:rFonts w:eastAsia="Times New Roman"/>
        </w:rPr>
      </w:pPr>
      <w:bookmarkStart w:id="16" w:name="_Toc129243105"/>
      <w:bookmarkStart w:id="17" w:name="_Toc129243230"/>
    </w:p>
    <w:p w14:paraId="7DC8CCB3" w14:textId="77777777" w:rsidR="00FE7ACC" w:rsidRPr="00A14E24" w:rsidRDefault="00FE7ACC" w:rsidP="00B5342A">
      <w:pPr>
        <w:pStyle w:val="Sraopastraipa"/>
        <w:numPr>
          <w:ilvl w:val="0"/>
          <w:numId w:val="27"/>
        </w:numPr>
        <w:ind w:left="567" w:hanging="567"/>
        <w:rPr>
          <w:rFonts w:eastAsia="Times New Roman"/>
          <w:lang w:eastAsia="pl-PL"/>
        </w:rPr>
      </w:pPr>
      <w:r w:rsidRPr="00A14E24">
        <w:rPr>
          <w:rFonts w:eastAsia="Times New Roman"/>
          <w:lang w:eastAsia="pl-PL"/>
        </w:rPr>
        <w:t>Padidėjęs jautrumas veikliajai arba bet kuriai 6.1 skyriuje nurodytai pagalbinei medžiagai.</w:t>
      </w:r>
    </w:p>
    <w:p w14:paraId="5723997D" w14:textId="060F0B60" w:rsidR="001F428E" w:rsidRPr="00A14E24" w:rsidRDefault="001F428E" w:rsidP="00B5342A">
      <w:pPr>
        <w:pStyle w:val="Sraopastraipa"/>
        <w:numPr>
          <w:ilvl w:val="0"/>
          <w:numId w:val="27"/>
        </w:numPr>
        <w:ind w:left="567" w:hanging="567"/>
        <w:rPr>
          <w:rFonts w:eastAsia="Times New Roman"/>
          <w:lang w:eastAsia="pl-PL"/>
        </w:rPr>
      </w:pPr>
      <w:r w:rsidRPr="00A14E24">
        <w:rPr>
          <w:rFonts w:eastAsia="Times New Roman"/>
          <w:lang w:eastAsia="pl-PL"/>
        </w:rPr>
        <w:t xml:space="preserve">Aktyvi skrandžio ar dvylikapirštės žarnos opa arba anksčiau buvusi pasikartojanti </w:t>
      </w:r>
      <w:r w:rsidR="00143538" w:rsidRPr="00A14E24">
        <w:rPr>
          <w:rFonts w:eastAsia="Times New Roman"/>
          <w:lang w:eastAsia="pl-PL"/>
        </w:rPr>
        <w:t xml:space="preserve">virškinimo trakto </w:t>
      </w:r>
      <w:r w:rsidRPr="00A14E24">
        <w:rPr>
          <w:rFonts w:eastAsia="Times New Roman"/>
          <w:lang w:eastAsia="pl-PL"/>
        </w:rPr>
        <w:t xml:space="preserve">opa/ kraujavimas </w:t>
      </w:r>
      <w:r w:rsidR="00143538" w:rsidRPr="00A14E24">
        <w:rPr>
          <w:rFonts w:eastAsia="Times New Roman"/>
          <w:lang w:eastAsia="pl-PL"/>
        </w:rPr>
        <w:t xml:space="preserve">iš virškinimo trakto </w:t>
      </w:r>
      <w:r w:rsidRPr="00A14E24">
        <w:rPr>
          <w:rFonts w:eastAsia="Times New Roman"/>
          <w:lang w:eastAsia="pl-PL"/>
        </w:rPr>
        <w:t xml:space="preserve">(du ar daugiau </w:t>
      </w:r>
      <w:r w:rsidR="004C4C3F">
        <w:rPr>
          <w:rFonts w:eastAsia="Times New Roman"/>
          <w:lang w:eastAsia="pl-PL"/>
        </w:rPr>
        <w:t>skirtingų patvirtinto</w:t>
      </w:r>
      <w:r w:rsidRPr="00A14E24">
        <w:rPr>
          <w:rFonts w:eastAsia="Times New Roman"/>
          <w:lang w:eastAsia="pl-PL"/>
        </w:rPr>
        <w:t xml:space="preserve"> išopėjimo ar kraujavimo epizodų).</w:t>
      </w:r>
    </w:p>
    <w:p w14:paraId="4CC8C865" w14:textId="4DBC96E5" w:rsidR="001F428E" w:rsidRPr="00A14E24" w:rsidRDefault="001F428E" w:rsidP="00B5342A">
      <w:pPr>
        <w:pStyle w:val="Sraopastraipa"/>
        <w:numPr>
          <w:ilvl w:val="0"/>
          <w:numId w:val="27"/>
        </w:numPr>
        <w:ind w:left="567" w:hanging="567"/>
        <w:rPr>
          <w:rFonts w:eastAsia="Times New Roman"/>
          <w:lang w:eastAsia="pl-PL"/>
        </w:rPr>
      </w:pPr>
      <w:r w:rsidRPr="00A14E24">
        <w:rPr>
          <w:rFonts w:eastAsia="Times New Roman"/>
          <w:lang w:eastAsia="pl-PL"/>
        </w:rPr>
        <w:t>Sunkus kepenų nepakankamumas.</w:t>
      </w:r>
    </w:p>
    <w:p w14:paraId="3F657CC5" w14:textId="77777777" w:rsidR="001F428E" w:rsidRPr="00A14E24" w:rsidRDefault="001F428E" w:rsidP="00B5342A">
      <w:pPr>
        <w:pStyle w:val="Sraopastraipa"/>
        <w:numPr>
          <w:ilvl w:val="0"/>
          <w:numId w:val="27"/>
        </w:numPr>
        <w:ind w:left="567" w:hanging="567"/>
        <w:rPr>
          <w:rFonts w:eastAsia="Times New Roman"/>
          <w:lang w:eastAsia="pl-PL"/>
        </w:rPr>
      </w:pPr>
      <w:r w:rsidRPr="00A14E24">
        <w:rPr>
          <w:rFonts w:eastAsia="Times New Roman"/>
          <w:lang w:eastAsia="pl-PL"/>
        </w:rPr>
        <w:t>Sunkus širdies nepakankamumas (IV funkcinės klasės pagal NYHA).</w:t>
      </w:r>
    </w:p>
    <w:p w14:paraId="5AF8BD36" w14:textId="4D94616E" w:rsidR="001F428E" w:rsidRPr="00A14E24" w:rsidRDefault="001F428E" w:rsidP="00B5342A">
      <w:pPr>
        <w:pStyle w:val="Sraopastraipa"/>
        <w:numPr>
          <w:ilvl w:val="0"/>
          <w:numId w:val="27"/>
        </w:numPr>
        <w:ind w:left="567" w:hanging="567"/>
        <w:rPr>
          <w:rFonts w:eastAsia="Times New Roman"/>
          <w:lang w:eastAsia="pl-PL"/>
        </w:rPr>
      </w:pPr>
      <w:r w:rsidRPr="00A14E24">
        <w:rPr>
          <w:rFonts w:eastAsia="Times New Roman"/>
          <w:lang w:eastAsia="pl-PL"/>
        </w:rPr>
        <w:t>Sunkus inkstų nepakankamumas (</w:t>
      </w:r>
      <w:proofErr w:type="spellStart"/>
      <w:r w:rsidRPr="00A14E24">
        <w:rPr>
          <w:rFonts w:eastAsia="Times New Roman"/>
          <w:lang w:eastAsia="pl-PL"/>
        </w:rPr>
        <w:t>glomerulų</w:t>
      </w:r>
      <w:proofErr w:type="spellEnd"/>
      <w:r w:rsidRPr="00A14E24">
        <w:rPr>
          <w:rFonts w:eastAsia="Times New Roman"/>
          <w:lang w:eastAsia="pl-PL"/>
        </w:rPr>
        <w:t xml:space="preserve"> filtracijos greitis mažesnis nei 30</w:t>
      </w:r>
      <w:r w:rsidR="007F73A5" w:rsidRPr="00A14E24">
        <w:rPr>
          <w:rFonts w:eastAsia="Times New Roman"/>
          <w:lang w:eastAsia="pl-PL"/>
        </w:rPr>
        <w:t> </w:t>
      </w:r>
      <w:r w:rsidRPr="00A14E24">
        <w:rPr>
          <w:rFonts w:eastAsia="Times New Roman"/>
          <w:lang w:eastAsia="pl-PL"/>
        </w:rPr>
        <w:t>m</w:t>
      </w:r>
      <w:r w:rsidR="007F73A5" w:rsidRPr="00A14E24">
        <w:rPr>
          <w:rFonts w:eastAsia="Times New Roman"/>
          <w:lang w:eastAsia="pl-PL"/>
        </w:rPr>
        <w:t>l</w:t>
      </w:r>
      <w:r w:rsidRPr="00A14E24">
        <w:rPr>
          <w:rFonts w:eastAsia="Times New Roman"/>
          <w:lang w:eastAsia="pl-PL"/>
        </w:rPr>
        <w:t>/min</w:t>
      </w:r>
      <w:r w:rsidR="007F73A5" w:rsidRPr="00A14E24">
        <w:rPr>
          <w:rFonts w:eastAsia="Times New Roman"/>
          <w:lang w:eastAsia="pl-PL"/>
        </w:rPr>
        <w:t>.</w:t>
      </w:r>
      <w:r w:rsidRPr="00A14E24">
        <w:rPr>
          <w:rFonts w:eastAsia="Times New Roman"/>
          <w:lang w:eastAsia="pl-PL"/>
        </w:rPr>
        <w:t>).</w:t>
      </w:r>
    </w:p>
    <w:p w14:paraId="020E3184" w14:textId="3A9AB766" w:rsidR="00785BA0" w:rsidRPr="00A14E24" w:rsidRDefault="00785BA0" w:rsidP="00B5342A">
      <w:pPr>
        <w:pStyle w:val="Sraopastraipa"/>
        <w:numPr>
          <w:ilvl w:val="0"/>
          <w:numId w:val="27"/>
        </w:numPr>
        <w:ind w:left="567" w:hanging="567"/>
        <w:rPr>
          <w:rFonts w:eastAsia="Times New Roman"/>
          <w:lang w:eastAsia="pl-PL"/>
        </w:rPr>
      </w:pPr>
      <w:r w:rsidRPr="00A14E24">
        <w:rPr>
          <w:rFonts w:eastAsia="Times New Roman"/>
          <w:lang w:eastAsia="pl-PL"/>
        </w:rPr>
        <w:t>Būklės, kurių metu padidėja kraujavimo rizika.</w:t>
      </w:r>
    </w:p>
    <w:p w14:paraId="7D1876E6" w14:textId="0A3415CE" w:rsidR="00785BA0" w:rsidRPr="00A14E24" w:rsidRDefault="00EC2E49" w:rsidP="00B5342A">
      <w:pPr>
        <w:pStyle w:val="Sraopastraipa"/>
        <w:numPr>
          <w:ilvl w:val="0"/>
          <w:numId w:val="27"/>
        </w:numPr>
        <w:ind w:left="567" w:hanging="567"/>
        <w:rPr>
          <w:rFonts w:eastAsia="Times New Roman"/>
          <w:lang w:eastAsia="pl-PL"/>
        </w:rPr>
      </w:pPr>
      <w:r w:rsidRPr="00A14E24">
        <w:rPr>
          <w:rFonts w:eastAsia="Times New Roman"/>
          <w:lang w:eastAsia="pl-PL"/>
        </w:rPr>
        <w:t>B</w:t>
      </w:r>
      <w:r w:rsidR="00785BA0" w:rsidRPr="00A14E24">
        <w:rPr>
          <w:rFonts w:eastAsia="Times New Roman"/>
          <w:lang w:eastAsia="pl-PL"/>
        </w:rPr>
        <w:t xml:space="preserve">uvęs kraujavimas iš virškinimo trakto ar jo </w:t>
      </w:r>
      <w:r w:rsidR="003E4F67">
        <w:rPr>
          <w:rFonts w:eastAsia="Times New Roman"/>
          <w:lang w:eastAsia="pl-PL"/>
        </w:rPr>
        <w:t>perforacija</w:t>
      </w:r>
      <w:r w:rsidR="00785BA0" w:rsidRPr="00A14E24">
        <w:rPr>
          <w:rFonts w:eastAsia="Times New Roman"/>
          <w:lang w:eastAsia="pl-PL"/>
        </w:rPr>
        <w:t>, susijęs su ankstesniu gydymu NV</w:t>
      </w:r>
      <w:r w:rsidR="008B462D">
        <w:rPr>
          <w:rFonts w:eastAsia="Times New Roman"/>
          <w:lang w:eastAsia="pl-PL"/>
        </w:rPr>
        <w:t>P</w:t>
      </w:r>
      <w:r w:rsidR="00785BA0" w:rsidRPr="00A14E24">
        <w:rPr>
          <w:rFonts w:eastAsia="Times New Roman"/>
          <w:lang w:eastAsia="pl-PL"/>
        </w:rPr>
        <w:t>NU.</w:t>
      </w:r>
    </w:p>
    <w:p w14:paraId="151D8D11" w14:textId="6196A7FB" w:rsidR="00785BA0" w:rsidRPr="00A14E24" w:rsidRDefault="00785BA0" w:rsidP="00B5342A">
      <w:pPr>
        <w:pStyle w:val="Sraopastraipa"/>
        <w:numPr>
          <w:ilvl w:val="0"/>
          <w:numId w:val="27"/>
        </w:numPr>
        <w:ind w:left="567" w:hanging="567"/>
        <w:rPr>
          <w:rFonts w:eastAsia="Times New Roman"/>
          <w:lang w:eastAsia="pl-PL"/>
        </w:rPr>
      </w:pPr>
      <w:r w:rsidRPr="00A14E24">
        <w:rPr>
          <w:rFonts w:eastAsia="Times New Roman"/>
          <w:lang w:eastAsia="pl-PL"/>
        </w:rPr>
        <w:t>Trečiasis nėštumo trimestras.</w:t>
      </w:r>
    </w:p>
    <w:p w14:paraId="658F9CCE" w14:textId="5415CC7A" w:rsidR="00785BA0" w:rsidRPr="00A14E24" w:rsidRDefault="00785BA0" w:rsidP="00B5342A">
      <w:pPr>
        <w:pStyle w:val="Sraopastraipa"/>
        <w:numPr>
          <w:ilvl w:val="0"/>
          <w:numId w:val="27"/>
        </w:numPr>
        <w:ind w:left="567" w:hanging="567"/>
        <w:rPr>
          <w:rFonts w:eastAsia="Times New Roman"/>
          <w:lang w:eastAsia="pl-PL"/>
        </w:rPr>
      </w:pPr>
      <w:r w:rsidRPr="00A14E24">
        <w:rPr>
          <w:rFonts w:eastAsia="Times New Roman"/>
          <w:lang w:eastAsia="pl-PL"/>
        </w:rPr>
        <w:t xml:space="preserve">Dėl galimos kryžminės reakcijos </w:t>
      </w:r>
      <w:proofErr w:type="spellStart"/>
      <w:r w:rsidRPr="00A14E24">
        <w:rPr>
          <w:rFonts w:eastAsia="Times New Roman"/>
          <w:lang w:eastAsia="pl-PL"/>
        </w:rPr>
        <w:t>ibuprofeno</w:t>
      </w:r>
      <w:proofErr w:type="spellEnd"/>
      <w:r w:rsidRPr="00A14E24">
        <w:rPr>
          <w:rFonts w:eastAsia="Times New Roman"/>
          <w:lang w:eastAsia="pl-PL"/>
        </w:rPr>
        <w:t xml:space="preserve"> negalima vartoti pacientams, kuriems po </w:t>
      </w:r>
      <w:proofErr w:type="spellStart"/>
      <w:r w:rsidRPr="00A14E24">
        <w:rPr>
          <w:rFonts w:eastAsia="Times New Roman"/>
          <w:lang w:eastAsia="pl-PL"/>
        </w:rPr>
        <w:t>acetilsalicilo</w:t>
      </w:r>
      <w:proofErr w:type="spellEnd"/>
      <w:r w:rsidRPr="00A14E24">
        <w:rPr>
          <w:rFonts w:eastAsia="Times New Roman"/>
          <w:lang w:eastAsia="pl-PL"/>
        </w:rPr>
        <w:t xml:space="preserve"> rūgšties ar kitokio NV</w:t>
      </w:r>
      <w:r w:rsidR="008B462D">
        <w:rPr>
          <w:rFonts w:eastAsia="Times New Roman"/>
          <w:lang w:eastAsia="pl-PL"/>
        </w:rPr>
        <w:t>P</w:t>
      </w:r>
      <w:r w:rsidRPr="00A14E24">
        <w:rPr>
          <w:rFonts w:eastAsia="Times New Roman"/>
          <w:lang w:eastAsia="pl-PL"/>
        </w:rPr>
        <w:t>NU pavartojimo buvo pasireiškę astmos, rinito ar dilgėlinės simptomų.</w:t>
      </w:r>
    </w:p>
    <w:p w14:paraId="2A50EA86" w14:textId="77777777" w:rsidR="00CC424D" w:rsidRPr="00A14E24" w:rsidRDefault="00CC424D" w:rsidP="00785BA0">
      <w:pPr>
        <w:rPr>
          <w:rFonts w:eastAsia="Times New Roman"/>
        </w:rPr>
      </w:pPr>
    </w:p>
    <w:p w14:paraId="7D41E8CC" w14:textId="77777777" w:rsidR="00DF2186" w:rsidRPr="00A14E24" w:rsidRDefault="00DF2186" w:rsidP="00785BA0">
      <w:pPr>
        <w:keepNext/>
        <w:keepLines/>
        <w:tabs>
          <w:tab w:val="left" w:pos="567"/>
        </w:tabs>
        <w:ind w:left="567" w:hanging="567"/>
        <w:outlineLvl w:val="2"/>
        <w:rPr>
          <w:b/>
          <w:kern w:val="28"/>
        </w:rPr>
      </w:pPr>
      <w:r w:rsidRPr="00A14E24">
        <w:rPr>
          <w:b/>
          <w:kern w:val="28"/>
        </w:rPr>
        <w:t>4.4</w:t>
      </w:r>
      <w:r w:rsidRPr="00A14E24">
        <w:rPr>
          <w:b/>
          <w:kern w:val="28"/>
        </w:rPr>
        <w:tab/>
        <w:t>Specialūs įspėjimai ir atsargumo priemonės</w:t>
      </w:r>
      <w:bookmarkEnd w:id="16"/>
      <w:bookmarkEnd w:id="17"/>
    </w:p>
    <w:p w14:paraId="648CDD4F" w14:textId="77777777" w:rsidR="00FE7ACC" w:rsidRPr="00A14E24" w:rsidRDefault="00FE7ACC" w:rsidP="0024603C">
      <w:pPr>
        <w:keepNext/>
        <w:rPr>
          <w:rFonts w:eastAsia="Times New Roman"/>
        </w:rPr>
      </w:pPr>
    </w:p>
    <w:p w14:paraId="68199B63" w14:textId="1A949676" w:rsidR="00EA67F4" w:rsidRPr="00A14E24" w:rsidRDefault="00291D4F" w:rsidP="00C07C98">
      <w:pPr>
        <w:keepNext/>
        <w:rPr>
          <w:u w:val="single"/>
        </w:rPr>
      </w:pPr>
      <w:r w:rsidRPr="00A14E24">
        <w:rPr>
          <w:u w:val="single"/>
        </w:rPr>
        <w:t>Bendrosios atsargumo priemonės</w:t>
      </w:r>
    </w:p>
    <w:p w14:paraId="5A368591" w14:textId="09D0B2D5" w:rsidR="00EA67F4" w:rsidRPr="00A14E24" w:rsidRDefault="00291D4F" w:rsidP="00C07C98">
      <w:pPr>
        <w:keepNext/>
      </w:pPr>
      <w:r w:rsidRPr="00A14E24">
        <w:t>Nepageidaujamas poveikis gali sumažėti vartojant mažiausią veiksmingą vaistinio preparato dozę trumpiausią laiką, būtiną simptomų kontrolei (žr. 4.2 skyrių ir toliau aprašytą riziką virškinimo traktui bei širdies ir kraujagyslių sistemai).</w:t>
      </w:r>
    </w:p>
    <w:p w14:paraId="0CA0B36D" w14:textId="77777777" w:rsidR="00291D4F" w:rsidRPr="00A14E24" w:rsidRDefault="00291D4F" w:rsidP="00EC2E49"/>
    <w:p w14:paraId="26C7BDDC" w14:textId="5EB713A5" w:rsidR="00291D4F" w:rsidRPr="00A14E24" w:rsidRDefault="00291D4F" w:rsidP="00EC2E49">
      <w:r w:rsidRPr="00A14E24">
        <w:t>Ilgai vartojant bet kok</w:t>
      </w:r>
      <w:r w:rsidR="008B462D">
        <w:t>io</w:t>
      </w:r>
      <w:r w:rsidRPr="00A14E24">
        <w:t xml:space="preserve"> vaistin</w:t>
      </w:r>
      <w:r w:rsidR="008B462D">
        <w:t>io</w:t>
      </w:r>
      <w:r w:rsidRPr="00A14E24">
        <w:t xml:space="preserve"> preparat</w:t>
      </w:r>
      <w:r w:rsidR="008B462D">
        <w:t>o</w:t>
      </w:r>
      <w:r w:rsidRPr="00A14E24">
        <w:t xml:space="preserve"> nuo skausmo, gali pasireikšti galvos skausmas, kurio negalima gydyti didinant vaistinio preparato dozę.</w:t>
      </w:r>
    </w:p>
    <w:p w14:paraId="682C302F" w14:textId="77777777" w:rsidR="00EA67F4" w:rsidRPr="00A14E24" w:rsidRDefault="00EA67F4" w:rsidP="00EC2E49"/>
    <w:p w14:paraId="22E43E55" w14:textId="307983C6" w:rsidR="00EA67F4" w:rsidRPr="00A14E24" w:rsidRDefault="00161560" w:rsidP="00EC2E49">
      <w:r w:rsidRPr="00A14E24">
        <w:lastRenderedPageBreak/>
        <w:t>Kartu vartojant alkohol</w:t>
      </w:r>
      <w:r w:rsidR="008B462D">
        <w:t>io</w:t>
      </w:r>
      <w:r w:rsidRPr="00A14E24">
        <w:t xml:space="preserve"> ir NV</w:t>
      </w:r>
      <w:r w:rsidR="008B462D">
        <w:t>P</w:t>
      </w:r>
      <w:r w:rsidRPr="00A14E24">
        <w:t>NU, gali sustiprėti su veikliąja medžiaga susijęs nepageidaujamas poveikis, ypač virškinimo traktui ar centrinei nervų sistemai.</w:t>
      </w:r>
    </w:p>
    <w:p w14:paraId="0496132B" w14:textId="77777777" w:rsidR="00161560" w:rsidRPr="00A14E24" w:rsidRDefault="00161560" w:rsidP="00EC2E49"/>
    <w:p w14:paraId="65AA8A6F" w14:textId="758D34E3" w:rsidR="00EA67F4" w:rsidRPr="00A14E24" w:rsidRDefault="00885DAE" w:rsidP="00EC2E49">
      <w:r w:rsidRPr="00A14E24">
        <w:t xml:space="preserve">Yra duomenų, kad vaistiniai preparatai, slopinantys </w:t>
      </w:r>
      <w:proofErr w:type="spellStart"/>
      <w:r w:rsidRPr="00A14E24">
        <w:t>ciklooksigenazę</w:t>
      </w:r>
      <w:proofErr w:type="spellEnd"/>
      <w:r w:rsidRPr="00A14E24">
        <w:t>/ prostaglandinų sintezę, gali veikti ovuliaciją ir dėl to sutrikdyti moters vaisingumą. Nutraukus vaistinių preparatų vartojimą, toks poveikis išnyksta.</w:t>
      </w:r>
    </w:p>
    <w:p w14:paraId="5CB19C42" w14:textId="77777777" w:rsidR="00885DAE" w:rsidRPr="00A14E24" w:rsidRDefault="00885DAE" w:rsidP="00EC2E49"/>
    <w:p w14:paraId="5A8DBB29" w14:textId="53E733A6" w:rsidR="00EA67F4" w:rsidRPr="00A14E24" w:rsidRDefault="00C13491" w:rsidP="00EC2E49">
      <w:pPr>
        <w:rPr>
          <w:u w:val="single"/>
        </w:rPr>
      </w:pPr>
      <w:r w:rsidRPr="00A14E24">
        <w:rPr>
          <w:u w:val="single"/>
        </w:rPr>
        <w:t>Poveikis širdies ir kraujagyslių sistemai</w:t>
      </w:r>
    </w:p>
    <w:p w14:paraId="0492D18A" w14:textId="474E2269" w:rsidR="00EA67F4" w:rsidRPr="00A14E24" w:rsidRDefault="000F5E1D" w:rsidP="00EC2E49">
      <w:r w:rsidRPr="00A14E24">
        <w:t>Pacientams, kuriems buvo nustatyta hipertenzija ir (arba) lengvas ar vidutinio sunkumo širdies nepakankamumas, būtina taikyti tinkamą stebėjimą ir juos reikia tinkamai konsultuoti, nes gauta pranešimų apie su NV</w:t>
      </w:r>
      <w:r w:rsidR="008B462D">
        <w:t>P</w:t>
      </w:r>
      <w:r w:rsidRPr="00A14E24">
        <w:t>NU vartojimu susijusius skysčių susilaikymo ir edemos atvejus.</w:t>
      </w:r>
    </w:p>
    <w:p w14:paraId="2B670A90" w14:textId="77777777" w:rsidR="000F5E1D" w:rsidRPr="00A14E24" w:rsidRDefault="000F5E1D" w:rsidP="00EC2E49"/>
    <w:p w14:paraId="200EBFF8" w14:textId="77777777" w:rsidR="000D6AA7" w:rsidRPr="00A14E24" w:rsidRDefault="000D6AA7" w:rsidP="00EC2E49">
      <w:pPr>
        <w:tabs>
          <w:tab w:val="left" w:pos="1296"/>
        </w:tabs>
        <w:autoSpaceDE w:val="0"/>
        <w:autoSpaceDN w:val="0"/>
        <w:snapToGrid w:val="0"/>
        <w:ind w:right="284"/>
        <w:rPr>
          <w:lang w:eastAsia="de-DE"/>
        </w:rPr>
      </w:pPr>
      <w:r w:rsidRPr="00A14E24">
        <w:rPr>
          <w:lang w:eastAsia="de-DE"/>
        </w:rPr>
        <w:t xml:space="preserve">Klinikiniais tyrimais nustatyta, kad </w:t>
      </w:r>
      <w:proofErr w:type="spellStart"/>
      <w:r w:rsidRPr="00A14E24">
        <w:rPr>
          <w:lang w:eastAsia="de-DE"/>
        </w:rPr>
        <w:t>ibuprofeno</w:t>
      </w:r>
      <w:proofErr w:type="spellEnd"/>
      <w:r w:rsidRPr="00A14E24">
        <w:rPr>
          <w:lang w:eastAsia="de-DE"/>
        </w:rPr>
        <w:t xml:space="preserve"> vartojimas, ypač didelėmis dozėmis (2 400 mg per parą), gali būti susijęs su nedideliu arterijų trombozės reiškinių (pvz., miokardo infarkto arba insulto) rizikos padidėjimu. Apskritai epidemiologinių tyrimų duomenys nepatvirtina, kad mažomis dozėmis (pvz., ≤ 1 200 mg per parą) vartojamas </w:t>
      </w:r>
      <w:proofErr w:type="spellStart"/>
      <w:r w:rsidRPr="00A14E24">
        <w:rPr>
          <w:lang w:eastAsia="de-DE"/>
        </w:rPr>
        <w:t>ibuprofenas</w:t>
      </w:r>
      <w:proofErr w:type="spellEnd"/>
      <w:r w:rsidRPr="00A14E24">
        <w:rPr>
          <w:lang w:eastAsia="de-DE"/>
        </w:rPr>
        <w:t xml:space="preserve"> būtų susijęs su padidėjusia arterijų trombozės reiškinių rizika.</w:t>
      </w:r>
    </w:p>
    <w:p w14:paraId="56CFCA55" w14:textId="77777777" w:rsidR="002772D7" w:rsidRPr="00A14E24" w:rsidRDefault="002772D7" w:rsidP="00EC2E49">
      <w:pPr>
        <w:tabs>
          <w:tab w:val="left" w:pos="1296"/>
        </w:tabs>
        <w:autoSpaceDE w:val="0"/>
        <w:autoSpaceDN w:val="0"/>
        <w:snapToGrid w:val="0"/>
        <w:ind w:right="284"/>
        <w:rPr>
          <w:lang w:eastAsia="de-DE"/>
        </w:rPr>
      </w:pPr>
    </w:p>
    <w:p w14:paraId="622B2E70" w14:textId="35173818" w:rsidR="002772D7" w:rsidRPr="00A14E24" w:rsidRDefault="002772D7" w:rsidP="00EC2E49">
      <w:pPr>
        <w:tabs>
          <w:tab w:val="left" w:pos="1296"/>
        </w:tabs>
        <w:autoSpaceDE w:val="0"/>
        <w:autoSpaceDN w:val="0"/>
        <w:snapToGrid w:val="0"/>
        <w:ind w:right="284"/>
        <w:rPr>
          <w:lang w:eastAsia="de-DE"/>
        </w:rPr>
      </w:pPr>
      <w:r w:rsidRPr="00A14E24">
        <w:rPr>
          <w:lang w:eastAsia="de-DE"/>
        </w:rPr>
        <w:t xml:space="preserve">Pacientus, kuriems yra nekontroliuojama hipertenzija, </w:t>
      </w:r>
      <w:proofErr w:type="spellStart"/>
      <w:r w:rsidRPr="00A14E24">
        <w:rPr>
          <w:lang w:eastAsia="de-DE"/>
        </w:rPr>
        <w:t>stazinis</w:t>
      </w:r>
      <w:proofErr w:type="spellEnd"/>
      <w:r w:rsidRPr="00A14E24">
        <w:rPr>
          <w:lang w:eastAsia="de-DE"/>
        </w:rPr>
        <w:t xml:space="preserve"> širdies nepakankamumas (II–III funkcinės klasės pagal NYHA), diagnozuota išeminė širdies liga, periferinių arterijų liga ir (arba) galvos smegenų kraujagyslių liga, </w:t>
      </w:r>
      <w:proofErr w:type="spellStart"/>
      <w:r w:rsidRPr="00A14E24">
        <w:rPr>
          <w:lang w:eastAsia="de-DE"/>
        </w:rPr>
        <w:t>ibuprofenu</w:t>
      </w:r>
      <w:proofErr w:type="spellEnd"/>
      <w:r w:rsidRPr="00A14E24">
        <w:rPr>
          <w:lang w:eastAsia="de-DE"/>
        </w:rPr>
        <w:t xml:space="preserve"> galima gydyti tik kruopščiai apsvarsčius ir vengiant didelių dozių (2 400 mg per parą).</w:t>
      </w:r>
    </w:p>
    <w:p w14:paraId="7720CFAC" w14:textId="77777777" w:rsidR="002772D7" w:rsidRPr="00A14E24" w:rsidRDefault="002772D7" w:rsidP="00EC2E49">
      <w:pPr>
        <w:tabs>
          <w:tab w:val="left" w:pos="1296"/>
        </w:tabs>
        <w:autoSpaceDE w:val="0"/>
        <w:autoSpaceDN w:val="0"/>
        <w:snapToGrid w:val="0"/>
        <w:ind w:right="284"/>
      </w:pPr>
    </w:p>
    <w:p w14:paraId="2DA1578E" w14:textId="58C91428" w:rsidR="002772D7" w:rsidRPr="00A14E24" w:rsidRDefault="002772D7" w:rsidP="00EC2E49">
      <w:pPr>
        <w:keepNext/>
        <w:keepLines/>
        <w:tabs>
          <w:tab w:val="left" w:pos="1296"/>
        </w:tabs>
        <w:autoSpaceDE w:val="0"/>
        <w:autoSpaceDN w:val="0"/>
        <w:snapToGrid w:val="0"/>
        <w:ind w:right="284"/>
        <w:rPr>
          <w:lang w:eastAsia="de-DE"/>
        </w:rPr>
      </w:pPr>
      <w:r w:rsidRPr="00A14E24">
        <w:t xml:space="preserve">Atidžiai apsvarstyti reikia ir prieš pradedant taikyti ilgalaikį gydymą </w:t>
      </w:r>
      <w:proofErr w:type="spellStart"/>
      <w:r w:rsidRPr="00A14E24">
        <w:t>ibuprofenu</w:t>
      </w:r>
      <w:proofErr w:type="spellEnd"/>
      <w:r w:rsidRPr="00A14E24">
        <w:t xml:space="preserve"> pacientams, kuriems nustatyta širdies ir kraujagyslių sistemos reiškinių rizikos veiksnių (pvz., hipertenzija, </w:t>
      </w:r>
      <w:proofErr w:type="spellStart"/>
      <w:r w:rsidRPr="00A14E24">
        <w:t>hiperlipidemija</w:t>
      </w:r>
      <w:proofErr w:type="spellEnd"/>
      <w:r w:rsidRPr="00A14E24">
        <w:t xml:space="preserve">, cukrinis diabetas, rūkymas), ypač jeigu būtinos didelės </w:t>
      </w:r>
      <w:proofErr w:type="spellStart"/>
      <w:r w:rsidRPr="00A14E24">
        <w:t>ibuprofeno</w:t>
      </w:r>
      <w:proofErr w:type="spellEnd"/>
      <w:r w:rsidRPr="00A14E24">
        <w:t xml:space="preserve"> dozės (2 400 mg per parą).</w:t>
      </w:r>
    </w:p>
    <w:p w14:paraId="45981099" w14:textId="77777777" w:rsidR="00EA67F4" w:rsidRPr="00A14E24" w:rsidRDefault="00EA67F4" w:rsidP="00EC2E49"/>
    <w:p w14:paraId="75C19B2A" w14:textId="0CF246AB" w:rsidR="00EA67F4" w:rsidRPr="00A14E24" w:rsidRDefault="002772D7" w:rsidP="00EC2E49">
      <w:r w:rsidRPr="00A14E24">
        <w:t>Atsargiai reikia gydyti pacientus, kuriems buvo diagnozuota hipertenzija ir (arba) širdies nepakankamumas</w:t>
      </w:r>
      <w:r w:rsidR="00EA67F4" w:rsidRPr="00A14E24">
        <w:t xml:space="preserve">, </w:t>
      </w:r>
      <w:r w:rsidRPr="00A14E24">
        <w:t>nes gauta pranešimų apie su NV</w:t>
      </w:r>
      <w:r w:rsidR="003A5A6F">
        <w:t>P</w:t>
      </w:r>
      <w:r w:rsidRPr="00A14E24">
        <w:t>NU vartojimu susijusius skysčių susilaikymo ir edemos atvejus</w:t>
      </w:r>
      <w:r w:rsidR="00EA67F4" w:rsidRPr="00A14E24">
        <w:t>.</w:t>
      </w:r>
    </w:p>
    <w:p w14:paraId="1F6A9571" w14:textId="77777777" w:rsidR="00EA67F4" w:rsidRPr="00A14E24" w:rsidRDefault="00EA67F4" w:rsidP="00EC2E49"/>
    <w:p w14:paraId="16CA12C1" w14:textId="70125A81" w:rsidR="005E344E" w:rsidRPr="00A14E24" w:rsidRDefault="005E344E" w:rsidP="00EC2E49">
      <w:r w:rsidRPr="00A14E24">
        <w:t xml:space="preserve">Buvo pranešta apie pacientams, gydytiems </w:t>
      </w:r>
      <w:proofErr w:type="spellStart"/>
      <w:r w:rsidRPr="00A14E24">
        <w:t>ibuprofenu</w:t>
      </w:r>
      <w:proofErr w:type="spellEnd"/>
      <w:r w:rsidRPr="00A14E24">
        <w:t xml:space="preserve">, pasitaikiusius </w:t>
      </w:r>
      <w:proofErr w:type="spellStart"/>
      <w:r w:rsidRPr="00A14E24">
        <w:rPr>
          <w:i/>
          <w:iCs/>
        </w:rPr>
        <w:t>Kounis</w:t>
      </w:r>
      <w:proofErr w:type="spellEnd"/>
      <w:r w:rsidRPr="00A14E24">
        <w:t xml:space="preserve"> sindromo atvejus. </w:t>
      </w:r>
      <w:proofErr w:type="spellStart"/>
      <w:r w:rsidRPr="00A14E24">
        <w:rPr>
          <w:i/>
          <w:iCs/>
        </w:rPr>
        <w:t>Kounis</w:t>
      </w:r>
      <w:proofErr w:type="spellEnd"/>
      <w:r w:rsidRPr="00A14E24">
        <w:t xml:space="preserve"> sindromas apibrėžiamas kaip kardiovaskuliniai simptomai, kuriuos lemia alerginė ar padidėjusio jautrumo reakcija, susijusi su vainikinių </w:t>
      </w:r>
      <w:r w:rsidR="009F247A" w:rsidRPr="00A14E24">
        <w:t>arterijų</w:t>
      </w:r>
      <w:r w:rsidRPr="00A14E24">
        <w:t xml:space="preserve"> </w:t>
      </w:r>
      <w:proofErr w:type="spellStart"/>
      <w:r w:rsidRPr="00A14E24">
        <w:t>konstrikcija</w:t>
      </w:r>
      <w:proofErr w:type="spellEnd"/>
      <w:r w:rsidR="00C22E79">
        <w:t xml:space="preserve"> (susiaurėjimu)</w:t>
      </w:r>
      <w:r w:rsidRPr="00A14E24">
        <w:t xml:space="preserve"> ir galinti sukelti miokardo infarktą.</w:t>
      </w:r>
    </w:p>
    <w:p w14:paraId="2AF63EB3" w14:textId="77777777" w:rsidR="005E344E" w:rsidRPr="00A14E24" w:rsidRDefault="005E344E" w:rsidP="00EC2E49"/>
    <w:p w14:paraId="56F3DB34" w14:textId="0B352E98" w:rsidR="00EA67F4" w:rsidRPr="00A14E24" w:rsidRDefault="006D5BC2" w:rsidP="00EC2E49">
      <w:pPr>
        <w:rPr>
          <w:u w:val="single"/>
        </w:rPr>
      </w:pPr>
      <w:r w:rsidRPr="00A14E24">
        <w:rPr>
          <w:u w:val="single"/>
        </w:rPr>
        <w:t xml:space="preserve">Kraujavimas iš virškinimo trakto, virškinimo trakto išopėjimas ir </w:t>
      </w:r>
      <w:r w:rsidR="004F3029">
        <w:rPr>
          <w:u w:val="single"/>
        </w:rPr>
        <w:t>perforacija</w:t>
      </w:r>
    </w:p>
    <w:p w14:paraId="36377252" w14:textId="3FA4F56E" w:rsidR="00EA67F4" w:rsidRPr="00A14E24" w:rsidRDefault="006D5BC2" w:rsidP="00EC2E49">
      <w:r w:rsidRPr="00A14E24">
        <w:t xml:space="preserve">Yra stiprus ryšys tarp dozės ir sunkaus kraujavimo iš virškinimo trakto. Reikia vengti kartu vartoti </w:t>
      </w:r>
      <w:proofErr w:type="spellStart"/>
      <w:r w:rsidRPr="00A14E24">
        <w:t>ibuprofen</w:t>
      </w:r>
      <w:r w:rsidR="003A5A6F">
        <w:t>o</w:t>
      </w:r>
      <w:proofErr w:type="spellEnd"/>
      <w:r w:rsidRPr="00A14E24">
        <w:t xml:space="preserve"> ir kit</w:t>
      </w:r>
      <w:r w:rsidR="003A5A6F">
        <w:t>ų</w:t>
      </w:r>
      <w:r w:rsidRPr="00A14E24">
        <w:t xml:space="preserve"> NV</w:t>
      </w:r>
      <w:r w:rsidR="003A5A6F">
        <w:t>P</w:t>
      </w:r>
      <w:r w:rsidRPr="00A14E24">
        <w:t>NU, įskaitant selektyvi</w:t>
      </w:r>
      <w:r w:rsidR="003A5A6F">
        <w:t>ų</w:t>
      </w:r>
      <w:r w:rsidRPr="00A14E24">
        <w:t xml:space="preserve"> ciklooksigenazės-2 (COX-2) inhibitori</w:t>
      </w:r>
      <w:r w:rsidR="003A5A6F">
        <w:t>ų</w:t>
      </w:r>
      <w:r w:rsidRPr="00A14E24">
        <w:t>.</w:t>
      </w:r>
    </w:p>
    <w:p w14:paraId="08298551" w14:textId="77777777" w:rsidR="00EA67F4" w:rsidRPr="00A14E24" w:rsidRDefault="00EA67F4" w:rsidP="00EC2E49"/>
    <w:p w14:paraId="7C30A4E3" w14:textId="12493DE3" w:rsidR="00260349" w:rsidRPr="00A14E24" w:rsidRDefault="00260349" w:rsidP="00EC2E49">
      <w:r w:rsidRPr="00A14E24">
        <w:t>Senyviems NV</w:t>
      </w:r>
      <w:r w:rsidR="003A5A6F">
        <w:t>P</w:t>
      </w:r>
      <w:r w:rsidRPr="00A14E24">
        <w:t xml:space="preserve">NU gydomiems pacientams kyla didesnė nepageidaujamo poveikio, ypač </w:t>
      </w:r>
      <w:r w:rsidR="003B24F4" w:rsidRPr="00A14E24">
        <w:t xml:space="preserve">kraujavimo iš </w:t>
      </w:r>
      <w:r w:rsidRPr="00A14E24">
        <w:t xml:space="preserve">virškinimo trakto ir </w:t>
      </w:r>
      <w:r w:rsidR="003B24F4" w:rsidRPr="00A14E24">
        <w:t xml:space="preserve">jo </w:t>
      </w:r>
      <w:r w:rsidR="00BB2F7B">
        <w:t>perforacijos</w:t>
      </w:r>
      <w:r w:rsidRPr="00A14E24">
        <w:t>, kurie gali būti mirtini, rizika.</w:t>
      </w:r>
    </w:p>
    <w:p w14:paraId="45E5B61F" w14:textId="77777777" w:rsidR="006D5BC2" w:rsidRPr="00A14E24" w:rsidRDefault="006D5BC2" w:rsidP="00EC2E49"/>
    <w:p w14:paraId="1E5BF409" w14:textId="1ED7D794" w:rsidR="006D5BC2" w:rsidRPr="00A14E24" w:rsidRDefault="006D5BC2" w:rsidP="00EC2E49">
      <w:r w:rsidRPr="00A14E24">
        <w:t xml:space="preserve">Apie kraujavimo iš virškinimo trakto, jo išopėjimo ar </w:t>
      </w:r>
      <w:r w:rsidR="0012189F">
        <w:t>perforacijos</w:t>
      </w:r>
      <w:r w:rsidRPr="00A14E24">
        <w:t xml:space="preserve"> atvejus, kurie gali būti mirtini bei kurie pasireiškė tiek kartu su įspėjamaisiais simptomais, tiek ir be jų, gauta pranešimų vartojant bet kokio NV</w:t>
      </w:r>
      <w:r w:rsidR="004761CA">
        <w:t>P</w:t>
      </w:r>
      <w:r w:rsidRPr="00A14E24">
        <w:t>NU, bet kuriuo gydymo laikotarpiu ir net tuo atveju, jeigu anksčiau sunkių virškinimo trakto sutrikimų nebuvo nustatyta.</w:t>
      </w:r>
    </w:p>
    <w:p w14:paraId="5DCBB64F" w14:textId="77777777" w:rsidR="006D5BC2" w:rsidRPr="00A14E24" w:rsidRDefault="006D5BC2" w:rsidP="00EC2E49"/>
    <w:p w14:paraId="3FBD8CF6" w14:textId="1ED362C4" w:rsidR="006640F2" w:rsidRPr="00A14E24" w:rsidRDefault="006640F2" w:rsidP="00EC2E49">
      <w:pPr>
        <w:widowControl w:val="0"/>
        <w:tabs>
          <w:tab w:val="left" w:pos="1296"/>
        </w:tabs>
        <w:snapToGrid w:val="0"/>
      </w:pPr>
      <w:r w:rsidRPr="00A14E24">
        <w:t xml:space="preserve">Pacientams, kuriems anksčiau yra buvusi opa, ypač su kraujavimo ar </w:t>
      </w:r>
      <w:r w:rsidR="006118D1">
        <w:t>perforacijos</w:t>
      </w:r>
      <w:r w:rsidRPr="00A14E24">
        <w:t xml:space="preserve"> komplikacijomis (žr. 4.3 skyrių), ir senyviems pacientams kraujavimo iš virškinimo trakto, jo išopėjimo ir </w:t>
      </w:r>
      <w:r w:rsidR="00B757E5">
        <w:t>perforacijos</w:t>
      </w:r>
      <w:r w:rsidRPr="00A14E24">
        <w:t xml:space="preserve"> rizika didėja didinant NV</w:t>
      </w:r>
      <w:r w:rsidR="004761CA">
        <w:t>P</w:t>
      </w:r>
      <w:r w:rsidRPr="00A14E24">
        <w:t xml:space="preserve">NU dozę. Pacientų, kurie turi paminėtų rizikos veiksnių, gydymą reikia pradėti mažiausia galima doze. </w:t>
      </w:r>
    </w:p>
    <w:p w14:paraId="2BE0C5B7" w14:textId="77777777" w:rsidR="00EA67F4" w:rsidRPr="00A14E24" w:rsidRDefault="00EA67F4" w:rsidP="00EC2E49"/>
    <w:p w14:paraId="42FD29F8" w14:textId="733B3E14" w:rsidR="004730A9" w:rsidRPr="00A14E24" w:rsidRDefault="004730A9" w:rsidP="00EC2E49">
      <w:pPr>
        <w:widowControl w:val="0"/>
        <w:tabs>
          <w:tab w:val="left" w:pos="1296"/>
        </w:tabs>
        <w:snapToGrid w:val="0"/>
        <w:rPr>
          <w:rFonts w:eastAsia="TimesNewRoman"/>
        </w:rPr>
      </w:pPr>
      <w:r w:rsidRPr="00A14E24">
        <w:t xml:space="preserve">Šiems pacientams reikia apsvarstyti galimybę </w:t>
      </w:r>
      <w:r w:rsidRPr="00A14E24">
        <w:rPr>
          <w:rFonts w:eastAsia="TimesNewRoman"/>
        </w:rPr>
        <w:t>taikyti gydymą</w:t>
      </w:r>
      <w:r w:rsidR="006640F2" w:rsidRPr="00A14E24">
        <w:rPr>
          <w:rFonts w:eastAsia="TimesNewRoman"/>
        </w:rPr>
        <w:t xml:space="preserve"> gleivinę</w:t>
      </w:r>
      <w:r w:rsidRPr="00A14E24">
        <w:rPr>
          <w:rFonts w:eastAsia="TimesNewRoman"/>
        </w:rPr>
        <w:t xml:space="preserve"> apsauganči</w:t>
      </w:r>
      <w:r w:rsidR="006640F2" w:rsidRPr="00A14E24">
        <w:rPr>
          <w:rFonts w:eastAsia="TimesNewRoman"/>
        </w:rPr>
        <w:t>ais</w:t>
      </w:r>
      <w:r w:rsidRPr="00A14E24">
        <w:rPr>
          <w:rFonts w:eastAsia="TimesNewRoman"/>
        </w:rPr>
        <w:t xml:space="preserve"> vaistini</w:t>
      </w:r>
      <w:r w:rsidR="006640F2" w:rsidRPr="00A14E24">
        <w:rPr>
          <w:rFonts w:eastAsia="TimesNewRoman"/>
        </w:rPr>
        <w:t>ais</w:t>
      </w:r>
      <w:r w:rsidRPr="00A14E24">
        <w:rPr>
          <w:rFonts w:eastAsia="TimesNewRoman"/>
        </w:rPr>
        <w:t xml:space="preserve"> preparat</w:t>
      </w:r>
      <w:r w:rsidR="006640F2" w:rsidRPr="00A14E24">
        <w:rPr>
          <w:rFonts w:eastAsia="TimesNewRoman"/>
        </w:rPr>
        <w:t>ais</w:t>
      </w:r>
      <w:r w:rsidRPr="00A14E24">
        <w:rPr>
          <w:rFonts w:eastAsia="TimesNewRoman"/>
        </w:rPr>
        <w:t xml:space="preserve"> (pvz., </w:t>
      </w:r>
      <w:proofErr w:type="spellStart"/>
      <w:r w:rsidRPr="00A14E24">
        <w:rPr>
          <w:rFonts w:eastAsia="TimesNewRoman"/>
        </w:rPr>
        <w:t>mizoprostoli</w:t>
      </w:r>
      <w:r w:rsidR="006640F2" w:rsidRPr="00A14E24">
        <w:rPr>
          <w:rFonts w:eastAsia="TimesNewRoman"/>
        </w:rPr>
        <w:t>u</w:t>
      </w:r>
      <w:proofErr w:type="spellEnd"/>
      <w:r w:rsidRPr="00A14E24">
        <w:rPr>
          <w:rFonts w:eastAsia="TimesNewRoman"/>
        </w:rPr>
        <w:t xml:space="preserve"> arba protonų siurblio inhibitori</w:t>
      </w:r>
      <w:r w:rsidR="003B24F4" w:rsidRPr="00A14E24">
        <w:rPr>
          <w:rFonts w:eastAsia="TimesNewRoman"/>
        </w:rPr>
        <w:t>ais</w:t>
      </w:r>
      <w:r w:rsidRPr="00A14E24">
        <w:rPr>
          <w:rFonts w:eastAsia="TimesNewRoman"/>
        </w:rPr>
        <w:t>); tokio gydymo poreikį reikia apsvarstyti ir pacientams, kurie kartu varto</w:t>
      </w:r>
      <w:r w:rsidR="006640F2" w:rsidRPr="00A14E24">
        <w:rPr>
          <w:rFonts w:eastAsia="TimesNewRoman"/>
        </w:rPr>
        <w:t>ja</w:t>
      </w:r>
      <w:r w:rsidR="003B24F4" w:rsidRPr="00A14E24">
        <w:rPr>
          <w:rFonts w:eastAsia="TimesNewRoman"/>
        </w:rPr>
        <w:t xml:space="preserve"> </w:t>
      </w:r>
      <w:proofErr w:type="spellStart"/>
      <w:r w:rsidRPr="00A14E24">
        <w:rPr>
          <w:rFonts w:eastAsia="TimesNewRoman"/>
        </w:rPr>
        <w:t>acetilsalicilo</w:t>
      </w:r>
      <w:proofErr w:type="spellEnd"/>
      <w:r w:rsidRPr="00A14E24">
        <w:rPr>
          <w:rFonts w:eastAsia="TimesNewRoman"/>
        </w:rPr>
        <w:t xml:space="preserve"> rūgšties (mažomis dozėmis) arba kitų </w:t>
      </w:r>
      <w:r w:rsidRPr="00A14E24">
        <w:rPr>
          <w:rFonts w:eastAsia="TimesNewRoman"/>
        </w:rPr>
        <w:lastRenderedPageBreak/>
        <w:t xml:space="preserve">vaistinių preparatų, didinančių </w:t>
      </w:r>
      <w:r w:rsidR="006640F2" w:rsidRPr="00A14E24">
        <w:rPr>
          <w:rFonts w:eastAsia="TimesNewRoman"/>
        </w:rPr>
        <w:t xml:space="preserve">nepageidaujamo poveikio </w:t>
      </w:r>
      <w:r w:rsidRPr="00A14E24">
        <w:rPr>
          <w:rFonts w:eastAsia="TimesNewRoman"/>
        </w:rPr>
        <w:t>virškinimo trakt</w:t>
      </w:r>
      <w:r w:rsidR="006640F2" w:rsidRPr="00A14E24">
        <w:rPr>
          <w:rFonts w:eastAsia="TimesNewRoman"/>
        </w:rPr>
        <w:t xml:space="preserve">ui </w:t>
      </w:r>
      <w:r w:rsidRPr="00A14E24">
        <w:rPr>
          <w:rFonts w:eastAsia="TimesNewRoman"/>
        </w:rPr>
        <w:t>riziką (žr. toliau ir 4.5 skyrių).</w:t>
      </w:r>
    </w:p>
    <w:p w14:paraId="54F12AA0" w14:textId="77777777" w:rsidR="004730A9" w:rsidRPr="00A14E24" w:rsidRDefault="004730A9" w:rsidP="00EC2E49"/>
    <w:p w14:paraId="51875D58" w14:textId="479428C3" w:rsidR="00EA67F4" w:rsidRPr="00A14E24" w:rsidRDefault="00512E97" w:rsidP="00EC2E49">
      <w:r w:rsidRPr="00A14E24">
        <w:t>Pacienta</w:t>
      </w:r>
      <w:r w:rsidR="003B24F4" w:rsidRPr="00A14E24">
        <w:t>ms</w:t>
      </w:r>
      <w:r w:rsidRPr="00A14E24">
        <w:t xml:space="preserve"> (ypač senyvo amžiaus), kuriems anksčiau buvo pasireiškę virškinimo trakto reakcijų, turi būti nurodyta stebėti, ar nepasireiškia bet kokių neįprastų su pilvu susijusių simptomų (ypač kraujavimas iš virškinimo trakto), ypač gydymo pradžioje, o jei tokių simptomų atsiranda – kreiptis į medikus.</w:t>
      </w:r>
    </w:p>
    <w:p w14:paraId="0F9A42DE" w14:textId="77777777" w:rsidR="00512E97" w:rsidRPr="00A14E24" w:rsidRDefault="00512E97" w:rsidP="00EC2E49"/>
    <w:p w14:paraId="6464BD64" w14:textId="587188C7" w:rsidR="000256EA" w:rsidRPr="00A14E24" w:rsidRDefault="000256EA" w:rsidP="00EC2E49">
      <w:pPr>
        <w:widowControl w:val="0"/>
        <w:tabs>
          <w:tab w:val="left" w:pos="1296"/>
        </w:tabs>
        <w:snapToGrid w:val="0"/>
      </w:pPr>
      <w:r w:rsidRPr="00A14E24">
        <w:t xml:space="preserve">Pacientams, kartu vartojantiems išopėjimo ar kraujavimo riziką didinti galinčių vaistinių preparatų, tokių kaip </w:t>
      </w:r>
      <w:r w:rsidR="003B24F4" w:rsidRPr="00A14E24">
        <w:t>per burną vartojami</w:t>
      </w:r>
      <w:r w:rsidRPr="00A14E24">
        <w:t xml:space="preserve"> kortikosteroidai, antikoaguliantai, pvz., varfarinas, selektyvieji </w:t>
      </w:r>
      <w:proofErr w:type="spellStart"/>
      <w:r w:rsidRPr="00A14E24">
        <w:t>serotonino</w:t>
      </w:r>
      <w:proofErr w:type="spellEnd"/>
      <w:r w:rsidRPr="00A14E24">
        <w:t xml:space="preserve"> reabsorbcijos inhibitoriai ar trombocitų funkciją slopinantys vaistiniai preparatai, pvz., </w:t>
      </w:r>
      <w:proofErr w:type="spellStart"/>
      <w:r w:rsidRPr="00A14E24">
        <w:t>acetilsalicilo</w:t>
      </w:r>
      <w:proofErr w:type="spellEnd"/>
      <w:r w:rsidRPr="00A14E24">
        <w:t xml:space="preserve"> rūgštis, reikia imtis atsargumo priemonių (žr. 4.5 skyrių).</w:t>
      </w:r>
    </w:p>
    <w:p w14:paraId="27E2359F" w14:textId="77777777" w:rsidR="00EA67F4" w:rsidRPr="00A14E24" w:rsidRDefault="00EA67F4" w:rsidP="00EC2E49"/>
    <w:p w14:paraId="3729C6B2" w14:textId="5F651D26" w:rsidR="004537F6" w:rsidRPr="00A14E24" w:rsidRDefault="004537F6" w:rsidP="00EC2E49">
      <w:pPr>
        <w:widowControl w:val="0"/>
        <w:tabs>
          <w:tab w:val="left" w:pos="1296"/>
        </w:tabs>
        <w:snapToGrid w:val="0"/>
        <w:rPr>
          <w:rFonts w:eastAsia="TimesNewRoman"/>
        </w:rPr>
      </w:pPr>
      <w:r w:rsidRPr="00A14E24">
        <w:rPr>
          <w:rFonts w:eastAsia="TimesNewRoman"/>
        </w:rPr>
        <w:t xml:space="preserve">Jeigu pacientams pasireiškia kraujavimas iš virškinimo trakto ar jo išopėjimas, gydymą </w:t>
      </w:r>
      <w:proofErr w:type="spellStart"/>
      <w:r w:rsidRPr="00A14E24">
        <w:rPr>
          <w:rFonts w:eastAsia="TimesNewRoman"/>
        </w:rPr>
        <w:t>ibuprofenu</w:t>
      </w:r>
      <w:proofErr w:type="spellEnd"/>
      <w:r w:rsidRPr="00A14E24">
        <w:rPr>
          <w:rFonts w:eastAsia="TimesNewRoman"/>
        </w:rPr>
        <w:t xml:space="preserve"> reikia nutraukti.</w:t>
      </w:r>
    </w:p>
    <w:p w14:paraId="43D35349" w14:textId="77777777" w:rsidR="00EA67F4" w:rsidRPr="00A14E24" w:rsidRDefault="00EA67F4" w:rsidP="00EC2E49"/>
    <w:p w14:paraId="4D7D8DF9" w14:textId="179FBD9D" w:rsidR="00E7277B" w:rsidRPr="00A14E24" w:rsidRDefault="00E7277B" w:rsidP="00EC2E49">
      <w:pPr>
        <w:widowControl w:val="0"/>
        <w:tabs>
          <w:tab w:val="left" w:pos="1296"/>
        </w:tabs>
        <w:snapToGrid w:val="0"/>
        <w:rPr>
          <w:rFonts w:eastAsia="TimesNewRoman"/>
        </w:rPr>
      </w:pPr>
      <w:r w:rsidRPr="00A14E24">
        <w:rPr>
          <w:rFonts w:eastAsia="TimesNewRoman"/>
        </w:rPr>
        <w:t xml:space="preserve">Pacientams, kurie yra sirgę virškinimo trakto liga, pvz., opiniu kolitu ar </w:t>
      </w:r>
      <w:r w:rsidRPr="00A14E24">
        <w:rPr>
          <w:kern w:val="28"/>
        </w:rPr>
        <w:t>Krono</w:t>
      </w:r>
      <w:r w:rsidRPr="00A14E24">
        <w:rPr>
          <w:rFonts w:eastAsia="Times New Roman"/>
          <w:kern w:val="28"/>
        </w:rPr>
        <w:t xml:space="preserve"> </w:t>
      </w:r>
      <w:r w:rsidRPr="00A14E24">
        <w:rPr>
          <w:kern w:val="28"/>
        </w:rPr>
        <w:t>liga</w:t>
      </w:r>
      <w:r w:rsidRPr="00A14E24">
        <w:rPr>
          <w:rFonts w:eastAsia="TimesNewRoman"/>
        </w:rPr>
        <w:t>, NV</w:t>
      </w:r>
      <w:r w:rsidR="007F5C7E">
        <w:rPr>
          <w:rFonts w:eastAsia="TimesNewRoman"/>
        </w:rPr>
        <w:t>P</w:t>
      </w:r>
      <w:r w:rsidRPr="00A14E24">
        <w:rPr>
          <w:rFonts w:eastAsia="TimesNewRoman"/>
        </w:rPr>
        <w:t>NU reikia skirti laikantis atsargumo priemonių, nes šios būklės gali paūmėti (žr. 4.8 skyrių).</w:t>
      </w:r>
    </w:p>
    <w:p w14:paraId="1D2EE3CD" w14:textId="64BC74FA" w:rsidR="00EA67F4" w:rsidRPr="00A14E24" w:rsidRDefault="00EA67F4" w:rsidP="00EC2E49"/>
    <w:p w14:paraId="4FBC1BE6" w14:textId="6130F3D3" w:rsidR="00EA67F4" w:rsidRPr="00A14E24" w:rsidRDefault="00444C5C" w:rsidP="00EC2E49">
      <w:pPr>
        <w:rPr>
          <w:u w:val="single"/>
        </w:rPr>
      </w:pPr>
      <w:r w:rsidRPr="00A14E24">
        <w:rPr>
          <w:u w:val="single"/>
        </w:rPr>
        <w:t>Poveikis inkstams</w:t>
      </w:r>
    </w:p>
    <w:p w14:paraId="7E871DB1" w14:textId="63B086B2" w:rsidR="00EA67F4" w:rsidRPr="00A14E24" w:rsidRDefault="009864B0" w:rsidP="00EC2E49">
      <w:r w:rsidRPr="00A14E24">
        <w:t>Pacientus, kuriems yra dehidratacija, reikia gydyti atsargiai. Kyla inkstų funkcijos sutrikimo rizika, ypač pasireiškus dehidratacijai vaikams, paaugliams ir senyviems asmenims</w:t>
      </w:r>
      <w:r w:rsidR="00EA67F4" w:rsidRPr="00A14E24">
        <w:t>.</w:t>
      </w:r>
    </w:p>
    <w:p w14:paraId="208B1905" w14:textId="77777777" w:rsidR="00EA67F4" w:rsidRPr="00A14E24" w:rsidRDefault="00EA67F4" w:rsidP="00EC2E49"/>
    <w:p w14:paraId="58A93E03" w14:textId="2E80BEF6" w:rsidR="00EA67F4" w:rsidRPr="00A14E24" w:rsidRDefault="00FB2947" w:rsidP="00EC2E49">
      <w:r w:rsidRPr="00A14E24">
        <w:t xml:space="preserve">Ilgalaikis </w:t>
      </w:r>
      <w:proofErr w:type="spellStart"/>
      <w:r w:rsidRPr="00A14E24">
        <w:t>ibuprofeno</w:t>
      </w:r>
      <w:proofErr w:type="spellEnd"/>
      <w:r w:rsidRPr="00A14E24">
        <w:t>, kaip ir kitų NV</w:t>
      </w:r>
      <w:r w:rsidR="007F5C7E">
        <w:t>P</w:t>
      </w:r>
      <w:r w:rsidRPr="00A14E24">
        <w:t xml:space="preserve">NU, vartojimas sukėlė inkstų </w:t>
      </w:r>
      <w:proofErr w:type="spellStart"/>
      <w:r w:rsidR="00242C1F">
        <w:t>meduliarinę</w:t>
      </w:r>
      <w:proofErr w:type="spellEnd"/>
      <w:r w:rsidR="00242C1F">
        <w:t xml:space="preserve"> [</w:t>
      </w:r>
      <w:proofErr w:type="spellStart"/>
      <w:r w:rsidR="00242C1F">
        <w:t>papiliarinę</w:t>
      </w:r>
      <w:proofErr w:type="spellEnd"/>
      <w:r w:rsidR="00242C1F">
        <w:t>]</w:t>
      </w:r>
      <w:r w:rsidRPr="00A14E24">
        <w:t xml:space="preserve"> nekrozę ir kitus patologinius inkstų pokyčius. Toksinio poveikio inkstams atvejų taip pat pastebėta pacientams, kuriems prostaglandinai atlieka kompensacinę funkciją normaliai inkstų </w:t>
      </w:r>
      <w:proofErr w:type="spellStart"/>
      <w:r w:rsidRPr="00A14E24">
        <w:t>perfuzijai</w:t>
      </w:r>
      <w:proofErr w:type="spellEnd"/>
      <w:r w:rsidRPr="00A14E24">
        <w:t xml:space="preserve"> palaikyti. Tokiems pacientams NV</w:t>
      </w:r>
      <w:r w:rsidR="007F5C7E">
        <w:t>P</w:t>
      </w:r>
      <w:r w:rsidRPr="00A14E24">
        <w:t xml:space="preserve">NU vartojimas gali sukelti nuo dozės priklausomą prostaglandinų susidarymo sumažėjimą ir dėl to gali pablogėti inkstų kraujotaka, o tai gali sukelti inkstų </w:t>
      </w:r>
      <w:r w:rsidR="00091718" w:rsidRPr="00A14E24">
        <w:t>nepakankamumą</w:t>
      </w:r>
      <w:r w:rsidRPr="00A14E24">
        <w:t xml:space="preserve">. Didžiausia tokių reakcijų rizika kyla pacientams, kurių inkstų funkcija sutrikusi, kurie serga širdies nepakankamumu, kurių kepenų funkcija sutrikusi, kurie yra senyvi ar vartoja diuretikų ir </w:t>
      </w:r>
      <w:proofErr w:type="spellStart"/>
      <w:r w:rsidRPr="00A14E24">
        <w:t>angiotenziną</w:t>
      </w:r>
      <w:proofErr w:type="spellEnd"/>
      <w:r w:rsidRPr="00A14E24">
        <w:t xml:space="preserve"> konvertuojančio fermento (AKF) inhibitorių. Nutraukus gydymą NV</w:t>
      </w:r>
      <w:r w:rsidR="007F5C7E">
        <w:t>P</w:t>
      </w:r>
      <w:r w:rsidRPr="00A14E24">
        <w:t>NU, simptomai paprastai išnyksta.</w:t>
      </w:r>
    </w:p>
    <w:p w14:paraId="00F5F5DA" w14:textId="77777777" w:rsidR="00FB2947" w:rsidRPr="00A14E24" w:rsidRDefault="00FB2947" w:rsidP="00EC2E49"/>
    <w:p w14:paraId="3E1C5648" w14:textId="3A3C5D09" w:rsidR="00EA67F4" w:rsidRPr="00A14E24" w:rsidRDefault="00FB2947" w:rsidP="00EC2E49">
      <w:r w:rsidRPr="00A14E24">
        <w:t>Pacientams, kuriems yra inkstų, kepenų ar širdies funkcijos sutrikimas, reikia skirti mažiausią veiksmingą dozę kuo trumpesnį laiką ir stebėti inkstų funkciją, ypač ilgalaikio gydymo atveju (žr. taip pat 4.3 skyrių).</w:t>
      </w:r>
    </w:p>
    <w:p w14:paraId="6DB02FE4" w14:textId="77777777" w:rsidR="00FB2947" w:rsidRPr="00A14E24" w:rsidRDefault="00FB2947" w:rsidP="00EC2E49"/>
    <w:p w14:paraId="6026EB49" w14:textId="1A3C3BD9" w:rsidR="00EA67F4" w:rsidRPr="00A14E24" w:rsidRDefault="00236D27" w:rsidP="00EC2E49">
      <w:pPr>
        <w:rPr>
          <w:u w:val="single"/>
        </w:rPr>
      </w:pPr>
      <w:r w:rsidRPr="00A14E24">
        <w:rPr>
          <w:u w:val="single"/>
        </w:rPr>
        <w:t>Poveikis kraujui</w:t>
      </w:r>
    </w:p>
    <w:p w14:paraId="0B918B89" w14:textId="63A82D4C" w:rsidR="00EA67F4" w:rsidRPr="00A14E24" w:rsidRDefault="002F744B" w:rsidP="00EC2E49">
      <w:proofErr w:type="spellStart"/>
      <w:r w:rsidRPr="00A14E24">
        <w:t>Ibuprofenas</w:t>
      </w:r>
      <w:proofErr w:type="spellEnd"/>
      <w:r w:rsidRPr="00A14E24">
        <w:t xml:space="preserve"> gali slopinti trombocitų </w:t>
      </w:r>
      <w:proofErr w:type="spellStart"/>
      <w:r w:rsidRPr="00A14E24">
        <w:t>agregaciją</w:t>
      </w:r>
      <w:proofErr w:type="spellEnd"/>
      <w:r w:rsidRPr="00A14E24">
        <w:t xml:space="preserve"> ir pailginti kraujavimo laiką.</w:t>
      </w:r>
    </w:p>
    <w:p w14:paraId="60049436" w14:textId="77777777" w:rsidR="002F744B" w:rsidRPr="00A14E24" w:rsidRDefault="002F744B" w:rsidP="00EC2E49"/>
    <w:p w14:paraId="69A2B6B9" w14:textId="0639C4C3" w:rsidR="00EA67F4" w:rsidRPr="00A14E24" w:rsidRDefault="00236D27" w:rsidP="00EC2E49">
      <w:pPr>
        <w:rPr>
          <w:u w:val="single"/>
        </w:rPr>
      </w:pPr>
      <w:r w:rsidRPr="00A14E24">
        <w:rPr>
          <w:u w:val="single"/>
        </w:rPr>
        <w:t>Kvėpavimo sistemos sutrikimai</w:t>
      </w:r>
    </w:p>
    <w:p w14:paraId="6F6AC251" w14:textId="1C2AC154" w:rsidR="00FB278B" w:rsidRPr="00A14E24" w:rsidRDefault="00FB278B" w:rsidP="00EC2E49">
      <w:proofErr w:type="spellStart"/>
      <w:r w:rsidRPr="00A14E24">
        <w:t>Ibuprofen</w:t>
      </w:r>
      <w:r w:rsidR="00A30F79">
        <w:t>o</w:t>
      </w:r>
      <w:proofErr w:type="spellEnd"/>
      <w:r w:rsidRPr="00A14E24">
        <w:t xml:space="preserve"> būtina atsargiai vartoti pacientams, sergantiems ar anksčiau sirgusiems </w:t>
      </w:r>
      <w:r w:rsidR="0083452A">
        <w:t>bronchine</w:t>
      </w:r>
      <w:r w:rsidRPr="00A14E24">
        <w:t xml:space="preserve"> astma, lėtiniu rinitu ar alerginėmis ligomis, nes gauta pranešimų apie </w:t>
      </w:r>
      <w:proofErr w:type="spellStart"/>
      <w:r w:rsidRPr="00A14E24">
        <w:t>ibuprofeno</w:t>
      </w:r>
      <w:proofErr w:type="spellEnd"/>
      <w:r w:rsidRPr="00A14E24">
        <w:t xml:space="preserve"> tokiems pacientams sukeltą bronchų spazmą, dilgėlinę ar </w:t>
      </w:r>
      <w:proofErr w:type="spellStart"/>
      <w:r w:rsidRPr="00A14E24">
        <w:t>angioneurozinę</w:t>
      </w:r>
      <w:proofErr w:type="spellEnd"/>
      <w:r w:rsidRPr="00A14E24">
        <w:t xml:space="preserve"> edemą.</w:t>
      </w:r>
    </w:p>
    <w:p w14:paraId="141E4050" w14:textId="77777777" w:rsidR="00FB278B" w:rsidRPr="00A14E24" w:rsidRDefault="00FB278B" w:rsidP="00EC2E49"/>
    <w:p w14:paraId="2B90CE3C" w14:textId="77777777" w:rsidR="00F2757B" w:rsidRPr="00A14E24" w:rsidRDefault="00F2757B" w:rsidP="00EC2E49">
      <w:pPr>
        <w:rPr>
          <w:u w:val="single"/>
        </w:rPr>
      </w:pPr>
      <w:r w:rsidRPr="00A14E24">
        <w:rPr>
          <w:u w:val="single"/>
        </w:rPr>
        <w:t>Sunkios nepageidaujamos odos reakcijos (SNOR)</w:t>
      </w:r>
    </w:p>
    <w:p w14:paraId="484AAD8A" w14:textId="2CEBCC47" w:rsidR="00F2757B" w:rsidRPr="00A14E24" w:rsidRDefault="00F2757B" w:rsidP="00EC2E49">
      <w:r w:rsidRPr="00A14E24">
        <w:t>Sunki</w:t>
      </w:r>
      <w:r w:rsidR="0096090B">
        <w:t>ų</w:t>
      </w:r>
      <w:r w:rsidRPr="00A14E24">
        <w:t xml:space="preserve"> nepageidaujam</w:t>
      </w:r>
      <w:r w:rsidR="0096090B">
        <w:t>ų</w:t>
      </w:r>
      <w:r w:rsidRPr="00A14E24">
        <w:t xml:space="preserve"> odos reakcij</w:t>
      </w:r>
      <w:r w:rsidR="0096090B">
        <w:t>ų</w:t>
      </w:r>
      <w:r w:rsidRPr="00A14E24">
        <w:t xml:space="preserve"> (SNOR), įskaitant </w:t>
      </w:r>
      <w:proofErr w:type="spellStart"/>
      <w:r w:rsidRPr="00A14E24">
        <w:t>eksfoliacinį</w:t>
      </w:r>
      <w:proofErr w:type="spellEnd"/>
      <w:r w:rsidRPr="00A14E24">
        <w:t xml:space="preserve"> dermatitą, daugiaformę </w:t>
      </w:r>
      <w:proofErr w:type="spellStart"/>
      <w:r w:rsidRPr="00A14E24">
        <w:t>eritemą</w:t>
      </w:r>
      <w:proofErr w:type="spellEnd"/>
      <w:r w:rsidRPr="00A14E24">
        <w:t xml:space="preserve">, </w:t>
      </w:r>
      <w:proofErr w:type="spellStart"/>
      <w:r w:rsidRPr="00A14E24">
        <w:t>Stivenso</w:t>
      </w:r>
      <w:proofErr w:type="spellEnd"/>
      <w:r w:rsidRPr="00A14E24">
        <w:t xml:space="preserve">-Džonsono </w:t>
      </w:r>
      <w:r w:rsidR="00745162" w:rsidRPr="00A14E24">
        <w:t>(</w:t>
      </w:r>
      <w:proofErr w:type="spellStart"/>
      <w:r w:rsidR="00745162" w:rsidRPr="00A14E24">
        <w:rPr>
          <w:i/>
          <w:iCs/>
        </w:rPr>
        <w:t>Stevens-Johnson</w:t>
      </w:r>
      <w:proofErr w:type="spellEnd"/>
      <w:r w:rsidR="00745162" w:rsidRPr="00A14E24">
        <w:t xml:space="preserve">) </w:t>
      </w:r>
      <w:r w:rsidRPr="00A14E24">
        <w:t xml:space="preserve">sindromą (SJS), toksinę epidermio </w:t>
      </w:r>
      <w:proofErr w:type="spellStart"/>
      <w:r w:rsidRPr="00A14E24">
        <w:t>nekrolizę</w:t>
      </w:r>
      <w:proofErr w:type="spellEnd"/>
      <w:r w:rsidRPr="00A14E24">
        <w:t xml:space="preserve"> (TEN), </w:t>
      </w:r>
      <w:r w:rsidR="00D21077" w:rsidRPr="00A14E24">
        <w:t xml:space="preserve">reakciją į </w:t>
      </w:r>
      <w:r w:rsidRPr="00A14E24">
        <w:t>vaistin</w:t>
      </w:r>
      <w:r w:rsidR="00D21077" w:rsidRPr="00A14E24">
        <w:t>į</w:t>
      </w:r>
      <w:r w:rsidRPr="00A14E24">
        <w:t xml:space="preserve"> preparat</w:t>
      </w:r>
      <w:r w:rsidR="00D21077" w:rsidRPr="00A14E24">
        <w:t>ą</w:t>
      </w:r>
      <w:r w:rsidRPr="00A14E24">
        <w:t xml:space="preserve"> su </w:t>
      </w:r>
      <w:proofErr w:type="spellStart"/>
      <w:r w:rsidRPr="00A14E24">
        <w:t>eozinofilija</w:t>
      </w:r>
      <w:proofErr w:type="spellEnd"/>
      <w:r w:rsidRPr="00A14E24">
        <w:t xml:space="preserve"> ir sisteminiais simptomais (</w:t>
      </w:r>
      <w:r w:rsidR="00583ECB" w:rsidRPr="00A14E24">
        <w:t>D</w:t>
      </w:r>
      <w:r w:rsidRPr="00A14E24">
        <w:t xml:space="preserve">RESS sindromą), ir ūminę </w:t>
      </w:r>
      <w:proofErr w:type="spellStart"/>
      <w:r w:rsidRPr="00A14E24">
        <w:t>generalizuotą</w:t>
      </w:r>
      <w:proofErr w:type="spellEnd"/>
      <w:r w:rsidRPr="00A14E24">
        <w:t xml:space="preserve"> </w:t>
      </w:r>
      <w:proofErr w:type="spellStart"/>
      <w:r w:rsidRPr="00A14E24">
        <w:t>egzanteminę</w:t>
      </w:r>
      <w:proofErr w:type="spellEnd"/>
      <w:r w:rsidRPr="00A14E24">
        <w:t xml:space="preserve"> </w:t>
      </w:r>
      <w:proofErr w:type="spellStart"/>
      <w:r w:rsidRPr="00A14E24">
        <w:t>pustuliozę</w:t>
      </w:r>
      <w:proofErr w:type="spellEnd"/>
      <w:r w:rsidRPr="00A14E24">
        <w:t xml:space="preserve"> (</w:t>
      </w:r>
      <w:r w:rsidR="00812EDC" w:rsidRPr="00A14E24">
        <w:t>A</w:t>
      </w:r>
      <w:r w:rsidRPr="00A14E24">
        <w:t>GEP), kuri gali būti pavojinga gyvybei arba mirtina, buvo pastebėt</w:t>
      </w:r>
      <w:r w:rsidR="0096090B">
        <w:t>a</w:t>
      </w:r>
      <w:r w:rsidRPr="00A14E24">
        <w:t xml:space="preserve"> su </w:t>
      </w:r>
      <w:proofErr w:type="spellStart"/>
      <w:r w:rsidRPr="00A14E24">
        <w:t>ibuprofeno</w:t>
      </w:r>
      <w:proofErr w:type="spellEnd"/>
      <w:r w:rsidRPr="00A14E24">
        <w:t xml:space="preserve"> vartojimu (žr. 4.8</w:t>
      </w:r>
      <w:r w:rsidR="00B76ECD" w:rsidRPr="00A14E24">
        <w:t> </w:t>
      </w:r>
      <w:r w:rsidRPr="00A14E24">
        <w:t>skyrių). Dauguma šių reakcijų pasireiškė per pirmąjį mėnesį.</w:t>
      </w:r>
    </w:p>
    <w:p w14:paraId="096D2B80" w14:textId="77777777" w:rsidR="00F2757B" w:rsidRPr="00A14E24" w:rsidRDefault="00F2757B" w:rsidP="00EC2E49"/>
    <w:p w14:paraId="006B6371" w14:textId="14F26ED1" w:rsidR="00462CFE" w:rsidRPr="00A14E24" w:rsidRDefault="00462CFE" w:rsidP="00EC2E49">
      <w:r w:rsidRPr="00A14E24">
        <w:t xml:space="preserve">Jeigu atsiranda šių reakcijų požymių ir simptomų, </w:t>
      </w:r>
      <w:proofErr w:type="spellStart"/>
      <w:r w:rsidRPr="00A14E24">
        <w:t>ibuprofeno</w:t>
      </w:r>
      <w:proofErr w:type="spellEnd"/>
      <w:r w:rsidRPr="00A14E24">
        <w:t xml:space="preserve"> vartojimą reikia nedelsiant nutraukti ir apsvarstyti alternatyvų gydymą (jei reikia).</w:t>
      </w:r>
    </w:p>
    <w:p w14:paraId="4F6B38F3" w14:textId="77777777" w:rsidR="00462CFE" w:rsidRPr="00A14E24" w:rsidRDefault="00462CFE" w:rsidP="00EC2E49"/>
    <w:p w14:paraId="62C65D4C" w14:textId="15D5E641" w:rsidR="00EA67F4" w:rsidRPr="00A14E24" w:rsidRDefault="00236D27" w:rsidP="00E15E15">
      <w:pPr>
        <w:keepNext/>
        <w:rPr>
          <w:u w:val="single"/>
        </w:rPr>
      </w:pPr>
      <w:r w:rsidRPr="00A14E24">
        <w:rPr>
          <w:u w:val="single"/>
        </w:rPr>
        <w:lastRenderedPageBreak/>
        <w:t xml:space="preserve">Infekcijos ir </w:t>
      </w:r>
      <w:proofErr w:type="spellStart"/>
      <w:r w:rsidRPr="00A14E24">
        <w:rPr>
          <w:u w:val="single"/>
        </w:rPr>
        <w:t>infestacijos</w:t>
      </w:r>
      <w:proofErr w:type="spellEnd"/>
    </w:p>
    <w:p w14:paraId="74D45CB9" w14:textId="36AC9B45" w:rsidR="00EA67F4" w:rsidRPr="00A14E24" w:rsidRDefault="00CA69ED" w:rsidP="00E15E15">
      <w:pPr>
        <w:keepNext/>
      </w:pPr>
      <w:r w:rsidRPr="00A14E24">
        <w:t>Išimtiniais atvejais vėjaraupiai gali sukelti sunkių infekcinių odos ir minkštųjų audinių komplikacijų. Iki šiol NV</w:t>
      </w:r>
      <w:r w:rsidR="00A30F79">
        <w:t>P</w:t>
      </w:r>
      <w:r w:rsidRPr="00A14E24">
        <w:t xml:space="preserve">NU įtaka šių infekcijų paūmėjimui nebuvo paneigta. Todėl sergant vėjaraupiais rekomenduojama vengti vartoti </w:t>
      </w:r>
      <w:proofErr w:type="spellStart"/>
      <w:r w:rsidRPr="00A14E24">
        <w:t>ibuprofeno</w:t>
      </w:r>
      <w:proofErr w:type="spellEnd"/>
      <w:r w:rsidRPr="00A14E24">
        <w:t>.</w:t>
      </w:r>
    </w:p>
    <w:p w14:paraId="63BD5A5D" w14:textId="77777777" w:rsidR="00CA69ED" w:rsidRPr="00A14E24" w:rsidRDefault="00CA69ED" w:rsidP="00EC2E49"/>
    <w:p w14:paraId="0C1585B8" w14:textId="55F62E61" w:rsidR="002F311F" w:rsidRPr="002F311F" w:rsidRDefault="002F311F" w:rsidP="002F311F">
      <w:r w:rsidRPr="002F311F">
        <w:rPr>
          <w:u w:val="single"/>
        </w:rPr>
        <w:t>Gretutinių infekcijų simptomų maskavimas</w:t>
      </w:r>
    </w:p>
    <w:p w14:paraId="30B78CD5" w14:textId="6182CB4E" w:rsidR="002F311F" w:rsidRPr="002F311F" w:rsidRDefault="002068DF" w:rsidP="002F311F">
      <w:proofErr w:type="spellStart"/>
      <w:r w:rsidRPr="00A14E24">
        <w:t>Ibuprofen</w:t>
      </w:r>
      <w:r w:rsidR="001B6301" w:rsidRPr="00A14E24">
        <w:t>as</w:t>
      </w:r>
      <w:proofErr w:type="spellEnd"/>
      <w:r w:rsidR="002F311F" w:rsidRPr="002F311F">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004B7036" w:rsidRPr="00A14E24">
        <w:t>ibuprofenas</w:t>
      </w:r>
      <w:proofErr w:type="spellEnd"/>
      <w:r w:rsidR="002F311F" w:rsidRPr="002F311F">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5A2687D9" w14:textId="77777777" w:rsidR="002F311F" w:rsidRPr="00A14E24" w:rsidRDefault="002F311F" w:rsidP="00EC2E49"/>
    <w:p w14:paraId="17734C0B" w14:textId="2F4784D0" w:rsidR="00E25FEC" w:rsidRPr="00A14E24" w:rsidRDefault="004D6F86" w:rsidP="00EC2E49">
      <w:pPr>
        <w:rPr>
          <w:u w:val="single"/>
        </w:rPr>
      </w:pPr>
      <w:r>
        <w:rPr>
          <w:u w:val="single"/>
        </w:rPr>
        <w:t>Nebakterinis</w:t>
      </w:r>
      <w:r w:rsidR="001A355B">
        <w:rPr>
          <w:u w:val="single"/>
        </w:rPr>
        <w:t xml:space="preserve"> (</w:t>
      </w:r>
      <w:proofErr w:type="spellStart"/>
      <w:r w:rsidR="001A355B">
        <w:rPr>
          <w:u w:val="single"/>
        </w:rPr>
        <w:t>aseptinis</w:t>
      </w:r>
      <w:proofErr w:type="spellEnd"/>
      <w:r w:rsidR="001A355B">
        <w:rPr>
          <w:u w:val="single"/>
        </w:rPr>
        <w:t>)</w:t>
      </w:r>
      <w:r w:rsidR="00E25FEC" w:rsidRPr="00A14E24">
        <w:rPr>
          <w:u w:val="single"/>
        </w:rPr>
        <w:t xml:space="preserve"> meningitas</w:t>
      </w:r>
    </w:p>
    <w:p w14:paraId="00A92750" w14:textId="65BEFC79" w:rsidR="00EA67F4" w:rsidRPr="00A14E24" w:rsidRDefault="00E25FEC" w:rsidP="00EC2E49">
      <w:r w:rsidRPr="00A14E24">
        <w:t xml:space="preserve">Stebėti reti </w:t>
      </w:r>
      <w:r w:rsidR="001A355B">
        <w:t>nebakterinio (</w:t>
      </w:r>
      <w:proofErr w:type="spellStart"/>
      <w:r w:rsidR="001A355B">
        <w:t>aseptinio</w:t>
      </w:r>
      <w:proofErr w:type="spellEnd"/>
      <w:r w:rsidR="001A355B">
        <w:t>)</w:t>
      </w:r>
      <w:r w:rsidRPr="00A14E24">
        <w:t xml:space="preserve"> meningito atvejai </w:t>
      </w:r>
      <w:proofErr w:type="spellStart"/>
      <w:r w:rsidRPr="00A14E24">
        <w:t>ibuprofenu</w:t>
      </w:r>
      <w:proofErr w:type="spellEnd"/>
      <w:r w:rsidRPr="00A14E24">
        <w:t xml:space="preserve"> gydomiems pacientams. Nors toks poveikis yra labiau tikėtinas pacientams, kurie serga sistemine raudonąja vilklige ar susijusiomis jungiamo audinio ligomis, apie jį pranešta ir pacientams, kurie nesirgo lėtine liga.</w:t>
      </w:r>
    </w:p>
    <w:p w14:paraId="06C232D2" w14:textId="77777777" w:rsidR="00E25FEC" w:rsidRPr="00A14E24" w:rsidRDefault="00E25FEC" w:rsidP="00EC2E49"/>
    <w:p w14:paraId="1D134BF7" w14:textId="496BF535" w:rsidR="00EA67F4" w:rsidRPr="00A14E24" w:rsidRDefault="00A37B5B" w:rsidP="00EC2E49">
      <w:r w:rsidRPr="00A14E24">
        <w:t>Pacientai, kuriems yra virškinimo trakto sutrikimų, kurie serga sistemine raudonąja vilklige (SRV)</w:t>
      </w:r>
      <w:r w:rsidR="000227D7" w:rsidRPr="00A14E24">
        <w:t>,</w:t>
      </w:r>
      <w:r w:rsidRPr="00A14E24">
        <w:t xml:space="preserve"> kuriems yra kraujo ar krešėjimo sutrikimų ir</w:t>
      </w:r>
      <w:r w:rsidR="000227D7" w:rsidRPr="00A14E24">
        <w:t xml:space="preserve"> kurie serga</w:t>
      </w:r>
      <w:r w:rsidRPr="00A14E24">
        <w:t xml:space="preserve"> astm</w:t>
      </w:r>
      <w:r w:rsidR="000227D7" w:rsidRPr="00A14E24">
        <w:t>a</w:t>
      </w:r>
      <w:r w:rsidRPr="00A14E24">
        <w:t>, turi būti gydomi NV</w:t>
      </w:r>
      <w:r w:rsidR="00343927">
        <w:t>P</w:t>
      </w:r>
      <w:r w:rsidRPr="00A14E24">
        <w:t>NU atsargiai ir atidžiai stebimi gydymo metu, nes NV</w:t>
      </w:r>
      <w:r w:rsidR="00343927">
        <w:t>P</w:t>
      </w:r>
      <w:r w:rsidRPr="00A14E24">
        <w:t>NU gali pabloginti jų būklę.</w:t>
      </w:r>
    </w:p>
    <w:p w14:paraId="2176AFCF" w14:textId="77777777" w:rsidR="00A37B5B" w:rsidRPr="00A14E24" w:rsidRDefault="00A37B5B" w:rsidP="00EC2E49"/>
    <w:p w14:paraId="0855F35D" w14:textId="07D3951C" w:rsidR="00EA67F4" w:rsidRPr="00A14E24" w:rsidRDefault="00CA69ED" w:rsidP="00EC2E49">
      <w:pPr>
        <w:rPr>
          <w:u w:val="single"/>
        </w:rPr>
      </w:pPr>
      <w:r w:rsidRPr="00A14E24">
        <w:rPr>
          <w:u w:val="single"/>
        </w:rPr>
        <w:t>Sumažėjęs moterų vaisingumas</w:t>
      </w:r>
    </w:p>
    <w:p w14:paraId="79A3E63D" w14:textId="5C483555" w:rsidR="00CA69ED" w:rsidRPr="00A14E24" w:rsidRDefault="00CA69ED" w:rsidP="00EC2E49">
      <w:r w:rsidRPr="00A14E24">
        <w:t xml:space="preserve">Yra duomenų, kad vaistiniai preparatai, slopinantys </w:t>
      </w:r>
      <w:proofErr w:type="spellStart"/>
      <w:r w:rsidRPr="00A14E24">
        <w:t>ciklooksigenazę</w:t>
      </w:r>
      <w:proofErr w:type="spellEnd"/>
      <w:r w:rsidRPr="00A14E24">
        <w:t>/ prostaglandinų sintezę, gali veikti ovuliaciją ir dėl to sutrikdyti moters vaisingumą. Nutraukus vaistinių preparatų vartojimą, toks poveikis išnyksta (žr. 4.6 skyrių).</w:t>
      </w:r>
    </w:p>
    <w:p w14:paraId="342F45A5" w14:textId="77777777" w:rsidR="00EA67F4" w:rsidRPr="00A14E24" w:rsidRDefault="00EA67F4" w:rsidP="00EC2E49"/>
    <w:p w14:paraId="148F8AEF" w14:textId="6F4C5783" w:rsidR="00EA67F4" w:rsidRPr="00A14E24" w:rsidRDefault="006F080E" w:rsidP="00EC2E49">
      <w:pPr>
        <w:rPr>
          <w:u w:val="single"/>
        </w:rPr>
      </w:pPr>
      <w:r w:rsidRPr="00A14E24">
        <w:rPr>
          <w:u w:val="single"/>
        </w:rPr>
        <w:t>Pagalbinės medžiagos</w:t>
      </w:r>
    </w:p>
    <w:p w14:paraId="4AA7AE3B" w14:textId="3A0F9363" w:rsidR="00E25FEC" w:rsidRPr="00A14E24" w:rsidRDefault="00E25FEC" w:rsidP="00EC2E49">
      <w:pPr>
        <w:rPr>
          <w:rFonts w:eastAsia="Times New Roman"/>
        </w:rPr>
      </w:pPr>
      <w:r w:rsidRPr="00A14E24">
        <w:rPr>
          <w:rFonts w:eastAsia="Times New Roman"/>
        </w:rPr>
        <w:t xml:space="preserve">Šio vaistinio preparato vienoje </w:t>
      </w:r>
      <w:r w:rsidRPr="00367411">
        <w:rPr>
          <w:rFonts w:eastAsia="Times New Roman"/>
        </w:rPr>
        <w:t>tabletėje</w:t>
      </w:r>
      <w:r w:rsidRPr="00A14E24">
        <w:rPr>
          <w:rFonts w:eastAsia="Times New Roman"/>
        </w:rPr>
        <w:t xml:space="preserve"> yra mažiau kaip 1 </w:t>
      </w:r>
      <w:proofErr w:type="spellStart"/>
      <w:r w:rsidRPr="00A14E24">
        <w:rPr>
          <w:rFonts w:eastAsia="Times New Roman"/>
        </w:rPr>
        <w:t>mmol</w:t>
      </w:r>
      <w:proofErr w:type="spellEnd"/>
      <w:r w:rsidRPr="00A14E24">
        <w:rPr>
          <w:rFonts w:eastAsia="Times New Roman"/>
        </w:rPr>
        <w:t xml:space="preserve"> (23 mg) natrio, t. y. </w:t>
      </w:r>
      <w:r w:rsidR="00050711" w:rsidRPr="00A14E24">
        <w:rPr>
          <w:rFonts w:eastAsia="Times New Roman"/>
        </w:rPr>
        <w:t>j</w:t>
      </w:r>
      <w:r w:rsidRPr="00A14E24">
        <w:rPr>
          <w:rFonts w:eastAsia="Times New Roman"/>
        </w:rPr>
        <w:t>is beveik neturi reikšmės.</w:t>
      </w:r>
    </w:p>
    <w:p w14:paraId="12F9A90C" w14:textId="77777777" w:rsidR="00DF2186" w:rsidRPr="00A14E24" w:rsidRDefault="00DF2186" w:rsidP="00EC2E49">
      <w:pPr>
        <w:rPr>
          <w:i/>
        </w:rPr>
      </w:pPr>
    </w:p>
    <w:p w14:paraId="0ED6FE2A" w14:textId="77777777" w:rsidR="00DF2186" w:rsidRPr="00A14E24" w:rsidRDefault="00DF2186" w:rsidP="00EC2E49">
      <w:pPr>
        <w:keepNext/>
        <w:keepLines/>
        <w:tabs>
          <w:tab w:val="left" w:pos="567"/>
        </w:tabs>
        <w:ind w:left="567" w:hanging="567"/>
        <w:outlineLvl w:val="2"/>
        <w:rPr>
          <w:b/>
          <w:kern w:val="28"/>
        </w:rPr>
      </w:pPr>
      <w:bookmarkStart w:id="18" w:name="_Toc129243106"/>
      <w:bookmarkStart w:id="19" w:name="_Toc129243231"/>
      <w:r w:rsidRPr="00A14E24">
        <w:rPr>
          <w:b/>
          <w:kern w:val="28"/>
        </w:rPr>
        <w:t>4.5</w:t>
      </w:r>
      <w:r w:rsidRPr="00A14E24">
        <w:rPr>
          <w:b/>
          <w:kern w:val="28"/>
        </w:rPr>
        <w:tab/>
        <w:t>Sąveika su kitais vaistiniais preparatais ir kitokia sąveika</w:t>
      </w:r>
      <w:bookmarkEnd w:id="18"/>
      <w:bookmarkEnd w:id="19"/>
    </w:p>
    <w:p w14:paraId="68E14BB3" w14:textId="77777777" w:rsidR="00FE7ACC" w:rsidRPr="00A14E24" w:rsidRDefault="00FE7ACC" w:rsidP="00EC2E49">
      <w:pPr>
        <w:keepNext/>
        <w:tabs>
          <w:tab w:val="left" w:pos="567"/>
        </w:tabs>
        <w:rPr>
          <w:rFonts w:eastAsia="Times New Roman"/>
        </w:rPr>
      </w:pPr>
      <w:bookmarkStart w:id="20" w:name="_Toc129243107"/>
      <w:bookmarkStart w:id="21" w:name="_Toc129243232"/>
    </w:p>
    <w:p w14:paraId="0BFBA8CB" w14:textId="5B7D3562" w:rsidR="00557B5E" w:rsidRPr="00A14E24" w:rsidRDefault="00963BF1" w:rsidP="00EC2E49">
      <w:pPr>
        <w:rPr>
          <w:u w:val="single"/>
        </w:rPr>
      </w:pPr>
      <w:r w:rsidRPr="00A14E24">
        <w:rPr>
          <w:u w:val="single"/>
        </w:rPr>
        <w:t>Toliau išvardytų vaist</w:t>
      </w:r>
      <w:r w:rsidR="009913DC">
        <w:rPr>
          <w:u w:val="single"/>
        </w:rPr>
        <w:t>inių preparat</w:t>
      </w:r>
      <w:r w:rsidRPr="00A14E24">
        <w:rPr>
          <w:u w:val="single"/>
        </w:rPr>
        <w:t xml:space="preserve">ų vartoti kartu su </w:t>
      </w:r>
      <w:proofErr w:type="spellStart"/>
      <w:r w:rsidRPr="00A14E24">
        <w:rPr>
          <w:u w:val="single"/>
        </w:rPr>
        <w:t>ibuprofenu</w:t>
      </w:r>
      <w:proofErr w:type="spellEnd"/>
      <w:r w:rsidRPr="00A14E24">
        <w:rPr>
          <w:u w:val="single"/>
        </w:rPr>
        <w:t xml:space="preserve"> nerekomenduojama</w:t>
      </w:r>
    </w:p>
    <w:p w14:paraId="50871AC8" w14:textId="09737A83" w:rsidR="00557B5E" w:rsidRPr="00A14E24" w:rsidRDefault="00963BF1" w:rsidP="00EC2E49">
      <w:pPr>
        <w:rPr>
          <w:i/>
          <w:iCs/>
        </w:rPr>
      </w:pPr>
      <w:proofErr w:type="spellStart"/>
      <w:r w:rsidRPr="00A14E24">
        <w:rPr>
          <w:i/>
          <w:iCs/>
        </w:rPr>
        <w:t>Dikumarolio</w:t>
      </w:r>
      <w:proofErr w:type="spellEnd"/>
      <w:r w:rsidRPr="00A14E24">
        <w:rPr>
          <w:i/>
          <w:iCs/>
        </w:rPr>
        <w:t xml:space="preserve"> grupės vaistiniai preparatai</w:t>
      </w:r>
    </w:p>
    <w:p w14:paraId="6A1B5CD8" w14:textId="477AAC95" w:rsidR="00557B5E" w:rsidRPr="00A14E24" w:rsidRDefault="0009155A" w:rsidP="00EC2E49">
      <w:r w:rsidRPr="00A14E24">
        <w:t>NV</w:t>
      </w:r>
      <w:r w:rsidR="001773D2">
        <w:t>P</w:t>
      </w:r>
      <w:r w:rsidRPr="00A14E24">
        <w:t xml:space="preserve">NU gali sustiprinti antikoaguliantų, pvz., varfarino, poveikį. Eksperimentiniai tyrimai rodo, kad </w:t>
      </w:r>
      <w:proofErr w:type="spellStart"/>
      <w:r w:rsidRPr="00A14E24">
        <w:t>ibuprofenas</w:t>
      </w:r>
      <w:proofErr w:type="spellEnd"/>
      <w:r w:rsidRPr="00A14E24">
        <w:t xml:space="preserve"> sustiprina varfarino poveikį kraujavimo laikui. NV</w:t>
      </w:r>
      <w:r w:rsidR="001773D2">
        <w:t>P</w:t>
      </w:r>
      <w:r w:rsidRPr="00A14E24">
        <w:t xml:space="preserve">NU ir </w:t>
      </w:r>
      <w:proofErr w:type="spellStart"/>
      <w:r w:rsidRPr="00A14E24">
        <w:t>dikumarol</w:t>
      </w:r>
      <w:r w:rsidR="00B42795" w:rsidRPr="00A14E24">
        <w:t>i</w:t>
      </w:r>
      <w:r w:rsidRPr="00A14E24">
        <w:t>o</w:t>
      </w:r>
      <w:proofErr w:type="spellEnd"/>
      <w:r w:rsidRPr="00A14E24">
        <w:t xml:space="preserve"> grupės vaistinius preparatus </w:t>
      </w:r>
      <w:proofErr w:type="spellStart"/>
      <w:r w:rsidRPr="00A14E24">
        <w:t>metabolizuoja</w:t>
      </w:r>
      <w:proofErr w:type="spellEnd"/>
      <w:r w:rsidRPr="00A14E24">
        <w:t xml:space="preserve"> tas pats fermentas CYP2C9.</w:t>
      </w:r>
    </w:p>
    <w:p w14:paraId="36C5C3C7" w14:textId="77777777" w:rsidR="00557B5E" w:rsidRPr="00A14E24" w:rsidRDefault="00557B5E" w:rsidP="00EC2E49"/>
    <w:p w14:paraId="5BF4860E" w14:textId="18E5BE1B" w:rsidR="00557B5E" w:rsidRPr="00A14E24" w:rsidRDefault="00DA101B" w:rsidP="00EC2E49">
      <w:pPr>
        <w:rPr>
          <w:i/>
          <w:iCs/>
        </w:rPr>
      </w:pPr>
      <w:r w:rsidRPr="00A14E24">
        <w:rPr>
          <w:i/>
          <w:iCs/>
        </w:rPr>
        <w:t>Trombocitų funkciją slopinantys vaistiniai preparatai</w:t>
      </w:r>
    </w:p>
    <w:p w14:paraId="4EC79BFB" w14:textId="48B43E50" w:rsidR="00557B5E" w:rsidRPr="00A14E24" w:rsidRDefault="0005436A" w:rsidP="00EC2E49">
      <w:r w:rsidRPr="00A14E24">
        <w:t>NV</w:t>
      </w:r>
      <w:r w:rsidR="001773D2">
        <w:t>P</w:t>
      </w:r>
      <w:r w:rsidRPr="00A14E24">
        <w:t xml:space="preserve">NU neturi būti vartojami kartu su trombocitų funkciją slopinančiais vaistiniais preparatais, tokiais kaip </w:t>
      </w:r>
      <w:proofErr w:type="spellStart"/>
      <w:r w:rsidRPr="00A14E24">
        <w:t>tiklopidinas</w:t>
      </w:r>
      <w:proofErr w:type="spellEnd"/>
      <w:r w:rsidRPr="00A14E24">
        <w:t xml:space="preserve">, nes pasireiškia adityvus trombocitų funkcijos slopinimas </w:t>
      </w:r>
      <w:r w:rsidR="00557B5E" w:rsidRPr="00A14E24">
        <w:t>(</w:t>
      </w:r>
      <w:r w:rsidRPr="00A14E24">
        <w:t>žr. toliau</w:t>
      </w:r>
      <w:r w:rsidR="00557B5E" w:rsidRPr="00A14E24">
        <w:t>).</w:t>
      </w:r>
    </w:p>
    <w:p w14:paraId="5AB7BE4E" w14:textId="77777777" w:rsidR="00557B5E" w:rsidRPr="00A14E24" w:rsidRDefault="00557B5E" w:rsidP="00EC2E49"/>
    <w:p w14:paraId="560C932C" w14:textId="24A6B0EA" w:rsidR="00557B5E" w:rsidRPr="00A14E24" w:rsidRDefault="00DA101B" w:rsidP="000A3330">
      <w:pPr>
        <w:keepNext/>
        <w:rPr>
          <w:i/>
          <w:iCs/>
        </w:rPr>
      </w:pPr>
      <w:proofErr w:type="spellStart"/>
      <w:r w:rsidRPr="00A14E24">
        <w:rPr>
          <w:i/>
          <w:iCs/>
        </w:rPr>
        <w:t>Metotreksatas</w:t>
      </w:r>
      <w:proofErr w:type="spellEnd"/>
    </w:p>
    <w:p w14:paraId="59B684D5" w14:textId="1EFD8806" w:rsidR="00557B5E" w:rsidRPr="00A14E24" w:rsidRDefault="00282745" w:rsidP="000A3330">
      <w:pPr>
        <w:keepNext/>
      </w:pPr>
      <w:r w:rsidRPr="00A14E24">
        <w:t>NV</w:t>
      </w:r>
      <w:r w:rsidR="001773D2">
        <w:t>P</w:t>
      </w:r>
      <w:r w:rsidRPr="00A14E24">
        <w:t xml:space="preserve">NU slopina </w:t>
      </w:r>
      <w:proofErr w:type="spellStart"/>
      <w:r w:rsidRPr="00A14E24">
        <w:t>metrotreksato</w:t>
      </w:r>
      <w:proofErr w:type="spellEnd"/>
      <w:r w:rsidRPr="00A14E24">
        <w:t xml:space="preserve"> sekreciją kanalėliuose ir gali pasireikšti tam tikra </w:t>
      </w:r>
      <w:proofErr w:type="spellStart"/>
      <w:r w:rsidRPr="00A14E24">
        <w:t>metabolinė</w:t>
      </w:r>
      <w:proofErr w:type="spellEnd"/>
      <w:r w:rsidRPr="00A14E24">
        <w:t xml:space="preserve"> sąveika, dėl kurios sumažėja </w:t>
      </w:r>
      <w:proofErr w:type="spellStart"/>
      <w:r w:rsidRPr="00A14E24">
        <w:t>metotreksato</w:t>
      </w:r>
      <w:proofErr w:type="spellEnd"/>
      <w:r w:rsidRPr="00A14E24">
        <w:t xml:space="preserve"> klirensas. Todėl reikia vengti kartu vartoti NV</w:t>
      </w:r>
      <w:r w:rsidR="001773D2">
        <w:t>P</w:t>
      </w:r>
      <w:r w:rsidRPr="00A14E24">
        <w:t xml:space="preserve">NU ir dideles </w:t>
      </w:r>
      <w:proofErr w:type="spellStart"/>
      <w:r w:rsidRPr="00A14E24">
        <w:t>metotreksato</w:t>
      </w:r>
      <w:proofErr w:type="spellEnd"/>
      <w:r w:rsidRPr="00A14E24">
        <w:t xml:space="preserve"> dozes</w:t>
      </w:r>
      <w:r w:rsidR="00DF5171" w:rsidRPr="00A14E24">
        <w:t xml:space="preserve"> (žr. toliau)</w:t>
      </w:r>
      <w:r w:rsidRPr="00A14E24">
        <w:t>.</w:t>
      </w:r>
    </w:p>
    <w:p w14:paraId="69483EDD" w14:textId="77777777" w:rsidR="00282745" w:rsidRPr="00A14E24" w:rsidRDefault="00282745" w:rsidP="00EC2E49"/>
    <w:p w14:paraId="4A12BC97" w14:textId="472838A8" w:rsidR="00557B5E" w:rsidRPr="00A14E24" w:rsidRDefault="0009155A" w:rsidP="00367411">
      <w:pPr>
        <w:keepNext/>
        <w:rPr>
          <w:i/>
          <w:iCs/>
        </w:rPr>
      </w:pPr>
      <w:proofErr w:type="spellStart"/>
      <w:r w:rsidRPr="00A14E24">
        <w:rPr>
          <w:i/>
          <w:iCs/>
        </w:rPr>
        <w:t>Acetilsalicilo</w:t>
      </w:r>
      <w:proofErr w:type="spellEnd"/>
      <w:r w:rsidRPr="00A14E24">
        <w:rPr>
          <w:i/>
          <w:iCs/>
        </w:rPr>
        <w:t xml:space="preserve"> rūgštis</w:t>
      </w:r>
    </w:p>
    <w:p w14:paraId="39A48B91" w14:textId="77777777" w:rsidR="00DF5171" w:rsidRPr="00A14E24" w:rsidRDefault="00DF5171" w:rsidP="00367411">
      <w:pPr>
        <w:keepNext/>
      </w:pPr>
      <w:proofErr w:type="spellStart"/>
      <w:r w:rsidRPr="00A14E24">
        <w:t>Ibuprofeno</w:t>
      </w:r>
      <w:proofErr w:type="spellEnd"/>
      <w:r w:rsidRPr="00A14E24">
        <w:t xml:space="preserve"> vartoti kartu su </w:t>
      </w:r>
      <w:proofErr w:type="spellStart"/>
      <w:r w:rsidRPr="00A14E24">
        <w:t>acetilsalicilo</w:t>
      </w:r>
      <w:proofErr w:type="spellEnd"/>
      <w:r w:rsidRPr="00A14E24">
        <w:t xml:space="preserve"> rūgštimi paprastai nerekomenduojama, nes gali sustiprėti nepageidaujamas poveikis.</w:t>
      </w:r>
    </w:p>
    <w:p w14:paraId="7C6EEEEB" w14:textId="77777777" w:rsidR="00557B5E" w:rsidRPr="00A14E24" w:rsidRDefault="00557B5E" w:rsidP="00EC2E49"/>
    <w:p w14:paraId="4F68E918" w14:textId="6F3AF3C3" w:rsidR="00557B5E" w:rsidRPr="00A14E24" w:rsidRDefault="00DF5171" w:rsidP="00EC2E49">
      <w:r w:rsidRPr="00A14E24">
        <w:t xml:space="preserve">Eksperimentiniai duomenys rodo, kad </w:t>
      </w:r>
      <w:r w:rsidR="007A0014" w:rsidRPr="00A14E24">
        <w:t xml:space="preserve">kartu su </w:t>
      </w:r>
      <w:proofErr w:type="spellStart"/>
      <w:r w:rsidR="007A0014" w:rsidRPr="00A14E24">
        <w:t>acetilsalicilo</w:t>
      </w:r>
      <w:proofErr w:type="spellEnd"/>
      <w:r w:rsidR="007A0014" w:rsidRPr="00A14E24">
        <w:t xml:space="preserve"> rūgštimi vartojamas </w:t>
      </w:r>
      <w:proofErr w:type="spellStart"/>
      <w:r w:rsidRPr="00A14E24">
        <w:t>ibuprofen</w:t>
      </w:r>
      <w:r w:rsidR="007A0014" w:rsidRPr="00A14E24">
        <w:t>as</w:t>
      </w:r>
      <w:proofErr w:type="spellEnd"/>
      <w:r w:rsidRPr="00A14E24">
        <w:t xml:space="preserve"> gali </w:t>
      </w:r>
      <w:r w:rsidR="007A0014" w:rsidRPr="00A14E24">
        <w:t xml:space="preserve">konkurenciniu būdu </w:t>
      </w:r>
      <w:r w:rsidRPr="00A14E24">
        <w:t xml:space="preserve">slopinti mažų dozių </w:t>
      </w:r>
      <w:proofErr w:type="spellStart"/>
      <w:r w:rsidRPr="00A14E24">
        <w:t>acetilsalicilo</w:t>
      </w:r>
      <w:proofErr w:type="spellEnd"/>
      <w:r w:rsidRPr="00A14E24">
        <w:t xml:space="preserve"> rūgšties poveikį trombocitų </w:t>
      </w:r>
      <w:proofErr w:type="spellStart"/>
      <w:r w:rsidRPr="00A14E24">
        <w:t>agregacijai</w:t>
      </w:r>
      <w:proofErr w:type="spellEnd"/>
      <w:r w:rsidRPr="00A14E24">
        <w:t xml:space="preserve">. Nors yra tam tikrų neaiškumų dėl šių duomenų ekstrapoliacijos klinikinėms sąlygoms, negalima atmesti galimybės, kad ilgą laiką </w:t>
      </w:r>
      <w:r w:rsidR="007A0014" w:rsidRPr="00A14E24">
        <w:t xml:space="preserve">reguliariai </w:t>
      </w:r>
      <w:r w:rsidRPr="00A14E24">
        <w:t xml:space="preserve">vartojant </w:t>
      </w:r>
      <w:proofErr w:type="spellStart"/>
      <w:r w:rsidRPr="00A14E24">
        <w:t>ibuprofeno</w:t>
      </w:r>
      <w:proofErr w:type="spellEnd"/>
      <w:r w:rsidRPr="00A14E24">
        <w:t xml:space="preserve"> gali sumažėti mažų dozių </w:t>
      </w:r>
      <w:proofErr w:type="spellStart"/>
      <w:r w:rsidRPr="00A14E24">
        <w:t>acetilsalicilo</w:t>
      </w:r>
      <w:proofErr w:type="spellEnd"/>
      <w:r w:rsidRPr="00A14E24">
        <w:t xml:space="preserve"> </w:t>
      </w:r>
      <w:r w:rsidRPr="00A14E24">
        <w:lastRenderedPageBreak/>
        <w:t xml:space="preserve">rūgšties </w:t>
      </w:r>
      <w:proofErr w:type="spellStart"/>
      <w:r w:rsidRPr="00A14E24">
        <w:t>kardioprotekcinis</w:t>
      </w:r>
      <w:proofErr w:type="spellEnd"/>
      <w:r w:rsidRPr="00A14E24">
        <w:t xml:space="preserve"> poveikis. Manoma, kad retkarčiais vartojant </w:t>
      </w:r>
      <w:proofErr w:type="spellStart"/>
      <w:r w:rsidRPr="00A14E24">
        <w:t>ibuprofeno</w:t>
      </w:r>
      <w:proofErr w:type="spellEnd"/>
      <w:r w:rsidRPr="00A14E24">
        <w:t xml:space="preserve"> kliniškai reikšming</w:t>
      </w:r>
      <w:r w:rsidR="007A0014" w:rsidRPr="00A14E24">
        <w:t>as</w:t>
      </w:r>
      <w:r w:rsidRPr="00A14E24">
        <w:t xml:space="preserve"> poveiki</w:t>
      </w:r>
      <w:r w:rsidR="007A0014" w:rsidRPr="00A14E24">
        <w:t>s nėra tikėtinas</w:t>
      </w:r>
      <w:r w:rsidRPr="00A14E24">
        <w:t xml:space="preserve"> (žr. 5.1 skyrių).</w:t>
      </w:r>
    </w:p>
    <w:p w14:paraId="7B1A94D6" w14:textId="77777777" w:rsidR="00DF5171" w:rsidRPr="00A14E24" w:rsidRDefault="00DF5171" w:rsidP="00EC2E49"/>
    <w:p w14:paraId="06C33083" w14:textId="712CA716" w:rsidR="00557B5E" w:rsidRPr="00A14E24" w:rsidRDefault="00462DB0" w:rsidP="00EC2E49">
      <w:pPr>
        <w:rPr>
          <w:i/>
          <w:iCs/>
        </w:rPr>
      </w:pPr>
      <w:r w:rsidRPr="00A14E24">
        <w:rPr>
          <w:i/>
          <w:iCs/>
        </w:rPr>
        <w:t>Širdį veikiantys glikozidai</w:t>
      </w:r>
    </w:p>
    <w:p w14:paraId="0928CF8F" w14:textId="791A8661" w:rsidR="00557B5E" w:rsidRPr="00A14E24" w:rsidRDefault="00EE709B" w:rsidP="00EC2E49">
      <w:r w:rsidRPr="00A14E24">
        <w:t>NV</w:t>
      </w:r>
      <w:r w:rsidR="001773D2">
        <w:t>P</w:t>
      </w:r>
      <w:r w:rsidRPr="00A14E24">
        <w:t xml:space="preserve">NU gali pasunkinti širdies nepakankamumą, sumažinti </w:t>
      </w:r>
      <w:proofErr w:type="spellStart"/>
      <w:r w:rsidRPr="00A14E24">
        <w:t>glomerulų</w:t>
      </w:r>
      <w:proofErr w:type="spellEnd"/>
      <w:r w:rsidRPr="00A14E24">
        <w:t xml:space="preserve"> filtraciją ir padidinti širdį veikiančių glikozidų (pvz., </w:t>
      </w:r>
      <w:proofErr w:type="spellStart"/>
      <w:r w:rsidRPr="00A14E24">
        <w:t>digoksino</w:t>
      </w:r>
      <w:proofErr w:type="spellEnd"/>
      <w:r w:rsidRPr="00A14E24">
        <w:t>) koncentraciją kraujo plazmoje.</w:t>
      </w:r>
    </w:p>
    <w:p w14:paraId="7DAF5CBD" w14:textId="77777777" w:rsidR="00557B5E" w:rsidRPr="00A14E24" w:rsidRDefault="00557B5E" w:rsidP="00EC2E49"/>
    <w:p w14:paraId="4B85BCEA" w14:textId="4DD791A1" w:rsidR="00557B5E" w:rsidRPr="00A14E24" w:rsidRDefault="00557B5E" w:rsidP="00EC2E49">
      <w:pPr>
        <w:rPr>
          <w:i/>
          <w:iCs/>
        </w:rPr>
      </w:pPr>
      <w:proofErr w:type="spellStart"/>
      <w:r w:rsidRPr="00A14E24">
        <w:rPr>
          <w:i/>
          <w:iCs/>
        </w:rPr>
        <w:t>Mifepriston</w:t>
      </w:r>
      <w:r w:rsidR="00EE709B" w:rsidRPr="00A14E24">
        <w:rPr>
          <w:i/>
          <w:iCs/>
        </w:rPr>
        <w:t>as</w:t>
      </w:r>
      <w:proofErr w:type="spellEnd"/>
    </w:p>
    <w:p w14:paraId="647FB01B" w14:textId="718A6CA1" w:rsidR="00557B5E" w:rsidRPr="00A14E24" w:rsidRDefault="00B350A9" w:rsidP="00EC2E49">
      <w:r w:rsidRPr="00A14E24">
        <w:t>Teoriškai vaistinio preparato veiksmingumas gali sumažėti dėl nesteroidinių vaistinių preparatų nuo uždegimo (NV</w:t>
      </w:r>
      <w:r w:rsidR="001773D2">
        <w:t>P</w:t>
      </w:r>
      <w:r w:rsidRPr="00A14E24">
        <w:t xml:space="preserve">NU), įskaitant </w:t>
      </w:r>
      <w:proofErr w:type="spellStart"/>
      <w:r w:rsidRPr="00A14E24">
        <w:t>acetilsalicilo</w:t>
      </w:r>
      <w:proofErr w:type="spellEnd"/>
      <w:r w:rsidRPr="00A14E24">
        <w:t xml:space="preserve"> rūgštį, </w:t>
      </w:r>
      <w:proofErr w:type="spellStart"/>
      <w:r w:rsidRPr="00A14E24">
        <w:t>antiprostaglandininių</w:t>
      </w:r>
      <w:proofErr w:type="spellEnd"/>
      <w:r w:rsidRPr="00A14E24">
        <w:t xml:space="preserve"> savybių. Riboti duomenys rodo, kad NV</w:t>
      </w:r>
      <w:r w:rsidR="001773D2">
        <w:t>P</w:t>
      </w:r>
      <w:r w:rsidRPr="00A14E24">
        <w:t xml:space="preserve">NU vartojimas kartu su prostaglandinu prostaglandino vartojimo dieną neturi neigiamos įtakos </w:t>
      </w:r>
      <w:proofErr w:type="spellStart"/>
      <w:r w:rsidRPr="00A14E24">
        <w:t>mifepristono</w:t>
      </w:r>
      <w:proofErr w:type="spellEnd"/>
      <w:r w:rsidRPr="00A14E24">
        <w:t xml:space="preserve"> ar prostaglandino poveikiui gimdos kaklelio brandinimui ar gimdos </w:t>
      </w:r>
      <w:proofErr w:type="spellStart"/>
      <w:r w:rsidRPr="00A14E24">
        <w:t>kontraktilumui</w:t>
      </w:r>
      <w:proofErr w:type="spellEnd"/>
      <w:r w:rsidRPr="00A14E24">
        <w:t xml:space="preserve"> ir nesumažina medikamentinio nėštumo nutraukimo klinikinio veiksmingumo.</w:t>
      </w:r>
    </w:p>
    <w:p w14:paraId="6AA271F9" w14:textId="77777777" w:rsidR="00B350A9" w:rsidRPr="00A14E24" w:rsidRDefault="00B350A9" w:rsidP="00EC2E49"/>
    <w:p w14:paraId="1193E28A" w14:textId="794EF24C" w:rsidR="00557B5E" w:rsidRPr="00A14E24" w:rsidRDefault="00AF30E7" w:rsidP="00EC2E49">
      <w:pPr>
        <w:rPr>
          <w:i/>
          <w:iCs/>
        </w:rPr>
      </w:pPr>
      <w:proofErr w:type="spellStart"/>
      <w:r w:rsidRPr="00A14E24">
        <w:rPr>
          <w:i/>
          <w:iCs/>
        </w:rPr>
        <w:t>Sulfonilkarbamidai</w:t>
      </w:r>
      <w:proofErr w:type="spellEnd"/>
    </w:p>
    <w:p w14:paraId="71667CBB" w14:textId="3B2A9B87" w:rsidR="00557B5E" w:rsidRPr="00A14E24" w:rsidRDefault="00B350A9" w:rsidP="00EC2E49">
      <w:r w:rsidRPr="00A14E24">
        <w:t xml:space="preserve">Gauta retų pranešimų apie hipoglikemijos atvejus </w:t>
      </w:r>
      <w:proofErr w:type="spellStart"/>
      <w:r w:rsidRPr="00A14E24">
        <w:t>sulfonilkarbamidų</w:t>
      </w:r>
      <w:proofErr w:type="spellEnd"/>
      <w:r w:rsidRPr="00A14E24">
        <w:t xml:space="preserve"> grupės </w:t>
      </w:r>
      <w:r w:rsidR="000227D7" w:rsidRPr="00A14E24">
        <w:t>vaistiniais</w:t>
      </w:r>
      <w:r w:rsidRPr="00A14E24">
        <w:t xml:space="preserve"> </w:t>
      </w:r>
      <w:r w:rsidR="000227D7" w:rsidRPr="00A14E24">
        <w:t>preparatais</w:t>
      </w:r>
      <w:r w:rsidRPr="00A14E24">
        <w:t xml:space="preserve"> gydomiems pacientams, kurie vartojo </w:t>
      </w:r>
      <w:proofErr w:type="spellStart"/>
      <w:r w:rsidRPr="00A14E24">
        <w:t>ibuprofeno</w:t>
      </w:r>
      <w:proofErr w:type="spellEnd"/>
      <w:r w:rsidR="00557B5E" w:rsidRPr="00A14E24">
        <w:t>.</w:t>
      </w:r>
    </w:p>
    <w:p w14:paraId="03CBFF68" w14:textId="77777777" w:rsidR="00557B5E" w:rsidRPr="00A14E24" w:rsidRDefault="00557B5E" w:rsidP="00EC2E49"/>
    <w:p w14:paraId="4411FACB" w14:textId="2D4EDF65" w:rsidR="00557B5E" w:rsidRPr="00A14E24" w:rsidRDefault="00557B5E" w:rsidP="00EC2E49">
      <w:pPr>
        <w:rPr>
          <w:i/>
          <w:iCs/>
        </w:rPr>
      </w:pPr>
      <w:proofErr w:type="spellStart"/>
      <w:r w:rsidRPr="00A14E24">
        <w:rPr>
          <w:i/>
          <w:iCs/>
        </w:rPr>
        <w:t>Zidovudin</w:t>
      </w:r>
      <w:r w:rsidR="00BA454C" w:rsidRPr="00A14E24">
        <w:rPr>
          <w:i/>
          <w:iCs/>
        </w:rPr>
        <w:t>as</w:t>
      </w:r>
      <w:proofErr w:type="spellEnd"/>
    </w:p>
    <w:p w14:paraId="23EE057C" w14:textId="00459571" w:rsidR="00557B5E" w:rsidRPr="00A14E24" w:rsidRDefault="006C2915" w:rsidP="00EC2E49">
      <w:r w:rsidRPr="00A14E24">
        <w:t>Turima duomenų</w:t>
      </w:r>
      <w:r w:rsidR="00B15E22" w:rsidRPr="00A14E24">
        <w:t xml:space="preserve">, kad kartu vartojant </w:t>
      </w:r>
      <w:proofErr w:type="spellStart"/>
      <w:r w:rsidR="00B15E22" w:rsidRPr="00A14E24">
        <w:t>zidovudino</w:t>
      </w:r>
      <w:proofErr w:type="spellEnd"/>
      <w:r w:rsidR="00B15E22" w:rsidRPr="00A14E24">
        <w:t xml:space="preserve"> ir</w:t>
      </w:r>
      <w:r w:rsidRPr="00A14E24">
        <w:t xml:space="preserve"> </w:t>
      </w:r>
      <w:proofErr w:type="spellStart"/>
      <w:r w:rsidR="00B15E22" w:rsidRPr="00A14E24">
        <w:t>ibuprofeno</w:t>
      </w:r>
      <w:proofErr w:type="spellEnd"/>
      <w:r w:rsidR="00B15E22" w:rsidRPr="00A14E24">
        <w:t xml:space="preserve">, padidėja </w:t>
      </w:r>
      <w:proofErr w:type="spellStart"/>
      <w:r w:rsidR="00B15E22" w:rsidRPr="00A14E24">
        <w:t>hemartrozės</w:t>
      </w:r>
      <w:proofErr w:type="spellEnd"/>
      <w:r w:rsidR="00B15E22" w:rsidRPr="00A14E24">
        <w:t xml:space="preserve"> ir hematomų</w:t>
      </w:r>
      <w:r w:rsidRPr="00A14E24">
        <w:t xml:space="preserve"> </w:t>
      </w:r>
      <w:r w:rsidR="00B15E22" w:rsidRPr="00A14E24">
        <w:t xml:space="preserve">atsiradimo rizika ŽIV </w:t>
      </w:r>
      <w:r w:rsidRPr="00A14E24">
        <w:t>infekuotiems</w:t>
      </w:r>
      <w:r w:rsidR="00B15E22" w:rsidRPr="00A14E24">
        <w:t xml:space="preserve"> </w:t>
      </w:r>
      <w:proofErr w:type="spellStart"/>
      <w:r w:rsidR="00B15E22" w:rsidRPr="00A14E24">
        <w:t>hemofilija</w:t>
      </w:r>
      <w:proofErr w:type="spellEnd"/>
      <w:r w:rsidRPr="00A14E24">
        <w:t xml:space="preserve"> </w:t>
      </w:r>
      <w:r w:rsidR="00B15E22" w:rsidRPr="00A14E24">
        <w:t>sergantiems pacientams.</w:t>
      </w:r>
    </w:p>
    <w:p w14:paraId="623E3599" w14:textId="77777777" w:rsidR="00B15E22" w:rsidRPr="00A14E24" w:rsidRDefault="00B15E22" w:rsidP="00EC2E49"/>
    <w:p w14:paraId="39DF5C3C" w14:textId="57D47A0C" w:rsidR="007324F7" w:rsidRPr="00A14E24" w:rsidRDefault="007324F7" w:rsidP="00EC2E49">
      <w:pPr>
        <w:rPr>
          <w:u w:val="single"/>
        </w:rPr>
      </w:pPr>
      <w:r w:rsidRPr="00A14E24">
        <w:rPr>
          <w:u w:val="single"/>
        </w:rPr>
        <w:t xml:space="preserve">Toliau išvardytų </w:t>
      </w:r>
      <w:r w:rsidR="00A02584" w:rsidRPr="00A14E24">
        <w:rPr>
          <w:u w:val="single"/>
        </w:rPr>
        <w:t>vaistinių</w:t>
      </w:r>
      <w:r w:rsidRPr="00A14E24">
        <w:rPr>
          <w:u w:val="single"/>
        </w:rPr>
        <w:t xml:space="preserve"> preparatų vartojant kartu su </w:t>
      </w:r>
      <w:proofErr w:type="spellStart"/>
      <w:r w:rsidRPr="00A14E24">
        <w:rPr>
          <w:u w:val="single"/>
        </w:rPr>
        <w:t>ibuprofenu</w:t>
      </w:r>
      <w:proofErr w:type="spellEnd"/>
      <w:r w:rsidRPr="00A14E24">
        <w:rPr>
          <w:u w:val="single"/>
        </w:rPr>
        <w:t>, gali reikėti koreguoti dozę</w:t>
      </w:r>
    </w:p>
    <w:p w14:paraId="18D387BA" w14:textId="042AC3A7" w:rsidR="00797EF9" w:rsidRPr="00A14E24" w:rsidRDefault="00557B5E" w:rsidP="00EC2E49">
      <w:r w:rsidRPr="00A14E24">
        <w:t>N</w:t>
      </w:r>
      <w:r w:rsidR="00797EF9" w:rsidRPr="00A14E24">
        <w:t>V</w:t>
      </w:r>
      <w:r w:rsidR="00207624">
        <w:t>P</w:t>
      </w:r>
      <w:r w:rsidR="00797EF9" w:rsidRPr="00A14E24">
        <w:t xml:space="preserve">NU gali silpninti diuretikų ir kitų </w:t>
      </w:r>
      <w:proofErr w:type="spellStart"/>
      <w:r w:rsidR="00797EF9" w:rsidRPr="00A14E24">
        <w:t>antihipertenzinių</w:t>
      </w:r>
      <w:proofErr w:type="spellEnd"/>
      <w:r w:rsidR="00797EF9" w:rsidRPr="00A14E24">
        <w:t xml:space="preserve"> vaistinių preparatų poveikį.</w:t>
      </w:r>
    </w:p>
    <w:p w14:paraId="16B88872" w14:textId="7421BFE1" w:rsidR="00797EF9" w:rsidRPr="00A14E24" w:rsidRDefault="00557B5E" w:rsidP="00EC2E49">
      <w:r w:rsidRPr="00A14E24">
        <w:t>Diureti</w:t>
      </w:r>
      <w:r w:rsidR="00797EF9" w:rsidRPr="00A14E24">
        <w:t>kai gali didinti NV</w:t>
      </w:r>
      <w:r w:rsidR="00207624">
        <w:t>P</w:t>
      </w:r>
      <w:r w:rsidR="00797EF9" w:rsidRPr="00A14E24">
        <w:t>NU toksinio poveikio inkstams riziką.</w:t>
      </w:r>
    </w:p>
    <w:p w14:paraId="1CC926AE" w14:textId="77777777" w:rsidR="00557B5E" w:rsidRPr="00A14E24" w:rsidRDefault="00557B5E" w:rsidP="00EC2E49"/>
    <w:p w14:paraId="401AEBDF" w14:textId="1A37518B" w:rsidR="00EF6B9C" w:rsidRPr="00A14E24" w:rsidRDefault="00EF6B9C" w:rsidP="00EC2E49">
      <w:r w:rsidRPr="00A14E24">
        <w:t>NV</w:t>
      </w:r>
      <w:r w:rsidR="00207624">
        <w:t>P</w:t>
      </w:r>
      <w:r w:rsidRPr="00A14E24">
        <w:t xml:space="preserve">NU gali slopinti </w:t>
      </w:r>
      <w:proofErr w:type="spellStart"/>
      <w:r w:rsidRPr="00A14E24">
        <w:t>aminoglikozidų</w:t>
      </w:r>
      <w:proofErr w:type="spellEnd"/>
      <w:r w:rsidRPr="00A14E24">
        <w:t xml:space="preserve"> </w:t>
      </w:r>
      <w:proofErr w:type="spellStart"/>
      <w:r w:rsidRPr="00A14E24">
        <w:t>ekskreciją</w:t>
      </w:r>
      <w:proofErr w:type="spellEnd"/>
      <w:r w:rsidRPr="00A14E24">
        <w:t>.</w:t>
      </w:r>
    </w:p>
    <w:p w14:paraId="10B40D5B" w14:textId="77777777" w:rsidR="00EF6B9C" w:rsidRPr="00A14E24" w:rsidRDefault="00EF6B9C" w:rsidP="00EC2E49">
      <w:r w:rsidRPr="00A14E24">
        <w:rPr>
          <w:i/>
          <w:iCs/>
        </w:rPr>
        <w:t>Vaikai:</w:t>
      </w:r>
      <w:r w:rsidR="00557B5E" w:rsidRPr="00A14E24">
        <w:t xml:space="preserve"> </w:t>
      </w:r>
      <w:proofErr w:type="spellStart"/>
      <w:r w:rsidRPr="00A14E24">
        <w:t>ibuprofeno</w:t>
      </w:r>
      <w:proofErr w:type="spellEnd"/>
      <w:r w:rsidRPr="00A14E24">
        <w:t xml:space="preserve"> kartu su </w:t>
      </w:r>
      <w:proofErr w:type="spellStart"/>
      <w:r w:rsidRPr="00A14E24">
        <w:t>aminoglikozidais</w:t>
      </w:r>
      <w:proofErr w:type="spellEnd"/>
      <w:r w:rsidRPr="00A14E24">
        <w:t xml:space="preserve"> būtina skirti atsargiai.</w:t>
      </w:r>
    </w:p>
    <w:p w14:paraId="3263CA28" w14:textId="77777777" w:rsidR="00557B5E" w:rsidRPr="00A14E24" w:rsidRDefault="00557B5E" w:rsidP="00EC2E49"/>
    <w:p w14:paraId="215392AB" w14:textId="6DF84FC9" w:rsidR="000E2C31" w:rsidRPr="00A14E24" w:rsidRDefault="00557B5E" w:rsidP="00EC2E49">
      <w:pPr>
        <w:rPr>
          <w:i/>
          <w:iCs/>
        </w:rPr>
      </w:pPr>
      <w:r w:rsidRPr="00A14E24">
        <w:rPr>
          <w:i/>
          <w:iCs/>
        </w:rPr>
        <w:t>Lit</w:t>
      </w:r>
      <w:r w:rsidR="000E2C31" w:rsidRPr="00A14E24">
        <w:rPr>
          <w:i/>
          <w:iCs/>
        </w:rPr>
        <w:t>is</w:t>
      </w:r>
    </w:p>
    <w:p w14:paraId="2EE9A6E9" w14:textId="04C9EDA9" w:rsidR="00557B5E" w:rsidRPr="00A14E24" w:rsidRDefault="004A6EAE" w:rsidP="00EC2E49">
      <w:proofErr w:type="spellStart"/>
      <w:r w:rsidRPr="00A14E24">
        <w:t>Ibuprofenas</w:t>
      </w:r>
      <w:proofErr w:type="spellEnd"/>
      <w:r w:rsidRPr="00A14E24">
        <w:t xml:space="preserve"> mažina ličio klirensą inkstuose, dėl to gali padidėti ličio koncentracija kraujo serume. Tokio derinio reikia vengti, nebent yra galimybė dažnai tikrinti ličio koncentraciją kraujo serume ir prireikus sumažinti ličio dozę.</w:t>
      </w:r>
    </w:p>
    <w:p w14:paraId="479CF1B7" w14:textId="77777777" w:rsidR="004A6EAE" w:rsidRPr="00A14E24" w:rsidRDefault="004A6EAE" w:rsidP="00EC2E49"/>
    <w:p w14:paraId="54B50226" w14:textId="15CA0C64" w:rsidR="00557B5E" w:rsidRPr="00A14E24" w:rsidRDefault="00557B5E" w:rsidP="00EC2E49">
      <w:pPr>
        <w:rPr>
          <w:i/>
          <w:iCs/>
        </w:rPr>
      </w:pPr>
      <w:r w:rsidRPr="00A14E24">
        <w:rPr>
          <w:i/>
          <w:iCs/>
        </w:rPr>
        <w:t>A</w:t>
      </w:r>
      <w:r w:rsidR="004A6EAE" w:rsidRPr="00A14E24">
        <w:rPr>
          <w:i/>
          <w:iCs/>
        </w:rPr>
        <w:t>KF</w:t>
      </w:r>
      <w:r w:rsidRPr="00A14E24">
        <w:rPr>
          <w:i/>
          <w:iCs/>
        </w:rPr>
        <w:t xml:space="preserve"> inhibitor</w:t>
      </w:r>
      <w:r w:rsidR="004A6EAE" w:rsidRPr="00A14E24">
        <w:rPr>
          <w:i/>
          <w:iCs/>
        </w:rPr>
        <w:t>iai</w:t>
      </w:r>
      <w:r w:rsidRPr="00A14E24">
        <w:rPr>
          <w:i/>
          <w:iCs/>
        </w:rPr>
        <w:t xml:space="preserve">, </w:t>
      </w:r>
      <w:proofErr w:type="spellStart"/>
      <w:r w:rsidRPr="00A14E24">
        <w:rPr>
          <w:i/>
          <w:iCs/>
        </w:rPr>
        <w:t>angioten</w:t>
      </w:r>
      <w:r w:rsidR="004A6EAE" w:rsidRPr="00A14E24">
        <w:rPr>
          <w:i/>
          <w:iCs/>
        </w:rPr>
        <w:t>z</w:t>
      </w:r>
      <w:r w:rsidRPr="00A14E24">
        <w:rPr>
          <w:i/>
          <w:iCs/>
        </w:rPr>
        <w:t>in</w:t>
      </w:r>
      <w:r w:rsidR="004A6EAE" w:rsidRPr="00A14E24">
        <w:rPr>
          <w:i/>
          <w:iCs/>
        </w:rPr>
        <w:t>o</w:t>
      </w:r>
      <w:proofErr w:type="spellEnd"/>
      <w:r w:rsidRPr="00A14E24">
        <w:rPr>
          <w:i/>
          <w:iCs/>
        </w:rPr>
        <w:t>-II antagonist</w:t>
      </w:r>
      <w:r w:rsidR="004A6EAE" w:rsidRPr="00A14E24">
        <w:rPr>
          <w:i/>
          <w:iCs/>
        </w:rPr>
        <w:t>ai ir diuretikai</w:t>
      </w:r>
    </w:p>
    <w:p w14:paraId="53660F6E" w14:textId="0B1D0224" w:rsidR="00B50571" w:rsidRPr="00A14E24" w:rsidRDefault="00B50571" w:rsidP="00EC2E49">
      <w:r w:rsidRPr="00A14E24">
        <w:t xml:space="preserve">Pacientams, kurių inkstų funkcija sutrikusi (pvz., </w:t>
      </w:r>
      <w:proofErr w:type="spellStart"/>
      <w:r w:rsidRPr="00A14E24">
        <w:t>dehidratuotiems</w:t>
      </w:r>
      <w:proofErr w:type="spellEnd"/>
      <w:r w:rsidRPr="00A14E24">
        <w:t xml:space="preserve"> ir (arba) senyviems pacientams), padidėja ūminio inkstų nepakankamumo, kuris paprastai būna laikinas, rizika, kai kartu su NV</w:t>
      </w:r>
      <w:r w:rsidR="00E271AB">
        <w:t>P</w:t>
      </w:r>
      <w:r w:rsidRPr="00A14E24">
        <w:t>NU, įskaitant selektyvius ciklooksigenazės-2 inhibitorius, skiriami AKF inhibitori</w:t>
      </w:r>
      <w:r w:rsidR="00E271AB">
        <w:t>ų</w:t>
      </w:r>
      <w:r w:rsidRPr="00A14E24">
        <w:t xml:space="preserve"> arba </w:t>
      </w:r>
      <w:proofErr w:type="spellStart"/>
      <w:r w:rsidRPr="00A14E24">
        <w:t>angiotenzino</w:t>
      </w:r>
      <w:proofErr w:type="spellEnd"/>
      <w:r w:rsidRPr="00A14E24">
        <w:t>-II antagonist</w:t>
      </w:r>
      <w:r w:rsidR="00E271AB">
        <w:t>ų</w:t>
      </w:r>
      <w:r w:rsidRPr="00A14E24">
        <w:t>. Todėl š</w:t>
      </w:r>
      <w:r w:rsidR="00E271AB">
        <w:t>io</w:t>
      </w:r>
      <w:r w:rsidRPr="00A14E24">
        <w:t xml:space="preserve"> derin</w:t>
      </w:r>
      <w:r w:rsidR="00E271AB">
        <w:t>io</w:t>
      </w:r>
      <w:r w:rsidRPr="00A14E24">
        <w:t xml:space="preserve"> reikia skirti atsargiai pacientams, kurių inkstų funkcija sutrikusi, ypač senyviems pacientams. Būtina užtikrinti, kad paciento organizme būtų pakankamas skysčių kiekis ir apsvarstyti inkstų funkcijos ištyrimą po kombinuoto gydymo pradžios ir reguliariai gydymo metu (žr. 4.4 skyrių).</w:t>
      </w:r>
    </w:p>
    <w:p w14:paraId="55337011" w14:textId="77777777" w:rsidR="00557B5E" w:rsidRPr="00A14E24" w:rsidRDefault="00557B5E" w:rsidP="00EC2E49"/>
    <w:p w14:paraId="315F2BD2" w14:textId="4EFB2CB4" w:rsidR="00557B5E" w:rsidRPr="00A14E24" w:rsidRDefault="00557B5E" w:rsidP="00211952">
      <w:pPr>
        <w:keepNext/>
        <w:rPr>
          <w:i/>
          <w:iCs/>
        </w:rPr>
      </w:pPr>
      <w:r w:rsidRPr="00A14E24">
        <w:rPr>
          <w:i/>
          <w:iCs/>
        </w:rPr>
        <w:t>Beta</w:t>
      </w:r>
      <w:r w:rsidR="00EF6E04" w:rsidRPr="00A14E24">
        <w:rPr>
          <w:i/>
          <w:iCs/>
        </w:rPr>
        <w:t xml:space="preserve"> </w:t>
      </w:r>
      <w:proofErr w:type="spellStart"/>
      <w:r w:rsidR="00EF6E04" w:rsidRPr="00A14E24">
        <w:rPr>
          <w:i/>
          <w:iCs/>
        </w:rPr>
        <w:t>adrenoreceptorių</w:t>
      </w:r>
      <w:proofErr w:type="spellEnd"/>
      <w:r w:rsidR="00EF6E04" w:rsidRPr="00A14E24">
        <w:rPr>
          <w:i/>
          <w:iCs/>
        </w:rPr>
        <w:t xml:space="preserve"> blokatoriai</w:t>
      </w:r>
    </w:p>
    <w:p w14:paraId="0E5807B0" w14:textId="10A73551" w:rsidR="006D5605" w:rsidRPr="00A14E24" w:rsidRDefault="006D5605" w:rsidP="00211952">
      <w:pPr>
        <w:keepNext/>
      </w:pPr>
      <w:r w:rsidRPr="00A14E24">
        <w:t>NV</w:t>
      </w:r>
      <w:r w:rsidR="008D6F7B">
        <w:t>P</w:t>
      </w:r>
      <w:r w:rsidRPr="00A14E24">
        <w:t xml:space="preserve">NU neutralizuoja </w:t>
      </w:r>
      <w:proofErr w:type="spellStart"/>
      <w:r w:rsidRPr="00A14E24">
        <w:t>antihipertenzinį</w:t>
      </w:r>
      <w:proofErr w:type="spellEnd"/>
      <w:r w:rsidRPr="00A14E24">
        <w:t xml:space="preserve"> beta </w:t>
      </w:r>
      <w:proofErr w:type="spellStart"/>
      <w:r w:rsidRPr="00A14E24">
        <w:t>adrenoreceptorius</w:t>
      </w:r>
      <w:proofErr w:type="spellEnd"/>
      <w:r w:rsidRPr="00A14E24">
        <w:t xml:space="preserve"> blokuojančių vaistinių preparatų poveikį.</w:t>
      </w:r>
    </w:p>
    <w:p w14:paraId="27C42833" w14:textId="77777777" w:rsidR="00557B5E" w:rsidRPr="00A14E24" w:rsidRDefault="00557B5E" w:rsidP="00EC2E49"/>
    <w:p w14:paraId="2B46F4AF" w14:textId="3DB5C333" w:rsidR="00557B5E" w:rsidRPr="00A14E24" w:rsidRDefault="006D5605" w:rsidP="00367411">
      <w:pPr>
        <w:keepNext/>
        <w:rPr>
          <w:i/>
          <w:iCs/>
        </w:rPr>
      </w:pPr>
      <w:r w:rsidRPr="00A14E24">
        <w:rPr>
          <w:i/>
          <w:iCs/>
        </w:rPr>
        <w:t>Selektyvieji</w:t>
      </w:r>
      <w:r w:rsidR="00557B5E" w:rsidRPr="00A14E24">
        <w:rPr>
          <w:i/>
          <w:iCs/>
        </w:rPr>
        <w:t xml:space="preserve"> </w:t>
      </w:r>
      <w:proofErr w:type="spellStart"/>
      <w:r w:rsidR="00557B5E" w:rsidRPr="00A14E24">
        <w:rPr>
          <w:i/>
          <w:iCs/>
        </w:rPr>
        <w:t>serotonin</w:t>
      </w:r>
      <w:r w:rsidRPr="00A14E24">
        <w:rPr>
          <w:i/>
          <w:iCs/>
        </w:rPr>
        <w:t>o</w:t>
      </w:r>
      <w:proofErr w:type="spellEnd"/>
      <w:r w:rsidRPr="00A14E24">
        <w:rPr>
          <w:i/>
          <w:iCs/>
        </w:rPr>
        <w:t xml:space="preserve"> reabsorbcijos inhibitoriai</w:t>
      </w:r>
      <w:r w:rsidR="00557B5E" w:rsidRPr="00A14E24">
        <w:rPr>
          <w:i/>
          <w:iCs/>
        </w:rPr>
        <w:t xml:space="preserve"> (SSRI)</w:t>
      </w:r>
    </w:p>
    <w:p w14:paraId="01349809" w14:textId="710A499A" w:rsidR="00B50571" w:rsidRPr="00A14E24" w:rsidRDefault="00B50571" w:rsidP="00367411">
      <w:pPr>
        <w:keepNext/>
      </w:pPr>
      <w:r w:rsidRPr="00A14E24">
        <w:t>Ir SSRI, ir NV</w:t>
      </w:r>
      <w:r w:rsidR="008D6F7B">
        <w:t>P</w:t>
      </w:r>
      <w:r w:rsidRPr="00A14E24">
        <w:t>NU didina kraujavimo, pvz., iš virškinimo trakto, riziką. Ši rizika padidėja taikant kombinuotą</w:t>
      </w:r>
      <w:r w:rsidR="000227D7" w:rsidRPr="00A14E24">
        <w:t>jį</w:t>
      </w:r>
      <w:r w:rsidRPr="00A14E24">
        <w:t xml:space="preserve"> gydymą. Mechanizmas gali būti susijęs su sumažėjusia </w:t>
      </w:r>
      <w:proofErr w:type="spellStart"/>
      <w:r w:rsidRPr="00A14E24">
        <w:t>serotonino</w:t>
      </w:r>
      <w:proofErr w:type="spellEnd"/>
      <w:r w:rsidRPr="00A14E24">
        <w:t xml:space="preserve"> absorbcija trombocituose (žr. 4.4 skyrių).</w:t>
      </w:r>
    </w:p>
    <w:p w14:paraId="2D84547C" w14:textId="77777777" w:rsidR="00557B5E" w:rsidRPr="00A14E24" w:rsidRDefault="00557B5E" w:rsidP="00EC2E49"/>
    <w:p w14:paraId="48A9DB95" w14:textId="3E98C104" w:rsidR="00557B5E" w:rsidRPr="00A14E24" w:rsidRDefault="00CB71E3" w:rsidP="00EC2E49">
      <w:pPr>
        <w:rPr>
          <w:i/>
          <w:iCs/>
        </w:rPr>
      </w:pPr>
      <w:proofErr w:type="spellStart"/>
      <w:r w:rsidRPr="00A14E24">
        <w:rPr>
          <w:i/>
          <w:iCs/>
        </w:rPr>
        <w:t>Ciklosporinas</w:t>
      </w:r>
      <w:proofErr w:type="spellEnd"/>
    </w:p>
    <w:p w14:paraId="0745657D" w14:textId="702597E6" w:rsidR="00921D6F" w:rsidRPr="00A14E24" w:rsidRDefault="00921D6F" w:rsidP="00EC2E49">
      <w:r w:rsidRPr="00A14E24">
        <w:t>Manoma, kad kartu vartojant NV</w:t>
      </w:r>
      <w:r w:rsidR="008D6F7B">
        <w:t>P</w:t>
      </w:r>
      <w:r w:rsidRPr="00A14E24">
        <w:t xml:space="preserve">NU ir </w:t>
      </w:r>
      <w:proofErr w:type="spellStart"/>
      <w:r w:rsidRPr="00A14E24">
        <w:t>ciklosporiną</w:t>
      </w:r>
      <w:proofErr w:type="spellEnd"/>
      <w:r w:rsidRPr="00A14E24">
        <w:t xml:space="preserve"> gali padidėti toksinio poveikio inkstams rizika dėl sumažėjusios </w:t>
      </w:r>
      <w:proofErr w:type="spellStart"/>
      <w:r w:rsidRPr="00A14E24">
        <w:t>prostaci</w:t>
      </w:r>
      <w:r w:rsidR="00F043F5" w:rsidRPr="00A14E24">
        <w:t>k</w:t>
      </w:r>
      <w:r w:rsidRPr="00A14E24">
        <w:t>lino</w:t>
      </w:r>
      <w:proofErr w:type="spellEnd"/>
      <w:r w:rsidRPr="00A14E24">
        <w:t xml:space="preserve"> sintezės inkstuose. Todėl, jei taikomas kombinuotas</w:t>
      </w:r>
      <w:r w:rsidR="000227D7" w:rsidRPr="00A14E24">
        <w:t>is</w:t>
      </w:r>
      <w:r w:rsidRPr="00A14E24">
        <w:t xml:space="preserve"> gydymas, reikia atidžiai stebėti inkstų funkciją.</w:t>
      </w:r>
    </w:p>
    <w:p w14:paraId="0A68341D" w14:textId="77777777" w:rsidR="00557B5E" w:rsidRPr="00A14E24" w:rsidRDefault="00557B5E" w:rsidP="00EC2E49"/>
    <w:p w14:paraId="5AA3E2F9" w14:textId="1558747A" w:rsidR="00557B5E" w:rsidRPr="00A14E24" w:rsidRDefault="00CB71E3" w:rsidP="00E15E15">
      <w:pPr>
        <w:keepNext/>
        <w:rPr>
          <w:i/>
          <w:iCs/>
        </w:rPr>
      </w:pPr>
      <w:proofErr w:type="spellStart"/>
      <w:r w:rsidRPr="00A14E24">
        <w:rPr>
          <w:i/>
          <w:iCs/>
        </w:rPr>
        <w:lastRenderedPageBreak/>
        <w:t>K</w:t>
      </w:r>
      <w:r w:rsidR="00557B5E" w:rsidRPr="00A14E24">
        <w:rPr>
          <w:i/>
          <w:iCs/>
        </w:rPr>
        <w:t>aptopril</w:t>
      </w:r>
      <w:r w:rsidRPr="00A14E24">
        <w:rPr>
          <w:i/>
          <w:iCs/>
        </w:rPr>
        <w:t>is</w:t>
      </w:r>
      <w:proofErr w:type="spellEnd"/>
    </w:p>
    <w:p w14:paraId="3A054F37" w14:textId="77777777" w:rsidR="00921D6F" w:rsidRPr="00A14E24" w:rsidRDefault="00921D6F" w:rsidP="00E15E15">
      <w:pPr>
        <w:keepNext/>
      </w:pPr>
      <w:r w:rsidRPr="00A14E24">
        <w:t xml:space="preserve">Eksperimentiniai tyrimai rodo, kad </w:t>
      </w:r>
      <w:proofErr w:type="spellStart"/>
      <w:r w:rsidRPr="00A14E24">
        <w:t>ibuprofenas</w:t>
      </w:r>
      <w:proofErr w:type="spellEnd"/>
      <w:r w:rsidRPr="00A14E24">
        <w:t xml:space="preserve"> neutralizuoja </w:t>
      </w:r>
      <w:proofErr w:type="spellStart"/>
      <w:r w:rsidRPr="00A14E24">
        <w:t>kaptoprilio</w:t>
      </w:r>
      <w:proofErr w:type="spellEnd"/>
      <w:r w:rsidRPr="00A14E24">
        <w:t xml:space="preserve"> poveikį natrio išsiskyrimui.</w:t>
      </w:r>
    </w:p>
    <w:p w14:paraId="361F3D41" w14:textId="77777777" w:rsidR="00557B5E" w:rsidRPr="00A14E24" w:rsidRDefault="00557B5E" w:rsidP="00EC2E49"/>
    <w:p w14:paraId="677DC060" w14:textId="74244E23" w:rsidR="00557B5E" w:rsidRPr="00A14E24" w:rsidRDefault="00C06216" w:rsidP="00EC2E49">
      <w:pPr>
        <w:rPr>
          <w:i/>
          <w:iCs/>
        </w:rPr>
      </w:pPr>
      <w:proofErr w:type="spellStart"/>
      <w:r w:rsidRPr="00A14E24">
        <w:rPr>
          <w:i/>
          <w:iCs/>
        </w:rPr>
        <w:t>Kolestiraminas</w:t>
      </w:r>
      <w:proofErr w:type="spellEnd"/>
    </w:p>
    <w:p w14:paraId="5E91719D" w14:textId="2E6ABA25" w:rsidR="00921D6F" w:rsidRPr="00A14E24" w:rsidRDefault="00921D6F" w:rsidP="00EC2E49">
      <w:r w:rsidRPr="00A14E24">
        <w:t xml:space="preserve">Kartu vartojant </w:t>
      </w:r>
      <w:proofErr w:type="spellStart"/>
      <w:r w:rsidRPr="00A14E24">
        <w:t>ibuprofen</w:t>
      </w:r>
      <w:r w:rsidR="008D6F7B">
        <w:t>o</w:t>
      </w:r>
      <w:proofErr w:type="spellEnd"/>
      <w:r w:rsidRPr="00A14E24">
        <w:t xml:space="preserve"> ir </w:t>
      </w:r>
      <w:proofErr w:type="spellStart"/>
      <w:r w:rsidRPr="00A14E24">
        <w:t>kolestiramin</w:t>
      </w:r>
      <w:r w:rsidR="008D6F7B">
        <w:t>o</w:t>
      </w:r>
      <w:proofErr w:type="spellEnd"/>
      <w:r w:rsidRPr="00A14E24">
        <w:t xml:space="preserve">, </w:t>
      </w:r>
      <w:proofErr w:type="spellStart"/>
      <w:r w:rsidRPr="00A14E24">
        <w:t>ibuprofeno</w:t>
      </w:r>
      <w:proofErr w:type="spellEnd"/>
      <w:r w:rsidRPr="00A14E24">
        <w:t xml:space="preserve"> absorbcija sulėtėja ir sumažėja (25 %). Ši</w:t>
      </w:r>
      <w:r w:rsidR="008D6F7B">
        <w:t>ų</w:t>
      </w:r>
      <w:r w:rsidRPr="00A14E24">
        <w:t xml:space="preserve"> vaistini</w:t>
      </w:r>
      <w:r w:rsidR="008D6F7B">
        <w:t>ų</w:t>
      </w:r>
      <w:r w:rsidRPr="00A14E24">
        <w:t xml:space="preserve"> preparat</w:t>
      </w:r>
      <w:r w:rsidR="008D6F7B">
        <w:t>ų</w:t>
      </w:r>
      <w:r w:rsidRPr="00A14E24">
        <w:t xml:space="preserve"> turi būti vartojam</w:t>
      </w:r>
      <w:r w:rsidR="008D6F7B">
        <w:t>a</w:t>
      </w:r>
      <w:r w:rsidRPr="00A14E24">
        <w:t xml:space="preserve"> ne maž</w:t>
      </w:r>
      <w:r w:rsidR="00297021" w:rsidRPr="00A14E24">
        <w:t>esniu</w:t>
      </w:r>
      <w:r w:rsidRPr="00A14E24">
        <w:t xml:space="preserve"> kaip 2 valandų intervalu.</w:t>
      </w:r>
    </w:p>
    <w:p w14:paraId="5AEBE20F" w14:textId="77777777" w:rsidR="00557B5E" w:rsidRPr="00A14E24" w:rsidRDefault="00557B5E" w:rsidP="00EC2E49"/>
    <w:p w14:paraId="30C9B497" w14:textId="335E7481" w:rsidR="00672D1B" w:rsidRPr="00A14E24" w:rsidRDefault="00557B5E" w:rsidP="00EC2E49">
      <w:pPr>
        <w:rPr>
          <w:i/>
          <w:iCs/>
        </w:rPr>
      </w:pPr>
      <w:proofErr w:type="spellStart"/>
      <w:r w:rsidRPr="00A14E24">
        <w:rPr>
          <w:i/>
          <w:iCs/>
        </w:rPr>
        <w:t>Tiazid</w:t>
      </w:r>
      <w:r w:rsidR="00672D1B" w:rsidRPr="00A14E24">
        <w:rPr>
          <w:i/>
          <w:iCs/>
        </w:rPr>
        <w:t>ai</w:t>
      </w:r>
      <w:proofErr w:type="spellEnd"/>
      <w:r w:rsidRPr="00A14E24">
        <w:rPr>
          <w:i/>
          <w:iCs/>
        </w:rPr>
        <w:t xml:space="preserve">, </w:t>
      </w:r>
      <w:r w:rsidR="00672D1B" w:rsidRPr="00A14E24">
        <w:rPr>
          <w:i/>
          <w:iCs/>
        </w:rPr>
        <w:t xml:space="preserve">su </w:t>
      </w:r>
      <w:proofErr w:type="spellStart"/>
      <w:r w:rsidR="00672D1B" w:rsidRPr="00A14E24">
        <w:rPr>
          <w:i/>
          <w:iCs/>
        </w:rPr>
        <w:t>tiazidais</w:t>
      </w:r>
      <w:proofErr w:type="spellEnd"/>
      <w:r w:rsidR="00672D1B" w:rsidRPr="00A14E24">
        <w:rPr>
          <w:i/>
          <w:iCs/>
        </w:rPr>
        <w:t xml:space="preserve"> susiję vaistiniai preparatai ir </w:t>
      </w:r>
      <w:proofErr w:type="spellStart"/>
      <w:r w:rsidR="00672D1B" w:rsidRPr="00A14E24">
        <w:rPr>
          <w:i/>
          <w:iCs/>
        </w:rPr>
        <w:t>Henlės</w:t>
      </w:r>
      <w:proofErr w:type="spellEnd"/>
      <w:r w:rsidR="00672D1B" w:rsidRPr="00A14E24">
        <w:rPr>
          <w:i/>
          <w:iCs/>
        </w:rPr>
        <w:t xml:space="preserve"> kilpoje veikiantys diuretikai</w:t>
      </w:r>
    </w:p>
    <w:p w14:paraId="3A278A77" w14:textId="06520F80" w:rsidR="00F043F5" w:rsidRPr="00A14E24" w:rsidRDefault="00F043F5" w:rsidP="00EC2E49">
      <w:r w:rsidRPr="00A14E24">
        <w:t>NV</w:t>
      </w:r>
      <w:r w:rsidR="008D6F7B">
        <w:t>P</w:t>
      </w:r>
      <w:r w:rsidRPr="00A14E24">
        <w:t xml:space="preserve">NU gali neutralizuoti </w:t>
      </w:r>
      <w:proofErr w:type="spellStart"/>
      <w:r w:rsidRPr="00A14E24">
        <w:t>furozemido</w:t>
      </w:r>
      <w:proofErr w:type="spellEnd"/>
      <w:r w:rsidRPr="00A14E24">
        <w:t xml:space="preserve"> ir </w:t>
      </w:r>
      <w:proofErr w:type="spellStart"/>
      <w:r w:rsidRPr="00A14E24">
        <w:t>bumetanido</w:t>
      </w:r>
      <w:proofErr w:type="spellEnd"/>
      <w:r w:rsidRPr="00A14E24">
        <w:t xml:space="preserve"> šlapimo išsiskyrimą skatinantį poveikį, galimai </w:t>
      </w:r>
      <w:r w:rsidR="005F2962" w:rsidRPr="00A14E24">
        <w:t>dėl</w:t>
      </w:r>
      <w:r w:rsidRPr="00A14E24">
        <w:t xml:space="preserve"> prostaglandinų sintez</w:t>
      </w:r>
      <w:r w:rsidR="005F2962" w:rsidRPr="00A14E24">
        <w:t>ės slopinimo</w:t>
      </w:r>
      <w:r w:rsidRPr="00A14E24">
        <w:t xml:space="preserve">. Jie taip pat gali neutralizuoti </w:t>
      </w:r>
      <w:proofErr w:type="spellStart"/>
      <w:r w:rsidRPr="00A14E24">
        <w:t>antihipertenzinį</w:t>
      </w:r>
      <w:proofErr w:type="spellEnd"/>
      <w:r w:rsidRPr="00A14E24">
        <w:t xml:space="preserve"> </w:t>
      </w:r>
      <w:proofErr w:type="spellStart"/>
      <w:r w:rsidRPr="00A14E24">
        <w:t>tiazidų</w:t>
      </w:r>
      <w:proofErr w:type="spellEnd"/>
      <w:r w:rsidRPr="00A14E24">
        <w:t xml:space="preserve"> poveikį.</w:t>
      </w:r>
    </w:p>
    <w:p w14:paraId="008E0D7E" w14:textId="77777777" w:rsidR="00557B5E" w:rsidRPr="00A14E24" w:rsidRDefault="00557B5E" w:rsidP="00EC2E49"/>
    <w:p w14:paraId="64A8536B" w14:textId="47E03571" w:rsidR="00557B5E" w:rsidRPr="00A14E24" w:rsidRDefault="00557B5E" w:rsidP="00EC2E49">
      <w:pPr>
        <w:rPr>
          <w:i/>
          <w:iCs/>
        </w:rPr>
      </w:pPr>
      <w:proofErr w:type="spellStart"/>
      <w:r w:rsidRPr="00A14E24">
        <w:rPr>
          <w:i/>
          <w:iCs/>
        </w:rPr>
        <w:t>Ta</w:t>
      </w:r>
      <w:r w:rsidR="00995E20" w:rsidRPr="00A14E24">
        <w:rPr>
          <w:i/>
          <w:iCs/>
        </w:rPr>
        <w:t>k</w:t>
      </w:r>
      <w:r w:rsidRPr="00A14E24">
        <w:rPr>
          <w:i/>
          <w:iCs/>
        </w:rPr>
        <w:t>rolimu</w:t>
      </w:r>
      <w:r w:rsidR="00995E20" w:rsidRPr="00A14E24">
        <w:rPr>
          <w:i/>
          <w:iCs/>
        </w:rPr>
        <w:t>zas</w:t>
      </w:r>
      <w:proofErr w:type="spellEnd"/>
    </w:p>
    <w:p w14:paraId="0B9E944C" w14:textId="4F73F3AF" w:rsidR="00F043F5" w:rsidRPr="00A14E24" w:rsidRDefault="00F043F5" w:rsidP="00EC2E49">
      <w:r w:rsidRPr="00A14E24">
        <w:t>Manoma, kad kartu vartojant NV</w:t>
      </w:r>
      <w:r w:rsidR="008D6F7B">
        <w:t>P</w:t>
      </w:r>
      <w:r w:rsidRPr="00A14E24">
        <w:t xml:space="preserve">NU ir </w:t>
      </w:r>
      <w:proofErr w:type="spellStart"/>
      <w:r w:rsidRPr="00A14E24">
        <w:t>takrolimuz</w:t>
      </w:r>
      <w:r w:rsidR="008D6F7B">
        <w:t>o</w:t>
      </w:r>
      <w:proofErr w:type="spellEnd"/>
      <w:r w:rsidRPr="00A14E24">
        <w:t xml:space="preserve"> gali padidėti toksinio poveikio inkstams rizika dėl sumažėjusios </w:t>
      </w:r>
      <w:proofErr w:type="spellStart"/>
      <w:r w:rsidRPr="00A14E24">
        <w:t>prostaciklino</w:t>
      </w:r>
      <w:proofErr w:type="spellEnd"/>
      <w:r w:rsidRPr="00A14E24">
        <w:t xml:space="preserve"> sintezės inkstuose. Todėl, jei taikomas kombinuotas gydymas, reikia atidžiai stebėti inkstų funkciją.</w:t>
      </w:r>
    </w:p>
    <w:p w14:paraId="7A79D30A" w14:textId="77777777" w:rsidR="00557B5E" w:rsidRPr="00A14E24" w:rsidRDefault="00557B5E" w:rsidP="00EC2E49"/>
    <w:p w14:paraId="2EA22D0E" w14:textId="52D2E2C6" w:rsidR="00557B5E" w:rsidRPr="00A14E24" w:rsidRDefault="00C51EF5" w:rsidP="00EC2E49">
      <w:pPr>
        <w:rPr>
          <w:i/>
          <w:iCs/>
        </w:rPr>
      </w:pPr>
      <w:proofErr w:type="spellStart"/>
      <w:r w:rsidRPr="00A14E24">
        <w:rPr>
          <w:i/>
          <w:iCs/>
        </w:rPr>
        <w:t>M</w:t>
      </w:r>
      <w:r w:rsidR="00A06ED0" w:rsidRPr="00A14E24">
        <w:rPr>
          <w:i/>
          <w:iCs/>
        </w:rPr>
        <w:t>e</w:t>
      </w:r>
      <w:r w:rsidRPr="00A14E24">
        <w:rPr>
          <w:i/>
          <w:iCs/>
        </w:rPr>
        <w:t>totreksatas</w:t>
      </w:r>
      <w:proofErr w:type="spellEnd"/>
    </w:p>
    <w:p w14:paraId="76651D6D" w14:textId="3556C6C5" w:rsidR="0066405C" w:rsidRPr="00A14E24" w:rsidRDefault="0066405C" w:rsidP="00EC2E49">
      <w:r w:rsidRPr="00A14E24">
        <w:t>Taip pat reikia atsižvelgti į galimą NV</w:t>
      </w:r>
      <w:r w:rsidR="0049364A">
        <w:t>P</w:t>
      </w:r>
      <w:r w:rsidRPr="00A14E24">
        <w:t xml:space="preserve">NU ir </w:t>
      </w:r>
      <w:proofErr w:type="spellStart"/>
      <w:r w:rsidRPr="00A14E24">
        <w:t>metotreksato</w:t>
      </w:r>
      <w:proofErr w:type="spellEnd"/>
      <w:r w:rsidRPr="00A14E24">
        <w:t xml:space="preserve"> sąveikos riziką, kai </w:t>
      </w:r>
      <w:proofErr w:type="spellStart"/>
      <w:r w:rsidRPr="00A14E24">
        <w:t>metotreksat</w:t>
      </w:r>
      <w:r w:rsidR="0049364A">
        <w:t>o</w:t>
      </w:r>
      <w:proofErr w:type="spellEnd"/>
      <w:r w:rsidRPr="00A14E24">
        <w:t xml:space="preserve"> skiriama mažomis dozėmis, ypač pacientams, kurių inkstų funkcija sutrikusi. Kai skiriamas kombinuotasis gydymas, reikia stebėti inkstų funkciją. Atsargumo priemonių reikia laikytis, jei NV</w:t>
      </w:r>
      <w:r w:rsidR="0049364A">
        <w:t>P</w:t>
      </w:r>
      <w:r w:rsidRPr="00A14E24">
        <w:t xml:space="preserve">NU ir </w:t>
      </w:r>
      <w:proofErr w:type="spellStart"/>
      <w:r w:rsidRPr="00A14E24">
        <w:t>metotreksat</w:t>
      </w:r>
      <w:r w:rsidR="00C91A71">
        <w:t>o</w:t>
      </w:r>
      <w:proofErr w:type="spellEnd"/>
      <w:r w:rsidRPr="00A14E24">
        <w:t xml:space="preserve"> skiriam</w:t>
      </w:r>
      <w:r w:rsidR="00C91A71">
        <w:t>a</w:t>
      </w:r>
      <w:r w:rsidRPr="00A14E24">
        <w:t xml:space="preserve"> 24 valandų laikotarpiu, nes gali padidėti </w:t>
      </w:r>
      <w:proofErr w:type="spellStart"/>
      <w:r w:rsidRPr="00A14E24">
        <w:t>metotreksato</w:t>
      </w:r>
      <w:proofErr w:type="spellEnd"/>
      <w:r w:rsidRPr="00A14E24">
        <w:t xml:space="preserve"> koncentracija kraujo plazmoje, o tai gali sustiprinti toksinį poveikį (žr. pirmiau).</w:t>
      </w:r>
    </w:p>
    <w:p w14:paraId="12551D91" w14:textId="77777777" w:rsidR="00557B5E" w:rsidRPr="00A14E24" w:rsidRDefault="00557B5E" w:rsidP="00EC2E49"/>
    <w:p w14:paraId="665C0264" w14:textId="7D288B1A" w:rsidR="00557B5E" w:rsidRPr="00A14E24" w:rsidRDefault="00863255" w:rsidP="00EC2E49">
      <w:pPr>
        <w:rPr>
          <w:i/>
          <w:iCs/>
        </w:rPr>
      </w:pPr>
      <w:r w:rsidRPr="00A14E24">
        <w:rPr>
          <w:i/>
          <w:iCs/>
        </w:rPr>
        <w:t>Kortikosteroidai</w:t>
      </w:r>
    </w:p>
    <w:p w14:paraId="72D49170" w14:textId="499474B7" w:rsidR="00557B5E" w:rsidRPr="00A14E24" w:rsidRDefault="00863255" w:rsidP="00EC2E49">
      <w:r w:rsidRPr="00A14E24">
        <w:t xml:space="preserve">Tuo pat metu taikomas gydymas kortikosteroidais didina </w:t>
      </w:r>
      <w:r w:rsidR="0033736E" w:rsidRPr="00A14E24">
        <w:t>virškinimo</w:t>
      </w:r>
      <w:r w:rsidRPr="00A14E24">
        <w:t xml:space="preserve"> </w:t>
      </w:r>
      <w:r w:rsidR="0033736E" w:rsidRPr="00A14E24">
        <w:t>trakto</w:t>
      </w:r>
      <w:r w:rsidRPr="00A14E24">
        <w:t xml:space="preserve"> išopėjimo ir kraujavimo </w:t>
      </w:r>
      <w:r w:rsidR="0033736E" w:rsidRPr="00A14E24">
        <w:t xml:space="preserve">iš virškinimo trakto </w:t>
      </w:r>
      <w:r w:rsidRPr="00A14E24">
        <w:t>riziką.</w:t>
      </w:r>
    </w:p>
    <w:p w14:paraId="5FDC7118" w14:textId="77777777" w:rsidR="00557B5E" w:rsidRPr="00A14E24" w:rsidRDefault="00557B5E" w:rsidP="00EC2E49"/>
    <w:p w14:paraId="5A070E39" w14:textId="77777777" w:rsidR="00B42795" w:rsidRPr="00A14E24" w:rsidRDefault="00B42795" w:rsidP="00EC2E49">
      <w:pPr>
        <w:rPr>
          <w:i/>
          <w:iCs/>
        </w:rPr>
      </w:pPr>
      <w:r w:rsidRPr="00A14E24">
        <w:rPr>
          <w:i/>
          <w:iCs/>
        </w:rPr>
        <w:t>Trombocitų funkciją slopinantys vaistiniai preparatai</w:t>
      </w:r>
    </w:p>
    <w:p w14:paraId="347AD7C2" w14:textId="1CDD9F5D" w:rsidR="00557B5E" w:rsidRPr="00A14E24" w:rsidRDefault="00B42795" w:rsidP="00EC2E49">
      <w:r w:rsidRPr="00A14E24">
        <w:t>Didėja kraujavimo iš virškinimo trakto rizika</w:t>
      </w:r>
      <w:r w:rsidR="00557B5E" w:rsidRPr="00A14E24">
        <w:t xml:space="preserve"> (</w:t>
      </w:r>
      <w:r w:rsidRPr="00A14E24">
        <w:t xml:space="preserve">žr. </w:t>
      </w:r>
      <w:r w:rsidR="00863255" w:rsidRPr="00A14E24">
        <w:t>pirmiau</w:t>
      </w:r>
      <w:r w:rsidR="00557B5E" w:rsidRPr="00A14E24">
        <w:t>).</w:t>
      </w:r>
    </w:p>
    <w:p w14:paraId="67B405F7" w14:textId="77777777" w:rsidR="00557B5E" w:rsidRPr="00A14E24" w:rsidRDefault="00557B5E" w:rsidP="00EC2E49"/>
    <w:p w14:paraId="0F271E86" w14:textId="77777777" w:rsidR="00F75CA9" w:rsidRPr="00A14E24" w:rsidRDefault="00F75CA9" w:rsidP="00EC2E49">
      <w:pPr>
        <w:widowControl w:val="0"/>
        <w:rPr>
          <w:rFonts w:eastAsia="Times New Roman"/>
          <w:i/>
          <w:iCs/>
          <w:snapToGrid w:val="0"/>
        </w:rPr>
      </w:pPr>
      <w:r w:rsidRPr="00A14E24">
        <w:rPr>
          <w:rFonts w:eastAsia="Times New Roman"/>
          <w:i/>
          <w:iCs/>
          <w:snapToGrid w:val="0"/>
        </w:rPr>
        <w:t>CYP2C9 inhibitoriai</w:t>
      </w:r>
    </w:p>
    <w:p w14:paraId="6ACAA41D" w14:textId="77777777" w:rsidR="00F75CA9" w:rsidRPr="00A14E24" w:rsidRDefault="00F75CA9" w:rsidP="00EC2E49">
      <w:pPr>
        <w:widowControl w:val="0"/>
        <w:rPr>
          <w:rFonts w:eastAsia="TimesNewRoman"/>
        </w:rPr>
      </w:pPr>
      <w:r w:rsidRPr="00A14E24">
        <w:rPr>
          <w:rFonts w:eastAsia="Times New Roman"/>
          <w:snapToGrid w:val="0"/>
        </w:rPr>
        <w:t xml:space="preserve">Kartu vartojant </w:t>
      </w:r>
      <w:proofErr w:type="spellStart"/>
      <w:r w:rsidRPr="00A14E24">
        <w:rPr>
          <w:rFonts w:eastAsia="Times New Roman"/>
          <w:snapToGrid w:val="0"/>
        </w:rPr>
        <w:t>ibuprofeno</w:t>
      </w:r>
      <w:proofErr w:type="spellEnd"/>
      <w:r w:rsidRPr="00A14E24">
        <w:rPr>
          <w:rFonts w:eastAsia="Times New Roman"/>
          <w:snapToGrid w:val="0"/>
        </w:rPr>
        <w:t xml:space="preserve"> ir CYP2C9 inhibitorių, gali padidėti </w:t>
      </w:r>
      <w:proofErr w:type="spellStart"/>
      <w:r w:rsidRPr="00A14E24">
        <w:rPr>
          <w:rFonts w:eastAsia="Times New Roman"/>
          <w:snapToGrid w:val="0"/>
        </w:rPr>
        <w:t>ibuprofeno</w:t>
      </w:r>
      <w:proofErr w:type="spellEnd"/>
      <w:r w:rsidRPr="00A14E24">
        <w:rPr>
          <w:rFonts w:eastAsia="Times New Roman"/>
          <w:snapToGrid w:val="0"/>
        </w:rPr>
        <w:t xml:space="preserve"> (CYP2C9 substrato) ekspozicija. </w:t>
      </w:r>
      <w:proofErr w:type="spellStart"/>
      <w:r w:rsidRPr="00A14E24">
        <w:rPr>
          <w:rFonts w:eastAsia="Times New Roman"/>
          <w:snapToGrid w:val="0"/>
        </w:rPr>
        <w:t>Vorikonazolo</w:t>
      </w:r>
      <w:proofErr w:type="spellEnd"/>
      <w:r w:rsidRPr="00A14E24">
        <w:rPr>
          <w:rFonts w:eastAsia="Times New Roman"/>
          <w:snapToGrid w:val="0"/>
        </w:rPr>
        <w:t xml:space="preserve"> ir </w:t>
      </w:r>
      <w:proofErr w:type="spellStart"/>
      <w:r w:rsidRPr="00A14E24">
        <w:rPr>
          <w:rFonts w:eastAsia="Times New Roman"/>
          <w:snapToGrid w:val="0"/>
        </w:rPr>
        <w:t>flukonazolo</w:t>
      </w:r>
      <w:proofErr w:type="spellEnd"/>
      <w:r w:rsidRPr="00A14E24">
        <w:rPr>
          <w:rFonts w:eastAsia="Times New Roman"/>
          <w:snapToGrid w:val="0"/>
        </w:rPr>
        <w:t xml:space="preserve"> (CYP2C9 inhibitorių) tyrimo metu buvo nustatyta, kad S (+)-</w:t>
      </w:r>
      <w:proofErr w:type="spellStart"/>
      <w:r w:rsidRPr="00A14E24">
        <w:rPr>
          <w:rFonts w:eastAsia="Times New Roman"/>
          <w:snapToGrid w:val="0"/>
        </w:rPr>
        <w:t>ibuprofeno</w:t>
      </w:r>
      <w:proofErr w:type="spellEnd"/>
      <w:r w:rsidRPr="00A14E24">
        <w:rPr>
          <w:rFonts w:eastAsia="Times New Roman"/>
          <w:snapToGrid w:val="0"/>
        </w:rPr>
        <w:t xml:space="preserve"> ekspozicija padidėja maždaug 80–100 %. Kartu vartojant stiprių CYP2C9 inhibitorių, reikia apsvarstyti </w:t>
      </w:r>
      <w:proofErr w:type="spellStart"/>
      <w:r w:rsidRPr="00A14E24">
        <w:rPr>
          <w:rFonts w:eastAsia="Times New Roman"/>
          <w:snapToGrid w:val="0"/>
        </w:rPr>
        <w:t>ibuprofeno</w:t>
      </w:r>
      <w:proofErr w:type="spellEnd"/>
      <w:r w:rsidRPr="00A14E24">
        <w:rPr>
          <w:rFonts w:eastAsia="Times New Roman"/>
          <w:snapToGrid w:val="0"/>
        </w:rPr>
        <w:t xml:space="preserve"> dozės sumažinimą, ypač jei </w:t>
      </w:r>
      <w:proofErr w:type="spellStart"/>
      <w:r w:rsidRPr="00A14E24">
        <w:rPr>
          <w:rFonts w:eastAsia="Times New Roman"/>
          <w:snapToGrid w:val="0"/>
        </w:rPr>
        <w:t>ibuprofenas</w:t>
      </w:r>
      <w:proofErr w:type="spellEnd"/>
      <w:r w:rsidRPr="00A14E24">
        <w:rPr>
          <w:rFonts w:eastAsia="Times New Roman"/>
          <w:snapToGrid w:val="0"/>
        </w:rPr>
        <w:t xml:space="preserve"> didelėmis dozėmis vartojamas kartu su </w:t>
      </w:r>
      <w:proofErr w:type="spellStart"/>
      <w:r w:rsidRPr="00A14E24">
        <w:rPr>
          <w:rFonts w:eastAsia="Times New Roman"/>
          <w:snapToGrid w:val="0"/>
        </w:rPr>
        <w:t>vorikonazolu</w:t>
      </w:r>
      <w:proofErr w:type="spellEnd"/>
      <w:r w:rsidRPr="00A14E24">
        <w:rPr>
          <w:rFonts w:eastAsia="Times New Roman"/>
          <w:snapToGrid w:val="0"/>
        </w:rPr>
        <w:t xml:space="preserve"> arba </w:t>
      </w:r>
      <w:proofErr w:type="spellStart"/>
      <w:r w:rsidRPr="00A14E24">
        <w:rPr>
          <w:rFonts w:eastAsia="Times New Roman"/>
          <w:snapToGrid w:val="0"/>
        </w:rPr>
        <w:t>flukonazolu</w:t>
      </w:r>
      <w:proofErr w:type="spellEnd"/>
      <w:r w:rsidRPr="00A14E24">
        <w:rPr>
          <w:rFonts w:eastAsia="Times New Roman"/>
          <w:snapToGrid w:val="0"/>
        </w:rPr>
        <w:t>.</w:t>
      </w:r>
    </w:p>
    <w:p w14:paraId="4C9053B5" w14:textId="77777777" w:rsidR="00F75CA9" w:rsidRPr="00A14E24" w:rsidRDefault="00F75CA9" w:rsidP="00EC2E49"/>
    <w:p w14:paraId="6C90C892" w14:textId="75D06BF3" w:rsidR="00557B5E" w:rsidRPr="00A14E24" w:rsidRDefault="00557B5E" w:rsidP="00EC2E49">
      <w:r w:rsidRPr="00A14E24">
        <w:t>Sąveikos tyrimai atlikti tik suaugusiesiems.</w:t>
      </w:r>
    </w:p>
    <w:p w14:paraId="1316E3FD" w14:textId="77777777" w:rsidR="00F5791F" w:rsidRPr="00A14E24" w:rsidRDefault="00F5791F" w:rsidP="00EC2E49">
      <w:pPr>
        <w:rPr>
          <w:rFonts w:eastAsia="Times New Roman"/>
        </w:rPr>
      </w:pPr>
    </w:p>
    <w:p w14:paraId="36AA5147" w14:textId="77777777" w:rsidR="00DF2186" w:rsidRPr="00263672" w:rsidRDefault="00DF2186" w:rsidP="00EC2E49">
      <w:pPr>
        <w:keepNext/>
        <w:keepLines/>
        <w:tabs>
          <w:tab w:val="left" w:pos="567"/>
        </w:tabs>
        <w:ind w:left="567" w:hanging="567"/>
        <w:outlineLvl w:val="2"/>
        <w:rPr>
          <w:b/>
          <w:kern w:val="28"/>
        </w:rPr>
      </w:pPr>
      <w:r w:rsidRPr="00A14E24">
        <w:rPr>
          <w:b/>
          <w:kern w:val="28"/>
        </w:rPr>
        <w:t>4.6</w:t>
      </w:r>
      <w:r w:rsidRPr="00A14E24">
        <w:rPr>
          <w:b/>
          <w:kern w:val="28"/>
        </w:rPr>
        <w:tab/>
      </w:r>
      <w:r w:rsidRPr="00263672">
        <w:rPr>
          <w:b/>
          <w:kern w:val="28"/>
        </w:rPr>
        <w:t>Vaisingumas, nėštumo ir žindymo laikotarpis</w:t>
      </w:r>
      <w:bookmarkEnd w:id="20"/>
      <w:bookmarkEnd w:id="21"/>
    </w:p>
    <w:p w14:paraId="52DFDEAA" w14:textId="77777777" w:rsidR="00DB6CF6" w:rsidRPr="00A14E24" w:rsidRDefault="00DB6CF6" w:rsidP="00E04E3D">
      <w:pPr>
        <w:rPr>
          <w:rFonts w:eastAsia="Times New Roman"/>
          <w:highlight w:val="yellow"/>
        </w:rPr>
      </w:pPr>
      <w:bookmarkStart w:id="22" w:name="_Toc129243108"/>
      <w:bookmarkStart w:id="23" w:name="_Toc129243233"/>
    </w:p>
    <w:p w14:paraId="567B52B2" w14:textId="12D00F19" w:rsidR="00E04E3D" w:rsidRPr="00A14E24" w:rsidRDefault="00E04E3D" w:rsidP="00E04E3D">
      <w:pPr>
        <w:rPr>
          <w:rFonts w:eastAsia="Times New Roman"/>
          <w:u w:val="single"/>
        </w:rPr>
      </w:pPr>
      <w:r w:rsidRPr="00A14E24">
        <w:rPr>
          <w:rFonts w:eastAsia="Times New Roman"/>
          <w:u w:val="single"/>
        </w:rPr>
        <w:t>Nėštumas</w:t>
      </w:r>
    </w:p>
    <w:p w14:paraId="0F4DF7D4" w14:textId="0EAD6027" w:rsidR="00672C0B" w:rsidRPr="00A14E24" w:rsidRDefault="00E04E3D" w:rsidP="00E04E3D">
      <w:pPr>
        <w:rPr>
          <w:rFonts w:eastAsia="Times New Roman"/>
        </w:rPr>
      </w:pPr>
      <w:r w:rsidRPr="00A14E24">
        <w:rPr>
          <w:rFonts w:eastAsia="Times New Roman"/>
        </w:rPr>
        <w:t xml:space="preserve">Prostaglandinų sintezės slopinimas gali neigiamai veikti nėštumo eigą ir (arba) embriono arba vaisiaus vystymąsi. Epidemiologinių tyrimų duomenys rodo, kad prostaglandinų sintezės inhibitorių vartojant ankstyvuoju nėštumo laikotarpiu padidėja persileidimo, širdies </w:t>
      </w:r>
      <w:r w:rsidR="00803DA9">
        <w:rPr>
          <w:rFonts w:eastAsia="Times New Roman"/>
        </w:rPr>
        <w:t>įgimtų formavimosi ydų</w:t>
      </w:r>
      <w:r w:rsidRPr="00A14E24">
        <w:rPr>
          <w:rFonts w:eastAsia="Times New Roman"/>
        </w:rPr>
        <w:t xml:space="preserve"> ir </w:t>
      </w:r>
      <w:r w:rsidR="00803DA9">
        <w:rPr>
          <w:rFonts w:eastAsia="Times New Roman"/>
        </w:rPr>
        <w:t xml:space="preserve">įgimtos </w:t>
      </w:r>
      <w:proofErr w:type="spellStart"/>
      <w:r w:rsidR="00803DA9">
        <w:rPr>
          <w:rFonts w:eastAsia="Times New Roman"/>
        </w:rPr>
        <w:t>eventracijos</w:t>
      </w:r>
      <w:proofErr w:type="spellEnd"/>
      <w:r w:rsidR="00803DA9">
        <w:rPr>
          <w:rFonts w:eastAsia="Times New Roman"/>
        </w:rPr>
        <w:t xml:space="preserve"> (</w:t>
      </w:r>
      <w:proofErr w:type="spellStart"/>
      <w:r w:rsidR="00803DA9">
        <w:rPr>
          <w:rFonts w:eastAsia="Times New Roman"/>
        </w:rPr>
        <w:t>gastrošizės</w:t>
      </w:r>
      <w:proofErr w:type="spellEnd"/>
      <w:r w:rsidR="00803DA9">
        <w:rPr>
          <w:rFonts w:eastAsia="Times New Roman"/>
        </w:rPr>
        <w:t>)</w:t>
      </w:r>
      <w:r w:rsidRPr="00A14E24">
        <w:rPr>
          <w:rFonts w:eastAsia="Times New Roman"/>
        </w:rPr>
        <w:t xml:space="preserve"> rizika. Širdies ir kraujagyslių sistemos </w:t>
      </w:r>
      <w:r w:rsidR="00EB48B5" w:rsidRPr="00EB48B5">
        <w:rPr>
          <w:rFonts w:eastAsia="Times New Roman"/>
        </w:rPr>
        <w:t>įgimtų formavimosi ydų</w:t>
      </w:r>
      <w:r w:rsidR="00EB48B5" w:rsidRPr="00EB48B5" w:rsidDel="00EB48B5">
        <w:rPr>
          <w:rFonts w:eastAsia="Times New Roman"/>
        </w:rPr>
        <w:t xml:space="preserve"> </w:t>
      </w:r>
      <w:r w:rsidRPr="00A14E24">
        <w:rPr>
          <w:rFonts w:eastAsia="Times New Roman"/>
        </w:rPr>
        <w:t xml:space="preserve">absoliuti rizika padidėjo nuo mažiau kaip 1 % iki apytikriai 1,5 %. Manoma, kad rizika didėja priklausomai nuo dozės ir vartojimo trukmės. Gyvūnams skiriant prostaglandinų sintezės inhibitorių nustatyta, kad padažnėjo vaikingumo nutrūkimas prieš implantaciją ir po jos bei embriono ir vaisiaus žūties atvejai. Be to, prostaglandinų sintezės inhibitorių gyvūnams skiriant </w:t>
      </w:r>
      <w:proofErr w:type="spellStart"/>
      <w:r w:rsidRPr="00A14E24">
        <w:rPr>
          <w:rFonts w:eastAsia="Times New Roman"/>
        </w:rPr>
        <w:t>organogenezės</w:t>
      </w:r>
      <w:proofErr w:type="spellEnd"/>
      <w:r w:rsidRPr="00A14E24">
        <w:rPr>
          <w:rFonts w:eastAsia="Times New Roman"/>
        </w:rPr>
        <w:t xml:space="preserve"> laikotarpiu, padidėjo įvairių </w:t>
      </w:r>
      <w:r w:rsidR="002D429B" w:rsidRPr="002D429B">
        <w:rPr>
          <w:rFonts w:eastAsia="Times New Roman"/>
        </w:rPr>
        <w:t>įgimtų formavimosi ydų</w:t>
      </w:r>
      <w:r w:rsidRPr="00A14E24">
        <w:rPr>
          <w:rFonts w:eastAsia="Times New Roman"/>
        </w:rPr>
        <w:t>, įskaitant širdies ir kraujagyslių sistemos defektus, pasireiškimo rizika.</w:t>
      </w:r>
    </w:p>
    <w:p w14:paraId="71F6AB71" w14:textId="77777777" w:rsidR="00672C0B" w:rsidRPr="00A14E24" w:rsidRDefault="00672C0B" w:rsidP="00E04E3D">
      <w:pPr>
        <w:rPr>
          <w:rFonts w:eastAsia="Times New Roman"/>
        </w:rPr>
      </w:pPr>
    </w:p>
    <w:p w14:paraId="54206449" w14:textId="430A5B92" w:rsidR="00E04E3D" w:rsidRPr="00A14E24" w:rsidRDefault="00E04E3D" w:rsidP="00E04E3D">
      <w:pPr>
        <w:rPr>
          <w:rFonts w:eastAsia="Times New Roman"/>
        </w:rPr>
      </w:pPr>
      <w:r w:rsidRPr="00A14E24">
        <w:rPr>
          <w:rFonts w:eastAsia="Times New Roman"/>
        </w:rPr>
        <w:t xml:space="preserve">Nuo 20‑osios nėštumo savaitės </w:t>
      </w:r>
      <w:proofErr w:type="spellStart"/>
      <w:r w:rsidRPr="00A14E24">
        <w:rPr>
          <w:rFonts w:eastAsia="Times New Roman"/>
        </w:rPr>
        <w:t>ibuprofenas</w:t>
      </w:r>
      <w:proofErr w:type="spellEnd"/>
      <w:r w:rsidRPr="00A14E24">
        <w:rPr>
          <w:rFonts w:eastAsia="Times New Roman"/>
        </w:rPr>
        <w:t xml:space="preserve"> dėl vaisiaus inkstų disfunkcijos gali sukelti </w:t>
      </w:r>
      <w:proofErr w:type="spellStart"/>
      <w:r w:rsidRPr="00A14E24">
        <w:rPr>
          <w:rFonts w:eastAsia="Times New Roman"/>
        </w:rPr>
        <w:t>oligohidramanioną</w:t>
      </w:r>
      <w:proofErr w:type="spellEnd"/>
      <w:r w:rsidRPr="00A14E24">
        <w:rPr>
          <w:rFonts w:eastAsia="Times New Roman"/>
        </w:rPr>
        <w:t xml:space="preserve">. Toks poveikis gali pasireikšti netrukus po gydymo pradžios ir paprastai išnyksta nutraukus vartojimą. Be to, buvo pranešta apie arterinio latako susiaurėjimą po </w:t>
      </w:r>
      <w:proofErr w:type="spellStart"/>
      <w:r w:rsidRPr="00A14E24">
        <w:rPr>
          <w:rFonts w:eastAsia="Times New Roman"/>
        </w:rPr>
        <w:t>ibuprofeno</w:t>
      </w:r>
      <w:proofErr w:type="spellEnd"/>
      <w:r w:rsidRPr="00A14E24">
        <w:rPr>
          <w:rFonts w:eastAsia="Times New Roman"/>
        </w:rPr>
        <w:t xml:space="preserve"> pavartojimo antrojo nėštumo trimestro laikotarpiu, dažniausiai toks poveikis po gydymo nutraukimo išnyko. Todėl pirmuoju ir antruoju nėštumo trimestrais </w:t>
      </w:r>
      <w:proofErr w:type="spellStart"/>
      <w:r w:rsidRPr="00A14E24">
        <w:rPr>
          <w:rFonts w:eastAsia="Times New Roman"/>
        </w:rPr>
        <w:t>ibuprofen</w:t>
      </w:r>
      <w:r w:rsidR="002B4753">
        <w:rPr>
          <w:rFonts w:eastAsia="Times New Roman"/>
        </w:rPr>
        <w:t>o</w:t>
      </w:r>
      <w:proofErr w:type="spellEnd"/>
      <w:r w:rsidRPr="00A14E24">
        <w:rPr>
          <w:rFonts w:eastAsia="Times New Roman"/>
        </w:rPr>
        <w:t xml:space="preserve"> galima vartoti tik neabejotinai </w:t>
      </w:r>
      <w:r w:rsidRPr="00A14E24">
        <w:rPr>
          <w:rFonts w:eastAsia="Times New Roman"/>
        </w:rPr>
        <w:lastRenderedPageBreak/>
        <w:t xml:space="preserve">būtinu atveju. Jeigu </w:t>
      </w:r>
      <w:proofErr w:type="spellStart"/>
      <w:r w:rsidRPr="00A14E24">
        <w:rPr>
          <w:rFonts w:eastAsia="Times New Roman"/>
        </w:rPr>
        <w:t>ibuprofeno</w:t>
      </w:r>
      <w:proofErr w:type="spellEnd"/>
      <w:r w:rsidRPr="00A14E24">
        <w:rPr>
          <w:rFonts w:eastAsia="Times New Roman"/>
        </w:rPr>
        <w:t xml:space="preserve"> vartoja pastoti mėginanti moteris arba vaistinis preparatas vartojamas pirmuoju bei antruoju nėštumo trimestrais, dozė turi būti kiek įmanoma mažesnė, o gydymo trukmė – kiek įmanoma trumpesnė. Jei nuo 20‑osios nėštumo savaitės keletą dienų vartojama </w:t>
      </w:r>
      <w:proofErr w:type="spellStart"/>
      <w:r w:rsidRPr="00A14E24">
        <w:rPr>
          <w:rFonts w:eastAsia="Times New Roman"/>
        </w:rPr>
        <w:t>ibuprofeno</w:t>
      </w:r>
      <w:proofErr w:type="spellEnd"/>
      <w:r w:rsidRPr="00A14E24">
        <w:rPr>
          <w:rFonts w:eastAsia="Times New Roman"/>
        </w:rPr>
        <w:t xml:space="preserve">, reikia apsvarstyti </w:t>
      </w:r>
      <w:proofErr w:type="spellStart"/>
      <w:r w:rsidRPr="00A14E24">
        <w:rPr>
          <w:rFonts w:eastAsia="Times New Roman"/>
        </w:rPr>
        <w:t>antenatalinės</w:t>
      </w:r>
      <w:proofErr w:type="spellEnd"/>
      <w:r w:rsidRPr="00A14E24">
        <w:rPr>
          <w:rFonts w:eastAsia="Times New Roman"/>
        </w:rPr>
        <w:t xml:space="preserve"> stebėsenos dėl </w:t>
      </w:r>
      <w:proofErr w:type="spellStart"/>
      <w:r w:rsidRPr="00A14E24">
        <w:rPr>
          <w:rFonts w:eastAsia="Times New Roman"/>
        </w:rPr>
        <w:t>oligohidramniono</w:t>
      </w:r>
      <w:proofErr w:type="spellEnd"/>
      <w:r w:rsidRPr="00A14E24">
        <w:rPr>
          <w:rFonts w:eastAsia="Times New Roman"/>
        </w:rPr>
        <w:t xml:space="preserve"> bei arterinio latako susiaurėjimo reikalingumą. Nustačius </w:t>
      </w:r>
      <w:proofErr w:type="spellStart"/>
      <w:r w:rsidRPr="00A14E24">
        <w:rPr>
          <w:rFonts w:eastAsia="Times New Roman"/>
        </w:rPr>
        <w:t>oligohidramnioną</w:t>
      </w:r>
      <w:proofErr w:type="spellEnd"/>
      <w:r w:rsidRPr="00A14E24">
        <w:rPr>
          <w:rFonts w:eastAsia="Times New Roman"/>
        </w:rPr>
        <w:t xml:space="preserve"> ar arterinio latako susiaurėjimą, </w:t>
      </w:r>
      <w:proofErr w:type="spellStart"/>
      <w:r w:rsidRPr="00A14E24">
        <w:rPr>
          <w:rFonts w:eastAsia="Times New Roman"/>
        </w:rPr>
        <w:t>ibuprofeno</w:t>
      </w:r>
      <w:proofErr w:type="spellEnd"/>
      <w:r w:rsidRPr="00A14E24">
        <w:rPr>
          <w:rFonts w:eastAsia="Times New Roman"/>
        </w:rPr>
        <w:t xml:space="preserve"> vartojimą būtina nutraukti.</w:t>
      </w:r>
    </w:p>
    <w:p w14:paraId="79B41464" w14:textId="77777777" w:rsidR="00E04E3D" w:rsidRPr="00A14E24" w:rsidRDefault="00E04E3D" w:rsidP="00E04E3D">
      <w:pPr>
        <w:rPr>
          <w:rFonts w:eastAsia="Times New Roman"/>
        </w:rPr>
      </w:pPr>
    </w:p>
    <w:p w14:paraId="0C7F324C" w14:textId="77777777" w:rsidR="00E04E3D" w:rsidRPr="00A14E24" w:rsidRDefault="00E04E3D" w:rsidP="00E04E3D">
      <w:pPr>
        <w:rPr>
          <w:rFonts w:eastAsia="Times New Roman"/>
        </w:rPr>
      </w:pPr>
      <w:r w:rsidRPr="00A14E24">
        <w:rPr>
          <w:rFonts w:eastAsia="Times New Roman"/>
        </w:rPr>
        <w:t>Trečiojo nėštumo trimestro laikotarpiu vartojant visų prostaglandinų sintezės inhibitorių, vaisiui gali pasireikšti:</w:t>
      </w:r>
    </w:p>
    <w:p w14:paraId="06B94BBB" w14:textId="7F67BD96" w:rsidR="00E04E3D" w:rsidRPr="00A14E24" w:rsidRDefault="00E04E3D" w:rsidP="00672C0B">
      <w:pPr>
        <w:ind w:left="567" w:hanging="567"/>
        <w:rPr>
          <w:rFonts w:eastAsia="Times New Roman"/>
        </w:rPr>
      </w:pPr>
      <w:r w:rsidRPr="00A14E24">
        <w:rPr>
          <w:rFonts w:ascii="Cambria Math" w:eastAsia="Times New Roman" w:hAnsi="Cambria Math" w:cs="Cambria Math"/>
        </w:rPr>
        <w:t>⦁</w:t>
      </w:r>
      <w:r w:rsidRPr="00A14E24">
        <w:rPr>
          <w:rFonts w:eastAsia="Times New Roman"/>
        </w:rPr>
        <w:tab/>
        <w:t xml:space="preserve">toksinis poveikis širdžiai ir plaučiams (priešlaikinis vaisiaus arterinio latako susiaurėjimas/ užsidarymas ir </w:t>
      </w:r>
      <w:proofErr w:type="spellStart"/>
      <w:r w:rsidRPr="00A14E24">
        <w:rPr>
          <w:rFonts w:eastAsia="Times New Roman"/>
        </w:rPr>
        <w:t>plautinė</w:t>
      </w:r>
      <w:proofErr w:type="spellEnd"/>
      <w:r w:rsidRPr="00A14E24">
        <w:rPr>
          <w:rFonts w:eastAsia="Times New Roman"/>
        </w:rPr>
        <w:t xml:space="preserve"> hipertenzija);</w:t>
      </w:r>
    </w:p>
    <w:p w14:paraId="0D9AE84E" w14:textId="77777777" w:rsidR="00E04E3D" w:rsidRPr="00A14E24" w:rsidRDefault="00E04E3D" w:rsidP="00672C0B">
      <w:pPr>
        <w:ind w:left="567" w:hanging="567"/>
        <w:rPr>
          <w:rFonts w:eastAsia="Times New Roman"/>
        </w:rPr>
      </w:pPr>
      <w:r w:rsidRPr="00A14E24">
        <w:rPr>
          <w:rFonts w:ascii="Cambria Math" w:eastAsia="Times New Roman" w:hAnsi="Cambria Math" w:cs="Cambria Math"/>
        </w:rPr>
        <w:t>⦁</w:t>
      </w:r>
      <w:r w:rsidRPr="00A14E24">
        <w:rPr>
          <w:rFonts w:eastAsia="Times New Roman"/>
        </w:rPr>
        <w:tab/>
        <w:t>inkstų funkcijos sutrikimas (žr. anksčiau).</w:t>
      </w:r>
    </w:p>
    <w:p w14:paraId="16529E38" w14:textId="77777777" w:rsidR="00672C0B" w:rsidRPr="00A14E24" w:rsidRDefault="00672C0B" w:rsidP="00E04E3D">
      <w:pPr>
        <w:rPr>
          <w:rFonts w:eastAsia="Times New Roman"/>
        </w:rPr>
      </w:pPr>
    </w:p>
    <w:p w14:paraId="0ACEA1A0" w14:textId="535C4868" w:rsidR="00E04E3D" w:rsidRPr="00A14E24" w:rsidRDefault="00E04E3D" w:rsidP="00E04E3D">
      <w:pPr>
        <w:rPr>
          <w:rFonts w:eastAsia="Times New Roman"/>
        </w:rPr>
      </w:pPr>
      <w:r w:rsidRPr="00A14E24">
        <w:rPr>
          <w:rFonts w:eastAsia="Times New Roman"/>
        </w:rPr>
        <w:t>Nėštumo pabaigoje vartojant visų prostaglandinų sintezės inhibitorių, motinai ir naujagimiui gali pasireikšti:</w:t>
      </w:r>
    </w:p>
    <w:p w14:paraId="341B2DD3" w14:textId="77777777" w:rsidR="00E04E3D" w:rsidRPr="00A14E24" w:rsidRDefault="00E04E3D" w:rsidP="00672C0B">
      <w:pPr>
        <w:ind w:left="567" w:hanging="567"/>
        <w:rPr>
          <w:rFonts w:eastAsia="Times New Roman"/>
        </w:rPr>
      </w:pPr>
      <w:r w:rsidRPr="00A14E24">
        <w:rPr>
          <w:rFonts w:ascii="Cambria Math" w:eastAsia="Times New Roman" w:hAnsi="Cambria Math" w:cs="Cambria Math"/>
        </w:rPr>
        <w:t>⦁</w:t>
      </w:r>
      <w:r w:rsidRPr="00A14E24">
        <w:rPr>
          <w:rFonts w:eastAsia="Times New Roman"/>
        </w:rPr>
        <w:tab/>
        <w:t>galimas kraujavimo laiko pailgėjimas (trombocitų funkciją slopinantis poveikis gali pasireikšti net vartojant labai mažą dozę);</w:t>
      </w:r>
    </w:p>
    <w:p w14:paraId="11B9C20F" w14:textId="77777777" w:rsidR="00E04E3D" w:rsidRPr="00A14E24" w:rsidRDefault="00E04E3D" w:rsidP="00672C0B">
      <w:pPr>
        <w:ind w:left="567" w:hanging="567"/>
        <w:rPr>
          <w:rFonts w:eastAsia="Times New Roman"/>
        </w:rPr>
      </w:pPr>
      <w:r w:rsidRPr="00A14E24">
        <w:rPr>
          <w:rFonts w:ascii="Cambria Math" w:eastAsia="Times New Roman" w:hAnsi="Cambria Math" w:cs="Cambria Math"/>
        </w:rPr>
        <w:t>⦁</w:t>
      </w:r>
      <w:r w:rsidRPr="00A14E24">
        <w:rPr>
          <w:rFonts w:eastAsia="Times New Roman"/>
        </w:rPr>
        <w:tab/>
        <w:t>gimdos susitraukimų slopinimas, galintis pavėlinti arba pailginti gimdymą.</w:t>
      </w:r>
    </w:p>
    <w:p w14:paraId="1E567B17" w14:textId="77777777" w:rsidR="00E04E3D" w:rsidRPr="00A14E24" w:rsidRDefault="00E04E3D" w:rsidP="00672C0B">
      <w:pPr>
        <w:ind w:left="567" w:hanging="567"/>
        <w:rPr>
          <w:rFonts w:eastAsia="Times New Roman"/>
        </w:rPr>
      </w:pPr>
    </w:p>
    <w:p w14:paraId="76BCD953" w14:textId="63A2F600" w:rsidR="00E04E3D" w:rsidRPr="00A14E24" w:rsidRDefault="00E04E3D" w:rsidP="00E04E3D">
      <w:pPr>
        <w:rPr>
          <w:rFonts w:eastAsia="Times New Roman"/>
        </w:rPr>
      </w:pPr>
      <w:r w:rsidRPr="00A14E24">
        <w:rPr>
          <w:rFonts w:eastAsia="Times New Roman"/>
        </w:rPr>
        <w:t xml:space="preserve">Dėl šių priežasčių trečiojo nėštumo trimestro laikotarpiu </w:t>
      </w:r>
      <w:proofErr w:type="spellStart"/>
      <w:r w:rsidRPr="00A14E24">
        <w:rPr>
          <w:rFonts w:eastAsia="Times New Roman"/>
        </w:rPr>
        <w:t>ibuprofeno</w:t>
      </w:r>
      <w:proofErr w:type="spellEnd"/>
      <w:r w:rsidRPr="00A14E24">
        <w:rPr>
          <w:rFonts w:eastAsia="Times New Roman"/>
        </w:rPr>
        <w:t xml:space="preserve"> vartoti draudžiama (žr. 4.3</w:t>
      </w:r>
      <w:r w:rsidR="000E3E52" w:rsidRPr="00A14E24">
        <w:rPr>
          <w:rFonts w:eastAsia="Times New Roman"/>
        </w:rPr>
        <w:t xml:space="preserve"> ir 5.3</w:t>
      </w:r>
      <w:r w:rsidRPr="00A14E24">
        <w:rPr>
          <w:rFonts w:eastAsia="Times New Roman"/>
        </w:rPr>
        <w:t> skyri</w:t>
      </w:r>
      <w:r w:rsidR="000E3E52" w:rsidRPr="00A14E24">
        <w:rPr>
          <w:rFonts w:eastAsia="Times New Roman"/>
        </w:rPr>
        <w:t>us</w:t>
      </w:r>
      <w:r w:rsidRPr="00A14E24">
        <w:rPr>
          <w:rFonts w:eastAsia="Times New Roman"/>
        </w:rPr>
        <w:t>).</w:t>
      </w:r>
    </w:p>
    <w:p w14:paraId="45EA394B" w14:textId="77777777" w:rsidR="00E04E3D" w:rsidRPr="00A14E24" w:rsidRDefault="00E04E3D" w:rsidP="00E04E3D">
      <w:pPr>
        <w:rPr>
          <w:rFonts w:eastAsia="Times New Roman"/>
        </w:rPr>
      </w:pPr>
    </w:p>
    <w:p w14:paraId="45A4BAB4" w14:textId="77777777" w:rsidR="00E04E3D" w:rsidRPr="00A14E24" w:rsidRDefault="00E04E3D" w:rsidP="00E04E3D">
      <w:pPr>
        <w:rPr>
          <w:rFonts w:eastAsia="Times New Roman"/>
          <w:u w:val="single"/>
        </w:rPr>
      </w:pPr>
      <w:r w:rsidRPr="00A14E24">
        <w:rPr>
          <w:rFonts w:eastAsia="Times New Roman"/>
          <w:u w:val="single"/>
        </w:rPr>
        <w:t>Žindymas</w:t>
      </w:r>
    </w:p>
    <w:p w14:paraId="24D3D1DB" w14:textId="5B7E3384" w:rsidR="00415424" w:rsidRPr="00A14E24" w:rsidRDefault="00E04E3D" w:rsidP="00E04E3D">
      <w:pPr>
        <w:rPr>
          <w:rFonts w:eastAsia="Times New Roman"/>
        </w:rPr>
      </w:pPr>
      <w:proofErr w:type="spellStart"/>
      <w:r w:rsidRPr="00A14E24">
        <w:rPr>
          <w:rFonts w:eastAsia="Times New Roman"/>
        </w:rPr>
        <w:t>Ibuprofeno</w:t>
      </w:r>
      <w:proofErr w:type="spellEnd"/>
      <w:r w:rsidRPr="00A14E24">
        <w:rPr>
          <w:rFonts w:eastAsia="Times New Roman"/>
        </w:rPr>
        <w:t xml:space="preserve"> išsiskiria į </w:t>
      </w:r>
      <w:r w:rsidR="00C8088B">
        <w:rPr>
          <w:rFonts w:eastAsia="Times New Roman"/>
        </w:rPr>
        <w:t>gydytų moterų</w:t>
      </w:r>
      <w:r w:rsidR="00C8088B" w:rsidRPr="00A14E24">
        <w:rPr>
          <w:rFonts w:eastAsia="Times New Roman"/>
        </w:rPr>
        <w:t xml:space="preserve"> </w:t>
      </w:r>
      <w:r w:rsidRPr="00A14E24">
        <w:rPr>
          <w:rFonts w:eastAsia="Times New Roman"/>
        </w:rPr>
        <w:t>pieną, tačiau vartojant terapines dozes ir taikant trumpalaikį gydymą, poveikio kūdikiui rizika yra mažai tikėtina. Vis dėlto, jei skiriamas ilgesnis gydymas, reikia apsvarstyti ankstyvo žindymo nutraukimo galimybę.</w:t>
      </w:r>
    </w:p>
    <w:p w14:paraId="3DD584B2" w14:textId="77777777" w:rsidR="00DB6CF6" w:rsidRPr="00A14E24" w:rsidRDefault="00DB6CF6" w:rsidP="00E04E3D">
      <w:pPr>
        <w:rPr>
          <w:rFonts w:eastAsia="Times New Roman"/>
        </w:rPr>
      </w:pPr>
    </w:p>
    <w:p w14:paraId="2EA26202" w14:textId="77777777" w:rsidR="00517C33" w:rsidRPr="00A14E24" w:rsidRDefault="00517C33" w:rsidP="00EC2E49">
      <w:pPr>
        <w:keepNext/>
        <w:tabs>
          <w:tab w:val="left" w:pos="567"/>
        </w:tabs>
        <w:rPr>
          <w:rFonts w:eastAsia="Times New Roman"/>
          <w:u w:val="single"/>
        </w:rPr>
      </w:pPr>
      <w:r w:rsidRPr="00A14E24">
        <w:rPr>
          <w:rFonts w:eastAsia="Times New Roman"/>
          <w:u w:val="single"/>
        </w:rPr>
        <w:t>Vaisingumas</w:t>
      </w:r>
    </w:p>
    <w:p w14:paraId="172C992E" w14:textId="77777777" w:rsidR="00232C7D" w:rsidRPr="00A14E24" w:rsidRDefault="00232C7D" w:rsidP="00EC2E49">
      <w:pPr>
        <w:keepNext/>
        <w:tabs>
          <w:tab w:val="left" w:pos="567"/>
        </w:tabs>
        <w:rPr>
          <w:rFonts w:eastAsia="Times New Roman"/>
        </w:rPr>
      </w:pPr>
      <w:proofErr w:type="spellStart"/>
      <w:r w:rsidRPr="00A14E24">
        <w:rPr>
          <w:rFonts w:eastAsia="Times New Roman"/>
        </w:rPr>
        <w:t>Ibuprofeno</w:t>
      </w:r>
      <w:proofErr w:type="spellEnd"/>
      <w:r w:rsidRPr="00A14E24">
        <w:rPr>
          <w:rFonts w:eastAsia="Times New Roman"/>
        </w:rPr>
        <w:t xml:space="preserve"> vartojimas gali pabloginti vaisingumą, todėl jo nerekomenduojama vartoti moterims, kurios bando pastoti. Moterims, kurioms sunku pastoti arba kurios tiriamos dėl nevaisingumo, reikia apsvarstyti </w:t>
      </w:r>
      <w:proofErr w:type="spellStart"/>
      <w:r w:rsidRPr="00A14E24">
        <w:rPr>
          <w:rFonts w:eastAsia="Times New Roman"/>
        </w:rPr>
        <w:t>ibuprofeno</w:t>
      </w:r>
      <w:proofErr w:type="spellEnd"/>
      <w:r w:rsidRPr="00A14E24">
        <w:rPr>
          <w:rFonts w:eastAsia="Times New Roman"/>
        </w:rPr>
        <w:t xml:space="preserve"> vartojimo nutraukimą.</w:t>
      </w:r>
    </w:p>
    <w:p w14:paraId="77A3D067" w14:textId="77777777" w:rsidR="00517C33" w:rsidRPr="00A14E24" w:rsidRDefault="00517C33" w:rsidP="00EC2E49">
      <w:pPr>
        <w:keepNext/>
        <w:tabs>
          <w:tab w:val="left" w:pos="567"/>
        </w:tabs>
        <w:rPr>
          <w:rFonts w:eastAsia="Times New Roman"/>
        </w:rPr>
      </w:pPr>
    </w:p>
    <w:p w14:paraId="7BD4514D" w14:textId="77777777" w:rsidR="00DF2186" w:rsidRPr="00A14E24" w:rsidRDefault="00DF2186" w:rsidP="00EC2E49">
      <w:pPr>
        <w:keepNext/>
        <w:keepLines/>
        <w:tabs>
          <w:tab w:val="left" w:pos="567"/>
        </w:tabs>
        <w:ind w:left="567" w:hanging="567"/>
        <w:outlineLvl w:val="2"/>
        <w:rPr>
          <w:b/>
          <w:kern w:val="28"/>
        </w:rPr>
      </w:pPr>
      <w:r w:rsidRPr="00A14E24">
        <w:rPr>
          <w:b/>
          <w:kern w:val="28"/>
        </w:rPr>
        <w:t>4.7</w:t>
      </w:r>
      <w:r w:rsidRPr="00A14E24">
        <w:rPr>
          <w:b/>
          <w:kern w:val="28"/>
        </w:rPr>
        <w:tab/>
        <w:t>Poveikis gebėjimui vairuoti ir valdyti mechanizmus</w:t>
      </w:r>
      <w:bookmarkEnd w:id="22"/>
      <w:bookmarkEnd w:id="23"/>
    </w:p>
    <w:p w14:paraId="1B40020B" w14:textId="77777777" w:rsidR="00FE7ACC" w:rsidRPr="00A14E24" w:rsidRDefault="00FE7ACC" w:rsidP="00EC2E49">
      <w:pPr>
        <w:keepNext/>
        <w:rPr>
          <w:rFonts w:eastAsia="Times New Roman"/>
        </w:rPr>
      </w:pPr>
      <w:bookmarkStart w:id="24" w:name="_Toc129243109"/>
      <w:bookmarkStart w:id="25" w:name="_Toc129243234"/>
    </w:p>
    <w:p w14:paraId="019B1845" w14:textId="0A5EE3FC" w:rsidR="00FE7ACC" w:rsidRPr="00A14E24" w:rsidRDefault="00232C7D" w:rsidP="00EC2E49">
      <w:pPr>
        <w:tabs>
          <w:tab w:val="left" w:pos="567"/>
        </w:tabs>
        <w:rPr>
          <w:rFonts w:eastAsia="Times New Roman"/>
        </w:rPr>
      </w:pPr>
      <w:r w:rsidRPr="00A14E24">
        <w:rPr>
          <w:rFonts w:eastAsia="Times New Roman"/>
        </w:rPr>
        <w:t xml:space="preserve">Po gydymo </w:t>
      </w:r>
      <w:proofErr w:type="spellStart"/>
      <w:r w:rsidRPr="00A14E24">
        <w:rPr>
          <w:rFonts w:eastAsia="Times New Roman"/>
        </w:rPr>
        <w:t>ibuprofenu</w:t>
      </w:r>
      <w:proofErr w:type="spellEnd"/>
      <w:r w:rsidRPr="00A14E24">
        <w:rPr>
          <w:rFonts w:eastAsia="Times New Roman"/>
        </w:rPr>
        <w:t xml:space="preserve"> tam tikrų pacientų reakcijos laikas gali pailgėti. Į tai reikia atsižvelgti tais atvejais, kai reikia didesnio budrumo, pvz., vairuojant automobilį. </w:t>
      </w:r>
      <w:r w:rsidR="00F81292" w:rsidRPr="00A14E24">
        <w:rPr>
          <w:rFonts w:eastAsia="Times New Roman"/>
        </w:rPr>
        <w:t>Toks</w:t>
      </w:r>
      <w:r w:rsidR="00FE7ACC" w:rsidRPr="00A14E24">
        <w:rPr>
          <w:rFonts w:eastAsia="Times New Roman"/>
        </w:rPr>
        <w:t xml:space="preserve"> poveikis būna stipresnis, jei kartu vartojama alkoholio.</w:t>
      </w:r>
    </w:p>
    <w:p w14:paraId="0BD8A4E3" w14:textId="77777777" w:rsidR="00FE7ACC" w:rsidRPr="00A14E24" w:rsidRDefault="00FE7ACC" w:rsidP="00EC2E49">
      <w:pPr>
        <w:rPr>
          <w:rFonts w:eastAsia="Times New Roman"/>
        </w:rPr>
      </w:pPr>
    </w:p>
    <w:p w14:paraId="113A3D68" w14:textId="77777777" w:rsidR="00DF2186" w:rsidRPr="00A14E24" w:rsidRDefault="00DF2186" w:rsidP="00EC2E49">
      <w:pPr>
        <w:keepNext/>
        <w:keepLines/>
        <w:tabs>
          <w:tab w:val="left" w:pos="567"/>
        </w:tabs>
        <w:ind w:left="567" w:hanging="567"/>
        <w:outlineLvl w:val="2"/>
        <w:rPr>
          <w:b/>
          <w:kern w:val="28"/>
        </w:rPr>
      </w:pPr>
      <w:r w:rsidRPr="00A14E24">
        <w:rPr>
          <w:b/>
          <w:kern w:val="28"/>
        </w:rPr>
        <w:t>4.8</w:t>
      </w:r>
      <w:r w:rsidRPr="00A14E24">
        <w:rPr>
          <w:b/>
          <w:kern w:val="28"/>
        </w:rPr>
        <w:tab/>
        <w:t>Nepageidaujamas poveikis</w:t>
      </w:r>
      <w:bookmarkEnd w:id="24"/>
      <w:bookmarkEnd w:id="25"/>
    </w:p>
    <w:p w14:paraId="571A7857" w14:textId="77777777" w:rsidR="00D91890" w:rsidRPr="00A14E24" w:rsidRDefault="00D91890" w:rsidP="00EC2E49"/>
    <w:p w14:paraId="2D877A8C" w14:textId="085EA201" w:rsidR="00D91890" w:rsidRPr="00A14E24" w:rsidRDefault="00607E69" w:rsidP="00EC2E49">
      <w:pPr>
        <w:rPr>
          <w:u w:val="single"/>
        </w:rPr>
      </w:pPr>
      <w:r w:rsidRPr="00A14E24">
        <w:rPr>
          <w:rFonts w:eastAsia="Tahoma"/>
          <w:u w:val="single"/>
        </w:rPr>
        <w:t>Saugumo duomenų santrauka</w:t>
      </w:r>
    </w:p>
    <w:p w14:paraId="4418ACB2" w14:textId="3649DFF2" w:rsidR="00D91890" w:rsidRPr="00A14E24" w:rsidRDefault="00607E69" w:rsidP="00EC2E49">
      <w:r w:rsidRPr="00A14E24">
        <w:t xml:space="preserve">Vartojant </w:t>
      </w:r>
      <w:proofErr w:type="spellStart"/>
      <w:r w:rsidRPr="00A14E24">
        <w:t>ibuprofeno</w:t>
      </w:r>
      <w:proofErr w:type="spellEnd"/>
      <w:r w:rsidRPr="00A14E24">
        <w:t xml:space="preserve"> praneštų nepageidaujamų reiškinių pobūdis yra panašus į nustatytą kitiems NV</w:t>
      </w:r>
      <w:r w:rsidR="005B10EE">
        <w:t>P</w:t>
      </w:r>
      <w:r w:rsidRPr="00A14E24">
        <w:t>NU.</w:t>
      </w:r>
    </w:p>
    <w:p w14:paraId="663F2969" w14:textId="77777777" w:rsidR="00607E69" w:rsidRPr="00A14E24" w:rsidRDefault="00607E69" w:rsidP="00EC2E49"/>
    <w:p w14:paraId="01A5F266" w14:textId="099FF2A8" w:rsidR="00D91890" w:rsidRPr="00A14E24" w:rsidRDefault="00607E69" w:rsidP="00EC2E49">
      <w:pPr>
        <w:rPr>
          <w:i/>
          <w:iCs/>
        </w:rPr>
      </w:pPr>
      <w:r w:rsidRPr="00A14E24">
        <w:rPr>
          <w:i/>
          <w:iCs/>
        </w:rPr>
        <w:t>Virškinimo trakto sutrikimai</w:t>
      </w:r>
    </w:p>
    <w:p w14:paraId="0F64601C" w14:textId="6AE890C9" w:rsidR="00F00719" w:rsidRPr="00A14E24" w:rsidRDefault="00F00719" w:rsidP="00EC2E49">
      <w:r w:rsidRPr="00A14E24">
        <w:rPr>
          <w:lang w:eastAsia="en-GB"/>
        </w:rPr>
        <w:t xml:space="preserve">Dažniausiai pastebėti nepageidaujami reiškiniai buvo susiję su virškinimo traktu. </w:t>
      </w:r>
      <w:r w:rsidRPr="00A14E24">
        <w:rPr>
          <w:color w:val="000000"/>
          <w:lang w:eastAsia="en-GB"/>
        </w:rPr>
        <w:t xml:space="preserve">Gauta pranešimų apie po </w:t>
      </w:r>
      <w:proofErr w:type="spellStart"/>
      <w:r w:rsidRPr="00A14E24">
        <w:rPr>
          <w:color w:val="000000"/>
          <w:lang w:eastAsia="en-GB"/>
        </w:rPr>
        <w:t>ibuprofeno</w:t>
      </w:r>
      <w:proofErr w:type="spellEnd"/>
      <w:r w:rsidRPr="00A14E24">
        <w:rPr>
          <w:color w:val="000000"/>
          <w:lang w:eastAsia="en-GB"/>
        </w:rPr>
        <w:t xml:space="preserve"> pavartojimo pasireiškusį pykinimą, vėmimą, viduriavimą, dujų kaupimąsi žarnyne, vidurių užkietėjimą, dispepsiją, pilvo skausmą, </w:t>
      </w:r>
      <w:proofErr w:type="spellStart"/>
      <w:r w:rsidRPr="00A14E24">
        <w:rPr>
          <w:color w:val="000000"/>
          <w:lang w:eastAsia="en-GB"/>
        </w:rPr>
        <w:t>meleną</w:t>
      </w:r>
      <w:proofErr w:type="spellEnd"/>
      <w:r w:rsidRPr="00A14E24">
        <w:rPr>
          <w:color w:val="000000"/>
          <w:lang w:eastAsia="en-GB"/>
        </w:rPr>
        <w:t>, vėmimą krauju, opinį stomatitą, kraujavimą iš virškinimo trakto bei kolito ir Krono ligos paūmėjimą (žr</w:t>
      </w:r>
      <w:r w:rsidRPr="00367411">
        <w:rPr>
          <w:color w:val="000000"/>
          <w:lang w:eastAsia="en-GB"/>
        </w:rPr>
        <w:t>. 4.</w:t>
      </w:r>
      <w:r w:rsidR="00771E00" w:rsidRPr="00367411">
        <w:rPr>
          <w:color w:val="000000"/>
          <w:lang w:eastAsia="en-GB"/>
        </w:rPr>
        <w:t>4</w:t>
      </w:r>
      <w:r w:rsidRPr="00A14E24">
        <w:rPr>
          <w:color w:val="000000"/>
          <w:lang w:eastAsia="en-GB"/>
        </w:rPr>
        <w:t xml:space="preserve"> skyrių). Rečiau pasireiškė gastritas, dvylikapirštės žarnos opa, skrandžio opa ir virškinimo trakto </w:t>
      </w:r>
      <w:r w:rsidR="00B9666B">
        <w:rPr>
          <w:color w:val="000000"/>
          <w:lang w:eastAsia="en-GB"/>
        </w:rPr>
        <w:t>perforacija</w:t>
      </w:r>
      <w:r w:rsidRPr="00A14E24">
        <w:rPr>
          <w:color w:val="000000"/>
          <w:lang w:eastAsia="en-GB"/>
        </w:rPr>
        <w:t>.</w:t>
      </w:r>
    </w:p>
    <w:p w14:paraId="679BBFFD" w14:textId="77075F42" w:rsidR="00D91890" w:rsidRPr="00A14E24" w:rsidRDefault="00F00719" w:rsidP="00EC2E49">
      <w:r w:rsidRPr="00A14E24">
        <w:t xml:space="preserve">Gali pasireikšti virškinimo trakto opos, </w:t>
      </w:r>
      <w:r w:rsidR="00F945A7">
        <w:t>perforacija</w:t>
      </w:r>
      <w:r w:rsidRPr="00A14E24">
        <w:t xml:space="preserve"> arba kraujavimas, kurie gali būti mirtini, ypač senyviems pacientams (žr. 4.4 skyrių).</w:t>
      </w:r>
    </w:p>
    <w:p w14:paraId="515C8C22" w14:textId="77777777" w:rsidR="00F00719" w:rsidRPr="00A14E24" w:rsidRDefault="00F00719" w:rsidP="00EC2E49"/>
    <w:p w14:paraId="5D212D0B" w14:textId="63CC80DC" w:rsidR="00D91890" w:rsidRPr="00A14E24" w:rsidRDefault="00607E69" w:rsidP="00EC2E49">
      <w:pPr>
        <w:rPr>
          <w:i/>
          <w:iCs/>
        </w:rPr>
      </w:pPr>
      <w:r w:rsidRPr="00A14E24">
        <w:rPr>
          <w:i/>
          <w:iCs/>
        </w:rPr>
        <w:t>Odos ir poodinio audinio sutrikimai</w:t>
      </w:r>
    </w:p>
    <w:p w14:paraId="763B4EB3" w14:textId="17D4C3CE" w:rsidR="00056023" w:rsidRPr="00A14E24" w:rsidRDefault="00056023" w:rsidP="00EC2E49">
      <w:pPr>
        <w:tabs>
          <w:tab w:val="left" w:pos="0"/>
          <w:tab w:val="left" w:pos="567"/>
        </w:tabs>
        <w:rPr>
          <w:rFonts w:eastAsia="Times New Roman"/>
        </w:rPr>
      </w:pPr>
      <w:r w:rsidRPr="00A14E24">
        <w:t xml:space="preserve">Išimtiniais atvejais, sergant vėjaraupiais, gali atsirasti sunkių odos ir minkštųjų audinių infekcinių komplikacijų. Aprašyti su infekcija susijusio uždegimo paūmėjimo (pvz., </w:t>
      </w:r>
      <w:proofErr w:type="spellStart"/>
      <w:r w:rsidR="003924FB">
        <w:t>nekrozuojantis</w:t>
      </w:r>
      <w:proofErr w:type="spellEnd"/>
      <w:r w:rsidR="003924FB">
        <w:t xml:space="preserve"> </w:t>
      </w:r>
      <w:proofErr w:type="spellStart"/>
      <w:r w:rsidR="003924FB">
        <w:t>fascitas</w:t>
      </w:r>
      <w:proofErr w:type="spellEnd"/>
      <w:r w:rsidRPr="00A14E24">
        <w:t xml:space="preserve"> pasireiškimo) atvejai, sutampantys su NV</w:t>
      </w:r>
      <w:r w:rsidR="008C5778">
        <w:t>P</w:t>
      </w:r>
      <w:r w:rsidRPr="00A14E24">
        <w:t>NU vartojimu.</w:t>
      </w:r>
      <w:r w:rsidRPr="00A14E24">
        <w:rPr>
          <w:rFonts w:eastAsia="Times New Roman"/>
        </w:rPr>
        <w:t xml:space="preserve"> </w:t>
      </w:r>
    </w:p>
    <w:p w14:paraId="46D27870" w14:textId="77777777" w:rsidR="00D91890" w:rsidRPr="00A14E24" w:rsidRDefault="00D91890" w:rsidP="00EC2E49"/>
    <w:p w14:paraId="13634E63" w14:textId="6E5668A7" w:rsidR="00D91890" w:rsidRPr="00A14E24" w:rsidRDefault="00607E69" w:rsidP="00EC2E49">
      <w:pPr>
        <w:rPr>
          <w:i/>
          <w:iCs/>
        </w:rPr>
      </w:pPr>
      <w:r w:rsidRPr="00A14E24">
        <w:rPr>
          <w:i/>
          <w:iCs/>
        </w:rPr>
        <w:t>Širdies ir kraujagyslių sutrikimai</w:t>
      </w:r>
    </w:p>
    <w:p w14:paraId="5C79FFD9" w14:textId="77777777" w:rsidR="00056023" w:rsidRPr="00A14E24" w:rsidRDefault="00056023" w:rsidP="00EC2E49">
      <w:pPr>
        <w:tabs>
          <w:tab w:val="left" w:pos="1296"/>
        </w:tabs>
        <w:autoSpaceDE w:val="0"/>
        <w:snapToGrid w:val="0"/>
      </w:pPr>
      <w:r w:rsidRPr="00A14E24">
        <w:t xml:space="preserve">Klinikiniais tyrimais nustatyta, kad </w:t>
      </w:r>
      <w:proofErr w:type="spellStart"/>
      <w:r w:rsidRPr="00A14E24">
        <w:t>ibuprofeno</w:t>
      </w:r>
      <w:proofErr w:type="spellEnd"/>
      <w:r w:rsidRPr="00A14E24">
        <w:t xml:space="preserve"> vartojimas, ypač didelėmis dozėmis (2 400 mg per parą), gali būti susijęs su nedideliu arterijų trombozės reiškinių (pvz., miokardo infarkto arba insulto) rizikos padidėjimu (žr. 4.4 skyrių).</w:t>
      </w:r>
    </w:p>
    <w:p w14:paraId="2F9A9699" w14:textId="548AB3E2" w:rsidR="00056023" w:rsidRPr="00A14E24" w:rsidRDefault="00056023" w:rsidP="00EC2E49">
      <w:pPr>
        <w:tabs>
          <w:tab w:val="left" w:pos="1296"/>
        </w:tabs>
        <w:autoSpaceDE w:val="0"/>
        <w:autoSpaceDN w:val="0"/>
        <w:adjustRightInd w:val="0"/>
        <w:snapToGrid w:val="0"/>
        <w:rPr>
          <w:rFonts w:eastAsia="Times New Roman"/>
          <w:color w:val="000000"/>
          <w:lang w:eastAsia="en-GB"/>
        </w:rPr>
      </w:pPr>
      <w:r w:rsidRPr="00A14E24">
        <w:rPr>
          <w:rFonts w:eastAsia="Times New Roman"/>
          <w:color w:val="000000"/>
          <w:lang w:eastAsia="en-GB"/>
        </w:rPr>
        <w:t>Pranešta apie su NV</w:t>
      </w:r>
      <w:r w:rsidR="00CE713C">
        <w:rPr>
          <w:rFonts w:eastAsia="Times New Roman"/>
          <w:color w:val="000000"/>
          <w:lang w:eastAsia="en-GB"/>
        </w:rPr>
        <w:t>P</w:t>
      </w:r>
      <w:r w:rsidRPr="00A14E24">
        <w:rPr>
          <w:rFonts w:eastAsia="Times New Roman"/>
          <w:color w:val="000000"/>
          <w:lang w:eastAsia="en-GB"/>
        </w:rPr>
        <w:t>NU vartojimu susijusios edemos, hipertenzijos ir širdies nepakankamumo atvejus.</w:t>
      </w:r>
    </w:p>
    <w:p w14:paraId="381ADDF9" w14:textId="77777777" w:rsidR="00D91890" w:rsidRPr="00A14E24" w:rsidRDefault="00D91890" w:rsidP="00EC2E49"/>
    <w:p w14:paraId="79C258B1" w14:textId="23475568" w:rsidR="00D91890" w:rsidRPr="00A14E24" w:rsidRDefault="00BD2C3A" w:rsidP="00EC2E49">
      <w:pPr>
        <w:rPr>
          <w:i/>
          <w:iCs/>
        </w:rPr>
      </w:pPr>
      <w:r w:rsidRPr="00A14E24">
        <w:rPr>
          <w:i/>
          <w:iCs/>
        </w:rPr>
        <w:t>Kraujo ir limfinės sistemos sutrikimai</w:t>
      </w:r>
    </w:p>
    <w:p w14:paraId="3A1FF8AF" w14:textId="77777777" w:rsidR="00056023" w:rsidRPr="00A14E24" w:rsidRDefault="00056023" w:rsidP="00EC2E49">
      <w:proofErr w:type="spellStart"/>
      <w:r w:rsidRPr="00A14E24">
        <w:t>Ibuprofenas</w:t>
      </w:r>
      <w:proofErr w:type="spellEnd"/>
      <w:r w:rsidRPr="00A14E24">
        <w:t xml:space="preserve"> gali pailginti kraujavimo laiką dėl grįžtamojo trombocitų </w:t>
      </w:r>
      <w:proofErr w:type="spellStart"/>
      <w:r w:rsidRPr="00A14E24">
        <w:t>agregacijos</w:t>
      </w:r>
      <w:proofErr w:type="spellEnd"/>
      <w:r w:rsidRPr="00A14E24">
        <w:t xml:space="preserve"> slopinimo.</w:t>
      </w:r>
    </w:p>
    <w:p w14:paraId="14AF5870" w14:textId="77777777" w:rsidR="00D91890" w:rsidRPr="00A14E24" w:rsidRDefault="00D91890" w:rsidP="00EC2E49"/>
    <w:p w14:paraId="25E083FA" w14:textId="78F3C9DC" w:rsidR="00D91890" w:rsidRPr="00A14E24" w:rsidRDefault="00BD2C3A" w:rsidP="00EC2E49">
      <w:pPr>
        <w:rPr>
          <w:i/>
          <w:iCs/>
        </w:rPr>
      </w:pPr>
      <w:r w:rsidRPr="00A14E24">
        <w:rPr>
          <w:i/>
          <w:iCs/>
        </w:rPr>
        <w:t xml:space="preserve">Infekcijos ir </w:t>
      </w:r>
      <w:proofErr w:type="spellStart"/>
      <w:r w:rsidRPr="00A14E24">
        <w:rPr>
          <w:i/>
          <w:iCs/>
        </w:rPr>
        <w:t>infestacijos</w:t>
      </w:r>
      <w:proofErr w:type="spellEnd"/>
    </w:p>
    <w:p w14:paraId="067A7BBF" w14:textId="586886AF" w:rsidR="00056023" w:rsidRPr="00A14E24" w:rsidRDefault="00056023" w:rsidP="00EC2E49">
      <w:r w:rsidRPr="00A14E24">
        <w:t xml:space="preserve">Dažniausiai, kai buvo pranešta apie </w:t>
      </w:r>
      <w:r w:rsidR="00506F83">
        <w:t>nebakterinį (</w:t>
      </w:r>
      <w:proofErr w:type="spellStart"/>
      <w:r w:rsidR="00506F83">
        <w:t>aseptinį</w:t>
      </w:r>
      <w:proofErr w:type="spellEnd"/>
      <w:r w:rsidR="00506F83">
        <w:t>)</w:t>
      </w:r>
      <w:r w:rsidRPr="00A14E24">
        <w:t xml:space="preserve"> meningitą, buvo nustatyta kokia nors autoimuninė liga (ypač sisteminė raudonoji vilkligė ir susijusios jungiamojo audinio ligos).</w:t>
      </w:r>
    </w:p>
    <w:p w14:paraId="2A320AC8" w14:textId="77777777" w:rsidR="00D91890" w:rsidRPr="00A14E24" w:rsidRDefault="00D91890" w:rsidP="00EC2E49"/>
    <w:p w14:paraId="5CD46B34" w14:textId="7AFFF24D" w:rsidR="00D91890" w:rsidRPr="00A14E24" w:rsidRDefault="00F27444" w:rsidP="00EC2E49">
      <w:pPr>
        <w:rPr>
          <w:u w:val="single"/>
        </w:rPr>
      </w:pPr>
      <w:r w:rsidRPr="00A14E24">
        <w:rPr>
          <w:rFonts w:eastAsia="Tahoma"/>
          <w:u w:val="single"/>
        </w:rPr>
        <w:t>Nepageidaujamų reakcijų santrauka lentelėje</w:t>
      </w:r>
    </w:p>
    <w:p w14:paraId="57F7E593" w14:textId="2545D2DE" w:rsidR="00F27444" w:rsidRPr="00A14E24" w:rsidRDefault="00056023" w:rsidP="00EC2E49">
      <w:pPr>
        <w:suppressAutoHyphens/>
      </w:pPr>
      <w:r w:rsidRPr="00A14E24">
        <w:t xml:space="preserve">Nepageidaujami reiškiniai, bent jau galimai susiję su </w:t>
      </w:r>
      <w:proofErr w:type="spellStart"/>
      <w:r w:rsidRPr="00A14E24">
        <w:t>ibuprofeno</w:t>
      </w:r>
      <w:proofErr w:type="spellEnd"/>
      <w:r w:rsidRPr="00A14E24">
        <w:t xml:space="preserve"> vartojimu, yra pateikti naudojant </w:t>
      </w:r>
      <w:proofErr w:type="spellStart"/>
      <w:r w:rsidR="00D91890" w:rsidRPr="00A14E24">
        <w:t>MedDRA</w:t>
      </w:r>
      <w:proofErr w:type="spellEnd"/>
      <w:r w:rsidR="00D91890" w:rsidRPr="00A14E24">
        <w:t xml:space="preserve"> </w:t>
      </w:r>
      <w:r w:rsidRPr="00A14E24">
        <w:t>dažnio apibūdinimo ir organų sistemų klasių duomenų bazę.</w:t>
      </w:r>
      <w:r w:rsidR="00D91890" w:rsidRPr="00A14E24">
        <w:t xml:space="preserve"> </w:t>
      </w:r>
      <w:r w:rsidR="00090EA5" w:rsidRPr="00A14E24">
        <w:t>D</w:t>
      </w:r>
      <w:r w:rsidR="00F27444" w:rsidRPr="00A14E24">
        <w:t>ažnis apibūdinamas taip: labai dažnas (≥ 1/10), dažnas (nuo ≥ 1/100 iki &lt; 1/10), nedažnas (nuo ≥ 1/1 000 iki &lt; 1/100), retas (nuo ≥ 1/10 000 iki &lt; 1/1 000), labai retas (&lt; 1/10 000) ir nežinomas (negali būti apskaičiuotas pagal turimus duomenis).</w:t>
      </w:r>
    </w:p>
    <w:p w14:paraId="0E4B7D26" w14:textId="77777777" w:rsidR="00D91890" w:rsidRPr="00A14E24" w:rsidRDefault="00D91890" w:rsidP="00EC2E49"/>
    <w:tbl>
      <w:tblPr>
        <w:tblStyle w:val="Lentelstinklelis"/>
        <w:tblW w:w="9072" w:type="dxa"/>
        <w:jc w:val="center"/>
        <w:tblLayout w:type="fixed"/>
        <w:tblCellMar>
          <w:top w:w="57" w:type="dxa"/>
          <w:left w:w="57" w:type="dxa"/>
          <w:bottom w:w="57" w:type="dxa"/>
          <w:right w:w="57" w:type="dxa"/>
        </w:tblCellMar>
        <w:tblLook w:val="01E0" w:firstRow="1" w:lastRow="1" w:firstColumn="1" w:lastColumn="1" w:noHBand="0" w:noVBand="0"/>
      </w:tblPr>
      <w:tblGrid>
        <w:gridCol w:w="3354"/>
        <w:gridCol w:w="2265"/>
        <w:gridCol w:w="3453"/>
      </w:tblGrid>
      <w:tr w:rsidR="00D91890" w:rsidRPr="00A14E24" w14:paraId="772790F5" w14:textId="77777777" w:rsidTr="000642F8">
        <w:trPr>
          <w:tblHeader/>
          <w:jc w:val="center"/>
        </w:trPr>
        <w:tc>
          <w:tcPr>
            <w:tcW w:w="3354" w:type="dxa"/>
          </w:tcPr>
          <w:p w14:paraId="010CE0F1" w14:textId="2C807316" w:rsidR="00D91890" w:rsidRPr="00A14E24" w:rsidRDefault="00607E69" w:rsidP="00EC2E49">
            <w:pPr>
              <w:spacing w:before="60" w:after="60"/>
              <w:jc w:val="left"/>
              <w:rPr>
                <w:rFonts w:cs="Times New Roman"/>
                <w:b/>
                <w:lang w:val="lt-LT"/>
              </w:rPr>
            </w:pPr>
            <w:r w:rsidRPr="00A14E24">
              <w:rPr>
                <w:rFonts w:cs="Times New Roman"/>
                <w:b/>
                <w:lang w:val="lt-LT"/>
              </w:rPr>
              <w:t>Organų sistemų kla</w:t>
            </w:r>
            <w:r w:rsidR="00BD2C3A" w:rsidRPr="00A14E24">
              <w:rPr>
                <w:rFonts w:cs="Times New Roman"/>
                <w:b/>
                <w:lang w:val="lt-LT"/>
              </w:rPr>
              <w:t>s</w:t>
            </w:r>
            <w:r w:rsidRPr="00A14E24">
              <w:rPr>
                <w:rFonts w:cs="Times New Roman"/>
                <w:b/>
                <w:lang w:val="lt-LT"/>
              </w:rPr>
              <w:t>ė</w:t>
            </w:r>
          </w:p>
        </w:tc>
        <w:tc>
          <w:tcPr>
            <w:tcW w:w="2265" w:type="dxa"/>
          </w:tcPr>
          <w:p w14:paraId="661E31A0" w14:textId="38A54D9E" w:rsidR="00D91890" w:rsidRPr="00A14E24" w:rsidRDefault="00607E69" w:rsidP="00EC2E49">
            <w:pPr>
              <w:spacing w:before="60" w:after="60"/>
              <w:jc w:val="left"/>
              <w:rPr>
                <w:rFonts w:cs="Times New Roman"/>
                <w:b/>
                <w:lang w:val="lt-LT"/>
              </w:rPr>
            </w:pPr>
            <w:r w:rsidRPr="00A14E24">
              <w:rPr>
                <w:rFonts w:cs="Times New Roman"/>
                <w:b/>
                <w:lang w:val="lt-LT"/>
              </w:rPr>
              <w:t>Dažnis</w:t>
            </w:r>
          </w:p>
        </w:tc>
        <w:tc>
          <w:tcPr>
            <w:tcW w:w="3453" w:type="dxa"/>
          </w:tcPr>
          <w:p w14:paraId="2F62AA2F" w14:textId="53DA901D" w:rsidR="00D91890" w:rsidRPr="00A14E24" w:rsidRDefault="00607E69" w:rsidP="00EC2E49">
            <w:pPr>
              <w:spacing w:before="60" w:after="60"/>
              <w:jc w:val="left"/>
              <w:rPr>
                <w:rFonts w:cs="Times New Roman"/>
                <w:b/>
                <w:lang w:val="lt-LT"/>
              </w:rPr>
            </w:pPr>
            <w:r w:rsidRPr="00A14E24">
              <w:rPr>
                <w:rFonts w:cs="Times New Roman"/>
                <w:b/>
                <w:lang w:val="lt-LT"/>
              </w:rPr>
              <w:t>Nepageidaujama reakcija</w:t>
            </w:r>
          </w:p>
        </w:tc>
      </w:tr>
      <w:tr w:rsidR="00D91890" w:rsidRPr="00A14E24" w14:paraId="764BA482" w14:textId="77777777" w:rsidTr="00DD42F4">
        <w:trPr>
          <w:jc w:val="center"/>
        </w:trPr>
        <w:tc>
          <w:tcPr>
            <w:tcW w:w="3354" w:type="dxa"/>
            <w:vMerge w:val="restart"/>
          </w:tcPr>
          <w:p w14:paraId="43F0F692" w14:textId="5A37DF5A" w:rsidR="00D91890" w:rsidRPr="00A14E24" w:rsidRDefault="00BD2C3A" w:rsidP="00EC2E49">
            <w:pPr>
              <w:spacing w:before="60" w:after="60"/>
              <w:jc w:val="left"/>
              <w:rPr>
                <w:rFonts w:cs="Times New Roman"/>
                <w:b/>
                <w:bCs/>
                <w:i/>
                <w:iCs/>
                <w:lang w:val="lt-LT"/>
              </w:rPr>
            </w:pPr>
            <w:r w:rsidRPr="00A14E24">
              <w:rPr>
                <w:rFonts w:cs="Times New Roman"/>
                <w:b/>
                <w:bCs/>
                <w:i/>
                <w:iCs/>
                <w:lang w:val="lt-LT"/>
              </w:rPr>
              <w:t xml:space="preserve">Infekcijos ir </w:t>
            </w:r>
            <w:proofErr w:type="spellStart"/>
            <w:r w:rsidRPr="00A14E24">
              <w:rPr>
                <w:rFonts w:cs="Times New Roman"/>
                <w:b/>
                <w:bCs/>
                <w:i/>
                <w:iCs/>
                <w:lang w:val="lt-LT"/>
              </w:rPr>
              <w:t>infestacijos</w:t>
            </w:r>
            <w:proofErr w:type="spellEnd"/>
          </w:p>
        </w:tc>
        <w:tc>
          <w:tcPr>
            <w:tcW w:w="2265" w:type="dxa"/>
          </w:tcPr>
          <w:p w14:paraId="0E302AB7" w14:textId="35653D4A"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68E362A1" w14:textId="6E4DBC6B" w:rsidR="00D91890" w:rsidRPr="00A14E24" w:rsidRDefault="00090EA5" w:rsidP="00EC2E49">
            <w:pPr>
              <w:spacing w:before="60" w:after="60"/>
              <w:jc w:val="left"/>
              <w:rPr>
                <w:rFonts w:cs="Times New Roman"/>
                <w:lang w:val="lt-LT"/>
              </w:rPr>
            </w:pPr>
            <w:r w:rsidRPr="00A14E24">
              <w:rPr>
                <w:rFonts w:cs="Times New Roman"/>
                <w:lang w:val="lt-LT"/>
              </w:rPr>
              <w:t>Rinitas</w:t>
            </w:r>
            <w:r w:rsidR="00D91890" w:rsidRPr="00A14E24">
              <w:rPr>
                <w:rFonts w:cs="Times New Roman"/>
                <w:lang w:val="lt-LT"/>
              </w:rPr>
              <w:t>.</w:t>
            </w:r>
          </w:p>
        </w:tc>
      </w:tr>
      <w:tr w:rsidR="00D91890" w:rsidRPr="00A14E24" w14:paraId="2578BEC3" w14:textId="77777777" w:rsidTr="00DD42F4">
        <w:trPr>
          <w:jc w:val="center"/>
        </w:trPr>
        <w:tc>
          <w:tcPr>
            <w:tcW w:w="3354" w:type="dxa"/>
            <w:vMerge/>
          </w:tcPr>
          <w:p w14:paraId="4EF31041" w14:textId="77777777" w:rsidR="00D91890" w:rsidRPr="00A14E24" w:rsidRDefault="00D91890" w:rsidP="00EC2E49">
            <w:pPr>
              <w:spacing w:before="60" w:after="60"/>
              <w:jc w:val="left"/>
              <w:rPr>
                <w:rFonts w:cs="Times New Roman"/>
                <w:b/>
                <w:bCs/>
                <w:i/>
                <w:iCs/>
                <w:lang w:val="lt-LT"/>
              </w:rPr>
            </w:pPr>
          </w:p>
        </w:tc>
        <w:tc>
          <w:tcPr>
            <w:tcW w:w="2265" w:type="dxa"/>
          </w:tcPr>
          <w:p w14:paraId="5DC35F5C" w14:textId="3C4001EA" w:rsidR="00D91890" w:rsidRPr="00A14E24" w:rsidRDefault="00F31279" w:rsidP="00EC2E49">
            <w:pPr>
              <w:spacing w:before="60" w:after="60"/>
              <w:jc w:val="left"/>
              <w:rPr>
                <w:rFonts w:cs="Times New Roman"/>
                <w:lang w:val="lt-LT"/>
              </w:rPr>
            </w:pPr>
            <w:r w:rsidRPr="00A14E24">
              <w:rPr>
                <w:rFonts w:cs="Times New Roman"/>
                <w:lang w:val="lt-LT"/>
              </w:rPr>
              <w:t>Retas</w:t>
            </w:r>
          </w:p>
        </w:tc>
        <w:tc>
          <w:tcPr>
            <w:tcW w:w="3453" w:type="dxa"/>
          </w:tcPr>
          <w:p w14:paraId="2B2E2CC8" w14:textId="3D03C10A" w:rsidR="00D91890" w:rsidRPr="00A14E24" w:rsidRDefault="0073118E" w:rsidP="00EC2E49">
            <w:pPr>
              <w:spacing w:before="60" w:after="60"/>
              <w:jc w:val="left"/>
              <w:rPr>
                <w:rFonts w:cs="Times New Roman"/>
                <w:lang w:val="lt-LT"/>
              </w:rPr>
            </w:pPr>
            <w:r>
              <w:rPr>
                <w:rFonts w:cs="Times New Roman"/>
                <w:lang w:val="lt-LT"/>
              </w:rPr>
              <w:t>Nebakterinis (</w:t>
            </w:r>
            <w:proofErr w:type="spellStart"/>
            <w:r>
              <w:rPr>
                <w:rFonts w:cs="Times New Roman"/>
                <w:lang w:val="lt-LT"/>
              </w:rPr>
              <w:t>aseptinis</w:t>
            </w:r>
            <w:proofErr w:type="spellEnd"/>
            <w:r>
              <w:rPr>
                <w:rFonts w:cs="Times New Roman"/>
                <w:lang w:val="lt-LT"/>
              </w:rPr>
              <w:t>)</w:t>
            </w:r>
            <w:r w:rsidR="00090EA5" w:rsidRPr="00A14E24">
              <w:rPr>
                <w:rFonts w:cs="Times New Roman"/>
                <w:lang w:val="lt-LT"/>
              </w:rPr>
              <w:t xml:space="preserve"> meningitas</w:t>
            </w:r>
            <w:r w:rsidR="00D91890" w:rsidRPr="00A14E24">
              <w:rPr>
                <w:rFonts w:cs="Times New Roman"/>
                <w:lang w:val="lt-LT"/>
              </w:rPr>
              <w:t xml:space="preserve"> (</w:t>
            </w:r>
            <w:r w:rsidR="00D43B41" w:rsidRPr="00A14E24">
              <w:rPr>
                <w:rFonts w:cs="Times New Roman"/>
                <w:lang w:val="lt-LT"/>
              </w:rPr>
              <w:t>žr. 4.4 skyrių</w:t>
            </w:r>
            <w:r w:rsidR="00D91890" w:rsidRPr="00A14E24">
              <w:rPr>
                <w:rFonts w:cs="Times New Roman"/>
                <w:lang w:val="lt-LT"/>
              </w:rPr>
              <w:t>).</w:t>
            </w:r>
          </w:p>
        </w:tc>
      </w:tr>
      <w:tr w:rsidR="00D91890" w:rsidRPr="00A14E24" w14:paraId="5A7951E4" w14:textId="77777777" w:rsidTr="00DD42F4">
        <w:trPr>
          <w:jc w:val="center"/>
        </w:trPr>
        <w:tc>
          <w:tcPr>
            <w:tcW w:w="3354" w:type="dxa"/>
          </w:tcPr>
          <w:p w14:paraId="243B0AF8" w14:textId="14F32888" w:rsidR="00D91890" w:rsidRPr="00A14E24" w:rsidRDefault="00BD2C3A" w:rsidP="00EC2E49">
            <w:pPr>
              <w:spacing w:before="60" w:after="60"/>
              <w:ind w:right="671"/>
              <w:jc w:val="left"/>
              <w:rPr>
                <w:rFonts w:cs="Times New Roman"/>
                <w:b/>
                <w:bCs/>
                <w:i/>
                <w:iCs/>
                <w:lang w:val="lt-LT"/>
              </w:rPr>
            </w:pPr>
            <w:r w:rsidRPr="00A14E24">
              <w:rPr>
                <w:rFonts w:cs="Times New Roman"/>
                <w:b/>
                <w:bCs/>
                <w:i/>
                <w:iCs/>
                <w:lang w:val="lt-LT"/>
              </w:rPr>
              <w:t>Kraujo ir limfinės sistemos sutrikimai</w:t>
            </w:r>
          </w:p>
        </w:tc>
        <w:tc>
          <w:tcPr>
            <w:tcW w:w="2265" w:type="dxa"/>
          </w:tcPr>
          <w:p w14:paraId="0820948E" w14:textId="2E9BD8E6"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64EFB17F" w14:textId="20E4A6F3" w:rsidR="00D91890" w:rsidRPr="00A14E24" w:rsidRDefault="00D43B41" w:rsidP="00EC2E49">
            <w:pPr>
              <w:spacing w:before="60" w:after="60"/>
              <w:ind w:right="330"/>
              <w:jc w:val="left"/>
              <w:rPr>
                <w:lang w:val="lt-LT"/>
              </w:rPr>
            </w:pPr>
            <w:proofErr w:type="spellStart"/>
            <w:r w:rsidRPr="00A14E24">
              <w:rPr>
                <w:lang w:val="lt-LT"/>
              </w:rPr>
              <w:t>Leukopenija</w:t>
            </w:r>
            <w:proofErr w:type="spellEnd"/>
            <w:r w:rsidRPr="00A14E24">
              <w:rPr>
                <w:lang w:val="lt-LT"/>
              </w:rPr>
              <w:t xml:space="preserve">, </w:t>
            </w:r>
            <w:proofErr w:type="spellStart"/>
            <w:r w:rsidRPr="00A14E24">
              <w:rPr>
                <w:lang w:val="lt-LT"/>
              </w:rPr>
              <w:t>trombocitopenija</w:t>
            </w:r>
            <w:proofErr w:type="spellEnd"/>
            <w:r w:rsidRPr="00A14E24">
              <w:rPr>
                <w:lang w:val="lt-LT"/>
              </w:rPr>
              <w:t xml:space="preserve">, </w:t>
            </w:r>
            <w:proofErr w:type="spellStart"/>
            <w:r w:rsidRPr="00A14E24">
              <w:rPr>
                <w:lang w:val="lt-LT"/>
              </w:rPr>
              <w:t>agranulocitozė</w:t>
            </w:r>
            <w:proofErr w:type="spellEnd"/>
            <w:r w:rsidRPr="00A14E24">
              <w:rPr>
                <w:lang w:val="lt-LT"/>
              </w:rPr>
              <w:t xml:space="preserve">, </w:t>
            </w:r>
            <w:proofErr w:type="spellStart"/>
            <w:r w:rsidRPr="00A14E24">
              <w:rPr>
                <w:lang w:val="lt-LT"/>
              </w:rPr>
              <w:t>aplazinė</w:t>
            </w:r>
            <w:proofErr w:type="spellEnd"/>
            <w:r w:rsidRPr="00A14E24">
              <w:rPr>
                <w:lang w:val="lt-LT"/>
              </w:rPr>
              <w:t xml:space="preserve"> anemija ir hemolizinė anemija.</w:t>
            </w:r>
          </w:p>
        </w:tc>
      </w:tr>
      <w:tr w:rsidR="00D91890" w:rsidRPr="00A14E24" w14:paraId="1C3528A0" w14:textId="77777777" w:rsidTr="00DD42F4">
        <w:trPr>
          <w:jc w:val="center"/>
        </w:trPr>
        <w:tc>
          <w:tcPr>
            <w:tcW w:w="3354" w:type="dxa"/>
            <w:vMerge w:val="restart"/>
          </w:tcPr>
          <w:p w14:paraId="7B478239" w14:textId="1FB0DAAC" w:rsidR="00D91890" w:rsidRPr="00A14E24" w:rsidRDefault="00D91890" w:rsidP="00EC2E49">
            <w:pPr>
              <w:spacing w:before="60" w:after="60"/>
              <w:jc w:val="left"/>
              <w:rPr>
                <w:rFonts w:cs="Times New Roman"/>
                <w:b/>
                <w:bCs/>
                <w:i/>
                <w:iCs/>
                <w:lang w:val="lt-LT"/>
              </w:rPr>
            </w:pPr>
            <w:r w:rsidRPr="00A14E24">
              <w:rPr>
                <w:rFonts w:cs="Times New Roman"/>
                <w:b/>
                <w:bCs/>
                <w:i/>
                <w:iCs/>
                <w:lang w:val="lt-LT"/>
              </w:rPr>
              <w:t>Im</w:t>
            </w:r>
            <w:r w:rsidR="00D43B41" w:rsidRPr="00A14E24">
              <w:rPr>
                <w:rFonts w:cs="Times New Roman"/>
                <w:b/>
                <w:bCs/>
                <w:i/>
                <w:iCs/>
                <w:lang w:val="lt-LT"/>
              </w:rPr>
              <w:t>uninės sistemos sutrikimai</w:t>
            </w:r>
          </w:p>
        </w:tc>
        <w:tc>
          <w:tcPr>
            <w:tcW w:w="2265" w:type="dxa"/>
          </w:tcPr>
          <w:p w14:paraId="015BC237" w14:textId="4B7B2F2A"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3836750C" w14:textId="27C27CD8" w:rsidR="00D91890" w:rsidRPr="00A14E24" w:rsidRDefault="00D43B41" w:rsidP="00EC2E49">
            <w:pPr>
              <w:spacing w:before="60" w:after="60"/>
              <w:jc w:val="left"/>
              <w:rPr>
                <w:rFonts w:cs="Times New Roman"/>
                <w:lang w:val="lt-LT"/>
              </w:rPr>
            </w:pPr>
            <w:r w:rsidRPr="00A14E24">
              <w:rPr>
                <w:rFonts w:cs="Times New Roman"/>
                <w:lang w:val="lt-LT"/>
              </w:rPr>
              <w:t>Padidėjęs jautrumas</w:t>
            </w:r>
            <w:r w:rsidR="00D91890" w:rsidRPr="00A14E24">
              <w:rPr>
                <w:rFonts w:cs="Times New Roman"/>
                <w:lang w:val="lt-LT"/>
              </w:rPr>
              <w:t>.</w:t>
            </w:r>
          </w:p>
        </w:tc>
      </w:tr>
      <w:tr w:rsidR="00D91890" w:rsidRPr="00A14E24" w14:paraId="48EABF5E" w14:textId="77777777" w:rsidTr="00DD42F4">
        <w:trPr>
          <w:jc w:val="center"/>
        </w:trPr>
        <w:tc>
          <w:tcPr>
            <w:tcW w:w="3354" w:type="dxa"/>
            <w:vMerge/>
          </w:tcPr>
          <w:p w14:paraId="3E644A35" w14:textId="77777777" w:rsidR="00D91890" w:rsidRPr="00A14E24" w:rsidRDefault="00D91890" w:rsidP="00EC2E49">
            <w:pPr>
              <w:spacing w:before="60" w:after="60"/>
              <w:jc w:val="left"/>
              <w:rPr>
                <w:rFonts w:cs="Times New Roman"/>
                <w:b/>
                <w:bCs/>
                <w:i/>
                <w:iCs/>
                <w:lang w:val="lt-LT"/>
              </w:rPr>
            </w:pPr>
          </w:p>
        </w:tc>
        <w:tc>
          <w:tcPr>
            <w:tcW w:w="2265" w:type="dxa"/>
          </w:tcPr>
          <w:p w14:paraId="287FA30E" w14:textId="64DF320E" w:rsidR="00D91890" w:rsidRPr="00A14E24" w:rsidRDefault="00F31279" w:rsidP="00EC2E49">
            <w:pPr>
              <w:spacing w:before="60" w:after="60"/>
              <w:jc w:val="left"/>
              <w:rPr>
                <w:rFonts w:cs="Times New Roman"/>
                <w:lang w:val="lt-LT"/>
              </w:rPr>
            </w:pPr>
            <w:r w:rsidRPr="00A14E24">
              <w:rPr>
                <w:rFonts w:cs="Times New Roman"/>
                <w:lang w:val="lt-LT"/>
              </w:rPr>
              <w:t>Retas</w:t>
            </w:r>
          </w:p>
        </w:tc>
        <w:tc>
          <w:tcPr>
            <w:tcW w:w="3453" w:type="dxa"/>
          </w:tcPr>
          <w:p w14:paraId="439F14B8" w14:textId="23991597" w:rsidR="00D91890" w:rsidRPr="00A14E24" w:rsidRDefault="00D43B41" w:rsidP="00EC2E49">
            <w:pPr>
              <w:spacing w:before="60" w:after="60"/>
              <w:jc w:val="left"/>
              <w:rPr>
                <w:rFonts w:cs="Times New Roman"/>
                <w:lang w:val="lt-LT"/>
              </w:rPr>
            </w:pPr>
            <w:r w:rsidRPr="00A14E24">
              <w:rPr>
                <w:rFonts w:cs="Times New Roman"/>
                <w:lang w:val="lt-LT"/>
              </w:rPr>
              <w:t>Anafilaksinė reakcija</w:t>
            </w:r>
            <w:r w:rsidR="00D91890" w:rsidRPr="00A14E24">
              <w:rPr>
                <w:rFonts w:cs="Times New Roman"/>
                <w:lang w:val="lt-LT"/>
              </w:rPr>
              <w:t>.</w:t>
            </w:r>
          </w:p>
        </w:tc>
      </w:tr>
      <w:tr w:rsidR="00D91890" w:rsidRPr="00A14E24" w14:paraId="7D8CBAC2" w14:textId="77777777" w:rsidTr="00DD42F4">
        <w:trPr>
          <w:jc w:val="center"/>
        </w:trPr>
        <w:tc>
          <w:tcPr>
            <w:tcW w:w="3354" w:type="dxa"/>
            <w:vMerge w:val="restart"/>
          </w:tcPr>
          <w:p w14:paraId="70BC61E5" w14:textId="1FD5BF11" w:rsidR="00D91890" w:rsidRPr="00A14E24" w:rsidRDefault="00D91890" w:rsidP="00EC2E49">
            <w:pPr>
              <w:spacing w:before="60" w:after="60"/>
              <w:jc w:val="left"/>
              <w:rPr>
                <w:rFonts w:cs="Times New Roman"/>
                <w:b/>
                <w:bCs/>
                <w:i/>
                <w:iCs/>
                <w:lang w:val="lt-LT"/>
              </w:rPr>
            </w:pPr>
            <w:r w:rsidRPr="00A14E24">
              <w:rPr>
                <w:rFonts w:cs="Times New Roman"/>
                <w:b/>
                <w:bCs/>
                <w:i/>
                <w:iCs/>
                <w:lang w:val="lt-LT"/>
              </w:rPr>
              <w:t>Ps</w:t>
            </w:r>
            <w:r w:rsidR="00305D8B" w:rsidRPr="00A14E24">
              <w:rPr>
                <w:rFonts w:cs="Times New Roman"/>
                <w:b/>
                <w:bCs/>
                <w:i/>
                <w:iCs/>
                <w:lang w:val="lt-LT"/>
              </w:rPr>
              <w:t>ichikos sutrikimai</w:t>
            </w:r>
          </w:p>
        </w:tc>
        <w:tc>
          <w:tcPr>
            <w:tcW w:w="2265" w:type="dxa"/>
          </w:tcPr>
          <w:p w14:paraId="06048BDA" w14:textId="0D10BE3A"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7775CED5" w14:textId="3D67A3AE" w:rsidR="00D91890" w:rsidRPr="00A14E24" w:rsidRDefault="00305D8B" w:rsidP="00EC2E49">
            <w:pPr>
              <w:spacing w:before="60" w:after="60"/>
              <w:jc w:val="left"/>
              <w:rPr>
                <w:rFonts w:cs="Times New Roman"/>
                <w:lang w:val="lt-LT"/>
              </w:rPr>
            </w:pPr>
            <w:r w:rsidRPr="00A14E24">
              <w:rPr>
                <w:rFonts w:cs="Times New Roman"/>
                <w:lang w:val="lt-LT"/>
              </w:rPr>
              <w:t>Nemiga</w:t>
            </w:r>
            <w:r w:rsidR="00D91890" w:rsidRPr="00A14E24">
              <w:rPr>
                <w:rFonts w:cs="Times New Roman"/>
                <w:lang w:val="lt-LT"/>
              </w:rPr>
              <w:t xml:space="preserve">, </w:t>
            </w:r>
            <w:r w:rsidRPr="00A14E24">
              <w:rPr>
                <w:rFonts w:cs="Times New Roman"/>
                <w:lang w:val="lt-LT"/>
              </w:rPr>
              <w:t>nerimas</w:t>
            </w:r>
            <w:r w:rsidR="00D91890" w:rsidRPr="00A14E24">
              <w:rPr>
                <w:rFonts w:cs="Times New Roman"/>
                <w:lang w:val="lt-LT"/>
              </w:rPr>
              <w:t>.</w:t>
            </w:r>
          </w:p>
        </w:tc>
      </w:tr>
      <w:tr w:rsidR="00D91890" w:rsidRPr="00A14E24" w14:paraId="4A5B27CE" w14:textId="77777777" w:rsidTr="00DD42F4">
        <w:trPr>
          <w:jc w:val="center"/>
        </w:trPr>
        <w:tc>
          <w:tcPr>
            <w:tcW w:w="3354" w:type="dxa"/>
            <w:vMerge/>
          </w:tcPr>
          <w:p w14:paraId="1AE5AE92" w14:textId="77777777" w:rsidR="00D91890" w:rsidRPr="00A14E24" w:rsidRDefault="00D91890" w:rsidP="00EC2E49">
            <w:pPr>
              <w:spacing w:before="60" w:after="60"/>
              <w:jc w:val="left"/>
              <w:rPr>
                <w:rFonts w:cs="Times New Roman"/>
                <w:b/>
                <w:bCs/>
                <w:i/>
                <w:iCs/>
                <w:lang w:val="lt-LT"/>
              </w:rPr>
            </w:pPr>
          </w:p>
        </w:tc>
        <w:tc>
          <w:tcPr>
            <w:tcW w:w="2265" w:type="dxa"/>
          </w:tcPr>
          <w:p w14:paraId="7866E7E2" w14:textId="74F6D09F" w:rsidR="00D91890" w:rsidRPr="00A14E24" w:rsidRDefault="00F31279" w:rsidP="00EC2E49">
            <w:pPr>
              <w:spacing w:before="60" w:after="60"/>
              <w:jc w:val="left"/>
              <w:rPr>
                <w:rFonts w:cs="Times New Roman"/>
                <w:lang w:val="lt-LT"/>
              </w:rPr>
            </w:pPr>
            <w:r w:rsidRPr="00A14E24">
              <w:rPr>
                <w:rFonts w:cs="Times New Roman"/>
                <w:lang w:val="lt-LT"/>
              </w:rPr>
              <w:t>Retas</w:t>
            </w:r>
          </w:p>
        </w:tc>
        <w:tc>
          <w:tcPr>
            <w:tcW w:w="3453" w:type="dxa"/>
          </w:tcPr>
          <w:p w14:paraId="1EDAC8EE" w14:textId="2A258849" w:rsidR="00D91890" w:rsidRPr="00A14E24" w:rsidRDefault="00D91890" w:rsidP="00EC2E49">
            <w:pPr>
              <w:spacing w:before="60" w:after="60"/>
              <w:jc w:val="left"/>
              <w:rPr>
                <w:rFonts w:cs="Times New Roman"/>
                <w:lang w:val="lt-LT"/>
              </w:rPr>
            </w:pPr>
            <w:r w:rsidRPr="00A14E24">
              <w:rPr>
                <w:rFonts w:cs="Times New Roman"/>
                <w:lang w:val="lt-LT"/>
              </w:rPr>
              <w:t>Depre</w:t>
            </w:r>
            <w:r w:rsidR="00305D8B" w:rsidRPr="00A14E24">
              <w:rPr>
                <w:rFonts w:cs="Times New Roman"/>
                <w:lang w:val="lt-LT"/>
              </w:rPr>
              <w:t>sija, sumišimu pasireiškianti būklė</w:t>
            </w:r>
            <w:r w:rsidRPr="00A14E24">
              <w:rPr>
                <w:rFonts w:cs="Times New Roman"/>
                <w:lang w:val="lt-LT"/>
              </w:rPr>
              <w:t>.</w:t>
            </w:r>
          </w:p>
        </w:tc>
      </w:tr>
      <w:tr w:rsidR="00D91890" w:rsidRPr="00A14E24" w14:paraId="5E03FA6B" w14:textId="77777777" w:rsidTr="00DD42F4">
        <w:trPr>
          <w:jc w:val="center"/>
        </w:trPr>
        <w:tc>
          <w:tcPr>
            <w:tcW w:w="3354" w:type="dxa"/>
            <w:vMerge w:val="restart"/>
          </w:tcPr>
          <w:p w14:paraId="2612DF68" w14:textId="4C0C370C" w:rsidR="00D91890" w:rsidRPr="00A14E24" w:rsidRDefault="00D91890" w:rsidP="00EC2E49">
            <w:pPr>
              <w:spacing w:before="60" w:after="60"/>
              <w:jc w:val="left"/>
              <w:rPr>
                <w:rFonts w:cs="Times New Roman"/>
                <w:b/>
                <w:bCs/>
                <w:i/>
                <w:iCs/>
                <w:lang w:val="lt-LT"/>
              </w:rPr>
            </w:pPr>
            <w:r w:rsidRPr="00A14E24">
              <w:rPr>
                <w:rFonts w:cs="Times New Roman"/>
                <w:b/>
                <w:bCs/>
                <w:i/>
                <w:iCs/>
                <w:lang w:val="lt-LT"/>
              </w:rPr>
              <w:t>Nerv</w:t>
            </w:r>
            <w:r w:rsidR="002770EF" w:rsidRPr="00A14E24">
              <w:rPr>
                <w:rFonts w:cs="Times New Roman"/>
                <w:b/>
                <w:bCs/>
                <w:i/>
                <w:iCs/>
                <w:lang w:val="lt-LT"/>
              </w:rPr>
              <w:t>ų sistemos</w:t>
            </w:r>
            <w:r w:rsidRPr="00A14E24">
              <w:rPr>
                <w:rFonts w:cs="Times New Roman"/>
                <w:b/>
                <w:bCs/>
                <w:i/>
                <w:iCs/>
                <w:lang w:val="lt-LT"/>
              </w:rPr>
              <w:t xml:space="preserve"> </w:t>
            </w:r>
            <w:r w:rsidR="00305D8B" w:rsidRPr="00A14E24">
              <w:rPr>
                <w:rFonts w:cs="Times New Roman"/>
                <w:b/>
                <w:bCs/>
                <w:i/>
                <w:iCs/>
                <w:lang w:val="lt-LT"/>
              </w:rPr>
              <w:t>sutrikimai</w:t>
            </w:r>
          </w:p>
        </w:tc>
        <w:tc>
          <w:tcPr>
            <w:tcW w:w="2265" w:type="dxa"/>
          </w:tcPr>
          <w:p w14:paraId="3D115CE4" w14:textId="1B18ACCC" w:rsidR="00D91890" w:rsidRPr="00A14E24" w:rsidRDefault="00F31279" w:rsidP="00EC2E49">
            <w:pPr>
              <w:spacing w:before="60" w:after="60"/>
              <w:jc w:val="left"/>
              <w:rPr>
                <w:rFonts w:cs="Times New Roman"/>
                <w:lang w:val="lt-LT"/>
              </w:rPr>
            </w:pPr>
            <w:r w:rsidRPr="00A14E24">
              <w:rPr>
                <w:rFonts w:cs="Times New Roman"/>
                <w:lang w:val="lt-LT"/>
              </w:rPr>
              <w:t>Dažnas</w:t>
            </w:r>
          </w:p>
        </w:tc>
        <w:tc>
          <w:tcPr>
            <w:tcW w:w="3453" w:type="dxa"/>
          </w:tcPr>
          <w:p w14:paraId="5E2574F0" w14:textId="0912D873" w:rsidR="00D91890" w:rsidRPr="00A14E24" w:rsidRDefault="002770EF" w:rsidP="00EC2E49">
            <w:pPr>
              <w:spacing w:before="60" w:after="60"/>
              <w:jc w:val="left"/>
              <w:rPr>
                <w:rFonts w:cs="Times New Roman"/>
                <w:lang w:val="lt-LT"/>
              </w:rPr>
            </w:pPr>
            <w:r w:rsidRPr="00A14E24">
              <w:rPr>
                <w:rFonts w:cs="Times New Roman"/>
                <w:lang w:val="lt-LT"/>
              </w:rPr>
              <w:t>Galvos skausmas</w:t>
            </w:r>
            <w:r w:rsidR="00D91890" w:rsidRPr="00A14E24">
              <w:rPr>
                <w:rFonts w:cs="Times New Roman"/>
                <w:lang w:val="lt-LT"/>
              </w:rPr>
              <w:t xml:space="preserve">, </w:t>
            </w:r>
            <w:r w:rsidRPr="00A14E24">
              <w:rPr>
                <w:rFonts w:cs="Times New Roman"/>
                <w:lang w:val="lt-LT"/>
              </w:rPr>
              <w:t>svaigulys</w:t>
            </w:r>
            <w:r w:rsidR="00D91890" w:rsidRPr="00A14E24">
              <w:rPr>
                <w:rFonts w:cs="Times New Roman"/>
                <w:lang w:val="lt-LT"/>
              </w:rPr>
              <w:t>.</w:t>
            </w:r>
          </w:p>
        </w:tc>
      </w:tr>
      <w:tr w:rsidR="00D91890" w:rsidRPr="00A14E24" w14:paraId="22C1BCFC" w14:textId="77777777" w:rsidTr="00DD42F4">
        <w:trPr>
          <w:jc w:val="center"/>
        </w:trPr>
        <w:tc>
          <w:tcPr>
            <w:tcW w:w="3354" w:type="dxa"/>
            <w:vMerge/>
          </w:tcPr>
          <w:p w14:paraId="59AAD5E7" w14:textId="77777777" w:rsidR="00D91890" w:rsidRPr="00A14E24" w:rsidRDefault="00D91890" w:rsidP="00EC2E49">
            <w:pPr>
              <w:spacing w:before="60" w:after="60"/>
              <w:jc w:val="left"/>
              <w:rPr>
                <w:rFonts w:cs="Times New Roman"/>
                <w:b/>
                <w:bCs/>
                <w:i/>
                <w:iCs/>
                <w:lang w:val="lt-LT"/>
              </w:rPr>
            </w:pPr>
          </w:p>
        </w:tc>
        <w:tc>
          <w:tcPr>
            <w:tcW w:w="2265" w:type="dxa"/>
          </w:tcPr>
          <w:p w14:paraId="09DCE280" w14:textId="7E21DA6D"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79EA0B55" w14:textId="09B65160" w:rsidR="00D91890" w:rsidRPr="00A14E24" w:rsidRDefault="00D91890" w:rsidP="00EC2E49">
            <w:pPr>
              <w:spacing w:before="60" w:after="60"/>
              <w:jc w:val="left"/>
              <w:rPr>
                <w:rFonts w:cs="Times New Roman"/>
                <w:lang w:val="lt-LT"/>
              </w:rPr>
            </w:pPr>
            <w:proofErr w:type="spellStart"/>
            <w:r w:rsidRPr="00A14E24">
              <w:rPr>
                <w:rFonts w:cs="Times New Roman"/>
                <w:lang w:val="lt-LT"/>
              </w:rPr>
              <w:t>Par</w:t>
            </w:r>
            <w:r w:rsidR="002770EF" w:rsidRPr="00A14E24">
              <w:rPr>
                <w:rFonts w:cs="Times New Roman"/>
                <w:lang w:val="lt-LT"/>
              </w:rPr>
              <w:t>estezija</w:t>
            </w:r>
            <w:proofErr w:type="spellEnd"/>
            <w:r w:rsidRPr="00A14E24">
              <w:rPr>
                <w:rFonts w:cs="Times New Roman"/>
                <w:lang w:val="lt-LT"/>
              </w:rPr>
              <w:t xml:space="preserve">, </w:t>
            </w:r>
            <w:proofErr w:type="spellStart"/>
            <w:r w:rsidRPr="00A14E24">
              <w:rPr>
                <w:rFonts w:cs="Times New Roman"/>
                <w:lang w:val="lt-LT"/>
              </w:rPr>
              <w:t>somnolenc</w:t>
            </w:r>
            <w:r w:rsidR="002770EF" w:rsidRPr="00A14E24">
              <w:rPr>
                <w:rFonts w:cs="Times New Roman"/>
                <w:lang w:val="lt-LT"/>
              </w:rPr>
              <w:t>ija</w:t>
            </w:r>
            <w:proofErr w:type="spellEnd"/>
            <w:r w:rsidRPr="00A14E24">
              <w:rPr>
                <w:rFonts w:cs="Times New Roman"/>
                <w:lang w:val="lt-LT"/>
              </w:rPr>
              <w:t>.</w:t>
            </w:r>
          </w:p>
        </w:tc>
      </w:tr>
      <w:tr w:rsidR="00D91890" w:rsidRPr="00A14E24" w14:paraId="4B277737" w14:textId="77777777" w:rsidTr="00DD42F4">
        <w:trPr>
          <w:jc w:val="center"/>
        </w:trPr>
        <w:tc>
          <w:tcPr>
            <w:tcW w:w="3354" w:type="dxa"/>
            <w:vMerge/>
          </w:tcPr>
          <w:p w14:paraId="7D7BC1D2" w14:textId="77777777" w:rsidR="00D91890" w:rsidRPr="00A14E24" w:rsidRDefault="00D91890" w:rsidP="00EC2E49">
            <w:pPr>
              <w:spacing w:before="60" w:after="60"/>
              <w:jc w:val="left"/>
              <w:rPr>
                <w:rFonts w:cs="Times New Roman"/>
                <w:b/>
                <w:bCs/>
                <w:i/>
                <w:iCs/>
                <w:lang w:val="lt-LT"/>
              </w:rPr>
            </w:pPr>
          </w:p>
        </w:tc>
        <w:tc>
          <w:tcPr>
            <w:tcW w:w="2265" w:type="dxa"/>
          </w:tcPr>
          <w:p w14:paraId="0FC790ED" w14:textId="2D35015B" w:rsidR="00D91890" w:rsidRPr="00A14E24" w:rsidRDefault="00F31279" w:rsidP="00EC2E49">
            <w:pPr>
              <w:spacing w:before="60" w:after="60"/>
              <w:jc w:val="left"/>
              <w:rPr>
                <w:rFonts w:cs="Times New Roman"/>
                <w:lang w:val="lt-LT"/>
              </w:rPr>
            </w:pPr>
            <w:r w:rsidRPr="00A14E24">
              <w:rPr>
                <w:rFonts w:cs="Times New Roman"/>
                <w:lang w:val="lt-LT"/>
              </w:rPr>
              <w:t>Retas</w:t>
            </w:r>
          </w:p>
        </w:tc>
        <w:tc>
          <w:tcPr>
            <w:tcW w:w="3453" w:type="dxa"/>
          </w:tcPr>
          <w:p w14:paraId="760F7C7B" w14:textId="1A633395" w:rsidR="00D91890" w:rsidRPr="00A14E24" w:rsidRDefault="00F016F2" w:rsidP="00EC2E49">
            <w:pPr>
              <w:spacing w:before="60" w:after="60"/>
              <w:jc w:val="left"/>
              <w:rPr>
                <w:rFonts w:cs="Times New Roman"/>
                <w:lang w:val="lt-LT"/>
              </w:rPr>
            </w:pPr>
            <w:r w:rsidRPr="00A14E24">
              <w:rPr>
                <w:rFonts w:cs="Times New Roman"/>
                <w:lang w:val="lt-LT"/>
              </w:rPr>
              <w:t>Regos nervo</w:t>
            </w:r>
            <w:r w:rsidR="00D91890" w:rsidRPr="00A14E24">
              <w:rPr>
                <w:rFonts w:cs="Times New Roman"/>
                <w:lang w:val="lt-LT"/>
              </w:rPr>
              <w:t xml:space="preserve"> neurit</w:t>
            </w:r>
            <w:r w:rsidRPr="00A14E24">
              <w:rPr>
                <w:rFonts w:cs="Times New Roman"/>
                <w:lang w:val="lt-LT"/>
              </w:rPr>
              <w:t>a</w:t>
            </w:r>
            <w:r w:rsidR="00D91890" w:rsidRPr="00A14E24">
              <w:rPr>
                <w:rFonts w:cs="Times New Roman"/>
                <w:lang w:val="lt-LT"/>
              </w:rPr>
              <w:t>s.</w:t>
            </w:r>
          </w:p>
        </w:tc>
      </w:tr>
      <w:tr w:rsidR="00D91890" w:rsidRPr="00A14E24" w14:paraId="35B05E59" w14:textId="77777777" w:rsidTr="00DD42F4">
        <w:trPr>
          <w:jc w:val="center"/>
        </w:trPr>
        <w:tc>
          <w:tcPr>
            <w:tcW w:w="3354" w:type="dxa"/>
            <w:vMerge w:val="restart"/>
          </w:tcPr>
          <w:p w14:paraId="44154EA0" w14:textId="6965DA90" w:rsidR="00D91890" w:rsidRPr="00A14E24" w:rsidRDefault="00305D8B" w:rsidP="00EC2E49">
            <w:pPr>
              <w:spacing w:before="60" w:after="60"/>
              <w:jc w:val="left"/>
              <w:rPr>
                <w:rFonts w:cs="Times New Roman"/>
                <w:b/>
                <w:bCs/>
                <w:i/>
                <w:iCs/>
                <w:lang w:val="lt-LT"/>
              </w:rPr>
            </w:pPr>
            <w:r w:rsidRPr="00A14E24">
              <w:rPr>
                <w:rFonts w:cs="Times New Roman"/>
                <w:b/>
                <w:bCs/>
                <w:i/>
                <w:iCs/>
                <w:lang w:val="lt-LT"/>
              </w:rPr>
              <w:t>Akių sutrikimai</w:t>
            </w:r>
          </w:p>
        </w:tc>
        <w:tc>
          <w:tcPr>
            <w:tcW w:w="2265" w:type="dxa"/>
          </w:tcPr>
          <w:p w14:paraId="00761B35" w14:textId="7B39DDC0"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4DFE73E1" w14:textId="541171D3" w:rsidR="00D91890" w:rsidRPr="00A14E24" w:rsidRDefault="00251F44" w:rsidP="00EC2E49">
            <w:pPr>
              <w:spacing w:before="60" w:after="60"/>
              <w:jc w:val="left"/>
              <w:rPr>
                <w:rFonts w:cs="Times New Roman"/>
                <w:lang w:val="lt-LT"/>
              </w:rPr>
            </w:pPr>
            <w:r w:rsidRPr="00A14E24">
              <w:rPr>
                <w:rFonts w:cs="Times New Roman"/>
                <w:lang w:val="lt-LT"/>
              </w:rPr>
              <w:t xml:space="preserve">Regos </w:t>
            </w:r>
            <w:r w:rsidR="00942FB7">
              <w:rPr>
                <w:rFonts w:cs="Times New Roman"/>
                <w:lang w:val="lt-LT"/>
              </w:rPr>
              <w:t>sutrikimas</w:t>
            </w:r>
            <w:r w:rsidR="00D91890" w:rsidRPr="00A14E24">
              <w:rPr>
                <w:rFonts w:cs="Times New Roman"/>
                <w:lang w:val="lt-LT"/>
              </w:rPr>
              <w:t>.</w:t>
            </w:r>
          </w:p>
        </w:tc>
      </w:tr>
      <w:tr w:rsidR="00D91890" w:rsidRPr="00A14E24" w14:paraId="1C6CE1F7" w14:textId="77777777" w:rsidTr="00DD42F4">
        <w:trPr>
          <w:jc w:val="center"/>
        </w:trPr>
        <w:tc>
          <w:tcPr>
            <w:tcW w:w="3354" w:type="dxa"/>
            <w:vMerge/>
          </w:tcPr>
          <w:p w14:paraId="4A2058F1" w14:textId="77777777" w:rsidR="00D91890" w:rsidRPr="00A14E24" w:rsidRDefault="00D91890" w:rsidP="00EC2E49">
            <w:pPr>
              <w:spacing w:before="60" w:after="60"/>
              <w:jc w:val="left"/>
              <w:rPr>
                <w:rFonts w:cs="Times New Roman"/>
                <w:b/>
                <w:bCs/>
                <w:i/>
                <w:iCs/>
                <w:lang w:val="lt-LT"/>
              </w:rPr>
            </w:pPr>
          </w:p>
        </w:tc>
        <w:tc>
          <w:tcPr>
            <w:tcW w:w="2265" w:type="dxa"/>
          </w:tcPr>
          <w:p w14:paraId="560102DF" w14:textId="412C82C1" w:rsidR="00D91890" w:rsidRPr="00A14E24" w:rsidRDefault="00F31279" w:rsidP="00EC2E49">
            <w:pPr>
              <w:spacing w:before="60" w:after="60"/>
              <w:jc w:val="left"/>
              <w:rPr>
                <w:rFonts w:cs="Times New Roman"/>
                <w:lang w:val="lt-LT"/>
              </w:rPr>
            </w:pPr>
            <w:r w:rsidRPr="00A14E24">
              <w:rPr>
                <w:rFonts w:cs="Times New Roman"/>
                <w:lang w:val="lt-LT"/>
              </w:rPr>
              <w:t>Retas</w:t>
            </w:r>
          </w:p>
        </w:tc>
        <w:tc>
          <w:tcPr>
            <w:tcW w:w="3453" w:type="dxa"/>
          </w:tcPr>
          <w:p w14:paraId="7FD7FF5F" w14:textId="4AEFD80C" w:rsidR="00D91890" w:rsidRPr="00A14E24" w:rsidRDefault="00D91890" w:rsidP="00EC2E49">
            <w:pPr>
              <w:spacing w:before="60" w:after="60"/>
              <w:jc w:val="left"/>
              <w:rPr>
                <w:rFonts w:cs="Times New Roman"/>
                <w:lang w:val="lt-LT"/>
              </w:rPr>
            </w:pPr>
            <w:r w:rsidRPr="00A14E24">
              <w:rPr>
                <w:rFonts w:cs="Times New Roman"/>
                <w:lang w:val="lt-LT"/>
              </w:rPr>
              <w:t>To</w:t>
            </w:r>
            <w:r w:rsidR="00251F44" w:rsidRPr="00A14E24">
              <w:rPr>
                <w:rFonts w:cs="Times New Roman"/>
                <w:lang w:val="lt-LT"/>
              </w:rPr>
              <w:t>ksinė regos nervo neuropatija</w:t>
            </w:r>
            <w:r w:rsidRPr="00A14E24">
              <w:rPr>
                <w:rFonts w:cs="Times New Roman"/>
                <w:lang w:val="lt-LT"/>
              </w:rPr>
              <w:t>.</w:t>
            </w:r>
          </w:p>
        </w:tc>
      </w:tr>
      <w:tr w:rsidR="00D91890" w:rsidRPr="00A14E24" w14:paraId="67BF2172" w14:textId="77777777" w:rsidTr="00DD42F4">
        <w:trPr>
          <w:jc w:val="center"/>
        </w:trPr>
        <w:tc>
          <w:tcPr>
            <w:tcW w:w="3354" w:type="dxa"/>
            <w:vMerge w:val="restart"/>
          </w:tcPr>
          <w:p w14:paraId="18257D5A" w14:textId="02C979A8" w:rsidR="00D91890" w:rsidRPr="00A14E24" w:rsidRDefault="00305D8B" w:rsidP="00EC2E49">
            <w:pPr>
              <w:spacing w:before="60" w:after="60"/>
              <w:jc w:val="left"/>
              <w:rPr>
                <w:rFonts w:cs="Times New Roman"/>
                <w:b/>
                <w:bCs/>
                <w:i/>
                <w:iCs/>
                <w:lang w:val="lt-LT"/>
              </w:rPr>
            </w:pPr>
            <w:r w:rsidRPr="00A14E24">
              <w:rPr>
                <w:rFonts w:cs="Times New Roman"/>
                <w:b/>
                <w:bCs/>
                <w:i/>
                <w:iCs/>
                <w:lang w:val="lt-LT"/>
              </w:rPr>
              <w:t>Ausų ir labirintų sutrikimai</w:t>
            </w:r>
          </w:p>
        </w:tc>
        <w:tc>
          <w:tcPr>
            <w:tcW w:w="2265" w:type="dxa"/>
          </w:tcPr>
          <w:p w14:paraId="71469725" w14:textId="09B4A710"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3C216226" w14:textId="3C4899A6" w:rsidR="00D91890" w:rsidRPr="00A14E24" w:rsidRDefault="00740198" w:rsidP="00EC2E49">
            <w:pPr>
              <w:spacing w:before="60" w:after="60"/>
              <w:jc w:val="left"/>
              <w:rPr>
                <w:rFonts w:cs="Times New Roman"/>
                <w:lang w:val="lt-LT"/>
              </w:rPr>
            </w:pPr>
            <w:r>
              <w:rPr>
                <w:rFonts w:cs="Times New Roman"/>
                <w:lang w:val="lt-LT"/>
              </w:rPr>
              <w:t>Prikurtimas</w:t>
            </w:r>
            <w:r w:rsidR="00D91890" w:rsidRPr="00A14E24">
              <w:rPr>
                <w:rFonts w:cs="Times New Roman"/>
                <w:lang w:val="lt-LT"/>
              </w:rPr>
              <w:t>.</w:t>
            </w:r>
          </w:p>
        </w:tc>
      </w:tr>
      <w:tr w:rsidR="00D91890" w:rsidRPr="00A14E24" w14:paraId="477850BE" w14:textId="77777777" w:rsidTr="00DD42F4">
        <w:trPr>
          <w:jc w:val="center"/>
        </w:trPr>
        <w:tc>
          <w:tcPr>
            <w:tcW w:w="3354" w:type="dxa"/>
            <w:vMerge/>
          </w:tcPr>
          <w:p w14:paraId="2A7303DB" w14:textId="77777777" w:rsidR="00D91890" w:rsidRPr="00A14E24" w:rsidRDefault="00D91890" w:rsidP="00EC2E49">
            <w:pPr>
              <w:spacing w:before="60" w:after="60"/>
              <w:jc w:val="left"/>
              <w:rPr>
                <w:rFonts w:cs="Times New Roman"/>
                <w:b/>
                <w:bCs/>
                <w:i/>
                <w:iCs/>
                <w:lang w:val="lt-LT"/>
              </w:rPr>
            </w:pPr>
          </w:p>
        </w:tc>
        <w:tc>
          <w:tcPr>
            <w:tcW w:w="2265" w:type="dxa"/>
          </w:tcPr>
          <w:p w14:paraId="1967C28D" w14:textId="311535FF" w:rsidR="00D91890" w:rsidRPr="00A14E24" w:rsidRDefault="00F31279" w:rsidP="00EC2E49">
            <w:pPr>
              <w:spacing w:before="60" w:after="60"/>
              <w:jc w:val="left"/>
              <w:rPr>
                <w:rFonts w:cs="Times New Roman"/>
                <w:lang w:val="lt-LT"/>
              </w:rPr>
            </w:pPr>
            <w:r w:rsidRPr="00A14E24">
              <w:rPr>
                <w:rFonts w:cs="Times New Roman"/>
                <w:lang w:val="lt-LT"/>
              </w:rPr>
              <w:t>Retas</w:t>
            </w:r>
          </w:p>
        </w:tc>
        <w:tc>
          <w:tcPr>
            <w:tcW w:w="3453" w:type="dxa"/>
          </w:tcPr>
          <w:p w14:paraId="3C9F5478" w14:textId="6CEF9399" w:rsidR="00D91890" w:rsidRPr="00A14E24" w:rsidRDefault="00F016F2" w:rsidP="00EC2E49">
            <w:pPr>
              <w:spacing w:before="60" w:after="60"/>
              <w:jc w:val="left"/>
              <w:rPr>
                <w:rFonts w:cs="Times New Roman"/>
                <w:lang w:val="lt-LT"/>
              </w:rPr>
            </w:pPr>
            <w:r w:rsidRPr="00A14E24">
              <w:rPr>
                <w:rFonts w:cs="Times New Roman"/>
                <w:lang w:val="lt-LT"/>
              </w:rPr>
              <w:t>Ūžesys (</w:t>
            </w:r>
            <w:proofErr w:type="spellStart"/>
            <w:r w:rsidRPr="00A14E24">
              <w:rPr>
                <w:rFonts w:cs="Times New Roman"/>
                <w:i/>
                <w:iCs/>
                <w:lang w:val="lt-LT"/>
              </w:rPr>
              <w:t>t</w:t>
            </w:r>
            <w:r w:rsidR="00D91890" w:rsidRPr="00A14E24">
              <w:rPr>
                <w:rFonts w:cs="Times New Roman"/>
                <w:i/>
                <w:iCs/>
                <w:lang w:val="lt-LT"/>
              </w:rPr>
              <w:t>innitus</w:t>
            </w:r>
            <w:proofErr w:type="spellEnd"/>
            <w:r w:rsidRPr="00A14E24">
              <w:rPr>
                <w:rFonts w:cs="Times New Roman"/>
                <w:lang w:val="lt-LT"/>
              </w:rPr>
              <w:t>)</w:t>
            </w:r>
            <w:r w:rsidR="00D91890" w:rsidRPr="00A14E24">
              <w:rPr>
                <w:rFonts w:cs="Times New Roman"/>
                <w:lang w:val="lt-LT"/>
              </w:rPr>
              <w:t xml:space="preserve">, </w:t>
            </w:r>
            <w:r w:rsidRPr="00A14E24">
              <w:rPr>
                <w:rFonts w:cs="Times New Roman"/>
                <w:lang w:val="lt-LT"/>
              </w:rPr>
              <w:t>galvos svaigimas (</w:t>
            </w:r>
            <w:proofErr w:type="spellStart"/>
            <w:r w:rsidR="00D91890" w:rsidRPr="00A14E24">
              <w:rPr>
                <w:rFonts w:cs="Times New Roman"/>
                <w:i/>
                <w:iCs/>
                <w:lang w:val="lt-LT"/>
              </w:rPr>
              <w:t>vertigo</w:t>
            </w:r>
            <w:proofErr w:type="spellEnd"/>
            <w:r w:rsidRPr="00A14E24">
              <w:rPr>
                <w:rFonts w:cs="Times New Roman"/>
                <w:lang w:val="lt-LT"/>
              </w:rPr>
              <w:t>)</w:t>
            </w:r>
            <w:r w:rsidR="00D91890" w:rsidRPr="00A14E24">
              <w:rPr>
                <w:rFonts w:cs="Times New Roman"/>
                <w:lang w:val="lt-LT"/>
              </w:rPr>
              <w:t>.</w:t>
            </w:r>
          </w:p>
        </w:tc>
      </w:tr>
      <w:tr w:rsidR="00D91890" w:rsidRPr="00A14E24" w14:paraId="32124463" w14:textId="77777777" w:rsidTr="00DD42F4">
        <w:trPr>
          <w:jc w:val="center"/>
        </w:trPr>
        <w:tc>
          <w:tcPr>
            <w:tcW w:w="3354" w:type="dxa"/>
          </w:tcPr>
          <w:p w14:paraId="6DBE57FF" w14:textId="3429254E" w:rsidR="00D91890" w:rsidRPr="00A14E24" w:rsidRDefault="00305D8B" w:rsidP="00EC2E49">
            <w:pPr>
              <w:spacing w:before="60" w:after="60"/>
              <w:jc w:val="left"/>
              <w:rPr>
                <w:rFonts w:cs="Times New Roman"/>
                <w:b/>
                <w:bCs/>
                <w:i/>
                <w:iCs/>
                <w:lang w:val="lt-LT"/>
              </w:rPr>
            </w:pPr>
            <w:r w:rsidRPr="00A14E24">
              <w:rPr>
                <w:rFonts w:cs="Times New Roman"/>
                <w:b/>
                <w:bCs/>
                <w:i/>
                <w:iCs/>
                <w:lang w:val="lt-LT"/>
              </w:rPr>
              <w:lastRenderedPageBreak/>
              <w:t>Širdies</w:t>
            </w:r>
            <w:r w:rsidR="00D91890" w:rsidRPr="00A14E24">
              <w:rPr>
                <w:rFonts w:cs="Times New Roman"/>
                <w:b/>
                <w:bCs/>
                <w:i/>
                <w:iCs/>
                <w:lang w:val="lt-LT"/>
              </w:rPr>
              <w:t xml:space="preserve"> </w:t>
            </w:r>
            <w:r w:rsidRPr="00A14E24">
              <w:rPr>
                <w:rFonts w:cs="Times New Roman"/>
                <w:b/>
                <w:bCs/>
                <w:i/>
                <w:iCs/>
                <w:lang w:val="lt-LT"/>
              </w:rPr>
              <w:t>sutrikimai</w:t>
            </w:r>
          </w:p>
        </w:tc>
        <w:tc>
          <w:tcPr>
            <w:tcW w:w="2265" w:type="dxa"/>
          </w:tcPr>
          <w:p w14:paraId="3A42BCB6" w14:textId="2E91BBD3" w:rsidR="00D91890" w:rsidRPr="00A14E24" w:rsidRDefault="005F2F47" w:rsidP="00EC2E49">
            <w:pPr>
              <w:spacing w:before="60" w:after="60"/>
              <w:jc w:val="left"/>
              <w:rPr>
                <w:rFonts w:cs="Times New Roman"/>
                <w:lang w:val="lt-LT"/>
              </w:rPr>
            </w:pPr>
            <w:r w:rsidRPr="00A14E24">
              <w:rPr>
                <w:rFonts w:cs="Times New Roman"/>
                <w:lang w:val="lt-LT"/>
              </w:rPr>
              <w:t>Nežinomas</w:t>
            </w:r>
          </w:p>
        </w:tc>
        <w:tc>
          <w:tcPr>
            <w:tcW w:w="3453" w:type="dxa"/>
          </w:tcPr>
          <w:p w14:paraId="2D4E5B53" w14:textId="5898CB4D" w:rsidR="00D91890" w:rsidRPr="00A14E24" w:rsidRDefault="00251F44" w:rsidP="00EC2E49">
            <w:pPr>
              <w:spacing w:before="60" w:after="60"/>
              <w:jc w:val="left"/>
              <w:rPr>
                <w:rFonts w:cs="Times New Roman"/>
                <w:lang w:val="lt-LT"/>
              </w:rPr>
            </w:pPr>
            <w:r w:rsidRPr="00A14E24">
              <w:rPr>
                <w:rFonts w:cs="Times New Roman"/>
                <w:lang w:val="lt-LT"/>
              </w:rPr>
              <w:t>Širdies nepakankamumas, miokardo infarktas</w:t>
            </w:r>
            <w:r w:rsidR="00D91890" w:rsidRPr="00A14E24">
              <w:rPr>
                <w:rFonts w:cs="Times New Roman"/>
                <w:lang w:val="lt-LT"/>
              </w:rPr>
              <w:t xml:space="preserve"> (</w:t>
            </w:r>
            <w:r w:rsidR="00D43B41" w:rsidRPr="00A14E24">
              <w:rPr>
                <w:rFonts w:cs="Times New Roman"/>
                <w:lang w:val="lt-LT"/>
              </w:rPr>
              <w:t>žr. 4.4 skyrių</w:t>
            </w:r>
            <w:r w:rsidR="00D91890" w:rsidRPr="00A14E24">
              <w:rPr>
                <w:rFonts w:cs="Times New Roman"/>
                <w:lang w:val="lt-LT"/>
              </w:rPr>
              <w:t xml:space="preserve">), </w:t>
            </w:r>
            <w:proofErr w:type="spellStart"/>
            <w:r w:rsidR="00D91890" w:rsidRPr="00CF5829">
              <w:rPr>
                <w:rFonts w:cs="Times New Roman"/>
                <w:i/>
                <w:iCs/>
                <w:lang w:val="lt-LT"/>
              </w:rPr>
              <w:t>Kounis</w:t>
            </w:r>
            <w:proofErr w:type="spellEnd"/>
            <w:r w:rsidR="00D91890" w:rsidRPr="00A14E24">
              <w:rPr>
                <w:rFonts w:cs="Times New Roman"/>
                <w:lang w:val="lt-LT"/>
              </w:rPr>
              <w:t xml:space="preserve"> </w:t>
            </w:r>
            <w:r w:rsidRPr="00A14E24">
              <w:rPr>
                <w:rFonts w:cs="Times New Roman"/>
                <w:lang w:val="lt-LT"/>
              </w:rPr>
              <w:t>sindromas</w:t>
            </w:r>
            <w:r w:rsidR="00D91890" w:rsidRPr="00A14E24">
              <w:rPr>
                <w:rFonts w:cs="Times New Roman"/>
                <w:lang w:val="lt-LT"/>
              </w:rPr>
              <w:t>.</w:t>
            </w:r>
          </w:p>
        </w:tc>
      </w:tr>
      <w:tr w:rsidR="00D91890" w:rsidRPr="00A14E24" w14:paraId="3315E498" w14:textId="77777777" w:rsidTr="00DD42F4">
        <w:trPr>
          <w:jc w:val="center"/>
        </w:trPr>
        <w:tc>
          <w:tcPr>
            <w:tcW w:w="3354" w:type="dxa"/>
          </w:tcPr>
          <w:p w14:paraId="01D65D84" w14:textId="1407BF5B" w:rsidR="00D91890" w:rsidRPr="00A14E24" w:rsidRDefault="00305D8B" w:rsidP="00EC2E49">
            <w:pPr>
              <w:spacing w:before="60" w:after="60"/>
              <w:jc w:val="left"/>
              <w:rPr>
                <w:rFonts w:cs="Times New Roman"/>
                <w:b/>
                <w:bCs/>
                <w:i/>
                <w:iCs/>
                <w:lang w:val="lt-LT"/>
              </w:rPr>
            </w:pPr>
            <w:r w:rsidRPr="00A14E24">
              <w:rPr>
                <w:rFonts w:cs="Times New Roman"/>
                <w:b/>
                <w:bCs/>
                <w:i/>
                <w:iCs/>
                <w:lang w:val="lt-LT"/>
              </w:rPr>
              <w:t>Kraujagyslių</w:t>
            </w:r>
            <w:r w:rsidR="00D91890" w:rsidRPr="00A14E24">
              <w:rPr>
                <w:rFonts w:cs="Times New Roman"/>
                <w:b/>
                <w:bCs/>
                <w:i/>
                <w:iCs/>
                <w:lang w:val="lt-LT"/>
              </w:rPr>
              <w:t xml:space="preserve"> </w:t>
            </w:r>
            <w:r w:rsidRPr="00A14E24">
              <w:rPr>
                <w:rFonts w:cs="Times New Roman"/>
                <w:b/>
                <w:bCs/>
                <w:i/>
                <w:iCs/>
                <w:lang w:val="lt-LT"/>
              </w:rPr>
              <w:t>sutrikimai</w:t>
            </w:r>
          </w:p>
        </w:tc>
        <w:tc>
          <w:tcPr>
            <w:tcW w:w="2265" w:type="dxa"/>
          </w:tcPr>
          <w:p w14:paraId="17CE3260" w14:textId="0AD6BC62" w:rsidR="00D91890" w:rsidRPr="00A14E24" w:rsidRDefault="005F2F47" w:rsidP="00EC2E49">
            <w:pPr>
              <w:spacing w:before="60" w:after="60"/>
              <w:jc w:val="left"/>
              <w:rPr>
                <w:rFonts w:cs="Times New Roman"/>
                <w:lang w:val="lt-LT"/>
              </w:rPr>
            </w:pPr>
            <w:r w:rsidRPr="00A14E24">
              <w:rPr>
                <w:rFonts w:cs="Times New Roman"/>
                <w:lang w:val="lt-LT"/>
              </w:rPr>
              <w:t>Nežinomas</w:t>
            </w:r>
          </w:p>
        </w:tc>
        <w:tc>
          <w:tcPr>
            <w:tcW w:w="3453" w:type="dxa"/>
          </w:tcPr>
          <w:p w14:paraId="5C6F40CD" w14:textId="05DD19AF" w:rsidR="00D91890" w:rsidRPr="00A14E24" w:rsidRDefault="00251F44" w:rsidP="00EC2E49">
            <w:pPr>
              <w:spacing w:before="60" w:after="60"/>
              <w:jc w:val="left"/>
              <w:rPr>
                <w:rFonts w:cs="Times New Roman"/>
                <w:lang w:val="lt-LT"/>
              </w:rPr>
            </w:pPr>
            <w:r w:rsidRPr="00A14E24">
              <w:rPr>
                <w:rFonts w:cs="Times New Roman"/>
                <w:lang w:val="lt-LT"/>
              </w:rPr>
              <w:t>Hipertenzija</w:t>
            </w:r>
            <w:r w:rsidR="00D91890" w:rsidRPr="00A14E24">
              <w:rPr>
                <w:rFonts w:cs="Times New Roman"/>
                <w:lang w:val="lt-LT"/>
              </w:rPr>
              <w:t>.</w:t>
            </w:r>
          </w:p>
        </w:tc>
      </w:tr>
      <w:tr w:rsidR="00D91890" w:rsidRPr="00A14E24" w14:paraId="6010780B" w14:textId="77777777" w:rsidTr="00DD42F4">
        <w:trPr>
          <w:jc w:val="center"/>
        </w:trPr>
        <w:tc>
          <w:tcPr>
            <w:tcW w:w="3354" w:type="dxa"/>
          </w:tcPr>
          <w:p w14:paraId="69EF792D" w14:textId="7574DA12" w:rsidR="00D91890" w:rsidRPr="00A14E24" w:rsidRDefault="00F75157" w:rsidP="00EC2E49">
            <w:pPr>
              <w:spacing w:before="60" w:after="60"/>
              <w:ind w:right="965"/>
              <w:jc w:val="left"/>
              <w:rPr>
                <w:rFonts w:cs="Times New Roman"/>
                <w:b/>
                <w:bCs/>
                <w:i/>
                <w:iCs/>
                <w:lang w:val="lt-LT"/>
              </w:rPr>
            </w:pPr>
            <w:r w:rsidRPr="00A14E24">
              <w:rPr>
                <w:rFonts w:cs="Times New Roman"/>
                <w:b/>
                <w:bCs/>
                <w:i/>
                <w:iCs/>
                <w:lang w:val="lt-LT"/>
              </w:rPr>
              <w:t>Kvėpavimo sistemos, krūtinės ląstos ir tarpuplaučio sutrikimai</w:t>
            </w:r>
          </w:p>
        </w:tc>
        <w:tc>
          <w:tcPr>
            <w:tcW w:w="2265" w:type="dxa"/>
          </w:tcPr>
          <w:p w14:paraId="2308AB03" w14:textId="43246B4C"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1E9548A4" w14:textId="5F43D945" w:rsidR="00D91890" w:rsidRPr="00A14E24" w:rsidRDefault="00D91890" w:rsidP="00EC2E49">
            <w:pPr>
              <w:spacing w:before="60" w:after="60"/>
              <w:jc w:val="left"/>
              <w:rPr>
                <w:rFonts w:cs="Times New Roman"/>
                <w:lang w:val="lt-LT"/>
              </w:rPr>
            </w:pPr>
            <w:r w:rsidRPr="00A14E24">
              <w:rPr>
                <w:rFonts w:cs="Times New Roman"/>
                <w:lang w:val="lt-LT"/>
              </w:rPr>
              <w:t>Astma, bronch</w:t>
            </w:r>
            <w:r w:rsidR="00F75157" w:rsidRPr="00A14E24">
              <w:rPr>
                <w:rFonts w:cs="Times New Roman"/>
                <w:lang w:val="lt-LT"/>
              </w:rPr>
              <w:t>ų spazmas</w:t>
            </w:r>
            <w:r w:rsidRPr="00A14E24">
              <w:rPr>
                <w:rFonts w:cs="Times New Roman"/>
                <w:lang w:val="lt-LT"/>
              </w:rPr>
              <w:t xml:space="preserve">, </w:t>
            </w:r>
            <w:proofErr w:type="spellStart"/>
            <w:r w:rsidR="00F75157" w:rsidRPr="00A14E24">
              <w:rPr>
                <w:rFonts w:cs="Times New Roman"/>
                <w:lang w:val="lt-LT"/>
              </w:rPr>
              <w:t>dispnėja</w:t>
            </w:r>
            <w:proofErr w:type="spellEnd"/>
            <w:r w:rsidRPr="00A14E24">
              <w:rPr>
                <w:rFonts w:cs="Times New Roman"/>
                <w:lang w:val="lt-LT"/>
              </w:rPr>
              <w:t>.</w:t>
            </w:r>
          </w:p>
        </w:tc>
      </w:tr>
      <w:tr w:rsidR="00D91890" w:rsidRPr="00A14E24" w14:paraId="7E956F46" w14:textId="77777777" w:rsidTr="00DD42F4">
        <w:trPr>
          <w:jc w:val="center"/>
        </w:trPr>
        <w:tc>
          <w:tcPr>
            <w:tcW w:w="3354" w:type="dxa"/>
            <w:vMerge w:val="restart"/>
          </w:tcPr>
          <w:p w14:paraId="72DA2E3C" w14:textId="1D3FE05C" w:rsidR="00D91890" w:rsidRPr="00A14E24" w:rsidRDefault="00F75157" w:rsidP="00EC2E49">
            <w:pPr>
              <w:spacing w:before="60" w:after="60"/>
              <w:jc w:val="left"/>
              <w:rPr>
                <w:rFonts w:cs="Times New Roman"/>
                <w:b/>
                <w:bCs/>
                <w:i/>
                <w:iCs/>
                <w:lang w:val="lt-LT"/>
              </w:rPr>
            </w:pPr>
            <w:r w:rsidRPr="00A14E24">
              <w:rPr>
                <w:rFonts w:cs="Times New Roman"/>
                <w:b/>
                <w:bCs/>
                <w:i/>
                <w:iCs/>
                <w:lang w:val="lt-LT"/>
              </w:rPr>
              <w:t>Virškinimo trakto sutrikimai</w:t>
            </w:r>
          </w:p>
        </w:tc>
        <w:tc>
          <w:tcPr>
            <w:tcW w:w="2265" w:type="dxa"/>
          </w:tcPr>
          <w:p w14:paraId="372CB7BF" w14:textId="1A774261" w:rsidR="00D91890" w:rsidRPr="00A14E24" w:rsidRDefault="005F2F47" w:rsidP="00EC2E49">
            <w:pPr>
              <w:spacing w:before="60" w:after="60"/>
              <w:jc w:val="left"/>
              <w:rPr>
                <w:rFonts w:cs="Times New Roman"/>
                <w:lang w:val="lt-LT"/>
              </w:rPr>
            </w:pPr>
            <w:r w:rsidRPr="00A14E24">
              <w:rPr>
                <w:rFonts w:cs="Times New Roman"/>
                <w:lang w:val="lt-LT"/>
              </w:rPr>
              <w:t>Dažnas</w:t>
            </w:r>
          </w:p>
        </w:tc>
        <w:tc>
          <w:tcPr>
            <w:tcW w:w="3453" w:type="dxa"/>
          </w:tcPr>
          <w:p w14:paraId="4991EF48" w14:textId="76433D3D" w:rsidR="00D91890" w:rsidRPr="00A14E24" w:rsidRDefault="006C40B0" w:rsidP="00EC2E49">
            <w:pPr>
              <w:spacing w:before="60" w:after="60"/>
              <w:ind w:right="85"/>
              <w:jc w:val="left"/>
              <w:rPr>
                <w:lang w:val="lt-LT"/>
              </w:rPr>
            </w:pPr>
            <w:r w:rsidRPr="00A14E24">
              <w:rPr>
                <w:lang w:val="lt-LT"/>
              </w:rPr>
              <w:t xml:space="preserve">Dispepsija, viduriavimas, pykinimas, vėmimas, pilvo skausmas, dujų kaupimasis žarnyne, vidurių užkietėjimas, </w:t>
            </w:r>
            <w:proofErr w:type="spellStart"/>
            <w:r w:rsidRPr="00A14E24">
              <w:rPr>
                <w:lang w:val="lt-LT"/>
              </w:rPr>
              <w:t>melena</w:t>
            </w:r>
            <w:proofErr w:type="spellEnd"/>
            <w:r w:rsidRPr="00A14E24">
              <w:rPr>
                <w:lang w:val="lt-LT"/>
              </w:rPr>
              <w:t>, vėmimas krauju, kraujavimas iš virškinimo trakto.</w:t>
            </w:r>
          </w:p>
        </w:tc>
      </w:tr>
      <w:tr w:rsidR="00D91890" w:rsidRPr="00A14E24" w14:paraId="262AD0EB" w14:textId="77777777" w:rsidTr="00DD42F4">
        <w:trPr>
          <w:jc w:val="center"/>
        </w:trPr>
        <w:tc>
          <w:tcPr>
            <w:tcW w:w="3354" w:type="dxa"/>
            <w:vMerge/>
          </w:tcPr>
          <w:p w14:paraId="45DAD3A1" w14:textId="77777777" w:rsidR="00D91890" w:rsidRPr="00A14E24" w:rsidRDefault="00D91890" w:rsidP="00EC2E49">
            <w:pPr>
              <w:spacing w:before="60" w:after="60"/>
              <w:jc w:val="left"/>
              <w:rPr>
                <w:rFonts w:cs="Times New Roman"/>
                <w:b/>
                <w:bCs/>
                <w:i/>
                <w:iCs/>
                <w:lang w:val="lt-LT"/>
              </w:rPr>
            </w:pPr>
          </w:p>
        </w:tc>
        <w:tc>
          <w:tcPr>
            <w:tcW w:w="2265" w:type="dxa"/>
          </w:tcPr>
          <w:p w14:paraId="76F5A36C" w14:textId="7CEA29ED"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488B6191" w14:textId="483B41A8" w:rsidR="00D91890" w:rsidRPr="00A14E24" w:rsidRDefault="00D91890" w:rsidP="00EC2E49">
            <w:pPr>
              <w:spacing w:before="60" w:after="60"/>
              <w:ind w:right="85"/>
              <w:jc w:val="left"/>
              <w:rPr>
                <w:rFonts w:cs="Times New Roman"/>
                <w:lang w:val="lt-LT"/>
              </w:rPr>
            </w:pPr>
            <w:r w:rsidRPr="00A14E24">
              <w:rPr>
                <w:rFonts w:cs="Times New Roman"/>
                <w:lang w:val="lt-LT"/>
              </w:rPr>
              <w:t>Gastrit</w:t>
            </w:r>
            <w:r w:rsidR="00E65D52" w:rsidRPr="00A14E24">
              <w:rPr>
                <w:rFonts w:cs="Times New Roman"/>
                <w:lang w:val="lt-LT"/>
              </w:rPr>
              <w:t>a</w:t>
            </w:r>
            <w:r w:rsidRPr="00A14E24">
              <w:rPr>
                <w:rFonts w:cs="Times New Roman"/>
                <w:lang w:val="lt-LT"/>
              </w:rPr>
              <w:t xml:space="preserve">s, </w:t>
            </w:r>
            <w:r w:rsidR="00E65D52" w:rsidRPr="00A14E24">
              <w:rPr>
                <w:rFonts w:cs="Times New Roman"/>
                <w:lang w:val="lt-LT"/>
              </w:rPr>
              <w:t>dvylikapirštės žarnos opa</w:t>
            </w:r>
            <w:r w:rsidRPr="00A14E24">
              <w:rPr>
                <w:rFonts w:cs="Times New Roman"/>
                <w:lang w:val="lt-LT"/>
              </w:rPr>
              <w:t xml:space="preserve">, </w:t>
            </w:r>
            <w:r w:rsidR="00E65D52" w:rsidRPr="00A14E24">
              <w:rPr>
                <w:rFonts w:cs="Times New Roman"/>
                <w:lang w:val="lt-LT"/>
              </w:rPr>
              <w:t>skrandžio opa</w:t>
            </w:r>
            <w:r w:rsidRPr="00A14E24">
              <w:rPr>
                <w:rFonts w:cs="Times New Roman"/>
                <w:lang w:val="lt-LT"/>
              </w:rPr>
              <w:t xml:space="preserve">, </w:t>
            </w:r>
            <w:r w:rsidR="00E65D52" w:rsidRPr="00A14E24">
              <w:rPr>
                <w:rFonts w:cs="Times New Roman"/>
                <w:lang w:val="lt-LT"/>
              </w:rPr>
              <w:t>burnos išopėjimas</w:t>
            </w:r>
            <w:r w:rsidRPr="00A14E24">
              <w:rPr>
                <w:rFonts w:cs="Times New Roman"/>
                <w:lang w:val="lt-LT"/>
              </w:rPr>
              <w:t xml:space="preserve">, </w:t>
            </w:r>
            <w:r w:rsidR="00E65D52" w:rsidRPr="00A14E24">
              <w:rPr>
                <w:rFonts w:cs="Times New Roman"/>
                <w:lang w:val="lt-LT"/>
              </w:rPr>
              <w:t xml:space="preserve">virškinimo trakto </w:t>
            </w:r>
            <w:r w:rsidR="00740198">
              <w:rPr>
                <w:rFonts w:cs="Times New Roman"/>
                <w:lang w:val="lt-LT"/>
              </w:rPr>
              <w:t>perforacija</w:t>
            </w:r>
            <w:r w:rsidRPr="00A14E24">
              <w:rPr>
                <w:rFonts w:cs="Times New Roman"/>
                <w:lang w:val="lt-LT"/>
              </w:rPr>
              <w:t>.</w:t>
            </w:r>
          </w:p>
        </w:tc>
      </w:tr>
      <w:tr w:rsidR="00D91890" w:rsidRPr="00A14E24" w14:paraId="210EBC84" w14:textId="77777777" w:rsidTr="00DD42F4">
        <w:trPr>
          <w:jc w:val="center"/>
        </w:trPr>
        <w:tc>
          <w:tcPr>
            <w:tcW w:w="3354" w:type="dxa"/>
            <w:vMerge/>
          </w:tcPr>
          <w:p w14:paraId="539D87A9" w14:textId="77777777" w:rsidR="00D91890" w:rsidRPr="00A14E24" w:rsidRDefault="00D91890" w:rsidP="00EC2E49">
            <w:pPr>
              <w:spacing w:before="60" w:after="60"/>
              <w:jc w:val="left"/>
              <w:rPr>
                <w:rFonts w:cs="Times New Roman"/>
                <w:b/>
                <w:bCs/>
                <w:i/>
                <w:iCs/>
                <w:lang w:val="lt-LT"/>
              </w:rPr>
            </w:pPr>
          </w:p>
        </w:tc>
        <w:tc>
          <w:tcPr>
            <w:tcW w:w="2265" w:type="dxa"/>
          </w:tcPr>
          <w:p w14:paraId="5D6A3263" w14:textId="138B6A3D" w:rsidR="00D91890" w:rsidRPr="00A14E24" w:rsidRDefault="00F31279" w:rsidP="00EC2E49">
            <w:pPr>
              <w:spacing w:before="60" w:after="60"/>
              <w:jc w:val="left"/>
              <w:rPr>
                <w:rFonts w:cs="Times New Roman"/>
                <w:lang w:val="lt-LT"/>
              </w:rPr>
            </w:pPr>
            <w:r w:rsidRPr="00A14E24">
              <w:rPr>
                <w:rFonts w:cs="Times New Roman"/>
                <w:lang w:val="lt-LT"/>
              </w:rPr>
              <w:t>Labai retas</w:t>
            </w:r>
          </w:p>
        </w:tc>
        <w:tc>
          <w:tcPr>
            <w:tcW w:w="3453" w:type="dxa"/>
          </w:tcPr>
          <w:p w14:paraId="4E1BF18E" w14:textId="1465850F" w:rsidR="00D91890" w:rsidRPr="00A14E24" w:rsidRDefault="00D91890" w:rsidP="00EC2E49">
            <w:pPr>
              <w:spacing w:before="60" w:after="60"/>
              <w:ind w:right="-56"/>
              <w:jc w:val="left"/>
              <w:rPr>
                <w:rFonts w:cs="Times New Roman"/>
                <w:lang w:val="lt-LT"/>
              </w:rPr>
            </w:pPr>
            <w:r w:rsidRPr="00A14E24">
              <w:rPr>
                <w:rFonts w:cs="Times New Roman"/>
                <w:lang w:val="lt-LT"/>
              </w:rPr>
              <w:t>Pan</w:t>
            </w:r>
            <w:r w:rsidR="00B90481" w:rsidRPr="00A14E24">
              <w:rPr>
                <w:rFonts w:cs="Times New Roman"/>
                <w:lang w:val="lt-LT"/>
              </w:rPr>
              <w:t>k</w:t>
            </w:r>
            <w:r w:rsidRPr="00A14E24">
              <w:rPr>
                <w:rFonts w:cs="Times New Roman"/>
                <w:lang w:val="lt-LT"/>
              </w:rPr>
              <w:t>reatit</w:t>
            </w:r>
            <w:r w:rsidR="00B90481" w:rsidRPr="00A14E24">
              <w:rPr>
                <w:rFonts w:cs="Times New Roman"/>
                <w:lang w:val="lt-LT"/>
              </w:rPr>
              <w:t>a</w:t>
            </w:r>
            <w:r w:rsidRPr="00A14E24">
              <w:rPr>
                <w:rFonts w:cs="Times New Roman"/>
                <w:lang w:val="lt-LT"/>
              </w:rPr>
              <w:t>s.</w:t>
            </w:r>
          </w:p>
        </w:tc>
      </w:tr>
      <w:tr w:rsidR="00D91890" w:rsidRPr="00A14E24" w14:paraId="1FBCBA0F" w14:textId="77777777" w:rsidTr="00DD42F4">
        <w:trPr>
          <w:jc w:val="center"/>
        </w:trPr>
        <w:tc>
          <w:tcPr>
            <w:tcW w:w="3354" w:type="dxa"/>
            <w:vMerge/>
          </w:tcPr>
          <w:p w14:paraId="4D62C4F5" w14:textId="77777777" w:rsidR="00D91890" w:rsidRPr="00A14E24" w:rsidRDefault="00D91890" w:rsidP="00EC2E49">
            <w:pPr>
              <w:spacing w:before="60" w:after="60"/>
              <w:jc w:val="left"/>
              <w:rPr>
                <w:rFonts w:cs="Times New Roman"/>
                <w:b/>
                <w:bCs/>
                <w:i/>
                <w:iCs/>
                <w:lang w:val="lt-LT"/>
              </w:rPr>
            </w:pPr>
          </w:p>
        </w:tc>
        <w:tc>
          <w:tcPr>
            <w:tcW w:w="2265" w:type="dxa"/>
          </w:tcPr>
          <w:p w14:paraId="612ABCE6" w14:textId="5414A432" w:rsidR="00D91890" w:rsidRPr="00A14E24" w:rsidRDefault="005F2F47" w:rsidP="00EC2E49">
            <w:pPr>
              <w:spacing w:before="60" w:after="60"/>
              <w:jc w:val="left"/>
              <w:rPr>
                <w:rFonts w:cs="Times New Roman"/>
                <w:lang w:val="lt-LT"/>
              </w:rPr>
            </w:pPr>
            <w:r w:rsidRPr="00A14E24">
              <w:rPr>
                <w:rFonts w:cs="Times New Roman"/>
                <w:lang w:val="lt-LT"/>
              </w:rPr>
              <w:t>Nežinomas</w:t>
            </w:r>
          </w:p>
        </w:tc>
        <w:tc>
          <w:tcPr>
            <w:tcW w:w="3453" w:type="dxa"/>
          </w:tcPr>
          <w:p w14:paraId="3F9DB1D9" w14:textId="5F7507A7" w:rsidR="00D91890" w:rsidRPr="00A14E24" w:rsidRDefault="00E65D52" w:rsidP="00EC2E49">
            <w:pPr>
              <w:spacing w:before="60" w:after="60"/>
              <w:jc w:val="left"/>
              <w:rPr>
                <w:rFonts w:cs="Times New Roman"/>
                <w:lang w:val="lt-LT"/>
              </w:rPr>
            </w:pPr>
            <w:r w:rsidRPr="00A14E24">
              <w:rPr>
                <w:rFonts w:cs="Times New Roman"/>
                <w:lang w:val="lt-LT"/>
              </w:rPr>
              <w:t>Kolito ir Krono ligos paūmėjimas.</w:t>
            </w:r>
          </w:p>
        </w:tc>
      </w:tr>
      <w:tr w:rsidR="00D91890" w:rsidRPr="00A14E24" w14:paraId="569030F7" w14:textId="77777777" w:rsidTr="00DD42F4">
        <w:trPr>
          <w:jc w:val="center"/>
        </w:trPr>
        <w:tc>
          <w:tcPr>
            <w:tcW w:w="3354" w:type="dxa"/>
            <w:vMerge w:val="restart"/>
          </w:tcPr>
          <w:p w14:paraId="263A9E54" w14:textId="6B357921" w:rsidR="00D91890" w:rsidRPr="00A14E24" w:rsidRDefault="004346A6" w:rsidP="00EC2E49">
            <w:pPr>
              <w:spacing w:before="60" w:after="60"/>
              <w:jc w:val="left"/>
              <w:rPr>
                <w:rFonts w:cs="Times New Roman"/>
                <w:b/>
                <w:bCs/>
                <w:i/>
                <w:iCs/>
                <w:lang w:val="lt-LT"/>
              </w:rPr>
            </w:pPr>
            <w:r w:rsidRPr="00A14E24">
              <w:rPr>
                <w:rFonts w:cs="Times New Roman"/>
                <w:b/>
                <w:bCs/>
                <w:i/>
                <w:iCs/>
                <w:lang w:val="lt-LT"/>
              </w:rPr>
              <w:t>Kepenų, tulžies pūslės ir latakų sutrikimai</w:t>
            </w:r>
          </w:p>
        </w:tc>
        <w:tc>
          <w:tcPr>
            <w:tcW w:w="2265" w:type="dxa"/>
          </w:tcPr>
          <w:p w14:paraId="31D8BDEE" w14:textId="3AFF3A41"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62FB1CE4" w14:textId="6E5CD00C" w:rsidR="00D91890" w:rsidRPr="00A14E24" w:rsidRDefault="00D91890" w:rsidP="00EC2E49">
            <w:pPr>
              <w:spacing w:before="60" w:after="60"/>
              <w:jc w:val="left"/>
              <w:rPr>
                <w:rFonts w:cs="Times New Roman"/>
                <w:lang w:val="lt-LT"/>
              </w:rPr>
            </w:pPr>
            <w:r w:rsidRPr="00A14E24">
              <w:rPr>
                <w:rFonts w:cs="Times New Roman"/>
                <w:lang w:val="lt-LT"/>
              </w:rPr>
              <w:t>Hepatit</w:t>
            </w:r>
            <w:r w:rsidR="00E65D52" w:rsidRPr="00A14E24">
              <w:rPr>
                <w:rFonts w:cs="Times New Roman"/>
                <w:lang w:val="lt-LT"/>
              </w:rPr>
              <w:t>a</w:t>
            </w:r>
            <w:r w:rsidRPr="00A14E24">
              <w:rPr>
                <w:rFonts w:cs="Times New Roman"/>
                <w:lang w:val="lt-LT"/>
              </w:rPr>
              <w:t xml:space="preserve">s, </w:t>
            </w:r>
            <w:r w:rsidR="00E65D52" w:rsidRPr="00A14E24">
              <w:rPr>
                <w:rFonts w:cs="Times New Roman"/>
                <w:lang w:val="lt-LT"/>
              </w:rPr>
              <w:t>gelta</w:t>
            </w:r>
            <w:r w:rsidRPr="00A14E24">
              <w:rPr>
                <w:rFonts w:cs="Times New Roman"/>
                <w:lang w:val="lt-LT"/>
              </w:rPr>
              <w:t xml:space="preserve">, </w:t>
            </w:r>
            <w:r w:rsidR="00E65D52" w:rsidRPr="00A14E24">
              <w:rPr>
                <w:rFonts w:cs="Times New Roman"/>
                <w:lang w:val="lt-LT"/>
              </w:rPr>
              <w:t>nenormali kepenų funkcija</w:t>
            </w:r>
            <w:r w:rsidRPr="00A14E24">
              <w:rPr>
                <w:rFonts w:cs="Times New Roman"/>
                <w:lang w:val="lt-LT"/>
              </w:rPr>
              <w:t>.</w:t>
            </w:r>
          </w:p>
        </w:tc>
      </w:tr>
      <w:tr w:rsidR="00D91890" w:rsidRPr="00A14E24" w14:paraId="5D0714A6" w14:textId="77777777" w:rsidTr="00DD42F4">
        <w:trPr>
          <w:jc w:val="center"/>
        </w:trPr>
        <w:tc>
          <w:tcPr>
            <w:tcW w:w="3354" w:type="dxa"/>
            <w:vMerge/>
          </w:tcPr>
          <w:p w14:paraId="74B36146" w14:textId="77777777" w:rsidR="00D91890" w:rsidRPr="00A14E24" w:rsidRDefault="00D91890" w:rsidP="00EC2E49">
            <w:pPr>
              <w:spacing w:before="60" w:after="60"/>
              <w:jc w:val="left"/>
              <w:rPr>
                <w:rFonts w:cs="Times New Roman"/>
                <w:b/>
                <w:bCs/>
                <w:i/>
                <w:iCs/>
                <w:lang w:val="lt-LT"/>
              </w:rPr>
            </w:pPr>
          </w:p>
        </w:tc>
        <w:tc>
          <w:tcPr>
            <w:tcW w:w="2265" w:type="dxa"/>
          </w:tcPr>
          <w:p w14:paraId="20A7A9B3" w14:textId="4CF07135" w:rsidR="00D91890" w:rsidRPr="00A14E24" w:rsidRDefault="00F31279" w:rsidP="00EC2E49">
            <w:pPr>
              <w:spacing w:before="60" w:after="60"/>
              <w:jc w:val="left"/>
              <w:rPr>
                <w:rFonts w:cs="Times New Roman"/>
                <w:lang w:val="lt-LT"/>
              </w:rPr>
            </w:pPr>
            <w:r w:rsidRPr="00A14E24">
              <w:rPr>
                <w:rFonts w:cs="Times New Roman"/>
                <w:lang w:val="lt-LT"/>
              </w:rPr>
              <w:t>Retas</w:t>
            </w:r>
          </w:p>
        </w:tc>
        <w:tc>
          <w:tcPr>
            <w:tcW w:w="3453" w:type="dxa"/>
          </w:tcPr>
          <w:p w14:paraId="5B2607D3" w14:textId="5BD69282" w:rsidR="00D91890" w:rsidRPr="00A14E24" w:rsidRDefault="00E65D52" w:rsidP="00EC2E49">
            <w:pPr>
              <w:spacing w:before="60" w:after="60"/>
              <w:jc w:val="left"/>
              <w:rPr>
                <w:rFonts w:cs="Times New Roman"/>
                <w:lang w:val="lt-LT"/>
              </w:rPr>
            </w:pPr>
            <w:r w:rsidRPr="00A14E24">
              <w:rPr>
                <w:rFonts w:cs="Times New Roman"/>
                <w:lang w:val="lt-LT"/>
              </w:rPr>
              <w:t>Kepenų pažeidimas</w:t>
            </w:r>
            <w:r w:rsidR="00D91890" w:rsidRPr="00A14E24">
              <w:rPr>
                <w:rFonts w:cs="Times New Roman"/>
                <w:lang w:val="lt-LT"/>
              </w:rPr>
              <w:t>.</w:t>
            </w:r>
          </w:p>
        </w:tc>
      </w:tr>
      <w:tr w:rsidR="00D91890" w:rsidRPr="00A14E24" w14:paraId="521C41CE" w14:textId="77777777" w:rsidTr="00DD42F4">
        <w:trPr>
          <w:jc w:val="center"/>
        </w:trPr>
        <w:tc>
          <w:tcPr>
            <w:tcW w:w="3354" w:type="dxa"/>
            <w:vMerge/>
          </w:tcPr>
          <w:p w14:paraId="73B00CD4" w14:textId="77777777" w:rsidR="00D91890" w:rsidRPr="00A14E24" w:rsidRDefault="00D91890" w:rsidP="00EC2E49">
            <w:pPr>
              <w:spacing w:before="60" w:after="60"/>
              <w:jc w:val="left"/>
              <w:rPr>
                <w:rFonts w:cs="Times New Roman"/>
                <w:b/>
                <w:bCs/>
                <w:i/>
                <w:iCs/>
                <w:lang w:val="lt-LT"/>
              </w:rPr>
            </w:pPr>
          </w:p>
        </w:tc>
        <w:tc>
          <w:tcPr>
            <w:tcW w:w="2265" w:type="dxa"/>
          </w:tcPr>
          <w:p w14:paraId="43E909C4" w14:textId="0C128FC0" w:rsidR="00D91890" w:rsidRPr="00A14E24" w:rsidRDefault="00F31279" w:rsidP="00EC2E49">
            <w:pPr>
              <w:spacing w:before="60" w:after="60"/>
              <w:jc w:val="left"/>
              <w:rPr>
                <w:rFonts w:cs="Times New Roman"/>
                <w:lang w:val="lt-LT"/>
              </w:rPr>
            </w:pPr>
            <w:r w:rsidRPr="00A14E24">
              <w:rPr>
                <w:rFonts w:cs="Times New Roman"/>
                <w:lang w:val="lt-LT"/>
              </w:rPr>
              <w:t>Labai retas</w:t>
            </w:r>
          </w:p>
        </w:tc>
        <w:tc>
          <w:tcPr>
            <w:tcW w:w="3453" w:type="dxa"/>
          </w:tcPr>
          <w:p w14:paraId="5E287BA5" w14:textId="21F84295" w:rsidR="00D91890" w:rsidRPr="00A14E24" w:rsidRDefault="004346A6" w:rsidP="00EC2E49">
            <w:pPr>
              <w:spacing w:before="60" w:after="60"/>
              <w:jc w:val="left"/>
              <w:rPr>
                <w:rFonts w:cs="Times New Roman"/>
                <w:lang w:val="lt-LT"/>
              </w:rPr>
            </w:pPr>
            <w:r w:rsidRPr="00A14E24">
              <w:rPr>
                <w:rFonts w:cs="Times New Roman"/>
                <w:lang w:val="lt-LT"/>
              </w:rPr>
              <w:t>Kepenų nepakankamumas</w:t>
            </w:r>
            <w:r w:rsidR="00D91890" w:rsidRPr="00A14E24">
              <w:rPr>
                <w:rFonts w:cs="Times New Roman"/>
                <w:lang w:val="lt-LT"/>
              </w:rPr>
              <w:t>.</w:t>
            </w:r>
          </w:p>
        </w:tc>
      </w:tr>
      <w:tr w:rsidR="00D91890" w:rsidRPr="00A14E24" w14:paraId="2F1A5C2F" w14:textId="77777777" w:rsidTr="00DD42F4">
        <w:trPr>
          <w:jc w:val="center"/>
        </w:trPr>
        <w:tc>
          <w:tcPr>
            <w:tcW w:w="3354" w:type="dxa"/>
            <w:vMerge w:val="restart"/>
          </w:tcPr>
          <w:p w14:paraId="21156603" w14:textId="0C1A4D99" w:rsidR="00D91890" w:rsidRPr="00A14E24" w:rsidRDefault="004346A6" w:rsidP="00EC2E49">
            <w:pPr>
              <w:spacing w:before="60" w:after="60"/>
              <w:ind w:right="610"/>
              <w:jc w:val="left"/>
              <w:rPr>
                <w:rFonts w:cs="Times New Roman"/>
                <w:b/>
                <w:bCs/>
                <w:i/>
                <w:iCs/>
                <w:lang w:val="lt-LT"/>
              </w:rPr>
            </w:pPr>
            <w:r w:rsidRPr="00A14E24">
              <w:rPr>
                <w:rFonts w:cs="Times New Roman"/>
                <w:b/>
                <w:bCs/>
                <w:i/>
                <w:iCs/>
                <w:lang w:val="lt-LT"/>
              </w:rPr>
              <w:t>Odos ir poodinio audinio sutrikimai</w:t>
            </w:r>
          </w:p>
        </w:tc>
        <w:tc>
          <w:tcPr>
            <w:tcW w:w="2265" w:type="dxa"/>
          </w:tcPr>
          <w:p w14:paraId="4CF74353" w14:textId="18E032E3" w:rsidR="00D91890" w:rsidRPr="00A14E24" w:rsidRDefault="005F2F47" w:rsidP="00EC2E49">
            <w:pPr>
              <w:spacing w:before="60" w:after="60"/>
              <w:jc w:val="left"/>
              <w:rPr>
                <w:rFonts w:cs="Times New Roman"/>
                <w:lang w:val="lt-LT"/>
              </w:rPr>
            </w:pPr>
            <w:r w:rsidRPr="00A14E24">
              <w:rPr>
                <w:rFonts w:cs="Times New Roman"/>
                <w:lang w:val="lt-LT"/>
              </w:rPr>
              <w:t>Dažnas</w:t>
            </w:r>
          </w:p>
        </w:tc>
        <w:tc>
          <w:tcPr>
            <w:tcW w:w="3453" w:type="dxa"/>
          </w:tcPr>
          <w:p w14:paraId="44DEB6DF" w14:textId="5F586587" w:rsidR="00D91890" w:rsidRPr="00A14E24" w:rsidRDefault="00C40B78" w:rsidP="00EC2E49">
            <w:pPr>
              <w:spacing w:before="60" w:after="60"/>
              <w:jc w:val="left"/>
              <w:rPr>
                <w:rFonts w:cs="Times New Roman"/>
                <w:lang w:val="lt-LT"/>
              </w:rPr>
            </w:pPr>
            <w:r>
              <w:rPr>
                <w:rFonts w:cs="Times New Roman"/>
                <w:lang w:val="lt-LT"/>
              </w:rPr>
              <w:t>B</w:t>
            </w:r>
            <w:r w:rsidR="004346A6" w:rsidRPr="00A14E24">
              <w:rPr>
                <w:rFonts w:cs="Times New Roman"/>
                <w:lang w:val="lt-LT"/>
              </w:rPr>
              <w:t>ėrimas</w:t>
            </w:r>
            <w:r w:rsidR="00D91890" w:rsidRPr="00A14E24">
              <w:rPr>
                <w:rFonts w:cs="Times New Roman"/>
                <w:lang w:val="lt-LT"/>
              </w:rPr>
              <w:t>.</w:t>
            </w:r>
          </w:p>
        </w:tc>
      </w:tr>
      <w:tr w:rsidR="00D91890" w:rsidRPr="00A14E24" w14:paraId="1CF9D8E9" w14:textId="77777777" w:rsidTr="00DD42F4">
        <w:trPr>
          <w:jc w:val="center"/>
        </w:trPr>
        <w:tc>
          <w:tcPr>
            <w:tcW w:w="3354" w:type="dxa"/>
            <w:vMerge/>
          </w:tcPr>
          <w:p w14:paraId="214F4261" w14:textId="77777777" w:rsidR="00D91890" w:rsidRPr="00A14E24" w:rsidRDefault="00D91890" w:rsidP="00EC2E49">
            <w:pPr>
              <w:spacing w:before="60" w:after="60"/>
              <w:jc w:val="left"/>
              <w:rPr>
                <w:rFonts w:cs="Times New Roman"/>
                <w:b/>
                <w:bCs/>
                <w:i/>
                <w:iCs/>
                <w:lang w:val="lt-LT"/>
              </w:rPr>
            </w:pPr>
          </w:p>
        </w:tc>
        <w:tc>
          <w:tcPr>
            <w:tcW w:w="2265" w:type="dxa"/>
          </w:tcPr>
          <w:p w14:paraId="78B24BC4" w14:textId="51CB8622"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6B1197CF" w14:textId="4FED18CA" w:rsidR="00D91890" w:rsidRPr="00A14E24" w:rsidRDefault="00622AFF" w:rsidP="00EC2E49">
            <w:pPr>
              <w:spacing w:before="60" w:after="60"/>
              <w:jc w:val="left"/>
              <w:rPr>
                <w:rFonts w:cs="Times New Roman"/>
                <w:lang w:val="lt-LT"/>
              </w:rPr>
            </w:pPr>
            <w:r w:rsidRPr="00A14E24">
              <w:rPr>
                <w:rFonts w:cs="Times New Roman"/>
                <w:lang w:val="lt-LT"/>
              </w:rPr>
              <w:t>Dilgėlinė</w:t>
            </w:r>
            <w:r w:rsidR="00D91890" w:rsidRPr="00A14E24">
              <w:rPr>
                <w:rFonts w:cs="Times New Roman"/>
                <w:lang w:val="lt-LT"/>
              </w:rPr>
              <w:t xml:space="preserve">, </w:t>
            </w:r>
            <w:r w:rsidRPr="00A14E24">
              <w:rPr>
                <w:rFonts w:cs="Times New Roman"/>
                <w:lang w:val="lt-LT"/>
              </w:rPr>
              <w:t>niežėjimas</w:t>
            </w:r>
            <w:r w:rsidR="00D91890" w:rsidRPr="00A14E24">
              <w:rPr>
                <w:rFonts w:cs="Times New Roman"/>
                <w:lang w:val="lt-LT"/>
              </w:rPr>
              <w:t xml:space="preserve">, purpura, </w:t>
            </w:r>
            <w:proofErr w:type="spellStart"/>
            <w:r w:rsidR="00D91890" w:rsidRPr="00A14E24">
              <w:rPr>
                <w:rFonts w:cs="Times New Roman"/>
                <w:lang w:val="lt-LT"/>
              </w:rPr>
              <w:t>angio</w:t>
            </w:r>
            <w:r w:rsidRPr="00A14E24">
              <w:rPr>
                <w:rFonts w:cs="Times New Roman"/>
                <w:lang w:val="lt-LT"/>
              </w:rPr>
              <w:t>neurozinė</w:t>
            </w:r>
            <w:proofErr w:type="spellEnd"/>
            <w:r w:rsidRPr="00A14E24">
              <w:rPr>
                <w:rFonts w:cs="Times New Roman"/>
                <w:lang w:val="lt-LT"/>
              </w:rPr>
              <w:t xml:space="preserve"> </w:t>
            </w:r>
            <w:r w:rsidR="00D91890" w:rsidRPr="00A14E24">
              <w:rPr>
                <w:rFonts w:cs="Times New Roman"/>
                <w:lang w:val="lt-LT"/>
              </w:rPr>
              <w:t xml:space="preserve">edema, </w:t>
            </w:r>
            <w:r w:rsidR="005E219F">
              <w:rPr>
                <w:rFonts w:cs="Times New Roman"/>
                <w:lang w:val="lt-LT"/>
              </w:rPr>
              <w:t xml:space="preserve">padidinto </w:t>
            </w:r>
            <w:r w:rsidRPr="00A14E24">
              <w:rPr>
                <w:rFonts w:cs="Times New Roman"/>
                <w:lang w:val="lt-LT"/>
              </w:rPr>
              <w:t xml:space="preserve">jautrumo šviesai </w:t>
            </w:r>
            <w:r w:rsidR="005E219F">
              <w:rPr>
                <w:rFonts w:cs="Times New Roman"/>
                <w:lang w:val="lt-LT"/>
              </w:rPr>
              <w:t>[</w:t>
            </w:r>
            <w:proofErr w:type="spellStart"/>
            <w:r w:rsidR="005E219F">
              <w:rPr>
                <w:rFonts w:cs="Times New Roman"/>
                <w:lang w:val="lt-LT"/>
              </w:rPr>
              <w:t>fotoalerginė</w:t>
            </w:r>
            <w:proofErr w:type="spellEnd"/>
            <w:r w:rsidR="005E219F">
              <w:rPr>
                <w:rFonts w:cs="Times New Roman"/>
                <w:lang w:val="lt-LT"/>
              </w:rPr>
              <w:t xml:space="preserve">] </w:t>
            </w:r>
            <w:r w:rsidRPr="00A14E24">
              <w:rPr>
                <w:rFonts w:cs="Times New Roman"/>
                <w:lang w:val="lt-LT"/>
              </w:rPr>
              <w:t>reakcija</w:t>
            </w:r>
            <w:r w:rsidR="005E219F">
              <w:rPr>
                <w:rFonts w:cs="Times New Roman"/>
                <w:lang w:val="lt-LT"/>
              </w:rPr>
              <w:t xml:space="preserve"> į vaistą</w:t>
            </w:r>
            <w:r w:rsidRPr="00A14E24">
              <w:rPr>
                <w:rFonts w:cs="Times New Roman"/>
                <w:lang w:val="lt-LT"/>
              </w:rPr>
              <w:t>.</w:t>
            </w:r>
          </w:p>
        </w:tc>
      </w:tr>
      <w:tr w:rsidR="00D91890" w:rsidRPr="00A14E24" w14:paraId="2676232B" w14:textId="77777777" w:rsidTr="00DD42F4">
        <w:trPr>
          <w:jc w:val="center"/>
        </w:trPr>
        <w:tc>
          <w:tcPr>
            <w:tcW w:w="3354" w:type="dxa"/>
            <w:vMerge/>
          </w:tcPr>
          <w:p w14:paraId="38032E19" w14:textId="77777777" w:rsidR="00D91890" w:rsidRPr="00A14E24" w:rsidRDefault="00D91890" w:rsidP="00EC2E49">
            <w:pPr>
              <w:spacing w:before="60" w:after="60"/>
              <w:jc w:val="left"/>
              <w:rPr>
                <w:rFonts w:cs="Times New Roman"/>
                <w:b/>
                <w:bCs/>
                <w:i/>
                <w:iCs/>
                <w:lang w:val="lt-LT"/>
              </w:rPr>
            </w:pPr>
          </w:p>
        </w:tc>
        <w:tc>
          <w:tcPr>
            <w:tcW w:w="2265" w:type="dxa"/>
          </w:tcPr>
          <w:p w14:paraId="6D0C4B8C" w14:textId="036C5A47" w:rsidR="00D91890" w:rsidRPr="00A14E24" w:rsidRDefault="00F31279" w:rsidP="00EC2E49">
            <w:pPr>
              <w:spacing w:before="60" w:after="60"/>
              <w:jc w:val="left"/>
              <w:rPr>
                <w:rFonts w:cs="Times New Roman"/>
                <w:lang w:val="lt-LT"/>
              </w:rPr>
            </w:pPr>
            <w:r w:rsidRPr="00A14E24">
              <w:rPr>
                <w:rFonts w:cs="Times New Roman"/>
                <w:lang w:val="lt-LT"/>
              </w:rPr>
              <w:t>Labai retas</w:t>
            </w:r>
          </w:p>
        </w:tc>
        <w:tc>
          <w:tcPr>
            <w:tcW w:w="3453" w:type="dxa"/>
          </w:tcPr>
          <w:p w14:paraId="0BBB2B3B" w14:textId="3FA78D1C" w:rsidR="00A43376" w:rsidRPr="00A14E24" w:rsidRDefault="00A43376" w:rsidP="00EC2E49">
            <w:pPr>
              <w:spacing w:before="60" w:after="60"/>
              <w:jc w:val="left"/>
              <w:rPr>
                <w:rFonts w:cs="Times New Roman"/>
                <w:lang w:val="lt-LT"/>
              </w:rPr>
            </w:pPr>
            <w:r w:rsidRPr="00A14E24">
              <w:rPr>
                <w:lang w:val="lt-LT" w:eastAsia="en-GB"/>
              </w:rPr>
              <w:t xml:space="preserve">Sunkios nepageidaujamos odos reakcijos (SNOR), įskaitant daugiaformę </w:t>
            </w:r>
            <w:proofErr w:type="spellStart"/>
            <w:r w:rsidRPr="00A14E24">
              <w:rPr>
                <w:lang w:val="lt-LT" w:eastAsia="en-GB"/>
              </w:rPr>
              <w:t>eritemą</w:t>
            </w:r>
            <w:proofErr w:type="spellEnd"/>
            <w:r w:rsidRPr="00A14E24">
              <w:rPr>
                <w:lang w:val="lt-LT" w:eastAsia="en-GB"/>
              </w:rPr>
              <w:t xml:space="preserve">, </w:t>
            </w:r>
            <w:proofErr w:type="spellStart"/>
            <w:r w:rsidRPr="00A14E24">
              <w:rPr>
                <w:lang w:val="lt-LT" w:eastAsia="en-GB"/>
              </w:rPr>
              <w:t>eksfoliacinį</w:t>
            </w:r>
            <w:proofErr w:type="spellEnd"/>
            <w:r w:rsidRPr="00A14E24">
              <w:rPr>
                <w:lang w:val="lt-LT" w:eastAsia="en-GB"/>
              </w:rPr>
              <w:t xml:space="preserve"> dermatitą, </w:t>
            </w:r>
            <w:proofErr w:type="spellStart"/>
            <w:r w:rsidRPr="00A14E24">
              <w:rPr>
                <w:lang w:val="lt-LT" w:eastAsia="en-GB"/>
              </w:rPr>
              <w:t>Stivenso</w:t>
            </w:r>
            <w:proofErr w:type="spellEnd"/>
            <w:r w:rsidRPr="00A14E24">
              <w:rPr>
                <w:lang w:val="lt-LT" w:eastAsia="en-GB"/>
              </w:rPr>
              <w:t>-Džonsono (</w:t>
            </w:r>
            <w:proofErr w:type="spellStart"/>
            <w:r w:rsidRPr="00A14E24">
              <w:rPr>
                <w:i/>
                <w:iCs/>
                <w:lang w:val="lt-LT" w:eastAsia="en-GB"/>
              </w:rPr>
              <w:t>Stevens-Johnson</w:t>
            </w:r>
            <w:proofErr w:type="spellEnd"/>
            <w:r w:rsidRPr="00A14E24">
              <w:rPr>
                <w:lang w:val="lt-LT" w:eastAsia="en-GB"/>
              </w:rPr>
              <w:t xml:space="preserve">) sindromą ir toksinę epidermio </w:t>
            </w:r>
            <w:proofErr w:type="spellStart"/>
            <w:r w:rsidRPr="00A14E24">
              <w:rPr>
                <w:lang w:val="lt-LT" w:eastAsia="en-GB"/>
              </w:rPr>
              <w:t>nekrolizę</w:t>
            </w:r>
            <w:proofErr w:type="spellEnd"/>
            <w:r w:rsidRPr="00A14E24">
              <w:rPr>
                <w:lang w:val="lt-LT" w:eastAsia="en-GB"/>
              </w:rPr>
              <w:t>.</w:t>
            </w:r>
          </w:p>
        </w:tc>
      </w:tr>
      <w:tr w:rsidR="00D91890" w:rsidRPr="00A14E24" w14:paraId="46BD8DB6" w14:textId="77777777" w:rsidTr="00DD42F4">
        <w:trPr>
          <w:jc w:val="center"/>
        </w:trPr>
        <w:tc>
          <w:tcPr>
            <w:tcW w:w="3354" w:type="dxa"/>
            <w:vMerge/>
          </w:tcPr>
          <w:p w14:paraId="1D2FECF5" w14:textId="77777777" w:rsidR="00D91890" w:rsidRPr="00A14E24" w:rsidRDefault="00D91890" w:rsidP="00EC2E49">
            <w:pPr>
              <w:spacing w:before="60" w:after="60"/>
              <w:jc w:val="left"/>
              <w:rPr>
                <w:rFonts w:cs="Times New Roman"/>
                <w:b/>
                <w:bCs/>
                <w:i/>
                <w:iCs/>
                <w:lang w:val="lt-LT"/>
              </w:rPr>
            </w:pPr>
          </w:p>
        </w:tc>
        <w:tc>
          <w:tcPr>
            <w:tcW w:w="2265" w:type="dxa"/>
          </w:tcPr>
          <w:p w14:paraId="52A23FA8" w14:textId="14F4A697" w:rsidR="00D91890" w:rsidRPr="00A14E24" w:rsidRDefault="005F2F47" w:rsidP="00EC2E49">
            <w:pPr>
              <w:spacing w:before="60" w:after="60"/>
              <w:jc w:val="left"/>
              <w:rPr>
                <w:rFonts w:cs="Times New Roman"/>
                <w:lang w:val="lt-LT"/>
              </w:rPr>
            </w:pPr>
            <w:r w:rsidRPr="00A14E24">
              <w:rPr>
                <w:rFonts w:cs="Times New Roman"/>
                <w:lang w:val="lt-LT"/>
              </w:rPr>
              <w:t>Nežinomas</w:t>
            </w:r>
          </w:p>
        </w:tc>
        <w:tc>
          <w:tcPr>
            <w:tcW w:w="3453" w:type="dxa"/>
          </w:tcPr>
          <w:p w14:paraId="3570E2E7" w14:textId="4AE47B88" w:rsidR="00D91890" w:rsidRPr="00A14E24" w:rsidRDefault="006B70B3" w:rsidP="00EC2E49">
            <w:pPr>
              <w:spacing w:before="60" w:after="60"/>
              <w:jc w:val="left"/>
              <w:rPr>
                <w:rFonts w:cs="Times New Roman"/>
                <w:lang w:val="lt-LT"/>
              </w:rPr>
            </w:pPr>
            <w:r w:rsidRPr="00A14E24">
              <w:rPr>
                <w:rFonts w:cs="Times New Roman"/>
                <w:lang w:val="lt-LT"/>
              </w:rPr>
              <w:t xml:space="preserve">Reakcija į vaistinį preparatą su </w:t>
            </w:r>
            <w:proofErr w:type="spellStart"/>
            <w:r w:rsidRPr="00A14E24">
              <w:rPr>
                <w:rFonts w:cs="Times New Roman"/>
                <w:lang w:val="lt-LT"/>
              </w:rPr>
              <w:t>eozinofilija</w:t>
            </w:r>
            <w:proofErr w:type="spellEnd"/>
            <w:r w:rsidRPr="00A14E24">
              <w:rPr>
                <w:rFonts w:cs="Times New Roman"/>
                <w:lang w:val="lt-LT"/>
              </w:rPr>
              <w:t xml:space="preserve"> ir sisteminiais simptomais (angl. </w:t>
            </w:r>
            <w:proofErr w:type="spellStart"/>
            <w:r w:rsidR="00853957">
              <w:rPr>
                <w:rFonts w:cs="Times New Roman"/>
                <w:i/>
                <w:iCs/>
                <w:lang w:val="lt-LT"/>
              </w:rPr>
              <w:t>D</w:t>
            </w:r>
            <w:r w:rsidRPr="00A14E24">
              <w:rPr>
                <w:rFonts w:cs="Times New Roman"/>
                <w:i/>
                <w:iCs/>
                <w:lang w:val="lt-LT"/>
              </w:rPr>
              <w:t>rug</w:t>
            </w:r>
            <w:proofErr w:type="spellEnd"/>
            <w:r w:rsidRPr="00A14E24">
              <w:rPr>
                <w:rFonts w:cs="Times New Roman"/>
                <w:i/>
                <w:iCs/>
                <w:lang w:val="lt-LT"/>
              </w:rPr>
              <w:t xml:space="preserve"> </w:t>
            </w:r>
            <w:proofErr w:type="spellStart"/>
            <w:r w:rsidR="00853957">
              <w:rPr>
                <w:rFonts w:cs="Times New Roman"/>
                <w:i/>
                <w:iCs/>
                <w:lang w:val="lt-LT"/>
              </w:rPr>
              <w:t>R</w:t>
            </w:r>
            <w:r w:rsidRPr="00A14E24">
              <w:rPr>
                <w:rFonts w:cs="Times New Roman"/>
                <w:i/>
                <w:iCs/>
                <w:lang w:val="lt-LT"/>
              </w:rPr>
              <w:t>eaction</w:t>
            </w:r>
            <w:proofErr w:type="spellEnd"/>
            <w:r w:rsidRPr="00A14E24">
              <w:rPr>
                <w:rFonts w:cs="Times New Roman"/>
                <w:i/>
                <w:iCs/>
                <w:lang w:val="lt-LT"/>
              </w:rPr>
              <w:t xml:space="preserve"> </w:t>
            </w:r>
            <w:proofErr w:type="spellStart"/>
            <w:r w:rsidRPr="00A14E24">
              <w:rPr>
                <w:rFonts w:cs="Times New Roman"/>
                <w:i/>
                <w:iCs/>
                <w:lang w:val="lt-LT"/>
              </w:rPr>
              <w:t>with</w:t>
            </w:r>
            <w:proofErr w:type="spellEnd"/>
            <w:r w:rsidRPr="00A14E24">
              <w:rPr>
                <w:rFonts w:cs="Times New Roman"/>
                <w:i/>
                <w:iCs/>
                <w:lang w:val="lt-LT"/>
              </w:rPr>
              <w:t xml:space="preserve"> </w:t>
            </w:r>
            <w:proofErr w:type="spellStart"/>
            <w:r w:rsidR="00853957">
              <w:rPr>
                <w:rFonts w:cs="Times New Roman"/>
                <w:i/>
                <w:iCs/>
                <w:lang w:val="lt-LT"/>
              </w:rPr>
              <w:t>E</w:t>
            </w:r>
            <w:r w:rsidRPr="00A14E24">
              <w:rPr>
                <w:rFonts w:cs="Times New Roman"/>
                <w:i/>
                <w:iCs/>
                <w:lang w:val="lt-LT"/>
              </w:rPr>
              <w:t>osinophilia</w:t>
            </w:r>
            <w:proofErr w:type="spellEnd"/>
            <w:r w:rsidRPr="00A14E24">
              <w:rPr>
                <w:rFonts w:cs="Times New Roman"/>
                <w:i/>
                <w:iCs/>
                <w:lang w:val="lt-LT"/>
              </w:rPr>
              <w:t xml:space="preserve"> </w:t>
            </w:r>
            <w:proofErr w:type="spellStart"/>
            <w:r w:rsidRPr="00A14E24">
              <w:rPr>
                <w:rFonts w:cs="Times New Roman"/>
                <w:i/>
                <w:iCs/>
                <w:lang w:val="lt-LT"/>
              </w:rPr>
              <w:t>and</w:t>
            </w:r>
            <w:proofErr w:type="spellEnd"/>
            <w:r w:rsidRPr="00A14E24">
              <w:rPr>
                <w:rFonts w:cs="Times New Roman"/>
                <w:i/>
                <w:iCs/>
                <w:lang w:val="lt-LT"/>
              </w:rPr>
              <w:t xml:space="preserve"> </w:t>
            </w:r>
            <w:proofErr w:type="spellStart"/>
            <w:r w:rsidR="00853957">
              <w:rPr>
                <w:rFonts w:cs="Times New Roman"/>
                <w:i/>
                <w:iCs/>
                <w:lang w:val="lt-LT"/>
              </w:rPr>
              <w:t>S</w:t>
            </w:r>
            <w:r w:rsidRPr="00A14E24">
              <w:rPr>
                <w:rFonts w:cs="Times New Roman"/>
                <w:i/>
                <w:iCs/>
                <w:lang w:val="lt-LT"/>
              </w:rPr>
              <w:t>ystemic</w:t>
            </w:r>
            <w:proofErr w:type="spellEnd"/>
            <w:r w:rsidRPr="00A14E24">
              <w:rPr>
                <w:rFonts w:cs="Times New Roman"/>
                <w:i/>
                <w:iCs/>
                <w:lang w:val="lt-LT"/>
              </w:rPr>
              <w:t xml:space="preserve"> </w:t>
            </w:r>
            <w:proofErr w:type="spellStart"/>
            <w:r w:rsidR="00853957">
              <w:rPr>
                <w:rFonts w:cs="Times New Roman"/>
                <w:i/>
                <w:iCs/>
                <w:lang w:val="lt-LT"/>
              </w:rPr>
              <w:t>S</w:t>
            </w:r>
            <w:r w:rsidRPr="00A14E24">
              <w:rPr>
                <w:rFonts w:cs="Times New Roman"/>
                <w:i/>
                <w:iCs/>
                <w:lang w:val="lt-LT"/>
              </w:rPr>
              <w:t>ymptoms</w:t>
            </w:r>
            <w:proofErr w:type="spellEnd"/>
            <w:r w:rsidRPr="00A14E24">
              <w:rPr>
                <w:rFonts w:cs="Times New Roman"/>
                <w:lang w:val="lt-LT"/>
              </w:rPr>
              <w:t xml:space="preserve">, DRESS), ūminė </w:t>
            </w:r>
            <w:proofErr w:type="spellStart"/>
            <w:r w:rsidRPr="00A14E24">
              <w:rPr>
                <w:rFonts w:cs="Times New Roman"/>
                <w:lang w:val="lt-LT"/>
              </w:rPr>
              <w:t>generalizuota</w:t>
            </w:r>
            <w:proofErr w:type="spellEnd"/>
            <w:r w:rsidRPr="00A14E24">
              <w:rPr>
                <w:rFonts w:cs="Times New Roman"/>
                <w:lang w:val="lt-LT"/>
              </w:rPr>
              <w:t xml:space="preserve"> </w:t>
            </w:r>
            <w:proofErr w:type="spellStart"/>
            <w:r w:rsidRPr="00A14E24">
              <w:rPr>
                <w:rFonts w:cs="Times New Roman"/>
                <w:lang w:val="lt-LT"/>
              </w:rPr>
              <w:t>egzanteminė</w:t>
            </w:r>
            <w:proofErr w:type="spellEnd"/>
            <w:r w:rsidRPr="00A14E24">
              <w:rPr>
                <w:rFonts w:cs="Times New Roman"/>
                <w:lang w:val="lt-LT"/>
              </w:rPr>
              <w:t xml:space="preserve"> </w:t>
            </w:r>
            <w:proofErr w:type="spellStart"/>
            <w:r w:rsidRPr="00A14E24">
              <w:rPr>
                <w:rFonts w:cs="Times New Roman"/>
                <w:lang w:val="lt-LT"/>
              </w:rPr>
              <w:t>pustuliozė</w:t>
            </w:r>
            <w:proofErr w:type="spellEnd"/>
            <w:r w:rsidRPr="00A14E24">
              <w:rPr>
                <w:rFonts w:cs="Times New Roman"/>
                <w:lang w:val="lt-LT"/>
              </w:rPr>
              <w:t xml:space="preserve"> (angl. </w:t>
            </w:r>
            <w:proofErr w:type="spellStart"/>
            <w:r w:rsidRPr="00A14E24">
              <w:rPr>
                <w:rFonts w:cs="Times New Roman"/>
                <w:i/>
                <w:iCs/>
                <w:lang w:val="lt-LT"/>
              </w:rPr>
              <w:t>acute</w:t>
            </w:r>
            <w:proofErr w:type="spellEnd"/>
            <w:r w:rsidRPr="00A14E24">
              <w:rPr>
                <w:rFonts w:cs="Times New Roman"/>
                <w:i/>
                <w:iCs/>
                <w:lang w:val="lt-LT"/>
              </w:rPr>
              <w:t xml:space="preserve"> </w:t>
            </w:r>
            <w:proofErr w:type="spellStart"/>
            <w:r w:rsidRPr="00A14E24">
              <w:rPr>
                <w:rFonts w:cs="Times New Roman"/>
                <w:i/>
                <w:iCs/>
                <w:lang w:val="lt-LT"/>
              </w:rPr>
              <w:t>generalised</w:t>
            </w:r>
            <w:proofErr w:type="spellEnd"/>
            <w:r w:rsidRPr="00A14E24">
              <w:rPr>
                <w:rFonts w:cs="Times New Roman"/>
                <w:i/>
                <w:iCs/>
                <w:lang w:val="lt-LT"/>
              </w:rPr>
              <w:t xml:space="preserve"> </w:t>
            </w:r>
            <w:proofErr w:type="spellStart"/>
            <w:r w:rsidRPr="00A14E24">
              <w:rPr>
                <w:rFonts w:cs="Times New Roman"/>
                <w:i/>
                <w:iCs/>
                <w:lang w:val="lt-LT"/>
              </w:rPr>
              <w:t>exanthematous</w:t>
            </w:r>
            <w:proofErr w:type="spellEnd"/>
            <w:r w:rsidRPr="00A14E24">
              <w:rPr>
                <w:rFonts w:cs="Times New Roman"/>
                <w:i/>
                <w:iCs/>
                <w:lang w:val="lt-LT"/>
              </w:rPr>
              <w:t xml:space="preserve"> </w:t>
            </w:r>
            <w:proofErr w:type="spellStart"/>
            <w:r w:rsidRPr="00A14E24">
              <w:rPr>
                <w:rFonts w:cs="Times New Roman"/>
                <w:i/>
                <w:iCs/>
                <w:lang w:val="lt-LT"/>
              </w:rPr>
              <w:t>pustulosis</w:t>
            </w:r>
            <w:proofErr w:type="spellEnd"/>
            <w:r w:rsidRPr="00A14E24">
              <w:rPr>
                <w:rFonts w:cs="Times New Roman"/>
                <w:lang w:val="lt-LT"/>
              </w:rPr>
              <w:t>, AGEP).</w:t>
            </w:r>
          </w:p>
        </w:tc>
      </w:tr>
      <w:tr w:rsidR="00D91890" w:rsidRPr="00A14E24" w14:paraId="0A12CE07" w14:textId="77777777" w:rsidTr="00DD42F4">
        <w:trPr>
          <w:jc w:val="center"/>
        </w:trPr>
        <w:tc>
          <w:tcPr>
            <w:tcW w:w="3354" w:type="dxa"/>
          </w:tcPr>
          <w:p w14:paraId="70F25821" w14:textId="0ECF8806" w:rsidR="00D91890" w:rsidRPr="00A14E24" w:rsidRDefault="008F0E9B" w:rsidP="00EC2E49">
            <w:pPr>
              <w:spacing w:before="60" w:after="60"/>
              <w:jc w:val="left"/>
              <w:rPr>
                <w:rFonts w:cs="Times New Roman"/>
                <w:b/>
                <w:bCs/>
                <w:i/>
                <w:iCs/>
                <w:lang w:val="lt-LT"/>
              </w:rPr>
            </w:pPr>
            <w:r w:rsidRPr="00A14E24">
              <w:rPr>
                <w:rFonts w:cs="Times New Roman"/>
                <w:b/>
                <w:bCs/>
                <w:i/>
                <w:iCs/>
                <w:lang w:val="lt-LT"/>
              </w:rPr>
              <w:lastRenderedPageBreak/>
              <w:t>Inkstų ir šlapimo takų sutrikimai</w:t>
            </w:r>
          </w:p>
        </w:tc>
        <w:tc>
          <w:tcPr>
            <w:tcW w:w="2265" w:type="dxa"/>
          </w:tcPr>
          <w:p w14:paraId="1C2BE21A" w14:textId="0F8FC5DB" w:rsidR="00D91890" w:rsidRPr="00A14E24" w:rsidRDefault="00F31279" w:rsidP="00EC2E49">
            <w:pPr>
              <w:spacing w:before="60" w:after="60"/>
              <w:jc w:val="left"/>
              <w:rPr>
                <w:rFonts w:cs="Times New Roman"/>
                <w:lang w:val="lt-LT"/>
              </w:rPr>
            </w:pPr>
            <w:r w:rsidRPr="00A14E24">
              <w:rPr>
                <w:rFonts w:cs="Times New Roman"/>
                <w:lang w:val="lt-LT"/>
              </w:rPr>
              <w:t>Nedažnas</w:t>
            </w:r>
          </w:p>
        </w:tc>
        <w:tc>
          <w:tcPr>
            <w:tcW w:w="3453" w:type="dxa"/>
          </w:tcPr>
          <w:p w14:paraId="5A8DB983" w14:textId="2059FA3E" w:rsidR="00D91890" w:rsidRPr="00A14E24" w:rsidRDefault="008F0E9B" w:rsidP="00EC2E49">
            <w:pPr>
              <w:spacing w:before="60" w:after="60"/>
              <w:jc w:val="left"/>
              <w:rPr>
                <w:rFonts w:cs="Times New Roman"/>
                <w:lang w:val="lt-LT"/>
              </w:rPr>
            </w:pPr>
            <w:r w:rsidRPr="00A14E24">
              <w:rPr>
                <w:rFonts w:cs="Times New Roman"/>
                <w:lang w:val="lt-LT"/>
              </w:rPr>
              <w:t xml:space="preserve">Įvairių formų toksinis poveikis inkstams (pvz., </w:t>
            </w:r>
            <w:proofErr w:type="spellStart"/>
            <w:r w:rsidRPr="00A14E24">
              <w:rPr>
                <w:rFonts w:cs="Times New Roman"/>
                <w:lang w:val="lt-LT"/>
              </w:rPr>
              <w:t>tubulointersticinis</w:t>
            </w:r>
            <w:proofErr w:type="spellEnd"/>
            <w:r w:rsidRPr="00A14E24">
              <w:rPr>
                <w:rFonts w:cs="Times New Roman"/>
                <w:lang w:val="lt-LT"/>
              </w:rPr>
              <w:t xml:space="preserve"> nefritas, </w:t>
            </w:r>
            <w:proofErr w:type="spellStart"/>
            <w:r w:rsidRPr="00A14E24">
              <w:rPr>
                <w:rFonts w:cs="Times New Roman"/>
                <w:lang w:val="lt-LT"/>
              </w:rPr>
              <w:t>nefrozinis</w:t>
            </w:r>
            <w:proofErr w:type="spellEnd"/>
            <w:r w:rsidRPr="00A14E24">
              <w:rPr>
                <w:rFonts w:cs="Times New Roman"/>
                <w:lang w:val="lt-LT"/>
              </w:rPr>
              <w:t xml:space="preserve"> sindromas ir inkstų nepakankamumas).</w:t>
            </w:r>
          </w:p>
        </w:tc>
      </w:tr>
      <w:tr w:rsidR="00D91890" w:rsidRPr="00A14E24" w14:paraId="2D7EE955" w14:textId="77777777" w:rsidTr="00DD42F4">
        <w:trPr>
          <w:jc w:val="center"/>
        </w:trPr>
        <w:tc>
          <w:tcPr>
            <w:tcW w:w="3354" w:type="dxa"/>
            <w:vMerge w:val="restart"/>
          </w:tcPr>
          <w:p w14:paraId="0E76AA8D" w14:textId="2F30E244" w:rsidR="00D91890" w:rsidRPr="00A14E24" w:rsidRDefault="008F0E9B" w:rsidP="00EC2E49">
            <w:pPr>
              <w:spacing w:before="60" w:after="60"/>
              <w:jc w:val="left"/>
              <w:rPr>
                <w:rFonts w:cs="Times New Roman"/>
                <w:b/>
                <w:bCs/>
                <w:i/>
                <w:iCs/>
                <w:lang w:val="lt-LT"/>
              </w:rPr>
            </w:pPr>
            <w:r w:rsidRPr="00A14E24">
              <w:rPr>
                <w:rFonts w:cs="Times New Roman"/>
                <w:b/>
                <w:bCs/>
                <w:i/>
                <w:iCs/>
                <w:lang w:val="lt-LT"/>
              </w:rPr>
              <w:t>Bendrieji sutrikimai ir vartojimo vietos pažeidimai</w:t>
            </w:r>
          </w:p>
        </w:tc>
        <w:tc>
          <w:tcPr>
            <w:tcW w:w="2265" w:type="dxa"/>
          </w:tcPr>
          <w:p w14:paraId="7979AC0D" w14:textId="7165C877" w:rsidR="00D91890" w:rsidRPr="00A14E24" w:rsidRDefault="005F2F47" w:rsidP="00EC2E49">
            <w:pPr>
              <w:spacing w:before="60" w:after="60"/>
              <w:jc w:val="left"/>
              <w:rPr>
                <w:rFonts w:cs="Times New Roman"/>
                <w:lang w:val="lt-LT"/>
              </w:rPr>
            </w:pPr>
            <w:r w:rsidRPr="00A14E24">
              <w:rPr>
                <w:rFonts w:cs="Times New Roman"/>
                <w:lang w:val="lt-LT"/>
              </w:rPr>
              <w:t>Dažnas</w:t>
            </w:r>
          </w:p>
        </w:tc>
        <w:tc>
          <w:tcPr>
            <w:tcW w:w="3453" w:type="dxa"/>
          </w:tcPr>
          <w:p w14:paraId="4BCA5DD7" w14:textId="556DF593" w:rsidR="00D91890" w:rsidRPr="00A14E24" w:rsidRDefault="00090EA5" w:rsidP="00EC2E49">
            <w:pPr>
              <w:tabs>
                <w:tab w:val="center" w:pos="4536"/>
                <w:tab w:val="right" w:pos="9072"/>
              </w:tabs>
              <w:ind w:right="-56"/>
              <w:jc w:val="left"/>
              <w:rPr>
                <w:rFonts w:cs="Times New Roman"/>
                <w:lang w:val="lt-LT"/>
              </w:rPr>
            </w:pPr>
            <w:r w:rsidRPr="00A14E24">
              <w:rPr>
                <w:rFonts w:cs="Times New Roman"/>
                <w:lang w:val="lt-LT"/>
              </w:rPr>
              <w:t>Nuovargis</w:t>
            </w:r>
            <w:r w:rsidR="00D91890" w:rsidRPr="00A14E24">
              <w:rPr>
                <w:rFonts w:cs="Times New Roman"/>
                <w:lang w:val="lt-LT"/>
              </w:rPr>
              <w:t>.</w:t>
            </w:r>
          </w:p>
        </w:tc>
      </w:tr>
      <w:tr w:rsidR="00D91890" w:rsidRPr="00A14E24" w14:paraId="4EE0D30F" w14:textId="77777777" w:rsidTr="00DD42F4">
        <w:trPr>
          <w:jc w:val="center"/>
        </w:trPr>
        <w:tc>
          <w:tcPr>
            <w:tcW w:w="3354" w:type="dxa"/>
            <w:vMerge/>
          </w:tcPr>
          <w:p w14:paraId="78CA2EC1" w14:textId="77777777" w:rsidR="00D91890" w:rsidRPr="00A14E24" w:rsidRDefault="00D91890" w:rsidP="00EC2E49">
            <w:pPr>
              <w:spacing w:before="60" w:after="60"/>
              <w:jc w:val="left"/>
              <w:rPr>
                <w:rFonts w:cs="Times New Roman"/>
                <w:lang w:val="lt-LT"/>
              </w:rPr>
            </w:pPr>
          </w:p>
        </w:tc>
        <w:tc>
          <w:tcPr>
            <w:tcW w:w="2265" w:type="dxa"/>
          </w:tcPr>
          <w:p w14:paraId="7F7089E3" w14:textId="45B062F7" w:rsidR="00D91890" w:rsidRPr="00A14E24" w:rsidRDefault="00F31279" w:rsidP="00EC2E49">
            <w:pPr>
              <w:spacing w:before="60" w:after="60"/>
              <w:jc w:val="left"/>
              <w:rPr>
                <w:rFonts w:cs="Times New Roman"/>
                <w:lang w:val="lt-LT"/>
              </w:rPr>
            </w:pPr>
            <w:r w:rsidRPr="00A14E24">
              <w:rPr>
                <w:rFonts w:cs="Times New Roman"/>
                <w:lang w:val="lt-LT"/>
              </w:rPr>
              <w:t>Retas</w:t>
            </w:r>
          </w:p>
        </w:tc>
        <w:tc>
          <w:tcPr>
            <w:tcW w:w="3453" w:type="dxa"/>
          </w:tcPr>
          <w:p w14:paraId="1B66B956" w14:textId="05F68805" w:rsidR="00D91890" w:rsidRPr="00A14E24" w:rsidRDefault="00090EA5" w:rsidP="00EC2E49">
            <w:pPr>
              <w:tabs>
                <w:tab w:val="center" w:pos="4536"/>
                <w:tab w:val="right" w:pos="9072"/>
              </w:tabs>
              <w:ind w:right="-56"/>
              <w:jc w:val="left"/>
              <w:rPr>
                <w:rFonts w:cs="Times New Roman"/>
                <w:lang w:val="lt-LT"/>
              </w:rPr>
            </w:pPr>
            <w:r w:rsidRPr="00A14E24">
              <w:rPr>
                <w:rFonts w:cs="Times New Roman"/>
                <w:lang w:val="lt-LT"/>
              </w:rPr>
              <w:t>E</w:t>
            </w:r>
            <w:r w:rsidR="00D91890" w:rsidRPr="00A14E24">
              <w:rPr>
                <w:rFonts w:cs="Times New Roman"/>
                <w:lang w:val="lt-LT"/>
              </w:rPr>
              <w:t>dema.</w:t>
            </w:r>
          </w:p>
        </w:tc>
      </w:tr>
    </w:tbl>
    <w:p w14:paraId="06753D31" w14:textId="77777777" w:rsidR="00FE7ACC" w:rsidRPr="00A14E24" w:rsidRDefault="00FE7ACC" w:rsidP="00EC2E49">
      <w:pPr>
        <w:tabs>
          <w:tab w:val="left" w:pos="567"/>
        </w:tabs>
        <w:rPr>
          <w:rFonts w:eastAsia="Times New Roman"/>
        </w:rPr>
      </w:pPr>
    </w:p>
    <w:p w14:paraId="5AB923F1" w14:textId="77777777" w:rsidR="00CC424D" w:rsidRPr="00A14E24" w:rsidRDefault="00CC424D" w:rsidP="00EC2E49">
      <w:pPr>
        <w:keepNext/>
        <w:keepLines/>
        <w:autoSpaceDE w:val="0"/>
        <w:autoSpaceDN w:val="0"/>
        <w:adjustRightInd w:val="0"/>
        <w:rPr>
          <w:rFonts w:eastAsia="Times New Roman"/>
          <w:u w:val="single"/>
        </w:rPr>
      </w:pPr>
      <w:r w:rsidRPr="00A14E24">
        <w:rPr>
          <w:rFonts w:eastAsia="Times New Roman"/>
          <w:u w:val="single"/>
        </w:rPr>
        <w:t>Pranešimas apie įtariamas nepageidaujamas reakcijas</w:t>
      </w:r>
    </w:p>
    <w:p w14:paraId="0BA4B5A9" w14:textId="6A7241CF" w:rsidR="00CC424D" w:rsidRPr="00A14E24" w:rsidRDefault="00CC424D" w:rsidP="00EC2E49">
      <w:pPr>
        <w:keepNext/>
        <w:keepLines/>
        <w:rPr>
          <w:rFonts w:eastAsia="Times New Roman"/>
        </w:rPr>
      </w:pPr>
      <w:r w:rsidRPr="00A14E24">
        <w:rPr>
          <w:rFonts w:eastAsia="Times New Roman"/>
        </w:rPr>
        <w:t xml:space="preserve">Svarbu pranešti apie įtariamas nepageidaujamas reakcijas, pastebėtas po vaistinio preparato </w:t>
      </w:r>
      <w:r w:rsidR="00404D4C" w:rsidRPr="00A14E24">
        <w:t>registracijos</w:t>
      </w:r>
      <w:r w:rsidRPr="00A14E24">
        <w:rPr>
          <w:rFonts w:eastAsia="Times New Roman"/>
        </w:rPr>
        <w:t xml:space="preserve">, nes tai leidžia nuolat stebėti vaistinio preparato naudos ir rizikos santykį. </w:t>
      </w:r>
      <w:r w:rsidR="009D6C77" w:rsidRPr="00A14E24">
        <w:t xml:space="preserve">Sveikatos priežiūros ar farmacijos specialistai turi pranešti apie bet kokias įtariamas nepageidaujamas reakcijas, </w:t>
      </w:r>
      <w:r w:rsidR="002D7C4E" w:rsidRPr="00A14E24">
        <w:t xml:space="preserve">užpildę ir pateikę pranešimo formą Valstybinės vaistų kontrolės tarnybos prie Lietuvos Respublikos sveikatos apsaugos ministerijos tinklalapyje </w:t>
      </w:r>
      <w:r w:rsidR="002D7C4E" w:rsidRPr="00A14E24">
        <w:rPr>
          <w:u w:val="single"/>
        </w:rPr>
        <w:t>https://vvkt.lrv.lt/lt/</w:t>
      </w:r>
      <w:r w:rsidR="002D7C4E" w:rsidRPr="00A14E24">
        <w:t xml:space="preserve"> nurodytais būdais.</w:t>
      </w:r>
    </w:p>
    <w:p w14:paraId="48D9D775" w14:textId="77777777" w:rsidR="00DF2186" w:rsidRPr="00A14E24" w:rsidRDefault="00DF2186" w:rsidP="00EC2E49">
      <w:pPr>
        <w:autoSpaceDE w:val="0"/>
        <w:autoSpaceDN w:val="0"/>
        <w:ind w:right="284"/>
      </w:pPr>
    </w:p>
    <w:p w14:paraId="682B6CC8" w14:textId="77777777" w:rsidR="00DF2186" w:rsidRPr="00A14E24" w:rsidRDefault="00DF2186" w:rsidP="00EC2E49">
      <w:pPr>
        <w:keepNext/>
        <w:keepLines/>
        <w:tabs>
          <w:tab w:val="left" w:pos="567"/>
        </w:tabs>
        <w:ind w:left="567" w:hanging="567"/>
        <w:outlineLvl w:val="2"/>
        <w:rPr>
          <w:b/>
          <w:kern w:val="28"/>
        </w:rPr>
      </w:pPr>
      <w:bookmarkStart w:id="26" w:name="_Toc129243110"/>
      <w:bookmarkStart w:id="27" w:name="_Toc129243235"/>
      <w:r w:rsidRPr="00A14E24">
        <w:rPr>
          <w:b/>
          <w:kern w:val="28"/>
        </w:rPr>
        <w:t>4.9</w:t>
      </w:r>
      <w:r w:rsidRPr="00A14E24">
        <w:rPr>
          <w:b/>
          <w:kern w:val="28"/>
        </w:rPr>
        <w:tab/>
        <w:t>Perdozavimas</w:t>
      </w:r>
      <w:bookmarkEnd w:id="26"/>
      <w:bookmarkEnd w:id="27"/>
    </w:p>
    <w:p w14:paraId="64F92738" w14:textId="77777777" w:rsidR="00CC424D" w:rsidRPr="00A14E24" w:rsidRDefault="00CC424D" w:rsidP="00EC2E49">
      <w:pPr>
        <w:rPr>
          <w:rFonts w:eastAsia="Times New Roman"/>
        </w:rPr>
      </w:pPr>
    </w:p>
    <w:p w14:paraId="07EF4041" w14:textId="202A0153" w:rsidR="000F439B" w:rsidRPr="00A14E24" w:rsidRDefault="000F439B" w:rsidP="00EC2E49">
      <w:pPr>
        <w:rPr>
          <w:rFonts w:eastAsia="Times New Roman"/>
          <w:u w:val="single"/>
        </w:rPr>
      </w:pPr>
      <w:r w:rsidRPr="00A14E24">
        <w:rPr>
          <w:rFonts w:eastAsia="Times New Roman"/>
          <w:u w:val="single"/>
        </w:rPr>
        <w:t>Toksinis poveikis</w:t>
      </w:r>
    </w:p>
    <w:p w14:paraId="55FAF28B" w14:textId="7BCB5E42" w:rsidR="00E208AB" w:rsidRPr="00A14E24" w:rsidRDefault="00774579" w:rsidP="00EC2E49">
      <w:pPr>
        <w:rPr>
          <w:rFonts w:eastAsia="Times New Roman"/>
        </w:rPr>
      </w:pPr>
      <w:r w:rsidRPr="00A14E24">
        <w:rPr>
          <w:rFonts w:eastAsia="Times New Roman"/>
        </w:rPr>
        <w:t>Simptomų gali pasireikšti vartojant</w:t>
      </w:r>
      <w:r w:rsidR="000F439B" w:rsidRPr="00A14E24">
        <w:rPr>
          <w:rFonts w:eastAsia="Times New Roman"/>
        </w:rPr>
        <w:t xml:space="preserve"> &gt;</w:t>
      </w:r>
      <w:r w:rsidRPr="00A14E24">
        <w:rPr>
          <w:rFonts w:eastAsia="Times New Roman"/>
        </w:rPr>
        <w:t> </w:t>
      </w:r>
      <w:r w:rsidR="000F439B" w:rsidRPr="00A14E24">
        <w:rPr>
          <w:rFonts w:eastAsia="Times New Roman"/>
        </w:rPr>
        <w:t>80–100</w:t>
      </w:r>
      <w:r w:rsidRPr="00A14E24">
        <w:rPr>
          <w:rFonts w:eastAsia="Times New Roman"/>
        </w:rPr>
        <w:t> </w:t>
      </w:r>
      <w:r w:rsidR="000F439B" w:rsidRPr="00A14E24">
        <w:rPr>
          <w:rFonts w:eastAsia="Times New Roman"/>
        </w:rPr>
        <w:t>mg/kg</w:t>
      </w:r>
      <w:r w:rsidRPr="00A14E24">
        <w:rPr>
          <w:rFonts w:eastAsia="Times New Roman"/>
        </w:rPr>
        <w:t xml:space="preserve"> dozes</w:t>
      </w:r>
      <w:r w:rsidR="000F439B" w:rsidRPr="00A14E24">
        <w:rPr>
          <w:rFonts w:eastAsia="Times New Roman"/>
        </w:rPr>
        <w:t xml:space="preserve">. </w:t>
      </w:r>
      <w:r w:rsidRPr="00A14E24">
        <w:rPr>
          <w:rFonts w:eastAsia="Times New Roman"/>
        </w:rPr>
        <w:t>Jei dozė yra</w:t>
      </w:r>
      <w:r w:rsidR="000F439B" w:rsidRPr="00A14E24">
        <w:rPr>
          <w:rFonts w:eastAsia="Times New Roman"/>
        </w:rPr>
        <w:t xml:space="preserve"> &gt;</w:t>
      </w:r>
      <w:r w:rsidRPr="00A14E24">
        <w:rPr>
          <w:rFonts w:eastAsia="Times New Roman"/>
        </w:rPr>
        <w:t> </w:t>
      </w:r>
      <w:r w:rsidR="000F439B" w:rsidRPr="00A14E24">
        <w:rPr>
          <w:rFonts w:eastAsia="Times New Roman"/>
        </w:rPr>
        <w:t>200</w:t>
      </w:r>
      <w:r w:rsidRPr="00A14E24">
        <w:rPr>
          <w:rFonts w:eastAsia="Times New Roman"/>
        </w:rPr>
        <w:t> </w:t>
      </w:r>
      <w:r w:rsidR="000F439B" w:rsidRPr="00A14E24">
        <w:rPr>
          <w:rFonts w:eastAsia="Times New Roman"/>
        </w:rPr>
        <w:t>mg/kg</w:t>
      </w:r>
      <w:r w:rsidRPr="00A14E24">
        <w:rPr>
          <w:rFonts w:eastAsia="Times New Roman"/>
        </w:rPr>
        <w:t xml:space="preserve">, gali pasireikšti sunkių simptomų, </w:t>
      </w:r>
      <w:r w:rsidR="00E208AB" w:rsidRPr="00A14E24">
        <w:rPr>
          <w:rFonts w:eastAsia="Times New Roman"/>
        </w:rPr>
        <w:t xml:space="preserve">tačiau skirtingiems pacientams </w:t>
      </w:r>
      <w:r w:rsidR="00E36DBE" w:rsidRPr="00A14E24">
        <w:rPr>
          <w:rFonts w:eastAsia="Times New Roman"/>
        </w:rPr>
        <w:t>sunkius simptomus sukelianti</w:t>
      </w:r>
      <w:r w:rsidR="00E208AB" w:rsidRPr="00A14E24">
        <w:rPr>
          <w:rFonts w:eastAsia="Times New Roman"/>
        </w:rPr>
        <w:t xml:space="preserve"> dozė reikšmingai skiriasi. </w:t>
      </w:r>
      <w:r w:rsidR="000F439B" w:rsidRPr="00A14E24">
        <w:rPr>
          <w:rFonts w:eastAsia="Times New Roman"/>
        </w:rPr>
        <w:t>560</w:t>
      </w:r>
      <w:r w:rsidR="00E208AB" w:rsidRPr="00A14E24">
        <w:rPr>
          <w:rFonts w:eastAsia="Times New Roman"/>
        </w:rPr>
        <w:t> </w:t>
      </w:r>
      <w:r w:rsidR="000F439B" w:rsidRPr="00A14E24">
        <w:rPr>
          <w:rFonts w:eastAsia="Times New Roman"/>
        </w:rPr>
        <w:t xml:space="preserve">mg/kg </w:t>
      </w:r>
      <w:r w:rsidR="00E208AB" w:rsidRPr="00A14E24">
        <w:rPr>
          <w:rFonts w:eastAsia="Times New Roman"/>
        </w:rPr>
        <w:t>dozė 15</w:t>
      </w:r>
      <w:r w:rsidR="003568D6" w:rsidRPr="00A14E24">
        <w:rPr>
          <w:rFonts w:eastAsia="Times New Roman"/>
        </w:rPr>
        <w:t> </w:t>
      </w:r>
      <w:r w:rsidR="00E208AB" w:rsidRPr="00A14E24">
        <w:rPr>
          <w:rFonts w:eastAsia="Times New Roman"/>
        </w:rPr>
        <w:t>mėnesių amžiaus vaikui sukėlė sunkų apsinuodijimą,</w:t>
      </w:r>
      <w:r w:rsidR="000F439B" w:rsidRPr="00A14E24">
        <w:rPr>
          <w:rFonts w:eastAsia="Times New Roman"/>
        </w:rPr>
        <w:t xml:space="preserve"> 3</w:t>
      </w:r>
      <w:r w:rsidR="00E208AB" w:rsidRPr="00A14E24">
        <w:rPr>
          <w:rFonts w:eastAsia="Times New Roman"/>
        </w:rPr>
        <w:t>,</w:t>
      </w:r>
      <w:r w:rsidR="000F439B" w:rsidRPr="00A14E24">
        <w:rPr>
          <w:rFonts w:eastAsia="Times New Roman"/>
        </w:rPr>
        <w:t>2</w:t>
      </w:r>
      <w:r w:rsidR="00E208AB" w:rsidRPr="00A14E24">
        <w:rPr>
          <w:rFonts w:eastAsia="Times New Roman"/>
        </w:rPr>
        <w:t> </w:t>
      </w:r>
      <w:r w:rsidR="000F439B" w:rsidRPr="00A14E24">
        <w:rPr>
          <w:rFonts w:eastAsia="Times New Roman"/>
        </w:rPr>
        <w:t xml:space="preserve">g </w:t>
      </w:r>
      <w:r w:rsidR="00E208AB" w:rsidRPr="00A14E24">
        <w:rPr>
          <w:rFonts w:eastAsia="Times New Roman"/>
        </w:rPr>
        <w:t xml:space="preserve">dozė 6 metų vaikui – lengvą-vidutinio sunkumo apsinuodijimą, </w:t>
      </w:r>
      <w:r w:rsidR="000F439B" w:rsidRPr="00A14E24">
        <w:rPr>
          <w:rFonts w:eastAsia="Times New Roman"/>
        </w:rPr>
        <w:t>2</w:t>
      </w:r>
      <w:r w:rsidR="00E208AB" w:rsidRPr="00A14E24">
        <w:rPr>
          <w:rFonts w:eastAsia="Times New Roman"/>
        </w:rPr>
        <w:t>,</w:t>
      </w:r>
      <w:r w:rsidR="000F439B" w:rsidRPr="00A14E24">
        <w:rPr>
          <w:rFonts w:eastAsia="Times New Roman"/>
        </w:rPr>
        <w:t>8–4</w:t>
      </w:r>
      <w:r w:rsidR="00E208AB" w:rsidRPr="00A14E24">
        <w:rPr>
          <w:rFonts w:eastAsia="Times New Roman"/>
        </w:rPr>
        <w:t> </w:t>
      </w:r>
      <w:r w:rsidR="000F439B" w:rsidRPr="00A14E24">
        <w:rPr>
          <w:rFonts w:eastAsia="Times New Roman"/>
        </w:rPr>
        <w:t xml:space="preserve">g </w:t>
      </w:r>
      <w:r w:rsidR="00E208AB" w:rsidRPr="00A14E24">
        <w:rPr>
          <w:rFonts w:eastAsia="Times New Roman"/>
        </w:rPr>
        <w:t>dozė pusantrų metų vaikui ir 6 g dozė 6 metų vaikui – sunkų apsinuodijimą net po skrandžio plovimo,</w:t>
      </w:r>
      <w:r w:rsidR="000F439B" w:rsidRPr="00A14E24">
        <w:rPr>
          <w:rFonts w:eastAsia="Times New Roman"/>
        </w:rPr>
        <w:t xml:space="preserve"> 8</w:t>
      </w:r>
      <w:r w:rsidR="00E208AB" w:rsidRPr="00A14E24">
        <w:rPr>
          <w:rFonts w:eastAsia="Times New Roman"/>
        </w:rPr>
        <w:t> </w:t>
      </w:r>
      <w:r w:rsidR="000F439B" w:rsidRPr="00A14E24">
        <w:rPr>
          <w:rFonts w:eastAsia="Times New Roman"/>
        </w:rPr>
        <w:t xml:space="preserve">g </w:t>
      </w:r>
      <w:r w:rsidR="00E208AB" w:rsidRPr="00A14E24">
        <w:rPr>
          <w:rFonts w:eastAsia="Times New Roman"/>
        </w:rPr>
        <w:t>dozė suaugusiajam – vidutinio sunkumo apsinuodijimą ir</w:t>
      </w:r>
      <w:r w:rsidR="000F439B" w:rsidRPr="00A14E24">
        <w:rPr>
          <w:rFonts w:eastAsia="Times New Roman"/>
        </w:rPr>
        <w:t xml:space="preserve"> &gt;</w:t>
      </w:r>
      <w:r w:rsidR="00E208AB" w:rsidRPr="00A14E24">
        <w:rPr>
          <w:rFonts w:eastAsia="Times New Roman"/>
        </w:rPr>
        <w:t> </w:t>
      </w:r>
      <w:r w:rsidR="000F439B" w:rsidRPr="00A14E24">
        <w:rPr>
          <w:rFonts w:eastAsia="Times New Roman"/>
        </w:rPr>
        <w:t>20</w:t>
      </w:r>
      <w:r w:rsidR="00E208AB" w:rsidRPr="00A14E24">
        <w:rPr>
          <w:rFonts w:eastAsia="Times New Roman"/>
        </w:rPr>
        <w:t> </w:t>
      </w:r>
      <w:r w:rsidR="000F439B" w:rsidRPr="00A14E24">
        <w:rPr>
          <w:rFonts w:eastAsia="Times New Roman"/>
        </w:rPr>
        <w:t xml:space="preserve">g </w:t>
      </w:r>
      <w:r w:rsidR="00E208AB" w:rsidRPr="00A14E24">
        <w:rPr>
          <w:rFonts w:eastAsia="Times New Roman"/>
        </w:rPr>
        <w:t>dozė suaugusiajam – labai sunkų apsinuodijimą</w:t>
      </w:r>
      <w:r w:rsidR="000F439B" w:rsidRPr="00A14E24">
        <w:rPr>
          <w:rFonts w:eastAsia="Times New Roman"/>
        </w:rPr>
        <w:t>. 8</w:t>
      </w:r>
      <w:r w:rsidR="00E208AB" w:rsidRPr="00A14E24">
        <w:rPr>
          <w:rFonts w:eastAsia="Times New Roman"/>
        </w:rPr>
        <w:t> </w:t>
      </w:r>
      <w:r w:rsidR="000F439B" w:rsidRPr="00A14E24">
        <w:rPr>
          <w:rFonts w:eastAsia="Times New Roman"/>
        </w:rPr>
        <w:t xml:space="preserve">g </w:t>
      </w:r>
      <w:r w:rsidR="00E208AB" w:rsidRPr="00A14E24">
        <w:rPr>
          <w:rFonts w:eastAsia="Times New Roman"/>
        </w:rPr>
        <w:t>dozė 16 metų vaikui sukėlė inkstų pažaidą, o 12 g dozės ir alkoholio derinys paaugliui sukėlė ūminę kanalėlių nekrozę.</w:t>
      </w:r>
    </w:p>
    <w:p w14:paraId="63E2D35A" w14:textId="77777777" w:rsidR="000F439B" w:rsidRPr="00A14E24" w:rsidRDefault="000F439B" w:rsidP="00EC2E49">
      <w:pPr>
        <w:rPr>
          <w:rFonts w:eastAsia="Times New Roman"/>
        </w:rPr>
      </w:pPr>
    </w:p>
    <w:p w14:paraId="0FD320E8" w14:textId="38CEC59D" w:rsidR="000F439B" w:rsidRPr="00A14E24" w:rsidRDefault="002132DF" w:rsidP="00EC2E49">
      <w:pPr>
        <w:rPr>
          <w:rFonts w:eastAsia="Times New Roman"/>
          <w:u w:val="single"/>
        </w:rPr>
      </w:pPr>
      <w:r w:rsidRPr="00A14E24">
        <w:rPr>
          <w:rFonts w:eastAsia="Times New Roman"/>
          <w:u w:val="single"/>
        </w:rPr>
        <w:t>Simptomai</w:t>
      </w:r>
    </w:p>
    <w:p w14:paraId="11D82715" w14:textId="4C3ECB10" w:rsidR="00847D2D" w:rsidRPr="00A14E24" w:rsidRDefault="00847D2D" w:rsidP="00EC2E49">
      <w:pPr>
        <w:rPr>
          <w:rFonts w:eastAsia="Times New Roman"/>
        </w:rPr>
      </w:pPr>
      <w:r w:rsidRPr="00A14E24">
        <w:rPr>
          <w:rFonts w:eastAsia="Times New Roman"/>
        </w:rPr>
        <w:t xml:space="preserve">Perdozavimo simptomai paprastai pasireiškia praėjus 4–6 valandoms po vaistinio preparato pavartojimo. Dažniausiai pasireiškia virškinimo trakto simptomai, pvz., pykinimas, pilvo skausmas, vėmimas (vėmaluose gali būti kraujo ruoželių), galvos skausmas, </w:t>
      </w:r>
      <w:r w:rsidR="00AB3E7E" w:rsidRPr="00A14E24">
        <w:rPr>
          <w:rFonts w:eastAsia="Times New Roman"/>
        </w:rPr>
        <w:t>ūžesys</w:t>
      </w:r>
      <w:r w:rsidRPr="00A14E24">
        <w:rPr>
          <w:rFonts w:eastAsia="Times New Roman"/>
        </w:rPr>
        <w:t xml:space="preserve"> (</w:t>
      </w:r>
      <w:proofErr w:type="spellStart"/>
      <w:r w:rsidRPr="00A14E24">
        <w:rPr>
          <w:rFonts w:eastAsia="Times New Roman"/>
          <w:i/>
          <w:iCs/>
        </w:rPr>
        <w:t>tinnitus</w:t>
      </w:r>
      <w:proofErr w:type="spellEnd"/>
      <w:r w:rsidRPr="00A14E24">
        <w:rPr>
          <w:rFonts w:eastAsia="Times New Roman"/>
        </w:rPr>
        <w:t xml:space="preserve">), sumišimas ir </w:t>
      </w:r>
      <w:proofErr w:type="spellStart"/>
      <w:r w:rsidRPr="00A14E24">
        <w:rPr>
          <w:rFonts w:eastAsia="Times New Roman"/>
        </w:rPr>
        <w:t>nistagmas</w:t>
      </w:r>
      <w:proofErr w:type="spellEnd"/>
      <w:r w:rsidRPr="00A14E24">
        <w:rPr>
          <w:rFonts w:eastAsia="Times New Roman"/>
        </w:rPr>
        <w:t xml:space="preserve">. Vartojant dideles dozes gali pasireikšti sąmonės netekimas, traukuliai (dažniausiai vaikams). </w:t>
      </w:r>
      <w:r w:rsidR="00AB3E7E" w:rsidRPr="00A14E24">
        <w:rPr>
          <w:rFonts w:eastAsia="Times New Roman"/>
        </w:rPr>
        <w:t>Gali pasireikšti b</w:t>
      </w:r>
      <w:r w:rsidRPr="00A14E24">
        <w:rPr>
          <w:rFonts w:eastAsia="Times New Roman"/>
        </w:rPr>
        <w:t xml:space="preserve">radikardija, kraujospūdžio </w:t>
      </w:r>
      <w:r w:rsidR="00AB3E7E" w:rsidRPr="00A14E24">
        <w:rPr>
          <w:rFonts w:eastAsia="Times New Roman"/>
        </w:rPr>
        <w:t>sumažėjimas</w:t>
      </w:r>
      <w:r w:rsidRPr="00A14E24">
        <w:rPr>
          <w:rFonts w:eastAsia="Times New Roman"/>
        </w:rPr>
        <w:t xml:space="preserve">. </w:t>
      </w:r>
      <w:r w:rsidR="00AB3E7E" w:rsidRPr="00A14E24">
        <w:rPr>
          <w:rFonts w:eastAsia="Times New Roman"/>
        </w:rPr>
        <w:t xml:space="preserve">Gali atsirasti </w:t>
      </w:r>
      <w:proofErr w:type="spellStart"/>
      <w:r w:rsidR="00AB3E7E" w:rsidRPr="00A14E24">
        <w:rPr>
          <w:rFonts w:eastAsia="Times New Roman"/>
        </w:rPr>
        <w:t>m</w:t>
      </w:r>
      <w:r w:rsidRPr="00A14E24">
        <w:rPr>
          <w:rFonts w:eastAsia="Times New Roman"/>
        </w:rPr>
        <w:t>etabolinė</w:t>
      </w:r>
      <w:proofErr w:type="spellEnd"/>
      <w:r w:rsidRPr="00A14E24">
        <w:rPr>
          <w:rFonts w:eastAsia="Times New Roman"/>
        </w:rPr>
        <w:t xml:space="preserve"> </w:t>
      </w:r>
      <w:proofErr w:type="spellStart"/>
      <w:r w:rsidRPr="00A14E24">
        <w:rPr>
          <w:rFonts w:eastAsia="Times New Roman"/>
        </w:rPr>
        <w:t>acidozė</w:t>
      </w:r>
      <w:proofErr w:type="spellEnd"/>
      <w:r w:rsidRPr="00A14E24">
        <w:rPr>
          <w:rFonts w:eastAsia="Times New Roman"/>
        </w:rPr>
        <w:t xml:space="preserve">, </w:t>
      </w:r>
      <w:proofErr w:type="spellStart"/>
      <w:r w:rsidRPr="00A14E24">
        <w:rPr>
          <w:rFonts w:eastAsia="Times New Roman"/>
        </w:rPr>
        <w:t>hipernatremija</w:t>
      </w:r>
      <w:proofErr w:type="spellEnd"/>
      <w:r w:rsidRPr="00A14E24">
        <w:rPr>
          <w:rFonts w:eastAsia="Times New Roman"/>
        </w:rPr>
        <w:t xml:space="preserve">, poveikis inkstams, </w:t>
      </w:r>
      <w:proofErr w:type="spellStart"/>
      <w:r w:rsidRPr="00A14E24">
        <w:rPr>
          <w:rFonts w:eastAsia="Times New Roman"/>
        </w:rPr>
        <w:t>hematurija</w:t>
      </w:r>
      <w:proofErr w:type="spellEnd"/>
      <w:r w:rsidRPr="00A14E24">
        <w:rPr>
          <w:rFonts w:eastAsia="Times New Roman"/>
        </w:rPr>
        <w:t xml:space="preserve">. Galimas poveikis kepenims. Retais atvejais buvo pranešta apie hipotermiją ir ūminį respiracinio </w:t>
      </w:r>
      <w:proofErr w:type="spellStart"/>
      <w:r w:rsidRPr="00A14E24">
        <w:rPr>
          <w:rFonts w:eastAsia="Times New Roman"/>
        </w:rPr>
        <w:t>distreso</w:t>
      </w:r>
      <w:proofErr w:type="spellEnd"/>
      <w:r w:rsidRPr="00A14E24">
        <w:rPr>
          <w:rFonts w:eastAsia="Times New Roman"/>
        </w:rPr>
        <w:t xml:space="preserve"> sindromą.</w:t>
      </w:r>
    </w:p>
    <w:p w14:paraId="316DCB0C" w14:textId="377DA693" w:rsidR="000F439B" w:rsidRPr="00A14E24" w:rsidRDefault="006B51AF" w:rsidP="00EC2E49">
      <w:pPr>
        <w:rPr>
          <w:rFonts w:eastAsia="Times New Roman"/>
        </w:rPr>
      </w:pPr>
      <w:r w:rsidRPr="00A14E24">
        <w:rPr>
          <w:rFonts w:eastAsia="Times New Roman"/>
        </w:rPr>
        <w:t xml:space="preserve">Ilgalaikis didesnių nei rekomenduojama dozių vartojimas arba perdozavimas gali sukelti inkstų kanalėlių </w:t>
      </w:r>
      <w:proofErr w:type="spellStart"/>
      <w:r w:rsidRPr="00A14E24">
        <w:rPr>
          <w:rFonts w:eastAsia="Times New Roman"/>
        </w:rPr>
        <w:t>acidozę</w:t>
      </w:r>
      <w:proofErr w:type="spellEnd"/>
      <w:r w:rsidRPr="00A14E24">
        <w:rPr>
          <w:rFonts w:eastAsia="Times New Roman"/>
        </w:rPr>
        <w:t xml:space="preserve"> ir </w:t>
      </w:r>
      <w:proofErr w:type="spellStart"/>
      <w:r w:rsidRPr="00A14E24">
        <w:rPr>
          <w:rFonts w:eastAsia="Times New Roman"/>
        </w:rPr>
        <w:t>hipokalemiją</w:t>
      </w:r>
      <w:proofErr w:type="spellEnd"/>
      <w:r w:rsidRPr="00A14E24">
        <w:rPr>
          <w:rFonts w:eastAsia="Times New Roman"/>
        </w:rPr>
        <w:t>.</w:t>
      </w:r>
    </w:p>
    <w:p w14:paraId="42BD5ECF" w14:textId="77777777" w:rsidR="006B51AF" w:rsidRPr="00A14E24" w:rsidRDefault="006B51AF" w:rsidP="00EC2E49">
      <w:pPr>
        <w:rPr>
          <w:rFonts w:eastAsia="Times New Roman"/>
        </w:rPr>
      </w:pPr>
    </w:p>
    <w:p w14:paraId="5C136040" w14:textId="62626791" w:rsidR="000F439B" w:rsidRPr="00143028" w:rsidRDefault="00A85E7E" w:rsidP="00EC2E49">
      <w:pPr>
        <w:rPr>
          <w:rFonts w:eastAsia="Times New Roman"/>
          <w:u w:val="single"/>
        </w:rPr>
      </w:pPr>
      <w:r w:rsidRPr="00143028">
        <w:rPr>
          <w:rFonts w:eastAsia="Times New Roman"/>
          <w:u w:val="single"/>
        </w:rPr>
        <w:t>Gydymas</w:t>
      </w:r>
    </w:p>
    <w:p w14:paraId="5969EF3E" w14:textId="736AFD5A" w:rsidR="000F439B" w:rsidRPr="00393678" w:rsidRDefault="002A5710" w:rsidP="00EC2E49">
      <w:pPr>
        <w:rPr>
          <w:rFonts w:eastAsia="Times New Roman"/>
        </w:rPr>
      </w:pPr>
      <w:r w:rsidRPr="00143028">
        <w:rPr>
          <w:rFonts w:eastAsia="Times New Roman"/>
        </w:rPr>
        <w:t>Jei reikia, atliekamas skrandžio plovimas</w:t>
      </w:r>
      <w:r w:rsidR="00671869" w:rsidRPr="00143028">
        <w:rPr>
          <w:rFonts w:eastAsia="Times New Roman"/>
        </w:rPr>
        <w:t>, skiriama</w:t>
      </w:r>
      <w:r w:rsidRPr="00143028">
        <w:rPr>
          <w:rFonts w:eastAsia="Times New Roman"/>
        </w:rPr>
        <w:t xml:space="preserve"> aktyvintoji anglis</w:t>
      </w:r>
      <w:r w:rsidR="00EF1B8E" w:rsidRPr="00143028">
        <w:rPr>
          <w:rFonts w:eastAsia="Times New Roman"/>
        </w:rPr>
        <w:t xml:space="preserve">. </w:t>
      </w:r>
      <w:r w:rsidR="00833A9C" w:rsidRPr="00143028">
        <w:rPr>
          <w:rFonts w:eastAsia="Times New Roman"/>
        </w:rPr>
        <w:t xml:space="preserve">Jeigu pasireiškia virškinimo trakto sutrikimų, skiriami </w:t>
      </w:r>
      <w:proofErr w:type="spellStart"/>
      <w:r w:rsidR="00833A9C" w:rsidRPr="00143028">
        <w:rPr>
          <w:rFonts w:eastAsia="Times New Roman"/>
        </w:rPr>
        <w:t>antacidiniai</w:t>
      </w:r>
      <w:proofErr w:type="spellEnd"/>
      <w:r w:rsidR="00833A9C" w:rsidRPr="00143028">
        <w:rPr>
          <w:rFonts w:eastAsia="Times New Roman"/>
        </w:rPr>
        <w:t xml:space="preserve"> vaistiniai preparatai. Pasireiškus </w:t>
      </w:r>
      <w:proofErr w:type="spellStart"/>
      <w:r w:rsidR="00833A9C" w:rsidRPr="00143028">
        <w:rPr>
          <w:rFonts w:eastAsia="Times New Roman"/>
        </w:rPr>
        <w:t>hipotenzijai</w:t>
      </w:r>
      <w:proofErr w:type="spellEnd"/>
      <w:r w:rsidR="00833A9C" w:rsidRPr="00143028">
        <w:rPr>
          <w:rFonts w:eastAsia="Times New Roman"/>
        </w:rPr>
        <w:t xml:space="preserve">, skiriami intraveniniai skysčiai ir, jei reikia, </w:t>
      </w:r>
      <w:proofErr w:type="spellStart"/>
      <w:r w:rsidR="00833A9C" w:rsidRPr="00143028">
        <w:rPr>
          <w:rFonts w:eastAsia="Times New Roman"/>
        </w:rPr>
        <w:t>inotropinę</w:t>
      </w:r>
      <w:proofErr w:type="spellEnd"/>
      <w:r w:rsidR="00833A9C" w:rsidRPr="00143028">
        <w:rPr>
          <w:rFonts w:eastAsia="Times New Roman"/>
        </w:rPr>
        <w:t xml:space="preserve"> funkciją palaikantys vaistiniai preparatai. Būtina užtikrinti pakankamą diurezę. Koreguojami rūgščių-šarmų ir elektrolitų pusiausvyros sutrikimai. Skiriamas kitoks simptominis gydymas.</w:t>
      </w:r>
    </w:p>
    <w:p w14:paraId="7645BAA5" w14:textId="77777777" w:rsidR="000F439B" w:rsidRPr="00A14E24" w:rsidRDefault="000F439B" w:rsidP="00EC2E49">
      <w:pPr>
        <w:rPr>
          <w:rFonts w:eastAsia="Times New Roman"/>
        </w:rPr>
      </w:pPr>
    </w:p>
    <w:p w14:paraId="124F066A" w14:textId="77777777" w:rsidR="00DF2186" w:rsidRPr="00A14E24" w:rsidRDefault="00DF2186" w:rsidP="00EC2E49">
      <w:pPr>
        <w:tabs>
          <w:tab w:val="left" w:pos="426"/>
        </w:tabs>
      </w:pPr>
    </w:p>
    <w:p w14:paraId="7CB5D510" w14:textId="77777777" w:rsidR="00DF2186" w:rsidRPr="00A14E24" w:rsidRDefault="00DF2186" w:rsidP="00EC2E49">
      <w:pPr>
        <w:keepNext/>
        <w:tabs>
          <w:tab w:val="left" w:pos="567"/>
        </w:tabs>
        <w:ind w:left="567" w:hanging="567"/>
        <w:outlineLvl w:val="1"/>
        <w:rPr>
          <w:b/>
        </w:rPr>
      </w:pPr>
      <w:bookmarkStart w:id="28" w:name="_Toc129243111"/>
      <w:bookmarkStart w:id="29" w:name="_Toc129243236"/>
      <w:r w:rsidRPr="00A14E24">
        <w:rPr>
          <w:b/>
        </w:rPr>
        <w:t>5.</w:t>
      </w:r>
      <w:r w:rsidRPr="00A14E24">
        <w:rPr>
          <w:b/>
        </w:rPr>
        <w:tab/>
        <w:t>FARMAKOLOGINĖS SAVYBĖS</w:t>
      </w:r>
      <w:bookmarkEnd w:id="28"/>
      <w:bookmarkEnd w:id="29"/>
    </w:p>
    <w:p w14:paraId="66BBCEBB" w14:textId="77777777" w:rsidR="00DF2186" w:rsidRPr="00A14E24" w:rsidRDefault="00DF2186" w:rsidP="00EC2E49">
      <w:pPr>
        <w:keepNext/>
        <w:tabs>
          <w:tab w:val="left" w:pos="426"/>
        </w:tabs>
      </w:pPr>
    </w:p>
    <w:p w14:paraId="4DF6C8F4" w14:textId="77777777" w:rsidR="00DF2186" w:rsidRPr="00A14E24" w:rsidRDefault="00DF2186" w:rsidP="00EC2E49">
      <w:pPr>
        <w:keepNext/>
        <w:keepLines/>
        <w:tabs>
          <w:tab w:val="left" w:pos="567"/>
        </w:tabs>
        <w:ind w:left="567" w:hanging="567"/>
        <w:outlineLvl w:val="2"/>
        <w:rPr>
          <w:b/>
          <w:kern w:val="28"/>
        </w:rPr>
      </w:pPr>
      <w:bookmarkStart w:id="30" w:name="_Toc129243112"/>
      <w:bookmarkStart w:id="31" w:name="_Toc129243237"/>
      <w:r w:rsidRPr="00A14E24">
        <w:rPr>
          <w:b/>
          <w:kern w:val="28"/>
        </w:rPr>
        <w:t>5.1</w:t>
      </w:r>
      <w:r w:rsidRPr="00A14E24">
        <w:rPr>
          <w:b/>
          <w:kern w:val="28"/>
        </w:rPr>
        <w:tab/>
      </w:r>
      <w:proofErr w:type="spellStart"/>
      <w:r w:rsidRPr="00A14E24">
        <w:rPr>
          <w:b/>
          <w:kern w:val="28"/>
        </w:rPr>
        <w:t>Farmakodinaminės</w:t>
      </w:r>
      <w:proofErr w:type="spellEnd"/>
      <w:r w:rsidRPr="00A14E24">
        <w:rPr>
          <w:b/>
          <w:kern w:val="28"/>
        </w:rPr>
        <w:t xml:space="preserve"> savybės</w:t>
      </w:r>
      <w:bookmarkEnd w:id="30"/>
      <w:bookmarkEnd w:id="31"/>
    </w:p>
    <w:p w14:paraId="0F881D7F" w14:textId="77777777" w:rsidR="00DF2186" w:rsidRPr="00A14E24" w:rsidRDefault="00DF2186" w:rsidP="00EC2E49">
      <w:pPr>
        <w:keepNext/>
        <w:tabs>
          <w:tab w:val="left" w:pos="426"/>
        </w:tabs>
      </w:pPr>
    </w:p>
    <w:p w14:paraId="73E05757" w14:textId="77777777" w:rsidR="00DF2186" w:rsidRPr="00A14E24" w:rsidRDefault="00DF2186" w:rsidP="00EC2E49">
      <w:pPr>
        <w:tabs>
          <w:tab w:val="left" w:pos="426"/>
        </w:tabs>
        <w:rPr>
          <w:snapToGrid w:val="0"/>
        </w:rPr>
      </w:pPr>
      <w:proofErr w:type="spellStart"/>
      <w:r w:rsidRPr="00A14E24">
        <w:rPr>
          <w:snapToGrid w:val="0"/>
        </w:rPr>
        <w:t>Farmakoterapinė</w:t>
      </w:r>
      <w:proofErr w:type="spellEnd"/>
      <w:r w:rsidRPr="00A14E24">
        <w:rPr>
          <w:snapToGrid w:val="0"/>
        </w:rPr>
        <w:t xml:space="preserve"> grupė – nesteroidiniai priešuždegiminiai</w:t>
      </w:r>
      <w:r w:rsidR="004C43D6" w:rsidRPr="00A14E24">
        <w:rPr>
          <w:snapToGrid w:val="0"/>
        </w:rPr>
        <w:t xml:space="preserve"> ir </w:t>
      </w:r>
      <w:proofErr w:type="spellStart"/>
      <w:r w:rsidR="004C43D6" w:rsidRPr="00A14E24">
        <w:rPr>
          <w:snapToGrid w:val="0"/>
        </w:rPr>
        <w:t>priešreumatiniai</w:t>
      </w:r>
      <w:proofErr w:type="spellEnd"/>
      <w:r w:rsidRPr="00A14E24">
        <w:rPr>
          <w:snapToGrid w:val="0"/>
        </w:rPr>
        <w:t xml:space="preserve"> vaistiniai preparatai</w:t>
      </w:r>
      <w:r w:rsidR="004C43D6" w:rsidRPr="00A14E24">
        <w:rPr>
          <w:snapToGrid w:val="0"/>
        </w:rPr>
        <w:t xml:space="preserve">, </w:t>
      </w:r>
      <w:proofErr w:type="spellStart"/>
      <w:r w:rsidR="004C43D6" w:rsidRPr="00A14E24">
        <w:rPr>
          <w:snapToGrid w:val="0"/>
        </w:rPr>
        <w:t>propiono</w:t>
      </w:r>
      <w:proofErr w:type="spellEnd"/>
      <w:r w:rsidR="004C43D6" w:rsidRPr="00A14E24">
        <w:rPr>
          <w:snapToGrid w:val="0"/>
        </w:rPr>
        <w:t xml:space="preserve"> rūgšties dariniai, </w:t>
      </w:r>
      <w:r w:rsidRPr="00A14E24">
        <w:rPr>
          <w:snapToGrid w:val="0"/>
        </w:rPr>
        <w:t>ATC</w:t>
      </w:r>
      <w:r w:rsidR="004C43D6" w:rsidRPr="00A14E24">
        <w:rPr>
          <w:snapToGrid w:val="0"/>
        </w:rPr>
        <w:t> </w:t>
      </w:r>
      <w:r w:rsidRPr="00A14E24">
        <w:rPr>
          <w:snapToGrid w:val="0"/>
        </w:rPr>
        <w:t>kodas – M</w:t>
      </w:r>
      <w:r w:rsidR="004C43D6" w:rsidRPr="00A14E24">
        <w:rPr>
          <w:snapToGrid w:val="0"/>
        </w:rPr>
        <w:t>0</w:t>
      </w:r>
      <w:r w:rsidRPr="00A14E24">
        <w:rPr>
          <w:snapToGrid w:val="0"/>
        </w:rPr>
        <w:t>1AE01.</w:t>
      </w:r>
    </w:p>
    <w:p w14:paraId="0083AC61" w14:textId="77777777" w:rsidR="00DF2186" w:rsidRPr="00A14E24" w:rsidRDefault="00DF2186" w:rsidP="00EC2E49">
      <w:pPr>
        <w:tabs>
          <w:tab w:val="left" w:pos="426"/>
        </w:tabs>
      </w:pPr>
    </w:p>
    <w:p w14:paraId="5A5D171E" w14:textId="3DA4BD24" w:rsidR="00A21783" w:rsidRPr="00A14E24" w:rsidRDefault="00A21783" w:rsidP="00EC2E49">
      <w:pPr>
        <w:rPr>
          <w:rFonts w:eastAsia="Times New Roman"/>
          <w:snapToGrid w:val="0"/>
          <w:u w:val="single"/>
        </w:rPr>
      </w:pPr>
      <w:r w:rsidRPr="00A14E24">
        <w:rPr>
          <w:rFonts w:eastAsia="Times New Roman"/>
          <w:snapToGrid w:val="0"/>
          <w:u w:val="single"/>
        </w:rPr>
        <w:lastRenderedPageBreak/>
        <w:t>Veikimo mechanizmas</w:t>
      </w:r>
    </w:p>
    <w:p w14:paraId="5F934413" w14:textId="028820F9" w:rsidR="008F5115" w:rsidRPr="00A14E24" w:rsidRDefault="008F5115" w:rsidP="00EC2E49">
      <w:pPr>
        <w:rPr>
          <w:rFonts w:eastAsia="Times New Roman"/>
          <w:snapToGrid w:val="0"/>
        </w:rPr>
      </w:pPr>
      <w:proofErr w:type="spellStart"/>
      <w:r w:rsidRPr="00A14E24">
        <w:rPr>
          <w:rFonts w:eastAsia="Times New Roman"/>
          <w:snapToGrid w:val="0"/>
        </w:rPr>
        <w:t>Ibuprofenas</w:t>
      </w:r>
      <w:proofErr w:type="spellEnd"/>
      <w:r w:rsidRPr="00A14E24">
        <w:rPr>
          <w:rFonts w:eastAsia="Times New Roman"/>
          <w:snapToGrid w:val="0"/>
        </w:rPr>
        <w:t xml:space="preserve"> priklauso nesteroidinių vaistinių preparatų </w:t>
      </w:r>
      <w:r w:rsidR="00AB3E7E" w:rsidRPr="00A14E24">
        <w:rPr>
          <w:rFonts w:eastAsia="Times New Roman"/>
          <w:snapToGrid w:val="0"/>
        </w:rPr>
        <w:t xml:space="preserve">nuo uždegimo </w:t>
      </w:r>
      <w:r w:rsidRPr="00A14E24">
        <w:rPr>
          <w:rFonts w:eastAsia="Times New Roman"/>
          <w:snapToGrid w:val="0"/>
        </w:rPr>
        <w:t>(NV</w:t>
      </w:r>
      <w:r w:rsidR="007F0B2C">
        <w:rPr>
          <w:rFonts w:eastAsia="Times New Roman"/>
          <w:snapToGrid w:val="0"/>
        </w:rPr>
        <w:t>P</w:t>
      </w:r>
      <w:r w:rsidRPr="00A14E24">
        <w:rPr>
          <w:rFonts w:eastAsia="Times New Roman"/>
          <w:snapToGrid w:val="0"/>
        </w:rPr>
        <w:t xml:space="preserve">NU) grupei. Jis yra </w:t>
      </w:r>
      <w:proofErr w:type="spellStart"/>
      <w:r w:rsidRPr="00A14E24">
        <w:rPr>
          <w:rFonts w:eastAsia="Times New Roman"/>
          <w:snapToGrid w:val="0"/>
        </w:rPr>
        <w:t>propiono</w:t>
      </w:r>
      <w:proofErr w:type="spellEnd"/>
      <w:r w:rsidRPr="00A14E24">
        <w:rPr>
          <w:rFonts w:eastAsia="Times New Roman"/>
          <w:snapToGrid w:val="0"/>
        </w:rPr>
        <w:t xml:space="preserve"> rūgšties darinys p-</w:t>
      </w:r>
      <w:proofErr w:type="spellStart"/>
      <w:r w:rsidRPr="00A14E24">
        <w:rPr>
          <w:rFonts w:eastAsia="Times New Roman"/>
          <w:snapToGrid w:val="0"/>
        </w:rPr>
        <w:t>izobutil</w:t>
      </w:r>
      <w:proofErr w:type="spellEnd"/>
      <w:r w:rsidRPr="00A14E24">
        <w:rPr>
          <w:rFonts w:eastAsia="Times New Roman"/>
          <w:snapToGrid w:val="0"/>
        </w:rPr>
        <w:t>-</w:t>
      </w:r>
      <w:proofErr w:type="spellStart"/>
      <w:r w:rsidRPr="00A14E24">
        <w:rPr>
          <w:rFonts w:eastAsia="Times New Roman"/>
          <w:snapToGrid w:val="0"/>
        </w:rPr>
        <w:t>hidratropo</w:t>
      </w:r>
      <w:proofErr w:type="spellEnd"/>
      <w:r w:rsidRPr="00A14E24">
        <w:rPr>
          <w:rFonts w:eastAsia="Times New Roman"/>
          <w:snapToGrid w:val="0"/>
        </w:rPr>
        <w:t xml:space="preserve"> rūgštis, jos bendrinis pavadinimas yra </w:t>
      </w:r>
      <w:proofErr w:type="spellStart"/>
      <w:r w:rsidRPr="00A14E24">
        <w:rPr>
          <w:rFonts w:eastAsia="Times New Roman"/>
          <w:snapToGrid w:val="0"/>
        </w:rPr>
        <w:t>ibuprofenas</w:t>
      </w:r>
      <w:proofErr w:type="spellEnd"/>
      <w:r w:rsidRPr="00A14E24">
        <w:rPr>
          <w:rFonts w:eastAsia="Times New Roman"/>
          <w:snapToGrid w:val="0"/>
        </w:rPr>
        <w:t xml:space="preserve">. </w:t>
      </w:r>
      <w:proofErr w:type="spellStart"/>
      <w:r w:rsidRPr="00A14E24">
        <w:rPr>
          <w:rFonts w:eastAsia="Times New Roman"/>
          <w:snapToGrid w:val="0"/>
        </w:rPr>
        <w:t>Ibuprofenas</w:t>
      </w:r>
      <w:proofErr w:type="spellEnd"/>
      <w:r w:rsidRPr="00A14E24">
        <w:rPr>
          <w:rFonts w:eastAsia="Times New Roman"/>
          <w:snapToGrid w:val="0"/>
        </w:rPr>
        <w:t xml:space="preserve"> sukelia priešuždegiminį, skausmą malšinantį ir karščiavimą mažinantį poveikį. Priešuždegiminis poveikis yra panašus į </w:t>
      </w:r>
      <w:proofErr w:type="spellStart"/>
      <w:r w:rsidRPr="00A14E24">
        <w:rPr>
          <w:rFonts w:eastAsia="Times New Roman"/>
          <w:snapToGrid w:val="0"/>
        </w:rPr>
        <w:t>acetilsalicilo</w:t>
      </w:r>
      <w:proofErr w:type="spellEnd"/>
      <w:r w:rsidRPr="00A14E24">
        <w:rPr>
          <w:rFonts w:eastAsia="Times New Roman"/>
          <w:snapToGrid w:val="0"/>
        </w:rPr>
        <w:t xml:space="preserve"> rūgšties ir </w:t>
      </w:r>
      <w:proofErr w:type="spellStart"/>
      <w:r w:rsidRPr="00A14E24">
        <w:rPr>
          <w:rFonts w:eastAsia="Times New Roman"/>
          <w:snapToGrid w:val="0"/>
        </w:rPr>
        <w:t>indometacino</w:t>
      </w:r>
      <w:proofErr w:type="spellEnd"/>
      <w:r w:rsidRPr="00A14E24">
        <w:rPr>
          <w:rFonts w:eastAsia="Times New Roman"/>
          <w:snapToGrid w:val="0"/>
        </w:rPr>
        <w:t xml:space="preserve"> sukeliamą poveikį. </w:t>
      </w:r>
      <w:proofErr w:type="spellStart"/>
      <w:r w:rsidRPr="00A14E24">
        <w:rPr>
          <w:rFonts w:eastAsia="Times New Roman"/>
          <w:snapToGrid w:val="0"/>
        </w:rPr>
        <w:t>Ibuprofeno</w:t>
      </w:r>
      <w:proofErr w:type="spellEnd"/>
      <w:r w:rsidRPr="00A14E24">
        <w:rPr>
          <w:rFonts w:eastAsia="Times New Roman"/>
          <w:snapToGrid w:val="0"/>
        </w:rPr>
        <w:t xml:space="preserve"> farmakologinis poveikis greičiausiai </w:t>
      </w:r>
      <w:r w:rsidR="00AB3E7E" w:rsidRPr="00A14E24">
        <w:rPr>
          <w:rFonts w:eastAsia="Times New Roman"/>
          <w:snapToGrid w:val="0"/>
        </w:rPr>
        <w:t xml:space="preserve">yra </w:t>
      </w:r>
      <w:r w:rsidRPr="00A14E24">
        <w:rPr>
          <w:rFonts w:eastAsia="Times New Roman"/>
          <w:snapToGrid w:val="0"/>
        </w:rPr>
        <w:t xml:space="preserve">susijęs su jo gebėjimu slopinti prostaglandinų sintezę. </w:t>
      </w:r>
      <w:proofErr w:type="spellStart"/>
      <w:r w:rsidRPr="00A14E24">
        <w:rPr>
          <w:rFonts w:eastAsia="Times New Roman"/>
          <w:snapToGrid w:val="0"/>
        </w:rPr>
        <w:t>Ibuprofenas</w:t>
      </w:r>
      <w:proofErr w:type="spellEnd"/>
      <w:r w:rsidRPr="00A14E24">
        <w:rPr>
          <w:rFonts w:eastAsia="Times New Roman"/>
          <w:snapToGrid w:val="0"/>
        </w:rPr>
        <w:t xml:space="preserve"> prailgina kraujavimo laiką, grįžtamai slopindamas trombocitų </w:t>
      </w:r>
      <w:proofErr w:type="spellStart"/>
      <w:r w:rsidRPr="00A14E24">
        <w:rPr>
          <w:rFonts w:eastAsia="Times New Roman"/>
          <w:snapToGrid w:val="0"/>
        </w:rPr>
        <w:t>agregaciją</w:t>
      </w:r>
      <w:proofErr w:type="spellEnd"/>
      <w:r w:rsidRPr="00A14E24">
        <w:rPr>
          <w:rFonts w:eastAsia="Times New Roman"/>
          <w:snapToGrid w:val="0"/>
        </w:rPr>
        <w:t>.</w:t>
      </w:r>
    </w:p>
    <w:p w14:paraId="2FA7719B" w14:textId="77777777" w:rsidR="008F5115" w:rsidRPr="00A14E24" w:rsidRDefault="008F5115" w:rsidP="00EC2E49">
      <w:pPr>
        <w:rPr>
          <w:rFonts w:eastAsia="Times New Roman"/>
          <w:snapToGrid w:val="0"/>
        </w:rPr>
      </w:pPr>
    </w:p>
    <w:p w14:paraId="1FA75DEC" w14:textId="355DF4F3" w:rsidR="00A21783" w:rsidRPr="00A14E24" w:rsidRDefault="008F5115" w:rsidP="00EC2E49">
      <w:pPr>
        <w:rPr>
          <w:rFonts w:eastAsia="Times New Roman"/>
          <w:snapToGrid w:val="0"/>
          <w:u w:val="single"/>
        </w:rPr>
      </w:pPr>
      <w:r w:rsidRPr="00A14E24">
        <w:rPr>
          <w:rFonts w:eastAsia="Times New Roman"/>
          <w:snapToGrid w:val="0"/>
          <w:u w:val="single"/>
        </w:rPr>
        <w:t>Klinikinis veiksmingumas ir saugumas</w:t>
      </w:r>
    </w:p>
    <w:p w14:paraId="1D06D5C2" w14:textId="2101D527" w:rsidR="000F2F4B" w:rsidRPr="00A14E24" w:rsidRDefault="000F2F4B" w:rsidP="00EC2E49">
      <w:pPr>
        <w:tabs>
          <w:tab w:val="left" w:pos="567"/>
        </w:tabs>
        <w:rPr>
          <w:rFonts w:eastAsia="Times New Roman"/>
        </w:rPr>
      </w:pPr>
      <w:r w:rsidRPr="00A14E24">
        <w:rPr>
          <w:rFonts w:eastAsia="Times New Roman"/>
        </w:rPr>
        <w:t xml:space="preserve">Eksperimentiniai duomenys rodo, kad, vartojant </w:t>
      </w:r>
      <w:proofErr w:type="spellStart"/>
      <w:r w:rsidRPr="00A14E24">
        <w:rPr>
          <w:rFonts w:eastAsia="Times New Roman"/>
        </w:rPr>
        <w:t>ibuprofen</w:t>
      </w:r>
      <w:r w:rsidR="007F0B2C">
        <w:rPr>
          <w:rFonts w:eastAsia="Times New Roman"/>
        </w:rPr>
        <w:t>o</w:t>
      </w:r>
      <w:proofErr w:type="spellEnd"/>
      <w:r w:rsidRPr="00A14E24">
        <w:rPr>
          <w:rFonts w:eastAsia="Times New Roman"/>
        </w:rPr>
        <w:t xml:space="preserve"> kartu su </w:t>
      </w:r>
      <w:proofErr w:type="spellStart"/>
      <w:r w:rsidRPr="00A14E24">
        <w:rPr>
          <w:rFonts w:eastAsia="Times New Roman"/>
        </w:rPr>
        <w:t>acetilsalicilo</w:t>
      </w:r>
      <w:proofErr w:type="spellEnd"/>
      <w:r w:rsidRPr="00A14E24">
        <w:rPr>
          <w:rFonts w:eastAsia="Times New Roman"/>
        </w:rPr>
        <w:t xml:space="preserve"> rūgštimi, jis gali konkurenciniu būdu slopinti mažų </w:t>
      </w:r>
      <w:proofErr w:type="spellStart"/>
      <w:r w:rsidRPr="00A14E24">
        <w:rPr>
          <w:rFonts w:eastAsia="Times New Roman"/>
        </w:rPr>
        <w:t>acetilsalicilo</w:t>
      </w:r>
      <w:proofErr w:type="spellEnd"/>
      <w:r w:rsidRPr="00A14E24">
        <w:rPr>
          <w:rFonts w:eastAsia="Times New Roman"/>
        </w:rPr>
        <w:t xml:space="preserve"> rūgšties dozių poveikį trombocitų </w:t>
      </w:r>
      <w:proofErr w:type="spellStart"/>
      <w:r w:rsidRPr="00A14E24">
        <w:rPr>
          <w:rFonts w:eastAsia="Times New Roman"/>
        </w:rPr>
        <w:t>agregacijai</w:t>
      </w:r>
      <w:proofErr w:type="spellEnd"/>
      <w:r w:rsidRPr="00A14E24">
        <w:rPr>
          <w:rFonts w:eastAsia="Times New Roman"/>
        </w:rPr>
        <w:t xml:space="preserve">. Kai kurie farmakodinamikos tyrimai parodė, kad kai vienkartinė 400 mg </w:t>
      </w:r>
      <w:proofErr w:type="spellStart"/>
      <w:r w:rsidRPr="00A14E24">
        <w:rPr>
          <w:rFonts w:eastAsia="Times New Roman"/>
        </w:rPr>
        <w:t>ibuprofeno</w:t>
      </w:r>
      <w:proofErr w:type="spellEnd"/>
      <w:r w:rsidRPr="00A14E24">
        <w:rPr>
          <w:rFonts w:eastAsia="Times New Roman"/>
        </w:rPr>
        <w:t xml:space="preserve"> dozė buvo vartojama 8 valandas iki arba 30 minučių po greito atpalaidavimo </w:t>
      </w:r>
      <w:proofErr w:type="spellStart"/>
      <w:r w:rsidRPr="00A14E24">
        <w:rPr>
          <w:rFonts w:eastAsia="Times New Roman"/>
        </w:rPr>
        <w:t>acetilsalicilo</w:t>
      </w:r>
      <w:proofErr w:type="spellEnd"/>
      <w:r w:rsidRPr="00A14E24">
        <w:rPr>
          <w:rFonts w:eastAsia="Times New Roman"/>
        </w:rPr>
        <w:t xml:space="preserve"> rūgšties dozės (81 mg) pavartojimo, nustatytas sumažėjęs </w:t>
      </w:r>
      <w:proofErr w:type="spellStart"/>
      <w:r w:rsidRPr="00A14E24">
        <w:rPr>
          <w:rFonts w:eastAsia="Times New Roman"/>
        </w:rPr>
        <w:t>acetilsalicilo</w:t>
      </w:r>
      <w:proofErr w:type="spellEnd"/>
      <w:r w:rsidRPr="00A14E24">
        <w:rPr>
          <w:rFonts w:eastAsia="Times New Roman"/>
        </w:rPr>
        <w:t xml:space="preserve"> rūgšties poveikis </w:t>
      </w:r>
      <w:proofErr w:type="spellStart"/>
      <w:r w:rsidRPr="00A14E24">
        <w:rPr>
          <w:rFonts w:eastAsia="Times New Roman"/>
        </w:rPr>
        <w:t>tromboksano</w:t>
      </w:r>
      <w:proofErr w:type="spellEnd"/>
      <w:r w:rsidRPr="00A14E24">
        <w:rPr>
          <w:rFonts w:eastAsia="Times New Roman"/>
        </w:rPr>
        <w:t xml:space="preserve"> susidarymui ar trombocitų </w:t>
      </w:r>
      <w:proofErr w:type="spellStart"/>
      <w:r w:rsidRPr="00A14E24">
        <w:rPr>
          <w:rFonts w:eastAsia="Times New Roman"/>
        </w:rPr>
        <w:t>agregacijai</w:t>
      </w:r>
      <w:proofErr w:type="spellEnd"/>
      <w:r w:rsidRPr="00A14E24">
        <w:rPr>
          <w:rFonts w:eastAsia="Times New Roman"/>
        </w:rPr>
        <w:t xml:space="preserve">. Nors yra tam tikrų neaiškumų dėl šių duomenų ekstrapoliacijos klinikinėmis sąlygomis, negalima atmesti galimybės, kad nuolat ilgą laiką vartojant </w:t>
      </w:r>
      <w:proofErr w:type="spellStart"/>
      <w:r w:rsidRPr="00A14E24">
        <w:rPr>
          <w:rFonts w:eastAsia="Times New Roman"/>
        </w:rPr>
        <w:t>ibuprofen</w:t>
      </w:r>
      <w:r w:rsidR="007F0B2C">
        <w:rPr>
          <w:rFonts w:eastAsia="Times New Roman"/>
        </w:rPr>
        <w:t>o</w:t>
      </w:r>
      <w:proofErr w:type="spellEnd"/>
      <w:r w:rsidRPr="00A14E24">
        <w:rPr>
          <w:rFonts w:eastAsia="Times New Roman"/>
        </w:rPr>
        <w:t xml:space="preserve"> gali sumažėti mažų dozių </w:t>
      </w:r>
      <w:proofErr w:type="spellStart"/>
      <w:r w:rsidRPr="00A14E24">
        <w:rPr>
          <w:rFonts w:eastAsia="Times New Roman"/>
        </w:rPr>
        <w:t>acetilsalicilo</w:t>
      </w:r>
      <w:proofErr w:type="spellEnd"/>
      <w:r w:rsidRPr="00A14E24">
        <w:rPr>
          <w:rFonts w:eastAsia="Times New Roman"/>
        </w:rPr>
        <w:t xml:space="preserve"> rūgšties </w:t>
      </w:r>
      <w:proofErr w:type="spellStart"/>
      <w:r w:rsidRPr="00A14E24">
        <w:rPr>
          <w:rFonts w:eastAsia="Times New Roman"/>
        </w:rPr>
        <w:t>kardioprotekcinis</w:t>
      </w:r>
      <w:proofErr w:type="spellEnd"/>
      <w:r w:rsidRPr="00A14E24">
        <w:rPr>
          <w:rFonts w:eastAsia="Times New Roman"/>
        </w:rPr>
        <w:t xml:space="preserve"> poveikis. Manoma, kad retkarčiais vartojant </w:t>
      </w:r>
      <w:proofErr w:type="spellStart"/>
      <w:r w:rsidRPr="00A14E24">
        <w:rPr>
          <w:rFonts w:eastAsia="Times New Roman"/>
        </w:rPr>
        <w:t>ibuprofeno</w:t>
      </w:r>
      <w:proofErr w:type="spellEnd"/>
      <w:r w:rsidRPr="00A14E24">
        <w:rPr>
          <w:rFonts w:eastAsia="Times New Roman"/>
        </w:rPr>
        <w:t xml:space="preserve"> jokio kliniškai reikšmingo poveikio nepasireiškia (žr. 4.5 skyrių). </w:t>
      </w:r>
    </w:p>
    <w:p w14:paraId="6F04AE8A" w14:textId="77777777" w:rsidR="00A21783" w:rsidRPr="00A14E24" w:rsidRDefault="00A21783" w:rsidP="00EC2E49">
      <w:pPr>
        <w:rPr>
          <w:rFonts w:eastAsia="Times New Roman"/>
          <w:snapToGrid w:val="0"/>
        </w:rPr>
      </w:pPr>
    </w:p>
    <w:p w14:paraId="3559C5A7" w14:textId="77894486" w:rsidR="000F2F4B" w:rsidRPr="00A14E24" w:rsidRDefault="000F2F4B" w:rsidP="00EC2E49">
      <w:pPr>
        <w:rPr>
          <w:rFonts w:eastAsia="Times New Roman"/>
          <w:snapToGrid w:val="0"/>
        </w:rPr>
      </w:pPr>
      <w:proofErr w:type="spellStart"/>
      <w:r w:rsidRPr="00A14E24">
        <w:rPr>
          <w:rFonts w:eastAsia="Times New Roman"/>
          <w:snapToGrid w:val="0"/>
        </w:rPr>
        <w:t>Ibuprofenas</w:t>
      </w:r>
      <w:proofErr w:type="spellEnd"/>
      <w:r w:rsidRPr="00A14E24">
        <w:rPr>
          <w:rFonts w:eastAsia="Times New Roman"/>
          <w:snapToGrid w:val="0"/>
        </w:rPr>
        <w:t xml:space="preserve"> slopina prostaglandinų sintezę inkstuose. Pacientams, kurių inkstų funkcija yra normali, šis poveikis nėra ypač reikšmingas. Pacientams, sergantiems lėtiniu inkstų nepakankamumu, </w:t>
      </w:r>
      <w:proofErr w:type="spellStart"/>
      <w:r w:rsidRPr="00A14E24">
        <w:rPr>
          <w:rFonts w:eastAsia="Times New Roman"/>
          <w:snapToGrid w:val="0"/>
        </w:rPr>
        <w:t>dekompensuotu</w:t>
      </w:r>
      <w:proofErr w:type="spellEnd"/>
      <w:r w:rsidRPr="00A14E24">
        <w:rPr>
          <w:rFonts w:eastAsia="Times New Roman"/>
          <w:snapToGrid w:val="0"/>
        </w:rPr>
        <w:t xml:space="preserve"> širdies ar kepenų nepakankamumu, taip pat </w:t>
      </w:r>
      <w:r w:rsidR="00AB3E7E" w:rsidRPr="00A14E24">
        <w:rPr>
          <w:rFonts w:eastAsia="Times New Roman"/>
          <w:snapToGrid w:val="0"/>
        </w:rPr>
        <w:t>esant būklėms</w:t>
      </w:r>
      <w:r w:rsidRPr="00A14E24">
        <w:rPr>
          <w:rFonts w:eastAsia="Times New Roman"/>
          <w:snapToGrid w:val="0"/>
        </w:rPr>
        <w:t>, susijusiomis su kraujo plazmos tūrio pokyčiais, slopinama prostaglandinų sintezė gali sukelti ūminį inkstų nepakankamumą, skysčių susilaikymą ir širdies nepakankamumą (žr. 4.3 skyrių).</w:t>
      </w:r>
    </w:p>
    <w:p w14:paraId="5000564F" w14:textId="77777777" w:rsidR="000F2F4B" w:rsidRPr="00A14E24" w:rsidRDefault="000F2F4B" w:rsidP="00EC2E49">
      <w:pPr>
        <w:rPr>
          <w:rFonts w:eastAsia="Times New Roman"/>
          <w:snapToGrid w:val="0"/>
        </w:rPr>
      </w:pPr>
    </w:p>
    <w:p w14:paraId="2550BF37" w14:textId="77777777" w:rsidR="00DF2186" w:rsidRPr="00A14E24" w:rsidRDefault="00DF2186" w:rsidP="00EC2E49">
      <w:pPr>
        <w:keepNext/>
        <w:keepLines/>
        <w:tabs>
          <w:tab w:val="left" w:pos="567"/>
        </w:tabs>
        <w:ind w:left="567" w:hanging="567"/>
        <w:outlineLvl w:val="2"/>
        <w:rPr>
          <w:b/>
          <w:kern w:val="28"/>
        </w:rPr>
      </w:pPr>
      <w:bookmarkStart w:id="32" w:name="_Toc129243113"/>
      <w:bookmarkStart w:id="33" w:name="_Toc129243238"/>
      <w:r w:rsidRPr="00A14E24">
        <w:rPr>
          <w:b/>
          <w:kern w:val="28"/>
        </w:rPr>
        <w:t>5.2</w:t>
      </w:r>
      <w:r w:rsidRPr="00A14E24">
        <w:rPr>
          <w:b/>
          <w:kern w:val="28"/>
        </w:rPr>
        <w:tab/>
      </w:r>
      <w:proofErr w:type="spellStart"/>
      <w:r w:rsidRPr="00A14E24">
        <w:rPr>
          <w:b/>
          <w:kern w:val="28"/>
        </w:rPr>
        <w:t>Farmakokinetinės</w:t>
      </w:r>
      <w:proofErr w:type="spellEnd"/>
      <w:r w:rsidRPr="00A14E24">
        <w:rPr>
          <w:b/>
          <w:kern w:val="28"/>
        </w:rPr>
        <w:t xml:space="preserve"> savybės</w:t>
      </w:r>
      <w:bookmarkEnd w:id="32"/>
      <w:bookmarkEnd w:id="33"/>
    </w:p>
    <w:p w14:paraId="25C457E8" w14:textId="77777777" w:rsidR="00CC424D" w:rsidRPr="00A14E24" w:rsidRDefault="00CC424D" w:rsidP="00EC2E49">
      <w:pPr>
        <w:tabs>
          <w:tab w:val="left" w:pos="567"/>
        </w:tabs>
        <w:autoSpaceDE w:val="0"/>
        <w:autoSpaceDN w:val="0"/>
        <w:adjustRightInd w:val="0"/>
        <w:rPr>
          <w:rFonts w:eastAsia="Times New Roman"/>
          <w:lang w:eastAsia="en-GB"/>
        </w:rPr>
      </w:pPr>
      <w:bookmarkStart w:id="34" w:name="_Toc129243114"/>
      <w:bookmarkStart w:id="35" w:name="_Toc129243239"/>
    </w:p>
    <w:p w14:paraId="16414EA4" w14:textId="41251368" w:rsidR="00746F23" w:rsidRPr="00A14E24" w:rsidRDefault="003621DC" w:rsidP="00EC2E49">
      <w:pPr>
        <w:rPr>
          <w:u w:val="single"/>
        </w:rPr>
      </w:pPr>
      <w:r w:rsidRPr="00A14E24">
        <w:rPr>
          <w:u w:val="single"/>
        </w:rPr>
        <w:t>Absorbcija</w:t>
      </w:r>
    </w:p>
    <w:p w14:paraId="455E3CD7" w14:textId="27F856E6" w:rsidR="00F24473" w:rsidRPr="00A14E24" w:rsidRDefault="00F24473" w:rsidP="00EC2E49">
      <w:proofErr w:type="spellStart"/>
      <w:r w:rsidRPr="00A14E24">
        <w:t>Ibuprofenas</w:t>
      </w:r>
      <w:proofErr w:type="spellEnd"/>
      <w:r w:rsidRPr="00A14E24">
        <w:t xml:space="preserve"> greitai absorbuojamas iš virškinimo trakto, jo biologinis prieinamumas yra 80–90</w:t>
      </w:r>
      <w:r w:rsidR="00AB3E7E" w:rsidRPr="00A14E24">
        <w:t> </w:t>
      </w:r>
      <w:r w:rsidRPr="00A14E24">
        <w:t xml:space="preserve">%. Didžiausia koncentracija kraujo serume pasiekiama </w:t>
      </w:r>
      <w:r w:rsidR="001A0102" w:rsidRPr="00A14E24">
        <w:t>praėjus</w:t>
      </w:r>
      <w:r w:rsidRPr="00A14E24">
        <w:t xml:space="preserve"> 1</w:t>
      </w:r>
      <w:r w:rsidR="005905A7">
        <w:t>–</w:t>
      </w:r>
      <w:r w:rsidRPr="00A14E24">
        <w:t>2</w:t>
      </w:r>
      <w:r w:rsidR="001A0102" w:rsidRPr="00A14E24">
        <w:t> </w:t>
      </w:r>
      <w:r w:rsidRPr="00A14E24">
        <w:t>valand</w:t>
      </w:r>
      <w:r w:rsidR="001A0102" w:rsidRPr="00A14E24">
        <w:t>oms</w:t>
      </w:r>
      <w:r w:rsidRPr="00A14E24">
        <w:t xml:space="preserve"> po vaistinio preparato pavartojimo. Vartojant kartu su maistu, didžiausia koncentracija kraujo serume yra mažesnė ir pasiekiama lėčiau nei vartojant nevalgius. Maistas neturi žymesnės įtakos bendrajam biologiniam prieinamumui.</w:t>
      </w:r>
    </w:p>
    <w:p w14:paraId="62EE8906" w14:textId="77777777" w:rsidR="00746F23" w:rsidRPr="00A14E24" w:rsidRDefault="00746F23" w:rsidP="00EC2E49"/>
    <w:p w14:paraId="740B87CA" w14:textId="610EB629" w:rsidR="00746F23" w:rsidRPr="00A14E24" w:rsidRDefault="00F24473" w:rsidP="00EC2E49">
      <w:pPr>
        <w:rPr>
          <w:u w:val="single"/>
        </w:rPr>
      </w:pPr>
      <w:r w:rsidRPr="00A14E24">
        <w:rPr>
          <w:u w:val="single"/>
        </w:rPr>
        <w:t>Pasiskirstymas</w:t>
      </w:r>
    </w:p>
    <w:p w14:paraId="79653DB3" w14:textId="2212B5A1" w:rsidR="00746F23" w:rsidRPr="00A14E24" w:rsidRDefault="00746F23" w:rsidP="00EC2E49">
      <w:proofErr w:type="spellStart"/>
      <w:r w:rsidRPr="00A14E24">
        <w:t>Ibuprofen</w:t>
      </w:r>
      <w:r w:rsidR="004B3FDE" w:rsidRPr="00A14E24">
        <w:t>as</w:t>
      </w:r>
      <w:proofErr w:type="spellEnd"/>
      <w:r w:rsidR="004B3FDE" w:rsidRPr="00A14E24">
        <w:t xml:space="preserve"> ekstensyviai jungiasi prie kraujo plazmos baltymų </w:t>
      </w:r>
      <w:r w:rsidRPr="00A14E24">
        <w:t xml:space="preserve">(99 %). </w:t>
      </w:r>
      <w:proofErr w:type="spellStart"/>
      <w:r w:rsidRPr="00A14E24">
        <w:t>Ibuprofen</w:t>
      </w:r>
      <w:r w:rsidR="004B3FDE" w:rsidRPr="00A14E24">
        <w:t>o</w:t>
      </w:r>
      <w:proofErr w:type="spellEnd"/>
      <w:r w:rsidR="004B3FDE" w:rsidRPr="00A14E24">
        <w:t xml:space="preserve"> pasiskirstymo tūris yra mažas, t. y. maždaug </w:t>
      </w:r>
      <w:r w:rsidRPr="00A14E24">
        <w:t>0</w:t>
      </w:r>
      <w:r w:rsidR="004B3FDE" w:rsidRPr="00A14E24">
        <w:t>,</w:t>
      </w:r>
      <w:r w:rsidRPr="00A14E24">
        <w:t>12</w:t>
      </w:r>
      <w:r w:rsidR="00EA567E">
        <w:t>–</w:t>
      </w:r>
      <w:r w:rsidRPr="00A14E24">
        <w:t>0</w:t>
      </w:r>
      <w:r w:rsidR="004B3FDE" w:rsidRPr="00A14E24">
        <w:t>,</w:t>
      </w:r>
      <w:r w:rsidRPr="00A14E24">
        <w:t>2 </w:t>
      </w:r>
      <w:r w:rsidR="004B3FDE" w:rsidRPr="00A14E24">
        <w:t>l</w:t>
      </w:r>
      <w:r w:rsidRPr="00A14E24">
        <w:t xml:space="preserve">/kg </w:t>
      </w:r>
      <w:r w:rsidR="004B3FDE" w:rsidRPr="00A14E24">
        <w:t>suaugusiajam</w:t>
      </w:r>
      <w:r w:rsidRPr="00A14E24">
        <w:t>.</w:t>
      </w:r>
    </w:p>
    <w:p w14:paraId="3BFCFCD4" w14:textId="77777777" w:rsidR="00746F23" w:rsidRPr="00A14E24" w:rsidRDefault="00746F23" w:rsidP="00EC2E49"/>
    <w:p w14:paraId="737C3425" w14:textId="179E80B1" w:rsidR="00746F23" w:rsidRPr="00A14E24" w:rsidRDefault="00746F23" w:rsidP="00EC2E49">
      <w:pPr>
        <w:rPr>
          <w:u w:val="single"/>
        </w:rPr>
      </w:pPr>
      <w:proofErr w:type="spellStart"/>
      <w:r w:rsidRPr="00A14E24">
        <w:rPr>
          <w:u w:val="single"/>
        </w:rPr>
        <w:t>Biotransforma</w:t>
      </w:r>
      <w:r w:rsidR="004B3FDE" w:rsidRPr="00A14E24">
        <w:rPr>
          <w:u w:val="single"/>
        </w:rPr>
        <w:t>cija</w:t>
      </w:r>
      <w:proofErr w:type="spellEnd"/>
    </w:p>
    <w:p w14:paraId="1ED6211A" w14:textId="13457243" w:rsidR="00C47EAC" w:rsidRPr="00A14E24" w:rsidRDefault="00C47EAC" w:rsidP="00EC2E49">
      <w:proofErr w:type="spellStart"/>
      <w:r w:rsidRPr="00A14E24">
        <w:t>Ibuprofenas</w:t>
      </w:r>
      <w:proofErr w:type="spellEnd"/>
      <w:r w:rsidRPr="00A14E24">
        <w:t xml:space="preserve"> greitai </w:t>
      </w:r>
      <w:proofErr w:type="spellStart"/>
      <w:r w:rsidRPr="00A14E24">
        <w:t>metabolizuojamas</w:t>
      </w:r>
      <w:proofErr w:type="spellEnd"/>
      <w:r w:rsidRPr="00A14E24">
        <w:t xml:space="preserve"> kepenyse veikiant </w:t>
      </w:r>
      <w:proofErr w:type="spellStart"/>
      <w:r w:rsidRPr="00A14E24">
        <w:t>citochromui</w:t>
      </w:r>
      <w:proofErr w:type="spellEnd"/>
      <w:r w:rsidRPr="00A14E24">
        <w:t xml:space="preserve"> P450, pirmiausia CYP2C9, į du pagrindinius neaktyvius metabolitus – 2-hidroksibuprofeną ir 3-karboksibuprofeną. Po vaistinio preparato pavartojimo per burną, šiek tiek mažiau nei 90</w:t>
      </w:r>
      <w:r w:rsidR="00923730" w:rsidRPr="00A14E24">
        <w:t> </w:t>
      </w:r>
      <w:r w:rsidRPr="00A14E24">
        <w:t xml:space="preserve">% per burną pavartotos </w:t>
      </w:r>
      <w:proofErr w:type="spellStart"/>
      <w:r w:rsidRPr="00A14E24">
        <w:t>ibuprofeno</w:t>
      </w:r>
      <w:proofErr w:type="spellEnd"/>
      <w:r w:rsidRPr="00A14E24">
        <w:t xml:space="preserve"> dozės gali būti nustatoma šlapime kaip oksidaciniai metabolitai ir jų </w:t>
      </w:r>
      <w:proofErr w:type="spellStart"/>
      <w:r w:rsidRPr="00A14E24">
        <w:t>gliukurono</w:t>
      </w:r>
      <w:proofErr w:type="spellEnd"/>
      <w:r w:rsidRPr="00A14E24">
        <w:t xml:space="preserve"> </w:t>
      </w:r>
      <w:proofErr w:type="spellStart"/>
      <w:r w:rsidRPr="00A14E24">
        <w:t>konjugatai</w:t>
      </w:r>
      <w:proofErr w:type="spellEnd"/>
      <w:r w:rsidRPr="00A14E24">
        <w:t xml:space="preserve">. Labai mažas </w:t>
      </w:r>
      <w:proofErr w:type="spellStart"/>
      <w:r w:rsidRPr="00A14E24">
        <w:t>ibuprofeno</w:t>
      </w:r>
      <w:proofErr w:type="spellEnd"/>
      <w:r w:rsidRPr="00A14E24">
        <w:t xml:space="preserve"> kiekis išsiskiria su šlapimu nepakitusiu pavidalu.</w:t>
      </w:r>
    </w:p>
    <w:p w14:paraId="58762C6A" w14:textId="77777777" w:rsidR="00746F23" w:rsidRPr="00A14E24" w:rsidRDefault="00746F23" w:rsidP="00EC2E49"/>
    <w:p w14:paraId="4892C2D6" w14:textId="4AD7DD7F" w:rsidR="00746F23" w:rsidRPr="00A14E24" w:rsidRDefault="00746F23" w:rsidP="00EC2E49">
      <w:pPr>
        <w:rPr>
          <w:u w:val="single"/>
        </w:rPr>
      </w:pPr>
      <w:r w:rsidRPr="00A14E24">
        <w:rPr>
          <w:u w:val="single"/>
        </w:rPr>
        <w:t>Elimin</w:t>
      </w:r>
      <w:r w:rsidR="004B3FDE" w:rsidRPr="00A14E24">
        <w:rPr>
          <w:u w:val="single"/>
        </w:rPr>
        <w:t>acija</w:t>
      </w:r>
    </w:p>
    <w:p w14:paraId="45A6B90C" w14:textId="26C54A0C" w:rsidR="00923730" w:rsidRPr="00A14E24" w:rsidRDefault="00923730" w:rsidP="00EC2E49">
      <w:r w:rsidRPr="00A14E24">
        <w:t xml:space="preserve">Išsiskyrimas per inkstus yra greitas ir visiškas. Pusinės eliminacijos laikas yra maždaug 2 valandos. </w:t>
      </w:r>
      <w:proofErr w:type="spellStart"/>
      <w:r w:rsidRPr="00A14E24">
        <w:t>Ibuprofeno</w:t>
      </w:r>
      <w:proofErr w:type="spellEnd"/>
      <w:r w:rsidRPr="00A14E24">
        <w:t xml:space="preserve"> išsiskyrimas </w:t>
      </w:r>
      <w:r w:rsidR="001A0102" w:rsidRPr="00A14E24">
        <w:t>būna</w:t>
      </w:r>
      <w:r w:rsidRPr="00A14E24">
        <w:t xml:space="preserve"> beveik visiškai užbaig</w:t>
      </w:r>
      <w:r w:rsidR="001A0102" w:rsidRPr="00A14E24">
        <w:t>ta</w:t>
      </w:r>
      <w:r w:rsidRPr="00A14E24">
        <w:t>s praėjus 24 valandoms po paskutinės dozės pavartojimo.</w:t>
      </w:r>
    </w:p>
    <w:p w14:paraId="75473D2E" w14:textId="77777777" w:rsidR="00923730" w:rsidRPr="00A14E24" w:rsidRDefault="00923730" w:rsidP="00EC2E49"/>
    <w:p w14:paraId="4C2739BA" w14:textId="6B2D9E80" w:rsidR="00746F23" w:rsidRPr="00A235B0" w:rsidRDefault="006B18AC" w:rsidP="00EC2E49">
      <w:pPr>
        <w:rPr>
          <w:u w:val="single"/>
        </w:rPr>
      </w:pPr>
      <w:r w:rsidRPr="00A235B0">
        <w:rPr>
          <w:u w:val="single"/>
        </w:rPr>
        <w:t>Ypatingos populiacijos</w:t>
      </w:r>
    </w:p>
    <w:p w14:paraId="17DE6605" w14:textId="2A82081E" w:rsidR="00746F23" w:rsidRPr="00A235B0" w:rsidRDefault="000D5DAD" w:rsidP="00EC2E49">
      <w:pPr>
        <w:rPr>
          <w:i/>
          <w:iCs/>
        </w:rPr>
      </w:pPr>
      <w:r w:rsidRPr="00A235B0">
        <w:rPr>
          <w:i/>
          <w:iCs/>
        </w:rPr>
        <w:t>Senyvi pacientai</w:t>
      </w:r>
    </w:p>
    <w:p w14:paraId="38BCCE76" w14:textId="4EB71FF8" w:rsidR="000D5DAD" w:rsidRPr="00A14E24" w:rsidRDefault="000D5DAD" w:rsidP="00EC2E49">
      <w:r w:rsidRPr="00A14E24">
        <w:t>Jei</w:t>
      </w:r>
      <w:r w:rsidR="002D0863" w:rsidRPr="00A14E24">
        <w:t>gu</w:t>
      </w:r>
      <w:r w:rsidRPr="00A14E24">
        <w:t xml:space="preserve"> nėra inkstų funkcijos sutrikimų, </w:t>
      </w:r>
      <w:proofErr w:type="spellStart"/>
      <w:r w:rsidRPr="00A14E24">
        <w:t>farmakokinetinės</w:t>
      </w:r>
      <w:proofErr w:type="spellEnd"/>
      <w:r w:rsidRPr="00A14E24">
        <w:t xml:space="preserve"> savybės ir išsiskyrimas su šlapimu jauniems ir senyviems žmonėms skiriasi tik nežymiai ir kliniškai nereikšmingai.</w:t>
      </w:r>
    </w:p>
    <w:p w14:paraId="79856E8F" w14:textId="77777777" w:rsidR="00746F23" w:rsidRPr="00A14E24" w:rsidRDefault="00746F23" w:rsidP="00EC2E49"/>
    <w:p w14:paraId="0EEF54F2" w14:textId="2ECFE57F" w:rsidR="00746F23" w:rsidRPr="00A14E24" w:rsidRDefault="000D5DAD" w:rsidP="00A235B0">
      <w:pPr>
        <w:keepNext/>
        <w:rPr>
          <w:i/>
          <w:iCs/>
        </w:rPr>
      </w:pPr>
      <w:r w:rsidRPr="00A14E24">
        <w:rPr>
          <w:i/>
          <w:iCs/>
        </w:rPr>
        <w:lastRenderedPageBreak/>
        <w:t>Vaikai</w:t>
      </w:r>
    </w:p>
    <w:p w14:paraId="56A884F4" w14:textId="41D76340" w:rsidR="00FE3688" w:rsidRPr="00A14E24" w:rsidRDefault="00FE3688" w:rsidP="00A235B0">
      <w:pPr>
        <w:keepNext/>
      </w:pPr>
      <w:r w:rsidRPr="00A14E24">
        <w:t xml:space="preserve">Pavartojus pagal kūno svorį koreguotą terapinę dozę </w:t>
      </w:r>
      <w:r w:rsidR="00746F23" w:rsidRPr="00A14E24">
        <w:t>(</w:t>
      </w:r>
      <w:r w:rsidRPr="00A14E24">
        <w:t xml:space="preserve">nuo </w:t>
      </w:r>
      <w:r w:rsidR="00746F23" w:rsidRPr="00A14E24">
        <w:t xml:space="preserve">5 mg/kg </w:t>
      </w:r>
      <w:r w:rsidRPr="00A14E24">
        <w:t>iki</w:t>
      </w:r>
      <w:r w:rsidR="00746F23" w:rsidRPr="00A14E24">
        <w:t xml:space="preserve"> 10 mg/kg </w:t>
      </w:r>
      <w:r w:rsidRPr="00A14E24">
        <w:t>kūno svorio</w:t>
      </w:r>
      <w:r w:rsidR="00746F23" w:rsidRPr="00A14E24">
        <w:t>)</w:t>
      </w:r>
      <w:r w:rsidRPr="00A14E24">
        <w:t>,</w:t>
      </w:r>
      <w:r w:rsidR="00746F23" w:rsidRPr="00A14E24">
        <w:t xml:space="preserve"> </w:t>
      </w:r>
      <w:r w:rsidRPr="00A14E24">
        <w:t xml:space="preserve">sisteminė </w:t>
      </w:r>
      <w:proofErr w:type="spellStart"/>
      <w:r w:rsidRPr="00A14E24">
        <w:t>ibuprofeno</w:t>
      </w:r>
      <w:proofErr w:type="spellEnd"/>
      <w:r w:rsidRPr="00A14E24">
        <w:t xml:space="preserve"> ekspozicija</w:t>
      </w:r>
      <w:r w:rsidR="00746F23" w:rsidRPr="00A14E24">
        <w:t xml:space="preserve"> 1 </w:t>
      </w:r>
      <w:r w:rsidRPr="00A14E24">
        <w:t>metų ar vyresniems vaikams buvo panaši į nustatomą suaugusiesiems.</w:t>
      </w:r>
    </w:p>
    <w:p w14:paraId="56FE02B0" w14:textId="77777777" w:rsidR="00746F23" w:rsidRPr="00A14E24" w:rsidRDefault="00746F23" w:rsidP="00EC2E49"/>
    <w:p w14:paraId="69BA0F33" w14:textId="3CF715EE" w:rsidR="00746F23" w:rsidRPr="00A14E24" w:rsidRDefault="008577A1" w:rsidP="00EC2E49">
      <w:r w:rsidRPr="00A14E24">
        <w:t xml:space="preserve">Gauta duomenų, kad vaikams nuo 3 mėnesių iki </w:t>
      </w:r>
      <w:r w:rsidR="00746F23" w:rsidRPr="00A14E24">
        <w:t>2</w:t>
      </w:r>
      <w:r w:rsidRPr="00A14E24">
        <w:t>,</w:t>
      </w:r>
      <w:r w:rsidR="00746F23" w:rsidRPr="00A14E24">
        <w:t>5 </w:t>
      </w:r>
      <w:r w:rsidRPr="00A14E24">
        <w:t xml:space="preserve">metų amžiaus </w:t>
      </w:r>
      <w:proofErr w:type="spellStart"/>
      <w:r w:rsidRPr="00A14E24">
        <w:t>ibuprofeno</w:t>
      </w:r>
      <w:proofErr w:type="spellEnd"/>
      <w:r w:rsidRPr="00A14E24">
        <w:t xml:space="preserve"> pasiskirstymo tūris</w:t>
      </w:r>
      <w:r w:rsidR="00746F23" w:rsidRPr="00A14E24">
        <w:t xml:space="preserve"> (</w:t>
      </w:r>
      <w:r w:rsidR="003C7B60" w:rsidRPr="00A14E24">
        <w:t>l</w:t>
      </w:r>
      <w:r w:rsidR="00746F23" w:rsidRPr="00A14E24">
        <w:t xml:space="preserve">/kg) </w:t>
      </w:r>
      <w:r w:rsidR="003C7B60" w:rsidRPr="00A14E24">
        <w:t xml:space="preserve">ir klirensas </w:t>
      </w:r>
      <w:r w:rsidR="00746F23" w:rsidRPr="00A14E24">
        <w:t>(</w:t>
      </w:r>
      <w:r w:rsidR="003C7B60" w:rsidRPr="00A14E24">
        <w:t>l</w:t>
      </w:r>
      <w:r w:rsidR="00746F23" w:rsidRPr="00A14E24">
        <w:t>/kg/</w:t>
      </w:r>
      <w:r w:rsidR="003C7B60" w:rsidRPr="00A14E24">
        <w:t>val.</w:t>
      </w:r>
      <w:r w:rsidR="00746F23" w:rsidRPr="00A14E24">
        <w:t xml:space="preserve">) </w:t>
      </w:r>
      <w:r w:rsidR="003C7B60" w:rsidRPr="00A14E24">
        <w:t>yra didesni nei vaikams nuo</w:t>
      </w:r>
      <w:r w:rsidR="00746F23" w:rsidRPr="00A14E24">
        <w:t xml:space="preserve"> &gt; 2</w:t>
      </w:r>
      <w:r w:rsidR="003C7B60" w:rsidRPr="00A14E24">
        <w:t>,</w:t>
      </w:r>
      <w:r w:rsidR="00746F23" w:rsidRPr="00A14E24">
        <w:t xml:space="preserve">5 </w:t>
      </w:r>
      <w:r w:rsidR="003C7B60" w:rsidRPr="00A14E24">
        <w:t>iki</w:t>
      </w:r>
      <w:r w:rsidR="00746F23" w:rsidRPr="00A14E24">
        <w:t xml:space="preserve"> 12 </w:t>
      </w:r>
      <w:r w:rsidR="003C7B60" w:rsidRPr="00A14E24">
        <w:t>metų amžiaus</w:t>
      </w:r>
      <w:r w:rsidR="00746F23" w:rsidRPr="00A14E24">
        <w:t>.</w:t>
      </w:r>
    </w:p>
    <w:p w14:paraId="21E5FBA2" w14:textId="77777777" w:rsidR="00746F23" w:rsidRPr="00A14E24" w:rsidRDefault="00746F23" w:rsidP="00EC2E49"/>
    <w:p w14:paraId="0EF3431B" w14:textId="7589409C" w:rsidR="00746F23" w:rsidRPr="00A14E24" w:rsidRDefault="00FE3688" w:rsidP="00EC2E49">
      <w:pPr>
        <w:rPr>
          <w:i/>
          <w:iCs/>
        </w:rPr>
      </w:pPr>
      <w:r w:rsidRPr="00A14E24">
        <w:rPr>
          <w:i/>
          <w:iCs/>
        </w:rPr>
        <w:t>Sutrikusi inkstų funkcija</w:t>
      </w:r>
    </w:p>
    <w:p w14:paraId="2790CB56" w14:textId="0BD87997" w:rsidR="004924F6" w:rsidRPr="00A14E24" w:rsidRDefault="004924F6" w:rsidP="00EC2E49">
      <w:r w:rsidRPr="00A14E24">
        <w:t>Pacientams, kuriems yra lengvas inkstų funkcijos sutrikimas, buvo nustatytas</w:t>
      </w:r>
      <w:r w:rsidR="002D0863" w:rsidRPr="00A14E24">
        <w:t xml:space="preserve"> </w:t>
      </w:r>
      <w:r w:rsidRPr="00A14E24">
        <w:t>padidėjęs laisvo (S)</w:t>
      </w:r>
      <w:r w:rsidR="004B45C7">
        <w:noBreakHyphen/>
      </w:r>
      <w:proofErr w:type="spellStart"/>
      <w:r w:rsidRPr="00A14E24">
        <w:t>ibuprofeno</w:t>
      </w:r>
      <w:proofErr w:type="spellEnd"/>
      <w:r w:rsidRPr="00A14E24">
        <w:t xml:space="preserve"> kiekis, didesnis (S)-</w:t>
      </w:r>
      <w:proofErr w:type="spellStart"/>
      <w:r w:rsidRPr="00A14E24">
        <w:t>ibuprofeno</w:t>
      </w:r>
      <w:proofErr w:type="spellEnd"/>
      <w:r w:rsidRPr="00A14E24">
        <w:t xml:space="preserve"> AUC rodmuo ir padidėjęs </w:t>
      </w:r>
      <w:proofErr w:type="spellStart"/>
      <w:r w:rsidRPr="00A14E24">
        <w:t>enantiomerų</w:t>
      </w:r>
      <w:proofErr w:type="spellEnd"/>
      <w:r w:rsidRPr="00A14E24">
        <w:t xml:space="preserve"> AUC (S/R) santykis, palyginti su sveikais kontrolinės grupės asmenimis.</w:t>
      </w:r>
    </w:p>
    <w:p w14:paraId="408D4E37" w14:textId="77777777" w:rsidR="00746F23" w:rsidRPr="00A14E24" w:rsidRDefault="00746F23" w:rsidP="00EC2E49"/>
    <w:p w14:paraId="285F1CB9" w14:textId="505CE20F" w:rsidR="00C268B5" w:rsidRPr="00A14E24" w:rsidRDefault="00C268B5" w:rsidP="00EC2E49">
      <w:r w:rsidRPr="00A14E24">
        <w:t xml:space="preserve">Galutinės stadijos inkstų liga sergantiems pacientams, kuriems atliekama dializė, vidutinė </w:t>
      </w:r>
      <w:proofErr w:type="spellStart"/>
      <w:r w:rsidRPr="00A14E24">
        <w:t>ibuprofeno</w:t>
      </w:r>
      <w:proofErr w:type="spellEnd"/>
      <w:r w:rsidRPr="00A14E24">
        <w:t xml:space="preserve"> laisvoji frakcija buvo apie 3 %, palyginti su maždaug 1 % sveikiems savanoriams. Esant sunkiam inkstų funkcijos sutrikimui, gali kauptis </w:t>
      </w:r>
      <w:proofErr w:type="spellStart"/>
      <w:r w:rsidRPr="00A14E24">
        <w:t>ibuprofeno</w:t>
      </w:r>
      <w:proofErr w:type="spellEnd"/>
      <w:r w:rsidRPr="00A14E24">
        <w:t xml:space="preserve"> metabolitai. Šio poveikio reikšmė nėra žinoma. Metabolitai gali būti pašalinti hemodialize (žr. 4.2, 4.3 ir 4.4 skyrius).</w:t>
      </w:r>
    </w:p>
    <w:p w14:paraId="471B3F36" w14:textId="77777777" w:rsidR="00746F23" w:rsidRPr="00A14E24" w:rsidRDefault="00746F23" w:rsidP="00EC2E49"/>
    <w:p w14:paraId="46318F6B" w14:textId="4D816FFE" w:rsidR="00430E23" w:rsidRPr="00A14E24" w:rsidRDefault="00430E23" w:rsidP="00EC2E49">
      <w:pPr>
        <w:rPr>
          <w:i/>
          <w:iCs/>
        </w:rPr>
      </w:pPr>
      <w:r w:rsidRPr="00A14E24">
        <w:rPr>
          <w:i/>
          <w:iCs/>
        </w:rPr>
        <w:t>Sutrikusi kepenų funkcija</w:t>
      </w:r>
    </w:p>
    <w:p w14:paraId="18B6B9AA" w14:textId="77777777" w:rsidR="00861A43" w:rsidRPr="00A14E24" w:rsidRDefault="00861A43" w:rsidP="00EC2E49">
      <w:r w:rsidRPr="00A14E24">
        <w:t>Alkoholinė kepenų liga su lengvu ar vidutinio sunkumo kepenų funkcijos sutrikimu nesukėlė žymių farmakokinetikos parametrų pokyčių.</w:t>
      </w:r>
    </w:p>
    <w:p w14:paraId="18B3DAEC" w14:textId="77777777" w:rsidR="00746F23" w:rsidRPr="00A14E24" w:rsidRDefault="00746F23" w:rsidP="00EC2E49"/>
    <w:p w14:paraId="2FECB774" w14:textId="76BA9A1D" w:rsidR="00462C81" w:rsidRPr="00A14E24" w:rsidRDefault="00462C81" w:rsidP="00EC2E49">
      <w:r w:rsidRPr="00A14E24">
        <w:t>Pacientams, kurie serga kepenų ciroze, kuriems yra vidutinio sunkumo kepenų funkcijos sutrikimas (6</w:t>
      </w:r>
      <w:r w:rsidR="00CD00AF">
        <w:t>–</w:t>
      </w:r>
      <w:r w:rsidRPr="00A14E24">
        <w:t xml:space="preserve">10 balų pagal </w:t>
      </w:r>
      <w:proofErr w:type="spellStart"/>
      <w:r w:rsidRPr="00A14E24">
        <w:rPr>
          <w:i/>
          <w:iCs/>
        </w:rPr>
        <w:t>Child</w:t>
      </w:r>
      <w:proofErr w:type="spellEnd"/>
      <w:r w:rsidRPr="00A14E24">
        <w:rPr>
          <w:i/>
          <w:iCs/>
        </w:rPr>
        <w:t xml:space="preserve"> </w:t>
      </w:r>
      <w:proofErr w:type="spellStart"/>
      <w:r w:rsidRPr="00A14E24">
        <w:rPr>
          <w:i/>
          <w:iCs/>
        </w:rPr>
        <w:t>Pugh</w:t>
      </w:r>
      <w:proofErr w:type="spellEnd"/>
      <w:r w:rsidRPr="00A14E24">
        <w:t xml:space="preserve"> skalę) ir kurie buvo gydomi </w:t>
      </w:r>
      <w:proofErr w:type="spellStart"/>
      <w:r w:rsidRPr="00A14E24">
        <w:t>raceminiu</w:t>
      </w:r>
      <w:proofErr w:type="spellEnd"/>
      <w:r w:rsidRPr="00A14E24">
        <w:t xml:space="preserve"> </w:t>
      </w:r>
      <w:proofErr w:type="spellStart"/>
      <w:r w:rsidRPr="00A14E24">
        <w:t>ibuprofenu</w:t>
      </w:r>
      <w:proofErr w:type="spellEnd"/>
      <w:r w:rsidRPr="00A14E24">
        <w:t xml:space="preserve">, buvo pastebėtas vidutiniškai 2 kartus ilgesnis pusinės eliminacijos laikas, o </w:t>
      </w:r>
      <w:proofErr w:type="spellStart"/>
      <w:r w:rsidRPr="00A14E24">
        <w:t>enantiomerų</w:t>
      </w:r>
      <w:proofErr w:type="spellEnd"/>
      <w:r w:rsidRPr="00A14E24">
        <w:t xml:space="preserve"> AUC santykis (S/R) buvo reikšmingai mažesnis, palyginti su sveikais kontrolinės grupės pacientais</w:t>
      </w:r>
      <w:r w:rsidR="002D0863" w:rsidRPr="00A14E24">
        <w:t>;</w:t>
      </w:r>
      <w:r w:rsidRPr="00A14E24">
        <w:t xml:space="preserve"> tai rodo, kad sutrinka </w:t>
      </w:r>
      <w:proofErr w:type="spellStart"/>
      <w:r w:rsidRPr="00A14E24">
        <w:t>metabolinė</w:t>
      </w:r>
      <w:proofErr w:type="spellEnd"/>
      <w:r w:rsidRPr="00A14E24">
        <w:t xml:space="preserve"> (R)-</w:t>
      </w:r>
      <w:proofErr w:type="spellStart"/>
      <w:r w:rsidRPr="00A14E24">
        <w:t>ibuprofeno</w:t>
      </w:r>
      <w:proofErr w:type="spellEnd"/>
      <w:r w:rsidRPr="00A14E24">
        <w:t xml:space="preserve"> inversija į aktyvųjį (S)</w:t>
      </w:r>
      <w:proofErr w:type="spellStart"/>
      <w:r w:rsidRPr="00A14E24">
        <w:t>enantiomerą</w:t>
      </w:r>
      <w:proofErr w:type="spellEnd"/>
      <w:r w:rsidRPr="00A14E24">
        <w:t xml:space="preserve"> (žr. 4.2, 4.3 ir 4.4 skyrius).</w:t>
      </w:r>
    </w:p>
    <w:p w14:paraId="652A95E4" w14:textId="77777777" w:rsidR="00CC424D" w:rsidRPr="00A14E24" w:rsidRDefault="00CC424D" w:rsidP="00EC2E49">
      <w:pPr>
        <w:rPr>
          <w:rFonts w:eastAsia="Times New Roman"/>
        </w:rPr>
      </w:pPr>
    </w:p>
    <w:p w14:paraId="2DC52CA3" w14:textId="77777777" w:rsidR="00DF2186" w:rsidRPr="00A14E24" w:rsidRDefault="00DF2186" w:rsidP="00EC2E49">
      <w:pPr>
        <w:keepNext/>
        <w:tabs>
          <w:tab w:val="left" w:pos="567"/>
        </w:tabs>
        <w:ind w:left="567" w:hanging="567"/>
        <w:outlineLvl w:val="2"/>
        <w:rPr>
          <w:b/>
          <w:kern w:val="28"/>
        </w:rPr>
      </w:pPr>
      <w:r w:rsidRPr="00A14E24">
        <w:rPr>
          <w:b/>
          <w:kern w:val="28"/>
        </w:rPr>
        <w:t>5.3</w:t>
      </w:r>
      <w:r w:rsidRPr="00A14E24">
        <w:rPr>
          <w:b/>
          <w:kern w:val="28"/>
        </w:rPr>
        <w:tab/>
      </w:r>
      <w:proofErr w:type="spellStart"/>
      <w:r w:rsidRPr="00A14E24">
        <w:rPr>
          <w:b/>
          <w:kern w:val="28"/>
        </w:rPr>
        <w:t>Ikiklinikinių</w:t>
      </w:r>
      <w:proofErr w:type="spellEnd"/>
      <w:r w:rsidRPr="00A14E24">
        <w:rPr>
          <w:b/>
          <w:kern w:val="28"/>
        </w:rPr>
        <w:t xml:space="preserve"> saugumo tyrimų duomenys</w:t>
      </w:r>
      <w:bookmarkEnd w:id="34"/>
      <w:bookmarkEnd w:id="35"/>
    </w:p>
    <w:p w14:paraId="004E36C5" w14:textId="77777777" w:rsidR="00CC424D" w:rsidRPr="00A14E24" w:rsidRDefault="00CC424D" w:rsidP="00EC2E49">
      <w:pPr>
        <w:keepNext/>
        <w:rPr>
          <w:rFonts w:eastAsia="Times New Roman"/>
        </w:rPr>
      </w:pPr>
      <w:bookmarkStart w:id="36" w:name="_Toc129243115"/>
      <w:bookmarkStart w:id="37" w:name="_Toc129243240"/>
    </w:p>
    <w:bookmarkEnd w:id="36"/>
    <w:bookmarkEnd w:id="37"/>
    <w:p w14:paraId="2100D5FC" w14:textId="35DACC11" w:rsidR="00007183" w:rsidRPr="00A14E24" w:rsidRDefault="00705DB7" w:rsidP="00EC2E49">
      <w:r w:rsidRPr="00A14E24">
        <w:t xml:space="preserve">Nėra jokių </w:t>
      </w:r>
      <w:proofErr w:type="spellStart"/>
      <w:r w:rsidRPr="00A14E24">
        <w:t>ikiklinikinių</w:t>
      </w:r>
      <w:proofErr w:type="spellEnd"/>
      <w:r w:rsidRPr="00A14E24">
        <w:t xml:space="preserve"> duomenų, kurie būtų svarbūs saugumo vertinimui, išskyrus tuos, kurie jau buvo įtraukti į šią preparato charakteristikų santrauką.</w:t>
      </w:r>
    </w:p>
    <w:p w14:paraId="06D3B427" w14:textId="77777777" w:rsidR="00106DA0" w:rsidRPr="00A14E24" w:rsidRDefault="00106DA0" w:rsidP="00EC2E49"/>
    <w:p w14:paraId="2084AA71" w14:textId="77777777" w:rsidR="000F5540" w:rsidRPr="00A14E24" w:rsidRDefault="000F5540" w:rsidP="006D2935">
      <w:pPr>
        <w:pStyle w:val="BTEMEASMCA"/>
      </w:pPr>
    </w:p>
    <w:p w14:paraId="1C8B77EF" w14:textId="77777777" w:rsidR="000F5540" w:rsidRPr="00A14E24" w:rsidRDefault="000F5540" w:rsidP="000F5540">
      <w:pPr>
        <w:pStyle w:val="PI-1EMEASMCA"/>
      </w:pPr>
      <w:r w:rsidRPr="00A14E24">
        <w:t>6.</w:t>
      </w:r>
      <w:r w:rsidRPr="00A14E24">
        <w:tab/>
        <w:t>FARMACINĖ INFORMACIJA</w:t>
      </w:r>
    </w:p>
    <w:p w14:paraId="2D84DF39" w14:textId="77777777" w:rsidR="000F5540" w:rsidRPr="00A14E24" w:rsidRDefault="000F5540" w:rsidP="006D2935">
      <w:pPr>
        <w:pStyle w:val="BTEMEASMCA"/>
      </w:pPr>
    </w:p>
    <w:p w14:paraId="5D74478D" w14:textId="77777777" w:rsidR="000F5540" w:rsidRPr="00A14E24" w:rsidRDefault="000F5540" w:rsidP="000F5540">
      <w:pPr>
        <w:pStyle w:val="PI-2EMEASMCA"/>
      </w:pPr>
      <w:bookmarkStart w:id="38" w:name="_Toc129243116"/>
      <w:bookmarkStart w:id="39" w:name="_Toc129243241"/>
      <w:r w:rsidRPr="00A14E24">
        <w:t>6.1</w:t>
      </w:r>
      <w:r w:rsidRPr="00A14E24">
        <w:tab/>
        <w:t>Pagalbinių medžiagų sąrašas</w:t>
      </w:r>
      <w:bookmarkEnd w:id="38"/>
      <w:bookmarkEnd w:id="39"/>
    </w:p>
    <w:p w14:paraId="50E9CEC1" w14:textId="77777777" w:rsidR="000F5540" w:rsidRPr="00A14E24" w:rsidRDefault="000F5540" w:rsidP="006D2935">
      <w:pPr>
        <w:pStyle w:val="BTEMEASMCA"/>
      </w:pPr>
    </w:p>
    <w:p w14:paraId="34AD967C" w14:textId="77777777" w:rsidR="000F5540" w:rsidRPr="00A14E24" w:rsidRDefault="000F5540" w:rsidP="000F5540">
      <w:pPr>
        <w:rPr>
          <w:i/>
          <w:iCs/>
        </w:rPr>
      </w:pPr>
      <w:r w:rsidRPr="00A14E24">
        <w:rPr>
          <w:i/>
          <w:iCs/>
        </w:rPr>
        <w:t>Tabletės branduolys</w:t>
      </w:r>
    </w:p>
    <w:p w14:paraId="4C5DFC65" w14:textId="77777777" w:rsidR="00DB1FA9" w:rsidRPr="00A14E24" w:rsidRDefault="00DB1FA9" w:rsidP="006D2935">
      <w:pPr>
        <w:pStyle w:val="BTEMEASMCA"/>
      </w:pPr>
      <w:proofErr w:type="spellStart"/>
      <w:r w:rsidRPr="00A14E24">
        <w:t>Mikrokristalinė</w:t>
      </w:r>
      <w:proofErr w:type="spellEnd"/>
      <w:r w:rsidRPr="00A14E24">
        <w:t xml:space="preserve"> celiuliozė (E460)</w:t>
      </w:r>
    </w:p>
    <w:p w14:paraId="4CA87D37" w14:textId="77777777" w:rsidR="00DB1FA9" w:rsidRPr="00A14E24" w:rsidRDefault="00DB1FA9" w:rsidP="006D2935">
      <w:pPr>
        <w:pStyle w:val="BTEMEASMCA"/>
      </w:pPr>
      <w:proofErr w:type="spellStart"/>
      <w:r w:rsidRPr="00A14E24">
        <w:t>Pregelifikuotas</w:t>
      </w:r>
      <w:proofErr w:type="spellEnd"/>
      <w:r w:rsidRPr="00A14E24">
        <w:t xml:space="preserve"> krakmolas (kukurūzų)</w:t>
      </w:r>
    </w:p>
    <w:p w14:paraId="76D88E9A" w14:textId="77777777" w:rsidR="00DB1FA9" w:rsidRPr="00A14E24" w:rsidRDefault="00DB1FA9" w:rsidP="006D2935">
      <w:pPr>
        <w:pStyle w:val="BTEMEASMCA"/>
        <w:rPr>
          <w:lang w:val="pl-PL"/>
        </w:rPr>
      </w:pPr>
      <w:proofErr w:type="spellStart"/>
      <w:r w:rsidRPr="00A14E24">
        <w:rPr>
          <w:lang w:val="pl-PL"/>
        </w:rPr>
        <w:t>Povidonas</w:t>
      </w:r>
      <w:proofErr w:type="spellEnd"/>
    </w:p>
    <w:p w14:paraId="6CE3B22A" w14:textId="77777777" w:rsidR="00DB1FA9" w:rsidRPr="00A14E24" w:rsidRDefault="00DB1FA9" w:rsidP="006D2935">
      <w:pPr>
        <w:pStyle w:val="BTEMEASMCA"/>
        <w:rPr>
          <w:lang w:val="pl-PL"/>
        </w:rPr>
      </w:pPr>
      <w:proofErr w:type="spellStart"/>
      <w:r w:rsidRPr="00A14E24">
        <w:rPr>
          <w:lang w:val="pl-PL"/>
        </w:rPr>
        <w:t>Natrio</w:t>
      </w:r>
      <w:proofErr w:type="spellEnd"/>
      <w:r w:rsidRPr="00A14E24">
        <w:rPr>
          <w:lang w:val="pl-PL"/>
        </w:rPr>
        <w:t xml:space="preserve"> </w:t>
      </w:r>
      <w:proofErr w:type="spellStart"/>
      <w:r w:rsidRPr="00A14E24">
        <w:rPr>
          <w:lang w:val="pl-PL"/>
        </w:rPr>
        <w:t>laurilsulfatas</w:t>
      </w:r>
      <w:proofErr w:type="spellEnd"/>
      <w:r w:rsidRPr="00A14E24">
        <w:rPr>
          <w:lang w:val="pl-PL"/>
        </w:rPr>
        <w:t xml:space="preserve"> (E487)</w:t>
      </w:r>
    </w:p>
    <w:p w14:paraId="7636D7C9" w14:textId="77777777" w:rsidR="00DB1FA9" w:rsidRPr="00A14E24" w:rsidRDefault="00DB1FA9" w:rsidP="006D2935">
      <w:pPr>
        <w:pStyle w:val="BTEMEASMCA"/>
        <w:rPr>
          <w:lang w:val="pl-PL"/>
        </w:rPr>
      </w:pPr>
      <w:proofErr w:type="spellStart"/>
      <w:r w:rsidRPr="00A14E24">
        <w:rPr>
          <w:lang w:val="pl-PL"/>
        </w:rPr>
        <w:t>Kroskarmeliozės</w:t>
      </w:r>
      <w:proofErr w:type="spellEnd"/>
      <w:r w:rsidRPr="00A14E24">
        <w:rPr>
          <w:lang w:val="pl-PL"/>
        </w:rPr>
        <w:t xml:space="preserve"> </w:t>
      </w:r>
      <w:proofErr w:type="spellStart"/>
      <w:r w:rsidRPr="00A14E24">
        <w:rPr>
          <w:lang w:val="pl-PL"/>
        </w:rPr>
        <w:t>natrio</w:t>
      </w:r>
      <w:proofErr w:type="spellEnd"/>
      <w:r w:rsidRPr="00A14E24">
        <w:rPr>
          <w:lang w:val="pl-PL"/>
        </w:rPr>
        <w:t xml:space="preserve"> </w:t>
      </w:r>
      <w:proofErr w:type="spellStart"/>
      <w:r w:rsidRPr="00A14E24">
        <w:rPr>
          <w:lang w:val="pl-PL"/>
        </w:rPr>
        <w:t>druska</w:t>
      </w:r>
      <w:proofErr w:type="spellEnd"/>
      <w:r w:rsidRPr="00A14E24">
        <w:rPr>
          <w:lang w:val="pl-PL"/>
        </w:rPr>
        <w:t xml:space="preserve"> (E468)</w:t>
      </w:r>
    </w:p>
    <w:p w14:paraId="310134D4" w14:textId="5E401886" w:rsidR="00DB1FA9" w:rsidRPr="00A14E24" w:rsidRDefault="001A213F" w:rsidP="006D2935">
      <w:pPr>
        <w:pStyle w:val="BTEMEASMCA"/>
      </w:pPr>
      <w:r w:rsidRPr="00A14E24">
        <w:t>Bevandenis k</w:t>
      </w:r>
      <w:r w:rsidR="00DB1FA9" w:rsidRPr="00A14E24">
        <w:t>oloidinis silicio dioksidas (E551)</w:t>
      </w:r>
    </w:p>
    <w:p w14:paraId="72BD8E09" w14:textId="165477C5" w:rsidR="000F5540" w:rsidRPr="00A14E24" w:rsidRDefault="00DB1FA9" w:rsidP="006D2935">
      <w:pPr>
        <w:pStyle w:val="BTEMEASMCA"/>
      </w:pPr>
      <w:r w:rsidRPr="00A14E24">
        <w:t xml:space="preserve">Magnio </w:t>
      </w:r>
      <w:proofErr w:type="spellStart"/>
      <w:r w:rsidRPr="00A14E24">
        <w:t>stearatas</w:t>
      </w:r>
      <w:proofErr w:type="spellEnd"/>
      <w:r w:rsidRPr="00A14E24">
        <w:t xml:space="preserve"> (E572)</w:t>
      </w:r>
    </w:p>
    <w:p w14:paraId="2697BA88" w14:textId="77777777" w:rsidR="00DB1FA9" w:rsidRPr="00A14E24" w:rsidRDefault="00DB1FA9" w:rsidP="006D2935">
      <w:pPr>
        <w:pStyle w:val="BTEMEASMCA"/>
      </w:pPr>
    </w:p>
    <w:p w14:paraId="6CFEE714" w14:textId="0C328079" w:rsidR="000F5540" w:rsidRPr="00A14E24" w:rsidRDefault="00B75FD2" w:rsidP="000F5540">
      <w:pPr>
        <w:tabs>
          <w:tab w:val="left" w:pos="567"/>
        </w:tabs>
        <w:rPr>
          <w:i/>
          <w:iCs/>
        </w:rPr>
      </w:pPr>
      <w:r w:rsidRPr="00A14E24">
        <w:rPr>
          <w:i/>
          <w:iCs/>
        </w:rPr>
        <w:t>Plėvelė</w:t>
      </w:r>
    </w:p>
    <w:p w14:paraId="406A2F24" w14:textId="7C1F0416" w:rsidR="00B6119C" w:rsidRPr="00A14E24" w:rsidRDefault="00B6119C" w:rsidP="006D2935">
      <w:pPr>
        <w:pStyle w:val="BTEMEASMCA"/>
      </w:pPr>
      <w:r w:rsidRPr="00A14E24">
        <w:t>Titano dioksidas (E171)</w:t>
      </w:r>
    </w:p>
    <w:p w14:paraId="449F5F8E" w14:textId="77777777" w:rsidR="00B6119C" w:rsidRPr="00A14E24" w:rsidRDefault="00B6119C" w:rsidP="006D2935">
      <w:pPr>
        <w:pStyle w:val="BTEMEASMCA"/>
      </w:pPr>
      <w:proofErr w:type="spellStart"/>
      <w:r w:rsidRPr="00A14E24">
        <w:t>Hipromeliozė</w:t>
      </w:r>
      <w:proofErr w:type="spellEnd"/>
      <w:r w:rsidRPr="00A14E24">
        <w:t xml:space="preserve"> (E464)</w:t>
      </w:r>
    </w:p>
    <w:p w14:paraId="31219E82" w14:textId="77777777" w:rsidR="00B6119C" w:rsidRPr="00A14E24" w:rsidRDefault="00B6119C" w:rsidP="006D2935">
      <w:pPr>
        <w:pStyle w:val="BTEMEASMCA"/>
      </w:pPr>
      <w:proofErr w:type="spellStart"/>
      <w:r w:rsidRPr="00A14E24">
        <w:t>Hidroksipropilceliuliozė</w:t>
      </w:r>
      <w:proofErr w:type="spellEnd"/>
      <w:r w:rsidRPr="00A14E24">
        <w:t xml:space="preserve"> (E463)</w:t>
      </w:r>
    </w:p>
    <w:p w14:paraId="3DA40040" w14:textId="71CAA57C" w:rsidR="000F5540" w:rsidRPr="00A14E24" w:rsidRDefault="00B6119C" w:rsidP="006D2935">
      <w:pPr>
        <w:pStyle w:val="BTEMEASMCA"/>
      </w:pPr>
      <w:r w:rsidRPr="00A14E24">
        <w:t>Makrogolis</w:t>
      </w:r>
    </w:p>
    <w:p w14:paraId="356334F3" w14:textId="77777777" w:rsidR="00B6119C" w:rsidRPr="00A14E24" w:rsidRDefault="00B6119C" w:rsidP="006D2935">
      <w:pPr>
        <w:pStyle w:val="BTEMEASMCA"/>
      </w:pPr>
    </w:p>
    <w:p w14:paraId="57AA6613" w14:textId="77777777" w:rsidR="000F5540" w:rsidRPr="00A14E24" w:rsidRDefault="000F5540" w:rsidP="000F5540">
      <w:pPr>
        <w:pStyle w:val="PI-2EMEASMCA"/>
      </w:pPr>
      <w:bookmarkStart w:id="40" w:name="_Toc129243117"/>
      <w:bookmarkStart w:id="41" w:name="_Toc129243242"/>
      <w:r w:rsidRPr="00A14E24">
        <w:t>6.2</w:t>
      </w:r>
      <w:r w:rsidRPr="00A14E24">
        <w:tab/>
        <w:t>Nesuderinamumas</w:t>
      </w:r>
      <w:bookmarkEnd w:id="40"/>
      <w:bookmarkEnd w:id="41"/>
    </w:p>
    <w:p w14:paraId="3F1AC40A" w14:textId="77777777" w:rsidR="000F5540" w:rsidRPr="00A14E24" w:rsidRDefault="000F5540" w:rsidP="006D2935">
      <w:pPr>
        <w:pStyle w:val="BTEMEASMCA"/>
      </w:pPr>
    </w:p>
    <w:p w14:paraId="00DF8502" w14:textId="77777777" w:rsidR="000F5540" w:rsidRPr="00A14E24" w:rsidRDefault="000F5540" w:rsidP="006D2935">
      <w:pPr>
        <w:pStyle w:val="BTEMEASMCA"/>
      </w:pPr>
      <w:r w:rsidRPr="00A14E24">
        <w:t>Duomenys nebūtini.</w:t>
      </w:r>
    </w:p>
    <w:p w14:paraId="19FE5B3F" w14:textId="77777777" w:rsidR="000F5540" w:rsidRPr="00A14E24" w:rsidRDefault="000F5540" w:rsidP="006D2935">
      <w:pPr>
        <w:pStyle w:val="BTEMEASMCA"/>
      </w:pPr>
      <w:bookmarkStart w:id="42" w:name="_Toc129243118"/>
      <w:bookmarkStart w:id="43" w:name="_Toc129243243"/>
    </w:p>
    <w:p w14:paraId="4DFF383C" w14:textId="77777777" w:rsidR="000F5540" w:rsidRPr="00A14E24" w:rsidRDefault="000F5540" w:rsidP="000F5540">
      <w:pPr>
        <w:pStyle w:val="PI-2EMEASMCA"/>
      </w:pPr>
      <w:r w:rsidRPr="00A14E24">
        <w:lastRenderedPageBreak/>
        <w:t>6.3</w:t>
      </w:r>
      <w:r w:rsidRPr="00A14E24">
        <w:tab/>
        <w:t>Tinkamumo laikas</w:t>
      </w:r>
      <w:bookmarkEnd w:id="42"/>
      <w:bookmarkEnd w:id="43"/>
    </w:p>
    <w:p w14:paraId="531D2B8D" w14:textId="77777777" w:rsidR="000F5540" w:rsidRPr="00A14E24" w:rsidRDefault="000F5540" w:rsidP="006D2935">
      <w:pPr>
        <w:pStyle w:val="BTEMEASMCA"/>
      </w:pPr>
    </w:p>
    <w:p w14:paraId="211CA8FA" w14:textId="77777777" w:rsidR="000F5540" w:rsidRPr="00A14E24" w:rsidRDefault="000F5540" w:rsidP="006D2935">
      <w:pPr>
        <w:pStyle w:val="BTEMEASMCA"/>
      </w:pPr>
      <w:r w:rsidRPr="00A14E24">
        <w:t>3 metai</w:t>
      </w:r>
    </w:p>
    <w:p w14:paraId="638B2FBF" w14:textId="77777777" w:rsidR="000F5540" w:rsidRPr="00A14E24" w:rsidRDefault="000F5540" w:rsidP="006D2935">
      <w:pPr>
        <w:pStyle w:val="BTEMEASMCA"/>
      </w:pPr>
    </w:p>
    <w:p w14:paraId="6DB3A3AD" w14:textId="77777777" w:rsidR="000F5540" w:rsidRPr="00A14E24" w:rsidRDefault="000F5540" w:rsidP="000F5540">
      <w:pPr>
        <w:pStyle w:val="PI-2EMEASMCA"/>
      </w:pPr>
      <w:bookmarkStart w:id="44" w:name="_Toc129243119"/>
      <w:bookmarkStart w:id="45" w:name="_Toc129243244"/>
      <w:r w:rsidRPr="00A14E24">
        <w:t>6.4</w:t>
      </w:r>
      <w:r w:rsidRPr="00A14E24">
        <w:tab/>
        <w:t>Specialios laikymo sąlygos</w:t>
      </w:r>
      <w:bookmarkEnd w:id="44"/>
      <w:bookmarkEnd w:id="45"/>
    </w:p>
    <w:p w14:paraId="1F9B1644" w14:textId="77777777" w:rsidR="000F5540" w:rsidRPr="00A14E24" w:rsidRDefault="000F5540" w:rsidP="006D2935">
      <w:pPr>
        <w:pStyle w:val="BTEMEASMCA"/>
      </w:pPr>
    </w:p>
    <w:p w14:paraId="0A82DC70" w14:textId="072E5D5A" w:rsidR="000F5540" w:rsidRPr="00A14E24" w:rsidRDefault="00260AA9">
      <w:pPr>
        <w:pStyle w:val="BTEMEASMCA"/>
      </w:pPr>
      <w:r w:rsidRPr="00A235B0">
        <w:t>Šiam vaistiniam preparatui specialių laikymo sąlygų nereikia.</w:t>
      </w:r>
    </w:p>
    <w:p w14:paraId="5E5E3CC1" w14:textId="77777777" w:rsidR="00260AA9" w:rsidRPr="00A14E24" w:rsidRDefault="00260AA9" w:rsidP="006D2935">
      <w:pPr>
        <w:pStyle w:val="BTEMEASMCA"/>
      </w:pPr>
    </w:p>
    <w:p w14:paraId="594F7C9E" w14:textId="77777777" w:rsidR="000F5540" w:rsidRPr="00A14E24" w:rsidRDefault="000F5540" w:rsidP="000F5540">
      <w:pPr>
        <w:pStyle w:val="PI-2EMEASMCA"/>
      </w:pPr>
      <w:bookmarkStart w:id="46" w:name="_Toc129243120"/>
      <w:bookmarkStart w:id="47" w:name="_Toc129243245"/>
      <w:r w:rsidRPr="00A14E24">
        <w:t>6.5</w:t>
      </w:r>
      <w:r w:rsidRPr="00A14E24">
        <w:tab/>
      </w:r>
      <w:proofErr w:type="spellStart"/>
      <w:r w:rsidRPr="00A14E24">
        <w:t>Talpyklės</w:t>
      </w:r>
      <w:proofErr w:type="spellEnd"/>
      <w:r w:rsidRPr="00A14E24">
        <w:t xml:space="preserve"> pobūdis ir jos turinys</w:t>
      </w:r>
      <w:bookmarkEnd w:id="46"/>
      <w:bookmarkEnd w:id="47"/>
    </w:p>
    <w:p w14:paraId="596CA19F" w14:textId="77777777" w:rsidR="000F5540" w:rsidRPr="00A14E24" w:rsidRDefault="000F5540" w:rsidP="000F5540">
      <w:pPr>
        <w:tabs>
          <w:tab w:val="left" w:pos="567"/>
        </w:tabs>
      </w:pPr>
    </w:p>
    <w:p w14:paraId="24E16CE7" w14:textId="2452A765" w:rsidR="00300659" w:rsidRDefault="00300659" w:rsidP="00B65347">
      <w:pPr>
        <w:jc w:val="both"/>
      </w:pPr>
      <w:r w:rsidRPr="00A14E24">
        <w:t>PVC/</w:t>
      </w:r>
      <w:r w:rsidR="00FB194F">
        <w:t>Al</w:t>
      </w:r>
      <w:r w:rsidR="00FB194F" w:rsidRPr="00A14E24">
        <w:t xml:space="preserve"> </w:t>
      </w:r>
      <w:r w:rsidRPr="00A14E24">
        <w:t>lizdin</w:t>
      </w:r>
      <w:r w:rsidR="00F64F03">
        <w:t>ės</w:t>
      </w:r>
      <w:r w:rsidRPr="00A14E24">
        <w:t xml:space="preserve"> plokštel</w:t>
      </w:r>
      <w:r w:rsidR="00F64F03">
        <w:t>ės</w:t>
      </w:r>
      <w:r>
        <w:t xml:space="preserve"> i</w:t>
      </w:r>
      <w:r w:rsidR="00464CAB">
        <w:t>šorinėje kartono dėžutėje</w:t>
      </w:r>
      <w:r w:rsidR="00191842">
        <w:t>, kurioje yra</w:t>
      </w:r>
      <w:r w:rsidR="008B64BB" w:rsidRPr="008B64BB">
        <w:t xml:space="preserve"> </w:t>
      </w:r>
      <w:proofErr w:type="spellStart"/>
      <w:r w:rsidR="008B64BB">
        <w:t>yra</w:t>
      </w:r>
      <w:proofErr w:type="spellEnd"/>
      <w:r w:rsidR="008B64BB">
        <w:t xml:space="preserve"> 10 ar 12 tablečių</w:t>
      </w:r>
      <w:r w:rsidR="00996CB2">
        <w:t xml:space="preserve"> l</w:t>
      </w:r>
      <w:r w:rsidR="00F14A15">
        <w:t>iz</w:t>
      </w:r>
      <w:r w:rsidR="00996CB2">
        <w:t>d</w:t>
      </w:r>
      <w:r w:rsidR="00F14A15">
        <w:t>i</w:t>
      </w:r>
      <w:r w:rsidR="00996CB2">
        <w:t xml:space="preserve">nėje plokštelėje arba </w:t>
      </w:r>
      <w:proofErr w:type="spellStart"/>
      <w:r w:rsidR="00996CB2">
        <w:t>dalomojoje</w:t>
      </w:r>
      <w:proofErr w:type="spellEnd"/>
      <w:r w:rsidR="00996CB2">
        <w:t xml:space="preserve"> lizdinėje</w:t>
      </w:r>
      <w:r w:rsidR="001165F6">
        <w:t xml:space="preserve"> plokštelėje</w:t>
      </w:r>
      <w:r w:rsidR="00F14A15">
        <w:t>.</w:t>
      </w:r>
    </w:p>
    <w:p w14:paraId="78C9B951" w14:textId="77777777" w:rsidR="00300659" w:rsidRDefault="00300659" w:rsidP="00B65347">
      <w:pPr>
        <w:jc w:val="both"/>
      </w:pPr>
    </w:p>
    <w:p w14:paraId="326C7924" w14:textId="77777777" w:rsidR="00300659" w:rsidRPr="00A14E24" w:rsidRDefault="00300659" w:rsidP="00300659">
      <w:pPr>
        <w:ind w:left="-3" w:hanging="10"/>
        <w:jc w:val="both"/>
        <w:rPr>
          <w:u w:val="single" w:color="000000"/>
        </w:rPr>
      </w:pPr>
      <w:r w:rsidRPr="00A14E24">
        <w:rPr>
          <w:u w:val="single" w:color="000000"/>
        </w:rPr>
        <w:t>Pakuotės dydžiai</w:t>
      </w:r>
    </w:p>
    <w:p w14:paraId="1FA5B063" w14:textId="77777777" w:rsidR="00300659" w:rsidRDefault="00300659" w:rsidP="00B65347">
      <w:pPr>
        <w:jc w:val="both"/>
      </w:pPr>
    </w:p>
    <w:p w14:paraId="59FC19EE" w14:textId="11EC8D9C" w:rsidR="00B65347" w:rsidRPr="00A14E24" w:rsidRDefault="00B65347" w:rsidP="00B65347">
      <w:pPr>
        <w:jc w:val="both"/>
      </w:pPr>
      <w:r w:rsidRPr="00A14E24">
        <w:t>PVC/</w:t>
      </w:r>
      <w:r w:rsidR="00FB194F">
        <w:t>Al</w:t>
      </w:r>
      <w:r w:rsidR="00FB194F" w:rsidRPr="00A14E24">
        <w:t xml:space="preserve"> </w:t>
      </w:r>
      <w:r w:rsidRPr="00A14E24">
        <w:t>lizdinės plokštelės, kuriose yra 10, 20, 30, 40, 50, 60, 70, 80, 90 arba 100 tablečių.</w:t>
      </w:r>
    </w:p>
    <w:p w14:paraId="377BA18B" w14:textId="3B014AD3" w:rsidR="00B65347" w:rsidRPr="00A14E24" w:rsidRDefault="00B65347" w:rsidP="00B65347">
      <w:pPr>
        <w:jc w:val="both"/>
      </w:pPr>
      <w:r w:rsidRPr="00A14E24">
        <w:t>PVC/</w:t>
      </w:r>
      <w:r w:rsidR="00FB194F">
        <w:t>Al</w:t>
      </w:r>
      <w:r w:rsidR="00FB194F" w:rsidRPr="00A14E24">
        <w:t xml:space="preserve"> </w:t>
      </w:r>
      <w:r w:rsidRPr="00A14E24">
        <w:t xml:space="preserve">perforuotos </w:t>
      </w:r>
      <w:proofErr w:type="spellStart"/>
      <w:r w:rsidRPr="00A14E24">
        <w:t>dalomosios</w:t>
      </w:r>
      <w:proofErr w:type="spellEnd"/>
      <w:r w:rsidRPr="00A14E24">
        <w:t xml:space="preserve"> lizdinės plokštelės, kuriose yra 10x1, 20x1, 30x1, 40x1, 50x1, 60x1, 70x1, 80x1, 90x1 arba 100x1</w:t>
      </w:r>
      <w:r w:rsidR="00ED00D6">
        <w:t> </w:t>
      </w:r>
      <w:r w:rsidRPr="00A14E24">
        <w:t>table</w:t>
      </w:r>
      <w:r w:rsidR="00A9672F" w:rsidRPr="00A14E24">
        <w:t>čių</w:t>
      </w:r>
      <w:r w:rsidRPr="00A14E24">
        <w:t>.</w:t>
      </w:r>
    </w:p>
    <w:p w14:paraId="18D6EABA" w14:textId="77777777" w:rsidR="000F5540" w:rsidRPr="00596EA1" w:rsidRDefault="000F5540" w:rsidP="006D2935">
      <w:pPr>
        <w:pStyle w:val="BTEMEASMCA"/>
        <w:rPr>
          <w:snapToGrid w:val="0"/>
        </w:rPr>
      </w:pPr>
    </w:p>
    <w:p w14:paraId="07F79559" w14:textId="77777777" w:rsidR="000F5540" w:rsidRPr="00A14E24" w:rsidRDefault="000F5540" w:rsidP="006D2935">
      <w:pPr>
        <w:pStyle w:val="BTEMEASMCA"/>
        <w:rPr>
          <w:snapToGrid w:val="0"/>
        </w:rPr>
      </w:pPr>
      <w:r w:rsidRPr="00A14E24">
        <w:rPr>
          <w:snapToGrid w:val="0"/>
        </w:rPr>
        <w:t>Gali būti tiekiamos ne visų dydžių pakuotės.</w:t>
      </w:r>
    </w:p>
    <w:p w14:paraId="40293E84" w14:textId="77777777" w:rsidR="000F5540" w:rsidRPr="00A14E24" w:rsidRDefault="000F5540" w:rsidP="006D2935">
      <w:pPr>
        <w:pStyle w:val="BTEMEASMCA"/>
      </w:pPr>
    </w:p>
    <w:p w14:paraId="095016DD" w14:textId="77777777" w:rsidR="000F5540" w:rsidRPr="00A14E24" w:rsidRDefault="000F5540" w:rsidP="000F5540">
      <w:pPr>
        <w:pStyle w:val="PI-2EMEASMCA"/>
      </w:pPr>
      <w:bookmarkStart w:id="48" w:name="_Toc129243121"/>
      <w:bookmarkStart w:id="49" w:name="_Toc129243246"/>
      <w:r w:rsidRPr="00A14E24">
        <w:t>6.6</w:t>
      </w:r>
      <w:r w:rsidRPr="00A14E24">
        <w:tab/>
        <w:t>Specialūs reikalavimai atliekoms tvarkyti</w:t>
      </w:r>
      <w:bookmarkEnd w:id="48"/>
      <w:bookmarkEnd w:id="49"/>
    </w:p>
    <w:p w14:paraId="6089C5A5" w14:textId="77777777" w:rsidR="000F5540" w:rsidRPr="00A14E24" w:rsidRDefault="000F5540" w:rsidP="006D2935">
      <w:pPr>
        <w:pStyle w:val="BTEMEASMCA"/>
      </w:pPr>
    </w:p>
    <w:p w14:paraId="20702EF9" w14:textId="2C091476" w:rsidR="000F5540" w:rsidRPr="00A14E24" w:rsidRDefault="0023244A" w:rsidP="006D2935">
      <w:pPr>
        <w:pStyle w:val="BTEMEASMCA"/>
      </w:pPr>
      <w:r w:rsidRPr="00A14E24">
        <w:t>Nesuvartotą vaistinį preparatą ar atliekas reikia tvarkyti laikantis vietinių reikalavimų.</w:t>
      </w:r>
    </w:p>
    <w:p w14:paraId="0AC6CCBE" w14:textId="77777777" w:rsidR="000F5540" w:rsidRPr="00A14E24" w:rsidRDefault="000F5540" w:rsidP="006D2935">
      <w:pPr>
        <w:pStyle w:val="BTEMEASMCA"/>
      </w:pPr>
    </w:p>
    <w:p w14:paraId="07A9570A" w14:textId="77777777" w:rsidR="000F5540" w:rsidRPr="00A14E24" w:rsidRDefault="000F5540" w:rsidP="006D2935">
      <w:pPr>
        <w:pStyle w:val="BTEMEASMCA"/>
      </w:pPr>
    </w:p>
    <w:p w14:paraId="067CCF16" w14:textId="77777777" w:rsidR="000F5540" w:rsidRPr="00A14E24" w:rsidRDefault="000F5540" w:rsidP="000F5540">
      <w:pPr>
        <w:pStyle w:val="PI-1EMEASMCA"/>
      </w:pPr>
      <w:bookmarkStart w:id="50" w:name="_Toc129243122"/>
      <w:bookmarkStart w:id="51" w:name="_Toc129243247"/>
      <w:r w:rsidRPr="00A14E24">
        <w:t>7.</w:t>
      </w:r>
      <w:r w:rsidRPr="00A14E24">
        <w:tab/>
        <w:t>REGISTRUOTOJAS</w:t>
      </w:r>
      <w:bookmarkEnd w:id="50"/>
      <w:bookmarkEnd w:id="51"/>
    </w:p>
    <w:p w14:paraId="7D213829" w14:textId="77777777" w:rsidR="000F5540" w:rsidRPr="00A14E24" w:rsidRDefault="000F5540" w:rsidP="006D2935">
      <w:pPr>
        <w:pStyle w:val="BTEMEASMCA"/>
      </w:pPr>
    </w:p>
    <w:p w14:paraId="159EF4A6" w14:textId="77777777" w:rsidR="0034669F" w:rsidRPr="00A14E24" w:rsidRDefault="0034669F" w:rsidP="0034669F">
      <w:r w:rsidRPr="00A14E24">
        <w:t xml:space="preserve">STADA </w:t>
      </w:r>
      <w:proofErr w:type="spellStart"/>
      <w:r w:rsidRPr="00A14E24">
        <w:t>Arzneimittel</w:t>
      </w:r>
      <w:proofErr w:type="spellEnd"/>
      <w:r w:rsidRPr="00A14E24">
        <w:t xml:space="preserve"> AG</w:t>
      </w:r>
    </w:p>
    <w:p w14:paraId="0E1C39CF" w14:textId="77777777" w:rsidR="0034669F" w:rsidRPr="00A14E24" w:rsidRDefault="0034669F" w:rsidP="0034669F">
      <w:proofErr w:type="spellStart"/>
      <w:r w:rsidRPr="00A14E24">
        <w:t>Stadastrasse</w:t>
      </w:r>
      <w:proofErr w:type="spellEnd"/>
      <w:r w:rsidRPr="00A14E24">
        <w:t xml:space="preserve"> 2-18</w:t>
      </w:r>
    </w:p>
    <w:p w14:paraId="6BE261D5" w14:textId="77777777" w:rsidR="0034669F" w:rsidRPr="00A14E24" w:rsidRDefault="0034669F" w:rsidP="0034669F">
      <w:r w:rsidRPr="00A14E24">
        <w:t xml:space="preserve">61118 </w:t>
      </w:r>
      <w:proofErr w:type="spellStart"/>
      <w:r w:rsidRPr="00A14E24">
        <w:t>Bad</w:t>
      </w:r>
      <w:proofErr w:type="spellEnd"/>
      <w:r w:rsidRPr="00A14E24">
        <w:t xml:space="preserve"> </w:t>
      </w:r>
      <w:proofErr w:type="spellStart"/>
      <w:r w:rsidRPr="00A14E24">
        <w:t>Vilbel</w:t>
      </w:r>
      <w:proofErr w:type="spellEnd"/>
    </w:p>
    <w:p w14:paraId="66D02BF3" w14:textId="77777777" w:rsidR="0034669F" w:rsidRPr="00A14E24" w:rsidRDefault="0034669F" w:rsidP="0034669F">
      <w:r w:rsidRPr="00A14E24">
        <w:t>Vokietija</w:t>
      </w:r>
    </w:p>
    <w:p w14:paraId="00639AEC" w14:textId="77777777" w:rsidR="006E7255" w:rsidRPr="00A14E24" w:rsidRDefault="006E7255" w:rsidP="006D2935">
      <w:pPr>
        <w:pStyle w:val="BTEMEASMCA"/>
      </w:pPr>
    </w:p>
    <w:p w14:paraId="4EF2B56F" w14:textId="77777777" w:rsidR="000F5540" w:rsidRPr="00A14E24" w:rsidRDefault="000F5540" w:rsidP="006D2935">
      <w:pPr>
        <w:pStyle w:val="BTEMEASMCA"/>
      </w:pPr>
    </w:p>
    <w:p w14:paraId="50274062" w14:textId="77777777" w:rsidR="000F5540" w:rsidRPr="00A14E24" w:rsidRDefault="000F5540" w:rsidP="000F5540">
      <w:pPr>
        <w:pStyle w:val="PI-1EMEASMCA"/>
      </w:pPr>
      <w:bookmarkStart w:id="52" w:name="_Toc129243123"/>
      <w:bookmarkStart w:id="53" w:name="_Toc129243248"/>
      <w:r w:rsidRPr="00A14E24">
        <w:t>8.</w:t>
      </w:r>
      <w:r w:rsidRPr="00A14E24">
        <w:tab/>
        <w:t>REGISTRACIJOS</w:t>
      </w:r>
      <w:r w:rsidRPr="00A14E24" w:rsidDel="00CE06C6">
        <w:t xml:space="preserve"> </w:t>
      </w:r>
      <w:r w:rsidRPr="00A14E24">
        <w:t>PAŽYMĖJIMO NUMERIS</w:t>
      </w:r>
      <w:bookmarkEnd w:id="52"/>
      <w:bookmarkEnd w:id="53"/>
      <w:r w:rsidRPr="00A14E24">
        <w:t xml:space="preserve"> (-IAI)</w:t>
      </w:r>
    </w:p>
    <w:p w14:paraId="0CDDE05F" w14:textId="77777777" w:rsidR="000F5540" w:rsidRPr="00A14E24" w:rsidRDefault="000F5540" w:rsidP="006D2935">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96496" w14:paraId="54B384AC" w14:textId="77777777" w:rsidTr="00696496">
        <w:tc>
          <w:tcPr>
            <w:tcW w:w="4530" w:type="dxa"/>
          </w:tcPr>
          <w:p w14:paraId="2FCB8713" w14:textId="784406E9" w:rsidR="00696496" w:rsidRPr="00D3717D" w:rsidRDefault="00696496" w:rsidP="00696496">
            <w:pPr>
              <w:ind w:left="-108" w:right="-107"/>
            </w:pPr>
            <w:proofErr w:type="spellStart"/>
            <w:r w:rsidRPr="00696496">
              <w:rPr>
                <w:u w:val="single"/>
              </w:rPr>
              <w:t>l</w:t>
            </w:r>
            <w:r w:rsidRPr="00696496">
              <w:rPr>
                <w:u w:val="single"/>
              </w:rPr>
              <w:t>izdinė</w:t>
            </w:r>
            <w:proofErr w:type="spellEnd"/>
            <w:r w:rsidRPr="00696496">
              <w:rPr>
                <w:u w:val="single"/>
              </w:rPr>
              <w:t xml:space="preserve"> </w:t>
            </w:r>
            <w:proofErr w:type="spellStart"/>
            <w:r w:rsidRPr="00696496">
              <w:rPr>
                <w:u w:val="single"/>
              </w:rPr>
              <w:t>plokštelė</w:t>
            </w:r>
            <w:proofErr w:type="spellEnd"/>
            <w:r w:rsidRPr="00D3717D">
              <w:t>:</w:t>
            </w:r>
          </w:p>
          <w:p w14:paraId="2E09A95D" w14:textId="77777777" w:rsidR="00696496" w:rsidRPr="00D3717D" w:rsidRDefault="00696496" w:rsidP="00696496">
            <w:pPr>
              <w:ind w:left="-108" w:right="-107"/>
            </w:pPr>
            <w:r w:rsidRPr="00D3717D">
              <w:t>LT/1/25/5937/001 – N10</w:t>
            </w:r>
          </w:p>
          <w:p w14:paraId="43B316DF" w14:textId="77777777" w:rsidR="00696496" w:rsidRPr="00D3717D" w:rsidRDefault="00696496" w:rsidP="00696496">
            <w:pPr>
              <w:ind w:left="-108" w:right="-107"/>
            </w:pPr>
            <w:r w:rsidRPr="00D3717D">
              <w:t>LT/1/25/5937/002 – N20</w:t>
            </w:r>
          </w:p>
          <w:p w14:paraId="48814ACB" w14:textId="77777777" w:rsidR="00696496" w:rsidRPr="001361E3" w:rsidRDefault="00696496" w:rsidP="00696496">
            <w:pPr>
              <w:ind w:left="-108" w:right="-107"/>
              <w:rPr>
                <w:lang w:val="en-US"/>
              </w:rPr>
            </w:pPr>
            <w:r w:rsidRPr="001361E3">
              <w:rPr>
                <w:lang w:val="en-US"/>
              </w:rPr>
              <w:t>LT/1/25/5937/003 – N30</w:t>
            </w:r>
          </w:p>
          <w:p w14:paraId="231F2929" w14:textId="77777777" w:rsidR="00696496" w:rsidRPr="001361E3" w:rsidRDefault="00696496" w:rsidP="00696496">
            <w:pPr>
              <w:ind w:left="-108" w:right="-107"/>
              <w:rPr>
                <w:lang w:val="en-US"/>
              </w:rPr>
            </w:pPr>
            <w:r w:rsidRPr="001361E3">
              <w:rPr>
                <w:lang w:val="en-US"/>
              </w:rPr>
              <w:t>LT/1/25/5937/004 – N40</w:t>
            </w:r>
          </w:p>
          <w:p w14:paraId="7D7AD472" w14:textId="77777777" w:rsidR="00696496" w:rsidRPr="001361E3" w:rsidRDefault="00696496" w:rsidP="00696496">
            <w:pPr>
              <w:ind w:left="-108" w:right="-107"/>
              <w:rPr>
                <w:lang w:val="en-US"/>
              </w:rPr>
            </w:pPr>
            <w:r w:rsidRPr="001361E3">
              <w:rPr>
                <w:lang w:val="en-US"/>
              </w:rPr>
              <w:t>LT/1/25/5937/005 – N50</w:t>
            </w:r>
          </w:p>
          <w:p w14:paraId="6C350F59" w14:textId="77777777" w:rsidR="00696496" w:rsidRPr="001361E3" w:rsidRDefault="00696496" w:rsidP="00696496">
            <w:pPr>
              <w:ind w:left="-108" w:right="-107"/>
              <w:rPr>
                <w:lang w:val="en-US"/>
              </w:rPr>
            </w:pPr>
            <w:r w:rsidRPr="001361E3">
              <w:rPr>
                <w:lang w:val="en-US"/>
              </w:rPr>
              <w:t>LT/1/25/5937/006 – N60</w:t>
            </w:r>
          </w:p>
          <w:p w14:paraId="4A9AC5F0" w14:textId="77777777" w:rsidR="00696496" w:rsidRPr="001361E3" w:rsidRDefault="00696496" w:rsidP="00696496">
            <w:pPr>
              <w:ind w:left="-108" w:right="-107"/>
              <w:rPr>
                <w:lang w:val="en-US"/>
              </w:rPr>
            </w:pPr>
            <w:r w:rsidRPr="001361E3">
              <w:rPr>
                <w:lang w:val="en-US"/>
              </w:rPr>
              <w:t>LT/1/25/5937/007 – N70</w:t>
            </w:r>
          </w:p>
          <w:p w14:paraId="2EA864BA" w14:textId="77777777" w:rsidR="00696496" w:rsidRPr="001361E3" w:rsidRDefault="00696496" w:rsidP="00696496">
            <w:pPr>
              <w:ind w:left="-108" w:right="-107"/>
              <w:rPr>
                <w:lang w:val="en-US"/>
              </w:rPr>
            </w:pPr>
            <w:r w:rsidRPr="001361E3">
              <w:rPr>
                <w:lang w:val="en-US"/>
              </w:rPr>
              <w:t>LT/1/25/5937/008 – N80</w:t>
            </w:r>
          </w:p>
          <w:p w14:paraId="0D2CF390" w14:textId="77777777" w:rsidR="00696496" w:rsidRPr="001361E3" w:rsidRDefault="00696496" w:rsidP="00696496">
            <w:pPr>
              <w:ind w:left="-108" w:right="-107"/>
              <w:rPr>
                <w:lang w:val="en-US"/>
              </w:rPr>
            </w:pPr>
            <w:r w:rsidRPr="001361E3">
              <w:rPr>
                <w:lang w:val="en-US"/>
              </w:rPr>
              <w:t>LT/1/25/5937/009 – N90</w:t>
            </w:r>
          </w:p>
          <w:p w14:paraId="5B43F248" w14:textId="3635E6BA" w:rsidR="00696496" w:rsidRPr="00696496" w:rsidRDefault="00696496" w:rsidP="00696496">
            <w:pPr>
              <w:ind w:left="-108" w:right="-107"/>
              <w:rPr>
                <w:lang w:val="lt-LT"/>
              </w:rPr>
            </w:pPr>
            <w:r w:rsidRPr="001361E3">
              <w:rPr>
                <w:lang w:val="en-US"/>
              </w:rPr>
              <w:t>LT/1/25/5937/010 – N100</w:t>
            </w:r>
          </w:p>
        </w:tc>
        <w:tc>
          <w:tcPr>
            <w:tcW w:w="4530" w:type="dxa"/>
          </w:tcPr>
          <w:p w14:paraId="0EB00C79" w14:textId="7CA975D8" w:rsidR="00696496" w:rsidRPr="001361E3" w:rsidRDefault="00696496" w:rsidP="00696496">
            <w:pPr>
              <w:ind w:left="-108" w:right="-107"/>
              <w:rPr>
                <w:lang w:val="en-US"/>
              </w:rPr>
            </w:pPr>
            <w:proofErr w:type="spellStart"/>
            <w:r>
              <w:rPr>
                <w:u w:val="single"/>
              </w:rPr>
              <w:t>d</w:t>
            </w:r>
            <w:r w:rsidRPr="00696496">
              <w:rPr>
                <w:u w:val="single"/>
              </w:rPr>
              <w:t>alomoji</w:t>
            </w:r>
            <w:proofErr w:type="spellEnd"/>
            <w:r w:rsidRPr="00696496">
              <w:rPr>
                <w:u w:val="single"/>
              </w:rPr>
              <w:t xml:space="preserve"> </w:t>
            </w:r>
            <w:proofErr w:type="spellStart"/>
            <w:r w:rsidRPr="00696496">
              <w:rPr>
                <w:u w:val="single"/>
              </w:rPr>
              <w:t>lizdinė</w:t>
            </w:r>
            <w:proofErr w:type="spellEnd"/>
            <w:r w:rsidRPr="00696496">
              <w:rPr>
                <w:u w:val="single"/>
              </w:rPr>
              <w:t xml:space="preserve"> </w:t>
            </w:r>
            <w:proofErr w:type="spellStart"/>
            <w:r w:rsidRPr="00696496">
              <w:rPr>
                <w:u w:val="single"/>
              </w:rPr>
              <w:t>plokštelė</w:t>
            </w:r>
            <w:proofErr w:type="spellEnd"/>
            <w:r>
              <w:rPr>
                <w:lang w:val="en-US"/>
              </w:rPr>
              <w:t>:</w:t>
            </w:r>
          </w:p>
          <w:p w14:paraId="12DB3DB9" w14:textId="77777777" w:rsidR="00696496" w:rsidRPr="001361E3" w:rsidRDefault="00696496" w:rsidP="00696496">
            <w:pPr>
              <w:ind w:left="-108" w:right="-107"/>
              <w:rPr>
                <w:lang w:val="en-US"/>
              </w:rPr>
            </w:pPr>
            <w:r w:rsidRPr="001361E3">
              <w:rPr>
                <w:lang w:val="en-US"/>
              </w:rPr>
              <w:t>LT/1/25/5937/011 – N10x1</w:t>
            </w:r>
          </w:p>
          <w:p w14:paraId="7FDBABC8" w14:textId="77777777" w:rsidR="00696496" w:rsidRPr="001361E3" w:rsidRDefault="00696496" w:rsidP="00696496">
            <w:pPr>
              <w:ind w:left="-108" w:right="-107"/>
              <w:rPr>
                <w:lang w:val="en-US"/>
              </w:rPr>
            </w:pPr>
            <w:r w:rsidRPr="001361E3">
              <w:rPr>
                <w:lang w:val="en-US"/>
              </w:rPr>
              <w:t>LT/1/25/5937/012 – N20x1</w:t>
            </w:r>
          </w:p>
          <w:p w14:paraId="295A2619" w14:textId="77777777" w:rsidR="00696496" w:rsidRPr="001361E3" w:rsidRDefault="00696496" w:rsidP="00696496">
            <w:pPr>
              <w:ind w:left="-108" w:right="-107"/>
              <w:rPr>
                <w:lang w:val="en-US"/>
              </w:rPr>
            </w:pPr>
            <w:r w:rsidRPr="001361E3">
              <w:rPr>
                <w:lang w:val="en-US"/>
              </w:rPr>
              <w:t>LT/1/25/5937/013 – N30x1</w:t>
            </w:r>
          </w:p>
          <w:p w14:paraId="02744C1A" w14:textId="77777777" w:rsidR="00696496" w:rsidRPr="001361E3" w:rsidRDefault="00696496" w:rsidP="00696496">
            <w:pPr>
              <w:ind w:left="-108" w:right="-107"/>
              <w:rPr>
                <w:lang w:val="en-US"/>
              </w:rPr>
            </w:pPr>
            <w:r w:rsidRPr="001361E3">
              <w:rPr>
                <w:lang w:val="en-US"/>
              </w:rPr>
              <w:t>LT/1/25/5937/014 – N40x1</w:t>
            </w:r>
          </w:p>
          <w:p w14:paraId="42982BB4" w14:textId="77777777" w:rsidR="00696496" w:rsidRPr="001361E3" w:rsidRDefault="00696496" w:rsidP="00696496">
            <w:pPr>
              <w:ind w:left="-108" w:right="-107"/>
              <w:rPr>
                <w:lang w:val="en-US"/>
              </w:rPr>
            </w:pPr>
            <w:r w:rsidRPr="001361E3">
              <w:rPr>
                <w:lang w:val="en-US"/>
              </w:rPr>
              <w:t>LT/1/25/5937/015 – N50x1</w:t>
            </w:r>
          </w:p>
          <w:p w14:paraId="62D18350" w14:textId="77777777" w:rsidR="00696496" w:rsidRPr="001361E3" w:rsidRDefault="00696496" w:rsidP="00696496">
            <w:pPr>
              <w:ind w:left="-108" w:right="-107"/>
              <w:rPr>
                <w:lang w:val="en-US"/>
              </w:rPr>
            </w:pPr>
            <w:r w:rsidRPr="001361E3">
              <w:rPr>
                <w:lang w:val="en-US"/>
              </w:rPr>
              <w:t>LT/1/25/5937/016 – N60x1</w:t>
            </w:r>
          </w:p>
          <w:p w14:paraId="1AA78CA0" w14:textId="77777777" w:rsidR="00696496" w:rsidRPr="001361E3" w:rsidRDefault="00696496" w:rsidP="00696496">
            <w:pPr>
              <w:ind w:left="-108" w:right="-107"/>
              <w:rPr>
                <w:lang w:val="en-US"/>
              </w:rPr>
            </w:pPr>
            <w:r w:rsidRPr="001361E3">
              <w:rPr>
                <w:lang w:val="en-US"/>
              </w:rPr>
              <w:t>LT/1/25/5937/017 – N70x1</w:t>
            </w:r>
          </w:p>
          <w:p w14:paraId="28CA9391" w14:textId="77777777" w:rsidR="00696496" w:rsidRPr="001361E3" w:rsidRDefault="00696496" w:rsidP="00696496">
            <w:pPr>
              <w:ind w:left="-108" w:right="-107"/>
              <w:rPr>
                <w:lang w:val="en-US"/>
              </w:rPr>
            </w:pPr>
            <w:r w:rsidRPr="001361E3">
              <w:rPr>
                <w:lang w:val="en-US"/>
              </w:rPr>
              <w:t>LT/1/25/5937/018 – N80x1</w:t>
            </w:r>
          </w:p>
          <w:p w14:paraId="7E8BF96A" w14:textId="77777777" w:rsidR="00696496" w:rsidRPr="001361E3" w:rsidRDefault="00696496" w:rsidP="00696496">
            <w:pPr>
              <w:ind w:left="-108" w:right="-107"/>
              <w:rPr>
                <w:lang w:val="en-US"/>
              </w:rPr>
            </w:pPr>
            <w:r w:rsidRPr="001361E3">
              <w:rPr>
                <w:lang w:val="en-US"/>
              </w:rPr>
              <w:t>LT/1/25/5937/019 – N90x1</w:t>
            </w:r>
          </w:p>
          <w:p w14:paraId="58B28C0C" w14:textId="5AEC4C3F" w:rsidR="00696496" w:rsidRDefault="00696496" w:rsidP="00696496">
            <w:pPr>
              <w:ind w:left="-108" w:right="-107"/>
            </w:pPr>
            <w:r w:rsidRPr="001361E3">
              <w:rPr>
                <w:lang w:val="en-US"/>
              </w:rPr>
              <w:t xml:space="preserve">LT/1/25/5937/020 – </w:t>
            </w:r>
            <w:r w:rsidRPr="00D3717D">
              <w:rPr>
                <w:lang w:val="en-US"/>
              </w:rPr>
              <w:t>N100x1</w:t>
            </w:r>
          </w:p>
        </w:tc>
      </w:tr>
    </w:tbl>
    <w:p w14:paraId="4CAE27BB" w14:textId="77777777" w:rsidR="000F5540" w:rsidRPr="00A14E24" w:rsidRDefault="000F5540" w:rsidP="006D2935">
      <w:pPr>
        <w:pStyle w:val="BTEMEASMCA"/>
      </w:pPr>
    </w:p>
    <w:p w14:paraId="50370753" w14:textId="77777777" w:rsidR="000F5540" w:rsidRPr="00A14E24" w:rsidRDefault="000F5540" w:rsidP="006D2935">
      <w:pPr>
        <w:pStyle w:val="BTEMEASMCA"/>
      </w:pPr>
    </w:p>
    <w:p w14:paraId="6A20E58C" w14:textId="77777777" w:rsidR="000F5540" w:rsidRPr="00A14E24" w:rsidRDefault="000F5540" w:rsidP="000F5540">
      <w:pPr>
        <w:pStyle w:val="PI-1EMEASMCA"/>
      </w:pPr>
      <w:bookmarkStart w:id="54" w:name="_Toc129243124"/>
      <w:bookmarkStart w:id="55" w:name="_Toc129243249"/>
      <w:r w:rsidRPr="00A14E24">
        <w:t>9.</w:t>
      </w:r>
      <w:r w:rsidRPr="00A14E24">
        <w:tab/>
        <w:t>REGISTRAVIMO / PERREGISTRAVIMO DATA</w:t>
      </w:r>
      <w:bookmarkEnd w:id="54"/>
      <w:bookmarkEnd w:id="55"/>
    </w:p>
    <w:p w14:paraId="0B13295E" w14:textId="77777777" w:rsidR="000F5540" w:rsidRPr="00A14E24" w:rsidRDefault="000F5540" w:rsidP="006D2935">
      <w:pPr>
        <w:pStyle w:val="BTEMEASMCA"/>
      </w:pPr>
    </w:p>
    <w:p w14:paraId="03E642D1" w14:textId="5618DED4" w:rsidR="00C279D8" w:rsidRPr="00A14E24" w:rsidRDefault="00C279D8" w:rsidP="00C279D8">
      <w:r w:rsidRPr="00A14E24">
        <w:t xml:space="preserve">Registravimo data </w:t>
      </w:r>
      <w:r w:rsidR="00696496">
        <w:t>2026 m. sausio 6 d.</w:t>
      </w:r>
    </w:p>
    <w:p w14:paraId="226E50B1" w14:textId="77777777" w:rsidR="000F5540" w:rsidRPr="00A14E24" w:rsidRDefault="000F5540" w:rsidP="006D2935">
      <w:pPr>
        <w:pStyle w:val="BTEMEASMCA"/>
      </w:pPr>
    </w:p>
    <w:p w14:paraId="7D1A4E58" w14:textId="77777777" w:rsidR="000F5540" w:rsidRPr="00A14E24" w:rsidRDefault="000F5540" w:rsidP="006D2935">
      <w:pPr>
        <w:pStyle w:val="BTEMEASMCA"/>
      </w:pPr>
    </w:p>
    <w:p w14:paraId="753C8113" w14:textId="77777777" w:rsidR="000F5540" w:rsidRPr="00A14E24" w:rsidRDefault="000F5540" w:rsidP="000F5540">
      <w:pPr>
        <w:pStyle w:val="PI-1EMEASMCA"/>
      </w:pPr>
      <w:bookmarkStart w:id="56" w:name="_Toc129243125"/>
      <w:bookmarkStart w:id="57" w:name="_Toc129243250"/>
      <w:r w:rsidRPr="00A14E24">
        <w:t>10.</w:t>
      </w:r>
      <w:r w:rsidRPr="00A14E24">
        <w:tab/>
        <w:t>TEKSTO PERŽIŪROS DATA</w:t>
      </w:r>
      <w:bookmarkEnd w:id="56"/>
      <w:bookmarkEnd w:id="57"/>
    </w:p>
    <w:p w14:paraId="2D30A087" w14:textId="77777777" w:rsidR="000F5540" w:rsidRPr="00A14E24" w:rsidRDefault="000F5540" w:rsidP="000F5540">
      <w:pPr>
        <w:rPr>
          <w:snapToGrid w:val="0"/>
        </w:rPr>
      </w:pPr>
    </w:p>
    <w:p w14:paraId="1D76366F" w14:textId="2C041606" w:rsidR="000F5540" w:rsidRPr="00A14E24" w:rsidRDefault="00696496" w:rsidP="006D2935">
      <w:pPr>
        <w:pStyle w:val="BTEMEASMCA"/>
      </w:pPr>
      <w:r>
        <w:t>2026 m. sausio 6 d.</w:t>
      </w:r>
    </w:p>
    <w:p w14:paraId="0A508E67" w14:textId="77777777" w:rsidR="00232B99" w:rsidRPr="00A14E24" w:rsidRDefault="00232B99" w:rsidP="006D2935">
      <w:pPr>
        <w:pStyle w:val="BTEMEASMCA"/>
      </w:pPr>
    </w:p>
    <w:p w14:paraId="2C1D3BCD" w14:textId="77777777" w:rsidR="006E7255" w:rsidRPr="00A14E24" w:rsidRDefault="006E7255" w:rsidP="006E7255">
      <w:pPr>
        <w:tabs>
          <w:tab w:val="center" w:pos="4819"/>
          <w:tab w:val="right" w:pos="9638"/>
        </w:tabs>
      </w:pPr>
      <w:r w:rsidRPr="00A14E24">
        <w:rPr>
          <w:lang w:eastAsia="lt-LT"/>
        </w:rPr>
        <w:t xml:space="preserve">Išsami informacija apie šį vaistinį preparatą pateikiama Valstybinės vaistų kontrolės tarnybos prie Lietuvos Respublikos sveikatos apsaugos ministerijos tinklalapyje </w:t>
      </w:r>
      <w:r w:rsidRPr="00A14E24">
        <w:rPr>
          <w:color w:val="0000EE"/>
          <w:u w:val="single"/>
          <w:lang w:eastAsia="lt-LT"/>
        </w:rPr>
        <w:t>https://vvkt.lrv.lt/lt/.</w:t>
      </w:r>
    </w:p>
    <w:p w14:paraId="100C35FE" w14:textId="3F7FF9CF" w:rsidR="00273BE2" w:rsidRPr="00A14E24" w:rsidRDefault="00273BE2">
      <w:r w:rsidRPr="00A14E24">
        <w:br w:type="page"/>
      </w:r>
    </w:p>
    <w:p w14:paraId="16C091F9" w14:textId="77777777" w:rsidR="002A6840" w:rsidRPr="00A14E24" w:rsidRDefault="002A6840" w:rsidP="006D2935">
      <w:pPr>
        <w:pStyle w:val="BTEMEASMCA"/>
      </w:pPr>
    </w:p>
    <w:p w14:paraId="74ACC90F" w14:textId="77777777" w:rsidR="002A6840" w:rsidRPr="00A14E24" w:rsidRDefault="002A6840" w:rsidP="006D2935">
      <w:pPr>
        <w:pStyle w:val="BTEMEASMCA"/>
      </w:pPr>
    </w:p>
    <w:p w14:paraId="23AA28DB" w14:textId="77777777" w:rsidR="002A6840" w:rsidRPr="00A14E24" w:rsidRDefault="002A6840" w:rsidP="006D2935">
      <w:pPr>
        <w:pStyle w:val="BTEMEASMCA"/>
      </w:pPr>
    </w:p>
    <w:p w14:paraId="51EE1C52" w14:textId="77777777" w:rsidR="002A6840" w:rsidRPr="00A14E24" w:rsidRDefault="002A6840" w:rsidP="006D2935">
      <w:pPr>
        <w:pStyle w:val="BTEMEASMCA"/>
      </w:pPr>
    </w:p>
    <w:p w14:paraId="36C1498F" w14:textId="77777777" w:rsidR="002A6840" w:rsidRPr="00A14E24" w:rsidRDefault="002A6840" w:rsidP="006D2935">
      <w:pPr>
        <w:pStyle w:val="BTEMEASMCA"/>
      </w:pPr>
    </w:p>
    <w:p w14:paraId="302FCFA3" w14:textId="77777777" w:rsidR="002A6840" w:rsidRPr="00A14E24" w:rsidRDefault="002A6840" w:rsidP="006D2935">
      <w:pPr>
        <w:pStyle w:val="BTEMEASMCA"/>
      </w:pPr>
    </w:p>
    <w:p w14:paraId="353D6E24" w14:textId="77777777" w:rsidR="002A6840" w:rsidRPr="00A14E24" w:rsidRDefault="002A6840" w:rsidP="006D2935">
      <w:pPr>
        <w:pStyle w:val="BTEMEASMCA"/>
      </w:pPr>
    </w:p>
    <w:p w14:paraId="10B73153" w14:textId="77777777" w:rsidR="002A6840" w:rsidRPr="00A14E24" w:rsidRDefault="002A6840" w:rsidP="006D2935">
      <w:pPr>
        <w:pStyle w:val="BTEMEASMCA"/>
      </w:pPr>
    </w:p>
    <w:p w14:paraId="5EEBF340" w14:textId="77777777" w:rsidR="002A6840" w:rsidRPr="00A14E24" w:rsidRDefault="002A6840" w:rsidP="006D2935">
      <w:pPr>
        <w:pStyle w:val="BTEMEASMCA"/>
      </w:pPr>
    </w:p>
    <w:p w14:paraId="1CDFBDA3" w14:textId="77777777" w:rsidR="002A6840" w:rsidRPr="00A14E24" w:rsidRDefault="002A6840" w:rsidP="006D2935">
      <w:pPr>
        <w:pStyle w:val="BTEMEASMCA"/>
      </w:pPr>
    </w:p>
    <w:p w14:paraId="4E7AD275" w14:textId="77777777" w:rsidR="002A6840" w:rsidRPr="00A14E24" w:rsidRDefault="002A6840" w:rsidP="006D2935">
      <w:pPr>
        <w:pStyle w:val="BTEMEASMCA"/>
      </w:pPr>
    </w:p>
    <w:p w14:paraId="58E8ADD7" w14:textId="77777777" w:rsidR="002A6840" w:rsidRPr="00A14E24" w:rsidRDefault="002A6840" w:rsidP="006D2935">
      <w:pPr>
        <w:pStyle w:val="BTEMEASMCA"/>
      </w:pPr>
    </w:p>
    <w:p w14:paraId="7161FB0D" w14:textId="77777777" w:rsidR="002A6840" w:rsidRPr="00A14E24" w:rsidRDefault="002A6840" w:rsidP="006D2935">
      <w:pPr>
        <w:pStyle w:val="BTEMEASMCA"/>
      </w:pPr>
    </w:p>
    <w:p w14:paraId="56E91BC8" w14:textId="77777777" w:rsidR="002A6840" w:rsidRPr="00A14E24" w:rsidRDefault="002A6840" w:rsidP="006D2935">
      <w:pPr>
        <w:pStyle w:val="BTEMEASMCA"/>
      </w:pPr>
    </w:p>
    <w:p w14:paraId="47DB9D73" w14:textId="77777777" w:rsidR="002A6840" w:rsidRPr="00A14E24" w:rsidRDefault="002A6840" w:rsidP="006D2935">
      <w:pPr>
        <w:pStyle w:val="BTEMEASMCA"/>
      </w:pPr>
    </w:p>
    <w:p w14:paraId="4F341DCB" w14:textId="77777777" w:rsidR="002A6840" w:rsidRPr="00A14E24" w:rsidRDefault="002A6840" w:rsidP="006D2935">
      <w:pPr>
        <w:pStyle w:val="BTEMEASMCA"/>
      </w:pPr>
    </w:p>
    <w:p w14:paraId="1D67C67F" w14:textId="77777777" w:rsidR="002A6840" w:rsidRPr="00A14E24" w:rsidRDefault="002A6840" w:rsidP="006D2935">
      <w:pPr>
        <w:pStyle w:val="BTEMEASMCA"/>
      </w:pPr>
    </w:p>
    <w:p w14:paraId="3136B022" w14:textId="77777777" w:rsidR="002A6840" w:rsidRPr="00A14E24" w:rsidRDefault="002A6840" w:rsidP="006D2935">
      <w:pPr>
        <w:pStyle w:val="BTEMEASMCA"/>
      </w:pPr>
    </w:p>
    <w:p w14:paraId="1A0FD275" w14:textId="77777777" w:rsidR="002A6840" w:rsidRPr="00A14E24" w:rsidRDefault="002A6840" w:rsidP="006D2935">
      <w:pPr>
        <w:pStyle w:val="BTEMEASMCA"/>
      </w:pPr>
    </w:p>
    <w:p w14:paraId="6C099EA1" w14:textId="77777777" w:rsidR="002A6840" w:rsidRPr="00A14E24" w:rsidRDefault="002A6840" w:rsidP="006D2935">
      <w:pPr>
        <w:pStyle w:val="BTEMEASMCA"/>
      </w:pPr>
    </w:p>
    <w:p w14:paraId="4817754F" w14:textId="77777777" w:rsidR="002A6840" w:rsidRPr="00A14E24" w:rsidRDefault="002A6840" w:rsidP="006D2935">
      <w:pPr>
        <w:pStyle w:val="BTEMEASMCA"/>
      </w:pPr>
    </w:p>
    <w:p w14:paraId="46FC240D" w14:textId="77777777" w:rsidR="002A6840" w:rsidRPr="00A14E24" w:rsidRDefault="002A6840" w:rsidP="006D2935">
      <w:pPr>
        <w:pStyle w:val="BTEMEASMCA"/>
      </w:pPr>
    </w:p>
    <w:p w14:paraId="51FFE415" w14:textId="77777777" w:rsidR="002A6840" w:rsidRPr="00A14E24" w:rsidRDefault="002A6840" w:rsidP="006D2935">
      <w:pPr>
        <w:pStyle w:val="BTEMEASMCA"/>
      </w:pPr>
    </w:p>
    <w:p w14:paraId="60DDDFE8" w14:textId="77777777" w:rsidR="002A6840" w:rsidRPr="00A14E24" w:rsidRDefault="002A6840" w:rsidP="006D2935">
      <w:pPr>
        <w:pStyle w:val="BTEMEASMCA"/>
      </w:pPr>
      <w:bookmarkStart w:id="58" w:name="_Toc129243128"/>
      <w:bookmarkStart w:id="59" w:name="_Toc129243253"/>
    </w:p>
    <w:p w14:paraId="3AE39ECC" w14:textId="77777777" w:rsidR="002A6840" w:rsidRPr="002C4659" w:rsidRDefault="002A6840" w:rsidP="002A6840">
      <w:pPr>
        <w:pStyle w:val="TTEMEASMCA"/>
        <w:rPr>
          <w:sz w:val="22"/>
          <w:szCs w:val="22"/>
          <w:lang w:val="lt-LT"/>
        </w:rPr>
      </w:pPr>
      <w:r w:rsidRPr="002C4659">
        <w:rPr>
          <w:sz w:val="22"/>
          <w:szCs w:val="22"/>
          <w:lang w:val="lt-LT"/>
        </w:rPr>
        <w:t>II PRIEDAS</w:t>
      </w:r>
      <w:bookmarkEnd w:id="58"/>
      <w:bookmarkEnd w:id="59"/>
    </w:p>
    <w:p w14:paraId="494FD7F1" w14:textId="77777777" w:rsidR="002A6840" w:rsidRPr="00A14E24" w:rsidRDefault="002A6840" w:rsidP="006D2935">
      <w:pPr>
        <w:pStyle w:val="BTEMEASMCA"/>
      </w:pPr>
    </w:p>
    <w:p w14:paraId="171C1E9B" w14:textId="53D88AF5" w:rsidR="002A6840" w:rsidRPr="002C4659" w:rsidRDefault="002A6840" w:rsidP="002A6840">
      <w:pPr>
        <w:pStyle w:val="TTEMEASMCA"/>
        <w:rPr>
          <w:sz w:val="22"/>
          <w:szCs w:val="22"/>
          <w:lang w:val="lt-LT"/>
        </w:rPr>
      </w:pPr>
      <w:r w:rsidRPr="002C4659">
        <w:rPr>
          <w:sz w:val="22"/>
          <w:szCs w:val="22"/>
          <w:lang w:val="lt-LT"/>
        </w:rPr>
        <w:t>REGISTRA</w:t>
      </w:r>
      <w:r w:rsidR="006E7255" w:rsidRPr="002C4659">
        <w:rPr>
          <w:sz w:val="22"/>
          <w:szCs w:val="22"/>
          <w:lang w:val="lt-LT"/>
        </w:rPr>
        <w:t xml:space="preserve">CIJOS </w:t>
      </w:r>
      <w:r w:rsidRPr="002C4659">
        <w:rPr>
          <w:sz w:val="22"/>
          <w:szCs w:val="22"/>
          <w:lang w:val="lt-LT"/>
        </w:rPr>
        <w:t>SĄLYGOS</w:t>
      </w:r>
    </w:p>
    <w:p w14:paraId="2CCEE2EC" w14:textId="77777777" w:rsidR="002A6840" w:rsidRPr="00A14E24" w:rsidRDefault="002A6840" w:rsidP="006D2935">
      <w:pPr>
        <w:pStyle w:val="BTEMEASMCA"/>
      </w:pPr>
    </w:p>
    <w:p w14:paraId="17E43D92" w14:textId="77777777" w:rsidR="002A6840" w:rsidRPr="00A14E24" w:rsidRDefault="002A6840" w:rsidP="002A6840">
      <w:pPr>
        <w:pStyle w:val="BTAnIIEMEASMCA"/>
        <w:ind w:left="1134" w:firstLine="0"/>
        <w:rPr>
          <w:lang w:val="lt-LT"/>
        </w:rPr>
      </w:pPr>
      <w:r w:rsidRPr="00A14E24">
        <w:rPr>
          <w:lang w:val="lt-LT"/>
        </w:rPr>
        <w:t>A.</w:t>
      </w:r>
      <w:r w:rsidRPr="00A14E24">
        <w:rPr>
          <w:lang w:val="lt-LT"/>
        </w:rPr>
        <w:tab/>
        <w:t>GAMINTOJAS</w:t>
      </w:r>
      <w:r w:rsidRPr="00A14E24">
        <w:rPr>
          <w:b w:val="0"/>
          <w:bCs/>
          <w:lang w:val="lt-LT"/>
        </w:rPr>
        <w:t xml:space="preserve"> </w:t>
      </w:r>
      <w:r w:rsidRPr="00A14E24">
        <w:rPr>
          <w:lang w:val="lt-LT"/>
        </w:rPr>
        <w:t>(-AI), ATSAKINGAS (-I) UŽ SERIJŲ IŠLEIDIMĄ</w:t>
      </w:r>
    </w:p>
    <w:p w14:paraId="2A1AC89B" w14:textId="77777777" w:rsidR="002A6840" w:rsidRPr="00A14E24" w:rsidRDefault="002A6840" w:rsidP="006D2935">
      <w:pPr>
        <w:pStyle w:val="BTEMEASMCA"/>
      </w:pPr>
    </w:p>
    <w:p w14:paraId="608EAF7C" w14:textId="77777777" w:rsidR="002A6840" w:rsidRPr="00A14E24" w:rsidRDefault="002A6840" w:rsidP="002A6840">
      <w:pPr>
        <w:pStyle w:val="BTAnIIEMEASMCA"/>
        <w:ind w:left="1134" w:firstLine="0"/>
        <w:rPr>
          <w:lang w:val="lt-LT"/>
        </w:rPr>
      </w:pPr>
      <w:r w:rsidRPr="00A14E24">
        <w:rPr>
          <w:lang w:val="lt-LT"/>
        </w:rPr>
        <w:t>B.</w:t>
      </w:r>
      <w:r w:rsidRPr="00A14E24">
        <w:rPr>
          <w:lang w:val="lt-LT"/>
        </w:rPr>
        <w:tab/>
        <w:t>TIEKIMO IR VARTOJIMO SĄLYGOS AR APRIBOJIMAI</w:t>
      </w:r>
    </w:p>
    <w:p w14:paraId="5CEF0555" w14:textId="77777777" w:rsidR="002A6840" w:rsidRPr="00A14E24" w:rsidRDefault="002A6840" w:rsidP="006D2935">
      <w:pPr>
        <w:pStyle w:val="BTEMEASMCA"/>
        <w:rPr>
          <w:highlight w:val="yellow"/>
        </w:rPr>
      </w:pPr>
    </w:p>
    <w:p w14:paraId="58AC6D30" w14:textId="77777777" w:rsidR="002A6840" w:rsidRPr="00A14E24" w:rsidRDefault="002A6840" w:rsidP="002A6840">
      <w:pPr>
        <w:pStyle w:val="PI-1EMEASMCA"/>
      </w:pPr>
      <w:r w:rsidRPr="00A14E24">
        <w:br w:type="page"/>
      </w:r>
      <w:r w:rsidRPr="00A14E24">
        <w:lastRenderedPageBreak/>
        <w:t>A.</w:t>
      </w:r>
      <w:r w:rsidRPr="00A14E24">
        <w:tab/>
        <w:t>GAMINTOJAS (-AI), ATSAKINGAS (-I) UŽ SERIJŲ IŠLEIDIMĄ</w:t>
      </w:r>
    </w:p>
    <w:p w14:paraId="69E5A613" w14:textId="77777777" w:rsidR="002A6840" w:rsidRPr="00A14E24" w:rsidRDefault="002A6840" w:rsidP="006D2935">
      <w:pPr>
        <w:pStyle w:val="BTEMEASMCA"/>
        <w:rPr>
          <w:highlight w:val="yellow"/>
        </w:rPr>
      </w:pPr>
    </w:p>
    <w:p w14:paraId="2A21065D" w14:textId="77777777" w:rsidR="002A6840" w:rsidRPr="00A14E24" w:rsidRDefault="002A6840" w:rsidP="006D2935">
      <w:pPr>
        <w:pStyle w:val="BTuEMEASMCA"/>
      </w:pPr>
      <w:r w:rsidRPr="00A14E24">
        <w:t>Gamintojo (-ų), atsakingo (-ų) už serijų išleidimą, pavadinimas (-ai) ir adresas (-ai)</w:t>
      </w:r>
    </w:p>
    <w:p w14:paraId="4FFDE0FF" w14:textId="77777777" w:rsidR="002A6840" w:rsidRDefault="002A6840" w:rsidP="006D2935">
      <w:pPr>
        <w:pStyle w:val="BTEMEASMCA"/>
      </w:pPr>
    </w:p>
    <w:p w14:paraId="06A0AABA" w14:textId="77777777" w:rsidR="00A45853" w:rsidRDefault="00A45853" w:rsidP="00A45853">
      <w:pPr>
        <w:tabs>
          <w:tab w:val="left" w:pos="567"/>
        </w:tabs>
        <w:spacing w:line="260" w:lineRule="exact"/>
      </w:pPr>
      <w:r>
        <w:t xml:space="preserve">STADA </w:t>
      </w:r>
      <w:proofErr w:type="spellStart"/>
      <w:r>
        <w:t>Arzneimittel</w:t>
      </w:r>
      <w:proofErr w:type="spellEnd"/>
      <w:r>
        <w:t xml:space="preserve"> AG</w:t>
      </w:r>
    </w:p>
    <w:p w14:paraId="5CC25D70" w14:textId="77777777" w:rsidR="00A45853" w:rsidRDefault="00A45853" w:rsidP="00A45853">
      <w:pPr>
        <w:tabs>
          <w:tab w:val="left" w:pos="567"/>
        </w:tabs>
        <w:spacing w:line="260" w:lineRule="exact"/>
      </w:pPr>
      <w:proofErr w:type="spellStart"/>
      <w:r>
        <w:t>Stadastrasse</w:t>
      </w:r>
      <w:proofErr w:type="spellEnd"/>
      <w:r>
        <w:t xml:space="preserve"> 2-18</w:t>
      </w:r>
    </w:p>
    <w:p w14:paraId="2787708C" w14:textId="77777777" w:rsidR="00A45853" w:rsidRDefault="00A45853" w:rsidP="00A45853">
      <w:pPr>
        <w:tabs>
          <w:tab w:val="left" w:pos="567"/>
        </w:tabs>
        <w:spacing w:line="260" w:lineRule="exact"/>
      </w:pPr>
      <w:r>
        <w:t xml:space="preserve">61118 </w:t>
      </w:r>
      <w:proofErr w:type="spellStart"/>
      <w:r>
        <w:t>Bad</w:t>
      </w:r>
      <w:proofErr w:type="spellEnd"/>
      <w:r>
        <w:t xml:space="preserve"> </w:t>
      </w:r>
      <w:proofErr w:type="spellStart"/>
      <w:r>
        <w:t>Vilbel</w:t>
      </w:r>
      <w:proofErr w:type="spellEnd"/>
    </w:p>
    <w:p w14:paraId="11F5830E" w14:textId="77777777" w:rsidR="00A45853" w:rsidRDefault="00A45853" w:rsidP="00A45853">
      <w:pPr>
        <w:tabs>
          <w:tab w:val="left" w:pos="567"/>
        </w:tabs>
        <w:spacing w:line="260" w:lineRule="exact"/>
      </w:pPr>
      <w:r>
        <w:t xml:space="preserve">Vokietija </w:t>
      </w:r>
    </w:p>
    <w:p w14:paraId="12B15B8C" w14:textId="77777777" w:rsidR="00A45853" w:rsidRDefault="00A45853" w:rsidP="00A45853">
      <w:pPr>
        <w:tabs>
          <w:tab w:val="left" w:pos="567"/>
        </w:tabs>
        <w:spacing w:line="260" w:lineRule="exact"/>
      </w:pPr>
    </w:p>
    <w:p w14:paraId="3911CAD3" w14:textId="77777777" w:rsidR="00A45853" w:rsidRDefault="00A45853" w:rsidP="00A45853">
      <w:pPr>
        <w:tabs>
          <w:tab w:val="left" w:pos="567"/>
        </w:tabs>
        <w:spacing w:line="260" w:lineRule="exact"/>
      </w:pPr>
      <w:r>
        <w:t>arba</w:t>
      </w:r>
    </w:p>
    <w:p w14:paraId="7A9EC6A2" w14:textId="77777777" w:rsidR="00A45853" w:rsidRDefault="00A45853" w:rsidP="00A45853">
      <w:pPr>
        <w:tabs>
          <w:tab w:val="left" w:pos="567"/>
        </w:tabs>
        <w:spacing w:line="260" w:lineRule="exact"/>
      </w:pPr>
    </w:p>
    <w:p w14:paraId="383727B8" w14:textId="77777777" w:rsidR="00A45853" w:rsidRDefault="00A45853" w:rsidP="00A45853">
      <w:pPr>
        <w:tabs>
          <w:tab w:val="left" w:pos="567"/>
        </w:tabs>
        <w:spacing w:line="260" w:lineRule="exact"/>
      </w:pPr>
      <w:proofErr w:type="spellStart"/>
      <w:r>
        <w:t>Pharmazet</w:t>
      </w:r>
      <w:proofErr w:type="spellEnd"/>
      <w:r>
        <w:t xml:space="preserve"> Group </w:t>
      </w:r>
      <w:proofErr w:type="spellStart"/>
      <w:r>
        <w:t>s.r.o</w:t>
      </w:r>
      <w:proofErr w:type="spellEnd"/>
      <w:r>
        <w:t>.</w:t>
      </w:r>
    </w:p>
    <w:p w14:paraId="36FB82DB" w14:textId="77777777" w:rsidR="00A45853" w:rsidRDefault="00A45853" w:rsidP="00A45853">
      <w:pPr>
        <w:tabs>
          <w:tab w:val="left" w:pos="567"/>
        </w:tabs>
        <w:spacing w:line="260" w:lineRule="exact"/>
      </w:pPr>
      <w:proofErr w:type="spellStart"/>
      <w:r>
        <w:t>Třtinová</w:t>
      </w:r>
      <w:proofErr w:type="spellEnd"/>
      <w:r>
        <w:t xml:space="preserve"> 260/1, </w:t>
      </w:r>
      <w:proofErr w:type="spellStart"/>
      <w:r w:rsidRPr="00063016">
        <w:t>Cakovice</w:t>
      </w:r>
      <w:proofErr w:type="spellEnd"/>
    </w:p>
    <w:p w14:paraId="69D7CA32" w14:textId="77777777" w:rsidR="00A45853" w:rsidRDefault="00A45853" w:rsidP="00A45853">
      <w:pPr>
        <w:tabs>
          <w:tab w:val="left" w:pos="567"/>
        </w:tabs>
        <w:spacing w:line="260" w:lineRule="exact"/>
      </w:pPr>
      <w:r>
        <w:t>Praha 196 00</w:t>
      </w:r>
    </w:p>
    <w:p w14:paraId="1674DAAD" w14:textId="77777777" w:rsidR="00A45853" w:rsidRDefault="00A45853" w:rsidP="00A45853">
      <w:pPr>
        <w:tabs>
          <w:tab w:val="left" w:pos="567"/>
        </w:tabs>
        <w:spacing w:line="260" w:lineRule="exact"/>
      </w:pPr>
      <w:r>
        <w:t>Čekija</w:t>
      </w:r>
    </w:p>
    <w:p w14:paraId="1BF5D1A7" w14:textId="77777777" w:rsidR="00A45853" w:rsidRDefault="00A45853" w:rsidP="00A45853">
      <w:pPr>
        <w:tabs>
          <w:tab w:val="left" w:pos="567"/>
        </w:tabs>
        <w:spacing w:line="260" w:lineRule="exact"/>
      </w:pPr>
    </w:p>
    <w:p w14:paraId="4078ACFD" w14:textId="77777777" w:rsidR="00A45853" w:rsidRDefault="00A45853" w:rsidP="00A45853">
      <w:pPr>
        <w:tabs>
          <w:tab w:val="left" w:pos="567"/>
        </w:tabs>
        <w:spacing w:line="260" w:lineRule="exact"/>
      </w:pPr>
      <w:r>
        <w:t>arba</w:t>
      </w:r>
    </w:p>
    <w:p w14:paraId="70913E06" w14:textId="77777777" w:rsidR="00A45853" w:rsidRDefault="00A45853" w:rsidP="00A45853">
      <w:pPr>
        <w:tabs>
          <w:tab w:val="left" w:pos="567"/>
        </w:tabs>
        <w:spacing w:line="260" w:lineRule="exact"/>
      </w:pPr>
    </w:p>
    <w:p w14:paraId="0F055D66" w14:textId="77777777" w:rsidR="00A45853" w:rsidRDefault="00A45853" w:rsidP="00A45853">
      <w:pPr>
        <w:tabs>
          <w:tab w:val="left" w:pos="567"/>
        </w:tabs>
        <w:spacing w:line="260" w:lineRule="exact"/>
      </w:pPr>
      <w:proofErr w:type="spellStart"/>
      <w:r>
        <w:t>Centrafarm</w:t>
      </w:r>
      <w:proofErr w:type="spellEnd"/>
      <w:r>
        <w:t xml:space="preserve"> </w:t>
      </w:r>
      <w:proofErr w:type="spellStart"/>
      <w:r>
        <w:t>Services</w:t>
      </w:r>
      <w:proofErr w:type="spellEnd"/>
      <w:r>
        <w:t xml:space="preserve"> B.V.</w:t>
      </w:r>
    </w:p>
    <w:p w14:paraId="5BDCD736" w14:textId="77777777" w:rsidR="00A45853" w:rsidRDefault="00A45853" w:rsidP="00A45853">
      <w:pPr>
        <w:tabs>
          <w:tab w:val="left" w:pos="567"/>
        </w:tabs>
        <w:spacing w:line="260" w:lineRule="exact"/>
      </w:pPr>
      <w:r>
        <w:t xml:space="preserve">Van de </w:t>
      </w:r>
      <w:proofErr w:type="spellStart"/>
      <w:r>
        <w:t>Reijtstraat</w:t>
      </w:r>
      <w:proofErr w:type="spellEnd"/>
      <w:r>
        <w:t xml:space="preserve"> 31 E</w:t>
      </w:r>
    </w:p>
    <w:p w14:paraId="4239258F" w14:textId="77777777" w:rsidR="00A45853" w:rsidRDefault="00A45853" w:rsidP="00A45853">
      <w:pPr>
        <w:tabs>
          <w:tab w:val="left" w:pos="567"/>
        </w:tabs>
        <w:spacing w:line="260" w:lineRule="exact"/>
      </w:pPr>
      <w:r>
        <w:t xml:space="preserve">4814NE </w:t>
      </w:r>
      <w:proofErr w:type="spellStart"/>
      <w:r>
        <w:t>Breda</w:t>
      </w:r>
      <w:proofErr w:type="spellEnd"/>
    </w:p>
    <w:p w14:paraId="2562AADB" w14:textId="77777777" w:rsidR="00A45853" w:rsidRDefault="00A45853" w:rsidP="00A45853">
      <w:pPr>
        <w:tabs>
          <w:tab w:val="left" w:pos="567"/>
        </w:tabs>
        <w:spacing w:line="260" w:lineRule="exact"/>
      </w:pPr>
      <w:r>
        <w:t>Nyderlandai</w:t>
      </w:r>
    </w:p>
    <w:p w14:paraId="5541471C" w14:textId="77777777" w:rsidR="00A45853" w:rsidRDefault="00A45853" w:rsidP="00A45853">
      <w:pPr>
        <w:tabs>
          <w:tab w:val="left" w:pos="567"/>
        </w:tabs>
        <w:spacing w:line="260" w:lineRule="exact"/>
      </w:pPr>
    </w:p>
    <w:p w14:paraId="4451D5D0" w14:textId="77777777" w:rsidR="00A45853" w:rsidRDefault="00A45853" w:rsidP="00A45853">
      <w:pPr>
        <w:tabs>
          <w:tab w:val="left" w:pos="567"/>
        </w:tabs>
        <w:spacing w:line="260" w:lineRule="exact"/>
      </w:pPr>
      <w:r>
        <w:t>arba</w:t>
      </w:r>
    </w:p>
    <w:p w14:paraId="128461D6" w14:textId="77777777" w:rsidR="00A45853" w:rsidRDefault="00A45853" w:rsidP="00A45853">
      <w:pPr>
        <w:tabs>
          <w:tab w:val="left" w:pos="567"/>
        </w:tabs>
        <w:spacing w:line="260" w:lineRule="exact"/>
      </w:pPr>
    </w:p>
    <w:p w14:paraId="7BA9F6FA" w14:textId="77777777" w:rsidR="00A45853" w:rsidRDefault="00A45853" w:rsidP="00A45853">
      <w:pPr>
        <w:tabs>
          <w:tab w:val="left" w:pos="567"/>
        </w:tabs>
        <w:spacing w:line="260" w:lineRule="exact"/>
      </w:pPr>
      <w:proofErr w:type="spellStart"/>
      <w:r>
        <w:t>Clonmel</w:t>
      </w:r>
      <w:proofErr w:type="spellEnd"/>
      <w:r>
        <w:t xml:space="preserve"> </w:t>
      </w:r>
      <w:proofErr w:type="spellStart"/>
      <w:r>
        <w:t>Healthcare</w:t>
      </w:r>
      <w:proofErr w:type="spellEnd"/>
      <w:r>
        <w:t xml:space="preserve"> </w:t>
      </w:r>
      <w:proofErr w:type="spellStart"/>
      <w:r>
        <w:t>Ltd</w:t>
      </w:r>
      <w:proofErr w:type="spellEnd"/>
    </w:p>
    <w:p w14:paraId="4274C36A" w14:textId="77777777" w:rsidR="00A45853" w:rsidRDefault="00A45853" w:rsidP="00A45853">
      <w:pPr>
        <w:tabs>
          <w:tab w:val="left" w:pos="567"/>
        </w:tabs>
        <w:spacing w:line="260" w:lineRule="exact"/>
      </w:pPr>
      <w:proofErr w:type="spellStart"/>
      <w:r>
        <w:t>Waterford</w:t>
      </w:r>
      <w:proofErr w:type="spellEnd"/>
      <w:r>
        <w:t xml:space="preserve"> </w:t>
      </w:r>
      <w:proofErr w:type="spellStart"/>
      <w:r>
        <w:t>Road</w:t>
      </w:r>
      <w:proofErr w:type="spellEnd"/>
      <w:r>
        <w:t xml:space="preserve">, </w:t>
      </w:r>
      <w:proofErr w:type="spellStart"/>
      <w:r>
        <w:t>Clonmel</w:t>
      </w:r>
      <w:proofErr w:type="spellEnd"/>
      <w:r>
        <w:t>,</w:t>
      </w:r>
    </w:p>
    <w:p w14:paraId="1479973F" w14:textId="77777777" w:rsidR="00A45853" w:rsidRDefault="00A45853" w:rsidP="00A45853">
      <w:pPr>
        <w:tabs>
          <w:tab w:val="left" w:pos="567"/>
        </w:tabs>
        <w:spacing w:line="260" w:lineRule="exact"/>
      </w:pPr>
      <w:r>
        <w:t xml:space="preserve">E91 D768 </w:t>
      </w:r>
      <w:proofErr w:type="spellStart"/>
      <w:r>
        <w:t>Co</w:t>
      </w:r>
      <w:proofErr w:type="spellEnd"/>
      <w:r>
        <w:t xml:space="preserve">. </w:t>
      </w:r>
      <w:proofErr w:type="spellStart"/>
      <w:r>
        <w:t>Tipperary</w:t>
      </w:r>
      <w:proofErr w:type="spellEnd"/>
    </w:p>
    <w:p w14:paraId="17AC0848" w14:textId="77777777" w:rsidR="00A45853" w:rsidRDefault="00A45853" w:rsidP="00A45853">
      <w:pPr>
        <w:tabs>
          <w:tab w:val="left" w:pos="567"/>
        </w:tabs>
        <w:spacing w:line="260" w:lineRule="exact"/>
      </w:pPr>
      <w:r>
        <w:t>Airija</w:t>
      </w:r>
    </w:p>
    <w:p w14:paraId="3DC67511" w14:textId="77777777" w:rsidR="00A45853" w:rsidRDefault="00A45853" w:rsidP="00A45853">
      <w:pPr>
        <w:tabs>
          <w:tab w:val="left" w:pos="567"/>
        </w:tabs>
        <w:spacing w:line="260" w:lineRule="exact"/>
      </w:pPr>
    </w:p>
    <w:p w14:paraId="0185EEE3" w14:textId="77777777" w:rsidR="00A45853" w:rsidRDefault="00A45853" w:rsidP="00A45853">
      <w:pPr>
        <w:tabs>
          <w:tab w:val="left" w:pos="567"/>
        </w:tabs>
        <w:spacing w:line="260" w:lineRule="exact"/>
      </w:pPr>
      <w:r>
        <w:t>arba</w:t>
      </w:r>
    </w:p>
    <w:p w14:paraId="0A2A288D" w14:textId="77777777" w:rsidR="00A45853" w:rsidRDefault="00A45853" w:rsidP="00A45853">
      <w:pPr>
        <w:tabs>
          <w:tab w:val="left" w:pos="567"/>
        </w:tabs>
        <w:spacing w:line="260" w:lineRule="exact"/>
      </w:pPr>
    </w:p>
    <w:p w14:paraId="0E62518A" w14:textId="77777777" w:rsidR="00A45853" w:rsidRDefault="00A45853" w:rsidP="00A45853">
      <w:pPr>
        <w:tabs>
          <w:tab w:val="left" w:pos="567"/>
        </w:tabs>
        <w:spacing w:line="260" w:lineRule="exact"/>
      </w:pPr>
      <w:r>
        <w:t>STADA M&amp;D S.R.L.</w:t>
      </w:r>
    </w:p>
    <w:p w14:paraId="6CDECF78" w14:textId="77777777" w:rsidR="00A45853" w:rsidRDefault="00A45853" w:rsidP="00A45853">
      <w:pPr>
        <w:tabs>
          <w:tab w:val="left" w:pos="567"/>
        </w:tabs>
        <w:spacing w:line="260" w:lineRule="exact"/>
      </w:pPr>
      <w:r>
        <w:t xml:space="preserve">Str. </w:t>
      </w:r>
      <w:proofErr w:type="spellStart"/>
      <w:r>
        <w:t>Trascăului</w:t>
      </w:r>
      <w:proofErr w:type="spellEnd"/>
      <w:r>
        <w:t xml:space="preserve">, </w:t>
      </w:r>
      <w:proofErr w:type="spellStart"/>
      <w:r>
        <w:t>No</w:t>
      </w:r>
      <w:proofErr w:type="spellEnd"/>
      <w:r>
        <w:t>. 10</w:t>
      </w:r>
    </w:p>
    <w:p w14:paraId="3ACA16DB" w14:textId="77777777" w:rsidR="00A45853" w:rsidRDefault="00A45853" w:rsidP="00A45853">
      <w:pPr>
        <w:tabs>
          <w:tab w:val="left" w:pos="567"/>
        </w:tabs>
        <w:spacing w:line="260" w:lineRule="exact"/>
      </w:pPr>
      <w:r>
        <w:t xml:space="preserve">401135 </w:t>
      </w:r>
      <w:proofErr w:type="spellStart"/>
      <w:r>
        <w:t>Turda</w:t>
      </w:r>
      <w:proofErr w:type="spellEnd"/>
      <w:r>
        <w:t xml:space="preserve"> </w:t>
      </w:r>
      <w:proofErr w:type="spellStart"/>
      <w:r>
        <w:t>City</w:t>
      </w:r>
      <w:proofErr w:type="spellEnd"/>
    </w:p>
    <w:p w14:paraId="75DBB323" w14:textId="77777777" w:rsidR="00A45853" w:rsidRDefault="00A45853" w:rsidP="00A45853">
      <w:pPr>
        <w:tabs>
          <w:tab w:val="left" w:pos="567"/>
        </w:tabs>
        <w:spacing w:line="260" w:lineRule="exact"/>
      </w:pPr>
      <w:proofErr w:type="spellStart"/>
      <w:r>
        <w:t>Cluj</w:t>
      </w:r>
      <w:proofErr w:type="spellEnd"/>
      <w:r>
        <w:t xml:space="preserve"> </w:t>
      </w:r>
      <w:proofErr w:type="spellStart"/>
      <w:r>
        <w:t>Country</w:t>
      </w:r>
      <w:proofErr w:type="spellEnd"/>
    </w:p>
    <w:p w14:paraId="08742EEB" w14:textId="77777777" w:rsidR="00A45853" w:rsidRDefault="00A45853" w:rsidP="00A45853">
      <w:pPr>
        <w:tabs>
          <w:tab w:val="left" w:pos="567"/>
        </w:tabs>
        <w:spacing w:line="260" w:lineRule="exact"/>
      </w:pPr>
      <w:r>
        <w:t>Rumunija</w:t>
      </w:r>
    </w:p>
    <w:p w14:paraId="1586B362" w14:textId="77777777" w:rsidR="002A6840" w:rsidRPr="00A14E24" w:rsidRDefault="002A6840" w:rsidP="006D2935">
      <w:pPr>
        <w:pStyle w:val="BTEMEASMCA"/>
      </w:pPr>
    </w:p>
    <w:p w14:paraId="6B9C808E" w14:textId="77777777" w:rsidR="002A6840" w:rsidRPr="00A14E24" w:rsidRDefault="002A6840" w:rsidP="006D2935">
      <w:pPr>
        <w:pStyle w:val="BTEMEASMCA"/>
      </w:pPr>
      <w:r w:rsidRPr="00A14E24">
        <w:t>Su pakuote pateikiamame lapelyje nurodomas gamintojo, atsakingo už konkrečios serijos išleidimą, pavadinimas ir adresas.</w:t>
      </w:r>
    </w:p>
    <w:p w14:paraId="6DFCAC23" w14:textId="77777777" w:rsidR="002A6840" w:rsidRPr="00A14E24" w:rsidRDefault="002A6840" w:rsidP="006D2935">
      <w:pPr>
        <w:pStyle w:val="BTEMEASMCA"/>
      </w:pPr>
    </w:p>
    <w:p w14:paraId="1164B1EE" w14:textId="77777777" w:rsidR="002A6840" w:rsidRPr="00A14E24" w:rsidRDefault="002A6840" w:rsidP="006D2935">
      <w:pPr>
        <w:pStyle w:val="BTEMEASMCA"/>
        <w:rPr>
          <w:highlight w:val="yellow"/>
        </w:rPr>
      </w:pPr>
    </w:p>
    <w:p w14:paraId="5F0AAAA3" w14:textId="77777777" w:rsidR="002A6840" w:rsidRPr="00A14E24" w:rsidRDefault="002A6840" w:rsidP="002A6840">
      <w:pPr>
        <w:pStyle w:val="PI-1EMEASMCA"/>
      </w:pPr>
      <w:bookmarkStart w:id="60" w:name="_Toc129243129"/>
      <w:bookmarkStart w:id="61" w:name="_Toc129243254"/>
      <w:r w:rsidRPr="00A14E24">
        <w:t>B.</w:t>
      </w:r>
      <w:r w:rsidRPr="00A14E24">
        <w:tab/>
        <w:t>TIEKIMO IR VARTOJIMO SĄLYGOS AR APRIBOJIMAI</w:t>
      </w:r>
      <w:bookmarkEnd w:id="60"/>
      <w:bookmarkEnd w:id="61"/>
    </w:p>
    <w:p w14:paraId="37410B61" w14:textId="77777777" w:rsidR="002A6840" w:rsidRPr="00A14E24" w:rsidRDefault="002A6840" w:rsidP="006D2935">
      <w:pPr>
        <w:pStyle w:val="BTEMEASMCA"/>
      </w:pPr>
    </w:p>
    <w:p w14:paraId="555E4BBF" w14:textId="7FC3A46A" w:rsidR="002A6840" w:rsidRPr="00A14E24" w:rsidRDefault="002A6840" w:rsidP="006D2935">
      <w:pPr>
        <w:pStyle w:val="BTEMEASMCA"/>
      </w:pPr>
      <w:r w:rsidRPr="00A14E24">
        <w:t>Receptinis vaistinis preparatas</w:t>
      </w:r>
      <w:r w:rsidR="00AD2100">
        <w:t>.</w:t>
      </w:r>
    </w:p>
    <w:p w14:paraId="1D8CD17B" w14:textId="77777777" w:rsidR="002A6840" w:rsidRPr="00A14E24" w:rsidRDefault="002A6840" w:rsidP="006D2935">
      <w:pPr>
        <w:pStyle w:val="BTEMEASMCA"/>
        <w:rPr>
          <w:highlight w:val="yellow"/>
        </w:rPr>
      </w:pPr>
    </w:p>
    <w:p w14:paraId="3E4D0F29" w14:textId="77777777" w:rsidR="002A6840" w:rsidRPr="00A14E24" w:rsidRDefault="002A6840" w:rsidP="006D2935">
      <w:pPr>
        <w:pStyle w:val="BTEMEASMCA"/>
      </w:pPr>
      <w:r w:rsidRPr="00A14E24">
        <w:br w:type="page"/>
      </w:r>
    </w:p>
    <w:p w14:paraId="2D4B6991" w14:textId="77777777" w:rsidR="002A6840" w:rsidRPr="00A14E24" w:rsidRDefault="002A6840" w:rsidP="006D2935">
      <w:pPr>
        <w:pStyle w:val="BTEMEASMCA"/>
      </w:pPr>
    </w:p>
    <w:p w14:paraId="411DB911" w14:textId="77777777" w:rsidR="002A6840" w:rsidRPr="00A14E24" w:rsidRDefault="002A6840" w:rsidP="006D2935">
      <w:pPr>
        <w:pStyle w:val="BTEMEASMCA"/>
      </w:pPr>
    </w:p>
    <w:p w14:paraId="2C518F67" w14:textId="77777777" w:rsidR="002A6840" w:rsidRPr="00A14E24" w:rsidRDefault="002A6840" w:rsidP="006D2935">
      <w:pPr>
        <w:pStyle w:val="BTEMEASMCA"/>
      </w:pPr>
    </w:p>
    <w:p w14:paraId="4FF72E2B" w14:textId="77777777" w:rsidR="002A6840" w:rsidRPr="00A14E24" w:rsidRDefault="002A6840" w:rsidP="006D2935">
      <w:pPr>
        <w:pStyle w:val="BTEMEASMCA"/>
      </w:pPr>
    </w:p>
    <w:p w14:paraId="58B319F6" w14:textId="77777777" w:rsidR="002A6840" w:rsidRPr="00A14E24" w:rsidRDefault="002A6840" w:rsidP="006D2935">
      <w:pPr>
        <w:pStyle w:val="BTEMEASMCA"/>
      </w:pPr>
    </w:p>
    <w:p w14:paraId="69F7D33F" w14:textId="77777777" w:rsidR="002A6840" w:rsidRPr="00A14E24" w:rsidRDefault="002A6840" w:rsidP="006D2935">
      <w:pPr>
        <w:pStyle w:val="BTEMEASMCA"/>
      </w:pPr>
    </w:p>
    <w:p w14:paraId="637012C4" w14:textId="77777777" w:rsidR="002A6840" w:rsidRPr="00A14E24" w:rsidRDefault="002A6840" w:rsidP="006D2935">
      <w:pPr>
        <w:pStyle w:val="BTEMEASMCA"/>
      </w:pPr>
    </w:p>
    <w:p w14:paraId="5D8CE535" w14:textId="77777777" w:rsidR="002A6840" w:rsidRPr="00A14E24" w:rsidRDefault="002A6840" w:rsidP="006D2935">
      <w:pPr>
        <w:pStyle w:val="BTEMEASMCA"/>
      </w:pPr>
    </w:p>
    <w:p w14:paraId="014213B3" w14:textId="77777777" w:rsidR="002A6840" w:rsidRPr="00A14E24" w:rsidRDefault="002A6840" w:rsidP="006D2935">
      <w:pPr>
        <w:pStyle w:val="BTEMEASMCA"/>
      </w:pPr>
    </w:p>
    <w:p w14:paraId="5EFA6DA7" w14:textId="77777777" w:rsidR="002A6840" w:rsidRPr="00A14E24" w:rsidRDefault="002A6840" w:rsidP="006D2935">
      <w:pPr>
        <w:pStyle w:val="BTEMEASMCA"/>
      </w:pPr>
    </w:p>
    <w:p w14:paraId="484D7F47" w14:textId="77777777" w:rsidR="002A6840" w:rsidRPr="00A14E24" w:rsidRDefault="002A6840" w:rsidP="006D2935">
      <w:pPr>
        <w:pStyle w:val="BTEMEASMCA"/>
      </w:pPr>
    </w:p>
    <w:p w14:paraId="6018A367" w14:textId="77777777" w:rsidR="002A6840" w:rsidRPr="00A14E24" w:rsidRDefault="002A6840" w:rsidP="006D2935">
      <w:pPr>
        <w:pStyle w:val="BTEMEASMCA"/>
      </w:pPr>
    </w:p>
    <w:p w14:paraId="2C4193BD" w14:textId="77777777" w:rsidR="002A6840" w:rsidRPr="00A14E24" w:rsidRDefault="002A6840" w:rsidP="006D2935">
      <w:pPr>
        <w:pStyle w:val="BTEMEASMCA"/>
      </w:pPr>
    </w:p>
    <w:p w14:paraId="6ACD9405" w14:textId="77777777" w:rsidR="002A6840" w:rsidRPr="00A14E24" w:rsidRDefault="002A6840" w:rsidP="006D2935">
      <w:pPr>
        <w:pStyle w:val="BTEMEASMCA"/>
      </w:pPr>
    </w:p>
    <w:p w14:paraId="6BB48644" w14:textId="77777777" w:rsidR="002A6840" w:rsidRPr="00A14E24" w:rsidRDefault="002A6840" w:rsidP="006D2935">
      <w:pPr>
        <w:pStyle w:val="BTEMEASMCA"/>
      </w:pPr>
    </w:p>
    <w:p w14:paraId="078FC1B0" w14:textId="77777777" w:rsidR="002A6840" w:rsidRPr="00A14E24" w:rsidRDefault="002A6840" w:rsidP="006D2935">
      <w:pPr>
        <w:pStyle w:val="BTEMEASMCA"/>
      </w:pPr>
    </w:p>
    <w:p w14:paraId="31062E77" w14:textId="77777777" w:rsidR="002A6840" w:rsidRPr="00A14E24" w:rsidRDefault="002A6840" w:rsidP="006D2935">
      <w:pPr>
        <w:pStyle w:val="BTEMEASMCA"/>
      </w:pPr>
    </w:p>
    <w:p w14:paraId="5531678B" w14:textId="77777777" w:rsidR="002A6840" w:rsidRPr="00A14E24" w:rsidRDefault="002A6840" w:rsidP="006D2935">
      <w:pPr>
        <w:pStyle w:val="BTEMEASMCA"/>
      </w:pPr>
    </w:p>
    <w:p w14:paraId="635E10F1" w14:textId="77777777" w:rsidR="002A6840" w:rsidRPr="00A14E24" w:rsidRDefault="002A6840" w:rsidP="006D2935">
      <w:pPr>
        <w:pStyle w:val="BTEMEASMCA"/>
      </w:pPr>
    </w:p>
    <w:p w14:paraId="2ABCD866" w14:textId="77777777" w:rsidR="002A6840" w:rsidRPr="00A14E24" w:rsidRDefault="002A6840" w:rsidP="006D2935">
      <w:pPr>
        <w:pStyle w:val="BTEMEASMCA"/>
      </w:pPr>
    </w:p>
    <w:p w14:paraId="29C69BA5" w14:textId="77777777" w:rsidR="002A6840" w:rsidRPr="00A14E24" w:rsidRDefault="002A6840" w:rsidP="006D2935">
      <w:pPr>
        <w:pStyle w:val="BTEMEASMCA"/>
      </w:pPr>
    </w:p>
    <w:p w14:paraId="434DD392" w14:textId="77777777" w:rsidR="002A6840" w:rsidRPr="00A14E24" w:rsidRDefault="002A6840" w:rsidP="006D2935">
      <w:pPr>
        <w:pStyle w:val="BTEMEASMCA"/>
      </w:pPr>
    </w:p>
    <w:p w14:paraId="1BBA5E95" w14:textId="77777777" w:rsidR="002A6840" w:rsidRPr="00A14E24" w:rsidRDefault="002A6840" w:rsidP="006D2935">
      <w:pPr>
        <w:pStyle w:val="BTEMEASMCA"/>
      </w:pPr>
      <w:bookmarkStart w:id="62" w:name="_Toc129243134"/>
      <w:bookmarkStart w:id="63" w:name="_Toc129243259"/>
    </w:p>
    <w:p w14:paraId="57CB4C19" w14:textId="77777777" w:rsidR="002A6840" w:rsidRPr="00D332C9" w:rsidRDefault="002A6840" w:rsidP="002A6840">
      <w:pPr>
        <w:pStyle w:val="TTEMEASMCA"/>
        <w:rPr>
          <w:sz w:val="22"/>
          <w:szCs w:val="22"/>
          <w:lang w:val="lt-LT"/>
        </w:rPr>
      </w:pPr>
      <w:r w:rsidRPr="00D332C9">
        <w:rPr>
          <w:sz w:val="22"/>
          <w:szCs w:val="22"/>
          <w:lang w:val="lt-LT"/>
        </w:rPr>
        <w:t>III PRIEDAS</w:t>
      </w:r>
      <w:bookmarkEnd w:id="62"/>
      <w:bookmarkEnd w:id="63"/>
    </w:p>
    <w:p w14:paraId="2D335059" w14:textId="77777777" w:rsidR="002A6840" w:rsidRPr="00A14E24" w:rsidRDefault="002A6840" w:rsidP="006D2935">
      <w:pPr>
        <w:pStyle w:val="BTEMEASMCA"/>
      </w:pPr>
    </w:p>
    <w:p w14:paraId="249E2413" w14:textId="77777777" w:rsidR="002A6840" w:rsidRPr="00D332C9" w:rsidRDefault="002A6840" w:rsidP="002A6840">
      <w:pPr>
        <w:pStyle w:val="TTEMEASMCA"/>
        <w:rPr>
          <w:sz w:val="22"/>
          <w:szCs w:val="22"/>
          <w:lang w:val="lt-LT"/>
        </w:rPr>
      </w:pPr>
      <w:bookmarkStart w:id="64" w:name="_Toc129243135"/>
      <w:bookmarkStart w:id="65" w:name="_Toc129243260"/>
      <w:r w:rsidRPr="00D332C9">
        <w:rPr>
          <w:sz w:val="22"/>
          <w:szCs w:val="22"/>
          <w:lang w:val="lt-LT"/>
        </w:rPr>
        <w:t>ŽENKLINIMAS IR PAKUOTĖS LAPELIS</w:t>
      </w:r>
      <w:bookmarkEnd w:id="64"/>
      <w:bookmarkEnd w:id="65"/>
    </w:p>
    <w:p w14:paraId="61DABA27" w14:textId="77777777" w:rsidR="002A6840" w:rsidRPr="00A14E24" w:rsidRDefault="002A6840" w:rsidP="006D2935">
      <w:pPr>
        <w:pStyle w:val="BTEMEASMCA"/>
      </w:pPr>
      <w:r w:rsidRPr="00A14E24">
        <w:br w:type="page"/>
      </w:r>
    </w:p>
    <w:p w14:paraId="1F244E6D" w14:textId="77777777" w:rsidR="002A6840" w:rsidRPr="00A14E24" w:rsidRDefault="002A6840" w:rsidP="006D2935">
      <w:pPr>
        <w:pStyle w:val="BTEMEASMCA"/>
      </w:pPr>
    </w:p>
    <w:p w14:paraId="4EE1606C" w14:textId="77777777" w:rsidR="002A6840" w:rsidRPr="00A14E24" w:rsidRDefault="002A6840" w:rsidP="006D2935">
      <w:pPr>
        <w:pStyle w:val="BTEMEASMCA"/>
      </w:pPr>
    </w:p>
    <w:p w14:paraId="373CEB3F" w14:textId="77777777" w:rsidR="002A6840" w:rsidRPr="00A14E24" w:rsidRDefault="002A6840" w:rsidP="006D2935">
      <w:pPr>
        <w:pStyle w:val="BTEMEASMCA"/>
      </w:pPr>
    </w:p>
    <w:p w14:paraId="3719ABD3" w14:textId="77777777" w:rsidR="002A6840" w:rsidRPr="00A14E24" w:rsidRDefault="002A6840" w:rsidP="006D2935">
      <w:pPr>
        <w:pStyle w:val="BTEMEASMCA"/>
      </w:pPr>
    </w:p>
    <w:p w14:paraId="6EE1929E" w14:textId="77777777" w:rsidR="002A6840" w:rsidRPr="00A14E24" w:rsidRDefault="002A6840" w:rsidP="006D2935">
      <w:pPr>
        <w:pStyle w:val="BTEMEASMCA"/>
      </w:pPr>
    </w:p>
    <w:p w14:paraId="5EC2B6DA" w14:textId="77777777" w:rsidR="002A6840" w:rsidRPr="00A14E24" w:rsidRDefault="002A6840" w:rsidP="006D2935">
      <w:pPr>
        <w:pStyle w:val="BTEMEASMCA"/>
      </w:pPr>
    </w:p>
    <w:p w14:paraId="6EEDA1FC" w14:textId="77777777" w:rsidR="002A6840" w:rsidRPr="00A14E24" w:rsidRDefault="002A6840" w:rsidP="006D2935">
      <w:pPr>
        <w:pStyle w:val="BTEMEASMCA"/>
      </w:pPr>
    </w:p>
    <w:p w14:paraId="2D6C23C1" w14:textId="77777777" w:rsidR="002A6840" w:rsidRPr="00A14E24" w:rsidRDefault="002A6840" w:rsidP="006D2935">
      <w:pPr>
        <w:pStyle w:val="BTEMEASMCA"/>
      </w:pPr>
    </w:p>
    <w:p w14:paraId="28A46979" w14:textId="77777777" w:rsidR="002A6840" w:rsidRPr="00A14E24" w:rsidRDefault="002A6840" w:rsidP="006D2935">
      <w:pPr>
        <w:pStyle w:val="BTEMEASMCA"/>
      </w:pPr>
    </w:p>
    <w:p w14:paraId="466F0FF0" w14:textId="77777777" w:rsidR="002A6840" w:rsidRPr="00A14E24" w:rsidRDefault="002A6840" w:rsidP="006D2935">
      <w:pPr>
        <w:pStyle w:val="BTEMEASMCA"/>
      </w:pPr>
    </w:p>
    <w:p w14:paraId="2DC340E2" w14:textId="77777777" w:rsidR="002A6840" w:rsidRPr="00A14E24" w:rsidRDefault="002A6840" w:rsidP="006D2935">
      <w:pPr>
        <w:pStyle w:val="BTEMEASMCA"/>
      </w:pPr>
    </w:p>
    <w:p w14:paraId="369CD7A6" w14:textId="77777777" w:rsidR="002A6840" w:rsidRPr="00A14E24" w:rsidRDefault="002A6840" w:rsidP="006D2935">
      <w:pPr>
        <w:pStyle w:val="BTEMEASMCA"/>
      </w:pPr>
    </w:p>
    <w:p w14:paraId="3A09C1F6" w14:textId="77777777" w:rsidR="002A6840" w:rsidRPr="00A14E24" w:rsidRDefault="002A6840" w:rsidP="006D2935">
      <w:pPr>
        <w:pStyle w:val="BTEMEASMCA"/>
      </w:pPr>
    </w:p>
    <w:p w14:paraId="2362DF39" w14:textId="77777777" w:rsidR="002A6840" w:rsidRPr="00A14E24" w:rsidRDefault="002A6840" w:rsidP="006D2935">
      <w:pPr>
        <w:pStyle w:val="BTEMEASMCA"/>
      </w:pPr>
    </w:p>
    <w:p w14:paraId="231A53EB" w14:textId="77777777" w:rsidR="002A6840" w:rsidRPr="00A14E24" w:rsidRDefault="002A6840" w:rsidP="006D2935">
      <w:pPr>
        <w:pStyle w:val="BTEMEASMCA"/>
      </w:pPr>
    </w:p>
    <w:p w14:paraId="4412196A" w14:textId="77777777" w:rsidR="002A6840" w:rsidRPr="00A14E24" w:rsidRDefault="002A6840" w:rsidP="006D2935">
      <w:pPr>
        <w:pStyle w:val="BTEMEASMCA"/>
      </w:pPr>
    </w:p>
    <w:p w14:paraId="0565D672" w14:textId="77777777" w:rsidR="002A6840" w:rsidRPr="00A14E24" w:rsidRDefault="002A6840" w:rsidP="006D2935">
      <w:pPr>
        <w:pStyle w:val="BTEMEASMCA"/>
      </w:pPr>
    </w:p>
    <w:p w14:paraId="2EE08C36" w14:textId="77777777" w:rsidR="002A6840" w:rsidRPr="00A14E24" w:rsidRDefault="002A6840" w:rsidP="006D2935">
      <w:pPr>
        <w:pStyle w:val="BTEMEASMCA"/>
      </w:pPr>
    </w:p>
    <w:p w14:paraId="776FC151" w14:textId="77777777" w:rsidR="002A6840" w:rsidRPr="00A14E24" w:rsidRDefault="002A6840" w:rsidP="006D2935">
      <w:pPr>
        <w:pStyle w:val="BTEMEASMCA"/>
      </w:pPr>
    </w:p>
    <w:p w14:paraId="15582821" w14:textId="77777777" w:rsidR="002A6840" w:rsidRPr="00A14E24" w:rsidRDefault="002A6840" w:rsidP="006D2935">
      <w:pPr>
        <w:pStyle w:val="BTEMEASMCA"/>
      </w:pPr>
    </w:p>
    <w:p w14:paraId="72083C72" w14:textId="77777777" w:rsidR="002A6840" w:rsidRPr="00A14E24" w:rsidRDefault="002A6840" w:rsidP="006D2935">
      <w:pPr>
        <w:pStyle w:val="BTEMEASMCA"/>
      </w:pPr>
    </w:p>
    <w:p w14:paraId="4103E60A" w14:textId="77777777" w:rsidR="002A6840" w:rsidRPr="00A14E24" w:rsidRDefault="002A6840" w:rsidP="006D2935">
      <w:pPr>
        <w:pStyle w:val="BTEMEASMCA"/>
      </w:pPr>
    </w:p>
    <w:p w14:paraId="4D9CD497" w14:textId="77777777" w:rsidR="002A6840" w:rsidRPr="00A14E24" w:rsidRDefault="002A6840" w:rsidP="006D2935">
      <w:pPr>
        <w:pStyle w:val="BTEMEASMCA"/>
      </w:pPr>
      <w:bookmarkStart w:id="66" w:name="_Toc129243136"/>
      <w:bookmarkStart w:id="67" w:name="_Toc129243261"/>
    </w:p>
    <w:p w14:paraId="14947F39" w14:textId="77777777" w:rsidR="002A6840" w:rsidRPr="00A14E24" w:rsidRDefault="002A6840" w:rsidP="002A6840">
      <w:pPr>
        <w:pStyle w:val="TTEMEASMCA"/>
        <w:outlineLvl w:val="1"/>
        <w:rPr>
          <w:sz w:val="22"/>
          <w:szCs w:val="22"/>
          <w:lang w:val="pl-PL"/>
        </w:rPr>
      </w:pPr>
      <w:r w:rsidRPr="00A14E24">
        <w:rPr>
          <w:sz w:val="22"/>
          <w:szCs w:val="22"/>
          <w:lang w:val="pl-PL"/>
        </w:rPr>
        <w:t>A. ŽENKLINIMAS</w:t>
      </w:r>
      <w:bookmarkEnd w:id="66"/>
      <w:bookmarkEnd w:id="67"/>
    </w:p>
    <w:p w14:paraId="1FE1636F" w14:textId="77777777" w:rsidR="002A6840" w:rsidRPr="00A14E24" w:rsidRDefault="002A6840" w:rsidP="006D2935">
      <w:pPr>
        <w:pStyle w:val="BTEMEASMCA"/>
        <w:rPr>
          <w:lang w:val="pl-PL"/>
        </w:rPr>
      </w:pPr>
      <w:r w:rsidRPr="00A14E24">
        <w:rPr>
          <w:lang w:val="pl-PL"/>
        </w:rPr>
        <w:br w:type="page"/>
      </w:r>
    </w:p>
    <w:p w14:paraId="24B055DE" w14:textId="77777777" w:rsidR="002A6840" w:rsidRPr="002C4659" w:rsidRDefault="002A6840" w:rsidP="00A14E24">
      <w:pPr>
        <w:pStyle w:val="PI-1labEMEASMCA"/>
        <w:rPr>
          <w:sz w:val="22"/>
          <w:szCs w:val="22"/>
          <w:lang w:val="pl-PL"/>
        </w:rPr>
      </w:pPr>
      <w:r w:rsidRPr="002C4659">
        <w:rPr>
          <w:sz w:val="22"/>
          <w:szCs w:val="22"/>
          <w:lang w:val="pl-PL"/>
        </w:rPr>
        <w:lastRenderedPageBreak/>
        <w:t>INFORMACIJA ANT IŠORINĖS PAKUOTĖS</w:t>
      </w:r>
    </w:p>
    <w:p w14:paraId="3F6C27CB" w14:textId="77777777" w:rsidR="00D379E5" w:rsidRPr="002C4659" w:rsidRDefault="00D379E5" w:rsidP="00A14E24">
      <w:pPr>
        <w:pStyle w:val="PI-1labEMEASMCA"/>
        <w:rPr>
          <w:sz w:val="22"/>
          <w:szCs w:val="22"/>
          <w:lang w:val="pl-PL"/>
        </w:rPr>
      </w:pPr>
    </w:p>
    <w:p w14:paraId="3A2F3F9A" w14:textId="3BA0607C" w:rsidR="002A6840" w:rsidRPr="002C4659" w:rsidRDefault="0082185B" w:rsidP="00A14E24">
      <w:pPr>
        <w:pStyle w:val="PI-1labEMEASMCA"/>
        <w:rPr>
          <w:sz w:val="22"/>
          <w:szCs w:val="22"/>
          <w:lang w:val="pl-PL"/>
        </w:rPr>
      </w:pPr>
      <w:r>
        <w:rPr>
          <w:sz w:val="22"/>
          <w:szCs w:val="22"/>
          <w:lang w:val="pl-PL"/>
        </w:rPr>
        <w:t>K</w:t>
      </w:r>
      <w:r w:rsidR="00A93684" w:rsidRPr="002C4659">
        <w:rPr>
          <w:sz w:val="22"/>
          <w:szCs w:val="22"/>
          <w:lang w:val="pl-PL"/>
        </w:rPr>
        <w:t>artono dėžutė</w:t>
      </w:r>
      <w:r w:rsidR="003A224D" w:rsidRPr="00400144">
        <w:rPr>
          <w:lang w:val="pl-PL"/>
        </w:rPr>
        <w:t xml:space="preserve"> </w:t>
      </w:r>
      <w:r w:rsidR="00802B8E">
        <w:rPr>
          <w:lang w:val="pl-PL"/>
        </w:rPr>
        <w:t>–</w:t>
      </w:r>
      <w:r w:rsidR="003A224D">
        <w:rPr>
          <w:lang w:val="pl-PL"/>
        </w:rPr>
        <w:t xml:space="preserve"> </w:t>
      </w:r>
      <w:r w:rsidR="003A224D" w:rsidRPr="00DD5BE1">
        <w:rPr>
          <w:sz w:val="22"/>
          <w:szCs w:val="22"/>
          <w:lang w:val="pl-PL"/>
        </w:rPr>
        <w:t xml:space="preserve">visas / </w:t>
      </w:r>
      <w:r w:rsidR="003A224D" w:rsidRPr="00400144">
        <w:rPr>
          <w:sz w:val="22"/>
          <w:szCs w:val="22"/>
          <w:highlight w:val="lightGray"/>
          <w:lang w:val="pl-PL"/>
        </w:rPr>
        <w:t>sutrumpintas</w:t>
      </w:r>
      <w:r w:rsidR="003A224D" w:rsidRPr="00DD5BE1">
        <w:rPr>
          <w:sz w:val="22"/>
          <w:szCs w:val="22"/>
          <w:lang w:val="pl-PL"/>
        </w:rPr>
        <w:t xml:space="preserve"> ES harmonizuotas ženklinimo tekstas</w:t>
      </w:r>
    </w:p>
    <w:p w14:paraId="5D4F48B5" w14:textId="77777777" w:rsidR="002A6840" w:rsidRPr="00A14E24" w:rsidRDefault="002A6840" w:rsidP="006D2935">
      <w:pPr>
        <w:pStyle w:val="BTEMEASMCA"/>
        <w:rPr>
          <w:lang w:val="pl-PL"/>
        </w:rPr>
      </w:pPr>
    </w:p>
    <w:p w14:paraId="45A53A78" w14:textId="77777777" w:rsidR="002A6840" w:rsidRPr="00A14E24" w:rsidRDefault="002A6840" w:rsidP="006D2935">
      <w:pPr>
        <w:pStyle w:val="BTEMEASMCA"/>
        <w:rPr>
          <w:lang w:val="pl-PL"/>
        </w:rPr>
      </w:pPr>
    </w:p>
    <w:p w14:paraId="6EC0EAF4" w14:textId="77777777" w:rsidR="002A6840" w:rsidRPr="00516DB9" w:rsidRDefault="002A6840" w:rsidP="00A14E24">
      <w:pPr>
        <w:pStyle w:val="PI-1labEMEASMCA"/>
        <w:rPr>
          <w:sz w:val="22"/>
          <w:lang w:val="pl-PL"/>
        </w:rPr>
      </w:pPr>
      <w:r w:rsidRPr="00516DB9">
        <w:rPr>
          <w:sz w:val="22"/>
          <w:lang w:val="pl-PL"/>
        </w:rPr>
        <w:t>1.</w:t>
      </w:r>
      <w:r w:rsidRPr="00516DB9">
        <w:rPr>
          <w:sz w:val="22"/>
          <w:lang w:val="pl-PL"/>
        </w:rPr>
        <w:tab/>
        <w:t>VAISTINIO PREPARATO PAVADINIMAS</w:t>
      </w:r>
    </w:p>
    <w:p w14:paraId="7A0278EA" w14:textId="77777777" w:rsidR="002A6840" w:rsidRPr="00A14E24" w:rsidRDefault="002A6840" w:rsidP="006D2935">
      <w:pPr>
        <w:pStyle w:val="BTEMEASMCA"/>
      </w:pPr>
    </w:p>
    <w:p w14:paraId="4BE5A6F6" w14:textId="23CC1C4C" w:rsidR="002A6840" w:rsidRPr="00A14E24" w:rsidRDefault="002A6840" w:rsidP="002A6840">
      <w:pPr>
        <w:tabs>
          <w:tab w:val="left" w:pos="567"/>
        </w:tabs>
      </w:pPr>
      <w:proofErr w:type="spellStart"/>
      <w:r w:rsidRPr="00A14E24">
        <w:t>Ibuprofen</w:t>
      </w:r>
      <w:proofErr w:type="spellEnd"/>
      <w:r w:rsidRPr="00A14E24">
        <w:t xml:space="preserve"> STADA </w:t>
      </w:r>
      <w:proofErr w:type="spellStart"/>
      <w:r w:rsidRPr="00A14E24">
        <w:t>Arzneimittel</w:t>
      </w:r>
      <w:proofErr w:type="spellEnd"/>
      <w:r w:rsidRPr="00A14E24">
        <w:t xml:space="preserve"> </w:t>
      </w:r>
      <w:r w:rsidR="00D379E5" w:rsidRPr="00A14E24">
        <w:t>6</w:t>
      </w:r>
      <w:r w:rsidRPr="00A14E24">
        <w:t>00 mg plėvele dengtos tabletės</w:t>
      </w:r>
    </w:p>
    <w:p w14:paraId="4443123E" w14:textId="229B094D" w:rsidR="002A6840" w:rsidRPr="001E4E81" w:rsidRDefault="002A6840" w:rsidP="002A6840">
      <w:pPr>
        <w:tabs>
          <w:tab w:val="left" w:pos="567"/>
        </w:tabs>
        <w:rPr>
          <w:i/>
          <w:iCs/>
        </w:rPr>
      </w:pPr>
      <w:proofErr w:type="spellStart"/>
      <w:r w:rsidRPr="001E4E81">
        <w:rPr>
          <w:i/>
          <w:iCs/>
        </w:rPr>
        <w:t>ibuprofen</w:t>
      </w:r>
      <w:r w:rsidR="001E4E81" w:rsidRPr="001E4E81">
        <w:rPr>
          <w:i/>
          <w:iCs/>
        </w:rPr>
        <w:t>um</w:t>
      </w:r>
      <w:proofErr w:type="spellEnd"/>
    </w:p>
    <w:p w14:paraId="5C1FBD6C" w14:textId="77777777" w:rsidR="002A6840" w:rsidRPr="00A14E24" w:rsidRDefault="002A6840" w:rsidP="006D2935">
      <w:pPr>
        <w:pStyle w:val="BTEMEASMCA"/>
      </w:pPr>
    </w:p>
    <w:p w14:paraId="48B2BD76" w14:textId="77777777" w:rsidR="002A6840" w:rsidRPr="00A14E24" w:rsidRDefault="002A6840" w:rsidP="006D2935">
      <w:pPr>
        <w:pStyle w:val="BTEMEASMCA"/>
      </w:pPr>
    </w:p>
    <w:p w14:paraId="0C1B40EC" w14:textId="39C78EF4" w:rsidR="002A6840" w:rsidRPr="002C4659" w:rsidRDefault="002A6840" w:rsidP="00A14E24">
      <w:pPr>
        <w:pStyle w:val="PI-1labEMEASMCA"/>
        <w:rPr>
          <w:sz w:val="22"/>
          <w:szCs w:val="22"/>
          <w:lang w:val="lt-LT"/>
        </w:rPr>
      </w:pPr>
      <w:r w:rsidRPr="002C4659">
        <w:rPr>
          <w:sz w:val="22"/>
          <w:szCs w:val="22"/>
          <w:lang w:val="lt-LT"/>
        </w:rPr>
        <w:t>2.</w:t>
      </w:r>
      <w:r w:rsidRPr="002C4659">
        <w:rPr>
          <w:sz w:val="22"/>
          <w:szCs w:val="22"/>
          <w:lang w:val="lt-LT"/>
        </w:rPr>
        <w:tab/>
      </w:r>
      <w:r w:rsidR="00DF0AAF" w:rsidRPr="002C4659">
        <w:rPr>
          <w:sz w:val="22"/>
          <w:szCs w:val="22"/>
          <w:lang w:val="lt-LT"/>
        </w:rPr>
        <w:t>VEIKLIOJI (-IOS) MEDŽIAGA (-OS) IR JOS (-Ų) KIEKIS (-IAI)</w:t>
      </w:r>
    </w:p>
    <w:p w14:paraId="0C96442D" w14:textId="77777777" w:rsidR="002A6840" w:rsidRPr="00A14E24" w:rsidRDefault="002A6840" w:rsidP="006D2935">
      <w:pPr>
        <w:pStyle w:val="BTEMEASMCA"/>
      </w:pPr>
    </w:p>
    <w:p w14:paraId="7BC22CCA" w14:textId="59CBC986" w:rsidR="002A6840" w:rsidRPr="00A14E24" w:rsidRDefault="000D045E" w:rsidP="002A6840">
      <w:pPr>
        <w:tabs>
          <w:tab w:val="left" w:pos="567"/>
        </w:tabs>
      </w:pPr>
      <w:r w:rsidRPr="00A14E24">
        <w:t>Kiekv</w:t>
      </w:r>
      <w:r w:rsidR="002A6840" w:rsidRPr="00A14E24">
        <w:t>ienoje plėvele dengto</w:t>
      </w:r>
      <w:r w:rsidR="00142721" w:rsidRPr="00A14E24">
        <w:t>je</w:t>
      </w:r>
      <w:r w:rsidR="002A6840" w:rsidRPr="00A14E24">
        <w:t xml:space="preserve"> tabletėje yra </w:t>
      </w:r>
      <w:r w:rsidRPr="00A14E24">
        <w:t>6</w:t>
      </w:r>
      <w:r w:rsidR="002A6840" w:rsidRPr="00A14E24">
        <w:t xml:space="preserve">00 mg </w:t>
      </w:r>
      <w:proofErr w:type="spellStart"/>
      <w:r w:rsidR="002A6840" w:rsidRPr="00A14E24">
        <w:t>ibuprofeno</w:t>
      </w:r>
      <w:proofErr w:type="spellEnd"/>
      <w:r w:rsidR="002A6840" w:rsidRPr="00A14E24">
        <w:t>.</w:t>
      </w:r>
    </w:p>
    <w:p w14:paraId="633D354C" w14:textId="77777777" w:rsidR="002A6840" w:rsidRPr="00A14E24" w:rsidRDefault="002A6840" w:rsidP="006D2935">
      <w:pPr>
        <w:pStyle w:val="BTEMEASMCA"/>
      </w:pPr>
    </w:p>
    <w:p w14:paraId="3E327E73" w14:textId="77777777" w:rsidR="002A6840" w:rsidRPr="00A14E24" w:rsidRDefault="002A6840" w:rsidP="006D2935">
      <w:pPr>
        <w:pStyle w:val="BTEMEASMCA"/>
      </w:pPr>
    </w:p>
    <w:p w14:paraId="3229D373" w14:textId="77777777" w:rsidR="002A6840" w:rsidRPr="002C4659" w:rsidRDefault="002A6840" w:rsidP="00A14E24">
      <w:pPr>
        <w:pStyle w:val="PI-1labEMEASMCA"/>
        <w:rPr>
          <w:sz w:val="22"/>
          <w:szCs w:val="22"/>
          <w:highlight w:val="lightGray"/>
          <w:lang w:val="lt-LT"/>
        </w:rPr>
      </w:pPr>
      <w:r w:rsidRPr="002C4659">
        <w:rPr>
          <w:sz w:val="22"/>
          <w:szCs w:val="22"/>
          <w:lang w:val="lt-LT"/>
        </w:rPr>
        <w:t>3.</w:t>
      </w:r>
      <w:r w:rsidRPr="002C4659">
        <w:rPr>
          <w:sz w:val="22"/>
          <w:szCs w:val="22"/>
          <w:lang w:val="lt-LT"/>
        </w:rPr>
        <w:tab/>
        <w:t>PAGALBINIŲ MEDŽIAGŲ SĄRAŠAS</w:t>
      </w:r>
    </w:p>
    <w:p w14:paraId="09A1BC2C" w14:textId="77777777" w:rsidR="002A6840" w:rsidRPr="00A14E24" w:rsidRDefault="002A6840" w:rsidP="006D2935">
      <w:pPr>
        <w:pStyle w:val="BTEMEASMCA"/>
      </w:pPr>
    </w:p>
    <w:p w14:paraId="70DAAE24" w14:textId="77777777" w:rsidR="002B2A96" w:rsidRPr="00A14E24" w:rsidRDefault="002B2A96" w:rsidP="006D2935">
      <w:pPr>
        <w:pStyle w:val="BTEMEASMCA"/>
      </w:pPr>
    </w:p>
    <w:p w14:paraId="084DCF97" w14:textId="77777777" w:rsidR="002A6840" w:rsidRPr="002C4659" w:rsidRDefault="002A6840" w:rsidP="00A14E24">
      <w:pPr>
        <w:pStyle w:val="PI-1labEMEASMCA"/>
        <w:rPr>
          <w:sz w:val="22"/>
          <w:szCs w:val="22"/>
          <w:lang w:val="lt-LT"/>
        </w:rPr>
      </w:pPr>
      <w:r w:rsidRPr="002C4659">
        <w:rPr>
          <w:sz w:val="22"/>
          <w:szCs w:val="22"/>
          <w:lang w:val="lt-LT"/>
        </w:rPr>
        <w:t>4.</w:t>
      </w:r>
      <w:r w:rsidRPr="002C4659">
        <w:rPr>
          <w:sz w:val="22"/>
          <w:szCs w:val="22"/>
          <w:lang w:val="lt-LT"/>
        </w:rPr>
        <w:tab/>
        <w:t>FARMACINĖ FORMA IR KIEKIS PAKUOTĖJE</w:t>
      </w:r>
    </w:p>
    <w:p w14:paraId="2C217979" w14:textId="77777777" w:rsidR="002A6840" w:rsidRPr="00A14E24" w:rsidRDefault="002A6840" w:rsidP="006D2935">
      <w:pPr>
        <w:pStyle w:val="BTEMEASMCA"/>
      </w:pPr>
    </w:p>
    <w:p w14:paraId="1B3DD17B" w14:textId="36CEEF6D" w:rsidR="002A6840" w:rsidRPr="00A14E24" w:rsidRDefault="005039C6" w:rsidP="002A6840">
      <w:pPr>
        <w:tabs>
          <w:tab w:val="left" w:pos="567"/>
        </w:tabs>
      </w:pPr>
      <w:r w:rsidRPr="00A14E24">
        <w:rPr>
          <w:highlight w:val="lightGray"/>
        </w:rPr>
        <w:t>Plėvele dengta</w:t>
      </w:r>
      <w:r w:rsidRPr="000C0856">
        <w:t xml:space="preserve"> tabletė</w:t>
      </w:r>
    </w:p>
    <w:p w14:paraId="2D9A09D7" w14:textId="77777777" w:rsidR="002A6840" w:rsidRDefault="002A6840" w:rsidP="002A6840">
      <w:pPr>
        <w:tabs>
          <w:tab w:val="left" w:pos="567"/>
        </w:tabs>
      </w:pPr>
    </w:p>
    <w:p w14:paraId="7EC896E8" w14:textId="4908109B" w:rsidR="00FB29E5" w:rsidRPr="00A14E24" w:rsidRDefault="003822C0" w:rsidP="000C0856">
      <w:pPr>
        <w:shd w:val="clear" w:color="auto" w:fill="A6A6A6" w:themeFill="background1" w:themeFillShade="A6"/>
        <w:tabs>
          <w:tab w:val="left" w:pos="567"/>
        </w:tabs>
      </w:pPr>
      <w:r w:rsidRPr="00400144">
        <w:rPr>
          <w:snapToGrid w:val="0"/>
        </w:rPr>
        <w:t>[Lizdinė plokštelė]</w:t>
      </w:r>
    </w:p>
    <w:p w14:paraId="097600BA" w14:textId="17C9E150" w:rsidR="00004B8D" w:rsidRPr="006D2935" w:rsidRDefault="000A00F8" w:rsidP="00FA4D97">
      <w:pPr>
        <w:jc w:val="both"/>
      </w:pPr>
      <w:r w:rsidRPr="006D2935">
        <w:t>10</w:t>
      </w:r>
      <w:r w:rsidR="00004B8D" w:rsidRPr="006D2935">
        <w:t> </w:t>
      </w:r>
      <w:r w:rsidR="00DC402C" w:rsidRPr="00400144">
        <w:rPr>
          <w:shd w:val="clear" w:color="auto" w:fill="A6A6A6" w:themeFill="background1" w:themeFillShade="A6"/>
        </w:rPr>
        <w:t>plėvele dengtų</w:t>
      </w:r>
      <w:r w:rsidR="00DC402C" w:rsidRPr="006D2935">
        <w:t xml:space="preserve"> </w:t>
      </w:r>
      <w:r w:rsidR="00004B8D" w:rsidRPr="006D2935">
        <w:t>tablečių</w:t>
      </w:r>
    </w:p>
    <w:p w14:paraId="28462210" w14:textId="15A65890" w:rsidR="00004B8D" w:rsidRPr="000C0856" w:rsidRDefault="00004B8D" w:rsidP="000C0856">
      <w:pPr>
        <w:shd w:val="clear" w:color="auto" w:fill="A6A6A6" w:themeFill="background1" w:themeFillShade="A6"/>
        <w:jc w:val="both"/>
      </w:pPr>
      <w:r w:rsidRPr="000C0856">
        <w:t>20 </w:t>
      </w:r>
      <w:r w:rsidR="00273BB2" w:rsidRPr="00400144">
        <w:rPr>
          <w:highlight w:val="lightGray"/>
        </w:rPr>
        <w:t>plėvele dengtų</w:t>
      </w:r>
      <w:r w:rsidR="00273BB2" w:rsidRPr="00273BB2">
        <w:t xml:space="preserve"> </w:t>
      </w:r>
      <w:r w:rsidRPr="000C0856">
        <w:t>tablečių</w:t>
      </w:r>
    </w:p>
    <w:p w14:paraId="72ED3E9C" w14:textId="6EA53376" w:rsidR="00004B8D" w:rsidRPr="000C0856" w:rsidRDefault="00004B8D" w:rsidP="000C0856">
      <w:pPr>
        <w:shd w:val="clear" w:color="auto" w:fill="A6A6A6" w:themeFill="background1" w:themeFillShade="A6"/>
        <w:jc w:val="both"/>
      </w:pPr>
      <w:r w:rsidRPr="000C0856">
        <w:t>30 </w:t>
      </w:r>
      <w:r w:rsidR="00273BB2" w:rsidRPr="00400144">
        <w:rPr>
          <w:highlight w:val="lightGray"/>
        </w:rPr>
        <w:t>plėvele dengtų</w:t>
      </w:r>
      <w:r w:rsidR="00273BB2" w:rsidRPr="00273BB2">
        <w:t xml:space="preserve"> </w:t>
      </w:r>
      <w:r w:rsidRPr="000C0856">
        <w:t>tablečių</w:t>
      </w:r>
    </w:p>
    <w:p w14:paraId="0235569D" w14:textId="7719BF23" w:rsidR="00004B8D" w:rsidRPr="000C0856" w:rsidRDefault="00EE60EB" w:rsidP="000C0856">
      <w:pPr>
        <w:shd w:val="clear" w:color="auto" w:fill="A6A6A6" w:themeFill="background1" w:themeFillShade="A6"/>
        <w:jc w:val="both"/>
      </w:pPr>
      <w:r w:rsidRPr="000C0856">
        <w:t>4</w:t>
      </w:r>
      <w:r w:rsidR="00004B8D" w:rsidRPr="000C0856">
        <w:t>0 </w:t>
      </w:r>
      <w:r w:rsidR="00273BB2" w:rsidRPr="00400144">
        <w:rPr>
          <w:highlight w:val="lightGray"/>
        </w:rPr>
        <w:t>plėvele dengtų</w:t>
      </w:r>
      <w:r w:rsidR="00273BB2" w:rsidRPr="00273BB2">
        <w:t xml:space="preserve"> </w:t>
      </w:r>
      <w:r w:rsidR="00004B8D" w:rsidRPr="000C0856">
        <w:t>tablečių</w:t>
      </w:r>
    </w:p>
    <w:p w14:paraId="1C024543" w14:textId="71F02AED" w:rsidR="00004B8D" w:rsidRPr="000C0856" w:rsidRDefault="00EE60EB" w:rsidP="000C0856">
      <w:pPr>
        <w:shd w:val="clear" w:color="auto" w:fill="A6A6A6" w:themeFill="background1" w:themeFillShade="A6"/>
        <w:jc w:val="both"/>
      </w:pPr>
      <w:r w:rsidRPr="000C0856">
        <w:t>5</w:t>
      </w:r>
      <w:r w:rsidR="00004B8D" w:rsidRPr="000C0856">
        <w:t>0 </w:t>
      </w:r>
      <w:r w:rsidR="00273BB2" w:rsidRPr="00400144">
        <w:rPr>
          <w:highlight w:val="lightGray"/>
        </w:rPr>
        <w:t>plėvele dengtų</w:t>
      </w:r>
      <w:r w:rsidR="00273BB2" w:rsidRPr="00273BB2">
        <w:t xml:space="preserve"> </w:t>
      </w:r>
      <w:r w:rsidR="00004B8D" w:rsidRPr="000C0856">
        <w:t>tablečių</w:t>
      </w:r>
    </w:p>
    <w:p w14:paraId="793E6DB2" w14:textId="61CEF22B" w:rsidR="00004B8D" w:rsidRPr="000C0856" w:rsidRDefault="00EE60EB" w:rsidP="000C0856">
      <w:pPr>
        <w:shd w:val="clear" w:color="auto" w:fill="A6A6A6" w:themeFill="background1" w:themeFillShade="A6"/>
        <w:jc w:val="both"/>
      </w:pPr>
      <w:r w:rsidRPr="000C0856">
        <w:t>6</w:t>
      </w:r>
      <w:r w:rsidR="00004B8D" w:rsidRPr="000C0856">
        <w:t>0 </w:t>
      </w:r>
      <w:r w:rsidR="00273BB2" w:rsidRPr="00400144">
        <w:rPr>
          <w:highlight w:val="lightGray"/>
        </w:rPr>
        <w:t>plėvele dengtų</w:t>
      </w:r>
      <w:r w:rsidR="00273BB2" w:rsidRPr="00273BB2">
        <w:t xml:space="preserve"> </w:t>
      </w:r>
      <w:r w:rsidR="00004B8D" w:rsidRPr="000C0856">
        <w:t>tablečių</w:t>
      </w:r>
    </w:p>
    <w:p w14:paraId="78376069" w14:textId="63123D13" w:rsidR="00004B8D" w:rsidRPr="000C0856" w:rsidRDefault="00EE60EB" w:rsidP="000C0856">
      <w:pPr>
        <w:shd w:val="clear" w:color="auto" w:fill="A6A6A6" w:themeFill="background1" w:themeFillShade="A6"/>
        <w:jc w:val="both"/>
      </w:pPr>
      <w:r w:rsidRPr="000C0856">
        <w:t>7</w:t>
      </w:r>
      <w:r w:rsidR="00004B8D" w:rsidRPr="000C0856">
        <w:t>0 </w:t>
      </w:r>
      <w:r w:rsidR="00273BB2" w:rsidRPr="00400144">
        <w:rPr>
          <w:highlight w:val="lightGray"/>
        </w:rPr>
        <w:t>plėvele dengtų</w:t>
      </w:r>
      <w:r w:rsidR="00273BB2" w:rsidRPr="00273BB2">
        <w:t xml:space="preserve"> </w:t>
      </w:r>
      <w:r w:rsidR="00004B8D" w:rsidRPr="000C0856">
        <w:t>tablečių</w:t>
      </w:r>
    </w:p>
    <w:p w14:paraId="1A2F3DB9" w14:textId="5D59015E" w:rsidR="00004B8D" w:rsidRPr="000C0856" w:rsidRDefault="00EE60EB" w:rsidP="000C0856">
      <w:pPr>
        <w:shd w:val="clear" w:color="auto" w:fill="A6A6A6" w:themeFill="background1" w:themeFillShade="A6"/>
        <w:jc w:val="both"/>
      </w:pPr>
      <w:r w:rsidRPr="000C0856">
        <w:t>8</w:t>
      </w:r>
      <w:r w:rsidR="00004B8D" w:rsidRPr="000C0856">
        <w:t>0 </w:t>
      </w:r>
      <w:r w:rsidR="00273BB2" w:rsidRPr="00400144">
        <w:rPr>
          <w:highlight w:val="lightGray"/>
        </w:rPr>
        <w:t>plėvele dengtų</w:t>
      </w:r>
      <w:r w:rsidR="00273BB2" w:rsidRPr="00273BB2">
        <w:t xml:space="preserve"> </w:t>
      </w:r>
      <w:r w:rsidR="00004B8D" w:rsidRPr="000C0856">
        <w:t>tablečių</w:t>
      </w:r>
    </w:p>
    <w:p w14:paraId="584CF676" w14:textId="3DD8EE98" w:rsidR="00EE60EB" w:rsidRPr="000C0856" w:rsidRDefault="00EE60EB" w:rsidP="000C0856">
      <w:pPr>
        <w:shd w:val="clear" w:color="auto" w:fill="A6A6A6" w:themeFill="background1" w:themeFillShade="A6"/>
        <w:jc w:val="both"/>
      </w:pPr>
      <w:r w:rsidRPr="000C0856">
        <w:t>90 </w:t>
      </w:r>
      <w:r w:rsidR="00273BB2" w:rsidRPr="00400144">
        <w:rPr>
          <w:highlight w:val="lightGray"/>
        </w:rPr>
        <w:t>plėvele dengtų</w:t>
      </w:r>
      <w:r w:rsidR="00273BB2" w:rsidRPr="00273BB2">
        <w:t xml:space="preserve"> </w:t>
      </w:r>
      <w:r w:rsidRPr="000C0856">
        <w:t>tablečių</w:t>
      </w:r>
    </w:p>
    <w:p w14:paraId="6109D82D" w14:textId="16AA9C46" w:rsidR="00EE60EB" w:rsidRPr="000C0856" w:rsidRDefault="00EE60EB" w:rsidP="000C0856">
      <w:pPr>
        <w:shd w:val="clear" w:color="auto" w:fill="A6A6A6" w:themeFill="background1" w:themeFillShade="A6"/>
        <w:jc w:val="both"/>
      </w:pPr>
      <w:r w:rsidRPr="000C0856">
        <w:t>100 </w:t>
      </w:r>
      <w:r w:rsidR="00273BB2" w:rsidRPr="00400144">
        <w:rPr>
          <w:highlight w:val="lightGray"/>
        </w:rPr>
        <w:t>plėvele dengtų</w:t>
      </w:r>
      <w:r w:rsidR="00273BB2" w:rsidRPr="00273BB2">
        <w:t xml:space="preserve"> </w:t>
      </w:r>
      <w:r w:rsidRPr="000C0856">
        <w:t>tablečių</w:t>
      </w:r>
    </w:p>
    <w:p w14:paraId="23C3CC9E" w14:textId="77777777" w:rsidR="00A44524" w:rsidRPr="000C0856" w:rsidRDefault="00A44524" w:rsidP="000C0856">
      <w:pPr>
        <w:shd w:val="clear" w:color="auto" w:fill="A6A6A6" w:themeFill="background1" w:themeFillShade="A6"/>
        <w:jc w:val="both"/>
      </w:pPr>
    </w:p>
    <w:p w14:paraId="5D50DC14" w14:textId="77777777" w:rsidR="002903D0" w:rsidRPr="00400144" w:rsidRDefault="002903D0" w:rsidP="006D2935">
      <w:pPr>
        <w:shd w:val="clear" w:color="auto" w:fill="A6A6A6" w:themeFill="background1" w:themeFillShade="A6"/>
        <w:jc w:val="both"/>
      </w:pPr>
      <w:r w:rsidRPr="00400144">
        <w:rPr>
          <w:snapToGrid w:val="0"/>
        </w:rPr>
        <w:t>[</w:t>
      </w:r>
      <w:proofErr w:type="spellStart"/>
      <w:r w:rsidRPr="00400144">
        <w:rPr>
          <w:snapToGrid w:val="0"/>
        </w:rPr>
        <w:t>D</w:t>
      </w:r>
      <w:r w:rsidRPr="00400144">
        <w:t>alomoji</w:t>
      </w:r>
      <w:proofErr w:type="spellEnd"/>
      <w:r w:rsidRPr="00400144">
        <w:rPr>
          <w:snapToGrid w:val="0"/>
        </w:rPr>
        <w:t xml:space="preserve"> lizdinė plokštelė]</w:t>
      </w:r>
    </w:p>
    <w:p w14:paraId="0F0687F6" w14:textId="70BF4745" w:rsidR="000A00F8" w:rsidRPr="000C0856" w:rsidRDefault="000A00F8" w:rsidP="000C0856">
      <w:pPr>
        <w:shd w:val="clear" w:color="auto" w:fill="A6A6A6" w:themeFill="background1" w:themeFillShade="A6"/>
        <w:jc w:val="both"/>
      </w:pPr>
      <w:r w:rsidRPr="000C0856">
        <w:t>10 x 1</w:t>
      </w:r>
      <w:r w:rsidR="00EE60EB" w:rsidRPr="000C0856">
        <w:t> </w:t>
      </w:r>
      <w:r w:rsidR="00273BB2" w:rsidRPr="00400144">
        <w:rPr>
          <w:highlight w:val="lightGray"/>
        </w:rPr>
        <w:t>plėvele dengtų</w:t>
      </w:r>
      <w:r w:rsidR="00273BB2" w:rsidRPr="00273BB2">
        <w:t xml:space="preserve"> </w:t>
      </w:r>
      <w:r w:rsidR="00EE60EB" w:rsidRPr="000C0856">
        <w:t>tablečių</w:t>
      </w:r>
    </w:p>
    <w:p w14:paraId="5B1DB184" w14:textId="1A92D72D" w:rsidR="00EE60EB" w:rsidRPr="000C0856" w:rsidRDefault="00EE60EB" w:rsidP="000C0856">
      <w:pPr>
        <w:shd w:val="clear" w:color="auto" w:fill="A6A6A6" w:themeFill="background1" w:themeFillShade="A6"/>
        <w:jc w:val="both"/>
      </w:pPr>
      <w:r w:rsidRPr="000C0856">
        <w:t>20 x 1 </w:t>
      </w:r>
      <w:r w:rsidR="00273BB2" w:rsidRPr="00400144">
        <w:rPr>
          <w:highlight w:val="lightGray"/>
        </w:rPr>
        <w:t>plėvele dengtų</w:t>
      </w:r>
      <w:r w:rsidR="00273BB2" w:rsidRPr="00273BB2">
        <w:t xml:space="preserve"> </w:t>
      </w:r>
      <w:r w:rsidRPr="000C0856">
        <w:t>tablečių</w:t>
      </w:r>
    </w:p>
    <w:p w14:paraId="563E6D02" w14:textId="5EA232D2" w:rsidR="00EE60EB" w:rsidRPr="000C0856" w:rsidRDefault="00EE60EB" w:rsidP="000C0856">
      <w:pPr>
        <w:shd w:val="clear" w:color="auto" w:fill="A6A6A6" w:themeFill="background1" w:themeFillShade="A6"/>
        <w:jc w:val="both"/>
      </w:pPr>
      <w:r w:rsidRPr="000C0856">
        <w:t>30 x 1 </w:t>
      </w:r>
      <w:r w:rsidR="00273BB2" w:rsidRPr="00400144">
        <w:rPr>
          <w:highlight w:val="lightGray"/>
        </w:rPr>
        <w:t>plėvele dengtų</w:t>
      </w:r>
      <w:r w:rsidR="00273BB2" w:rsidRPr="00273BB2">
        <w:t xml:space="preserve"> </w:t>
      </w:r>
      <w:r w:rsidRPr="000C0856">
        <w:t>tablečių</w:t>
      </w:r>
    </w:p>
    <w:p w14:paraId="038589CA" w14:textId="063F81F7" w:rsidR="00EE60EB" w:rsidRPr="000C0856" w:rsidRDefault="00EE60EB" w:rsidP="000C0856">
      <w:pPr>
        <w:shd w:val="clear" w:color="auto" w:fill="A6A6A6" w:themeFill="background1" w:themeFillShade="A6"/>
        <w:jc w:val="both"/>
      </w:pPr>
      <w:r w:rsidRPr="000C0856">
        <w:t>40 x 1 </w:t>
      </w:r>
      <w:r w:rsidR="00273BB2" w:rsidRPr="00400144">
        <w:rPr>
          <w:highlight w:val="lightGray"/>
        </w:rPr>
        <w:t>plėvele dengtų</w:t>
      </w:r>
      <w:r w:rsidR="00273BB2" w:rsidRPr="00273BB2">
        <w:t xml:space="preserve"> </w:t>
      </w:r>
      <w:r w:rsidRPr="000C0856">
        <w:t>tablečių</w:t>
      </w:r>
    </w:p>
    <w:p w14:paraId="6DB6BA26" w14:textId="1921440B" w:rsidR="00EE60EB" w:rsidRPr="000C0856" w:rsidRDefault="00EE60EB" w:rsidP="000C0856">
      <w:pPr>
        <w:shd w:val="clear" w:color="auto" w:fill="A6A6A6" w:themeFill="background1" w:themeFillShade="A6"/>
        <w:jc w:val="both"/>
      </w:pPr>
      <w:r w:rsidRPr="000C0856">
        <w:t>50 x 1 </w:t>
      </w:r>
      <w:r w:rsidR="00273BB2" w:rsidRPr="00400144">
        <w:rPr>
          <w:highlight w:val="lightGray"/>
        </w:rPr>
        <w:t>plėvele dengtų</w:t>
      </w:r>
      <w:r w:rsidR="00273BB2" w:rsidRPr="00273BB2">
        <w:t xml:space="preserve"> </w:t>
      </w:r>
      <w:r w:rsidRPr="000C0856">
        <w:t>tablečių</w:t>
      </w:r>
    </w:p>
    <w:p w14:paraId="073F0760" w14:textId="312EDF5A" w:rsidR="00EE60EB" w:rsidRPr="000C0856" w:rsidRDefault="00EE60EB" w:rsidP="000C0856">
      <w:pPr>
        <w:shd w:val="clear" w:color="auto" w:fill="A6A6A6" w:themeFill="background1" w:themeFillShade="A6"/>
        <w:jc w:val="both"/>
      </w:pPr>
      <w:r w:rsidRPr="000C0856">
        <w:t>60 x 1 </w:t>
      </w:r>
      <w:r w:rsidR="00273BB2" w:rsidRPr="00400144">
        <w:rPr>
          <w:highlight w:val="lightGray"/>
        </w:rPr>
        <w:t>plėvele dengtų</w:t>
      </w:r>
      <w:r w:rsidR="00273BB2" w:rsidRPr="00273BB2">
        <w:t xml:space="preserve"> </w:t>
      </w:r>
      <w:r w:rsidRPr="000C0856">
        <w:t>tablečių</w:t>
      </w:r>
    </w:p>
    <w:p w14:paraId="68D482C6" w14:textId="185FFD0F" w:rsidR="00EE60EB" w:rsidRPr="000C0856" w:rsidRDefault="00EE60EB" w:rsidP="000C0856">
      <w:pPr>
        <w:shd w:val="clear" w:color="auto" w:fill="A6A6A6" w:themeFill="background1" w:themeFillShade="A6"/>
        <w:jc w:val="both"/>
      </w:pPr>
      <w:r w:rsidRPr="000C0856">
        <w:t>70 x 1 </w:t>
      </w:r>
      <w:r w:rsidR="00273BB2" w:rsidRPr="00400144">
        <w:rPr>
          <w:highlight w:val="lightGray"/>
        </w:rPr>
        <w:t>plėvele dengtų</w:t>
      </w:r>
      <w:r w:rsidR="00273BB2" w:rsidRPr="00273BB2">
        <w:t xml:space="preserve"> </w:t>
      </w:r>
      <w:r w:rsidRPr="000C0856">
        <w:t>tablečių</w:t>
      </w:r>
    </w:p>
    <w:p w14:paraId="7CA9FDA7" w14:textId="4135FFFF" w:rsidR="00EE60EB" w:rsidRPr="000C0856" w:rsidRDefault="00EE60EB" w:rsidP="000C0856">
      <w:pPr>
        <w:shd w:val="clear" w:color="auto" w:fill="A6A6A6" w:themeFill="background1" w:themeFillShade="A6"/>
        <w:jc w:val="both"/>
      </w:pPr>
      <w:r w:rsidRPr="000C0856">
        <w:t>80 x 1 </w:t>
      </w:r>
      <w:r w:rsidR="00273BB2" w:rsidRPr="00400144">
        <w:rPr>
          <w:highlight w:val="lightGray"/>
        </w:rPr>
        <w:t>plėvele dengtų</w:t>
      </w:r>
      <w:r w:rsidR="00273BB2" w:rsidRPr="00273BB2">
        <w:t xml:space="preserve"> </w:t>
      </w:r>
      <w:r w:rsidRPr="000C0856">
        <w:t>tablečių</w:t>
      </w:r>
    </w:p>
    <w:p w14:paraId="42901F69" w14:textId="128A2810" w:rsidR="00EE60EB" w:rsidRPr="000C0856" w:rsidRDefault="00EE60EB" w:rsidP="000C0856">
      <w:pPr>
        <w:shd w:val="clear" w:color="auto" w:fill="A6A6A6" w:themeFill="background1" w:themeFillShade="A6"/>
        <w:jc w:val="both"/>
      </w:pPr>
      <w:r w:rsidRPr="000C0856">
        <w:t>90 x 1 </w:t>
      </w:r>
      <w:r w:rsidR="00273BB2" w:rsidRPr="00400144">
        <w:rPr>
          <w:highlight w:val="lightGray"/>
        </w:rPr>
        <w:t>plėvele dengtų</w:t>
      </w:r>
      <w:r w:rsidR="00273BB2" w:rsidRPr="00273BB2">
        <w:t xml:space="preserve"> </w:t>
      </w:r>
      <w:r w:rsidRPr="000C0856">
        <w:t>tablečių</w:t>
      </w:r>
    </w:p>
    <w:p w14:paraId="7C11C07C" w14:textId="150B82C9" w:rsidR="00EE60EB" w:rsidRPr="00A14E24" w:rsidRDefault="00EE60EB" w:rsidP="000C0856">
      <w:pPr>
        <w:shd w:val="clear" w:color="auto" w:fill="A6A6A6" w:themeFill="background1" w:themeFillShade="A6"/>
        <w:jc w:val="both"/>
      </w:pPr>
      <w:r w:rsidRPr="000C0856">
        <w:t>100 x 1 </w:t>
      </w:r>
      <w:r w:rsidR="00273BB2" w:rsidRPr="00400144">
        <w:rPr>
          <w:highlight w:val="lightGray"/>
        </w:rPr>
        <w:t>plėvele dengtų</w:t>
      </w:r>
      <w:r w:rsidR="00273BB2" w:rsidRPr="00273BB2">
        <w:t xml:space="preserve"> </w:t>
      </w:r>
      <w:r w:rsidRPr="000C0856">
        <w:t>tablečių</w:t>
      </w:r>
    </w:p>
    <w:p w14:paraId="16A85102" w14:textId="77777777" w:rsidR="002A6840" w:rsidRPr="00596EA1" w:rsidRDefault="002A6840" w:rsidP="006D2935">
      <w:pPr>
        <w:pStyle w:val="BTEMEASMCA"/>
      </w:pPr>
    </w:p>
    <w:p w14:paraId="523872F9" w14:textId="77777777" w:rsidR="002A6840" w:rsidRPr="00A14E24" w:rsidRDefault="002A6840" w:rsidP="006D2935">
      <w:pPr>
        <w:pStyle w:val="BTEMEASMCA"/>
      </w:pPr>
    </w:p>
    <w:p w14:paraId="5A9F8B9A" w14:textId="77777777" w:rsidR="002A6840" w:rsidRPr="00DF051F" w:rsidRDefault="002A6840" w:rsidP="00A14E24">
      <w:pPr>
        <w:pStyle w:val="PI-1labEMEASMCA"/>
        <w:rPr>
          <w:sz w:val="22"/>
          <w:szCs w:val="22"/>
          <w:highlight w:val="lightGray"/>
          <w:lang w:val="lt-LT"/>
        </w:rPr>
      </w:pPr>
      <w:r w:rsidRPr="00DF051F">
        <w:rPr>
          <w:sz w:val="22"/>
          <w:szCs w:val="22"/>
          <w:lang w:val="lt-LT"/>
        </w:rPr>
        <w:t>5.</w:t>
      </w:r>
      <w:r w:rsidRPr="00DF051F">
        <w:rPr>
          <w:sz w:val="22"/>
          <w:szCs w:val="22"/>
          <w:lang w:val="lt-LT"/>
        </w:rPr>
        <w:tab/>
        <w:t>VARTOJIMO METODAS IR BŪDAS (-AI)</w:t>
      </w:r>
    </w:p>
    <w:p w14:paraId="35BB8849" w14:textId="77777777" w:rsidR="002A6840" w:rsidRPr="00A14E24" w:rsidRDefault="002A6840" w:rsidP="006D2935">
      <w:pPr>
        <w:pStyle w:val="BTEMEASMCA"/>
      </w:pPr>
    </w:p>
    <w:p w14:paraId="76681D3A" w14:textId="77777777" w:rsidR="002A6840" w:rsidRPr="00A14E24" w:rsidRDefault="002A6840" w:rsidP="006D2935">
      <w:pPr>
        <w:pStyle w:val="BTEMEASMCA"/>
      </w:pPr>
      <w:r w:rsidRPr="00A14E24">
        <w:t>Vartoti per burną.</w:t>
      </w:r>
    </w:p>
    <w:p w14:paraId="13362991" w14:textId="77777777" w:rsidR="002A6840" w:rsidRPr="00A14E24" w:rsidRDefault="002A6840" w:rsidP="006D2935">
      <w:pPr>
        <w:pStyle w:val="BTEMEASMCA"/>
      </w:pPr>
      <w:r w:rsidRPr="00A14E24">
        <w:t>Prieš vartojimą perskaitykite pakuotės lapelį.</w:t>
      </w:r>
    </w:p>
    <w:p w14:paraId="1FE55DF2" w14:textId="77777777" w:rsidR="002A6840" w:rsidRPr="00A14E24" w:rsidRDefault="002A6840" w:rsidP="006D2935">
      <w:pPr>
        <w:pStyle w:val="BTEMEASMCA"/>
      </w:pPr>
    </w:p>
    <w:p w14:paraId="3D51BE38" w14:textId="77777777" w:rsidR="002A6840" w:rsidRPr="00A14E24" w:rsidRDefault="002A6840" w:rsidP="006D2935">
      <w:pPr>
        <w:pStyle w:val="BTEMEASMCA"/>
      </w:pPr>
    </w:p>
    <w:p w14:paraId="03FB31C1" w14:textId="77777777" w:rsidR="002A6840" w:rsidRPr="002C4659" w:rsidRDefault="002A6840" w:rsidP="00A14E24">
      <w:pPr>
        <w:pStyle w:val="PI-1labEMEASMCA"/>
        <w:rPr>
          <w:sz w:val="22"/>
          <w:szCs w:val="22"/>
          <w:lang w:val="lt-LT"/>
        </w:rPr>
      </w:pPr>
      <w:r w:rsidRPr="002C4659">
        <w:rPr>
          <w:sz w:val="22"/>
          <w:szCs w:val="22"/>
          <w:lang w:val="lt-LT"/>
        </w:rPr>
        <w:lastRenderedPageBreak/>
        <w:t>6.</w:t>
      </w:r>
      <w:r w:rsidRPr="002C4659">
        <w:rPr>
          <w:sz w:val="22"/>
          <w:szCs w:val="22"/>
          <w:lang w:val="lt-LT"/>
        </w:rPr>
        <w:tab/>
        <w:t>SPECIALUS ĮSPĖJIMAS, KAD VAISTINĮ PREPARATĄ BŪTINA LAIKYTI VAIKAMS NEPASTEBIMOJE IR NEPASIEKIAMOJE VIETOJE</w:t>
      </w:r>
    </w:p>
    <w:p w14:paraId="56B0708F" w14:textId="77777777" w:rsidR="002A6840" w:rsidRPr="00A14E24" w:rsidRDefault="002A6840" w:rsidP="00D15E78">
      <w:pPr>
        <w:pStyle w:val="BTEMEASMCA"/>
      </w:pPr>
    </w:p>
    <w:p w14:paraId="49DB07AC" w14:textId="77777777" w:rsidR="002A6840" w:rsidRPr="00A14E24" w:rsidRDefault="002A6840" w:rsidP="00D15E78">
      <w:pPr>
        <w:pStyle w:val="BTEMEASMCA"/>
      </w:pPr>
      <w:r w:rsidRPr="00A14E24">
        <w:t>Laikyti vaikams nepastebimoje ir nepasiekiamoje vietoje.</w:t>
      </w:r>
    </w:p>
    <w:p w14:paraId="72C236A3" w14:textId="77777777" w:rsidR="002A6840" w:rsidRPr="00A14E24" w:rsidRDefault="002A6840" w:rsidP="006D2935">
      <w:pPr>
        <w:pStyle w:val="BTEMEASMCA"/>
      </w:pPr>
    </w:p>
    <w:p w14:paraId="1FB6ED4C" w14:textId="77777777" w:rsidR="002A6840" w:rsidRPr="00A14E24" w:rsidRDefault="002A6840" w:rsidP="006D2935">
      <w:pPr>
        <w:pStyle w:val="BTEMEASMCA"/>
      </w:pPr>
    </w:p>
    <w:p w14:paraId="47BA4D9B" w14:textId="77777777" w:rsidR="002A6840" w:rsidRPr="00516DB9" w:rsidRDefault="002A6840" w:rsidP="00A14E24">
      <w:pPr>
        <w:pStyle w:val="PI-1labEMEASMCA"/>
        <w:rPr>
          <w:sz w:val="22"/>
          <w:highlight w:val="lightGray"/>
          <w:lang w:val="lt-LT"/>
        </w:rPr>
      </w:pPr>
      <w:r w:rsidRPr="00516DB9">
        <w:rPr>
          <w:sz w:val="22"/>
          <w:lang w:val="lt-LT"/>
        </w:rPr>
        <w:t>7.</w:t>
      </w:r>
      <w:r w:rsidRPr="00516DB9">
        <w:rPr>
          <w:sz w:val="22"/>
          <w:lang w:val="lt-LT"/>
        </w:rPr>
        <w:tab/>
        <w:t>KITAS (-I) SPECIALUS (-ŪS) ĮSPĖJIMAS (-AI) (JEI REIKIA)</w:t>
      </w:r>
    </w:p>
    <w:p w14:paraId="51401AB5" w14:textId="77777777" w:rsidR="002A6840" w:rsidRPr="00A14E24" w:rsidRDefault="002A6840" w:rsidP="006D2935">
      <w:pPr>
        <w:pStyle w:val="BTEMEASMCA"/>
      </w:pPr>
    </w:p>
    <w:p w14:paraId="234D8512" w14:textId="77777777" w:rsidR="002A6840" w:rsidRPr="00A14E24" w:rsidRDefault="002A6840" w:rsidP="006D2935">
      <w:pPr>
        <w:pStyle w:val="BTEMEASMCA"/>
      </w:pPr>
    </w:p>
    <w:p w14:paraId="6FF6CBEB" w14:textId="77777777" w:rsidR="002A6840" w:rsidRPr="002C4659" w:rsidRDefault="002A6840" w:rsidP="00A14E24">
      <w:pPr>
        <w:pStyle w:val="PI-1labEMEASMCA"/>
        <w:rPr>
          <w:sz w:val="22"/>
          <w:szCs w:val="22"/>
          <w:highlight w:val="lightGray"/>
          <w:lang w:val="lt-LT"/>
        </w:rPr>
      </w:pPr>
      <w:r w:rsidRPr="002C4659">
        <w:rPr>
          <w:sz w:val="22"/>
          <w:szCs w:val="22"/>
          <w:lang w:val="lt-LT"/>
        </w:rPr>
        <w:t>8.</w:t>
      </w:r>
      <w:r w:rsidRPr="002C4659">
        <w:rPr>
          <w:sz w:val="22"/>
          <w:szCs w:val="22"/>
          <w:lang w:val="lt-LT"/>
        </w:rPr>
        <w:tab/>
        <w:t>TINKAMUMO LAIKAS</w:t>
      </w:r>
    </w:p>
    <w:p w14:paraId="69F9E20A" w14:textId="77777777" w:rsidR="002A6840" w:rsidRPr="00A14E24" w:rsidRDefault="002A6840" w:rsidP="006D2935">
      <w:pPr>
        <w:pStyle w:val="BTEMEASMCA"/>
      </w:pPr>
    </w:p>
    <w:p w14:paraId="32619A96" w14:textId="3C7DB9E0" w:rsidR="002A6840" w:rsidRPr="00A14E24" w:rsidRDefault="002A6840" w:rsidP="006D2935">
      <w:pPr>
        <w:pStyle w:val="BTEMEASMCA"/>
      </w:pPr>
      <w:r w:rsidRPr="00A14E24">
        <w:t xml:space="preserve">EXP </w:t>
      </w:r>
      <w:r w:rsidRPr="00596EA1">
        <w:rPr>
          <w:highlight w:val="lightGray"/>
        </w:rPr>
        <w:t>{mm/MMMM}</w:t>
      </w:r>
    </w:p>
    <w:p w14:paraId="6574371E" w14:textId="77777777" w:rsidR="002A6840" w:rsidRPr="00A14E24" w:rsidRDefault="002A6840" w:rsidP="006D2935">
      <w:pPr>
        <w:pStyle w:val="BTEMEASMCA"/>
      </w:pPr>
    </w:p>
    <w:p w14:paraId="367376CE" w14:textId="77777777" w:rsidR="002A6840" w:rsidRPr="00A14E24" w:rsidRDefault="002A6840" w:rsidP="006D2935">
      <w:pPr>
        <w:pStyle w:val="BTEMEASMCA"/>
      </w:pPr>
    </w:p>
    <w:p w14:paraId="06A18ED0" w14:textId="77777777" w:rsidR="002A6840" w:rsidRPr="002C4659" w:rsidRDefault="002A6840" w:rsidP="00A14E24">
      <w:pPr>
        <w:pStyle w:val="PI-1labEMEASMCA"/>
        <w:rPr>
          <w:sz w:val="22"/>
          <w:szCs w:val="22"/>
          <w:lang w:val="lt-LT"/>
        </w:rPr>
      </w:pPr>
      <w:r w:rsidRPr="002C4659">
        <w:rPr>
          <w:sz w:val="22"/>
          <w:szCs w:val="22"/>
          <w:lang w:val="lt-LT"/>
        </w:rPr>
        <w:t>9.</w:t>
      </w:r>
      <w:r w:rsidRPr="002C4659">
        <w:rPr>
          <w:sz w:val="22"/>
          <w:szCs w:val="22"/>
          <w:lang w:val="lt-LT"/>
        </w:rPr>
        <w:tab/>
        <w:t>SPECIALIOS LAIKYMO SĄLYGOS</w:t>
      </w:r>
    </w:p>
    <w:p w14:paraId="50400DFD" w14:textId="77777777" w:rsidR="002A6840" w:rsidRDefault="002A6840" w:rsidP="006D2935">
      <w:pPr>
        <w:pStyle w:val="BTEMEASMCA"/>
      </w:pPr>
    </w:p>
    <w:p w14:paraId="11F41CE7" w14:textId="77777777" w:rsidR="00C2392C" w:rsidRPr="00A14E24" w:rsidRDefault="00C2392C" w:rsidP="006D2935">
      <w:pPr>
        <w:pStyle w:val="BTEMEASMCA"/>
      </w:pPr>
    </w:p>
    <w:p w14:paraId="44657EEC" w14:textId="77777777" w:rsidR="002A6840" w:rsidRPr="002C4659" w:rsidRDefault="002A6840" w:rsidP="00A14E24">
      <w:pPr>
        <w:pStyle w:val="PI-1labEMEASMCA"/>
        <w:rPr>
          <w:sz w:val="22"/>
          <w:szCs w:val="22"/>
          <w:lang w:val="lt-LT"/>
        </w:rPr>
      </w:pPr>
      <w:r w:rsidRPr="002C4659">
        <w:rPr>
          <w:sz w:val="22"/>
          <w:szCs w:val="22"/>
          <w:lang w:val="lt-LT"/>
        </w:rPr>
        <w:t>10.</w:t>
      </w:r>
      <w:r w:rsidRPr="002C4659">
        <w:rPr>
          <w:sz w:val="22"/>
          <w:szCs w:val="22"/>
          <w:lang w:val="lt-LT"/>
        </w:rPr>
        <w:tab/>
        <w:t>SPECIALIOS ATSARGUMO PRIEMONĖS DĖL NESUVARTOTO VAISTINIO PREPARATO AR JO ATLIEKŲ TVARKYMO (JEI REIKIA)</w:t>
      </w:r>
    </w:p>
    <w:p w14:paraId="04C2FFAD" w14:textId="77777777" w:rsidR="002A6840" w:rsidRPr="00A14E24" w:rsidRDefault="002A6840" w:rsidP="006D2935">
      <w:pPr>
        <w:pStyle w:val="BTEMEASMCA"/>
      </w:pPr>
    </w:p>
    <w:p w14:paraId="47D73E74" w14:textId="77777777" w:rsidR="002A6840" w:rsidRPr="00A14E24" w:rsidRDefault="002A6840" w:rsidP="006D2935">
      <w:pPr>
        <w:pStyle w:val="BTEMEASMCA"/>
      </w:pPr>
    </w:p>
    <w:p w14:paraId="2783C13B" w14:textId="77777777" w:rsidR="002A6840" w:rsidRPr="00D332C9" w:rsidRDefault="002A6840" w:rsidP="00A14E24">
      <w:pPr>
        <w:pStyle w:val="PI-1labEMEASMCA"/>
        <w:rPr>
          <w:sz w:val="22"/>
          <w:szCs w:val="22"/>
          <w:lang w:val="de-DE"/>
        </w:rPr>
      </w:pPr>
      <w:r w:rsidRPr="00D332C9">
        <w:rPr>
          <w:sz w:val="22"/>
          <w:szCs w:val="22"/>
          <w:lang w:val="de-DE"/>
        </w:rPr>
        <w:t>11.</w:t>
      </w:r>
      <w:r w:rsidRPr="00D332C9">
        <w:rPr>
          <w:sz w:val="22"/>
          <w:szCs w:val="22"/>
          <w:lang w:val="de-DE"/>
        </w:rPr>
        <w:tab/>
        <w:t>REGISTRUOTOJO PAVADINIMAS IR ADRESAS</w:t>
      </w:r>
    </w:p>
    <w:p w14:paraId="0498CD27" w14:textId="77777777" w:rsidR="002A6840" w:rsidRPr="00A14E24" w:rsidRDefault="002A6840" w:rsidP="002A6840">
      <w:pPr>
        <w:pStyle w:val="berschrift"/>
        <w:tabs>
          <w:tab w:val="clear" w:pos="420"/>
          <w:tab w:val="left" w:pos="567"/>
        </w:tabs>
        <w:ind w:right="-552"/>
        <w:rPr>
          <w:rFonts w:ascii="Times New Roman" w:hAnsi="Times New Roman" w:cs="Times New Roman"/>
          <w:b w:val="0"/>
          <w:bCs w:val="0"/>
          <w:color w:val="auto"/>
          <w:sz w:val="22"/>
          <w:szCs w:val="22"/>
          <w:lang w:val="lt-LT"/>
        </w:rPr>
      </w:pPr>
    </w:p>
    <w:p w14:paraId="6DB29E40" w14:textId="77777777" w:rsidR="00596EA1" w:rsidRPr="00A14E24" w:rsidRDefault="00596EA1" w:rsidP="00596EA1">
      <w:r w:rsidRPr="00A14E24">
        <w:t xml:space="preserve">STADA </w:t>
      </w:r>
      <w:proofErr w:type="spellStart"/>
      <w:r w:rsidRPr="00A14E24">
        <w:t>Arzneimittel</w:t>
      </w:r>
      <w:proofErr w:type="spellEnd"/>
      <w:r w:rsidRPr="00A14E24">
        <w:t xml:space="preserve"> AG</w:t>
      </w:r>
    </w:p>
    <w:p w14:paraId="786DFA01" w14:textId="77777777" w:rsidR="00596EA1" w:rsidRPr="00A14E24" w:rsidRDefault="00596EA1" w:rsidP="00596EA1">
      <w:proofErr w:type="spellStart"/>
      <w:r w:rsidRPr="00A14E24">
        <w:t>Stadastrasse</w:t>
      </w:r>
      <w:proofErr w:type="spellEnd"/>
      <w:r w:rsidRPr="00A14E24">
        <w:t xml:space="preserve"> 2-18</w:t>
      </w:r>
    </w:p>
    <w:p w14:paraId="2E1CE2D6" w14:textId="77777777" w:rsidR="00596EA1" w:rsidRPr="00A14E24" w:rsidRDefault="00596EA1" w:rsidP="00596EA1">
      <w:r w:rsidRPr="00A14E24">
        <w:t xml:space="preserve">61118 </w:t>
      </w:r>
      <w:proofErr w:type="spellStart"/>
      <w:r w:rsidRPr="00A14E24">
        <w:t>Bad</w:t>
      </w:r>
      <w:proofErr w:type="spellEnd"/>
      <w:r w:rsidRPr="00A14E24">
        <w:t xml:space="preserve"> </w:t>
      </w:r>
      <w:proofErr w:type="spellStart"/>
      <w:r w:rsidRPr="00A14E24">
        <w:t>Vilbel</w:t>
      </w:r>
      <w:proofErr w:type="spellEnd"/>
    </w:p>
    <w:p w14:paraId="253709EE" w14:textId="77777777" w:rsidR="00596EA1" w:rsidRPr="00A14E24" w:rsidRDefault="00596EA1" w:rsidP="00596EA1">
      <w:r w:rsidRPr="00A14E24">
        <w:t>Vokietija</w:t>
      </w:r>
    </w:p>
    <w:p w14:paraId="746C010D" w14:textId="77777777" w:rsidR="002A6840" w:rsidRPr="00A14E24" w:rsidRDefault="002A6840" w:rsidP="006D2935">
      <w:pPr>
        <w:pStyle w:val="BTEMEASMCA"/>
      </w:pPr>
    </w:p>
    <w:p w14:paraId="6E713BFE" w14:textId="77777777" w:rsidR="002A6840" w:rsidRPr="00A14E24" w:rsidRDefault="002A6840" w:rsidP="006D2935">
      <w:pPr>
        <w:pStyle w:val="BTEMEASMCA"/>
      </w:pPr>
    </w:p>
    <w:p w14:paraId="09176B40" w14:textId="436A2C48" w:rsidR="002A6840" w:rsidRPr="00516DB9" w:rsidRDefault="002A6840" w:rsidP="00A14E24">
      <w:pPr>
        <w:pStyle w:val="PI-1labEMEASMCA"/>
        <w:rPr>
          <w:sz w:val="22"/>
          <w:lang w:val="sv-SE"/>
        </w:rPr>
      </w:pPr>
      <w:r w:rsidRPr="00516DB9">
        <w:rPr>
          <w:sz w:val="22"/>
          <w:lang w:val="sv-SE"/>
        </w:rPr>
        <w:t>12.</w:t>
      </w:r>
      <w:r w:rsidRPr="00516DB9">
        <w:rPr>
          <w:sz w:val="22"/>
          <w:lang w:val="sv-SE"/>
        </w:rPr>
        <w:tab/>
        <w:t>REGISTRACIJOS PAŽYMĖJIMO NUMERIS</w:t>
      </w:r>
      <w:r w:rsidR="00212E3C" w:rsidRPr="00516DB9">
        <w:rPr>
          <w:sz w:val="22"/>
          <w:lang w:val="sv-SE"/>
        </w:rPr>
        <w:t xml:space="preserve"> (-IAI)</w:t>
      </w:r>
    </w:p>
    <w:p w14:paraId="627A1FFC" w14:textId="77777777" w:rsidR="002A6840" w:rsidRPr="00A14E24" w:rsidRDefault="002A6840" w:rsidP="006D2935">
      <w:pPr>
        <w:pStyle w:val="BTEMEASMCA"/>
      </w:pPr>
    </w:p>
    <w:p w14:paraId="2B49E7A4" w14:textId="77777777" w:rsidR="00696496" w:rsidRDefault="00696496" w:rsidP="00696496">
      <w:pPr>
        <w:pStyle w:val="BTEMEASMCA"/>
      </w:pPr>
      <w:r w:rsidRPr="00696496">
        <w:rPr>
          <w:highlight w:val="lightGray"/>
          <w:u w:val="single"/>
        </w:rPr>
        <w:t>lizdinė plokštelė</w:t>
      </w:r>
      <w:r>
        <w:t>:</w:t>
      </w:r>
    </w:p>
    <w:p w14:paraId="4D48417D" w14:textId="77777777" w:rsidR="00696496" w:rsidRPr="00696496" w:rsidRDefault="00696496" w:rsidP="00696496">
      <w:pPr>
        <w:pStyle w:val="BTEMEASMCA"/>
        <w:rPr>
          <w:highlight w:val="lightGray"/>
        </w:rPr>
      </w:pPr>
      <w:r>
        <w:t xml:space="preserve">LT/1/25/5937/001 </w:t>
      </w:r>
      <w:r w:rsidRPr="00696496">
        <w:rPr>
          <w:highlight w:val="lightGray"/>
        </w:rPr>
        <w:t>– N10</w:t>
      </w:r>
    </w:p>
    <w:p w14:paraId="68053A1D" w14:textId="77777777" w:rsidR="00696496" w:rsidRPr="00696496" w:rsidRDefault="00696496" w:rsidP="00696496">
      <w:pPr>
        <w:pStyle w:val="BTEMEASMCA"/>
        <w:rPr>
          <w:highlight w:val="lightGray"/>
        </w:rPr>
      </w:pPr>
      <w:r w:rsidRPr="00696496">
        <w:rPr>
          <w:highlight w:val="lightGray"/>
        </w:rPr>
        <w:t>LT/1/25/5937/002 – N20</w:t>
      </w:r>
    </w:p>
    <w:p w14:paraId="2B936558" w14:textId="77777777" w:rsidR="00696496" w:rsidRPr="00696496" w:rsidRDefault="00696496" w:rsidP="00696496">
      <w:pPr>
        <w:pStyle w:val="BTEMEASMCA"/>
        <w:rPr>
          <w:highlight w:val="lightGray"/>
        </w:rPr>
      </w:pPr>
      <w:r w:rsidRPr="00696496">
        <w:rPr>
          <w:highlight w:val="lightGray"/>
        </w:rPr>
        <w:t>LT/1/25/5937/003 – N30</w:t>
      </w:r>
    </w:p>
    <w:p w14:paraId="50A3AFA5" w14:textId="77777777" w:rsidR="00696496" w:rsidRPr="00696496" w:rsidRDefault="00696496" w:rsidP="00696496">
      <w:pPr>
        <w:pStyle w:val="BTEMEASMCA"/>
        <w:rPr>
          <w:highlight w:val="lightGray"/>
        </w:rPr>
      </w:pPr>
      <w:r w:rsidRPr="00696496">
        <w:rPr>
          <w:highlight w:val="lightGray"/>
        </w:rPr>
        <w:t>LT/1/25/5937/004 – N40</w:t>
      </w:r>
    </w:p>
    <w:p w14:paraId="32961C24" w14:textId="77777777" w:rsidR="00696496" w:rsidRPr="00696496" w:rsidRDefault="00696496" w:rsidP="00696496">
      <w:pPr>
        <w:pStyle w:val="BTEMEASMCA"/>
        <w:rPr>
          <w:highlight w:val="lightGray"/>
        </w:rPr>
      </w:pPr>
      <w:r w:rsidRPr="00696496">
        <w:rPr>
          <w:highlight w:val="lightGray"/>
        </w:rPr>
        <w:t>LT/1/25/5937/005 – N50</w:t>
      </w:r>
    </w:p>
    <w:p w14:paraId="43C26AB1" w14:textId="77777777" w:rsidR="00696496" w:rsidRPr="00696496" w:rsidRDefault="00696496" w:rsidP="00696496">
      <w:pPr>
        <w:pStyle w:val="BTEMEASMCA"/>
        <w:rPr>
          <w:highlight w:val="lightGray"/>
        </w:rPr>
      </w:pPr>
      <w:r w:rsidRPr="00696496">
        <w:rPr>
          <w:highlight w:val="lightGray"/>
        </w:rPr>
        <w:t>LT/1/25/5937/006 – N60</w:t>
      </w:r>
    </w:p>
    <w:p w14:paraId="1483EB6F" w14:textId="77777777" w:rsidR="00696496" w:rsidRPr="00696496" w:rsidRDefault="00696496" w:rsidP="00696496">
      <w:pPr>
        <w:pStyle w:val="BTEMEASMCA"/>
        <w:rPr>
          <w:highlight w:val="lightGray"/>
        </w:rPr>
      </w:pPr>
      <w:r w:rsidRPr="00696496">
        <w:rPr>
          <w:highlight w:val="lightGray"/>
        </w:rPr>
        <w:t>LT/1/25/5937/007 – N70</w:t>
      </w:r>
    </w:p>
    <w:p w14:paraId="23EBC0B7" w14:textId="77777777" w:rsidR="00696496" w:rsidRPr="00696496" w:rsidRDefault="00696496" w:rsidP="00696496">
      <w:pPr>
        <w:pStyle w:val="BTEMEASMCA"/>
        <w:rPr>
          <w:highlight w:val="lightGray"/>
        </w:rPr>
      </w:pPr>
      <w:r w:rsidRPr="00696496">
        <w:rPr>
          <w:highlight w:val="lightGray"/>
        </w:rPr>
        <w:t>LT/1/25/5937/008 – N80</w:t>
      </w:r>
    </w:p>
    <w:p w14:paraId="264CF995" w14:textId="77777777" w:rsidR="00696496" w:rsidRPr="00696496" w:rsidRDefault="00696496" w:rsidP="00696496">
      <w:pPr>
        <w:pStyle w:val="BTEMEASMCA"/>
        <w:rPr>
          <w:highlight w:val="lightGray"/>
        </w:rPr>
      </w:pPr>
      <w:r w:rsidRPr="00696496">
        <w:rPr>
          <w:highlight w:val="lightGray"/>
        </w:rPr>
        <w:t>LT/1/25/5937/009 – N90</w:t>
      </w:r>
    </w:p>
    <w:p w14:paraId="62DB127F" w14:textId="77777777" w:rsidR="00696496" w:rsidRPr="00696496" w:rsidRDefault="00696496" w:rsidP="00696496">
      <w:pPr>
        <w:pStyle w:val="BTEMEASMCA"/>
        <w:rPr>
          <w:highlight w:val="lightGray"/>
        </w:rPr>
      </w:pPr>
      <w:r w:rsidRPr="00696496">
        <w:rPr>
          <w:highlight w:val="lightGray"/>
        </w:rPr>
        <w:t>LT/1/25/5937/010 – N100</w:t>
      </w:r>
    </w:p>
    <w:p w14:paraId="720F9F72" w14:textId="09618348" w:rsidR="00696496" w:rsidRPr="00696496" w:rsidRDefault="00696496" w:rsidP="00696496">
      <w:pPr>
        <w:pStyle w:val="BTEMEASMCA"/>
        <w:rPr>
          <w:highlight w:val="lightGray"/>
        </w:rPr>
      </w:pPr>
      <w:proofErr w:type="spellStart"/>
      <w:r w:rsidRPr="00696496">
        <w:rPr>
          <w:highlight w:val="lightGray"/>
          <w:u w:val="single"/>
        </w:rPr>
        <w:t>dalomoji</w:t>
      </w:r>
      <w:proofErr w:type="spellEnd"/>
      <w:r w:rsidRPr="00696496">
        <w:rPr>
          <w:highlight w:val="lightGray"/>
          <w:u w:val="single"/>
        </w:rPr>
        <w:t xml:space="preserve"> lizdinė plokštelė</w:t>
      </w:r>
      <w:r w:rsidRPr="00696496">
        <w:rPr>
          <w:highlight w:val="lightGray"/>
        </w:rPr>
        <w:t>:</w:t>
      </w:r>
    </w:p>
    <w:p w14:paraId="5C64BBD8" w14:textId="77777777" w:rsidR="00696496" w:rsidRPr="00696496" w:rsidRDefault="00696496" w:rsidP="00696496">
      <w:pPr>
        <w:pStyle w:val="BTEMEASMCA"/>
        <w:rPr>
          <w:highlight w:val="lightGray"/>
        </w:rPr>
      </w:pPr>
      <w:r w:rsidRPr="00696496">
        <w:rPr>
          <w:highlight w:val="lightGray"/>
        </w:rPr>
        <w:t>LT/1/25/5937/011 – N10x1</w:t>
      </w:r>
    </w:p>
    <w:p w14:paraId="1F8728CF" w14:textId="77777777" w:rsidR="00696496" w:rsidRPr="00696496" w:rsidRDefault="00696496" w:rsidP="00696496">
      <w:pPr>
        <w:pStyle w:val="BTEMEASMCA"/>
        <w:rPr>
          <w:highlight w:val="lightGray"/>
        </w:rPr>
      </w:pPr>
      <w:r w:rsidRPr="00696496">
        <w:rPr>
          <w:highlight w:val="lightGray"/>
        </w:rPr>
        <w:t>LT/1/25/5937/012 – N20x1</w:t>
      </w:r>
    </w:p>
    <w:p w14:paraId="1F3550C9" w14:textId="77777777" w:rsidR="00696496" w:rsidRPr="00696496" w:rsidRDefault="00696496" w:rsidP="00696496">
      <w:pPr>
        <w:pStyle w:val="BTEMEASMCA"/>
        <w:rPr>
          <w:highlight w:val="lightGray"/>
        </w:rPr>
      </w:pPr>
      <w:r w:rsidRPr="00696496">
        <w:rPr>
          <w:highlight w:val="lightGray"/>
        </w:rPr>
        <w:t>LT/1/25/5937/013 – N30x1</w:t>
      </w:r>
    </w:p>
    <w:p w14:paraId="5B6902B7" w14:textId="77777777" w:rsidR="00696496" w:rsidRPr="00696496" w:rsidRDefault="00696496" w:rsidP="00696496">
      <w:pPr>
        <w:pStyle w:val="BTEMEASMCA"/>
        <w:rPr>
          <w:highlight w:val="lightGray"/>
        </w:rPr>
      </w:pPr>
      <w:r w:rsidRPr="00696496">
        <w:rPr>
          <w:highlight w:val="lightGray"/>
        </w:rPr>
        <w:t>LT/1/25/5937/014 – N40x1</w:t>
      </w:r>
    </w:p>
    <w:p w14:paraId="6699FC32" w14:textId="77777777" w:rsidR="00696496" w:rsidRPr="00696496" w:rsidRDefault="00696496" w:rsidP="00696496">
      <w:pPr>
        <w:pStyle w:val="BTEMEASMCA"/>
        <w:rPr>
          <w:highlight w:val="lightGray"/>
        </w:rPr>
      </w:pPr>
      <w:r w:rsidRPr="00696496">
        <w:rPr>
          <w:highlight w:val="lightGray"/>
        </w:rPr>
        <w:t>LT/1/25/5937/015 – N50x1</w:t>
      </w:r>
    </w:p>
    <w:p w14:paraId="3C6D0293" w14:textId="77777777" w:rsidR="00696496" w:rsidRPr="00696496" w:rsidRDefault="00696496" w:rsidP="00696496">
      <w:pPr>
        <w:pStyle w:val="BTEMEASMCA"/>
        <w:rPr>
          <w:highlight w:val="lightGray"/>
        </w:rPr>
      </w:pPr>
      <w:r w:rsidRPr="00696496">
        <w:rPr>
          <w:highlight w:val="lightGray"/>
        </w:rPr>
        <w:t>LT/1/25/5937/016 – N60x1</w:t>
      </w:r>
    </w:p>
    <w:p w14:paraId="3D089745" w14:textId="77777777" w:rsidR="00696496" w:rsidRPr="00696496" w:rsidRDefault="00696496" w:rsidP="00696496">
      <w:pPr>
        <w:pStyle w:val="BTEMEASMCA"/>
        <w:rPr>
          <w:highlight w:val="lightGray"/>
        </w:rPr>
      </w:pPr>
      <w:r w:rsidRPr="00696496">
        <w:rPr>
          <w:highlight w:val="lightGray"/>
        </w:rPr>
        <w:t>LT/1/25/5937/017 – N70x1</w:t>
      </w:r>
    </w:p>
    <w:p w14:paraId="0DA0120E" w14:textId="77777777" w:rsidR="00696496" w:rsidRPr="00696496" w:rsidRDefault="00696496" w:rsidP="00696496">
      <w:pPr>
        <w:pStyle w:val="BTEMEASMCA"/>
        <w:rPr>
          <w:highlight w:val="lightGray"/>
        </w:rPr>
      </w:pPr>
      <w:r w:rsidRPr="00696496">
        <w:rPr>
          <w:highlight w:val="lightGray"/>
        </w:rPr>
        <w:t>LT/1/25/5937/018 – N80x1</w:t>
      </w:r>
    </w:p>
    <w:p w14:paraId="50E14A59" w14:textId="77777777" w:rsidR="00696496" w:rsidRPr="00696496" w:rsidRDefault="00696496" w:rsidP="00696496">
      <w:pPr>
        <w:pStyle w:val="BTEMEASMCA"/>
        <w:rPr>
          <w:highlight w:val="lightGray"/>
        </w:rPr>
      </w:pPr>
      <w:r w:rsidRPr="00696496">
        <w:rPr>
          <w:highlight w:val="lightGray"/>
        </w:rPr>
        <w:t>LT/1/25/5937/019 – N90x1</w:t>
      </w:r>
    </w:p>
    <w:p w14:paraId="1509ACAA" w14:textId="6DEE1910" w:rsidR="002A6840" w:rsidRDefault="00696496" w:rsidP="00696496">
      <w:pPr>
        <w:pStyle w:val="BTEMEASMCA"/>
      </w:pPr>
      <w:r w:rsidRPr="00696496">
        <w:rPr>
          <w:highlight w:val="lightGray"/>
        </w:rPr>
        <w:t>LT/1/25/5937/020 – N100x1</w:t>
      </w:r>
    </w:p>
    <w:p w14:paraId="754D5B82" w14:textId="77777777" w:rsidR="00696496" w:rsidRPr="00A14E24" w:rsidRDefault="00696496" w:rsidP="00696496">
      <w:pPr>
        <w:pStyle w:val="BTEMEASMCA"/>
      </w:pPr>
    </w:p>
    <w:p w14:paraId="2F31A3C4" w14:textId="77777777" w:rsidR="002A6840" w:rsidRPr="00A14E24" w:rsidRDefault="002A6840" w:rsidP="006D2935">
      <w:pPr>
        <w:pStyle w:val="BTEMEASMCA"/>
      </w:pPr>
    </w:p>
    <w:p w14:paraId="1E645DE9" w14:textId="77777777" w:rsidR="002A6840" w:rsidRPr="00516DB9" w:rsidRDefault="002A6840" w:rsidP="00A14E24">
      <w:pPr>
        <w:pStyle w:val="PI-1labEMEASMCA"/>
        <w:rPr>
          <w:sz w:val="22"/>
          <w:lang w:val="sv-SE"/>
        </w:rPr>
      </w:pPr>
      <w:r w:rsidRPr="00516DB9">
        <w:rPr>
          <w:sz w:val="22"/>
          <w:lang w:val="sv-SE"/>
        </w:rPr>
        <w:lastRenderedPageBreak/>
        <w:t>13.</w:t>
      </w:r>
      <w:r w:rsidRPr="00516DB9">
        <w:rPr>
          <w:sz w:val="22"/>
          <w:lang w:val="sv-SE"/>
        </w:rPr>
        <w:tab/>
        <w:t>SERIJOS NUMERIS</w:t>
      </w:r>
    </w:p>
    <w:p w14:paraId="0B7386F8" w14:textId="77777777" w:rsidR="002A6840" w:rsidRPr="00A14E24" w:rsidRDefault="002A6840" w:rsidP="006D2935">
      <w:pPr>
        <w:pStyle w:val="BTEMEASMCA"/>
      </w:pPr>
    </w:p>
    <w:p w14:paraId="6A0D8AF8" w14:textId="77640AA6" w:rsidR="002A6840" w:rsidRPr="00A14E24" w:rsidRDefault="002A6840" w:rsidP="006D2935">
      <w:pPr>
        <w:pStyle w:val="BTEMEASMCA"/>
      </w:pPr>
      <w:r w:rsidRPr="00A14E24">
        <w:t>Lot</w:t>
      </w:r>
      <w:r w:rsidR="001C3014" w:rsidRPr="00A14E24">
        <w:t xml:space="preserve"> </w:t>
      </w:r>
      <w:r w:rsidR="001C3014" w:rsidRPr="00A14E24">
        <w:rPr>
          <w:highlight w:val="lightGray"/>
        </w:rPr>
        <w:t>{numeris}</w:t>
      </w:r>
    </w:p>
    <w:p w14:paraId="249932BF" w14:textId="77777777" w:rsidR="002A6840" w:rsidRPr="00A14E24" w:rsidRDefault="002A6840" w:rsidP="006D2935">
      <w:pPr>
        <w:pStyle w:val="BTEMEASMCA"/>
      </w:pPr>
    </w:p>
    <w:p w14:paraId="243C9D62" w14:textId="77777777" w:rsidR="002A6840" w:rsidRPr="00A14E24" w:rsidRDefault="002A6840" w:rsidP="006D2935">
      <w:pPr>
        <w:pStyle w:val="BTEMEASMCA"/>
      </w:pPr>
    </w:p>
    <w:p w14:paraId="446E83D4" w14:textId="77777777" w:rsidR="002A6840" w:rsidRPr="00516DB9" w:rsidRDefault="002A6840" w:rsidP="00A14E24">
      <w:pPr>
        <w:pStyle w:val="PI-1labEMEASMCA"/>
        <w:rPr>
          <w:sz w:val="22"/>
          <w:lang w:val="pt-PT"/>
        </w:rPr>
      </w:pPr>
      <w:r w:rsidRPr="00516DB9">
        <w:rPr>
          <w:sz w:val="22"/>
          <w:lang w:val="pt-PT"/>
        </w:rPr>
        <w:t>14.</w:t>
      </w:r>
      <w:r w:rsidRPr="00516DB9">
        <w:rPr>
          <w:sz w:val="22"/>
          <w:lang w:val="pt-PT"/>
        </w:rPr>
        <w:tab/>
        <w:t>PARDAVIMO (IŠDAVIMO) TVARKA</w:t>
      </w:r>
    </w:p>
    <w:p w14:paraId="5EC443F1" w14:textId="77777777" w:rsidR="002A6840" w:rsidRPr="00A14E24" w:rsidRDefault="002A6840" w:rsidP="006D2935">
      <w:pPr>
        <w:pStyle w:val="BTEMEASMCA"/>
      </w:pPr>
    </w:p>
    <w:p w14:paraId="2A6F4BEB" w14:textId="10074800" w:rsidR="002A6840" w:rsidRPr="00A14E24" w:rsidRDefault="002A6840" w:rsidP="006D2935">
      <w:pPr>
        <w:pStyle w:val="BTEMEASMCA"/>
      </w:pPr>
      <w:r w:rsidRPr="00A14E24">
        <w:t>Receptinis vaistas</w:t>
      </w:r>
      <w:r w:rsidR="004B0C77" w:rsidRPr="00A14E24">
        <w:t>.</w:t>
      </w:r>
    </w:p>
    <w:p w14:paraId="0AC04845" w14:textId="77777777" w:rsidR="002A6840" w:rsidRPr="00A14E24" w:rsidRDefault="002A6840" w:rsidP="006D2935">
      <w:pPr>
        <w:pStyle w:val="BTEMEASMCA"/>
      </w:pPr>
    </w:p>
    <w:p w14:paraId="0DA14700" w14:textId="77777777" w:rsidR="002A6840" w:rsidRPr="00A14E24" w:rsidRDefault="002A6840" w:rsidP="006D2935">
      <w:pPr>
        <w:pStyle w:val="BTEMEASMCA"/>
      </w:pPr>
    </w:p>
    <w:p w14:paraId="7F2D8CDC" w14:textId="77777777" w:rsidR="002A6840" w:rsidRPr="002C4659" w:rsidRDefault="002A6840" w:rsidP="00A14E24">
      <w:pPr>
        <w:pStyle w:val="PI-1labEMEASMCA"/>
        <w:rPr>
          <w:sz w:val="22"/>
          <w:szCs w:val="22"/>
          <w:lang w:val="lt-LT"/>
        </w:rPr>
      </w:pPr>
      <w:r w:rsidRPr="002C4659">
        <w:rPr>
          <w:sz w:val="22"/>
          <w:szCs w:val="22"/>
          <w:lang w:val="lt-LT"/>
        </w:rPr>
        <w:t>15.</w:t>
      </w:r>
      <w:r w:rsidRPr="002C4659">
        <w:rPr>
          <w:sz w:val="22"/>
          <w:szCs w:val="22"/>
          <w:lang w:val="lt-LT"/>
        </w:rPr>
        <w:tab/>
        <w:t>VARTOJIMO INSTRUKCIJA</w:t>
      </w:r>
    </w:p>
    <w:p w14:paraId="1181C72A" w14:textId="77777777" w:rsidR="002A6840" w:rsidRPr="00A14E24" w:rsidRDefault="002A6840" w:rsidP="006D2935">
      <w:pPr>
        <w:pStyle w:val="BTEMEASMCA"/>
      </w:pPr>
    </w:p>
    <w:p w14:paraId="13CA00EE" w14:textId="77777777" w:rsidR="002A6840" w:rsidRPr="00A14E24" w:rsidRDefault="002A6840" w:rsidP="006D2935">
      <w:pPr>
        <w:pStyle w:val="BTEMEASMCA"/>
      </w:pPr>
    </w:p>
    <w:p w14:paraId="47927264" w14:textId="77777777" w:rsidR="002A6840" w:rsidRPr="002C4659" w:rsidRDefault="002A6840" w:rsidP="00A14E24">
      <w:pPr>
        <w:pStyle w:val="PI-1labEMEASMCA"/>
        <w:rPr>
          <w:sz w:val="22"/>
          <w:szCs w:val="22"/>
          <w:lang w:val="lt-LT"/>
        </w:rPr>
      </w:pPr>
      <w:r w:rsidRPr="002C4659">
        <w:rPr>
          <w:sz w:val="22"/>
          <w:szCs w:val="22"/>
          <w:lang w:val="lt-LT"/>
        </w:rPr>
        <w:t>16.</w:t>
      </w:r>
      <w:r w:rsidRPr="002C4659">
        <w:rPr>
          <w:sz w:val="22"/>
          <w:szCs w:val="22"/>
          <w:lang w:val="lt-LT"/>
        </w:rPr>
        <w:tab/>
        <w:t>INFORMACIJA BRAILIO RAŠTU</w:t>
      </w:r>
    </w:p>
    <w:p w14:paraId="583B4E8D" w14:textId="77777777" w:rsidR="002A6840" w:rsidRPr="00A14E24" w:rsidRDefault="002A6840" w:rsidP="006D2935">
      <w:pPr>
        <w:pStyle w:val="BTEMEASMCA"/>
      </w:pPr>
    </w:p>
    <w:p w14:paraId="76416A76" w14:textId="2A68D25A" w:rsidR="002A6840" w:rsidRPr="00A14E24" w:rsidRDefault="001C2793" w:rsidP="006D2935">
      <w:pPr>
        <w:pStyle w:val="BTEMEASMCA"/>
      </w:pPr>
      <w:proofErr w:type="spellStart"/>
      <w:r w:rsidRPr="00A14E24">
        <w:t>ibuprofen</w:t>
      </w:r>
      <w:proofErr w:type="spellEnd"/>
      <w:r w:rsidRPr="00A14E24">
        <w:t xml:space="preserve"> </w:t>
      </w:r>
      <w:proofErr w:type="spellStart"/>
      <w:r w:rsidRPr="00A14E24">
        <w:t>stada</w:t>
      </w:r>
      <w:proofErr w:type="spellEnd"/>
      <w:r w:rsidRPr="00A14E24">
        <w:t xml:space="preserve"> </w:t>
      </w:r>
      <w:proofErr w:type="spellStart"/>
      <w:r w:rsidRPr="00A14E24">
        <w:t>arzneimittel</w:t>
      </w:r>
      <w:proofErr w:type="spellEnd"/>
      <w:r w:rsidRPr="00A14E24">
        <w:t xml:space="preserve"> 600 mg</w:t>
      </w:r>
    </w:p>
    <w:p w14:paraId="469E18A5" w14:textId="77777777" w:rsidR="002A6840" w:rsidRPr="00A14E24" w:rsidRDefault="002A6840" w:rsidP="002A6840">
      <w:pPr>
        <w:widowControl w:val="0"/>
        <w:autoSpaceDE w:val="0"/>
        <w:autoSpaceDN w:val="0"/>
        <w:adjustRightInd w:val="0"/>
      </w:pPr>
    </w:p>
    <w:p w14:paraId="3A243B72" w14:textId="77777777" w:rsidR="002A6840" w:rsidRPr="00A14E24" w:rsidRDefault="002A6840" w:rsidP="002A6840">
      <w:pPr>
        <w:widowControl w:val="0"/>
        <w:autoSpaceDE w:val="0"/>
        <w:autoSpaceDN w:val="0"/>
        <w:adjustRightInd w:val="0"/>
      </w:pPr>
    </w:p>
    <w:p w14:paraId="1B096586" w14:textId="77777777" w:rsidR="002A6840" w:rsidRPr="00A14E24" w:rsidRDefault="002A6840" w:rsidP="001C2793">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pPr>
      <w:r w:rsidRPr="00A14E24">
        <w:rPr>
          <w:b/>
          <w:bCs/>
          <w:position w:val="-1"/>
        </w:rPr>
        <w:t>17.</w:t>
      </w:r>
      <w:r w:rsidRPr="00A14E24">
        <w:rPr>
          <w:b/>
          <w:bCs/>
          <w:position w:val="-1"/>
        </w:rPr>
        <w:tab/>
      </w:r>
      <w:r w:rsidRPr="00A14E24">
        <w:rPr>
          <w:b/>
          <w:bCs/>
          <w:spacing w:val="-1"/>
          <w:position w:val="-1"/>
        </w:rPr>
        <w:t>UNIKALUS IDENTIFIKATORIUS – 2D BRŪKŠNINIS KODAS</w:t>
      </w:r>
    </w:p>
    <w:p w14:paraId="528888BD" w14:textId="77777777" w:rsidR="002A6840" w:rsidRPr="00A14E24" w:rsidRDefault="002A6840" w:rsidP="002A6840">
      <w:pPr>
        <w:widowControl w:val="0"/>
        <w:autoSpaceDE w:val="0"/>
        <w:autoSpaceDN w:val="0"/>
        <w:adjustRightInd w:val="0"/>
      </w:pPr>
    </w:p>
    <w:p w14:paraId="5AF2AA4D" w14:textId="77777777" w:rsidR="002A6840" w:rsidRPr="00A14E24" w:rsidRDefault="002A6840" w:rsidP="002A6840">
      <w:pPr>
        <w:widowControl w:val="0"/>
        <w:autoSpaceDE w:val="0"/>
        <w:autoSpaceDN w:val="0"/>
        <w:adjustRightInd w:val="0"/>
      </w:pPr>
      <w:r w:rsidRPr="00A14E24">
        <w:rPr>
          <w:highlight w:val="lightGray"/>
        </w:rPr>
        <w:t>2D brūkšninis kodas su nurodytu unikaliu identifikatoriumi.</w:t>
      </w:r>
    </w:p>
    <w:p w14:paraId="46CD4A99" w14:textId="77777777" w:rsidR="002C325D" w:rsidRPr="00A14E24" w:rsidRDefault="002C325D" w:rsidP="002A6840">
      <w:pPr>
        <w:widowControl w:val="0"/>
        <w:autoSpaceDE w:val="0"/>
        <w:autoSpaceDN w:val="0"/>
        <w:adjustRightInd w:val="0"/>
      </w:pPr>
    </w:p>
    <w:p w14:paraId="7B78038E" w14:textId="77777777" w:rsidR="002A6840" w:rsidRPr="00A14E24" w:rsidRDefault="002A6840" w:rsidP="002A6840">
      <w:pPr>
        <w:widowControl w:val="0"/>
        <w:autoSpaceDE w:val="0"/>
        <w:autoSpaceDN w:val="0"/>
        <w:adjustRightInd w:val="0"/>
      </w:pPr>
    </w:p>
    <w:p w14:paraId="462D4D1B" w14:textId="77777777" w:rsidR="002A6840" w:rsidRPr="00A14E24" w:rsidRDefault="002A6840" w:rsidP="002A6840">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pPr>
      <w:r w:rsidRPr="00A14E24">
        <w:rPr>
          <w:b/>
          <w:bCs/>
          <w:position w:val="-1"/>
        </w:rPr>
        <w:t>18.</w:t>
      </w:r>
      <w:r w:rsidRPr="00A14E24">
        <w:rPr>
          <w:b/>
          <w:bCs/>
          <w:position w:val="-1"/>
        </w:rPr>
        <w:tab/>
      </w:r>
      <w:r w:rsidRPr="00A14E24">
        <w:rPr>
          <w:b/>
          <w:bCs/>
          <w:spacing w:val="-1"/>
          <w:position w:val="-1"/>
        </w:rPr>
        <w:t>UNIKALUS IDENTIFIKATORIUS – ŽMONĖMS SUPRANTAMI DUOMENYS</w:t>
      </w:r>
    </w:p>
    <w:p w14:paraId="52F3DBA6" w14:textId="77777777" w:rsidR="002A6840" w:rsidRPr="00A14E24" w:rsidRDefault="002A6840" w:rsidP="002A6840">
      <w:pPr>
        <w:widowControl w:val="0"/>
        <w:autoSpaceDE w:val="0"/>
        <w:autoSpaceDN w:val="0"/>
        <w:adjustRightInd w:val="0"/>
      </w:pPr>
    </w:p>
    <w:p w14:paraId="703E5D26" w14:textId="4A9DF117" w:rsidR="002A6840" w:rsidRPr="002C4659" w:rsidRDefault="002A6840" w:rsidP="002A6840">
      <w:pPr>
        <w:widowControl w:val="0"/>
        <w:autoSpaceDE w:val="0"/>
        <w:autoSpaceDN w:val="0"/>
        <w:adjustRightInd w:val="0"/>
      </w:pPr>
      <w:r w:rsidRPr="00A14E24">
        <w:t>PC</w:t>
      </w:r>
      <w:r w:rsidR="00B935FA" w:rsidRPr="00A14E24">
        <w:t xml:space="preserve"> </w:t>
      </w:r>
      <w:r w:rsidR="00B935FA" w:rsidRPr="002C4659">
        <w:rPr>
          <w:highlight w:val="lightGray"/>
        </w:rPr>
        <w:t>{numeris}</w:t>
      </w:r>
    </w:p>
    <w:p w14:paraId="23885F96" w14:textId="4650E136" w:rsidR="002A6840" w:rsidRPr="00A14E24" w:rsidRDefault="002A6840" w:rsidP="002A6840">
      <w:pPr>
        <w:widowControl w:val="0"/>
        <w:autoSpaceDE w:val="0"/>
        <w:autoSpaceDN w:val="0"/>
        <w:adjustRightInd w:val="0"/>
        <w:rPr>
          <w:highlight w:val="lightGray"/>
        </w:rPr>
      </w:pPr>
      <w:r w:rsidRPr="00A14E24">
        <w:rPr>
          <w:highlight w:val="lightGray"/>
        </w:rPr>
        <w:t>SN</w:t>
      </w:r>
      <w:r w:rsidR="00B935FA" w:rsidRPr="00A14E24">
        <w:rPr>
          <w:highlight w:val="lightGray"/>
        </w:rPr>
        <w:t xml:space="preserve"> </w:t>
      </w:r>
      <w:r w:rsidR="00B935FA" w:rsidRPr="002C4659">
        <w:rPr>
          <w:highlight w:val="lightGray"/>
        </w:rPr>
        <w:t>{numeris}</w:t>
      </w:r>
    </w:p>
    <w:p w14:paraId="41C7BCCF" w14:textId="29D06635" w:rsidR="002A6840" w:rsidRPr="00A14E24" w:rsidRDefault="002A6840" w:rsidP="002A6840">
      <w:pPr>
        <w:widowControl w:val="0"/>
        <w:autoSpaceDE w:val="0"/>
        <w:autoSpaceDN w:val="0"/>
        <w:adjustRightInd w:val="0"/>
      </w:pPr>
      <w:r w:rsidRPr="00A14E24">
        <w:rPr>
          <w:highlight w:val="lightGray"/>
        </w:rPr>
        <w:t>NN</w:t>
      </w:r>
      <w:r w:rsidR="00B935FA" w:rsidRPr="00A14E24">
        <w:rPr>
          <w:highlight w:val="lightGray"/>
        </w:rPr>
        <w:t xml:space="preserve"> {numeris}</w:t>
      </w:r>
    </w:p>
    <w:p w14:paraId="26A31755" w14:textId="77777777" w:rsidR="002A6840" w:rsidRPr="00A14E24" w:rsidRDefault="002A6840" w:rsidP="006D2935">
      <w:pPr>
        <w:pStyle w:val="BTEMEASMCA"/>
      </w:pPr>
      <w:r w:rsidRPr="00A14E24">
        <w:br w:type="page"/>
      </w:r>
    </w:p>
    <w:p w14:paraId="3DD372C0" w14:textId="77777777" w:rsidR="002A6840" w:rsidRPr="002C4659" w:rsidRDefault="002A6840" w:rsidP="00A14E24">
      <w:pPr>
        <w:pStyle w:val="PI-1labEMEASMCA"/>
        <w:rPr>
          <w:sz w:val="22"/>
          <w:szCs w:val="22"/>
          <w:lang w:val="lt-LT"/>
        </w:rPr>
      </w:pPr>
      <w:r w:rsidRPr="002C4659">
        <w:rPr>
          <w:sz w:val="22"/>
          <w:szCs w:val="22"/>
          <w:lang w:val="lt-LT"/>
        </w:rPr>
        <w:lastRenderedPageBreak/>
        <w:t xml:space="preserve">MINIMALI </w:t>
      </w:r>
      <w:r w:rsidRPr="002C4659">
        <w:rPr>
          <w:caps/>
          <w:sz w:val="22"/>
          <w:szCs w:val="22"/>
          <w:lang w:val="lt-LT"/>
        </w:rPr>
        <w:t xml:space="preserve">informacija ant </w:t>
      </w:r>
      <w:r w:rsidRPr="002C4659">
        <w:rPr>
          <w:sz w:val="22"/>
          <w:szCs w:val="22"/>
          <w:lang w:val="lt-LT"/>
        </w:rPr>
        <w:t>LIZDINIŲ PLOKŠTELIŲ ARBA DVISLUOKSNIŲ JUOSTELIŲ</w:t>
      </w:r>
    </w:p>
    <w:p w14:paraId="73E5FBB9" w14:textId="77777777" w:rsidR="002A6840" w:rsidRPr="002C4659" w:rsidRDefault="002A6840" w:rsidP="00A14E24">
      <w:pPr>
        <w:pStyle w:val="PI-1labEMEASMCA"/>
        <w:rPr>
          <w:sz w:val="22"/>
          <w:szCs w:val="22"/>
          <w:lang w:val="lt-LT"/>
        </w:rPr>
      </w:pPr>
    </w:p>
    <w:p w14:paraId="58F6EF74" w14:textId="6A63D466" w:rsidR="002A6840" w:rsidRPr="002C4659" w:rsidRDefault="002A6840" w:rsidP="00A14E24">
      <w:pPr>
        <w:pStyle w:val="PI-1labEMEASMCA"/>
        <w:rPr>
          <w:sz w:val="22"/>
          <w:szCs w:val="22"/>
          <w:lang w:val="lt-LT"/>
        </w:rPr>
      </w:pPr>
      <w:r w:rsidRPr="002C4659">
        <w:rPr>
          <w:sz w:val="22"/>
          <w:szCs w:val="22"/>
          <w:lang w:val="lt-LT"/>
        </w:rPr>
        <w:t>L</w:t>
      </w:r>
      <w:r w:rsidR="00A14E24" w:rsidRPr="002C4659">
        <w:rPr>
          <w:sz w:val="22"/>
          <w:szCs w:val="22"/>
          <w:lang w:val="lt-LT"/>
        </w:rPr>
        <w:t>izdinė plokštelė ir dalomoji lizdinė plokštelė</w:t>
      </w:r>
    </w:p>
    <w:p w14:paraId="144D09BD" w14:textId="77777777" w:rsidR="002A6840" w:rsidRPr="002C4659" w:rsidRDefault="002A6840" w:rsidP="006D2935">
      <w:pPr>
        <w:pStyle w:val="BTEMEASMCA"/>
      </w:pPr>
    </w:p>
    <w:p w14:paraId="6A7B4DE8" w14:textId="77777777" w:rsidR="002A6840" w:rsidRPr="002C4659" w:rsidRDefault="002A6840" w:rsidP="006D2935">
      <w:pPr>
        <w:pStyle w:val="BTEMEASMCA"/>
      </w:pPr>
    </w:p>
    <w:p w14:paraId="1768AA9B" w14:textId="77777777" w:rsidR="002A6840" w:rsidRPr="00516DB9" w:rsidRDefault="002A6840" w:rsidP="00A14E24">
      <w:pPr>
        <w:pStyle w:val="PI-1labEMEASMCA"/>
        <w:rPr>
          <w:sz w:val="22"/>
          <w:lang w:val="lt-LT"/>
        </w:rPr>
      </w:pPr>
      <w:r w:rsidRPr="00516DB9">
        <w:rPr>
          <w:sz w:val="22"/>
          <w:lang w:val="lt-LT"/>
        </w:rPr>
        <w:t>1.</w:t>
      </w:r>
      <w:r w:rsidRPr="00516DB9">
        <w:rPr>
          <w:sz w:val="22"/>
          <w:lang w:val="lt-LT"/>
        </w:rPr>
        <w:tab/>
        <w:t>VAISTINIO PREPARATO PAVADINIMAS</w:t>
      </w:r>
    </w:p>
    <w:p w14:paraId="2565B050" w14:textId="77777777" w:rsidR="002A6840" w:rsidRPr="00516DB9" w:rsidRDefault="002A6840" w:rsidP="006D2935">
      <w:pPr>
        <w:pStyle w:val="BTEMEASMCA"/>
      </w:pPr>
    </w:p>
    <w:p w14:paraId="4929A2C9" w14:textId="4F16D04D" w:rsidR="002A6840" w:rsidRPr="00A14E24" w:rsidRDefault="002A6840" w:rsidP="002A6840">
      <w:pPr>
        <w:tabs>
          <w:tab w:val="left" w:pos="567"/>
        </w:tabs>
      </w:pPr>
      <w:proofErr w:type="spellStart"/>
      <w:r w:rsidRPr="00A14E24">
        <w:t>Ibuprofen</w:t>
      </w:r>
      <w:proofErr w:type="spellEnd"/>
      <w:r w:rsidRPr="00A14E24">
        <w:t xml:space="preserve"> STADA </w:t>
      </w:r>
      <w:proofErr w:type="spellStart"/>
      <w:r w:rsidRPr="00A14E24">
        <w:t>Arzneimittel</w:t>
      </w:r>
      <w:proofErr w:type="spellEnd"/>
      <w:r w:rsidRPr="00A14E24">
        <w:t xml:space="preserve"> </w:t>
      </w:r>
      <w:r w:rsidR="00505660">
        <w:t>6</w:t>
      </w:r>
      <w:r w:rsidRPr="00A14E24">
        <w:t>00 mg plėvele dengtos tabletės</w:t>
      </w:r>
    </w:p>
    <w:p w14:paraId="5D56DBEC" w14:textId="0D5206C3" w:rsidR="002A6840" w:rsidRPr="001E4E81" w:rsidRDefault="002A6840" w:rsidP="002A6840">
      <w:pPr>
        <w:tabs>
          <w:tab w:val="left" w:pos="567"/>
        </w:tabs>
        <w:rPr>
          <w:i/>
          <w:iCs/>
        </w:rPr>
      </w:pPr>
      <w:proofErr w:type="spellStart"/>
      <w:r w:rsidRPr="001E4E81">
        <w:rPr>
          <w:i/>
          <w:iCs/>
        </w:rPr>
        <w:t>ibuprofen</w:t>
      </w:r>
      <w:r w:rsidR="001E4E81" w:rsidRPr="001E4E81">
        <w:rPr>
          <w:i/>
          <w:iCs/>
        </w:rPr>
        <w:t>um</w:t>
      </w:r>
      <w:proofErr w:type="spellEnd"/>
    </w:p>
    <w:p w14:paraId="683FE3F1" w14:textId="77777777" w:rsidR="002A6840" w:rsidRPr="00A14E24" w:rsidRDefault="002A6840" w:rsidP="006D2935">
      <w:pPr>
        <w:pStyle w:val="BTEMEASMCA"/>
      </w:pPr>
    </w:p>
    <w:p w14:paraId="76189460" w14:textId="77777777" w:rsidR="002A6840" w:rsidRPr="00A14E24" w:rsidRDefault="002A6840" w:rsidP="006D2935">
      <w:pPr>
        <w:pStyle w:val="BTEMEASMCA"/>
      </w:pPr>
    </w:p>
    <w:p w14:paraId="2801226F" w14:textId="77777777" w:rsidR="002A6840" w:rsidRPr="00D332C9" w:rsidRDefault="002A6840" w:rsidP="00A14E24">
      <w:pPr>
        <w:pStyle w:val="PI-1labEMEASMCA"/>
        <w:rPr>
          <w:sz w:val="22"/>
          <w:szCs w:val="22"/>
          <w:lang w:val="de-DE"/>
        </w:rPr>
      </w:pPr>
      <w:r w:rsidRPr="00D332C9">
        <w:rPr>
          <w:sz w:val="22"/>
          <w:szCs w:val="22"/>
          <w:lang w:val="de-DE"/>
        </w:rPr>
        <w:t>2.</w:t>
      </w:r>
      <w:r w:rsidRPr="00D332C9">
        <w:rPr>
          <w:sz w:val="22"/>
          <w:szCs w:val="22"/>
          <w:lang w:val="de-DE"/>
        </w:rPr>
        <w:tab/>
        <w:t>REGISTRUOTOJO PAVADINIMAS</w:t>
      </w:r>
    </w:p>
    <w:p w14:paraId="4E92C408" w14:textId="77777777" w:rsidR="002A6840" w:rsidRPr="00A14E24" w:rsidRDefault="002A6840" w:rsidP="006D2935">
      <w:pPr>
        <w:pStyle w:val="BTEMEASMCA"/>
      </w:pPr>
    </w:p>
    <w:p w14:paraId="247EA55E" w14:textId="77777777" w:rsidR="007F16EE" w:rsidRPr="00A14E24" w:rsidRDefault="007F16EE" w:rsidP="007F16EE">
      <w:r w:rsidRPr="00A14E24">
        <w:t xml:space="preserve">STADA </w:t>
      </w:r>
      <w:proofErr w:type="spellStart"/>
      <w:r w:rsidRPr="00A14E24">
        <w:t>Arzneimittel</w:t>
      </w:r>
      <w:proofErr w:type="spellEnd"/>
      <w:r w:rsidRPr="00A14E24">
        <w:t xml:space="preserve"> AG</w:t>
      </w:r>
    </w:p>
    <w:p w14:paraId="4C019C4F" w14:textId="77777777" w:rsidR="002A6840" w:rsidRPr="00A14E24" w:rsidRDefault="002A6840" w:rsidP="006D2935">
      <w:pPr>
        <w:pStyle w:val="BTEMEASMCA"/>
      </w:pPr>
    </w:p>
    <w:p w14:paraId="74D6696C" w14:textId="77777777" w:rsidR="002A6840" w:rsidRPr="00A14E24" w:rsidRDefault="002A6840" w:rsidP="006D2935">
      <w:pPr>
        <w:pStyle w:val="BTEMEASMCA"/>
      </w:pPr>
    </w:p>
    <w:p w14:paraId="6097558F" w14:textId="77777777" w:rsidR="002A6840" w:rsidRPr="002C4659" w:rsidRDefault="002A6840" w:rsidP="00A14E24">
      <w:pPr>
        <w:pStyle w:val="PI-1labEMEASMCA"/>
        <w:rPr>
          <w:sz w:val="22"/>
          <w:szCs w:val="22"/>
          <w:lang w:val="lt-LT"/>
        </w:rPr>
      </w:pPr>
      <w:r w:rsidRPr="002C4659">
        <w:rPr>
          <w:sz w:val="22"/>
          <w:szCs w:val="22"/>
          <w:lang w:val="lt-LT"/>
        </w:rPr>
        <w:t>3.</w:t>
      </w:r>
      <w:r w:rsidRPr="002C4659">
        <w:rPr>
          <w:sz w:val="22"/>
          <w:szCs w:val="22"/>
          <w:lang w:val="lt-LT"/>
        </w:rPr>
        <w:tab/>
        <w:t>TINKAMUMO LAIKAS</w:t>
      </w:r>
    </w:p>
    <w:p w14:paraId="28BA3C92" w14:textId="77777777" w:rsidR="002A6840" w:rsidRPr="00A14E24" w:rsidRDefault="002A6840" w:rsidP="006D2935">
      <w:pPr>
        <w:pStyle w:val="BTEMEASMCA"/>
      </w:pPr>
    </w:p>
    <w:p w14:paraId="0BB27CEB" w14:textId="56CB14EB" w:rsidR="002A6840" w:rsidRPr="00A14E24" w:rsidRDefault="002A6840" w:rsidP="006D2935">
      <w:pPr>
        <w:pStyle w:val="BTEMEASMCA"/>
      </w:pPr>
      <w:r w:rsidRPr="00A14E24">
        <w:t>EXP</w:t>
      </w:r>
      <w:r w:rsidR="006B09C9">
        <w:t xml:space="preserve"> </w:t>
      </w:r>
      <w:r w:rsidRPr="006B09C9">
        <w:rPr>
          <w:highlight w:val="lightGray"/>
        </w:rPr>
        <w:t>{mm/MMMM}</w:t>
      </w:r>
    </w:p>
    <w:p w14:paraId="596EE89C" w14:textId="77777777" w:rsidR="002A6840" w:rsidRPr="00A14E24" w:rsidRDefault="002A6840" w:rsidP="006D2935">
      <w:pPr>
        <w:pStyle w:val="BTEMEASMCA"/>
      </w:pPr>
    </w:p>
    <w:p w14:paraId="0EDE8D14" w14:textId="77777777" w:rsidR="002A6840" w:rsidRPr="00A14E24" w:rsidRDefault="002A6840" w:rsidP="006D2935">
      <w:pPr>
        <w:pStyle w:val="BTEMEASMCA"/>
      </w:pPr>
    </w:p>
    <w:p w14:paraId="0AD6FB08" w14:textId="77777777" w:rsidR="002A6840" w:rsidRPr="00516DB9" w:rsidRDefault="002A6840" w:rsidP="00A14E24">
      <w:pPr>
        <w:pStyle w:val="PI-1labEMEASMCA"/>
        <w:rPr>
          <w:sz w:val="22"/>
          <w:lang w:val="lt-LT"/>
        </w:rPr>
      </w:pPr>
      <w:r w:rsidRPr="00516DB9">
        <w:rPr>
          <w:sz w:val="22"/>
          <w:lang w:val="lt-LT"/>
        </w:rPr>
        <w:t>4.</w:t>
      </w:r>
      <w:r w:rsidRPr="00516DB9">
        <w:rPr>
          <w:sz w:val="22"/>
          <w:lang w:val="lt-LT"/>
        </w:rPr>
        <w:tab/>
        <w:t>SERIJOS NUMERIS</w:t>
      </w:r>
    </w:p>
    <w:p w14:paraId="74690F4F" w14:textId="77777777" w:rsidR="002A6840" w:rsidRPr="00A14E24" w:rsidRDefault="002A6840" w:rsidP="006D2935">
      <w:pPr>
        <w:pStyle w:val="BTEMEASMCA"/>
      </w:pPr>
    </w:p>
    <w:p w14:paraId="7D7D4CBF" w14:textId="1A62AE72" w:rsidR="002A6840" w:rsidRPr="00A14E24" w:rsidRDefault="002A6840" w:rsidP="006D2935">
      <w:pPr>
        <w:pStyle w:val="BTEMEASMCA"/>
      </w:pPr>
      <w:r w:rsidRPr="00A14E24">
        <w:t>Lot</w:t>
      </w:r>
      <w:r w:rsidR="006B09C9">
        <w:t xml:space="preserve"> </w:t>
      </w:r>
      <w:r w:rsidR="006B09C9" w:rsidRPr="006B09C9">
        <w:rPr>
          <w:highlight w:val="lightGray"/>
        </w:rPr>
        <w:t>{numeris}</w:t>
      </w:r>
    </w:p>
    <w:p w14:paraId="4AF62FC0" w14:textId="77777777" w:rsidR="002A6840" w:rsidRPr="00A14E24" w:rsidRDefault="002A6840" w:rsidP="006D2935">
      <w:pPr>
        <w:pStyle w:val="BTEMEASMCA"/>
      </w:pPr>
    </w:p>
    <w:p w14:paraId="6192B609" w14:textId="77777777" w:rsidR="002A6840" w:rsidRPr="00A14E24" w:rsidRDefault="002A6840" w:rsidP="006D2935">
      <w:pPr>
        <w:pStyle w:val="BTEMEASMCA"/>
      </w:pPr>
    </w:p>
    <w:p w14:paraId="545E5694" w14:textId="77777777" w:rsidR="002A6840" w:rsidRPr="00516DB9" w:rsidRDefault="002A6840" w:rsidP="00A14E24">
      <w:pPr>
        <w:pStyle w:val="PI-1labEMEASMCA"/>
        <w:rPr>
          <w:sz w:val="22"/>
          <w:lang w:val="lt-LT"/>
        </w:rPr>
      </w:pPr>
      <w:r w:rsidRPr="00516DB9">
        <w:rPr>
          <w:sz w:val="22"/>
          <w:lang w:val="lt-LT"/>
        </w:rPr>
        <w:t>5.</w:t>
      </w:r>
      <w:r w:rsidRPr="00516DB9">
        <w:rPr>
          <w:sz w:val="22"/>
          <w:lang w:val="lt-LT"/>
        </w:rPr>
        <w:tab/>
        <w:t>KITA</w:t>
      </w:r>
    </w:p>
    <w:p w14:paraId="422C4767" w14:textId="77777777" w:rsidR="002A6840" w:rsidRDefault="002A6840" w:rsidP="006D2935">
      <w:pPr>
        <w:pStyle w:val="BTEMEASMCA"/>
      </w:pPr>
    </w:p>
    <w:p w14:paraId="1E5E9DBF" w14:textId="77777777" w:rsidR="006B09C9" w:rsidRPr="00A14E24" w:rsidRDefault="006B09C9" w:rsidP="006D2935">
      <w:pPr>
        <w:pStyle w:val="BTEMEASMCA"/>
      </w:pPr>
    </w:p>
    <w:p w14:paraId="1BF1A397" w14:textId="37BC19E1" w:rsidR="00273BE2" w:rsidRPr="00A14E24" w:rsidRDefault="002A6840" w:rsidP="002A6840">
      <w:pPr>
        <w:widowControl w:val="0"/>
        <w:ind w:left="567" w:hanging="567"/>
        <w:jc w:val="center"/>
        <w:rPr>
          <w:b/>
          <w:caps/>
        </w:rPr>
      </w:pPr>
      <w:r w:rsidRPr="00A14E24">
        <w:br w:type="page"/>
      </w:r>
    </w:p>
    <w:p w14:paraId="201D95C0" w14:textId="77777777" w:rsidR="00273BE2" w:rsidRPr="00A14E24" w:rsidRDefault="00273BE2" w:rsidP="00273BE2">
      <w:pPr>
        <w:widowControl w:val="0"/>
        <w:ind w:left="567" w:hanging="567"/>
        <w:jc w:val="center"/>
        <w:rPr>
          <w:b/>
          <w:caps/>
        </w:rPr>
      </w:pPr>
    </w:p>
    <w:p w14:paraId="2A069B93" w14:textId="77777777" w:rsidR="00273BE2" w:rsidRPr="00A14E24" w:rsidRDefault="00273BE2" w:rsidP="00273BE2">
      <w:pPr>
        <w:widowControl w:val="0"/>
        <w:ind w:left="567" w:hanging="567"/>
        <w:jc w:val="center"/>
        <w:rPr>
          <w:b/>
          <w:caps/>
        </w:rPr>
      </w:pPr>
    </w:p>
    <w:p w14:paraId="5A8B326A" w14:textId="77777777" w:rsidR="00273BE2" w:rsidRPr="00A14E24" w:rsidRDefault="00273BE2" w:rsidP="00273BE2">
      <w:pPr>
        <w:widowControl w:val="0"/>
        <w:ind w:left="567" w:hanging="567"/>
        <w:jc w:val="center"/>
        <w:rPr>
          <w:b/>
          <w:caps/>
        </w:rPr>
      </w:pPr>
    </w:p>
    <w:p w14:paraId="2919E872" w14:textId="77777777" w:rsidR="00273BE2" w:rsidRPr="00A14E24" w:rsidRDefault="00273BE2" w:rsidP="00273BE2">
      <w:pPr>
        <w:widowControl w:val="0"/>
        <w:ind w:left="567" w:hanging="567"/>
        <w:jc w:val="center"/>
        <w:rPr>
          <w:b/>
          <w:caps/>
        </w:rPr>
      </w:pPr>
    </w:p>
    <w:p w14:paraId="61F73262" w14:textId="77777777" w:rsidR="00273BE2" w:rsidRPr="00A14E24" w:rsidRDefault="00273BE2" w:rsidP="00273BE2">
      <w:pPr>
        <w:widowControl w:val="0"/>
        <w:ind w:left="567" w:hanging="567"/>
        <w:jc w:val="center"/>
        <w:rPr>
          <w:b/>
          <w:caps/>
        </w:rPr>
      </w:pPr>
    </w:p>
    <w:p w14:paraId="6354B2B1" w14:textId="77777777" w:rsidR="00273BE2" w:rsidRPr="00A14E24" w:rsidRDefault="00273BE2" w:rsidP="00273BE2">
      <w:pPr>
        <w:widowControl w:val="0"/>
        <w:ind w:left="567" w:hanging="567"/>
        <w:jc w:val="center"/>
        <w:rPr>
          <w:b/>
          <w:caps/>
        </w:rPr>
      </w:pPr>
    </w:p>
    <w:p w14:paraId="43580904" w14:textId="77777777" w:rsidR="00273BE2" w:rsidRPr="00A14E24" w:rsidRDefault="00273BE2" w:rsidP="00273BE2">
      <w:pPr>
        <w:widowControl w:val="0"/>
        <w:ind w:left="567" w:hanging="567"/>
        <w:jc w:val="center"/>
        <w:rPr>
          <w:b/>
          <w:caps/>
        </w:rPr>
      </w:pPr>
    </w:p>
    <w:p w14:paraId="235EBAB1" w14:textId="77777777" w:rsidR="00273BE2" w:rsidRPr="00A14E24" w:rsidRDefault="00273BE2" w:rsidP="00273BE2">
      <w:pPr>
        <w:widowControl w:val="0"/>
        <w:ind w:left="567" w:hanging="567"/>
        <w:jc w:val="center"/>
        <w:rPr>
          <w:b/>
          <w:caps/>
        </w:rPr>
      </w:pPr>
    </w:p>
    <w:p w14:paraId="042CE2C9" w14:textId="77777777" w:rsidR="00273BE2" w:rsidRPr="00A14E24" w:rsidRDefault="00273BE2" w:rsidP="00273BE2">
      <w:pPr>
        <w:widowControl w:val="0"/>
        <w:ind w:left="567" w:hanging="567"/>
        <w:jc w:val="center"/>
        <w:rPr>
          <w:b/>
          <w:caps/>
        </w:rPr>
      </w:pPr>
    </w:p>
    <w:p w14:paraId="4904DB43" w14:textId="77777777" w:rsidR="00273BE2" w:rsidRPr="00A14E24" w:rsidRDefault="00273BE2" w:rsidP="00273BE2">
      <w:pPr>
        <w:widowControl w:val="0"/>
        <w:ind w:left="567" w:hanging="567"/>
        <w:jc w:val="center"/>
        <w:rPr>
          <w:b/>
          <w:caps/>
        </w:rPr>
      </w:pPr>
    </w:p>
    <w:p w14:paraId="5A5C738D" w14:textId="77777777" w:rsidR="00273BE2" w:rsidRPr="00A14E24" w:rsidRDefault="00273BE2" w:rsidP="00273BE2">
      <w:pPr>
        <w:widowControl w:val="0"/>
        <w:ind w:left="567" w:hanging="567"/>
        <w:jc w:val="center"/>
        <w:rPr>
          <w:b/>
          <w:caps/>
        </w:rPr>
      </w:pPr>
    </w:p>
    <w:p w14:paraId="27C9DCBD" w14:textId="77777777" w:rsidR="00273BE2" w:rsidRPr="00A14E24" w:rsidRDefault="00273BE2" w:rsidP="00273BE2">
      <w:pPr>
        <w:widowControl w:val="0"/>
        <w:ind w:left="567" w:hanging="567"/>
        <w:jc w:val="center"/>
        <w:rPr>
          <w:b/>
          <w:caps/>
        </w:rPr>
      </w:pPr>
    </w:p>
    <w:p w14:paraId="06260373" w14:textId="77777777" w:rsidR="00273BE2" w:rsidRPr="00A14E24" w:rsidRDefault="00273BE2" w:rsidP="00273BE2">
      <w:pPr>
        <w:widowControl w:val="0"/>
        <w:ind w:left="567" w:hanging="567"/>
        <w:jc w:val="center"/>
        <w:rPr>
          <w:b/>
          <w:caps/>
        </w:rPr>
      </w:pPr>
    </w:p>
    <w:p w14:paraId="7B5EFC82" w14:textId="77777777" w:rsidR="00273BE2" w:rsidRPr="00A14E24" w:rsidRDefault="00273BE2" w:rsidP="00273BE2">
      <w:pPr>
        <w:widowControl w:val="0"/>
        <w:ind w:left="567" w:hanging="567"/>
        <w:jc w:val="center"/>
        <w:rPr>
          <w:b/>
          <w:caps/>
        </w:rPr>
      </w:pPr>
    </w:p>
    <w:p w14:paraId="060A0E1A" w14:textId="77777777" w:rsidR="00273BE2" w:rsidRPr="00A14E24" w:rsidRDefault="00273BE2" w:rsidP="00273BE2">
      <w:pPr>
        <w:widowControl w:val="0"/>
        <w:ind w:left="567" w:hanging="567"/>
        <w:jc w:val="center"/>
        <w:rPr>
          <w:b/>
          <w:caps/>
        </w:rPr>
      </w:pPr>
    </w:p>
    <w:p w14:paraId="4ACBAD1F" w14:textId="77777777" w:rsidR="00273BE2" w:rsidRPr="00A14E24" w:rsidRDefault="00273BE2" w:rsidP="00273BE2">
      <w:pPr>
        <w:widowControl w:val="0"/>
        <w:ind w:left="567" w:hanging="567"/>
        <w:jc w:val="center"/>
        <w:rPr>
          <w:b/>
          <w:caps/>
        </w:rPr>
      </w:pPr>
    </w:p>
    <w:p w14:paraId="02BD6884" w14:textId="77777777" w:rsidR="00273BE2" w:rsidRPr="00A14E24" w:rsidRDefault="00273BE2" w:rsidP="00273BE2">
      <w:pPr>
        <w:widowControl w:val="0"/>
        <w:ind w:left="567" w:hanging="567"/>
        <w:jc w:val="center"/>
        <w:rPr>
          <w:b/>
          <w:caps/>
        </w:rPr>
      </w:pPr>
    </w:p>
    <w:p w14:paraId="375F32CC" w14:textId="77777777" w:rsidR="00273BE2" w:rsidRPr="00A14E24" w:rsidRDefault="00273BE2" w:rsidP="00273BE2">
      <w:pPr>
        <w:widowControl w:val="0"/>
        <w:ind w:left="567" w:hanging="567"/>
        <w:jc w:val="center"/>
        <w:rPr>
          <w:b/>
          <w:caps/>
        </w:rPr>
      </w:pPr>
    </w:p>
    <w:p w14:paraId="5A2C8158" w14:textId="77777777" w:rsidR="00273BE2" w:rsidRPr="00A14E24" w:rsidRDefault="00273BE2" w:rsidP="00273BE2">
      <w:pPr>
        <w:widowControl w:val="0"/>
        <w:ind w:left="567" w:hanging="567"/>
        <w:jc w:val="center"/>
        <w:rPr>
          <w:b/>
          <w:caps/>
        </w:rPr>
      </w:pPr>
    </w:p>
    <w:p w14:paraId="786AF783" w14:textId="77777777" w:rsidR="00273BE2" w:rsidRPr="00A14E24" w:rsidRDefault="00273BE2" w:rsidP="00273BE2">
      <w:pPr>
        <w:widowControl w:val="0"/>
        <w:ind w:left="567" w:hanging="567"/>
        <w:jc w:val="center"/>
        <w:rPr>
          <w:b/>
          <w:caps/>
        </w:rPr>
      </w:pPr>
    </w:p>
    <w:p w14:paraId="3AA66808" w14:textId="77777777" w:rsidR="00273BE2" w:rsidRPr="00A14E24" w:rsidRDefault="00273BE2" w:rsidP="00273BE2">
      <w:pPr>
        <w:widowControl w:val="0"/>
        <w:ind w:left="567" w:hanging="567"/>
        <w:jc w:val="center"/>
        <w:rPr>
          <w:b/>
          <w:caps/>
        </w:rPr>
      </w:pPr>
    </w:p>
    <w:p w14:paraId="1CF1D619" w14:textId="77777777" w:rsidR="00273BE2" w:rsidRPr="00A14E24" w:rsidRDefault="00273BE2" w:rsidP="00273BE2">
      <w:pPr>
        <w:widowControl w:val="0"/>
        <w:ind w:left="567" w:hanging="567"/>
        <w:jc w:val="center"/>
        <w:outlineLvl w:val="0"/>
        <w:rPr>
          <w:b/>
          <w:caps/>
        </w:rPr>
      </w:pPr>
      <w:r w:rsidRPr="00A14E24">
        <w:rPr>
          <w:b/>
        </w:rPr>
        <w:t>B. PAKUOTĖS LAPELIS</w:t>
      </w:r>
    </w:p>
    <w:p w14:paraId="04AF32BC" w14:textId="77777777" w:rsidR="00273BE2" w:rsidRPr="00A14E24" w:rsidRDefault="00273BE2" w:rsidP="00273BE2">
      <w:pPr>
        <w:widowControl w:val="0"/>
        <w:ind w:left="567" w:hanging="567"/>
        <w:jc w:val="center"/>
        <w:rPr>
          <w:b/>
          <w:bCs/>
        </w:rPr>
      </w:pPr>
      <w:r w:rsidRPr="00A14E24">
        <w:rPr>
          <w:b/>
        </w:rPr>
        <w:br w:type="page"/>
      </w:r>
      <w:r w:rsidRPr="00A14E24">
        <w:rPr>
          <w:b/>
          <w:bCs/>
        </w:rPr>
        <w:lastRenderedPageBreak/>
        <w:t>Pakuotės lapelis: informacija pacientui</w:t>
      </w:r>
    </w:p>
    <w:p w14:paraId="503A0BDF" w14:textId="77777777" w:rsidR="00273BE2" w:rsidRPr="00A14E24" w:rsidRDefault="00273BE2" w:rsidP="00273BE2">
      <w:pPr>
        <w:widowControl w:val="0"/>
        <w:ind w:left="567" w:hanging="567"/>
        <w:jc w:val="center"/>
        <w:rPr>
          <w:b/>
        </w:rPr>
      </w:pPr>
    </w:p>
    <w:p w14:paraId="717CE224" w14:textId="4858A5B7" w:rsidR="00273BE2" w:rsidRPr="00A14E24" w:rsidRDefault="00273BE2" w:rsidP="00273BE2">
      <w:pPr>
        <w:widowControl w:val="0"/>
        <w:autoSpaceDE w:val="0"/>
        <w:autoSpaceDN w:val="0"/>
        <w:adjustRightInd w:val="0"/>
        <w:jc w:val="center"/>
        <w:rPr>
          <w:b/>
          <w:bCs/>
          <w:color w:val="000000"/>
        </w:rPr>
      </w:pPr>
      <w:proofErr w:type="spellStart"/>
      <w:r w:rsidRPr="00A14E24">
        <w:rPr>
          <w:b/>
          <w:bCs/>
          <w:color w:val="000000"/>
        </w:rPr>
        <w:t>Ibuprofen</w:t>
      </w:r>
      <w:proofErr w:type="spellEnd"/>
      <w:r w:rsidRPr="00A14E24">
        <w:rPr>
          <w:b/>
          <w:bCs/>
          <w:color w:val="000000"/>
        </w:rPr>
        <w:t xml:space="preserve"> </w:t>
      </w:r>
      <w:r w:rsidR="00B764A7">
        <w:rPr>
          <w:b/>
          <w:bCs/>
          <w:color w:val="000000"/>
        </w:rPr>
        <w:t>STADA</w:t>
      </w:r>
      <w:r w:rsidRPr="00A14E24">
        <w:rPr>
          <w:b/>
          <w:bCs/>
          <w:color w:val="000000"/>
        </w:rPr>
        <w:t xml:space="preserve"> </w:t>
      </w:r>
      <w:proofErr w:type="spellStart"/>
      <w:r w:rsidRPr="00A14E24">
        <w:rPr>
          <w:b/>
          <w:bCs/>
          <w:color w:val="000000"/>
        </w:rPr>
        <w:t>Arzneimittel</w:t>
      </w:r>
      <w:proofErr w:type="spellEnd"/>
      <w:r w:rsidRPr="00A14E24">
        <w:rPr>
          <w:b/>
          <w:bCs/>
          <w:color w:val="000000"/>
        </w:rPr>
        <w:t xml:space="preserve"> 600 mg plėvele dengtos tabletės</w:t>
      </w:r>
    </w:p>
    <w:p w14:paraId="1807BAC4" w14:textId="62D679FD" w:rsidR="00273BE2" w:rsidRPr="00A14E24" w:rsidRDefault="00273BE2" w:rsidP="00273BE2">
      <w:pPr>
        <w:widowControl w:val="0"/>
        <w:ind w:left="567" w:hanging="567"/>
        <w:jc w:val="center"/>
      </w:pPr>
      <w:proofErr w:type="spellStart"/>
      <w:r w:rsidRPr="00A14E24">
        <w:t>ibuprofenas</w:t>
      </w:r>
      <w:proofErr w:type="spellEnd"/>
    </w:p>
    <w:p w14:paraId="7B94C0C6" w14:textId="77777777" w:rsidR="00273BE2" w:rsidRPr="00A14E24" w:rsidRDefault="00273BE2" w:rsidP="00273BE2">
      <w:pPr>
        <w:widowControl w:val="0"/>
      </w:pPr>
    </w:p>
    <w:p w14:paraId="14B46863" w14:textId="77777777" w:rsidR="00273BE2" w:rsidRPr="00A14E24" w:rsidRDefault="00273BE2" w:rsidP="00273BE2">
      <w:pPr>
        <w:keepNext/>
        <w:numPr>
          <w:ilvl w:val="12"/>
          <w:numId w:val="0"/>
        </w:numPr>
        <w:ind w:right="-2"/>
      </w:pPr>
      <w:r w:rsidRPr="00A14E24">
        <w:rPr>
          <w:b/>
        </w:rPr>
        <w:t>Atidžiai perskaitykite visą šį lapelį, prieš pradėdami vartoti vaistą, nes jame pateikiama Jums svarbi informacija.</w:t>
      </w:r>
    </w:p>
    <w:p w14:paraId="68156C90" w14:textId="77777777" w:rsidR="00273BE2" w:rsidRPr="00A14E24" w:rsidRDefault="00273BE2" w:rsidP="00273BE2">
      <w:pPr>
        <w:numPr>
          <w:ilvl w:val="0"/>
          <w:numId w:val="29"/>
        </w:numPr>
        <w:ind w:left="567" w:hanging="567"/>
      </w:pPr>
      <w:r w:rsidRPr="00A14E24">
        <w:t xml:space="preserve">Neišmeskite šio lapelio, nes vėl gali prireikti jį perskaityti. </w:t>
      </w:r>
    </w:p>
    <w:p w14:paraId="18F2BEE9" w14:textId="77777777" w:rsidR="00273BE2" w:rsidRPr="00A14E24" w:rsidRDefault="00273BE2" w:rsidP="00273BE2">
      <w:pPr>
        <w:numPr>
          <w:ilvl w:val="0"/>
          <w:numId w:val="29"/>
        </w:numPr>
        <w:ind w:left="567" w:hanging="567"/>
      </w:pPr>
      <w:r w:rsidRPr="00A14E24">
        <w:t>Jeigu kiltų daugiau klausimų, kreipkitės į gydytoją arba vaistininką.</w:t>
      </w:r>
    </w:p>
    <w:p w14:paraId="3392A805" w14:textId="77777777" w:rsidR="00273BE2" w:rsidRPr="00A14E24" w:rsidRDefault="00273BE2" w:rsidP="00273BE2">
      <w:pPr>
        <w:numPr>
          <w:ilvl w:val="0"/>
          <w:numId w:val="29"/>
        </w:numPr>
        <w:ind w:left="567" w:hanging="567"/>
      </w:pPr>
      <w:r w:rsidRPr="00A14E24">
        <w:t>Šis vaistas skirtas tik Jums, todėl kitiems žmonėms jo duoti negalima. Vaistas gali jiems pakenkti (net tiems, kurių ligos požymiai yra tokie patys kaip Jūsų).</w:t>
      </w:r>
    </w:p>
    <w:p w14:paraId="1C448436" w14:textId="77777777" w:rsidR="00273BE2" w:rsidRPr="00A14E24" w:rsidRDefault="00273BE2" w:rsidP="00273BE2">
      <w:pPr>
        <w:numPr>
          <w:ilvl w:val="0"/>
          <w:numId w:val="29"/>
        </w:numPr>
        <w:ind w:left="567" w:hanging="567"/>
      </w:pPr>
      <w:r w:rsidRPr="00A14E24">
        <w:t>Jeigu pasireiškė šalutinis poveikis (net jeigu jis šiame lapelyje nenurodytas), kreipkitės į gydytoją arba vaistininką. Žr. 4 skyrių.</w:t>
      </w:r>
    </w:p>
    <w:p w14:paraId="0B90CE88" w14:textId="77777777" w:rsidR="00273BE2" w:rsidRPr="00A14E24" w:rsidRDefault="00273BE2" w:rsidP="00273BE2">
      <w:pPr>
        <w:widowControl w:val="0"/>
        <w:autoSpaceDE w:val="0"/>
        <w:autoSpaceDN w:val="0"/>
        <w:adjustRightInd w:val="0"/>
        <w:ind w:left="567" w:hanging="567"/>
        <w:rPr>
          <w:bCs/>
        </w:rPr>
      </w:pPr>
    </w:p>
    <w:p w14:paraId="4D4FF2C0" w14:textId="77777777" w:rsidR="00273BE2" w:rsidRPr="00A14E24" w:rsidRDefault="00273BE2" w:rsidP="00273BE2">
      <w:pPr>
        <w:widowControl w:val="0"/>
        <w:ind w:left="567" w:hanging="567"/>
        <w:rPr>
          <w:b/>
        </w:rPr>
      </w:pPr>
      <w:r w:rsidRPr="00A14E24">
        <w:rPr>
          <w:b/>
        </w:rPr>
        <w:t>Apie ką rašoma šiame lapelyje?</w:t>
      </w:r>
    </w:p>
    <w:p w14:paraId="0F208433" w14:textId="77777777" w:rsidR="00273BE2" w:rsidRPr="00A14E24" w:rsidRDefault="00273BE2" w:rsidP="00273BE2">
      <w:pPr>
        <w:widowControl w:val="0"/>
        <w:rPr>
          <w:bCs/>
        </w:rPr>
      </w:pPr>
    </w:p>
    <w:p w14:paraId="6D7C40D6" w14:textId="4FC51CB9" w:rsidR="00273BE2" w:rsidRPr="00A14E24" w:rsidRDefault="00273BE2" w:rsidP="00273BE2">
      <w:pPr>
        <w:widowControl w:val="0"/>
        <w:ind w:left="567" w:hanging="567"/>
      </w:pPr>
      <w:r w:rsidRPr="00A14E24">
        <w:t>1.</w:t>
      </w:r>
      <w:r w:rsidRPr="00A14E24">
        <w:tab/>
        <w:t xml:space="preserve">Kas yra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ir kam jis vartojamas</w:t>
      </w:r>
    </w:p>
    <w:p w14:paraId="52D0474E" w14:textId="0D90B88E" w:rsidR="00273BE2" w:rsidRPr="00A14E24" w:rsidRDefault="00273BE2" w:rsidP="00273BE2">
      <w:pPr>
        <w:widowControl w:val="0"/>
        <w:ind w:left="567" w:hanging="567"/>
      </w:pPr>
      <w:r w:rsidRPr="00A14E24">
        <w:t>2.</w:t>
      </w:r>
      <w:r w:rsidRPr="00A14E24">
        <w:tab/>
        <w:t xml:space="preserve">Kas žinotina prieš vartojant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p>
    <w:p w14:paraId="1B4C5507" w14:textId="4A3B664D" w:rsidR="00273BE2" w:rsidRPr="00A14E24" w:rsidRDefault="00273BE2" w:rsidP="00273BE2">
      <w:pPr>
        <w:widowControl w:val="0"/>
        <w:ind w:left="567" w:hanging="567"/>
      </w:pPr>
      <w:r w:rsidRPr="00A14E24">
        <w:t>3.</w:t>
      </w:r>
      <w:r w:rsidRPr="00A14E24">
        <w:tab/>
        <w:t xml:space="preserve">Kaip vartoti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p>
    <w:p w14:paraId="5A66B147" w14:textId="77777777" w:rsidR="00273BE2" w:rsidRPr="00A14E24" w:rsidRDefault="00273BE2" w:rsidP="00273BE2">
      <w:pPr>
        <w:widowControl w:val="0"/>
        <w:ind w:left="567" w:hanging="567"/>
      </w:pPr>
      <w:r w:rsidRPr="00A14E24">
        <w:t>4.</w:t>
      </w:r>
      <w:r w:rsidRPr="00A14E24">
        <w:tab/>
        <w:t>Galimas šalutinis poveikis</w:t>
      </w:r>
    </w:p>
    <w:p w14:paraId="30ABD26D" w14:textId="4E1870D4" w:rsidR="00273BE2" w:rsidRPr="00A14E24" w:rsidRDefault="00273BE2" w:rsidP="00273BE2">
      <w:pPr>
        <w:widowControl w:val="0"/>
        <w:ind w:left="567" w:hanging="567"/>
      </w:pPr>
      <w:r w:rsidRPr="00A14E24">
        <w:t>5.</w:t>
      </w:r>
      <w:r w:rsidRPr="00A14E24">
        <w:tab/>
        <w:t xml:space="preserve">Kaip laikyti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p>
    <w:p w14:paraId="4AB46D13" w14:textId="77777777" w:rsidR="00273BE2" w:rsidRPr="00A14E24" w:rsidRDefault="00273BE2" w:rsidP="00273BE2">
      <w:pPr>
        <w:widowControl w:val="0"/>
        <w:ind w:left="567" w:hanging="567"/>
      </w:pPr>
      <w:r w:rsidRPr="00A14E24">
        <w:t>6.</w:t>
      </w:r>
      <w:r w:rsidRPr="00A14E24">
        <w:tab/>
        <w:t>Pakuotės turinys ir kita informacija</w:t>
      </w:r>
    </w:p>
    <w:p w14:paraId="06C944B4" w14:textId="77777777" w:rsidR="00273BE2" w:rsidRPr="00A14E24" w:rsidRDefault="00273BE2" w:rsidP="00273BE2">
      <w:pPr>
        <w:widowControl w:val="0"/>
        <w:numPr>
          <w:ilvl w:val="12"/>
          <w:numId w:val="0"/>
        </w:numPr>
      </w:pPr>
    </w:p>
    <w:p w14:paraId="725D55D9" w14:textId="77777777" w:rsidR="00273BE2" w:rsidRPr="00A14E24" w:rsidRDefault="00273BE2" w:rsidP="00273BE2">
      <w:pPr>
        <w:widowControl w:val="0"/>
        <w:numPr>
          <w:ilvl w:val="12"/>
          <w:numId w:val="0"/>
        </w:numPr>
      </w:pPr>
    </w:p>
    <w:p w14:paraId="01B36956" w14:textId="0865FA53" w:rsidR="00273BE2" w:rsidRPr="00A14E24" w:rsidRDefault="00273BE2" w:rsidP="00273BE2">
      <w:pPr>
        <w:widowControl w:val="0"/>
        <w:numPr>
          <w:ilvl w:val="12"/>
          <w:numId w:val="0"/>
        </w:numPr>
        <w:ind w:left="567" w:hanging="567"/>
        <w:outlineLvl w:val="0"/>
        <w:rPr>
          <w:b/>
          <w:caps/>
        </w:rPr>
      </w:pPr>
      <w:r w:rsidRPr="00A14E24">
        <w:rPr>
          <w:b/>
        </w:rPr>
        <w:t>1.</w:t>
      </w:r>
      <w:r w:rsidRPr="00A14E24">
        <w:rPr>
          <w:b/>
        </w:rPr>
        <w:tab/>
        <w:t xml:space="preserve">Kas yra </w:t>
      </w: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r w:rsidRPr="00A14E24">
        <w:rPr>
          <w:b/>
          <w:bCs/>
        </w:rPr>
        <w:t xml:space="preserve"> </w:t>
      </w:r>
      <w:r w:rsidRPr="00A14E24">
        <w:rPr>
          <w:b/>
        </w:rPr>
        <w:t>ir kam jis vartojamas</w:t>
      </w:r>
    </w:p>
    <w:p w14:paraId="5ADCB353" w14:textId="77777777" w:rsidR="00273BE2" w:rsidRPr="00A14E24" w:rsidRDefault="00273BE2" w:rsidP="00273BE2">
      <w:pPr>
        <w:widowControl w:val="0"/>
        <w:ind w:left="567" w:hanging="567"/>
      </w:pPr>
    </w:p>
    <w:p w14:paraId="5FD86200" w14:textId="179A6572" w:rsidR="00273BE2" w:rsidRPr="00A14E24" w:rsidRDefault="00273BE2" w:rsidP="00273BE2">
      <w:pPr>
        <w:widowControl w:val="0"/>
        <w:numPr>
          <w:ilvl w:val="12"/>
          <w:numId w:val="0"/>
        </w:numPr>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sudėtyje yra veikliosios medžiagos </w:t>
      </w:r>
      <w:proofErr w:type="spellStart"/>
      <w:r w:rsidRPr="00A14E24">
        <w:t>ibuprofeno</w:t>
      </w:r>
      <w:proofErr w:type="spellEnd"/>
      <w:r w:rsidRPr="00A14E24">
        <w:t xml:space="preserve">, jis priklauso vaistų, vadinamų nesteroidiniais vaistais nuo uždegimo (NVNU), grupei.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mažina karščiavimą, malšina skausmą ir sukelia priešuždegiminį poveikį.</w:t>
      </w:r>
    </w:p>
    <w:p w14:paraId="0B348B98" w14:textId="77777777" w:rsidR="00273BE2" w:rsidRPr="00A14E24" w:rsidRDefault="00273BE2" w:rsidP="00273BE2">
      <w:pPr>
        <w:widowControl w:val="0"/>
        <w:numPr>
          <w:ilvl w:val="12"/>
          <w:numId w:val="0"/>
        </w:numPr>
      </w:pPr>
    </w:p>
    <w:p w14:paraId="79DC07C7" w14:textId="1017E52D" w:rsidR="00273BE2" w:rsidRPr="007349F4" w:rsidRDefault="00273BE2" w:rsidP="00273BE2">
      <w:pPr>
        <w:shd w:val="clear" w:color="auto" w:fill="FFFFFF"/>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vartojamas simptominiam skausmo malšinimui ir uždegimo slopinimui sergant artritu pasireiškiančiomis ligomis (pvz., reumatoidiniu artritu), degeneracinėmis sąnarių ligomis (pvz., </w:t>
      </w:r>
      <w:proofErr w:type="spellStart"/>
      <w:r w:rsidRPr="00A14E24">
        <w:t>osteoartritu</w:t>
      </w:r>
      <w:proofErr w:type="spellEnd"/>
      <w:r w:rsidRPr="00A14E24">
        <w:t xml:space="preserve">) bei pasireiškus skausmingam patinimui ir uždegimui po minkštųjų </w:t>
      </w:r>
      <w:r w:rsidRPr="007349F4">
        <w:t>audinių pažaidos suaugusiesiems ir vyresniems kaip 1</w:t>
      </w:r>
      <w:r w:rsidR="007349F4" w:rsidRPr="007349F4">
        <w:t>5</w:t>
      </w:r>
      <w:r w:rsidRPr="007349F4">
        <w:t> metų paaugliams (sveriantiems ≥ </w:t>
      </w:r>
      <w:r w:rsidR="007349F4" w:rsidRPr="007349F4">
        <w:t>50</w:t>
      </w:r>
      <w:r w:rsidRPr="007349F4">
        <w:t> kg).</w:t>
      </w:r>
    </w:p>
    <w:p w14:paraId="09235B07" w14:textId="77777777" w:rsidR="00273BE2" w:rsidRPr="007349F4" w:rsidRDefault="00273BE2" w:rsidP="00273BE2">
      <w:pPr>
        <w:shd w:val="clear" w:color="auto" w:fill="FFFFFF"/>
      </w:pPr>
    </w:p>
    <w:p w14:paraId="458B35F3" w14:textId="77777777" w:rsidR="003F20CF" w:rsidRPr="00B01F18" w:rsidRDefault="003F20CF" w:rsidP="003F20CF">
      <w:pPr>
        <w:ind w:right="-1"/>
      </w:pPr>
      <w:proofErr w:type="spellStart"/>
      <w:r w:rsidRPr="007349F4">
        <w:t>Ibuprofen</w:t>
      </w:r>
      <w:proofErr w:type="spellEnd"/>
      <w:r w:rsidRPr="007349F4">
        <w:t xml:space="preserve"> STADA </w:t>
      </w:r>
      <w:proofErr w:type="spellStart"/>
      <w:r w:rsidRPr="007349F4">
        <w:t>Arzneimittel</w:t>
      </w:r>
      <w:proofErr w:type="spellEnd"/>
      <w:r w:rsidRPr="007349F4">
        <w:t xml:space="preserve"> 600 mg yra skirtas suaugusiesiems ir </w:t>
      </w:r>
      <w:r w:rsidRPr="007349F4">
        <w:rPr>
          <w:rFonts w:eastAsia="Times New Roman"/>
        </w:rPr>
        <w:t>≥ </w:t>
      </w:r>
      <w:r w:rsidRPr="007349F4">
        <w:t>50 kg sveriantiems paaugliams (15 metų ir vyresniems).</w:t>
      </w:r>
    </w:p>
    <w:p w14:paraId="4F27D667" w14:textId="77777777" w:rsidR="00273BE2" w:rsidRDefault="00273BE2" w:rsidP="00273BE2">
      <w:pPr>
        <w:widowControl w:val="0"/>
        <w:numPr>
          <w:ilvl w:val="12"/>
          <w:numId w:val="0"/>
        </w:numPr>
        <w:shd w:val="clear" w:color="auto" w:fill="FFFFFF"/>
      </w:pPr>
    </w:p>
    <w:p w14:paraId="5E3AC21E" w14:textId="77777777" w:rsidR="003F20CF" w:rsidRPr="00A14E24" w:rsidRDefault="003F20CF" w:rsidP="00273BE2">
      <w:pPr>
        <w:widowControl w:val="0"/>
        <w:numPr>
          <w:ilvl w:val="12"/>
          <w:numId w:val="0"/>
        </w:numPr>
        <w:shd w:val="clear" w:color="auto" w:fill="FFFFFF"/>
      </w:pPr>
    </w:p>
    <w:p w14:paraId="46591A5D" w14:textId="426FDD9B" w:rsidR="00273BE2" w:rsidRPr="00A14E24" w:rsidRDefault="00273BE2" w:rsidP="00273BE2">
      <w:pPr>
        <w:widowControl w:val="0"/>
        <w:numPr>
          <w:ilvl w:val="12"/>
          <w:numId w:val="0"/>
        </w:numPr>
        <w:ind w:left="567" w:hanging="567"/>
        <w:outlineLvl w:val="0"/>
        <w:rPr>
          <w:b/>
          <w:caps/>
        </w:rPr>
      </w:pPr>
      <w:r w:rsidRPr="00A14E24">
        <w:rPr>
          <w:b/>
        </w:rPr>
        <w:t>2.</w:t>
      </w:r>
      <w:r w:rsidRPr="00A14E24">
        <w:rPr>
          <w:b/>
        </w:rPr>
        <w:tab/>
        <w:t xml:space="preserve">Kas žinotina prieš vartojant </w:t>
      </w: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p>
    <w:p w14:paraId="63553FAB" w14:textId="77777777" w:rsidR="00273BE2" w:rsidRPr="00A14E24" w:rsidRDefault="00273BE2" w:rsidP="00273BE2">
      <w:pPr>
        <w:widowControl w:val="0"/>
        <w:ind w:left="567" w:hanging="567"/>
      </w:pPr>
    </w:p>
    <w:p w14:paraId="587873D0" w14:textId="26B2B014" w:rsidR="00273BE2" w:rsidRPr="00A14E24" w:rsidRDefault="00273BE2" w:rsidP="00273BE2">
      <w:pPr>
        <w:widowControl w:val="0"/>
        <w:ind w:left="567" w:hanging="567"/>
        <w:rPr>
          <w:b/>
          <w:bCs/>
          <w:caps/>
        </w:rPr>
      </w:pP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r w:rsidRPr="00A14E24">
        <w:rPr>
          <w:b/>
          <w:bCs/>
        </w:rPr>
        <w:t xml:space="preserve"> vartoti </w:t>
      </w:r>
      <w:r w:rsidR="00D50B05">
        <w:rPr>
          <w:b/>
          <w:bCs/>
        </w:rPr>
        <w:t>draudžiama</w:t>
      </w:r>
      <w:r w:rsidRPr="00A14E24">
        <w:rPr>
          <w:b/>
          <w:bCs/>
        </w:rPr>
        <w:t>:</w:t>
      </w:r>
    </w:p>
    <w:p w14:paraId="1FFFD399" w14:textId="77777777" w:rsidR="00273BE2" w:rsidRPr="00A14E24" w:rsidRDefault="00273BE2" w:rsidP="00273BE2">
      <w:pPr>
        <w:widowControl w:val="0"/>
        <w:numPr>
          <w:ilvl w:val="1"/>
          <w:numId w:val="28"/>
        </w:numPr>
        <w:autoSpaceDE w:val="0"/>
        <w:autoSpaceDN w:val="0"/>
        <w:adjustRightInd w:val="0"/>
        <w:ind w:left="567" w:hanging="567"/>
      </w:pPr>
      <w:r w:rsidRPr="00A14E24">
        <w:t xml:space="preserve">jeigu yra alergija </w:t>
      </w:r>
      <w:proofErr w:type="spellStart"/>
      <w:r w:rsidRPr="00A14E24">
        <w:t>ibuprofenui</w:t>
      </w:r>
      <w:proofErr w:type="spellEnd"/>
      <w:r w:rsidRPr="00A14E24">
        <w:t xml:space="preserve"> arba bet kuriai pagalbinei šio vaisto medžiagai (jos išvardytos 6 skyriuje);</w:t>
      </w:r>
    </w:p>
    <w:p w14:paraId="346550AD" w14:textId="77777777" w:rsidR="00273BE2" w:rsidRPr="00A14E24" w:rsidRDefault="00273BE2" w:rsidP="00273BE2">
      <w:pPr>
        <w:widowControl w:val="0"/>
        <w:numPr>
          <w:ilvl w:val="1"/>
          <w:numId w:val="28"/>
        </w:numPr>
        <w:autoSpaceDE w:val="0"/>
        <w:autoSpaceDN w:val="0"/>
        <w:adjustRightInd w:val="0"/>
        <w:ind w:left="567" w:hanging="567"/>
      </w:pPr>
      <w:r w:rsidRPr="00A14E24">
        <w:t>jeigu yra skrandžio arba dvylikapirštės žarnos opa arba yra buvęs pasikartojantis skrandžio ar žarnyno išopėjimas ar kraujavimas;</w:t>
      </w:r>
    </w:p>
    <w:p w14:paraId="2DD4CA40" w14:textId="77777777" w:rsidR="00273BE2" w:rsidRPr="00A14E24" w:rsidRDefault="00273BE2" w:rsidP="00273BE2">
      <w:pPr>
        <w:widowControl w:val="0"/>
        <w:numPr>
          <w:ilvl w:val="1"/>
          <w:numId w:val="28"/>
        </w:numPr>
        <w:autoSpaceDE w:val="0"/>
        <w:autoSpaceDN w:val="0"/>
        <w:adjustRightInd w:val="0"/>
        <w:ind w:left="567" w:hanging="567"/>
      </w:pPr>
      <w:r w:rsidRPr="00A14E24">
        <w:t>jeigu yra sunki kepenų ar inkstų liga;</w:t>
      </w:r>
    </w:p>
    <w:p w14:paraId="575FC514" w14:textId="77777777" w:rsidR="00273BE2" w:rsidRPr="00A14E24" w:rsidRDefault="00273BE2" w:rsidP="00273BE2">
      <w:pPr>
        <w:widowControl w:val="0"/>
        <w:numPr>
          <w:ilvl w:val="1"/>
          <w:numId w:val="28"/>
        </w:numPr>
        <w:autoSpaceDE w:val="0"/>
        <w:autoSpaceDN w:val="0"/>
        <w:adjustRightInd w:val="0"/>
        <w:ind w:left="567" w:hanging="567"/>
      </w:pPr>
      <w:r w:rsidRPr="00A14E24">
        <w:t>jeigu yra sunkus širdies nepakankamumas;</w:t>
      </w:r>
    </w:p>
    <w:p w14:paraId="10186337" w14:textId="77777777" w:rsidR="00273BE2" w:rsidRPr="00A14E24" w:rsidRDefault="00273BE2" w:rsidP="00273BE2">
      <w:pPr>
        <w:widowControl w:val="0"/>
        <w:numPr>
          <w:ilvl w:val="1"/>
          <w:numId w:val="28"/>
        </w:numPr>
        <w:autoSpaceDE w:val="0"/>
        <w:autoSpaceDN w:val="0"/>
        <w:adjustRightInd w:val="0"/>
        <w:ind w:left="567" w:hanging="567"/>
      </w:pPr>
      <w:r w:rsidRPr="00A14E24">
        <w:t>jeigu yra padidėjęs polinkis kraujuoti;</w:t>
      </w:r>
    </w:p>
    <w:p w14:paraId="12A2EB62" w14:textId="55F51575" w:rsidR="00273BE2" w:rsidRPr="00A14E24" w:rsidRDefault="00273BE2" w:rsidP="00273BE2">
      <w:pPr>
        <w:widowControl w:val="0"/>
        <w:numPr>
          <w:ilvl w:val="1"/>
          <w:numId w:val="28"/>
        </w:numPr>
        <w:autoSpaceDE w:val="0"/>
        <w:autoSpaceDN w:val="0"/>
        <w:adjustRightInd w:val="0"/>
        <w:ind w:left="567" w:hanging="567"/>
      </w:pPr>
      <w:r w:rsidRPr="00A14E24">
        <w:t>jeigu buvo pasireiškęs skrandžio ar žarnyno kraujavimas arba prakiurimas</w:t>
      </w:r>
      <w:r w:rsidR="00171AAC">
        <w:t xml:space="preserve"> (perforacija)</w:t>
      </w:r>
      <w:r w:rsidRPr="00A14E24">
        <w:t xml:space="preserve"> vartojant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ar panašių vaistų (</w:t>
      </w:r>
      <w:r w:rsidR="0054515C">
        <w:t xml:space="preserve">kitų </w:t>
      </w:r>
      <w:r w:rsidRPr="00A14E24">
        <w:t>NVNU);</w:t>
      </w:r>
    </w:p>
    <w:p w14:paraId="0F2CBD23" w14:textId="77777777" w:rsidR="00273BE2" w:rsidRPr="00A14E24" w:rsidRDefault="00273BE2" w:rsidP="00273BE2">
      <w:pPr>
        <w:widowControl w:val="0"/>
        <w:numPr>
          <w:ilvl w:val="1"/>
          <w:numId w:val="28"/>
        </w:numPr>
        <w:autoSpaceDE w:val="0"/>
        <w:autoSpaceDN w:val="0"/>
        <w:adjustRightInd w:val="0"/>
        <w:ind w:left="567" w:hanging="567"/>
      </w:pPr>
      <w:r w:rsidRPr="00A14E24">
        <w:t>jeigu yra trys paskutinieji nėštumo mėnesiai;</w:t>
      </w:r>
    </w:p>
    <w:p w14:paraId="42609379" w14:textId="1F89EEFE" w:rsidR="00273BE2" w:rsidRPr="00A14E24" w:rsidRDefault="00273BE2" w:rsidP="00273BE2">
      <w:pPr>
        <w:widowControl w:val="0"/>
        <w:numPr>
          <w:ilvl w:val="1"/>
          <w:numId w:val="28"/>
        </w:numPr>
        <w:autoSpaceDE w:val="0"/>
        <w:autoSpaceDN w:val="0"/>
        <w:adjustRightInd w:val="0"/>
        <w:ind w:left="567" w:hanging="567"/>
      </w:pPr>
      <w:r w:rsidRPr="00A14E24">
        <w:t xml:space="preserve">jeigu pavartojus </w:t>
      </w:r>
      <w:proofErr w:type="spellStart"/>
      <w:r w:rsidRPr="00A14E24">
        <w:t>acetilsalicilo</w:t>
      </w:r>
      <w:proofErr w:type="spellEnd"/>
      <w:r w:rsidRPr="00A14E24">
        <w:t xml:space="preserve"> rūgšties ar kitokio vaisto nuo uždegimo (NVNU) Jums buvo pasireiškusi alerginė reakcija (pvz., kvėpavimo pasunkėjimas, nosies užsikimšimas, išbėrimas).</w:t>
      </w:r>
    </w:p>
    <w:p w14:paraId="0E0665CC" w14:textId="77777777" w:rsidR="00273BE2" w:rsidRPr="00A14E24" w:rsidRDefault="00273BE2" w:rsidP="00273BE2">
      <w:pPr>
        <w:widowControl w:val="0"/>
        <w:autoSpaceDE w:val="0"/>
        <w:autoSpaceDN w:val="0"/>
        <w:adjustRightInd w:val="0"/>
      </w:pPr>
    </w:p>
    <w:p w14:paraId="267BF89C" w14:textId="7DA599DB" w:rsidR="00273BE2" w:rsidRPr="00A14E24" w:rsidRDefault="00273BE2" w:rsidP="00273BE2">
      <w:pPr>
        <w:widowControl w:val="0"/>
        <w:autoSpaceDE w:val="0"/>
        <w:autoSpaceDN w:val="0"/>
        <w:adjustRightInd w:val="0"/>
      </w:pPr>
      <w:r w:rsidRPr="00A14E24">
        <w:t xml:space="preserve">Nevartokite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jei bet kuri paminėta būklė Jums tinka. Jei abejojate, pasitarkite su gydytoju arba vaistininku.</w:t>
      </w:r>
    </w:p>
    <w:p w14:paraId="7CFD46AB" w14:textId="77777777" w:rsidR="00273BE2" w:rsidRPr="00A14E24" w:rsidRDefault="00273BE2" w:rsidP="00273BE2">
      <w:pPr>
        <w:widowControl w:val="0"/>
        <w:autoSpaceDE w:val="0"/>
        <w:autoSpaceDN w:val="0"/>
        <w:adjustRightInd w:val="0"/>
        <w:rPr>
          <w:b/>
          <w:bCs/>
        </w:rPr>
      </w:pPr>
    </w:p>
    <w:p w14:paraId="1B8D11B3" w14:textId="77777777" w:rsidR="00273BE2" w:rsidRPr="00A14E24" w:rsidRDefault="00273BE2" w:rsidP="00273BE2">
      <w:pPr>
        <w:widowControl w:val="0"/>
        <w:ind w:left="567" w:hanging="567"/>
        <w:rPr>
          <w:b/>
        </w:rPr>
      </w:pPr>
      <w:r w:rsidRPr="00A14E24">
        <w:rPr>
          <w:b/>
        </w:rPr>
        <w:t>Įspėjimai ir atsargumo priemonės</w:t>
      </w:r>
    </w:p>
    <w:p w14:paraId="0DECB202" w14:textId="58D4ACE4" w:rsidR="00273BE2" w:rsidRPr="00A14E24" w:rsidRDefault="00273BE2" w:rsidP="00273BE2">
      <w:pPr>
        <w:widowControl w:val="0"/>
        <w:numPr>
          <w:ilvl w:val="12"/>
          <w:numId w:val="0"/>
        </w:numPr>
      </w:pPr>
      <w:r w:rsidRPr="00A14E24">
        <w:t xml:space="preserve">Pasitarkite su gydytoju arba vaistininku, prieš pradėdami vartoti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w:t>
      </w:r>
    </w:p>
    <w:p w14:paraId="4C75B01F" w14:textId="0F19EBA5" w:rsidR="00273BE2" w:rsidRPr="00A14E24" w:rsidRDefault="00273BE2" w:rsidP="00273BE2">
      <w:pPr>
        <w:numPr>
          <w:ilvl w:val="0"/>
          <w:numId w:val="30"/>
        </w:numPr>
        <w:ind w:left="567" w:hanging="567"/>
        <w:contextualSpacing/>
      </w:pPr>
      <w:r w:rsidRPr="00A14E24">
        <w:t xml:space="preserve">jeigu sergate astma, sloga (lėtiniu rinitu) arba alerginėmis ligomis, kadangi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esant bet kuriai iš paminėtų būklių gali sukelti kvėpavimo pasunkėjimą, dilgėlinę ar sunkią alerginę reakciją;</w:t>
      </w:r>
    </w:p>
    <w:p w14:paraId="59F27458" w14:textId="12A25B1A" w:rsidR="00273BE2" w:rsidRPr="00A14E24" w:rsidRDefault="00273BE2" w:rsidP="00273BE2">
      <w:pPr>
        <w:numPr>
          <w:ilvl w:val="0"/>
          <w:numId w:val="30"/>
        </w:numPr>
        <w:ind w:left="567" w:hanging="567"/>
        <w:contextualSpacing/>
      </w:pPr>
      <w:r w:rsidRPr="00A14E24">
        <w:t xml:space="preserve">jeigu sergate tam tikromis imuninės sistemos ligomis (mišria jungiamojo audinio liga arba sistemine raudonąja vilklige (SRV), t. y. jungiamąjį audinį paveikiančiomis imuninės sistemos būklėmis, kurios sukelia sąnarių skausmą, odos pokyčius ir kitų organų sutrikimus), nes gali būti padidėjusi </w:t>
      </w:r>
      <w:r w:rsidR="00897A80">
        <w:t>nebakterinio (</w:t>
      </w:r>
      <w:proofErr w:type="spellStart"/>
      <w:r w:rsidR="00897A80">
        <w:t>aseptinio</w:t>
      </w:r>
      <w:proofErr w:type="spellEnd"/>
      <w:r w:rsidR="00897A80">
        <w:t xml:space="preserve">) </w:t>
      </w:r>
      <w:r w:rsidRPr="00A14E24">
        <w:t>smegenų dangalų uždegimo (meningito) rizika;</w:t>
      </w:r>
    </w:p>
    <w:p w14:paraId="45664110" w14:textId="77777777" w:rsidR="00273BE2" w:rsidRPr="00A14E24" w:rsidRDefault="00273BE2" w:rsidP="00273BE2">
      <w:pPr>
        <w:numPr>
          <w:ilvl w:val="0"/>
          <w:numId w:val="30"/>
        </w:numPr>
        <w:ind w:left="567" w:hanging="567"/>
        <w:contextualSpacing/>
      </w:pPr>
      <w:r w:rsidRPr="00A14E24">
        <w:t>jeigu yra sutrikusi inkstų ar kepenų funkcija;</w:t>
      </w:r>
    </w:p>
    <w:p w14:paraId="7EDAEEA1" w14:textId="37EFBB76" w:rsidR="00273BE2" w:rsidRPr="00A14E24" w:rsidRDefault="00273BE2" w:rsidP="00273BE2">
      <w:pPr>
        <w:numPr>
          <w:ilvl w:val="0"/>
          <w:numId w:val="30"/>
        </w:numPr>
        <w:ind w:left="567" w:hanging="567"/>
        <w:contextualSpacing/>
      </w:pPr>
      <w:r w:rsidRPr="00A14E24">
        <w:t xml:space="preserve">jeigu yra širdies </w:t>
      </w:r>
      <w:r w:rsidR="006B5F29">
        <w:t>sutrikimų</w:t>
      </w:r>
      <w:r w:rsidRPr="00A14E24">
        <w:t>, įskaitant širdies nepakankamumą, krūtinės anginą (jaučiate skausmą krūtinėje), arba jeigu Jums buvo širdies priepuolis, atlikta širdies kraujagyslių jungčių suformavimo operacija, diagnozuota periferinių arterijų liga (prasta kraujotaka kojose ar pėdose dėl susiaurėjusių arba užsikimšusių arterijų) arba buvo ištikęs bet kokios rūšies insultas (įskaitant mini insultą arba praeinantį smegenų išemijos priepuolį (PSIP));</w:t>
      </w:r>
    </w:p>
    <w:p w14:paraId="3001A54E" w14:textId="77777777" w:rsidR="00273BE2" w:rsidRPr="00A14E24" w:rsidRDefault="00273BE2" w:rsidP="00273BE2">
      <w:pPr>
        <w:numPr>
          <w:ilvl w:val="0"/>
          <w:numId w:val="30"/>
        </w:numPr>
        <w:ind w:left="567" w:hanging="567"/>
        <w:contextualSpacing/>
      </w:pPr>
      <w:r w:rsidRPr="00A14E24">
        <w:t>jeigu Jūsų kraujospūdis yra padidėjęs, sergate cukriniu diabetu, nustatytas didelis cholesterolio kiekis, buvo širdies liga ar insultu sirgusių kraujo giminaičių arba jeigu rūkote;</w:t>
      </w:r>
    </w:p>
    <w:p w14:paraId="4A2F5CE7" w14:textId="77777777" w:rsidR="00273BE2" w:rsidRPr="00A14E24" w:rsidRDefault="00273BE2" w:rsidP="00273BE2">
      <w:pPr>
        <w:numPr>
          <w:ilvl w:val="0"/>
          <w:numId w:val="30"/>
        </w:numPr>
        <w:ind w:left="567" w:hanging="567"/>
        <w:contextualSpacing/>
      </w:pPr>
      <w:r w:rsidRPr="00A14E24">
        <w:t>jeigu sergate uždegimine žarnyno liga, anksčiau buvo atsiradusi skrandžio opa arba yra kitoks padidėjęs polinkis kraujuoti;</w:t>
      </w:r>
    </w:p>
    <w:p w14:paraId="160BF345" w14:textId="77777777" w:rsidR="00273BE2" w:rsidRPr="00A14E24" w:rsidRDefault="00273BE2" w:rsidP="00273BE2">
      <w:pPr>
        <w:numPr>
          <w:ilvl w:val="0"/>
          <w:numId w:val="30"/>
        </w:numPr>
        <w:ind w:left="567" w:hanging="567"/>
        <w:contextualSpacing/>
      </w:pPr>
      <w:r w:rsidRPr="00A14E24">
        <w:t>jeigu organizme trūksta skysčių (yra dehidratacija), nes kyla inkstų funkcijos sutrikimo rizika, ypač paaugliams ir senyviems žmonėms, kuriems yra dehidratacija;</w:t>
      </w:r>
    </w:p>
    <w:p w14:paraId="63806060" w14:textId="77777777" w:rsidR="00273BE2" w:rsidRPr="00A14E24" w:rsidRDefault="00273BE2" w:rsidP="00273BE2">
      <w:pPr>
        <w:numPr>
          <w:ilvl w:val="0"/>
          <w:numId w:val="30"/>
        </w:numPr>
        <w:ind w:left="567" w:hanging="567"/>
        <w:contextualSpacing/>
      </w:pPr>
      <w:r w:rsidRPr="00A14E24">
        <w:t>jeigu Jums yra infekcija (žr. poskyrį „Infekcijos“ toliau).</w:t>
      </w:r>
    </w:p>
    <w:p w14:paraId="4EFE3990" w14:textId="77777777" w:rsidR="00273BE2" w:rsidRPr="00A14E24" w:rsidRDefault="00273BE2" w:rsidP="00273BE2">
      <w:pPr>
        <w:ind w:left="284" w:hanging="284"/>
      </w:pPr>
    </w:p>
    <w:p w14:paraId="09F3185E" w14:textId="3BFEBD2E" w:rsidR="00273BE2" w:rsidRPr="00A14E24" w:rsidRDefault="00273BE2" w:rsidP="00273BE2">
      <w:r w:rsidRPr="00A14E24">
        <w:t xml:space="preserve">Nevartokite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jeigu planuojate pastoti. </w:t>
      </w:r>
      <w:r w:rsidR="00AB25B4">
        <w:t xml:space="preserve">Pirmiausia pasitarkite su gydytoju. </w:t>
      </w:r>
      <w:r w:rsidRPr="00A14E24">
        <w:t>Taip pat žr. poskyrį „Nėštumas, žindymo laikotarpis ir vaisingumas“.</w:t>
      </w:r>
    </w:p>
    <w:p w14:paraId="4DFA7376" w14:textId="77777777" w:rsidR="00273BE2" w:rsidRPr="00A14E24" w:rsidRDefault="00273BE2" w:rsidP="00273BE2"/>
    <w:p w14:paraId="1C2C613E" w14:textId="178D0D61" w:rsidR="00273BE2" w:rsidRPr="00A14E24" w:rsidRDefault="00273BE2" w:rsidP="00273BE2">
      <w:r w:rsidRPr="00A14E24">
        <w:t>Šis vaistas priklauso vaistų (NVNU), kurie gali bloginti moterų vaisingumą, grupei. Taip pat žr. poskyrį „Nėštumas, žindymo laikotarpis ir vaisingumas“.</w:t>
      </w:r>
    </w:p>
    <w:p w14:paraId="6D9B4629" w14:textId="77777777" w:rsidR="00273BE2" w:rsidRPr="00A14E24" w:rsidRDefault="00273BE2" w:rsidP="00273BE2"/>
    <w:p w14:paraId="78DF8D66" w14:textId="77777777" w:rsidR="00273BE2" w:rsidRPr="00A14E24" w:rsidRDefault="00273BE2" w:rsidP="00273BE2">
      <w:pPr>
        <w:rPr>
          <w:u w:val="single"/>
        </w:rPr>
      </w:pPr>
      <w:r w:rsidRPr="00A14E24">
        <w:rPr>
          <w:u w:val="single"/>
        </w:rPr>
        <w:t>Mažiausia veiksminga dozė</w:t>
      </w:r>
    </w:p>
    <w:p w14:paraId="334081A9" w14:textId="3B82C298" w:rsidR="00273BE2" w:rsidRPr="00A14E24" w:rsidRDefault="00273BE2" w:rsidP="00273BE2">
      <w:r w:rsidRPr="00A14E24">
        <w:t>Visada reikia stengtis vartoti mažiausią galimą dozę ir trumpiausią galimą gydymo trukmę, kad būtų sumažinta šalutinio poveikio rizika. Paprastai didesnės nei rekomenduojamos dozės gali kelti riziką. Tai taip pat reiškia, kad reikia vengti vartoti kelis NVNU tuo pačiu metu.</w:t>
      </w:r>
    </w:p>
    <w:p w14:paraId="4CBAF0C2" w14:textId="77777777" w:rsidR="00273BE2" w:rsidRPr="00A14E24" w:rsidRDefault="00273BE2" w:rsidP="00273BE2"/>
    <w:p w14:paraId="3AB31D71" w14:textId="77777777" w:rsidR="00273BE2" w:rsidRPr="00A14E24" w:rsidRDefault="00273BE2" w:rsidP="00273BE2">
      <w:pPr>
        <w:rPr>
          <w:u w:val="single"/>
        </w:rPr>
      </w:pPr>
      <w:r w:rsidRPr="00A14E24">
        <w:rPr>
          <w:u w:val="single"/>
        </w:rPr>
        <w:t>Ilgalaikis vartojimas</w:t>
      </w:r>
    </w:p>
    <w:p w14:paraId="047D3F29" w14:textId="345DA3DA" w:rsidR="00273BE2" w:rsidRPr="00A14E24" w:rsidRDefault="00273BE2" w:rsidP="00273BE2">
      <w:r w:rsidRPr="00A14E24">
        <w:t>Jei ilgą laiką vartojate skausmą malšinanči</w:t>
      </w:r>
      <w:r w:rsidR="006B4B02">
        <w:t>ų</w:t>
      </w:r>
      <w:r w:rsidRPr="00A14E24">
        <w:t xml:space="preserve"> vaist</w:t>
      </w:r>
      <w:r w:rsidR="006B4B02">
        <w:t>ų</w:t>
      </w:r>
      <w:r w:rsidRPr="00A14E24">
        <w:t>, tai gali sukelti galvos skausmą, kurio negalima gydyti dar didesne skausmą malšinančių vaistų doze. Jei manote, kad Jums yra tokia būklė, pasitarkite su gydytoju arba vaistininku.</w:t>
      </w:r>
    </w:p>
    <w:p w14:paraId="53ECC9D5" w14:textId="77777777" w:rsidR="00273BE2" w:rsidRPr="00A14E24" w:rsidRDefault="00273BE2" w:rsidP="00273BE2"/>
    <w:p w14:paraId="3E07C439" w14:textId="77777777" w:rsidR="00273BE2" w:rsidRPr="00A14E24" w:rsidRDefault="00273BE2" w:rsidP="00273BE2">
      <w:pPr>
        <w:rPr>
          <w:u w:val="single"/>
        </w:rPr>
      </w:pPr>
      <w:r w:rsidRPr="00A14E24">
        <w:rPr>
          <w:u w:val="single"/>
        </w:rPr>
        <w:t>Širdies priepuolis ir insultas</w:t>
      </w:r>
    </w:p>
    <w:p w14:paraId="4AFFA25C" w14:textId="183299FB" w:rsidR="00273BE2" w:rsidRPr="00A14E24" w:rsidRDefault="00273BE2" w:rsidP="00273BE2">
      <w:r w:rsidRPr="00A14E24">
        <w:t xml:space="preserve">Uždegimą mažinantys ir skausmą malšinantys vaistai, tokie kaip </w:t>
      </w:r>
      <w:proofErr w:type="spellStart"/>
      <w:r w:rsidR="00B2323A">
        <w:t>i</w:t>
      </w:r>
      <w:r w:rsidRPr="00A14E24">
        <w:t>buprofen</w:t>
      </w:r>
      <w:r w:rsidR="00B2323A">
        <w:t>as</w:t>
      </w:r>
      <w:proofErr w:type="spellEnd"/>
      <w:r w:rsidRPr="00A14E24">
        <w:t>, gali būti susiję su nedideliu širdies ar insulto rizikos padidėjimu, ypač vartojant dideles dozes. Negalima viršyti rekomenduojamos dozės ar gydymo trukmės.</w:t>
      </w:r>
    </w:p>
    <w:p w14:paraId="4C049397" w14:textId="77777777" w:rsidR="00273BE2" w:rsidRPr="00A14E24" w:rsidRDefault="00273BE2" w:rsidP="00273BE2"/>
    <w:p w14:paraId="669EDE78" w14:textId="77777777" w:rsidR="00273BE2" w:rsidRPr="00A14E24" w:rsidRDefault="00273BE2" w:rsidP="00273BE2">
      <w:pPr>
        <w:rPr>
          <w:u w:val="single"/>
        </w:rPr>
      </w:pPr>
      <w:r w:rsidRPr="00A14E24">
        <w:rPr>
          <w:u w:val="single"/>
        </w:rPr>
        <w:t>Kraujavimas iš virškinimo trakto, jo išopėjimas ar prakiurimas</w:t>
      </w:r>
    </w:p>
    <w:p w14:paraId="77C9A0E5" w14:textId="3BC84142" w:rsidR="00273BE2" w:rsidRPr="00A14E24" w:rsidRDefault="00273BE2" w:rsidP="00273BE2">
      <w:r w:rsidRPr="00A14E24">
        <w:t>Pacientai, kurie</w:t>
      </w:r>
      <w:r w:rsidR="0021404F">
        <w:t>ms</w:t>
      </w:r>
      <w:r w:rsidRPr="00A14E24">
        <w:t xml:space="preserve"> anksčiau </w:t>
      </w:r>
      <w:r w:rsidR="0021404F">
        <w:t>buvo</w:t>
      </w:r>
      <w:r w:rsidRPr="00A14E24">
        <w:t xml:space="preserve"> virškinimo trakto problemų, ypač senyvi pacientai, turi kreiptis į gydytoją, jei pasireiškia su pilvu susijusių simptomų (ypač kraujavimas iš virškinimo trakto), ypač gydymo pradžioje.</w:t>
      </w:r>
    </w:p>
    <w:p w14:paraId="0D2E6256" w14:textId="321307BB" w:rsidR="00273BE2" w:rsidRPr="00A14E24" w:rsidRDefault="00273BE2" w:rsidP="00273BE2">
      <w:r w:rsidRPr="00A14E24">
        <w:t xml:space="preserve">Jei gydymo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metu pasireiškia kraujavimas iš virškinimo trakto ar jo išopėjimas, būtina nutraukti gydymą ir kreiptis į gydytoją.</w:t>
      </w:r>
    </w:p>
    <w:p w14:paraId="477F3B82" w14:textId="77777777" w:rsidR="00273BE2" w:rsidRPr="00A14E24" w:rsidRDefault="00273BE2" w:rsidP="00273BE2">
      <w:pPr>
        <w:jc w:val="both"/>
      </w:pPr>
    </w:p>
    <w:p w14:paraId="771AC1E4" w14:textId="77777777" w:rsidR="00273BE2" w:rsidRPr="00A14E24" w:rsidRDefault="00273BE2" w:rsidP="00273BE2">
      <w:pPr>
        <w:widowControl w:val="0"/>
        <w:autoSpaceDE w:val="0"/>
        <w:autoSpaceDN w:val="0"/>
        <w:adjustRightInd w:val="0"/>
        <w:rPr>
          <w:u w:val="single"/>
        </w:rPr>
      </w:pPr>
      <w:r w:rsidRPr="00A14E24">
        <w:rPr>
          <w:u w:val="single"/>
        </w:rPr>
        <w:t>Sunkios odos reakcijos</w:t>
      </w:r>
    </w:p>
    <w:p w14:paraId="588D3599" w14:textId="1F92471B" w:rsidR="00273BE2" w:rsidRPr="00A14E24" w:rsidRDefault="00273BE2" w:rsidP="00273BE2">
      <w:pPr>
        <w:widowControl w:val="0"/>
        <w:autoSpaceDE w:val="0"/>
        <w:autoSpaceDN w:val="0"/>
        <w:adjustRightInd w:val="0"/>
      </w:pPr>
      <w:r w:rsidRPr="00A14E24">
        <w:t xml:space="preserve">Gauta pranešimų apie sunkias odos reakcijas, įskaitant </w:t>
      </w:r>
      <w:proofErr w:type="spellStart"/>
      <w:r w:rsidRPr="00A14E24">
        <w:t>eksfoliacinį</w:t>
      </w:r>
      <w:proofErr w:type="spellEnd"/>
      <w:r w:rsidRPr="00A14E24">
        <w:t xml:space="preserve"> dermatitą, daugiaformę </w:t>
      </w:r>
      <w:proofErr w:type="spellStart"/>
      <w:r w:rsidRPr="00A14E24">
        <w:t>eritemą</w:t>
      </w:r>
      <w:proofErr w:type="spellEnd"/>
      <w:r w:rsidRPr="00A14E24">
        <w:t xml:space="preserve">, </w:t>
      </w:r>
      <w:proofErr w:type="spellStart"/>
      <w:r w:rsidRPr="00A14E24">
        <w:t>Stivenso</w:t>
      </w:r>
      <w:proofErr w:type="spellEnd"/>
      <w:r w:rsidRPr="00A14E24">
        <w:noBreakHyphen/>
        <w:t xml:space="preserve">Džonsono sindromą, toksinę epidermio </w:t>
      </w:r>
      <w:proofErr w:type="spellStart"/>
      <w:r w:rsidRPr="00A14E24">
        <w:t>nekrolizę</w:t>
      </w:r>
      <w:proofErr w:type="spellEnd"/>
      <w:r w:rsidRPr="00A14E24">
        <w:t xml:space="preserve">, </w:t>
      </w:r>
      <w:r w:rsidRPr="00A14E24">
        <w:rPr>
          <w:lang w:eastAsia="en-GB"/>
        </w:rPr>
        <w:t xml:space="preserve">reakciją į vaistą su </w:t>
      </w:r>
      <w:proofErr w:type="spellStart"/>
      <w:r w:rsidRPr="00A14E24">
        <w:rPr>
          <w:lang w:eastAsia="en-GB"/>
        </w:rPr>
        <w:t>eozinofilija</w:t>
      </w:r>
      <w:proofErr w:type="spellEnd"/>
      <w:r w:rsidRPr="00A14E24">
        <w:rPr>
          <w:lang w:eastAsia="en-GB"/>
        </w:rPr>
        <w:t xml:space="preserve"> ir sisteminiais simptomais (</w:t>
      </w:r>
      <w:r w:rsidRPr="00A14E24">
        <w:rPr>
          <w:i/>
          <w:iCs/>
          <w:lang w:eastAsia="en-GB"/>
        </w:rPr>
        <w:t>DRESS</w:t>
      </w:r>
      <w:r w:rsidRPr="00A14E24">
        <w:rPr>
          <w:lang w:eastAsia="en-GB"/>
        </w:rPr>
        <w:t xml:space="preserve">) ir </w:t>
      </w:r>
      <w:r w:rsidRPr="00A14E24">
        <w:t xml:space="preserve">ūminę </w:t>
      </w:r>
      <w:proofErr w:type="spellStart"/>
      <w:r w:rsidRPr="00A14E24">
        <w:t>generalizuotą</w:t>
      </w:r>
      <w:proofErr w:type="spellEnd"/>
      <w:r w:rsidRPr="00A14E24">
        <w:t xml:space="preserve"> </w:t>
      </w:r>
      <w:proofErr w:type="spellStart"/>
      <w:r w:rsidRPr="00A14E24">
        <w:t>egzanteminę</w:t>
      </w:r>
      <w:proofErr w:type="spellEnd"/>
      <w:r w:rsidRPr="00A14E24">
        <w:t xml:space="preserve"> </w:t>
      </w:r>
      <w:proofErr w:type="spellStart"/>
      <w:r w:rsidRPr="00A14E24">
        <w:t>pustuliozę</w:t>
      </w:r>
      <w:proofErr w:type="spellEnd"/>
      <w:r w:rsidRPr="00A14E24">
        <w:t xml:space="preserve"> (</w:t>
      </w:r>
      <w:r w:rsidRPr="00A14E24">
        <w:rPr>
          <w:i/>
          <w:iCs/>
        </w:rPr>
        <w:t>AGEP</w:t>
      </w:r>
      <w:r w:rsidRPr="00A14E24">
        <w:t>)</w:t>
      </w:r>
      <w:r w:rsidRPr="00A14E24">
        <w:rPr>
          <w:lang w:eastAsia="en-GB"/>
        </w:rPr>
        <w:t xml:space="preserve">, </w:t>
      </w:r>
      <w:r w:rsidRPr="00A14E24">
        <w:t xml:space="preserve">susijusias su </w:t>
      </w:r>
      <w:proofErr w:type="spellStart"/>
      <w:r w:rsidRPr="00A14E24">
        <w:t>ibuprofeno</w:t>
      </w:r>
      <w:proofErr w:type="spellEnd"/>
      <w:r w:rsidRPr="00A14E24">
        <w:t xml:space="preserve"> vartojimu. Nustokite vartoti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ir nedelsdami kreipkitės į </w:t>
      </w:r>
      <w:r w:rsidRPr="00A14E24">
        <w:lastRenderedPageBreak/>
        <w:t>medikus, jeigu Jums pasireiškė bet koks su tokiomis sunkiomis odos reakcijomis susijęs simptomas (jie yra išvardyti 4 skyriuje).</w:t>
      </w:r>
    </w:p>
    <w:p w14:paraId="3C4E0C78" w14:textId="77777777" w:rsidR="00273BE2" w:rsidRPr="00A14E24" w:rsidRDefault="00273BE2" w:rsidP="00273BE2">
      <w:pPr>
        <w:jc w:val="both"/>
      </w:pPr>
    </w:p>
    <w:p w14:paraId="194121ED" w14:textId="77777777" w:rsidR="00273BE2" w:rsidRPr="00A14E24" w:rsidRDefault="00273BE2" w:rsidP="00273BE2">
      <w:pPr>
        <w:rPr>
          <w:u w:val="single"/>
        </w:rPr>
      </w:pPr>
      <w:r w:rsidRPr="00A14E24">
        <w:rPr>
          <w:u w:val="single"/>
        </w:rPr>
        <w:t>Infekcijos</w:t>
      </w:r>
    </w:p>
    <w:p w14:paraId="72BF3BC4" w14:textId="7A7D0DBC" w:rsidR="00273BE2" w:rsidRPr="00A14E24" w:rsidRDefault="00273BE2" w:rsidP="00273BE2">
      <w:pPr>
        <w:widowControl w:val="0"/>
        <w:autoSpaceDE w:val="0"/>
        <w:autoSpaceDN w:val="0"/>
        <w:adjustRightInd w:val="0"/>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slopinti infekcijos požymius, tokius kaip karščiavimas ir skausmas. Todėl dėl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vartojimo gali būti uždelstas atitinkamas infekcijos gydymas ir gali padidėti komplikacijų rizika. Tai buvo pastebėta bakterijų sukelto plaučių uždegimo ir su vėjaraupiais susijusių bakterinių odos infekcijų atvejais. Jeigu vartojate šio vaisto sirgdami infekcine liga ir infekcijos simptomai išlieka arba pasunkėja, nedelsdami kreipkitės į gydytoją.</w:t>
      </w:r>
    </w:p>
    <w:p w14:paraId="2D64B0A9" w14:textId="77777777" w:rsidR="00273BE2" w:rsidRPr="00A14E24" w:rsidRDefault="00273BE2" w:rsidP="00273BE2"/>
    <w:p w14:paraId="0ADA10F3" w14:textId="4C642E2B" w:rsidR="00273BE2" w:rsidRPr="00A14E24" w:rsidRDefault="00273BE2" w:rsidP="00273BE2">
      <w:r w:rsidRPr="00A14E24">
        <w:t>Sergant vėjaraupiais, rekomenduojama vengti vartoti š</w:t>
      </w:r>
      <w:r w:rsidR="00812754">
        <w:t>io</w:t>
      </w:r>
      <w:r w:rsidRPr="00A14E24">
        <w:t xml:space="preserve"> vaist</w:t>
      </w:r>
      <w:r w:rsidR="00812754">
        <w:t>o</w:t>
      </w:r>
      <w:r w:rsidRPr="00A14E24">
        <w:t>.</w:t>
      </w:r>
    </w:p>
    <w:p w14:paraId="6AC8EDAD" w14:textId="77777777" w:rsidR="00273BE2" w:rsidRPr="00A14E24" w:rsidRDefault="00273BE2" w:rsidP="00273BE2"/>
    <w:p w14:paraId="3952F6EA" w14:textId="77777777" w:rsidR="00273BE2" w:rsidRPr="00A14E24" w:rsidRDefault="00273BE2" w:rsidP="00273BE2">
      <w:pPr>
        <w:rPr>
          <w:u w:val="single"/>
        </w:rPr>
      </w:pPr>
      <w:r w:rsidRPr="00A14E24">
        <w:rPr>
          <w:u w:val="single"/>
        </w:rPr>
        <w:t>Kiti įspėjimai</w:t>
      </w:r>
    </w:p>
    <w:p w14:paraId="3ED74C98" w14:textId="3A4C08A7" w:rsidR="00273BE2" w:rsidRPr="00A14E24" w:rsidRDefault="00273BE2" w:rsidP="00273BE2">
      <w:r w:rsidRPr="00A14E24">
        <w:t xml:space="preserve">Pranešta apie vartojant </w:t>
      </w:r>
      <w:proofErr w:type="spellStart"/>
      <w:r w:rsidRPr="00A14E24">
        <w:t>ibuprofen</w:t>
      </w:r>
      <w:r w:rsidR="00F2175C">
        <w:t>o</w:t>
      </w:r>
      <w:proofErr w:type="spellEnd"/>
      <w:r w:rsidRPr="00A14E24">
        <w:t xml:space="preserve"> pasireiškusius alerginės reakcijos į šį vaistą požymius, įskaitant kvėpavimo sutrikimus, veido ir kaklo srities patinimą (</w:t>
      </w:r>
      <w:proofErr w:type="spellStart"/>
      <w:r w:rsidRPr="00A14E24">
        <w:t>angioneurozinę</w:t>
      </w:r>
      <w:proofErr w:type="spellEnd"/>
      <w:r w:rsidRPr="00A14E24">
        <w:t xml:space="preserve"> edemą) ir krūtinės skausmą. Jei pastebėsite bet kurį iš šių požymių, nedelsdami nustokite vartoti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ir kreipkitės į gydytoją arba skubios medicininės pagalbos tarnybą.</w:t>
      </w:r>
    </w:p>
    <w:p w14:paraId="64A23809" w14:textId="77777777" w:rsidR="00273BE2" w:rsidRPr="00A14E24" w:rsidRDefault="00273BE2" w:rsidP="00273BE2"/>
    <w:p w14:paraId="3E4CA2C9" w14:textId="11F4D120" w:rsidR="00273BE2" w:rsidRPr="00A14E24" w:rsidRDefault="00273BE2" w:rsidP="00273BE2">
      <w:pPr>
        <w:ind w:left="2"/>
      </w:pPr>
      <w:proofErr w:type="spellStart"/>
      <w:r w:rsidRPr="00A14E24">
        <w:t>Ibuprofenas</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priklauso vaistų, kuri</w:t>
      </w:r>
      <w:r w:rsidR="00F2175C">
        <w:t>e</w:t>
      </w:r>
      <w:r w:rsidRPr="00A14E24">
        <w:t xml:space="preserve"> gali sumažinti moterų vaisingumą, grupei. Nutraukus vaisto vartojimą, toks poveikis išnyksta. Nėra tikėtina, kad retkarčiais vartojamas šis vaistas turės įtakos Jūsų galimybėms pastoti. Vis dėlto, jei kyla sunkumų pastoti, prieš vartodama </w:t>
      </w:r>
      <w:proofErr w:type="spellStart"/>
      <w:r w:rsidRPr="00A14E24">
        <w:t>ibuprofen</w:t>
      </w:r>
      <w:r w:rsidR="00F41E60">
        <w:t>o</w:t>
      </w:r>
      <w:proofErr w:type="spellEnd"/>
      <w:r w:rsidRPr="00A14E24">
        <w:t xml:space="preserve"> pasitarkite su gydytoju (žr. toliau esantį poskyrį „Nėštumas, žindymo laikotarpis ir vaisingumas“).</w:t>
      </w:r>
    </w:p>
    <w:p w14:paraId="1D0DD9FB" w14:textId="77777777" w:rsidR="00273BE2" w:rsidRPr="00A14E24" w:rsidRDefault="00273BE2" w:rsidP="00273BE2"/>
    <w:p w14:paraId="3770274F" w14:textId="77777777" w:rsidR="00273BE2" w:rsidRPr="00A14E24" w:rsidRDefault="00273BE2" w:rsidP="00273BE2">
      <w:pPr>
        <w:rPr>
          <w:u w:val="single"/>
        </w:rPr>
      </w:pPr>
      <w:r w:rsidRPr="00A14E24">
        <w:rPr>
          <w:u w:val="single"/>
        </w:rPr>
        <w:t>Senyvi žmonės</w:t>
      </w:r>
    </w:p>
    <w:p w14:paraId="64A0D338" w14:textId="77777777" w:rsidR="00273BE2" w:rsidRPr="00A14E24" w:rsidRDefault="00273BE2" w:rsidP="00273BE2">
      <w:r w:rsidRPr="00A14E24">
        <w:t>Senyvi pacientai turi žinoti, kad jiems padidėja nepageidaujamų reiškinių, ypač kraujavimo iš virškinimo trakto ir jo prakiurimo, kurie gali būti mirtini, rizika.</w:t>
      </w:r>
    </w:p>
    <w:p w14:paraId="08D3FD2A" w14:textId="77777777" w:rsidR="00273BE2" w:rsidRPr="00A14E24" w:rsidRDefault="00273BE2" w:rsidP="00273BE2">
      <w:pPr>
        <w:ind w:left="284" w:hanging="284"/>
      </w:pPr>
    </w:p>
    <w:p w14:paraId="47A3E45D" w14:textId="77777777" w:rsidR="00273BE2" w:rsidRPr="00A14E24" w:rsidRDefault="00273BE2" w:rsidP="00273BE2">
      <w:pPr>
        <w:ind w:left="284" w:hanging="284"/>
        <w:rPr>
          <w:b/>
        </w:rPr>
      </w:pPr>
      <w:r w:rsidRPr="00A14E24">
        <w:rPr>
          <w:b/>
        </w:rPr>
        <w:t>Vaikams ir paaugliams</w:t>
      </w:r>
    </w:p>
    <w:p w14:paraId="757C8EC9" w14:textId="0D3088E2" w:rsidR="00273BE2" w:rsidRPr="00A14E24" w:rsidRDefault="00273BE2" w:rsidP="00273BE2">
      <w:r w:rsidRPr="00A14E24">
        <w:t xml:space="preserve">Vaikams ir paaugliams, kuriems yra dehidratacija, kyla inkstų funkcijos sutrikimo rizika.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negalima vartoti jaunesniems kaip </w:t>
      </w:r>
      <w:r w:rsidR="00E04DA5">
        <w:t>15</w:t>
      </w:r>
      <w:r w:rsidRPr="00A14E24">
        <w:t> metų vaikams.</w:t>
      </w:r>
    </w:p>
    <w:p w14:paraId="467EAE67" w14:textId="77777777" w:rsidR="00273BE2" w:rsidRPr="00A14E24" w:rsidRDefault="00273BE2" w:rsidP="00273BE2">
      <w:pPr>
        <w:widowControl w:val="0"/>
        <w:numPr>
          <w:ilvl w:val="12"/>
          <w:numId w:val="0"/>
        </w:numPr>
      </w:pPr>
    </w:p>
    <w:p w14:paraId="04F58927" w14:textId="49A2EFEB" w:rsidR="00273BE2" w:rsidRPr="00A14E24" w:rsidRDefault="00273BE2" w:rsidP="00273BE2">
      <w:pPr>
        <w:widowControl w:val="0"/>
        <w:numPr>
          <w:ilvl w:val="12"/>
          <w:numId w:val="0"/>
        </w:numPr>
      </w:pPr>
      <w:r w:rsidRPr="00A14E24">
        <w:rPr>
          <w:b/>
        </w:rPr>
        <w:t xml:space="preserve">Kiti vaistai ir </w:t>
      </w:r>
      <w:proofErr w:type="spellStart"/>
      <w:r w:rsidRPr="00A14E24">
        <w:rPr>
          <w:b/>
        </w:rPr>
        <w:t>Ibuprofen</w:t>
      </w:r>
      <w:proofErr w:type="spellEnd"/>
      <w:r w:rsidRPr="00A14E24">
        <w:rPr>
          <w:b/>
        </w:rPr>
        <w:t xml:space="preserve"> </w:t>
      </w:r>
      <w:r w:rsidR="00B764A7">
        <w:rPr>
          <w:b/>
        </w:rPr>
        <w:t>STADA</w:t>
      </w:r>
      <w:r w:rsidRPr="00A14E24">
        <w:rPr>
          <w:b/>
        </w:rPr>
        <w:t xml:space="preserve"> </w:t>
      </w:r>
      <w:proofErr w:type="spellStart"/>
      <w:r w:rsidRPr="00A14E24">
        <w:rPr>
          <w:b/>
        </w:rPr>
        <w:t>Arzneimittel</w:t>
      </w:r>
      <w:proofErr w:type="spellEnd"/>
    </w:p>
    <w:p w14:paraId="5A9B4793" w14:textId="544BE97C" w:rsidR="00273BE2" w:rsidRPr="00A14E24" w:rsidRDefault="00273BE2" w:rsidP="00273BE2">
      <w:pPr>
        <w:jc w:val="both"/>
      </w:pPr>
      <w:r w:rsidRPr="00A14E24">
        <w:t>Nenaudokite skirtingų rūšių skausmą malšinančių vaistų tuo pačiu metu, nebent tai</w:t>
      </w:r>
      <w:r w:rsidR="000452A2">
        <w:t>p</w:t>
      </w:r>
      <w:r w:rsidRPr="00A14E24">
        <w:t xml:space="preserve"> nurodė gydytojas.</w:t>
      </w:r>
    </w:p>
    <w:p w14:paraId="1215CB44" w14:textId="77777777" w:rsidR="00273BE2" w:rsidRPr="00A14E24" w:rsidRDefault="00273BE2" w:rsidP="00273BE2">
      <w:pPr>
        <w:jc w:val="both"/>
      </w:pPr>
    </w:p>
    <w:p w14:paraId="6923A2A7" w14:textId="77777777" w:rsidR="00273BE2" w:rsidRPr="00A14E24" w:rsidRDefault="00273BE2" w:rsidP="00273BE2">
      <w:pPr>
        <w:widowControl w:val="0"/>
        <w:autoSpaceDE w:val="0"/>
        <w:autoSpaceDN w:val="0"/>
        <w:adjustRightInd w:val="0"/>
      </w:pPr>
      <w:r w:rsidRPr="00A14E24">
        <w:t>Jeigu vartojate ar neseniai vartojote kitų vaistų, įskaitant be recepto, arba nesate dėl to tikri, apie tai pasakykite gydytojui arba vaistininkui.</w:t>
      </w:r>
    </w:p>
    <w:p w14:paraId="1723CE4A" w14:textId="77777777" w:rsidR="00273BE2" w:rsidRPr="00A14E24" w:rsidRDefault="00273BE2" w:rsidP="00273BE2"/>
    <w:p w14:paraId="53ADBCC1" w14:textId="61F90383" w:rsidR="00273BE2" w:rsidRPr="00A14E24" w:rsidRDefault="00273BE2" w:rsidP="00273BE2">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keisti tam tikrų vaistų poveikį, o jie –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poveikį. Tai apima vaistus, vartojamus toliau išvardytų ligų gydymui ar profilaktikai.</w:t>
      </w:r>
    </w:p>
    <w:p w14:paraId="4B2F2A14" w14:textId="77777777" w:rsidR="00273BE2" w:rsidRPr="00A14E24" w:rsidRDefault="00273BE2" w:rsidP="00273BE2">
      <w:pPr>
        <w:numPr>
          <w:ilvl w:val="0"/>
          <w:numId w:val="31"/>
        </w:numPr>
        <w:ind w:left="567" w:hanging="567"/>
        <w:contextualSpacing/>
      </w:pPr>
      <w:r w:rsidRPr="00A14E24">
        <w:t>Navikai ir imuninės sistemos sutrikimai (</w:t>
      </w:r>
      <w:proofErr w:type="spellStart"/>
      <w:r w:rsidRPr="00A14E24">
        <w:t>metotreksatas</w:t>
      </w:r>
      <w:proofErr w:type="spellEnd"/>
      <w:r w:rsidRPr="00A14E24">
        <w:t>).</w:t>
      </w:r>
    </w:p>
    <w:p w14:paraId="6B6E25AB" w14:textId="77777777" w:rsidR="00273BE2" w:rsidRPr="00A14E24" w:rsidRDefault="00273BE2" w:rsidP="00273BE2">
      <w:pPr>
        <w:numPr>
          <w:ilvl w:val="0"/>
          <w:numId w:val="31"/>
        </w:numPr>
        <w:ind w:left="567" w:hanging="567"/>
        <w:contextualSpacing/>
      </w:pPr>
      <w:r w:rsidRPr="00A14E24">
        <w:t>Manija ir depresija pasireiškianti liga (litis).</w:t>
      </w:r>
    </w:p>
    <w:p w14:paraId="7BA7FA3E" w14:textId="77777777" w:rsidR="00273BE2" w:rsidRPr="00A14E24" w:rsidRDefault="00273BE2" w:rsidP="00273BE2">
      <w:pPr>
        <w:numPr>
          <w:ilvl w:val="0"/>
          <w:numId w:val="31"/>
        </w:numPr>
        <w:ind w:left="567" w:hanging="567"/>
        <w:contextualSpacing/>
      </w:pPr>
      <w:r w:rsidRPr="00A14E24">
        <w:t>Neritmiškas širdies plakimas (</w:t>
      </w:r>
      <w:proofErr w:type="spellStart"/>
      <w:r w:rsidRPr="00A14E24">
        <w:t>digoksinas</w:t>
      </w:r>
      <w:proofErr w:type="spellEnd"/>
      <w:r w:rsidRPr="00A14E24">
        <w:t>).</w:t>
      </w:r>
    </w:p>
    <w:p w14:paraId="763816BA" w14:textId="77777777" w:rsidR="00273BE2" w:rsidRPr="00A14E24" w:rsidRDefault="00273BE2" w:rsidP="00273BE2">
      <w:pPr>
        <w:numPr>
          <w:ilvl w:val="0"/>
          <w:numId w:val="31"/>
        </w:numPr>
        <w:ind w:left="567" w:hanging="567"/>
        <w:contextualSpacing/>
      </w:pPr>
      <w:r w:rsidRPr="00A14E24">
        <w:t>Skausmas (</w:t>
      </w:r>
      <w:proofErr w:type="spellStart"/>
      <w:r w:rsidRPr="00A14E24">
        <w:t>acetilsalicilo</w:t>
      </w:r>
      <w:proofErr w:type="spellEnd"/>
      <w:r w:rsidRPr="00A14E24">
        <w:t xml:space="preserve"> rūgštis).</w:t>
      </w:r>
    </w:p>
    <w:p w14:paraId="60CCE7A9" w14:textId="77777777" w:rsidR="00273BE2" w:rsidRPr="00A14E24" w:rsidRDefault="00273BE2" w:rsidP="00273BE2">
      <w:pPr>
        <w:numPr>
          <w:ilvl w:val="0"/>
          <w:numId w:val="31"/>
        </w:numPr>
        <w:ind w:left="567" w:hanging="567"/>
        <w:contextualSpacing/>
      </w:pPr>
      <w:r w:rsidRPr="00A14E24">
        <w:t xml:space="preserve">Tromboembolijos sutrikimai (antikoaguliantų grupės vaistai, t. y. kraują skystinantys ir krešulių susidarymą blokuojantys vaistai, pvz., </w:t>
      </w:r>
      <w:proofErr w:type="spellStart"/>
      <w:r w:rsidRPr="00A14E24">
        <w:t>acetilsalicilo</w:t>
      </w:r>
      <w:proofErr w:type="spellEnd"/>
      <w:r w:rsidRPr="00A14E24">
        <w:t xml:space="preserve"> rūgštis, </w:t>
      </w:r>
      <w:proofErr w:type="spellStart"/>
      <w:r w:rsidRPr="00A14E24">
        <w:t>dikumarolis</w:t>
      </w:r>
      <w:proofErr w:type="spellEnd"/>
      <w:r w:rsidRPr="00A14E24">
        <w:t xml:space="preserve">, varfarinas, </w:t>
      </w:r>
      <w:proofErr w:type="spellStart"/>
      <w:r w:rsidRPr="00A14E24">
        <w:t>tiklopidinas</w:t>
      </w:r>
      <w:proofErr w:type="spellEnd"/>
      <w:r w:rsidRPr="00A14E24">
        <w:t>).</w:t>
      </w:r>
    </w:p>
    <w:p w14:paraId="2FE0359B" w14:textId="77777777" w:rsidR="00273BE2" w:rsidRPr="00A14E24" w:rsidRDefault="00273BE2" w:rsidP="00273BE2">
      <w:pPr>
        <w:numPr>
          <w:ilvl w:val="0"/>
          <w:numId w:val="31"/>
        </w:numPr>
        <w:ind w:left="567" w:hanging="567"/>
        <w:contextualSpacing/>
      </w:pPr>
      <w:r w:rsidRPr="00A14E24">
        <w:t xml:space="preserve">Depresija (vaistai, vadinami selektyviaisiais </w:t>
      </w:r>
      <w:proofErr w:type="spellStart"/>
      <w:r w:rsidRPr="00A14E24">
        <w:t>serotonino</w:t>
      </w:r>
      <w:proofErr w:type="spellEnd"/>
      <w:r w:rsidRPr="00A14E24">
        <w:t xml:space="preserve"> reabsorbcijos inhibitoriais (SSRI)).</w:t>
      </w:r>
    </w:p>
    <w:p w14:paraId="477554C6" w14:textId="77777777" w:rsidR="00273BE2" w:rsidRPr="00A14E24" w:rsidRDefault="00273BE2" w:rsidP="00273BE2">
      <w:pPr>
        <w:numPr>
          <w:ilvl w:val="0"/>
          <w:numId w:val="31"/>
        </w:numPr>
        <w:ind w:left="567" w:hanging="567"/>
        <w:contextualSpacing/>
      </w:pPr>
      <w:r w:rsidRPr="00A14E24">
        <w:t xml:space="preserve">Aukštas kraujospūdis (aukštą kraujospūdį mažinantys vaistai, pvz., </w:t>
      </w:r>
      <w:proofErr w:type="spellStart"/>
      <w:r w:rsidRPr="00A14E24">
        <w:t>angiotenziną</w:t>
      </w:r>
      <w:proofErr w:type="spellEnd"/>
      <w:r w:rsidRPr="00A14E24">
        <w:t xml:space="preserve"> konvertuojančio fermento (AKF) inhibitoriai, tokie kaip </w:t>
      </w:r>
      <w:proofErr w:type="spellStart"/>
      <w:r w:rsidRPr="00A14E24">
        <w:t>kaptoprilis</w:t>
      </w:r>
      <w:proofErr w:type="spellEnd"/>
      <w:r w:rsidRPr="00A14E24">
        <w:t xml:space="preserve">, beta </w:t>
      </w:r>
      <w:proofErr w:type="spellStart"/>
      <w:r w:rsidRPr="00A14E24">
        <w:t>adrenoreceptorių</w:t>
      </w:r>
      <w:proofErr w:type="spellEnd"/>
      <w:r w:rsidRPr="00A14E24">
        <w:t xml:space="preserve"> blokatoriai, tokie kaip </w:t>
      </w:r>
      <w:proofErr w:type="spellStart"/>
      <w:r w:rsidRPr="00A14E24">
        <w:t>atenololis</w:t>
      </w:r>
      <w:proofErr w:type="spellEnd"/>
      <w:r w:rsidRPr="00A14E24">
        <w:t xml:space="preserve">, </w:t>
      </w:r>
      <w:proofErr w:type="spellStart"/>
      <w:r w:rsidRPr="00A14E24">
        <w:t>angiotenzino</w:t>
      </w:r>
      <w:proofErr w:type="spellEnd"/>
      <w:r w:rsidRPr="00A14E24">
        <w:t xml:space="preserve">-II receptorių antagonistai, tokie kaip </w:t>
      </w:r>
      <w:proofErr w:type="spellStart"/>
      <w:r w:rsidRPr="00A14E24">
        <w:t>losartanas</w:t>
      </w:r>
      <w:proofErr w:type="spellEnd"/>
      <w:r w:rsidRPr="00A14E24">
        <w:t>, šlapimo išsiskyrimą skatinantys vaistai (diuretikai)).</w:t>
      </w:r>
    </w:p>
    <w:p w14:paraId="7B42051F" w14:textId="77777777" w:rsidR="00273BE2" w:rsidRPr="00A14E24" w:rsidRDefault="00273BE2" w:rsidP="00273BE2">
      <w:pPr>
        <w:numPr>
          <w:ilvl w:val="0"/>
          <w:numId w:val="31"/>
        </w:numPr>
        <w:ind w:left="567" w:hanging="567"/>
        <w:contextualSpacing/>
      </w:pPr>
      <w:r w:rsidRPr="00A14E24">
        <w:t xml:space="preserve">Persodintų organų atmetimas (imuninę sistemą slopinantys vaistai, tokie kaip </w:t>
      </w:r>
      <w:proofErr w:type="spellStart"/>
      <w:r w:rsidRPr="00A14E24">
        <w:t>ciklosporinas</w:t>
      </w:r>
      <w:proofErr w:type="spellEnd"/>
      <w:r w:rsidRPr="00A14E24">
        <w:t xml:space="preserve"> ar </w:t>
      </w:r>
      <w:proofErr w:type="spellStart"/>
      <w:r w:rsidRPr="00A14E24">
        <w:t>takrolimuzas</w:t>
      </w:r>
      <w:proofErr w:type="spellEnd"/>
      <w:r w:rsidRPr="00A14E24">
        <w:t>).</w:t>
      </w:r>
    </w:p>
    <w:p w14:paraId="2ECB6442" w14:textId="77777777" w:rsidR="00273BE2" w:rsidRPr="00A14E24" w:rsidRDefault="00273BE2" w:rsidP="00273BE2">
      <w:pPr>
        <w:numPr>
          <w:ilvl w:val="0"/>
          <w:numId w:val="31"/>
        </w:numPr>
        <w:ind w:left="567" w:hanging="567"/>
        <w:contextualSpacing/>
      </w:pPr>
      <w:r w:rsidRPr="00A14E24">
        <w:t>Uždegimas (kortikosteroidai).</w:t>
      </w:r>
    </w:p>
    <w:p w14:paraId="4BD20454" w14:textId="77777777" w:rsidR="00273BE2" w:rsidRPr="00A14E24" w:rsidRDefault="00273BE2" w:rsidP="00273BE2">
      <w:pPr>
        <w:numPr>
          <w:ilvl w:val="0"/>
          <w:numId w:val="31"/>
        </w:numPr>
        <w:ind w:left="567" w:hanging="567"/>
        <w:contextualSpacing/>
      </w:pPr>
      <w:r w:rsidRPr="00A14E24">
        <w:t xml:space="preserve">Bakterinės infekcijos (kai kurie antibiotikai, įskaitant </w:t>
      </w:r>
      <w:proofErr w:type="spellStart"/>
      <w:r w:rsidRPr="00A14E24">
        <w:t>aminoglikozidus</w:t>
      </w:r>
      <w:proofErr w:type="spellEnd"/>
      <w:r w:rsidRPr="00A14E24">
        <w:t>).</w:t>
      </w:r>
    </w:p>
    <w:p w14:paraId="52FCE7E0" w14:textId="77777777" w:rsidR="00273BE2" w:rsidRPr="00A14E24" w:rsidRDefault="00273BE2" w:rsidP="00273BE2">
      <w:pPr>
        <w:numPr>
          <w:ilvl w:val="0"/>
          <w:numId w:val="31"/>
        </w:numPr>
        <w:ind w:left="567" w:hanging="567"/>
        <w:contextualSpacing/>
      </w:pPr>
      <w:r w:rsidRPr="00A14E24">
        <w:lastRenderedPageBreak/>
        <w:t xml:space="preserve">Grybelinės infekcijos (priešgrybeliniai vaistai, ypač </w:t>
      </w:r>
      <w:proofErr w:type="spellStart"/>
      <w:r w:rsidRPr="00A14E24">
        <w:t>vorikonazolas</w:t>
      </w:r>
      <w:proofErr w:type="spellEnd"/>
      <w:r w:rsidRPr="00A14E24">
        <w:t xml:space="preserve"> ar </w:t>
      </w:r>
      <w:proofErr w:type="spellStart"/>
      <w:r w:rsidRPr="00A14E24">
        <w:t>flukonazolas</w:t>
      </w:r>
      <w:proofErr w:type="spellEnd"/>
      <w:r w:rsidRPr="00A14E24">
        <w:t>).</w:t>
      </w:r>
    </w:p>
    <w:p w14:paraId="4B5862A7" w14:textId="77777777" w:rsidR="00273BE2" w:rsidRPr="00A14E24" w:rsidRDefault="00273BE2" w:rsidP="00273BE2">
      <w:pPr>
        <w:numPr>
          <w:ilvl w:val="0"/>
          <w:numId w:val="31"/>
        </w:numPr>
        <w:ind w:left="567" w:hanging="567"/>
        <w:contextualSpacing/>
      </w:pPr>
      <w:r w:rsidRPr="00A14E24">
        <w:t>Cukrinis diabetas (</w:t>
      </w:r>
      <w:proofErr w:type="spellStart"/>
      <w:r w:rsidRPr="00A14E24">
        <w:t>sulfonilkarbamidai</w:t>
      </w:r>
      <w:proofErr w:type="spellEnd"/>
      <w:r w:rsidRPr="00A14E24">
        <w:t>).</w:t>
      </w:r>
    </w:p>
    <w:p w14:paraId="18CD7830" w14:textId="77777777" w:rsidR="00273BE2" w:rsidRPr="00A14E24" w:rsidRDefault="00273BE2" w:rsidP="00273BE2">
      <w:pPr>
        <w:numPr>
          <w:ilvl w:val="0"/>
          <w:numId w:val="31"/>
        </w:numPr>
        <w:ind w:left="567" w:hanging="567"/>
        <w:contextualSpacing/>
      </w:pPr>
      <w:r w:rsidRPr="00A14E24">
        <w:t>Didelis cholesterolio kiekis (</w:t>
      </w:r>
      <w:proofErr w:type="spellStart"/>
      <w:r w:rsidRPr="00A14E24">
        <w:t>kolestiraminas</w:t>
      </w:r>
      <w:proofErr w:type="spellEnd"/>
      <w:r w:rsidRPr="00A14E24">
        <w:t>).</w:t>
      </w:r>
    </w:p>
    <w:p w14:paraId="1D8882E9" w14:textId="77777777" w:rsidR="00273BE2" w:rsidRPr="00A14E24" w:rsidRDefault="00273BE2" w:rsidP="00273BE2">
      <w:pPr>
        <w:numPr>
          <w:ilvl w:val="0"/>
          <w:numId w:val="31"/>
        </w:numPr>
        <w:ind w:left="567" w:hanging="567"/>
        <w:contextualSpacing/>
      </w:pPr>
      <w:r w:rsidRPr="00A14E24">
        <w:t>Žmogaus imunodeficito viruso (ŽIV) infekcija (</w:t>
      </w:r>
      <w:proofErr w:type="spellStart"/>
      <w:r w:rsidRPr="00A14E24">
        <w:t>zidovudinas</w:t>
      </w:r>
      <w:proofErr w:type="spellEnd"/>
      <w:r w:rsidRPr="00A14E24">
        <w:t>).</w:t>
      </w:r>
    </w:p>
    <w:p w14:paraId="1912E456" w14:textId="77777777" w:rsidR="00273BE2" w:rsidRPr="00A14E24" w:rsidRDefault="00273BE2" w:rsidP="00273BE2"/>
    <w:p w14:paraId="04CE79DB" w14:textId="500361AF" w:rsidR="00273BE2" w:rsidRPr="00A14E24" w:rsidRDefault="00273BE2" w:rsidP="00273BE2">
      <w:pPr>
        <w:widowControl w:val="0"/>
        <w:autoSpaceDE w:val="0"/>
        <w:autoSpaceDN w:val="0"/>
        <w:ind w:right="325"/>
      </w:pPr>
      <w:r w:rsidRPr="00A14E24">
        <w:t xml:space="preserve">Kai kurie kiti vaistai taip pat gali veikti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o jis – kitus vaistus. Dėl to prieš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vartojimą su kitais vaistais visada būtina pasitarti su gydytoju arba vaistininku.</w:t>
      </w:r>
    </w:p>
    <w:p w14:paraId="00258C65" w14:textId="77777777" w:rsidR="00273BE2" w:rsidRPr="00A14E24" w:rsidRDefault="00273BE2" w:rsidP="00273BE2">
      <w:pPr>
        <w:widowControl w:val="0"/>
        <w:autoSpaceDE w:val="0"/>
        <w:autoSpaceDN w:val="0"/>
      </w:pPr>
    </w:p>
    <w:p w14:paraId="3B87BD42" w14:textId="762B1B41" w:rsidR="00273BE2" w:rsidRPr="00A14E24" w:rsidRDefault="00273BE2" w:rsidP="00273BE2">
      <w:pPr>
        <w:widowControl w:val="0"/>
        <w:autoSpaceDE w:val="0"/>
        <w:autoSpaceDN w:val="0"/>
        <w:adjustRightInd w:val="0"/>
        <w:rPr>
          <w:rFonts w:eastAsia="TimesNewRoman,Bold"/>
          <w:b/>
          <w:bCs/>
        </w:rPr>
      </w:pPr>
      <w:proofErr w:type="spellStart"/>
      <w:r w:rsidRPr="00A14E24">
        <w:rPr>
          <w:rFonts w:eastAsia="TimesNewRoman,Bold"/>
          <w:b/>
          <w:bCs/>
        </w:rPr>
        <w:t>Ibuprofen</w:t>
      </w:r>
      <w:proofErr w:type="spellEnd"/>
      <w:r w:rsidRPr="00A14E24">
        <w:rPr>
          <w:rFonts w:eastAsia="TimesNewRoman,Bold"/>
          <w:b/>
          <w:bCs/>
        </w:rPr>
        <w:t xml:space="preserve"> </w:t>
      </w:r>
      <w:r w:rsidR="00B764A7">
        <w:rPr>
          <w:rFonts w:eastAsia="TimesNewRoman,Bold"/>
          <w:b/>
          <w:bCs/>
        </w:rPr>
        <w:t>STADA</w:t>
      </w:r>
      <w:r w:rsidRPr="00A14E24">
        <w:rPr>
          <w:rFonts w:eastAsia="TimesNewRoman,Bold"/>
          <w:b/>
          <w:bCs/>
        </w:rPr>
        <w:t xml:space="preserve"> </w:t>
      </w:r>
      <w:proofErr w:type="spellStart"/>
      <w:r w:rsidRPr="00A14E24">
        <w:rPr>
          <w:rFonts w:eastAsia="TimesNewRoman,Bold"/>
          <w:b/>
          <w:bCs/>
        </w:rPr>
        <w:t>Arzneimittel</w:t>
      </w:r>
      <w:proofErr w:type="spellEnd"/>
      <w:r w:rsidRPr="00A14E24">
        <w:rPr>
          <w:rFonts w:eastAsia="TimesNewRoman,Bold"/>
          <w:b/>
          <w:bCs/>
        </w:rPr>
        <w:t xml:space="preserve"> vartojimas maistu, gėrimais ir alkoholiu</w:t>
      </w:r>
    </w:p>
    <w:p w14:paraId="61745A27" w14:textId="02E216BD" w:rsidR="00273BE2" w:rsidRPr="00A14E24" w:rsidRDefault="00273BE2" w:rsidP="00273BE2">
      <w:pPr>
        <w:widowControl w:val="0"/>
        <w:autoSpaceDE w:val="0"/>
        <w:autoSpaceDN w:val="0"/>
        <w:ind w:right="325"/>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galima vartoti su maistu ir gėrimais.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galima vartoti nevalgius, siekiant greitesnio būklės palengvėjimo. Jei kartu su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vartojamas alkoholis, gali sustiprėti šalutinis poveikis.</w:t>
      </w:r>
    </w:p>
    <w:p w14:paraId="47B375D7" w14:textId="77777777" w:rsidR="00273BE2" w:rsidRPr="00A14E24" w:rsidRDefault="00273BE2" w:rsidP="00273BE2">
      <w:pPr>
        <w:widowControl w:val="0"/>
        <w:autoSpaceDE w:val="0"/>
        <w:autoSpaceDN w:val="0"/>
        <w:adjustRightInd w:val="0"/>
      </w:pPr>
    </w:p>
    <w:p w14:paraId="4ABC939E" w14:textId="77777777" w:rsidR="00273BE2" w:rsidRPr="00A14E24" w:rsidRDefault="00273BE2" w:rsidP="00273BE2">
      <w:pPr>
        <w:widowControl w:val="0"/>
        <w:autoSpaceDE w:val="0"/>
        <w:autoSpaceDN w:val="0"/>
        <w:adjustRightInd w:val="0"/>
        <w:rPr>
          <w:rFonts w:eastAsia="TimesNewRoman,Bold"/>
          <w:b/>
          <w:bCs/>
        </w:rPr>
      </w:pPr>
      <w:r w:rsidRPr="00A14E24">
        <w:rPr>
          <w:rFonts w:eastAsia="TimesNewRoman,Bold"/>
          <w:b/>
          <w:bCs/>
        </w:rPr>
        <w:t>Nėštumas, žindymo laikotarpis ir vaisingumas</w:t>
      </w:r>
    </w:p>
    <w:p w14:paraId="3F77FE6C" w14:textId="71E73264" w:rsidR="00273BE2" w:rsidRPr="00A14E24" w:rsidRDefault="00273BE2" w:rsidP="00273BE2">
      <w:pPr>
        <w:widowControl w:val="0"/>
        <w:autoSpaceDE w:val="0"/>
        <w:autoSpaceDN w:val="0"/>
        <w:adjustRightInd w:val="0"/>
        <w:rPr>
          <w:rFonts w:eastAsia="TimesNewRoman,Bold"/>
        </w:rPr>
      </w:pPr>
      <w:r w:rsidRPr="00A14E24">
        <w:rPr>
          <w:rFonts w:eastAsia="TimesNewRoman,Bold"/>
        </w:rPr>
        <w:t>Jeigu esate nėščia, žindote kūdikį, manote, kad galbūt esate nėščia, arba planuojate pastoti, tai prieš vartodama š</w:t>
      </w:r>
      <w:r w:rsidR="00723316">
        <w:rPr>
          <w:rFonts w:eastAsia="TimesNewRoman,Bold"/>
        </w:rPr>
        <w:t>io</w:t>
      </w:r>
      <w:r w:rsidRPr="00A14E24">
        <w:rPr>
          <w:rFonts w:eastAsia="TimesNewRoman,Bold"/>
        </w:rPr>
        <w:t xml:space="preserve"> vaist</w:t>
      </w:r>
      <w:r w:rsidR="00723316">
        <w:rPr>
          <w:rFonts w:eastAsia="TimesNewRoman,Bold"/>
        </w:rPr>
        <w:t>o</w:t>
      </w:r>
      <w:r w:rsidRPr="00A14E24">
        <w:rPr>
          <w:rFonts w:eastAsia="TimesNewRoman,Bold"/>
        </w:rPr>
        <w:t xml:space="preserve"> pasitarkite su gydytoju arba vaistininku.</w:t>
      </w:r>
    </w:p>
    <w:p w14:paraId="79684FE5" w14:textId="77777777" w:rsidR="00273BE2" w:rsidRPr="00A14E24" w:rsidRDefault="00273BE2" w:rsidP="00273BE2">
      <w:pPr>
        <w:widowControl w:val="0"/>
        <w:autoSpaceDE w:val="0"/>
        <w:autoSpaceDN w:val="0"/>
        <w:adjustRightInd w:val="0"/>
        <w:rPr>
          <w:rFonts w:eastAsia="TimesNewRoman,Bold"/>
        </w:rPr>
      </w:pPr>
    </w:p>
    <w:p w14:paraId="31CDFC27" w14:textId="77777777" w:rsidR="00273BE2" w:rsidRPr="00A14E24" w:rsidRDefault="00273BE2" w:rsidP="00273BE2">
      <w:pPr>
        <w:ind w:left="284" w:hanging="284"/>
        <w:rPr>
          <w:u w:val="single"/>
        </w:rPr>
      </w:pPr>
      <w:r w:rsidRPr="00A14E24">
        <w:rPr>
          <w:u w:val="single"/>
        </w:rPr>
        <w:t>Nėštumas</w:t>
      </w:r>
    </w:p>
    <w:p w14:paraId="464F36AA" w14:textId="77777777" w:rsidR="00273BE2" w:rsidRPr="00A14E24" w:rsidRDefault="00273BE2" w:rsidP="00273BE2">
      <w:r w:rsidRPr="00A14E24">
        <w:t>Nevartokite šio vaisto paskutinius 3 nėštumo mėnesius, nes jis gali pakenkti Jūsų dar negimusiam vaikui arba sukelti problemų gimdymo metu. Jis gali sukelti inkstų ir širdies sutrikimų Jūsų dar negimusiam vaikui. Jis gali turėti įtakos Jūsų ir Jūsų vaiko polinkiui kraujuoti ir pavėlinti ar nulemti ilgesnį nei tikėtasi gimdymą.</w:t>
      </w:r>
    </w:p>
    <w:p w14:paraId="67F0F112" w14:textId="77777777" w:rsidR="00273BE2" w:rsidRPr="00A14E24" w:rsidRDefault="00273BE2" w:rsidP="00273BE2"/>
    <w:p w14:paraId="215D2D29" w14:textId="2A0B6875" w:rsidR="00273BE2" w:rsidRPr="00A14E24" w:rsidRDefault="00273BE2" w:rsidP="00273BE2">
      <w:pPr>
        <w:numPr>
          <w:ilvl w:val="12"/>
          <w:numId w:val="0"/>
        </w:numPr>
        <w:tabs>
          <w:tab w:val="left" w:pos="1296"/>
        </w:tabs>
        <w:snapToGrid w:val="0"/>
      </w:pPr>
      <w:r w:rsidRPr="00A14E24">
        <w:t>Šio vaisto neturėtumėte vartoti</w:t>
      </w:r>
      <w:r w:rsidRPr="00A14E24">
        <w:rPr>
          <w:iCs/>
        </w:rPr>
        <w:t xml:space="preserve"> pirmuosius</w:t>
      </w:r>
      <w:r w:rsidRPr="00A14E24">
        <w:t xml:space="preserve"> 6 nėštumo mėnesius, išskyrus atvejus, kai tai neabejotinai būtina ir kai tai pataria gydytojas. Jei šiuo laikotarpiu arba bandant pastoti Jums reikalingas gydymas, reikia vartoti mažiausią dozę kuo trumpesnį laiką. Jei nuo 20 nėštumo savaitės vaisto vartojama ilgiau nei kelias dienas,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sukelti Jūsų dar negimusio vaiko inkstų sutrikimų, dėl kurių gali sumažėti kūdikį supančio </w:t>
      </w:r>
      <w:proofErr w:type="spellStart"/>
      <w:r w:rsidRPr="00A14E24">
        <w:t>amniono</w:t>
      </w:r>
      <w:proofErr w:type="spellEnd"/>
      <w:r w:rsidRPr="00A14E24">
        <w:t xml:space="preserve"> skysčio kiekis (pasireikšti </w:t>
      </w:r>
      <w:proofErr w:type="spellStart"/>
      <w:r w:rsidRPr="00A14E24">
        <w:t>oligohidramnionas</w:t>
      </w:r>
      <w:proofErr w:type="spellEnd"/>
      <w:r w:rsidRPr="00A14E24">
        <w:t>) arba susiaurėti kraujagyslė (arterinis latakas) kūdikio širdyje. Jeigu Jums reikalingas ilgesnis nei kelių dienų gydymas, gydytojas gali rekomenduoti papildomą stebėjimą.</w:t>
      </w:r>
    </w:p>
    <w:p w14:paraId="0E9A4DC5" w14:textId="77777777" w:rsidR="00273BE2" w:rsidRPr="00A14E24" w:rsidRDefault="00273BE2" w:rsidP="00273BE2"/>
    <w:p w14:paraId="50A64A2B" w14:textId="77777777" w:rsidR="00273BE2" w:rsidRPr="00A14E24" w:rsidRDefault="00273BE2" w:rsidP="00273BE2">
      <w:pPr>
        <w:rPr>
          <w:u w:val="single"/>
        </w:rPr>
      </w:pPr>
      <w:r w:rsidRPr="00A14E24">
        <w:rPr>
          <w:u w:val="single"/>
        </w:rPr>
        <w:t>Žindymo laikotarpis</w:t>
      </w:r>
    </w:p>
    <w:p w14:paraId="16783807" w14:textId="08074273" w:rsidR="00273BE2" w:rsidRPr="00A14E24" w:rsidRDefault="00273BE2" w:rsidP="00273BE2">
      <w:proofErr w:type="spellStart"/>
      <w:r w:rsidRPr="00A14E24">
        <w:t>Ibuprofeno</w:t>
      </w:r>
      <w:proofErr w:type="spellEnd"/>
      <w:r w:rsidRPr="00A14E24">
        <w:t xml:space="preserve"> </w:t>
      </w:r>
      <w:r w:rsidR="00931464">
        <w:t>išsiskiria</w:t>
      </w:r>
      <w:r w:rsidR="00931464" w:rsidRPr="00A14E24">
        <w:t xml:space="preserve"> </w:t>
      </w:r>
      <w:r w:rsidRPr="00A14E24">
        <w:t xml:space="preserve">į </w:t>
      </w:r>
      <w:r w:rsidR="00931464">
        <w:t>gydytų</w:t>
      </w:r>
      <w:r w:rsidR="007940E5">
        <w:t xml:space="preserve"> moter</w:t>
      </w:r>
      <w:r w:rsidR="00931464">
        <w:t>ų</w:t>
      </w:r>
      <w:r w:rsidRPr="00A14E24">
        <w:t xml:space="preserve"> pieną, tačiau trumpalaikio gydymo atveju poveikis žindomam kūdikiui nėra tikėtinas. Vis dėlto, jei žindymo laikotarpiu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vartojate dažniau nei retkarčiais, pasitarkite su gydytoju.</w:t>
      </w:r>
    </w:p>
    <w:p w14:paraId="1D0A274E" w14:textId="77777777" w:rsidR="00273BE2" w:rsidRPr="00A14E24" w:rsidRDefault="00273BE2" w:rsidP="00273BE2"/>
    <w:p w14:paraId="2992AF1C" w14:textId="77777777" w:rsidR="00273BE2" w:rsidRPr="00A14E24" w:rsidRDefault="00273BE2" w:rsidP="00273BE2">
      <w:pPr>
        <w:rPr>
          <w:u w:val="single"/>
        </w:rPr>
      </w:pPr>
      <w:r w:rsidRPr="00A14E24">
        <w:rPr>
          <w:u w:val="single"/>
        </w:rPr>
        <w:t>Vaisingumas</w:t>
      </w:r>
    </w:p>
    <w:p w14:paraId="7B547B7E" w14:textId="77777777" w:rsidR="00273BE2" w:rsidRPr="00A14E24" w:rsidRDefault="00273BE2" w:rsidP="00273BE2">
      <w:proofErr w:type="spellStart"/>
      <w:r w:rsidRPr="00A14E24">
        <w:t>Ibuprofeno</w:t>
      </w:r>
      <w:proofErr w:type="spellEnd"/>
      <w:r w:rsidRPr="00A14E24">
        <w:t xml:space="preserve"> vartojimas gali paveikti vaisingumą. Jei bandoma pastoti arba atliekami vaisingumo tyrimai, </w:t>
      </w:r>
      <w:proofErr w:type="spellStart"/>
      <w:r w:rsidRPr="00A14E24">
        <w:t>ibuprofeno</w:t>
      </w:r>
      <w:proofErr w:type="spellEnd"/>
      <w:r w:rsidRPr="00A14E24">
        <w:t xml:space="preserve"> rekomenduojama nevartoti.</w:t>
      </w:r>
    </w:p>
    <w:p w14:paraId="7312850F" w14:textId="77777777" w:rsidR="00273BE2" w:rsidRPr="00A14E24" w:rsidRDefault="00273BE2" w:rsidP="00273BE2">
      <w:pPr>
        <w:widowControl w:val="0"/>
        <w:autoSpaceDE w:val="0"/>
        <w:autoSpaceDN w:val="0"/>
        <w:adjustRightInd w:val="0"/>
        <w:rPr>
          <w:rFonts w:eastAsia="TimesNewRoman,Bold"/>
        </w:rPr>
      </w:pPr>
    </w:p>
    <w:p w14:paraId="28878D0F" w14:textId="77777777" w:rsidR="00273BE2" w:rsidRPr="00A14E24" w:rsidRDefault="00273BE2" w:rsidP="00273BE2">
      <w:pPr>
        <w:widowControl w:val="0"/>
        <w:autoSpaceDE w:val="0"/>
        <w:autoSpaceDN w:val="0"/>
        <w:adjustRightInd w:val="0"/>
        <w:rPr>
          <w:rFonts w:eastAsia="TimesNewRoman,Bold"/>
          <w:b/>
          <w:bCs/>
        </w:rPr>
      </w:pPr>
      <w:r w:rsidRPr="00A14E24">
        <w:rPr>
          <w:rFonts w:eastAsia="TimesNewRoman,Bold"/>
          <w:b/>
          <w:bCs/>
        </w:rPr>
        <w:t>Vairavimas ir mechanizmų valdymas</w:t>
      </w:r>
    </w:p>
    <w:p w14:paraId="733B2E9F" w14:textId="72D79677" w:rsidR="00273BE2" w:rsidRPr="00A14E24" w:rsidRDefault="00273BE2" w:rsidP="00273BE2">
      <w:pPr>
        <w:widowControl w:val="0"/>
        <w:numPr>
          <w:ilvl w:val="12"/>
          <w:numId w:val="0"/>
        </w:numPr>
        <w:ind w:right="-2"/>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kai kuriems žmonėms gali pabloginti reakciją, pavyzdžiui, dėl šalutinio poveikio, tokio kaip regos sutrikimai, svaigulys ar apsnūdimas. Į tai reikia atsižvelgti tais atvejais, kai reikalingas didelis budrumas, pavyzdžiui, vairuojant, ir toks poveikis gali būti stipresnis kartu vartojant alkohol</w:t>
      </w:r>
      <w:r w:rsidR="0049776F">
        <w:t>io</w:t>
      </w:r>
      <w:r w:rsidRPr="00A14E24">
        <w:t>.</w:t>
      </w:r>
    </w:p>
    <w:p w14:paraId="4078701D" w14:textId="77777777" w:rsidR="00273BE2" w:rsidRPr="00A14E24" w:rsidRDefault="00273BE2" w:rsidP="00273BE2">
      <w:pPr>
        <w:widowControl w:val="0"/>
        <w:numPr>
          <w:ilvl w:val="12"/>
          <w:numId w:val="0"/>
        </w:numPr>
        <w:ind w:right="-2"/>
      </w:pPr>
    </w:p>
    <w:p w14:paraId="6771E72B" w14:textId="26DB48BA" w:rsidR="00273BE2" w:rsidRPr="00A14E24" w:rsidRDefault="00273BE2" w:rsidP="00273BE2">
      <w:pPr>
        <w:widowControl w:val="0"/>
        <w:numPr>
          <w:ilvl w:val="12"/>
          <w:numId w:val="0"/>
        </w:numPr>
      </w:pPr>
      <w:proofErr w:type="spellStart"/>
      <w:r w:rsidRPr="00A14E24">
        <w:rPr>
          <w:b/>
        </w:rPr>
        <w:t>Ibuprofen</w:t>
      </w:r>
      <w:proofErr w:type="spellEnd"/>
      <w:r w:rsidRPr="00A14E24">
        <w:rPr>
          <w:b/>
        </w:rPr>
        <w:t xml:space="preserve"> </w:t>
      </w:r>
      <w:r w:rsidR="00B764A7">
        <w:rPr>
          <w:b/>
        </w:rPr>
        <w:t>STADA</w:t>
      </w:r>
      <w:r w:rsidRPr="00A14E24">
        <w:rPr>
          <w:b/>
        </w:rPr>
        <w:t xml:space="preserve"> </w:t>
      </w:r>
      <w:proofErr w:type="spellStart"/>
      <w:r w:rsidRPr="00A14E24">
        <w:rPr>
          <w:b/>
        </w:rPr>
        <w:t>Arzneimittel</w:t>
      </w:r>
      <w:proofErr w:type="spellEnd"/>
      <w:r w:rsidRPr="00A14E24">
        <w:rPr>
          <w:b/>
        </w:rPr>
        <w:t xml:space="preserve"> sudėtyje yra natrio</w:t>
      </w:r>
    </w:p>
    <w:p w14:paraId="17BE4646" w14:textId="38249023" w:rsidR="00273BE2" w:rsidRPr="00A14E24" w:rsidRDefault="00273BE2" w:rsidP="00273BE2">
      <w:pPr>
        <w:autoSpaceDE w:val="0"/>
        <w:autoSpaceDN w:val="0"/>
        <w:ind w:right="284"/>
        <w:rPr>
          <w:lang w:eastAsia="de-DE"/>
        </w:rPr>
      </w:pPr>
      <w:r w:rsidRPr="00A14E24">
        <w:t xml:space="preserve">Šio vaisto </w:t>
      </w:r>
      <w:r w:rsidR="002D4D4A" w:rsidRPr="00735470">
        <w:t xml:space="preserve">vienoje </w:t>
      </w:r>
      <w:r w:rsidRPr="00735470">
        <w:t>tabletėje yra</w:t>
      </w:r>
      <w:r w:rsidRPr="00A14E24">
        <w:t xml:space="preserve"> mažiau kaip 1 </w:t>
      </w:r>
      <w:proofErr w:type="spellStart"/>
      <w:r w:rsidRPr="00A14E24">
        <w:t>mmol</w:t>
      </w:r>
      <w:proofErr w:type="spellEnd"/>
      <w:r w:rsidRPr="00A14E24">
        <w:t> (23 mg) natrio, t. y. jis beveik neturi reikšmės.</w:t>
      </w:r>
    </w:p>
    <w:p w14:paraId="799AA340" w14:textId="77777777" w:rsidR="00273BE2" w:rsidRPr="00A14E24" w:rsidRDefault="00273BE2" w:rsidP="00273BE2">
      <w:pPr>
        <w:widowControl w:val="0"/>
        <w:numPr>
          <w:ilvl w:val="12"/>
          <w:numId w:val="0"/>
        </w:numPr>
        <w:ind w:right="-2"/>
      </w:pPr>
    </w:p>
    <w:p w14:paraId="3C75B474" w14:textId="77777777" w:rsidR="00273BE2" w:rsidRPr="00A14E24" w:rsidRDefault="00273BE2" w:rsidP="00273BE2">
      <w:pPr>
        <w:widowControl w:val="0"/>
        <w:numPr>
          <w:ilvl w:val="12"/>
          <w:numId w:val="0"/>
        </w:numPr>
        <w:ind w:right="-2"/>
      </w:pPr>
    </w:p>
    <w:p w14:paraId="0A9896B1" w14:textId="21ABB696" w:rsidR="00273BE2" w:rsidRPr="00A14E24" w:rsidRDefault="00273BE2" w:rsidP="004C628D">
      <w:pPr>
        <w:keepNext/>
        <w:widowControl w:val="0"/>
        <w:numPr>
          <w:ilvl w:val="12"/>
          <w:numId w:val="0"/>
        </w:numPr>
        <w:ind w:left="567" w:hanging="567"/>
        <w:outlineLvl w:val="0"/>
        <w:rPr>
          <w:b/>
          <w:caps/>
        </w:rPr>
      </w:pPr>
      <w:r w:rsidRPr="00A14E24">
        <w:rPr>
          <w:b/>
        </w:rPr>
        <w:t>3.</w:t>
      </w:r>
      <w:r w:rsidRPr="00A14E24">
        <w:rPr>
          <w:b/>
        </w:rPr>
        <w:tab/>
        <w:t xml:space="preserve">Kaip vartoti </w:t>
      </w:r>
      <w:proofErr w:type="spellStart"/>
      <w:r w:rsidRPr="00A14E24">
        <w:rPr>
          <w:b/>
        </w:rPr>
        <w:t>Ibuprofen</w:t>
      </w:r>
      <w:proofErr w:type="spellEnd"/>
      <w:r w:rsidRPr="00A14E24">
        <w:rPr>
          <w:b/>
        </w:rPr>
        <w:t xml:space="preserve"> </w:t>
      </w:r>
      <w:r w:rsidR="00B764A7">
        <w:rPr>
          <w:b/>
        </w:rPr>
        <w:t>STADA</w:t>
      </w:r>
      <w:r w:rsidRPr="00A14E24">
        <w:rPr>
          <w:b/>
        </w:rPr>
        <w:t xml:space="preserve"> </w:t>
      </w:r>
      <w:proofErr w:type="spellStart"/>
      <w:r w:rsidRPr="00A14E24">
        <w:rPr>
          <w:b/>
        </w:rPr>
        <w:t>Arzneimittel</w:t>
      </w:r>
      <w:proofErr w:type="spellEnd"/>
    </w:p>
    <w:p w14:paraId="1AD9C1E5" w14:textId="77777777" w:rsidR="00273BE2" w:rsidRPr="00A14E24" w:rsidRDefault="00273BE2" w:rsidP="004C628D">
      <w:pPr>
        <w:keepNext/>
        <w:widowControl w:val="0"/>
        <w:ind w:left="567" w:hanging="567"/>
      </w:pPr>
    </w:p>
    <w:p w14:paraId="2EF02D82" w14:textId="77777777" w:rsidR="00273BE2" w:rsidRPr="00A14E24" w:rsidRDefault="00273BE2" w:rsidP="004C628D">
      <w:pPr>
        <w:keepNext/>
        <w:widowControl w:val="0"/>
        <w:autoSpaceDE w:val="0"/>
        <w:autoSpaceDN w:val="0"/>
        <w:adjustRightInd w:val="0"/>
      </w:pPr>
      <w:r w:rsidRPr="00A14E24">
        <w:t>Visada vartokite šį vaistą tiksliai, kaip nurodė gydytojas arba vaistininkas. Jeigu abejojate, kreipkitės į gydytoją arba vaistininką.</w:t>
      </w:r>
    </w:p>
    <w:p w14:paraId="4F0E9A5C" w14:textId="77777777" w:rsidR="00273BE2" w:rsidRPr="00A14E24" w:rsidRDefault="00273BE2" w:rsidP="00273BE2">
      <w:pPr>
        <w:widowControl w:val="0"/>
        <w:autoSpaceDE w:val="0"/>
        <w:autoSpaceDN w:val="0"/>
        <w:adjustRightInd w:val="0"/>
      </w:pPr>
    </w:p>
    <w:p w14:paraId="7E4495DB" w14:textId="77777777" w:rsidR="00273BE2" w:rsidRPr="00A14E24" w:rsidRDefault="00273BE2" w:rsidP="00273BE2">
      <w:r w:rsidRPr="00A14E24">
        <w:lastRenderedPageBreak/>
        <w:t>Reikia vartoti mažiausią veiksmingą dozę trumpiausią laiką, reikalingą simptomams palengvinti. Jeigu Jums yra infekcija, nedelsdami kreipkitės į gydytoją, jei simptomai (tokie kaip karščiavimas ir skausmas) išlieka arba pasunkėja (žr. 2 skyrių).</w:t>
      </w:r>
    </w:p>
    <w:p w14:paraId="2835FBFB" w14:textId="77777777" w:rsidR="00273BE2" w:rsidRPr="00A14E24" w:rsidRDefault="00273BE2" w:rsidP="00273BE2">
      <w:pPr>
        <w:jc w:val="both"/>
      </w:pPr>
    </w:p>
    <w:p w14:paraId="3A1084C1" w14:textId="77777777" w:rsidR="00273BE2" w:rsidRPr="00A14E24" w:rsidRDefault="00273BE2" w:rsidP="00273BE2">
      <w:pPr>
        <w:jc w:val="both"/>
        <w:rPr>
          <w:b/>
        </w:rPr>
      </w:pPr>
      <w:r w:rsidRPr="00A14E24">
        <w:rPr>
          <w:b/>
        </w:rPr>
        <w:t>Dozavimas</w:t>
      </w:r>
    </w:p>
    <w:p w14:paraId="26C1BF46" w14:textId="77777777" w:rsidR="00273BE2" w:rsidRPr="00A14E24" w:rsidRDefault="00273BE2" w:rsidP="00273BE2">
      <w:pPr>
        <w:jc w:val="both"/>
        <w:rPr>
          <w:b/>
          <w:bCs/>
        </w:rPr>
      </w:pPr>
    </w:p>
    <w:p w14:paraId="71D3AE21" w14:textId="4FA29013" w:rsidR="00273BE2" w:rsidRPr="00A14E24" w:rsidRDefault="00273BE2" w:rsidP="00273BE2">
      <w:pPr>
        <w:jc w:val="both"/>
      </w:pPr>
      <w:r w:rsidRPr="00A14E24">
        <w:t xml:space="preserve">Tarp dozių vartojimo visada turi praeiti </w:t>
      </w:r>
      <w:r w:rsidR="00E50EE5">
        <w:t>4-</w:t>
      </w:r>
      <w:r w:rsidRPr="00A14E24">
        <w:t>6 valandos.</w:t>
      </w:r>
    </w:p>
    <w:p w14:paraId="60CC0FB0" w14:textId="77777777" w:rsidR="00273BE2" w:rsidRPr="00A14E24" w:rsidRDefault="00273BE2" w:rsidP="00273BE2">
      <w:pPr>
        <w:jc w:val="both"/>
        <w:rPr>
          <w:b/>
          <w:bCs/>
        </w:rPr>
      </w:pPr>
    </w:p>
    <w:p w14:paraId="0F82BBC4" w14:textId="5B3B79B5" w:rsidR="00273BE2" w:rsidRPr="00A14E24" w:rsidRDefault="00273BE2" w:rsidP="00273BE2">
      <w:pPr>
        <w:jc w:val="both"/>
        <w:rPr>
          <w:u w:val="single"/>
        </w:rPr>
      </w:pPr>
      <w:r w:rsidRPr="00A14E24">
        <w:rPr>
          <w:u w:val="single"/>
        </w:rPr>
        <w:t>Suaugusiesiems ir paaugliams (1</w:t>
      </w:r>
      <w:r w:rsidR="005B5A4C">
        <w:rPr>
          <w:u w:val="single"/>
        </w:rPr>
        <w:t>5</w:t>
      </w:r>
      <w:r w:rsidR="004C628D">
        <w:rPr>
          <w:u w:val="single"/>
        </w:rPr>
        <w:t>–</w:t>
      </w:r>
      <w:r w:rsidRPr="00A14E24">
        <w:rPr>
          <w:u w:val="single"/>
        </w:rPr>
        <w:t xml:space="preserve">18 metų, sveriantiems </w:t>
      </w:r>
      <w:r w:rsidR="005B5A4C">
        <w:rPr>
          <w:u w:val="single"/>
        </w:rPr>
        <w:t>5</w:t>
      </w:r>
      <w:r w:rsidRPr="00A14E24">
        <w:rPr>
          <w:u w:val="single"/>
        </w:rPr>
        <w:t>0 kg ir daugiau)</w:t>
      </w:r>
    </w:p>
    <w:p w14:paraId="256A061A" w14:textId="18BF2979" w:rsidR="00273BE2" w:rsidRPr="00A14E24" w:rsidRDefault="00273BE2" w:rsidP="00273BE2">
      <w:pPr>
        <w:rPr>
          <w:i/>
          <w:iCs/>
        </w:rPr>
      </w:pPr>
      <w:r w:rsidRPr="00A14E24">
        <w:rPr>
          <w:i/>
          <w:iCs/>
        </w:rPr>
        <w:t>Reumatinės ligos</w:t>
      </w:r>
      <w:r w:rsidR="00A7440F" w:rsidRPr="00A7440F">
        <w:t xml:space="preserve"> </w:t>
      </w:r>
      <w:r w:rsidR="00A7440F" w:rsidRPr="00A7440F">
        <w:rPr>
          <w:i/>
          <w:iCs/>
        </w:rPr>
        <w:t>ir skausmingas patinimas bei uždegimas po minkštųjų audinių pažaidos</w:t>
      </w:r>
    </w:p>
    <w:p w14:paraId="6F78DA40" w14:textId="1F5EF7D9" w:rsidR="00273BE2" w:rsidRPr="00A14E24" w:rsidRDefault="00273BE2" w:rsidP="00273BE2">
      <w:r w:rsidRPr="00A14E24">
        <w:t xml:space="preserve">Rekomenduojama dozė yra </w:t>
      </w:r>
      <w:r w:rsidR="005B5A4C">
        <w:t>60</w:t>
      </w:r>
      <w:r w:rsidR="00B85CCB">
        <w:t>0</w:t>
      </w:r>
      <w:r w:rsidRPr="00A14E24">
        <w:t xml:space="preserve"> mg </w:t>
      </w:r>
      <w:proofErr w:type="spellStart"/>
      <w:r w:rsidRPr="00A14E24">
        <w:t>ibuprofeno</w:t>
      </w:r>
      <w:proofErr w:type="spellEnd"/>
      <w:r w:rsidRPr="00A14E24">
        <w:t xml:space="preserve"> 3 kartus per parą. Siekiant greičiau palengvinti rytinį stingulį, pirmąją dozę galima išgerti nevalgius. Didžiausia paros dozė yra 2 400 mg.</w:t>
      </w:r>
    </w:p>
    <w:p w14:paraId="0A59BC0B" w14:textId="77777777" w:rsidR="00273BE2" w:rsidRPr="00A14E24" w:rsidRDefault="00273BE2" w:rsidP="00273BE2">
      <w:pPr>
        <w:jc w:val="both"/>
      </w:pPr>
    </w:p>
    <w:p w14:paraId="2F8FAFF7" w14:textId="77777777" w:rsidR="00273BE2" w:rsidRPr="001555BD" w:rsidRDefault="00273BE2" w:rsidP="00273BE2">
      <w:pPr>
        <w:rPr>
          <w:i/>
          <w:iCs/>
          <w:highlight w:val="lightGray"/>
        </w:rPr>
      </w:pPr>
      <w:r w:rsidRPr="001555BD">
        <w:rPr>
          <w:i/>
          <w:iCs/>
          <w:highlight w:val="lightGray"/>
        </w:rPr>
        <w:t>Lengvas ar vidutinio stiprumo skausmas</w:t>
      </w:r>
    </w:p>
    <w:p w14:paraId="3404959A" w14:textId="77777777" w:rsidR="00E278EA" w:rsidRPr="001555BD" w:rsidRDefault="00273BE2" w:rsidP="00273BE2">
      <w:pPr>
        <w:rPr>
          <w:highlight w:val="lightGray"/>
        </w:rPr>
      </w:pPr>
      <w:r w:rsidRPr="001555BD">
        <w:rPr>
          <w:highlight w:val="lightGray"/>
        </w:rPr>
        <w:t>Rekomenduojama dozė yra 200</w:t>
      </w:r>
      <w:r w:rsidR="004C628D" w:rsidRPr="001555BD">
        <w:rPr>
          <w:highlight w:val="lightGray"/>
        </w:rPr>
        <w:t>–</w:t>
      </w:r>
      <w:r w:rsidRPr="001555BD">
        <w:rPr>
          <w:highlight w:val="lightGray"/>
        </w:rPr>
        <w:t xml:space="preserve">400 mg </w:t>
      </w:r>
      <w:proofErr w:type="spellStart"/>
      <w:r w:rsidRPr="001555BD">
        <w:rPr>
          <w:highlight w:val="lightGray"/>
        </w:rPr>
        <w:t>ibuprofeno</w:t>
      </w:r>
      <w:proofErr w:type="spellEnd"/>
      <w:r w:rsidRPr="001555BD">
        <w:rPr>
          <w:highlight w:val="lightGray"/>
        </w:rPr>
        <w:t>, ji vartojama kaip vienkartinė dozė arba geriama 3</w:t>
      </w:r>
      <w:r w:rsidR="00677CC0" w:rsidRPr="001555BD">
        <w:rPr>
          <w:highlight w:val="lightGray"/>
        </w:rPr>
        <w:t>–</w:t>
      </w:r>
      <w:r w:rsidRPr="001555BD">
        <w:rPr>
          <w:highlight w:val="lightGray"/>
        </w:rPr>
        <w:t>4 kartus per parą. Nenustatyta, kad didesnė nei 400 mg vienkartinė dozė sukeltų bet kokį papildomą skausmą malšinantį poveikį.</w:t>
      </w:r>
    </w:p>
    <w:p w14:paraId="365E5286" w14:textId="21CEEAE4" w:rsidR="00273BE2" w:rsidRPr="00A14E24" w:rsidRDefault="00273BE2" w:rsidP="00273BE2">
      <w:r w:rsidRPr="001555BD">
        <w:rPr>
          <w:highlight w:val="lightGray"/>
        </w:rPr>
        <w:t>Didžiausia paros dozė yra 1 </w:t>
      </w:r>
      <w:r w:rsidR="00A57FE8" w:rsidRPr="001555BD">
        <w:rPr>
          <w:highlight w:val="lightGray"/>
        </w:rPr>
        <w:t>2</w:t>
      </w:r>
      <w:r w:rsidRPr="001555BD">
        <w:rPr>
          <w:highlight w:val="lightGray"/>
        </w:rPr>
        <w:t>00 mg.</w:t>
      </w:r>
    </w:p>
    <w:p w14:paraId="5B90B692" w14:textId="77777777" w:rsidR="00273BE2" w:rsidRPr="00A14E24" w:rsidRDefault="00273BE2" w:rsidP="00273BE2">
      <w:pPr>
        <w:jc w:val="both"/>
        <w:rPr>
          <w:i/>
          <w:iCs/>
        </w:rPr>
      </w:pPr>
    </w:p>
    <w:p w14:paraId="59B8DB59" w14:textId="77777777" w:rsidR="00273BE2" w:rsidRPr="001555BD" w:rsidRDefault="00273BE2" w:rsidP="00273BE2">
      <w:pPr>
        <w:jc w:val="both"/>
        <w:rPr>
          <w:i/>
          <w:iCs/>
          <w:highlight w:val="lightGray"/>
        </w:rPr>
      </w:pPr>
      <w:r w:rsidRPr="001555BD">
        <w:rPr>
          <w:i/>
          <w:iCs/>
          <w:highlight w:val="lightGray"/>
        </w:rPr>
        <w:t>Karščiavimas</w:t>
      </w:r>
    </w:p>
    <w:p w14:paraId="23C3DD25" w14:textId="17FB23B8" w:rsidR="00273BE2" w:rsidRPr="001555BD" w:rsidRDefault="00273BE2" w:rsidP="00273BE2">
      <w:pPr>
        <w:jc w:val="both"/>
        <w:rPr>
          <w:highlight w:val="lightGray"/>
        </w:rPr>
      </w:pPr>
      <w:r w:rsidRPr="001555BD">
        <w:rPr>
          <w:highlight w:val="lightGray"/>
        </w:rPr>
        <w:t>Rekomenduojama dozė yra 200</w:t>
      </w:r>
      <w:r w:rsidR="004C628D" w:rsidRPr="001555BD">
        <w:rPr>
          <w:highlight w:val="lightGray"/>
        </w:rPr>
        <w:t>–</w:t>
      </w:r>
      <w:r w:rsidRPr="001555BD">
        <w:rPr>
          <w:highlight w:val="lightGray"/>
        </w:rPr>
        <w:t xml:space="preserve">400 mg </w:t>
      </w:r>
      <w:proofErr w:type="spellStart"/>
      <w:r w:rsidRPr="001555BD">
        <w:rPr>
          <w:highlight w:val="lightGray"/>
        </w:rPr>
        <w:t>ibuprofeno</w:t>
      </w:r>
      <w:proofErr w:type="spellEnd"/>
      <w:r w:rsidRPr="001555BD">
        <w:rPr>
          <w:highlight w:val="lightGray"/>
        </w:rPr>
        <w:t xml:space="preserve"> 1</w:t>
      </w:r>
      <w:r w:rsidR="00421DA7" w:rsidRPr="001555BD">
        <w:rPr>
          <w:highlight w:val="lightGray"/>
        </w:rPr>
        <w:t>–</w:t>
      </w:r>
      <w:r w:rsidRPr="001555BD">
        <w:rPr>
          <w:highlight w:val="lightGray"/>
        </w:rPr>
        <w:t>3 kartus per parą, pagal poreikį.</w:t>
      </w:r>
    </w:p>
    <w:p w14:paraId="2C0798ED" w14:textId="77777777" w:rsidR="00273BE2" w:rsidRPr="00A14E24" w:rsidRDefault="00273BE2" w:rsidP="00273BE2">
      <w:r w:rsidRPr="001555BD">
        <w:rPr>
          <w:highlight w:val="lightGray"/>
        </w:rPr>
        <w:t>Didžiausia paros dozė yra 1 200 mg.</w:t>
      </w:r>
    </w:p>
    <w:p w14:paraId="678CB153" w14:textId="77777777" w:rsidR="00273BE2" w:rsidRDefault="00273BE2" w:rsidP="00273BE2">
      <w:pPr>
        <w:jc w:val="both"/>
      </w:pPr>
    </w:p>
    <w:p w14:paraId="0DF8467E" w14:textId="08C11210" w:rsidR="003570BF" w:rsidRDefault="003570BF" w:rsidP="00273BE2">
      <w:pPr>
        <w:jc w:val="both"/>
      </w:pPr>
      <w:proofErr w:type="spellStart"/>
      <w:r w:rsidRPr="003570BF">
        <w:t>Ibuprofen</w:t>
      </w:r>
      <w:proofErr w:type="spellEnd"/>
      <w:r w:rsidRPr="003570BF">
        <w:t xml:space="preserve"> STADA </w:t>
      </w:r>
      <w:proofErr w:type="spellStart"/>
      <w:r w:rsidRPr="003570BF">
        <w:t>Arzneimittel</w:t>
      </w:r>
      <w:proofErr w:type="spellEnd"/>
      <w:r w:rsidRPr="003570BF">
        <w:t xml:space="preserve"> </w:t>
      </w:r>
      <w:r>
        <w:t>6</w:t>
      </w:r>
      <w:r w:rsidRPr="003570BF">
        <w:t>00 mg netinka jaunesniems nei 1</w:t>
      </w:r>
      <w:r>
        <w:t>5</w:t>
      </w:r>
      <w:r w:rsidRPr="003570BF">
        <w:t xml:space="preserve"> metų vaikams.</w:t>
      </w:r>
    </w:p>
    <w:p w14:paraId="0903D9AC" w14:textId="77777777" w:rsidR="00B774E1" w:rsidRPr="00A14E24" w:rsidRDefault="00B774E1" w:rsidP="00273BE2">
      <w:pPr>
        <w:jc w:val="both"/>
      </w:pPr>
    </w:p>
    <w:p w14:paraId="37CEB537" w14:textId="77777777" w:rsidR="00273BE2" w:rsidRPr="00A14E24" w:rsidRDefault="00273BE2" w:rsidP="00273BE2">
      <w:pPr>
        <w:ind w:left="-3" w:hanging="10"/>
        <w:jc w:val="both"/>
        <w:rPr>
          <w:iCs/>
          <w:u w:val="single"/>
        </w:rPr>
      </w:pPr>
      <w:r w:rsidRPr="00A14E24">
        <w:rPr>
          <w:iCs/>
          <w:u w:val="single"/>
        </w:rPr>
        <w:t>Senyviems žmonėms</w:t>
      </w:r>
    </w:p>
    <w:p w14:paraId="100ADA9F" w14:textId="3A26F6BA" w:rsidR="00273BE2" w:rsidRPr="00A14E24" w:rsidRDefault="00273BE2" w:rsidP="00273BE2">
      <w:r w:rsidRPr="00A14E24">
        <w:t xml:space="preserve">Jeigu esate senyvo amžiaus, prieš vartodami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visada pasitarkite su gydytoju. Jums bus didesnė šalutinio poveikio, ypač kraujavimo iš virškinimo trakto, jo išopėjimo ar prakiurimo, kurie gali būti mirtini, tikimybė. Gydytojas Jums suteiks atitinkamų patarimų.</w:t>
      </w:r>
    </w:p>
    <w:p w14:paraId="0B71BEDC" w14:textId="77777777" w:rsidR="00273BE2" w:rsidRPr="00A14E24" w:rsidRDefault="00273BE2" w:rsidP="00273BE2">
      <w:pPr>
        <w:jc w:val="both"/>
      </w:pPr>
    </w:p>
    <w:p w14:paraId="25B3C122" w14:textId="77777777" w:rsidR="00273BE2" w:rsidRPr="00A14E24" w:rsidRDefault="00273BE2" w:rsidP="00273BE2">
      <w:pPr>
        <w:ind w:left="-3" w:hanging="10"/>
        <w:jc w:val="both"/>
        <w:rPr>
          <w:iCs/>
          <w:u w:val="single"/>
        </w:rPr>
      </w:pPr>
      <w:r w:rsidRPr="00A14E24">
        <w:rPr>
          <w:iCs/>
          <w:u w:val="single"/>
        </w:rPr>
        <w:t>Susilpnėjusi kepenų ar inkstų funkcija</w:t>
      </w:r>
    </w:p>
    <w:p w14:paraId="7C050C91" w14:textId="77777777" w:rsidR="00273BE2" w:rsidRPr="00A14E24" w:rsidRDefault="00273BE2" w:rsidP="00273BE2">
      <w:r w:rsidRPr="00A14E24">
        <w:t>Jeigu sergate sunkia kepenų ir inkstų liga arba esate senyvo amžiaus, gydytojas Jums paskirs mažiausią galimą dozę.</w:t>
      </w:r>
    </w:p>
    <w:p w14:paraId="68C000FF" w14:textId="77777777" w:rsidR="00273BE2" w:rsidRPr="00A14E24" w:rsidRDefault="00273BE2" w:rsidP="00273BE2">
      <w:pPr>
        <w:jc w:val="both"/>
      </w:pPr>
    </w:p>
    <w:p w14:paraId="28F32D40" w14:textId="77777777" w:rsidR="00273BE2" w:rsidRPr="00A14E24" w:rsidRDefault="00273BE2" w:rsidP="00273BE2">
      <w:pPr>
        <w:ind w:left="2"/>
        <w:jc w:val="both"/>
        <w:rPr>
          <w:b/>
          <w:bCs/>
        </w:rPr>
      </w:pPr>
      <w:r w:rsidRPr="00A14E24">
        <w:rPr>
          <w:b/>
          <w:bCs/>
        </w:rPr>
        <w:t>Vartojimo metodas</w:t>
      </w:r>
    </w:p>
    <w:p w14:paraId="141BB856" w14:textId="791779E2" w:rsidR="00273BE2" w:rsidRPr="00A14E24" w:rsidRDefault="00273BE2" w:rsidP="00273BE2">
      <w:pPr>
        <w:ind w:left="2"/>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yra skirtas vartoti per burną.</w:t>
      </w:r>
    </w:p>
    <w:p w14:paraId="067B64AE" w14:textId="77777777" w:rsidR="00273BE2" w:rsidRPr="00A14E24" w:rsidRDefault="00273BE2" w:rsidP="00273BE2"/>
    <w:p w14:paraId="46D22BD8" w14:textId="3231E27B" w:rsidR="00273BE2" w:rsidRPr="00A14E24" w:rsidRDefault="00273BE2" w:rsidP="00273BE2">
      <w:pPr>
        <w:ind w:left="2"/>
      </w:pPr>
      <w:r w:rsidRPr="00A14E24">
        <w:t xml:space="preserve">Tabletes užgerkite stikline vandens. Tabletes reikia nuryti </w:t>
      </w:r>
      <w:r w:rsidR="00543942">
        <w:t>nesmulkintas</w:t>
      </w:r>
      <w:r w:rsidRPr="00A14E24">
        <w:t>, jų negalima kramtyti, traiškyti ar laužyti, kad išvengtumėte nemalonaus pojūčio burnoje ar gerklės dirginimo.</w:t>
      </w:r>
    </w:p>
    <w:p w14:paraId="07E8E5FF" w14:textId="77777777" w:rsidR="00273BE2" w:rsidRPr="00A14E24" w:rsidRDefault="00273BE2" w:rsidP="00273BE2">
      <w:pPr>
        <w:ind w:left="2"/>
      </w:pPr>
    </w:p>
    <w:p w14:paraId="0CCC2A07" w14:textId="77777777" w:rsidR="00273BE2" w:rsidRPr="00A14E24" w:rsidRDefault="00273BE2" w:rsidP="00273BE2">
      <w:pPr>
        <w:widowControl w:val="0"/>
        <w:autoSpaceDE w:val="0"/>
        <w:autoSpaceDN w:val="0"/>
      </w:pPr>
      <w:r w:rsidRPr="00A14E24">
        <w:t>Pacientams, kurių skrandis jautrus, rekomenduojama</w:t>
      </w:r>
      <w:r w:rsidRPr="00A14E24">
        <w:rPr>
          <w:color w:val="000000"/>
        </w:rPr>
        <w:t xml:space="preserve"> tabletes</w:t>
      </w:r>
      <w:r w:rsidRPr="00A14E24">
        <w:t xml:space="preserve"> vartoti su maistu. Jei vartojama iš karto po valgio, </w:t>
      </w:r>
      <w:proofErr w:type="spellStart"/>
      <w:r w:rsidRPr="00A14E24">
        <w:rPr>
          <w:color w:val="000000"/>
        </w:rPr>
        <w:t>ibuprofeno</w:t>
      </w:r>
      <w:proofErr w:type="spellEnd"/>
      <w:r w:rsidRPr="00A14E24">
        <w:t xml:space="preserve"> veikimo pradžia gali būti vėlesnė.</w:t>
      </w:r>
    </w:p>
    <w:p w14:paraId="0F74FF79" w14:textId="77777777" w:rsidR="00273BE2" w:rsidRPr="00A14E24" w:rsidRDefault="00273BE2" w:rsidP="00273BE2">
      <w:pPr>
        <w:widowControl w:val="0"/>
        <w:autoSpaceDE w:val="0"/>
        <w:autoSpaceDN w:val="0"/>
        <w:adjustRightInd w:val="0"/>
      </w:pPr>
    </w:p>
    <w:p w14:paraId="16798FE3" w14:textId="1FCD5DF7" w:rsidR="00273BE2" w:rsidRPr="00A14E24" w:rsidRDefault="00273BE2" w:rsidP="00273BE2">
      <w:pPr>
        <w:widowControl w:val="0"/>
        <w:autoSpaceDE w:val="0"/>
        <w:autoSpaceDN w:val="0"/>
        <w:adjustRightInd w:val="0"/>
        <w:rPr>
          <w:rFonts w:eastAsia="TimesNewRoman,Bold"/>
          <w:b/>
          <w:bCs/>
        </w:rPr>
      </w:pPr>
      <w:r w:rsidRPr="00A14E24">
        <w:rPr>
          <w:rFonts w:eastAsia="TimesNewRoman,Bold"/>
          <w:b/>
          <w:bCs/>
        </w:rPr>
        <w:t xml:space="preserve">Ką daryti pavartojus per didelę </w:t>
      </w:r>
      <w:proofErr w:type="spellStart"/>
      <w:r w:rsidRPr="00A14E24">
        <w:rPr>
          <w:rFonts w:eastAsia="TimesNewRoman,Bold"/>
          <w:b/>
          <w:bCs/>
        </w:rPr>
        <w:t>Ibuprofen</w:t>
      </w:r>
      <w:proofErr w:type="spellEnd"/>
      <w:r w:rsidRPr="00A14E24">
        <w:rPr>
          <w:rFonts w:eastAsia="TimesNewRoman,Bold"/>
          <w:b/>
          <w:bCs/>
        </w:rPr>
        <w:t xml:space="preserve"> </w:t>
      </w:r>
      <w:r w:rsidR="00B764A7">
        <w:rPr>
          <w:rFonts w:eastAsia="TimesNewRoman,Bold"/>
          <w:b/>
          <w:bCs/>
        </w:rPr>
        <w:t>STADA</w:t>
      </w:r>
      <w:r w:rsidRPr="00A14E24">
        <w:rPr>
          <w:rFonts w:eastAsia="TimesNewRoman,Bold"/>
          <w:b/>
          <w:bCs/>
        </w:rPr>
        <w:t xml:space="preserve"> </w:t>
      </w:r>
      <w:proofErr w:type="spellStart"/>
      <w:r w:rsidRPr="00A14E24">
        <w:rPr>
          <w:rFonts w:eastAsia="TimesNewRoman,Bold"/>
          <w:b/>
          <w:bCs/>
        </w:rPr>
        <w:t>Arzneimittel</w:t>
      </w:r>
      <w:proofErr w:type="spellEnd"/>
      <w:r w:rsidRPr="00A14E24">
        <w:rPr>
          <w:rFonts w:eastAsia="TimesNewRoman,Bold"/>
          <w:b/>
          <w:bCs/>
        </w:rPr>
        <w:t xml:space="preserve"> dozę</w:t>
      </w:r>
    </w:p>
    <w:p w14:paraId="5091C384" w14:textId="55D0A773" w:rsidR="00273BE2" w:rsidRPr="00A14E24" w:rsidRDefault="00273BE2" w:rsidP="00273BE2">
      <w:r w:rsidRPr="00A14E24">
        <w:rPr>
          <w:rFonts w:eastAsia="TimesNewRoman,Bold"/>
        </w:rPr>
        <w:t xml:space="preserve">Jei pavartojote didesnę </w:t>
      </w:r>
      <w:proofErr w:type="spellStart"/>
      <w:r w:rsidRPr="00A14E24">
        <w:rPr>
          <w:rFonts w:eastAsia="TimesNewRoman,Bold"/>
        </w:rPr>
        <w:t>Ibuprofen</w:t>
      </w:r>
      <w:proofErr w:type="spellEnd"/>
      <w:r w:rsidRPr="00A14E24">
        <w:rPr>
          <w:rFonts w:eastAsia="TimesNewRoman,Bold"/>
        </w:rPr>
        <w:t xml:space="preserve"> </w:t>
      </w:r>
      <w:r w:rsidR="00B764A7">
        <w:rPr>
          <w:rFonts w:eastAsia="TimesNewRoman,Bold"/>
        </w:rPr>
        <w:t>STADA</w:t>
      </w:r>
      <w:r w:rsidRPr="00A14E24">
        <w:rPr>
          <w:rFonts w:eastAsia="TimesNewRoman,Bold"/>
        </w:rPr>
        <w:t xml:space="preserve"> </w:t>
      </w:r>
      <w:proofErr w:type="spellStart"/>
      <w:r w:rsidRPr="00A14E24">
        <w:rPr>
          <w:rFonts w:eastAsia="TimesNewRoman,Bold"/>
        </w:rPr>
        <w:t>Arzneimittel</w:t>
      </w:r>
      <w:proofErr w:type="spellEnd"/>
      <w:r w:rsidRPr="00A14E24">
        <w:rPr>
          <w:rFonts w:eastAsia="TimesNewRoman,Bold"/>
        </w:rPr>
        <w:t xml:space="preserve"> dozę nei reikia arba vaisto netyčia išgėrė vaikas, nedelsdami kreipkitės į gydytoją arba vykite į artimiausią ligoninę, kad būtų nustatyta, ar yra rizika, ir patarta, kokių priemonių reikia imtis.</w:t>
      </w:r>
    </w:p>
    <w:p w14:paraId="030686CF" w14:textId="77777777" w:rsidR="00273BE2" w:rsidRPr="00A14E24" w:rsidRDefault="00273BE2" w:rsidP="00273BE2"/>
    <w:p w14:paraId="2C6E5D3C" w14:textId="1AD44534" w:rsidR="00273BE2" w:rsidRPr="00A14E24" w:rsidRDefault="00273BE2" w:rsidP="00273BE2">
      <w:pPr>
        <w:ind w:left="2"/>
      </w:pPr>
      <w:r w:rsidRPr="00A14E24">
        <w:t xml:space="preserve">Galimi perdozavimo simptomai yra pykinimas, pilvo skausmas, vėmimas (turinyje gali būti kraujo ruožų), galvos skausmas, spengimas ausyse, minčių susipainiojimas ir drebantys akių judesiai. Išgėrus didelę dozę, pranešta apie tokį poveikį kaip </w:t>
      </w:r>
      <w:r w:rsidR="007B7618">
        <w:t>mieguistumas</w:t>
      </w:r>
      <w:r w:rsidRPr="00A14E24">
        <w:t>, krūtinės skausmas, stiprus širdies plakimas (</w:t>
      </w:r>
      <w:proofErr w:type="spellStart"/>
      <w:r w:rsidRPr="00A14E24">
        <w:t>palpitacijos</w:t>
      </w:r>
      <w:proofErr w:type="spellEnd"/>
      <w:r w:rsidRPr="00A14E24">
        <w:t xml:space="preserve">), sąmonės netekimas, traukuliai (daugiausia vaikams), silpnumas ir svaigulys, kraujas šlapime, </w:t>
      </w:r>
      <w:r w:rsidR="00A63179" w:rsidRPr="002C3E2C">
        <w:t xml:space="preserve">inkstų kanalėlių </w:t>
      </w:r>
      <w:proofErr w:type="spellStart"/>
      <w:r w:rsidR="00A63179" w:rsidRPr="002C3E2C">
        <w:t>acidoz</w:t>
      </w:r>
      <w:r w:rsidR="00A63179">
        <w:t>ė</w:t>
      </w:r>
      <w:proofErr w:type="spellEnd"/>
      <w:r w:rsidR="00A63179">
        <w:t xml:space="preserve"> (</w:t>
      </w:r>
      <w:r w:rsidR="00A63179" w:rsidRPr="00BC3279">
        <w:t>rūgš</w:t>
      </w:r>
      <w:r w:rsidR="00A63179">
        <w:t>čių</w:t>
      </w:r>
      <w:r w:rsidR="00A63179" w:rsidRPr="00BC3279">
        <w:t xml:space="preserve"> kaupimasis organizme</w:t>
      </w:r>
      <w:r w:rsidR="00A63179">
        <w:t>),</w:t>
      </w:r>
      <w:r w:rsidR="000A0886">
        <w:t xml:space="preserve"> </w:t>
      </w:r>
      <w:r w:rsidRPr="00A14E24">
        <w:t>mažas kalio kiekis kraujyje, kūno šalčio pojūtis ir kvėpavimo sutrikimai.</w:t>
      </w:r>
    </w:p>
    <w:p w14:paraId="20FB9CD2" w14:textId="77777777" w:rsidR="00273BE2" w:rsidRPr="00A14E24" w:rsidRDefault="00273BE2" w:rsidP="00273BE2">
      <w:pPr>
        <w:ind w:left="2"/>
      </w:pPr>
    </w:p>
    <w:p w14:paraId="6FBBDC7C" w14:textId="77777777" w:rsidR="00273BE2" w:rsidRPr="00A14E24" w:rsidRDefault="00273BE2" w:rsidP="00273BE2">
      <w:pPr>
        <w:ind w:left="2"/>
      </w:pPr>
      <w:r w:rsidRPr="00A14E24">
        <w:t>Gali būti skiriama aktyvintoji anglis, ypač per vieną valandą po galimai toksinio kiekio nurijimo.</w:t>
      </w:r>
    </w:p>
    <w:p w14:paraId="312CB8F4" w14:textId="77777777" w:rsidR="00273BE2" w:rsidRPr="00A14E24" w:rsidRDefault="00273BE2" w:rsidP="00273BE2">
      <w:pPr>
        <w:widowControl w:val="0"/>
        <w:numPr>
          <w:ilvl w:val="12"/>
          <w:numId w:val="0"/>
        </w:numPr>
        <w:ind w:right="-2"/>
        <w:rPr>
          <w:rFonts w:eastAsia="TimesNewRoman,Bold"/>
        </w:rPr>
      </w:pPr>
    </w:p>
    <w:p w14:paraId="1BC02F13" w14:textId="759B2D89" w:rsidR="00273BE2" w:rsidRPr="00A14E24" w:rsidRDefault="00273BE2" w:rsidP="00273BE2">
      <w:pPr>
        <w:keepNext/>
        <w:rPr>
          <w:b/>
          <w:bCs/>
        </w:rPr>
      </w:pPr>
      <w:r w:rsidRPr="00A14E24">
        <w:rPr>
          <w:b/>
          <w:bCs/>
        </w:rPr>
        <w:lastRenderedPageBreak/>
        <w:t xml:space="preserve">Pamiršus pavartoti </w:t>
      </w:r>
      <w:proofErr w:type="spellStart"/>
      <w:r w:rsidRPr="00A14E24">
        <w:rPr>
          <w:rFonts w:eastAsia="TimesNewRoman,Bold"/>
          <w:b/>
          <w:bCs/>
        </w:rPr>
        <w:t>Ibuprofen</w:t>
      </w:r>
      <w:proofErr w:type="spellEnd"/>
      <w:r w:rsidRPr="00A14E24">
        <w:rPr>
          <w:rFonts w:eastAsia="TimesNewRoman,Bold"/>
          <w:b/>
          <w:bCs/>
        </w:rPr>
        <w:t xml:space="preserve"> </w:t>
      </w:r>
      <w:r w:rsidR="00B764A7">
        <w:rPr>
          <w:rFonts w:eastAsia="TimesNewRoman,Bold"/>
          <w:b/>
          <w:bCs/>
        </w:rPr>
        <w:t>STADA</w:t>
      </w:r>
      <w:r w:rsidRPr="00A14E24">
        <w:rPr>
          <w:rFonts w:eastAsia="TimesNewRoman,Bold"/>
          <w:b/>
          <w:bCs/>
        </w:rPr>
        <w:t xml:space="preserve"> </w:t>
      </w:r>
      <w:proofErr w:type="spellStart"/>
      <w:r w:rsidRPr="00A14E24">
        <w:rPr>
          <w:rFonts w:eastAsia="TimesNewRoman,Bold"/>
          <w:b/>
          <w:bCs/>
        </w:rPr>
        <w:t>Arzneimittel</w:t>
      </w:r>
      <w:proofErr w:type="spellEnd"/>
    </w:p>
    <w:p w14:paraId="36DABBDA" w14:textId="77777777" w:rsidR="00273BE2" w:rsidRPr="00A14E24" w:rsidRDefault="00273BE2" w:rsidP="00273BE2">
      <w:pPr>
        <w:rPr>
          <w:bCs/>
        </w:rPr>
      </w:pPr>
      <w:r w:rsidRPr="00A14E24">
        <w:rPr>
          <w:bCs/>
        </w:rPr>
        <w:t>Negalima vartoti dvigubos dozės norint kompensuoti praleistą dozę.</w:t>
      </w:r>
    </w:p>
    <w:p w14:paraId="00656CC5" w14:textId="77777777" w:rsidR="00273BE2" w:rsidRPr="00A14E24" w:rsidRDefault="00273BE2" w:rsidP="00273BE2">
      <w:pPr>
        <w:tabs>
          <w:tab w:val="left" w:pos="426"/>
        </w:tabs>
      </w:pPr>
    </w:p>
    <w:p w14:paraId="4E0A7B7C" w14:textId="77777777" w:rsidR="00273BE2" w:rsidRPr="00A14E24" w:rsidRDefault="00273BE2" w:rsidP="00273BE2">
      <w:pPr>
        <w:tabs>
          <w:tab w:val="left" w:pos="426"/>
        </w:tabs>
        <w:rPr>
          <w:rFonts w:eastAsia="TimesNewRoman,Bold"/>
        </w:rPr>
      </w:pPr>
      <w:r w:rsidRPr="00A14E24">
        <w:t>Jeigu kiltų daugiau klausimų dėl šio vaisto vartojimo, kreipkitės į gydytoją arba vaistininką</w:t>
      </w:r>
      <w:r w:rsidRPr="00A14E24">
        <w:rPr>
          <w:rFonts w:eastAsia="TimesNewRoman,Bold"/>
        </w:rPr>
        <w:t>.</w:t>
      </w:r>
    </w:p>
    <w:p w14:paraId="03302D8D" w14:textId="77777777" w:rsidR="00273BE2" w:rsidRPr="00A14E24" w:rsidRDefault="00273BE2" w:rsidP="00273BE2">
      <w:pPr>
        <w:widowControl w:val="0"/>
        <w:numPr>
          <w:ilvl w:val="12"/>
          <w:numId w:val="0"/>
        </w:numPr>
        <w:ind w:right="-2"/>
      </w:pPr>
    </w:p>
    <w:p w14:paraId="6A50327E" w14:textId="77777777" w:rsidR="00273BE2" w:rsidRPr="00A14E24" w:rsidRDefault="00273BE2" w:rsidP="00273BE2">
      <w:pPr>
        <w:widowControl w:val="0"/>
        <w:numPr>
          <w:ilvl w:val="12"/>
          <w:numId w:val="0"/>
        </w:numPr>
        <w:ind w:right="-2"/>
      </w:pPr>
    </w:p>
    <w:p w14:paraId="21ADF56D" w14:textId="77777777" w:rsidR="00273BE2" w:rsidRPr="00A14E24" w:rsidRDefault="00273BE2" w:rsidP="00273BE2">
      <w:pPr>
        <w:widowControl w:val="0"/>
        <w:numPr>
          <w:ilvl w:val="12"/>
          <w:numId w:val="0"/>
        </w:numPr>
        <w:ind w:left="567" w:hanging="567"/>
        <w:outlineLvl w:val="0"/>
        <w:rPr>
          <w:b/>
          <w:caps/>
        </w:rPr>
      </w:pPr>
      <w:r w:rsidRPr="00A14E24">
        <w:rPr>
          <w:b/>
          <w:caps/>
        </w:rPr>
        <w:t>4.</w:t>
      </w:r>
      <w:r w:rsidRPr="00A14E24">
        <w:rPr>
          <w:b/>
          <w:caps/>
        </w:rPr>
        <w:tab/>
      </w:r>
      <w:r w:rsidRPr="00A14E24">
        <w:rPr>
          <w:b/>
        </w:rPr>
        <w:t>Galimas šalutinis poveikis</w:t>
      </w:r>
    </w:p>
    <w:p w14:paraId="29AD256D" w14:textId="77777777" w:rsidR="00273BE2" w:rsidRPr="00A14E24" w:rsidRDefault="00273BE2" w:rsidP="00273BE2">
      <w:pPr>
        <w:widowControl w:val="0"/>
        <w:ind w:left="567" w:hanging="567"/>
      </w:pPr>
    </w:p>
    <w:p w14:paraId="72817D5E" w14:textId="77777777" w:rsidR="00273BE2" w:rsidRPr="00A14E24" w:rsidRDefault="00273BE2" w:rsidP="00273BE2">
      <w:pPr>
        <w:widowControl w:val="0"/>
        <w:autoSpaceDE w:val="0"/>
        <w:autoSpaceDN w:val="0"/>
        <w:adjustRightInd w:val="0"/>
      </w:pPr>
      <w:r w:rsidRPr="00A14E24">
        <w:t>Šis vaistas, kaip ir visi kiti, gali sukelti šalutinį poveikį, nors jis pasireiškia ne visiems žmonėms.</w:t>
      </w:r>
    </w:p>
    <w:p w14:paraId="6CB376E2" w14:textId="77777777" w:rsidR="00273BE2" w:rsidRPr="00A14E24" w:rsidRDefault="00273BE2" w:rsidP="00273BE2">
      <w:pPr>
        <w:widowControl w:val="0"/>
        <w:autoSpaceDE w:val="0"/>
        <w:autoSpaceDN w:val="0"/>
        <w:ind w:right="109"/>
      </w:pPr>
    </w:p>
    <w:p w14:paraId="3BE4A022" w14:textId="69966C58" w:rsidR="00273BE2" w:rsidRPr="00A14E24" w:rsidRDefault="00273BE2" w:rsidP="00273BE2">
      <w:pPr>
        <w:rPr>
          <w:b/>
          <w:bCs/>
        </w:rPr>
      </w:pPr>
      <w:r w:rsidRPr="00A14E24">
        <w:rPr>
          <w:b/>
          <w:bCs/>
        </w:rPr>
        <w:t xml:space="preserve">Nedelsdami nutraukite </w:t>
      </w: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r w:rsidRPr="00A14E24">
        <w:rPr>
          <w:b/>
          <w:bCs/>
        </w:rPr>
        <w:t xml:space="preserve"> vartojimą ir kreipkitės į gydytoją, jei pasireikš bet kuris toliau išvardytas poveikis.</w:t>
      </w:r>
    </w:p>
    <w:p w14:paraId="4CDFFEB5" w14:textId="77777777" w:rsidR="00273BE2" w:rsidRPr="00A14E24" w:rsidRDefault="00273BE2" w:rsidP="00273BE2">
      <w:pPr>
        <w:numPr>
          <w:ilvl w:val="0"/>
          <w:numId w:val="32"/>
        </w:numPr>
        <w:ind w:left="567" w:hanging="567"/>
        <w:contextualSpacing/>
      </w:pPr>
      <w:proofErr w:type="spellStart"/>
      <w:r w:rsidRPr="00A14E24">
        <w:t>Angioneurozinė</w:t>
      </w:r>
      <w:proofErr w:type="spellEnd"/>
      <w:r w:rsidRPr="00A14E24">
        <w:t xml:space="preserve"> edema (nedažnas šalutinis poveikis), kurios simptomai yra:</w:t>
      </w:r>
    </w:p>
    <w:p w14:paraId="483B5519" w14:textId="77777777" w:rsidR="00273BE2" w:rsidRPr="00A14E24" w:rsidRDefault="00273BE2" w:rsidP="00273BE2">
      <w:pPr>
        <w:numPr>
          <w:ilvl w:val="0"/>
          <w:numId w:val="34"/>
        </w:numPr>
        <w:ind w:left="1134" w:hanging="567"/>
        <w:contextualSpacing/>
      </w:pPr>
      <w:r w:rsidRPr="00A14E24">
        <w:t>veido, liežuvio ar gerklės patinimas;</w:t>
      </w:r>
    </w:p>
    <w:p w14:paraId="273C76C7" w14:textId="77777777" w:rsidR="00273BE2" w:rsidRPr="00A14E24" w:rsidRDefault="00273BE2" w:rsidP="00273BE2">
      <w:pPr>
        <w:numPr>
          <w:ilvl w:val="0"/>
          <w:numId w:val="34"/>
        </w:numPr>
        <w:ind w:left="1134" w:hanging="567"/>
        <w:contextualSpacing/>
      </w:pPr>
      <w:r w:rsidRPr="00A14E24">
        <w:t>rijimo pasunkėjimas;</w:t>
      </w:r>
    </w:p>
    <w:p w14:paraId="55A569D6" w14:textId="77777777" w:rsidR="00273BE2" w:rsidRPr="00A14E24" w:rsidRDefault="00273BE2" w:rsidP="00273BE2">
      <w:pPr>
        <w:numPr>
          <w:ilvl w:val="0"/>
          <w:numId w:val="34"/>
        </w:numPr>
        <w:ind w:left="1134" w:hanging="567"/>
        <w:contextualSpacing/>
      </w:pPr>
      <w:r w:rsidRPr="00A14E24">
        <w:t>dilgėlinė ir kvėpavimo sutrikimai.</w:t>
      </w:r>
    </w:p>
    <w:p w14:paraId="45DA23C3" w14:textId="77777777" w:rsidR="00273BE2" w:rsidRPr="00A14E24" w:rsidRDefault="00273BE2" w:rsidP="00273BE2">
      <w:pPr>
        <w:numPr>
          <w:ilvl w:val="0"/>
          <w:numId w:val="33"/>
        </w:numPr>
        <w:ind w:left="567" w:hanging="567"/>
      </w:pPr>
      <w:r w:rsidRPr="00A14E24">
        <w:t>Infekcija, kuriai būdingi tokie simptomai kaip karščiavimas ir sunkus bendrosios būklės pablogėjimas, arba karščiavimas su vietiniais infekcijos simptomais, tokiais kaip gerklės, ryklės ar burnos skausmas arba šlapinimosi sutrikimai.</w:t>
      </w:r>
    </w:p>
    <w:p w14:paraId="5C9AD4B1" w14:textId="7D2684E5" w:rsidR="00273BE2" w:rsidRPr="00A14E24" w:rsidRDefault="00273BE2" w:rsidP="00273BE2">
      <w:pPr>
        <w:ind w:left="567"/>
      </w:pP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sukelti baltųjų kraujo ląstelių skaičiaus sumažėjimą (</w:t>
      </w:r>
      <w:proofErr w:type="spellStart"/>
      <w:r w:rsidRPr="00A14E24">
        <w:t>agranulocitozę</w:t>
      </w:r>
      <w:proofErr w:type="spellEnd"/>
      <w:r w:rsidRPr="00A14E24">
        <w:t>) ir atsparumo infekcijoms sumažėjimą (nedažnas šalutinis poveikis). Svarbu informuoti gydytoją apie vartojamą vaistą.</w:t>
      </w:r>
    </w:p>
    <w:p w14:paraId="3ADE76DF" w14:textId="4CB48048" w:rsidR="00273BE2" w:rsidRPr="00A14E24" w:rsidRDefault="00273BE2" w:rsidP="00273BE2">
      <w:pPr>
        <w:numPr>
          <w:ilvl w:val="0"/>
          <w:numId w:val="33"/>
        </w:numPr>
        <w:ind w:left="567" w:hanging="567"/>
      </w:pPr>
      <w:r w:rsidRPr="00A14E24">
        <w:t xml:space="preserve">Rausvos spalvos neiškilusios, </w:t>
      </w:r>
      <w:r w:rsidR="006B0B7B">
        <w:t>taikinio formos</w:t>
      </w:r>
      <w:r w:rsidRPr="00A14E24">
        <w:t xml:space="preserve"> ar apskritos dėmės ant liemens, dažnai su viduryje esančiomis pūslėmis, odos lupimasis, burnos, gerklės, nosies, lytinių organų ir akių opos. Prieš tokį sunkų odos bėrimą gali pasireikšti karščiavimas ir į gripą panašūs simptomai (</w:t>
      </w:r>
      <w:proofErr w:type="spellStart"/>
      <w:r w:rsidRPr="00A14E24">
        <w:t>eksfoliacinis</w:t>
      </w:r>
      <w:proofErr w:type="spellEnd"/>
      <w:r w:rsidRPr="00A14E24">
        <w:t xml:space="preserve"> dermatitas, daugiaformė </w:t>
      </w:r>
      <w:proofErr w:type="spellStart"/>
      <w:r w:rsidRPr="00A14E24">
        <w:t>eritema</w:t>
      </w:r>
      <w:proofErr w:type="spellEnd"/>
      <w:r w:rsidRPr="00A14E24">
        <w:t xml:space="preserve">, </w:t>
      </w:r>
      <w:proofErr w:type="spellStart"/>
      <w:r w:rsidRPr="00A14E24">
        <w:t>Stivenso</w:t>
      </w:r>
      <w:proofErr w:type="spellEnd"/>
      <w:r w:rsidRPr="00A14E24">
        <w:t xml:space="preserve">-Džonsono sindromas, toksinė epidermio </w:t>
      </w:r>
      <w:proofErr w:type="spellStart"/>
      <w:r w:rsidRPr="00A14E24">
        <w:t>nekrolizė</w:t>
      </w:r>
      <w:proofErr w:type="spellEnd"/>
      <w:r w:rsidRPr="00A14E24">
        <w:t>).</w:t>
      </w:r>
    </w:p>
    <w:p w14:paraId="03832A6C" w14:textId="72DD2C2A" w:rsidR="00273BE2" w:rsidRPr="00A14E24" w:rsidRDefault="00273BE2" w:rsidP="00273BE2">
      <w:pPr>
        <w:numPr>
          <w:ilvl w:val="0"/>
          <w:numId w:val="33"/>
        </w:numPr>
        <w:ind w:left="567" w:hanging="567"/>
      </w:pPr>
      <w:r w:rsidRPr="00A14E24">
        <w:t xml:space="preserve">Išplitęs bėrimas, </w:t>
      </w:r>
      <w:proofErr w:type="spellStart"/>
      <w:r w:rsidR="00B2712B">
        <w:t>karščiavimas</w:t>
      </w:r>
      <w:r w:rsidRPr="00A14E24">
        <w:t>ir</w:t>
      </w:r>
      <w:proofErr w:type="spellEnd"/>
      <w:r w:rsidRPr="00A14E24">
        <w:t xml:space="preserve"> padidėję limfmazgiai (</w:t>
      </w:r>
      <w:r w:rsidRPr="00A14E24">
        <w:rPr>
          <w:i/>
          <w:iCs/>
        </w:rPr>
        <w:t>DRESS</w:t>
      </w:r>
      <w:r w:rsidRPr="00A14E24">
        <w:t xml:space="preserve"> sindromas).</w:t>
      </w:r>
    </w:p>
    <w:p w14:paraId="59FF29CE" w14:textId="11F219F6" w:rsidR="00273BE2" w:rsidRPr="00A14E24" w:rsidRDefault="00273BE2" w:rsidP="00273BE2">
      <w:pPr>
        <w:numPr>
          <w:ilvl w:val="0"/>
          <w:numId w:val="33"/>
        </w:numPr>
        <w:ind w:left="567" w:hanging="567"/>
      </w:pPr>
      <w:r w:rsidRPr="00A14E24">
        <w:t xml:space="preserve">Raudonos spalvos plačiai išplitęs bėrimas su žvyneliais, iškilimais po oda ir pūslėmis, kartu pasireiškiant karščiavimui. Šie simptomai paprastai pasireiškia gydymo pradžioje (ūminė </w:t>
      </w:r>
      <w:proofErr w:type="spellStart"/>
      <w:r w:rsidRPr="00A14E24">
        <w:t>generalizuota</w:t>
      </w:r>
      <w:proofErr w:type="spellEnd"/>
      <w:r w:rsidRPr="00A14E24">
        <w:t xml:space="preserve"> </w:t>
      </w:r>
      <w:proofErr w:type="spellStart"/>
      <w:r w:rsidRPr="00A14E24">
        <w:t>egzanteminė</w:t>
      </w:r>
      <w:proofErr w:type="spellEnd"/>
      <w:r w:rsidRPr="00A14E24">
        <w:t xml:space="preserve"> </w:t>
      </w:r>
      <w:proofErr w:type="spellStart"/>
      <w:r w:rsidRPr="00A14E24">
        <w:t>pustuliozė</w:t>
      </w:r>
      <w:proofErr w:type="spellEnd"/>
      <w:r w:rsidRPr="00A14E24">
        <w:t>).</w:t>
      </w:r>
    </w:p>
    <w:p w14:paraId="2CF3A2FF" w14:textId="77777777" w:rsidR="00273BE2" w:rsidRPr="00A14E24" w:rsidRDefault="00273BE2" w:rsidP="00273BE2">
      <w:pPr>
        <w:numPr>
          <w:ilvl w:val="0"/>
          <w:numId w:val="33"/>
        </w:numPr>
        <w:ind w:left="567" w:hanging="567"/>
      </w:pPr>
      <w:r w:rsidRPr="00A14E24">
        <w:t xml:space="preserve">Krūtinės skausmas, kuris gali būti galimai sunkios alerginės reakcijos, vadinamos </w:t>
      </w:r>
      <w:proofErr w:type="spellStart"/>
      <w:r w:rsidRPr="00CF5829">
        <w:rPr>
          <w:i/>
          <w:iCs/>
        </w:rPr>
        <w:t>Kounis</w:t>
      </w:r>
      <w:proofErr w:type="spellEnd"/>
      <w:r w:rsidRPr="00A14E24">
        <w:t xml:space="preserve"> sindromu, požymis.</w:t>
      </w:r>
    </w:p>
    <w:p w14:paraId="19C0DE57" w14:textId="77777777" w:rsidR="00273BE2" w:rsidRPr="00A14E24" w:rsidRDefault="00273BE2" w:rsidP="00273BE2"/>
    <w:p w14:paraId="171E70F2" w14:textId="77777777" w:rsidR="00273BE2" w:rsidRDefault="00273BE2" w:rsidP="00273BE2">
      <w:pPr>
        <w:rPr>
          <w:b/>
          <w:bCs/>
        </w:rPr>
      </w:pPr>
      <w:r w:rsidRPr="00A14E24">
        <w:rPr>
          <w:b/>
          <w:bCs/>
        </w:rPr>
        <w:t>Kitoks šalutinis poveikis</w:t>
      </w:r>
    </w:p>
    <w:p w14:paraId="510697B7" w14:textId="77777777" w:rsidR="00421DA7" w:rsidRPr="00A14E24" w:rsidRDefault="00421DA7" w:rsidP="00273BE2">
      <w:pPr>
        <w:rPr>
          <w:b/>
          <w:bCs/>
        </w:rPr>
      </w:pPr>
    </w:p>
    <w:p w14:paraId="05DFB661" w14:textId="77777777" w:rsidR="00273BE2" w:rsidRPr="00A01CE6" w:rsidRDefault="00273BE2" w:rsidP="00273BE2">
      <w:pPr>
        <w:widowControl w:val="0"/>
        <w:tabs>
          <w:tab w:val="left" w:pos="1296"/>
        </w:tabs>
        <w:autoSpaceDE w:val="0"/>
        <w:autoSpaceDN w:val="0"/>
        <w:snapToGrid w:val="0"/>
        <w:ind w:right="109"/>
        <w:rPr>
          <w:b/>
          <w:bCs/>
        </w:rPr>
      </w:pPr>
      <w:r w:rsidRPr="00A14E24">
        <w:rPr>
          <w:b/>
          <w:bCs/>
        </w:rPr>
        <w:t xml:space="preserve">Dažni šalutinio poveikio reiškiniai </w:t>
      </w:r>
      <w:r w:rsidRPr="0099572E">
        <w:rPr>
          <w:b/>
          <w:bCs/>
        </w:rPr>
        <w:t>(gali pasireikšti rečiau kaip 1 iš 10 asmenų)</w:t>
      </w:r>
    </w:p>
    <w:p w14:paraId="72645F22" w14:textId="77777777" w:rsidR="00273BE2" w:rsidRPr="00A14E24" w:rsidRDefault="00273BE2" w:rsidP="00273BE2">
      <w:pPr>
        <w:numPr>
          <w:ilvl w:val="0"/>
          <w:numId w:val="32"/>
        </w:numPr>
        <w:ind w:left="567" w:hanging="567"/>
        <w:contextualSpacing/>
      </w:pPr>
      <w:r w:rsidRPr="00A14E24">
        <w:t>Galvos skausmas, alpulys.</w:t>
      </w:r>
    </w:p>
    <w:p w14:paraId="0FA28886" w14:textId="77777777" w:rsidR="00273BE2" w:rsidRPr="00A14E24" w:rsidRDefault="00273BE2" w:rsidP="00273BE2">
      <w:pPr>
        <w:numPr>
          <w:ilvl w:val="0"/>
          <w:numId w:val="32"/>
        </w:numPr>
        <w:ind w:left="567" w:hanging="567"/>
        <w:contextualSpacing/>
      </w:pPr>
      <w:r w:rsidRPr="00A14E24">
        <w:t>Virškinimo trakto šalutinis poveikis (virškinimo sutrikimas, viduriavimas, pykinimas, vėmimas, pilvo skausmas, vidurių pūtimas, vidurių užkietėjimas, juodos išmatos, kraujavimas iš skrandžio ir žarnyno, vėmimas krauju).</w:t>
      </w:r>
    </w:p>
    <w:p w14:paraId="695C492E" w14:textId="6DEC79D1" w:rsidR="00273BE2" w:rsidRPr="00A14E24" w:rsidRDefault="00F05B93" w:rsidP="00273BE2">
      <w:pPr>
        <w:numPr>
          <w:ilvl w:val="0"/>
          <w:numId w:val="32"/>
        </w:numPr>
        <w:ind w:left="567" w:hanging="567"/>
        <w:contextualSpacing/>
      </w:pPr>
      <w:r>
        <w:t>B</w:t>
      </w:r>
      <w:r w:rsidR="00273BE2" w:rsidRPr="00A14E24">
        <w:t>ėrimas.</w:t>
      </w:r>
    </w:p>
    <w:p w14:paraId="14705503" w14:textId="77777777" w:rsidR="00273BE2" w:rsidRPr="00A14E24" w:rsidRDefault="00273BE2" w:rsidP="00273BE2">
      <w:pPr>
        <w:numPr>
          <w:ilvl w:val="0"/>
          <w:numId w:val="32"/>
        </w:numPr>
        <w:ind w:left="567" w:hanging="567"/>
        <w:contextualSpacing/>
      </w:pPr>
      <w:r w:rsidRPr="00A14E24">
        <w:t>Nuovargis.</w:t>
      </w:r>
    </w:p>
    <w:p w14:paraId="347A0BC3" w14:textId="77777777" w:rsidR="00273BE2" w:rsidRPr="00A14E24" w:rsidRDefault="00273BE2" w:rsidP="00273BE2"/>
    <w:p w14:paraId="4922101B" w14:textId="77777777" w:rsidR="00273BE2" w:rsidRPr="00F05B93" w:rsidRDefault="00273BE2" w:rsidP="00273BE2">
      <w:pPr>
        <w:widowControl w:val="0"/>
        <w:tabs>
          <w:tab w:val="left" w:pos="1296"/>
        </w:tabs>
        <w:autoSpaceDE w:val="0"/>
        <w:autoSpaceDN w:val="0"/>
        <w:snapToGrid w:val="0"/>
        <w:ind w:right="109"/>
        <w:rPr>
          <w:b/>
          <w:bCs/>
        </w:rPr>
      </w:pPr>
      <w:r w:rsidRPr="00A14E24">
        <w:rPr>
          <w:b/>
          <w:bCs/>
        </w:rPr>
        <w:t xml:space="preserve">Nedažni šalutinio poveikio reiškiniai </w:t>
      </w:r>
      <w:r w:rsidRPr="0099572E">
        <w:rPr>
          <w:b/>
          <w:bCs/>
        </w:rPr>
        <w:t>(gali pasireikšti rečiau kaip 1 iš 100 asmenų)</w:t>
      </w:r>
    </w:p>
    <w:p w14:paraId="3AD0B499" w14:textId="77777777" w:rsidR="00273BE2" w:rsidRPr="00A14E24" w:rsidRDefault="00273BE2" w:rsidP="00273BE2">
      <w:pPr>
        <w:numPr>
          <w:ilvl w:val="0"/>
          <w:numId w:val="33"/>
        </w:numPr>
        <w:ind w:left="567" w:hanging="567"/>
      </w:pPr>
      <w:r w:rsidRPr="00A14E24">
        <w:t>Nosies užgulimas ir sloga (rinitas).</w:t>
      </w:r>
    </w:p>
    <w:p w14:paraId="73AD34C9" w14:textId="77777777" w:rsidR="00273BE2" w:rsidRPr="00A14E24" w:rsidRDefault="00273BE2" w:rsidP="00273BE2">
      <w:pPr>
        <w:numPr>
          <w:ilvl w:val="0"/>
          <w:numId w:val="33"/>
        </w:numPr>
        <w:ind w:left="567" w:hanging="567"/>
      </w:pPr>
      <w:r w:rsidRPr="00A14E24">
        <w:t>Padidėjęs jautrumas.</w:t>
      </w:r>
    </w:p>
    <w:p w14:paraId="56CEEFBD" w14:textId="77777777" w:rsidR="00273BE2" w:rsidRPr="00A14E24" w:rsidRDefault="00273BE2" w:rsidP="00273BE2">
      <w:pPr>
        <w:numPr>
          <w:ilvl w:val="0"/>
          <w:numId w:val="33"/>
        </w:numPr>
        <w:ind w:left="567" w:hanging="567"/>
      </w:pPr>
      <w:r w:rsidRPr="00A14E24">
        <w:t>Miego sutrikimai (nemiga), nerimas.</w:t>
      </w:r>
    </w:p>
    <w:p w14:paraId="5BD01514" w14:textId="77777777" w:rsidR="00273BE2" w:rsidRPr="00A14E24" w:rsidRDefault="00273BE2" w:rsidP="00273BE2">
      <w:pPr>
        <w:numPr>
          <w:ilvl w:val="0"/>
          <w:numId w:val="33"/>
        </w:numPr>
        <w:ind w:left="567" w:hanging="567"/>
      </w:pPr>
      <w:r w:rsidRPr="00A14E24">
        <w:t>Regos sutrikimai, klausos pablogėjimas.</w:t>
      </w:r>
    </w:p>
    <w:p w14:paraId="58C57DED" w14:textId="77777777" w:rsidR="00273BE2" w:rsidRPr="00A14E24" w:rsidRDefault="00273BE2" w:rsidP="00273BE2">
      <w:pPr>
        <w:numPr>
          <w:ilvl w:val="0"/>
          <w:numId w:val="33"/>
        </w:numPr>
        <w:ind w:left="567" w:hanging="567"/>
      </w:pPr>
      <w:r w:rsidRPr="00A14E24">
        <w:t>Bronchų spazmas, astma.</w:t>
      </w:r>
    </w:p>
    <w:p w14:paraId="2B7CC8E3" w14:textId="77777777" w:rsidR="00273BE2" w:rsidRPr="00A14E24" w:rsidRDefault="00273BE2" w:rsidP="00273BE2">
      <w:pPr>
        <w:numPr>
          <w:ilvl w:val="0"/>
          <w:numId w:val="33"/>
        </w:numPr>
        <w:ind w:left="567" w:hanging="567"/>
      </w:pPr>
      <w:r w:rsidRPr="00A14E24">
        <w:t>Burnos išopėjimas.</w:t>
      </w:r>
    </w:p>
    <w:p w14:paraId="6D33737F" w14:textId="77777777" w:rsidR="00273BE2" w:rsidRPr="00A14E24" w:rsidRDefault="00273BE2" w:rsidP="00273BE2">
      <w:pPr>
        <w:numPr>
          <w:ilvl w:val="0"/>
          <w:numId w:val="33"/>
        </w:numPr>
        <w:ind w:left="567" w:hanging="567"/>
      </w:pPr>
      <w:r w:rsidRPr="00A14E24">
        <w:t>Skrandžio opa, žarnyno opa, skrandžio opos plyšimas, skrandžio gleivinės uždegimas.</w:t>
      </w:r>
    </w:p>
    <w:p w14:paraId="69E2B077" w14:textId="77777777" w:rsidR="00273BE2" w:rsidRPr="00A14E24" w:rsidRDefault="00273BE2" w:rsidP="00273BE2">
      <w:pPr>
        <w:numPr>
          <w:ilvl w:val="0"/>
          <w:numId w:val="33"/>
        </w:numPr>
        <w:ind w:left="567" w:hanging="567"/>
      </w:pPr>
      <w:r w:rsidRPr="00A14E24">
        <w:t>Hepatitas, gelta, nenormali kepenų funkcija.</w:t>
      </w:r>
    </w:p>
    <w:p w14:paraId="3898C3A3" w14:textId="77777777" w:rsidR="00273BE2" w:rsidRPr="00A14E24" w:rsidRDefault="00273BE2" w:rsidP="00273BE2">
      <w:pPr>
        <w:numPr>
          <w:ilvl w:val="0"/>
          <w:numId w:val="33"/>
        </w:numPr>
        <w:ind w:left="567" w:hanging="567"/>
      </w:pPr>
      <w:r w:rsidRPr="00A14E24">
        <w:t>Niežėjimas, nedidelės kraujosruvos ant odos ir gleivinės.</w:t>
      </w:r>
    </w:p>
    <w:p w14:paraId="57960819" w14:textId="77777777" w:rsidR="00273BE2" w:rsidRPr="00A14E24" w:rsidRDefault="00273BE2" w:rsidP="00273BE2">
      <w:pPr>
        <w:numPr>
          <w:ilvl w:val="0"/>
          <w:numId w:val="33"/>
        </w:numPr>
        <w:ind w:left="567" w:hanging="567"/>
      </w:pPr>
      <w:r w:rsidRPr="00A14E24">
        <w:t>Jautrumas šviesai.</w:t>
      </w:r>
    </w:p>
    <w:p w14:paraId="31C196A7" w14:textId="77777777" w:rsidR="00273BE2" w:rsidRPr="00A14E24" w:rsidRDefault="00273BE2" w:rsidP="00273BE2">
      <w:pPr>
        <w:numPr>
          <w:ilvl w:val="0"/>
          <w:numId w:val="33"/>
        </w:numPr>
        <w:ind w:left="567" w:hanging="567"/>
      </w:pPr>
      <w:r w:rsidRPr="00A14E24">
        <w:t>Inkstų funkcijos sutrikimas.</w:t>
      </w:r>
    </w:p>
    <w:p w14:paraId="6ABD49E6" w14:textId="77777777" w:rsidR="00273BE2" w:rsidRPr="00A14E24" w:rsidRDefault="00273BE2" w:rsidP="00273BE2">
      <w:pPr>
        <w:numPr>
          <w:ilvl w:val="0"/>
          <w:numId w:val="33"/>
        </w:numPr>
        <w:ind w:left="567" w:hanging="567"/>
      </w:pPr>
      <w:r w:rsidRPr="00A14E24">
        <w:t>Kraujo sudėties pokyčiai.</w:t>
      </w:r>
    </w:p>
    <w:p w14:paraId="7AC8F676" w14:textId="77777777" w:rsidR="00273BE2" w:rsidRPr="00A14E24" w:rsidRDefault="00273BE2" w:rsidP="00273BE2">
      <w:pPr>
        <w:numPr>
          <w:ilvl w:val="0"/>
          <w:numId w:val="33"/>
        </w:numPr>
        <w:ind w:left="567" w:hanging="567"/>
      </w:pPr>
      <w:r w:rsidRPr="00A14E24">
        <w:lastRenderedPageBreak/>
        <w:t>Mažakraujystė (raudonųjų kraujo ląstelių skaičiaus arba hemoglobino rodmens sumažėjimas, dėl kurio oda gali tapti blyški ir gali atsirasti silpnumas).</w:t>
      </w:r>
    </w:p>
    <w:p w14:paraId="0AA3FB04" w14:textId="616522AA" w:rsidR="00273BE2" w:rsidRPr="00A14E24" w:rsidRDefault="00F97FA2" w:rsidP="00273BE2">
      <w:pPr>
        <w:numPr>
          <w:ilvl w:val="0"/>
          <w:numId w:val="33"/>
        </w:numPr>
        <w:ind w:left="567" w:hanging="567"/>
      </w:pPr>
      <w:r>
        <w:t>Mieguistumas</w:t>
      </w:r>
      <w:r w:rsidR="00273BE2" w:rsidRPr="00A14E24">
        <w:t>.</w:t>
      </w:r>
    </w:p>
    <w:p w14:paraId="4FE17C87" w14:textId="77777777" w:rsidR="00273BE2" w:rsidRPr="00A14E24" w:rsidRDefault="00273BE2" w:rsidP="00273BE2">
      <w:pPr>
        <w:numPr>
          <w:ilvl w:val="0"/>
          <w:numId w:val="33"/>
        </w:numPr>
        <w:ind w:left="567" w:hanging="567"/>
      </w:pPr>
      <w:r w:rsidRPr="00A14E24">
        <w:t>Dilgčiojimo pojūtis.</w:t>
      </w:r>
    </w:p>
    <w:p w14:paraId="18732A1A" w14:textId="77777777" w:rsidR="00273BE2" w:rsidRPr="00A14E24" w:rsidRDefault="00273BE2" w:rsidP="00273BE2"/>
    <w:p w14:paraId="1522DFDF" w14:textId="77777777" w:rsidR="00273BE2" w:rsidRPr="00A14E24" w:rsidRDefault="00273BE2" w:rsidP="00273BE2">
      <w:pPr>
        <w:widowControl w:val="0"/>
        <w:tabs>
          <w:tab w:val="left" w:pos="1296"/>
        </w:tabs>
        <w:autoSpaceDE w:val="0"/>
        <w:autoSpaceDN w:val="0"/>
        <w:snapToGrid w:val="0"/>
        <w:ind w:right="109"/>
        <w:rPr>
          <w:b/>
          <w:bCs/>
        </w:rPr>
      </w:pPr>
      <w:r w:rsidRPr="00A14E24">
        <w:rPr>
          <w:b/>
          <w:bCs/>
        </w:rPr>
        <w:t xml:space="preserve">Dažni šalutinio poveikio reiškiniai </w:t>
      </w:r>
      <w:r w:rsidRPr="00A14E24">
        <w:t>(gali pasireikšti rečiau kaip 1 iš 1 000 asmenų)</w:t>
      </w:r>
    </w:p>
    <w:p w14:paraId="75F318DE" w14:textId="77777777" w:rsidR="00273BE2" w:rsidRPr="00A14E24" w:rsidRDefault="00273BE2" w:rsidP="00273BE2">
      <w:pPr>
        <w:numPr>
          <w:ilvl w:val="0"/>
          <w:numId w:val="33"/>
        </w:numPr>
        <w:ind w:left="567" w:hanging="567"/>
      </w:pPr>
      <w:r w:rsidRPr="00A14E24">
        <w:t>Nebakterinis meningitas.</w:t>
      </w:r>
    </w:p>
    <w:p w14:paraId="0A0DF8F5" w14:textId="77777777" w:rsidR="00273BE2" w:rsidRPr="00A14E24" w:rsidRDefault="00273BE2" w:rsidP="00273BE2">
      <w:pPr>
        <w:numPr>
          <w:ilvl w:val="0"/>
          <w:numId w:val="33"/>
        </w:numPr>
        <w:ind w:left="567" w:hanging="567"/>
      </w:pPr>
      <w:r w:rsidRPr="00A14E24">
        <w:t>Alerginė reakcija.</w:t>
      </w:r>
    </w:p>
    <w:p w14:paraId="55148FAB" w14:textId="77777777" w:rsidR="00273BE2" w:rsidRPr="00A14E24" w:rsidRDefault="00273BE2" w:rsidP="00273BE2">
      <w:pPr>
        <w:numPr>
          <w:ilvl w:val="0"/>
          <w:numId w:val="33"/>
        </w:numPr>
        <w:ind w:left="567" w:hanging="567"/>
      </w:pPr>
      <w:r w:rsidRPr="00A14E24">
        <w:t>Depresija, minčių susipainiojimas.</w:t>
      </w:r>
    </w:p>
    <w:p w14:paraId="10D86399" w14:textId="77777777" w:rsidR="00273BE2" w:rsidRPr="00A14E24" w:rsidRDefault="00273BE2" w:rsidP="00273BE2">
      <w:pPr>
        <w:numPr>
          <w:ilvl w:val="0"/>
          <w:numId w:val="33"/>
        </w:numPr>
        <w:ind w:left="567" w:hanging="567"/>
      </w:pPr>
      <w:r w:rsidRPr="00A14E24">
        <w:t>Regos sutrikimas, ūžesys (spengimas ausyse), svaigulys.</w:t>
      </w:r>
    </w:p>
    <w:p w14:paraId="58719B34" w14:textId="77777777" w:rsidR="00273BE2" w:rsidRPr="00A14E24" w:rsidRDefault="00273BE2" w:rsidP="00273BE2">
      <w:pPr>
        <w:numPr>
          <w:ilvl w:val="0"/>
          <w:numId w:val="33"/>
        </w:numPr>
        <w:ind w:left="567" w:hanging="567"/>
      </w:pPr>
      <w:r w:rsidRPr="00A14E24">
        <w:t>Kepenų pažeidimas ir skysčių susilaikymas organizme.</w:t>
      </w:r>
    </w:p>
    <w:p w14:paraId="195C03B1" w14:textId="77777777" w:rsidR="00273BE2" w:rsidRPr="00A14E24" w:rsidRDefault="00273BE2" w:rsidP="00273BE2"/>
    <w:p w14:paraId="7A06630E" w14:textId="77777777" w:rsidR="00273BE2" w:rsidRPr="00A14E24" w:rsidRDefault="00273BE2" w:rsidP="00273BE2">
      <w:pPr>
        <w:widowControl w:val="0"/>
        <w:snapToGrid w:val="0"/>
      </w:pPr>
      <w:r w:rsidRPr="00A14E24">
        <w:rPr>
          <w:b/>
          <w:bCs/>
        </w:rPr>
        <w:t xml:space="preserve">Labai reti šalutinio poveikio reiškiniai </w:t>
      </w:r>
      <w:r w:rsidRPr="00A14E24">
        <w:t>(gali pasireikšti rečiau kaip 1 iš 10 000 asmenų):</w:t>
      </w:r>
    </w:p>
    <w:p w14:paraId="62131468" w14:textId="77777777" w:rsidR="00273BE2" w:rsidRPr="00A14E24" w:rsidRDefault="00273BE2" w:rsidP="00273BE2">
      <w:pPr>
        <w:numPr>
          <w:ilvl w:val="0"/>
          <w:numId w:val="32"/>
        </w:numPr>
        <w:ind w:left="567" w:hanging="567"/>
        <w:contextualSpacing/>
      </w:pPr>
      <w:r w:rsidRPr="00A14E24">
        <w:t>Kasos uždegimas, kepenų nepakankamumas.</w:t>
      </w:r>
    </w:p>
    <w:p w14:paraId="1102D198" w14:textId="77777777" w:rsidR="00273BE2" w:rsidRPr="00A14E24" w:rsidRDefault="00273BE2" w:rsidP="00273BE2"/>
    <w:p w14:paraId="342F78B4" w14:textId="77777777" w:rsidR="00273BE2" w:rsidRPr="00A14E24" w:rsidRDefault="00273BE2" w:rsidP="00273BE2">
      <w:r w:rsidRPr="00A14E24">
        <w:rPr>
          <w:b/>
          <w:bCs/>
        </w:rPr>
        <w:t>Šalutinio poveikio reiškiniai, kurių dažnis nežinomas</w:t>
      </w:r>
      <w:r w:rsidRPr="00A14E24">
        <w:t xml:space="preserve"> (negali būti apskaičiuotas pagal turimus duomenis)</w:t>
      </w:r>
    </w:p>
    <w:p w14:paraId="1C366BFB" w14:textId="77777777" w:rsidR="00273BE2" w:rsidRPr="00A14E24" w:rsidRDefault="00273BE2" w:rsidP="00273BE2">
      <w:pPr>
        <w:numPr>
          <w:ilvl w:val="0"/>
          <w:numId w:val="33"/>
        </w:numPr>
        <w:ind w:left="567" w:hanging="567"/>
      </w:pPr>
      <w:r w:rsidRPr="00A14E24">
        <w:t>Storosios žarnos išopėjimo (kolito) ir Krono ligos (žarnyno ligos) pablogėjimas.</w:t>
      </w:r>
    </w:p>
    <w:p w14:paraId="6ED946CF" w14:textId="59A871EA" w:rsidR="00273BE2" w:rsidRPr="00A14E24" w:rsidRDefault="00273BE2" w:rsidP="00273BE2">
      <w:pPr>
        <w:numPr>
          <w:ilvl w:val="0"/>
          <w:numId w:val="33"/>
        </w:numPr>
        <w:ind w:left="567" w:hanging="567"/>
      </w:pPr>
      <w:r w:rsidRPr="00A14E24">
        <w:t xml:space="preserve">Širdies nepakankamumas, širdies priepuolis, aukštas kraujospūdis.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prailginti kraujavimo laiką.</w:t>
      </w:r>
    </w:p>
    <w:p w14:paraId="207E701B" w14:textId="0E5A3FC1" w:rsidR="00273BE2" w:rsidRPr="00A14E24" w:rsidRDefault="00273BE2" w:rsidP="00273BE2">
      <w:pPr>
        <w:numPr>
          <w:ilvl w:val="0"/>
          <w:numId w:val="33"/>
        </w:numPr>
        <w:ind w:left="567" w:hanging="567"/>
      </w:pPr>
      <w:r w:rsidRPr="00A14E24">
        <w:t>Oda tampa jautri šviesai (</w:t>
      </w:r>
      <w:r w:rsidR="001769A4">
        <w:t xml:space="preserve">padidinto </w:t>
      </w:r>
      <w:r w:rsidRPr="00A14E24">
        <w:t>jautrumo šviesai</w:t>
      </w:r>
      <w:r w:rsidR="001769A4">
        <w:t xml:space="preserve"> [</w:t>
      </w:r>
      <w:proofErr w:type="spellStart"/>
      <w:r w:rsidR="001769A4">
        <w:t>fotoalerginė</w:t>
      </w:r>
      <w:proofErr w:type="spellEnd"/>
      <w:r w:rsidR="001769A4">
        <w:t>]</w:t>
      </w:r>
      <w:r w:rsidRPr="00A14E24">
        <w:t xml:space="preserve"> reakcija</w:t>
      </w:r>
      <w:r w:rsidR="001769A4">
        <w:t xml:space="preserve"> į vaistą</w:t>
      </w:r>
      <w:r w:rsidRPr="00A14E24">
        <w:t>).</w:t>
      </w:r>
    </w:p>
    <w:p w14:paraId="2D9F8DDB" w14:textId="77777777" w:rsidR="00273BE2" w:rsidRPr="00A14E24" w:rsidRDefault="00273BE2" w:rsidP="00273BE2"/>
    <w:p w14:paraId="5D11E06D" w14:textId="29F44AE9" w:rsidR="00273BE2" w:rsidRPr="00A14E24" w:rsidRDefault="00273BE2" w:rsidP="00273BE2">
      <w:r w:rsidRPr="00A14E24">
        <w:t xml:space="preserve">Išimtiniais atvejais gali pasireikšti sunkios odos infekcijos sergant vėjaraupiais. Vartojant NVNU, gali išsivystyti arba pasunkėti su infekcija susijęs odos uždegimas (pvz., gali </w:t>
      </w:r>
      <w:proofErr w:type="spellStart"/>
      <w:r w:rsidRPr="00A14E24">
        <w:t>išsivystyti</w:t>
      </w:r>
      <w:r w:rsidR="00576688">
        <w:t>nekrozuojantis</w:t>
      </w:r>
      <w:proofErr w:type="spellEnd"/>
      <w:r w:rsidR="00576688">
        <w:t xml:space="preserve"> </w:t>
      </w:r>
      <w:proofErr w:type="spellStart"/>
      <w:r w:rsidR="00576688">
        <w:t>fascitas</w:t>
      </w:r>
      <w:proofErr w:type="spellEnd"/>
      <w:r w:rsidRPr="00A14E24">
        <w:t xml:space="preserve">, kuriam būdingas stiprus skausmas, aukšta temperatūra, odos patinimas ir karštumas, pūslės, nekrozė). Jei vartojant </w:t>
      </w:r>
      <w:proofErr w:type="spellStart"/>
      <w:r w:rsidRPr="00A14E24">
        <w:t>ibuprofeną</w:t>
      </w:r>
      <w:proofErr w:type="spellEnd"/>
      <w:r w:rsidRPr="00A14E24">
        <w:t xml:space="preserve"> atsiranda odos infekcijos požymių arba jie sustiprėja, rekomenduojama nedelsiant kreiptis į gydytoją.</w:t>
      </w:r>
    </w:p>
    <w:p w14:paraId="11DB9595" w14:textId="77777777" w:rsidR="00273BE2" w:rsidRPr="00A14E24" w:rsidRDefault="00273BE2" w:rsidP="00273BE2"/>
    <w:p w14:paraId="300642C2" w14:textId="29E1FBC7" w:rsidR="00273BE2" w:rsidRPr="00A14E24" w:rsidRDefault="00273BE2" w:rsidP="00273BE2">
      <w:r w:rsidRPr="00A14E24">
        <w:t xml:space="preserve">Tokie vaistai kaip </w:t>
      </w:r>
      <w:proofErr w:type="spellStart"/>
      <w:r w:rsidRPr="00A14E24">
        <w:t>Ibuprofen</w:t>
      </w:r>
      <w:proofErr w:type="spellEnd"/>
      <w:r w:rsidRPr="00A14E24">
        <w:t xml:space="preserve"> </w:t>
      </w:r>
      <w:r w:rsidR="00B764A7">
        <w:t>STADA</w:t>
      </w:r>
      <w:r w:rsidRPr="00A14E24">
        <w:t xml:space="preserve"> </w:t>
      </w:r>
      <w:proofErr w:type="spellStart"/>
      <w:r w:rsidRPr="00A14E24">
        <w:t>Arzneimittel</w:t>
      </w:r>
      <w:proofErr w:type="spellEnd"/>
      <w:r w:rsidRPr="00A14E24">
        <w:t xml:space="preserve"> gali būti susiję su nedideliu širdies priepuolio ar insulto rizikos padidėjimu.</w:t>
      </w:r>
    </w:p>
    <w:p w14:paraId="7B3BC6D8" w14:textId="77777777" w:rsidR="00273BE2" w:rsidRPr="00A14E24" w:rsidRDefault="00273BE2" w:rsidP="00273BE2"/>
    <w:p w14:paraId="3F48396A" w14:textId="77777777" w:rsidR="00273BE2" w:rsidRPr="00A14E24" w:rsidRDefault="00273BE2" w:rsidP="00273BE2">
      <w:pPr>
        <w:widowControl w:val="0"/>
        <w:tabs>
          <w:tab w:val="left" w:pos="540"/>
        </w:tabs>
        <w:rPr>
          <w:b/>
        </w:rPr>
      </w:pPr>
      <w:r w:rsidRPr="00A14E24">
        <w:rPr>
          <w:b/>
        </w:rPr>
        <w:t>Pranešimas apie šalutinį poveikį</w:t>
      </w:r>
    </w:p>
    <w:p w14:paraId="50CF758B" w14:textId="74EBD2EF" w:rsidR="00273BE2" w:rsidRPr="00A14E24" w:rsidRDefault="00273BE2" w:rsidP="00273BE2">
      <w:pPr>
        <w:ind w:right="-1"/>
      </w:pPr>
      <w:r w:rsidRPr="00A14E24">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14E24">
        <w:rPr>
          <w:color w:val="0000EE"/>
          <w:u w:val="single"/>
          <w:lang w:eastAsia="lt-LT"/>
        </w:rPr>
        <w:t>https://vvkt.lrv.lt/lt/</w:t>
      </w:r>
      <w:r w:rsidRPr="00A14E24">
        <w:rPr>
          <w:lang w:eastAsia="lt-LT"/>
        </w:rPr>
        <w:t xml:space="preserve"> nurodytais būdais arba paskambinti nemokamu telefonu </w:t>
      </w:r>
      <w:r w:rsidR="00C360EB" w:rsidRPr="00A14E24">
        <w:rPr>
          <w:lang w:eastAsia="lt-LT"/>
        </w:rPr>
        <w:t>+370</w:t>
      </w:r>
      <w:r w:rsidRPr="00A14E24">
        <w:rPr>
          <w:lang w:eastAsia="lt-LT"/>
        </w:rPr>
        <w:t xml:space="preserve"> 800 73 568. Pranešdami apie šalutinį poveikį galite mums padėti gauti daugiau informacijos apie šio vaisto saugumą</w:t>
      </w:r>
      <w:r w:rsidRPr="00A14E24">
        <w:t>.</w:t>
      </w:r>
    </w:p>
    <w:p w14:paraId="41DD2DC3" w14:textId="77777777" w:rsidR="00273BE2" w:rsidRPr="00A14E24" w:rsidRDefault="00273BE2" w:rsidP="00273BE2">
      <w:pPr>
        <w:widowControl w:val="0"/>
        <w:numPr>
          <w:ilvl w:val="12"/>
          <w:numId w:val="0"/>
        </w:numPr>
        <w:ind w:right="-2"/>
      </w:pPr>
    </w:p>
    <w:p w14:paraId="5D316AA1" w14:textId="77777777" w:rsidR="00273BE2" w:rsidRPr="00A14E24" w:rsidRDefault="00273BE2" w:rsidP="00273BE2">
      <w:pPr>
        <w:widowControl w:val="0"/>
        <w:numPr>
          <w:ilvl w:val="12"/>
          <w:numId w:val="0"/>
        </w:numPr>
        <w:ind w:right="-2"/>
      </w:pPr>
    </w:p>
    <w:p w14:paraId="4BD485B1" w14:textId="4C813CE7" w:rsidR="00273BE2" w:rsidRPr="00A14E24" w:rsidRDefault="00273BE2" w:rsidP="00C87FB0">
      <w:pPr>
        <w:keepNext/>
        <w:widowControl w:val="0"/>
        <w:numPr>
          <w:ilvl w:val="12"/>
          <w:numId w:val="0"/>
        </w:numPr>
        <w:ind w:left="567" w:hanging="567"/>
        <w:outlineLvl w:val="0"/>
        <w:rPr>
          <w:b/>
          <w:caps/>
        </w:rPr>
      </w:pPr>
      <w:r w:rsidRPr="00A14E24">
        <w:rPr>
          <w:b/>
        </w:rPr>
        <w:t>5.</w:t>
      </w:r>
      <w:r w:rsidRPr="00A14E24">
        <w:rPr>
          <w:b/>
        </w:rPr>
        <w:tab/>
        <w:t xml:space="preserve">Kaip laikyti </w:t>
      </w:r>
      <w:proofErr w:type="spellStart"/>
      <w:r w:rsidRPr="00A14E24">
        <w:rPr>
          <w:b/>
        </w:rPr>
        <w:t>Ibuprofen</w:t>
      </w:r>
      <w:proofErr w:type="spellEnd"/>
      <w:r w:rsidRPr="00A14E24">
        <w:rPr>
          <w:b/>
        </w:rPr>
        <w:t xml:space="preserve"> </w:t>
      </w:r>
      <w:r w:rsidR="00B764A7">
        <w:rPr>
          <w:b/>
        </w:rPr>
        <w:t>STADA</w:t>
      </w:r>
      <w:r w:rsidRPr="00A14E24">
        <w:rPr>
          <w:b/>
        </w:rPr>
        <w:t xml:space="preserve"> </w:t>
      </w:r>
      <w:proofErr w:type="spellStart"/>
      <w:r w:rsidRPr="00A14E24">
        <w:rPr>
          <w:b/>
        </w:rPr>
        <w:t>Arzneimittel</w:t>
      </w:r>
      <w:proofErr w:type="spellEnd"/>
    </w:p>
    <w:p w14:paraId="3319C406" w14:textId="77777777" w:rsidR="00273BE2" w:rsidRPr="00A14E24" w:rsidRDefault="00273BE2" w:rsidP="00C87FB0">
      <w:pPr>
        <w:keepNext/>
        <w:widowControl w:val="0"/>
        <w:rPr>
          <w:i/>
        </w:rPr>
      </w:pPr>
    </w:p>
    <w:p w14:paraId="7E81E328" w14:textId="77777777" w:rsidR="00273BE2" w:rsidRPr="00A14E24" w:rsidRDefault="00273BE2" w:rsidP="00C87FB0">
      <w:pPr>
        <w:keepNext/>
        <w:widowControl w:val="0"/>
        <w:numPr>
          <w:ilvl w:val="12"/>
          <w:numId w:val="0"/>
        </w:numPr>
        <w:ind w:right="-2"/>
      </w:pPr>
      <w:r w:rsidRPr="00A14E24">
        <w:t>Šį vaistą laikykite vaikams nepastebimoje ir nepasiekiamoje vietoje.</w:t>
      </w:r>
    </w:p>
    <w:p w14:paraId="57F47296" w14:textId="77777777" w:rsidR="00273BE2" w:rsidRPr="00A14E24" w:rsidRDefault="00273BE2" w:rsidP="00273BE2">
      <w:pPr>
        <w:widowControl w:val="0"/>
        <w:numPr>
          <w:ilvl w:val="12"/>
          <w:numId w:val="0"/>
        </w:numPr>
        <w:ind w:right="-2"/>
      </w:pPr>
    </w:p>
    <w:p w14:paraId="57DCC479" w14:textId="5B54CD00" w:rsidR="00273BE2" w:rsidRPr="00A14E24" w:rsidRDefault="00273BE2" w:rsidP="00273BE2">
      <w:pPr>
        <w:widowControl w:val="0"/>
        <w:rPr>
          <w:iCs/>
        </w:rPr>
      </w:pPr>
      <w:r w:rsidRPr="00A14E24">
        <w:rPr>
          <w:iCs/>
        </w:rPr>
        <w:t>Ant dėžutės ar lizdinės plokštelės po „EXP“ nurodytam tinkamumo laikui pasibaigus, šio vaisto vartoti negalima. Vaistas tinkamas vartoti iki paskutinės nurodyto mėnesio dienos.</w:t>
      </w:r>
    </w:p>
    <w:p w14:paraId="4B6A49F2" w14:textId="77777777" w:rsidR="00273BE2" w:rsidRPr="00A14E24" w:rsidRDefault="00273BE2" w:rsidP="00273BE2">
      <w:pPr>
        <w:widowControl w:val="0"/>
        <w:numPr>
          <w:ilvl w:val="12"/>
          <w:numId w:val="0"/>
        </w:numPr>
        <w:ind w:right="-2"/>
      </w:pPr>
    </w:p>
    <w:p w14:paraId="47A3A9A5" w14:textId="50CFEFE7" w:rsidR="00273BE2" w:rsidRPr="00A14E24" w:rsidRDefault="00273BE2" w:rsidP="00273BE2">
      <w:pPr>
        <w:widowControl w:val="0"/>
      </w:pPr>
      <w:r w:rsidRPr="008341D7">
        <w:t>Šiam vaistui specialių laikymo sąlygų nereikia.</w:t>
      </w:r>
    </w:p>
    <w:p w14:paraId="6CB00BE2" w14:textId="77777777" w:rsidR="00273BE2" w:rsidRPr="00A14E24" w:rsidRDefault="00273BE2" w:rsidP="00273BE2">
      <w:pPr>
        <w:widowControl w:val="0"/>
        <w:rPr>
          <w:rFonts w:eastAsia="TimesNewRoman"/>
        </w:rPr>
      </w:pPr>
    </w:p>
    <w:p w14:paraId="38C4E15A" w14:textId="77777777" w:rsidR="00273BE2" w:rsidRPr="00A14E24" w:rsidRDefault="00273BE2" w:rsidP="00273BE2">
      <w:pPr>
        <w:widowControl w:val="0"/>
        <w:numPr>
          <w:ilvl w:val="12"/>
          <w:numId w:val="0"/>
        </w:numPr>
        <w:ind w:right="-2"/>
      </w:pPr>
      <w:r w:rsidRPr="00A14E24">
        <w:t>Vaistų negalima išmesti į kanalizaciją arba su buitinėmis</w:t>
      </w:r>
      <w:r w:rsidRPr="00A14E24">
        <w:rPr>
          <w:color w:val="993366"/>
        </w:rPr>
        <w:t xml:space="preserve"> </w:t>
      </w:r>
      <w:r w:rsidRPr="00A14E24">
        <w:t>atliekomis. Kaip išmesti nereikalingus vaistus, klauskite vaistininko. Šios priemonės padės apsaugoti aplinką.</w:t>
      </w:r>
    </w:p>
    <w:p w14:paraId="74060419" w14:textId="77777777" w:rsidR="00273BE2" w:rsidRPr="00A14E24" w:rsidRDefault="00273BE2" w:rsidP="00273BE2">
      <w:pPr>
        <w:widowControl w:val="0"/>
        <w:numPr>
          <w:ilvl w:val="12"/>
          <w:numId w:val="0"/>
        </w:numPr>
        <w:ind w:right="-2"/>
      </w:pPr>
    </w:p>
    <w:p w14:paraId="25D81B16" w14:textId="77777777" w:rsidR="00273BE2" w:rsidRPr="00A14E24" w:rsidRDefault="00273BE2" w:rsidP="00273BE2">
      <w:pPr>
        <w:widowControl w:val="0"/>
        <w:numPr>
          <w:ilvl w:val="12"/>
          <w:numId w:val="0"/>
        </w:numPr>
        <w:ind w:right="-2"/>
      </w:pPr>
    </w:p>
    <w:p w14:paraId="6E93D2F6" w14:textId="77777777" w:rsidR="00273BE2" w:rsidRPr="00A14E24" w:rsidRDefault="00273BE2" w:rsidP="008341D7">
      <w:pPr>
        <w:keepNext/>
        <w:widowControl w:val="0"/>
        <w:numPr>
          <w:ilvl w:val="12"/>
          <w:numId w:val="0"/>
        </w:numPr>
        <w:ind w:left="567" w:hanging="567"/>
        <w:outlineLvl w:val="0"/>
        <w:rPr>
          <w:b/>
          <w:caps/>
        </w:rPr>
      </w:pPr>
      <w:r w:rsidRPr="00A14E24">
        <w:rPr>
          <w:b/>
        </w:rPr>
        <w:t>6.</w:t>
      </w:r>
      <w:r w:rsidRPr="00A14E24">
        <w:rPr>
          <w:b/>
        </w:rPr>
        <w:tab/>
        <w:t>Pakuotės turinys ir kita informacija</w:t>
      </w:r>
    </w:p>
    <w:p w14:paraId="38111B82" w14:textId="77777777" w:rsidR="00273BE2" w:rsidRPr="00A14E24" w:rsidRDefault="00273BE2" w:rsidP="008341D7">
      <w:pPr>
        <w:keepNext/>
        <w:widowControl w:val="0"/>
        <w:numPr>
          <w:ilvl w:val="12"/>
          <w:numId w:val="0"/>
        </w:numPr>
      </w:pPr>
    </w:p>
    <w:p w14:paraId="035912B0" w14:textId="470CAD2E" w:rsidR="00273BE2" w:rsidRPr="00A14E24" w:rsidRDefault="00273BE2" w:rsidP="008341D7">
      <w:pPr>
        <w:keepNext/>
        <w:widowControl w:val="0"/>
        <w:numPr>
          <w:ilvl w:val="12"/>
          <w:numId w:val="0"/>
        </w:numPr>
        <w:rPr>
          <w:u w:val="single"/>
        </w:rPr>
      </w:pP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r w:rsidRPr="00A14E24">
        <w:rPr>
          <w:b/>
          <w:bCs/>
        </w:rPr>
        <w:t xml:space="preserve"> sudėtis</w:t>
      </w:r>
    </w:p>
    <w:p w14:paraId="14517497" w14:textId="65E01096" w:rsidR="00273BE2" w:rsidRPr="00A14E24" w:rsidRDefault="00273BE2" w:rsidP="008341D7">
      <w:pPr>
        <w:pStyle w:val="Sraopastraipa"/>
        <w:keepNext/>
        <w:widowControl w:val="0"/>
        <w:numPr>
          <w:ilvl w:val="0"/>
          <w:numId w:val="34"/>
        </w:numPr>
        <w:autoSpaceDE w:val="0"/>
        <w:autoSpaceDN w:val="0"/>
        <w:adjustRightInd w:val="0"/>
        <w:ind w:left="567" w:hanging="567"/>
      </w:pPr>
      <w:r w:rsidRPr="00A14E24">
        <w:t xml:space="preserve">Veiklioji medžiaga yra </w:t>
      </w:r>
      <w:proofErr w:type="spellStart"/>
      <w:r w:rsidRPr="00A14E24">
        <w:t>ibuprofenas</w:t>
      </w:r>
      <w:proofErr w:type="spellEnd"/>
      <w:r w:rsidRPr="00A14E24">
        <w:t xml:space="preserve">. Kiekvienoje plėvele dengtoje tabletėje yra 600 mg </w:t>
      </w:r>
      <w:proofErr w:type="spellStart"/>
      <w:r w:rsidRPr="00A14E24">
        <w:lastRenderedPageBreak/>
        <w:t>ibuprofeno</w:t>
      </w:r>
      <w:proofErr w:type="spellEnd"/>
      <w:r w:rsidRPr="00A14E24">
        <w:t>.</w:t>
      </w:r>
    </w:p>
    <w:p w14:paraId="5A7A69F8" w14:textId="4EF54F9A" w:rsidR="00273BE2" w:rsidRPr="00A14E24" w:rsidRDefault="00273BE2" w:rsidP="007B2587">
      <w:pPr>
        <w:pStyle w:val="Sraopastraipa"/>
        <w:widowControl w:val="0"/>
        <w:numPr>
          <w:ilvl w:val="0"/>
          <w:numId w:val="34"/>
        </w:numPr>
        <w:autoSpaceDE w:val="0"/>
        <w:autoSpaceDN w:val="0"/>
        <w:adjustRightInd w:val="0"/>
        <w:ind w:left="567" w:right="-2" w:hanging="567"/>
      </w:pPr>
      <w:r w:rsidRPr="00A14E24">
        <w:t>Pagalbinės medžiagos</w:t>
      </w:r>
      <w:r w:rsidR="00735C15">
        <w:t xml:space="preserve"> yra</w:t>
      </w:r>
      <w:r w:rsidR="007E6E60">
        <w:t>:</w:t>
      </w:r>
    </w:p>
    <w:p w14:paraId="25403273" w14:textId="77777777" w:rsidR="00273BE2" w:rsidRPr="00A14E24" w:rsidRDefault="00273BE2" w:rsidP="00B90300">
      <w:pPr>
        <w:widowControl w:val="0"/>
        <w:autoSpaceDE w:val="0"/>
        <w:autoSpaceDN w:val="0"/>
        <w:adjustRightInd w:val="0"/>
        <w:ind w:left="567" w:right="-2"/>
      </w:pPr>
      <w:r w:rsidRPr="00A14E24">
        <w:t xml:space="preserve">Tabletės branduolys: </w:t>
      </w:r>
      <w:proofErr w:type="spellStart"/>
      <w:r w:rsidRPr="00A14E24">
        <w:t>mikrokristalinė</w:t>
      </w:r>
      <w:proofErr w:type="spellEnd"/>
      <w:r w:rsidRPr="00A14E24">
        <w:t xml:space="preserve"> celiuliozė (E460), </w:t>
      </w:r>
      <w:proofErr w:type="spellStart"/>
      <w:r w:rsidRPr="00A14E24">
        <w:t>pregelifikuotas</w:t>
      </w:r>
      <w:proofErr w:type="spellEnd"/>
      <w:r w:rsidRPr="00A14E24">
        <w:t xml:space="preserve"> krakmolas (kukurūzų), </w:t>
      </w:r>
      <w:proofErr w:type="spellStart"/>
      <w:r w:rsidRPr="00A14E24">
        <w:t>povidonas</w:t>
      </w:r>
      <w:proofErr w:type="spellEnd"/>
      <w:r w:rsidRPr="00A14E24">
        <w:t xml:space="preserve">, natrio </w:t>
      </w:r>
      <w:proofErr w:type="spellStart"/>
      <w:r w:rsidRPr="00A14E24">
        <w:t>laurilsulfatas</w:t>
      </w:r>
      <w:proofErr w:type="spellEnd"/>
      <w:r w:rsidRPr="00A14E24">
        <w:t xml:space="preserve"> (E487), </w:t>
      </w:r>
      <w:proofErr w:type="spellStart"/>
      <w:r w:rsidRPr="00A14E24">
        <w:t>kroskarmeliozės</w:t>
      </w:r>
      <w:proofErr w:type="spellEnd"/>
      <w:r w:rsidRPr="00A14E24">
        <w:t xml:space="preserve"> natrio druska (E468), bevandenis koloidinis silicio dioksidas (E551), magnio </w:t>
      </w:r>
      <w:proofErr w:type="spellStart"/>
      <w:r w:rsidRPr="00A14E24">
        <w:t>stearatas</w:t>
      </w:r>
      <w:proofErr w:type="spellEnd"/>
      <w:r w:rsidRPr="00A14E24">
        <w:t xml:space="preserve"> (E572).</w:t>
      </w:r>
    </w:p>
    <w:p w14:paraId="2ADC3A13" w14:textId="33346B3C" w:rsidR="00273BE2" w:rsidRPr="00A14E24" w:rsidRDefault="00273BE2" w:rsidP="00B90300">
      <w:pPr>
        <w:widowControl w:val="0"/>
        <w:autoSpaceDE w:val="0"/>
        <w:autoSpaceDN w:val="0"/>
        <w:adjustRightInd w:val="0"/>
        <w:ind w:left="567" w:right="-2"/>
      </w:pPr>
      <w:r w:rsidRPr="00A14E24">
        <w:t xml:space="preserve">Plėvelė: titano dioksidas (E171), </w:t>
      </w:r>
      <w:proofErr w:type="spellStart"/>
      <w:r w:rsidRPr="00A14E24">
        <w:t>hipromeliozė</w:t>
      </w:r>
      <w:proofErr w:type="spellEnd"/>
      <w:r w:rsidRPr="00A14E24">
        <w:t xml:space="preserve"> (E463), </w:t>
      </w:r>
      <w:proofErr w:type="spellStart"/>
      <w:r w:rsidRPr="00A14E24">
        <w:t>hidroksipropilceliuliozė</w:t>
      </w:r>
      <w:proofErr w:type="spellEnd"/>
      <w:r w:rsidRPr="00A14E24">
        <w:t xml:space="preserve"> (E464), </w:t>
      </w:r>
      <w:proofErr w:type="spellStart"/>
      <w:r w:rsidRPr="00A14E24">
        <w:t>makrogolis</w:t>
      </w:r>
      <w:proofErr w:type="spellEnd"/>
      <w:r w:rsidRPr="00A14E24">
        <w:t>.</w:t>
      </w:r>
    </w:p>
    <w:p w14:paraId="5DACABA4" w14:textId="77777777" w:rsidR="00273BE2" w:rsidRPr="00A14E24" w:rsidRDefault="00273BE2" w:rsidP="00273BE2">
      <w:pPr>
        <w:widowControl w:val="0"/>
        <w:autoSpaceDE w:val="0"/>
        <w:autoSpaceDN w:val="0"/>
        <w:adjustRightInd w:val="0"/>
        <w:ind w:right="-2"/>
      </w:pPr>
    </w:p>
    <w:p w14:paraId="44418A05" w14:textId="1967F44A" w:rsidR="00273BE2" w:rsidRPr="00A14E24" w:rsidRDefault="00273BE2" w:rsidP="00273BE2">
      <w:pPr>
        <w:widowControl w:val="0"/>
        <w:numPr>
          <w:ilvl w:val="12"/>
          <w:numId w:val="0"/>
        </w:numPr>
        <w:rPr>
          <w:b/>
          <w:bCs/>
        </w:rPr>
      </w:pPr>
      <w:proofErr w:type="spellStart"/>
      <w:r w:rsidRPr="00A14E24">
        <w:rPr>
          <w:b/>
          <w:bCs/>
        </w:rPr>
        <w:t>Ibuprofen</w:t>
      </w:r>
      <w:proofErr w:type="spellEnd"/>
      <w:r w:rsidRPr="00A14E24">
        <w:rPr>
          <w:b/>
          <w:bCs/>
        </w:rPr>
        <w:t xml:space="preserve"> </w:t>
      </w:r>
      <w:r w:rsidR="00B764A7">
        <w:rPr>
          <w:b/>
          <w:bCs/>
        </w:rPr>
        <w:t>STADA</w:t>
      </w:r>
      <w:r w:rsidRPr="00A14E24">
        <w:rPr>
          <w:b/>
          <w:bCs/>
        </w:rPr>
        <w:t xml:space="preserve"> </w:t>
      </w:r>
      <w:proofErr w:type="spellStart"/>
      <w:r w:rsidRPr="00A14E24">
        <w:rPr>
          <w:b/>
          <w:bCs/>
        </w:rPr>
        <w:t>Arzneimittel</w:t>
      </w:r>
      <w:proofErr w:type="spellEnd"/>
      <w:r w:rsidRPr="00A14E24">
        <w:rPr>
          <w:b/>
          <w:bCs/>
        </w:rPr>
        <w:t xml:space="preserve"> išvaizda ir kiekis pakuotėje</w:t>
      </w:r>
    </w:p>
    <w:p w14:paraId="243019A5" w14:textId="3F269ACC" w:rsidR="00273BE2" w:rsidRPr="00A14E24" w:rsidRDefault="001D5D7A" w:rsidP="001D5D7A">
      <w:pPr>
        <w:autoSpaceDE w:val="0"/>
        <w:autoSpaceDN w:val="0"/>
        <w:adjustRightInd w:val="0"/>
      </w:pPr>
      <w:r w:rsidRPr="00A14E24">
        <w:t>K</w:t>
      </w:r>
      <w:r w:rsidR="00273BE2" w:rsidRPr="00A14E24">
        <w:t>apsulės formos (17 mm x 9 mm) balta arba beveik balta plėvele dengta tabletė, kurios vienoje pusėje įspausta „I 7“.</w:t>
      </w:r>
    </w:p>
    <w:p w14:paraId="6454A22F" w14:textId="77777777" w:rsidR="00273BE2" w:rsidRPr="00A14E24" w:rsidRDefault="00273BE2" w:rsidP="00273BE2">
      <w:pPr>
        <w:rPr>
          <w:highlight w:val="yellow"/>
        </w:rPr>
      </w:pPr>
    </w:p>
    <w:p w14:paraId="4A4D35AA" w14:textId="77777777" w:rsidR="00273BE2" w:rsidRPr="00A14E24" w:rsidRDefault="00273BE2" w:rsidP="00273BE2">
      <w:pPr>
        <w:ind w:left="-3" w:hanging="10"/>
        <w:jc w:val="both"/>
        <w:rPr>
          <w:u w:val="single" w:color="000000"/>
        </w:rPr>
      </w:pPr>
      <w:r w:rsidRPr="00A14E24">
        <w:rPr>
          <w:u w:val="single" w:color="000000"/>
        </w:rPr>
        <w:t>Pakuotės dydžiai</w:t>
      </w:r>
    </w:p>
    <w:p w14:paraId="0F108983" w14:textId="77777777" w:rsidR="00273BE2" w:rsidRPr="00A14E24" w:rsidRDefault="00273BE2" w:rsidP="00273BE2">
      <w:pPr>
        <w:jc w:val="both"/>
        <w:rPr>
          <w:highlight w:val="yellow"/>
        </w:rPr>
      </w:pPr>
    </w:p>
    <w:p w14:paraId="7AB54B7F" w14:textId="1BEA85AB" w:rsidR="00273BE2" w:rsidRPr="00A14E24" w:rsidRDefault="00273BE2" w:rsidP="003005A9">
      <w:pPr>
        <w:jc w:val="both"/>
      </w:pPr>
      <w:r w:rsidRPr="00A14E24">
        <w:t>PVC/</w:t>
      </w:r>
      <w:r w:rsidR="00802B8E">
        <w:t>Al</w:t>
      </w:r>
      <w:r w:rsidR="00802B8E" w:rsidRPr="00A14E24">
        <w:t xml:space="preserve"> </w:t>
      </w:r>
      <w:r w:rsidRPr="00A14E24">
        <w:t>lizdinės plokštelės, kuriose yra 10, 20, 30, 40, 50, 60, 70, 80, 90 arba 100 tablečių.</w:t>
      </w:r>
    </w:p>
    <w:p w14:paraId="181E3CB4" w14:textId="0F16AD5E" w:rsidR="00273BE2" w:rsidRPr="00A14E24" w:rsidRDefault="00273BE2" w:rsidP="003005A9">
      <w:pPr>
        <w:jc w:val="both"/>
      </w:pPr>
      <w:r w:rsidRPr="00A14E24">
        <w:t>PVC/</w:t>
      </w:r>
      <w:r w:rsidR="00802B8E">
        <w:t>Al</w:t>
      </w:r>
      <w:r w:rsidR="00802B8E" w:rsidRPr="00A14E24">
        <w:t xml:space="preserve"> </w:t>
      </w:r>
      <w:r w:rsidRPr="00A14E24">
        <w:t xml:space="preserve">perforuotos </w:t>
      </w:r>
      <w:proofErr w:type="spellStart"/>
      <w:r w:rsidRPr="00A14E24">
        <w:t>dalomosios</w:t>
      </w:r>
      <w:proofErr w:type="spellEnd"/>
      <w:r w:rsidRPr="00A14E24">
        <w:t xml:space="preserve"> lizdinės plokštelės, kuriose yra 10x1, 20x1, 30x1, 40x1, 50x1, 60x1, 70x1, 80x1, 90x1 arba 100x1 table</w:t>
      </w:r>
      <w:r w:rsidR="00242042">
        <w:t>čių</w:t>
      </w:r>
      <w:r w:rsidRPr="00A14E24">
        <w:t>.</w:t>
      </w:r>
    </w:p>
    <w:p w14:paraId="71278565" w14:textId="77777777" w:rsidR="00273BE2" w:rsidRPr="00A14E24" w:rsidRDefault="00273BE2" w:rsidP="00273BE2">
      <w:pPr>
        <w:widowControl w:val="0"/>
        <w:autoSpaceDE w:val="0"/>
        <w:autoSpaceDN w:val="0"/>
        <w:adjustRightInd w:val="0"/>
        <w:rPr>
          <w:rFonts w:eastAsia="TimesNewRoman"/>
        </w:rPr>
      </w:pPr>
    </w:p>
    <w:p w14:paraId="14356789" w14:textId="77777777" w:rsidR="00273BE2" w:rsidRPr="00A14E24" w:rsidRDefault="00273BE2" w:rsidP="00273BE2">
      <w:pPr>
        <w:widowControl w:val="0"/>
        <w:autoSpaceDE w:val="0"/>
        <w:autoSpaceDN w:val="0"/>
        <w:adjustRightInd w:val="0"/>
        <w:rPr>
          <w:rFonts w:eastAsia="TimesNewRoman"/>
        </w:rPr>
      </w:pPr>
      <w:r w:rsidRPr="00A14E24">
        <w:rPr>
          <w:rFonts w:eastAsia="TimesNewRoman"/>
        </w:rPr>
        <w:t>Gali būti tiekiamos ne visų dydžių pakuotės.</w:t>
      </w:r>
    </w:p>
    <w:p w14:paraId="5FD19F5A" w14:textId="77777777" w:rsidR="00273BE2" w:rsidRPr="00A14E24" w:rsidRDefault="00273BE2" w:rsidP="00273BE2">
      <w:pPr>
        <w:widowControl w:val="0"/>
        <w:numPr>
          <w:ilvl w:val="12"/>
          <w:numId w:val="0"/>
        </w:numPr>
        <w:ind w:right="-2"/>
      </w:pPr>
    </w:p>
    <w:p w14:paraId="07DB1C76" w14:textId="77777777" w:rsidR="00273BE2" w:rsidRPr="00A14E24" w:rsidRDefault="00273BE2" w:rsidP="00273BE2">
      <w:pPr>
        <w:widowControl w:val="0"/>
        <w:numPr>
          <w:ilvl w:val="12"/>
          <w:numId w:val="0"/>
        </w:numPr>
        <w:rPr>
          <w:b/>
          <w:bCs/>
        </w:rPr>
      </w:pPr>
      <w:r w:rsidRPr="00A14E24">
        <w:rPr>
          <w:b/>
          <w:bCs/>
        </w:rPr>
        <w:t>Registruotojas ir gamintojas</w:t>
      </w:r>
    </w:p>
    <w:p w14:paraId="7BDF8965" w14:textId="77777777" w:rsidR="00273BE2" w:rsidRPr="00A14E24" w:rsidRDefault="00273BE2" w:rsidP="00273BE2">
      <w:pPr>
        <w:widowControl w:val="0"/>
        <w:numPr>
          <w:ilvl w:val="12"/>
          <w:numId w:val="0"/>
        </w:numPr>
        <w:rPr>
          <w:b/>
          <w:bCs/>
        </w:rPr>
      </w:pPr>
    </w:p>
    <w:p w14:paraId="49A6E02D" w14:textId="77777777" w:rsidR="00273BE2" w:rsidRPr="00A14E24" w:rsidRDefault="00273BE2" w:rsidP="00273BE2">
      <w:pPr>
        <w:widowControl w:val="0"/>
        <w:numPr>
          <w:ilvl w:val="12"/>
          <w:numId w:val="0"/>
        </w:numPr>
        <w:rPr>
          <w:bCs/>
          <w:i/>
        </w:rPr>
      </w:pPr>
      <w:r w:rsidRPr="00A14E24">
        <w:rPr>
          <w:bCs/>
          <w:i/>
        </w:rPr>
        <w:t>Registruotojas</w:t>
      </w:r>
    </w:p>
    <w:p w14:paraId="1E0AD2D2" w14:textId="77777777" w:rsidR="0034669F" w:rsidRPr="00A14E24" w:rsidRDefault="0034669F" w:rsidP="0034669F">
      <w:r w:rsidRPr="00A14E24">
        <w:t xml:space="preserve">STADA </w:t>
      </w:r>
      <w:proofErr w:type="spellStart"/>
      <w:r w:rsidRPr="00A14E24">
        <w:t>Arzneimittel</w:t>
      </w:r>
      <w:proofErr w:type="spellEnd"/>
      <w:r w:rsidRPr="00A14E24">
        <w:t xml:space="preserve"> AG</w:t>
      </w:r>
    </w:p>
    <w:p w14:paraId="204673BE" w14:textId="77777777" w:rsidR="0034669F" w:rsidRPr="00A14E24" w:rsidRDefault="0034669F" w:rsidP="0034669F">
      <w:proofErr w:type="spellStart"/>
      <w:r w:rsidRPr="00A14E24">
        <w:t>Stadastrasse</w:t>
      </w:r>
      <w:proofErr w:type="spellEnd"/>
      <w:r w:rsidRPr="00A14E24">
        <w:t xml:space="preserve"> 2-18</w:t>
      </w:r>
    </w:p>
    <w:p w14:paraId="49D3155E" w14:textId="77777777" w:rsidR="0034669F" w:rsidRPr="00A14E24" w:rsidRDefault="0034669F" w:rsidP="0034669F">
      <w:r w:rsidRPr="00A14E24">
        <w:t xml:space="preserve">61118 </w:t>
      </w:r>
      <w:proofErr w:type="spellStart"/>
      <w:r w:rsidRPr="00A14E24">
        <w:t>Bad</w:t>
      </w:r>
      <w:proofErr w:type="spellEnd"/>
      <w:r w:rsidRPr="00A14E24">
        <w:t xml:space="preserve"> </w:t>
      </w:r>
      <w:proofErr w:type="spellStart"/>
      <w:r w:rsidRPr="00A14E24">
        <w:t>Vilbel</w:t>
      </w:r>
      <w:proofErr w:type="spellEnd"/>
    </w:p>
    <w:p w14:paraId="41E78CB7" w14:textId="77777777" w:rsidR="0034669F" w:rsidRPr="00A14E24" w:rsidRDefault="0034669F" w:rsidP="0034669F">
      <w:r w:rsidRPr="00A14E24">
        <w:t>Vokietija</w:t>
      </w:r>
    </w:p>
    <w:p w14:paraId="21F2FB30" w14:textId="77777777" w:rsidR="00273BE2" w:rsidRPr="00A14E24" w:rsidRDefault="00273BE2" w:rsidP="00273BE2">
      <w:pPr>
        <w:widowControl w:val="0"/>
        <w:numPr>
          <w:ilvl w:val="12"/>
          <w:numId w:val="0"/>
        </w:numPr>
        <w:ind w:right="-2"/>
      </w:pPr>
    </w:p>
    <w:p w14:paraId="019B15F1" w14:textId="77777777" w:rsidR="00273BE2" w:rsidRPr="00A14E24" w:rsidRDefault="00273BE2" w:rsidP="00273BE2">
      <w:pPr>
        <w:widowControl w:val="0"/>
        <w:ind w:left="142" w:hanging="142"/>
        <w:rPr>
          <w:i/>
        </w:rPr>
      </w:pPr>
      <w:r w:rsidRPr="00A14E24">
        <w:rPr>
          <w:bCs/>
          <w:i/>
        </w:rPr>
        <w:t>Gamintojas</w:t>
      </w:r>
    </w:p>
    <w:p w14:paraId="4E57084F" w14:textId="77777777" w:rsidR="00825EA1" w:rsidRDefault="00825EA1" w:rsidP="00825EA1">
      <w:pPr>
        <w:tabs>
          <w:tab w:val="left" w:pos="567"/>
        </w:tabs>
        <w:spacing w:line="260" w:lineRule="exact"/>
      </w:pPr>
      <w:r>
        <w:t xml:space="preserve">STADA </w:t>
      </w:r>
      <w:proofErr w:type="spellStart"/>
      <w:r>
        <w:t>Arzneimittel</w:t>
      </w:r>
      <w:proofErr w:type="spellEnd"/>
      <w:r>
        <w:t xml:space="preserve"> AG</w:t>
      </w:r>
    </w:p>
    <w:p w14:paraId="7BE6A98B" w14:textId="77777777" w:rsidR="00825EA1" w:rsidRDefault="00825EA1" w:rsidP="00825EA1">
      <w:pPr>
        <w:tabs>
          <w:tab w:val="left" w:pos="567"/>
        </w:tabs>
        <w:spacing w:line="260" w:lineRule="exact"/>
      </w:pPr>
      <w:proofErr w:type="spellStart"/>
      <w:r>
        <w:t>Stadastrasse</w:t>
      </w:r>
      <w:proofErr w:type="spellEnd"/>
      <w:r>
        <w:t xml:space="preserve"> 2-18</w:t>
      </w:r>
    </w:p>
    <w:p w14:paraId="5B033A72" w14:textId="77777777" w:rsidR="00825EA1" w:rsidRDefault="00825EA1" w:rsidP="00825EA1">
      <w:pPr>
        <w:tabs>
          <w:tab w:val="left" w:pos="567"/>
        </w:tabs>
        <w:spacing w:line="260" w:lineRule="exact"/>
      </w:pPr>
      <w:r>
        <w:t xml:space="preserve">61118 </w:t>
      </w:r>
      <w:proofErr w:type="spellStart"/>
      <w:r>
        <w:t>Bad</w:t>
      </w:r>
      <w:proofErr w:type="spellEnd"/>
      <w:r>
        <w:t xml:space="preserve"> </w:t>
      </w:r>
      <w:proofErr w:type="spellStart"/>
      <w:r>
        <w:t>Vilbel</w:t>
      </w:r>
      <w:proofErr w:type="spellEnd"/>
    </w:p>
    <w:p w14:paraId="25E6187C" w14:textId="77777777" w:rsidR="00825EA1" w:rsidRDefault="00825EA1" w:rsidP="00825EA1">
      <w:pPr>
        <w:tabs>
          <w:tab w:val="left" w:pos="567"/>
        </w:tabs>
        <w:spacing w:line="260" w:lineRule="exact"/>
      </w:pPr>
      <w:r>
        <w:t xml:space="preserve">Vokietija </w:t>
      </w:r>
    </w:p>
    <w:p w14:paraId="07460433" w14:textId="77777777" w:rsidR="00825EA1" w:rsidRDefault="00825EA1" w:rsidP="00825EA1">
      <w:pPr>
        <w:tabs>
          <w:tab w:val="left" w:pos="567"/>
        </w:tabs>
        <w:spacing w:line="260" w:lineRule="exact"/>
      </w:pPr>
    </w:p>
    <w:p w14:paraId="241BC004" w14:textId="77777777" w:rsidR="00825EA1" w:rsidRDefault="00825EA1" w:rsidP="00825EA1">
      <w:pPr>
        <w:tabs>
          <w:tab w:val="left" w:pos="567"/>
        </w:tabs>
        <w:spacing w:line="260" w:lineRule="exact"/>
      </w:pPr>
      <w:r>
        <w:t>arba</w:t>
      </w:r>
    </w:p>
    <w:p w14:paraId="57A228BA" w14:textId="77777777" w:rsidR="00825EA1" w:rsidRDefault="00825EA1" w:rsidP="00825EA1">
      <w:pPr>
        <w:tabs>
          <w:tab w:val="left" w:pos="567"/>
        </w:tabs>
        <w:spacing w:line="260" w:lineRule="exact"/>
      </w:pPr>
    </w:p>
    <w:p w14:paraId="03014828" w14:textId="77777777" w:rsidR="00825EA1" w:rsidRDefault="00825EA1" w:rsidP="00825EA1">
      <w:pPr>
        <w:tabs>
          <w:tab w:val="left" w:pos="567"/>
        </w:tabs>
        <w:spacing w:line="260" w:lineRule="exact"/>
      </w:pPr>
      <w:proofErr w:type="spellStart"/>
      <w:r>
        <w:t>Pharmazet</w:t>
      </w:r>
      <w:proofErr w:type="spellEnd"/>
      <w:r>
        <w:t xml:space="preserve"> Group </w:t>
      </w:r>
      <w:proofErr w:type="spellStart"/>
      <w:r>
        <w:t>s.r.o</w:t>
      </w:r>
      <w:proofErr w:type="spellEnd"/>
      <w:r>
        <w:t>.</w:t>
      </w:r>
    </w:p>
    <w:p w14:paraId="6339DF2D" w14:textId="77777777" w:rsidR="00825EA1" w:rsidRDefault="00825EA1" w:rsidP="00825EA1">
      <w:pPr>
        <w:tabs>
          <w:tab w:val="left" w:pos="567"/>
        </w:tabs>
        <w:spacing w:line="260" w:lineRule="exact"/>
      </w:pPr>
      <w:proofErr w:type="spellStart"/>
      <w:r>
        <w:t>Třtinová</w:t>
      </w:r>
      <w:proofErr w:type="spellEnd"/>
      <w:r>
        <w:t xml:space="preserve"> 260/1, </w:t>
      </w:r>
      <w:proofErr w:type="spellStart"/>
      <w:r w:rsidRPr="00063016">
        <w:t>Cakovice</w:t>
      </w:r>
      <w:proofErr w:type="spellEnd"/>
    </w:p>
    <w:p w14:paraId="3E33A77A" w14:textId="77777777" w:rsidR="00825EA1" w:rsidRDefault="00825EA1" w:rsidP="00825EA1">
      <w:pPr>
        <w:tabs>
          <w:tab w:val="left" w:pos="567"/>
        </w:tabs>
        <w:spacing w:line="260" w:lineRule="exact"/>
      </w:pPr>
      <w:r>
        <w:t>Praha 196 00</w:t>
      </w:r>
    </w:p>
    <w:p w14:paraId="5EACD3E7" w14:textId="77777777" w:rsidR="00825EA1" w:rsidRDefault="00825EA1" w:rsidP="00825EA1">
      <w:pPr>
        <w:tabs>
          <w:tab w:val="left" w:pos="567"/>
        </w:tabs>
        <w:spacing w:line="260" w:lineRule="exact"/>
      </w:pPr>
      <w:r>
        <w:t>Čekija</w:t>
      </w:r>
    </w:p>
    <w:p w14:paraId="274A23EE" w14:textId="77777777" w:rsidR="00825EA1" w:rsidRDefault="00825EA1" w:rsidP="00825EA1">
      <w:pPr>
        <w:tabs>
          <w:tab w:val="left" w:pos="567"/>
        </w:tabs>
        <w:spacing w:line="260" w:lineRule="exact"/>
      </w:pPr>
    </w:p>
    <w:p w14:paraId="62512139" w14:textId="77777777" w:rsidR="00825EA1" w:rsidRDefault="00825EA1" w:rsidP="00825EA1">
      <w:pPr>
        <w:tabs>
          <w:tab w:val="left" w:pos="567"/>
        </w:tabs>
        <w:spacing w:line="260" w:lineRule="exact"/>
      </w:pPr>
      <w:r>
        <w:t>arba</w:t>
      </w:r>
    </w:p>
    <w:p w14:paraId="5D7477A6" w14:textId="77777777" w:rsidR="00825EA1" w:rsidRDefault="00825EA1" w:rsidP="00825EA1">
      <w:pPr>
        <w:tabs>
          <w:tab w:val="left" w:pos="567"/>
        </w:tabs>
        <w:spacing w:line="260" w:lineRule="exact"/>
      </w:pPr>
    </w:p>
    <w:p w14:paraId="581F0361" w14:textId="77777777" w:rsidR="00825EA1" w:rsidRDefault="00825EA1" w:rsidP="00825EA1">
      <w:pPr>
        <w:tabs>
          <w:tab w:val="left" w:pos="567"/>
        </w:tabs>
        <w:spacing w:line="260" w:lineRule="exact"/>
      </w:pPr>
      <w:proofErr w:type="spellStart"/>
      <w:r>
        <w:t>Centrafarm</w:t>
      </w:r>
      <w:proofErr w:type="spellEnd"/>
      <w:r>
        <w:t xml:space="preserve"> </w:t>
      </w:r>
      <w:proofErr w:type="spellStart"/>
      <w:r>
        <w:t>Services</w:t>
      </w:r>
      <w:proofErr w:type="spellEnd"/>
      <w:r>
        <w:t xml:space="preserve"> B.V.</w:t>
      </w:r>
    </w:p>
    <w:p w14:paraId="38D1858B" w14:textId="77777777" w:rsidR="00825EA1" w:rsidRDefault="00825EA1" w:rsidP="00825EA1">
      <w:pPr>
        <w:tabs>
          <w:tab w:val="left" w:pos="567"/>
        </w:tabs>
        <w:spacing w:line="260" w:lineRule="exact"/>
      </w:pPr>
      <w:r>
        <w:t xml:space="preserve">Van de </w:t>
      </w:r>
      <w:proofErr w:type="spellStart"/>
      <w:r>
        <w:t>Reijtstraat</w:t>
      </w:r>
      <w:proofErr w:type="spellEnd"/>
      <w:r>
        <w:t xml:space="preserve"> 31 E</w:t>
      </w:r>
    </w:p>
    <w:p w14:paraId="58FCEF26" w14:textId="77777777" w:rsidR="00825EA1" w:rsidRDefault="00825EA1" w:rsidP="00825EA1">
      <w:pPr>
        <w:tabs>
          <w:tab w:val="left" w:pos="567"/>
        </w:tabs>
        <w:spacing w:line="260" w:lineRule="exact"/>
      </w:pPr>
      <w:r>
        <w:t xml:space="preserve">4814NE </w:t>
      </w:r>
      <w:proofErr w:type="spellStart"/>
      <w:r>
        <w:t>Breda</w:t>
      </w:r>
      <w:proofErr w:type="spellEnd"/>
    </w:p>
    <w:p w14:paraId="7A6F73D8" w14:textId="77777777" w:rsidR="00825EA1" w:rsidRDefault="00825EA1" w:rsidP="00825EA1">
      <w:pPr>
        <w:tabs>
          <w:tab w:val="left" w:pos="567"/>
        </w:tabs>
        <w:spacing w:line="260" w:lineRule="exact"/>
      </w:pPr>
      <w:r>
        <w:t>Nyderlandai</w:t>
      </w:r>
    </w:p>
    <w:p w14:paraId="20BC2D04" w14:textId="77777777" w:rsidR="00825EA1" w:rsidRDefault="00825EA1" w:rsidP="00825EA1">
      <w:pPr>
        <w:tabs>
          <w:tab w:val="left" w:pos="567"/>
        </w:tabs>
        <w:spacing w:line="260" w:lineRule="exact"/>
      </w:pPr>
    </w:p>
    <w:p w14:paraId="6E17BC8E" w14:textId="77777777" w:rsidR="00825EA1" w:rsidRDefault="00825EA1" w:rsidP="00825EA1">
      <w:pPr>
        <w:tabs>
          <w:tab w:val="left" w:pos="567"/>
        </w:tabs>
        <w:spacing w:line="260" w:lineRule="exact"/>
      </w:pPr>
      <w:r>
        <w:t>arba</w:t>
      </w:r>
    </w:p>
    <w:p w14:paraId="1FA98614" w14:textId="77777777" w:rsidR="00825EA1" w:rsidRDefault="00825EA1" w:rsidP="00825EA1">
      <w:pPr>
        <w:tabs>
          <w:tab w:val="left" w:pos="567"/>
        </w:tabs>
        <w:spacing w:line="260" w:lineRule="exact"/>
      </w:pPr>
    </w:p>
    <w:p w14:paraId="458975B9" w14:textId="77777777" w:rsidR="00825EA1" w:rsidRDefault="00825EA1" w:rsidP="00825EA1">
      <w:pPr>
        <w:tabs>
          <w:tab w:val="left" w:pos="567"/>
        </w:tabs>
        <w:spacing w:line="260" w:lineRule="exact"/>
      </w:pPr>
      <w:proofErr w:type="spellStart"/>
      <w:r>
        <w:t>Clonmel</w:t>
      </w:r>
      <w:proofErr w:type="spellEnd"/>
      <w:r>
        <w:t xml:space="preserve"> </w:t>
      </w:r>
      <w:proofErr w:type="spellStart"/>
      <w:r>
        <w:t>Healthcare</w:t>
      </w:r>
      <w:proofErr w:type="spellEnd"/>
      <w:r>
        <w:t xml:space="preserve"> </w:t>
      </w:r>
      <w:proofErr w:type="spellStart"/>
      <w:r>
        <w:t>Ltd</w:t>
      </w:r>
      <w:proofErr w:type="spellEnd"/>
    </w:p>
    <w:p w14:paraId="4576067C" w14:textId="38A5C7E8" w:rsidR="00825EA1" w:rsidRDefault="00825EA1" w:rsidP="00825EA1">
      <w:pPr>
        <w:tabs>
          <w:tab w:val="left" w:pos="567"/>
        </w:tabs>
        <w:spacing w:line="260" w:lineRule="exact"/>
      </w:pPr>
      <w:proofErr w:type="spellStart"/>
      <w:r>
        <w:t>Waterford</w:t>
      </w:r>
      <w:proofErr w:type="spellEnd"/>
      <w:r>
        <w:t xml:space="preserve"> </w:t>
      </w:r>
      <w:proofErr w:type="spellStart"/>
      <w:r>
        <w:t>Road</w:t>
      </w:r>
      <w:proofErr w:type="spellEnd"/>
      <w:r>
        <w:t xml:space="preserve">, </w:t>
      </w:r>
      <w:proofErr w:type="spellStart"/>
      <w:r>
        <w:t>Clonmel</w:t>
      </w:r>
      <w:proofErr w:type="spellEnd"/>
    </w:p>
    <w:p w14:paraId="5BE39970" w14:textId="77777777" w:rsidR="00825EA1" w:rsidRDefault="00825EA1" w:rsidP="00825EA1">
      <w:pPr>
        <w:tabs>
          <w:tab w:val="left" w:pos="567"/>
        </w:tabs>
        <w:spacing w:line="260" w:lineRule="exact"/>
      </w:pPr>
      <w:r>
        <w:t xml:space="preserve">E91 D768 </w:t>
      </w:r>
      <w:proofErr w:type="spellStart"/>
      <w:r>
        <w:t>Co</w:t>
      </w:r>
      <w:proofErr w:type="spellEnd"/>
      <w:r>
        <w:t xml:space="preserve">. </w:t>
      </w:r>
      <w:proofErr w:type="spellStart"/>
      <w:r>
        <w:t>Tipperary</w:t>
      </w:r>
      <w:proofErr w:type="spellEnd"/>
    </w:p>
    <w:p w14:paraId="45824816" w14:textId="77777777" w:rsidR="00825EA1" w:rsidRDefault="00825EA1" w:rsidP="00825EA1">
      <w:pPr>
        <w:tabs>
          <w:tab w:val="left" w:pos="567"/>
        </w:tabs>
        <w:spacing w:line="260" w:lineRule="exact"/>
      </w:pPr>
      <w:r>
        <w:t>Airija</w:t>
      </w:r>
    </w:p>
    <w:p w14:paraId="32144B23" w14:textId="77777777" w:rsidR="00825EA1" w:rsidRDefault="00825EA1" w:rsidP="00825EA1">
      <w:pPr>
        <w:tabs>
          <w:tab w:val="left" w:pos="567"/>
        </w:tabs>
        <w:spacing w:line="260" w:lineRule="exact"/>
      </w:pPr>
    </w:p>
    <w:p w14:paraId="4F933AB5" w14:textId="77777777" w:rsidR="00825EA1" w:rsidRDefault="00825EA1" w:rsidP="00825EA1">
      <w:pPr>
        <w:tabs>
          <w:tab w:val="left" w:pos="567"/>
        </w:tabs>
        <w:spacing w:line="260" w:lineRule="exact"/>
      </w:pPr>
      <w:r>
        <w:t>arba</w:t>
      </w:r>
    </w:p>
    <w:p w14:paraId="5E40060C" w14:textId="77777777" w:rsidR="00825EA1" w:rsidRDefault="00825EA1" w:rsidP="00825EA1">
      <w:pPr>
        <w:tabs>
          <w:tab w:val="left" w:pos="567"/>
        </w:tabs>
        <w:spacing w:line="260" w:lineRule="exact"/>
      </w:pPr>
    </w:p>
    <w:p w14:paraId="5934E176" w14:textId="77777777" w:rsidR="00825EA1" w:rsidRDefault="00825EA1" w:rsidP="00825EA1">
      <w:pPr>
        <w:tabs>
          <w:tab w:val="left" w:pos="567"/>
        </w:tabs>
        <w:spacing w:line="260" w:lineRule="exact"/>
      </w:pPr>
      <w:r>
        <w:t>STADA M&amp;D S.R.L.</w:t>
      </w:r>
    </w:p>
    <w:p w14:paraId="5CBA434F" w14:textId="77777777" w:rsidR="00825EA1" w:rsidRDefault="00825EA1" w:rsidP="00825EA1">
      <w:pPr>
        <w:tabs>
          <w:tab w:val="left" w:pos="567"/>
        </w:tabs>
        <w:spacing w:line="260" w:lineRule="exact"/>
      </w:pPr>
      <w:r>
        <w:t xml:space="preserve">Str. </w:t>
      </w:r>
      <w:proofErr w:type="spellStart"/>
      <w:r>
        <w:t>Trascăului</w:t>
      </w:r>
      <w:proofErr w:type="spellEnd"/>
      <w:r>
        <w:t xml:space="preserve">, </w:t>
      </w:r>
      <w:proofErr w:type="spellStart"/>
      <w:r>
        <w:t>No</w:t>
      </w:r>
      <w:proofErr w:type="spellEnd"/>
      <w:r>
        <w:t>. 10</w:t>
      </w:r>
    </w:p>
    <w:p w14:paraId="70B50690" w14:textId="77777777" w:rsidR="00825EA1" w:rsidRDefault="00825EA1" w:rsidP="00825EA1">
      <w:pPr>
        <w:tabs>
          <w:tab w:val="left" w:pos="567"/>
        </w:tabs>
        <w:spacing w:line="260" w:lineRule="exact"/>
      </w:pPr>
      <w:r>
        <w:t xml:space="preserve">401135 </w:t>
      </w:r>
      <w:proofErr w:type="spellStart"/>
      <w:r>
        <w:t>Turda</w:t>
      </w:r>
      <w:proofErr w:type="spellEnd"/>
      <w:r>
        <w:t xml:space="preserve"> </w:t>
      </w:r>
      <w:proofErr w:type="spellStart"/>
      <w:r>
        <w:t>City</w:t>
      </w:r>
      <w:proofErr w:type="spellEnd"/>
    </w:p>
    <w:p w14:paraId="6BC9AC7C" w14:textId="77777777" w:rsidR="00825EA1" w:rsidRDefault="00825EA1" w:rsidP="00825EA1">
      <w:pPr>
        <w:tabs>
          <w:tab w:val="left" w:pos="567"/>
        </w:tabs>
        <w:spacing w:line="260" w:lineRule="exact"/>
      </w:pPr>
      <w:proofErr w:type="spellStart"/>
      <w:r>
        <w:t>Cluj</w:t>
      </w:r>
      <w:proofErr w:type="spellEnd"/>
      <w:r>
        <w:t xml:space="preserve"> </w:t>
      </w:r>
      <w:proofErr w:type="spellStart"/>
      <w:r>
        <w:t>Country</w:t>
      </w:r>
      <w:proofErr w:type="spellEnd"/>
    </w:p>
    <w:p w14:paraId="32EAF9B9" w14:textId="77777777" w:rsidR="00825EA1" w:rsidRDefault="00825EA1" w:rsidP="00825EA1">
      <w:pPr>
        <w:tabs>
          <w:tab w:val="left" w:pos="567"/>
        </w:tabs>
        <w:spacing w:line="260" w:lineRule="exact"/>
      </w:pPr>
      <w:r>
        <w:t>Rumunija</w:t>
      </w:r>
    </w:p>
    <w:p w14:paraId="35A56630" w14:textId="77777777" w:rsidR="00273BE2" w:rsidRPr="00A14E24" w:rsidRDefault="00273BE2" w:rsidP="00273BE2">
      <w:pPr>
        <w:widowControl w:val="0"/>
      </w:pPr>
    </w:p>
    <w:p w14:paraId="7C70DEFD" w14:textId="77777777" w:rsidR="00AC3900" w:rsidRPr="00A14E24" w:rsidRDefault="00AC3900" w:rsidP="00AC3900">
      <w:pPr>
        <w:numPr>
          <w:ilvl w:val="12"/>
          <w:numId w:val="0"/>
        </w:numPr>
      </w:pPr>
      <w:r w:rsidRPr="00A14E24">
        <w:t>Jeigu apie šį vaistą norite sužinoti daugiau, kreipkitės į vietinį registruotojo atstovą:</w:t>
      </w:r>
    </w:p>
    <w:p w14:paraId="11278434" w14:textId="77777777" w:rsidR="00AC3900" w:rsidRPr="00A14E24" w:rsidRDefault="00AC3900" w:rsidP="00AC3900">
      <w:pPr>
        <w:numPr>
          <w:ilvl w:val="12"/>
          <w:numId w:val="0"/>
        </w:numPr>
      </w:pPr>
    </w:p>
    <w:p w14:paraId="34076EC5" w14:textId="77777777" w:rsidR="00AC3900" w:rsidRPr="00A14E24" w:rsidRDefault="00AC3900" w:rsidP="00AC3900">
      <w:pPr>
        <w:numPr>
          <w:ilvl w:val="12"/>
          <w:numId w:val="0"/>
        </w:numPr>
      </w:pPr>
      <w:r w:rsidRPr="00A14E24">
        <w:t>UAB „STADA Baltics“</w:t>
      </w:r>
    </w:p>
    <w:p w14:paraId="1C315808" w14:textId="77777777" w:rsidR="00AC3900" w:rsidRPr="00A14E24" w:rsidRDefault="00AC3900" w:rsidP="00AC3900">
      <w:pPr>
        <w:numPr>
          <w:ilvl w:val="12"/>
          <w:numId w:val="0"/>
        </w:numPr>
      </w:pPr>
      <w:r w:rsidRPr="00A14E24">
        <w:t xml:space="preserve">A. Goštauto g. 40A </w:t>
      </w:r>
    </w:p>
    <w:p w14:paraId="2C0AE3EE" w14:textId="77777777" w:rsidR="00AC3900" w:rsidRPr="00A14E24" w:rsidRDefault="00AC3900" w:rsidP="00AC3900">
      <w:pPr>
        <w:numPr>
          <w:ilvl w:val="12"/>
          <w:numId w:val="0"/>
        </w:numPr>
      </w:pPr>
      <w:r w:rsidRPr="00A14E24">
        <w:t>LT-03163 Vilnius</w:t>
      </w:r>
    </w:p>
    <w:p w14:paraId="38D6DDB4" w14:textId="77777777" w:rsidR="00AC3900" w:rsidRPr="00A14E24" w:rsidRDefault="00AC3900" w:rsidP="00AC3900">
      <w:pPr>
        <w:numPr>
          <w:ilvl w:val="12"/>
          <w:numId w:val="0"/>
        </w:numPr>
      </w:pPr>
      <w:r w:rsidRPr="00A14E24">
        <w:t>Lietuva</w:t>
      </w:r>
    </w:p>
    <w:p w14:paraId="26041DBB" w14:textId="77777777" w:rsidR="00AC3900" w:rsidRPr="00A14E24" w:rsidRDefault="00AC3900" w:rsidP="00AC3900">
      <w:pPr>
        <w:numPr>
          <w:ilvl w:val="12"/>
          <w:numId w:val="0"/>
        </w:numPr>
      </w:pPr>
      <w:r w:rsidRPr="00A14E24">
        <w:t>Tel.: +370 5 260 3926</w:t>
      </w:r>
    </w:p>
    <w:p w14:paraId="06F55286" w14:textId="77777777" w:rsidR="00AC3900" w:rsidRPr="00A14E24" w:rsidRDefault="00AC3900" w:rsidP="00AC3900">
      <w:pPr>
        <w:numPr>
          <w:ilvl w:val="12"/>
          <w:numId w:val="0"/>
        </w:numPr>
      </w:pPr>
      <w:r w:rsidRPr="00A14E24">
        <w:t>El. paštas: stada.baltics@stada.com</w:t>
      </w:r>
    </w:p>
    <w:p w14:paraId="40ADF01C" w14:textId="77777777" w:rsidR="00273BE2" w:rsidRPr="00A14E24" w:rsidRDefault="00273BE2" w:rsidP="00273BE2">
      <w:pPr>
        <w:widowControl w:val="0"/>
        <w:numPr>
          <w:ilvl w:val="12"/>
          <w:numId w:val="0"/>
        </w:numPr>
        <w:ind w:right="-2"/>
      </w:pPr>
    </w:p>
    <w:p w14:paraId="6BE139E9" w14:textId="77777777" w:rsidR="00273BE2" w:rsidRPr="00A14E24" w:rsidRDefault="00273BE2" w:rsidP="00273BE2">
      <w:pPr>
        <w:numPr>
          <w:ilvl w:val="12"/>
          <w:numId w:val="0"/>
        </w:numPr>
        <w:snapToGrid w:val="0"/>
        <w:ind w:right="-2"/>
      </w:pPr>
      <w:r w:rsidRPr="00A14E24">
        <w:rPr>
          <w:b/>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961"/>
      </w:tblGrid>
      <w:tr w:rsidR="00DF051F" w:rsidRPr="000671A6" w14:paraId="340E128F" w14:textId="77777777" w:rsidTr="00AA5D2E">
        <w:tc>
          <w:tcPr>
            <w:tcW w:w="3119" w:type="dxa"/>
          </w:tcPr>
          <w:p w14:paraId="4A507846" w14:textId="3ABD7F7E" w:rsidR="00DF051F" w:rsidRPr="000671A6" w:rsidRDefault="00DF051F" w:rsidP="00DF051F">
            <w:pPr>
              <w:snapToGrid w:val="0"/>
              <w:ind w:hanging="112"/>
              <w:rPr>
                <w:rFonts w:cs="Times New Roman"/>
                <w:lang w:val="lt-LT"/>
              </w:rPr>
            </w:pPr>
            <w:bookmarkStart w:id="68" w:name="_Hlk215057109"/>
            <w:r w:rsidRPr="000671A6">
              <w:rPr>
                <w:rFonts w:cs="Times New Roman"/>
                <w:lang w:val="lt-LT"/>
              </w:rPr>
              <w:t>Nyderlandai:</w:t>
            </w:r>
          </w:p>
        </w:tc>
        <w:tc>
          <w:tcPr>
            <w:tcW w:w="4961" w:type="dxa"/>
          </w:tcPr>
          <w:p w14:paraId="0C22F498" w14:textId="728E77FB" w:rsidR="00DF051F" w:rsidRPr="000671A6" w:rsidRDefault="00DF051F" w:rsidP="00DF051F">
            <w:pPr>
              <w:snapToGrid w:val="0"/>
              <w:rPr>
                <w:rFonts w:cs="Times New Roman"/>
                <w:lang w:val="lt-LT"/>
              </w:rPr>
            </w:pPr>
            <w:r w:rsidRPr="000671A6">
              <w:rPr>
                <w:rFonts w:cs="Times New Roman"/>
                <w:lang w:val="lt-LT"/>
              </w:rPr>
              <w:t>Ibuprofen CF</w:t>
            </w:r>
          </w:p>
        </w:tc>
      </w:tr>
      <w:bookmarkEnd w:id="68"/>
      <w:tr w:rsidR="00DF051F" w:rsidRPr="000671A6" w14:paraId="05345BC6" w14:textId="77777777" w:rsidTr="00AA5D2E">
        <w:tc>
          <w:tcPr>
            <w:tcW w:w="3119" w:type="dxa"/>
          </w:tcPr>
          <w:p w14:paraId="26B6FE78" w14:textId="2B2376EB" w:rsidR="00DF051F" w:rsidRPr="000671A6" w:rsidRDefault="00DF051F" w:rsidP="00DF051F">
            <w:pPr>
              <w:snapToGrid w:val="0"/>
              <w:ind w:hanging="112"/>
            </w:pPr>
            <w:r w:rsidRPr="000671A6">
              <w:rPr>
                <w:rFonts w:cs="Times New Roman"/>
                <w:lang w:val="lt-LT"/>
              </w:rPr>
              <w:t>Belgija, Liuksemburgas:</w:t>
            </w:r>
          </w:p>
        </w:tc>
        <w:tc>
          <w:tcPr>
            <w:tcW w:w="4961" w:type="dxa"/>
          </w:tcPr>
          <w:p w14:paraId="554CFA8A" w14:textId="5D3E51F4" w:rsidR="00DF051F" w:rsidRPr="000671A6" w:rsidRDefault="00DF051F" w:rsidP="00DF051F">
            <w:pPr>
              <w:snapToGrid w:val="0"/>
            </w:pPr>
            <w:r w:rsidRPr="000671A6">
              <w:rPr>
                <w:rFonts w:cs="Times New Roman"/>
                <w:lang w:val="lt-LT"/>
              </w:rPr>
              <w:t>Ibuprofen E</w:t>
            </w:r>
            <w:r>
              <w:rPr>
                <w:rFonts w:cs="Times New Roman"/>
                <w:lang w:val="lt-LT"/>
              </w:rPr>
              <w:t>G</w:t>
            </w:r>
          </w:p>
        </w:tc>
      </w:tr>
      <w:tr w:rsidR="00B26298" w:rsidRPr="000671A6" w14:paraId="70DA243A" w14:textId="77777777" w:rsidTr="00AA5D2E">
        <w:tc>
          <w:tcPr>
            <w:tcW w:w="3119" w:type="dxa"/>
          </w:tcPr>
          <w:p w14:paraId="1AEAB94A" w14:textId="14A98BE5" w:rsidR="00B26298" w:rsidRPr="000671A6" w:rsidRDefault="00B26298" w:rsidP="00AA5D2E">
            <w:pPr>
              <w:snapToGrid w:val="0"/>
              <w:ind w:hanging="112"/>
              <w:rPr>
                <w:rFonts w:cs="Times New Roman"/>
                <w:lang w:val="lt-LT"/>
              </w:rPr>
            </w:pPr>
            <w:r w:rsidRPr="000671A6">
              <w:rPr>
                <w:rFonts w:cs="Times New Roman"/>
                <w:lang w:val="lt-LT"/>
              </w:rPr>
              <w:t>Estija, Latvija, Lietuva:</w:t>
            </w:r>
          </w:p>
        </w:tc>
        <w:tc>
          <w:tcPr>
            <w:tcW w:w="4961" w:type="dxa"/>
          </w:tcPr>
          <w:p w14:paraId="39D30E58" w14:textId="77777777" w:rsidR="00B26298" w:rsidRPr="000671A6" w:rsidRDefault="00B26298" w:rsidP="00B26298">
            <w:pPr>
              <w:snapToGrid w:val="0"/>
              <w:rPr>
                <w:rFonts w:cs="Times New Roman"/>
                <w:lang w:val="lt-LT"/>
              </w:rPr>
            </w:pPr>
            <w:proofErr w:type="spellStart"/>
            <w:r w:rsidRPr="000671A6">
              <w:rPr>
                <w:rFonts w:cs="Times New Roman"/>
                <w:lang w:val="lt-LT"/>
              </w:rPr>
              <w:t>Ibuprofen</w:t>
            </w:r>
            <w:proofErr w:type="spellEnd"/>
            <w:r w:rsidRPr="000671A6">
              <w:rPr>
                <w:rFonts w:cs="Times New Roman"/>
                <w:lang w:val="lt-LT"/>
              </w:rPr>
              <w:t xml:space="preserve"> STADA </w:t>
            </w:r>
            <w:proofErr w:type="spellStart"/>
            <w:r w:rsidRPr="000671A6">
              <w:rPr>
                <w:rFonts w:cs="Times New Roman"/>
                <w:lang w:val="lt-LT"/>
              </w:rPr>
              <w:t>Arzneimittel</w:t>
            </w:r>
            <w:proofErr w:type="spellEnd"/>
          </w:p>
        </w:tc>
      </w:tr>
      <w:tr w:rsidR="00B26298" w:rsidRPr="000671A6" w14:paraId="257451E1" w14:textId="77777777" w:rsidTr="00AA5D2E">
        <w:tc>
          <w:tcPr>
            <w:tcW w:w="3119" w:type="dxa"/>
          </w:tcPr>
          <w:p w14:paraId="15C99F21" w14:textId="77777777" w:rsidR="00B26298" w:rsidRPr="000671A6" w:rsidRDefault="00B26298" w:rsidP="00AA5D2E">
            <w:pPr>
              <w:snapToGrid w:val="0"/>
              <w:ind w:hanging="112"/>
              <w:rPr>
                <w:rFonts w:cs="Times New Roman"/>
                <w:lang w:val="lt-LT"/>
              </w:rPr>
            </w:pPr>
            <w:r w:rsidRPr="000671A6">
              <w:rPr>
                <w:rFonts w:cs="Times New Roman"/>
                <w:lang w:val="lt-LT"/>
              </w:rPr>
              <w:t>Vokietija:</w:t>
            </w:r>
          </w:p>
        </w:tc>
        <w:tc>
          <w:tcPr>
            <w:tcW w:w="4961" w:type="dxa"/>
          </w:tcPr>
          <w:p w14:paraId="72EA66BD" w14:textId="77777777" w:rsidR="00B26298" w:rsidRPr="000671A6" w:rsidRDefault="00B26298" w:rsidP="00B26298">
            <w:pPr>
              <w:snapToGrid w:val="0"/>
              <w:rPr>
                <w:rFonts w:cs="Times New Roman"/>
                <w:lang w:val="lt-LT"/>
              </w:rPr>
            </w:pPr>
            <w:r w:rsidRPr="000671A6">
              <w:rPr>
                <w:rFonts w:cs="Times New Roman"/>
                <w:lang w:val="lt-LT"/>
              </w:rPr>
              <w:t>Ibuprofen STADA</w:t>
            </w:r>
          </w:p>
        </w:tc>
      </w:tr>
    </w:tbl>
    <w:p w14:paraId="18844D71" w14:textId="77777777" w:rsidR="00273BE2" w:rsidRPr="00A14E24" w:rsidRDefault="00273BE2" w:rsidP="00273BE2">
      <w:pPr>
        <w:widowControl w:val="0"/>
        <w:numPr>
          <w:ilvl w:val="12"/>
          <w:numId w:val="0"/>
        </w:numPr>
        <w:ind w:right="-2"/>
      </w:pPr>
    </w:p>
    <w:p w14:paraId="2D324780" w14:textId="77777777" w:rsidR="00696496" w:rsidRDefault="00696496" w:rsidP="00522C35">
      <w:pPr>
        <w:rPr>
          <w:b/>
          <w:bCs/>
          <w:lang w:eastAsia="x-none"/>
        </w:rPr>
      </w:pPr>
    </w:p>
    <w:p w14:paraId="5BB26D04" w14:textId="273812B4" w:rsidR="00522C35" w:rsidRPr="00A14E24" w:rsidRDefault="00522C35" w:rsidP="00522C35">
      <w:r w:rsidRPr="00A14E24">
        <w:rPr>
          <w:b/>
          <w:bCs/>
          <w:lang w:eastAsia="x-none"/>
        </w:rPr>
        <w:t>Šis pakuotės lapelis</w:t>
      </w:r>
      <w:r w:rsidRPr="00A14E24">
        <w:rPr>
          <w:b/>
          <w:lang w:eastAsia="x-none"/>
        </w:rPr>
        <w:t xml:space="preserve"> paskutinį kartą peržiūrėtas </w:t>
      </w:r>
      <w:r w:rsidR="00696496">
        <w:rPr>
          <w:b/>
          <w:bCs/>
        </w:rPr>
        <w:t>2026-01-06</w:t>
      </w:r>
      <w:r w:rsidRPr="00A14E24">
        <w:rPr>
          <w:b/>
          <w:bCs/>
        </w:rPr>
        <w:t>.</w:t>
      </w:r>
    </w:p>
    <w:p w14:paraId="670D235E" w14:textId="77777777" w:rsidR="00522C35" w:rsidRPr="00A14E24" w:rsidRDefault="00522C35" w:rsidP="00522C35"/>
    <w:p w14:paraId="7E12C315" w14:textId="77777777" w:rsidR="00522C35" w:rsidRPr="00A14E24" w:rsidRDefault="00522C35" w:rsidP="00522C35">
      <w:pPr>
        <w:jc w:val="both"/>
      </w:pPr>
      <w:r w:rsidRPr="00A14E24">
        <w:t xml:space="preserve">Išsami informacija apie šį vaistą pateikiama Valstybinės vaistų kontrolės tarnybos prie Lietuvos Respublikos sveikatos apsaugos ministerijos tinklalapyje </w:t>
      </w:r>
      <w:r w:rsidRPr="00A14E24">
        <w:rPr>
          <w:color w:val="0000EE"/>
          <w:u w:val="single"/>
        </w:rPr>
        <w:t>https://vvkt.lrv.lt/lt/</w:t>
      </w:r>
      <w:r w:rsidRPr="00A14E24">
        <w:t>.</w:t>
      </w:r>
    </w:p>
    <w:p w14:paraId="5E1FFEF3" w14:textId="77777777" w:rsidR="00273BE2" w:rsidRPr="00A14E24" w:rsidRDefault="00273BE2" w:rsidP="00273BE2">
      <w:pPr>
        <w:widowControl w:val="0"/>
      </w:pPr>
    </w:p>
    <w:p w14:paraId="2B9F5E4E" w14:textId="77777777" w:rsidR="00273BE2" w:rsidRPr="00A14E24" w:rsidRDefault="00273BE2" w:rsidP="00EC2E49"/>
    <w:sectPr w:rsidR="00273BE2" w:rsidRPr="00A14E24" w:rsidSect="007D1EEB">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BD93" w14:textId="77777777" w:rsidR="00516DB9" w:rsidRDefault="00516DB9">
      <w:r>
        <w:separator/>
      </w:r>
    </w:p>
  </w:endnote>
  <w:endnote w:type="continuationSeparator" w:id="0">
    <w:p w14:paraId="4B6618D6" w14:textId="77777777" w:rsidR="00516DB9" w:rsidRDefault="0051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KOKKH+Garamond">
    <w:altName w:val="Garamond"/>
    <w:panose1 w:val="00000000000000000000"/>
    <w:charset w:val="00"/>
    <w:family w:val="roman"/>
    <w:notTrueType/>
    <w:pitch w:val="default"/>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83" w:usb1="08070000" w:usb2="00000010" w:usb3="00000000" w:csb0="00020009" w:csb1="00000000"/>
  </w:font>
  <w:font w:name="Cambria Math">
    <w:panose1 w:val="02040503050406030204"/>
    <w:charset w:val="BA"/>
    <w:family w:val="roman"/>
    <w:pitch w:val="variable"/>
    <w:sig w:usb0="E00006FF" w:usb1="420024FF" w:usb2="02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9209" w14:textId="77777777" w:rsidR="004236CA" w:rsidRDefault="004236CA" w:rsidP="00A14E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573086" w14:textId="77777777" w:rsidR="004236CA" w:rsidRDefault="004236CA" w:rsidP="00A14E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05849"/>
      <w:docPartObj>
        <w:docPartGallery w:val="Page Numbers (Bottom of Page)"/>
        <w:docPartUnique/>
      </w:docPartObj>
    </w:sdtPr>
    <w:sdtEndPr>
      <w:rPr>
        <w:sz w:val="22"/>
        <w:szCs w:val="22"/>
      </w:rPr>
    </w:sdtEndPr>
    <w:sdtContent>
      <w:p w14:paraId="3C194490" w14:textId="02DC40CF" w:rsidR="000A3330" w:rsidRPr="000A3330" w:rsidRDefault="000A3330">
        <w:pPr>
          <w:pStyle w:val="Porat"/>
          <w:jc w:val="center"/>
          <w:rPr>
            <w:sz w:val="22"/>
            <w:szCs w:val="22"/>
          </w:rPr>
        </w:pPr>
        <w:r w:rsidRPr="000A3330">
          <w:rPr>
            <w:sz w:val="22"/>
            <w:szCs w:val="22"/>
          </w:rPr>
          <w:fldChar w:fldCharType="begin"/>
        </w:r>
        <w:r w:rsidRPr="000A3330">
          <w:rPr>
            <w:sz w:val="22"/>
            <w:szCs w:val="22"/>
          </w:rPr>
          <w:instrText>PAGE   \* MERGEFORMAT</w:instrText>
        </w:r>
        <w:r w:rsidRPr="000A3330">
          <w:rPr>
            <w:sz w:val="22"/>
            <w:szCs w:val="22"/>
          </w:rPr>
          <w:fldChar w:fldCharType="separate"/>
        </w:r>
        <w:r w:rsidRPr="000A3330">
          <w:rPr>
            <w:sz w:val="22"/>
            <w:szCs w:val="22"/>
          </w:rPr>
          <w:t>2</w:t>
        </w:r>
        <w:r w:rsidRPr="000A3330">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760C" w14:textId="77777777" w:rsidR="00516DB9" w:rsidRDefault="00516DB9">
      <w:r>
        <w:separator/>
      </w:r>
    </w:p>
  </w:footnote>
  <w:footnote w:type="continuationSeparator" w:id="0">
    <w:p w14:paraId="37C1DA0D" w14:textId="77777777" w:rsidR="00516DB9" w:rsidRDefault="0051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7CCE" w14:textId="77777777" w:rsidR="00516DB9" w:rsidRDefault="00516D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502"/>
        </w:tabs>
        <w:ind w:left="502"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2F31BC"/>
    <w:multiLevelType w:val="hybridMultilevel"/>
    <w:tmpl w:val="6B7610A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7B6997"/>
    <w:multiLevelType w:val="hybridMultilevel"/>
    <w:tmpl w:val="29CA94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22731C"/>
    <w:multiLevelType w:val="hybridMultilevel"/>
    <w:tmpl w:val="6E9260D4"/>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0A307B47"/>
    <w:multiLevelType w:val="hybridMultilevel"/>
    <w:tmpl w:val="FD72814A"/>
    <w:lvl w:ilvl="0" w:tplc="0407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1052B60"/>
    <w:multiLevelType w:val="hybridMultilevel"/>
    <w:tmpl w:val="7CD8F1C2"/>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BA4AC9"/>
    <w:multiLevelType w:val="hybridMultilevel"/>
    <w:tmpl w:val="8680537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527AE5"/>
    <w:multiLevelType w:val="hybridMultilevel"/>
    <w:tmpl w:val="E5E03DAE"/>
    <w:lvl w:ilvl="0" w:tplc="AEB6ECB8">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19C60579"/>
    <w:multiLevelType w:val="multilevel"/>
    <w:tmpl w:val="FFFFFFFF"/>
    <w:lvl w:ilvl="0">
      <w:start w:val="1"/>
      <w:numFmt w:val="decimal"/>
      <w:pStyle w:val="UeberB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F385DA9"/>
    <w:multiLevelType w:val="hybridMultilevel"/>
    <w:tmpl w:val="C9BA6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847B7C"/>
    <w:multiLevelType w:val="hybridMultilevel"/>
    <w:tmpl w:val="2BA6FA56"/>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772A35"/>
    <w:multiLevelType w:val="multilevel"/>
    <w:tmpl w:val="C526D92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0F02CEA"/>
    <w:multiLevelType w:val="hybridMultilevel"/>
    <w:tmpl w:val="15F47BC6"/>
    <w:lvl w:ilvl="0" w:tplc="551EFAE0">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65C2C"/>
    <w:multiLevelType w:val="hybridMultilevel"/>
    <w:tmpl w:val="B2AA9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B009C8"/>
    <w:multiLevelType w:val="hybridMultilevel"/>
    <w:tmpl w:val="E6E80E7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DA1B3A"/>
    <w:multiLevelType w:val="hybridMultilevel"/>
    <w:tmpl w:val="B2CA9F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FC020EE">
      <w:numFmt w:val="bullet"/>
      <w:lvlText w:val="•"/>
      <w:lvlJc w:val="left"/>
      <w:pPr>
        <w:ind w:left="2160" w:hanging="360"/>
      </w:pPr>
      <w:rPr>
        <w:rFonts w:ascii="Times New Roman" w:eastAsia="Calibri"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3B0BFF"/>
    <w:multiLevelType w:val="hybridMultilevel"/>
    <w:tmpl w:val="AADE9032"/>
    <w:lvl w:ilvl="0" w:tplc="A9720C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7827E76"/>
    <w:multiLevelType w:val="hybridMultilevel"/>
    <w:tmpl w:val="2D5A5434"/>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903CD"/>
    <w:multiLevelType w:val="hybridMultilevel"/>
    <w:tmpl w:val="FDA2CC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D31D2"/>
    <w:multiLevelType w:val="hybridMultilevel"/>
    <w:tmpl w:val="E390C5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E1CA9"/>
    <w:multiLevelType w:val="hybridMultilevel"/>
    <w:tmpl w:val="732A8A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C3E7F"/>
    <w:multiLevelType w:val="hybridMultilevel"/>
    <w:tmpl w:val="9DDA21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F118DD"/>
    <w:multiLevelType w:val="hybridMultilevel"/>
    <w:tmpl w:val="308E0086"/>
    <w:lvl w:ilvl="0" w:tplc="FFFFFFFF">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56DAE"/>
    <w:multiLevelType w:val="hybridMultilevel"/>
    <w:tmpl w:val="D9E22E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2F532B"/>
    <w:multiLevelType w:val="hybridMultilevel"/>
    <w:tmpl w:val="AFC22544"/>
    <w:lvl w:ilvl="0" w:tplc="FFFFFFFF">
      <w:start w:val="21"/>
      <w:numFmt w:val="bullet"/>
      <w:lvlText w:val="-"/>
      <w:lvlJc w:val="left"/>
      <w:pPr>
        <w:ind w:left="786" w:hanging="360"/>
      </w:pPr>
      <w:rPr>
        <w:rFonts w:hint="default"/>
      </w:r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abstractNum w:abstractNumId="29" w15:restartNumberingAfterBreak="0">
    <w:nsid w:val="77815119"/>
    <w:multiLevelType w:val="hybridMultilevel"/>
    <w:tmpl w:val="A96E6436"/>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3F5511"/>
    <w:multiLevelType w:val="hybridMultilevel"/>
    <w:tmpl w:val="E438E0A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8B87EFE"/>
    <w:multiLevelType w:val="hybridMultilevel"/>
    <w:tmpl w:val="7ACC58E2"/>
    <w:lvl w:ilvl="0" w:tplc="FFFFFFFF">
      <w:start w:val="2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A2D6E4F"/>
    <w:multiLevelType w:val="hybridMultilevel"/>
    <w:tmpl w:val="97924E98"/>
    <w:lvl w:ilvl="0" w:tplc="B30C754E">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82CC0"/>
    <w:multiLevelType w:val="hybridMultilevel"/>
    <w:tmpl w:val="D834BEAC"/>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F0415D8"/>
    <w:multiLevelType w:val="hybridMultilevel"/>
    <w:tmpl w:val="46466024"/>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199479">
    <w:abstractNumId w:val="11"/>
  </w:num>
  <w:num w:numId="2" w16cid:durableId="2030057093">
    <w:abstractNumId w:val="15"/>
  </w:num>
  <w:num w:numId="3" w16cid:durableId="1874339864">
    <w:abstractNumId w:val="10"/>
  </w:num>
  <w:num w:numId="4" w16cid:durableId="13127158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1405970">
    <w:abstractNumId w:val="7"/>
  </w:num>
  <w:num w:numId="6" w16cid:durableId="593129891">
    <w:abstractNumId w:val="20"/>
  </w:num>
  <w:num w:numId="7" w16cid:durableId="1900552890">
    <w:abstractNumId w:val="18"/>
  </w:num>
  <w:num w:numId="8" w16cid:durableId="1382439238">
    <w:abstractNumId w:val="28"/>
  </w:num>
  <w:num w:numId="9" w16cid:durableId="1857189407">
    <w:abstractNumId w:val="25"/>
  </w:num>
  <w:num w:numId="10" w16cid:durableId="2060467913">
    <w:abstractNumId w:val="4"/>
  </w:num>
  <w:num w:numId="11" w16cid:durableId="1647777081">
    <w:abstractNumId w:val="13"/>
  </w:num>
  <w:num w:numId="12" w16cid:durableId="628902869">
    <w:abstractNumId w:val="21"/>
  </w:num>
  <w:num w:numId="13" w16cid:durableId="1430928509">
    <w:abstractNumId w:val="26"/>
  </w:num>
  <w:num w:numId="14" w16cid:durableId="252933354">
    <w:abstractNumId w:val="32"/>
  </w:num>
  <w:num w:numId="15" w16cid:durableId="1745029459">
    <w:abstractNumId w:val="23"/>
  </w:num>
  <w:num w:numId="16" w16cid:durableId="1778210843">
    <w:abstractNumId w:val="24"/>
  </w:num>
  <w:num w:numId="17" w16cid:durableId="1721202206">
    <w:abstractNumId w:val="22"/>
  </w:num>
  <w:num w:numId="18" w16cid:durableId="1146629845">
    <w:abstractNumId w:val="17"/>
  </w:num>
  <w:num w:numId="19" w16cid:durableId="1750035481">
    <w:abstractNumId w:val="33"/>
  </w:num>
  <w:num w:numId="20" w16cid:durableId="1857764480">
    <w:abstractNumId w:val="29"/>
  </w:num>
  <w:num w:numId="21" w16cid:durableId="728111753">
    <w:abstractNumId w:val="0"/>
    <w:lvlOverride w:ilvl="0">
      <w:lvl w:ilvl="0">
        <w:start w:val="1"/>
        <w:numFmt w:val="bullet"/>
        <w:lvlText w:val="-"/>
        <w:legacy w:legacy="1" w:legacySpace="0" w:legacyIndent="360"/>
        <w:lvlJc w:val="left"/>
        <w:pPr>
          <w:ind w:left="360" w:hanging="360"/>
        </w:pPr>
      </w:lvl>
    </w:lvlOverride>
  </w:num>
  <w:num w:numId="22" w16cid:durableId="1002658071">
    <w:abstractNumId w:val="31"/>
  </w:num>
  <w:num w:numId="23" w16cid:durableId="1841191461">
    <w:abstractNumId w:val="34"/>
  </w:num>
  <w:num w:numId="24" w16cid:durableId="478496120">
    <w:abstractNumId w:val="8"/>
  </w:num>
  <w:num w:numId="25" w16cid:durableId="559947283">
    <w:abstractNumId w:val="14"/>
  </w:num>
  <w:num w:numId="26" w16cid:durableId="1609969755">
    <w:abstractNumId w:val="27"/>
  </w:num>
  <w:num w:numId="27" w16cid:durableId="1036277139">
    <w:abstractNumId w:val="9"/>
  </w:num>
  <w:num w:numId="28" w16cid:durableId="1159954342">
    <w:abstractNumId w:val="30"/>
  </w:num>
  <w:num w:numId="29" w16cid:durableId="174803933">
    <w:abstractNumId w:val="0"/>
    <w:lvlOverride w:ilvl="0">
      <w:lvl w:ilvl="0">
        <w:start w:val="1"/>
        <w:numFmt w:val="bullet"/>
        <w:lvlText w:val="-"/>
        <w:legacy w:legacy="1" w:legacySpace="0" w:legacyIndent="360"/>
        <w:lvlJc w:val="left"/>
        <w:pPr>
          <w:ind w:left="360" w:hanging="360"/>
        </w:pPr>
      </w:lvl>
    </w:lvlOverride>
  </w:num>
  <w:num w:numId="30" w16cid:durableId="1059326275">
    <w:abstractNumId w:val="3"/>
  </w:num>
  <w:num w:numId="31" w16cid:durableId="112794180">
    <w:abstractNumId w:val="12"/>
  </w:num>
  <w:num w:numId="32" w16cid:durableId="1276015048">
    <w:abstractNumId w:val="19"/>
  </w:num>
  <w:num w:numId="33" w16cid:durableId="630212120">
    <w:abstractNumId w:val="6"/>
  </w:num>
  <w:num w:numId="34" w16cid:durableId="947009188">
    <w:abstractNumId w:val="5"/>
  </w:num>
  <w:num w:numId="35" w16cid:durableId="31322522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pl-PL"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30"/>
    <w:rsid w:val="0000212E"/>
    <w:rsid w:val="000030E3"/>
    <w:rsid w:val="00003272"/>
    <w:rsid w:val="000032FD"/>
    <w:rsid w:val="000033F7"/>
    <w:rsid w:val="00004B8D"/>
    <w:rsid w:val="00007183"/>
    <w:rsid w:val="0001040C"/>
    <w:rsid w:val="000112B1"/>
    <w:rsid w:val="00011725"/>
    <w:rsid w:val="00012748"/>
    <w:rsid w:val="00013A02"/>
    <w:rsid w:val="00013E01"/>
    <w:rsid w:val="00017C9F"/>
    <w:rsid w:val="000203D1"/>
    <w:rsid w:val="000227D7"/>
    <w:rsid w:val="000232C3"/>
    <w:rsid w:val="0002426C"/>
    <w:rsid w:val="000256EA"/>
    <w:rsid w:val="00025A80"/>
    <w:rsid w:val="000264E4"/>
    <w:rsid w:val="00026FFC"/>
    <w:rsid w:val="000277A3"/>
    <w:rsid w:val="0003050B"/>
    <w:rsid w:val="000309BA"/>
    <w:rsid w:val="00031C30"/>
    <w:rsid w:val="00032708"/>
    <w:rsid w:val="0003282C"/>
    <w:rsid w:val="00037474"/>
    <w:rsid w:val="00042656"/>
    <w:rsid w:val="000452A2"/>
    <w:rsid w:val="00047A8C"/>
    <w:rsid w:val="00050711"/>
    <w:rsid w:val="00053E9C"/>
    <w:rsid w:val="0005436A"/>
    <w:rsid w:val="00056023"/>
    <w:rsid w:val="000563B6"/>
    <w:rsid w:val="00057CEA"/>
    <w:rsid w:val="00060490"/>
    <w:rsid w:val="000609AA"/>
    <w:rsid w:val="0006115E"/>
    <w:rsid w:val="00063074"/>
    <w:rsid w:val="000642F8"/>
    <w:rsid w:val="00064A8B"/>
    <w:rsid w:val="00064D5E"/>
    <w:rsid w:val="000670E5"/>
    <w:rsid w:val="000671A6"/>
    <w:rsid w:val="000704C1"/>
    <w:rsid w:val="00072666"/>
    <w:rsid w:val="000763FB"/>
    <w:rsid w:val="0007723D"/>
    <w:rsid w:val="00077370"/>
    <w:rsid w:val="00077E98"/>
    <w:rsid w:val="00080601"/>
    <w:rsid w:val="0008154D"/>
    <w:rsid w:val="000819E9"/>
    <w:rsid w:val="00082F1E"/>
    <w:rsid w:val="00082F86"/>
    <w:rsid w:val="00083C58"/>
    <w:rsid w:val="000844F0"/>
    <w:rsid w:val="00086F1B"/>
    <w:rsid w:val="00087388"/>
    <w:rsid w:val="000902E1"/>
    <w:rsid w:val="00090EA5"/>
    <w:rsid w:val="0009155A"/>
    <w:rsid w:val="00091718"/>
    <w:rsid w:val="00095B3B"/>
    <w:rsid w:val="00096DEB"/>
    <w:rsid w:val="000A00F8"/>
    <w:rsid w:val="000A0886"/>
    <w:rsid w:val="000A1756"/>
    <w:rsid w:val="000A1F85"/>
    <w:rsid w:val="000A3330"/>
    <w:rsid w:val="000A3744"/>
    <w:rsid w:val="000A5495"/>
    <w:rsid w:val="000B0E41"/>
    <w:rsid w:val="000B1F35"/>
    <w:rsid w:val="000B34D5"/>
    <w:rsid w:val="000B4E25"/>
    <w:rsid w:val="000B5035"/>
    <w:rsid w:val="000B729A"/>
    <w:rsid w:val="000C0856"/>
    <w:rsid w:val="000C1177"/>
    <w:rsid w:val="000C2119"/>
    <w:rsid w:val="000C5506"/>
    <w:rsid w:val="000C636D"/>
    <w:rsid w:val="000C7C9B"/>
    <w:rsid w:val="000D045E"/>
    <w:rsid w:val="000D0723"/>
    <w:rsid w:val="000D1168"/>
    <w:rsid w:val="000D11CD"/>
    <w:rsid w:val="000D2691"/>
    <w:rsid w:val="000D30B0"/>
    <w:rsid w:val="000D5DAD"/>
    <w:rsid w:val="000D6AA7"/>
    <w:rsid w:val="000D6AE4"/>
    <w:rsid w:val="000D78FF"/>
    <w:rsid w:val="000E04A9"/>
    <w:rsid w:val="000E0CD7"/>
    <w:rsid w:val="000E2B50"/>
    <w:rsid w:val="000E2C31"/>
    <w:rsid w:val="000E3E52"/>
    <w:rsid w:val="000E4649"/>
    <w:rsid w:val="000F033F"/>
    <w:rsid w:val="000F1F80"/>
    <w:rsid w:val="000F2F4B"/>
    <w:rsid w:val="000F384F"/>
    <w:rsid w:val="000F439B"/>
    <w:rsid w:val="000F5540"/>
    <w:rsid w:val="000F5C24"/>
    <w:rsid w:val="000F5E1D"/>
    <w:rsid w:val="00101AC1"/>
    <w:rsid w:val="001023E2"/>
    <w:rsid w:val="00103336"/>
    <w:rsid w:val="001069E5"/>
    <w:rsid w:val="00106DA0"/>
    <w:rsid w:val="00111E4C"/>
    <w:rsid w:val="0011294B"/>
    <w:rsid w:val="00112983"/>
    <w:rsid w:val="001158B0"/>
    <w:rsid w:val="001159C5"/>
    <w:rsid w:val="001165F6"/>
    <w:rsid w:val="0012189F"/>
    <w:rsid w:val="0012284F"/>
    <w:rsid w:val="001239E0"/>
    <w:rsid w:val="00126977"/>
    <w:rsid w:val="00126988"/>
    <w:rsid w:val="00130146"/>
    <w:rsid w:val="00132234"/>
    <w:rsid w:val="00134B81"/>
    <w:rsid w:val="0013520C"/>
    <w:rsid w:val="00136C40"/>
    <w:rsid w:val="001403A2"/>
    <w:rsid w:val="00142721"/>
    <w:rsid w:val="00142955"/>
    <w:rsid w:val="00143028"/>
    <w:rsid w:val="00143538"/>
    <w:rsid w:val="00143DE4"/>
    <w:rsid w:val="0014488E"/>
    <w:rsid w:val="00144B23"/>
    <w:rsid w:val="00146915"/>
    <w:rsid w:val="0014747D"/>
    <w:rsid w:val="00151212"/>
    <w:rsid w:val="001555BD"/>
    <w:rsid w:val="001576A3"/>
    <w:rsid w:val="001612A3"/>
    <w:rsid w:val="00161560"/>
    <w:rsid w:val="001645AB"/>
    <w:rsid w:val="001650F3"/>
    <w:rsid w:val="00171AAC"/>
    <w:rsid w:val="00172866"/>
    <w:rsid w:val="00173778"/>
    <w:rsid w:val="00175B04"/>
    <w:rsid w:val="00176111"/>
    <w:rsid w:val="001769A4"/>
    <w:rsid w:val="001773D2"/>
    <w:rsid w:val="00177CB9"/>
    <w:rsid w:val="00177F74"/>
    <w:rsid w:val="00185738"/>
    <w:rsid w:val="00191842"/>
    <w:rsid w:val="00193EA6"/>
    <w:rsid w:val="00195276"/>
    <w:rsid w:val="00195CBE"/>
    <w:rsid w:val="001960BF"/>
    <w:rsid w:val="001A0102"/>
    <w:rsid w:val="001A0B04"/>
    <w:rsid w:val="001A1242"/>
    <w:rsid w:val="001A213F"/>
    <w:rsid w:val="001A355B"/>
    <w:rsid w:val="001A517D"/>
    <w:rsid w:val="001A6298"/>
    <w:rsid w:val="001A7A5A"/>
    <w:rsid w:val="001B0B31"/>
    <w:rsid w:val="001B0FCF"/>
    <w:rsid w:val="001B1808"/>
    <w:rsid w:val="001B2382"/>
    <w:rsid w:val="001B568C"/>
    <w:rsid w:val="001B5BD7"/>
    <w:rsid w:val="001B5C83"/>
    <w:rsid w:val="001B5E9E"/>
    <w:rsid w:val="001B6085"/>
    <w:rsid w:val="001B6301"/>
    <w:rsid w:val="001B641A"/>
    <w:rsid w:val="001C262C"/>
    <w:rsid w:val="001C2793"/>
    <w:rsid w:val="001C3014"/>
    <w:rsid w:val="001C33FE"/>
    <w:rsid w:val="001C35E7"/>
    <w:rsid w:val="001C59AE"/>
    <w:rsid w:val="001C6C2F"/>
    <w:rsid w:val="001D1B6B"/>
    <w:rsid w:val="001D423F"/>
    <w:rsid w:val="001D4A44"/>
    <w:rsid w:val="001D5D7A"/>
    <w:rsid w:val="001D73DC"/>
    <w:rsid w:val="001E1485"/>
    <w:rsid w:val="001E2FA0"/>
    <w:rsid w:val="001E308E"/>
    <w:rsid w:val="001E3EA3"/>
    <w:rsid w:val="001E4E81"/>
    <w:rsid w:val="001E54EB"/>
    <w:rsid w:val="001E68C1"/>
    <w:rsid w:val="001E75E5"/>
    <w:rsid w:val="001F0510"/>
    <w:rsid w:val="001F1F9A"/>
    <w:rsid w:val="001F25B6"/>
    <w:rsid w:val="001F2D4D"/>
    <w:rsid w:val="001F428E"/>
    <w:rsid w:val="001F5624"/>
    <w:rsid w:val="001F7F9B"/>
    <w:rsid w:val="00204418"/>
    <w:rsid w:val="00204E7C"/>
    <w:rsid w:val="00204EFF"/>
    <w:rsid w:val="0020549F"/>
    <w:rsid w:val="00205CB4"/>
    <w:rsid w:val="00205CF0"/>
    <w:rsid w:val="002068DF"/>
    <w:rsid w:val="00207624"/>
    <w:rsid w:val="00211952"/>
    <w:rsid w:val="00212E3C"/>
    <w:rsid w:val="002132DF"/>
    <w:rsid w:val="0021404F"/>
    <w:rsid w:val="0021722C"/>
    <w:rsid w:val="002211F9"/>
    <w:rsid w:val="002235C0"/>
    <w:rsid w:val="00226298"/>
    <w:rsid w:val="002265F8"/>
    <w:rsid w:val="00231028"/>
    <w:rsid w:val="0023244A"/>
    <w:rsid w:val="00232B99"/>
    <w:rsid w:val="00232C7D"/>
    <w:rsid w:val="002345FC"/>
    <w:rsid w:val="00234E30"/>
    <w:rsid w:val="00235079"/>
    <w:rsid w:val="00236752"/>
    <w:rsid w:val="002369A7"/>
    <w:rsid w:val="00236CA5"/>
    <w:rsid w:val="00236D27"/>
    <w:rsid w:val="002414E4"/>
    <w:rsid w:val="00242042"/>
    <w:rsid w:val="00242C1F"/>
    <w:rsid w:val="0024332F"/>
    <w:rsid w:val="00244229"/>
    <w:rsid w:val="0024603C"/>
    <w:rsid w:val="00247AFB"/>
    <w:rsid w:val="002510C8"/>
    <w:rsid w:val="00251F44"/>
    <w:rsid w:val="00252466"/>
    <w:rsid w:val="00255C1C"/>
    <w:rsid w:val="00256523"/>
    <w:rsid w:val="00256F96"/>
    <w:rsid w:val="0025701B"/>
    <w:rsid w:val="00257970"/>
    <w:rsid w:val="00260349"/>
    <w:rsid w:val="00260AA9"/>
    <w:rsid w:val="00260FA7"/>
    <w:rsid w:val="0026112D"/>
    <w:rsid w:val="00262692"/>
    <w:rsid w:val="00263672"/>
    <w:rsid w:val="002658FB"/>
    <w:rsid w:val="00266FC7"/>
    <w:rsid w:val="00267300"/>
    <w:rsid w:val="00271539"/>
    <w:rsid w:val="00273BB2"/>
    <w:rsid w:val="00273BE2"/>
    <w:rsid w:val="00273E8A"/>
    <w:rsid w:val="00273E8B"/>
    <w:rsid w:val="0027517B"/>
    <w:rsid w:val="00275EAE"/>
    <w:rsid w:val="002765A1"/>
    <w:rsid w:val="002770EF"/>
    <w:rsid w:val="002772D7"/>
    <w:rsid w:val="00280481"/>
    <w:rsid w:val="00282177"/>
    <w:rsid w:val="00282745"/>
    <w:rsid w:val="00284EAD"/>
    <w:rsid w:val="002851BB"/>
    <w:rsid w:val="00285418"/>
    <w:rsid w:val="00285652"/>
    <w:rsid w:val="002863A9"/>
    <w:rsid w:val="00287737"/>
    <w:rsid w:val="002878F1"/>
    <w:rsid w:val="002903D0"/>
    <w:rsid w:val="00291D4F"/>
    <w:rsid w:val="00292712"/>
    <w:rsid w:val="00294908"/>
    <w:rsid w:val="00297021"/>
    <w:rsid w:val="00297FCE"/>
    <w:rsid w:val="002A1792"/>
    <w:rsid w:val="002A4383"/>
    <w:rsid w:val="002A5710"/>
    <w:rsid w:val="002A6840"/>
    <w:rsid w:val="002A7EE4"/>
    <w:rsid w:val="002B1CB6"/>
    <w:rsid w:val="002B20FB"/>
    <w:rsid w:val="002B2A1F"/>
    <w:rsid w:val="002B2A96"/>
    <w:rsid w:val="002B3AC9"/>
    <w:rsid w:val="002B4753"/>
    <w:rsid w:val="002B4CE1"/>
    <w:rsid w:val="002B52E2"/>
    <w:rsid w:val="002B722E"/>
    <w:rsid w:val="002B7B7E"/>
    <w:rsid w:val="002C040E"/>
    <w:rsid w:val="002C0FF9"/>
    <w:rsid w:val="002C2640"/>
    <w:rsid w:val="002C325D"/>
    <w:rsid w:val="002C4659"/>
    <w:rsid w:val="002C49CB"/>
    <w:rsid w:val="002C6332"/>
    <w:rsid w:val="002C7671"/>
    <w:rsid w:val="002C7C78"/>
    <w:rsid w:val="002D0863"/>
    <w:rsid w:val="002D0BD5"/>
    <w:rsid w:val="002D12B0"/>
    <w:rsid w:val="002D142F"/>
    <w:rsid w:val="002D429B"/>
    <w:rsid w:val="002D445A"/>
    <w:rsid w:val="002D4D4A"/>
    <w:rsid w:val="002D7C4E"/>
    <w:rsid w:val="002E047F"/>
    <w:rsid w:val="002E1973"/>
    <w:rsid w:val="002E1F44"/>
    <w:rsid w:val="002E2580"/>
    <w:rsid w:val="002E497A"/>
    <w:rsid w:val="002E6DEE"/>
    <w:rsid w:val="002E73EA"/>
    <w:rsid w:val="002F0677"/>
    <w:rsid w:val="002F0813"/>
    <w:rsid w:val="002F14A6"/>
    <w:rsid w:val="002F311F"/>
    <w:rsid w:val="002F744B"/>
    <w:rsid w:val="002F76F0"/>
    <w:rsid w:val="002F7CCD"/>
    <w:rsid w:val="003005A9"/>
    <w:rsid w:val="00300659"/>
    <w:rsid w:val="00301E01"/>
    <w:rsid w:val="00303FAA"/>
    <w:rsid w:val="00305D8B"/>
    <w:rsid w:val="00310E19"/>
    <w:rsid w:val="00311F41"/>
    <w:rsid w:val="00312517"/>
    <w:rsid w:val="00315F06"/>
    <w:rsid w:val="00317D4C"/>
    <w:rsid w:val="003200D1"/>
    <w:rsid w:val="00320120"/>
    <w:rsid w:val="00320610"/>
    <w:rsid w:val="00320C1E"/>
    <w:rsid w:val="00321373"/>
    <w:rsid w:val="003220CE"/>
    <w:rsid w:val="003238FA"/>
    <w:rsid w:val="00324A80"/>
    <w:rsid w:val="00330A14"/>
    <w:rsid w:val="00333876"/>
    <w:rsid w:val="00335883"/>
    <w:rsid w:val="00335BA9"/>
    <w:rsid w:val="00336E7C"/>
    <w:rsid w:val="0033736E"/>
    <w:rsid w:val="0033756B"/>
    <w:rsid w:val="003377AE"/>
    <w:rsid w:val="00340E60"/>
    <w:rsid w:val="00340F19"/>
    <w:rsid w:val="00343927"/>
    <w:rsid w:val="003445C5"/>
    <w:rsid w:val="0034466F"/>
    <w:rsid w:val="00344C00"/>
    <w:rsid w:val="0034669F"/>
    <w:rsid w:val="00346E08"/>
    <w:rsid w:val="00350C35"/>
    <w:rsid w:val="00351419"/>
    <w:rsid w:val="003522FD"/>
    <w:rsid w:val="00354AE1"/>
    <w:rsid w:val="003568D6"/>
    <w:rsid w:val="003570BF"/>
    <w:rsid w:val="00360D39"/>
    <w:rsid w:val="0036132D"/>
    <w:rsid w:val="003621DC"/>
    <w:rsid w:val="00364499"/>
    <w:rsid w:val="00364ED7"/>
    <w:rsid w:val="00366AC2"/>
    <w:rsid w:val="00367411"/>
    <w:rsid w:val="00371046"/>
    <w:rsid w:val="00373CE9"/>
    <w:rsid w:val="00376295"/>
    <w:rsid w:val="00376E78"/>
    <w:rsid w:val="00377BA0"/>
    <w:rsid w:val="00380014"/>
    <w:rsid w:val="003822C0"/>
    <w:rsid w:val="00382CB9"/>
    <w:rsid w:val="00383AAB"/>
    <w:rsid w:val="00383B7E"/>
    <w:rsid w:val="00383CDD"/>
    <w:rsid w:val="00384630"/>
    <w:rsid w:val="00384A62"/>
    <w:rsid w:val="003924FB"/>
    <w:rsid w:val="00393678"/>
    <w:rsid w:val="00394711"/>
    <w:rsid w:val="0039716D"/>
    <w:rsid w:val="003A0100"/>
    <w:rsid w:val="003A0FB7"/>
    <w:rsid w:val="003A224D"/>
    <w:rsid w:val="003A47B5"/>
    <w:rsid w:val="003A4B8F"/>
    <w:rsid w:val="003A5A6F"/>
    <w:rsid w:val="003B24F4"/>
    <w:rsid w:val="003B441B"/>
    <w:rsid w:val="003C0245"/>
    <w:rsid w:val="003C18D8"/>
    <w:rsid w:val="003C29F4"/>
    <w:rsid w:val="003C470C"/>
    <w:rsid w:val="003C55CF"/>
    <w:rsid w:val="003C6104"/>
    <w:rsid w:val="003C6E26"/>
    <w:rsid w:val="003C6F9F"/>
    <w:rsid w:val="003C7B60"/>
    <w:rsid w:val="003D2CDC"/>
    <w:rsid w:val="003D3F18"/>
    <w:rsid w:val="003D4584"/>
    <w:rsid w:val="003D4CBD"/>
    <w:rsid w:val="003D6C7E"/>
    <w:rsid w:val="003D6F60"/>
    <w:rsid w:val="003E3AEC"/>
    <w:rsid w:val="003E4F67"/>
    <w:rsid w:val="003E7E0F"/>
    <w:rsid w:val="003F042D"/>
    <w:rsid w:val="003F0E96"/>
    <w:rsid w:val="003F20CF"/>
    <w:rsid w:val="003F2C7A"/>
    <w:rsid w:val="003F3BDC"/>
    <w:rsid w:val="003F7775"/>
    <w:rsid w:val="003F79C0"/>
    <w:rsid w:val="00401DCB"/>
    <w:rsid w:val="00403CCE"/>
    <w:rsid w:val="00404D4C"/>
    <w:rsid w:val="00404EF4"/>
    <w:rsid w:val="004075A9"/>
    <w:rsid w:val="004078AC"/>
    <w:rsid w:val="0041160E"/>
    <w:rsid w:val="00411EB5"/>
    <w:rsid w:val="00415424"/>
    <w:rsid w:val="0042043B"/>
    <w:rsid w:val="00421383"/>
    <w:rsid w:val="00421DA7"/>
    <w:rsid w:val="00422E5D"/>
    <w:rsid w:val="004236CA"/>
    <w:rsid w:val="00423DA9"/>
    <w:rsid w:val="00424292"/>
    <w:rsid w:val="00425442"/>
    <w:rsid w:val="00425D65"/>
    <w:rsid w:val="0042672E"/>
    <w:rsid w:val="0043071D"/>
    <w:rsid w:val="00430A36"/>
    <w:rsid w:val="00430E23"/>
    <w:rsid w:val="00432216"/>
    <w:rsid w:val="004346A6"/>
    <w:rsid w:val="004353A4"/>
    <w:rsid w:val="00435854"/>
    <w:rsid w:val="004363A0"/>
    <w:rsid w:val="004367FB"/>
    <w:rsid w:val="00436EEE"/>
    <w:rsid w:val="00437843"/>
    <w:rsid w:val="00440DE1"/>
    <w:rsid w:val="004426EF"/>
    <w:rsid w:val="00444C5C"/>
    <w:rsid w:val="004473A2"/>
    <w:rsid w:val="00451331"/>
    <w:rsid w:val="00452834"/>
    <w:rsid w:val="004537F6"/>
    <w:rsid w:val="00454274"/>
    <w:rsid w:val="00454605"/>
    <w:rsid w:val="00460846"/>
    <w:rsid w:val="004616B2"/>
    <w:rsid w:val="0046188C"/>
    <w:rsid w:val="00461F2C"/>
    <w:rsid w:val="00462C81"/>
    <w:rsid w:val="00462CFE"/>
    <w:rsid w:val="00462DB0"/>
    <w:rsid w:val="0046360F"/>
    <w:rsid w:val="0046436A"/>
    <w:rsid w:val="00464CAB"/>
    <w:rsid w:val="00466CB7"/>
    <w:rsid w:val="004676B6"/>
    <w:rsid w:val="004705E5"/>
    <w:rsid w:val="00472357"/>
    <w:rsid w:val="00472987"/>
    <w:rsid w:val="004730A9"/>
    <w:rsid w:val="004742A5"/>
    <w:rsid w:val="004761CA"/>
    <w:rsid w:val="00477078"/>
    <w:rsid w:val="004806A5"/>
    <w:rsid w:val="004820E9"/>
    <w:rsid w:val="004841BC"/>
    <w:rsid w:val="004848F2"/>
    <w:rsid w:val="00484D74"/>
    <w:rsid w:val="00487F57"/>
    <w:rsid w:val="004906F5"/>
    <w:rsid w:val="00491129"/>
    <w:rsid w:val="004919BF"/>
    <w:rsid w:val="00491E33"/>
    <w:rsid w:val="004924F6"/>
    <w:rsid w:val="00492B02"/>
    <w:rsid w:val="00492B47"/>
    <w:rsid w:val="004931D8"/>
    <w:rsid w:val="0049364A"/>
    <w:rsid w:val="00494701"/>
    <w:rsid w:val="00494C61"/>
    <w:rsid w:val="004955C5"/>
    <w:rsid w:val="0049776F"/>
    <w:rsid w:val="004A1B64"/>
    <w:rsid w:val="004A3B50"/>
    <w:rsid w:val="004A3CA6"/>
    <w:rsid w:val="004A5BCD"/>
    <w:rsid w:val="004A6036"/>
    <w:rsid w:val="004A6EAE"/>
    <w:rsid w:val="004B0C77"/>
    <w:rsid w:val="004B3FDE"/>
    <w:rsid w:val="004B45C7"/>
    <w:rsid w:val="004B7036"/>
    <w:rsid w:val="004B7F9B"/>
    <w:rsid w:val="004C03C0"/>
    <w:rsid w:val="004C43D6"/>
    <w:rsid w:val="004C4C3F"/>
    <w:rsid w:val="004C4D7B"/>
    <w:rsid w:val="004C5BE8"/>
    <w:rsid w:val="004C61A0"/>
    <w:rsid w:val="004C628D"/>
    <w:rsid w:val="004D3260"/>
    <w:rsid w:val="004D58B1"/>
    <w:rsid w:val="004D61EA"/>
    <w:rsid w:val="004D6693"/>
    <w:rsid w:val="004D6F86"/>
    <w:rsid w:val="004D7E65"/>
    <w:rsid w:val="004E2229"/>
    <w:rsid w:val="004E2ABA"/>
    <w:rsid w:val="004E2B13"/>
    <w:rsid w:val="004E32B9"/>
    <w:rsid w:val="004E587C"/>
    <w:rsid w:val="004E6F97"/>
    <w:rsid w:val="004F21E3"/>
    <w:rsid w:val="004F3029"/>
    <w:rsid w:val="00500694"/>
    <w:rsid w:val="00501AED"/>
    <w:rsid w:val="005034CD"/>
    <w:rsid w:val="00503909"/>
    <w:rsid w:val="005039C6"/>
    <w:rsid w:val="00505660"/>
    <w:rsid w:val="0050619A"/>
    <w:rsid w:val="00506F83"/>
    <w:rsid w:val="00511C23"/>
    <w:rsid w:val="0051231D"/>
    <w:rsid w:val="00512E97"/>
    <w:rsid w:val="005133D0"/>
    <w:rsid w:val="005145D0"/>
    <w:rsid w:val="005153D6"/>
    <w:rsid w:val="005160E8"/>
    <w:rsid w:val="00516969"/>
    <w:rsid w:val="00516D49"/>
    <w:rsid w:val="00516DB9"/>
    <w:rsid w:val="005176F4"/>
    <w:rsid w:val="00517C33"/>
    <w:rsid w:val="00517C5F"/>
    <w:rsid w:val="00522B68"/>
    <w:rsid w:val="00522C35"/>
    <w:rsid w:val="00523AC7"/>
    <w:rsid w:val="0052452B"/>
    <w:rsid w:val="005245B8"/>
    <w:rsid w:val="00524B81"/>
    <w:rsid w:val="005267EB"/>
    <w:rsid w:val="0052701B"/>
    <w:rsid w:val="00527C11"/>
    <w:rsid w:val="00527CC0"/>
    <w:rsid w:val="00527DCF"/>
    <w:rsid w:val="00531A58"/>
    <w:rsid w:val="00531ACA"/>
    <w:rsid w:val="00533B6B"/>
    <w:rsid w:val="005353C6"/>
    <w:rsid w:val="00535854"/>
    <w:rsid w:val="005378DE"/>
    <w:rsid w:val="00540DA6"/>
    <w:rsid w:val="00543942"/>
    <w:rsid w:val="005447F4"/>
    <w:rsid w:val="0054515C"/>
    <w:rsid w:val="00545444"/>
    <w:rsid w:val="005461A4"/>
    <w:rsid w:val="0054650D"/>
    <w:rsid w:val="00550F7D"/>
    <w:rsid w:val="005511B0"/>
    <w:rsid w:val="00552D52"/>
    <w:rsid w:val="00554057"/>
    <w:rsid w:val="005569ED"/>
    <w:rsid w:val="00557B5E"/>
    <w:rsid w:val="0056218D"/>
    <w:rsid w:val="00562E80"/>
    <w:rsid w:val="005630C7"/>
    <w:rsid w:val="005668E9"/>
    <w:rsid w:val="00567592"/>
    <w:rsid w:val="00570CAA"/>
    <w:rsid w:val="0057158B"/>
    <w:rsid w:val="00574131"/>
    <w:rsid w:val="00576688"/>
    <w:rsid w:val="00576E32"/>
    <w:rsid w:val="00577507"/>
    <w:rsid w:val="00582027"/>
    <w:rsid w:val="0058318A"/>
    <w:rsid w:val="00583ECB"/>
    <w:rsid w:val="005848C4"/>
    <w:rsid w:val="005905A7"/>
    <w:rsid w:val="00591079"/>
    <w:rsid w:val="005928F7"/>
    <w:rsid w:val="00592A8B"/>
    <w:rsid w:val="0059376E"/>
    <w:rsid w:val="00594CC9"/>
    <w:rsid w:val="00596490"/>
    <w:rsid w:val="00596EA1"/>
    <w:rsid w:val="005A093D"/>
    <w:rsid w:val="005A143E"/>
    <w:rsid w:val="005A5C96"/>
    <w:rsid w:val="005A6645"/>
    <w:rsid w:val="005B108D"/>
    <w:rsid w:val="005B10EE"/>
    <w:rsid w:val="005B1217"/>
    <w:rsid w:val="005B12FB"/>
    <w:rsid w:val="005B1FB8"/>
    <w:rsid w:val="005B2E55"/>
    <w:rsid w:val="005B365C"/>
    <w:rsid w:val="005B3B84"/>
    <w:rsid w:val="005B487E"/>
    <w:rsid w:val="005B4D07"/>
    <w:rsid w:val="005B59B0"/>
    <w:rsid w:val="005B5A4C"/>
    <w:rsid w:val="005C1587"/>
    <w:rsid w:val="005C4BD3"/>
    <w:rsid w:val="005C4DE5"/>
    <w:rsid w:val="005C57B4"/>
    <w:rsid w:val="005D3910"/>
    <w:rsid w:val="005D65AC"/>
    <w:rsid w:val="005D757A"/>
    <w:rsid w:val="005E057E"/>
    <w:rsid w:val="005E0B1D"/>
    <w:rsid w:val="005E12BA"/>
    <w:rsid w:val="005E1DD2"/>
    <w:rsid w:val="005E219F"/>
    <w:rsid w:val="005E2A83"/>
    <w:rsid w:val="005E344E"/>
    <w:rsid w:val="005E3927"/>
    <w:rsid w:val="005E481A"/>
    <w:rsid w:val="005E4EC8"/>
    <w:rsid w:val="005E572C"/>
    <w:rsid w:val="005E5F42"/>
    <w:rsid w:val="005F10FB"/>
    <w:rsid w:val="005F2962"/>
    <w:rsid w:val="005F2B8B"/>
    <w:rsid w:val="005F2F47"/>
    <w:rsid w:val="005F610C"/>
    <w:rsid w:val="005F6F45"/>
    <w:rsid w:val="00600204"/>
    <w:rsid w:val="006027BD"/>
    <w:rsid w:val="00606181"/>
    <w:rsid w:val="00607E69"/>
    <w:rsid w:val="00610816"/>
    <w:rsid w:val="006118D1"/>
    <w:rsid w:val="00613C3C"/>
    <w:rsid w:val="00617E06"/>
    <w:rsid w:val="0062027B"/>
    <w:rsid w:val="006213F5"/>
    <w:rsid w:val="00621B44"/>
    <w:rsid w:val="00622AFF"/>
    <w:rsid w:val="006239BE"/>
    <w:rsid w:val="006242EA"/>
    <w:rsid w:val="00624545"/>
    <w:rsid w:val="00624550"/>
    <w:rsid w:val="00625CA5"/>
    <w:rsid w:val="0062618D"/>
    <w:rsid w:val="006269C7"/>
    <w:rsid w:val="00626D3D"/>
    <w:rsid w:val="00627663"/>
    <w:rsid w:val="0063489C"/>
    <w:rsid w:val="00634A9D"/>
    <w:rsid w:val="0063630C"/>
    <w:rsid w:val="00637863"/>
    <w:rsid w:val="00642299"/>
    <w:rsid w:val="00643674"/>
    <w:rsid w:val="0064472C"/>
    <w:rsid w:val="00644950"/>
    <w:rsid w:val="00645CA7"/>
    <w:rsid w:val="006512EC"/>
    <w:rsid w:val="00651614"/>
    <w:rsid w:val="006547A6"/>
    <w:rsid w:val="006579A3"/>
    <w:rsid w:val="006631FF"/>
    <w:rsid w:val="0066405C"/>
    <w:rsid w:val="006640F2"/>
    <w:rsid w:val="00665169"/>
    <w:rsid w:val="00665F9F"/>
    <w:rsid w:val="0067013F"/>
    <w:rsid w:val="00671869"/>
    <w:rsid w:val="00672A3C"/>
    <w:rsid w:val="00672C0B"/>
    <w:rsid w:val="00672D1B"/>
    <w:rsid w:val="00673C81"/>
    <w:rsid w:val="00675442"/>
    <w:rsid w:val="00676472"/>
    <w:rsid w:val="00677CC0"/>
    <w:rsid w:val="006808AB"/>
    <w:rsid w:val="00680927"/>
    <w:rsid w:val="006809D2"/>
    <w:rsid w:val="0068399D"/>
    <w:rsid w:val="006853EB"/>
    <w:rsid w:val="006876DF"/>
    <w:rsid w:val="00692E9C"/>
    <w:rsid w:val="0069573E"/>
    <w:rsid w:val="00696157"/>
    <w:rsid w:val="00696496"/>
    <w:rsid w:val="006A215C"/>
    <w:rsid w:val="006A6210"/>
    <w:rsid w:val="006B06DA"/>
    <w:rsid w:val="006B09C9"/>
    <w:rsid w:val="006B0B7B"/>
    <w:rsid w:val="006B18AC"/>
    <w:rsid w:val="006B20CA"/>
    <w:rsid w:val="006B4A45"/>
    <w:rsid w:val="006B4B02"/>
    <w:rsid w:val="006B51AF"/>
    <w:rsid w:val="006B5F29"/>
    <w:rsid w:val="006B7068"/>
    <w:rsid w:val="006B70B3"/>
    <w:rsid w:val="006B7E10"/>
    <w:rsid w:val="006C2915"/>
    <w:rsid w:val="006C2EA9"/>
    <w:rsid w:val="006C40B0"/>
    <w:rsid w:val="006C4ADB"/>
    <w:rsid w:val="006C6F87"/>
    <w:rsid w:val="006D1026"/>
    <w:rsid w:val="006D2935"/>
    <w:rsid w:val="006D2C0D"/>
    <w:rsid w:val="006D3782"/>
    <w:rsid w:val="006D4492"/>
    <w:rsid w:val="006D5099"/>
    <w:rsid w:val="006D5605"/>
    <w:rsid w:val="006D5BC2"/>
    <w:rsid w:val="006E258E"/>
    <w:rsid w:val="006E3083"/>
    <w:rsid w:val="006E3A34"/>
    <w:rsid w:val="006E48B4"/>
    <w:rsid w:val="006E59F8"/>
    <w:rsid w:val="006E6783"/>
    <w:rsid w:val="006E7255"/>
    <w:rsid w:val="006E7693"/>
    <w:rsid w:val="006F080E"/>
    <w:rsid w:val="006F1F80"/>
    <w:rsid w:val="006F406D"/>
    <w:rsid w:val="006F46FC"/>
    <w:rsid w:val="006F70EF"/>
    <w:rsid w:val="006F7496"/>
    <w:rsid w:val="00703160"/>
    <w:rsid w:val="00703C9F"/>
    <w:rsid w:val="00705DB7"/>
    <w:rsid w:val="00707E26"/>
    <w:rsid w:val="0071079B"/>
    <w:rsid w:val="0071183D"/>
    <w:rsid w:val="00712807"/>
    <w:rsid w:val="00712E9E"/>
    <w:rsid w:val="00717F07"/>
    <w:rsid w:val="007207FE"/>
    <w:rsid w:val="00721D26"/>
    <w:rsid w:val="00723316"/>
    <w:rsid w:val="007234F3"/>
    <w:rsid w:val="0072471D"/>
    <w:rsid w:val="00724D30"/>
    <w:rsid w:val="0072526A"/>
    <w:rsid w:val="00726A08"/>
    <w:rsid w:val="0073118E"/>
    <w:rsid w:val="007324F7"/>
    <w:rsid w:val="007349F4"/>
    <w:rsid w:val="00735470"/>
    <w:rsid w:val="00735C15"/>
    <w:rsid w:val="00740198"/>
    <w:rsid w:val="0074034B"/>
    <w:rsid w:val="007413E9"/>
    <w:rsid w:val="00742FDD"/>
    <w:rsid w:val="00743E3D"/>
    <w:rsid w:val="00745162"/>
    <w:rsid w:val="00746F23"/>
    <w:rsid w:val="00750306"/>
    <w:rsid w:val="00750365"/>
    <w:rsid w:val="007508EA"/>
    <w:rsid w:val="00751335"/>
    <w:rsid w:val="007519DA"/>
    <w:rsid w:val="00752594"/>
    <w:rsid w:val="00752D16"/>
    <w:rsid w:val="00753678"/>
    <w:rsid w:val="00754632"/>
    <w:rsid w:val="00754EF7"/>
    <w:rsid w:val="00757D2D"/>
    <w:rsid w:val="0076290C"/>
    <w:rsid w:val="007658F4"/>
    <w:rsid w:val="007659B9"/>
    <w:rsid w:val="007662D2"/>
    <w:rsid w:val="00767E9B"/>
    <w:rsid w:val="007715E9"/>
    <w:rsid w:val="00771E00"/>
    <w:rsid w:val="00772B34"/>
    <w:rsid w:val="007738E2"/>
    <w:rsid w:val="00773CD6"/>
    <w:rsid w:val="00774579"/>
    <w:rsid w:val="007753FD"/>
    <w:rsid w:val="00775F03"/>
    <w:rsid w:val="00776890"/>
    <w:rsid w:val="0078007E"/>
    <w:rsid w:val="007824C8"/>
    <w:rsid w:val="007851A3"/>
    <w:rsid w:val="00785BA0"/>
    <w:rsid w:val="0078607F"/>
    <w:rsid w:val="0079370E"/>
    <w:rsid w:val="007940E5"/>
    <w:rsid w:val="00795B7F"/>
    <w:rsid w:val="00796E71"/>
    <w:rsid w:val="00797EF9"/>
    <w:rsid w:val="007A0014"/>
    <w:rsid w:val="007A088F"/>
    <w:rsid w:val="007A2668"/>
    <w:rsid w:val="007A29E3"/>
    <w:rsid w:val="007A4926"/>
    <w:rsid w:val="007A60D8"/>
    <w:rsid w:val="007A6FF1"/>
    <w:rsid w:val="007A7948"/>
    <w:rsid w:val="007B0D54"/>
    <w:rsid w:val="007B2587"/>
    <w:rsid w:val="007B2E20"/>
    <w:rsid w:val="007B511B"/>
    <w:rsid w:val="007B530B"/>
    <w:rsid w:val="007B531F"/>
    <w:rsid w:val="007B5E46"/>
    <w:rsid w:val="007B6FF4"/>
    <w:rsid w:val="007B7618"/>
    <w:rsid w:val="007C0D06"/>
    <w:rsid w:val="007C1903"/>
    <w:rsid w:val="007C27A8"/>
    <w:rsid w:val="007D1488"/>
    <w:rsid w:val="007D1EEB"/>
    <w:rsid w:val="007D28C5"/>
    <w:rsid w:val="007E42CF"/>
    <w:rsid w:val="007E5FBA"/>
    <w:rsid w:val="007E6E60"/>
    <w:rsid w:val="007E7B01"/>
    <w:rsid w:val="007E7BE0"/>
    <w:rsid w:val="007F0B2C"/>
    <w:rsid w:val="007F16EE"/>
    <w:rsid w:val="007F3D00"/>
    <w:rsid w:val="007F5C7E"/>
    <w:rsid w:val="007F61F7"/>
    <w:rsid w:val="007F6E90"/>
    <w:rsid w:val="007F71E3"/>
    <w:rsid w:val="007F73A5"/>
    <w:rsid w:val="007F7636"/>
    <w:rsid w:val="007F77EB"/>
    <w:rsid w:val="007F7CB8"/>
    <w:rsid w:val="00800B73"/>
    <w:rsid w:val="008012F0"/>
    <w:rsid w:val="00802B8E"/>
    <w:rsid w:val="00803DA9"/>
    <w:rsid w:val="00804722"/>
    <w:rsid w:val="008064A1"/>
    <w:rsid w:val="0080748C"/>
    <w:rsid w:val="00812754"/>
    <w:rsid w:val="00812EDC"/>
    <w:rsid w:val="00814BBE"/>
    <w:rsid w:val="00815352"/>
    <w:rsid w:val="00816CAB"/>
    <w:rsid w:val="008170A6"/>
    <w:rsid w:val="00817B8E"/>
    <w:rsid w:val="0082185B"/>
    <w:rsid w:val="00822587"/>
    <w:rsid w:val="008227B7"/>
    <w:rsid w:val="00822AB2"/>
    <w:rsid w:val="00825532"/>
    <w:rsid w:val="00825EA1"/>
    <w:rsid w:val="00827B8B"/>
    <w:rsid w:val="008325EF"/>
    <w:rsid w:val="008334C6"/>
    <w:rsid w:val="00833A9C"/>
    <w:rsid w:val="008341D7"/>
    <w:rsid w:val="0083452A"/>
    <w:rsid w:val="00834844"/>
    <w:rsid w:val="0083699C"/>
    <w:rsid w:val="00840CE2"/>
    <w:rsid w:val="00843E27"/>
    <w:rsid w:val="00847069"/>
    <w:rsid w:val="0084729B"/>
    <w:rsid w:val="00847D2D"/>
    <w:rsid w:val="0085068E"/>
    <w:rsid w:val="00853957"/>
    <w:rsid w:val="00853FC1"/>
    <w:rsid w:val="008546CA"/>
    <w:rsid w:val="00856B26"/>
    <w:rsid w:val="0085709A"/>
    <w:rsid w:val="008577A1"/>
    <w:rsid w:val="0086043E"/>
    <w:rsid w:val="00861A43"/>
    <w:rsid w:val="00862932"/>
    <w:rsid w:val="00862A45"/>
    <w:rsid w:val="00863255"/>
    <w:rsid w:val="00865F90"/>
    <w:rsid w:val="00872168"/>
    <w:rsid w:val="00873D60"/>
    <w:rsid w:val="0087402E"/>
    <w:rsid w:val="00883D6E"/>
    <w:rsid w:val="00885318"/>
    <w:rsid w:val="008857F8"/>
    <w:rsid w:val="00885DAE"/>
    <w:rsid w:val="00886CDD"/>
    <w:rsid w:val="00887CF1"/>
    <w:rsid w:val="008915D8"/>
    <w:rsid w:val="00892AF7"/>
    <w:rsid w:val="00893EE4"/>
    <w:rsid w:val="00893F9D"/>
    <w:rsid w:val="00894388"/>
    <w:rsid w:val="00897A80"/>
    <w:rsid w:val="008A0A05"/>
    <w:rsid w:val="008A12B2"/>
    <w:rsid w:val="008A1641"/>
    <w:rsid w:val="008A3A43"/>
    <w:rsid w:val="008A4928"/>
    <w:rsid w:val="008A52DA"/>
    <w:rsid w:val="008A64AA"/>
    <w:rsid w:val="008A733A"/>
    <w:rsid w:val="008B099B"/>
    <w:rsid w:val="008B3640"/>
    <w:rsid w:val="008B3896"/>
    <w:rsid w:val="008B462D"/>
    <w:rsid w:val="008B47CB"/>
    <w:rsid w:val="008B47D0"/>
    <w:rsid w:val="008B555D"/>
    <w:rsid w:val="008B64BB"/>
    <w:rsid w:val="008C09F9"/>
    <w:rsid w:val="008C0FAC"/>
    <w:rsid w:val="008C2A76"/>
    <w:rsid w:val="008C5778"/>
    <w:rsid w:val="008C6125"/>
    <w:rsid w:val="008C618E"/>
    <w:rsid w:val="008C6589"/>
    <w:rsid w:val="008C7844"/>
    <w:rsid w:val="008C7E1F"/>
    <w:rsid w:val="008D349B"/>
    <w:rsid w:val="008D3B62"/>
    <w:rsid w:val="008D3FED"/>
    <w:rsid w:val="008D5A35"/>
    <w:rsid w:val="008D6A24"/>
    <w:rsid w:val="008D6F7B"/>
    <w:rsid w:val="008E0E51"/>
    <w:rsid w:val="008E2F6A"/>
    <w:rsid w:val="008E7B68"/>
    <w:rsid w:val="008E7DCB"/>
    <w:rsid w:val="008F0E9B"/>
    <w:rsid w:val="008F0FA0"/>
    <w:rsid w:val="008F175B"/>
    <w:rsid w:val="008F1EBD"/>
    <w:rsid w:val="008F455D"/>
    <w:rsid w:val="008F5115"/>
    <w:rsid w:val="008F5B4A"/>
    <w:rsid w:val="008F64E0"/>
    <w:rsid w:val="008F7B98"/>
    <w:rsid w:val="0090086F"/>
    <w:rsid w:val="00901E3F"/>
    <w:rsid w:val="009020A2"/>
    <w:rsid w:val="009028AA"/>
    <w:rsid w:val="00902BBA"/>
    <w:rsid w:val="00902F77"/>
    <w:rsid w:val="00903B54"/>
    <w:rsid w:val="009047D1"/>
    <w:rsid w:val="0091239B"/>
    <w:rsid w:val="00912D38"/>
    <w:rsid w:val="00915543"/>
    <w:rsid w:val="00920C58"/>
    <w:rsid w:val="00921D6F"/>
    <w:rsid w:val="00923730"/>
    <w:rsid w:val="00925F41"/>
    <w:rsid w:val="0092645B"/>
    <w:rsid w:val="00926A84"/>
    <w:rsid w:val="00930114"/>
    <w:rsid w:val="00931464"/>
    <w:rsid w:val="009359C2"/>
    <w:rsid w:val="00936568"/>
    <w:rsid w:val="00937F1F"/>
    <w:rsid w:val="00942FB7"/>
    <w:rsid w:val="009437FA"/>
    <w:rsid w:val="009441E0"/>
    <w:rsid w:val="0094428A"/>
    <w:rsid w:val="009474B1"/>
    <w:rsid w:val="0095016B"/>
    <w:rsid w:val="00951919"/>
    <w:rsid w:val="00951978"/>
    <w:rsid w:val="00952DA5"/>
    <w:rsid w:val="00953560"/>
    <w:rsid w:val="009541B4"/>
    <w:rsid w:val="0096090B"/>
    <w:rsid w:val="00961D48"/>
    <w:rsid w:val="00963BF1"/>
    <w:rsid w:val="00964255"/>
    <w:rsid w:val="0096454F"/>
    <w:rsid w:val="00964ECD"/>
    <w:rsid w:val="00966BE7"/>
    <w:rsid w:val="00966C8A"/>
    <w:rsid w:val="00967284"/>
    <w:rsid w:val="00967671"/>
    <w:rsid w:val="00976A80"/>
    <w:rsid w:val="00977480"/>
    <w:rsid w:val="00977706"/>
    <w:rsid w:val="00982930"/>
    <w:rsid w:val="009861C4"/>
    <w:rsid w:val="009864B0"/>
    <w:rsid w:val="009913DC"/>
    <w:rsid w:val="00991763"/>
    <w:rsid w:val="0099177E"/>
    <w:rsid w:val="009922EA"/>
    <w:rsid w:val="009924F7"/>
    <w:rsid w:val="00992F39"/>
    <w:rsid w:val="009931A5"/>
    <w:rsid w:val="00993BE5"/>
    <w:rsid w:val="00994E1C"/>
    <w:rsid w:val="0099572E"/>
    <w:rsid w:val="00995E20"/>
    <w:rsid w:val="009964C1"/>
    <w:rsid w:val="00996CB2"/>
    <w:rsid w:val="009A07DF"/>
    <w:rsid w:val="009A0CD4"/>
    <w:rsid w:val="009A12E2"/>
    <w:rsid w:val="009A185B"/>
    <w:rsid w:val="009A5105"/>
    <w:rsid w:val="009A591B"/>
    <w:rsid w:val="009B17F6"/>
    <w:rsid w:val="009B1E2F"/>
    <w:rsid w:val="009B3BC2"/>
    <w:rsid w:val="009B5B9E"/>
    <w:rsid w:val="009B6228"/>
    <w:rsid w:val="009B6A26"/>
    <w:rsid w:val="009B6BB5"/>
    <w:rsid w:val="009B6E22"/>
    <w:rsid w:val="009B791F"/>
    <w:rsid w:val="009B7D29"/>
    <w:rsid w:val="009C028A"/>
    <w:rsid w:val="009C12CE"/>
    <w:rsid w:val="009C1511"/>
    <w:rsid w:val="009C3D2C"/>
    <w:rsid w:val="009C72C4"/>
    <w:rsid w:val="009C72C8"/>
    <w:rsid w:val="009D109E"/>
    <w:rsid w:val="009D2545"/>
    <w:rsid w:val="009D3134"/>
    <w:rsid w:val="009D4802"/>
    <w:rsid w:val="009D6171"/>
    <w:rsid w:val="009D6C77"/>
    <w:rsid w:val="009E5041"/>
    <w:rsid w:val="009F0B36"/>
    <w:rsid w:val="009F23A8"/>
    <w:rsid w:val="009F247A"/>
    <w:rsid w:val="009F4748"/>
    <w:rsid w:val="009F4CB9"/>
    <w:rsid w:val="009F500F"/>
    <w:rsid w:val="009F5035"/>
    <w:rsid w:val="00A0037D"/>
    <w:rsid w:val="00A00381"/>
    <w:rsid w:val="00A0146E"/>
    <w:rsid w:val="00A01CE6"/>
    <w:rsid w:val="00A02584"/>
    <w:rsid w:val="00A025FA"/>
    <w:rsid w:val="00A029C8"/>
    <w:rsid w:val="00A04B17"/>
    <w:rsid w:val="00A06ACF"/>
    <w:rsid w:val="00A06ED0"/>
    <w:rsid w:val="00A07212"/>
    <w:rsid w:val="00A10A5A"/>
    <w:rsid w:val="00A123D9"/>
    <w:rsid w:val="00A12D9C"/>
    <w:rsid w:val="00A138A7"/>
    <w:rsid w:val="00A14E24"/>
    <w:rsid w:val="00A14EBD"/>
    <w:rsid w:val="00A15A84"/>
    <w:rsid w:val="00A15DB4"/>
    <w:rsid w:val="00A20B1A"/>
    <w:rsid w:val="00A20E27"/>
    <w:rsid w:val="00A215B3"/>
    <w:rsid w:val="00A21783"/>
    <w:rsid w:val="00A21D99"/>
    <w:rsid w:val="00A235B0"/>
    <w:rsid w:val="00A2427D"/>
    <w:rsid w:val="00A26E9C"/>
    <w:rsid w:val="00A27482"/>
    <w:rsid w:val="00A30F79"/>
    <w:rsid w:val="00A34F30"/>
    <w:rsid w:val="00A35B8F"/>
    <w:rsid w:val="00A35F9B"/>
    <w:rsid w:val="00A37B5B"/>
    <w:rsid w:val="00A37E2F"/>
    <w:rsid w:val="00A403E4"/>
    <w:rsid w:val="00A415E3"/>
    <w:rsid w:val="00A42CC0"/>
    <w:rsid w:val="00A430BD"/>
    <w:rsid w:val="00A43376"/>
    <w:rsid w:val="00A44524"/>
    <w:rsid w:val="00A45853"/>
    <w:rsid w:val="00A45F22"/>
    <w:rsid w:val="00A51CA9"/>
    <w:rsid w:val="00A5251A"/>
    <w:rsid w:val="00A5267C"/>
    <w:rsid w:val="00A52D79"/>
    <w:rsid w:val="00A534EC"/>
    <w:rsid w:val="00A54994"/>
    <w:rsid w:val="00A54B47"/>
    <w:rsid w:val="00A551BC"/>
    <w:rsid w:val="00A56BAC"/>
    <w:rsid w:val="00A57FE8"/>
    <w:rsid w:val="00A60A5E"/>
    <w:rsid w:val="00A61B81"/>
    <w:rsid w:val="00A62C46"/>
    <w:rsid w:val="00A63179"/>
    <w:rsid w:val="00A64150"/>
    <w:rsid w:val="00A65633"/>
    <w:rsid w:val="00A71E3A"/>
    <w:rsid w:val="00A74336"/>
    <w:rsid w:val="00A7440F"/>
    <w:rsid w:val="00A81A58"/>
    <w:rsid w:val="00A81CBB"/>
    <w:rsid w:val="00A81CC4"/>
    <w:rsid w:val="00A82B9B"/>
    <w:rsid w:val="00A8474A"/>
    <w:rsid w:val="00A84FFE"/>
    <w:rsid w:val="00A85E7E"/>
    <w:rsid w:val="00A864F6"/>
    <w:rsid w:val="00A90004"/>
    <w:rsid w:val="00A916DB"/>
    <w:rsid w:val="00A92ABE"/>
    <w:rsid w:val="00A92E39"/>
    <w:rsid w:val="00A93337"/>
    <w:rsid w:val="00A93684"/>
    <w:rsid w:val="00A9672F"/>
    <w:rsid w:val="00A970D7"/>
    <w:rsid w:val="00AA2E45"/>
    <w:rsid w:val="00AA5D2E"/>
    <w:rsid w:val="00AB07ED"/>
    <w:rsid w:val="00AB25B4"/>
    <w:rsid w:val="00AB33E1"/>
    <w:rsid w:val="00AB3E7E"/>
    <w:rsid w:val="00AB6341"/>
    <w:rsid w:val="00AB7F5A"/>
    <w:rsid w:val="00AC1CC1"/>
    <w:rsid w:val="00AC3900"/>
    <w:rsid w:val="00AC6D71"/>
    <w:rsid w:val="00AD00A6"/>
    <w:rsid w:val="00AD1055"/>
    <w:rsid w:val="00AD2100"/>
    <w:rsid w:val="00AD2782"/>
    <w:rsid w:val="00AD419B"/>
    <w:rsid w:val="00AD6A5A"/>
    <w:rsid w:val="00AD6BE6"/>
    <w:rsid w:val="00AD7960"/>
    <w:rsid w:val="00AD7A25"/>
    <w:rsid w:val="00AE1BB5"/>
    <w:rsid w:val="00AE51E4"/>
    <w:rsid w:val="00AF0673"/>
    <w:rsid w:val="00AF093C"/>
    <w:rsid w:val="00AF226D"/>
    <w:rsid w:val="00AF2AB3"/>
    <w:rsid w:val="00AF2C92"/>
    <w:rsid w:val="00AF30E7"/>
    <w:rsid w:val="00AF5D86"/>
    <w:rsid w:val="00AF619E"/>
    <w:rsid w:val="00AF67CF"/>
    <w:rsid w:val="00AF765E"/>
    <w:rsid w:val="00B00310"/>
    <w:rsid w:val="00B0448D"/>
    <w:rsid w:val="00B04BD0"/>
    <w:rsid w:val="00B04ED9"/>
    <w:rsid w:val="00B05E60"/>
    <w:rsid w:val="00B061B7"/>
    <w:rsid w:val="00B06ADE"/>
    <w:rsid w:val="00B14361"/>
    <w:rsid w:val="00B1498E"/>
    <w:rsid w:val="00B150B3"/>
    <w:rsid w:val="00B15E22"/>
    <w:rsid w:val="00B1727B"/>
    <w:rsid w:val="00B17997"/>
    <w:rsid w:val="00B17B76"/>
    <w:rsid w:val="00B22F04"/>
    <w:rsid w:val="00B231C9"/>
    <w:rsid w:val="00B2323A"/>
    <w:rsid w:val="00B2528D"/>
    <w:rsid w:val="00B26298"/>
    <w:rsid w:val="00B2712B"/>
    <w:rsid w:val="00B3227C"/>
    <w:rsid w:val="00B33EC3"/>
    <w:rsid w:val="00B34FA1"/>
    <w:rsid w:val="00B350A9"/>
    <w:rsid w:val="00B36EEC"/>
    <w:rsid w:val="00B419F5"/>
    <w:rsid w:val="00B422D4"/>
    <w:rsid w:val="00B42795"/>
    <w:rsid w:val="00B4522A"/>
    <w:rsid w:val="00B4752D"/>
    <w:rsid w:val="00B50571"/>
    <w:rsid w:val="00B50C3B"/>
    <w:rsid w:val="00B51AA5"/>
    <w:rsid w:val="00B5342A"/>
    <w:rsid w:val="00B542B2"/>
    <w:rsid w:val="00B56629"/>
    <w:rsid w:val="00B570D4"/>
    <w:rsid w:val="00B57C12"/>
    <w:rsid w:val="00B57C4E"/>
    <w:rsid w:val="00B6119C"/>
    <w:rsid w:val="00B619F1"/>
    <w:rsid w:val="00B62048"/>
    <w:rsid w:val="00B6209D"/>
    <w:rsid w:val="00B63069"/>
    <w:rsid w:val="00B648EE"/>
    <w:rsid w:val="00B6501C"/>
    <w:rsid w:val="00B65347"/>
    <w:rsid w:val="00B65861"/>
    <w:rsid w:val="00B65DA7"/>
    <w:rsid w:val="00B66CD1"/>
    <w:rsid w:val="00B671BF"/>
    <w:rsid w:val="00B70ED4"/>
    <w:rsid w:val="00B7499D"/>
    <w:rsid w:val="00B74C78"/>
    <w:rsid w:val="00B7579F"/>
    <w:rsid w:val="00B757E5"/>
    <w:rsid w:val="00B75BD5"/>
    <w:rsid w:val="00B75FD2"/>
    <w:rsid w:val="00B7635A"/>
    <w:rsid w:val="00B764A7"/>
    <w:rsid w:val="00B76C52"/>
    <w:rsid w:val="00B76ECD"/>
    <w:rsid w:val="00B774E1"/>
    <w:rsid w:val="00B7791D"/>
    <w:rsid w:val="00B8135B"/>
    <w:rsid w:val="00B836A4"/>
    <w:rsid w:val="00B85CCB"/>
    <w:rsid w:val="00B85EFD"/>
    <w:rsid w:val="00B90300"/>
    <w:rsid w:val="00B90481"/>
    <w:rsid w:val="00B91F99"/>
    <w:rsid w:val="00B92F03"/>
    <w:rsid w:val="00B935FA"/>
    <w:rsid w:val="00B94756"/>
    <w:rsid w:val="00B94F2B"/>
    <w:rsid w:val="00B9575C"/>
    <w:rsid w:val="00B965E9"/>
    <w:rsid w:val="00B9666B"/>
    <w:rsid w:val="00BA0676"/>
    <w:rsid w:val="00BA0B76"/>
    <w:rsid w:val="00BA1332"/>
    <w:rsid w:val="00BA3E8F"/>
    <w:rsid w:val="00BA454C"/>
    <w:rsid w:val="00BA6CAF"/>
    <w:rsid w:val="00BA749F"/>
    <w:rsid w:val="00BA7F1F"/>
    <w:rsid w:val="00BB0AED"/>
    <w:rsid w:val="00BB2F7B"/>
    <w:rsid w:val="00BB43A0"/>
    <w:rsid w:val="00BB45EA"/>
    <w:rsid w:val="00BB589B"/>
    <w:rsid w:val="00BB5C30"/>
    <w:rsid w:val="00BB6886"/>
    <w:rsid w:val="00BC0820"/>
    <w:rsid w:val="00BC1CE9"/>
    <w:rsid w:val="00BC207F"/>
    <w:rsid w:val="00BC4A8D"/>
    <w:rsid w:val="00BD2C3A"/>
    <w:rsid w:val="00BD322F"/>
    <w:rsid w:val="00BD367C"/>
    <w:rsid w:val="00BD43C1"/>
    <w:rsid w:val="00BD4DC4"/>
    <w:rsid w:val="00BD709D"/>
    <w:rsid w:val="00BD757A"/>
    <w:rsid w:val="00BD78A3"/>
    <w:rsid w:val="00BE051E"/>
    <w:rsid w:val="00BE2E96"/>
    <w:rsid w:val="00BE495C"/>
    <w:rsid w:val="00BE4E87"/>
    <w:rsid w:val="00BE70FF"/>
    <w:rsid w:val="00BF02BC"/>
    <w:rsid w:val="00BF03B9"/>
    <w:rsid w:val="00BF1E0B"/>
    <w:rsid w:val="00BF28BD"/>
    <w:rsid w:val="00BF4054"/>
    <w:rsid w:val="00C06216"/>
    <w:rsid w:val="00C07C98"/>
    <w:rsid w:val="00C116B5"/>
    <w:rsid w:val="00C13491"/>
    <w:rsid w:val="00C13A40"/>
    <w:rsid w:val="00C14BBC"/>
    <w:rsid w:val="00C14E5F"/>
    <w:rsid w:val="00C15B19"/>
    <w:rsid w:val="00C16F85"/>
    <w:rsid w:val="00C20224"/>
    <w:rsid w:val="00C216B3"/>
    <w:rsid w:val="00C22397"/>
    <w:rsid w:val="00C226AC"/>
    <w:rsid w:val="00C22E79"/>
    <w:rsid w:val="00C22FFF"/>
    <w:rsid w:val="00C2392C"/>
    <w:rsid w:val="00C268B5"/>
    <w:rsid w:val="00C273F5"/>
    <w:rsid w:val="00C279D8"/>
    <w:rsid w:val="00C30329"/>
    <w:rsid w:val="00C3360E"/>
    <w:rsid w:val="00C34E2B"/>
    <w:rsid w:val="00C3551D"/>
    <w:rsid w:val="00C360EB"/>
    <w:rsid w:val="00C3610D"/>
    <w:rsid w:val="00C369CF"/>
    <w:rsid w:val="00C37C64"/>
    <w:rsid w:val="00C37FAA"/>
    <w:rsid w:val="00C40B78"/>
    <w:rsid w:val="00C4191B"/>
    <w:rsid w:val="00C41C18"/>
    <w:rsid w:val="00C46241"/>
    <w:rsid w:val="00C46490"/>
    <w:rsid w:val="00C47128"/>
    <w:rsid w:val="00C47EAC"/>
    <w:rsid w:val="00C51A06"/>
    <w:rsid w:val="00C51DEB"/>
    <w:rsid w:val="00C51E9B"/>
    <w:rsid w:val="00C51EF5"/>
    <w:rsid w:val="00C52C10"/>
    <w:rsid w:val="00C53B7E"/>
    <w:rsid w:val="00C548BC"/>
    <w:rsid w:val="00C5492C"/>
    <w:rsid w:val="00C55AF7"/>
    <w:rsid w:val="00C55BEA"/>
    <w:rsid w:val="00C56485"/>
    <w:rsid w:val="00C56A5C"/>
    <w:rsid w:val="00C578E1"/>
    <w:rsid w:val="00C60017"/>
    <w:rsid w:val="00C60BCA"/>
    <w:rsid w:val="00C60D19"/>
    <w:rsid w:val="00C63AEB"/>
    <w:rsid w:val="00C6521F"/>
    <w:rsid w:val="00C659E2"/>
    <w:rsid w:val="00C65E65"/>
    <w:rsid w:val="00C665E8"/>
    <w:rsid w:val="00C66920"/>
    <w:rsid w:val="00C67988"/>
    <w:rsid w:val="00C67C8A"/>
    <w:rsid w:val="00C70117"/>
    <w:rsid w:val="00C71245"/>
    <w:rsid w:val="00C730E7"/>
    <w:rsid w:val="00C73B65"/>
    <w:rsid w:val="00C756D2"/>
    <w:rsid w:val="00C75F4B"/>
    <w:rsid w:val="00C8088B"/>
    <w:rsid w:val="00C81106"/>
    <w:rsid w:val="00C81700"/>
    <w:rsid w:val="00C84CE3"/>
    <w:rsid w:val="00C853F9"/>
    <w:rsid w:val="00C85E32"/>
    <w:rsid w:val="00C87E12"/>
    <w:rsid w:val="00C87FB0"/>
    <w:rsid w:val="00C91A71"/>
    <w:rsid w:val="00C93A32"/>
    <w:rsid w:val="00C94F05"/>
    <w:rsid w:val="00C95E56"/>
    <w:rsid w:val="00CA0079"/>
    <w:rsid w:val="00CA21A0"/>
    <w:rsid w:val="00CA24EE"/>
    <w:rsid w:val="00CA263E"/>
    <w:rsid w:val="00CA2A6F"/>
    <w:rsid w:val="00CA3848"/>
    <w:rsid w:val="00CA4ABB"/>
    <w:rsid w:val="00CA5569"/>
    <w:rsid w:val="00CA69ED"/>
    <w:rsid w:val="00CA6A34"/>
    <w:rsid w:val="00CA733A"/>
    <w:rsid w:val="00CA7D6D"/>
    <w:rsid w:val="00CB0A0D"/>
    <w:rsid w:val="00CB0BB3"/>
    <w:rsid w:val="00CB11EA"/>
    <w:rsid w:val="00CB146B"/>
    <w:rsid w:val="00CB2164"/>
    <w:rsid w:val="00CB395B"/>
    <w:rsid w:val="00CB4F0E"/>
    <w:rsid w:val="00CB6701"/>
    <w:rsid w:val="00CB6E57"/>
    <w:rsid w:val="00CB71E3"/>
    <w:rsid w:val="00CC2F7B"/>
    <w:rsid w:val="00CC424D"/>
    <w:rsid w:val="00CC65A0"/>
    <w:rsid w:val="00CC7270"/>
    <w:rsid w:val="00CD00AF"/>
    <w:rsid w:val="00CD069A"/>
    <w:rsid w:val="00CD27B7"/>
    <w:rsid w:val="00CD3C6D"/>
    <w:rsid w:val="00CD4F44"/>
    <w:rsid w:val="00CD5E11"/>
    <w:rsid w:val="00CD6E1E"/>
    <w:rsid w:val="00CE00EB"/>
    <w:rsid w:val="00CE23FE"/>
    <w:rsid w:val="00CE3E14"/>
    <w:rsid w:val="00CE4167"/>
    <w:rsid w:val="00CE4604"/>
    <w:rsid w:val="00CE4B56"/>
    <w:rsid w:val="00CE4E2A"/>
    <w:rsid w:val="00CE57D7"/>
    <w:rsid w:val="00CE6881"/>
    <w:rsid w:val="00CE7110"/>
    <w:rsid w:val="00CE713C"/>
    <w:rsid w:val="00CE74E1"/>
    <w:rsid w:val="00CF0D8B"/>
    <w:rsid w:val="00CF2879"/>
    <w:rsid w:val="00CF2D14"/>
    <w:rsid w:val="00CF435A"/>
    <w:rsid w:val="00CF4F79"/>
    <w:rsid w:val="00CF5829"/>
    <w:rsid w:val="00D00CC2"/>
    <w:rsid w:val="00D010DD"/>
    <w:rsid w:val="00D011C8"/>
    <w:rsid w:val="00D011EB"/>
    <w:rsid w:val="00D02568"/>
    <w:rsid w:val="00D1102C"/>
    <w:rsid w:val="00D111DD"/>
    <w:rsid w:val="00D13AE8"/>
    <w:rsid w:val="00D14012"/>
    <w:rsid w:val="00D1555F"/>
    <w:rsid w:val="00D15E78"/>
    <w:rsid w:val="00D173B3"/>
    <w:rsid w:val="00D21077"/>
    <w:rsid w:val="00D230CC"/>
    <w:rsid w:val="00D23FA3"/>
    <w:rsid w:val="00D2550D"/>
    <w:rsid w:val="00D26ACF"/>
    <w:rsid w:val="00D270A9"/>
    <w:rsid w:val="00D2795C"/>
    <w:rsid w:val="00D33180"/>
    <w:rsid w:val="00D332C9"/>
    <w:rsid w:val="00D332F4"/>
    <w:rsid w:val="00D379E5"/>
    <w:rsid w:val="00D41AE5"/>
    <w:rsid w:val="00D43B41"/>
    <w:rsid w:val="00D44605"/>
    <w:rsid w:val="00D505CF"/>
    <w:rsid w:val="00D50B05"/>
    <w:rsid w:val="00D51FCD"/>
    <w:rsid w:val="00D567DA"/>
    <w:rsid w:val="00D56D95"/>
    <w:rsid w:val="00D60E8A"/>
    <w:rsid w:val="00D627A3"/>
    <w:rsid w:val="00D64671"/>
    <w:rsid w:val="00D658AC"/>
    <w:rsid w:val="00D6749E"/>
    <w:rsid w:val="00D67BAE"/>
    <w:rsid w:val="00D727CD"/>
    <w:rsid w:val="00D72F94"/>
    <w:rsid w:val="00D735C6"/>
    <w:rsid w:val="00D73A2F"/>
    <w:rsid w:val="00D74721"/>
    <w:rsid w:val="00D767BC"/>
    <w:rsid w:val="00D830C1"/>
    <w:rsid w:val="00D83A78"/>
    <w:rsid w:val="00D84178"/>
    <w:rsid w:val="00D853F6"/>
    <w:rsid w:val="00D8617F"/>
    <w:rsid w:val="00D86D44"/>
    <w:rsid w:val="00D8766B"/>
    <w:rsid w:val="00D879BC"/>
    <w:rsid w:val="00D91890"/>
    <w:rsid w:val="00D92654"/>
    <w:rsid w:val="00D95248"/>
    <w:rsid w:val="00D95D5D"/>
    <w:rsid w:val="00D95D8B"/>
    <w:rsid w:val="00D97BD5"/>
    <w:rsid w:val="00DA038F"/>
    <w:rsid w:val="00DA101B"/>
    <w:rsid w:val="00DA179E"/>
    <w:rsid w:val="00DA21F9"/>
    <w:rsid w:val="00DA22EE"/>
    <w:rsid w:val="00DA5642"/>
    <w:rsid w:val="00DA5AC7"/>
    <w:rsid w:val="00DA6FCA"/>
    <w:rsid w:val="00DA7BD9"/>
    <w:rsid w:val="00DB15D0"/>
    <w:rsid w:val="00DB1FA9"/>
    <w:rsid w:val="00DB2349"/>
    <w:rsid w:val="00DB6CF6"/>
    <w:rsid w:val="00DB7EA2"/>
    <w:rsid w:val="00DC229F"/>
    <w:rsid w:val="00DC394C"/>
    <w:rsid w:val="00DC402C"/>
    <w:rsid w:val="00DC4267"/>
    <w:rsid w:val="00DC634D"/>
    <w:rsid w:val="00DD0785"/>
    <w:rsid w:val="00DD147D"/>
    <w:rsid w:val="00DD7562"/>
    <w:rsid w:val="00DD761E"/>
    <w:rsid w:val="00DE170C"/>
    <w:rsid w:val="00DE192E"/>
    <w:rsid w:val="00DE1ED5"/>
    <w:rsid w:val="00DE222A"/>
    <w:rsid w:val="00DE5016"/>
    <w:rsid w:val="00DE71AB"/>
    <w:rsid w:val="00DE73DB"/>
    <w:rsid w:val="00DE7FFE"/>
    <w:rsid w:val="00DF051F"/>
    <w:rsid w:val="00DF0848"/>
    <w:rsid w:val="00DF0AAF"/>
    <w:rsid w:val="00DF15D6"/>
    <w:rsid w:val="00DF2186"/>
    <w:rsid w:val="00DF31ED"/>
    <w:rsid w:val="00DF3C32"/>
    <w:rsid w:val="00DF5171"/>
    <w:rsid w:val="00E01A01"/>
    <w:rsid w:val="00E030F8"/>
    <w:rsid w:val="00E033C8"/>
    <w:rsid w:val="00E0368F"/>
    <w:rsid w:val="00E04DA5"/>
    <w:rsid w:val="00E04E3D"/>
    <w:rsid w:val="00E0635B"/>
    <w:rsid w:val="00E067BF"/>
    <w:rsid w:val="00E06876"/>
    <w:rsid w:val="00E07AEE"/>
    <w:rsid w:val="00E10750"/>
    <w:rsid w:val="00E120CE"/>
    <w:rsid w:val="00E126F0"/>
    <w:rsid w:val="00E12F4C"/>
    <w:rsid w:val="00E14325"/>
    <w:rsid w:val="00E15E15"/>
    <w:rsid w:val="00E176A9"/>
    <w:rsid w:val="00E208AB"/>
    <w:rsid w:val="00E2278B"/>
    <w:rsid w:val="00E2431D"/>
    <w:rsid w:val="00E24488"/>
    <w:rsid w:val="00E25A7A"/>
    <w:rsid w:val="00E25FEC"/>
    <w:rsid w:val="00E271AB"/>
    <w:rsid w:val="00E278EA"/>
    <w:rsid w:val="00E35E60"/>
    <w:rsid w:val="00E36DBE"/>
    <w:rsid w:val="00E400B6"/>
    <w:rsid w:val="00E416FA"/>
    <w:rsid w:val="00E44759"/>
    <w:rsid w:val="00E45AD8"/>
    <w:rsid w:val="00E45FD6"/>
    <w:rsid w:val="00E46059"/>
    <w:rsid w:val="00E46C20"/>
    <w:rsid w:val="00E46F23"/>
    <w:rsid w:val="00E50EE5"/>
    <w:rsid w:val="00E51B10"/>
    <w:rsid w:val="00E536CD"/>
    <w:rsid w:val="00E53A8C"/>
    <w:rsid w:val="00E54D53"/>
    <w:rsid w:val="00E60216"/>
    <w:rsid w:val="00E608C7"/>
    <w:rsid w:val="00E65D52"/>
    <w:rsid w:val="00E664D8"/>
    <w:rsid w:val="00E67176"/>
    <w:rsid w:val="00E67D14"/>
    <w:rsid w:val="00E70813"/>
    <w:rsid w:val="00E70D32"/>
    <w:rsid w:val="00E710A4"/>
    <w:rsid w:val="00E71D40"/>
    <w:rsid w:val="00E72150"/>
    <w:rsid w:val="00E7277B"/>
    <w:rsid w:val="00E75006"/>
    <w:rsid w:val="00E77954"/>
    <w:rsid w:val="00E77B68"/>
    <w:rsid w:val="00E80813"/>
    <w:rsid w:val="00E81238"/>
    <w:rsid w:val="00E83414"/>
    <w:rsid w:val="00E842FD"/>
    <w:rsid w:val="00E86F2B"/>
    <w:rsid w:val="00E9262A"/>
    <w:rsid w:val="00E92CA9"/>
    <w:rsid w:val="00E93DDB"/>
    <w:rsid w:val="00E94F08"/>
    <w:rsid w:val="00E9592E"/>
    <w:rsid w:val="00E966F8"/>
    <w:rsid w:val="00E97660"/>
    <w:rsid w:val="00EA0357"/>
    <w:rsid w:val="00EA404B"/>
    <w:rsid w:val="00EA41EE"/>
    <w:rsid w:val="00EA567E"/>
    <w:rsid w:val="00EA67F4"/>
    <w:rsid w:val="00EB428C"/>
    <w:rsid w:val="00EB4293"/>
    <w:rsid w:val="00EB48B5"/>
    <w:rsid w:val="00EB6A54"/>
    <w:rsid w:val="00EB7C15"/>
    <w:rsid w:val="00EC08FC"/>
    <w:rsid w:val="00EC1432"/>
    <w:rsid w:val="00EC1CB6"/>
    <w:rsid w:val="00EC1ED9"/>
    <w:rsid w:val="00EC2B1E"/>
    <w:rsid w:val="00EC2E49"/>
    <w:rsid w:val="00ED00D6"/>
    <w:rsid w:val="00ED0474"/>
    <w:rsid w:val="00ED11B8"/>
    <w:rsid w:val="00ED16CC"/>
    <w:rsid w:val="00ED318D"/>
    <w:rsid w:val="00EE012F"/>
    <w:rsid w:val="00EE04C8"/>
    <w:rsid w:val="00EE60EB"/>
    <w:rsid w:val="00EE709B"/>
    <w:rsid w:val="00EF067D"/>
    <w:rsid w:val="00EF1B8E"/>
    <w:rsid w:val="00EF34A6"/>
    <w:rsid w:val="00EF3CF0"/>
    <w:rsid w:val="00EF4B39"/>
    <w:rsid w:val="00EF4EC8"/>
    <w:rsid w:val="00EF6B9C"/>
    <w:rsid w:val="00EF6E04"/>
    <w:rsid w:val="00EF7D81"/>
    <w:rsid w:val="00EF7DE9"/>
    <w:rsid w:val="00F00719"/>
    <w:rsid w:val="00F00BB2"/>
    <w:rsid w:val="00F01324"/>
    <w:rsid w:val="00F013A2"/>
    <w:rsid w:val="00F016F2"/>
    <w:rsid w:val="00F032DB"/>
    <w:rsid w:val="00F03964"/>
    <w:rsid w:val="00F043F5"/>
    <w:rsid w:val="00F05B93"/>
    <w:rsid w:val="00F0606C"/>
    <w:rsid w:val="00F067BF"/>
    <w:rsid w:val="00F07717"/>
    <w:rsid w:val="00F10324"/>
    <w:rsid w:val="00F11738"/>
    <w:rsid w:val="00F12B63"/>
    <w:rsid w:val="00F13E0C"/>
    <w:rsid w:val="00F14A15"/>
    <w:rsid w:val="00F1724C"/>
    <w:rsid w:val="00F17EC8"/>
    <w:rsid w:val="00F2082A"/>
    <w:rsid w:val="00F2175C"/>
    <w:rsid w:val="00F22E83"/>
    <w:rsid w:val="00F235A1"/>
    <w:rsid w:val="00F24473"/>
    <w:rsid w:val="00F2582E"/>
    <w:rsid w:val="00F25AA0"/>
    <w:rsid w:val="00F27444"/>
    <w:rsid w:val="00F2757B"/>
    <w:rsid w:val="00F30461"/>
    <w:rsid w:val="00F30D09"/>
    <w:rsid w:val="00F31279"/>
    <w:rsid w:val="00F32D28"/>
    <w:rsid w:val="00F371E1"/>
    <w:rsid w:val="00F37FAE"/>
    <w:rsid w:val="00F41124"/>
    <w:rsid w:val="00F41E60"/>
    <w:rsid w:val="00F43329"/>
    <w:rsid w:val="00F4357B"/>
    <w:rsid w:val="00F44B1A"/>
    <w:rsid w:val="00F4693A"/>
    <w:rsid w:val="00F50771"/>
    <w:rsid w:val="00F5149F"/>
    <w:rsid w:val="00F51D15"/>
    <w:rsid w:val="00F52087"/>
    <w:rsid w:val="00F53F7E"/>
    <w:rsid w:val="00F56BE9"/>
    <w:rsid w:val="00F5791F"/>
    <w:rsid w:val="00F611BF"/>
    <w:rsid w:val="00F630BB"/>
    <w:rsid w:val="00F64F03"/>
    <w:rsid w:val="00F711B5"/>
    <w:rsid w:val="00F74FBC"/>
    <w:rsid w:val="00F75157"/>
    <w:rsid w:val="00F75C57"/>
    <w:rsid w:val="00F75CA9"/>
    <w:rsid w:val="00F76EB8"/>
    <w:rsid w:val="00F80E5B"/>
    <w:rsid w:val="00F81292"/>
    <w:rsid w:val="00F8225D"/>
    <w:rsid w:val="00F83738"/>
    <w:rsid w:val="00F838C6"/>
    <w:rsid w:val="00F844A8"/>
    <w:rsid w:val="00F866B8"/>
    <w:rsid w:val="00F8724B"/>
    <w:rsid w:val="00F872DE"/>
    <w:rsid w:val="00F87AC2"/>
    <w:rsid w:val="00F87F65"/>
    <w:rsid w:val="00F9081D"/>
    <w:rsid w:val="00F9121F"/>
    <w:rsid w:val="00F91BDB"/>
    <w:rsid w:val="00F92CEA"/>
    <w:rsid w:val="00F92E99"/>
    <w:rsid w:val="00F93256"/>
    <w:rsid w:val="00F945A7"/>
    <w:rsid w:val="00F94DED"/>
    <w:rsid w:val="00F97FA2"/>
    <w:rsid w:val="00FA05D2"/>
    <w:rsid w:val="00FA07EC"/>
    <w:rsid w:val="00FA0953"/>
    <w:rsid w:val="00FA1F1F"/>
    <w:rsid w:val="00FA240F"/>
    <w:rsid w:val="00FA316F"/>
    <w:rsid w:val="00FA3B4C"/>
    <w:rsid w:val="00FA4D97"/>
    <w:rsid w:val="00FA6340"/>
    <w:rsid w:val="00FA77A3"/>
    <w:rsid w:val="00FB194F"/>
    <w:rsid w:val="00FB2613"/>
    <w:rsid w:val="00FB278B"/>
    <w:rsid w:val="00FB2947"/>
    <w:rsid w:val="00FB29E5"/>
    <w:rsid w:val="00FB402F"/>
    <w:rsid w:val="00FB61EF"/>
    <w:rsid w:val="00FB7731"/>
    <w:rsid w:val="00FC2B02"/>
    <w:rsid w:val="00FC594A"/>
    <w:rsid w:val="00FC5F08"/>
    <w:rsid w:val="00FC67F7"/>
    <w:rsid w:val="00FC68ED"/>
    <w:rsid w:val="00FD2D6E"/>
    <w:rsid w:val="00FD2FDD"/>
    <w:rsid w:val="00FD5BAC"/>
    <w:rsid w:val="00FD6A22"/>
    <w:rsid w:val="00FD76A8"/>
    <w:rsid w:val="00FD7D86"/>
    <w:rsid w:val="00FE07D2"/>
    <w:rsid w:val="00FE3688"/>
    <w:rsid w:val="00FE791B"/>
    <w:rsid w:val="00FE7ACC"/>
    <w:rsid w:val="00FF1485"/>
    <w:rsid w:val="00FF3EB5"/>
    <w:rsid w:val="00FF50DE"/>
    <w:rsid w:val="00FF521B"/>
    <w:rsid w:val="00FF65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225D6"/>
  <w15:docId w15:val="{0E1DA58C-E3EF-49AD-8968-F5960FB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24D"/>
    <w:rPr>
      <w:rFonts w:ascii="Times New Roman" w:hAnsi="Times New Roman"/>
      <w:sz w:val="22"/>
      <w:szCs w:val="22"/>
      <w:lang w:eastAsia="en-US"/>
    </w:rPr>
  </w:style>
  <w:style w:type="paragraph" w:styleId="Antrat1">
    <w:name w:val="heading 1"/>
    <w:basedOn w:val="prastasis"/>
    <w:next w:val="prastasis"/>
    <w:link w:val="Antrat1Diagrama"/>
    <w:uiPriority w:val="99"/>
    <w:qFormat/>
    <w:rsid w:val="00234E30"/>
    <w:pPr>
      <w:keepNext/>
      <w:spacing w:before="240" w:after="60"/>
      <w:outlineLvl w:val="0"/>
    </w:pPr>
    <w:rPr>
      <w:rFonts w:ascii="Arial" w:eastAsia="Times New Roman" w:hAnsi="Arial"/>
      <w:b/>
      <w:bCs/>
      <w:kern w:val="32"/>
      <w:sz w:val="32"/>
      <w:szCs w:val="32"/>
    </w:rPr>
  </w:style>
  <w:style w:type="paragraph" w:styleId="Antrat2">
    <w:name w:val="heading 2"/>
    <w:basedOn w:val="prastasis"/>
    <w:next w:val="prastasis"/>
    <w:link w:val="Antrat2Diagrama"/>
    <w:uiPriority w:val="99"/>
    <w:qFormat/>
    <w:rsid w:val="00234E30"/>
    <w:pPr>
      <w:keepNext/>
      <w:spacing w:before="240" w:after="60"/>
      <w:outlineLvl w:val="1"/>
    </w:pPr>
    <w:rPr>
      <w:rFonts w:ascii="Arial" w:eastAsia="Times New Roman" w:hAnsi="Arial"/>
      <w:b/>
      <w:bCs/>
      <w:i/>
      <w:iCs/>
      <w:sz w:val="28"/>
      <w:szCs w:val="28"/>
    </w:rPr>
  </w:style>
  <w:style w:type="paragraph" w:styleId="Antrat3">
    <w:name w:val="heading 3"/>
    <w:basedOn w:val="prastasis"/>
    <w:next w:val="prastasis"/>
    <w:link w:val="Antrat3Diagrama"/>
    <w:uiPriority w:val="99"/>
    <w:qFormat/>
    <w:rsid w:val="00234E30"/>
    <w:pPr>
      <w:keepNext/>
      <w:spacing w:before="240" w:after="60"/>
      <w:outlineLvl w:val="2"/>
    </w:pPr>
    <w:rPr>
      <w:rFonts w:ascii="Arial" w:eastAsia="Times New Roman"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34E30"/>
    <w:rPr>
      <w:rFonts w:ascii="Arial" w:hAnsi="Arial" w:cs="Times New Roman"/>
      <w:b/>
      <w:bCs/>
      <w:kern w:val="32"/>
      <w:sz w:val="32"/>
      <w:szCs w:val="32"/>
    </w:rPr>
  </w:style>
  <w:style w:type="character" w:customStyle="1" w:styleId="Antrat2Diagrama">
    <w:name w:val="Antraštė 2 Diagrama"/>
    <w:link w:val="Antrat2"/>
    <w:uiPriority w:val="99"/>
    <w:locked/>
    <w:rsid w:val="00234E30"/>
    <w:rPr>
      <w:rFonts w:ascii="Arial" w:hAnsi="Arial" w:cs="Times New Roman"/>
      <w:b/>
      <w:bCs/>
      <w:i/>
      <w:iCs/>
      <w:sz w:val="28"/>
      <w:szCs w:val="28"/>
    </w:rPr>
  </w:style>
  <w:style w:type="character" w:customStyle="1" w:styleId="Antrat3Diagrama">
    <w:name w:val="Antraštė 3 Diagrama"/>
    <w:link w:val="Antrat3"/>
    <w:uiPriority w:val="99"/>
    <w:locked/>
    <w:rsid w:val="00234E30"/>
    <w:rPr>
      <w:rFonts w:ascii="Arial" w:hAnsi="Arial" w:cs="Times New Roman"/>
      <w:b/>
      <w:bCs/>
      <w:sz w:val="26"/>
      <w:szCs w:val="26"/>
    </w:rPr>
  </w:style>
  <w:style w:type="character" w:styleId="Hipersaitas">
    <w:name w:val="Hyperlink"/>
    <w:uiPriority w:val="99"/>
    <w:rsid w:val="00234E30"/>
    <w:rPr>
      <w:rFonts w:cs="Times New Roman"/>
      <w:color w:val="0000FF"/>
      <w:u w:val="single"/>
    </w:rPr>
  </w:style>
  <w:style w:type="paragraph" w:customStyle="1" w:styleId="PI-1EMEASMCA">
    <w:name w:val="PI-1 EMEA_SMCA"/>
    <w:basedOn w:val="Antrat2"/>
    <w:autoRedefine/>
    <w:uiPriority w:val="99"/>
    <w:rsid w:val="00234E3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A14E24"/>
    <w:pPr>
      <w:pBdr>
        <w:top w:val="single" w:sz="4" w:space="1" w:color="auto"/>
        <w:left w:val="single" w:sz="4" w:space="4" w:color="auto"/>
        <w:bottom w:val="single" w:sz="4" w:space="1" w:color="auto"/>
        <w:right w:val="single" w:sz="4" w:space="4" w:color="auto"/>
      </w:pBdr>
      <w:tabs>
        <w:tab w:val="left" w:pos="0"/>
        <w:tab w:val="left" w:pos="567"/>
      </w:tabs>
    </w:pPr>
    <w:rPr>
      <w:rFonts w:eastAsia="Times New Roman"/>
      <w:b/>
      <w:noProof/>
      <w:sz w:val="20"/>
      <w:szCs w:val="20"/>
      <w:lang w:val="en-US"/>
    </w:rPr>
  </w:style>
  <w:style w:type="character" w:customStyle="1" w:styleId="PI-1labEMEASMCAChar">
    <w:name w:val="PI-1_lab EMEA_SMCA Char"/>
    <w:link w:val="PI-1labEMEASMCA"/>
    <w:uiPriority w:val="99"/>
    <w:locked/>
    <w:rsid w:val="00A14E24"/>
    <w:rPr>
      <w:rFonts w:ascii="Times New Roman" w:eastAsia="Times New Roman" w:hAnsi="Times New Roman"/>
      <w:b/>
      <w:noProof/>
      <w:lang w:val="en-US" w:eastAsia="en-US"/>
    </w:rPr>
  </w:style>
  <w:style w:type="paragraph" w:customStyle="1" w:styleId="PI-2EMEASMCA">
    <w:name w:val="PI-2 EMEA_SMCA"/>
    <w:basedOn w:val="Antrat3"/>
    <w:autoRedefine/>
    <w:uiPriority w:val="99"/>
    <w:rsid w:val="00234E3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6D2935"/>
    <w:pPr>
      <w:tabs>
        <w:tab w:val="left" w:pos="426"/>
      </w:tabs>
    </w:pPr>
    <w:rPr>
      <w:rFonts w:eastAsia="Times New Roman"/>
    </w:rPr>
  </w:style>
  <w:style w:type="paragraph" w:customStyle="1" w:styleId="TTEMEASMCA">
    <w:name w:val="TT EMEA_SMCA"/>
    <w:basedOn w:val="Antrat1"/>
    <w:link w:val="TTEMEASMCAChar"/>
    <w:autoRedefine/>
    <w:uiPriority w:val="99"/>
    <w:rsid w:val="00234E30"/>
    <w:pPr>
      <w:keepNext w:val="0"/>
      <w:tabs>
        <w:tab w:val="left" w:pos="567"/>
      </w:tabs>
      <w:spacing w:before="0" w:after="0"/>
      <w:ind w:left="567" w:hanging="567"/>
      <w:jc w:val="center"/>
    </w:pPr>
    <w:rPr>
      <w:rFonts w:ascii="Times New Roman" w:hAnsi="Times New Roman"/>
      <w:bCs w:val="0"/>
      <w:kern w:val="0"/>
      <w:sz w:val="20"/>
      <w:szCs w:val="20"/>
      <w:lang w:val="en-US"/>
    </w:rPr>
  </w:style>
  <w:style w:type="character" w:customStyle="1" w:styleId="TTEMEASMCAChar">
    <w:name w:val="TT EMEA_SMCA Char"/>
    <w:link w:val="TTEMEASMCA"/>
    <w:uiPriority w:val="99"/>
    <w:locked/>
    <w:rsid w:val="00234E30"/>
    <w:rPr>
      <w:rFonts w:ascii="Times New Roman" w:hAnsi="Times New Roman"/>
      <w:b/>
      <w:sz w:val="20"/>
    </w:rPr>
  </w:style>
  <w:style w:type="paragraph" w:customStyle="1" w:styleId="BTAnIIEMEASMCA">
    <w:name w:val="BT(AnII) EMEA_SMCA"/>
    <w:basedOn w:val="Debesliotekstas"/>
    <w:autoRedefine/>
    <w:uiPriority w:val="99"/>
    <w:rsid w:val="00234E3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F22E83"/>
    <w:pPr>
      <w:tabs>
        <w:tab w:val="clear" w:pos="426"/>
      </w:tabs>
      <w:ind w:left="360" w:hanging="360"/>
      <w:jc w:val="both"/>
    </w:pPr>
  </w:style>
  <w:style w:type="paragraph" w:customStyle="1" w:styleId="PI-3EMEASMCA">
    <w:name w:val="PI-3 EMEA_SMCA"/>
    <w:basedOn w:val="prastasis"/>
    <w:autoRedefine/>
    <w:uiPriority w:val="99"/>
    <w:rsid w:val="001B6085"/>
    <w:pPr>
      <w:keepNext/>
    </w:pPr>
    <w:rPr>
      <w:rFonts w:eastAsia="Times New Roman"/>
      <w:b/>
      <w:bCs/>
    </w:rPr>
  </w:style>
  <w:style w:type="paragraph" w:customStyle="1" w:styleId="BTbEMEASMCA">
    <w:name w:val="BT(b) EMEA_SMCA"/>
    <w:basedOn w:val="BTEMEASMCA"/>
    <w:autoRedefine/>
    <w:uiPriority w:val="99"/>
    <w:rsid w:val="00234E30"/>
    <w:rPr>
      <w:bCs/>
    </w:rPr>
  </w:style>
  <w:style w:type="paragraph" w:customStyle="1" w:styleId="BTbeEMEASMCA">
    <w:name w:val="BT(be) EMEA_SMCA"/>
    <w:basedOn w:val="BTEMEASMCA"/>
    <w:autoRedefine/>
    <w:uiPriority w:val="99"/>
    <w:rsid w:val="00234E30"/>
    <w:pPr>
      <w:jc w:val="center"/>
    </w:pPr>
    <w:rPr>
      <w:b/>
    </w:rPr>
  </w:style>
  <w:style w:type="paragraph" w:customStyle="1" w:styleId="BTeEMEASMCA">
    <w:name w:val="BT(e) EMEA_SMCA"/>
    <w:basedOn w:val="BTEMEASMCA"/>
    <w:autoRedefine/>
    <w:uiPriority w:val="99"/>
    <w:rsid w:val="00234E30"/>
    <w:pPr>
      <w:jc w:val="center"/>
    </w:pPr>
  </w:style>
  <w:style w:type="character" w:customStyle="1" w:styleId="BTEMEASMCAChar">
    <w:name w:val="BT EMEA_SMCA Char"/>
    <w:link w:val="BTEMEASMCA"/>
    <w:uiPriority w:val="99"/>
    <w:locked/>
    <w:rsid w:val="006D2935"/>
    <w:rPr>
      <w:rFonts w:ascii="Times New Roman" w:eastAsia="Times New Roman" w:hAnsi="Times New Roman"/>
      <w:sz w:val="22"/>
      <w:szCs w:val="22"/>
      <w:lang w:eastAsia="en-US"/>
    </w:rPr>
  </w:style>
  <w:style w:type="paragraph" w:customStyle="1" w:styleId="BTuEMEASMCA">
    <w:name w:val="BT(u) EMEA_SMCA"/>
    <w:basedOn w:val="BTEMEASMCA"/>
    <w:autoRedefine/>
    <w:uiPriority w:val="99"/>
    <w:rsid w:val="00234E30"/>
    <w:rPr>
      <w:u w:val="single"/>
    </w:rPr>
  </w:style>
  <w:style w:type="paragraph" w:customStyle="1" w:styleId="knZulassung01">
    <w:name w:val="knZulassung01"/>
    <w:basedOn w:val="prastasis"/>
    <w:uiPriority w:val="99"/>
    <w:rsid w:val="00234E30"/>
    <w:pPr>
      <w:tabs>
        <w:tab w:val="left" w:pos="567"/>
      </w:tabs>
      <w:autoSpaceDE w:val="0"/>
      <w:autoSpaceDN w:val="0"/>
      <w:ind w:left="1843" w:right="284" w:hanging="1843"/>
    </w:pPr>
    <w:rPr>
      <w:rFonts w:ascii="Courier" w:eastAsia="Times New Roman" w:hAnsi="Courier" w:cs="Courier"/>
      <w:sz w:val="24"/>
      <w:szCs w:val="24"/>
      <w:lang w:val="de-DE" w:eastAsia="de-DE"/>
    </w:rPr>
  </w:style>
  <w:style w:type="paragraph" w:customStyle="1" w:styleId="knZulassung02">
    <w:name w:val="knZulassung02"/>
    <w:basedOn w:val="prastasis"/>
    <w:uiPriority w:val="99"/>
    <w:rsid w:val="00234E30"/>
    <w:pPr>
      <w:autoSpaceDE w:val="0"/>
      <w:autoSpaceDN w:val="0"/>
      <w:ind w:left="1843" w:right="284"/>
    </w:pPr>
    <w:rPr>
      <w:rFonts w:ascii="Courier" w:eastAsia="Times New Roman" w:hAnsi="Courier" w:cs="Courier"/>
      <w:sz w:val="24"/>
      <w:szCs w:val="24"/>
      <w:lang w:val="de-DE" w:eastAsia="de-DE"/>
    </w:rPr>
  </w:style>
  <w:style w:type="paragraph" w:customStyle="1" w:styleId="Formatvorlage1">
    <w:name w:val="Formatvorlage1"/>
    <w:basedOn w:val="prastasis"/>
    <w:uiPriority w:val="99"/>
    <w:rsid w:val="00234E30"/>
    <w:rPr>
      <w:rFonts w:ascii="Verdana" w:eastAsia="Times New Roman" w:hAnsi="Verdana" w:cs="Verdana"/>
      <w:lang w:val="de-DE" w:eastAsia="de-DE"/>
    </w:rPr>
  </w:style>
  <w:style w:type="paragraph" w:styleId="Pagrindiniotekstotrauka">
    <w:name w:val="Body Text Indent"/>
    <w:basedOn w:val="prastasis"/>
    <w:link w:val="PagrindiniotekstotraukaDiagrama"/>
    <w:uiPriority w:val="99"/>
    <w:rsid w:val="00234E30"/>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ind w:left="1843"/>
    </w:pPr>
    <w:rPr>
      <w:rFonts w:ascii="Arial" w:eastAsia="Times New Roman" w:hAnsi="Arial"/>
      <w:sz w:val="24"/>
      <w:szCs w:val="24"/>
      <w:lang w:val="de-DE" w:eastAsia="de-DE"/>
    </w:rPr>
  </w:style>
  <w:style w:type="character" w:customStyle="1" w:styleId="PagrindiniotekstotraukaDiagrama">
    <w:name w:val="Pagrindinio teksto įtrauka Diagrama"/>
    <w:link w:val="Pagrindiniotekstotrauka"/>
    <w:uiPriority w:val="99"/>
    <w:locked/>
    <w:rsid w:val="00234E30"/>
    <w:rPr>
      <w:rFonts w:ascii="Arial" w:hAnsi="Arial" w:cs="Times New Roman"/>
      <w:sz w:val="24"/>
      <w:szCs w:val="24"/>
      <w:lang w:val="de-DE" w:eastAsia="de-DE"/>
    </w:rPr>
  </w:style>
  <w:style w:type="paragraph" w:styleId="Pagrindiniotekstotrauka2">
    <w:name w:val="Body Text Indent 2"/>
    <w:basedOn w:val="prastasis"/>
    <w:link w:val="Pagrindiniotekstotrauka2Diagrama"/>
    <w:uiPriority w:val="99"/>
    <w:rsid w:val="00234E30"/>
    <w:pPr>
      <w:spacing w:after="120" w:line="480" w:lineRule="auto"/>
      <w:ind w:left="283"/>
    </w:pPr>
    <w:rPr>
      <w:rFonts w:eastAsia="Times New Roman"/>
      <w:sz w:val="24"/>
      <w:szCs w:val="24"/>
    </w:rPr>
  </w:style>
  <w:style w:type="character" w:customStyle="1" w:styleId="Pagrindiniotekstotrauka2Diagrama">
    <w:name w:val="Pagrindinio teksto įtrauka 2 Diagrama"/>
    <w:link w:val="Pagrindiniotekstotrauka2"/>
    <w:uiPriority w:val="99"/>
    <w:locked/>
    <w:rsid w:val="00234E30"/>
    <w:rPr>
      <w:rFonts w:ascii="Times New Roman" w:hAnsi="Times New Roman" w:cs="Times New Roman"/>
      <w:sz w:val="24"/>
      <w:szCs w:val="24"/>
    </w:rPr>
  </w:style>
  <w:style w:type="paragraph" w:customStyle="1" w:styleId="knZulassung03">
    <w:name w:val="knZulassung03"/>
    <w:basedOn w:val="prastasis"/>
    <w:uiPriority w:val="99"/>
    <w:rsid w:val="00234E30"/>
    <w:pPr>
      <w:spacing w:before="120" w:after="120"/>
      <w:ind w:left="2269" w:right="284" w:hanging="426"/>
    </w:pPr>
    <w:rPr>
      <w:rFonts w:ascii="Arial" w:eastAsia="Times New Roman" w:hAnsi="Arial" w:cs="Arial"/>
      <w:lang w:val="de-DE" w:eastAsia="ar-SA"/>
    </w:rPr>
  </w:style>
  <w:style w:type="paragraph" w:styleId="Pagrindinistekstas">
    <w:name w:val="Body Text"/>
    <w:basedOn w:val="prastasis"/>
    <w:link w:val="PagrindinistekstasDiagrama"/>
    <w:uiPriority w:val="99"/>
    <w:rsid w:val="00234E30"/>
    <w:pPr>
      <w:spacing w:after="120"/>
    </w:pPr>
    <w:rPr>
      <w:rFonts w:eastAsia="Times New Roman"/>
      <w:sz w:val="24"/>
      <w:szCs w:val="24"/>
    </w:rPr>
  </w:style>
  <w:style w:type="character" w:customStyle="1" w:styleId="PagrindinistekstasDiagrama">
    <w:name w:val="Pagrindinis tekstas Diagrama"/>
    <w:link w:val="Pagrindinistekstas"/>
    <w:uiPriority w:val="99"/>
    <w:locked/>
    <w:rsid w:val="00234E30"/>
    <w:rPr>
      <w:rFonts w:ascii="Times New Roman" w:hAnsi="Times New Roman" w:cs="Times New Roman"/>
      <w:sz w:val="24"/>
      <w:szCs w:val="24"/>
    </w:rPr>
  </w:style>
  <w:style w:type="paragraph" w:customStyle="1" w:styleId="BodyTextAfter0">
    <w:name w:val="Body Text + After 0"/>
    <w:basedOn w:val="Pagrindinistekstas"/>
    <w:uiPriority w:val="99"/>
    <w:rsid w:val="00234E30"/>
    <w:pPr>
      <w:spacing w:after="0"/>
    </w:pPr>
    <w:rPr>
      <w:sz w:val="22"/>
      <w:szCs w:val="22"/>
    </w:rPr>
  </w:style>
  <w:style w:type="paragraph" w:customStyle="1" w:styleId="Sraopastraipa1">
    <w:name w:val="Sąrao pastraipa1"/>
    <w:basedOn w:val="prastasis"/>
    <w:uiPriority w:val="99"/>
    <w:rsid w:val="00234E30"/>
    <w:pPr>
      <w:ind w:left="1296"/>
    </w:pPr>
    <w:rPr>
      <w:rFonts w:eastAsia="Times New Roman"/>
      <w:sz w:val="24"/>
      <w:szCs w:val="24"/>
    </w:rPr>
  </w:style>
  <w:style w:type="paragraph" w:styleId="Porat">
    <w:name w:val="footer"/>
    <w:basedOn w:val="prastasis"/>
    <w:link w:val="PoratDiagrama"/>
    <w:uiPriority w:val="99"/>
    <w:rsid w:val="00234E30"/>
    <w:pPr>
      <w:tabs>
        <w:tab w:val="center" w:pos="4819"/>
        <w:tab w:val="right" w:pos="9638"/>
      </w:tabs>
    </w:pPr>
    <w:rPr>
      <w:rFonts w:eastAsia="Times New Roman"/>
      <w:sz w:val="24"/>
      <w:szCs w:val="24"/>
    </w:rPr>
  </w:style>
  <w:style w:type="character" w:customStyle="1" w:styleId="PoratDiagrama">
    <w:name w:val="Poraštė Diagrama"/>
    <w:link w:val="Porat"/>
    <w:uiPriority w:val="99"/>
    <w:locked/>
    <w:rsid w:val="00234E30"/>
    <w:rPr>
      <w:rFonts w:ascii="Times New Roman" w:hAnsi="Times New Roman" w:cs="Times New Roman"/>
      <w:sz w:val="24"/>
      <w:szCs w:val="24"/>
    </w:rPr>
  </w:style>
  <w:style w:type="character" w:styleId="Puslapionumeris">
    <w:name w:val="page number"/>
    <w:uiPriority w:val="99"/>
    <w:rsid w:val="00234E30"/>
    <w:rPr>
      <w:rFonts w:cs="Times New Roman"/>
    </w:rPr>
  </w:style>
  <w:style w:type="paragraph" w:styleId="Debesliotekstas">
    <w:name w:val="Balloon Text"/>
    <w:basedOn w:val="prastasis"/>
    <w:link w:val="DebesliotekstasDiagrama"/>
    <w:uiPriority w:val="99"/>
    <w:semiHidden/>
    <w:rsid w:val="00234E30"/>
    <w:rPr>
      <w:rFonts w:ascii="Tahoma" w:eastAsia="Times New Roman" w:hAnsi="Tahoma"/>
      <w:sz w:val="16"/>
      <w:szCs w:val="16"/>
    </w:rPr>
  </w:style>
  <w:style w:type="character" w:customStyle="1" w:styleId="DebesliotekstasDiagrama">
    <w:name w:val="Debesėlio tekstas Diagrama"/>
    <w:link w:val="Debesliotekstas"/>
    <w:uiPriority w:val="99"/>
    <w:semiHidden/>
    <w:locked/>
    <w:rsid w:val="00234E30"/>
    <w:rPr>
      <w:rFonts w:ascii="Tahoma" w:hAnsi="Tahoma" w:cs="Times New Roman"/>
      <w:sz w:val="16"/>
      <w:szCs w:val="16"/>
    </w:rPr>
  </w:style>
  <w:style w:type="paragraph" w:styleId="Pagrindinistekstas2">
    <w:name w:val="Body Text 2"/>
    <w:basedOn w:val="prastasis"/>
    <w:link w:val="Pagrindinistekstas2Diagrama"/>
    <w:uiPriority w:val="99"/>
    <w:semiHidden/>
    <w:rsid w:val="00234E30"/>
    <w:pPr>
      <w:spacing w:after="120" w:line="480" w:lineRule="auto"/>
    </w:pPr>
    <w:rPr>
      <w:rFonts w:eastAsia="Times New Roman"/>
      <w:sz w:val="20"/>
      <w:szCs w:val="20"/>
      <w:lang w:eastAsia="lt-LT"/>
    </w:rPr>
  </w:style>
  <w:style w:type="character" w:customStyle="1" w:styleId="Pagrindinistekstas2Diagrama">
    <w:name w:val="Pagrindinis tekstas 2 Diagrama"/>
    <w:link w:val="Pagrindinistekstas2"/>
    <w:uiPriority w:val="99"/>
    <w:semiHidden/>
    <w:locked/>
    <w:rsid w:val="00234E30"/>
    <w:rPr>
      <w:rFonts w:ascii="Times New Roman" w:hAnsi="Times New Roman" w:cs="Times New Roman"/>
      <w:sz w:val="20"/>
      <w:szCs w:val="20"/>
      <w:lang w:eastAsia="lt-LT"/>
    </w:rPr>
  </w:style>
  <w:style w:type="paragraph" w:customStyle="1" w:styleId="Sraopastraipa11">
    <w:name w:val="Sąrao pastraipa11"/>
    <w:basedOn w:val="prastasis"/>
    <w:uiPriority w:val="99"/>
    <w:rsid w:val="00234E30"/>
    <w:pPr>
      <w:ind w:left="1296"/>
    </w:pPr>
    <w:rPr>
      <w:rFonts w:eastAsia="Times New Roman"/>
      <w:sz w:val="24"/>
      <w:szCs w:val="24"/>
    </w:rPr>
  </w:style>
  <w:style w:type="character" w:styleId="Eilutsnumeris">
    <w:name w:val="line number"/>
    <w:uiPriority w:val="99"/>
    <w:semiHidden/>
    <w:rsid w:val="00234E30"/>
    <w:rPr>
      <w:rFonts w:cs="Times New Roman"/>
    </w:rPr>
  </w:style>
  <w:style w:type="paragraph" w:customStyle="1" w:styleId="BTgEMEASMCA">
    <w:name w:val="BT(g) EMEA_SMCA"/>
    <w:basedOn w:val="BTEMEASMCA"/>
    <w:link w:val="BTgEMEASMCAChar"/>
    <w:autoRedefine/>
    <w:uiPriority w:val="99"/>
    <w:rsid w:val="00234E30"/>
    <w:rPr>
      <w:i/>
      <w:noProof/>
      <w:color w:val="008000"/>
    </w:rPr>
  </w:style>
  <w:style w:type="character" w:customStyle="1" w:styleId="BTgEMEASMCAChar">
    <w:name w:val="BT(g) EMEA_SMCA Char"/>
    <w:link w:val="BTgEMEASMCA"/>
    <w:uiPriority w:val="99"/>
    <w:locked/>
    <w:rsid w:val="00234E30"/>
    <w:rPr>
      <w:rFonts w:ascii="Times New Roman" w:hAnsi="Times New Roman"/>
      <w:i/>
      <w:noProof/>
      <w:color w:val="008000"/>
      <w:sz w:val="20"/>
    </w:rPr>
  </w:style>
  <w:style w:type="paragraph" w:styleId="Dokumentostruktra">
    <w:name w:val="Document Map"/>
    <w:basedOn w:val="prastasis"/>
    <w:link w:val="DokumentostruktraDiagrama"/>
    <w:uiPriority w:val="99"/>
    <w:semiHidden/>
    <w:rsid w:val="00234E30"/>
    <w:pPr>
      <w:shd w:val="clear" w:color="auto" w:fill="000080"/>
    </w:pPr>
    <w:rPr>
      <w:rFonts w:ascii="Tahoma" w:eastAsia="Times New Roman" w:hAnsi="Tahoma"/>
      <w:sz w:val="20"/>
      <w:szCs w:val="20"/>
    </w:rPr>
  </w:style>
  <w:style w:type="character" w:customStyle="1" w:styleId="DokumentostruktraDiagrama">
    <w:name w:val="Dokumento struktūra Diagrama"/>
    <w:link w:val="Dokumentostruktra"/>
    <w:uiPriority w:val="99"/>
    <w:semiHidden/>
    <w:locked/>
    <w:rsid w:val="00234E30"/>
    <w:rPr>
      <w:rFonts w:ascii="Tahoma" w:hAnsi="Tahoma" w:cs="Times New Roman"/>
      <w:sz w:val="20"/>
      <w:szCs w:val="20"/>
      <w:shd w:val="clear" w:color="auto" w:fill="000080"/>
    </w:rPr>
  </w:style>
  <w:style w:type="character" w:styleId="Komentaronuoroda">
    <w:name w:val="annotation reference"/>
    <w:uiPriority w:val="99"/>
    <w:semiHidden/>
    <w:rsid w:val="00234E30"/>
    <w:rPr>
      <w:rFonts w:cs="Times New Roman"/>
      <w:sz w:val="16"/>
    </w:rPr>
  </w:style>
  <w:style w:type="paragraph" w:styleId="Komentarotekstas">
    <w:name w:val="annotation text"/>
    <w:basedOn w:val="prastasis"/>
    <w:link w:val="KomentarotekstasDiagrama"/>
    <w:rsid w:val="00234E30"/>
    <w:rPr>
      <w:rFonts w:eastAsia="Times New Roman"/>
      <w:sz w:val="20"/>
      <w:szCs w:val="20"/>
      <w:lang w:val="de-DE" w:eastAsia="de-DE"/>
    </w:rPr>
  </w:style>
  <w:style w:type="character" w:customStyle="1" w:styleId="KomentarotekstasDiagrama">
    <w:name w:val="Komentaro tekstas Diagrama"/>
    <w:link w:val="Komentarotekstas"/>
    <w:locked/>
    <w:rsid w:val="00234E30"/>
    <w:rPr>
      <w:rFonts w:ascii="Times New Roman" w:hAnsi="Times New Roman" w:cs="Times New Roman"/>
      <w:sz w:val="20"/>
      <w:szCs w:val="20"/>
      <w:lang w:val="de-DE" w:eastAsia="de-DE"/>
    </w:rPr>
  </w:style>
  <w:style w:type="paragraph" w:customStyle="1" w:styleId="UeberB1">
    <w:name w:val="Ueber_B.1"/>
    <w:basedOn w:val="prastasis"/>
    <w:next w:val="prastasis"/>
    <w:uiPriority w:val="99"/>
    <w:rsid w:val="00234E30"/>
    <w:pPr>
      <w:numPr>
        <w:numId w:val="1"/>
      </w:numPr>
      <w:spacing w:line="312" w:lineRule="auto"/>
      <w:outlineLvl w:val="0"/>
    </w:pPr>
    <w:rPr>
      <w:rFonts w:ascii="Arial" w:eastAsia="Times New Roman" w:hAnsi="Arial"/>
      <w:sz w:val="24"/>
      <w:szCs w:val="24"/>
      <w:lang w:val="en-GB" w:eastAsia="de-DE"/>
    </w:rPr>
  </w:style>
  <w:style w:type="paragraph" w:styleId="Komentarotema">
    <w:name w:val="annotation subject"/>
    <w:basedOn w:val="Komentarotekstas"/>
    <w:next w:val="Komentarotekstas"/>
    <w:link w:val="KomentarotemaDiagrama"/>
    <w:uiPriority w:val="99"/>
    <w:semiHidden/>
    <w:rsid w:val="00234E30"/>
    <w:rPr>
      <w:b/>
      <w:bCs/>
      <w:lang w:val="lt-LT"/>
    </w:rPr>
  </w:style>
  <w:style w:type="character" w:customStyle="1" w:styleId="KomentarotemaDiagrama">
    <w:name w:val="Komentaro tema Diagrama"/>
    <w:link w:val="Komentarotema"/>
    <w:uiPriority w:val="99"/>
    <w:semiHidden/>
    <w:locked/>
    <w:rsid w:val="00234E30"/>
    <w:rPr>
      <w:rFonts w:ascii="Times New Roman" w:hAnsi="Times New Roman" w:cs="Times New Roman"/>
      <w:b/>
      <w:bCs/>
      <w:sz w:val="20"/>
      <w:szCs w:val="20"/>
      <w:lang w:val="de-DE" w:eastAsia="de-DE"/>
    </w:rPr>
  </w:style>
  <w:style w:type="paragraph" w:customStyle="1" w:styleId="ListParagraph1">
    <w:name w:val="List Paragraph1"/>
    <w:basedOn w:val="prastasis"/>
    <w:uiPriority w:val="99"/>
    <w:rsid w:val="00234E30"/>
    <w:pPr>
      <w:ind w:left="1296"/>
    </w:pPr>
    <w:rPr>
      <w:rFonts w:eastAsia="Times New Roman"/>
      <w:sz w:val="24"/>
      <w:szCs w:val="24"/>
    </w:rPr>
  </w:style>
  <w:style w:type="paragraph" w:styleId="Antrats">
    <w:name w:val="header"/>
    <w:basedOn w:val="prastasis"/>
    <w:link w:val="AntratsDiagrama"/>
    <w:uiPriority w:val="99"/>
    <w:rsid w:val="00234E30"/>
    <w:pPr>
      <w:tabs>
        <w:tab w:val="center" w:pos="4819"/>
        <w:tab w:val="right" w:pos="9638"/>
      </w:tabs>
    </w:pPr>
    <w:rPr>
      <w:rFonts w:eastAsia="Times New Roman"/>
      <w:sz w:val="24"/>
      <w:szCs w:val="24"/>
    </w:rPr>
  </w:style>
  <w:style w:type="character" w:customStyle="1" w:styleId="AntratsDiagrama">
    <w:name w:val="Antraštės Diagrama"/>
    <w:link w:val="Antrats"/>
    <w:uiPriority w:val="99"/>
    <w:locked/>
    <w:rsid w:val="00234E30"/>
    <w:rPr>
      <w:rFonts w:ascii="Times New Roman" w:hAnsi="Times New Roman" w:cs="Times New Roman"/>
      <w:sz w:val="24"/>
      <w:szCs w:val="24"/>
    </w:rPr>
  </w:style>
  <w:style w:type="paragraph" w:customStyle="1" w:styleId="Default">
    <w:name w:val="Default"/>
    <w:uiPriority w:val="99"/>
    <w:rsid w:val="00234E30"/>
    <w:pPr>
      <w:autoSpaceDE w:val="0"/>
      <w:autoSpaceDN w:val="0"/>
      <w:adjustRightInd w:val="0"/>
    </w:pPr>
    <w:rPr>
      <w:rFonts w:ascii="EKOKKH+Garamond" w:eastAsia="Times New Roman" w:hAnsi="EKOKKH+Garamond" w:cs="EKOKKH+Garamond"/>
      <w:color w:val="000000"/>
      <w:sz w:val="24"/>
      <w:szCs w:val="24"/>
      <w:lang w:val="de-DE" w:eastAsia="de-DE"/>
    </w:rPr>
  </w:style>
  <w:style w:type="character" w:customStyle="1" w:styleId="tw4winJump">
    <w:name w:val="tw4winJump"/>
    <w:uiPriority w:val="99"/>
    <w:rsid w:val="00234E30"/>
    <w:rPr>
      <w:rFonts w:ascii="Courier New" w:hAnsi="Courier New"/>
      <w:noProof/>
      <w:color w:val="008080"/>
    </w:rPr>
  </w:style>
  <w:style w:type="paragraph" w:customStyle="1" w:styleId="BodytextAgency">
    <w:name w:val="Body text (Agency)"/>
    <w:basedOn w:val="prastasis"/>
    <w:link w:val="BodytextAgencyChar"/>
    <w:uiPriority w:val="99"/>
    <w:rsid w:val="00234E30"/>
    <w:pPr>
      <w:spacing w:after="140" w:line="280" w:lineRule="atLeast"/>
    </w:pPr>
    <w:rPr>
      <w:rFonts w:ascii="Verdana" w:eastAsia="Times New Roman" w:hAnsi="Verdana"/>
      <w:sz w:val="18"/>
      <w:szCs w:val="20"/>
      <w:lang w:val="en-GB"/>
    </w:rPr>
  </w:style>
  <w:style w:type="character" w:customStyle="1" w:styleId="BodytextAgencyChar">
    <w:name w:val="Body text (Agency) Char"/>
    <w:link w:val="BodytextAgency"/>
    <w:uiPriority w:val="99"/>
    <w:locked/>
    <w:rsid w:val="00234E30"/>
    <w:rPr>
      <w:rFonts w:ascii="Verdana" w:hAnsi="Verdana"/>
      <w:snapToGrid w:val="0"/>
      <w:sz w:val="20"/>
      <w:lang w:val="en-GB"/>
    </w:rPr>
  </w:style>
  <w:style w:type="character" w:customStyle="1" w:styleId="shorttext">
    <w:name w:val="short_text"/>
    <w:uiPriority w:val="99"/>
    <w:rsid w:val="00234E30"/>
  </w:style>
  <w:style w:type="character" w:customStyle="1" w:styleId="s1">
    <w:name w:val="s1"/>
    <w:uiPriority w:val="99"/>
    <w:rsid w:val="00234E30"/>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21722C"/>
    <w:rPr>
      <w:sz w:val="20"/>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21722C"/>
    <w:pPr>
      <w:widowControl w:val="0"/>
      <w:shd w:val="clear" w:color="auto" w:fill="FFFFFF"/>
      <w:spacing w:line="485" w:lineRule="exact"/>
      <w:ind w:hanging="360"/>
      <w:jc w:val="both"/>
    </w:pPr>
    <w:rPr>
      <w:sz w:val="20"/>
      <w:szCs w:val="20"/>
      <w:lang w:val="en-US"/>
    </w:rPr>
  </w:style>
  <w:style w:type="character" w:customStyle="1" w:styleId="MSGENFONTSTYLENAMETEMPLATEROLEMSGENFONTSTYLENAMEBYROLETEXTMSGENFONTSTYLEMODIFERITALIC">
    <w:name w:val="MSG_EN_FONT_STYLE_NAME_TEMPLATE_ROLE MSG_EN_FONT_STYLE_NAME_BY_ROLE_TEXT + MSG_EN_FONT_STYLE_MODIFER_ITALIC"/>
    <w:uiPriority w:val="99"/>
    <w:rsid w:val="009F4748"/>
    <w:rPr>
      <w:rFonts w:ascii="Times New Roman" w:hAnsi="Times New Roman"/>
      <w:i/>
      <w:color w:val="000000"/>
      <w:spacing w:val="0"/>
      <w:w w:val="100"/>
      <w:position w:val="0"/>
      <w:sz w:val="20"/>
      <w:u w:val="none"/>
      <w:lang w:val="en-US"/>
    </w:rPr>
  </w:style>
  <w:style w:type="character" w:customStyle="1" w:styleId="MSGENFONTSTYLENAMETEMPLATEROLEMSGENFONTSTYLENAMEBYROLETEXTMSGENFONTSTYLEMODIFERITALIC0">
    <w:name w:val="MSG_EN_FONT_STYLE_NAME_TEMPLATE_ROLE MSG_EN_FONT_STYLE_NAME_BY_ROLE_TEXT + MSG_EN_FONT_STYLE_MODIFER_ITALIC_0"/>
    <w:uiPriority w:val="99"/>
    <w:rsid w:val="000819E9"/>
    <w:rPr>
      <w:rFonts w:ascii="Times New Roman" w:hAnsi="Times New Roman"/>
      <w:i/>
      <w:color w:val="000000"/>
      <w:spacing w:val="0"/>
      <w:w w:val="100"/>
      <w:position w:val="0"/>
      <w:sz w:val="20"/>
      <w:u w:val="none"/>
      <w:lang w:val="en-US"/>
    </w:rPr>
  </w:style>
  <w:style w:type="paragraph" w:styleId="Sraopastraipa">
    <w:name w:val="List Paragraph"/>
    <w:basedOn w:val="prastasis"/>
    <w:uiPriority w:val="99"/>
    <w:qFormat/>
    <w:rsid w:val="00C16F85"/>
    <w:pPr>
      <w:ind w:left="720"/>
      <w:contextualSpacing/>
    </w:p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locked/>
    <w:rsid w:val="002F7CCD"/>
    <w:rPr>
      <w:sz w:val="20"/>
      <w:shd w:val="clear" w:color="auto" w:fill="FFFFFF"/>
    </w:rPr>
  </w:style>
  <w:style w:type="paragraph" w:customStyle="1" w:styleId="MSGENFONTSTYLENAMETEMPLATEROLENUMBERMSGENFONTSTYLENAMEBYROLETEXT40">
    <w:name w:val="MSG_EN_FONT_STYLE_NAME_TEMPLATE_ROLE_NUMBER MSG_EN_FONT_STYLE_NAME_BY_ROLE_TEXT 4"/>
    <w:basedOn w:val="prastasis"/>
    <w:link w:val="MSGENFONTSTYLENAMETEMPLATEROLENUMBERMSGENFONTSTYLENAMEBYROLETEXT4"/>
    <w:uiPriority w:val="99"/>
    <w:rsid w:val="002F7CCD"/>
    <w:pPr>
      <w:widowControl w:val="0"/>
      <w:shd w:val="clear" w:color="auto" w:fill="FFFFFF"/>
      <w:spacing w:line="499" w:lineRule="exact"/>
      <w:jc w:val="both"/>
    </w:pPr>
    <w:rPr>
      <w:sz w:val="20"/>
      <w:szCs w:val="20"/>
      <w:lang w:val="en-US"/>
    </w:rPr>
  </w:style>
  <w:style w:type="paragraph" w:styleId="Pavadinimas">
    <w:name w:val="Title"/>
    <w:basedOn w:val="prastasis"/>
    <w:link w:val="PavadinimasDiagrama"/>
    <w:autoRedefine/>
    <w:uiPriority w:val="99"/>
    <w:qFormat/>
    <w:rsid w:val="001B6085"/>
    <w:pPr>
      <w:keepNext/>
      <w:outlineLvl w:val="0"/>
    </w:pPr>
    <w:rPr>
      <w:rFonts w:eastAsia="Times New Roman"/>
      <w:bCs/>
      <w:i/>
    </w:rPr>
  </w:style>
  <w:style w:type="character" w:customStyle="1" w:styleId="PavadinimasDiagrama">
    <w:name w:val="Pavadinimas Diagrama"/>
    <w:link w:val="Pavadinimas"/>
    <w:uiPriority w:val="99"/>
    <w:locked/>
    <w:rsid w:val="001B6085"/>
    <w:rPr>
      <w:rFonts w:ascii="Times New Roman" w:eastAsia="Times New Roman" w:hAnsi="Times New Roman"/>
      <w:bCs/>
      <w:i/>
      <w:sz w:val="22"/>
      <w:szCs w:val="22"/>
      <w:lang w:eastAsia="en-US"/>
    </w:rPr>
  </w:style>
  <w:style w:type="character" w:customStyle="1" w:styleId="MSGENFONTSTYLENAMETEMPLATEROLEMSGENFONTSTYLENAMEBYROLETEXTMSGENFONTSTYLEMODIFERITALIC2">
    <w:name w:val="MSG_EN_FONT_STYLE_NAME_TEMPLATE_ROLE MSG_EN_FONT_STYLE_NAME_BY_ROLE_TEXT + MSG_EN_FONT_STYLE_MODIFER_ITALIC_2"/>
    <w:uiPriority w:val="99"/>
    <w:rsid w:val="00CA263E"/>
    <w:rPr>
      <w:rFonts w:ascii="Times New Roman" w:hAnsi="Times New Roman"/>
      <w:i/>
      <w:color w:val="000000"/>
      <w:spacing w:val="0"/>
      <w:w w:val="100"/>
      <w:position w:val="0"/>
      <w:sz w:val="20"/>
      <w:u w:val="single"/>
      <w:lang w:val="en-US"/>
    </w:rPr>
  </w:style>
  <w:style w:type="character" w:customStyle="1" w:styleId="MSGENFONTSTYLENAMETEMPLATEROLEMSGENFONTSTYLENAMEBYROLETEXTMSGENFONTSTYLEMODIFERITALIC4">
    <w:name w:val="MSG_EN_FONT_STYLE_NAME_TEMPLATE_ROLE MSG_EN_FONT_STYLE_NAME_BY_ROLE_TEXT + MSG_EN_FONT_STYLE_MODIFER_ITALIC_4"/>
    <w:uiPriority w:val="99"/>
    <w:rsid w:val="00E67D14"/>
    <w:rPr>
      <w:rFonts w:ascii="Times New Roman" w:hAnsi="Times New Roman"/>
      <w:i/>
      <w:color w:val="000000"/>
      <w:spacing w:val="0"/>
      <w:w w:val="100"/>
      <w:position w:val="0"/>
      <w:sz w:val="20"/>
      <w:u w:val="single"/>
      <w:lang w:val="en-US"/>
    </w:rPr>
  </w:style>
  <w:style w:type="character" w:customStyle="1" w:styleId="MSGENFONTSTYLENAMETEMPLATEROLEMSGENFONTSTYLENAMEBYROLETEXTMSGENFONTSTYLEMODIFERNAMEArial">
    <w:name w:val="MSG_EN_FONT_STYLE_NAME_TEMPLATE_ROLE MSG_EN_FONT_STYLE_NAME_BY_ROLE_TEXT + MSG_EN_FONT_STYLE_MODIFER_NAME Arial"/>
    <w:aliases w:val="MSG_EN_FONT_STYLE_MODIFER_SIZE 9.5"/>
    <w:uiPriority w:val="99"/>
    <w:rsid w:val="000A1756"/>
    <w:rPr>
      <w:rFonts w:ascii="Arial" w:eastAsia="Times New Roman" w:hAnsi="Arial"/>
      <w:color w:val="000000"/>
      <w:spacing w:val="0"/>
      <w:w w:val="100"/>
      <w:position w:val="0"/>
      <w:sz w:val="19"/>
      <w:u w:val="none"/>
      <w:lang w:val="en-US"/>
    </w:rPr>
  </w:style>
  <w:style w:type="paragraph" w:customStyle="1" w:styleId="MSGENFONTSTYLENAMETEMPLATEROLEMSGENFONTSTYLENAMEBYROLETEXT1">
    <w:name w:val="MSG_EN_FONT_STYLE_NAME_TEMPLATE_ROLE MSG_EN_FONT_STYLE_NAME_BY_ROLE_TEXT_1"/>
    <w:basedOn w:val="prastasis"/>
    <w:rsid w:val="000A1756"/>
    <w:pPr>
      <w:widowControl w:val="0"/>
      <w:shd w:val="clear" w:color="auto" w:fill="FFFFFF"/>
      <w:spacing w:line="250" w:lineRule="exact"/>
      <w:ind w:hanging="360"/>
      <w:jc w:val="both"/>
    </w:pPr>
    <w:rPr>
      <w:rFonts w:eastAsia="Times New Roman"/>
      <w:color w:val="000000"/>
      <w:sz w:val="20"/>
      <w:szCs w:val="20"/>
      <w:lang w:val="en-US"/>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B7635A"/>
    <w:rPr>
      <w:shd w:val="clear" w:color="auto" w:fill="FFFFFF"/>
    </w:rPr>
  </w:style>
  <w:style w:type="paragraph" w:customStyle="1" w:styleId="MSGENFONTSTYLENAMETEMPLATEROLELEVELMSGENFONTSTYLENAMEBYROLEHEADING21">
    <w:name w:val="MSG_EN_FONT_STYLE_NAME_TEMPLATE_ROLE_LEVEL MSG_EN_FONT_STYLE_NAME_BY_ROLE_HEADING 2_1"/>
    <w:basedOn w:val="prastasis"/>
    <w:link w:val="MSGENFONTSTYLENAMETEMPLATEROLELEVELMSGENFONTSTYLENAMEBYROLEHEADING2"/>
    <w:uiPriority w:val="99"/>
    <w:rsid w:val="00B7635A"/>
    <w:pPr>
      <w:widowControl w:val="0"/>
      <w:shd w:val="clear" w:color="auto" w:fill="FFFFFF"/>
      <w:spacing w:before="180" w:after="60" w:line="240" w:lineRule="atLeast"/>
      <w:jc w:val="both"/>
      <w:outlineLvl w:val="1"/>
    </w:pPr>
    <w:rPr>
      <w:sz w:val="20"/>
      <w:szCs w:val="20"/>
      <w:lang w:val="en-US"/>
    </w:rPr>
  </w:style>
  <w:style w:type="character" w:customStyle="1" w:styleId="MSGENFONTSTYLENAMETEMPLATEROLELEVELMSGENFONTSTYLENAMEBYROLEHEADING20">
    <w:name w:val="MSG_EN_FONT_STYLE_NAME_TEMPLATE_ROLE_LEVEL MSG_EN_FONT_STYLE_NAME_BY_ROLE_HEADING 2_0"/>
    <w:uiPriority w:val="99"/>
    <w:rsid w:val="00B7635A"/>
    <w:rPr>
      <w:rFonts w:ascii="Times New Roman" w:hAnsi="Times New Roman"/>
      <w:color w:val="000000"/>
      <w:spacing w:val="0"/>
      <w:w w:val="100"/>
      <w:position w:val="0"/>
      <w:sz w:val="20"/>
      <w:u w:val="single"/>
      <w:lang w:val="en-US"/>
    </w:rPr>
  </w:style>
  <w:style w:type="paragraph" w:styleId="Pagrindinistekstas3">
    <w:name w:val="Body Text 3"/>
    <w:basedOn w:val="prastasis"/>
    <w:link w:val="Pagrindinistekstas3Diagrama"/>
    <w:uiPriority w:val="99"/>
    <w:semiHidden/>
    <w:rsid w:val="00C13A40"/>
    <w:pPr>
      <w:spacing w:after="120"/>
    </w:pPr>
    <w:rPr>
      <w:rFonts w:eastAsia="Times New Roman"/>
      <w:sz w:val="16"/>
      <w:szCs w:val="16"/>
      <w:lang w:val="en-US"/>
    </w:rPr>
  </w:style>
  <w:style w:type="character" w:customStyle="1" w:styleId="Pagrindinistekstas3Diagrama">
    <w:name w:val="Pagrindinis tekstas 3 Diagrama"/>
    <w:link w:val="Pagrindinistekstas3"/>
    <w:uiPriority w:val="99"/>
    <w:semiHidden/>
    <w:locked/>
    <w:rsid w:val="00C13A40"/>
    <w:rPr>
      <w:rFonts w:ascii="Times New Roman" w:hAnsi="Times New Roman" w:cs="Times New Roman"/>
      <w:sz w:val="16"/>
      <w:szCs w:val="16"/>
    </w:rPr>
  </w:style>
  <w:style w:type="paragraph" w:customStyle="1" w:styleId="MediumGrid1-Accent21">
    <w:name w:val="Medium Grid 1 - Accent 21"/>
    <w:basedOn w:val="prastasis"/>
    <w:uiPriority w:val="99"/>
    <w:rsid w:val="00C13A40"/>
    <w:pPr>
      <w:ind w:left="720"/>
      <w:contextualSpacing/>
    </w:pPr>
    <w:rPr>
      <w:rFonts w:eastAsia="Times New Roman"/>
      <w:sz w:val="24"/>
      <w:szCs w:val="24"/>
      <w:lang w:val="pl-PL" w:eastAsia="pl-PL"/>
    </w:rPr>
  </w:style>
  <w:style w:type="paragraph" w:styleId="Pagrindiniotekstotrauka3">
    <w:name w:val="Body Text Indent 3"/>
    <w:basedOn w:val="prastasis"/>
    <w:link w:val="Pagrindiniotekstotrauka3Diagrama"/>
    <w:uiPriority w:val="99"/>
    <w:rsid w:val="000033F7"/>
    <w:pPr>
      <w:spacing w:after="120"/>
      <w:ind w:left="283"/>
    </w:pPr>
    <w:rPr>
      <w:rFonts w:eastAsia="Times New Roman"/>
      <w:sz w:val="16"/>
      <w:szCs w:val="16"/>
      <w:lang w:val="en-US"/>
    </w:rPr>
  </w:style>
  <w:style w:type="character" w:customStyle="1" w:styleId="Pagrindiniotekstotrauka3Diagrama">
    <w:name w:val="Pagrindinio teksto įtrauka 3 Diagrama"/>
    <w:link w:val="Pagrindiniotekstotrauka3"/>
    <w:uiPriority w:val="99"/>
    <w:locked/>
    <w:rsid w:val="000033F7"/>
    <w:rPr>
      <w:rFonts w:ascii="Times New Roman" w:hAnsi="Times New Roman" w:cs="Times New Roman"/>
      <w:sz w:val="16"/>
      <w:szCs w:val="16"/>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2"/>
    <w:uiPriority w:val="99"/>
    <w:locked/>
    <w:rsid w:val="00FF1485"/>
    <w:rPr>
      <w:sz w:val="19"/>
      <w:shd w:val="clear" w:color="auto" w:fill="FFFFFF"/>
    </w:rPr>
  </w:style>
  <w:style w:type="paragraph" w:customStyle="1" w:styleId="MSGENFONTSTYLENAMETEMPLATEROLENUMBERMSGENFONTSTYLENAMEBYROLETEXT22">
    <w:name w:val="MSG_EN_FONT_STYLE_NAME_TEMPLATE_ROLE_NUMBER MSG_EN_FONT_STYLE_NAME_BY_ROLE_TEXT 2_2"/>
    <w:basedOn w:val="prastasis"/>
    <w:link w:val="MSGENFONTSTYLENAMETEMPLATEROLENUMBERMSGENFONTSTYLENAMEBYROLETEXT2"/>
    <w:uiPriority w:val="99"/>
    <w:rsid w:val="00FF1485"/>
    <w:pPr>
      <w:widowControl w:val="0"/>
      <w:shd w:val="clear" w:color="auto" w:fill="FFFFFF"/>
      <w:spacing w:line="250" w:lineRule="exact"/>
      <w:ind w:hanging="240"/>
      <w:jc w:val="both"/>
    </w:pPr>
    <w:rPr>
      <w:sz w:val="19"/>
      <w:szCs w:val="19"/>
      <w:lang w:val="en-US"/>
    </w:rPr>
  </w:style>
  <w:style w:type="character" w:customStyle="1" w:styleId="MSGENFONTSTYLENAMETEMPLATEROLENUMBERMSGENFONTSTYLENAMEBYROLETEXT20">
    <w:name w:val="MSG_EN_FONT_STYLE_NAME_TEMPLATE_ROLE_NUMBER MSG_EN_FONT_STYLE_NAME_BY_ROLE_TEXT 2_0"/>
    <w:uiPriority w:val="99"/>
    <w:rsid w:val="00FF1485"/>
    <w:rPr>
      <w:rFonts w:ascii="Times New Roman" w:hAnsi="Times New Roman"/>
      <w:color w:val="000000"/>
      <w:spacing w:val="0"/>
      <w:w w:val="100"/>
      <w:position w:val="0"/>
      <w:sz w:val="19"/>
      <w:u w:val="single"/>
      <w:lang w:val="en-US"/>
    </w:rPr>
  </w:style>
  <w:style w:type="paragraph" w:styleId="Pataisymai">
    <w:name w:val="Revision"/>
    <w:hidden/>
    <w:uiPriority w:val="99"/>
    <w:semiHidden/>
    <w:rsid w:val="0074034B"/>
    <w:rPr>
      <w:sz w:val="22"/>
      <w:szCs w:val="22"/>
      <w:lang w:eastAsia="en-US"/>
    </w:rPr>
  </w:style>
  <w:style w:type="character" w:customStyle="1" w:styleId="apple-converted-space">
    <w:name w:val="apple-converted-space"/>
    <w:rsid w:val="00112983"/>
  </w:style>
  <w:style w:type="character" w:customStyle="1" w:styleId="resultoftext">
    <w:name w:val="resultoftext"/>
    <w:rsid w:val="00112983"/>
  </w:style>
  <w:style w:type="paragraph" w:customStyle="1" w:styleId="paragraph">
    <w:name w:val="paragraph"/>
    <w:basedOn w:val="prastasis"/>
    <w:rsid w:val="00EF4EC8"/>
    <w:pPr>
      <w:spacing w:before="100" w:beforeAutospacing="1" w:after="100" w:afterAutospacing="1"/>
    </w:pPr>
    <w:rPr>
      <w:rFonts w:eastAsia="Times New Roman"/>
      <w:sz w:val="24"/>
      <w:szCs w:val="24"/>
      <w:lang w:eastAsia="lt-LT"/>
    </w:rPr>
  </w:style>
  <w:style w:type="character" w:customStyle="1" w:styleId="normaltextrun">
    <w:name w:val="normaltextrun"/>
    <w:basedOn w:val="Numatytasispastraiposriftas"/>
    <w:rsid w:val="00EF4EC8"/>
  </w:style>
  <w:style w:type="character" w:customStyle="1" w:styleId="eop">
    <w:name w:val="eop"/>
    <w:basedOn w:val="Numatytasispastraiposriftas"/>
    <w:rsid w:val="00EF4EC8"/>
  </w:style>
  <w:style w:type="paragraph" w:customStyle="1" w:styleId="Formatvorlage">
    <w:name w:val="Formatvorlage"/>
    <w:basedOn w:val="prastasis"/>
    <w:rsid w:val="002265F8"/>
    <w:pPr>
      <w:spacing w:after="160" w:line="240" w:lineRule="exact"/>
    </w:pPr>
    <w:rPr>
      <w:rFonts w:ascii="Verdana" w:eastAsia="Times New Roman" w:hAnsi="Verdana" w:cs="Verdana"/>
      <w:sz w:val="20"/>
      <w:szCs w:val="20"/>
      <w:lang w:val="en-US"/>
    </w:rPr>
  </w:style>
  <w:style w:type="table" w:styleId="Lentelstinklelis">
    <w:name w:val="Table Grid"/>
    <w:basedOn w:val="prastojilentel"/>
    <w:uiPriority w:val="59"/>
    <w:locked/>
    <w:rsid w:val="00D91890"/>
    <w:pPr>
      <w:jc w:val="both"/>
    </w:pPr>
    <w:rPr>
      <w:rFonts w:ascii="Arial" w:hAnsi="Arial"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F5115"/>
    <w:rPr>
      <w:color w:val="605E5C"/>
      <w:shd w:val="clear" w:color="auto" w:fill="E1DFDD"/>
    </w:rPr>
  </w:style>
  <w:style w:type="paragraph" w:customStyle="1" w:styleId="berschrift">
    <w:name w:val="Überschrift"/>
    <w:basedOn w:val="prastasis"/>
    <w:uiPriority w:val="99"/>
    <w:rsid w:val="002A6840"/>
    <w:pPr>
      <w:tabs>
        <w:tab w:val="left" w:pos="420"/>
      </w:tabs>
    </w:pPr>
    <w:rPr>
      <w:rFonts w:ascii="Times" w:eastAsia="Times New Roman" w:hAnsi="Times" w:cs="Times"/>
      <w:b/>
      <w:bCs/>
      <w:color w:val="00000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9354">
      <w:bodyDiv w:val="1"/>
      <w:marLeft w:val="0"/>
      <w:marRight w:val="0"/>
      <w:marTop w:val="0"/>
      <w:marBottom w:val="0"/>
      <w:divBdr>
        <w:top w:val="none" w:sz="0" w:space="0" w:color="auto"/>
        <w:left w:val="none" w:sz="0" w:space="0" w:color="auto"/>
        <w:bottom w:val="none" w:sz="0" w:space="0" w:color="auto"/>
        <w:right w:val="none" w:sz="0" w:space="0" w:color="auto"/>
      </w:divBdr>
    </w:div>
    <w:div w:id="324284993">
      <w:bodyDiv w:val="1"/>
      <w:marLeft w:val="0"/>
      <w:marRight w:val="0"/>
      <w:marTop w:val="0"/>
      <w:marBottom w:val="0"/>
      <w:divBdr>
        <w:top w:val="none" w:sz="0" w:space="0" w:color="auto"/>
        <w:left w:val="none" w:sz="0" w:space="0" w:color="auto"/>
        <w:bottom w:val="none" w:sz="0" w:space="0" w:color="auto"/>
        <w:right w:val="none" w:sz="0" w:space="0" w:color="auto"/>
      </w:divBdr>
    </w:div>
    <w:div w:id="350566754">
      <w:marLeft w:val="0"/>
      <w:marRight w:val="0"/>
      <w:marTop w:val="0"/>
      <w:marBottom w:val="0"/>
      <w:divBdr>
        <w:top w:val="none" w:sz="0" w:space="0" w:color="auto"/>
        <w:left w:val="none" w:sz="0" w:space="0" w:color="auto"/>
        <w:bottom w:val="none" w:sz="0" w:space="0" w:color="auto"/>
        <w:right w:val="none" w:sz="0" w:space="0" w:color="auto"/>
      </w:divBdr>
    </w:div>
    <w:div w:id="350566755">
      <w:marLeft w:val="0"/>
      <w:marRight w:val="0"/>
      <w:marTop w:val="0"/>
      <w:marBottom w:val="0"/>
      <w:divBdr>
        <w:top w:val="none" w:sz="0" w:space="0" w:color="auto"/>
        <w:left w:val="none" w:sz="0" w:space="0" w:color="auto"/>
        <w:bottom w:val="none" w:sz="0" w:space="0" w:color="auto"/>
        <w:right w:val="none" w:sz="0" w:space="0" w:color="auto"/>
      </w:divBdr>
    </w:div>
    <w:div w:id="350566756">
      <w:marLeft w:val="0"/>
      <w:marRight w:val="0"/>
      <w:marTop w:val="0"/>
      <w:marBottom w:val="0"/>
      <w:divBdr>
        <w:top w:val="none" w:sz="0" w:space="0" w:color="auto"/>
        <w:left w:val="none" w:sz="0" w:space="0" w:color="auto"/>
        <w:bottom w:val="none" w:sz="0" w:space="0" w:color="auto"/>
        <w:right w:val="none" w:sz="0" w:space="0" w:color="auto"/>
      </w:divBdr>
    </w:div>
    <w:div w:id="350566757">
      <w:marLeft w:val="0"/>
      <w:marRight w:val="0"/>
      <w:marTop w:val="0"/>
      <w:marBottom w:val="0"/>
      <w:divBdr>
        <w:top w:val="none" w:sz="0" w:space="0" w:color="auto"/>
        <w:left w:val="none" w:sz="0" w:space="0" w:color="auto"/>
        <w:bottom w:val="none" w:sz="0" w:space="0" w:color="auto"/>
        <w:right w:val="none" w:sz="0" w:space="0" w:color="auto"/>
      </w:divBdr>
    </w:div>
    <w:div w:id="350566758">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0"/>
      <w:marBottom w:val="0"/>
      <w:divBdr>
        <w:top w:val="none" w:sz="0" w:space="0" w:color="auto"/>
        <w:left w:val="none" w:sz="0" w:space="0" w:color="auto"/>
        <w:bottom w:val="none" w:sz="0" w:space="0" w:color="auto"/>
        <w:right w:val="none" w:sz="0" w:space="0" w:color="auto"/>
      </w:divBdr>
    </w:div>
    <w:div w:id="350566760">
      <w:marLeft w:val="0"/>
      <w:marRight w:val="0"/>
      <w:marTop w:val="0"/>
      <w:marBottom w:val="0"/>
      <w:divBdr>
        <w:top w:val="none" w:sz="0" w:space="0" w:color="auto"/>
        <w:left w:val="none" w:sz="0" w:space="0" w:color="auto"/>
        <w:bottom w:val="none" w:sz="0" w:space="0" w:color="auto"/>
        <w:right w:val="none" w:sz="0" w:space="0" w:color="auto"/>
      </w:divBdr>
    </w:div>
    <w:div w:id="350566761">
      <w:marLeft w:val="0"/>
      <w:marRight w:val="0"/>
      <w:marTop w:val="0"/>
      <w:marBottom w:val="0"/>
      <w:divBdr>
        <w:top w:val="none" w:sz="0" w:space="0" w:color="auto"/>
        <w:left w:val="none" w:sz="0" w:space="0" w:color="auto"/>
        <w:bottom w:val="none" w:sz="0" w:space="0" w:color="auto"/>
        <w:right w:val="none" w:sz="0" w:space="0" w:color="auto"/>
      </w:divBdr>
    </w:div>
    <w:div w:id="350566762">
      <w:marLeft w:val="0"/>
      <w:marRight w:val="0"/>
      <w:marTop w:val="0"/>
      <w:marBottom w:val="0"/>
      <w:divBdr>
        <w:top w:val="none" w:sz="0" w:space="0" w:color="auto"/>
        <w:left w:val="none" w:sz="0" w:space="0" w:color="auto"/>
        <w:bottom w:val="none" w:sz="0" w:space="0" w:color="auto"/>
        <w:right w:val="none" w:sz="0" w:space="0" w:color="auto"/>
      </w:divBdr>
    </w:div>
    <w:div w:id="350566763">
      <w:marLeft w:val="0"/>
      <w:marRight w:val="0"/>
      <w:marTop w:val="0"/>
      <w:marBottom w:val="0"/>
      <w:divBdr>
        <w:top w:val="none" w:sz="0" w:space="0" w:color="auto"/>
        <w:left w:val="none" w:sz="0" w:space="0" w:color="auto"/>
        <w:bottom w:val="none" w:sz="0" w:space="0" w:color="auto"/>
        <w:right w:val="none" w:sz="0" w:space="0" w:color="auto"/>
      </w:divBdr>
    </w:div>
    <w:div w:id="350566764">
      <w:marLeft w:val="0"/>
      <w:marRight w:val="0"/>
      <w:marTop w:val="0"/>
      <w:marBottom w:val="0"/>
      <w:divBdr>
        <w:top w:val="none" w:sz="0" w:space="0" w:color="auto"/>
        <w:left w:val="none" w:sz="0" w:space="0" w:color="auto"/>
        <w:bottom w:val="none" w:sz="0" w:space="0" w:color="auto"/>
        <w:right w:val="none" w:sz="0" w:space="0" w:color="auto"/>
      </w:divBdr>
    </w:div>
    <w:div w:id="350566765">
      <w:marLeft w:val="0"/>
      <w:marRight w:val="0"/>
      <w:marTop w:val="0"/>
      <w:marBottom w:val="0"/>
      <w:divBdr>
        <w:top w:val="none" w:sz="0" w:space="0" w:color="auto"/>
        <w:left w:val="none" w:sz="0" w:space="0" w:color="auto"/>
        <w:bottom w:val="none" w:sz="0" w:space="0" w:color="auto"/>
        <w:right w:val="none" w:sz="0" w:space="0" w:color="auto"/>
      </w:divBdr>
    </w:div>
    <w:div w:id="350566766">
      <w:marLeft w:val="0"/>
      <w:marRight w:val="0"/>
      <w:marTop w:val="0"/>
      <w:marBottom w:val="0"/>
      <w:divBdr>
        <w:top w:val="none" w:sz="0" w:space="0" w:color="auto"/>
        <w:left w:val="none" w:sz="0" w:space="0" w:color="auto"/>
        <w:bottom w:val="none" w:sz="0" w:space="0" w:color="auto"/>
        <w:right w:val="none" w:sz="0" w:space="0" w:color="auto"/>
      </w:divBdr>
    </w:div>
    <w:div w:id="350566767">
      <w:marLeft w:val="0"/>
      <w:marRight w:val="0"/>
      <w:marTop w:val="0"/>
      <w:marBottom w:val="0"/>
      <w:divBdr>
        <w:top w:val="none" w:sz="0" w:space="0" w:color="auto"/>
        <w:left w:val="none" w:sz="0" w:space="0" w:color="auto"/>
        <w:bottom w:val="none" w:sz="0" w:space="0" w:color="auto"/>
        <w:right w:val="none" w:sz="0" w:space="0" w:color="auto"/>
      </w:divBdr>
    </w:div>
    <w:div w:id="350566768">
      <w:marLeft w:val="0"/>
      <w:marRight w:val="0"/>
      <w:marTop w:val="0"/>
      <w:marBottom w:val="0"/>
      <w:divBdr>
        <w:top w:val="none" w:sz="0" w:space="0" w:color="auto"/>
        <w:left w:val="none" w:sz="0" w:space="0" w:color="auto"/>
        <w:bottom w:val="none" w:sz="0" w:space="0" w:color="auto"/>
        <w:right w:val="none" w:sz="0" w:space="0" w:color="auto"/>
      </w:divBdr>
    </w:div>
    <w:div w:id="350566769">
      <w:marLeft w:val="0"/>
      <w:marRight w:val="0"/>
      <w:marTop w:val="0"/>
      <w:marBottom w:val="0"/>
      <w:divBdr>
        <w:top w:val="none" w:sz="0" w:space="0" w:color="auto"/>
        <w:left w:val="none" w:sz="0" w:space="0" w:color="auto"/>
        <w:bottom w:val="none" w:sz="0" w:space="0" w:color="auto"/>
        <w:right w:val="none" w:sz="0" w:space="0" w:color="auto"/>
      </w:divBdr>
    </w:div>
    <w:div w:id="350566770">
      <w:marLeft w:val="0"/>
      <w:marRight w:val="0"/>
      <w:marTop w:val="0"/>
      <w:marBottom w:val="0"/>
      <w:divBdr>
        <w:top w:val="none" w:sz="0" w:space="0" w:color="auto"/>
        <w:left w:val="none" w:sz="0" w:space="0" w:color="auto"/>
        <w:bottom w:val="none" w:sz="0" w:space="0" w:color="auto"/>
        <w:right w:val="none" w:sz="0" w:space="0" w:color="auto"/>
      </w:divBdr>
    </w:div>
    <w:div w:id="350566771">
      <w:marLeft w:val="0"/>
      <w:marRight w:val="0"/>
      <w:marTop w:val="0"/>
      <w:marBottom w:val="0"/>
      <w:divBdr>
        <w:top w:val="none" w:sz="0" w:space="0" w:color="auto"/>
        <w:left w:val="none" w:sz="0" w:space="0" w:color="auto"/>
        <w:bottom w:val="none" w:sz="0" w:space="0" w:color="auto"/>
        <w:right w:val="none" w:sz="0" w:space="0" w:color="auto"/>
      </w:divBdr>
    </w:div>
    <w:div w:id="350566772">
      <w:marLeft w:val="0"/>
      <w:marRight w:val="0"/>
      <w:marTop w:val="0"/>
      <w:marBottom w:val="0"/>
      <w:divBdr>
        <w:top w:val="none" w:sz="0" w:space="0" w:color="auto"/>
        <w:left w:val="none" w:sz="0" w:space="0" w:color="auto"/>
        <w:bottom w:val="none" w:sz="0" w:space="0" w:color="auto"/>
        <w:right w:val="none" w:sz="0" w:space="0" w:color="auto"/>
      </w:divBdr>
    </w:div>
    <w:div w:id="350566773">
      <w:marLeft w:val="0"/>
      <w:marRight w:val="0"/>
      <w:marTop w:val="0"/>
      <w:marBottom w:val="0"/>
      <w:divBdr>
        <w:top w:val="none" w:sz="0" w:space="0" w:color="auto"/>
        <w:left w:val="none" w:sz="0" w:space="0" w:color="auto"/>
        <w:bottom w:val="none" w:sz="0" w:space="0" w:color="auto"/>
        <w:right w:val="none" w:sz="0" w:space="0" w:color="auto"/>
      </w:divBdr>
    </w:div>
    <w:div w:id="350566774">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
    <w:div w:id="350566776">
      <w:marLeft w:val="0"/>
      <w:marRight w:val="0"/>
      <w:marTop w:val="0"/>
      <w:marBottom w:val="0"/>
      <w:divBdr>
        <w:top w:val="none" w:sz="0" w:space="0" w:color="auto"/>
        <w:left w:val="none" w:sz="0" w:space="0" w:color="auto"/>
        <w:bottom w:val="none" w:sz="0" w:space="0" w:color="auto"/>
        <w:right w:val="none" w:sz="0" w:space="0" w:color="auto"/>
      </w:divBdr>
    </w:div>
    <w:div w:id="350566777">
      <w:marLeft w:val="0"/>
      <w:marRight w:val="0"/>
      <w:marTop w:val="0"/>
      <w:marBottom w:val="0"/>
      <w:divBdr>
        <w:top w:val="none" w:sz="0" w:space="0" w:color="auto"/>
        <w:left w:val="none" w:sz="0" w:space="0" w:color="auto"/>
        <w:bottom w:val="none" w:sz="0" w:space="0" w:color="auto"/>
        <w:right w:val="none" w:sz="0" w:space="0" w:color="auto"/>
      </w:divBdr>
    </w:div>
    <w:div w:id="350566778">
      <w:marLeft w:val="0"/>
      <w:marRight w:val="0"/>
      <w:marTop w:val="0"/>
      <w:marBottom w:val="0"/>
      <w:divBdr>
        <w:top w:val="none" w:sz="0" w:space="0" w:color="auto"/>
        <w:left w:val="none" w:sz="0" w:space="0" w:color="auto"/>
        <w:bottom w:val="none" w:sz="0" w:space="0" w:color="auto"/>
        <w:right w:val="none" w:sz="0" w:space="0" w:color="auto"/>
      </w:divBdr>
    </w:div>
    <w:div w:id="350566779">
      <w:marLeft w:val="0"/>
      <w:marRight w:val="0"/>
      <w:marTop w:val="0"/>
      <w:marBottom w:val="0"/>
      <w:divBdr>
        <w:top w:val="none" w:sz="0" w:space="0" w:color="auto"/>
        <w:left w:val="none" w:sz="0" w:space="0" w:color="auto"/>
        <w:bottom w:val="none" w:sz="0" w:space="0" w:color="auto"/>
        <w:right w:val="none" w:sz="0" w:space="0" w:color="auto"/>
      </w:divBdr>
    </w:div>
    <w:div w:id="350566780">
      <w:marLeft w:val="0"/>
      <w:marRight w:val="0"/>
      <w:marTop w:val="0"/>
      <w:marBottom w:val="0"/>
      <w:divBdr>
        <w:top w:val="none" w:sz="0" w:space="0" w:color="auto"/>
        <w:left w:val="none" w:sz="0" w:space="0" w:color="auto"/>
        <w:bottom w:val="none" w:sz="0" w:space="0" w:color="auto"/>
        <w:right w:val="none" w:sz="0" w:space="0" w:color="auto"/>
      </w:divBdr>
    </w:div>
    <w:div w:id="350566781">
      <w:marLeft w:val="0"/>
      <w:marRight w:val="0"/>
      <w:marTop w:val="0"/>
      <w:marBottom w:val="0"/>
      <w:divBdr>
        <w:top w:val="none" w:sz="0" w:space="0" w:color="auto"/>
        <w:left w:val="none" w:sz="0" w:space="0" w:color="auto"/>
        <w:bottom w:val="none" w:sz="0" w:space="0" w:color="auto"/>
        <w:right w:val="none" w:sz="0" w:space="0" w:color="auto"/>
      </w:divBdr>
    </w:div>
    <w:div w:id="350566782">
      <w:marLeft w:val="0"/>
      <w:marRight w:val="0"/>
      <w:marTop w:val="0"/>
      <w:marBottom w:val="0"/>
      <w:divBdr>
        <w:top w:val="none" w:sz="0" w:space="0" w:color="auto"/>
        <w:left w:val="none" w:sz="0" w:space="0" w:color="auto"/>
        <w:bottom w:val="none" w:sz="0" w:space="0" w:color="auto"/>
        <w:right w:val="none" w:sz="0" w:space="0" w:color="auto"/>
      </w:divBdr>
    </w:div>
    <w:div w:id="350566783">
      <w:marLeft w:val="0"/>
      <w:marRight w:val="0"/>
      <w:marTop w:val="0"/>
      <w:marBottom w:val="0"/>
      <w:divBdr>
        <w:top w:val="none" w:sz="0" w:space="0" w:color="auto"/>
        <w:left w:val="none" w:sz="0" w:space="0" w:color="auto"/>
        <w:bottom w:val="none" w:sz="0" w:space="0" w:color="auto"/>
        <w:right w:val="none" w:sz="0" w:space="0" w:color="auto"/>
      </w:divBdr>
    </w:div>
    <w:div w:id="350566784">
      <w:marLeft w:val="0"/>
      <w:marRight w:val="0"/>
      <w:marTop w:val="0"/>
      <w:marBottom w:val="0"/>
      <w:divBdr>
        <w:top w:val="none" w:sz="0" w:space="0" w:color="auto"/>
        <w:left w:val="none" w:sz="0" w:space="0" w:color="auto"/>
        <w:bottom w:val="none" w:sz="0" w:space="0" w:color="auto"/>
        <w:right w:val="none" w:sz="0" w:space="0" w:color="auto"/>
      </w:divBdr>
    </w:div>
    <w:div w:id="350566785">
      <w:marLeft w:val="0"/>
      <w:marRight w:val="0"/>
      <w:marTop w:val="0"/>
      <w:marBottom w:val="0"/>
      <w:divBdr>
        <w:top w:val="none" w:sz="0" w:space="0" w:color="auto"/>
        <w:left w:val="none" w:sz="0" w:space="0" w:color="auto"/>
        <w:bottom w:val="none" w:sz="0" w:space="0" w:color="auto"/>
        <w:right w:val="none" w:sz="0" w:space="0" w:color="auto"/>
      </w:divBdr>
    </w:div>
    <w:div w:id="350566786">
      <w:marLeft w:val="0"/>
      <w:marRight w:val="0"/>
      <w:marTop w:val="0"/>
      <w:marBottom w:val="0"/>
      <w:divBdr>
        <w:top w:val="none" w:sz="0" w:space="0" w:color="auto"/>
        <w:left w:val="none" w:sz="0" w:space="0" w:color="auto"/>
        <w:bottom w:val="none" w:sz="0" w:space="0" w:color="auto"/>
        <w:right w:val="none" w:sz="0" w:space="0" w:color="auto"/>
      </w:divBdr>
    </w:div>
    <w:div w:id="350566787">
      <w:marLeft w:val="0"/>
      <w:marRight w:val="0"/>
      <w:marTop w:val="0"/>
      <w:marBottom w:val="0"/>
      <w:divBdr>
        <w:top w:val="none" w:sz="0" w:space="0" w:color="auto"/>
        <w:left w:val="none" w:sz="0" w:space="0" w:color="auto"/>
        <w:bottom w:val="none" w:sz="0" w:space="0" w:color="auto"/>
        <w:right w:val="none" w:sz="0" w:space="0" w:color="auto"/>
      </w:divBdr>
    </w:div>
    <w:div w:id="350566788">
      <w:marLeft w:val="0"/>
      <w:marRight w:val="0"/>
      <w:marTop w:val="0"/>
      <w:marBottom w:val="0"/>
      <w:divBdr>
        <w:top w:val="none" w:sz="0" w:space="0" w:color="auto"/>
        <w:left w:val="none" w:sz="0" w:space="0" w:color="auto"/>
        <w:bottom w:val="none" w:sz="0" w:space="0" w:color="auto"/>
        <w:right w:val="none" w:sz="0" w:space="0" w:color="auto"/>
      </w:divBdr>
    </w:div>
    <w:div w:id="350566789">
      <w:marLeft w:val="0"/>
      <w:marRight w:val="0"/>
      <w:marTop w:val="0"/>
      <w:marBottom w:val="0"/>
      <w:divBdr>
        <w:top w:val="none" w:sz="0" w:space="0" w:color="auto"/>
        <w:left w:val="none" w:sz="0" w:space="0" w:color="auto"/>
        <w:bottom w:val="none" w:sz="0" w:space="0" w:color="auto"/>
        <w:right w:val="none" w:sz="0" w:space="0" w:color="auto"/>
      </w:divBdr>
    </w:div>
    <w:div w:id="350566790">
      <w:marLeft w:val="0"/>
      <w:marRight w:val="0"/>
      <w:marTop w:val="0"/>
      <w:marBottom w:val="0"/>
      <w:divBdr>
        <w:top w:val="none" w:sz="0" w:space="0" w:color="auto"/>
        <w:left w:val="none" w:sz="0" w:space="0" w:color="auto"/>
        <w:bottom w:val="none" w:sz="0" w:space="0" w:color="auto"/>
        <w:right w:val="none" w:sz="0" w:space="0" w:color="auto"/>
      </w:divBdr>
    </w:div>
    <w:div w:id="350566791">
      <w:marLeft w:val="0"/>
      <w:marRight w:val="0"/>
      <w:marTop w:val="0"/>
      <w:marBottom w:val="0"/>
      <w:divBdr>
        <w:top w:val="none" w:sz="0" w:space="0" w:color="auto"/>
        <w:left w:val="none" w:sz="0" w:space="0" w:color="auto"/>
        <w:bottom w:val="none" w:sz="0" w:space="0" w:color="auto"/>
        <w:right w:val="none" w:sz="0" w:space="0" w:color="auto"/>
      </w:divBdr>
    </w:div>
    <w:div w:id="350566792">
      <w:marLeft w:val="0"/>
      <w:marRight w:val="0"/>
      <w:marTop w:val="0"/>
      <w:marBottom w:val="0"/>
      <w:divBdr>
        <w:top w:val="none" w:sz="0" w:space="0" w:color="auto"/>
        <w:left w:val="none" w:sz="0" w:space="0" w:color="auto"/>
        <w:bottom w:val="none" w:sz="0" w:space="0" w:color="auto"/>
        <w:right w:val="none" w:sz="0" w:space="0" w:color="auto"/>
      </w:divBdr>
    </w:div>
    <w:div w:id="363408503">
      <w:bodyDiv w:val="1"/>
      <w:marLeft w:val="0"/>
      <w:marRight w:val="0"/>
      <w:marTop w:val="0"/>
      <w:marBottom w:val="0"/>
      <w:divBdr>
        <w:top w:val="none" w:sz="0" w:space="0" w:color="auto"/>
        <w:left w:val="none" w:sz="0" w:space="0" w:color="auto"/>
        <w:bottom w:val="none" w:sz="0" w:space="0" w:color="auto"/>
        <w:right w:val="none" w:sz="0" w:space="0" w:color="auto"/>
      </w:divBdr>
    </w:div>
    <w:div w:id="364410704">
      <w:bodyDiv w:val="1"/>
      <w:marLeft w:val="0"/>
      <w:marRight w:val="0"/>
      <w:marTop w:val="0"/>
      <w:marBottom w:val="0"/>
      <w:divBdr>
        <w:top w:val="none" w:sz="0" w:space="0" w:color="auto"/>
        <w:left w:val="none" w:sz="0" w:space="0" w:color="auto"/>
        <w:bottom w:val="none" w:sz="0" w:space="0" w:color="auto"/>
        <w:right w:val="none" w:sz="0" w:space="0" w:color="auto"/>
      </w:divBdr>
    </w:div>
    <w:div w:id="551116289">
      <w:bodyDiv w:val="1"/>
      <w:marLeft w:val="0"/>
      <w:marRight w:val="0"/>
      <w:marTop w:val="0"/>
      <w:marBottom w:val="0"/>
      <w:divBdr>
        <w:top w:val="none" w:sz="0" w:space="0" w:color="auto"/>
        <w:left w:val="none" w:sz="0" w:space="0" w:color="auto"/>
        <w:bottom w:val="none" w:sz="0" w:space="0" w:color="auto"/>
        <w:right w:val="none" w:sz="0" w:space="0" w:color="auto"/>
      </w:divBdr>
    </w:div>
    <w:div w:id="720252588">
      <w:bodyDiv w:val="1"/>
      <w:marLeft w:val="0"/>
      <w:marRight w:val="0"/>
      <w:marTop w:val="0"/>
      <w:marBottom w:val="0"/>
      <w:divBdr>
        <w:top w:val="none" w:sz="0" w:space="0" w:color="auto"/>
        <w:left w:val="none" w:sz="0" w:space="0" w:color="auto"/>
        <w:bottom w:val="none" w:sz="0" w:space="0" w:color="auto"/>
        <w:right w:val="none" w:sz="0" w:space="0" w:color="auto"/>
      </w:divBdr>
    </w:div>
    <w:div w:id="781193042">
      <w:bodyDiv w:val="1"/>
      <w:marLeft w:val="0"/>
      <w:marRight w:val="0"/>
      <w:marTop w:val="0"/>
      <w:marBottom w:val="0"/>
      <w:divBdr>
        <w:top w:val="none" w:sz="0" w:space="0" w:color="auto"/>
        <w:left w:val="none" w:sz="0" w:space="0" w:color="auto"/>
        <w:bottom w:val="none" w:sz="0" w:space="0" w:color="auto"/>
        <w:right w:val="none" w:sz="0" w:space="0" w:color="auto"/>
      </w:divBdr>
    </w:div>
    <w:div w:id="830292768">
      <w:bodyDiv w:val="1"/>
      <w:marLeft w:val="0"/>
      <w:marRight w:val="0"/>
      <w:marTop w:val="0"/>
      <w:marBottom w:val="0"/>
      <w:divBdr>
        <w:top w:val="none" w:sz="0" w:space="0" w:color="auto"/>
        <w:left w:val="none" w:sz="0" w:space="0" w:color="auto"/>
        <w:bottom w:val="none" w:sz="0" w:space="0" w:color="auto"/>
        <w:right w:val="none" w:sz="0" w:space="0" w:color="auto"/>
      </w:divBdr>
      <w:divsChild>
        <w:div w:id="96758096">
          <w:marLeft w:val="0"/>
          <w:marRight w:val="0"/>
          <w:marTop w:val="0"/>
          <w:marBottom w:val="0"/>
          <w:divBdr>
            <w:top w:val="none" w:sz="0" w:space="0" w:color="auto"/>
            <w:left w:val="none" w:sz="0" w:space="0" w:color="auto"/>
            <w:bottom w:val="none" w:sz="0" w:space="0" w:color="auto"/>
            <w:right w:val="none" w:sz="0" w:space="0" w:color="auto"/>
          </w:divBdr>
        </w:div>
        <w:div w:id="1022244459">
          <w:marLeft w:val="0"/>
          <w:marRight w:val="0"/>
          <w:marTop w:val="0"/>
          <w:marBottom w:val="0"/>
          <w:divBdr>
            <w:top w:val="none" w:sz="0" w:space="0" w:color="auto"/>
            <w:left w:val="none" w:sz="0" w:space="0" w:color="auto"/>
            <w:bottom w:val="none" w:sz="0" w:space="0" w:color="auto"/>
            <w:right w:val="none" w:sz="0" w:space="0" w:color="auto"/>
          </w:divBdr>
        </w:div>
        <w:div w:id="1153716483">
          <w:marLeft w:val="0"/>
          <w:marRight w:val="0"/>
          <w:marTop w:val="0"/>
          <w:marBottom w:val="0"/>
          <w:divBdr>
            <w:top w:val="none" w:sz="0" w:space="0" w:color="auto"/>
            <w:left w:val="none" w:sz="0" w:space="0" w:color="auto"/>
            <w:bottom w:val="none" w:sz="0" w:space="0" w:color="auto"/>
            <w:right w:val="none" w:sz="0" w:space="0" w:color="auto"/>
          </w:divBdr>
        </w:div>
        <w:div w:id="95101822">
          <w:marLeft w:val="0"/>
          <w:marRight w:val="0"/>
          <w:marTop w:val="0"/>
          <w:marBottom w:val="0"/>
          <w:divBdr>
            <w:top w:val="none" w:sz="0" w:space="0" w:color="auto"/>
            <w:left w:val="none" w:sz="0" w:space="0" w:color="auto"/>
            <w:bottom w:val="none" w:sz="0" w:space="0" w:color="auto"/>
            <w:right w:val="none" w:sz="0" w:space="0" w:color="auto"/>
          </w:divBdr>
        </w:div>
        <w:div w:id="551767751">
          <w:marLeft w:val="0"/>
          <w:marRight w:val="0"/>
          <w:marTop w:val="0"/>
          <w:marBottom w:val="0"/>
          <w:divBdr>
            <w:top w:val="none" w:sz="0" w:space="0" w:color="auto"/>
            <w:left w:val="none" w:sz="0" w:space="0" w:color="auto"/>
            <w:bottom w:val="none" w:sz="0" w:space="0" w:color="auto"/>
            <w:right w:val="none" w:sz="0" w:space="0" w:color="auto"/>
          </w:divBdr>
        </w:div>
        <w:div w:id="1002053133">
          <w:marLeft w:val="0"/>
          <w:marRight w:val="0"/>
          <w:marTop w:val="0"/>
          <w:marBottom w:val="0"/>
          <w:divBdr>
            <w:top w:val="none" w:sz="0" w:space="0" w:color="auto"/>
            <w:left w:val="none" w:sz="0" w:space="0" w:color="auto"/>
            <w:bottom w:val="none" w:sz="0" w:space="0" w:color="auto"/>
            <w:right w:val="none" w:sz="0" w:space="0" w:color="auto"/>
          </w:divBdr>
        </w:div>
        <w:div w:id="1906867292">
          <w:marLeft w:val="0"/>
          <w:marRight w:val="0"/>
          <w:marTop w:val="0"/>
          <w:marBottom w:val="0"/>
          <w:divBdr>
            <w:top w:val="none" w:sz="0" w:space="0" w:color="auto"/>
            <w:left w:val="none" w:sz="0" w:space="0" w:color="auto"/>
            <w:bottom w:val="none" w:sz="0" w:space="0" w:color="auto"/>
            <w:right w:val="none" w:sz="0" w:space="0" w:color="auto"/>
          </w:divBdr>
        </w:div>
        <w:div w:id="1941789045">
          <w:marLeft w:val="0"/>
          <w:marRight w:val="0"/>
          <w:marTop w:val="0"/>
          <w:marBottom w:val="0"/>
          <w:divBdr>
            <w:top w:val="none" w:sz="0" w:space="0" w:color="auto"/>
            <w:left w:val="none" w:sz="0" w:space="0" w:color="auto"/>
            <w:bottom w:val="none" w:sz="0" w:space="0" w:color="auto"/>
            <w:right w:val="none" w:sz="0" w:space="0" w:color="auto"/>
          </w:divBdr>
        </w:div>
        <w:div w:id="214776234">
          <w:marLeft w:val="0"/>
          <w:marRight w:val="0"/>
          <w:marTop w:val="0"/>
          <w:marBottom w:val="0"/>
          <w:divBdr>
            <w:top w:val="none" w:sz="0" w:space="0" w:color="auto"/>
            <w:left w:val="none" w:sz="0" w:space="0" w:color="auto"/>
            <w:bottom w:val="none" w:sz="0" w:space="0" w:color="auto"/>
            <w:right w:val="none" w:sz="0" w:space="0" w:color="auto"/>
          </w:divBdr>
        </w:div>
        <w:div w:id="1124276557">
          <w:marLeft w:val="0"/>
          <w:marRight w:val="0"/>
          <w:marTop w:val="0"/>
          <w:marBottom w:val="0"/>
          <w:divBdr>
            <w:top w:val="none" w:sz="0" w:space="0" w:color="auto"/>
            <w:left w:val="none" w:sz="0" w:space="0" w:color="auto"/>
            <w:bottom w:val="none" w:sz="0" w:space="0" w:color="auto"/>
            <w:right w:val="none" w:sz="0" w:space="0" w:color="auto"/>
          </w:divBdr>
        </w:div>
        <w:div w:id="811288894">
          <w:marLeft w:val="0"/>
          <w:marRight w:val="0"/>
          <w:marTop w:val="0"/>
          <w:marBottom w:val="0"/>
          <w:divBdr>
            <w:top w:val="none" w:sz="0" w:space="0" w:color="auto"/>
            <w:left w:val="none" w:sz="0" w:space="0" w:color="auto"/>
            <w:bottom w:val="none" w:sz="0" w:space="0" w:color="auto"/>
            <w:right w:val="none" w:sz="0" w:space="0" w:color="auto"/>
          </w:divBdr>
        </w:div>
        <w:div w:id="1936354779">
          <w:marLeft w:val="0"/>
          <w:marRight w:val="0"/>
          <w:marTop w:val="0"/>
          <w:marBottom w:val="0"/>
          <w:divBdr>
            <w:top w:val="none" w:sz="0" w:space="0" w:color="auto"/>
            <w:left w:val="none" w:sz="0" w:space="0" w:color="auto"/>
            <w:bottom w:val="none" w:sz="0" w:space="0" w:color="auto"/>
            <w:right w:val="none" w:sz="0" w:space="0" w:color="auto"/>
          </w:divBdr>
        </w:div>
        <w:div w:id="465705478">
          <w:marLeft w:val="0"/>
          <w:marRight w:val="0"/>
          <w:marTop w:val="0"/>
          <w:marBottom w:val="0"/>
          <w:divBdr>
            <w:top w:val="none" w:sz="0" w:space="0" w:color="auto"/>
            <w:left w:val="none" w:sz="0" w:space="0" w:color="auto"/>
            <w:bottom w:val="none" w:sz="0" w:space="0" w:color="auto"/>
            <w:right w:val="none" w:sz="0" w:space="0" w:color="auto"/>
          </w:divBdr>
        </w:div>
        <w:div w:id="1542329495">
          <w:marLeft w:val="0"/>
          <w:marRight w:val="0"/>
          <w:marTop w:val="0"/>
          <w:marBottom w:val="0"/>
          <w:divBdr>
            <w:top w:val="none" w:sz="0" w:space="0" w:color="auto"/>
            <w:left w:val="none" w:sz="0" w:space="0" w:color="auto"/>
            <w:bottom w:val="none" w:sz="0" w:space="0" w:color="auto"/>
            <w:right w:val="none" w:sz="0" w:space="0" w:color="auto"/>
          </w:divBdr>
        </w:div>
        <w:div w:id="2092460789">
          <w:marLeft w:val="0"/>
          <w:marRight w:val="0"/>
          <w:marTop w:val="0"/>
          <w:marBottom w:val="0"/>
          <w:divBdr>
            <w:top w:val="none" w:sz="0" w:space="0" w:color="auto"/>
            <w:left w:val="none" w:sz="0" w:space="0" w:color="auto"/>
            <w:bottom w:val="none" w:sz="0" w:space="0" w:color="auto"/>
            <w:right w:val="none" w:sz="0" w:space="0" w:color="auto"/>
          </w:divBdr>
        </w:div>
        <w:div w:id="1534151215">
          <w:marLeft w:val="0"/>
          <w:marRight w:val="0"/>
          <w:marTop w:val="0"/>
          <w:marBottom w:val="0"/>
          <w:divBdr>
            <w:top w:val="none" w:sz="0" w:space="0" w:color="auto"/>
            <w:left w:val="none" w:sz="0" w:space="0" w:color="auto"/>
            <w:bottom w:val="none" w:sz="0" w:space="0" w:color="auto"/>
            <w:right w:val="none" w:sz="0" w:space="0" w:color="auto"/>
          </w:divBdr>
        </w:div>
        <w:div w:id="488793129">
          <w:marLeft w:val="0"/>
          <w:marRight w:val="0"/>
          <w:marTop w:val="0"/>
          <w:marBottom w:val="0"/>
          <w:divBdr>
            <w:top w:val="none" w:sz="0" w:space="0" w:color="auto"/>
            <w:left w:val="none" w:sz="0" w:space="0" w:color="auto"/>
            <w:bottom w:val="none" w:sz="0" w:space="0" w:color="auto"/>
            <w:right w:val="none" w:sz="0" w:space="0" w:color="auto"/>
          </w:divBdr>
        </w:div>
        <w:div w:id="686175996">
          <w:marLeft w:val="0"/>
          <w:marRight w:val="0"/>
          <w:marTop w:val="0"/>
          <w:marBottom w:val="0"/>
          <w:divBdr>
            <w:top w:val="none" w:sz="0" w:space="0" w:color="auto"/>
            <w:left w:val="none" w:sz="0" w:space="0" w:color="auto"/>
            <w:bottom w:val="none" w:sz="0" w:space="0" w:color="auto"/>
            <w:right w:val="none" w:sz="0" w:space="0" w:color="auto"/>
          </w:divBdr>
        </w:div>
        <w:div w:id="1392459718">
          <w:marLeft w:val="0"/>
          <w:marRight w:val="0"/>
          <w:marTop w:val="0"/>
          <w:marBottom w:val="0"/>
          <w:divBdr>
            <w:top w:val="none" w:sz="0" w:space="0" w:color="auto"/>
            <w:left w:val="none" w:sz="0" w:space="0" w:color="auto"/>
            <w:bottom w:val="none" w:sz="0" w:space="0" w:color="auto"/>
            <w:right w:val="none" w:sz="0" w:space="0" w:color="auto"/>
          </w:divBdr>
          <w:divsChild>
            <w:div w:id="1103915061">
              <w:marLeft w:val="-75"/>
              <w:marRight w:val="0"/>
              <w:marTop w:val="30"/>
              <w:marBottom w:val="30"/>
              <w:divBdr>
                <w:top w:val="none" w:sz="0" w:space="0" w:color="auto"/>
                <w:left w:val="none" w:sz="0" w:space="0" w:color="auto"/>
                <w:bottom w:val="none" w:sz="0" w:space="0" w:color="auto"/>
                <w:right w:val="none" w:sz="0" w:space="0" w:color="auto"/>
              </w:divBdr>
              <w:divsChild>
                <w:div w:id="1790195874">
                  <w:marLeft w:val="0"/>
                  <w:marRight w:val="0"/>
                  <w:marTop w:val="0"/>
                  <w:marBottom w:val="0"/>
                  <w:divBdr>
                    <w:top w:val="none" w:sz="0" w:space="0" w:color="auto"/>
                    <w:left w:val="none" w:sz="0" w:space="0" w:color="auto"/>
                    <w:bottom w:val="none" w:sz="0" w:space="0" w:color="auto"/>
                    <w:right w:val="none" w:sz="0" w:space="0" w:color="auto"/>
                  </w:divBdr>
                  <w:divsChild>
                    <w:div w:id="2072459047">
                      <w:marLeft w:val="0"/>
                      <w:marRight w:val="0"/>
                      <w:marTop w:val="0"/>
                      <w:marBottom w:val="0"/>
                      <w:divBdr>
                        <w:top w:val="none" w:sz="0" w:space="0" w:color="auto"/>
                        <w:left w:val="none" w:sz="0" w:space="0" w:color="auto"/>
                        <w:bottom w:val="none" w:sz="0" w:space="0" w:color="auto"/>
                        <w:right w:val="none" w:sz="0" w:space="0" w:color="auto"/>
                      </w:divBdr>
                    </w:div>
                  </w:divsChild>
                </w:div>
                <w:div w:id="1498036020">
                  <w:marLeft w:val="0"/>
                  <w:marRight w:val="0"/>
                  <w:marTop w:val="0"/>
                  <w:marBottom w:val="0"/>
                  <w:divBdr>
                    <w:top w:val="none" w:sz="0" w:space="0" w:color="auto"/>
                    <w:left w:val="none" w:sz="0" w:space="0" w:color="auto"/>
                    <w:bottom w:val="none" w:sz="0" w:space="0" w:color="auto"/>
                    <w:right w:val="none" w:sz="0" w:space="0" w:color="auto"/>
                  </w:divBdr>
                  <w:divsChild>
                    <w:div w:id="791443760">
                      <w:marLeft w:val="0"/>
                      <w:marRight w:val="0"/>
                      <w:marTop w:val="0"/>
                      <w:marBottom w:val="0"/>
                      <w:divBdr>
                        <w:top w:val="none" w:sz="0" w:space="0" w:color="auto"/>
                        <w:left w:val="none" w:sz="0" w:space="0" w:color="auto"/>
                        <w:bottom w:val="none" w:sz="0" w:space="0" w:color="auto"/>
                        <w:right w:val="none" w:sz="0" w:space="0" w:color="auto"/>
                      </w:divBdr>
                    </w:div>
                  </w:divsChild>
                </w:div>
                <w:div w:id="34356285">
                  <w:marLeft w:val="0"/>
                  <w:marRight w:val="0"/>
                  <w:marTop w:val="0"/>
                  <w:marBottom w:val="0"/>
                  <w:divBdr>
                    <w:top w:val="none" w:sz="0" w:space="0" w:color="auto"/>
                    <w:left w:val="none" w:sz="0" w:space="0" w:color="auto"/>
                    <w:bottom w:val="none" w:sz="0" w:space="0" w:color="auto"/>
                    <w:right w:val="none" w:sz="0" w:space="0" w:color="auto"/>
                  </w:divBdr>
                  <w:divsChild>
                    <w:div w:id="1434593113">
                      <w:marLeft w:val="0"/>
                      <w:marRight w:val="0"/>
                      <w:marTop w:val="0"/>
                      <w:marBottom w:val="0"/>
                      <w:divBdr>
                        <w:top w:val="none" w:sz="0" w:space="0" w:color="auto"/>
                        <w:left w:val="none" w:sz="0" w:space="0" w:color="auto"/>
                        <w:bottom w:val="none" w:sz="0" w:space="0" w:color="auto"/>
                        <w:right w:val="none" w:sz="0" w:space="0" w:color="auto"/>
                      </w:divBdr>
                    </w:div>
                  </w:divsChild>
                </w:div>
                <w:div w:id="2110078693">
                  <w:marLeft w:val="0"/>
                  <w:marRight w:val="0"/>
                  <w:marTop w:val="0"/>
                  <w:marBottom w:val="0"/>
                  <w:divBdr>
                    <w:top w:val="none" w:sz="0" w:space="0" w:color="auto"/>
                    <w:left w:val="none" w:sz="0" w:space="0" w:color="auto"/>
                    <w:bottom w:val="none" w:sz="0" w:space="0" w:color="auto"/>
                    <w:right w:val="none" w:sz="0" w:space="0" w:color="auto"/>
                  </w:divBdr>
                  <w:divsChild>
                    <w:div w:id="2136830297">
                      <w:marLeft w:val="0"/>
                      <w:marRight w:val="0"/>
                      <w:marTop w:val="0"/>
                      <w:marBottom w:val="0"/>
                      <w:divBdr>
                        <w:top w:val="none" w:sz="0" w:space="0" w:color="auto"/>
                        <w:left w:val="none" w:sz="0" w:space="0" w:color="auto"/>
                        <w:bottom w:val="none" w:sz="0" w:space="0" w:color="auto"/>
                        <w:right w:val="none" w:sz="0" w:space="0" w:color="auto"/>
                      </w:divBdr>
                    </w:div>
                  </w:divsChild>
                </w:div>
                <w:div w:id="319427355">
                  <w:marLeft w:val="0"/>
                  <w:marRight w:val="0"/>
                  <w:marTop w:val="0"/>
                  <w:marBottom w:val="0"/>
                  <w:divBdr>
                    <w:top w:val="none" w:sz="0" w:space="0" w:color="auto"/>
                    <w:left w:val="none" w:sz="0" w:space="0" w:color="auto"/>
                    <w:bottom w:val="none" w:sz="0" w:space="0" w:color="auto"/>
                    <w:right w:val="none" w:sz="0" w:space="0" w:color="auto"/>
                  </w:divBdr>
                  <w:divsChild>
                    <w:div w:id="2043633407">
                      <w:marLeft w:val="0"/>
                      <w:marRight w:val="0"/>
                      <w:marTop w:val="0"/>
                      <w:marBottom w:val="0"/>
                      <w:divBdr>
                        <w:top w:val="none" w:sz="0" w:space="0" w:color="auto"/>
                        <w:left w:val="none" w:sz="0" w:space="0" w:color="auto"/>
                        <w:bottom w:val="none" w:sz="0" w:space="0" w:color="auto"/>
                        <w:right w:val="none" w:sz="0" w:space="0" w:color="auto"/>
                      </w:divBdr>
                    </w:div>
                    <w:div w:id="2035031519">
                      <w:marLeft w:val="0"/>
                      <w:marRight w:val="0"/>
                      <w:marTop w:val="0"/>
                      <w:marBottom w:val="0"/>
                      <w:divBdr>
                        <w:top w:val="none" w:sz="0" w:space="0" w:color="auto"/>
                        <w:left w:val="none" w:sz="0" w:space="0" w:color="auto"/>
                        <w:bottom w:val="none" w:sz="0" w:space="0" w:color="auto"/>
                        <w:right w:val="none" w:sz="0" w:space="0" w:color="auto"/>
                      </w:divBdr>
                    </w:div>
                  </w:divsChild>
                </w:div>
                <w:div w:id="294412116">
                  <w:marLeft w:val="0"/>
                  <w:marRight w:val="0"/>
                  <w:marTop w:val="0"/>
                  <w:marBottom w:val="0"/>
                  <w:divBdr>
                    <w:top w:val="none" w:sz="0" w:space="0" w:color="auto"/>
                    <w:left w:val="none" w:sz="0" w:space="0" w:color="auto"/>
                    <w:bottom w:val="none" w:sz="0" w:space="0" w:color="auto"/>
                    <w:right w:val="none" w:sz="0" w:space="0" w:color="auto"/>
                  </w:divBdr>
                  <w:divsChild>
                    <w:div w:id="81804132">
                      <w:marLeft w:val="0"/>
                      <w:marRight w:val="0"/>
                      <w:marTop w:val="0"/>
                      <w:marBottom w:val="0"/>
                      <w:divBdr>
                        <w:top w:val="none" w:sz="0" w:space="0" w:color="auto"/>
                        <w:left w:val="none" w:sz="0" w:space="0" w:color="auto"/>
                        <w:bottom w:val="none" w:sz="0" w:space="0" w:color="auto"/>
                        <w:right w:val="none" w:sz="0" w:space="0" w:color="auto"/>
                      </w:divBdr>
                    </w:div>
                    <w:div w:id="67730771">
                      <w:marLeft w:val="0"/>
                      <w:marRight w:val="0"/>
                      <w:marTop w:val="0"/>
                      <w:marBottom w:val="0"/>
                      <w:divBdr>
                        <w:top w:val="none" w:sz="0" w:space="0" w:color="auto"/>
                        <w:left w:val="none" w:sz="0" w:space="0" w:color="auto"/>
                        <w:bottom w:val="none" w:sz="0" w:space="0" w:color="auto"/>
                        <w:right w:val="none" w:sz="0" w:space="0" w:color="auto"/>
                      </w:divBdr>
                    </w:div>
                  </w:divsChild>
                </w:div>
                <w:div w:id="2038197787">
                  <w:marLeft w:val="0"/>
                  <w:marRight w:val="0"/>
                  <w:marTop w:val="0"/>
                  <w:marBottom w:val="0"/>
                  <w:divBdr>
                    <w:top w:val="none" w:sz="0" w:space="0" w:color="auto"/>
                    <w:left w:val="none" w:sz="0" w:space="0" w:color="auto"/>
                    <w:bottom w:val="none" w:sz="0" w:space="0" w:color="auto"/>
                    <w:right w:val="none" w:sz="0" w:space="0" w:color="auto"/>
                  </w:divBdr>
                  <w:divsChild>
                    <w:div w:id="822548314">
                      <w:marLeft w:val="0"/>
                      <w:marRight w:val="0"/>
                      <w:marTop w:val="0"/>
                      <w:marBottom w:val="0"/>
                      <w:divBdr>
                        <w:top w:val="none" w:sz="0" w:space="0" w:color="auto"/>
                        <w:left w:val="none" w:sz="0" w:space="0" w:color="auto"/>
                        <w:bottom w:val="none" w:sz="0" w:space="0" w:color="auto"/>
                        <w:right w:val="none" w:sz="0" w:space="0" w:color="auto"/>
                      </w:divBdr>
                    </w:div>
                  </w:divsChild>
                </w:div>
                <w:div w:id="1576015822">
                  <w:marLeft w:val="0"/>
                  <w:marRight w:val="0"/>
                  <w:marTop w:val="0"/>
                  <w:marBottom w:val="0"/>
                  <w:divBdr>
                    <w:top w:val="none" w:sz="0" w:space="0" w:color="auto"/>
                    <w:left w:val="none" w:sz="0" w:space="0" w:color="auto"/>
                    <w:bottom w:val="none" w:sz="0" w:space="0" w:color="auto"/>
                    <w:right w:val="none" w:sz="0" w:space="0" w:color="auto"/>
                  </w:divBdr>
                  <w:divsChild>
                    <w:div w:id="5557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4280">
          <w:marLeft w:val="0"/>
          <w:marRight w:val="0"/>
          <w:marTop w:val="0"/>
          <w:marBottom w:val="0"/>
          <w:divBdr>
            <w:top w:val="none" w:sz="0" w:space="0" w:color="auto"/>
            <w:left w:val="none" w:sz="0" w:space="0" w:color="auto"/>
            <w:bottom w:val="none" w:sz="0" w:space="0" w:color="auto"/>
            <w:right w:val="none" w:sz="0" w:space="0" w:color="auto"/>
          </w:divBdr>
        </w:div>
        <w:div w:id="1276012340">
          <w:marLeft w:val="0"/>
          <w:marRight w:val="0"/>
          <w:marTop w:val="0"/>
          <w:marBottom w:val="0"/>
          <w:divBdr>
            <w:top w:val="none" w:sz="0" w:space="0" w:color="auto"/>
            <w:left w:val="none" w:sz="0" w:space="0" w:color="auto"/>
            <w:bottom w:val="none" w:sz="0" w:space="0" w:color="auto"/>
            <w:right w:val="none" w:sz="0" w:space="0" w:color="auto"/>
          </w:divBdr>
        </w:div>
        <w:div w:id="1848206044">
          <w:marLeft w:val="0"/>
          <w:marRight w:val="0"/>
          <w:marTop w:val="0"/>
          <w:marBottom w:val="0"/>
          <w:divBdr>
            <w:top w:val="none" w:sz="0" w:space="0" w:color="auto"/>
            <w:left w:val="none" w:sz="0" w:space="0" w:color="auto"/>
            <w:bottom w:val="none" w:sz="0" w:space="0" w:color="auto"/>
            <w:right w:val="none" w:sz="0" w:space="0" w:color="auto"/>
          </w:divBdr>
        </w:div>
        <w:div w:id="849216835">
          <w:marLeft w:val="0"/>
          <w:marRight w:val="0"/>
          <w:marTop w:val="0"/>
          <w:marBottom w:val="0"/>
          <w:divBdr>
            <w:top w:val="none" w:sz="0" w:space="0" w:color="auto"/>
            <w:left w:val="none" w:sz="0" w:space="0" w:color="auto"/>
            <w:bottom w:val="none" w:sz="0" w:space="0" w:color="auto"/>
            <w:right w:val="none" w:sz="0" w:space="0" w:color="auto"/>
          </w:divBdr>
        </w:div>
        <w:div w:id="1473517226">
          <w:marLeft w:val="0"/>
          <w:marRight w:val="0"/>
          <w:marTop w:val="0"/>
          <w:marBottom w:val="0"/>
          <w:divBdr>
            <w:top w:val="none" w:sz="0" w:space="0" w:color="auto"/>
            <w:left w:val="none" w:sz="0" w:space="0" w:color="auto"/>
            <w:bottom w:val="none" w:sz="0" w:space="0" w:color="auto"/>
            <w:right w:val="none" w:sz="0" w:space="0" w:color="auto"/>
          </w:divBdr>
        </w:div>
        <w:div w:id="192350375">
          <w:marLeft w:val="0"/>
          <w:marRight w:val="0"/>
          <w:marTop w:val="0"/>
          <w:marBottom w:val="0"/>
          <w:divBdr>
            <w:top w:val="none" w:sz="0" w:space="0" w:color="auto"/>
            <w:left w:val="none" w:sz="0" w:space="0" w:color="auto"/>
            <w:bottom w:val="none" w:sz="0" w:space="0" w:color="auto"/>
            <w:right w:val="none" w:sz="0" w:space="0" w:color="auto"/>
          </w:divBdr>
        </w:div>
        <w:div w:id="1887445292">
          <w:marLeft w:val="0"/>
          <w:marRight w:val="0"/>
          <w:marTop w:val="0"/>
          <w:marBottom w:val="0"/>
          <w:divBdr>
            <w:top w:val="none" w:sz="0" w:space="0" w:color="auto"/>
            <w:left w:val="none" w:sz="0" w:space="0" w:color="auto"/>
            <w:bottom w:val="none" w:sz="0" w:space="0" w:color="auto"/>
            <w:right w:val="none" w:sz="0" w:space="0" w:color="auto"/>
          </w:divBdr>
        </w:div>
        <w:div w:id="552352564">
          <w:marLeft w:val="0"/>
          <w:marRight w:val="0"/>
          <w:marTop w:val="0"/>
          <w:marBottom w:val="0"/>
          <w:divBdr>
            <w:top w:val="none" w:sz="0" w:space="0" w:color="auto"/>
            <w:left w:val="none" w:sz="0" w:space="0" w:color="auto"/>
            <w:bottom w:val="none" w:sz="0" w:space="0" w:color="auto"/>
            <w:right w:val="none" w:sz="0" w:space="0" w:color="auto"/>
          </w:divBdr>
        </w:div>
        <w:div w:id="1708333573">
          <w:marLeft w:val="0"/>
          <w:marRight w:val="0"/>
          <w:marTop w:val="0"/>
          <w:marBottom w:val="0"/>
          <w:divBdr>
            <w:top w:val="none" w:sz="0" w:space="0" w:color="auto"/>
            <w:left w:val="none" w:sz="0" w:space="0" w:color="auto"/>
            <w:bottom w:val="none" w:sz="0" w:space="0" w:color="auto"/>
            <w:right w:val="none" w:sz="0" w:space="0" w:color="auto"/>
          </w:divBdr>
        </w:div>
        <w:div w:id="1278180632">
          <w:marLeft w:val="0"/>
          <w:marRight w:val="0"/>
          <w:marTop w:val="0"/>
          <w:marBottom w:val="0"/>
          <w:divBdr>
            <w:top w:val="none" w:sz="0" w:space="0" w:color="auto"/>
            <w:left w:val="none" w:sz="0" w:space="0" w:color="auto"/>
            <w:bottom w:val="none" w:sz="0" w:space="0" w:color="auto"/>
            <w:right w:val="none" w:sz="0" w:space="0" w:color="auto"/>
          </w:divBdr>
        </w:div>
        <w:div w:id="488444798">
          <w:marLeft w:val="0"/>
          <w:marRight w:val="0"/>
          <w:marTop w:val="0"/>
          <w:marBottom w:val="0"/>
          <w:divBdr>
            <w:top w:val="none" w:sz="0" w:space="0" w:color="auto"/>
            <w:left w:val="none" w:sz="0" w:space="0" w:color="auto"/>
            <w:bottom w:val="none" w:sz="0" w:space="0" w:color="auto"/>
            <w:right w:val="none" w:sz="0" w:space="0" w:color="auto"/>
          </w:divBdr>
        </w:div>
        <w:div w:id="1317539643">
          <w:marLeft w:val="0"/>
          <w:marRight w:val="0"/>
          <w:marTop w:val="0"/>
          <w:marBottom w:val="0"/>
          <w:divBdr>
            <w:top w:val="none" w:sz="0" w:space="0" w:color="auto"/>
            <w:left w:val="none" w:sz="0" w:space="0" w:color="auto"/>
            <w:bottom w:val="none" w:sz="0" w:space="0" w:color="auto"/>
            <w:right w:val="none" w:sz="0" w:space="0" w:color="auto"/>
          </w:divBdr>
        </w:div>
        <w:div w:id="1158229279">
          <w:marLeft w:val="0"/>
          <w:marRight w:val="0"/>
          <w:marTop w:val="0"/>
          <w:marBottom w:val="0"/>
          <w:divBdr>
            <w:top w:val="none" w:sz="0" w:space="0" w:color="auto"/>
            <w:left w:val="none" w:sz="0" w:space="0" w:color="auto"/>
            <w:bottom w:val="none" w:sz="0" w:space="0" w:color="auto"/>
            <w:right w:val="none" w:sz="0" w:space="0" w:color="auto"/>
          </w:divBdr>
        </w:div>
        <w:div w:id="611475238">
          <w:marLeft w:val="0"/>
          <w:marRight w:val="0"/>
          <w:marTop w:val="0"/>
          <w:marBottom w:val="0"/>
          <w:divBdr>
            <w:top w:val="none" w:sz="0" w:space="0" w:color="auto"/>
            <w:left w:val="none" w:sz="0" w:space="0" w:color="auto"/>
            <w:bottom w:val="none" w:sz="0" w:space="0" w:color="auto"/>
            <w:right w:val="none" w:sz="0" w:space="0" w:color="auto"/>
          </w:divBdr>
        </w:div>
        <w:div w:id="1790589732">
          <w:marLeft w:val="0"/>
          <w:marRight w:val="0"/>
          <w:marTop w:val="0"/>
          <w:marBottom w:val="0"/>
          <w:divBdr>
            <w:top w:val="none" w:sz="0" w:space="0" w:color="auto"/>
            <w:left w:val="none" w:sz="0" w:space="0" w:color="auto"/>
            <w:bottom w:val="none" w:sz="0" w:space="0" w:color="auto"/>
            <w:right w:val="none" w:sz="0" w:space="0" w:color="auto"/>
          </w:divBdr>
        </w:div>
        <w:div w:id="1737782019">
          <w:marLeft w:val="0"/>
          <w:marRight w:val="0"/>
          <w:marTop w:val="0"/>
          <w:marBottom w:val="0"/>
          <w:divBdr>
            <w:top w:val="none" w:sz="0" w:space="0" w:color="auto"/>
            <w:left w:val="none" w:sz="0" w:space="0" w:color="auto"/>
            <w:bottom w:val="none" w:sz="0" w:space="0" w:color="auto"/>
            <w:right w:val="none" w:sz="0" w:space="0" w:color="auto"/>
          </w:divBdr>
        </w:div>
        <w:div w:id="1424228951">
          <w:marLeft w:val="0"/>
          <w:marRight w:val="0"/>
          <w:marTop w:val="0"/>
          <w:marBottom w:val="0"/>
          <w:divBdr>
            <w:top w:val="none" w:sz="0" w:space="0" w:color="auto"/>
            <w:left w:val="none" w:sz="0" w:space="0" w:color="auto"/>
            <w:bottom w:val="none" w:sz="0" w:space="0" w:color="auto"/>
            <w:right w:val="none" w:sz="0" w:space="0" w:color="auto"/>
          </w:divBdr>
        </w:div>
        <w:div w:id="1048724356">
          <w:marLeft w:val="0"/>
          <w:marRight w:val="0"/>
          <w:marTop w:val="0"/>
          <w:marBottom w:val="0"/>
          <w:divBdr>
            <w:top w:val="none" w:sz="0" w:space="0" w:color="auto"/>
            <w:left w:val="none" w:sz="0" w:space="0" w:color="auto"/>
            <w:bottom w:val="none" w:sz="0" w:space="0" w:color="auto"/>
            <w:right w:val="none" w:sz="0" w:space="0" w:color="auto"/>
          </w:divBdr>
        </w:div>
        <w:div w:id="917783754">
          <w:marLeft w:val="0"/>
          <w:marRight w:val="0"/>
          <w:marTop w:val="0"/>
          <w:marBottom w:val="0"/>
          <w:divBdr>
            <w:top w:val="none" w:sz="0" w:space="0" w:color="auto"/>
            <w:left w:val="none" w:sz="0" w:space="0" w:color="auto"/>
            <w:bottom w:val="none" w:sz="0" w:space="0" w:color="auto"/>
            <w:right w:val="none" w:sz="0" w:space="0" w:color="auto"/>
          </w:divBdr>
        </w:div>
        <w:div w:id="184171043">
          <w:marLeft w:val="0"/>
          <w:marRight w:val="0"/>
          <w:marTop w:val="0"/>
          <w:marBottom w:val="0"/>
          <w:divBdr>
            <w:top w:val="none" w:sz="0" w:space="0" w:color="auto"/>
            <w:left w:val="none" w:sz="0" w:space="0" w:color="auto"/>
            <w:bottom w:val="none" w:sz="0" w:space="0" w:color="auto"/>
            <w:right w:val="none" w:sz="0" w:space="0" w:color="auto"/>
          </w:divBdr>
        </w:div>
        <w:div w:id="1946693652">
          <w:marLeft w:val="0"/>
          <w:marRight w:val="0"/>
          <w:marTop w:val="0"/>
          <w:marBottom w:val="0"/>
          <w:divBdr>
            <w:top w:val="none" w:sz="0" w:space="0" w:color="auto"/>
            <w:left w:val="none" w:sz="0" w:space="0" w:color="auto"/>
            <w:bottom w:val="none" w:sz="0" w:space="0" w:color="auto"/>
            <w:right w:val="none" w:sz="0" w:space="0" w:color="auto"/>
          </w:divBdr>
        </w:div>
        <w:div w:id="2070762889">
          <w:marLeft w:val="0"/>
          <w:marRight w:val="0"/>
          <w:marTop w:val="0"/>
          <w:marBottom w:val="0"/>
          <w:divBdr>
            <w:top w:val="none" w:sz="0" w:space="0" w:color="auto"/>
            <w:left w:val="none" w:sz="0" w:space="0" w:color="auto"/>
            <w:bottom w:val="none" w:sz="0" w:space="0" w:color="auto"/>
            <w:right w:val="none" w:sz="0" w:space="0" w:color="auto"/>
          </w:divBdr>
        </w:div>
        <w:div w:id="181626854">
          <w:marLeft w:val="0"/>
          <w:marRight w:val="0"/>
          <w:marTop w:val="0"/>
          <w:marBottom w:val="0"/>
          <w:divBdr>
            <w:top w:val="none" w:sz="0" w:space="0" w:color="auto"/>
            <w:left w:val="none" w:sz="0" w:space="0" w:color="auto"/>
            <w:bottom w:val="none" w:sz="0" w:space="0" w:color="auto"/>
            <w:right w:val="none" w:sz="0" w:space="0" w:color="auto"/>
          </w:divBdr>
        </w:div>
        <w:div w:id="187960816">
          <w:marLeft w:val="0"/>
          <w:marRight w:val="0"/>
          <w:marTop w:val="0"/>
          <w:marBottom w:val="0"/>
          <w:divBdr>
            <w:top w:val="none" w:sz="0" w:space="0" w:color="auto"/>
            <w:left w:val="none" w:sz="0" w:space="0" w:color="auto"/>
            <w:bottom w:val="none" w:sz="0" w:space="0" w:color="auto"/>
            <w:right w:val="none" w:sz="0" w:space="0" w:color="auto"/>
          </w:divBdr>
        </w:div>
      </w:divsChild>
    </w:div>
    <w:div w:id="947856200">
      <w:bodyDiv w:val="1"/>
      <w:marLeft w:val="0"/>
      <w:marRight w:val="0"/>
      <w:marTop w:val="0"/>
      <w:marBottom w:val="0"/>
      <w:divBdr>
        <w:top w:val="none" w:sz="0" w:space="0" w:color="auto"/>
        <w:left w:val="none" w:sz="0" w:space="0" w:color="auto"/>
        <w:bottom w:val="none" w:sz="0" w:space="0" w:color="auto"/>
        <w:right w:val="none" w:sz="0" w:space="0" w:color="auto"/>
      </w:divBdr>
    </w:div>
    <w:div w:id="1206598383">
      <w:bodyDiv w:val="1"/>
      <w:marLeft w:val="0"/>
      <w:marRight w:val="0"/>
      <w:marTop w:val="0"/>
      <w:marBottom w:val="0"/>
      <w:divBdr>
        <w:top w:val="none" w:sz="0" w:space="0" w:color="auto"/>
        <w:left w:val="none" w:sz="0" w:space="0" w:color="auto"/>
        <w:bottom w:val="none" w:sz="0" w:space="0" w:color="auto"/>
        <w:right w:val="none" w:sz="0" w:space="0" w:color="auto"/>
      </w:divBdr>
    </w:div>
    <w:div w:id="1493251649">
      <w:bodyDiv w:val="1"/>
      <w:marLeft w:val="0"/>
      <w:marRight w:val="0"/>
      <w:marTop w:val="0"/>
      <w:marBottom w:val="0"/>
      <w:divBdr>
        <w:top w:val="none" w:sz="0" w:space="0" w:color="auto"/>
        <w:left w:val="none" w:sz="0" w:space="0" w:color="auto"/>
        <w:bottom w:val="none" w:sz="0" w:space="0" w:color="auto"/>
        <w:right w:val="none" w:sz="0" w:space="0" w:color="auto"/>
      </w:divBdr>
    </w:div>
    <w:div w:id="1498376324">
      <w:bodyDiv w:val="1"/>
      <w:marLeft w:val="0"/>
      <w:marRight w:val="0"/>
      <w:marTop w:val="0"/>
      <w:marBottom w:val="0"/>
      <w:divBdr>
        <w:top w:val="none" w:sz="0" w:space="0" w:color="auto"/>
        <w:left w:val="none" w:sz="0" w:space="0" w:color="auto"/>
        <w:bottom w:val="none" w:sz="0" w:space="0" w:color="auto"/>
        <w:right w:val="none" w:sz="0" w:space="0" w:color="auto"/>
      </w:divBdr>
    </w:div>
    <w:div w:id="1524513410">
      <w:bodyDiv w:val="1"/>
      <w:marLeft w:val="0"/>
      <w:marRight w:val="0"/>
      <w:marTop w:val="0"/>
      <w:marBottom w:val="0"/>
      <w:divBdr>
        <w:top w:val="none" w:sz="0" w:space="0" w:color="auto"/>
        <w:left w:val="none" w:sz="0" w:space="0" w:color="auto"/>
        <w:bottom w:val="none" w:sz="0" w:space="0" w:color="auto"/>
        <w:right w:val="none" w:sz="0" w:space="0" w:color="auto"/>
      </w:divBdr>
    </w:div>
    <w:div w:id="1535461947">
      <w:bodyDiv w:val="1"/>
      <w:marLeft w:val="0"/>
      <w:marRight w:val="0"/>
      <w:marTop w:val="0"/>
      <w:marBottom w:val="0"/>
      <w:divBdr>
        <w:top w:val="none" w:sz="0" w:space="0" w:color="auto"/>
        <w:left w:val="none" w:sz="0" w:space="0" w:color="auto"/>
        <w:bottom w:val="none" w:sz="0" w:space="0" w:color="auto"/>
        <w:right w:val="none" w:sz="0" w:space="0" w:color="auto"/>
      </w:divBdr>
    </w:div>
    <w:div w:id="1661929888">
      <w:bodyDiv w:val="1"/>
      <w:marLeft w:val="0"/>
      <w:marRight w:val="0"/>
      <w:marTop w:val="0"/>
      <w:marBottom w:val="0"/>
      <w:divBdr>
        <w:top w:val="none" w:sz="0" w:space="0" w:color="auto"/>
        <w:left w:val="none" w:sz="0" w:space="0" w:color="auto"/>
        <w:bottom w:val="none" w:sz="0" w:space="0" w:color="auto"/>
        <w:right w:val="none" w:sz="0" w:space="0" w:color="auto"/>
      </w:divBdr>
    </w:div>
    <w:div w:id="1884056075">
      <w:bodyDiv w:val="1"/>
      <w:marLeft w:val="0"/>
      <w:marRight w:val="0"/>
      <w:marTop w:val="0"/>
      <w:marBottom w:val="0"/>
      <w:divBdr>
        <w:top w:val="none" w:sz="0" w:space="0" w:color="auto"/>
        <w:left w:val="none" w:sz="0" w:space="0" w:color="auto"/>
        <w:bottom w:val="none" w:sz="0" w:space="0" w:color="auto"/>
        <w:right w:val="none" w:sz="0" w:space="0" w:color="auto"/>
      </w:divBdr>
    </w:div>
    <w:div w:id="1995909929">
      <w:bodyDiv w:val="1"/>
      <w:marLeft w:val="0"/>
      <w:marRight w:val="0"/>
      <w:marTop w:val="0"/>
      <w:marBottom w:val="0"/>
      <w:divBdr>
        <w:top w:val="none" w:sz="0" w:space="0" w:color="auto"/>
        <w:left w:val="none" w:sz="0" w:space="0" w:color="auto"/>
        <w:bottom w:val="none" w:sz="0" w:space="0" w:color="auto"/>
        <w:right w:val="none" w:sz="0" w:space="0" w:color="auto"/>
      </w:divBdr>
    </w:div>
    <w:div w:id="2024014881">
      <w:bodyDiv w:val="1"/>
      <w:marLeft w:val="0"/>
      <w:marRight w:val="0"/>
      <w:marTop w:val="0"/>
      <w:marBottom w:val="0"/>
      <w:divBdr>
        <w:top w:val="none" w:sz="0" w:space="0" w:color="auto"/>
        <w:left w:val="none" w:sz="0" w:space="0" w:color="auto"/>
        <w:bottom w:val="none" w:sz="0" w:space="0" w:color="auto"/>
        <w:right w:val="none" w:sz="0" w:space="0" w:color="auto"/>
      </w:divBdr>
      <w:divsChild>
        <w:div w:id="1066489505">
          <w:marLeft w:val="0"/>
          <w:marRight w:val="0"/>
          <w:marTop w:val="300"/>
          <w:marBottom w:val="0"/>
          <w:divBdr>
            <w:top w:val="none" w:sz="0" w:space="0" w:color="auto"/>
            <w:left w:val="none" w:sz="0" w:space="0" w:color="auto"/>
            <w:bottom w:val="none" w:sz="0" w:space="0" w:color="auto"/>
            <w:right w:val="none" w:sz="0" w:space="0" w:color="auto"/>
          </w:divBdr>
          <w:divsChild>
            <w:div w:id="204947399">
              <w:marLeft w:val="0"/>
              <w:marRight w:val="0"/>
              <w:marTop w:val="0"/>
              <w:marBottom w:val="0"/>
              <w:divBdr>
                <w:top w:val="none" w:sz="0" w:space="0" w:color="auto"/>
                <w:left w:val="none" w:sz="0" w:space="0" w:color="auto"/>
                <w:bottom w:val="none" w:sz="0" w:space="0" w:color="auto"/>
                <w:right w:val="none" w:sz="0" w:space="0" w:color="auto"/>
              </w:divBdr>
            </w:div>
          </w:divsChild>
        </w:div>
        <w:div w:id="1875922232">
          <w:marLeft w:val="1500"/>
          <w:marRight w:val="0"/>
          <w:marTop w:val="0"/>
          <w:marBottom w:val="0"/>
          <w:divBdr>
            <w:top w:val="none" w:sz="0" w:space="0" w:color="auto"/>
            <w:left w:val="none" w:sz="0" w:space="0" w:color="auto"/>
            <w:bottom w:val="none" w:sz="0" w:space="0" w:color="auto"/>
            <w:right w:val="none" w:sz="0" w:space="0" w:color="auto"/>
          </w:divBdr>
          <w:divsChild>
            <w:div w:id="1653100796">
              <w:marLeft w:val="0"/>
              <w:marRight w:val="0"/>
              <w:marTop w:val="0"/>
              <w:marBottom w:val="0"/>
              <w:divBdr>
                <w:top w:val="none" w:sz="0" w:space="0" w:color="auto"/>
                <w:left w:val="none" w:sz="0" w:space="0" w:color="auto"/>
                <w:bottom w:val="none" w:sz="0" w:space="0" w:color="auto"/>
                <w:right w:val="none" w:sz="0" w:space="0" w:color="auto"/>
              </w:divBdr>
              <w:divsChild>
                <w:div w:id="1476993316">
                  <w:marLeft w:val="0"/>
                  <w:marRight w:val="0"/>
                  <w:marTop w:val="0"/>
                  <w:marBottom w:val="60"/>
                  <w:divBdr>
                    <w:top w:val="none" w:sz="0" w:space="0" w:color="auto"/>
                    <w:left w:val="none" w:sz="0" w:space="0" w:color="auto"/>
                    <w:bottom w:val="none" w:sz="0" w:space="0" w:color="auto"/>
                    <w:right w:val="none" w:sz="0" w:space="0" w:color="auto"/>
                  </w:divBdr>
                  <w:divsChild>
                    <w:div w:id="21467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22729">
      <w:bodyDiv w:val="1"/>
      <w:marLeft w:val="0"/>
      <w:marRight w:val="0"/>
      <w:marTop w:val="0"/>
      <w:marBottom w:val="0"/>
      <w:divBdr>
        <w:top w:val="none" w:sz="0" w:space="0" w:color="auto"/>
        <w:left w:val="none" w:sz="0" w:space="0" w:color="auto"/>
        <w:bottom w:val="none" w:sz="0" w:space="0" w:color="auto"/>
        <w:right w:val="none" w:sz="0" w:space="0" w:color="auto"/>
      </w:divBdr>
    </w:div>
    <w:div w:id="20954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434D2-FA54-444A-B754-CFE1FFEAF1F0}">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customXml/itemProps2.xml><?xml version="1.0" encoding="utf-8"?>
<ds:datastoreItem xmlns:ds="http://schemas.openxmlformats.org/officeDocument/2006/customXml" ds:itemID="{AE10D93E-A29E-4014-9364-586EC43A7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A35B3-FDDD-4CD5-84B9-4B8455F47059}">
  <ds:schemaRefs>
    <ds:schemaRef ds:uri="http://schemas.openxmlformats.org/officeDocument/2006/bibliography"/>
  </ds:schemaRefs>
</ds:datastoreItem>
</file>

<file path=customXml/itemProps4.xml><?xml version="1.0" encoding="utf-8"?>
<ds:datastoreItem xmlns:ds="http://schemas.openxmlformats.org/officeDocument/2006/customXml" ds:itemID="{AF1E0DD4-3331-438F-8BFE-ABE590312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42714</Words>
  <Characters>24347</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66928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Birutė Valkauskaitė</cp:lastModifiedBy>
  <cp:revision>2</cp:revision>
  <dcterms:created xsi:type="dcterms:W3CDTF">2026-01-06T12:43:00Z</dcterms:created>
  <dcterms:modified xsi:type="dcterms:W3CDTF">2026-01-06T12:43:00Z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